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DF29" w14:textId="77777777" w:rsidR="006C3B20" w:rsidRPr="00DC3A7A" w:rsidRDefault="000C118D" w:rsidP="00D84C54">
      <w:pPr>
        <w:pStyle w:val="Heading1a"/>
        <w:keepNext w:val="0"/>
        <w:keepLines w:val="0"/>
        <w:tabs>
          <w:tab w:val="clear" w:pos="-720"/>
        </w:tabs>
        <w:suppressAutoHyphens w:val="0"/>
        <w:jc w:val="both"/>
        <w:rPr>
          <w:rFonts w:asciiTheme="minorHAnsi" w:hAnsiTheme="minorHAnsi" w:cstheme="minorHAnsi"/>
          <w:bCs/>
          <w:smallCaps w:val="0"/>
          <w:sz w:val="28"/>
          <w:u w:val="single"/>
        </w:rPr>
      </w:pPr>
      <w:r w:rsidRPr="00921684">
        <w:rPr>
          <w:rFonts w:asciiTheme="minorHAnsi" w:hAnsiTheme="minorHAnsi" w:cstheme="minorHAnsi"/>
          <w:noProof/>
        </w:rPr>
        <w:drawing>
          <wp:inline distT="0" distB="0" distL="0" distR="0" wp14:anchorId="316AE00F" wp14:editId="1FB12BE9">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006B0A91">
        <w:rPr>
          <w:rFonts w:asciiTheme="minorHAnsi" w:eastAsiaTheme="minorEastAsia" w:hAnsiTheme="minorHAnsi" w:cstheme="minorHAnsi"/>
          <w:noProof/>
        </w:rPr>
        <w:t xml:space="preserve">                </w:t>
      </w:r>
    </w:p>
    <w:p w14:paraId="4BED7A0A" w14:textId="77777777" w:rsidR="0094403E" w:rsidRPr="00921684" w:rsidRDefault="0094403E" w:rsidP="00D84C54">
      <w:pPr>
        <w:pStyle w:val="Heading1a"/>
        <w:keepNext w:val="0"/>
        <w:keepLines w:val="0"/>
        <w:tabs>
          <w:tab w:val="clear" w:pos="-720"/>
        </w:tabs>
        <w:suppressAutoHyphens w:val="0"/>
        <w:rPr>
          <w:rFonts w:asciiTheme="minorHAnsi" w:eastAsiaTheme="minorEastAsia" w:hAnsiTheme="minorHAnsi" w:cstheme="minorHAnsi"/>
          <w:smallCaps w:val="0"/>
          <w:sz w:val="28"/>
          <w:szCs w:val="28"/>
          <w:u w:val="single"/>
        </w:rPr>
      </w:pPr>
    </w:p>
    <w:p w14:paraId="3F38BA11" w14:textId="77777777" w:rsidR="00610FF4" w:rsidRDefault="00610FF4" w:rsidP="00D84C54">
      <w:pPr>
        <w:pStyle w:val="Heading1a"/>
        <w:keepNext w:val="0"/>
        <w:keepLines w:val="0"/>
        <w:tabs>
          <w:tab w:val="clear" w:pos="-720"/>
        </w:tabs>
        <w:suppressAutoHyphens w:val="0"/>
        <w:rPr>
          <w:rFonts w:asciiTheme="minorHAnsi" w:eastAsiaTheme="minorEastAsia" w:hAnsiTheme="minorHAnsi" w:cstheme="minorHAnsi"/>
          <w:smallCaps w:val="0"/>
          <w:sz w:val="28"/>
          <w:szCs w:val="28"/>
          <w:u w:val="single"/>
        </w:rPr>
      </w:pPr>
    </w:p>
    <w:p w14:paraId="22A377B5" w14:textId="696412F9" w:rsidR="0003493A" w:rsidRPr="00921684" w:rsidRDefault="0003493A" w:rsidP="00D84C54">
      <w:pPr>
        <w:pStyle w:val="Heading1a"/>
        <w:keepNext w:val="0"/>
        <w:keepLines w:val="0"/>
        <w:tabs>
          <w:tab w:val="clear" w:pos="-720"/>
        </w:tabs>
        <w:suppressAutoHyphens w:val="0"/>
        <w:rPr>
          <w:rFonts w:asciiTheme="minorHAnsi" w:eastAsiaTheme="minorEastAsia" w:hAnsiTheme="minorHAnsi" w:cstheme="minorHAnsi"/>
          <w:sz w:val="28"/>
          <w:szCs w:val="28"/>
          <w:u w:val="single"/>
        </w:rPr>
      </w:pPr>
      <w:r w:rsidRPr="00921684">
        <w:rPr>
          <w:rFonts w:asciiTheme="minorHAnsi" w:eastAsiaTheme="minorEastAsia" w:hAnsiTheme="minorHAnsi" w:cstheme="minorHAnsi"/>
          <w:smallCaps w:val="0"/>
          <w:sz w:val="28"/>
          <w:szCs w:val="28"/>
          <w:u w:val="single"/>
        </w:rPr>
        <w:t xml:space="preserve">REQUEST FOR EXPRESSIONS </w:t>
      </w:r>
      <w:r w:rsidR="006C3B20" w:rsidRPr="00921684">
        <w:rPr>
          <w:rFonts w:asciiTheme="minorHAnsi" w:eastAsiaTheme="minorEastAsia" w:hAnsiTheme="minorHAnsi" w:cstheme="minorHAnsi"/>
          <w:smallCaps w:val="0"/>
          <w:sz w:val="28"/>
          <w:szCs w:val="28"/>
          <w:u w:val="single"/>
        </w:rPr>
        <w:t>OF INTEREST</w:t>
      </w:r>
    </w:p>
    <w:p w14:paraId="74340CE1" w14:textId="13B174CA" w:rsidR="006C3B20" w:rsidRPr="00921684" w:rsidRDefault="006C3B20" w:rsidP="00D84C54">
      <w:pPr>
        <w:pStyle w:val="Heading1a"/>
        <w:keepNext w:val="0"/>
        <w:keepLines w:val="0"/>
        <w:tabs>
          <w:tab w:val="clear" w:pos="-720"/>
        </w:tabs>
        <w:suppressAutoHyphens w:val="0"/>
        <w:rPr>
          <w:rFonts w:asciiTheme="minorHAnsi" w:eastAsiaTheme="minorEastAsia" w:hAnsiTheme="minorHAnsi" w:cstheme="minorHAnsi"/>
          <w:color w:val="FF0000"/>
          <w:sz w:val="28"/>
          <w:szCs w:val="28"/>
          <w:u w:val="single"/>
        </w:rPr>
      </w:pPr>
      <w:r w:rsidRPr="00921684">
        <w:rPr>
          <w:rFonts w:asciiTheme="minorHAnsi" w:eastAsiaTheme="minorEastAsia" w:hAnsiTheme="minorHAnsi" w:cstheme="minorHAnsi"/>
          <w:smallCaps w:val="0"/>
          <w:sz w:val="28"/>
          <w:szCs w:val="28"/>
          <w:u w:val="single"/>
        </w:rPr>
        <w:t>CONSULTING SERVICES</w:t>
      </w:r>
    </w:p>
    <w:p w14:paraId="0BDF0170" w14:textId="77777777" w:rsidR="003F5CA1" w:rsidRPr="00921684" w:rsidRDefault="003F5CA1" w:rsidP="00D84C54">
      <w:pPr>
        <w:jc w:val="both"/>
        <w:rPr>
          <w:rFonts w:asciiTheme="minorHAnsi" w:hAnsiTheme="minorHAnsi" w:cstheme="minorHAnsi"/>
          <w:color w:val="auto"/>
        </w:rPr>
      </w:pPr>
    </w:p>
    <w:p w14:paraId="07B5EB43" w14:textId="77777777" w:rsidR="0094403E" w:rsidRPr="00921684" w:rsidRDefault="0094403E" w:rsidP="00D84C54">
      <w:pPr>
        <w:suppressAutoHyphens/>
        <w:jc w:val="both"/>
        <w:rPr>
          <w:rFonts w:asciiTheme="minorHAnsi" w:hAnsiTheme="minorHAnsi" w:cstheme="minorHAnsi"/>
          <w:color w:val="0070C0"/>
          <w:spacing w:val="-2"/>
        </w:rPr>
      </w:pPr>
    </w:p>
    <w:p w14:paraId="0546D62C" w14:textId="706FAFBD" w:rsidR="00F45D9C" w:rsidRPr="00921684" w:rsidRDefault="00170248" w:rsidP="00D84C54">
      <w:pPr>
        <w:suppressAutoHyphens/>
        <w:jc w:val="both"/>
        <w:rPr>
          <w:rFonts w:asciiTheme="minorHAnsi" w:hAnsiTheme="minorHAnsi" w:cstheme="minorHAnsi"/>
          <w:color w:val="0070C0"/>
          <w:spacing w:val="-2"/>
        </w:rPr>
      </w:pPr>
      <w:r w:rsidRPr="00921684">
        <w:rPr>
          <w:rFonts w:asciiTheme="minorHAnsi" w:hAnsiTheme="minorHAnsi" w:cstheme="minorHAnsi"/>
          <w:color w:val="0070C0"/>
          <w:spacing w:val="-2"/>
        </w:rPr>
        <w:t>Selection #</w:t>
      </w:r>
      <w:r w:rsidR="00F45D9C" w:rsidRPr="00921684">
        <w:rPr>
          <w:rFonts w:asciiTheme="minorHAnsi" w:hAnsiTheme="minorHAnsi" w:cstheme="minorHAnsi"/>
          <w:color w:val="0070C0"/>
          <w:spacing w:val="-2"/>
        </w:rPr>
        <w:t xml:space="preserve"> as assigned by </w:t>
      </w:r>
      <w:r w:rsidR="00360ACB" w:rsidRPr="00921684">
        <w:rPr>
          <w:rFonts w:asciiTheme="minorHAnsi" w:hAnsiTheme="minorHAnsi" w:cstheme="minorHAnsi"/>
          <w:color w:val="0070C0"/>
          <w:spacing w:val="-2"/>
        </w:rPr>
        <w:t>e-Tool:</w:t>
      </w:r>
      <w:r w:rsidR="0037387F" w:rsidRPr="00921684">
        <w:rPr>
          <w:rFonts w:asciiTheme="minorHAnsi" w:hAnsiTheme="minorHAnsi" w:cstheme="minorHAnsi"/>
          <w:color w:val="0070C0"/>
          <w:spacing w:val="-2"/>
        </w:rPr>
        <w:t xml:space="preserve"> </w:t>
      </w:r>
      <w:r w:rsidR="00BC6463" w:rsidRPr="00921684">
        <w:rPr>
          <w:rFonts w:asciiTheme="minorHAnsi" w:hAnsiTheme="minorHAnsi" w:cstheme="minorHAnsi"/>
          <w:color w:val="0070C0"/>
          <w:spacing w:val="-2"/>
        </w:rPr>
        <w:t>RG-T3502-P004</w:t>
      </w:r>
    </w:p>
    <w:p w14:paraId="0992F71B" w14:textId="11E7BCA9" w:rsidR="672BA234" w:rsidRPr="006B0A91" w:rsidRDefault="2CDD2216" w:rsidP="00D84C54">
      <w:pPr>
        <w:suppressAutoHyphens/>
        <w:jc w:val="both"/>
        <w:rPr>
          <w:rFonts w:asciiTheme="minorHAnsi" w:hAnsiTheme="minorHAnsi" w:cstheme="minorHAnsi"/>
          <w:color w:val="0070C0"/>
          <w:spacing w:val="-2"/>
        </w:rPr>
      </w:pPr>
      <w:r w:rsidRPr="00921684">
        <w:rPr>
          <w:rFonts w:asciiTheme="minorHAnsi" w:hAnsiTheme="minorHAnsi" w:cstheme="minorHAnsi"/>
          <w:color w:val="0070C0"/>
          <w:spacing w:val="-2"/>
        </w:rPr>
        <w:t>Selection Method:</w:t>
      </w:r>
      <w:r w:rsidR="001F7F03" w:rsidRPr="00921684">
        <w:rPr>
          <w:rFonts w:asciiTheme="minorHAnsi" w:hAnsiTheme="minorHAnsi" w:cstheme="minorHAnsi"/>
          <w:color w:val="0070C0"/>
          <w:spacing w:val="-2"/>
        </w:rPr>
        <w:t xml:space="preserve"> </w:t>
      </w:r>
      <w:r w:rsidR="004B39B5">
        <w:rPr>
          <w:rFonts w:asciiTheme="minorHAnsi" w:hAnsiTheme="minorHAnsi" w:cstheme="minorHAnsi"/>
          <w:color w:val="0070C0"/>
          <w:spacing w:val="-2"/>
        </w:rPr>
        <w:t>Full</w:t>
      </w:r>
      <w:r w:rsidR="001F7F03" w:rsidRPr="00921684">
        <w:rPr>
          <w:rFonts w:asciiTheme="minorHAnsi" w:hAnsiTheme="minorHAnsi" w:cstheme="minorHAnsi"/>
          <w:color w:val="0070C0"/>
          <w:spacing w:val="-2"/>
        </w:rPr>
        <w:t xml:space="preserve"> Competitive Process</w:t>
      </w:r>
      <w:r w:rsidR="0094403E" w:rsidRPr="00921684">
        <w:rPr>
          <w:rFonts w:asciiTheme="minorHAnsi" w:hAnsiTheme="minorHAnsi" w:cstheme="minorHAnsi"/>
          <w:color w:val="0070C0"/>
          <w:spacing w:val="-2"/>
        </w:rPr>
        <w:t xml:space="preserve"> </w:t>
      </w:r>
      <w:r w:rsidR="0037387F" w:rsidRPr="00921684">
        <w:rPr>
          <w:rFonts w:asciiTheme="minorHAnsi" w:hAnsiTheme="minorHAnsi" w:cstheme="minorHAnsi"/>
          <w:color w:val="0070C0"/>
          <w:spacing w:val="-2"/>
        </w:rPr>
        <w:t xml:space="preserve"> </w:t>
      </w:r>
    </w:p>
    <w:p w14:paraId="661E8539" w14:textId="644B7889" w:rsidR="00F45D9C" w:rsidRPr="00921684" w:rsidRDefault="00F45D9C" w:rsidP="00D84C54">
      <w:pPr>
        <w:suppressAutoHyphens/>
        <w:jc w:val="both"/>
        <w:rPr>
          <w:rFonts w:asciiTheme="minorHAnsi" w:hAnsiTheme="minorHAnsi" w:cstheme="minorHAnsi"/>
          <w:color w:val="0070C0"/>
          <w:spacing w:val="-2"/>
        </w:rPr>
      </w:pPr>
      <w:r w:rsidRPr="00921684">
        <w:rPr>
          <w:rFonts w:asciiTheme="minorHAnsi" w:hAnsiTheme="minorHAnsi" w:cstheme="minorHAnsi"/>
          <w:color w:val="0070C0"/>
          <w:spacing w:val="-2"/>
        </w:rPr>
        <w:t xml:space="preserve">Country:  </w:t>
      </w:r>
      <w:r w:rsidR="00BC6463" w:rsidRPr="00921684">
        <w:rPr>
          <w:rFonts w:asciiTheme="minorHAnsi" w:hAnsiTheme="minorHAnsi" w:cstheme="minorHAnsi"/>
          <w:color w:val="0070C0"/>
          <w:spacing w:val="-2"/>
        </w:rPr>
        <w:t xml:space="preserve">Jamaica, </w:t>
      </w:r>
      <w:r w:rsidR="00DC3A7A" w:rsidRPr="00921684">
        <w:rPr>
          <w:rFonts w:asciiTheme="minorHAnsi" w:hAnsiTheme="minorHAnsi" w:cstheme="minorHAnsi"/>
          <w:color w:val="0070C0"/>
          <w:spacing w:val="-2"/>
        </w:rPr>
        <w:t>Surinam</w:t>
      </w:r>
      <w:r w:rsidR="00BC257C">
        <w:rPr>
          <w:rFonts w:asciiTheme="minorHAnsi" w:hAnsiTheme="minorHAnsi" w:cstheme="minorHAnsi"/>
          <w:color w:val="0070C0"/>
          <w:spacing w:val="-2"/>
        </w:rPr>
        <w:t>e</w:t>
      </w:r>
      <w:r w:rsidR="00BC6463" w:rsidRPr="00921684">
        <w:rPr>
          <w:rFonts w:asciiTheme="minorHAnsi" w:hAnsiTheme="minorHAnsi" w:cstheme="minorHAnsi"/>
          <w:color w:val="0070C0"/>
          <w:spacing w:val="-2"/>
        </w:rPr>
        <w:t xml:space="preserve">, Trinidad </w:t>
      </w:r>
      <w:r w:rsidR="00EB3560" w:rsidRPr="00921684">
        <w:rPr>
          <w:rFonts w:asciiTheme="minorHAnsi" w:hAnsiTheme="minorHAnsi" w:cstheme="minorHAnsi"/>
          <w:color w:val="0070C0"/>
          <w:spacing w:val="-2"/>
        </w:rPr>
        <w:t>an</w:t>
      </w:r>
      <w:r w:rsidR="00EB3560">
        <w:rPr>
          <w:rFonts w:asciiTheme="minorHAnsi" w:hAnsiTheme="minorHAnsi" w:cstheme="minorHAnsi"/>
          <w:color w:val="0070C0"/>
          <w:spacing w:val="-2"/>
        </w:rPr>
        <w:t>d</w:t>
      </w:r>
      <w:r w:rsidR="00BC6463" w:rsidRPr="00921684">
        <w:rPr>
          <w:rFonts w:asciiTheme="minorHAnsi" w:hAnsiTheme="minorHAnsi" w:cstheme="minorHAnsi"/>
          <w:color w:val="0070C0"/>
          <w:spacing w:val="-2"/>
        </w:rPr>
        <w:t xml:space="preserve"> Tobago, y Guyana</w:t>
      </w:r>
    </w:p>
    <w:p w14:paraId="11A9D93B" w14:textId="0C670B53" w:rsidR="00F45D9C" w:rsidRPr="00921684" w:rsidRDefault="2CDD2216" w:rsidP="00D84C54">
      <w:pPr>
        <w:suppressAutoHyphens/>
        <w:jc w:val="both"/>
        <w:rPr>
          <w:rFonts w:asciiTheme="minorHAnsi" w:hAnsiTheme="minorHAnsi" w:cstheme="minorHAnsi"/>
          <w:color w:val="0070C0"/>
          <w:spacing w:val="-2"/>
        </w:rPr>
      </w:pPr>
      <w:r w:rsidRPr="00921684">
        <w:rPr>
          <w:rFonts w:asciiTheme="minorHAnsi" w:hAnsiTheme="minorHAnsi" w:cstheme="minorHAnsi"/>
          <w:color w:val="0070C0"/>
          <w:spacing w:val="-2"/>
        </w:rPr>
        <w:t xml:space="preserve">Funding – TC #: </w:t>
      </w:r>
      <w:r w:rsidR="00BC6463" w:rsidRPr="00921684">
        <w:rPr>
          <w:rFonts w:asciiTheme="minorHAnsi" w:hAnsiTheme="minorHAnsi" w:cstheme="minorHAnsi"/>
          <w:color w:val="0070C0"/>
          <w:spacing w:val="-2"/>
        </w:rPr>
        <w:t>ATN/OC-17737-RG</w:t>
      </w:r>
    </w:p>
    <w:p w14:paraId="1ADDFA28" w14:textId="77777777" w:rsidR="00BC6463" w:rsidRPr="00921684" w:rsidRDefault="2CDD2216" w:rsidP="00D84C54">
      <w:pPr>
        <w:suppressAutoHyphens/>
        <w:jc w:val="both"/>
        <w:rPr>
          <w:rFonts w:asciiTheme="minorHAnsi" w:hAnsiTheme="minorHAnsi" w:cstheme="minorHAnsi"/>
          <w:color w:val="0070C0"/>
          <w:spacing w:val="-2"/>
        </w:rPr>
      </w:pPr>
      <w:r w:rsidRPr="00921684">
        <w:rPr>
          <w:rFonts w:asciiTheme="minorHAnsi" w:hAnsiTheme="minorHAnsi" w:cstheme="minorHAnsi"/>
          <w:color w:val="0070C0"/>
          <w:spacing w:val="-2"/>
        </w:rPr>
        <w:t>Project #:</w:t>
      </w:r>
      <w:r w:rsidR="00BC6463" w:rsidRPr="00921684">
        <w:rPr>
          <w:rFonts w:asciiTheme="minorHAnsi" w:hAnsiTheme="minorHAnsi" w:cstheme="minorHAnsi"/>
          <w:color w:val="0070C0"/>
          <w:spacing w:val="-2"/>
        </w:rPr>
        <w:t xml:space="preserve"> RG-T3502</w:t>
      </w:r>
    </w:p>
    <w:p w14:paraId="3881CA2D" w14:textId="2A00FFF9" w:rsidR="00BC6463" w:rsidRPr="00921684" w:rsidRDefault="672BA234" w:rsidP="00D84C54">
      <w:pPr>
        <w:suppressAutoHyphens/>
        <w:jc w:val="both"/>
        <w:rPr>
          <w:rFonts w:asciiTheme="minorHAnsi" w:hAnsiTheme="minorHAnsi" w:cstheme="minorHAnsi"/>
          <w:color w:val="0070C0"/>
          <w:spacing w:val="-2"/>
        </w:rPr>
      </w:pPr>
      <w:r w:rsidRPr="00921684">
        <w:rPr>
          <w:rFonts w:asciiTheme="minorHAnsi" w:hAnsiTheme="minorHAnsi" w:cstheme="minorHAnsi"/>
          <w:color w:val="0070C0"/>
          <w:spacing w:val="-2"/>
        </w:rPr>
        <w:t>TC name:</w:t>
      </w:r>
      <w:r w:rsidR="00BC6463" w:rsidRPr="00921684">
        <w:rPr>
          <w:rFonts w:asciiTheme="minorHAnsi" w:hAnsiTheme="minorHAnsi" w:cstheme="minorHAnsi"/>
          <w:color w:val="0070C0"/>
          <w:spacing w:val="-2"/>
        </w:rPr>
        <w:t xml:space="preserve"> Facility to Boost Private Sector Growth in Small and Island Countries</w:t>
      </w:r>
    </w:p>
    <w:p w14:paraId="4FC4572B" w14:textId="3E5C09B8" w:rsidR="00F45D9C" w:rsidRPr="00921684" w:rsidRDefault="00BC6463" w:rsidP="00D84C54">
      <w:pPr>
        <w:suppressAutoHyphens/>
        <w:jc w:val="both"/>
        <w:rPr>
          <w:rFonts w:asciiTheme="minorHAnsi" w:hAnsiTheme="minorHAnsi" w:cstheme="minorHAnsi"/>
          <w:color w:val="0070C0"/>
          <w:spacing w:val="-2"/>
        </w:rPr>
      </w:pPr>
      <w:r w:rsidRPr="00921684">
        <w:rPr>
          <w:rFonts w:asciiTheme="minorHAnsi" w:hAnsiTheme="minorHAnsi" w:cstheme="minorHAnsi"/>
          <w:color w:val="0070C0"/>
          <w:spacing w:val="-2"/>
        </w:rPr>
        <w:t xml:space="preserve"> </w:t>
      </w:r>
    </w:p>
    <w:p w14:paraId="5735643B" w14:textId="77777777" w:rsidR="00BC6463" w:rsidRPr="00921684" w:rsidRDefault="00BC6463" w:rsidP="00D84C54">
      <w:pPr>
        <w:pStyle w:val="BodyText"/>
        <w:jc w:val="both"/>
        <w:rPr>
          <w:rFonts w:asciiTheme="minorHAnsi" w:hAnsiTheme="minorHAnsi" w:cstheme="minorHAnsi"/>
        </w:rPr>
      </w:pPr>
    </w:p>
    <w:p w14:paraId="3A50EEED" w14:textId="77777777" w:rsidR="00F45D9C" w:rsidRPr="00DC3A7A" w:rsidRDefault="4738AB8D" w:rsidP="00D84C54">
      <w:pPr>
        <w:pStyle w:val="BodyText"/>
        <w:jc w:val="both"/>
        <w:rPr>
          <w:rFonts w:asciiTheme="minorHAnsi" w:eastAsiaTheme="minorEastAsia" w:hAnsiTheme="minorHAnsi" w:cstheme="minorHAnsi"/>
          <w:b/>
          <w:bCs/>
          <w:i/>
          <w:iCs/>
          <w:color w:val="0070C0"/>
        </w:rPr>
      </w:pPr>
      <w:r w:rsidRPr="006B0A91">
        <w:rPr>
          <w:rFonts w:asciiTheme="minorHAnsi" w:eastAsiaTheme="minorEastAsia" w:hAnsiTheme="minorHAnsi" w:cstheme="minorHAnsi"/>
          <w:b/>
          <w:bCs/>
          <w:i/>
          <w:iCs/>
          <w:color w:val="0070C0"/>
        </w:rPr>
        <w:t xml:space="preserve">Description of Services:  </w:t>
      </w:r>
    </w:p>
    <w:p w14:paraId="5C7EC0D8" w14:textId="1506AB4F" w:rsidR="00E0726C" w:rsidRPr="00610FF4" w:rsidRDefault="00E0726C" w:rsidP="00D84C54">
      <w:pPr>
        <w:jc w:val="both"/>
        <w:rPr>
          <w:rFonts w:asciiTheme="minorHAnsi" w:hAnsiTheme="minorHAnsi" w:cstheme="minorHAnsi"/>
          <w:color w:val="auto"/>
        </w:rPr>
      </w:pPr>
      <w:r w:rsidRPr="00610FF4">
        <w:rPr>
          <w:rFonts w:asciiTheme="minorHAnsi" w:hAnsiTheme="minorHAnsi" w:cstheme="minorHAnsi"/>
          <w:color w:val="auto"/>
        </w:rPr>
        <w:t xml:space="preserve">Assessment the market landscape for Reverse Factoring (and/or other types of supply chain finance products/mechanisms benefitting MSMEs) in S&amp;I, to identify market gaps, needs and opportunities for IDB Invest to deploy suitable Reverse Factoring (or Reverse Factoring-like) solutions in each one of these S&amp;I countries. </w:t>
      </w:r>
    </w:p>
    <w:p w14:paraId="1DBF52D2" w14:textId="77777777" w:rsidR="00F45D9C" w:rsidRPr="006B0A91" w:rsidRDefault="00F45D9C" w:rsidP="00D84C54">
      <w:pPr>
        <w:pStyle w:val="BodyText"/>
        <w:jc w:val="both"/>
        <w:rPr>
          <w:rFonts w:asciiTheme="minorHAnsi" w:hAnsiTheme="minorHAnsi" w:cstheme="minorHAnsi"/>
          <w:i/>
          <w:color w:val="0070C0"/>
          <w:szCs w:val="24"/>
        </w:rPr>
      </w:pPr>
    </w:p>
    <w:p w14:paraId="4FD8FFBB" w14:textId="39A6573E" w:rsidR="002E7B51" w:rsidRPr="00921684" w:rsidRDefault="00F45D9C"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The Inter-American Development Bank (IDB)</w:t>
      </w:r>
      <w:r w:rsidR="00E91E93" w:rsidRPr="00921684">
        <w:rPr>
          <w:rFonts w:asciiTheme="minorHAnsi" w:hAnsiTheme="minorHAnsi" w:cstheme="minorHAnsi"/>
          <w:color w:val="auto"/>
        </w:rPr>
        <w:t>, through its Competitiveness, Technology and Innovation Division</w:t>
      </w:r>
      <w:r w:rsidRPr="00921684">
        <w:rPr>
          <w:rFonts w:asciiTheme="minorHAnsi" w:hAnsiTheme="minorHAnsi" w:cstheme="minorHAnsi"/>
          <w:color w:val="auto"/>
        </w:rPr>
        <w:t xml:space="preserve"> is executing the </w:t>
      </w:r>
      <w:r w:rsidR="00BC6463" w:rsidRPr="00921684">
        <w:rPr>
          <w:rFonts w:asciiTheme="minorHAnsi" w:hAnsiTheme="minorHAnsi" w:cstheme="minorHAnsi"/>
          <w:color w:val="auto"/>
        </w:rPr>
        <w:t>above-mentioned</w:t>
      </w:r>
      <w:r w:rsidRPr="00921684">
        <w:rPr>
          <w:rFonts w:asciiTheme="minorHAnsi" w:hAnsiTheme="minorHAnsi" w:cstheme="minorHAnsi"/>
          <w:color w:val="auto"/>
        </w:rPr>
        <w:t xml:space="preserve"> </w:t>
      </w:r>
      <w:r w:rsidR="002F368D" w:rsidRPr="00921684">
        <w:rPr>
          <w:rFonts w:asciiTheme="minorHAnsi" w:hAnsiTheme="minorHAnsi" w:cstheme="minorHAnsi"/>
          <w:color w:val="auto"/>
        </w:rPr>
        <w:t>technical co</w:t>
      </w:r>
      <w:r w:rsidRPr="00921684">
        <w:rPr>
          <w:rFonts w:asciiTheme="minorHAnsi" w:hAnsiTheme="minorHAnsi" w:cstheme="minorHAnsi"/>
          <w:color w:val="auto"/>
        </w:rPr>
        <w:t xml:space="preserve">operation. For this operation, the IDB </w:t>
      </w:r>
      <w:r w:rsidRPr="00921684">
        <w:rPr>
          <w:rFonts w:asciiTheme="minorHAnsi" w:hAnsiTheme="minorHAnsi" w:cstheme="minorHAnsi"/>
          <w:spacing w:val="-2"/>
        </w:rPr>
        <w:t xml:space="preserve">intends to contract consulting services described in this </w:t>
      </w:r>
      <w:r w:rsidR="00DA6CF7" w:rsidRPr="00921684">
        <w:rPr>
          <w:rFonts w:asciiTheme="minorHAnsi" w:hAnsiTheme="minorHAnsi" w:cstheme="minorHAnsi"/>
          <w:spacing w:val="-2"/>
        </w:rPr>
        <w:t>r</w:t>
      </w:r>
      <w:r w:rsidRPr="00921684">
        <w:rPr>
          <w:rFonts w:asciiTheme="minorHAnsi" w:hAnsiTheme="minorHAnsi" w:cstheme="minorHAnsi"/>
          <w:spacing w:val="-2"/>
        </w:rPr>
        <w:t xml:space="preserve">equest </w:t>
      </w:r>
      <w:r w:rsidR="00926773" w:rsidRPr="00921684">
        <w:rPr>
          <w:rFonts w:asciiTheme="minorHAnsi" w:hAnsiTheme="minorHAnsi" w:cstheme="minorHAnsi"/>
          <w:spacing w:val="-2"/>
        </w:rPr>
        <w:t>of</w:t>
      </w:r>
      <w:r w:rsidRPr="00921684">
        <w:rPr>
          <w:rFonts w:asciiTheme="minorHAnsi" w:hAnsiTheme="minorHAnsi" w:cstheme="minorHAnsi"/>
          <w:spacing w:val="-2"/>
        </w:rPr>
        <w:t xml:space="preserve"> Expressions of Interest</w:t>
      </w:r>
      <w:r w:rsidR="00DA6CF7" w:rsidRPr="00921684">
        <w:rPr>
          <w:rFonts w:asciiTheme="minorHAnsi" w:hAnsiTheme="minorHAnsi" w:cstheme="minorHAnsi"/>
          <w:spacing w:val="-2"/>
        </w:rPr>
        <w:t xml:space="preserve"> (EOI)</w:t>
      </w:r>
      <w:r w:rsidRPr="00921684">
        <w:rPr>
          <w:rFonts w:asciiTheme="minorHAnsi" w:hAnsiTheme="minorHAnsi" w:cstheme="minorHAnsi"/>
          <w:spacing w:val="-2"/>
        </w:rPr>
        <w:t>.</w:t>
      </w:r>
      <w:r w:rsidR="002E7B51" w:rsidRPr="00921684">
        <w:rPr>
          <w:rFonts w:asciiTheme="minorHAnsi" w:hAnsiTheme="minorHAnsi" w:cstheme="minorHAnsi"/>
          <w:spacing w:val="-2"/>
        </w:rPr>
        <w:t xml:space="preserve">  </w:t>
      </w:r>
    </w:p>
    <w:p w14:paraId="52D780AC" w14:textId="62B31A3E" w:rsidR="002E7B51" w:rsidRDefault="005029DE"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If you are interested to participate, e</w:t>
      </w:r>
      <w:r w:rsidR="002E7B51" w:rsidRPr="00921684">
        <w:rPr>
          <w:rFonts w:asciiTheme="minorHAnsi" w:hAnsiTheme="minorHAnsi" w:cstheme="minorHAnsi"/>
          <w:color w:val="auto"/>
        </w:rPr>
        <w:t xml:space="preserve">xpressions of interest </w:t>
      </w:r>
      <w:r w:rsidR="00DA6CF7" w:rsidRPr="00921684">
        <w:rPr>
          <w:rFonts w:asciiTheme="minorHAnsi" w:hAnsiTheme="minorHAnsi" w:cstheme="minorHAnsi"/>
          <w:color w:val="auto"/>
        </w:rPr>
        <w:t>of your</w:t>
      </w:r>
      <w:r w:rsidR="00250314" w:rsidRPr="00921684">
        <w:rPr>
          <w:rFonts w:asciiTheme="minorHAnsi" w:hAnsiTheme="minorHAnsi" w:cstheme="minorHAnsi"/>
          <w:color w:val="auto"/>
        </w:rPr>
        <w:t xml:space="preserve"> consulting</w:t>
      </w:r>
      <w:r w:rsidR="00DA6CF7" w:rsidRPr="00921684">
        <w:rPr>
          <w:rFonts w:asciiTheme="minorHAnsi" w:hAnsiTheme="minorHAnsi" w:cstheme="minorHAnsi"/>
          <w:color w:val="auto"/>
        </w:rPr>
        <w:t xml:space="preserve"> firm, </w:t>
      </w:r>
      <w:r w:rsidR="002E7B51" w:rsidRPr="00921684">
        <w:rPr>
          <w:rFonts w:asciiTheme="minorHAnsi" w:hAnsiTheme="minorHAnsi" w:cstheme="minorHAnsi"/>
          <w:color w:val="auto"/>
        </w:rPr>
        <w:t>must be delivered using the IDB Portal for Bank Executed Operations (</w:t>
      </w:r>
      <w:r w:rsidR="002E7B51" w:rsidRPr="00921684">
        <w:rPr>
          <w:rFonts w:asciiTheme="minorHAnsi" w:hAnsiTheme="minorHAnsi" w:cstheme="minorHAnsi"/>
        </w:rPr>
        <w:t xml:space="preserve"> </w:t>
      </w:r>
      <w:hyperlink r:id="rId15" w:history="1">
        <w:r w:rsidR="002E7B51" w:rsidRPr="00921684">
          <w:rPr>
            <w:rStyle w:val="Hyperlink"/>
            <w:rFonts w:asciiTheme="minorHAnsi" w:hAnsiTheme="minorHAnsi" w:cstheme="minorHAnsi"/>
          </w:rPr>
          <w:t>http://beo-procurement.iadb.org/home</w:t>
        </w:r>
      </w:hyperlink>
      <w:r w:rsidR="002E7B51" w:rsidRPr="006B0A91">
        <w:rPr>
          <w:rFonts w:asciiTheme="minorHAnsi" w:hAnsiTheme="minorHAnsi" w:cstheme="minorHAnsi"/>
          <w:color w:val="auto"/>
        </w:rPr>
        <w:t>) by</w:t>
      </w:r>
      <w:r w:rsidR="002E7B51" w:rsidRPr="00DC3A7A">
        <w:rPr>
          <w:rFonts w:asciiTheme="minorHAnsi" w:hAnsiTheme="minorHAnsi" w:cstheme="minorHAnsi"/>
          <w:color w:val="auto"/>
        </w:rPr>
        <w:t xml:space="preserve">: </w:t>
      </w:r>
      <w:r w:rsidRPr="00921684">
        <w:rPr>
          <w:rFonts w:asciiTheme="minorHAnsi" w:hAnsiTheme="minorHAnsi" w:cstheme="minorHAnsi"/>
          <w:i/>
          <w:iCs/>
          <w:color w:val="0070C0"/>
          <w:spacing w:val="-2"/>
        </w:rPr>
        <w:t>Friday, February 4</w:t>
      </w:r>
      <w:r w:rsidRPr="00921684">
        <w:rPr>
          <w:rFonts w:asciiTheme="minorHAnsi" w:hAnsiTheme="minorHAnsi" w:cstheme="minorHAnsi"/>
          <w:i/>
          <w:iCs/>
          <w:color w:val="0070C0"/>
          <w:spacing w:val="-2"/>
          <w:vertAlign w:val="superscript"/>
        </w:rPr>
        <w:t>th</w:t>
      </w:r>
      <w:r w:rsidRPr="006B0A91">
        <w:rPr>
          <w:rFonts w:asciiTheme="minorHAnsi" w:hAnsiTheme="minorHAnsi" w:cstheme="minorHAnsi"/>
          <w:i/>
          <w:iCs/>
          <w:color w:val="0070C0"/>
          <w:spacing w:val="-2"/>
        </w:rPr>
        <w:t>, 2022</w:t>
      </w:r>
      <w:r w:rsidR="002E7B51" w:rsidRPr="00921684">
        <w:rPr>
          <w:rFonts w:asciiTheme="minorHAnsi" w:hAnsiTheme="minorHAnsi" w:cstheme="minorHAnsi"/>
          <w:color w:val="auto"/>
        </w:rPr>
        <w:t xml:space="preserve"> </w:t>
      </w:r>
      <w:r w:rsidR="002E7B51" w:rsidRPr="006B0A91">
        <w:rPr>
          <w:rFonts w:asciiTheme="minorHAnsi" w:hAnsiTheme="minorHAnsi" w:cstheme="minorHAnsi"/>
          <w:color w:val="auto"/>
        </w:rPr>
        <w:t>5</w:t>
      </w:r>
      <w:r w:rsidR="002E7B51" w:rsidRPr="00DC3A7A">
        <w:rPr>
          <w:rFonts w:asciiTheme="minorHAnsi" w:hAnsiTheme="minorHAnsi" w:cstheme="minorHAnsi"/>
          <w:color w:val="auto"/>
        </w:rPr>
        <w:t xml:space="preserve">:00 </w:t>
      </w:r>
      <w:r w:rsidR="003C6547" w:rsidRPr="00EB3560">
        <w:rPr>
          <w:rFonts w:asciiTheme="minorHAnsi" w:hAnsiTheme="minorHAnsi" w:cstheme="minorHAnsi"/>
          <w:color w:val="auto"/>
        </w:rPr>
        <w:t>P.M.</w:t>
      </w:r>
      <w:r w:rsidR="002E7B51" w:rsidRPr="00BC257C">
        <w:rPr>
          <w:rFonts w:asciiTheme="minorHAnsi" w:hAnsiTheme="minorHAnsi" w:cstheme="minorHAnsi"/>
          <w:color w:val="auto"/>
        </w:rPr>
        <w:t xml:space="preserve"> (Washington D.C. Time)</w:t>
      </w:r>
      <w:r w:rsidR="002E7B51" w:rsidRPr="00921684">
        <w:rPr>
          <w:rFonts w:asciiTheme="minorHAnsi" w:hAnsiTheme="minorHAnsi" w:cstheme="minorHAnsi"/>
          <w:color w:val="auto"/>
        </w:rPr>
        <w:t>.</w:t>
      </w:r>
    </w:p>
    <w:p w14:paraId="0C02AE6B" w14:textId="719BEE5A" w:rsidR="009427AD" w:rsidRDefault="009427AD" w:rsidP="00D84C54">
      <w:pPr>
        <w:spacing w:line="320" w:lineRule="atLeast"/>
        <w:jc w:val="both"/>
        <w:rPr>
          <w:rFonts w:asciiTheme="minorHAnsi" w:hAnsiTheme="minorHAnsi" w:cstheme="minorHAnsi"/>
          <w:color w:val="auto"/>
        </w:rPr>
      </w:pPr>
    </w:p>
    <w:p w14:paraId="6D947393" w14:textId="77777777" w:rsidR="0017622F" w:rsidRDefault="0017622F" w:rsidP="0017622F">
      <w:pPr>
        <w:pStyle w:val="Default"/>
      </w:pPr>
    </w:p>
    <w:p w14:paraId="0613F2C0" w14:textId="51D58816" w:rsidR="0017622F" w:rsidRDefault="0017622F" w:rsidP="0017622F">
      <w:pPr>
        <w:spacing w:line="320" w:lineRule="atLeast"/>
        <w:jc w:val="both"/>
        <w:rPr>
          <w:color w:val="006FC0"/>
          <w:sz w:val="23"/>
          <w:szCs w:val="23"/>
        </w:rPr>
      </w:pPr>
      <w:r w:rsidRPr="00610FF4">
        <w:rPr>
          <w:rFonts w:asciiTheme="minorHAnsi" w:hAnsiTheme="minorHAnsi" w:cstheme="minorHAnsi"/>
          <w:b/>
          <w:bCs/>
          <w:i/>
          <w:iCs/>
          <w:color w:val="0070C0"/>
          <w:spacing w:val="-2"/>
          <w:szCs w:val="20"/>
          <w:lang w:eastAsia="en-US"/>
        </w:rPr>
        <w:t>Link to TC document</w:t>
      </w:r>
      <w:r>
        <w:rPr>
          <w:b/>
          <w:bCs/>
          <w:color w:val="006FC0"/>
          <w:sz w:val="23"/>
          <w:szCs w:val="23"/>
        </w:rPr>
        <w:t xml:space="preserve">: </w:t>
      </w:r>
      <w:hyperlink r:id="rId16" w:history="1">
        <w:r w:rsidRPr="00111BB6">
          <w:rPr>
            <w:rStyle w:val="Hyperlink"/>
            <w:sz w:val="23"/>
            <w:szCs w:val="23"/>
          </w:rPr>
          <w:t>https://www.iadb.org/en/project/RG-T3502</w:t>
        </w:r>
      </w:hyperlink>
    </w:p>
    <w:p w14:paraId="1EEF7A15" w14:textId="77777777" w:rsidR="0017622F" w:rsidRPr="00921684" w:rsidRDefault="0017622F" w:rsidP="0017622F">
      <w:pPr>
        <w:spacing w:line="320" w:lineRule="atLeast"/>
        <w:jc w:val="both"/>
        <w:rPr>
          <w:rFonts w:asciiTheme="minorHAnsi" w:hAnsiTheme="minorHAnsi" w:cstheme="minorHAnsi"/>
          <w:color w:val="auto"/>
        </w:rPr>
      </w:pPr>
    </w:p>
    <w:p w14:paraId="30703B39" w14:textId="77777777" w:rsidR="00F45D9C" w:rsidRPr="006B0A91" w:rsidRDefault="00F45D9C" w:rsidP="00D84C54">
      <w:pPr>
        <w:spacing w:line="320" w:lineRule="atLeast"/>
        <w:jc w:val="both"/>
        <w:rPr>
          <w:rFonts w:asciiTheme="minorHAnsi" w:hAnsiTheme="minorHAnsi" w:cstheme="minorHAnsi"/>
          <w:spacing w:val="-2"/>
        </w:rPr>
      </w:pPr>
    </w:p>
    <w:p w14:paraId="5C9CD365" w14:textId="445F22D6" w:rsidR="00F45D9C" w:rsidRPr="00921684" w:rsidRDefault="00994BFB" w:rsidP="00994BFB">
      <w:pPr>
        <w:spacing w:line="320" w:lineRule="atLeast"/>
        <w:jc w:val="both"/>
        <w:rPr>
          <w:rFonts w:asciiTheme="minorHAnsi" w:hAnsiTheme="minorHAnsi" w:cstheme="minorHAnsi"/>
          <w:color w:val="auto"/>
        </w:rPr>
      </w:pPr>
      <w:r w:rsidRPr="00921684">
        <w:rPr>
          <w:rFonts w:asciiTheme="minorHAnsi" w:hAnsiTheme="minorHAnsi" w:cstheme="minorHAnsi"/>
          <w:color w:val="auto"/>
        </w:rPr>
        <w:t xml:space="preserve">The </w:t>
      </w:r>
      <w:r w:rsidR="00F45D9C" w:rsidRPr="00921684">
        <w:rPr>
          <w:rFonts w:asciiTheme="minorHAnsi" w:hAnsiTheme="minorHAnsi" w:cstheme="minorHAnsi"/>
          <w:color w:val="auto"/>
        </w:rPr>
        <w:t xml:space="preserve">description of the </w:t>
      </w:r>
      <w:r w:rsidRPr="00921684">
        <w:rPr>
          <w:rFonts w:asciiTheme="minorHAnsi" w:hAnsiTheme="minorHAnsi" w:cstheme="minorHAnsi"/>
          <w:color w:val="auto"/>
        </w:rPr>
        <w:t xml:space="preserve">consulting services (“the Services”) </w:t>
      </w:r>
      <w:r w:rsidR="00F45D9C" w:rsidRPr="00921684">
        <w:rPr>
          <w:rFonts w:asciiTheme="minorHAnsi" w:hAnsiTheme="minorHAnsi" w:cstheme="minorHAnsi"/>
          <w:color w:val="auto"/>
        </w:rPr>
        <w:t xml:space="preserve">and estimated timeframe for the performance of such services </w:t>
      </w:r>
      <w:r w:rsidR="00045E4D" w:rsidRPr="00921684">
        <w:rPr>
          <w:rFonts w:asciiTheme="minorHAnsi" w:hAnsiTheme="minorHAnsi" w:cstheme="minorHAnsi"/>
          <w:color w:val="auto"/>
        </w:rPr>
        <w:t xml:space="preserve">are included in the Terms of Reference (see Annex). </w:t>
      </w:r>
    </w:p>
    <w:p w14:paraId="0766B3CB" w14:textId="77777777" w:rsidR="00F45D9C" w:rsidRPr="00921684" w:rsidRDefault="00F45D9C"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 xml:space="preserve"> </w:t>
      </w:r>
    </w:p>
    <w:p w14:paraId="0A0C2E05" w14:textId="61BF5E11" w:rsidR="00F45D9C" w:rsidRPr="00921684" w:rsidRDefault="2CDD2216"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 xml:space="preserve">Eligible consulting firms will be selected in accordance with the procedures set out in the Inter-American Development Bank: </w:t>
      </w:r>
      <w:hyperlink r:id="rId17">
        <w:r w:rsidRPr="00921684">
          <w:rPr>
            <w:rStyle w:val="Hyperlink"/>
            <w:rFonts w:asciiTheme="minorHAnsi" w:hAnsiTheme="minorHAnsi" w:cstheme="minorHAnsi"/>
            <w:i/>
            <w:iCs/>
          </w:rPr>
          <w:t>Policy for the Selection and Contracting of Consulting firms for Bank-executed Operational Work</w:t>
        </w:r>
      </w:hyperlink>
      <w:r w:rsidR="003C4BA8" w:rsidRPr="006B0A91">
        <w:rPr>
          <w:rFonts w:asciiTheme="minorHAnsi" w:hAnsiTheme="minorHAnsi" w:cstheme="minorHAnsi"/>
          <w:color w:val="auto"/>
        </w:rPr>
        <w:t xml:space="preserve"> - GN-2765-</w:t>
      </w:r>
      <w:r w:rsidR="64D200BA" w:rsidRPr="00DC3A7A">
        <w:rPr>
          <w:rFonts w:asciiTheme="minorHAnsi" w:hAnsiTheme="minorHAnsi" w:cstheme="minorHAnsi"/>
          <w:color w:val="auto"/>
        </w:rPr>
        <w:t>4</w:t>
      </w:r>
      <w:r w:rsidR="003C4BA8" w:rsidRPr="00EB3560">
        <w:rPr>
          <w:rFonts w:asciiTheme="minorHAnsi" w:hAnsiTheme="minorHAnsi" w:cstheme="minorHAnsi"/>
          <w:color w:val="auto"/>
        </w:rPr>
        <w:t xml:space="preserve">. </w:t>
      </w:r>
      <w:r w:rsidRPr="00BC257C">
        <w:rPr>
          <w:rFonts w:asciiTheme="minorHAnsi" w:hAnsiTheme="minorHAnsi" w:cstheme="minorHAnsi"/>
          <w:color w:val="auto"/>
        </w:rPr>
        <w:t xml:space="preserve">All eligible consulting firms, as defined in the Policy may express </w:t>
      </w:r>
      <w:r w:rsidRPr="00921684">
        <w:rPr>
          <w:rFonts w:asciiTheme="minorHAnsi" w:hAnsiTheme="minorHAnsi" w:cstheme="minorHAnsi"/>
          <w:color w:val="auto"/>
        </w:rPr>
        <w:t xml:space="preserve">interest. </w:t>
      </w:r>
      <w:r w:rsidR="003C4BA8" w:rsidRPr="00921684">
        <w:rPr>
          <w:rFonts w:asciiTheme="minorHAnsi" w:hAnsiTheme="minorHAnsi" w:cstheme="minorHAnsi"/>
          <w:color w:val="auto"/>
        </w:rPr>
        <w:t>If the Consulting Firm is presented in a Consortium, it will designate one of them as a representative, and the latter will be responsible for the communications, the registration in the portal and for submitting the corresponding documents.</w:t>
      </w:r>
    </w:p>
    <w:p w14:paraId="104E1CEF" w14:textId="77777777" w:rsidR="00F45D9C" w:rsidRPr="00921684" w:rsidRDefault="00F45D9C" w:rsidP="00D84C54">
      <w:pPr>
        <w:spacing w:line="320" w:lineRule="atLeast"/>
        <w:jc w:val="both"/>
        <w:rPr>
          <w:rFonts w:asciiTheme="minorHAnsi" w:hAnsiTheme="minorHAnsi" w:cstheme="minorHAnsi"/>
          <w:color w:val="auto"/>
        </w:rPr>
      </w:pPr>
    </w:p>
    <w:p w14:paraId="1FB8A942" w14:textId="664AD7EC" w:rsidR="00F45D9C" w:rsidRPr="00921684" w:rsidRDefault="4738AB8D"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The IDB now invites eligible consulting firms to indicate their interest in providing the services</w:t>
      </w:r>
      <w:r w:rsidR="002C3359" w:rsidRPr="00921684">
        <w:rPr>
          <w:rFonts w:asciiTheme="minorHAnsi" w:hAnsiTheme="minorHAnsi" w:cstheme="minorHAnsi"/>
          <w:color w:val="auto"/>
        </w:rPr>
        <w:t xml:space="preserve"> </w:t>
      </w:r>
      <w:r w:rsidR="002E7B51" w:rsidRPr="00921684">
        <w:rPr>
          <w:rFonts w:asciiTheme="minorHAnsi" w:hAnsiTheme="minorHAnsi" w:cstheme="minorHAnsi"/>
          <w:color w:val="auto"/>
        </w:rPr>
        <w:t xml:space="preserve">described </w:t>
      </w:r>
      <w:r w:rsidR="36854241" w:rsidRPr="00921684">
        <w:rPr>
          <w:rFonts w:asciiTheme="minorHAnsi" w:hAnsiTheme="minorHAnsi" w:cstheme="minorHAnsi"/>
          <w:color w:val="auto"/>
        </w:rPr>
        <w:t xml:space="preserve">above </w:t>
      </w:r>
      <w:r w:rsidR="002E7B51" w:rsidRPr="00921684">
        <w:rPr>
          <w:rFonts w:asciiTheme="minorHAnsi" w:hAnsiTheme="minorHAnsi" w:cstheme="minorHAnsi"/>
          <w:color w:val="auto"/>
        </w:rPr>
        <w:t>in the</w:t>
      </w:r>
      <w:r w:rsidR="002C3359" w:rsidRPr="00921684">
        <w:rPr>
          <w:rStyle w:val="apple-converted-space"/>
          <w:rFonts w:asciiTheme="minorHAnsi" w:hAnsiTheme="minorHAnsi" w:cstheme="minorHAnsi"/>
          <w:shd w:val="clear" w:color="auto" w:fill="FFFFFF"/>
        </w:rPr>
        <w:t> </w:t>
      </w:r>
      <w:r w:rsidR="002C3359" w:rsidRPr="00921684">
        <w:rPr>
          <w:rStyle w:val="normaltextrun"/>
          <w:rFonts w:asciiTheme="minorHAnsi" w:hAnsiTheme="minorHAnsi" w:cstheme="minorHAnsi"/>
          <w:u w:val="single"/>
          <w:shd w:val="clear" w:color="auto" w:fill="FFFFFF"/>
        </w:rPr>
        <w:t>draft summary</w:t>
      </w:r>
      <w:r w:rsidR="002C3359" w:rsidRPr="00921684">
        <w:rPr>
          <w:rStyle w:val="apple-converted-space"/>
          <w:rFonts w:asciiTheme="minorHAnsi" w:hAnsiTheme="minorHAnsi" w:cstheme="minorHAnsi"/>
          <w:shd w:val="clear" w:color="auto" w:fill="FFFFFF"/>
        </w:rPr>
        <w:t> </w:t>
      </w:r>
      <w:r w:rsidR="002C3359" w:rsidRPr="00921684">
        <w:rPr>
          <w:rStyle w:val="normaltextrun"/>
          <w:rFonts w:asciiTheme="minorHAnsi" w:hAnsiTheme="minorHAnsi" w:cstheme="minorHAnsi"/>
          <w:shd w:val="clear" w:color="auto" w:fill="FFFFFF"/>
        </w:rPr>
        <w:t>of the intended Terms of Reference for the</w:t>
      </w:r>
      <w:r w:rsidR="002C3359" w:rsidRPr="00921684">
        <w:rPr>
          <w:rStyle w:val="apple-converted-space"/>
          <w:rFonts w:asciiTheme="minorHAnsi" w:hAnsiTheme="minorHAnsi" w:cstheme="minorHAnsi"/>
          <w:shd w:val="clear" w:color="auto" w:fill="FFFFFF"/>
        </w:rPr>
        <w:t> </w:t>
      </w:r>
      <w:r w:rsidR="002E7B51" w:rsidRPr="00921684">
        <w:rPr>
          <w:rStyle w:val="normaltextrun"/>
          <w:rFonts w:asciiTheme="minorHAnsi" w:hAnsiTheme="minorHAnsi" w:cstheme="minorHAnsi"/>
          <w:shd w:val="clear" w:color="auto" w:fill="FFFFFF"/>
        </w:rPr>
        <w:t>assignment</w:t>
      </w:r>
      <w:r w:rsidR="002C3359" w:rsidRPr="00921684">
        <w:rPr>
          <w:rStyle w:val="normaltextrun"/>
          <w:rFonts w:asciiTheme="minorHAnsi" w:hAnsiTheme="minorHAnsi" w:cstheme="minorHAnsi"/>
          <w:shd w:val="clear" w:color="auto" w:fill="FFFFFF"/>
        </w:rPr>
        <w:t>.</w:t>
      </w:r>
      <w:r w:rsidR="002C3359" w:rsidRPr="00921684">
        <w:rPr>
          <w:rStyle w:val="apple-converted-space"/>
          <w:rFonts w:asciiTheme="minorHAnsi" w:hAnsiTheme="minorHAnsi" w:cstheme="minorHAnsi"/>
          <w:shd w:val="clear" w:color="auto" w:fill="FFFFFF"/>
        </w:rPr>
        <w:t> </w:t>
      </w:r>
      <w:r w:rsidRPr="006B0A91">
        <w:rPr>
          <w:rFonts w:asciiTheme="minorHAnsi" w:hAnsiTheme="minorHAnsi" w:cstheme="minorHAnsi"/>
          <w:color w:val="auto"/>
        </w:rPr>
        <w:t>Interested consulting firms must provide information establishing that they are qualified to perform the Services (brochures, description of similar assignments, experience in similar conditio</w:t>
      </w:r>
      <w:r w:rsidRPr="00DC3A7A">
        <w:rPr>
          <w:rFonts w:asciiTheme="minorHAnsi" w:hAnsiTheme="minorHAnsi" w:cstheme="minorHAnsi"/>
          <w:color w:val="auto"/>
        </w:rPr>
        <w:t xml:space="preserve">ns, availability of appropriate skills among </w:t>
      </w:r>
      <w:r w:rsidRPr="00DC3A7A">
        <w:rPr>
          <w:rFonts w:asciiTheme="minorHAnsi" w:hAnsiTheme="minorHAnsi" w:cstheme="minorHAnsi"/>
          <w:color w:val="auto"/>
        </w:rPr>
        <w:lastRenderedPageBreak/>
        <w:t>staff, etc.). Eligible consulting firms may associate in a form of a Joint Venture or a sub-consultancy agreement to enhance their qualifications. Such association or Joint Venture shall appoint one of the firms</w:t>
      </w:r>
      <w:r w:rsidRPr="00EB3560">
        <w:rPr>
          <w:rFonts w:asciiTheme="minorHAnsi" w:hAnsiTheme="minorHAnsi" w:cstheme="minorHAnsi"/>
          <w:color w:val="auto"/>
        </w:rPr>
        <w:t xml:space="preserve"> as the representative.</w:t>
      </w:r>
      <w:r w:rsidR="00113496">
        <w:rPr>
          <w:rFonts w:asciiTheme="minorHAnsi" w:hAnsiTheme="minorHAnsi" w:cstheme="minorHAnsi"/>
          <w:color w:val="auto"/>
        </w:rPr>
        <w:t xml:space="preserve"> </w:t>
      </w:r>
      <w:r w:rsidR="00113496" w:rsidRPr="00D572FB">
        <w:rPr>
          <w:rFonts w:asciiTheme="minorHAnsi" w:hAnsiTheme="minorHAnsi" w:cstheme="minorHAnsi"/>
          <w:b/>
          <w:bCs/>
          <w:color w:val="auto"/>
        </w:rPr>
        <w:t>The maximum available budget for this call is US$370,000.00 (</w:t>
      </w:r>
      <w:r w:rsidR="00D572FB" w:rsidRPr="00D572FB">
        <w:rPr>
          <w:rFonts w:asciiTheme="minorHAnsi" w:hAnsiTheme="minorHAnsi" w:cstheme="minorHAnsi"/>
          <w:b/>
          <w:bCs/>
          <w:color w:val="auto"/>
        </w:rPr>
        <w:t>three</w:t>
      </w:r>
      <w:r w:rsidR="00113496" w:rsidRPr="00D572FB">
        <w:rPr>
          <w:rFonts w:asciiTheme="minorHAnsi" w:hAnsiTheme="minorHAnsi" w:cstheme="minorHAnsi"/>
          <w:b/>
          <w:bCs/>
          <w:color w:val="auto"/>
        </w:rPr>
        <w:t xml:space="preserve"> hundred </w:t>
      </w:r>
      <w:r w:rsidR="00D572FB" w:rsidRPr="00D572FB">
        <w:rPr>
          <w:rFonts w:asciiTheme="minorHAnsi" w:hAnsiTheme="minorHAnsi" w:cstheme="minorHAnsi"/>
          <w:b/>
          <w:bCs/>
          <w:color w:val="auto"/>
        </w:rPr>
        <w:t xml:space="preserve">and seventy </w:t>
      </w:r>
      <w:r w:rsidR="00113496" w:rsidRPr="00D572FB">
        <w:rPr>
          <w:rFonts w:asciiTheme="minorHAnsi" w:hAnsiTheme="minorHAnsi" w:cstheme="minorHAnsi"/>
          <w:b/>
          <w:bCs/>
          <w:color w:val="auto"/>
        </w:rPr>
        <w:t>thousand US dollars).</w:t>
      </w:r>
    </w:p>
    <w:p w14:paraId="0A4217CE" w14:textId="77777777" w:rsidR="00F45D9C" w:rsidRPr="00921684" w:rsidRDefault="00F45D9C" w:rsidP="00D84C54">
      <w:pPr>
        <w:spacing w:line="320" w:lineRule="atLeast"/>
        <w:jc w:val="both"/>
        <w:rPr>
          <w:rFonts w:asciiTheme="minorHAnsi" w:hAnsiTheme="minorHAnsi" w:cstheme="minorHAnsi"/>
          <w:smallCaps/>
          <w:color w:val="4F81BD" w:themeColor="accent1"/>
        </w:rPr>
      </w:pPr>
    </w:p>
    <w:p w14:paraId="4E1C23E0" w14:textId="05895176" w:rsidR="002E7B51" w:rsidRPr="00DC3A7A" w:rsidRDefault="002E7B51"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 xml:space="preserve">Interested eligible consulting firms may obtain further information during office hours, 09:00 AM to 05:00 </w:t>
      </w:r>
      <w:r w:rsidR="0028565B" w:rsidRPr="00921684">
        <w:rPr>
          <w:rFonts w:asciiTheme="minorHAnsi" w:hAnsiTheme="minorHAnsi" w:cstheme="minorHAnsi"/>
          <w:color w:val="auto"/>
        </w:rPr>
        <w:t>p.m.</w:t>
      </w:r>
      <w:r w:rsidRPr="00921684">
        <w:rPr>
          <w:rFonts w:asciiTheme="minorHAnsi" w:hAnsiTheme="minorHAnsi" w:cstheme="minorHAnsi"/>
          <w:color w:val="auto"/>
        </w:rPr>
        <w:t xml:space="preserve">, (Washington D.C. Time) by sending an email to: </w:t>
      </w:r>
      <w:r w:rsidR="00AA7F7E">
        <w:rPr>
          <w:rFonts w:asciiTheme="minorHAnsi" w:hAnsiTheme="minorHAnsi" w:cstheme="minorHAnsi"/>
          <w:color w:val="auto"/>
        </w:rPr>
        <w:t xml:space="preserve">Claudia Stevenson </w:t>
      </w:r>
      <w:r w:rsidR="00AA7F7E" w:rsidRPr="00AA7F7E">
        <w:rPr>
          <w:rFonts w:asciiTheme="minorHAnsi" w:hAnsiTheme="minorHAnsi" w:cstheme="minorHAnsi"/>
          <w:i/>
          <w:iCs/>
          <w:color w:val="auto"/>
        </w:rPr>
        <w:t>(</w:t>
      </w:r>
      <w:r w:rsidR="00AA7F7E" w:rsidRPr="00AA7F7E">
        <w:rPr>
          <w:rFonts w:asciiTheme="minorHAnsi" w:eastAsia="Calibri,Times New Roman" w:hAnsiTheme="minorHAnsi" w:cstheme="minorHAnsi"/>
          <w:i/>
          <w:iCs/>
          <w:color w:val="0070C0"/>
          <w:lang w:eastAsia="es-MX"/>
        </w:rPr>
        <w:t>claudiast@iadb.org)</w:t>
      </w:r>
      <w:r w:rsidR="00AA7F7E">
        <w:rPr>
          <w:rFonts w:asciiTheme="minorHAnsi" w:hAnsiTheme="minorHAnsi" w:cstheme="minorHAnsi"/>
          <w:color w:val="auto"/>
        </w:rPr>
        <w:t xml:space="preserve"> and </w:t>
      </w:r>
      <w:r w:rsidR="00E0726C" w:rsidRPr="00921684">
        <w:rPr>
          <w:rFonts w:asciiTheme="minorHAnsi" w:hAnsiTheme="minorHAnsi" w:cstheme="minorHAnsi"/>
          <w:i/>
          <w:iCs/>
          <w:color w:val="0070C0"/>
        </w:rPr>
        <w:t xml:space="preserve">Susana Marin Arango, </w:t>
      </w:r>
      <w:hyperlink r:id="rId18" w:history="1">
        <w:r w:rsidR="007A5529" w:rsidRPr="00DC3A7A">
          <w:rPr>
            <w:rStyle w:val="Hyperlink"/>
            <w:rFonts w:asciiTheme="minorHAnsi" w:hAnsiTheme="minorHAnsi" w:cstheme="minorHAnsi"/>
            <w:i/>
            <w:iCs/>
          </w:rPr>
          <w:t>susanama@iadb.org</w:t>
        </w:r>
      </w:hyperlink>
      <w:r w:rsidR="007A5529" w:rsidRPr="006B0A91">
        <w:rPr>
          <w:rFonts w:asciiTheme="minorHAnsi" w:hAnsiTheme="minorHAnsi" w:cstheme="minorHAnsi"/>
          <w:i/>
          <w:iCs/>
          <w:color w:val="0070C0"/>
        </w:rPr>
        <w:t xml:space="preserve">. </w:t>
      </w:r>
    </w:p>
    <w:p w14:paraId="28992729" w14:textId="77777777" w:rsidR="00F45D9C" w:rsidRPr="006B0A91" w:rsidRDefault="00F45D9C" w:rsidP="00D84C54">
      <w:pPr>
        <w:suppressAutoHyphens/>
        <w:jc w:val="both"/>
        <w:rPr>
          <w:rFonts w:asciiTheme="minorHAnsi" w:hAnsiTheme="minorHAnsi" w:cstheme="minorHAnsi"/>
          <w:i/>
          <w:iCs/>
          <w:color w:val="4F81BD" w:themeColor="accent1"/>
          <w:spacing w:val="-2"/>
        </w:rPr>
      </w:pPr>
    </w:p>
    <w:p w14:paraId="1680211F" w14:textId="77777777" w:rsidR="00F45D9C" w:rsidRPr="00921684" w:rsidRDefault="00F45D9C" w:rsidP="00D84C54">
      <w:pPr>
        <w:spacing w:line="320" w:lineRule="atLeast"/>
        <w:jc w:val="both"/>
        <w:rPr>
          <w:rFonts w:asciiTheme="minorHAnsi" w:hAnsiTheme="minorHAnsi" w:cstheme="minorHAnsi"/>
          <w:color w:val="auto"/>
        </w:rPr>
      </w:pPr>
    </w:p>
    <w:p w14:paraId="4C8351D7" w14:textId="047F6085" w:rsidR="00F45D9C" w:rsidRPr="00921684" w:rsidRDefault="2CDD2216"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Inter-American Development Bank</w:t>
      </w:r>
    </w:p>
    <w:p w14:paraId="000797D6" w14:textId="7490D4C4" w:rsidR="00E0726C" w:rsidRDefault="00E0726C" w:rsidP="00D84C54">
      <w:pPr>
        <w:spacing w:line="320" w:lineRule="atLeast"/>
        <w:jc w:val="both"/>
        <w:rPr>
          <w:rFonts w:asciiTheme="minorHAnsi" w:hAnsiTheme="minorHAnsi" w:cstheme="minorHAnsi"/>
          <w:color w:val="auto"/>
        </w:rPr>
      </w:pPr>
      <w:r w:rsidRPr="00921684">
        <w:rPr>
          <w:rFonts w:asciiTheme="minorHAnsi" w:hAnsiTheme="minorHAnsi" w:cstheme="minorHAnsi"/>
          <w:color w:val="auto"/>
        </w:rPr>
        <w:t>1300 New York Ave, NW, Washington DC 20577, USA</w:t>
      </w:r>
    </w:p>
    <w:p w14:paraId="733F6A72" w14:textId="77777777" w:rsidR="00007989" w:rsidRPr="00007989" w:rsidRDefault="00007989" w:rsidP="00D84C54">
      <w:pPr>
        <w:spacing w:line="320" w:lineRule="atLeast"/>
        <w:jc w:val="both"/>
        <w:rPr>
          <w:rFonts w:asciiTheme="minorHAnsi" w:hAnsiTheme="minorHAnsi" w:cstheme="minorHAnsi"/>
          <w:color w:val="auto"/>
        </w:rPr>
      </w:pPr>
    </w:p>
    <w:p w14:paraId="2F546918" w14:textId="77777777" w:rsidR="00921684" w:rsidRDefault="00007989" w:rsidP="00D84C54">
      <w:pPr>
        <w:jc w:val="both"/>
        <w:textAlignment w:val="baseline"/>
        <w:rPr>
          <w:rFonts w:asciiTheme="minorHAnsi" w:eastAsia="Calibri,Times New Roman" w:hAnsiTheme="minorHAnsi" w:cstheme="minorHAnsi"/>
          <w:i/>
          <w:iCs/>
          <w:color w:val="0070C0"/>
          <w:lang w:eastAsia="es-MX"/>
        </w:rPr>
      </w:pPr>
      <w:r>
        <w:rPr>
          <w:rFonts w:asciiTheme="minorHAnsi" w:eastAsia="Calibri,Times New Roman" w:hAnsiTheme="minorHAnsi" w:cstheme="minorHAnsi"/>
          <w:i/>
          <w:iCs/>
          <w:color w:val="0070C0"/>
          <w:lang w:eastAsia="es-MX"/>
        </w:rPr>
        <w:t>Claudia Stevenson</w:t>
      </w:r>
    </w:p>
    <w:p w14:paraId="5959EDE5" w14:textId="3298E9F7" w:rsidR="00E0726C" w:rsidRPr="00921684" w:rsidRDefault="00E0726C" w:rsidP="00D84C54">
      <w:pPr>
        <w:jc w:val="both"/>
        <w:textAlignment w:val="baseline"/>
        <w:rPr>
          <w:rFonts w:asciiTheme="minorHAnsi" w:eastAsia="Times New Roman" w:hAnsiTheme="minorHAnsi" w:cstheme="minorHAnsi"/>
          <w:lang w:eastAsia="es-MX"/>
        </w:rPr>
      </w:pPr>
      <w:r w:rsidRPr="00921684">
        <w:rPr>
          <w:rFonts w:asciiTheme="minorHAnsi" w:eastAsia="Calibri,Times New Roman" w:hAnsiTheme="minorHAnsi" w:cstheme="minorHAnsi"/>
          <w:lang w:eastAsia="es-MX"/>
        </w:rPr>
        <w:t>Division:</w:t>
      </w:r>
      <w:r w:rsidR="005050FA" w:rsidRPr="00921684">
        <w:rPr>
          <w:rFonts w:asciiTheme="minorHAnsi" w:eastAsia="Calibri,Times New Roman" w:hAnsiTheme="minorHAnsi" w:cstheme="minorHAnsi"/>
          <w:lang w:eastAsia="es-MX"/>
        </w:rPr>
        <w:t xml:space="preserve"> Lead Specialist of IFD/CTI</w:t>
      </w:r>
      <w:r w:rsidRPr="00921684">
        <w:rPr>
          <w:rFonts w:asciiTheme="minorHAnsi" w:eastAsia="Calibri,Times New Roman" w:hAnsiTheme="minorHAnsi" w:cstheme="minorHAnsi"/>
          <w:lang w:eastAsia="es-MX"/>
        </w:rPr>
        <w:t xml:space="preserve"> </w:t>
      </w:r>
      <w:r w:rsidRPr="00921684">
        <w:rPr>
          <w:rFonts w:asciiTheme="minorHAnsi" w:eastAsia="Calibri,Times New Roman" w:hAnsiTheme="minorHAnsi" w:cstheme="minorHAnsi"/>
          <w:i/>
          <w:iCs/>
          <w:color w:val="0070C0"/>
          <w:lang w:eastAsia="es-MX"/>
        </w:rPr>
        <w:t xml:space="preserve"> </w:t>
      </w:r>
    </w:p>
    <w:p w14:paraId="6A083DF6" w14:textId="6A8E84D8" w:rsidR="00E0726C" w:rsidRPr="00921684" w:rsidRDefault="00E0726C" w:rsidP="00D84C54">
      <w:pPr>
        <w:jc w:val="both"/>
        <w:textAlignment w:val="baseline"/>
        <w:rPr>
          <w:rFonts w:asciiTheme="minorHAnsi" w:eastAsia="Times New Roman" w:hAnsiTheme="minorHAnsi" w:cstheme="minorHAnsi"/>
          <w:lang w:val="pt-BR" w:eastAsia="es-MX"/>
        </w:rPr>
      </w:pPr>
      <w:proofErr w:type="spellStart"/>
      <w:r w:rsidRPr="00921684">
        <w:rPr>
          <w:rFonts w:asciiTheme="minorHAnsi" w:eastAsia="Calibri,Times New Roman" w:hAnsiTheme="minorHAnsi" w:cstheme="minorHAnsi"/>
          <w:lang w:val="pt-BR" w:eastAsia="es-MX"/>
        </w:rPr>
        <w:t>Tel</w:t>
      </w:r>
      <w:proofErr w:type="spellEnd"/>
      <w:r w:rsidRPr="00921684">
        <w:rPr>
          <w:rFonts w:asciiTheme="minorHAnsi" w:eastAsia="Calibri,Times New Roman" w:hAnsiTheme="minorHAnsi" w:cstheme="minorHAnsi"/>
          <w:lang w:val="pt-BR" w:eastAsia="es-MX"/>
        </w:rPr>
        <w:t xml:space="preserve">: </w:t>
      </w:r>
      <w:r w:rsidRPr="00921684">
        <w:rPr>
          <w:rFonts w:asciiTheme="minorHAnsi" w:eastAsia="Calibri,Times New Roman" w:hAnsiTheme="minorHAnsi" w:cstheme="minorHAnsi"/>
          <w:i/>
          <w:iCs/>
          <w:color w:val="0070C0"/>
          <w:lang w:val="pt-BR" w:eastAsia="es-MX"/>
        </w:rPr>
        <w:t>202</w:t>
      </w:r>
      <w:r w:rsidR="005050FA" w:rsidRPr="00921684">
        <w:rPr>
          <w:rFonts w:asciiTheme="minorHAnsi" w:eastAsia="Calibri,Times New Roman" w:hAnsiTheme="minorHAnsi" w:cstheme="minorHAnsi"/>
          <w:i/>
          <w:iCs/>
          <w:color w:val="0070C0"/>
          <w:lang w:val="pt-BR" w:eastAsia="es-MX"/>
        </w:rPr>
        <w:t>.</w:t>
      </w:r>
      <w:r w:rsidRPr="00921684">
        <w:rPr>
          <w:rFonts w:asciiTheme="minorHAnsi" w:eastAsia="Calibri,Times New Roman" w:hAnsiTheme="minorHAnsi" w:cstheme="minorHAnsi"/>
          <w:i/>
          <w:iCs/>
          <w:color w:val="0070C0"/>
          <w:lang w:val="pt-BR" w:eastAsia="es-MX"/>
        </w:rPr>
        <w:t>623</w:t>
      </w:r>
      <w:r w:rsidR="005050FA" w:rsidRPr="00921684">
        <w:rPr>
          <w:rFonts w:asciiTheme="minorHAnsi" w:eastAsia="Calibri,Times New Roman" w:hAnsiTheme="minorHAnsi" w:cstheme="minorHAnsi"/>
          <w:i/>
          <w:iCs/>
          <w:color w:val="0070C0"/>
          <w:lang w:val="pt-BR" w:eastAsia="es-MX"/>
        </w:rPr>
        <w:t>.</w:t>
      </w:r>
      <w:r w:rsidRPr="00921684">
        <w:rPr>
          <w:rFonts w:asciiTheme="minorHAnsi" w:eastAsia="Calibri,Times New Roman" w:hAnsiTheme="minorHAnsi" w:cstheme="minorHAnsi"/>
          <w:i/>
          <w:iCs/>
          <w:color w:val="0070C0"/>
          <w:lang w:val="pt-BR" w:eastAsia="es-MX"/>
        </w:rPr>
        <w:t>2383</w:t>
      </w:r>
      <w:r w:rsidRPr="00921684">
        <w:rPr>
          <w:rFonts w:asciiTheme="minorHAnsi" w:eastAsia="Calibri,Times New Roman" w:hAnsiTheme="minorHAnsi" w:cstheme="minorHAnsi"/>
          <w:lang w:val="pt-BR" w:eastAsia="es-MX"/>
        </w:rPr>
        <w:t> </w:t>
      </w:r>
    </w:p>
    <w:p w14:paraId="593DE30D" w14:textId="77777777" w:rsidR="00E0726C" w:rsidRPr="00921684" w:rsidRDefault="00E0726C" w:rsidP="00D84C54">
      <w:pPr>
        <w:jc w:val="both"/>
        <w:textAlignment w:val="baseline"/>
        <w:rPr>
          <w:rFonts w:asciiTheme="minorHAnsi" w:eastAsia="Times New Roman" w:hAnsiTheme="minorHAnsi" w:cstheme="minorHAnsi"/>
          <w:lang w:val="pt-BR" w:eastAsia="es-MX"/>
        </w:rPr>
      </w:pPr>
      <w:r w:rsidRPr="00921684">
        <w:rPr>
          <w:rFonts w:asciiTheme="minorHAnsi" w:eastAsia="Calibri,Times New Roman" w:hAnsiTheme="minorHAnsi" w:cstheme="minorHAnsi"/>
          <w:lang w:val="pt-BR" w:eastAsia="es-MX"/>
        </w:rPr>
        <w:t xml:space="preserve">E-mail: </w:t>
      </w:r>
      <w:r w:rsidRPr="00921684">
        <w:rPr>
          <w:rFonts w:asciiTheme="minorHAnsi" w:eastAsia="Calibri,Times New Roman" w:hAnsiTheme="minorHAnsi" w:cstheme="minorHAnsi"/>
          <w:i/>
          <w:iCs/>
          <w:color w:val="0070C0"/>
          <w:lang w:val="pt-BR" w:eastAsia="es-MX"/>
        </w:rPr>
        <w:t>claudiast@iadb.org</w:t>
      </w:r>
    </w:p>
    <w:p w14:paraId="1BD17ACE" w14:textId="77777777" w:rsidR="00170248" w:rsidRPr="00DC3A7A" w:rsidRDefault="2CDD2216" w:rsidP="00D84C54">
      <w:pPr>
        <w:spacing w:line="320" w:lineRule="atLeast"/>
        <w:jc w:val="both"/>
        <w:rPr>
          <w:rFonts w:asciiTheme="minorHAnsi" w:hAnsiTheme="minorHAnsi" w:cstheme="minorHAnsi"/>
          <w:color w:val="auto"/>
        </w:rPr>
      </w:pPr>
      <w:r w:rsidRPr="006B0A91">
        <w:rPr>
          <w:rFonts w:asciiTheme="minorHAnsi" w:hAnsiTheme="minorHAnsi" w:cstheme="minorHAnsi"/>
          <w:color w:val="auto"/>
        </w:rPr>
        <w:t xml:space="preserve">Web site: </w:t>
      </w:r>
      <w:hyperlink r:id="rId19">
        <w:r w:rsidRPr="00921684">
          <w:rPr>
            <w:rStyle w:val="Hyperlink"/>
            <w:rFonts w:asciiTheme="minorHAnsi" w:hAnsiTheme="minorHAnsi" w:cstheme="minorHAnsi"/>
          </w:rPr>
          <w:t>www.iadb.org</w:t>
        </w:r>
      </w:hyperlink>
      <w:r w:rsidRPr="006B0A91">
        <w:rPr>
          <w:rFonts w:asciiTheme="minorHAnsi" w:hAnsiTheme="minorHAnsi" w:cstheme="minorHAnsi"/>
          <w:color w:val="auto"/>
        </w:rPr>
        <w:t xml:space="preserve"> </w:t>
      </w:r>
    </w:p>
    <w:p w14:paraId="4E60ECBE" w14:textId="77777777" w:rsidR="00170248" w:rsidRPr="00921684" w:rsidRDefault="00170248" w:rsidP="00D84C54">
      <w:pPr>
        <w:jc w:val="both"/>
        <w:rPr>
          <w:rFonts w:asciiTheme="minorHAnsi" w:hAnsiTheme="minorHAnsi" w:cstheme="minorHAnsi"/>
        </w:rPr>
      </w:pPr>
    </w:p>
    <w:p w14:paraId="3FF22664" w14:textId="3324B9D2" w:rsidR="00E0726C" w:rsidRPr="00921684" w:rsidRDefault="00E0726C" w:rsidP="00D84C54">
      <w:pPr>
        <w:widowControl/>
        <w:autoSpaceDE/>
        <w:autoSpaceDN/>
        <w:adjustRightInd/>
        <w:spacing w:after="200" w:line="276" w:lineRule="auto"/>
        <w:jc w:val="both"/>
        <w:rPr>
          <w:rFonts w:asciiTheme="minorHAnsi" w:hAnsiTheme="minorHAnsi" w:cstheme="minorHAnsi"/>
          <w:b/>
          <w:sz w:val="22"/>
          <w:szCs w:val="22"/>
          <w:u w:val="single"/>
        </w:rPr>
      </w:pPr>
      <w:r w:rsidRPr="00921684">
        <w:rPr>
          <w:rFonts w:asciiTheme="minorHAnsi" w:hAnsiTheme="minorHAnsi" w:cstheme="minorHAnsi"/>
          <w:b/>
          <w:sz w:val="22"/>
          <w:szCs w:val="22"/>
          <w:u w:val="single"/>
        </w:rPr>
        <w:br w:type="page"/>
      </w:r>
    </w:p>
    <w:p w14:paraId="22F985B5" w14:textId="77777777" w:rsidR="00E0726C" w:rsidRPr="00921684" w:rsidRDefault="00E0726C" w:rsidP="00D84C54">
      <w:pPr>
        <w:jc w:val="center"/>
        <w:rPr>
          <w:rFonts w:asciiTheme="minorHAnsi" w:hAnsiTheme="minorHAnsi" w:cstheme="minorHAnsi"/>
          <w:b/>
          <w:sz w:val="22"/>
          <w:szCs w:val="22"/>
          <w:u w:val="single"/>
        </w:rPr>
      </w:pPr>
    </w:p>
    <w:p w14:paraId="47B791CF" w14:textId="77777777" w:rsidR="00E0726C" w:rsidRPr="00921684" w:rsidRDefault="00E0726C" w:rsidP="00D84C54">
      <w:pPr>
        <w:pStyle w:val="Heading1"/>
        <w:jc w:val="center"/>
        <w:rPr>
          <w:rFonts w:asciiTheme="minorHAnsi" w:hAnsiTheme="minorHAnsi" w:cstheme="minorHAnsi"/>
          <w:b w:val="0"/>
          <w:sz w:val="22"/>
          <w:szCs w:val="22"/>
          <w:u w:val="single"/>
        </w:rPr>
      </w:pPr>
      <w:r w:rsidRPr="00921684">
        <w:rPr>
          <w:rFonts w:asciiTheme="minorHAnsi" w:hAnsiTheme="minorHAnsi" w:cstheme="minorHAnsi"/>
          <w:sz w:val="22"/>
          <w:szCs w:val="22"/>
          <w:u w:val="single"/>
        </w:rPr>
        <w:t>TERMS OF REFERENCE</w:t>
      </w:r>
    </w:p>
    <w:p w14:paraId="686196FA" w14:textId="77777777" w:rsidR="00E0726C" w:rsidRPr="00921684" w:rsidRDefault="00E0726C" w:rsidP="00D84C54">
      <w:pPr>
        <w:jc w:val="center"/>
        <w:rPr>
          <w:rFonts w:asciiTheme="minorHAnsi" w:hAnsiTheme="minorHAnsi" w:cstheme="minorHAnsi"/>
          <w:i/>
          <w:color w:val="0070C0"/>
        </w:rPr>
      </w:pPr>
    </w:p>
    <w:p w14:paraId="02E9DA6D" w14:textId="77777777" w:rsidR="00E0726C" w:rsidRPr="00921684" w:rsidRDefault="00E0726C" w:rsidP="00D84C54">
      <w:pPr>
        <w:suppressAutoHyphens/>
        <w:jc w:val="center"/>
        <w:rPr>
          <w:rFonts w:asciiTheme="minorHAnsi" w:eastAsiaTheme="minorHAnsi" w:hAnsiTheme="minorHAnsi" w:cstheme="minorHAnsi"/>
          <w:b/>
          <w:sz w:val="22"/>
          <w:szCs w:val="22"/>
        </w:rPr>
      </w:pPr>
      <w:r w:rsidRPr="00921684">
        <w:rPr>
          <w:rFonts w:asciiTheme="minorHAnsi" w:eastAsiaTheme="minorHAnsi" w:hAnsiTheme="minorHAnsi" w:cstheme="minorHAnsi"/>
          <w:b/>
          <w:sz w:val="22"/>
          <w:szCs w:val="22"/>
        </w:rPr>
        <w:t>Market study for supply chain finance solutions benefitting MSMEs in S&amp;I</w:t>
      </w:r>
    </w:p>
    <w:p w14:paraId="606D46C3" w14:textId="77777777" w:rsidR="00E0726C" w:rsidRPr="00921684" w:rsidRDefault="00E0726C" w:rsidP="00D84C54">
      <w:pPr>
        <w:suppressAutoHyphens/>
        <w:jc w:val="center"/>
        <w:rPr>
          <w:rFonts w:asciiTheme="minorHAnsi" w:hAnsiTheme="minorHAnsi" w:cstheme="minorHAnsi"/>
          <w:i/>
          <w:color w:val="0070C0"/>
        </w:rPr>
      </w:pPr>
    </w:p>
    <w:p w14:paraId="2A794596" w14:textId="37E2A1A8" w:rsidR="00682308" w:rsidRPr="00EB3560" w:rsidRDefault="00E0726C" w:rsidP="00D84C54">
      <w:pPr>
        <w:suppressAutoHyphens/>
        <w:jc w:val="center"/>
        <w:rPr>
          <w:rFonts w:asciiTheme="minorHAnsi" w:hAnsiTheme="minorHAnsi" w:cstheme="minorHAnsi"/>
          <w:color w:val="0070C0"/>
          <w:spacing w:val="-2"/>
        </w:rPr>
      </w:pPr>
      <w:r w:rsidRPr="006B0A91">
        <w:rPr>
          <w:rFonts w:asciiTheme="minorHAnsi" w:hAnsiTheme="minorHAnsi" w:cstheme="minorHAnsi"/>
          <w:color w:val="0070C0"/>
          <w:spacing w:val="-2"/>
        </w:rPr>
        <w:t xml:space="preserve">Countries: Phase 1: </w:t>
      </w:r>
      <w:r w:rsidRPr="00DC3A7A">
        <w:rPr>
          <w:rFonts w:asciiTheme="minorHAnsi" w:hAnsiTheme="minorHAnsi" w:cstheme="minorHAnsi"/>
          <w:color w:val="0070C0"/>
          <w:spacing w:val="-2"/>
        </w:rPr>
        <w:t xml:space="preserve">Suriname, Jamaica, </w:t>
      </w:r>
      <w:r w:rsidR="00EB3560" w:rsidRPr="000C5C0A">
        <w:rPr>
          <w:rFonts w:asciiTheme="minorHAnsi" w:hAnsiTheme="minorHAnsi" w:cstheme="minorHAnsi"/>
          <w:color w:val="0070C0"/>
          <w:spacing w:val="-2"/>
        </w:rPr>
        <w:t>Trinidad an</w:t>
      </w:r>
      <w:r w:rsidR="00EB3560">
        <w:rPr>
          <w:rFonts w:asciiTheme="minorHAnsi" w:hAnsiTheme="minorHAnsi" w:cstheme="minorHAnsi"/>
          <w:color w:val="0070C0"/>
          <w:spacing w:val="-2"/>
        </w:rPr>
        <w:t>d</w:t>
      </w:r>
      <w:r w:rsidR="00EB3560" w:rsidRPr="000C5C0A">
        <w:rPr>
          <w:rFonts w:asciiTheme="minorHAnsi" w:hAnsiTheme="minorHAnsi" w:cstheme="minorHAnsi"/>
          <w:color w:val="0070C0"/>
          <w:spacing w:val="-2"/>
        </w:rPr>
        <w:t xml:space="preserve"> Tobago</w:t>
      </w:r>
      <w:r w:rsidRPr="00DC3A7A">
        <w:rPr>
          <w:rFonts w:asciiTheme="minorHAnsi" w:hAnsiTheme="minorHAnsi" w:cstheme="minorHAnsi"/>
          <w:color w:val="0070C0"/>
          <w:spacing w:val="-2"/>
        </w:rPr>
        <w:t>, Guyana</w:t>
      </w:r>
      <w:r w:rsidRPr="00EB3560">
        <w:rPr>
          <w:rFonts w:asciiTheme="minorHAnsi" w:hAnsiTheme="minorHAnsi" w:cstheme="minorHAnsi"/>
          <w:color w:val="0070C0"/>
          <w:spacing w:val="-2"/>
        </w:rPr>
        <w:t xml:space="preserve"> |</w:t>
      </w:r>
    </w:p>
    <w:p w14:paraId="5B408566" w14:textId="3836D43F" w:rsidR="00E0726C" w:rsidRPr="006B0A91" w:rsidRDefault="00E0726C" w:rsidP="00D84C54">
      <w:pPr>
        <w:suppressAutoHyphens/>
        <w:jc w:val="center"/>
        <w:rPr>
          <w:rFonts w:asciiTheme="minorHAnsi" w:hAnsiTheme="minorHAnsi" w:cstheme="minorHAnsi"/>
          <w:color w:val="0070C0"/>
          <w:spacing w:val="-2"/>
        </w:rPr>
      </w:pPr>
      <w:r w:rsidRPr="006B0A91">
        <w:rPr>
          <w:rFonts w:asciiTheme="minorHAnsi" w:hAnsiTheme="minorHAnsi" w:cstheme="minorHAnsi"/>
          <w:color w:val="0070C0"/>
          <w:spacing w:val="-2"/>
        </w:rPr>
        <w:t xml:space="preserve"> Phase 2: Bahamas, Barbados, Belize, Haiti</w:t>
      </w:r>
    </w:p>
    <w:p w14:paraId="0F6A3841" w14:textId="77777777" w:rsidR="00682308" w:rsidRPr="006B0A91" w:rsidRDefault="00682308" w:rsidP="00682308">
      <w:pPr>
        <w:pStyle w:val="BodyText"/>
        <w:rPr>
          <w:rFonts w:asciiTheme="minorHAnsi" w:hAnsiTheme="minorHAnsi" w:cstheme="minorHAnsi"/>
          <w:iCs/>
          <w:color w:val="0070C0"/>
          <w:szCs w:val="24"/>
        </w:rPr>
      </w:pPr>
    </w:p>
    <w:p w14:paraId="554A93BD" w14:textId="1729059C" w:rsidR="00E0726C" w:rsidRPr="006B0A91" w:rsidRDefault="00E0726C" w:rsidP="00682308">
      <w:pPr>
        <w:pStyle w:val="BodyText"/>
        <w:rPr>
          <w:rFonts w:asciiTheme="minorHAnsi" w:hAnsiTheme="minorHAnsi" w:cstheme="minorHAnsi"/>
          <w:iCs/>
          <w:color w:val="0070C0"/>
          <w:szCs w:val="24"/>
        </w:rPr>
      </w:pPr>
      <w:r w:rsidRPr="006B0A91">
        <w:rPr>
          <w:rFonts w:asciiTheme="minorHAnsi" w:hAnsiTheme="minorHAnsi" w:cstheme="minorHAnsi"/>
          <w:iCs/>
          <w:color w:val="0070C0"/>
          <w:szCs w:val="24"/>
        </w:rPr>
        <w:t>Project Number: RG-T3502</w:t>
      </w:r>
    </w:p>
    <w:p w14:paraId="1BC8F542" w14:textId="52A482C4" w:rsidR="008A21DD" w:rsidRPr="006B0A91" w:rsidRDefault="00C67A1F" w:rsidP="00921684">
      <w:pPr>
        <w:pStyle w:val="BodyText"/>
        <w:rPr>
          <w:rFonts w:asciiTheme="minorHAnsi" w:hAnsiTheme="minorHAnsi" w:cstheme="minorHAnsi"/>
          <w:iCs/>
          <w:color w:val="0070C0"/>
          <w:szCs w:val="24"/>
        </w:rPr>
      </w:pPr>
      <w:sdt>
        <w:sdtPr>
          <w:rPr>
            <w:rFonts w:asciiTheme="minorHAnsi" w:hAnsiTheme="minorHAnsi" w:cstheme="minorHAnsi"/>
            <w:iCs/>
            <w:color w:val="0070C0"/>
            <w:szCs w:val="24"/>
          </w:rPr>
          <w:id w:val="-823123152"/>
          <w:placeholder>
            <w:docPart w:val="936C4FBB6EEF407CBDCD9B3BD78BD98A"/>
          </w:placeholder>
          <w:text/>
        </w:sdtPr>
        <w:sdtEndPr/>
        <w:sdtContent>
          <w:r w:rsidR="006B0A91" w:rsidRPr="00921684">
            <w:rPr>
              <w:rFonts w:asciiTheme="minorHAnsi" w:hAnsiTheme="minorHAnsi" w:cstheme="minorHAnsi"/>
              <w:iCs/>
              <w:color w:val="0070C0"/>
              <w:szCs w:val="24"/>
            </w:rPr>
            <w:t>https://www.iadb.org/en/project/RG-T3502</w:t>
          </w:r>
        </w:sdtContent>
      </w:sdt>
    </w:p>
    <w:p w14:paraId="4A730FBB" w14:textId="5DA90CE5" w:rsidR="00682308" w:rsidRPr="006B0A91" w:rsidRDefault="00682308" w:rsidP="00682308">
      <w:pPr>
        <w:pStyle w:val="BodyText"/>
        <w:rPr>
          <w:rFonts w:asciiTheme="minorHAnsi" w:hAnsiTheme="minorHAnsi" w:cstheme="minorHAnsi"/>
          <w:iCs/>
          <w:color w:val="0070C0"/>
          <w:szCs w:val="24"/>
        </w:rPr>
      </w:pPr>
    </w:p>
    <w:p w14:paraId="2019E947" w14:textId="77777777" w:rsidR="008A21DD" w:rsidRPr="00DC3A7A" w:rsidRDefault="008A21DD" w:rsidP="00921684">
      <w:pPr>
        <w:pStyle w:val="BodyText"/>
        <w:rPr>
          <w:rFonts w:asciiTheme="minorHAnsi" w:hAnsiTheme="minorHAnsi" w:cstheme="minorHAnsi"/>
          <w:i/>
          <w:color w:val="0070C0"/>
          <w:szCs w:val="24"/>
        </w:rPr>
      </w:pPr>
    </w:p>
    <w:p w14:paraId="489A6835" w14:textId="77777777" w:rsidR="00E0726C" w:rsidRPr="006B0A91" w:rsidRDefault="00E0726C" w:rsidP="00921684">
      <w:pPr>
        <w:tabs>
          <w:tab w:val="left" w:pos="7080"/>
        </w:tabs>
        <w:rPr>
          <w:rFonts w:asciiTheme="minorHAnsi" w:hAnsiTheme="minorHAnsi" w:cstheme="minorHAnsi"/>
          <w:i/>
          <w:color w:val="0070C0"/>
        </w:rPr>
      </w:pPr>
      <w:r w:rsidRPr="006B0A91">
        <w:rPr>
          <w:rFonts w:asciiTheme="minorHAnsi" w:hAnsiTheme="minorHAnsi" w:cstheme="minorHAnsi"/>
          <w:i/>
          <w:color w:val="0070C0"/>
        </w:rPr>
        <w:t>Facility to Boost Private Sector Growth in Small and Island Countries</w:t>
      </w:r>
    </w:p>
    <w:p w14:paraId="669C8D3F" w14:textId="77777777" w:rsidR="00E0726C" w:rsidRPr="00921684" w:rsidRDefault="00E0726C" w:rsidP="00D84C54">
      <w:pPr>
        <w:tabs>
          <w:tab w:val="left" w:pos="7080"/>
        </w:tabs>
        <w:jc w:val="both"/>
        <w:rPr>
          <w:rFonts w:asciiTheme="minorHAnsi" w:hAnsiTheme="minorHAnsi" w:cstheme="minorHAnsi"/>
          <w:sz w:val="22"/>
          <w:szCs w:val="22"/>
        </w:rPr>
      </w:pPr>
      <w:r w:rsidRPr="00921684">
        <w:rPr>
          <w:rFonts w:asciiTheme="minorHAnsi" w:hAnsiTheme="minorHAnsi" w:cstheme="minorHAnsi"/>
          <w:sz w:val="22"/>
          <w:szCs w:val="22"/>
        </w:rPr>
        <w:tab/>
      </w:r>
    </w:p>
    <w:p w14:paraId="1EE39B7B"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Background and Justification</w:t>
      </w:r>
    </w:p>
    <w:p w14:paraId="1CD07F40" w14:textId="77777777" w:rsidR="00E0726C" w:rsidRPr="006B0A91" w:rsidRDefault="00E0726C" w:rsidP="00D84C54">
      <w:pPr>
        <w:spacing w:line="276" w:lineRule="auto"/>
        <w:ind w:left="792"/>
        <w:contextualSpacing/>
        <w:jc w:val="both"/>
        <w:rPr>
          <w:rFonts w:asciiTheme="minorHAnsi" w:eastAsiaTheme="minorHAnsi" w:hAnsiTheme="minorHAnsi" w:cstheme="minorHAnsi"/>
          <w:sz w:val="22"/>
          <w:szCs w:val="22"/>
        </w:rPr>
      </w:pPr>
    </w:p>
    <w:p w14:paraId="05AE6B42" w14:textId="77777777" w:rsidR="00E0726C" w:rsidRPr="00921684" w:rsidRDefault="00E0726C" w:rsidP="00D84C54">
      <w:pPr>
        <w:pStyle w:val="ListParagraph"/>
        <w:widowControl/>
        <w:numPr>
          <w:ilvl w:val="1"/>
          <w:numId w:val="5"/>
        </w:numPr>
        <w:tabs>
          <w:tab w:val="left" w:pos="450"/>
          <w:tab w:val="right" w:leader="dot" w:pos="8740"/>
        </w:tabs>
        <w:ind w:left="450" w:right="139"/>
        <w:jc w:val="both"/>
        <w:rPr>
          <w:rFonts w:asciiTheme="minorHAnsi" w:hAnsiTheme="minorHAnsi" w:cstheme="minorHAnsi"/>
        </w:rPr>
      </w:pPr>
      <w:r w:rsidRPr="00921684">
        <w:rPr>
          <w:rFonts w:asciiTheme="minorHAnsi" w:hAnsiTheme="minorHAnsi" w:cstheme="minorHAnsi"/>
        </w:rPr>
        <w:t xml:space="preserve">The importance of trade and supply chains as catalysts of economic growth and their connection with specific development objectives (such as productivity and competitiveness, financial inclusion, economic integration, Micro, Small and Medium size Enterprises (MSMEs) development, knowledge transfer and innovation) is recognized in practically all IDB Group’s strategic documents and business plans, specifically:  </w:t>
      </w:r>
    </w:p>
    <w:p w14:paraId="0F556E83" w14:textId="77777777" w:rsidR="00E0726C" w:rsidRPr="00921684" w:rsidRDefault="00E0726C" w:rsidP="00D84C54">
      <w:pPr>
        <w:ind w:left="90" w:right="177"/>
        <w:jc w:val="both"/>
        <w:rPr>
          <w:rFonts w:asciiTheme="minorHAnsi" w:hAnsiTheme="minorHAnsi" w:cstheme="minorHAnsi"/>
          <w:color w:val="000000" w:themeColor="text1"/>
        </w:rPr>
      </w:pPr>
    </w:p>
    <w:p w14:paraId="5B7D5F85"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color w:val="000000" w:themeColor="text1"/>
        </w:rPr>
      </w:pPr>
      <w:r w:rsidRPr="00921684">
        <w:rPr>
          <w:rFonts w:asciiTheme="minorHAnsi" w:hAnsiTheme="minorHAnsi" w:cstheme="minorHAnsi"/>
          <w:color w:val="000000" w:themeColor="text1"/>
        </w:rPr>
        <w:t>IDB Group’s 2025 Vision (</w:t>
      </w:r>
      <w:r w:rsidRPr="00921684">
        <w:rPr>
          <w:rFonts w:asciiTheme="minorHAnsi" w:hAnsiTheme="minorHAnsi" w:cstheme="minorHAnsi"/>
        </w:rPr>
        <w:t>GN-3025-3, CII/GN-436-3)</w:t>
      </w:r>
    </w:p>
    <w:p w14:paraId="73C6598A"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color w:val="000000" w:themeColor="text1"/>
        </w:rPr>
      </w:pPr>
      <w:r w:rsidRPr="00921684">
        <w:rPr>
          <w:rFonts w:asciiTheme="minorHAnsi" w:hAnsiTheme="minorHAnsi" w:cstheme="minorHAnsi"/>
          <w:color w:val="000000" w:themeColor="text1"/>
        </w:rPr>
        <w:t>IDB’s Institutional Strategy 2020-2023 (GN-2933, CII/GN-378)</w:t>
      </w:r>
    </w:p>
    <w:p w14:paraId="1B65F660"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color w:val="000000" w:themeColor="text1"/>
        </w:rPr>
      </w:pPr>
      <w:r w:rsidRPr="00921684">
        <w:rPr>
          <w:rFonts w:asciiTheme="minorHAnsi" w:hAnsiTheme="minorHAnsi" w:cstheme="minorHAnsi"/>
          <w:color w:val="000000" w:themeColor="text1"/>
        </w:rPr>
        <w:t xml:space="preserve">IDB </w:t>
      </w:r>
      <w:proofErr w:type="spellStart"/>
      <w:r w:rsidRPr="00921684">
        <w:rPr>
          <w:rFonts w:asciiTheme="minorHAnsi" w:hAnsiTheme="minorHAnsi" w:cstheme="minorHAnsi"/>
          <w:color w:val="000000" w:themeColor="text1"/>
        </w:rPr>
        <w:t>Invest’s</w:t>
      </w:r>
      <w:proofErr w:type="spellEnd"/>
      <w:r w:rsidRPr="00921684">
        <w:rPr>
          <w:rFonts w:asciiTheme="minorHAnsi" w:hAnsiTheme="minorHAnsi" w:cstheme="minorHAnsi"/>
          <w:color w:val="000000" w:themeColor="text1"/>
        </w:rPr>
        <w:t xml:space="preserve"> 2020-2022 Business Plan and Administrative and Capital Budget</w:t>
      </w:r>
      <w:r w:rsidRPr="00921684" w:rsidDel="00144870">
        <w:rPr>
          <w:rFonts w:asciiTheme="minorHAnsi" w:hAnsiTheme="minorHAnsi" w:cstheme="minorHAnsi"/>
          <w:color w:val="000000" w:themeColor="text1"/>
        </w:rPr>
        <w:t xml:space="preserve"> </w:t>
      </w:r>
      <w:r w:rsidRPr="00921684">
        <w:rPr>
          <w:rFonts w:asciiTheme="minorHAnsi" w:hAnsiTheme="minorHAnsi" w:cstheme="minorHAnsi"/>
          <w:color w:val="000000" w:themeColor="text1"/>
        </w:rPr>
        <w:t>(CII/GA-80-2)</w:t>
      </w:r>
    </w:p>
    <w:p w14:paraId="31A98270"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color w:val="000000" w:themeColor="text1"/>
        </w:rPr>
      </w:pPr>
      <w:r w:rsidRPr="00921684">
        <w:rPr>
          <w:rFonts w:asciiTheme="minorHAnsi" w:hAnsiTheme="minorHAnsi" w:cstheme="minorHAnsi"/>
          <w:color w:val="000000" w:themeColor="text1"/>
        </w:rPr>
        <w:t>IDB Invest Action Plan for the Micro, Small, and Medium Enterprises (CII/GN-364-1)</w:t>
      </w:r>
    </w:p>
    <w:p w14:paraId="4EFDDA0E"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color w:val="FF0000"/>
        </w:rPr>
      </w:pPr>
      <w:r w:rsidRPr="00921684">
        <w:rPr>
          <w:rFonts w:asciiTheme="minorHAnsi" w:hAnsiTheme="minorHAnsi" w:cstheme="minorHAnsi"/>
          <w:color w:val="000000" w:themeColor="text1"/>
        </w:rPr>
        <w:t xml:space="preserve">IDB Invest Financial Intermediaries Action Plan (CII/GN-369-5) </w:t>
      </w:r>
    </w:p>
    <w:p w14:paraId="7BA31CFB"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color w:val="FF0000"/>
        </w:rPr>
      </w:pPr>
      <w:r w:rsidRPr="00921684">
        <w:rPr>
          <w:rFonts w:asciiTheme="minorHAnsi" w:hAnsiTheme="minorHAnsi" w:cstheme="minorHAnsi"/>
        </w:rPr>
        <w:t>United Nations’ Sustainable Development Goals (SDGs)</w:t>
      </w:r>
    </w:p>
    <w:p w14:paraId="3B9BB77B"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rPr>
      </w:pPr>
      <w:r w:rsidRPr="00921684">
        <w:rPr>
          <w:rFonts w:asciiTheme="minorHAnsi" w:hAnsiTheme="minorHAnsi" w:cstheme="minorHAnsi"/>
        </w:rPr>
        <w:t xml:space="preserve">IDB Invest COVID-19 Response. Balancing Speed, </w:t>
      </w:r>
      <w:proofErr w:type="gramStart"/>
      <w:r w:rsidRPr="00921684">
        <w:rPr>
          <w:rFonts w:asciiTheme="minorHAnsi" w:hAnsiTheme="minorHAnsi" w:cstheme="minorHAnsi"/>
        </w:rPr>
        <w:t>Capital</w:t>
      </w:r>
      <w:proofErr w:type="gramEnd"/>
      <w:r w:rsidRPr="00921684">
        <w:rPr>
          <w:rFonts w:asciiTheme="minorHAnsi" w:hAnsiTheme="minorHAnsi" w:cstheme="minorHAnsi"/>
        </w:rPr>
        <w:t xml:space="preserve"> and Impact (CII/GN-419)</w:t>
      </w:r>
      <w:r w:rsidRPr="00921684" w:rsidDel="008D281D">
        <w:rPr>
          <w:rFonts w:asciiTheme="minorHAnsi" w:hAnsiTheme="minorHAnsi" w:cstheme="minorHAnsi"/>
        </w:rPr>
        <w:t xml:space="preserve"> </w:t>
      </w:r>
    </w:p>
    <w:p w14:paraId="5FDAAB8B" w14:textId="77777777" w:rsidR="00E0726C" w:rsidRPr="00921684" w:rsidRDefault="00E0726C" w:rsidP="00D84C54">
      <w:pPr>
        <w:pStyle w:val="ListParagraph"/>
        <w:widowControl/>
        <w:numPr>
          <w:ilvl w:val="0"/>
          <w:numId w:val="4"/>
        </w:numPr>
        <w:autoSpaceDE/>
        <w:autoSpaceDN/>
        <w:adjustRightInd/>
        <w:ind w:right="177" w:hanging="360"/>
        <w:jc w:val="both"/>
        <w:rPr>
          <w:rFonts w:asciiTheme="minorHAnsi" w:hAnsiTheme="minorHAnsi" w:cstheme="minorHAnsi"/>
          <w:color w:val="000000" w:themeColor="text1"/>
        </w:rPr>
      </w:pPr>
      <w:r w:rsidRPr="00921684">
        <w:rPr>
          <w:rFonts w:asciiTheme="minorHAnsi" w:hAnsiTheme="minorHAnsi" w:cstheme="minorHAnsi"/>
          <w:color w:val="000000" w:themeColor="text1"/>
        </w:rPr>
        <w:t>IDB Group’s country strategies</w:t>
      </w:r>
    </w:p>
    <w:p w14:paraId="62F3E6BC" w14:textId="77777777" w:rsidR="00E0726C" w:rsidRPr="00921684" w:rsidRDefault="00E0726C" w:rsidP="00D84C54">
      <w:pPr>
        <w:tabs>
          <w:tab w:val="left" w:pos="450"/>
          <w:tab w:val="right" w:leader="dot" w:pos="8740"/>
        </w:tabs>
        <w:ind w:right="139"/>
        <w:jc w:val="both"/>
        <w:rPr>
          <w:rFonts w:asciiTheme="minorHAnsi" w:hAnsiTheme="minorHAnsi" w:cstheme="minorHAnsi"/>
        </w:rPr>
      </w:pPr>
    </w:p>
    <w:p w14:paraId="41E7A213" w14:textId="77777777" w:rsidR="00E0726C" w:rsidRPr="00921684" w:rsidRDefault="00E0726C" w:rsidP="00D84C54">
      <w:pPr>
        <w:pStyle w:val="ListParagraph"/>
        <w:widowControl/>
        <w:numPr>
          <w:ilvl w:val="1"/>
          <w:numId w:val="5"/>
        </w:numPr>
        <w:autoSpaceDE/>
        <w:autoSpaceDN/>
        <w:adjustRightInd/>
        <w:ind w:left="450"/>
        <w:jc w:val="both"/>
        <w:rPr>
          <w:rFonts w:asciiTheme="minorHAnsi" w:hAnsiTheme="minorHAnsi" w:cstheme="minorHAnsi"/>
        </w:rPr>
      </w:pPr>
      <w:r w:rsidRPr="00921684">
        <w:rPr>
          <w:rFonts w:asciiTheme="minorHAnsi" w:hAnsiTheme="minorHAnsi" w:cstheme="minorHAnsi"/>
        </w:rPr>
        <w:t>MSMEs represent 99% of LAC companies and generate 67% of employment. MSMEs have great difficulties in accessing credit, a situation that worsened when the COVID-19 pandemic hit the world and the region. MSMEs in LAC receive only 12% of the total credit, less than half the proportion of credit received by MSMEs in OECD countries (25%). In addition, the difference in levels of access to credit between MSMEs and large companies in LAC is high; only 17% of SMEs in the region use bank credit to finance short-term working capital, compared to 29% of large companies.</w:t>
      </w:r>
      <w:r w:rsidRPr="00921684">
        <w:rPr>
          <w:rFonts w:asciiTheme="minorHAnsi" w:hAnsiTheme="minorHAnsi" w:cstheme="minorHAnsi"/>
          <w:vertAlign w:val="superscript"/>
        </w:rPr>
        <w:footnoteReference w:id="1"/>
      </w:r>
      <w:r w:rsidRPr="00921684">
        <w:rPr>
          <w:rFonts w:asciiTheme="minorHAnsi" w:hAnsiTheme="minorHAnsi" w:cstheme="minorHAnsi"/>
        </w:rPr>
        <w:t xml:space="preserve"> Credit restrictions for this class of companies are a barrier to the economic and social development of the region, and play a fundamental role in the low productivity, informality and limited growth capacity associated with these companies. This situation and the resulting funding gap </w:t>
      </w:r>
      <w:proofErr w:type="gramStart"/>
      <w:r w:rsidRPr="00921684">
        <w:rPr>
          <w:rFonts w:asciiTheme="minorHAnsi" w:hAnsiTheme="minorHAnsi" w:cstheme="minorHAnsi"/>
        </w:rPr>
        <w:t>is</w:t>
      </w:r>
      <w:proofErr w:type="gramEnd"/>
      <w:r w:rsidRPr="00921684">
        <w:rPr>
          <w:rFonts w:asciiTheme="minorHAnsi" w:hAnsiTheme="minorHAnsi" w:cstheme="minorHAnsi"/>
        </w:rPr>
        <w:t xml:space="preserve"> exacerbated in S&amp;I. </w:t>
      </w:r>
    </w:p>
    <w:p w14:paraId="6E417C54" w14:textId="77777777" w:rsidR="00E0726C" w:rsidRPr="00921684" w:rsidRDefault="00E0726C" w:rsidP="00D84C54">
      <w:pPr>
        <w:tabs>
          <w:tab w:val="left" w:pos="450"/>
          <w:tab w:val="right" w:leader="dot" w:pos="8740"/>
        </w:tabs>
        <w:ind w:right="139"/>
        <w:jc w:val="both"/>
        <w:rPr>
          <w:rFonts w:asciiTheme="minorHAnsi" w:hAnsiTheme="minorHAnsi" w:cstheme="minorHAnsi"/>
        </w:rPr>
      </w:pPr>
    </w:p>
    <w:p w14:paraId="614BA304" w14:textId="77777777" w:rsidR="00E0726C" w:rsidRPr="00921684" w:rsidRDefault="00E0726C" w:rsidP="00D84C54">
      <w:pPr>
        <w:pStyle w:val="ListParagraph"/>
        <w:widowControl/>
        <w:numPr>
          <w:ilvl w:val="1"/>
          <w:numId w:val="5"/>
        </w:numPr>
        <w:autoSpaceDE/>
        <w:autoSpaceDN/>
        <w:adjustRightInd/>
        <w:ind w:left="450"/>
        <w:jc w:val="both"/>
        <w:rPr>
          <w:rFonts w:asciiTheme="minorHAnsi" w:hAnsiTheme="minorHAnsi" w:cstheme="minorHAnsi"/>
        </w:rPr>
      </w:pPr>
      <w:r w:rsidRPr="00921684">
        <w:rPr>
          <w:rFonts w:asciiTheme="minorHAnsi" w:hAnsiTheme="minorHAnsi" w:cstheme="minorHAnsi"/>
        </w:rPr>
        <w:t xml:space="preserve">IDB Invest Action Plan for the Micro, Small, and Medium Enterprises (CII/GN-364-1) highlights (i) the provision of financing solutions to the supply chains, and (ii) the alliance with financial technology companies (Fintech), as two fundamental pillars of IDB </w:t>
      </w:r>
      <w:proofErr w:type="spellStart"/>
      <w:r w:rsidRPr="00921684">
        <w:rPr>
          <w:rFonts w:asciiTheme="minorHAnsi" w:hAnsiTheme="minorHAnsi" w:cstheme="minorHAnsi"/>
        </w:rPr>
        <w:t>Invest's</w:t>
      </w:r>
      <w:proofErr w:type="spellEnd"/>
      <w:r w:rsidRPr="00921684">
        <w:rPr>
          <w:rFonts w:asciiTheme="minorHAnsi" w:hAnsiTheme="minorHAnsi" w:cstheme="minorHAnsi"/>
        </w:rPr>
        <w:t xml:space="preserve"> strategy to facilitate access to finance to MSMEs. As part of this strategy, IDB Invest launched in 2018 its Reverse Factoring solution, a new financial product which aimed to promote access to finance to MSMEs suppliers which integrate ALC supply chains.  </w:t>
      </w:r>
    </w:p>
    <w:p w14:paraId="2DB9BE13" w14:textId="77777777" w:rsidR="00E0726C" w:rsidRPr="00921684" w:rsidRDefault="00E0726C" w:rsidP="00D84C54">
      <w:pPr>
        <w:tabs>
          <w:tab w:val="left" w:pos="450"/>
          <w:tab w:val="right" w:leader="dot" w:pos="8740"/>
        </w:tabs>
        <w:ind w:right="139"/>
        <w:jc w:val="both"/>
        <w:rPr>
          <w:rFonts w:asciiTheme="minorHAnsi" w:hAnsiTheme="minorHAnsi" w:cstheme="minorHAnsi"/>
        </w:rPr>
      </w:pPr>
    </w:p>
    <w:p w14:paraId="49BDAEC7" w14:textId="77777777" w:rsidR="00E0726C" w:rsidRPr="00921684" w:rsidRDefault="00E0726C" w:rsidP="00D84C54">
      <w:pPr>
        <w:pStyle w:val="ListParagraph"/>
        <w:widowControl/>
        <w:numPr>
          <w:ilvl w:val="1"/>
          <w:numId w:val="5"/>
        </w:numPr>
        <w:autoSpaceDE/>
        <w:autoSpaceDN/>
        <w:adjustRightInd/>
        <w:ind w:left="450"/>
        <w:jc w:val="both"/>
        <w:rPr>
          <w:rFonts w:asciiTheme="minorHAnsi" w:hAnsiTheme="minorHAnsi" w:cstheme="minorHAnsi"/>
        </w:rPr>
      </w:pPr>
      <w:r w:rsidRPr="00921684">
        <w:rPr>
          <w:rFonts w:asciiTheme="minorHAnsi" w:hAnsiTheme="minorHAnsi" w:cstheme="minorHAnsi"/>
        </w:rPr>
        <w:lastRenderedPageBreak/>
        <w:t>A product category within the Supply Chain Finance product family and under the Trade Finance supra umbrella, Reverse Factoring</w:t>
      </w:r>
      <w:r w:rsidRPr="00921684">
        <w:rPr>
          <w:rFonts w:asciiTheme="minorHAnsi" w:hAnsiTheme="minorHAnsi" w:cstheme="minorHAnsi"/>
          <w:vertAlign w:val="superscript"/>
        </w:rPr>
        <w:footnoteReference w:id="2"/>
      </w:r>
      <w:r w:rsidRPr="00921684">
        <w:rPr>
          <w:rFonts w:asciiTheme="minorHAnsi" w:hAnsiTheme="minorHAnsi" w:cstheme="minorHAnsi"/>
        </w:rPr>
        <w:t xml:space="preserve"> consists in credit lines to be provided by IDB Invest to corporations with a strong credit </w:t>
      </w:r>
      <w:proofErr w:type="gramStart"/>
      <w:r w:rsidRPr="00921684">
        <w:rPr>
          <w:rFonts w:asciiTheme="minorHAnsi" w:hAnsiTheme="minorHAnsi" w:cstheme="minorHAnsi"/>
        </w:rPr>
        <w:t>standing (the “Anchor Buyers”),</w:t>
      </w:r>
      <w:proofErr w:type="gramEnd"/>
      <w:r w:rsidRPr="00921684">
        <w:rPr>
          <w:rFonts w:asciiTheme="minorHAnsi" w:hAnsiTheme="minorHAnsi" w:cstheme="minorHAnsi"/>
        </w:rPr>
        <w:t xml:space="preserve"> to the benefit of the MSMEs suppliers in their supply chain. Under these lines, MSMEs suppliers can discount (</w:t>
      </w:r>
      <w:proofErr w:type="gramStart"/>
      <w:r w:rsidRPr="00921684">
        <w:rPr>
          <w:rFonts w:asciiTheme="minorHAnsi" w:hAnsiTheme="minorHAnsi" w:cstheme="minorHAnsi"/>
        </w:rPr>
        <w:t>i.e.</w:t>
      </w:r>
      <w:proofErr w:type="gramEnd"/>
      <w:r w:rsidRPr="00921684">
        <w:rPr>
          <w:rFonts w:asciiTheme="minorHAnsi" w:hAnsiTheme="minorHAnsi" w:cstheme="minorHAnsi"/>
        </w:rPr>
        <w:t xml:space="preserve"> monetize) with IDB Invest (or any other bank guaranteed by IDB Invest) their invoices confirmed and payable at a future date by the Anchor Buyers. This structure gives MSMEs access to competitive funding at a price that is commensurate with the creditworthiness of the large Anchor Buyer, the obligor under this financial structure. Hence, the product reduces the asymmetry between the cost of funding and availability of funding for MSMEs in the financial sector. Reverse Factoring solutions rely on the enabling capabilities of fintech companies, which provide the electronic platform through which the counterparties </w:t>
      </w:r>
      <w:proofErr w:type="gramStart"/>
      <w:r w:rsidRPr="00921684">
        <w:rPr>
          <w:rFonts w:asciiTheme="minorHAnsi" w:hAnsiTheme="minorHAnsi" w:cstheme="minorHAnsi"/>
        </w:rPr>
        <w:t>interact</w:t>
      </w:r>
      <w:proofErr w:type="gramEnd"/>
      <w:r w:rsidRPr="00921684">
        <w:rPr>
          <w:rFonts w:asciiTheme="minorHAnsi" w:hAnsiTheme="minorHAnsi" w:cstheme="minorHAnsi"/>
        </w:rPr>
        <w:t xml:space="preserve"> and thousands of invoices are discounted daily. This reliance on technology provides automation, </w:t>
      </w:r>
      <w:proofErr w:type="gramStart"/>
      <w:r w:rsidRPr="00921684">
        <w:rPr>
          <w:rFonts w:asciiTheme="minorHAnsi" w:hAnsiTheme="minorHAnsi" w:cstheme="minorHAnsi"/>
        </w:rPr>
        <w:t>visibility</w:t>
      </w:r>
      <w:proofErr w:type="gramEnd"/>
      <w:r w:rsidRPr="00921684">
        <w:rPr>
          <w:rFonts w:asciiTheme="minorHAnsi" w:hAnsiTheme="minorHAnsi" w:cstheme="minorHAnsi"/>
        </w:rPr>
        <w:t xml:space="preserve"> and transparency to the financial transaction, lowering the typically high transactional cost associated to MSMEs financing. This way, Reverse Factoring solutions are said to have “democratized” access to finance for MSMEs. </w:t>
      </w:r>
    </w:p>
    <w:p w14:paraId="0CE6D3E6" w14:textId="77777777" w:rsidR="00E0726C" w:rsidRPr="00921684" w:rsidRDefault="00E0726C" w:rsidP="00D84C54">
      <w:pPr>
        <w:pStyle w:val="ListParagraph"/>
        <w:ind w:left="450"/>
        <w:jc w:val="both"/>
        <w:rPr>
          <w:rFonts w:asciiTheme="minorHAnsi" w:hAnsiTheme="minorHAnsi" w:cstheme="minorHAnsi"/>
        </w:rPr>
      </w:pPr>
    </w:p>
    <w:p w14:paraId="0E5BDC99" w14:textId="77777777" w:rsidR="00E0726C" w:rsidRPr="00921684" w:rsidRDefault="00E0726C" w:rsidP="00D84C54">
      <w:pPr>
        <w:pStyle w:val="ListParagraph"/>
        <w:widowControl/>
        <w:numPr>
          <w:ilvl w:val="1"/>
          <w:numId w:val="5"/>
        </w:numPr>
        <w:autoSpaceDE/>
        <w:autoSpaceDN/>
        <w:adjustRightInd/>
        <w:ind w:left="450"/>
        <w:jc w:val="both"/>
        <w:rPr>
          <w:rFonts w:asciiTheme="minorHAnsi" w:hAnsiTheme="minorHAnsi" w:cstheme="minorHAnsi"/>
        </w:rPr>
      </w:pPr>
      <w:r w:rsidRPr="00921684">
        <w:rPr>
          <w:rFonts w:asciiTheme="minorHAnsi" w:hAnsiTheme="minorHAnsi" w:cstheme="minorHAnsi"/>
        </w:rPr>
        <w:t xml:space="preserve">As of November 2021, IDB Invest has 16 Reverse Factoring lines approved (12 of them in Mexico and 4 of them with a regional approach), under which the bank has disbursed U$1.5 billion to the benefit of 2,261 MSMEs. The concentration of IDB </w:t>
      </w:r>
      <w:proofErr w:type="spellStart"/>
      <w:r w:rsidRPr="00921684">
        <w:rPr>
          <w:rFonts w:asciiTheme="minorHAnsi" w:hAnsiTheme="minorHAnsi" w:cstheme="minorHAnsi"/>
        </w:rPr>
        <w:t>Invest’s</w:t>
      </w:r>
      <w:proofErr w:type="spellEnd"/>
      <w:r w:rsidRPr="00921684">
        <w:rPr>
          <w:rFonts w:asciiTheme="minorHAnsi" w:hAnsiTheme="minorHAnsi" w:cstheme="minorHAnsi"/>
        </w:rPr>
        <w:t xml:space="preserve"> Reverse Factoring portfolio in Mexico is </w:t>
      </w:r>
      <w:proofErr w:type="gramStart"/>
      <w:r w:rsidRPr="00921684">
        <w:rPr>
          <w:rFonts w:asciiTheme="minorHAnsi" w:hAnsiTheme="minorHAnsi" w:cstheme="minorHAnsi"/>
        </w:rPr>
        <w:t>due to the fact that</w:t>
      </w:r>
      <w:proofErr w:type="gramEnd"/>
      <w:r w:rsidRPr="00921684">
        <w:rPr>
          <w:rFonts w:asciiTheme="minorHAnsi" w:hAnsiTheme="minorHAnsi" w:cstheme="minorHAnsi"/>
        </w:rPr>
        <w:t xml:space="preserve"> Mexico is the leading LAC market for this type of solutions, and therefore has been used as a “lab” for gaining the internal experience necessary to deploy the product at a first stage. Now that IDB Invest has completed this initial product development/consolidation phase, the bank is seeking to expand the deployment of the solution to other LAC markets.    </w:t>
      </w:r>
    </w:p>
    <w:p w14:paraId="752A9C57" w14:textId="77777777" w:rsidR="00E0726C" w:rsidRPr="00921684" w:rsidRDefault="00E0726C" w:rsidP="00D84C54">
      <w:pPr>
        <w:tabs>
          <w:tab w:val="left" w:pos="450"/>
          <w:tab w:val="right" w:leader="dot" w:pos="8740"/>
        </w:tabs>
        <w:ind w:right="139"/>
        <w:jc w:val="both"/>
        <w:rPr>
          <w:rFonts w:asciiTheme="minorHAnsi" w:hAnsiTheme="minorHAnsi" w:cstheme="minorHAnsi"/>
        </w:rPr>
      </w:pPr>
    </w:p>
    <w:p w14:paraId="7EBCAFBC" w14:textId="77777777" w:rsidR="00E0726C" w:rsidRPr="00921684" w:rsidRDefault="00E0726C" w:rsidP="00D84C54">
      <w:pPr>
        <w:pStyle w:val="ListParagraph"/>
        <w:widowControl/>
        <w:numPr>
          <w:ilvl w:val="1"/>
          <w:numId w:val="5"/>
        </w:numPr>
        <w:autoSpaceDE/>
        <w:autoSpaceDN/>
        <w:adjustRightInd/>
        <w:ind w:left="450"/>
        <w:jc w:val="both"/>
        <w:rPr>
          <w:rFonts w:asciiTheme="minorHAnsi" w:hAnsiTheme="minorHAnsi" w:cstheme="minorHAnsi"/>
        </w:rPr>
      </w:pPr>
      <w:r w:rsidRPr="00921684">
        <w:rPr>
          <w:rFonts w:asciiTheme="minorHAnsi" w:hAnsiTheme="minorHAnsi" w:cstheme="minorHAnsi"/>
        </w:rPr>
        <w:t xml:space="preserve">The deployment of Reverse Factoring solutions requires the existence, at a country level, of a certain “infrastructure” which makes the product possible from a legal, </w:t>
      </w:r>
      <w:proofErr w:type="gramStart"/>
      <w:r w:rsidRPr="00921684">
        <w:rPr>
          <w:rFonts w:asciiTheme="minorHAnsi" w:hAnsiTheme="minorHAnsi" w:cstheme="minorHAnsi"/>
        </w:rPr>
        <w:t>operational</w:t>
      </w:r>
      <w:proofErr w:type="gramEnd"/>
      <w:r w:rsidRPr="00921684">
        <w:rPr>
          <w:rFonts w:asciiTheme="minorHAnsi" w:hAnsiTheme="minorHAnsi" w:cstheme="minorHAnsi"/>
        </w:rPr>
        <w:t xml:space="preserve"> and technological perspective, such as laws regulating electronic payments, electronic invoicing, e-signature, official collateral/guarantees registries, etc. Please refer to the World Bank’s </w:t>
      </w:r>
      <w:r w:rsidRPr="00921684">
        <w:rPr>
          <w:rFonts w:asciiTheme="minorHAnsi" w:hAnsiTheme="minorHAnsi" w:cstheme="minorHAnsi"/>
          <w:i/>
          <w:iCs/>
        </w:rPr>
        <w:t>Components of the Enabling Framework Supporting Supply Chain Finance</w:t>
      </w:r>
      <w:r w:rsidRPr="00921684">
        <w:rPr>
          <w:rStyle w:val="FootnoteReference"/>
          <w:rFonts w:asciiTheme="minorHAnsi" w:hAnsiTheme="minorHAnsi" w:cstheme="minorHAnsi"/>
        </w:rPr>
        <w:footnoteReference w:id="3"/>
      </w:r>
      <w:r w:rsidRPr="00921684">
        <w:rPr>
          <w:rFonts w:asciiTheme="minorHAnsi" w:hAnsiTheme="minorHAnsi" w:cstheme="minorHAnsi"/>
        </w:rPr>
        <w:t xml:space="preserve"> for further details on these infrastructure needs. These requirements represent a fundamental entry barrier for the product in certain ALC jurisdictions, and hence an important challenge for the deployment of the solution in C&amp;D and S&amp;I countries. </w:t>
      </w:r>
    </w:p>
    <w:p w14:paraId="27AEC280" w14:textId="77777777" w:rsidR="00E0726C" w:rsidRPr="00921684" w:rsidRDefault="00E0726C" w:rsidP="00D84C54">
      <w:pPr>
        <w:pStyle w:val="ListParagraph"/>
        <w:ind w:left="450"/>
        <w:jc w:val="both"/>
        <w:rPr>
          <w:rFonts w:asciiTheme="minorHAnsi" w:hAnsiTheme="minorHAnsi" w:cstheme="minorHAnsi"/>
        </w:rPr>
      </w:pPr>
    </w:p>
    <w:p w14:paraId="76685E12" w14:textId="772EC639" w:rsidR="00E0726C" w:rsidRPr="00921684" w:rsidRDefault="00E0726C" w:rsidP="00D84C54">
      <w:pPr>
        <w:pStyle w:val="ListParagraph"/>
        <w:widowControl/>
        <w:numPr>
          <w:ilvl w:val="1"/>
          <w:numId w:val="5"/>
        </w:numPr>
        <w:autoSpaceDE/>
        <w:autoSpaceDN/>
        <w:adjustRightInd/>
        <w:ind w:left="450"/>
        <w:jc w:val="both"/>
        <w:rPr>
          <w:rFonts w:asciiTheme="minorHAnsi" w:hAnsiTheme="minorHAnsi" w:cstheme="minorHAnsi"/>
        </w:rPr>
      </w:pPr>
      <w:r w:rsidRPr="00921684">
        <w:rPr>
          <w:rFonts w:asciiTheme="minorHAnsi" w:hAnsiTheme="minorHAnsi" w:cstheme="minorHAnsi"/>
        </w:rPr>
        <w:t xml:space="preserve">Within this context, IDB Invest is seeking to conduct a market study of Reverse Factoring solutions in S&amp;I countries, to understand the market readiness for this type of solutions. The market study will have two focuses, which will be handled in two </w:t>
      </w:r>
      <w:r w:rsidR="0013329A" w:rsidRPr="0013329A">
        <w:rPr>
          <w:rFonts w:asciiTheme="minorHAnsi" w:hAnsiTheme="minorHAnsi" w:cstheme="minorHAnsi"/>
        </w:rPr>
        <w:t>separates</w:t>
      </w:r>
      <w:r w:rsidRPr="00921684">
        <w:rPr>
          <w:rFonts w:asciiTheme="minorHAnsi" w:hAnsiTheme="minorHAnsi" w:cstheme="minorHAnsi"/>
        </w:rPr>
        <w:t xml:space="preserve"> technical </w:t>
      </w:r>
      <w:proofErr w:type="spellStart"/>
      <w:r w:rsidRPr="00921684">
        <w:rPr>
          <w:rFonts w:asciiTheme="minorHAnsi" w:hAnsiTheme="minorHAnsi" w:cstheme="minorHAnsi"/>
        </w:rPr>
        <w:t>cooperations</w:t>
      </w:r>
      <w:proofErr w:type="spellEnd"/>
      <w:r w:rsidRPr="00921684">
        <w:rPr>
          <w:rFonts w:asciiTheme="minorHAnsi" w:hAnsiTheme="minorHAnsi" w:cstheme="minorHAnsi"/>
        </w:rPr>
        <w:t xml:space="preserve">. The first one (“Focus 1”), will be to study the local regulatory framework available to support the product at a country level. The second (“Focus 2”), will be to study the local market landscape, including main market players (banks, </w:t>
      </w:r>
      <w:proofErr w:type="spellStart"/>
      <w:r w:rsidRPr="00921684">
        <w:rPr>
          <w:rFonts w:asciiTheme="minorHAnsi" w:hAnsiTheme="minorHAnsi" w:cstheme="minorHAnsi"/>
        </w:rPr>
        <w:t>fintechs</w:t>
      </w:r>
      <w:proofErr w:type="spellEnd"/>
      <w:r w:rsidRPr="00921684">
        <w:rPr>
          <w:rFonts w:asciiTheme="minorHAnsi" w:hAnsiTheme="minorHAnsi" w:cstheme="minorHAnsi"/>
        </w:rPr>
        <w:t xml:space="preserve">, etc.), market gaps, similar product available, etc. Phase 1 of the study will include Suriname, Jamaica, Trinidad and Tobago and Guyana. Phase 2 of the study will cover Bahamas, Barbados, Belize ad Haiti. </w:t>
      </w:r>
    </w:p>
    <w:p w14:paraId="1CEDD3E0" w14:textId="77777777" w:rsidR="00E0726C" w:rsidRPr="00921684" w:rsidRDefault="00E0726C" w:rsidP="00D84C54">
      <w:pPr>
        <w:pStyle w:val="ListParagraph"/>
        <w:tabs>
          <w:tab w:val="left" w:pos="450"/>
          <w:tab w:val="right" w:leader="dot" w:pos="8740"/>
        </w:tabs>
        <w:ind w:left="450" w:right="139"/>
        <w:jc w:val="both"/>
        <w:rPr>
          <w:rFonts w:asciiTheme="minorHAnsi" w:hAnsiTheme="minorHAnsi" w:cstheme="minorHAnsi"/>
        </w:rPr>
      </w:pPr>
    </w:p>
    <w:p w14:paraId="6AE5EB40" w14:textId="77777777" w:rsidR="00E0726C" w:rsidRPr="00921684" w:rsidRDefault="00E0726C" w:rsidP="00D84C54">
      <w:pPr>
        <w:pStyle w:val="ListParagraph"/>
        <w:tabs>
          <w:tab w:val="left" w:pos="450"/>
          <w:tab w:val="right" w:leader="dot" w:pos="8740"/>
        </w:tabs>
        <w:ind w:left="450" w:right="139"/>
        <w:jc w:val="both"/>
        <w:rPr>
          <w:rFonts w:asciiTheme="minorHAnsi" w:hAnsiTheme="minorHAnsi" w:cstheme="minorHAnsi"/>
        </w:rPr>
      </w:pPr>
    </w:p>
    <w:p w14:paraId="117EDCE8"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Objectives</w:t>
      </w:r>
    </w:p>
    <w:p w14:paraId="4AED5E10" w14:textId="77777777" w:rsidR="00E0726C" w:rsidRPr="0013329A" w:rsidRDefault="00E0726C" w:rsidP="00D84C54">
      <w:pPr>
        <w:spacing w:line="276" w:lineRule="auto"/>
        <w:ind w:left="360"/>
        <w:contextualSpacing/>
        <w:jc w:val="both"/>
        <w:rPr>
          <w:rFonts w:asciiTheme="minorHAnsi" w:eastAsiaTheme="minorHAnsi" w:hAnsiTheme="minorHAnsi" w:cstheme="minorHAnsi"/>
          <w:b/>
          <w:sz w:val="22"/>
          <w:szCs w:val="22"/>
          <w:u w:val="single"/>
        </w:rPr>
      </w:pPr>
      <w:r w:rsidRPr="006B0A91">
        <w:rPr>
          <w:rFonts w:asciiTheme="minorHAnsi" w:eastAsiaTheme="minorHAnsi" w:hAnsiTheme="minorHAnsi" w:cstheme="minorHAnsi"/>
          <w:b/>
          <w:sz w:val="22"/>
          <w:szCs w:val="22"/>
          <w:u w:val="single"/>
        </w:rPr>
        <w:t xml:space="preserve"> </w:t>
      </w:r>
    </w:p>
    <w:p w14:paraId="0F3E64FB" w14:textId="77777777" w:rsidR="00E0726C" w:rsidRPr="00921684" w:rsidRDefault="00E0726C" w:rsidP="00D84C54">
      <w:pPr>
        <w:pStyle w:val="ListParagraph"/>
        <w:widowControl/>
        <w:numPr>
          <w:ilvl w:val="1"/>
          <w:numId w:val="3"/>
        </w:numPr>
        <w:autoSpaceDE/>
        <w:autoSpaceDN/>
        <w:adjustRightInd/>
        <w:ind w:left="450"/>
        <w:jc w:val="both"/>
        <w:rPr>
          <w:rFonts w:asciiTheme="minorHAnsi" w:hAnsiTheme="minorHAnsi" w:cstheme="minorHAnsi"/>
        </w:rPr>
      </w:pPr>
      <w:r w:rsidRPr="00921684">
        <w:rPr>
          <w:rFonts w:asciiTheme="minorHAnsi" w:hAnsiTheme="minorHAnsi" w:cstheme="minorHAnsi"/>
        </w:rPr>
        <w:t>This technical cooperation specifically refers to “</w:t>
      </w:r>
      <w:r w:rsidRPr="00921684">
        <w:rPr>
          <w:rFonts w:asciiTheme="minorHAnsi" w:hAnsiTheme="minorHAnsi" w:cstheme="minorHAnsi"/>
          <w:b/>
          <w:bCs/>
        </w:rPr>
        <w:t>Focus 2</w:t>
      </w:r>
      <w:r w:rsidRPr="00921684">
        <w:rPr>
          <w:rFonts w:asciiTheme="minorHAnsi" w:hAnsiTheme="minorHAnsi" w:cstheme="minorHAnsi"/>
        </w:rPr>
        <w:t xml:space="preserve">” of the study, whose goal is to assess the market landscape for Reverse Factoring (and/or other types of supply chain finance products/mechanisms benefitting MSMEs) in S&amp;I, to identify market gaps, needs and opportunities for </w:t>
      </w:r>
      <w:r w:rsidRPr="00921684">
        <w:rPr>
          <w:rFonts w:asciiTheme="minorHAnsi" w:hAnsiTheme="minorHAnsi" w:cstheme="minorHAnsi"/>
        </w:rPr>
        <w:lastRenderedPageBreak/>
        <w:t xml:space="preserve">IDB Invest to deploy suitable Reverse Factoring (or Reverse Factoring-like) solutions in each one of these S&amp;I countries. </w:t>
      </w:r>
    </w:p>
    <w:p w14:paraId="67B4AA80" w14:textId="77777777" w:rsidR="00E0726C" w:rsidRPr="006B0A91" w:rsidRDefault="00E0726C" w:rsidP="00D84C54">
      <w:pPr>
        <w:spacing w:line="276" w:lineRule="auto"/>
        <w:ind w:left="360"/>
        <w:contextualSpacing/>
        <w:jc w:val="both"/>
        <w:rPr>
          <w:rFonts w:asciiTheme="minorHAnsi" w:eastAsiaTheme="minorHAnsi" w:hAnsiTheme="minorHAnsi" w:cstheme="minorHAnsi"/>
          <w:b/>
          <w:sz w:val="22"/>
          <w:szCs w:val="22"/>
          <w:u w:val="single"/>
        </w:rPr>
      </w:pPr>
    </w:p>
    <w:p w14:paraId="18FDEEFB" w14:textId="77777777" w:rsidR="00E0726C" w:rsidRPr="00921684" w:rsidRDefault="00E0726C" w:rsidP="00D84C54">
      <w:pPr>
        <w:spacing w:line="276" w:lineRule="auto"/>
        <w:ind w:left="360"/>
        <w:contextualSpacing/>
        <w:jc w:val="both"/>
        <w:rPr>
          <w:rFonts w:asciiTheme="minorHAnsi" w:eastAsiaTheme="minorHAnsi" w:hAnsiTheme="minorHAnsi" w:cstheme="minorHAnsi"/>
          <w:b/>
          <w:sz w:val="22"/>
          <w:szCs w:val="22"/>
          <w:u w:val="single"/>
        </w:rPr>
      </w:pPr>
    </w:p>
    <w:p w14:paraId="60C5DE09"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Scope of Services</w:t>
      </w:r>
    </w:p>
    <w:p w14:paraId="21E3EAB8" w14:textId="77777777" w:rsidR="00E0726C" w:rsidRPr="006B0A91" w:rsidRDefault="00E0726C" w:rsidP="00D84C54">
      <w:pPr>
        <w:spacing w:line="276" w:lineRule="auto"/>
        <w:ind w:left="792"/>
        <w:contextualSpacing/>
        <w:jc w:val="both"/>
        <w:rPr>
          <w:rFonts w:asciiTheme="minorHAnsi" w:eastAsiaTheme="minorHAnsi" w:hAnsiTheme="minorHAnsi" w:cstheme="minorHAnsi"/>
          <w:b/>
          <w:i/>
          <w:color w:val="006600"/>
          <w:sz w:val="22"/>
          <w:szCs w:val="22"/>
        </w:rPr>
      </w:pPr>
    </w:p>
    <w:p w14:paraId="3FB05A74" w14:textId="6A821005" w:rsidR="00E0726C" w:rsidRPr="00921684" w:rsidRDefault="00E0726C" w:rsidP="00D84C54">
      <w:pPr>
        <w:pStyle w:val="ListParagraph"/>
        <w:widowControl/>
        <w:numPr>
          <w:ilvl w:val="1"/>
          <w:numId w:val="3"/>
        </w:numPr>
        <w:autoSpaceDE/>
        <w:autoSpaceDN/>
        <w:adjustRightInd/>
        <w:ind w:left="450"/>
        <w:jc w:val="both"/>
        <w:rPr>
          <w:rFonts w:asciiTheme="minorHAnsi" w:hAnsiTheme="minorHAnsi" w:cstheme="minorHAnsi"/>
        </w:rPr>
      </w:pPr>
      <w:r w:rsidRPr="00921684">
        <w:rPr>
          <w:rFonts w:asciiTheme="minorHAnsi" w:hAnsiTheme="minorHAnsi" w:cstheme="minorHAnsi"/>
        </w:rPr>
        <w:t>To achieve the above-mentioned goal, a consulting firm, on behalf of IDB Invest</w:t>
      </w:r>
      <w:r w:rsidR="00F50B15">
        <w:rPr>
          <w:rFonts w:asciiTheme="minorHAnsi" w:hAnsiTheme="minorHAnsi" w:cstheme="minorHAnsi"/>
        </w:rPr>
        <w:t xml:space="preserve"> and the Competitiveness, </w:t>
      </w:r>
      <w:proofErr w:type="gramStart"/>
      <w:r w:rsidR="00F50B15">
        <w:rPr>
          <w:rFonts w:asciiTheme="minorHAnsi" w:hAnsiTheme="minorHAnsi" w:cstheme="minorHAnsi"/>
        </w:rPr>
        <w:t>Technology</w:t>
      </w:r>
      <w:proofErr w:type="gramEnd"/>
      <w:r w:rsidR="00F50B15">
        <w:rPr>
          <w:rFonts w:asciiTheme="minorHAnsi" w:hAnsiTheme="minorHAnsi" w:cstheme="minorHAnsi"/>
        </w:rPr>
        <w:t xml:space="preserve"> and Innovation Division (IFD/CTI)</w:t>
      </w:r>
      <w:r w:rsidRPr="00921684">
        <w:rPr>
          <w:rFonts w:asciiTheme="minorHAnsi" w:hAnsiTheme="minorHAnsi" w:cstheme="minorHAnsi"/>
        </w:rPr>
        <w:t>, will research and consolidate market information, interview key players, identify best practices and provide practical recommendations on how to deploy Reverse Factoring (or Reverse Factoring-like solutions, to provide access to finance to MSMEs along the value chains) in S&amp;I.</w:t>
      </w:r>
    </w:p>
    <w:p w14:paraId="6B8AE429" w14:textId="77777777" w:rsidR="00E0726C" w:rsidRPr="00921684" w:rsidRDefault="00E0726C" w:rsidP="00D84C54">
      <w:pPr>
        <w:pStyle w:val="ListParagraph"/>
        <w:ind w:left="450"/>
        <w:jc w:val="both"/>
        <w:rPr>
          <w:rFonts w:asciiTheme="minorHAnsi" w:hAnsiTheme="minorHAnsi" w:cstheme="minorHAnsi"/>
        </w:rPr>
      </w:pPr>
    </w:p>
    <w:p w14:paraId="4A5FF8CC" w14:textId="77777777" w:rsidR="00E0726C" w:rsidRPr="00921684" w:rsidRDefault="00E0726C" w:rsidP="00D84C54">
      <w:pPr>
        <w:pStyle w:val="ListParagraph"/>
        <w:widowControl/>
        <w:numPr>
          <w:ilvl w:val="1"/>
          <w:numId w:val="3"/>
        </w:numPr>
        <w:autoSpaceDE/>
        <w:autoSpaceDN/>
        <w:adjustRightInd/>
        <w:ind w:left="450"/>
        <w:jc w:val="both"/>
        <w:rPr>
          <w:rFonts w:asciiTheme="minorHAnsi" w:hAnsiTheme="minorHAnsi" w:cstheme="minorHAnsi"/>
        </w:rPr>
      </w:pPr>
      <w:r w:rsidRPr="00921684">
        <w:rPr>
          <w:rFonts w:asciiTheme="minorHAnsi" w:hAnsiTheme="minorHAnsi" w:cstheme="minorHAnsi"/>
        </w:rPr>
        <w:t>This will include assessing the “what” (</w:t>
      </w:r>
      <w:proofErr w:type="gramStart"/>
      <w:r w:rsidRPr="00921684">
        <w:rPr>
          <w:rFonts w:asciiTheme="minorHAnsi" w:hAnsiTheme="minorHAnsi" w:cstheme="minorHAnsi"/>
        </w:rPr>
        <w:t>i.e.</w:t>
      </w:r>
      <w:proofErr w:type="gramEnd"/>
      <w:r w:rsidRPr="00921684">
        <w:rPr>
          <w:rFonts w:asciiTheme="minorHAnsi" w:hAnsiTheme="minorHAnsi" w:cstheme="minorHAnsi"/>
        </w:rPr>
        <w:t xml:space="preserve"> the availability of Reverse Factoring solutions and/or other types of supply chain finance products/mechanisms benefitting MSMEs at the country level), the “who” (main market players, including banks, </w:t>
      </w:r>
      <w:proofErr w:type="spellStart"/>
      <w:r w:rsidRPr="00921684">
        <w:rPr>
          <w:rFonts w:asciiTheme="minorHAnsi" w:hAnsiTheme="minorHAnsi" w:cstheme="minorHAnsi"/>
        </w:rPr>
        <w:t>Fintechs</w:t>
      </w:r>
      <w:proofErr w:type="spellEnd"/>
      <w:r w:rsidRPr="00921684">
        <w:rPr>
          <w:rFonts w:asciiTheme="minorHAnsi" w:hAnsiTheme="minorHAnsi" w:cstheme="minorHAnsi"/>
        </w:rPr>
        <w:t xml:space="preserve">, Anchor Companies, etc.) and the “how” (i.e. how are these solutions deployed and implemented, what are the main market gaps, etc.). </w:t>
      </w:r>
    </w:p>
    <w:p w14:paraId="5ED88658" w14:textId="77777777" w:rsidR="00E0726C" w:rsidRPr="00921684" w:rsidRDefault="00E0726C" w:rsidP="00D84C54">
      <w:pPr>
        <w:pStyle w:val="ListParagraph"/>
        <w:ind w:left="450"/>
        <w:jc w:val="both"/>
        <w:rPr>
          <w:rFonts w:asciiTheme="minorHAnsi" w:hAnsiTheme="minorHAnsi" w:cstheme="minorHAnsi"/>
        </w:rPr>
      </w:pPr>
    </w:p>
    <w:p w14:paraId="33A6CED0" w14:textId="77777777" w:rsidR="00E0726C" w:rsidRPr="00921684" w:rsidRDefault="00E0726C" w:rsidP="00D84C54">
      <w:pPr>
        <w:pStyle w:val="ListParagraph"/>
        <w:widowControl/>
        <w:numPr>
          <w:ilvl w:val="1"/>
          <w:numId w:val="3"/>
        </w:numPr>
        <w:autoSpaceDE/>
        <w:autoSpaceDN/>
        <w:adjustRightInd/>
        <w:ind w:left="450"/>
        <w:jc w:val="both"/>
        <w:rPr>
          <w:rFonts w:asciiTheme="minorHAnsi" w:hAnsiTheme="minorHAnsi" w:cstheme="minorHAnsi"/>
        </w:rPr>
      </w:pPr>
      <w:r w:rsidRPr="00921684">
        <w:rPr>
          <w:rFonts w:asciiTheme="minorHAnsi" w:hAnsiTheme="minorHAnsi" w:cstheme="minorHAnsi"/>
        </w:rPr>
        <w:t xml:space="preserve">The consulting firm will have extensive knowledge in supply chain finance and S&amp;I markets. </w:t>
      </w:r>
    </w:p>
    <w:p w14:paraId="2158CA2C" w14:textId="77777777" w:rsidR="00E0726C" w:rsidRPr="00921684" w:rsidRDefault="00E0726C" w:rsidP="00D84C54">
      <w:pPr>
        <w:pStyle w:val="ListParagraph"/>
        <w:ind w:left="450"/>
        <w:jc w:val="both"/>
        <w:rPr>
          <w:rFonts w:asciiTheme="minorHAnsi" w:hAnsiTheme="minorHAnsi" w:cstheme="minorHAnsi"/>
        </w:rPr>
      </w:pPr>
    </w:p>
    <w:p w14:paraId="6650ADD5" w14:textId="77777777" w:rsidR="00E0726C" w:rsidRPr="00921684" w:rsidRDefault="00E0726C" w:rsidP="00D84C54">
      <w:pPr>
        <w:pStyle w:val="ListParagraph"/>
        <w:ind w:left="450"/>
        <w:jc w:val="both"/>
        <w:rPr>
          <w:rFonts w:asciiTheme="minorHAnsi" w:hAnsiTheme="minorHAnsi" w:cstheme="minorHAnsi"/>
        </w:rPr>
      </w:pPr>
    </w:p>
    <w:p w14:paraId="4029B8E5"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Key Activities</w:t>
      </w:r>
    </w:p>
    <w:p w14:paraId="1BA6EDFA" w14:textId="77777777" w:rsidR="00E0726C" w:rsidRPr="006B0A91" w:rsidRDefault="00E0726C" w:rsidP="00D84C54">
      <w:pPr>
        <w:spacing w:line="276" w:lineRule="auto"/>
        <w:ind w:left="360"/>
        <w:contextualSpacing/>
        <w:jc w:val="both"/>
        <w:rPr>
          <w:rFonts w:asciiTheme="minorHAnsi" w:eastAsiaTheme="minorHAnsi" w:hAnsiTheme="minorHAnsi" w:cstheme="minorHAnsi"/>
          <w:b/>
          <w:sz w:val="22"/>
          <w:szCs w:val="22"/>
          <w:u w:val="single"/>
        </w:rPr>
      </w:pPr>
    </w:p>
    <w:p w14:paraId="6E045FEB" w14:textId="77777777" w:rsidR="00E0726C" w:rsidRPr="00921684" w:rsidRDefault="00E0726C" w:rsidP="00D84C54">
      <w:pPr>
        <w:pStyle w:val="ListParagraph"/>
        <w:widowControl/>
        <w:numPr>
          <w:ilvl w:val="1"/>
          <w:numId w:val="3"/>
        </w:numPr>
        <w:autoSpaceDE/>
        <w:autoSpaceDN/>
        <w:adjustRightInd/>
        <w:spacing w:after="160" w:line="259" w:lineRule="auto"/>
        <w:ind w:left="450"/>
        <w:contextualSpacing w:val="0"/>
        <w:jc w:val="both"/>
        <w:rPr>
          <w:rFonts w:asciiTheme="minorHAnsi" w:hAnsiTheme="minorHAnsi" w:cstheme="minorHAnsi"/>
          <w:bCs/>
        </w:rPr>
      </w:pPr>
      <w:r w:rsidRPr="00921684">
        <w:rPr>
          <w:rFonts w:asciiTheme="minorHAnsi" w:hAnsiTheme="minorHAnsi" w:cstheme="minorHAnsi"/>
          <w:bCs/>
        </w:rPr>
        <w:t>Study the local market landscape in each S&amp;I country, including:</w:t>
      </w:r>
    </w:p>
    <w:p w14:paraId="38E09AE1" w14:textId="77777777" w:rsidR="00E0726C" w:rsidRPr="00921684" w:rsidRDefault="00E0726C" w:rsidP="00FF6750">
      <w:pPr>
        <w:pStyle w:val="ListParagraph"/>
        <w:widowControl/>
        <w:numPr>
          <w:ilvl w:val="2"/>
          <w:numId w:val="3"/>
        </w:numPr>
        <w:autoSpaceDE/>
        <w:autoSpaceDN/>
        <w:adjustRightInd/>
        <w:spacing w:after="160" w:line="259" w:lineRule="auto"/>
        <w:ind w:left="1440"/>
        <w:contextualSpacing w:val="0"/>
        <w:jc w:val="both"/>
        <w:rPr>
          <w:rFonts w:asciiTheme="minorHAnsi" w:hAnsiTheme="minorHAnsi" w:cstheme="minorHAnsi"/>
        </w:rPr>
      </w:pPr>
      <w:r w:rsidRPr="00921684">
        <w:rPr>
          <w:rFonts w:asciiTheme="minorHAnsi" w:hAnsiTheme="minorHAnsi" w:cstheme="minorHAnsi"/>
          <w:bCs/>
        </w:rPr>
        <w:t xml:space="preserve">Assessment of available </w:t>
      </w:r>
      <w:r w:rsidRPr="00921684">
        <w:rPr>
          <w:rFonts w:asciiTheme="minorHAnsi" w:hAnsiTheme="minorHAnsi" w:cstheme="minorHAnsi"/>
        </w:rPr>
        <w:t xml:space="preserve">Reverse Factoring solutions and/or other types of supply chain finance products/mechanisms benefitting MSMEs. </w:t>
      </w:r>
    </w:p>
    <w:p w14:paraId="1BA281C8" w14:textId="77777777" w:rsidR="00E0726C" w:rsidRPr="00921684" w:rsidRDefault="00E0726C">
      <w:pPr>
        <w:pStyle w:val="ListParagraph"/>
        <w:widowControl/>
        <w:numPr>
          <w:ilvl w:val="2"/>
          <w:numId w:val="3"/>
        </w:numPr>
        <w:autoSpaceDE/>
        <w:autoSpaceDN/>
        <w:adjustRightInd/>
        <w:spacing w:after="160" w:line="259" w:lineRule="auto"/>
        <w:ind w:left="1440"/>
        <w:contextualSpacing w:val="0"/>
        <w:jc w:val="both"/>
        <w:rPr>
          <w:rFonts w:asciiTheme="minorHAnsi" w:hAnsiTheme="minorHAnsi" w:cstheme="minorHAnsi"/>
        </w:rPr>
      </w:pPr>
      <w:r w:rsidRPr="00921684">
        <w:rPr>
          <w:rFonts w:asciiTheme="minorHAnsi" w:hAnsiTheme="minorHAnsi" w:cstheme="minorHAnsi"/>
          <w:bCs/>
        </w:rPr>
        <w:t xml:space="preserve">Identification of and interviews with key market players (including banks, </w:t>
      </w:r>
      <w:proofErr w:type="spellStart"/>
      <w:r w:rsidRPr="00921684">
        <w:rPr>
          <w:rFonts w:asciiTheme="minorHAnsi" w:hAnsiTheme="minorHAnsi" w:cstheme="minorHAnsi"/>
          <w:bCs/>
        </w:rPr>
        <w:t>Fintechs</w:t>
      </w:r>
      <w:proofErr w:type="spellEnd"/>
      <w:r w:rsidRPr="00921684">
        <w:rPr>
          <w:rFonts w:asciiTheme="minorHAnsi" w:hAnsiTheme="minorHAnsi" w:cstheme="minorHAnsi"/>
          <w:bCs/>
        </w:rPr>
        <w:t xml:space="preserve">, Anchor Companies, etc.) </w:t>
      </w:r>
    </w:p>
    <w:p w14:paraId="4459998B" w14:textId="77777777" w:rsidR="00E0726C" w:rsidRPr="00921684" w:rsidRDefault="00E0726C">
      <w:pPr>
        <w:pStyle w:val="ListParagraph"/>
        <w:widowControl/>
        <w:numPr>
          <w:ilvl w:val="2"/>
          <w:numId w:val="3"/>
        </w:numPr>
        <w:autoSpaceDE/>
        <w:autoSpaceDN/>
        <w:adjustRightInd/>
        <w:spacing w:after="160" w:line="259" w:lineRule="auto"/>
        <w:ind w:left="1440"/>
        <w:contextualSpacing w:val="0"/>
        <w:jc w:val="both"/>
        <w:rPr>
          <w:rFonts w:asciiTheme="minorHAnsi" w:hAnsiTheme="minorHAnsi" w:cstheme="minorHAnsi"/>
        </w:rPr>
      </w:pPr>
      <w:r w:rsidRPr="00921684">
        <w:rPr>
          <w:rFonts w:asciiTheme="minorHAnsi" w:hAnsiTheme="minorHAnsi" w:cstheme="minorHAnsi"/>
          <w:bCs/>
        </w:rPr>
        <w:t xml:space="preserve">Case studies, </w:t>
      </w:r>
      <w:proofErr w:type="gramStart"/>
      <w:r w:rsidRPr="00921684">
        <w:rPr>
          <w:rFonts w:asciiTheme="minorHAnsi" w:hAnsiTheme="minorHAnsi" w:cstheme="minorHAnsi"/>
          <w:bCs/>
        </w:rPr>
        <w:t>benchmarks</w:t>
      </w:r>
      <w:proofErr w:type="gramEnd"/>
      <w:r w:rsidRPr="00921684">
        <w:rPr>
          <w:rFonts w:asciiTheme="minorHAnsi" w:hAnsiTheme="minorHAnsi" w:cstheme="minorHAnsi"/>
          <w:bCs/>
        </w:rPr>
        <w:t xml:space="preserve"> and best practices</w:t>
      </w:r>
    </w:p>
    <w:p w14:paraId="3C6432B4" w14:textId="77777777" w:rsidR="00E0726C" w:rsidRPr="00921684" w:rsidRDefault="00E0726C">
      <w:pPr>
        <w:pStyle w:val="ListParagraph"/>
        <w:widowControl/>
        <w:numPr>
          <w:ilvl w:val="2"/>
          <w:numId w:val="3"/>
        </w:numPr>
        <w:autoSpaceDE/>
        <w:autoSpaceDN/>
        <w:adjustRightInd/>
        <w:spacing w:after="160" w:line="259" w:lineRule="auto"/>
        <w:ind w:left="1440"/>
        <w:contextualSpacing w:val="0"/>
        <w:jc w:val="both"/>
        <w:rPr>
          <w:rFonts w:asciiTheme="minorHAnsi" w:hAnsiTheme="minorHAnsi" w:cstheme="minorHAnsi"/>
        </w:rPr>
      </w:pPr>
      <w:r w:rsidRPr="00921684">
        <w:rPr>
          <w:rFonts w:asciiTheme="minorHAnsi" w:hAnsiTheme="minorHAnsi" w:cstheme="minorHAnsi"/>
        </w:rPr>
        <w:t xml:space="preserve">Main market gaps and needs </w:t>
      </w:r>
    </w:p>
    <w:p w14:paraId="6AF9E89F" w14:textId="77777777" w:rsidR="00E0726C" w:rsidRPr="00921684" w:rsidRDefault="00E0726C">
      <w:pPr>
        <w:pStyle w:val="ListParagraph"/>
        <w:widowControl/>
        <w:numPr>
          <w:ilvl w:val="2"/>
          <w:numId w:val="3"/>
        </w:numPr>
        <w:autoSpaceDE/>
        <w:autoSpaceDN/>
        <w:adjustRightInd/>
        <w:spacing w:after="160" w:line="259" w:lineRule="auto"/>
        <w:ind w:left="1440"/>
        <w:contextualSpacing w:val="0"/>
        <w:jc w:val="both"/>
        <w:rPr>
          <w:rFonts w:asciiTheme="minorHAnsi" w:hAnsiTheme="minorHAnsi" w:cstheme="minorHAnsi"/>
        </w:rPr>
      </w:pPr>
      <w:r w:rsidRPr="00921684">
        <w:rPr>
          <w:rFonts w:asciiTheme="minorHAnsi" w:hAnsiTheme="minorHAnsi" w:cstheme="minorHAnsi"/>
        </w:rPr>
        <w:t>Potential opportunities</w:t>
      </w:r>
    </w:p>
    <w:p w14:paraId="105E15AC" w14:textId="77777777" w:rsidR="00E0726C" w:rsidRPr="00921684" w:rsidRDefault="00E0726C" w:rsidP="00D84C54">
      <w:pPr>
        <w:pStyle w:val="ListParagraph"/>
        <w:widowControl/>
        <w:numPr>
          <w:ilvl w:val="1"/>
          <w:numId w:val="3"/>
        </w:numPr>
        <w:autoSpaceDE/>
        <w:autoSpaceDN/>
        <w:adjustRightInd/>
        <w:ind w:left="450"/>
        <w:jc w:val="both"/>
        <w:rPr>
          <w:rFonts w:asciiTheme="minorHAnsi" w:hAnsiTheme="minorHAnsi" w:cstheme="minorHAnsi"/>
        </w:rPr>
      </w:pPr>
      <w:r w:rsidRPr="00921684">
        <w:rPr>
          <w:rFonts w:asciiTheme="minorHAnsi" w:hAnsiTheme="minorHAnsi" w:cstheme="minorHAnsi"/>
          <w:bCs/>
        </w:rPr>
        <w:t xml:space="preserve">Summary of the main findings, business case and the conclusions of the analysis in a final report, including recommendations for IDB Invest to </w:t>
      </w:r>
      <w:r w:rsidRPr="00921684">
        <w:rPr>
          <w:rFonts w:asciiTheme="minorHAnsi" w:hAnsiTheme="minorHAnsi" w:cstheme="minorHAnsi"/>
        </w:rPr>
        <w:t xml:space="preserve">deploy suitable Reverse Factoring (or Reverse Factoring-like) solutions in each one of these S&amp;I countries. </w:t>
      </w:r>
    </w:p>
    <w:p w14:paraId="04722F58" w14:textId="77777777" w:rsidR="00E0726C" w:rsidRPr="006B0A91" w:rsidRDefault="00E0726C" w:rsidP="00D84C54">
      <w:pPr>
        <w:pStyle w:val="ListParagraph"/>
        <w:ind w:left="792"/>
        <w:jc w:val="both"/>
        <w:rPr>
          <w:rFonts w:asciiTheme="minorHAnsi" w:hAnsiTheme="minorHAnsi" w:cstheme="minorHAnsi"/>
          <w:bCs/>
          <w:sz w:val="22"/>
          <w:szCs w:val="22"/>
        </w:rPr>
      </w:pPr>
    </w:p>
    <w:p w14:paraId="2B8EFDDD" w14:textId="77777777" w:rsidR="00E0726C" w:rsidRPr="006B0A91" w:rsidRDefault="00E0726C" w:rsidP="00D84C54">
      <w:pPr>
        <w:pStyle w:val="ListParagraph"/>
        <w:ind w:left="792"/>
        <w:jc w:val="both"/>
        <w:rPr>
          <w:rFonts w:asciiTheme="minorHAnsi" w:hAnsiTheme="minorHAnsi" w:cstheme="minorHAnsi"/>
          <w:bCs/>
          <w:sz w:val="22"/>
          <w:szCs w:val="22"/>
        </w:rPr>
      </w:pPr>
    </w:p>
    <w:p w14:paraId="27ADD849"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Expected Outcome and Deliverables</w:t>
      </w:r>
    </w:p>
    <w:p w14:paraId="534F298E" w14:textId="77777777" w:rsidR="00E0726C" w:rsidRPr="006B0A91" w:rsidRDefault="00E0726C" w:rsidP="00D84C54">
      <w:pPr>
        <w:spacing w:line="276" w:lineRule="auto"/>
        <w:ind w:left="360"/>
        <w:contextualSpacing/>
        <w:jc w:val="both"/>
        <w:rPr>
          <w:rFonts w:asciiTheme="minorHAnsi" w:eastAsiaTheme="minorHAnsi" w:hAnsiTheme="minorHAnsi" w:cstheme="minorHAnsi"/>
          <w:b/>
          <w:sz w:val="22"/>
          <w:szCs w:val="22"/>
          <w:u w:val="single"/>
        </w:rPr>
      </w:pPr>
    </w:p>
    <w:p w14:paraId="1EFA1FE7" w14:textId="77777777"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 xml:space="preserve">Market analysis of Reverse Factoring solutions (and/or other types of supply chain finance products/mechanisms benefitting MSMEs) in the relevant S&amp;I countries. </w:t>
      </w:r>
    </w:p>
    <w:p w14:paraId="7CA6A94C" w14:textId="77777777" w:rsidR="00E0726C" w:rsidRPr="00921684" w:rsidRDefault="00E0726C" w:rsidP="00D84C54">
      <w:pPr>
        <w:spacing w:after="200" w:line="276" w:lineRule="auto"/>
        <w:ind w:left="450"/>
        <w:contextualSpacing/>
        <w:jc w:val="both"/>
        <w:rPr>
          <w:rFonts w:asciiTheme="minorHAnsi" w:hAnsiTheme="minorHAnsi" w:cstheme="minorHAnsi"/>
        </w:rPr>
      </w:pPr>
    </w:p>
    <w:p w14:paraId="20B9B449" w14:textId="77777777"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 xml:space="preserve">Report with a summary of the conclusions and recommendations of the analysis. </w:t>
      </w:r>
    </w:p>
    <w:p w14:paraId="0F4608BF" w14:textId="77777777" w:rsidR="00E0726C" w:rsidRPr="006B0A91" w:rsidRDefault="00E0726C" w:rsidP="00D84C54">
      <w:pPr>
        <w:pStyle w:val="ListParagraph"/>
        <w:jc w:val="both"/>
        <w:rPr>
          <w:rFonts w:asciiTheme="minorHAnsi" w:eastAsiaTheme="minorHAnsi" w:hAnsiTheme="minorHAnsi" w:cstheme="minorHAnsi"/>
          <w:sz w:val="22"/>
          <w:szCs w:val="22"/>
        </w:rPr>
      </w:pPr>
    </w:p>
    <w:p w14:paraId="0CCA5205"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Project Schedule and Milestones</w:t>
      </w:r>
    </w:p>
    <w:p w14:paraId="48B939FF" w14:textId="77777777" w:rsidR="00E0726C" w:rsidRPr="006B0A91" w:rsidRDefault="00E0726C" w:rsidP="00D84C54">
      <w:pPr>
        <w:spacing w:line="276" w:lineRule="auto"/>
        <w:ind w:left="360"/>
        <w:contextualSpacing/>
        <w:jc w:val="both"/>
        <w:rPr>
          <w:rFonts w:asciiTheme="minorHAnsi" w:eastAsiaTheme="minorHAnsi" w:hAnsiTheme="minorHAnsi" w:cstheme="minorHAnsi"/>
          <w:b/>
          <w:sz w:val="22"/>
          <w:szCs w:val="22"/>
          <w:u w:val="single"/>
        </w:rPr>
      </w:pPr>
    </w:p>
    <w:p w14:paraId="04F2BD9D" w14:textId="77777777" w:rsidR="00E0726C" w:rsidRPr="00921684" w:rsidRDefault="00E0726C" w:rsidP="00D84C54">
      <w:pPr>
        <w:pStyle w:val="ListParagraph"/>
        <w:widowControl/>
        <w:numPr>
          <w:ilvl w:val="0"/>
          <w:numId w:val="6"/>
        </w:numPr>
        <w:autoSpaceDE/>
        <w:autoSpaceDN/>
        <w:adjustRightInd/>
        <w:jc w:val="both"/>
        <w:rPr>
          <w:rFonts w:asciiTheme="minorHAnsi" w:eastAsia="Calibri" w:hAnsiTheme="minorHAnsi" w:cstheme="minorHAnsi"/>
        </w:rPr>
      </w:pPr>
      <w:r w:rsidRPr="00921684">
        <w:rPr>
          <w:rFonts w:asciiTheme="minorHAnsi" w:eastAsia="Calibri" w:hAnsiTheme="minorHAnsi" w:cstheme="minorHAnsi"/>
        </w:rPr>
        <w:t>Duration of the contract: Up to 6 months.</w:t>
      </w:r>
    </w:p>
    <w:p w14:paraId="6F60D892" w14:textId="77777777" w:rsidR="00E0726C" w:rsidRPr="00921684" w:rsidRDefault="00E0726C" w:rsidP="00D84C54">
      <w:pPr>
        <w:pStyle w:val="ListParagraph"/>
        <w:widowControl/>
        <w:numPr>
          <w:ilvl w:val="0"/>
          <w:numId w:val="6"/>
        </w:numPr>
        <w:autoSpaceDE/>
        <w:autoSpaceDN/>
        <w:adjustRightInd/>
        <w:jc w:val="both"/>
        <w:rPr>
          <w:rFonts w:asciiTheme="minorHAnsi" w:hAnsiTheme="minorHAnsi" w:cstheme="minorHAnsi"/>
          <w:b/>
          <w:bCs/>
        </w:rPr>
      </w:pPr>
      <w:r w:rsidRPr="00921684">
        <w:rPr>
          <w:rFonts w:asciiTheme="minorHAnsi" w:eastAsia="Calibri" w:hAnsiTheme="minorHAnsi" w:cstheme="minorHAnsi"/>
        </w:rPr>
        <w:lastRenderedPageBreak/>
        <w:t xml:space="preserve">Main project schedule of deliverables: </w:t>
      </w:r>
    </w:p>
    <w:p w14:paraId="71613D24"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p>
    <w:tbl>
      <w:tblPr>
        <w:tblStyle w:val="TableGrid"/>
        <w:tblW w:w="10187" w:type="dxa"/>
        <w:tblLook w:val="04A0" w:firstRow="1" w:lastRow="0" w:firstColumn="1" w:lastColumn="0" w:noHBand="0" w:noVBand="1"/>
      </w:tblPr>
      <w:tblGrid>
        <w:gridCol w:w="6295"/>
        <w:gridCol w:w="3892"/>
      </w:tblGrid>
      <w:tr w:rsidR="00E0726C" w:rsidRPr="006B0A91" w14:paraId="7C4347A0" w14:textId="77777777" w:rsidTr="00007257">
        <w:trPr>
          <w:trHeight w:val="332"/>
        </w:trPr>
        <w:tc>
          <w:tcPr>
            <w:tcW w:w="10187" w:type="dxa"/>
            <w:gridSpan w:val="2"/>
            <w:shd w:val="clear" w:color="auto" w:fill="D9D9D9" w:themeFill="background1" w:themeFillShade="D9"/>
          </w:tcPr>
          <w:p w14:paraId="3A7381B1"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lang w:eastAsia="en-US"/>
              </w:rPr>
            </w:pPr>
            <w:r w:rsidRPr="00921684">
              <w:rPr>
                <w:rFonts w:asciiTheme="minorHAnsi" w:eastAsia="Calibri" w:hAnsiTheme="minorHAnsi" w:cstheme="minorHAnsi"/>
                <w:b/>
                <w:bCs/>
                <w:lang w:eastAsia="en-US"/>
              </w:rPr>
              <w:t>Phase 1 – Countries: Suriname, Jamaica, Trinidad and Tobago and Guyana</w:t>
            </w:r>
          </w:p>
        </w:tc>
      </w:tr>
      <w:tr w:rsidR="00E0726C" w:rsidRPr="006B0A91" w14:paraId="2DAF296F" w14:textId="77777777" w:rsidTr="00007257">
        <w:trPr>
          <w:trHeight w:val="300"/>
        </w:trPr>
        <w:tc>
          <w:tcPr>
            <w:tcW w:w="6295" w:type="dxa"/>
          </w:tcPr>
          <w:p w14:paraId="3C1FCDA5"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Outcome/deliverables</w:t>
            </w:r>
          </w:p>
        </w:tc>
        <w:tc>
          <w:tcPr>
            <w:tcW w:w="3892" w:type="dxa"/>
          </w:tcPr>
          <w:p w14:paraId="2B210AFC"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Schedule of deliverables</w:t>
            </w:r>
          </w:p>
        </w:tc>
      </w:tr>
      <w:tr w:rsidR="00E0726C" w:rsidRPr="006B0A91" w14:paraId="40600520" w14:textId="77777777" w:rsidTr="00007257">
        <w:trPr>
          <w:trHeight w:val="575"/>
        </w:trPr>
        <w:tc>
          <w:tcPr>
            <w:tcW w:w="6295" w:type="dxa"/>
          </w:tcPr>
          <w:p w14:paraId="33D55088"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 xml:space="preserve">i) </w:t>
            </w:r>
            <w:r w:rsidRPr="00921684">
              <w:rPr>
                <w:rFonts w:asciiTheme="minorHAnsi" w:hAnsiTheme="minorHAnsi" w:cstheme="minorHAnsi"/>
              </w:rPr>
              <w:t xml:space="preserve">Market analysis of Reverse Factoring solutions (and/or other types of supply chain finance products/mechanisms benefitting MSMEs) </w:t>
            </w:r>
          </w:p>
        </w:tc>
        <w:tc>
          <w:tcPr>
            <w:tcW w:w="3892" w:type="dxa"/>
          </w:tcPr>
          <w:p w14:paraId="197F36A5"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Month 1-2</w:t>
            </w:r>
          </w:p>
        </w:tc>
      </w:tr>
      <w:tr w:rsidR="00E0726C" w:rsidRPr="006B0A91" w14:paraId="791FBBA8" w14:textId="77777777" w:rsidTr="00007257">
        <w:trPr>
          <w:trHeight w:val="512"/>
        </w:trPr>
        <w:tc>
          <w:tcPr>
            <w:tcW w:w="6295" w:type="dxa"/>
          </w:tcPr>
          <w:p w14:paraId="3EB16468" w14:textId="77777777" w:rsidR="00E0726C" w:rsidRPr="00921684" w:rsidRDefault="00E0726C" w:rsidP="00D84C54">
            <w:pPr>
              <w:spacing w:after="200" w:line="276" w:lineRule="auto"/>
              <w:contextualSpacing/>
              <w:jc w:val="both"/>
              <w:rPr>
                <w:rFonts w:asciiTheme="minorHAnsi" w:hAnsiTheme="minorHAnsi" w:cstheme="minorHAnsi"/>
              </w:rPr>
            </w:pPr>
            <w:r w:rsidRPr="00921684">
              <w:rPr>
                <w:rFonts w:asciiTheme="minorHAnsi" w:eastAsia="Calibri" w:hAnsiTheme="minorHAnsi" w:cstheme="minorHAnsi"/>
                <w:lang w:eastAsia="en-US"/>
              </w:rPr>
              <w:t xml:space="preserve">ii) </w:t>
            </w:r>
            <w:r w:rsidRPr="00921684">
              <w:rPr>
                <w:rFonts w:asciiTheme="minorHAnsi" w:hAnsiTheme="minorHAnsi" w:cstheme="minorHAnsi"/>
              </w:rPr>
              <w:t xml:space="preserve">Report with a summary of the conclusions and recommendations of the analysis. </w:t>
            </w:r>
          </w:p>
        </w:tc>
        <w:tc>
          <w:tcPr>
            <w:tcW w:w="3892" w:type="dxa"/>
          </w:tcPr>
          <w:p w14:paraId="3665C412"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r w:rsidRPr="00921684">
              <w:rPr>
                <w:rFonts w:asciiTheme="minorHAnsi" w:eastAsia="Calibri" w:hAnsiTheme="minorHAnsi" w:cstheme="minorHAnsi"/>
                <w:lang w:eastAsia="en-US"/>
              </w:rPr>
              <w:t>Month 3</w:t>
            </w:r>
          </w:p>
        </w:tc>
      </w:tr>
    </w:tbl>
    <w:p w14:paraId="516F030F"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p>
    <w:tbl>
      <w:tblPr>
        <w:tblStyle w:val="TableGrid"/>
        <w:tblW w:w="10187" w:type="dxa"/>
        <w:tblLook w:val="04A0" w:firstRow="1" w:lastRow="0" w:firstColumn="1" w:lastColumn="0" w:noHBand="0" w:noVBand="1"/>
      </w:tblPr>
      <w:tblGrid>
        <w:gridCol w:w="6295"/>
        <w:gridCol w:w="3892"/>
      </w:tblGrid>
      <w:tr w:rsidR="00E0726C" w:rsidRPr="006B0A91" w14:paraId="4E45E897" w14:textId="77777777" w:rsidTr="00007257">
        <w:trPr>
          <w:trHeight w:val="332"/>
        </w:trPr>
        <w:tc>
          <w:tcPr>
            <w:tcW w:w="10187" w:type="dxa"/>
            <w:gridSpan w:val="2"/>
            <w:shd w:val="clear" w:color="auto" w:fill="D9D9D9" w:themeFill="background1" w:themeFillShade="D9"/>
          </w:tcPr>
          <w:p w14:paraId="2AD52700"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lang w:eastAsia="en-US"/>
              </w:rPr>
            </w:pPr>
            <w:r w:rsidRPr="00921684">
              <w:rPr>
                <w:rFonts w:asciiTheme="minorHAnsi" w:eastAsia="Calibri" w:hAnsiTheme="minorHAnsi" w:cstheme="minorHAnsi"/>
                <w:b/>
                <w:bCs/>
                <w:lang w:eastAsia="en-US"/>
              </w:rPr>
              <w:t xml:space="preserve">Phase 2 – Countries: Bahamas, Barbados, </w:t>
            </w:r>
            <w:proofErr w:type="gramStart"/>
            <w:r w:rsidRPr="00921684">
              <w:rPr>
                <w:rFonts w:asciiTheme="minorHAnsi" w:eastAsia="Calibri" w:hAnsiTheme="minorHAnsi" w:cstheme="minorHAnsi"/>
                <w:b/>
                <w:bCs/>
                <w:lang w:eastAsia="en-US"/>
              </w:rPr>
              <w:t>Belize</w:t>
            </w:r>
            <w:proofErr w:type="gramEnd"/>
            <w:r w:rsidRPr="00921684">
              <w:rPr>
                <w:rFonts w:asciiTheme="minorHAnsi" w:eastAsia="Calibri" w:hAnsiTheme="minorHAnsi" w:cstheme="minorHAnsi"/>
                <w:b/>
                <w:bCs/>
                <w:lang w:eastAsia="en-US"/>
              </w:rPr>
              <w:t xml:space="preserve"> and Haiti</w:t>
            </w:r>
          </w:p>
        </w:tc>
      </w:tr>
      <w:tr w:rsidR="00E0726C" w:rsidRPr="006B0A91" w14:paraId="47262F5B" w14:textId="77777777" w:rsidTr="00007257">
        <w:trPr>
          <w:trHeight w:val="300"/>
        </w:trPr>
        <w:tc>
          <w:tcPr>
            <w:tcW w:w="6295" w:type="dxa"/>
          </w:tcPr>
          <w:p w14:paraId="6AF8CE88"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Outcome/deliverables</w:t>
            </w:r>
          </w:p>
        </w:tc>
        <w:tc>
          <w:tcPr>
            <w:tcW w:w="3892" w:type="dxa"/>
          </w:tcPr>
          <w:p w14:paraId="661823E7"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Schedule of deliverables</w:t>
            </w:r>
          </w:p>
        </w:tc>
      </w:tr>
      <w:tr w:rsidR="00E0726C" w:rsidRPr="006B0A91" w14:paraId="4ABC3703" w14:textId="77777777" w:rsidTr="00007257">
        <w:trPr>
          <w:trHeight w:val="593"/>
        </w:trPr>
        <w:tc>
          <w:tcPr>
            <w:tcW w:w="6295" w:type="dxa"/>
          </w:tcPr>
          <w:p w14:paraId="1EF3991E"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 xml:space="preserve">i) </w:t>
            </w:r>
            <w:r w:rsidRPr="00921684">
              <w:rPr>
                <w:rFonts w:asciiTheme="minorHAnsi" w:hAnsiTheme="minorHAnsi" w:cstheme="minorHAnsi"/>
              </w:rPr>
              <w:t xml:space="preserve">Market analysis of Reverse Factoring solutions (and/or other types of supply chain finance products/mechanisms benefitting MSMEs) </w:t>
            </w:r>
          </w:p>
        </w:tc>
        <w:tc>
          <w:tcPr>
            <w:tcW w:w="3892" w:type="dxa"/>
          </w:tcPr>
          <w:p w14:paraId="0245CC53"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Month 4-5</w:t>
            </w:r>
          </w:p>
        </w:tc>
      </w:tr>
      <w:tr w:rsidR="00E0726C" w:rsidRPr="006B0A91" w14:paraId="636DB2B9" w14:textId="77777777" w:rsidTr="00007257">
        <w:trPr>
          <w:trHeight w:val="512"/>
        </w:trPr>
        <w:tc>
          <w:tcPr>
            <w:tcW w:w="6295" w:type="dxa"/>
          </w:tcPr>
          <w:p w14:paraId="31974409" w14:textId="77777777" w:rsidR="00E0726C" w:rsidRPr="00921684" w:rsidRDefault="00E0726C" w:rsidP="00D84C54">
            <w:pPr>
              <w:spacing w:after="200" w:line="276" w:lineRule="auto"/>
              <w:contextualSpacing/>
              <w:jc w:val="both"/>
              <w:rPr>
                <w:rFonts w:asciiTheme="minorHAnsi" w:hAnsiTheme="minorHAnsi" w:cstheme="minorHAnsi"/>
              </w:rPr>
            </w:pPr>
            <w:r w:rsidRPr="00921684">
              <w:rPr>
                <w:rFonts w:asciiTheme="minorHAnsi" w:eastAsia="Calibri" w:hAnsiTheme="minorHAnsi" w:cstheme="minorHAnsi"/>
                <w:lang w:eastAsia="en-US"/>
              </w:rPr>
              <w:t xml:space="preserve">ii) </w:t>
            </w:r>
            <w:r w:rsidRPr="00921684">
              <w:rPr>
                <w:rFonts w:asciiTheme="minorHAnsi" w:hAnsiTheme="minorHAnsi" w:cstheme="minorHAnsi"/>
              </w:rPr>
              <w:t xml:space="preserve">Report with a summary of the conclusions and recommendations of the analysis. </w:t>
            </w:r>
          </w:p>
        </w:tc>
        <w:tc>
          <w:tcPr>
            <w:tcW w:w="3892" w:type="dxa"/>
          </w:tcPr>
          <w:p w14:paraId="1319E4DD"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r w:rsidRPr="00921684">
              <w:rPr>
                <w:rFonts w:asciiTheme="minorHAnsi" w:eastAsia="Calibri" w:hAnsiTheme="minorHAnsi" w:cstheme="minorHAnsi"/>
                <w:lang w:eastAsia="en-US"/>
              </w:rPr>
              <w:t>Month 6</w:t>
            </w:r>
          </w:p>
        </w:tc>
      </w:tr>
    </w:tbl>
    <w:p w14:paraId="026E4524"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p>
    <w:p w14:paraId="5B5F3910" w14:textId="77777777" w:rsidR="00E0726C" w:rsidRPr="00DC3A7A" w:rsidRDefault="00E0726C" w:rsidP="00D84C54">
      <w:pPr>
        <w:spacing w:line="276" w:lineRule="auto"/>
        <w:ind w:left="360"/>
        <w:contextualSpacing/>
        <w:jc w:val="both"/>
        <w:rPr>
          <w:rFonts w:asciiTheme="minorHAnsi" w:eastAsiaTheme="minorHAnsi" w:hAnsiTheme="minorHAnsi" w:cstheme="minorHAnsi"/>
          <w:b/>
          <w:sz w:val="22"/>
          <w:szCs w:val="22"/>
          <w:u w:val="single"/>
        </w:rPr>
      </w:pPr>
    </w:p>
    <w:p w14:paraId="6F1D037D"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Reporting Requirements</w:t>
      </w:r>
    </w:p>
    <w:p w14:paraId="471BB9BC" w14:textId="77777777" w:rsidR="00E0726C" w:rsidRPr="006B0A91" w:rsidRDefault="00E0726C" w:rsidP="00D84C54">
      <w:pPr>
        <w:spacing w:line="276" w:lineRule="auto"/>
        <w:jc w:val="both"/>
        <w:rPr>
          <w:rFonts w:asciiTheme="minorHAnsi" w:eastAsiaTheme="minorHAnsi" w:hAnsiTheme="minorHAnsi" w:cstheme="minorHAnsi"/>
          <w:b/>
          <w:sz w:val="22"/>
          <w:szCs w:val="22"/>
          <w:u w:val="single"/>
        </w:rPr>
      </w:pPr>
    </w:p>
    <w:p w14:paraId="0DB14DB9" w14:textId="2387E5FA"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Regular progress reports will be provided to both IDB Invest</w:t>
      </w:r>
      <w:r w:rsidR="00B841B2">
        <w:rPr>
          <w:rFonts w:asciiTheme="minorHAnsi" w:hAnsiTheme="minorHAnsi" w:cstheme="minorHAnsi"/>
        </w:rPr>
        <w:t xml:space="preserve"> and CTI Division</w:t>
      </w:r>
      <w:r w:rsidRPr="00921684">
        <w:rPr>
          <w:rFonts w:asciiTheme="minorHAnsi" w:hAnsiTheme="minorHAnsi" w:cstheme="minorHAnsi"/>
        </w:rPr>
        <w:t xml:space="preserve"> in the format and frequency agreed on the working plan. </w:t>
      </w:r>
    </w:p>
    <w:p w14:paraId="65FF5F50" w14:textId="77777777" w:rsidR="00E0726C" w:rsidRPr="00921684" w:rsidRDefault="00E0726C" w:rsidP="00D84C54">
      <w:pPr>
        <w:spacing w:after="200" w:line="276" w:lineRule="auto"/>
        <w:ind w:left="450"/>
        <w:contextualSpacing/>
        <w:jc w:val="both"/>
        <w:rPr>
          <w:rFonts w:asciiTheme="minorHAnsi" w:hAnsiTheme="minorHAnsi" w:cstheme="minorHAnsi"/>
        </w:rPr>
      </w:pPr>
    </w:p>
    <w:p w14:paraId="10F8673E" w14:textId="58776653"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 xml:space="preserve">All reports should be sent to the </w:t>
      </w:r>
      <w:r w:rsidR="007B5CBA">
        <w:rPr>
          <w:rFonts w:asciiTheme="minorHAnsi" w:hAnsiTheme="minorHAnsi" w:cstheme="minorHAnsi"/>
        </w:rPr>
        <w:t>team leader</w:t>
      </w:r>
      <w:r w:rsidRPr="00921684">
        <w:rPr>
          <w:rFonts w:asciiTheme="minorHAnsi" w:hAnsiTheme="minorHAnsi" w:cstheme="minorHAnsi"/>
        </w:rPr>
        <w:t xml:space="preserve"> in an electronic file. All the reports and their chapters, including the preliminary versions, must reach a high quality, or they may not be accepted otherwise. The read-only documents produced by the consulting firm must be accompanied by their respective editable documents.</w:t>
      </w:r>
    </w:p>
    <w:p w14:paraId="249D6D92" w14:textId="77777777" w:rsidR="00E0726C" w:rsidRPr="00921684" w:rsidRDefault="00E0726C" w:rsidP="00D84C54">
      <w:pPr>
        <w:spacing w:after="200" w:line="276" w:lineRule="auto"/>
        <w:ind w:left="450"/>
        <w:contextualSpacing/>
        <w:jc w:val="both"/>
        <w:rPr>
          <w:rFonts w:asciiTheme="minorHAnsi" w:hAnsiTheme="minorHAnsi" w:cstheme="minorHAnsi"/>
        </w:rPr>
      </w:pPr>
    </w:p>
    <w:p w14:paraId="46814EC8" w14:textId="77777777"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The reports (progress and final), as well as deliverables, shall be in English.</w:t>
      </w:r>
    </w:p>
    <w:p w14:paraId="69B83934" w14:textId="77777777" w:rsidR="00E0726C" w:rsidRPr="006B0A91" w:rsidRDefault="00E0726C" w:rsidP="00D84C54">
      <w:pPr>
        <w:spacing w:line="276" w:lineRule="auto"/>
        <w:jc w:val="both"/>
        <w:rPr>
          <w:rFonts w:asciiTheme="minorHAnsi" w:eastAsiaTheme="minorHAnsi" w:hAnsiTheme="minorHAnsi" w:cstheme="minorHAnsi"/>
          <w:b/>
          <w:sz w:val="22"/>
          <w:szCs w:val="22"/>
        </w:rPr>
      </w:pPr>
    </w:p>
    <w:p w14:paraId="5B7764F8" w14:textId="77777777" w:rsidR="00E0726C" w:rsidRPr="00DC3A7A" w:rsidRDefault="00E0726C" w:rsidP="00D84C54">
      <w:pPr>
        <w:spacing w:line="276" w:lineRule="auto"/>
        <w:jc w:val="both"/>
        <w:rPr>
          <w:rFonts w:asciiTheme="minorHAnsi" w:eastAsiaTheme="minorHAnsi" w:hAnsiTheme="minorHAnsi" w:cstheme="minorHAnsi"/>
          <w:b/>
          <w:sz w:val="22"/>
          <w:szCs w:val="22"/>
        </w:rPr>
      </w:pPr>
    </w:p>
    <w:p w14:paraId="0E695936"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Acceptance Criteria</w:t>
      </w:r>
    </w:p>
    <w:p w14:paraId="7A901B4B" w14:textId="77777777" w:rsidR="00E0726C" w:rsidRPr="006B0A91" w:rsidRDefault="00E0726C" w:rsidP="00D84C54">
      <w:pPr>
        <w:shd w:val="clear" w:color="auto" w:fill="FFFFFF"/>
        <w:jc w:val="both"/>
        <w:rPr>
          <w:rFonts w:asciiTheme="minorHAnsi" w:hAnsiTheme="minorHAnsi" w:cstheme="minorHAnsi"/>
          <w:color w:val="008800"/>
          <w:sz w:val="22"/>
          <w:szCs w:val="22"/>
          <w:lang w:val="en-GB"/>
        </w:rPr>
      </w:pPr>
    </w:p>
    <w:p w14:paraId="057412AC" w14:textId="779D7476"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 xml:space="preserve">For each deliverable, </w:t>
      </w:r>
      <w:r w:rsidR="003F79E2">
        <w:rPr>
          <w:rFonts w:asciiTheme="minorHAnsi" w:hAnsiTheme="minorHAnsi" w:cstheme="minorHAnsi"/>
        </w:rPr>
        <w:t xml:space="preserve">the team </w:t>
      </w:r>
      <w:proofErr w:type="gramStart"/>
      <w:r w:rsidR="003F79E2">
        <w:rPr>
          <w:rFonts w:asciiTheme="minorHAnsi" w:hAnsiTheme="minorHAnsi" w:cstheme="minorHAnsi"/>
        </w:rPr>
        <w:t>leader</w:t>
      </w:r>
      <w:r w:rsidR="009C4009">
        <w:rPr>
          <w:rFonts w:asciiTheme="minorHAnsi" w:hAnsiTheme="minorHAnsi" w:cstheme="minorHAnsi"/>
        </w:rPr>
        <w:t xml:space="preserve"> </w:t>
      </w:r>
      <w:r w:rsidRPr="00921684">
        <w:rPr>
          <w:rFonts w:asciiTheme="minorHAnsi" w:hAnsiTheme="minorHAnsi" w:cstheme="minorHAnsi"/>
        </w:rPr>
        <w:t xml:space="preserve"> will</w:t>
      </w:r>
      <w:proofErr w:type="gramEnd"/>
      <w:r w:rsidRPr="00921684">
        <w:rPr>
          <w:rFonts w:asciiTheme="minorHAnsi" w:hAnsiTheme="minorHAnsi" w:cstheme="minorHAnsi"/>
        </w:rPr>
        <w:t xml:space="preserve"> have two weeks for review and approval. IDB will have the opportunity to give feedback for the deliverables at least once. The criteria for acceptance of the deliverables will be governed by the deliverable’s description included in this document and by the quality and expertise that is expected to be reflected in each of them.</w:t>
      </w:r>
    </w:p>
    <w:p w14:paraId="50FCFEDD" w14:textId="77777777" w:rsidR="00E0726C" w:rsidRPr="006B0A91" w:rsidRDefault="00E0726C" w:rsidP="00D84C54">
      <w:pPr>
        <w:shd w:val="clear" w:color="auto" w:fill="FFFFFF"/>
        <w:jc w:val="both"/>
        <w:rPr>
          <w:rFonts w:asciiTheme="minorHAnsi" w:hAnsiTheme="minorHAnsi" w:cstheme="minorHAnsi"/>
          <w:color w:val="008800"/>
          <w:sz w:val="22"/>
          <w:szCs w:val="22"/>
          <w:lang w:val="en-GB"/>
        </w:rPr>
      </w:pPr>
    </w:p>
    <w:p w14:paraId="128B821D" w14:textId="77777777" w:rsidR="00E0726C" w:rsidRPr="00921684" w:rsidRDefault="00E0726C" w:rsidP="00D84C54">
      <w:pPr>
        <w:spacing w:after="200" w:line="276" w:lineRule="auto"/>
        <w:ind w:left="450"/>
        <w:contextualSpacing/>
        <w:jc w:val="both"/>
        <w:rPr>
          <w:rFonts w:asciiTheme="minorHAnsi" w:hAnsiTheme="minorHAnsi" w:cstheme="minorHAnsi"/>
        </w:rPr>
      </w:pPr>
    </w:p>
    <w:p w14:paraId="0D0B57C6" w14:textId="77777777" w:rsidR="00E0726C" w:rsidRPr="006B0A91" w:rsidRDefault="00E0726C" w:rsidP="00D84C54">
      <w:pPr>
        <w:shd w:val="clear" w:color="auto" w:fill="FFFFFF"/>
        <w:jc w:val="both"/>
        <w:rPr>
          <w:rFonts w:asciiTheme="minorHAnsi" w:hAnsiTheme="minorHAnsi" w:cstheme="minorHAnsi"/>
          <w:color w:val="008800"/>
          <w:sz w:val="22"/>
          <w:szCs w:val="22"/>
          <w:lang w:val="en-GB"/>
        </w:rPr>
      </w:pPr>
    </w:p>
    <w:p w14:paraId="0732F41E"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 xml:space="preserve"> Supervision and Reporting</w:t>
      </w:r>
    </w:p>
    <w:p w14:paraId="48CBC451" w14:textId="77777777" w:rsidR="00E0726C" w:rsidRPr="006B0A91" w:rsidRDefault="00E0726C" w:rsidP="00D84C54">
      <w:pPr>
        <w:spacing w:after="200" w:line="276" w:lineRule="auto"/>
        <w:ind w:left="360"/>
        <w:contextualSpacing/>
        <w:jc w:val="both"/>
        <w:rPr>
          <w:rFonts w:asciiTheme="minorHAnsi" w:eastAsiaTheme="minorHAnsi" w:hAnsiTheme="minorHAnsi" w:cstheme="minorHAnsi"/>
          <w:b/>
          <w:sz w:val="22"/>
          <w:szCs w:val="22"/>
          <w:u w:val="single"/>
        </w:rPr>
      </w:pPr>
    </w:p>
    <w:p w14:paraId="4C3731B7" w14:textId="183FBAF0"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 xml:space="preserve">All consulting activities will be </w:t>
      </w:r>
      <w:proofErr w:type="gramStart"/>
      <w:r w:rsidRPr="00921684">
        <w:rPr>
          <w:rFonts w:asciiTheme="minorHAnsi" w:hAnsiTheme="minorHAnsi" w:cstheme="minorHAnsi"/>
        </w:rPr>
        <w:t>supervise</w:t>
      </w:r>
      <w:proofErr w:type="gramEnd"/>
      <w:r w:rsidR="002B46F7">
        <w:rPr>
          <w:rFonts w:asciiTheme="minorHAnsi" w:hAnsiTheme="minorHAnsi" w:cstheme="minorHAnsi"/>
        </w:rPr>
        <w:t xml:space="preserve"> the Competitiveness, Technology and Innovation Division an</w:t>
      </w:r>
      <w:r w:rsidRPr="00921684">
        <w:rPr>
          <w:rFonts w:asciiTheme="minorHAnsi" w:hAnsiTheme="minorHAnsi" w:cstheme="minorHAnsi"/>
        </w:rPr>
        <w:t xml:space="preserve">d by IDB </w:t>
      </w:r>
      <w:proofErr w:type="spellStart"/>
      <w:r w:rsidRPr="00921684">
        <w:rPr>
          <w:rFonts w:asciiTheme="minorHAnsi" w:hAnsiTheme="minorHAnsi" w:cstheme="minorHAnsi"/>
        </w:rPr>
        <w:t>Invest’s</w:t>
      </w:r>
      <w:proofErr w:type="spellEnd"/>
      <w:r w:rsidRPr="00921684">
        <w:rPr>
          <w:rFonts w:asciiTheme="minorHAnsi" w:hAnsiTheme="minorHAnsi" w:cstheme="minorHAnsi"/>
        </w:rPr>
        <w:t xml:space="preserve"> Financial Products Division (FNP) and Advisory (ADV) team. </w:t>
      </w:r>
      <w:r w:rsidR="00A24DB9">
        <w:rPr>
          <w:rFonts w:asciiTheme="minorHAnsi" w:hAnsiTheme="minorHAnsi" w:cstheme="minorHAnsi"/>
        </w:rPr>
        <w:t>The IDB</w:t>
      </w:r>
      <w:r w:rsidRPr="00921684">
        <w:rPr>
          <w:rFonts w:asciiTheme="minorHAnsi" w:hAnsiTheme="minorHAnsi" w:cstheme="minorHAnsi"/>
        </w:rPr>
        <w:t xml:space="preserve"> will facilitate the </w:t>
      </w:r>
      <w:r w:rsidRPr="00921684">
        <w:rPr>
          <w:rFonts w:asciiTheme="minorHAnsi" w:hAnsiTheme="minorHAnsi" w:cstheme="minorHAnsi"/>
        </w:rPr>
        <w:lastRenderedPageBreak/>
        <w:t>contact of their personnel in charge of this technical assistance to ensure adequate coordination.</w:t>
      </w:r>
    </w:p>
    <w:p w14:paraId="7C7B0E98" w14:textId="1405F96E" w:rsidR="00E0726C" w:rsidRPr="00921684" w:rsidRDefault="00E0726C" w:rsidP="00D84C54">
      <w:pPr>
        <w:numPr>
          <w:ilvl w:val="1"/>
          <w:numId w:val="3"/>
        </w:numPr>
        <w:autoSpaceDE/>
        <w:autoSpaceDN/>
        <w:adjustRightInd/>
        <w:spacing w:after="200" w:line="276" w:lineRule="auto"/>
        <w:ind w:left="450"/>
        <w:contextualSpacing/>
        <w:jc w:val="both"/>
        <w:rPr>
          <w:rFonts w:asciiTheme="minorHAnsi" w:hAnsiTheme="minorHAnsi" w:cstheme="minorHAnsi"/>
        </w:rPr>
      </w:pPr>
      <w:r w:rsidRPr="00921684">
        <w:rPr>
          <w:rFonts w:asciiTheme="minorHAnsi" w:hAnsiTheme="minorHAnsi" w:cstheme="minorHAnsi"/>
        </w:rPr>
        <w:t xml:space="preserve">The consulting firm is expected to establish regular check-ins with </w:t>
      </w:r>
      <w:r w:rsidR="006B2E01">
        <w:rPr>
          <w:rFonts w:asciiTheme="minorHAnsi" w:hAnsiTheme="minorHAnsi" w:cstheme="minorHAnsi"/>
        </w:rPr>
        <w:t>the IDB team</w:t>
      </w:r>
      <w:r w:rsidRPr="00921684">
        <w:rPr>
          <w:rFonts w:asciiTheme="minorHAnsi" w:hAnsiTheme="minorHAnsi" w:cstheme="minorHAnsi"/>
        </w:rPr>
        <w:t xml:space="preserve"> to update on progress of the project, present and validate key deliverables. The meeting frequency timeline should be agreed upon on the workplan. It shall be consulting firm’s responsibility to ensure that such meetings are conducted, and such reports are submitted to </w:t>
      </w:r>
      <w:r w:rsidR="00427A54">
        <w:rPr>
          <w:rFonts w:asciiTheme="minorHAnsi" w:hAnsiTheme="minorHAnsi" w:cstheme="minorHAnsi"/>
        </w:rPr>
        <w:t>the team leader.</w:t>
      </w:r>
      <w:r w:rsidRPr="00921684">
        <w:rPr>
          <w:rFonts w:asciiTheme="minorHAnsi" w:hAnsiTheme="minorHAnsi" w:cstheme="minorHAnsi"/>
        </w:rPr>
        <w:t xml:space="preserve"> </w:t>
      </w:r>
    </w:p>
    <w:p w14:paraId="17EBEA9C" w14:textId="77777777" w:rsidR="00E0726C" w:rsidRPr="006B0A91" w:rsidRDefault="00E0726C" w:rsidP="00D84C54">
      <w:pPr>
        <w:ind w:right="-10"/>
        <w:jc w:val="both"/>
        <w:rPr>
          <w:rFonts w:asciiTheme="minorHAnsi" w:hAnsiTheme="minorHAnsi" w:cstheme="minorHAnsi"/>
          <w:b/>
          <w:sz w:val="22"/>
          <w:szCs w:val="22"/>
        </w:rPr>
      </w:pPr>
    </w:p>
    <w:p w14:paraId="50943338" w14:textId="77777777" w:rsidR="00E0726C" w:rsidRPr="00921684" w:rsidRDefault="00E0726C" w:rsidP="00D84C54">
      <w:pPr>
        <w:numPr>
          <w:ilvl w:val="0"/>
          <w:numId w:val="3"/>
        </w:numPr>
        <w:autoSpaceDE/>
        <w:autoSpaceDN/>
        <w:adjustRightInd/>
        <w:spacing w:after="200" w:line="276" w:lineRule="auto"/>
        <w:contextualSpacing/>
        <w:jc w:val="both"/>
        <w:rPr>
          <w:rFonts w:asciiTheme="minorHAnsi" w:eastAsiaTheme="minorHAnsi" w:hAnsiTheme="minorHAnsi" w:cstheme="minorHAnsi"/>
          <w:b/>
          <w:sz w:val="22"/>
          <w:szCs w:val="22"/>
          <w:u w:val="single"/>
        </w:rPr>
      </w:pPr>
      <w:r w:rsidRPr="00921684">
        <w:rPr>
          <w:rFonts w:asciiTheme="minorHAnsi" w:eastAsiaTheme="minorHAnsi" w:hAnsiTheme="minorHAnsi" w:cstheme="minorHAnsi"/>
          <w:b/>
          <w:sz w:val="22"/>
          <w:szCs w:val="22"/>
          <w:u w:val="single"/>
        </w:rPr>
        <w:t>Schedule of Payments</w:t>
      </w:r>
    </w:p>
    <w:p w14:paraId="607DCF4C" w14:textId="443EA6FC" w:rsidR="00E0726C" w:rsidRPr="00921684" w:rsidRDefault="00E0726C" w:rsidP="00D84C54">
      <w:pPr>
        <w:pStyle w:val="ListParagraph"/>
        <w:widowControl/>
        <w:numPr>
          <w:ilvl w:val="1"/>
          <w:numId w:val="3"/>
        </w:numPr>
        <w:autoSpaceDE/>
        <w:autoSpaceDN/>
        <w:adjustRightInd/>
        <w:jc w:val="both"/>
        <w:rPr>
          <w:rFonts w:asciiTheme="minorHAnsi" w:hAnsiTheme="minorHAnsi" w:cstheme="minorHAnsi"/>
        </w:rPr>
      </w:pPr>
      <w:r w:rsidRPr="00921684">
        <w:rPr>
          <w:rFonts w:asciiTheme="minorHAnsi" w:hAnsiTheme="minorHAnsi" w:cstheme="minorHAnsi"/>
        </w:rPr>
        <w:t xml:space="preserve">Payment terms will be based on the project schedule of deliverables, as per the following table. The IDB Group does not expect to make advance payments under consulting contracts unless a significant amount of travel is required.  The IDB Group wishes to receive the most competitive cost proposal for the services described herein. </w:t>
      </w:r>
    </w:p>
    <w:p w14:paraId="55867C49" w14:textId="77777777" w:rsidR="00E0726C" w:rsidRPr="006B0A91" w:rsidRDefault="00E0726C" w:rsidP="00D84C54">
      <w:pPr>
        <w:pStyle w:val="BodyTextIndent3"/>
        <w:tabs>
          <w:tab w:val="left" w:pos="1080"/>
        </w:tabs>
        <w:suppressAutoHyphens/>
        <w:ind w:left="792"/>
        <w:jc w:val="both"/>
        <w:textAlignment w:val="baseline"/>
        <w:rPr>
          <w:rFonts w:asciiTheme="minorHAnsi" w:eastAsiaTheme="minorHAnsi" w:hAnsiTheme="minorHAnsi" w:cstheme="minorHAnsi"/>
          <w:sz w:val="22"/>
          <w:szCs w:val="22"/>
        </w:rPr>
      </w:pPr>
    </w:p>
    <w:tbl>
      <w:tblPr>
        <w:tblStyle w:val="TableGrid"/>
        <w:tblW w:w="10180" w:type="dxa"/>
        <w:tblLook w:val="04A0" w:firstRow="1" w:lastRow="0" w:firstColumn="1" w:lastColumn="0" w:noHBand="0" w:noVBand="1"/>
      </w:tblPr>
      <w:tblGrid>
        <w:gridCol w:w="4315"/>
        <w:gridCol w:w="2700"/>
        <w:gridCol w:w="3165"/>
      </w:tblGrid>
      <w:tr w:rsidR="00E0726C" w:rsidRPr="006B0A91" w14:paraId="71AA18E4" w14:textId="77777777" w:rsidTr="00007257">
        <w:trPr>
          <w:trHeight w:val="202"/>
        </w:trPr>
        <w:tc>
          <w:tcPr>
            <w:tcW w:w="10180" w:type="dxa"/>
            <w:gridSpan w:val="3"/>
            <w:shd w:val="clear" w:color="auto" w:fill="D9D9D9" w:themeFill="background1" w:themeFillShade="D9"/>
          </w:tcPr>
          <w:p w14:paraId="235AE905"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Phase 1 – Countries: Suriname, Jamaica, Trinidad and Tobago and Guyana</w:t>
            </w:r>
          </w:p>
        </w:tc>
      </w:tr>
      <w:tr w:rsidR="00E0726C" w:rsidRPr="006B0A91" w14:paraId="246BDFAA" w14:textId="77777777" w:rsidTr="00007257">
        <w:trPr>
          <w:trHeight w:val="202"/>
        </w:trPr>
        <w:tc>
          <w:tcPr>
            <w:tcW w:w="4315" w:type="dxa"/>
          </w:tcPr>
          <w:p w14:paraId="2589C5E3"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Outcome/deliverables</w:t>
            </w:r>
          </w:p>
        </w:tc>
        <w:tc>
          <w:tcPr>
            <w:tcW w:w="2700" w:type="dxa"/>
            <w:vAlign w:val="center"/>
          </w:tcPr>
          <w:p w14:paraId="31794E09"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Schedule of deliverables</w:t>
            </w:r>
          </w:p>
        </w:tc>
        <w:tc>
          <w:tcPr>
            <w:tcW w:w="3165" w:type="dxa"/>
            <w:vAlign w:val="center"/>
          </w:tcPr>
          <w:p w14:paraId="15B38E6E"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rPr>
              <w:t xml:space="preserve">% </w:t>
            </w:r>
            <w:proofErr w:type="gramStart"/>
            <w:r w:rsidRPr="00921684">
              <w:rPr>
                <w:rFonts w:asciiTheme="minorHAnsi" w:eastAsia="Calibri" w:hAnsiTheme="minorHAnsi" w:cstheme="minorHAnsi"/>
                <w:b/>
                <w:bCs/>
              </w:rPr>
              <w:t>payment</w:t>
            </w:r>
            <w:proofErr w:type="gramEnd"/>
            <w:r w:rsidRPr="00921684">
              <w:rPr>
                <w:rFonts w:asciiTheme="minorHAnsi" w:eastAsia="Calibri" w:hAnsiTheme="minorHAnsi" w:cstheme="minorHAnsi"/>
                <w:b/>
                <w:bCs/>
              </w:rPr>
              <w:t xml:space="preserve"> upon conclusion</w:t>
            </w:r>
          </w:p>
        </w:tc>
      </w:tr>
      <w:tr w:rsidR="00E0726C" w:rsidRPr="006B0A91" w14:paraId="2EA70249" w14:textId="77777777" w:rsidTr="00007257">
        <w:trPr>
          <w:trHeight w:val="388"/>
        </w:trPr>
        <w:tc>
          <w:tcPr>
            <w:tcW w:w="4315" w:type="dxa"/>
          </w:tcPr>
          <w:p w14:paraId="59703E18"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 xml:space="preserve">i) </w:t>
            </w:r>
            <w:r w:rsidRPr="00921684">
              <w:rPr>
                <w:rFonts w:asciiTheme="minorHAnsi" w:hAnsiTheme="minorHAnsi" w:cstheme="minorHAnsi"/>
              </w:rPr>
              <w:t xml:space="preserve">Market analysis of Reverse Factoring solutions (and/or other types of supply chain finance products/mechanisms benefitting MSMEs) </w:t>
            </w:r>
          </w:p>
        </w:tc>
        <w:tc>
          <w:tcPr>
            <w:tcW w:w="2700" w:type="dxa"/>
            <w:vAlign w:val="center"/>
          </w:tcPr>
          <w:p w14:paraId="420B078B"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Month 1-2</w:t>
            </w:r>
          </w:p>
        </w:tc>
        <w:tc>
          <w:tcPr>
            <w:tcW w:w="3165" w:type="dxa"/>
            <w:vAlign w:val="center"/>
          </w:tcPr>
          <w:p w14:paraId="3C2D3DC2"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rPr>
            </w:pPr>
            <w:r w:rsidRPr="00921684">
              <w:rPr>
                <w:rFonts w:asciiTheme="minorHAnsi" w:eastAsia="Calibri" w:hAnsiTheme="minorHAnsi" w:cstheme="minorHAnsi"/>
              </w:rPr>
              <w:t>25%</w:t>
            </w:r>
          </w:p>
        </w:tc>
      </w:tr>
      <w:tr w:rsidR="00E0726C" w:rsidRPr="006B0A91" w14:paraId="475A9D1A" w14:textId="77777777" w:rsidTr="00007257">
        <w:trPr>
          <w:trHeight w:val="345"/>
        </w:trPr>
        <w:tc>
          <w:tcPr>
            <w:tcW w:w="4315" w:type="dxa"/>
          </w:tcPr>
          <w:p w14:paraId="580F76F2" w14:textId="77777777" w:rsidR="00E0726C" w:rsidRPr="00921684" w:rsidRDefault="00E0726C" w:rsidP="00D84C54">
            <w:pPr>
              <w:spacing w:after="200" w:line="276" w:lineRule="auto"/>
              <w:contextualSpacing/>
              <w:jc w:val="both"/>
              <w:rPr>
                <w:rFonts w:asciiTheme="minorHAnsi" w:hAnsiTheme="minorHAnsi" w:cstheme="minorHAnsi"/>
              </w:rPr>
            </w:pPr>
            <w:r w:rsidRPr="00921684">
              <w:rPr>
                <w:rFonts w:asciiTheme="minorHAnsi" w:eastAsia="Calibri" w:hAnsiTheme="minorHAnsi" w:cstheme="minorHAnsi"/>
                <w:lang w:eastAsia="en-US"/>
              </w:rPr>
              <w:t xml:space="preserve">ii) </w:t>
            </w:r>
            <w:r w:rsidRPr="00921684">
              <w:rPr>
                <w:rFonts w:asciiTheme="minorHAnsi" w:hAnsiTheme="minorHAnsi" w:cstheme="minorHAnsi"/>
              </w:rPr>
              <w:t xml:space="preserve">Report with a summary of the conclusions and recommendations of the analysis. </w:t>
            </w:r>
          </w:p>
        </w:tc>
        <w:tc>
          <w:tcPr>
            <w:tcW w:w="2700" w:type="dxa"/>
            <w:vAlign w:val="center"/>
          </w:tcPr>
          <w:p w14:paraId="6453063E"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r w:rsidRPr="00921684">
              <w:rPr>
                <w:rFonts w:asciiTheme="minorHAnsi" w:eastAsia="Calibri" w:hAnsiTheme="minorHAnsi" w:cstheme="minorHAnsi"/>
                <w:lang w:eastAsia="en-US"/>
              </w:rPr>
              <w:t>Month 3</w:t>
            </w:r>
          </w:p>
        </w:tc>
        <w:tc>
          <w:tcPr>
            <w:tcW w:w="3165" w:type="dxa"/>
            <w:vAlign w:val="center"/>
          </w:tcPr>
          <w:p w14:paraId="60235AAE"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rPr>
            </w:pPr>
            <w:r w:rsidRPr="00921684">
              <w:rPr>
                <w:rFonts w:asciiTheme="minorHAnsi" w:eastAsia="Calibri" w:hAnsiTheme="minorHAnsi" w:cstheme="minorHAnsi"/>
              </w:rPr>
              <w:t>25%</w:t>
            </w:r>
          </w:p>
        </w:tc>
      </w:tr>
    </w:tbl>
    <w:p w14:paraId="7A49CAC1"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p>
    <w:tbl>
      <w:tblPr>
        <w:tblStyle w:val="TableGrid"/>
        <w:tblW w:w="10180" w:type="dxa"/>
        <w:tblLook w:val="04A0" w:firstRow="1" w:lastRow="0" w:firstColumn="1" w:lastColumn="0" w:noHBand="0" w:noVBand="1"/>
      </w:tblPr>
      <w:tblGrid>
        <w:gridCol w:w="4315"/>
        <w:gridCol w:w="2700"/>
        <w:gridCol w:w="3165"/>
      </w:tblGrid>
      <w:tr w:rsidR="00E0726C" w:rsidRPr="006B0A91" w14:paraId="652B59A8" w14:textId="77777777" w:rsidTr="00007257">
        <w:trPr>
          <w:trHeight w:val="202"/>
        </w:trPr>
        <w:tc>
          <w:tcPr>
            <w:tcW w:w="10180" w:type="dxa"/>
            <w:gridSpan w:val="3"/>
            <w:shd w:val="clear" w:color="auto" w:fill="D9D9D9" w:themeFill="background1" w:themeFillShade="D9"/>
          </w:tcPr>
          <w:p w14:paraId="7BF445EC"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 xml:space="preserve">Phase 2 – Countries: Bahamas, Barbados, </w:t>
            </w:r>
            <w:proofErr w:type="gramStart"/>
            <w:r w:rsidRPr="00921684">
              <w:rPr>
                <w:rFonts w:asciiTheme="minorHAnsi" w:eastAsia="Calibri" w:hAnsiTheme="minorHAnsi" w:cstheme="minorHAnsi"/>
                <w:b/>
                <w:bCs/>
                <w:lang w:eastAsia="en-US"/>
              </w:rPr>
              <w:t>Belize</w:t>
            </w:r>
            <w:proofErr w:type="gramEnd"/>
            <w:r w:rsidRPr="00921684">
              <w:rPr>
                <w:rFonts w:asciiTheme="minorHAnsi" w:eastAsia="Calibri" w:hAnsiTheme="minorHAnsi" w:cstheme="minorHAnsi"/>
                <w:b/>
                <w:bCs/>
                <w:lang w:eastAsia="en-US"/>
              </w:rPr>
              <w:t xml:space="preserve"> and Haiti</w:t>
            </w:r>
          </w:p>
        </w:tc>
      </w:tr>
      <w:tr w:rsidR="00E0726C" w:rsidRPr="006B0A91" w14:paraId="3149D41F" w14:textId="77777777" w:rsidTr="00007257">
        <w:trPr>
          <w:trHeight w:val="202"/>
        </w:trPr>
        <w:tc>
          <w:tcPr>
            <w:tcW w:w="4315" w:type="dxa"/>
          </w:tcPr>
          <w:p w14:paraId="4B1B63AA"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Outcome/deliverables</w:t>
            </w:r>
          </w:p>
        </w:tc>
        <w:tc>
          <w:tcPr>
            <w:tcW w:w="2700" w:type="dxa"/>
            <w:vAlign w:val="center"/>
          </w:tcPr>
          <w:p w14:paraId="74CB3E3B"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lang w:eastAsia="en-US"/>
              </w:rPr>
              <w:t>Schedule of deliverables</w:t>
            </w:r>
          </w:p>
        </w:tc>
        <w:tc>
          <w:tcPr>
            <w:tcW w:w="3165" w:type="dxa"/>
            <w:vAlign w:val="center"/>
          </w:tcPr>
          <w:p w14:paraId="341F5698"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b/>
                <w:bCs/>
              </w:rPr>
            </w:pPr>
            <w:r w:rsidRPr="00921684">
              <w:rPr>
                <w:rFonts w:asciiTheme="minorHAnsi" w:eastAsia="Calibri" w:hAnsiTheme="minorHAnsi" w:cstheme="minorHAnsi"/>
                <w:b/>
                <w:bCs/>
              </w:rPr>
              <w:t xml:space="preserve">% </w:t>
            </w:r>
            <w:proofErr w:type="gramStart"/>
            <w:r w:rsidRPr="00921684">
              <w:rPr>
                <w:rFonts w:asciiTheme="minorHAnsi" w:eastAsia="Calibri" w:hAnsiTheme="minorHAnsi" w:cstheme="minorHAnsi"/>
                <w:b/>
                <w:bCs/>
              </w:rPr>
              <w:t>payment</w:t>
            </w:r>
            <w:proofErr w:type="gramEnd"/>
            <w:r w:rsidRPr="00921684">
              <w:rPr>
                <w:rFonts w:asciiTheme="minorHAnsi" w:eastAsia="Calibri" w:hAnsiTheme="minorHAnsi" w:cstheme="minorHAnsi"/>
                <w:b/>
                <w:bCs/>
              </w:rPr>
              <w:t xml:space="preserve"> upon conclusion</w:t>
            </w:r>
          </w:p>
        </w:tc>
      </w:tr>
      <w:tr w:rsidR="00E0726C" w:rsidRPr="006B0A91" w14:paraId="200A7EF2" w14:textId="77777777" w:rsidTr="00007257">
        <w:trPr>
          <w:trHeight w:val="388"/>
        </w:trPr>
        <w:tc>
          <w:tcPr>
            <w:tcW w:w="4315" w:type="dxa"/>
          </w:tcPr>
          <w:p w14:paraId="785B6700"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 xml:space="preserve">i) </w:t>
            </w:r>
            <w:r w:rsidRPr="00921684">
              <w:rPr>
                <w:rFonts w:asciiTheme="minorHAnsi" w:hAnsiTheme="minorHAnsi" w:cstheme="minorHAnsi"/>
              </w:rPr>
              <w:t xml:space="preserve">Market analysis of Reverse Factoring solutions (and/or other types of supply chain finance products/mechanisms benefitting MSMEs) </w:t>
            </w:r>
          </w:p>
        </w:tc>
        <w:tc>
          <w:tcPr>
            <w:tcW w:w="2700" w:type="dxa"/>
            <w:vAlign w:val="center"/>
          </w:tcPr>
          <w:p w14:paraId="658B5E9D"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lang w:eastAsia="en-US"/>
              </w:rPr>
            </w:pPr>
            <w:r w:rsidRPr="00921684">
              <w:rPr>
                <w:rFonts w:asciiTheme="minorHAnsi" w:eastAsia="Calibri" w:hAnsiTheme="minorHAnsi" w:cstheme="minorHAnsi"/>
                <w:lang w:eastAsia="en-US"/>
              </w:rPr>
              <w:t>Month 4-5</w:t>
            </w:r>
          </w:p>
        </w:tc>
        <w:tc>
          <w:tcPr>
            <w:tcW w:w="3165" w:type="dxa"/>
            <w:vAlign w:val="center"/>
          </w:tcPr>
          <w:p w14:paraId="2EB9915E"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rPr>
            </w:pPr>
            <w:r w:rsidRPr="00921684">
              <w:rPr>
                <w:rFonts w:asciiTheme="minorHAnsi" w:eastAsia="Calibri" w:hAnsiTheme="minorHAnsi" w:cstheme="minorHAnsi"/>
              </w:rPr>
              <w:t>25%</w:t>
            </w:r>
          </w:p>
        </w:tc>
      </w:tr>
      <w:tr w:rsidR="00E0726C" w:rsidRPr="006B0A91" w14:paraId="0256E949" w14:textId="77777777" w:rsidTr="00007257">
        <w:trPr>
          <w:trHeight w:val="345"/>
        </w:trPr>
        <w:tc>
          <w:tcPr>
            <w:tcW w:w="4315" w:type="dxa"/>
          </w:tcPr>
          <w:p w14:paraId="4DB4BB71" w14:textId="77777777" w:rsidR="00E0726C" w:rsidRPr="00921684" w:rsidRDefault="00E0726C" w:rsidP="00D84C54">
            <w:pPr>
              <w:spacing w:after="200" w:line="276" w:lineRule="auto"/>
              <w:contextualSpacing/>
              <w:jc w:val="both"/>
              <w:rPr>
                <w:rFonts w:asciiTheme="minorHAnsi" w:hAnsiTheme="minorHAnsi" w:cstheme="minorHAnsi"/>
              </w:rPr>
            </w:pPr>
            <w:r w:rsidRPr="00921684">
              <w:rPr>
                <w:rFonts w:asciiTheme="minorHAnsi" w:eastAsia="Calibri" w:hAnsiTheme="minorHAnsi" w:cstheme="minorHAnsi"/>
                <w:lang w:eastAsia="en-US"/>
              </w:rPr>
              <w:t xml:space="preserve">ii) </w:t>
            </w:r>
            <w:r w:rsidRPr="00921684">
              <w:rPr>
                <w:rFonts w:asciiTheme="minorHAnsi" w:hAnsiTheme="minorHAnsi" w:cstheme="minorHAnsi"/>
              </w:rPr>
              <w:t xml:space="preserve">Report with a summary of the conclusions and recommendations of the analysis. </w:t>
            </w:r>
          </w:p>
        </w:tc>
        <w:tc>
          <w:tcPr>
            <w:tcW w:w="2700" w:type="dxa"/>
            <w:vAlign w:val="center"/>
          </w:tcPr>
          <w:p w14:paraId="2987BA5D" w14:textId="77777777" w:rsidR="00E0726C" w:rsidRPr="006B0A91" w:rsidRDefault="00E0726C" w:rsidP="00D84C54">
            <w:pPr>
              <w:tabs>
                <w:tab w:val="left" w:pos="900"/>
              </w:tabs>
              <w:spacing w:after="200" w:line="276" w:lineRule="auto"/>
              <w:contextualSpacing/>
              <w:jc w:val="both"/>
              <w:rPr>
                <w:rFonts w:asciiTheme="minorHAnsi" w:eastAsiaTheme="minorHAnsi" w:hAnsiTheme="minorHAnsi" w:cstheme="minorHAnsi"/>
                <w:iCs/>
                <w:sz w:val="22"/>
                <w:szCs w:val="22"/>
                <w:highlight w:val="yellow"/>
              </w:rPr>
            </w:pPr>
            <w:r w:rsidRPr="00921684">
              <w:rPr>
                <w:rFonts w:asciiTheme="minorHAnsi" w:eastAsia="Calibri" w:hAnsiTheme="minorHAnsi" w:cstheme="minorHAnsi"/>
                <w:lang w:eastAsia="en-US"/>
              </w:rPr>
              <w:t>Month 6</w:t>
            </w:r>
          </w:p>
        </w:tc>
        <w:tc>
          <w:tcPr>
            <w:tcW w:w="3165" w:type="dxa"/>
            <w:vAlign w:val="center"/>
          </w:tcPr>
          <w:p w14:paraId="5705533B" w14:textId="77777777" w:rsidR="00E0726C" w:rsidRPr="00921684" w:rsidRDefault="00E0726C" w:rsidP="00D84C54">
            <w:pPr>
              <w:tabs>
                <w:tab w:val="left" w:pos="900"/>
              </w:tabs>
              <w:spacing w:after="200" w:line="276" w:lineRule="auto"/>
              <w:contextualSpacing/>
              <w:jc w:val="both"/>
              <w:rPr>
                <w:rFonts w:asciiTheme="minorHAnsi" w:eastAsia="Calibri" w:hAnsiTheme="minorHAnsi" w:cstheme="minorHAnsi"/>
              </w:rPr>
            </w:pPr>
            <w:r w:rsidRPr="00921684">
              <w:rPr>
                <w:rFonts w:asciiTheme="minorHAnsi" w:eastAsia="Calibri" w:hAnsiTheme="minorHAnsi" w:cstheme="minorHAnsi"/>
              </w:rPr>
              <w:t>25%</w:t>
            </w:r>
          </w:p>
        </w:tc>
      </w:tr>
    </w:tbl>
    <w:p w14:paraId="5B4049BE" w14:textId="77777777" w:rsidR="00E0726C" w:rsidRPr="006B0A91" w:rsidRDefault="00E0726C" w:rsidP="00D84C54">
      <w:pPr>
        <w:pStyle w:val="BodyTextIndent3"/>
        <w:tabs>
          <w:tab w:val="left" w:pos="1080"/>
        </w:tabs>
        <w:suppressAutoHyphens/>
        <w:ind w:left="792"/>
        <w:jc w:val="both"/>
        <w:textAlignment w:val="baseline"/>
        <w:rPr>
          <w:rFonts w:asciiTheme="minorHAnsi" w:eastAsiaTheme="minorHAnsi" w:hAnsiTheme="minorHAnsi" w:cstheme="minorHAnsi"/>
          <w:sz w:val="22"/>
          <w:szCs w:val="22"/>
        </w:rPr>
      </w:pPr>
    </w:p>
    <w:p w14:paraId="4C59EF04" w14:textId="77777777" w:rsidR="00E0726C" w:rsidRPr="00921684" w:rsidRDefault="00E0726C" w:rsidP="00D84C54">
      <w:pPr>
        <w:pStyle w:val="BodyTextIndent3"/>
        <w:tabs>
          <w:tab w:val="left" w:pos="1080"/>
        </w:tabs>
        <w:suppressAutoHyphens/>
        <w:ind w:left="792"/>
        <w:jc w:val="both"/>
        <w:textAlignment w:val="baseline"/>
        <w:rPr>
          <w:rFonts w:asciiTheme="minorHAnsi" w:eastAsiaTheme="minorHAnsi" w:hAnsiTheme="minorHAnsi" w:cstheme="minorHAnsi"/>
          <w:sz w:val="22"/>
          <w:szCs w:val="22"/>
        </w:rPr>
      </w:pPr>
    </w:p>
    <w:p w14:paraId="31335A00" w14:textId="77777777" w:rsidR="00E0726C" w:rsidRPr="00921684" w:rsidRDefault="00E0726C" w:rsidP="00D84C54">
      <w:pPr>
        <w:pStyle w:val="BodyTextIndent3"/>
        <w:tabs>
          <w:tab w:val="left" w:pos="1080"/>
        </w:tabs>
        <w:suppressAutoHyphens/>
        <w:ind w:left="792"/>
        <w:jc w:val="both"/>
        <w:textAlignment w:val="baseline"/>
        <w:rPr>
          <w:rFonts w:asciiTheme="minorHAnsi" w:eastAsiaTheme="minorHAnsi" w:hAnsiTheme="minorHAnsi" w:cstheme="minorHAnsi"/>
          <w:color w:val="auto"/>
          <w:sz w:val="22"/>
          <w:szCs w:val="22"/>
          <w:lang w:eastAsia="en-US"/>
        </w:rPr>
      </w:pPr>
    </w:p>
    <w:p w14:paraId="4618686C" w14:textId="21B7595A" w:rsidR="008C7908" w:rsidRPr="00921684" w:rsidRDefault="008C7908" w:rsidP="00D84C54">
      <w:pPr>
        <w:tabs>
          <w:tab w:val="left" w:pos="4275"/>
        </w:tabs>
        <w:jc w:val="both"/>
        <w:rPr>
          <w:rFonts w:asciiTheme="minorHAnsi" w:hAnsiTheme="minorHAnsi" w:cstheme="minorHAnsi"/>
        </w:rPr>
      </w:pPr>
    </w:p>
    <w:sectPr w:rsidR="008C7908" w:rsidRPr="00921684">
      <w:headerReference w:type="even" r:id="rId20"/>
      <w:headerReference w:type="default" r:id="rId21"/>
      <w:footerReference w:type="even" r:id="rId22"/>
      <w:footerReference w:type="default" r:id="rId23"/>
      <w:headerReference w:type="first" r:id="rId24"/>
      <w:footerReference w:type="first" r:id="rId25"/>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0445" w14:textId="77777777" w:rsidR="00C67A1F" w:rsidRDefault="00C67A1F" w:rsidP="0056772C">
      <w:r>
        <w:separator/>
      </w:r>
    </w:p>
  </w:endnote>
  <w:endnote w:type="continuationSeparator" w:id="0">
    <w:p w14:paraId="673773A2" w14:textId="77777777" w:rsidR="00C67A1F" w:rsidRDefault="00C67A1F"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5E62" w14:textId="77777777" w:rsidR="00C67A1F" w:rsidRDefault="00C67A1F" w:rsidP="0056772C">
      <w:r>
        <w:separator/>
      </w:r>
    </w:p>
  </w:footnote>
  <w:footnote w:type="continuationSeparator" w:id="0">
    <w:p w14:paraId="3EB6474F" w14:textId="77777777" w:rsidR="00C67A1F" w:rsidRDefault="00C67A1F" w:rsidP="0056772C">
      <w:r>
        <w:continuationSeparator/>
      </w:r>
    </w:p>
  </w:footnote>
  <w:footnote w:id="1">
    <w:p w14:paraId="1A107AE8" w14:textId="77777777" w:rsidR="00E0726C" w:rsidRDefault="00E0726C" w:rsidP="00E0726C">
      <w:pPr>
        <w:pStyle w:val="FootnoteText"/>
      </w:pPr>
      <w:r>
        <w:rPr>
          <w:rStyle w:val="FootnoteReference"/>
        </w:rPr>
        <w:footnoteRef/>
      </w:r>
      <w:r>
        <w:t xml:space="preserve"> </w:t>
      </w:r>
      <w:r w:rsidRPr="001E357D">
        <w:rPr>
          <w:sz w:val="16"/>
          <w:szCs w:val="16"/>
        </w:rPr>
        <w:t>OECD/ECLAC (2013), Latin American Economic Outlook: SME Policies for Structural Change.</w:t>
      </w:r>
    </w:p>
  </w:footnote>
  <w:footnote w:id="2">
    <w:p w14:paraId="0547E602" w14:textId="77777777" w:rsidR="00E0726C" w:rsidRPr="0045275B" w:rsidRDefault="00E0726C" w:rsidP="00E0726C">
      <w:pPr>
        <w:pStyle w:val="FootnoteText"/>
      </w:pPr>
      <w:r>
        <w:rPr>
          <w:rStyle w:val="FootnoteReference"/>
        </w:rPr>
        <w:footnoteRef/>
      </w:r>
      <w:r w:rsidRPr="0045275B">
        <w:t xml:space="preserve"> </w:t>
      </w:r>
      <w:r w:rsidRPr="0045275B">
        <w:rPr>
          <w:sz w:val="16"/>
          <w:szCs w:val="16"/>
        </w:rPr>
        <w:t xml:space="preserve">Other </w:t>
      </w:r>
      <w:r>
        <w:rPr>
          <w:sz w:val="16"/>
          <w:szCs w:val="16"/>
        </w:rPr>
        <w:t xml:space="preserve">equivalent </w:t>
      </w:r>
      <w:r w:rsidRPr="0045275B">
        <w:rPr>
          <w:sz w:val="16"/>
          <w:szCs w:val="16"/>
        </w:rPr>
        <w:t xml:space="preserve">product names used in the market are: Approved Payables Finance, Confirming, </w:t>
      </w:r>
      <w:r>
        <w:rPr>
          <w:sz w:val="16"/>
          <w:szCs w:val="16"/>
        </w:rPr>
        <w:t xml:space="preserve">Confirmed Payables, </w:t>
      </w:r>
      <w:r w:rsidRPr="0045275B">
        <w:rPr>
          <w:sz w:val="16"/>
          <w:szCs w:val="16"/>
        </w:rPr>
        <w:t>Buyer-Led Supply Chain Finance and Supplier Finance.</w:t>
      </w:r>
      <w:r>
        <w:t xml:space="preserve"> </w:t>
      </w:r>
    </w:p>
  </w:footnote>
  <w:footnote w:id="3">
    <w:p w14:paraId="324F9865" w14:textId="77777777" w:rsidR="00E0726C" w:rsidRDefault="00E0726C" w:rsidP="00E0726C">
      <w:pPr>
        <w:pStyle w:val="ListParagraph"/>
        <w:ind w:left="0"/>
        <w:jc w:val="both"/>
      </w:pPr>
      <w:r>
        <w:rPr>
          <w:rStyle w:val="FootnoteReference"/>
        </w:rPr>
        <w:footnoteRef/>
      </w:r>
      <w:r w:rsidRPr="00034B6A">
        <w:rPr>
          <w:color w:val="000000" w:themeColor="text1"/>
        </w:rPr>
        <w:t>http://documents1.worldbank.org/curated/en/359771613563556978/pdf/Supply-Chain-Finance-by-Development-Banks-and-Public-Entities-Handbook.pdf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3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7170B5"/>
    <w:multiLevelType w:val="multilevel"/>
    <w:tmpl w:val="19621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C65F78"/>
    <w:multiLevelType w:val="multilevel"/>
    <w:tmpl w:val="1B08451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7B02271"/>
    <w:multiLevelType w:val="hybridMultilevel"/>
    <w:tmpl w:val="19205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AA215EB"/>
    <w:multiLevelType w:val="hybridMultilevel"/>
    <w:tmpl w:val="AA3A10F8"/>
    <w:lvl w:ilvl="0" w:tplc="04090001">
      <w:start w:val="1"/>
      <w:numFmt w:val="bullet"/>
      <w:lvlText w:val=""/>
      <w:lvlJc w:val="left"/>
      <w:pPr>
        <w:ind w:left="1080" w:hanging="720"/>
      </w:pPr>
      <w:rPr>
        <w:rFonts w:ascii="Symbol" w:hAnsi="Symbol" w:hint="default"/>
        <w:color w:val="auto"/>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E6C61B3"/>
    <w:multiLevelType w:val="hybridMultilevel"/>
    <w:tmpl w:val="B052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07989"/>
    <w:rsid w:val="0003493A"/>
    <w:rsid w:val="00045E4D"/>
    <w:rsid w:val="00050DB5"/>
    <w:rsid w:val="000C118D"/>
    <w:rsid w:val="00113496"/>
    <w:rsid w:val="0013329A"/>
    <w:rsid w:val="00151012"/>
    <w:rsid w:val="00170248"/>
    <w:rsid w:val="0017622F"/>
    <w:rsid w:val="001F2366"/>
    <w:rsid w:val="001F7A06"/>
    <w:rsid w:val="001F7F03"/>
    <w:rsid w:val="00237FE3"/>
    <w:rsid w:val="00250314"/>
    <w:rsid w:val="0028565B"/>
    <w:rsid w:val="00285A01"/>
    <w:rsid w:val="002B46F7"/>
    <w:rsid w:val="002C3359"/>
    <w:rsid w:val="002D792B"/>
    <w:rsid w:val="002E7B51"/>
    <w:rsid w:val="002F368D"/>
    <w:rsid w:val="00360ACB"/>
    <w:rsid w:val="0037387F"/>
    <w:rsid w:val="00377B1F"/>
    <w:rsid w:val="003800C7"/>
    <w:rsid w:val="0039359E"/>
    <w:rsid w:val="003C4BA8"/>
    <w:rsid w:val="003C6547"/>
    <w:rsid w:val="003F5CA1"/>
    <w:rsid w:val="003F79E2"/>
    <w:rsid w:val="004003E8"/>
    <w:rsid w:val="00423E38"/>
    <w:rsid w:val="00427A54"/>
    <w:rsid w:val="004A3654"/>
    <w:rsid w:val="004A57F6"/>
    <w:rsid w:val="004B39B5"/>
    <w:rsid w:val="004D1120"/>
    <w:rsid w:val="004D51F3"/>
    <w:rsid w:val="005029DE"/>
    <w:rsid w:val="005050FA"/>
    <w:rsid w:val="0051231A"/>
    <w:rsid w:val="0052634A"/>
    <w:rsid w:val="00556C08"/>
    <w:rsid w:val="005673D5"/>
    <w:rsid w:val="0056772C"/>
    <w:rsid w:val="006071D7"/>
    <w:rsid w:val="00610FF4"/>
    <w:rsid w:val="00637714"/>
    <w:rsid w:val="00637BD8"/>
    <w:rsid w:val="00682308"/>
    <w:rsid w:val="006B0A91"/>
    <w:rsid w:val="006B2E01"/>
    <w:rsid w:val="006C3B20"/>
    <w:rsid w:val="006F7E7D"/>
    <w:rsid w:val="0078460F"/>
    <w:rsid w:val="007A5529"/>
    <w:rsid w:val="007B5CBA"/>
    <w:rsid w:val="008171F3"/>
    <w:rsid w:val="00891E3C"/>
    <w:rsid w:val="008A21DD"/>
    <w:rsid w:val="008C7908"/>
    <w:rsid w:val="00901303"/>
    <w:rsid w:val="00921684"/>
    <w:rsid w:val="00926773"/>
    <w:rsid w:val="009427AD"/>
    <w:rsid w:val="0094403E"/>
    <w:rsid w:val="00994BFB"/>
    <w:rsid w:val="009B688E"/>
    <w:rsid w:val="009C25E3"/>
    <w:rsid w:val="009C3B3C"/>
    <w:rsid w:val="009C4009"/>
    <w:rsid w:val="00A15B62"/>
    <w:rsid w:val="00A24DB9"/>
    <w:rsid w:val="00A37CA7"/>
    <w:rsid w:val="00A838F0"/>
    <w:rsid w:val="00AA7F7E"/>
    <w:rsid w:val="00AD6E3D"/>
    <w:rsid w:val="00AE7268"/>
    <w:rsid w:val="00B17BF0"/>
    <w:rsid w:val="00B27293"/>
    <w:rsid w:val="00B841B2"/>
    <w:rsid w:val="00BC257C"/>
    <w:rsid w:val="00BC6463"/>
    <w:rsid w:val="00BF0B50"/>
    <w:rsid w:val="00BF4559"/>
    <w:rsid w:val="00BF5CD3"/>
    <w:rsid w:val="00C17F33"/>
    <w:rsid w:val="00C27587"/>
    <w:rsid w:val="00C42B39"/>
    <w:rsid w:val="00C439C0"/>
    <w:rsid w:val="00C67A1F"/>
    <w:rsid w:val="00CA49B4"/>
    <w:rsid w:val="00CA7C9E"/>
    <w:rsid w:val="00CD36BB"/>
    <w:rsid w:val="00CD4904"/>
    <w:rsid w:val="00D34681"/>
    <w:rsid w:val="00D572FB"/>
    <w:rsid w:val="00D84C54"/>
    <w:rsid w:val="00DA6CF7"/>
    <w:rsid w:val="00DC3A7A"/>
    <w:rsid w:val="00DE327F"/>
    <w:rsid w:val="00E0726C"/>
    <w:rsid w:val="00E277C5"/>
    <w:rsid w:val="00E91E93"/>
    <w:rsid w:val="00EB3560"/>
    <w:rsid w:val="00ED4D33"/>
    <w:rsid w:val="00F45D9C"/>
    <w:rsid w:val="00F50B15"/>
    <w:rsid w:val="00F74266"/>
    <w:rsid w:val="00FF6750"/>
    <w:rsid w:val="10E76954"/>
    <w:rsid w:val="1B0650FE"/>
    <w:rsid w:val="1FB12BE9"/>
    <w:rsid w:val="23C30F60"/>
    <w:rsid w:val="2CDD2216"/>
    <w:rsid w:val="36854241"/>
    <w:rsid w:val="4738AB8D"/>
    <w:rsid w:val="633C71E7"/>
    <w:rsid w:val="64D200BA"/>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paragraph" w:customStyle="1" w:styleId="xmsolistparagraph">
    <w:name w:val="x_msolistparagraph"/>
    <w:basedOn w:val="Normal"/>
    <w:rsid w:val="00BC6463"/>
    <w:pPr>
      <w:widowControl/>
      <w:autoSpaceDE/>
      <w:autoSpaceDN/>
      <w:adjustRightInd/>
      <w:ind w:left="720"/>
    </w:pPr>
    <w:rPr>
      <w:rFonts w:ascii="Calibri" w:eastAsiaTheme="minorHAnsi" w:hAnsi="Calibri" w:cs="Calibri"/>
      <w:color w:val="auto"/>
      <w:sz w:val="22"/>
      <w:szCs w:val="22"/>
      <w:lang w:val="es-CO" w:eastAsia="es-CO"/>
    </w:rPr>
  </w:style>
  <w:style w:type="paragraph" w:styleId="ListParagraph">
    <w:name w:val="List Paragraph"/>
    <w:aliases w:val="Bullet list first level,Capítulo,Bullet list,IFCL - List Paragraph,123 List Paragraph,Main numbered paragraph,List Paragraph (numbered (a)),Bullets,Body,References,List_Paragraph,Multilevel para_II,List Paragraph1,Bullet,Normal 2 DC"/>
    <w:basedOn w:val="Normal"/>
    <w:link w:val="ListParagraphChar"/>
    <w:uiPriority w:val="34"/>
    <w:qFormat/>
    <w:rsid w:val="00BC6463"/>
    <w:pPr>
      <w:ind w:left="720"/>
      <w:contextualSpacing/>
    </w:pPr>
  </w:style>
  <w:style w:type="paragraph" w:styleId="BodyTextIndent3">
    <w:name w:val="Body Text Indent 3"/>
    <w:basedOn w:val="Normal"/>
    <w:link w:val="BodyTextIndent3Char"/>
    <w:uiPriority w:val="99"/>
    <w:semiHidden/>
    <w:unhideWhenUsed/>
    <w:rsid w:val="00E072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726C"/>
    <w:rPr>
      <w:rFonts w:ascii="Arial" w:hAnsi="Arial" w:cs="Arial"/>
      <w:color w:val="000000"/>
      <w:sz w:val="16"/>
      <w:szCs w:val="16"/>
      <w:lang w:val="en-US"/>
    </w:rPr>
  </w:style>
  <w:style w:type="table" w:styleId="TableGrid">
    <w:name w:val="Table Grid"/>
    <w:basedOn w:val="TableNormal"/>
    <w:uiPriority w:val="59"/>
    <w:rsid w:val="00E072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first level Char,Capítulo Char,Bullet list Char,IFCL - List Paragraph Char,123 List Paragraph Char,Main numbered paragraph Char,List Paragraph (numbered (a)) Char,Bullets Char,Body Char,References Char,List_Paragraph Char"/>
    <w:link w:val="ListParagraph"/>
    <w:uiPriority w:val="34"/>
    <w:qFormat/>
    <w:locked/>
    <w:rsid w:val="00E0726C"/>
    <w:rPr>
      <w:rFonts w:ascii="Arial" w:hAnsi="Arial" w:cs="Arial"/>
      <w:color w:val="000000"/>
      <w:sz w:val="24"/>
      <w:szCs w:val="24"/>
      <w:lang w:val="en-US"/>
    </w:rPr>
  </w:style>
  <w:style w:type="paragraph" w:styleId="FootnoteText">
    <w:name w:val="footnote text"/>
    <w:aliases w:val="F,Style 25,Footnote Text Char Char,Footnote Text1 Char,Footnote Text Char Char Char Char,fn,Texto nota pie IIRSA,single space,texto de nota al pie,Texto nota pie Car Car Car Car Car Car Car Car,Texto nota pie Car Car Car"/>
    <w:basedOn w:val="Normal"/>
    <w:link w:val="FootnoteTextChar"/>
    <w:uiPriority w:val="99"/>
    <w:unhideWhenUsed/>
    <w:qFormat/>
    <w:rsid w:val="00E0726C"/>
    <w:pPr>
      <w:widowControl/>
      <w:autoSpaceDE/>
      <w:autoSpaceDN/>
      <w:adjustRightInd/>
    </w:pPr>
    <w:rPr>
      <w:rFonts w:ascii="Times New Roman" w:eastAsia="Times New Roman" w:hAnsi="Times New Roman" w:cs="Times New Roman"/>
      <w:color w:val="auto"/>
      <w:sz w:val="20"/>
      <w:szCs w:val="20"/>
      <w:lang w:eastAsia="en-US"/>
    </w:rPr>
  </w:style>
  <w:style w:type="character" w:customStyle="1" w:styleId="FootnoteTextChar">
    <w:name w:val="Footnote Text Char"/>
    <w:aliases w:val="F Char,Style 25 Char,Footnote Text Char Char Char,Footnote Text1 Char Char,Footnote Text Char Char Char Char Char,fn Char,Texto nota pie IIRSA Char,single space Char,texto de nota al pie Char,Texto nota pie Car Car Car Char"/>
    <w:basedOn w:val="DefaultParagraphFont"/>
    <w:link w:val="FootnoteText"/>
    <w:uiPriority w:val="99"/>
    <w:rsid w:val="00E0726C"/>
    <w:rPr>
      <w:rFonts w:ascii="Times New Roman" w:eastAsia="Times New Roman" w:hAnsi="Times New Roman" w:cs="Times New Roman"/>
      <w:sz w:val="20"/>
      <w:szCs w:val="20"/>
      <w:lang w:val="en-US" w:eastAsia="en-US"/>
    </w:rPr>
  </w:style>
  <w:style w:type="character" w:styleId="FootnoteReference">
    <w:name w:val="footnote reference"/>
    <w:aliases w:val="Style 24,o,ftref,Fußnotenzeichen DISS,16 Point,Superscript 6 Point,BVI fnr, BVI fnr,Знак сноски 1,referencia nota al pie,titulo 2,FC,Footnote Referencefra,Ref. de nota al pie.,Footnote Reference.SES,Ref. de nota al pie EDEP,pie pddes"/>
    <w:basedOn w:val="DefaultParagraphFont"/>
    <w:uiPriority w:val="99"/>
    <w:unhideWhenUsed/>
    <w:qFormat/>
    <w:rsid w:val="00E0726C"/>
    <w:rPr>
      <w:vertAlign w:val="superscript"/>
    </w:rPr>
  </w:style>
  <w:style w:type="character" w:styleId="UnresolvedMention">
    <w:name w:val="Unresolved Mention"/>
    <w:basedOn w:val="DefaultParagraphFont"/>
    <w:uiPriority w:val="99"/>
    <w:semiHidden/>
    <w:unhideWhenUsed/>
    <w:rsid w:val="007A5529"/>
    <w:rPr>
      <w:color w:val="605E5C"/>
      <w:shd w:val="clear" w:color="auto" w:fill="E1DFDD"/>
    </w:rPr>
  </w:style>
  <w:style w:type="paragraph" w:customStyle="1" w:styleId="Default">
    <w:name w:val="Default"/>
    <w:rsid w:val="0017622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7726">
      <w:bodyDiv w:val="1"/>
      <w:marLeft w:val="0"/>
      <w:marRight w:val="0"/>
      <w:marTop w:val="0"/>
      <w:marBottom w:val="0"/>
      <w:divBdr>
        <w:top w:val="none" w:sz="0" w:space="0" w:color="auto"/>
        <w:left w:val="none" w:sz="0" w:space="0" w:color="auto"/>
        <w:bottom w:val="none" w:sz="0" w:space="0" w:color="auto"/>
        <w:right w:val="none" w:sz="0" w:space="0" w:color="auto"/>
      </w:divBdr>
    </w:div>
    <w:div w:id="17979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sanama@iadb.org" TargetMode="External"/><Relationship Id="rId26"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idbdocs.iadb.org/wsdocs/getdocument.aspx?DOCNUM=38988574" TargetMode="External"/><Relationship Id="rId25" Type="http://schemas.openxmlformats.org/officeDocument/2006/relationships/footer" Target="footer3.xml"/><Relationship Id="rId33" Type="http://schemas.openxmlformats.org/officeDocument/2006/relationships/customXml" Target="../customXml/item5.xml"/><Relationship Id="rId16" Type="http://schemas.openxmlformats.org/officeDocument/2006/relationships/hyperlink" Target="https://www.iadb.org/en/project/RG-T3502" TargetMode="External"/><Relationship Id="rId20" Type="http://schemas.openxmlformats.org/officeDocument/2006/relationships/header" Target="header1.xml"/><Relationship Id="rId29" Type="http://schemas.openxmlformats.org/officeDocument/2006/relationships/customXml" Target="../customXml/item1.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customXml" Target="../customXml/item4.xml"/><Relationship Id="rId15" Type="http://schemas.openxmlformats.org/officeDocument/2006/relationships/hyperlink" Target="http://beo-procurement.iadb.org/hom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iadb.org" TargetMode="External"/><Relationship Id="rId31"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6C4FBB6EEF407CBDCD9B3BD78BD98A"/>
        <w:category>
          <w:name w:val="General"/>
          <w:gallery w:val="placeholder"/>
        </w:category>
        <w:types>
          <w:type w:val="bbPlcHdr"/>
        </w:types>
        <w:behaviors>
          <w:behavior w:val="content"/>
        </w:behaviors>
        <w:guid w:val="{A86CA64C-3E51-4844-82A7-E4B0B4073ECD}"/>
      </w:docPartPr>
      <w:docPartBody>
        <w:p w:rsidR="00B249CC" w:rsidRDefault="00011FCB" w:rsidP="00011FCB">
          <w:pPr>
            <w:pStyle w:val="936C4FBB6EEF407CBDCD9B3BD78BD98A"/>
          </w:pPr>
          <w:r w:rsidRPr="002D2602">
            <w:rPr>
              <w:rFonts w:cstheme="minorHAnsi"/>
              <w:iCs/>
              <w:spacing w:val="-2"/>
            </w:rPr>
            <w:t>insert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CB"/>
    <w:rsid w:val="00011FCB"/>
    <w:rsid w:val="002D6C69"/>
    <w:rsid w:val="00625122"/>
    <w:rsid w:val="00B249CC"/>
    <w:rsid w:val="00D5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6C4FBB6EEF407CBDCD9B3BD78BD98A">
    <w:name w:val="936C4FBB6EEF407CBDCD9B3BD78BD98A"/>
    <w:rsid w:val="00011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757BA888AC2D6F48B18B4DAA34449954" ma:contentTypeVersion="2941" ma:contentTypeDescription="A content type to manage public (operations) IDB documents" ma:contentTypeScope="" ma:versionID="ff411f11684577cf455ac9c2d38aaee5">
  <xsd:schema xmlns:xsd="http://www.w3.org/2001/XMLSchema" xmlns:xs="http://www.w3.org/2001/XMLSchema" xmlns:p="http://schemas.microsoft.com/office/2006/metadata/properties" xmlns:ns2="cdc7663a-08f0-4737-9e8c-148ce897a09c" targetNamespace="http://schemas.microsoft.com/office/2006/metadata/properties" ma:root="true" ma:fieldsID="f803cd1e1ac38d7ed2300151e168f3b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50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ATN/OC-17737-RG</Approval_x0020_Number>
    <Phase xmlns="cdc7663a-08f0-4737-9e8c-148ce897a09c">PHASE_IMPLEMENTATION</Phase>
    <Document_x0020_Author xmlns="cdc7663a-08f0-4737-9e8c-148ce897a09c">Velasquez Nano,Briana Alexandra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SMALL AND MEDIUM ENTERPRISE</TermName>
          <TermId xmlns="http://schemas.microsoft.com/office/infopath/2007/PartnerControls">dc60e909-07f3-41c5-be67-c26ad544a0ce</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CTY</TermName>
          <TermId xmlns="http://schemas.microsoft.com/office/infopath/2007/PartnerControls">480c4b50-1d26-4981-a192-620d20903d26</TermId>
        </TermInfo>
      </Terms>
    </g511464f9e53401d84b16fa9b379a574>
    <Related_x0020_SisCor_x0020_Number xmlns="cdc7663a-08f0-4737-9e8c-148ce897a09c" xsi:nil="true"/>
    <TaxCatchAll xmlns="cdc7663a-08f0-4737-9e8c-148ce897a09c">
      <Value>6</Value>
      <Value>97</Value>
      <Value>95</Value>
      <Value>44</Value>
      <Value>785</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RG-T3502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 xsi:nil="true"/>
    <Extracted_x0020_Keywords xmlns="cdc7663a-08f0-4737-9e8c-148ce897a09c">
      <Value>suitable Reverse Factoring</Value>
      <Value>other types</Value>
      <Value>Innovation Division</Value>
      <Value>Jamaica</Value>
      <Value>Suriname</Value>
      <Value>Trinidad</Value>
      <Value>Tobago</Value>
      <Value>availability</Value>
      <Value>Bahamas</Value>
      <Value>Barbados</Value>
      <Value>Belize</Value>
      <Value>access</Value>
      <Value>supply chain finance products</Value>
      <Value>Medium Enterprises</Value>
      <Value>market gaps</Value>
      <Value>large companies</Value>
      <Value>mechanisms</Value>
      <Value>needs</Value>
      <Value>opportunities</Value>
      <Value>Competitiveness</Value>
      <Value>Technology</Value>
      <Value>IFD/CTI</Value>
      <Value>situation</Value>
      <Value>local market landscape</Value>
      <Value>main market players</Value>
    </Extracted_x0020_Keywords>
    <_dlc_DocId xmlns="cdc7663a-08f0-4737-9e8c-148ce897a09c">EZSHARE-387368034-19</_dlc_DocId>
    <_dlc_DocIdUrl xmlns="cdc7663a-08f0-4737-9e8c-148ce897a09c">
      <Url>https://idbg.sharepoint.com/teams/EZ-RG-TCP/RG-T3502/_layouts/15/DocIdRedir.aspx?ID=EZSHARE-387368034-19</Url>
      <Description>EZSHARE-387368034-19</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8BEF0D8C-33C6-4890-BE5D-C466809FEC22}"/>
</file>

<file path=customXml/itemProps2.xml><?xml version="1.0" encoding="utf-8"?>
<ds:datastoreItem xmlns:ds="http://schemas.openxmlformats.org/officeDocument/2006/customXml" ds:itemID="{85DFD76A-CBC3-4505-B2D0-ED041867F6E0}"/>
</file>

<file path=customXml/itemProps3.xml><?xml version="1.0" encoding="utf-8"?>
<ds:datastoreItem xmlns:ds="http://schemas.openxmlformats.org/officeDocument/2006/customXml" ds:itemID="{173908C7-F7AC-4E47-A129-1B5729EAFE6C}"/>
</file>

<file path=customXml/itemProps4.xml><?xml version="1.0" encoding="utf-8"?>
<ds:datastoreItem xmlns:ds="http://schemas.openxmlformats.org/officeDocument/2006/customXml" ds:itemID="{0BC9F818-B28A-4206-ADDF-C56FA09D64D8}"/>
</file>

<file path=customXml/itemProps5.xml><?xml version="1.0" encoding="utf-8"?>
<ds:datastoreItem xmlns:ds="http://schemas.openxmlformats.org/officeDocument/2006/customXml" ds:itemID="{12A0A2CB-1A33-4453-A574-66C282554C11}"/>
</file>

<file path=customXml/itemProps6.xml><?xml version="1.0" encoding="utf-8"?>
<ds:datastoreItem xmlns:ds="http://schemas.openxmlformats.org/officeDocument/2006/customXml" ds:itemID="{BD3C359E-9928-49CF-B3AC-39A466F7CCD4}"/>
</file>

<file path=docProps/app.xml><?xml version="1.0" encoding="utf-8"?>
<Properties xmlns="http://schemas.openxmlformats.org/officeDocument/2006/extended-properties" xmlns:vt="http://schemas.openxmlformats.org/officeDocument/2006/docPropsVTypes">
  <Template>Normal</Template>
  <TotalTime>33</TotalTime>
  <Pages>7</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Guillen, Elena</cp:lastModifiedBy>
  <cp:revision>11</cp:revision>
  <cp:lastPrinted>2015-01-20T22:56:00Z</cp:lastPrinted>
  <dcterms:created xsi:type="dcterms:W3CDTF">2022-01-18T17:08:00Z</dcterms:created>
  <dcterms:modified xsi:type="dcterms:W3CDTF">2022-01-18T17:45:00Z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44;#Regional|2537a5b7-6d8e-482c-94dc-32c3cc44ff65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6;#Goods and Services|5bfebf1b-9f1f-4411-b1dd-4c19b807b799</vt:lpwstr>
  </property>
  <property fmtid="{D5CDD505-2E9C-101B-9397-08002B2CF9AE}" pid="10" name="Sector_x0020_IDB">
    <vt:lpwstr/>
  </property>
  <property fmtid="{D5CDD505-2E9C-101B-9397-08002B2CF9AE}" pid="11" name="Sub-Sector">
    <vt:lpwstr>97;#SMALL AND MEDIUM ENTERPRISE|dc60e909-07f3-41c5-be67-c26ad544a0ce</vt:lpwstr>
  </property>
  <property fmtid="{D5CDD505-2E9C-101B-9397-08002B2CF9AE}" pid="13" name="Fund IDB">
    <vt:lpwstr>785;#CTY|480c4b50-1d26-4981-a192-620d20903d26</vt:lpwstr>
  </property>
  <property fmtid="{D5CDD505-2E9C-101B-9397-08002B2CF9AE}" pid="14" name="Sector IDB">
    <vt:lpwstr>95;#PRIVATE FIRMS AND SME DEVELOPMENT|c1e6207a-501c-43c6-a42a-7c1a019b2e26</vt:lpwstr>
  </property>
  <property fmtid="{D5CDD505-2E9C-101B-9397-08002B2CF9AE}" pid="15" name="_dlc_DocIdItemGuid">
    <vt:lpwstr>3a2817f5-99c7-4f8a-b853-eaeac90d6b66</vt:lpwstr>
  </property>
  <property fmtid="{D5CDD505-2E9C-101B-9397-08002B2CF9AE}" pid="18" name="ContentTypeId">
    <vt:lpwstr>0x0101001A458A224826124E8B45B1D613300CFC00757BA888AC2D6F48B18B4DAA34449954</vt:lpwstr>
  </property>
  <property fmtid="{D5CDD505-2E9C-101B-9397-08002B2CF9AE}" pid="19" name="Series Operations IDB">
    <vt:lpwstr/>
  </property>
</Properties>
</file>