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46E3F" w14:textId="5A1D5527" w:rsidR="00D761FB" w:rsidRPr="00206D9F" w:rsidRDefault="00546C8D">
      <w:pPr>
        <w:pStyle w:val="Heading1a"/>
        <w:keepNext w:val="0"/>
        <w:keepLines w:val="0"/>
        <w:tabs>
          <w:tab w:val="clear" w:pos="-720"/>
        </w:tabs>
        <w:suppressAutoHyphens w:val="0"/>
        <w:jc w:val="left"/>
        <w:rPr>
          <w:rFonts w:asciiTheme="minorHAnsi" w:hAnsiTheme="minorHAnsi" w:cstheme="minorHAnsi"/>
          <w:smallCaps w:val="0"/>
          <w:sz w:val="28"/>
          <w:u w:val="single"/>
          <w:lang w:val="es-CO"/>
        </w:rPr>
      </w:pPr>
      <w:r>
        <w:rPr>
          <w:noProof/>
        </w:rPr>
        <w:drawing>
          <wp:inline distT="0" distB="0" distL="0" distR="0" wp14:anchorId="24176DB2" wp14:editId="427E340D">
            <wp:extent cx="195262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952625" cy="495300"/>
                    </a:xfrm>
                    <a:prstGeom prst="rect">
                      <a:avLst/>
                    </a:prstGeom>
                  </pic:spPr>
                </pic:pic>
              </a:graphicData>
            </a:graphic>
          </wp:inline>
        </w:drawing>
      </w:r>
      <w:r w:rsidRPr="00206D9F">
        <w:rPr>
          <w:rFonts w:asciiTheme="minorHAnsi" w:hAnsiTheme="minorHAnsi"/>
          <w:lang w:val="es-CO"/>
        </w:rPr>
        <w:t xml:space="preserve">                </w:t>
      </w:r>
    </w:p>
    <w:p w14:paraId="7BC714B6" w14:textId="54758581" w:rsidR="00D761FB" w:rsidRPr="00206D9F" w:rsidRDefault="00546C8D" w:rsidP="08202347">
      <w:pPr>
        <w:pStyle w:val="Heading1a"/>
        <w:keepNext w:val="0"/>
        <w:keepLines w:val="0"/>
        <w:tabs>
          <w:tab w:val="clear" w:pos="-720"/>
        </w:tabs>
        <w:suppressAutoHyphens w:val="0"/>
        <w:rPr>
          <w:rFonts w:asciiTheme="minorHAnsi" w:eastAsiaTheme="minorEastAsia" w:hAnsiTheme="minorHAnsi" w:cstheme="minorBidi"/>
          <w:sz w:val="28"/>
          <w:szCs w:val="28"/>
          <w:u w:val="single"/>
          <w:lang w:val="es-CO"/>
        </w:rPr>
      </w:pPr>
      <w:r w:rsidRPr="00206D9F">
        <w:rPr>
          <w:rFonts w:asciiTheme="minorHAnsi" w:eastAsiaTheme="minorEastAsia" w:hAnsiTheme="minorHAnsi" w:cstheme="minorBidi"/>
          <w:smallCaps w:val="0"/>
          <w:sz w:val="28"/>
          <w:szCs w:val="28"/>
          <w:u w:val="single"/>
          <w:lang w:val="es-CO"/>
        </w:rPr>
        <w:t xml:space="preserve">SOLICITUD DE </w:t>
      </w:r>
      <w:r w:rsidR="00E82ED1" w:rsidRPr="00206D9F">
        <w:rPr>
          <w:rFonts w:asciiTheme="minorHAnsi" w:eastAsiaTheme="minorEastAsia" w:hAnsiTheme="minorHAnsi" w:cstheme="minorBidi"/>
          <w:smallCaps w:val="0"/>
          <w:sz w:val="28"/>
          <w:szCs w:val="28"/>
          <w:u w:val="single"/>
          <w:lang w:val="es-CO"/>
        </w:rPr>
        <w:t xml:space="preserve">EXPRESIONES </w:t>
      </w:r>
      <w:r w:rsidRPr="00206D9F">
        <w:rPr>
          <w:rFonts w:asciiTheme="minorHAnsi" w:eastAsiaTheme="minorEastAsia" w:hAnsiTheme="minorHAnsi" w:cstheme="minorBidi"/>
          <w:smallCaps w:val="0"/>
          <w:sz w:val="28"/>
          <w:szCs w:val="28"/>
          <w:u w:val="single"/>
          <w:lang w:val="es-CO"/>
        </w:rPr>
        <w:t>DE INTERÉS</w:t>
      </w:r>
    </w:p>
    <w:p w14:paraId="32A39256" w14:textId="77777777" w:rsidR="00D761FB" w:rsidRDefault="00546C8D" w:rsidP="08202347">
      <w:pPr>
        <w:pStyle w:val="Heading1a"/>
        <w:keepNext w:val="0"/>
        <w:keepLines w:val="0"/>
        <w:tabs>
          <w:tab w:val="clear" w:pos="-720"/>
        </w:tabs>
        <w:suppressAutoHyphens w:val="0"/>
        <w:rPr>
          <w:rFonts w:asciiTheme="minorHAnsi" w:eastAsiaTheme="minorEastAsia" w:hAnsiTheme="minorHAnsi" w:cstheme="minorBidi"/>
          <w:sz w:val="28"/>
          <w:szCs w:val="28"/>
          <w:u w:val="single"/>
        </w:rPr>
      </w:pPr>
      <w:r w:rsidRPr="08202347">
        <w:rPr>
          <w:rFonts w:asciiTheme="minorHAnsi" w:eastAsiaTheme="minorEastAsia" w:hAnsiTheme="minorHAnsi" w:cstheme="minorBidi"/>
          <w:smallCaps w:val="0"/>
          <w:sz w:val="28"/>
          <w:szCs w:val="28"/>
          <w:u w:val="single"/>
        </w:rPr>
        <w:t>SERVICIOS DE CONSULTORÍA</w:t>
      </w:r>
    </w:p>
    <w:p w14:paraId="2E615853" w14:textId="77777777" w:rsidR="00D761FB" w:rsidRDefault="00D761FB">
      <w:pPr>
        <w:jc w:val="both"/>
        <w:rPr>
          <w:rFonts w:asciiTheme="minorHAnsi" w:hAnsiTheme="minorHAnsi" w:cs="Times New Roman"/>
          <w:color w:val="auto"/>
        </w:rPr>
      </w:pPr>
    </w:p>
    <w:p w14:paraId="628BF229" w14:textId="11FAB6EF" w:rsidR="00D761FB" w:rsidRDefault="08202347" w:rsidP="08202347">
      <w:pPr>
        <w:suppressAutoHyphens/>
        <w:rPr>
          <w:rFonts w:asciiTheme="minorHAnsi" w:hAnsiTheme="minorHAnsi" w:cstheme="minorBidi"/>
          <w:color w:val="0070C0"/>
        </w:rPr>
      </w:pPr>
      <w:r w:rsidRPr="08202347">
        <w:rPr>
          <w:rFonts w:asciiTheme="minorHAnsi" w:hAnsiTheme="minorHAnsi" w:cstheme="minorBidi"/>
          <w:color w:val="0070C0"/>
        </w:rPr>
        <w:t xml:space="preserve">Selección #: </w:t>
      </w:r>
      <w:r w:rsidR="009F39E0">
        <w:rPr>
          <w:rFonts w:asciiTheme="minorHAnsi" w:hAnsiTheme="minorHAnsi" w:cstheme="minorBidi"/>
          <w:b/>
          <w:bCs/>
          <w:color w:val="0070C0"/>
          <w:spacing w:val="-2"/>
        </w:rPr>
        <w:t>RG</w:t>
      </w:r>
      <w:r w:rsidR="009F39E0" w:rsidRPr="00F4097F">
        <w:rPr>
          <w:rFonts w:asciiTheme="minorHAnsi" w:hAnsiTheme="minorHAnsi" w:cstheme="minorBidi"/>
          <w:b/>
          <w:bCs/>
          <w:color w:val="0070C0"/>
          <w:spacing w:val="-2"/>
        </w:rPr>
        <w:t>-T</w:t>
      </w:r>
      <w:r w:rsidR="009F39E0">
        <w:rPr>
          <w:rFonts w:asciiTheme="minorHAnsi" w:hAnsiTheme="minorHAnsi" w:cstheme="minorBidi"/>
          <w:b/>
          <w:bCs/>
          <w:color w:val="0070C0"/>
          <w:spacing w:val="-2"/>
        </w:rPr>
        <w:t>3739</w:t>
      </w:r>
      <w:r w:rsidR="009F39E0" w:rsidRPr="00F4097F">
        <w:rPr>
          <w:rFonts w:asciiTheme="minorHAnsi" w:hAnsiTheme="minorHAnsi" w:cstheme="minorBidi"/>
          <w:b/>
          <w:bCs/>
          <w:color w:val="0070C0"/>
          <w:spacing w:val="-2"/>
        </w:rPr>
        <w:t>-P00</w:t>
      </w:r>
      <w:r w:rsidR="00565ECC">
        <w:rPr>
          <w:rFonts w:asciiTheme="minorHAnsi" w:hAnsiTheme="minorHAnsi" w:cstheme="minorBidi"/>
          <w:b/>
          <w:bCs/>
          <w:color w:val="0070C0"/>
          <w:spacing w:val="-2"/>
        </w:rPr>
        <w:t>2</w:t>
      </w:r>
    </w:p>
    <w:p w14:paraId="2FE659F0" w14:textId="433B810B" w:rsidR="00D761FB" w:rsidRDefault="08202347">
      <w:r w:rsidRPr="08202347">
        <w:rPr>
          <w:rFonts w:asciiTheme="minorHAnsi" w:hAnsiTheme="minorHAnsi" w:cstheme="minorBidi"/>
          <w:color w:val="0070C0"/>
        </w:rPr>
        <w:t>Método de selección:</w:t>
      </w:r>
      <w:r w:rsidR="00507F1F">
        <w:rPr>
          <w:rFonts w:asciiTheme="minorHAnsi" w:hAnsiTheme="minorHAnsi" w:cstheme="minorBidi"/>
          <w:color w:val="0070C0"/>
        </w:rPr>
        <w:t xml:space="preserve"> </w:t>
      </w:r>
      <w:r w:rsidR="00507F1F" w:rsidRPr="00C476D4">
        <w:rPr>
          <w:rFonts w:asciiTheme="minorHAnsi" w:hAnsiTheme="minorHAnsi" w:cstheme="minorBidi"/>
          <w:b/>
          <w:bCs/>
          <w:i/>
          <w:iCs/>
          <w:color w:val="0070C0"/>
        </w:rPr>
        <w:t>Selección Competitivo Simplificado</w:t>
      </w:r>
      <w:r w:rsidR="00172FEE">
        <w:rPr>
          <w:rFonts w:asciiTheme="minorHAnsi" w:hAnsiTheme="minorHAnsi" w:cstheme="minorBidi"/>
          <w:color w:val="0070C0"/>
        </w:rPr>
        <w:t xml:space="preserve"> </w:t>
      </w:r>
    </w:p>
    <w:p w14:paraId="4356DB27" w14:textId="2FD5F8B6" w:rsidR="00D761FB" w:rsidRDefault="08202347" w:rsidP="08202347">
      <w:pPr>
        <w:suppressAutoHyphens/>
        <w:rPr>
          <w:rFonts w:asciiTheme="minorHAnsi" w:hAnsiTheme="minorHAnsi" w:cstheme="minorBidi"/>
          <w:i/>
          <w:iCs/>
          <w:color w:val="0070C0"/>
        </w:rPr>
      </w:pPr>
      <w:r w:rsidRPr="08202347">
        <w:rPr>
          <w:rFonts w:asciiTheme="minorHAnsi" w:hAnsiTheme="minorHAnsi" w:cstheme="minorBidi"/>
          <w:color w:val="0070C0"/>
        </w:rPr>
        <w:t>País:</w:t>
      </w:r>
      <w:r w:rsidR="00507F1F">
        <w:rPr>
          <w:rFonts w:asciiTheme="minorHAnsi" w:hAnsiTheme="minorHAnsi" w:cstheme="minorBidi"/>
          <w:color w:val="0070C0"/>
        </w:rPr>
        <w:t xml:space="preserve"> </w:t>
      </w:r>
      <w:r w:rsidR="00507F1F" w:rsidRPr="00C476D4">
        <w:rPr>
          <w:rFonts w:asciiTheme="minorHAnsi" w:hAnsiTheme="minorHAnsi" w:cstheme="minorBidi"/>
          <w:b/>
          <w:bCs/>
          <w:i/>
          <w:iCs/>
          <w:color w:val="0070C0"/>
        </w:rPr>
        <w:t>Chile</w:t>
      </w:r>
      <w:r w:rsidR="00206D9F">
        <w:rPr>
          <w:rFonts w:asciiTheme="minorHAnsi" w:hAnsiTheme="minorHAnsi" w:cstheme="minorBidi"/>
          <w:b/>
          <w:bCs/>
          <w:i/>
          <w:iCs/>
          <w:color w:val="0070C0"/>
        </w:rPr>
        <w:t xml:space="preserve"> - Bolivia</w:t>
      </w:r>
      <w:r w:rsidRPr="08202347">
        <w:rPr>
          <w:rFonts w:asciiTheme="minorHAnsi" w:hAnsiTheme="minorHAnsi" w:cstheme="minorBidi"/>
          <w:color w:val="0070C0"/>
        </w:rPr>
        <w:t xml:space="preserve"> </w:t>
      </w:r>
      <w:r w:rsidRPr="08202347">
        <w:rPr>
          <w:rFonts w:asciiTheme="minorHAnsi" w:hAnsiTheme="minorHAnsi" w:cstheme="minorBidi"/>
          <w:i/>
          <w:iCs/>
          <w:color w:val="0070C0"/>
        </w:rPr>
        <w:t xml:space="preserve"> </w:t>
      </w:r>
    </w:p>
    <w:p w14:paraId="4C834057" w14:textId="4592FD25" w:rsidR="00D761FB" w:rsidRDefault="08202347" w:rsidP="08202347">
      <w:pPr>
        <w:suppressAutoHyphens/>
        <w:rPr>
          <w:rFonts w:asciiTheme="minorHAnsi" w:hAnsiTheme="minorHAnsi" w:cstheme="minorBidi"/>
          <w:i/>
          <w:iCs/>
          <w:color w:val="0070C0"/>
        </w:rPr>
      </w:pPr>
      <w:r w:rsidRPr="08202347">
        <w:rPr>
          <w:rFonts w:asciiTheme="minorHAnsi" w:hAnsiTheme="minorHAnsi" w:cstheme="minorBidi"/>
          <w:i/>
          <w:iCs/>
          <w:color w:val="0070C0"/>
        </w:rPr>
        <w:t>Sector:</w:t>
      </w:r>
      <w:r w:rsidR="00507F1F">
        <w:rPr>
          <w:rFonts w:asciiTheme="minorHAnsi" w:hAnsiTheme="minorHAnsi" w:cstheme="minorBidi"/>
          <w:i/>
          <w:iCs/>
          <w:color w:val="0070C0"/>
        </w:rPr>
        <w:t xml:space="preserve"> </w:t>
      </w:r>
      <w:r w:rsidR="00507F1F" w:rsidRPr="00C476D4">
        <w:rPr>
          <w:rFonts w:asciiTheme="minorHAnsi" w:hAnsiTheme="minorHAnsi" w:cstheme="minorBidi"/>
          <w:b/>
          <w:bCs/>
          <w:i/>
          <w:iCs/>
          <w:color w:val="0070C0"/>
        </w:rPr>
        <w:t>Energía</w:t>
      </w:r>
    </w:p>
    <w:p w14:paraId="420580C3" w14:textId="2BF8B2F6" w:rsidR="00D761FB" w:rsidRDefault="08202347" w:rsidP="08202347">
      <w:pPr>
        <w:suppressAutoHyphens/>
        <w:rPr>
          <w:rFonts w:asciiTheme="minorHAnsi" w:hAnsiTheme="minorHAnsi" w:cstheme="minorBidi"/>
          <w:i/>
          <w:iCs/>
          <w:color w:val="0070C0"/>
        </w:rPr>
      </w:pPr>
      <w:r w:rsidRPr="08202347">
        <w:rPr>
          <w:rFonts w:asciiTheme="minorHAnsi" w:hAnsiTheme="minorHAnsi" w:cstheme="minorBidi"/>
          <w:i/>
          <w:iCs/>
          <w:color w:val="0070C0"/>
        </w:rPr>
        <w:t xml:space="preserve">Financiación - TC #: </w:t>
      </w:r>
      <w:r w:rsidR="002932DF" w:rsidRPr="00F4097F">
        <w:rPr>
          <w:rFonts w:asciiTheme="minorHAnsi" w:hAnsiTheme="minorHAnsi" w:cstheme="minorBidi"/>
          <w:b/>
          <w:bCs/>
          <w:i/>
          <w:iCs/>
          <w:color w:val="0070C0"/>
        </w:rPr>
        <w:t>ATN/</w:t>
      </w:r>
      <w:r w:rsidR="002932DF">
        <w:rPr>
          <w:rFonts w:asciiTheme="minorHAnsi" w:hAnsiTheme="minorHAnsi" w:cstheme="minorBidi"/>
          <w:b/>
          <w:bCs/>
          <w:i/>
          <w:iCs/>
          <w:color w:val="0070C0"/>
        </w:rPr>
        <w:t>OC</w:t>
      </w:r>
      <w:r w:rsidR="002932DF" w:rsidRPr="00F4097F">
        <w:rPr>
          <w:rFonts w:asciiTheme="minorHAnsi" w:hAnsiTheme="minorHAnsi" w:cstheme="minorBidi"/>
          <w:b/>
          <w:bCs/>
          <w:i/>
          <w:iCs/>
          <w:color w:val="0070C0"/>
        </w:rPr>
        <w:t>-18</w:t>
      </w:r>
      <w:r w:rsidR="002932DF">
        <w:rPr>
          <w:rFonts w:asciiTheme="minorHAnsi" w:hAnsiTheme="minorHAnsi" w:cstheme="minorBidi"/>
          <w:b/>
          <w:bCs/>
          <w:i/>
          <w:iCs/>
          <w:color w:val="0070C0"/>
        </w:rPr>
        <w:t>449</w:t>
      </w:r>
      <w:r w:rsidR="002932DF" w:rsidRPr="00F4097F">
        <w:rPr>
          <w:rFonts w:asciiTheme="minorHAnsi" w:hAnsiTheme="minorHAnsi" w:cstheme="minorBidi"/>
          <w:b/>
          <w:bCs/>
          <w:i/>
          <w:iCs/>
          <w:color w:val="0070C0"/>
        </w:rPr>
        <w:t>-</w:t>
      </w:r>
      <w:r w:rsidR="002932DF">
        <w:rPr>
          <w:rFonts w:asciiTheme="minorHAnsi" w:hAnsiTheme="minorHAnsi" w:cstheme="minorBidi"/>
          <w:b/>
          <w:bCs/>
          <w:i/>
          <w:iCs/>
          <w:color w:val="0070C0"/>
        </w:rPr>
        <w:t>RG</w:t>
      </w:r>
      <w:r w:rsidRPr="08202347">
        <w:rPr>
          <w:rFonts w:asciiTheme="minorHAnsi" w:hAnsiTheme="minorHAnsi" w:cstheme="minorBidi"/>
          <w:i/>
          <w:iCs/>
          <w:color w:val="0070C0"/>
        </w:rPr>
        <w:t xml:space="preserve">                           </w:t>
      </w:r>
    </w:p>
    <w:p w14:paraId="6B175998" w14:textId="0F459EC5" w:rsidR="00D761FB" w:rsidRDefault="08202347">
      <w:pPr>
        <w:pStyle w:val="BodyText"/>
      </w:pPr>
      <w:r w:rsidRPr="08202347">
        <w:rPr>
          <w:rFonts w:asciiTheme="minorHAnsi" w:eastAsiaTheme="minorEastAsia" w:hAnsiTheme="minorHAnsi" w:cstheme="minorBidi"/>
          <w:i/>
          <w:iCs/>
          <w:color w:val="0070C0"/>
        </w:rPr>
        <w:t>Proyecto #:</w:t>
      </w:r>
      <w:r w:rsidR="000B0219">
        <w:rPr>
          <w:rFonts w:asciiTheme="minorHAnsi" w:eastAsiaTheme="minorEastAsia" w:hAnsiTheme="minorHAnsi" w:cstheme="minorBidi"/>
          <w:i/>
          <w:iCs/>
          <w:color w:val="0070C0"/>
        </w:rPr>
        <w:t xml:space="preserve"> </w:t>
      </w:r>
      <w:r w:rsidR="000B0219">
        <w:rPr>
          <w:rFonts w:asciiTheme="minorHAnsi" w:eastAsiaTheme="minorEastAsia" w:hAnsiTheme="minorHAnsi" w:cstheme="minorBidi"/>
          <w:b/>
          <w:bCs/>
          <w:i/>
          <w:iCs/>
          <w:color w:val="0070C0"/>
        </w:rPr>
        <w:t>RG</w:t>
      </w:r>
      <w:r w:rsidR="000B0219" w:rsidRPr="00F4097F">
        <w:rPr>
          <w:rFonts w:asciiTheme="minorHAnsi" w:eastAsiaTheme="minorEastAsia" w:hAnsiTheme="minorHAnsi" w:cstheme="minorBidi"/>
          <w:b/>
          <w:bCs/>
          <w:i/>
          <w:iCs/>
          <w:color w:val="0070C0"/>
        </w:rPr>
        <w:t>-T</w:t>
      </w:r>
      <w:r w:rsidR="000B0219">
        <w:rPr>
          <w:rFonts w:asciiTheme="minorHAnsi" w:eastAsiaTheme="minorEastAsia" w:hAnsiTheme="minorHAnsi" w:cstheme="minorBidi"/>
          <w:b/>
          <w:bCs/>
          <w:i/>
          <w:iCs/>
          <w:color w:val="0070C0"/>
        </w:rPr>
        <w:t>3739</w:t>
      </w:r>
    </w:p>
    <w:p w14:paraId="08959238" w14:textId="0F3B5182" w:rsidR="00D761FB" w:rsidRDefault="08202347">
      <w:pPr>
        <w:pStyle w:val="BodyText"/>
      </w:pPr>
      <w:r w:rsidRPr="08202347">
        <w:rPr>
          <w:rFonts w:asciiTheme="minorHAnsi" w:eastAsiaTheme="minorEastAsia" w:hAnsiTheme="minorHAnsi" w:cstheme="minorBidi"/>
          <w:i/>
          <w:iCs/>
          <w:color w:val="0070C0"/>
        </w:rPr>
        <w:t>Nombre del TC:</w:t>
      </w:r>
      <w:r w:rsidR="00C476D4">
        <w:rPr>
          <w:rFonts w:asciiTheme="minorHAnsi" w:eastAsiaTheme="minorEastAsia" w:hAnsiTheme="minorHAnsi" w:cstheme="minorBidi"/>
          <w:i/>
          <w:iCs/>
          <w:color w:val="0070C0"/>
        </w:rPr>
        <w:t xml:space="preserve"> </w:t>
      </w:r>
      <w:r w:rsidR="00C476D4" w:rsidRPr="00C476D4">
        <w:rPr>
          <w:rFonts w:asciiTheme="minorHAnsi" w:eastAsiaTheme="minorEastAsia" w:hAnsiTheme="minorHAnsi" w:cstheme="minorBidi"/>
          <w:b/>
          <w:bCs/>
          <w:i/>
          <w:iCs/>
          <w:color w:val="0070C0"/>
          <w:spacing w:val="0"/>
          <w:szCs w:val="24"/>
          <w:lang w:eastAsia="es-AR"/>
        </w:rPr>
        <w:t>Apoyo al Sistema de Interconexión Eléctrica Andina - SINEA</w:t>
      </w:r>
    </w:p>
    <w:p w14:paraId="19F1721F" w14:textId="6C08B3FD" w:rsidR="00D761FB" w:rsidRPr="00C56002" w:rsidRDefault="08202347">
      <w:pPr>
        <w:pStyle w:val="BodyText"/>
        <w:rPr>
          <w:rFonts w:asciiTheme="minorHAnsi" w:eastAsiaTheme="minorEastAsia" w:hAnsiTheme="minorHAnsi" w:cstheme="minorBidi"/>
          <w:b/>
          <w:bCs/>
          <w:i/>
          <w:iCs/>
          <w:color w:val="0070C0"/>
          <w:spacing w:val="0"/>
          <w:szCs w:val="24"/>
          <w:lang w:eastAsia="es-AR"/>
        </w:rPr>
      </w:pPr>
      <w:r w:rsidRPr="08202347">
        <w:rPr>
          <w:rFonts w:asciiTheme="minorHAnsi" w:eastAsiaTheme="minorEastAsia" w:hAnsiTheme="minorHAnsi" w:cstheme="minorBidi"/>
          <w:i/>
          <w:iCs/>
          <w:color w:val="0070C0"/>
        </w:rPr>
        <w:t>Descripción de los Servicios:</w:t>
      </w:r>
      <w:r w:rsidR="00C56002">
        <w:rPr>
          <w:rFonts w:asciiTheme="minorHAnsi" w:eastAsiaTheme="minorEastAsia" w:hAnsiTheme="minorHAnsi" w:cstheme="minorBidi"/>
          <w:i/>
          <w:iCs/>
          <w:color w:val="0070C0"/>
        </w:rPr>
        <w:t xml:space="preserve"> </w:t>
      </w:r>
      <w:r w:rsidR="006738B4" w:rsidRPr="00C56002">
        <w:rPr>
          <w:rFonts w:asciiTheme="minorHAnsi" w:eastAsiaTheme="minorEastAsia" w:hAnsiTheme="minorHAnsi" w:cstheme="minorBidi"/>
          <w:b/>
          <w:bCs/>
          <w:i/>
          <w:iCs/>
          <w:color w:val="0070C0"/>
          <w:spacing w:val="0"/>
          <w:szCs w:val="24"/>
          <w:lang w:eastAsia="es-AR"/>
        </w:rPr>
        <w:t xml:space="preserve">Alternativas </w:t>
      </w:r>
      <w:r w:rsidR="006738B4">
        <w:rPr>
          <w:rFonts w:asciiTheme="minorHAnsi" w:eastAsiaTheme="minorEastAsia" w:hAnsiTheme="minorHAnsi" w:cstheme="minorBidi"/>
          <w:b/>
          <w:bCs/>
          <w:i/>
          <w:iCs/>
          <w:color w:val="0070C0"/>
          <w:spacing w:val="0"/>
          <w:szCs w:val="24"/>
          <w:lang w:eastAsia="es-AR"/>
        </w:rPr>
        <w:t>d</w:t>
      </w:r>
      <w:r w:rsidR="006738B4" w:rsidRPr="00C56002">
        <w:rPr>
          <w:rFonts w:asciiTheme="minorHAnsi" w:eastAsiaTheme="minorEastAsia" w:hAnsiTheme="minorHAnsi" w:cstheme="minorBidi"/>
          <w:b/>
          <w:bCs/>
          <w:i/>
          <w:iCs/>
          <w:color w:val="0070C0"/>
          <w:spacing w:val="0"/>
          <w:szCs w:val="24"/>
          <w:lang w:eastAsia="es-AR"/>
        </w:rPr>
        <w:t>e Interconexión Eléctrica Bolivia - Chile</w:t>
      </w:r>
      <w:r w:rsidRPr="00C56002">
        <w:rPr>
          <w:rFonts w:asciiTheme="minorHAnsi" w:eastAsiaTheme="minorEastAsia" w:hAnsiTheme="minorHAnsi" w:cstheme="minorBidi"/>
          <w:b/>
          <w:bCs/>
          <w:i/>
          <w:iCs/>
          <w:color w:val="0070C0"/>
          <w:spacing w:val="0"/>
          <w:szCs w:val="24"/>
          <w:lang w:eastAsia="es-AR"/>
        </w:rPr>
        <w:t xml:space="preserve">  </w:t>
      </w:r>
    </w:p>
    <w:p w14:paraId="18F92703" w14:textId="3B4680A5" w:rsidR="00D761FB" w:rsidRPr="006738B4" w:rsidRDefault="08202347" w:rsidP="08202347">
      <w:pPr>
        <w:pStyle w:val="BodyText"/>
        <w:rPr>
          <w:rFonts w:asciiTheme="minorHAnsi" w:eastAsiaTheme="minorEastAsia" w:hAnsiTheme="minorHAnsi" w:cstheme="minorBidi"/>
          <w:i/>
          <w:iCs/>
          <w:color w:val="0070C0"/>
          <w:lang w:val="es-CO"/>
        </w:rPr>
      </w:pPr>
      <w:r w:rsidRPr="08202347">
        <w:rPr>
          <w:rFonts w:asciiTheme="minorHAnsi" w:eastAsiaTheme="minorEastAsia" w:hAnsiTheme="minorHAnsi" w:cstheme="minorBidi"/>
          <w:i/>
          <w:iCs/>
          <w:color w:val="0070C0"/>
        </w:rPr>
        <w:t xml:space="preserve">Enlace al documento TC: </w:t>
      </w:r>
      <w:hyperlink r:id="rId14" w:history="1">
        <w:r w:rsidR="000E5997" w:rsidRPr="008164EE">
          <w:rPr>
            <w:rStyle w:val="Hyperlink"/>
            <w:rFonts w:asciiTheme="minorHAnsi" w:eastAsiaTheme="minorEastAsia" w:hAnsiTheme="minorHAnsi" w:cstheme="minorBidi"/>
            <w:i/>
            <w:iCs/>
          </w:rPr>
          <w:t>https://www.iadb.org/es/project/RG-T3739</w:t>
        </w:r>
      </w:hyperlink>
      <w:r w:rsidR="000E5997">
        <w:rPr>
          <w:rFonts w:asciiTheme="minorHAnsi" w:eastAsiaTheme="minorEastAsia" w:hAnsiTheme="minorHAnsi" w:cstheme="minorBidi"/>
          <w:i/>
          <w:iCs/>
          <w:color w:val="0070C0"/>
        </w:rPr>
        <w:t xml:space="preserve"> </w:t>
      </w:r>
    </w:p>
    <w:p w14:paraId="5D15DF79" w14:textId="77777777" w:rsidR="00D761FB" w:rsidRDefault="00D761FB">
      <w:pPr>
        <w:pStyle w:val="BodyText"/>
        <w:rPr>
          <w:rFonts w:asciiTheme="minorHAnsi" w:hAnsiTheme="minorHAnsi" w:cstheme="minorHAnsi"/>
          <w:i/>
          <w:color w:val="0070C0"/>
        </w:rPr>
      </w:pPr>
    </w:p>
    <w:p w14:paraId="2C0FC91B" w14:textId="0B0A9B4C" w:rsidR="00D761FB" w:rsidRDefault="08202347" w:rsidP="005B434A">
      <w:pPr>
        <w:rPr>
          <w:rFonts w:asciiTheme="minorHAnsi" w:hAnsiTheme="minorHAnsi" w:cstheme="minorBidi"/>
        </w:rPr>
      </w:pPr>
      <w:r w:rsidRPr="08202347">
        <w:rPr>
          <w:rFonts w:asciiTheme="minorHAnsi" w:hAnsiTheme="minorHAnsi" w:cstheme="minorBidi"/>
          <w:color w:val="auto"/>
        </w:rPr>
        <w:t xml:space="preserve">El Banco Interamericano de Desarrollo (BID) está ejecutando la operación antes mencionada.  Para esta operación, el BID </w:t>
      </w:r>
      <w:r w:rsidRPr="08202347">
        <w:rPr>
          <w:rFonts w:asciiTheme="minorHAnsi" w:hAnsiTheme="minorHAnsi" w:cstheme="minorBidi"/>
        </w:rPr>
        <w:t>tiene la intención de contratar los servicios de consultoría descriptos en esta Solicitud de Expresiones de Interés.</w:t>
      </w:r>
      <w:r w:rsidR="005B434A">
        <w:rPr>
          <w:rFonts w:asciiTheme="minorHAnsi" w:hAnsiTheme="minorHAnsi" w:cstheme="minorBidi"/>
        </w:rPr>
        <w:t xml:space="preserve">  </w:t>
      </w:r>
      <w:r w:rsidR="005B434A" w:rsidRPr="08202347">
        <w:rPr>
          <w:rFonts w:asciiTheme="minorHAnsi" w:hAnsiTheme="minorHAnsi" w:cstheme="minorBidi"/>
          <w:color w:val="auto"/>
        </w:rPr>
        <w:t>Las expresiones de interés deberán ser recibidas</w:t>
      </w:r>
      <w:r w:rsidR="005B434A">
        <w:rPr>
          <w:rFonts w:asciiTheme="minorHAnsi" w:hAnsiTheme="minorHAnsi" w:cstheme="minorBidi"/>
          <w:color w:val="auto"/>
        </w:rPr>
        <w:t xml:space="preserve"> </w:t>
      </w:r>
      <w:r w:rsidR="005B434A" w:rsidRPr="08202347">
        <w:rPr>
          <w:rFonts w:asciiTheme="minorHAnsi" w:hAnsiTheme="minorHAnsi" w:cstheme="minorBidi"/>
          <w:color w:val="auto"/>
        </w:rPr>
        <w:t xml:space="preserve">usando el Portal del BID para las Operaciones Ejecutadas por el Banco </w:t>
      </w:r>
      <w:hyperlink r:id="rId15" w:history="1">
        <w:r w:rsidR="005B434A" w:rsidRPr="08202347">
          <w:rPr>
            <w:rStyle w:val="Hyperlink"/>
            <w:rFonts w:ascii="Calibri" w:eastAsia="Calibri" w:hAnsi="Calibri" w:cs="Calibri"/>
            <w:lang w:val="es-ES"/>
          </w:rPr>
          <w:t>http://beo-procurement.iadb.org/home</w:t>
        </w:r>
      </w:hyperlink>
      <w:r w:rsidR="005B434A">
        <w:rPr>
          <w:rFonts w:asciiTheme="minorHAnsi" w:hAnsiTheme="minorHAnsi" w:cstheme="minorBidi"/>
          <w:color w:val="auto"/>
        </w:rPr>
        <w:t xml:space="preserve"> antes de</w:t>
      </w:r>
      <w:r w:rsidR="005E20BB">
        <w:rPr>
          <w:rFonts w:asciiTheme="minorHAnsi" w:hAnsiTheme="minorHAnsi" w:cstheme="minorBidi"/>
          <w:color w:val="auto"/>
        </w:rPr>
        <w:t xml:space="preserve">l </w:t>
      </w:r>
      <w:r w:rsidR="00F53BB5" w:rsidRPr="00F53BB5">
        <w:rPr>
          <w:rFonts w:asciiTheme="minorHAnsi" w:hAnsiTheme="minorHAnsi" w:cstheme="minorBidi"/>
          <w:b/>
          <w:bCs/>
          <w:color w:val="auto"/>
        </w:rPr>
        <w:t>21</w:t>
      </w:r>
      <w:r w:rsidR="00B95237" w:rsidRPr="0086578F">
        <w:rPr>
          <w:rFonts w:asciiTheme="minorHAnsi" w:hAnsiTheme="minorHAnsi" w:cstheme="minorBidi"/>
          <w:b/>
          <w:bCs/>
          <w:color w:val="auto"/>
        </w:rPr>
        <w:t xml:space="preserve"> de </w:t>
      </w:r>
      <w:r w:rsidR="0015387F">
        <w:rPr>
          <w:rFonts w:asciiTheme="minorHAnsi" w:hAnsiTheme="minorHAnsi" w:cstheme="minorBidi"/>
          <w:b/>
          <w:bCs/>
          <w:color w:val="auto"/>
        </w:rPr>
        <w:t>enero</w:t>
      </w:r>
      <w:r w:rsidR="00B95237" w:rsidRPr="0086578F">
        <w:rPr>
          <w:rFonts w:asciiTheme="minorHAnsi" w:hAnsiTheme="minorHAnsi" w:cstheme="minorBidi"/>
          <w:b/>
          <w:bCs/>
          <w:color w:val="auto"/>
        </w:rPr>
        <w:t xml:space="preserve"> del 2022</w:t>
      </w:r>
      <w:r w:rsidR="003310FE" w:rsidRPr="0086578F">
        <w:rPr>
          <w:rFonts w:asciiTheme="minorHAnsi" w:hAnsiTheme="minorHAnsi" w:cstheme="minorBidi"/>
          <w:b/>
          <w:bCs/>
          <w:color w:val="auto"/>
        </w:rPr>
        <w:t>, a las</w:t>
      </w:r>
      <w:r w:rsidR="005B434A" w:rsidRPr="0086578F">
        <w:rPr>
          <w:rFonts w:asciiTheme="minorHAnsi" w:hAnsiTheme="minorHAnsi" w:cstheme="minorBidi"/>
          <w:b/>
          <w:bCs/>
          <w:color w:val="auto"/>
        </w:rPr>
        <w:t xml:space="preserve"> 5:00 P.M</w:t>
      </w:r>
      <w:r w:rsidR="005B434A">
        <w:rPr>
          <w:rFonts w:asciiTheme="minorHAnsi" w:hAnsiTheme="minorHAnsi" w:cstheme="minorBidi"/>
          <w:color w:val="auto"/>
        </w:rPr>
        <w:t>.</w:t>
      </w:r>
      <w:r w:rsidR="005B434A" w:rsidRPr="08202347">
        <w:rPr>
          <w:rFonts w:asciiTheme="minorHAnsi" w:hAnsiTheme="minorHAnsi" w:cstheme="minorBidi"/>
          <w:color w:val="auto"/>
        </w:rPr>
        <w:t xml:space="preserve"> </w:t>
      </w:r>
      <w:r w:rsidR="005B434A">
        <w:rPr>
          <w:rFonts w:asciiTheme="minorHAnsi" w:hAnsiTheme="minorHAnsi" w:cstheme="minorBidi"/>
          <w:color w:val="auto"/>
        </w:rPr>
        <w:t>(Hora de Washington DC).</w:t>
      </w:r>
    </w:p>
    <w:p w14:paraId="2CDBF98B" w14:textId="3E0B9307" w:rsidR="00D761FB" w:rsidRDefault="00D761FB">
      <w:pPr>
        <w:jc w:val="both"/>
        <w:rPr>
          <w:rFonts w:asciiTheme="minorHAnsi" w:hAnsiTheme="minorHAnsi" w:cstheme="minorHAnsi"/>
        </w:rPr>
      </w:pPr>
    </w:p>
    <w:p w14:paraId="6950FB9B" w14:textId="59205636" w:rsidR="00D761FB" w:rsidRDefault="08202347" w:rsidP="08202347">
      <w:pPr>
        <w:suppressAutoHyphens/>
        <w:jc w:val="both"/>
        <w:rPr>
          <w:rFonts w:asciiTheme="minorHAnsi" w:hAnsiTheme="minorHAnsi" w:cstheme="minorBidi"/>
          <w:i/>
          <w:iCs/>
          <w:color w:val="0070C0"/>
        </w:rPr>
      </w:pPr>
      <w:r w:rsidRPr="08202347">
        <w:rPr>
          <w:rFonts w:asciiTheme="minorHAnsi" w:hAnsiTheme="minorHAnsi" w:cstheme="minorBidi"/>
        </w:rPr>
        <w:t>Los servicios de consultoría ("los Servicios") incluyen</w:t>
      </w:r>
      <w:r w:rsidR="00647EAD">
        <w:rPr>
          <w:rFonts w:asciiTheme="minorHAnsi" w:hAnsiTheme="minorHAnsi" w:cstheme="minorBidi"/>
        </w:rPr>
        <w:t xml:space="preserve"> a</w:t>
      </w:r>
      <w:r w:rsidR="00647EAD" w:rsidRPr="00647EAD">
        <w:rPr>
          <w:rFonts w:asciiTheme="minorHAnsi" w:hAnsiTheme="minorHAnsi" w:cstheme="minorBidi"/>
        </w:rPr>
        <w:t>nalizar la interconexión entre los sistemas eléctricos de Bolivia y Chile, cuantificando los beneficios económicos y ambientales conjuntos e individuales para cada país que permitan identificar las características técnicas de las instalaciones de transmisión requeridas para dicha interconexión, en cuanto a capacidad y configuración</w:t>
      </w:r>
      <w:r w:rsidR="00D04C85">
        <w:rPr>
          <w:rFonts w:asciiTheme="minorHAnsi" w:hAnsiTheme="minorHAnsi" w:cstheme="minorBidi"/>
        </w:rPr>
        <w:t xml:space="preserve">. Para esto se </w:t>
      </w:r>
      <w:r w:rsidR="009A504B" w:rsidRPr="009A504B">
        <w:rPr>
          <w:rFonts w:asciiTheme="minorHAnsi" w:hAnsiTheme="minorHAnsi" w:cstheme="minorBidi"/>
        </w:rPr>
        <w:t>considerará el análisis de las distintas alternativas de interconexión, su evaluación de la factibilidad técnica y económica; y como resultado, se seleccionará la alternativa más conveniente para ambos países</w:t>
      </w:r>
      <w:r w:rsidR="009A504B">
        <w:rPr>
          <w:rFonts w:asciiTheme="minorHAnsi" w:hAnsiTheme="minorHAnsi" w:cstheme="minorBidi"/>
        </w:rPr>
        <w:t xml:space="preserve">. </w:t>
      </w:r>
      <w:r w:rsidR="00B07994">
        <w:rPr>
          <w:rFonts w:asciiTheme="minorHAnsi" w:hAnsiTheme="minorHAnsi" w:cstheme="minorBidi"/>
        </w:rPr>
        <w:t>El plazo estimado para el inicio de estos servicio</w:t>
      </w:r>
      <w:r w:rsidR="0045490A">
        <w:rPr>
          <w:rFonts w:asciiTheme="minorHAnsi" w:hAnsiTheme="minorHAnsi" w:cstheme="minorBidi"/>
        </w:rPr>
        <w:t>s</w:t>
      </w:r>
      <w:r w:rsidR="00B07994">
        <w:rPr>
          <w:rFonts w:asciiTheme="minorHAnsi" w:hAnsiTheme="minorHAnsi" w:cstheme="minorBidi"/>
        </w:rPr>
        <w:t xml:space="preserve"> será durante el primer </w:t>
      </w:r>
      <w:r w:rsidR="001F3E4D">
        <w:rPr>
          <w:rFonts w:asciiTheme="minorHAnsi" w:hAnsiTheme="minorHAnsi" w:cstheme="minorBidi"/>
        </w:rPr>
        <w:t>trimestre del 2022.</w:t>
      </w:r>
    </w:p>
    <w:p w14:paraId="545B4BCE" w14:textId="77777777" w:rsidR="00D761FB" w:rsidRDefault="00546C8D">
      <w:pPr>
        <w:jc w:val="both"/>
        <w:rPr>
          <w:rFonts w:asciiTheme="minorHAnsi" w:hAnsiTheme="minorHAnsi" w:cs="Times New Roman"/>
          <w:color w:val="auto"/>
        </w:rPr>
      </w:pPr>
      <w:r>
        <w:rPr>
          <w:rFonts w:asciiTheme="minorHAnsi" w:hAnsiTheme="minorHAnsi" w:cs="Times New Roman"/>
          <w:color w:val="auto"/>
        </w:rPr>
        <w:t xml:space="preserve"> </w:t>
      </w:r>
    </w:p>
    <w:p w14:paraId="35803BFB" w14:textId="5A943D72" w:rsidR="00D761FB" w:rsidRDefault="08202347" w:rsidP="427E340D">
      <w:pPr>
        <w:jc w:val="both"/>
        <w:rPr>
          <w:rFonts w:asciiTheme="minorHAnsi" w:hAnsiTheme="minorHAnsi" w:cstheme="minorBidi"/>
          <w:color w:val="auto"/>
        </w:rPr>
      </w:pPr>
      <w:r w:rsidRPr="427E340D">
        <w:rPr>
          <w:rFonts w:asciiTheme="minorHAnsi" w:hAnsiTheme="minorHAnsi" w:cstheme="minorBidi"/>
          <w:color w:val="auto"/>
        </w:rPr>
        <w:t xml:space="preserve">Las firmas consultoras elegibles serán seleccionados de acuerdo con los procedimientos establecidos en el Banco Interamericano de Desarrollo: </w:t>
      </w:r>
      <w:hyperlink r:id="rId16">
        <w:r w:rsidRPr="427E340D">
          <w:rPr>
            <w:rStyle w:val="Hyperlink"/>
            <w:rFonts w:asciiTheme="minorHAnsi" w:hAnsiTheme="minorHAnsi" w:cstheme="minorBidi"/>
          </w:rPr>
          <w:t>Política para la Selección y Contratación de Firmas Consultoras para el   Trabajo Operativo ejecutado por el Banco - GN-2765-</w:t>
        </w:r>
        <w:r w:rsidR="0506207C" w:rsidRPr="427E340D">
          <w:rPr>
            <w:rStyle w:val="Hyperlink"/>
            <w:rFonts w:asciiTheme="minorHAnsi" w:hAnsiTheme="minorHAnsi" w:cstheme="minorBidi"/>
          </w:rPr>
          <w:t>4</w:t>
        </w:r>
      </w:hyperlink>
      <w:r w:rsidR="00C90263" w:rsidRPr="427E340D">
        <w:rPr>
          <w:rFonts w:asciiTheme="minorHAnsi" w:hAnsiTheme="minorHAnsi" w:cstheme="minorBidi"/>
          <w:color w:val="auto"/>
        </w:rPr>
        <w:t xml:space="preserve">. </w:t>
      </w:r>
      <w:r w:rsidRPr="427E340D">
        <w:rPr>
          <w:rFonts w:asciiTheme="minorHAnsi" w:hAnsiTheme="minorHAnsi" w:cstheme="minorBidi"/>
          <w:color w:val="auto"/>
        </w:rPr>
        <w:t xml:space="preserve">Todas las firmas consultoras elegibles, según se define en la política, pueden manifestar su interés. </w:t>
      </w:r>
      <w:r w:rsidR="00C90263" w:rsidRPr="427E340D">
        <w:rPr>
          <w:rFonts w:asciiTheme="minorHAnsi" w:hAnsiTheme="minorHAnsi" w:cstheme="minorBidi"/>
          <w:color w:val="auto"/>
        </w:rPr>
        <w:t>Si la Firma consultora se presentara en Consorcio, designará a una de ellas como representante, y ésta será responsable de las comunicaciones, del registro en el portal y del envío de los documento</w:t>
      </w:r>
      <w:r w:rsidR="007001EE" w:rsidRPr="427E340D">
        <w:rPr>
          <w:rFonts w:asciiTheme="minorHAnsi" w:hAnsiTheme="minorHAnsi" w:cstheme="minorBidi"/>
          <w:color w:val="auto"/>
        </w:rPr>
        <w:t>s correspondientes.</w:t>
      </w:r>
    </w:p>
    <w:p w14:paraId="68B2066F" w14:textId="77777777" w:rsidR="007001EE" w:rsidRDefault="007001EE">
      <w:pPr>
        <w:jc w:val="both"/>
        <w:rPr>
          <w:rFonts w:asciiTheme="minorHAnsi" w:hAnsiTheme="minorHAnsi" w:cs="Times New Roman"/>
          <w:color w:val="auto"/>
        </w:rPr>
      </w:pPr>
    </w:p>
    <w:p w14:paraId="61707059" w14:textId="79793CE1" w:rsidR="00D761FB" w:rsidRDefault="08202347" w:rsidP="1ACBE1A0">
      <w:pPr>
        <w:jc w:val="both"/>
        <w:rPr>
          <w:rFonts w:asciiTheme="minorHAnsi" w:hAnsiTheme="minorHAnsi" w:cstheme="minorBidi"/>
          <w:color w:val="auto"/>
        </w:rPr>
      </w:pPr>
      <w:r w:rsidRPr="1ACBE1A0">
        <w:rPr>
          <w:rFonts w:asciiTheme="minorHAnsi" w:hAnsiTheme="minorHAnsi" w:cstheme="minorBidi"/>
          <w:color w:val="auto"/>
        </w:rPr>
        <w:t>El BID invita ahora a las firmas consultoras elegibles a expresar su interés en prestar los servicios</w:t>
      </w:r>
      <w:r w:rsidR="00CE0491" w:rsidRPr="1ACBE1A0">
        <w:rPr>
          <w:rFonts w:asciiTheme="minorHAnsi" w:hAnsiTheme="minorHAnsi" w:cstheme="minorBidi"/>
          <w:color w:val="auto"/>
        </w:rPr>
        <w:t xml:space="preserve"> </w:t>
      </w:r>
      <w:r w:rsidR="005B434A" w:rsidRPr="1ACBE1A0">
        <w:rPr>
          <w:rFonts w:asciiTheme="minorHAnsi" w:hAnsiTheme="minorHAnsi" w:cstheme="minorBidi"/>
          <w:color w:val="auto"/>
        </w:rPr>
        <w:t>descritos</w:t>
      </w:r>
      <w:r w:rsidR="00CE0491" w:rsidRPr="1ACBE1A0">
        <w:rPr>
          <w:rFonts w:asciiTheme="minorHAnsi" w:hAnsiTheme="minorHAnsi" w:cstheme="minorBidi"/>
          <w:color w:val="auto"/>
        </w:rPr>
        <w:t xml:space="preserve"> </w:t>
      </w:r>
      <w:r w:rsidR="005B434A" w:rsidRPr="1ACBE1A0">
        <w:rPr>
          <w:rFonts w:asciiTheme="minorHAnsi" w:hAnsiTheme="minorHAnsi" w:cstheme="minorBidi"/>
          <w:color w:val="auto"/>
        </w:rPr>
        <w:t>a</w:t>
      </w:r>
      <w:r w:rsidR="19427AB5" w:rsidRPr="1ACBE1A0">
        <w:rPr>
          <w:rFonts w:asciiTheme="minorHAnsi" w:hAnsiTheme="minorHAnsi" w:cstheme="minorBidi"/>
          <w:color w:val="auto"/>
        </w:rPr>
        <w:t xml:space="preserve">rriba </w:t>
      </w:r>
      <w:r w:rsidR="005B434A" w:rsidRPr="1ACBE1A0">
        <w:rPr>
          <w:rFonts w:asciiTheme="minorHAnsi" w:hAnsiTheme="minorHAnsi" w:cstheme="minorBidi"/>
          <w:color w:val="auto"/>
        </w:rPr>
        <w:t xml:space="preserve">donde </w:t>
      </w:r>
      <w:r w:rsidR="00CE0491" w:rsidRPr="1ACBE1A0">
        <w:rPr>
          <w:rFonts w:asciiTheme="minorHAnsi" w:hAnsiTheme="minorHAnsi" w:cstheme="minorBidi"/>
          <w:color w:val="auto"/>
        </w:rPr>
        <w:t xml:space="preserve">se presenta un </w:t>
      </w:r>
      <w:r w:rsidR="00CE0491" w:rsidRPr="1ACBE1A0">
        <w:rPr>
          <w:rFonts w:asciiTheme="minorHAnsi" w:hAnsiTheme="minorHAnsi" w:cstheme="minorBidi"/>
          <w:color w:val="auto"/>
          <w:u w:val="single"/>
        </w:rPr>
        <w:t>borrador del resumen de los Términos de Referencia</w:t>
      </w:r>
      <w:r w:rsidR="005B434A" w:rsidRPr="1ACBE1A0">
        <w:rPr>
          <w:rFonts w:asciiTheme="minorHAnsi" w:hAnsiTheme="minorHAnsi" w:cstheme="minorBidi"/>
          <w:color w:val="auto"/>
        </w:rPr>
        <w:t xml:space="preserve"> de esta asignación</w:t>
      </w:r>
      <w:r w:rsidRPr="1ACBE1A0">
        <w:rPr>
          <w:rFonts w:asciiTheme="minorHAnsi" w:hAnsiTheme="minorHAnsi" w:cstheme="minorBidi"/>
          <w:color w:val="auto"/>
        </w:rPr>
        <w:t>. Las f</w:t>
      </w:r>
      <w:r w:rsidR="00C90263" w:rsidRPr="1ACBE1A0">
        <w:rPr>
          <w:rFonts w:asciiTheme="minorHAnsi" w:hAnsiTheme="minorHAnsi" w:cstheme="minorBidi"/>
          <w:color w:val="auto"/>
        </w:rPr>
        <w:t xml:space="preserve">irmas consultoras interesadas </w:t>
      </w:r>
      <w:r w:rsidRPr="1ACBE1A0">
        <w:rPr>
          <w:rFonts w:asciiTheme="minorHAnsi" w:hAnsiTheme="minorHAnsi" w:cstheme="minorBidi"/>
          <w:color w:val="auto"/>
        </w:rPr>
        <w:t xml:space="preserve">deberán proporcionar información que indique que están cualificadas para suministrar los servicios (folletos, descripción de trabajos similares, experiencia en condiciones similares, disponibilidad de personal que tenga los conocimientos pertinentes, etc.). Las firmas consultoras elegibles se pueden asociar como un emprendimiento conjunto o en un acuerdo de </w:t>
      </w:r>
      <w:proofErr w:type="spellStart"/>
      <w:r w:rsidRPr="1ACBE1A0">
        <w:rPr>
          <w:rFonts w:asciiTheme="minorHAnsi" w:hAnsiTheme="minorHAnsi" w:cstheme="minorBidi"/>
          <w:color w:val="auto"/>
        </w:rPr>
        <w:t>sub-consultoría</w:t>
      </w:r>
      <w:proofErr w:type="spellEnd"/>
      <w:r w:rsidRPr="1ACBE1A0">
        <w:rPr>
          <w:rFonts w:asciiTheme="minorHAnsi" w:hAnsiTheme="minorHAnsi" w:cstheme="minorBidi"/>
          <w:color w:val="auto"/>
        </w:rPr>
        <w:t xml:space="preserve"> para mejorar sus calificaciones. Dicha asociación o emprendimiento conjunto nombrará a una de las firmas como representante.</w:t>
      </w:r>
    </w:p>
    <w:p w14:paraId="62F95FFB" w14:textId="77777777" w:rsidR="00D761FB" w:rsidRDefault="00D761FB">
      <w:pPr>
        <w:jc w:val="both"/>
        <w:rPr>
          <w:rFonts w:asciiTheme="minorHAnsi" w:hAnsiTheme="minorHAnsi" w:cs="Times New Roman"/>
          <w:smallCaps/>
          <w:color w:val="4F81BD" w:themeColor="accent1"/>
        </w:rPr>
      </w:pPr>
    </w:p>
    <w:p w14:paraId="70D0EF38" w14:textId="1FE810DF" w:rsidR="00D761FB" w:rsidRDefault="08202347" w:rsidP="08202347">
      <w:pPr>
        <w:jc w:val="both"/>
        <w:rPr>
          <w:rFonts w:asciiTheme="minorHAnsi" w:hAnsiTheme="minorHAnsi" w:cstheme="minorBidi"/>
          <w:color w:val="auto"/>
        </w:rPr>
      </w:pPr>
      <w:r w:rsidRPr="08202347">
        <w:rPr>
          <w:rFonts w:asciiTheme="minorHAnsi" w:hAnsiTheme="minorHAnsi" w:cstheme="minorBidi"/>
          <w:color w:val="auto"/>
        </w:rPr>
        <w:t>Las firmas consultoras el</w:t>
      </w:r>
      <w:r w:rsidR="007001EE">
        <w:rPr>
          <w:rFonts w:asciiTheme="minorHAnsi" w:hAnsiTheme="minorHAnsi" w:cstheme="minorBidi"/>
          <w:color w:val="auto"/>
        </w:rPr>
        <w:t xml:space="preserve">egibles que estén interesadas </w:t>
      </w:r>
      <w:r w:rsidRPr="08202347">
        <w:rPr>
          <w:rFonts w:asciiTheme="minorHAnsi" w:hAnsiTheme="minorHAnsi" w:cstheme="minorBidi"/>
          <w:color w:val="auto"/>
        </w:rPr>
        <w:t xml:space="preserve">podrán obtener información adicional en horario de oficina, 09:00 a.m. - 5:00 PM (Hora de Washington DC), mediante el envío de un correo electrónico a: </w:t>
      </w:r>
      <w:r w:rsidR="0045490A">
        <w:rPr>
          <w:rFonts w:asciiTheme="minorHAnsi" w:hAnsiTheme="minorHAnsi" w:cstheme="minorBidi"/>
          <w:color w:val="auto"/>
        </w:rPr>
        <w:t>Alv</w:t>
      </w:r>
      <w:r w:rsidR="00861706">
        <w:rPr>
          <w:rFonts w:asciiTheme="minorHAnsi" w:hAnsiTheme="minorHAnsi" w:cstheme="minorBidi"/>
          <w:color w:val="auto"/>
        </w:rPr>
        <w:t>a</w:t>
      </w:r>
      <w:r w:rsidR="0045490A">
        <w:rPr>
          <w:rFonts w:asciiTheme="minorHAnsi" w:hAnsiTheme="minorHAnsi" w:cstheme="minorBidi"/>
          <w:color w:val="auto"/>
        </w:rPr>
        <w:t>ro Mejia (</w:t>
      </w:r>
      <w:hyperlink r:id="rId17" w:history="1">
        <w:r w:rsidR="00861706" w:rsidRPr="008164EE">
          <w:rPr>
            <w:rStyle w:val="Hyperlink"/>
            <w:rFonts w:asciiTheme="minorHAnsi" w:hAnsiTheme="minorHAnsi" w:cstheme="minorBidi"/>
          </w:rPr>
          <w:t>alvarome@iadb.org</w:t>
        </w:r>
      </w:hyperlink>
      <w:r w:rsidR="00861706">
        <w:rPr>
          <w:rFonts w:asciiTheme="minorHAnsi" w:hAnsiTheme="minorHAnsi" w:cstheme="minorBidi"/>
          <w:color w:val="auto"/>
        </w:rPr>
        <w:t>) o Ana Maria Macias (</w:t>
      </w:r>
      <w:hyperlink r:id="rId18" w:history="1">
        <w:r w:rsidR="00D92D8F" w:rsidRPr="008164EE">
          <w:rPr>
            <w:rStyle w:val="Hyperlink"/>
            <w:rFonts w:asciiTheme="minorHAnsi" w:hAnsiTheme="minorHAnsi" w:cstheme="minorBidi"/>
          </w:rPr>
          <w:t>amariama@iadb.org</w:t>
        </w:r>
      </w:hyperlink>
      <w:r w:rsidR="00861706">
        <w:rPr>
          <w:rFonts w:asciiTheme="minorHAnsi" w:hAnsiTheme="minorHAnsi" w:cstheme="minorBidi"/>
          <w:color w:val="auto"/>
        </w:rPr>
        <w:t>)</w:t>
      </w:r>
    </w:p>
    <w:p w14:paraId="03405C6F" w14:textId="77777777" w:rsidR="00D761FB" w:rsidRDefault="00D761FB">
      <w:pPr>
        <w:jc w:val="both"/>
        <w:rPr>
          <w:rFonts w:asciiTheme="minorHAnsi" w:hAnsiTheme="minorHAnsi" w:cs="Times New Roman"/>
          <w:color w:val="auto"/>
        </w:rPr>
      </w:pPr>
    </w:p>
    <w:p w14:paraId="200D8E06" w14:textId="19822C2D" w:rsidR="00D761FB" w:rsidRDefault="00D761FB">
      <w:pPr>
        <w:jc w:val="both"/>
        <w:rPr>
          <w:rFonts w:asciiTheme="minorHAnsi" w:hAnsiTheme="minorHAnsi" w:cs="Times New Roman"/>
          <w:color w:val="auto"/>
        </w:rPr>
      </w:pPr>
    </w:p>
    <w:p w14:paraId="4B527D25" w14:textId="77777777" w:rsidR="00D761FB" w:rsidRDefault="08202347" w:rsidP="08202347">
      <w:pPr>
        <w:jc w:val="both"/>
        <w:rPr>
          <w:rFonts w:asciiTheme="minorHAnsi" w:hAnsiTheme="minorHAnsi" w:cstheme="minorBidi"/>
          <w:color w:val="auto"/>
        </w:rPr>
      </w:pPr>
      <w:r w:rsidRPr="08202347">
        <w:rPr>
          <w:rFonts w:asciiTheme="minorHAnsi" w:hAnsiTheme="minorHAnsi" w:cstheme="minorBidi"/>
          <w:color w:val="auto"/>
        </w:rPr>
        <w:t>Banco Interamericano de Desarrollo</w:t>
      </w:r>
    </w:p>
    <w:p w14:paraId="5B03049A" w14:textId="0E08D078" w:rsidR="00D761FB" w:rsidRDefault="00546C8D" w:rsidP="08202347">
      <w:pPr>
        <w:jc w:val="both"/>
        <w:rPr>
          <w:rFonts w:asciiTheme="minorHAnsi" w:hAnsiTheme="minorHAnsi" w:cstheme="minorBidi"/>
          <w:i/>
          <w:iCs/>
          <w:color w:val="0070C0"/>
        </w:rPr>
      </w:pPr>
      <w:r w:rsidRPr="08202347">
        <w:rPr>
          <w:rFonts w:asciiTheme="minorHAnsi" w:hAnsiTheme="minorHAnsi" w:cstheme="minorBidi"/>
          <w:color w:val="auto"/>
        </w:rPr>
        <w:t>División:</w:t>
      </w:r>
      <w:r w:rsidR="009C4509">
        <w:rPr>
          <w:rFonts w:asciiTheme="minorHAnsi" w:hAnsiTheme="minorHAnsi" w:cstheme="minorBidi"/>
          <w:color w:val="auto"/>
        </w:rPr>
        <w:t xml:space="preserve"> </w:t>
      </w:r>
      <w:r w:rsidR="009C4509" w:rsidRPr="000F09A7">
        <w:rPr>
          <w:rFonts w:asciiTheme="minorHAnsi" w:hAnsiTheme="minorHAnsi" w:cstheme="minorBidi"/>
          <w:b/>
          <w:bCs/>
          <w:color w:val="auto"/>
        </w:rPr>
        <w:t>Energía</w:t>
      </w:r>
    </w:p>
    <w:p w14:paraId="3A83DC3F" w14:textId="7213C34C" w:rsidR="00D761FB" w:rsidRDefault="08202347" w:rsidP="08202347">
      <w:pPr>
        <w:jc w:val="both"/>
        <w:rPr>
          <w:rFonts w:asciiTheme="minorHAnsi" w:hAnsiTheme="minorHAnsi" w:cstheme="minorBidi"/>
          <w:color w:val="auto"/>
        </w:rPr>
      </w:pPr>
      <w:r w:rsidRPr="08202347">
        <w:rPr>
          <w:rFonts w:asciiTheme="minorHAnsi" w:hAnsiTheme="minorHAnsi" w:cstheme="minorBidi"/>
          <w:color w:val="auto"/>
        </w:rPr>
        <w:t>Atención:</w:t>
      </w:r>
      <w:r w:rsidR="009C4509">
        <w:rPr>
          <w:rFonts w:asciiTheme="minorHAnsi" w:hAnsiTheme="minorHAnsi" w:cstheme="minorBidi"/>
          <w:color w:val="auto"/>
        </w:rPr>
        <w:t xml:space="preserve"> </w:t>
      </w:r>
      <w:r w:rsidR="009C4509" w:rsidRPr="000F09A7">
        <w:rPr>
          <w:rFonts w:asciiTheme="minorHAnsi" w:hAnsiTheme="minorHAnsi" w:cstheme="minorBidi"/>
          <w:b/>
          <w:bCs/>
          <w:color w:val="auto"/>
        </w:rPr>
        <w:t xml:space="preserve">Alexandra Planas, </w:t>
      </w:r>
      <w:proofErr w:type="gramStart"/>
      <w:r w:rsidR="000F09A7">
        <w:rPr>
          <w:rFonts w:asciiTheme="minorHAnsi" w:hAnsiTheme="minorHAnsi" w:cstheme="minorBidi"/>
          <w:b/>
          <w:bCs/>
          <w:color w:val="auto"/>
        </w:rPr>
        <w:t>J</w:t>
      </w:r>
      <w:r w:rsidR="000F09A7" w:rsidRPr="000F09A7">
        <w:rPr>
          <w:rFonts w:asciiTheme="minorHAnsi" w:hAnsiTheme="minorHAnsi" w:cstheme="minorBidi"/>
          <w:b/>
          <w:bCs/>
          <w:color w:val="auto"/>
        </w:rPr>
        <w:t>efe</w:t>
      </w:r>
      <w:proofErr w:type="gramEnd"/>
      <w:r w:rsidR="009C4509" w:rsidRPr="000F09A7">
        <w:rPr>
          <w:rFonts w:asciiTheme="minorHAnsi" w:hAnsiTheme="minorHAnsi" w:cstheme="minorBidi"/>
          <w:b/>
          <w:bCs/>
          <w:color w:val="auto"/>
        </w:rPr>
        <w:t xml:space="preserve"> de Equipo</w:t>
      </w:r>
    </w:p>
    <w:p w14:paraId="6C3797D2" w14:textId="08B770BD" w:rsidR="00D761FB" w:rsidRDefault="00D761FB">
      <w:pPr>
        <w:jc w:val="both"/>
        <w:rPr>
          <w:rFonts w:asciiTheme="minorHAnsi" w:hAnsiTheme="minorHAnsi" w:cs="Times New Roman"/>
          <w:color w:val="auto"/>
        </w:rPr>
      </w:pPr>
    </w:p>
    <w:p w14:paraId="7A3B9024" w14:textId="77777777" w:rsidR="00D761FB" w:rsidRPr="00201995" w:rsidRDefault="08202347" w:rsidP="08202347">
      <w:pPr>
        <w:jc w:val="both"/>
        <w:rPr>
          <w:rFonts w:asciiTheme="minorHAnsi" w:hAnsiTheme="minorHAnsi" w:cstheme="minorBidi"/>
          <w:color w:val="auto"/>
          <w:lang w:val="en-US"/>
        </w:rPr>
      </w:pPr>
      <w:r w:rsidRPr="08202347">
        <w:rPr>
          <w:rFonts w:asciiTheme="minorHAnsi" w:hAnsiTheme="minorHAnsi" w:cstheme="minorBidi"/>
          <w:color w:val="auto"/>
          <w:lang w:val="en-US"/>
        </w:rPr>
        <w:t>1300 New York Avenue, NW, Washington, DC 20577, EE.UU.</w:t>
      </w:r>
    </w:p>
    <w:p w14:paraId="6BF90EBF" w14:textId="77777777" w:rsidR="00D761FB" w:rsidRDefault="08202347" w:rsidP="08202347">
      <w:pPr>
        <w:suppressAutoHyphens/>
        <w:rPr>
          <w:rFonts w:asciiTheme="minorHAnsi" w:hAnsiTheme="minorHAnsi" w:cstheme="minorBidi"/>
          <w:i/>
          <w:iCs/>
          <w:color w:val="0070C0"/>
        </w:rPr>
      </w:pPr>
      <w:r w:rsidRPr="08202347">
        <w:rPr>
          <w:rFonts w:asciiTheme="minorHAnsi" w:hAnsiTheme="minorHAnsi" w:cstheme="minorBidi"/>
        </w:rPr>
        <w:t xml:space="preserve">Tel: </w:t>
      </w:r>
      <w:r w:rsidRPr="08202347">
        <w:rPr>
          <w:rFonts w:asciiTheme="minorHAnsi" w:hAnsiTheme="minorHAnsi" w:cstheme="minorBidi"/>
          <w:i/>
          <w:iCs/>
          <w:color w:val="0070C0"/>
        </w:rPr>
        <w:t>[incluya el código del país y de la ciudad]</w:t>
      </w:r>
    </w:p>
    <w:p w14:paraId="71BBB3A6" w14:textId="4F264238" w:rsidR="00D761FB" w:rsidRPr="001910F7" w:rsidRDefault="08202347" w:rsidP="08202347">
      <w:pPr>
        <w:suppressAutoHyphens/>
        <w:jc w:val="both"/>
        <w:rPr>
          <w:rFonts w:asciiTheme="minorHAnsi" w:hAnsiTheme="minorHAnsi" w:cstheme="minorBidi"/>
          <w:color w:val="0070C0"/>
          <w:lang w:val="en-US"/>
        </w:rPr>
      </w:pPr>
      <w:r w:rsidRPr="001910F7">
        <w:rPr>
          <w:rFonts w:asciiTheme="minorHAnsi" w:hAnsiTheme="minorHAnsi" w:cstheme="minorBidi"/>
          <w:lang w:val="en-US"/>
        </w:rPr>
        <w:t xml:space="preserve">Email: </w:t>
      </w:r>
      <w:r w:rsidR="00907522">
        <w:fldChar w:fldCharType="begin"/>
      </w:r>
      <w:r w:rsidR="00907522" w:rsidRPr="00B96F4E">
        <w:rPr>
          <w:lang w:val="en-US"/>
        </w:rPr>
        <w:instrText xml:space="preserve"> HYPERLINK "mailto:alvarome@iadb.org" </w:instrText>
      </w:r>
      <w:r w:rsidR="00907522">
        <w:fldChar w:fldCharType="separate"/>
      </w:r>
      <w:r w:rsidR="001910F7" w:rsidRPr="001910F7">
        <w:rPr>
          <w:rStyle w:val="Hyperlink"/>
          <w:rFonts w:asciiTheme="minorHAnsi" w:hAnsiTheme="minorHAnsi" w:cstheme="minorBidi"/>
          <w:lang w:val="en-US"/>
        </w:rPr>
        <w:t>alvarome@iadb.org</w:t>
      </w:r>
      <w:r w:rsidR="00907522">
        <w:rPr>
          <w:rStyle w:val="Hyperlink"/>
          <w:rFonts w:asciiTheme="minorHAnsi" w:hAnsiTheme="minorHAnsi" w:cstheme="minorBidi"/>
          <w:lang w:val="en-US"/>
        </w:rPr>
        <w:fldChar w:fldCharType="end"/>
      </w:r>
      <w:r w:rsidR="001910F7" w:rsidRPr="001910F7">
        <w:rPr>
          <w:rFonts w:asciiTheme="minorHAnsi" w:hAnsiTheme="minorHAnsi" w:cstheme="minorBidi"/>
          <w:lang w:val="en-US"/>
        </w:rPr>
        <w:t>, amariama@</w:t>
      </w:r>
      <w:r w:rsidR="001910F7">
        <w:rPr>
          <w:rFonts w:asciiTheme="minorHAnsi" w:hAnsiTheme="minorHAnsi" w:cstheme="minorBidi"/>
          <w:lang w:val="en-US"/>
        </w:rPr>
        <w:t xml:space="preserve">iadb.org </w:t>
      </w:r>
    </w:p>
    <w:p w14:paraId="6B9A2A55" w14:textId="5A7EFBBB" w:rsidR="00D761FB" w:rsidRPr="00206D9F" w:rsidRDefault="08202347" w:rsidP="08202347">
      <w:pPr>
        <w:jc w:val="both"/>
        <w:rPr>
          <w:rFonts w:asciiTheme="minorHAnsi" w:hAnsiTheme="minorHAnsi" w:cstheme="minorBidi"/>
          <w:color w:val="auto"/>
          <w:lang w:val="es-CO"/>
        </w:rPr>
      </w:pPr>
      <w:r w:rsidRPr="00206D9F">
        <w:rPr>
          <w:rFonts w:asciiTheme="minorHAnsi" w:hAnsiTheme="minorHAnsi" w:cstheme="minorBidi"/>
          <w:color w:val="auto"/>
          <w:lang w:val="es-CO"/>
        </w:rPr>
        <w:t xml:space="preserve">Sitio Web: </w:t>
      </w:r>
      <w:hyperlink r:id="rId19">
        <w:r w:rsidRPr="00206D9F">
          <w:rPr>
            <w:rStyle w:val="Hyperlink"/>
            <w:rFonts w:asciiTheme="minorHAnsi" w:hAnsiTheme="minorHAnsi" w:cstheme="minorBidi"/>
            <w:lang w:val="es-CO"/>
          </w:rPr>
          <w:t>www.iadb.org</w:t>
        </w:r>
      </w:hyperlink>
      <w:r w:rsidRPr="00206D9F">
        <w:rPr>
          <w:rFonts w:asciiTheme="minorHAnsi" w:hAnsiTheme="minorHAnsi" w:cstheme="minorBidi"/>
          <w:color w:val="auto"/>
          <w:lang w:val="es-CO"/>
        </w:rPr>
        <w:t xml:space="preserve"> </w:t>
      </w:r>
    </w:p>
    <w:p w14:paraId="548C12AB" w14:textId="1CB50CE1" w:rsidR="00CE0491" w:rsidRPr="00206D9F" w:rsidRDefault="00CE0491" w:rsidP="08202347">
      <w:pPr>
        <w:jc w:val="both"/>
        <w:rPr>
          <w:rFonts w:asciiTheme="minorHAnsi" w:hAnsiTheme="minorHAnsi" w:cstheme="minorBidi"/>
          <w:color w:val="auto"/>
          <w:lang w:val="es-CO"/>
        </w:rPr>
      </w:pPr>
    </w:p>
    <w:p w14:paraId="2509C789" w14:textId="3DA6B830" w:rsidR="00CE0491" w:rsidRDefault="2C944FB1" w:rsidP="0065049D">
      <w:pPr>
        <w:jc w:val="center"/>
        <w:rPr>
          <w:rFonts w:asciiTheme="minorHAnsi" w:hAnsiTheme="minorHAnsi" w:cstheme="minorBidi"/>
          <w:b/>
          <w:bCs/>
          <w:color w:val="auto"/>
        </w:rPr>
      </w:pPr>
      <w:r w:rsidRPr="0065049D">
        <w:rPr>
          <w:rFonts w:asciiTheme="minorHAnsi" w:hAnsiTheme="minorHAnsi" w:cstheme="minorBidi"/>
          <w:b/>
          <w:bCs/>
          <w:color w:val="auto"/>
        </w:rPr>
        <w:t>Resumen de los Términos de Referencia</w:t>
      </w:r>
    </w:p>
    <w:p w14:paraId="3FF4CD66" w14:textId="2D78923B" w:rsidR="0065049D" w:rsidRDefault="0065049D" w:rsidP="0065049D">
      <w:pPr>
        <w:jc w:val="center"/>
        <w:rPr>
          <w:rFonts w:asciiTheme="minorHAnsi" w:hAnsiTheme="minorHAnsi" w:cstheme="minorBidi"/>
          <w:b/>
          <w:bCs/>
          <w:color w:val="auto"/>
        </w:rPr>
      </w:pPr>
    </w:p>
    <w:p w14:paraId="5A8B9861" w14:textId="55078D68" w:rsidR="00822143" w:rsidRPr="00822143" w:rsidRDefault="00822143" w:rsidP="00822143">
      <w:pPr>
        <w:jc w:val="both"/>
        <w:rPr>
          <w:rFonts w:asciiTheme="minorHAnsi" w:hAnsiTheme="minorHAnsi" w:cstheme="minorBidi"/>
          <w:color w:val="auto"/>
        </w:rPr>
      </w:pPr>
      <w:r w:rsidRPr="00822143">
        <w:rPr>
          <w:rFonts w:asciiTheme="minorHAnsi" w:hAnsiTheme="minorHAnsi" w:cstheme="minorBidi"/>
          <w:color w:val="auto"/>
        </w:rPr>
        <w:t>En el marco del Sistema de Integración Eléctrica Andina (SINEA), iniciativa que busca crear un corredor eléctrico Andino que conecte los sistemas eléctricos de Colombia, Ecuador, Perú, Bolivia y Chile, y de acuerdo con lo establecido en la Hoja de Ruta 2020-2030 establecida en la reunión de Ministros en diciembre del 2020; Chile y Bolivia acordaron elaborar un Estudio de Alternativas de Interconexión entre ambos países que facilite la información necesaria para tomar decisiones sobre el futuro de la interconexión entre los dos países.</w:t>
      </w:r>
    </w:p>
    <w:p w14:paraId="3861AFC2" w14:textId="77777777" w:rsidR="00822143" w:rsidRPr="00822143" w:rsidRDefault="00822143" w:rsidP="00822143">
      <w:pPr>
        <w:jc w:val="both"/>
        <w:rPr>
          <w:rFonts w:asciiTheme="minorHAnsi" w:hAnsiTheme="minorHAnsi" w:cstheme="minorBidi"/>
          <w:color w:val="auto"/>
        </w:rPr>
      </w:pPr>
    </w:p>
    <w:p w14:paraId="058EA28D" w14:textId="2267BEAF" w:rsidR="0065049D" w:rsidRDefault="00822143" w:rsidP="00822143">
      <w:pPr>
        <w:jc w:val="both"/>
        <w:rPr>
          <w:rFonts w:asciiTheme="minorHAnsi" w:hAnsiTheme="minorHAnsi" w:cstheme="minorBidi"/>
          <w:color w:val="auto"/>
        </w:rPr>
      </w:pPr>
      <w:r w:rsidRPr="00822143">
        <w:rPr>
          <w:rFonts w:asciiTheme="minorHAnsi" w:hAnsiTheme="minorHAnsi" w:cstheme="minorBidi"/>
          <w:color w:val="auto"/>
        </w:rPr>
        <w:t>Con el fin de promover avanzar y promover la interconexión eléctrica entre Chile y Bolivia, el presente documento corresponde a los Términos de Referencia del estudio que busca definir las posibles alternativas de interconexión.</w:t>
      </w:r>
    </w:p>
    <w:p w14:paraId="010B063C" w14:textId="1EFAEA4A" w:rsidR="00822143" w:rsidRDefault="00822143" w:rsidP="00822143">
      <w:pPr>
        <w:jc w:val="both"/>
        <w:rPr>
          <w:rFonts w:asciiTheme="minorHAnsi" w:hAnsiTheme="minorHAnsi" w:cstheme="minorBidi"/>
          <w:color w:val="auto"/>
        </w:rPr>
      </w:pPr>
    </w:p>
    <w:p w14:paraId="1AFADF18" w14:textId="76F58C5C" w:rsidR="00822143" w:rsidRDefault="006F2A6B" w:rsidP="00822143">
      <w:pPr>
        <w:jc w:val="both"/>
        <w:rPr>
          <w:rFonts w:asciiTheme="minorHAnsi" w:hAnsiTheme="minorHAnsi" w:cstheme="minorBidi"/>
          <w:b/>
          <w:bCs/>
          <w:color w:val="auto"/>
        </w:rPr>
      </w:pPr>
      <w:r w:rsidRPr="006F2A6B">
        <w:rPr>
          <w:rFonts w:asciiTheme="minorHAnsi" w:hAnsiTheme="minorHAnsi" w:cstheme="minorBidi"/>
          <w:b/>
          <w:bCs/>
          <w:color w:val="auto"/>
        </w:rPr>
        <w:t>Alcance de los Servicios</w:t>
      </w:r>
    </w:p>
    <w:p w14:paraId="451697B0" w14:textId="0EC614EE" w:rsidR="006F2A6B" w:rsidRDefault="006F2A6B" w:rsidP="00822143">
      <w:pPr>
        <w:jc w:val="both"/>
        <w:rPr>
          <w:rFonts w:asciiTheme="minorHAnsi" w:hAnsiTheme="minorHAnsi" w:cstheme="minorBidi"/>
          <w:b/>
          <w:bCs/>
          <w:color w:val="auto"/>
        </w:rPr>
      </w:pPr>
    </w:p>
    <w:p w14:paraId="136C6B2B" w14:textId="6814F99D" w:rsidR="000B1B7B" w:rsidRPr="000B1B7B" w:rsidRDefault="000B1B7B" w:rsidP="000B1B7B">
      <w:pPr>
        <w:pStyle w:val="ListParagraph"/>
        <w:numPr>
          <w:ilvl w:val="0"/>
          <w:numId w:val="1"/>
        </w:numPr>
        <w:jc w:val="both"/>
        <w:rPr>
          <w:rFonts w:asciiTheme="minorHAnsi" w:hAnsiTheme="minorHAnsi" w:cstheme="minorBidi"/>
          <w:b/>
          <w:bCs/>
          <w:color w:val="auto"/>
        </w:rPr>
      </w:pPr>
      <w:r w:rsidRPr="000B1B7B">
        <w:rPr>
          <w:rFonts w:asciiTheme="minorHAnsi" w:hAnsiTheme="minorHAnsi" w:cstheme="minorBidi"/>
          <w:b/>
          <w:bCs/>
          <w:color w:val="auto"/>
        </w:rPr>
        <w:t>Modelo de operación y proyección eléctrica</w:t>
      </w:r>
    </w:p>
    <w:p w14:paraId="41581209" w14:textId="77777777" w:rsidR="000B1B7B" w:rsidRPr="000B1B7B" w:rsidRDefault="000B1B7B" w:rsidP="000B1B7B">
      <w:pPr>
        <w:jc w:val="both"/>
        <w:rPr>
          <w:rFonts w:asciiTheme="minorHAnsi" w:hAnsiTheme="minorHAnsi" w:cstheme="minorBidi"/>
          <w:color w:val="auto"/>
        </w:rPr>
      </w:pPr>
    </w:p>
    <w:p w14:paraId="73437A52" w14:textId="77777777" w:rsidR="00101CE0" w:rsidRDefault="000B1B7B" w:rsidP="000B1B7B">
      <w:pPr>
        <w:pStyle w:val="ListParagraph"/>
        <w:numPr>
          <w:ilvl w:val="1"/>
          <w:numId w:val="1"/>
        </w:numPr>
        <w:jc w:val="both"/>
        <w:rPr>
          <w:rFonts w:asciiTheme="minorHAnsi" w:hAnsiTheme="minorHAnsi" w:cstheme="minorBidi"/>
          <w:color w:val="auto"/>
        </w:rPr>
      </w:pPr>
      <w:r w:rsidRPr="000B1B7B">
        <w:rPr>
          <w:rFonts w:asciiTheme="minorHAnsi" w:hAnsiTheme="minorHAnsi" w:cstheme="minorBidi"/>
          <w:color w:val="auto"/>
        </w:rPr>
        <w:t xml:space="preserve">A través del software de simulación SDDP y con la metodología SDDP, se deberá modelar y validar la operación óptima de sistemas eléctricos </w:t>
      </w:r>
      <w:proofErr w:type="spellStart"/>
      <w:r w:rsidRPr="000B1B7B">
        <w:rPr>
          <w:rFonts w:asciiTheme="minorHAnsi" w:hAnsiTheme="minorHAnsi" w:cstheme="minorBidi"/>
          <w:color w:val="auto"/>
        </w:rPr>
        <w:t>multi-nodal</w:t>
      </w:r>
      <w:proofErr w:type="spellEnd"/>
      <w:r w:rsidRPr="000B1B7B">
        <w:rPr>
          <w:rFonts w:asciiTheme="minorHAnsi" w:hAnsiTheme="minorHAnsi" w:cstheme="minorBidi"/>
          <w:color w:val="auto"/>
        </w:rPr>
        <w:t xml:space="preserve"> y </w:t>
      </w:r>
      <w:proofErr w:type="spellStart"/>
      <w:r w:rsidRPr="000B1B7B">
        <w:rPr>
          <w:rFonts w:asciiTheme="minorHAnsi" w:hAnsiTheme="minorHAnsi" w:cstheme="minorBidi"/>
          <w:color w:val="auto"/>
        </w:rPr>
        <w:t>multi-embalse</w:t>
      </w:r>
      <w:proofErr w:type="spellEnd"/>
      <w:r w:rsidRPr="000B1B7B">
        <w:rPr>
          <w:rFonts w:asciiTheme="minorHAnsi" w:hAnsiTheme="minorHAnsi" w:cstheme="minorBidi"/>
          <w:color w:val="auto"/>
        </w:rPr>
        <w:t>, considerando la operación independiente e interconectada de los sistemas de ambos países. En base a este modelo se simulará la operación económica de los sistemas, tanto para la condición de operación aislada como para aquellas modalidades de intercambio definidas en las actividades de esta consultoría. Además, el Consultor deberá entregar la base de datos resultante en el formato SDDP.</w:t>
      </w:r>
    </w:p>
    <w:p w14:paraId="7E944021" w14:textId="77777777" w:rsidR="00101CE0" w:rsidRDefault="000B1B7B" w:rsidP="000B1B7B">
      <w:pPr>
        <w:pStyle w:val="ListParagraph"/>
        <w:numPr>
          <w:ilvl w:val="1"/>
          <w:numId w:val="1"/>
        </w:numPr>
        <w:jc w:val="both"/>
        <w:rPr>
          <w:rFonts w:asciiTheme="minorHAnsi" w:hAnsiTheme="minorHAnsi" w:cstheme="minorBidi"/>
          <w:color w:val="auto"/>
        </w:rPr>
      </w:pPr>
      <w:r w:rsidRPr="00101CE0">
        <w:rPr>
          <w:rFonts w:asciiTheme="minorHAnsi" w:hAnsiTheme="minorHAnsi" w:cstheme="minorBidi"/>
          <w:color w:val="auto"/>
        </w:rPr>
        <w:t xml:space="preserve">En el caso de Chile, la delegación de Chile entregará al Consultor los insumos necesarios en un formato distinto al SDDP, por lo que el Consultor deberá realizar la respectiva homologación de formato. </w:t>
      </w:r>
    </w:p>
    <w:p w14:paraId="19E4949A" w14:textId="77777777" w:rsidR="00101CE0" w:rsidRDefault="000B1B7B" w:rsidP="000B1B7B">
      <w:pPr>
        <w:pStyle w:val="ListParagraph"/>
        <w:numPr>
          <w:ilvl w:val="1"/>
          <w:numId w:val="1"/>
        </w:numPr>
        <w:jc w:val="both"/>
        <w:rPr>
          <w:rFonts w:asciiTheme="minorHAnsi" w:hAnsiTheme="minorHAnsi" w:cstheme="minorBidi"/>
          <w:color w:val="auto"/>
        </w:rPr>
      </w:pPr>
      <w:r w:rsidRPr="00101CE0">
        <w:rPr>
          <w:rFonts w:asciiTheme="minorHAnsi" w:hAnsiTheme="minorHAnsi" w:cstheme="minorBidi"/>
          <w:color w:val="auto"/>
        </w:rPr>
        <w:t xml:space="preserve">Para efectos del análisis de operación económica, para el caso de Chile se deberán simular, al menos, todas las redes de transmisión mayores a 200 kV y que resulten atingentes para el desarrollo del estudio e incorporar redes con niveles de tensión menores que permitan representar adecuadamente los sistemas de transmisión del país. Para el caso de Bolivia, se deberá considerar las redes de transmisión desde 69 kV e incorporar redes con niveles de tensión menores que permitan representar adecuadamente los sistemas de transmisión del país. Los modelos deben ser validados con las contrapartes de ambos países. </w:t>
      </w:r>
    </w:p>
    <w:p w14:paraId="4BB60386" w14:textId="77777777" w:rsidR="00101CE0" w:rsidRDefault="000B1B7B" w:rsidP="000B1B7B">
      <w:pPr>
        <w:pStyle w:val="ListParagraph"/>
        <w:numPr>
          <w:ilvl w:val="1"/>
          <w:numId w:val="1"/>
        </w:numPr>
        <w:jc w:val="both"/>
        <w:rPr>
          <w:rFonts w:asciiTheme="minorHAnsi" w:hAnsiTheme="minorHAnsi" w:cstheme="minorBidi"/>
          <w:color w:val="auto"/>
        </w:rPr>
      </w:pPr>
      <w:r w:rsidRPr="00101CE0">
        <w:rPr>
          <w:rFonts w:asciiTheme="minorHAnsi" w:hAnsiTheme="minorHAnsi" w:cstheme="minorBidi"/>
          <w:color w:val="auto"/>
        </w:rPr>
        <w:t>Se deberá representar la demanda eléctrica de forma mensual, con al menos 12 bloques por día típico (laboral y no laboral) para el horizonte de simulación. La cantidad de bloques deberá ser validada por las contrapartes de Bolivia y Chile.</w:t>
      </w:r>
    </w:p>
    <w:p w14:paraId="033E379E" w14:textId="77777777" w:rsidR="00101CE0" w:rsidRDefault="000B1B7B" w:rsidP="000B1B7B">
      <w:pPr>
        <w:pStyle w:val="ListParagraph"/>
        <w:numPr>
          <w:ilvl w:val="1"/>
          <w:numId w:val="1"/>
        </w:numPr>
        <w:jc w:val="both"/>
        <w:rPr>
          <w:rFonts w:asciiTheme="minorHAnsi" w:hAnsiTheme="minorHAnsi" w:cstheme="minorBidi"/>
          <w:color w:val="auto"/>
        </w:rPr>
      </w:pPr>
      <w:r w:rsidRPr="00101CE0">
        <w:rPr>
          <w:rFonts w:asciiTheme="minorHAnsi" w:hAnsiTheme="minorHAnsi" w:cstheme="minorBidi"/>
          <w:color w:val="auto"/>
        </w:rPr>
        <w:t xml:space="preserve">Para las simulaciones eléctricas efectuadas en el software </w:t>
      </w:r>
      <w:proofErr w:type="spellStart"/>
      <w:r w:rsidRPr="00101CE0">
        <w:rPr>
          <w:rFonts w:asciiTheme="minorHAnsi" w:hAnsiTheme="minorHAnsi" w:cstheme="minorBidi"/>
          <w:color w:val="auto"/>
        </w:rPr>
        <w:t>Power</w:t>
      </w:r>
      <w:proofErr w:type="spellEnd"/>
      <w:r w:rsidRPr="00101CE0">
        <w:rPr>
          <w:rFonts w:asciiTheme="minorHAnsi" w:hAnsiTheme="minorHAnsi" w:cstheme="minorBidi"/>
          <w:color w:val="auto"/>
        </w:rPr>
        <w:t xml:space="preserve"> Factory, el Consultor deberá usar las bases de datos de cada país entregadas por cada contraparte. El Consultor deberá hacer las adecuaciones necesarias que permitan un intercambio confiable entre ambos </w:t>
      </w:r>
      <w:r w:rsidRPr="00101CE0">
        <w:rPr>
          <w:rFonts w:asciiTheme="minorHAnsi" w:hAnsiTheme="minorHAnsi" w:cstheme="minorBidi"/>
          <w:color w:val="auto"/>
        </w:rPr>
        <w:lastRenderedPageBreak/>
        <w:t xml:space="preserve">países, considerando la proyección y horizonte de evaluación y la integración entre ambas bases de datos. Además, el Consultor deberá entregar la base de datos resultante en el formato </w:t>
      </w:r>
      <w:proofErr w:type="spellStart"/>
      <w:r w:rsidRPr="00101CE0">
        <w:rPr>
          <w:rFonts w:asciiTheme="minorHAnsi" w:hAnsiTheme="minorHAnsi" w:cstheme="minorBidi"/>
          <w:color w:val="auto"/>
        </w:rPr>
        <w:t>Power</w:t>
      </w:r>
      <w:proofErr w:type="spellEnd"/>
      <w:r w:rsidRPr="00101CE0">
        <w:rPr>
          <w:rFonts w:asciiTheme="minorHAnsi" w:hAnsiTheme="minorHAnsi" w:cstheme="minorBidi"/>
          <w:color w:val="auto"/>
        </w:rPr>
        <w:t xml:space="preserve"> Factory.</w:t>
      </w:r>
    </w:p>
    <w:p w14:paraId="2FE694BD" w14:textId="347B8F89" w:rsidR="000B1B7B" w:rsidRPr="00101CE0" w:rsidRDefault="000B1B7B" w:rsidP="000B1B7B">
      <w:pPr>
        <w:pStyle w:val="ListParagraph"/>
        <w:numPr>
          <w:ilvl w:val="1"/>
          <w:numId w:val="1"/>
        </w:numPr>
        <w:jc w:val="both"/>
        <w:rPr>
          <w:rFonts w:asciiTheme="minorHAnsi" w:hAnsiTheme="minorHAnsi" w:cstheme="minorBidi"/>
          <w:color w:val="auto"/>
        </w:rPr>
      </w:pPr>
      <w:r w:rsidRPr="00101CE0">
        <w:rPr>
          <w:rFonts w:asciiTheme="minorHAnsi" w:hAnsiTheme="minorHAnsi" w:cstheme="minorBidi"/>
          <w:color w:val="auto"/>
        </w:rPr>
        <w:t>A partir de los resultados se deberá analizar si se cumplen las condiciones de inercia y control de frecuencia necesarias para la operación segura del sistema</w:t>
      </w:r>
    </w:p>
    <w:p w14:paraId="3BE4E603" w14:textId="77777777" w:rsidR="000B1B7B" w:rsidRPr="000B1B7B" w:rsidRDefault="000B1B7B" w:rsidP="000B1B7B">
      <w:pPr>
        <w:jc w:val="both"/>
        <w:rPr>
          <w:rFonts w:asciiTheme="minorHAnsi" w:hAnsiTheme="minorHAnsi" w:cstheme="minorBidi"/>
          <w:color w:val="auto"/>
        </w:rPr>
      </w:pPr>
    </w:p>
    <w:p w14:paraId="5758C247" w14:textId="35B98E58" w:rsidR="000B1B7B" w:rsidRPr="00101CE0" w:rsidRDefault="000B1B7B" w:rsidP="00101CE0">
      <w:pPr>
        <w:pStyle w:val="ListParagraph"/>
        <w:numPr>
          <w:ilvl w:val="0"/>
          <w:numId w:val="1"/>
        </w:numPr>
        <w:jc w:val="both"/>
        <w:rPr>
          <w:rFonts w:asciiTheme="minorHAnsi" w:hAnsiTheme="minorHAnsi" w:cstheme="minorBidi"/>
          <w:b/>
          <w:bCs/>
          <w:color w:val="auto"/>
        </w:rPr>
      </w:pPr>
      <w:r w:rsidRPr="00101CE0">
        <w:rPr>
          <w:rFonts w:asciiTheme="minorHAnsi" w:hAnsiTheme="minorHAnsi" w:cstheme="minorBidi"/>
          <w:b/>
          <w:bCs/>
          <w:color w:val="auto"/>
        </w:rPr>
        <w:t>Base de datos</w:t>
      </w:r>
    </w:p>
    <w:p w14:paraId="0321F8AF" w14:textId="77777777" w:rsidR="000B1B7B" w:rsidRPr="000B1B7B" w:rsidRDefault="000B1B7B" w:rsidP="000B1B7B">
      <w:pPr>
        <w:jc w:val="both"/>
        <w:rPr>
          <w:rFonts w:asciiTheme="minorHAnsi" w:hAnsiTheme="minorHAnsi" w:cstheme="minorBidi"/>
          <w:color w:val="auto"/>
        </w:rPr>
      </w:pPr>
    </w:p>
    <w:p w14:paraId="3D8B63B7" w14:textId="7D9892F7" w:rsidR="00BB6A64" w:rsidRPr="00BB6A64" w:rsidRDefault="00BB6A64" w:rsidP="001A1CAD">
      <w:pPr>
        <w:pStyle w:val="ListParagraph"/>
        <w:numPr>
          <w:ilvl w:val="1"/>
          <w:numId w:val="1"/>
        </w:numPr>
        <w:jc w:val="both"/>
        <w:rPr>
          <w:rFonts w:asciiTheme="minorHAnsi" w:hAnsiTheme="minorHAnsi" w:cstheme="minorBidi"/>
          <w:color w:val="auto"/>
        </w:rPr>
      </w:pPr>
      <w:r w:rsidRPr="00BB6A64">
        <w:rPr>
          <w:rFonts w:asciiTheme="minorHAnsi" w:hAnsiTheme="minorHAnsi" w:cstheme="minorBidi"/>
          <w:color w:val="auto"/>
        </w:rPr>
        <w:t xml:space="preserve">Las contrapartes de ambos países deberán entregar al Consultor información de los antecedentes. </w:t>
      </w:r>
    </w:p>
    <w:p w14:paraId="33272A63" w14:textId="19E551C5" w:rsidR="0010110E" w:rsidRDefault="000B1B7B" w:rsidP="000B1B7B">
      <w:pPr>
        <w:pStyle w:val="ListParagraph"/>
        <w:numPr>
          <w:ilvl w:val="1"/>
          <w:numId w:val="1"/>
        </w:numPr>
        <w:jc w:val="both"/>
        <w:rPr>
          <w:rFonts w:asciiTheme="minorHAnsi" w:hAnsiTheme="minorHAnsi" w:cstheme="minorBidi"/>
          <w:color w:val="auto"/>
        </w:rPr>
      </w:pPr>
      <w:r w:rsidRPr="0010110E">
        <w:rPr>
          <w:rFonts w:asciiTheme="minorHAnsi" w:hAnsiTheme="minorHAnsi" w:cstheme="minorBidi"/>
          <w:color w:val="auto"/>
        </w:rPr>
        <w:t xml:space="preserve">Una vez sistematizada la información entregada por las contrapartes, el Consultor deberá entregar una base de datos tabulada (Excel o similar) que contemple toda la información base que se considera en el modelo de operación y proyección eléctrica utilizado por el Consultor, de tal manera de poder utilizar dicha información en los modelos propios de la contraparte técnica de cada país. </w:t>
      </w:r>
    </w:p>
    <w:p w14:paraId="5BCDD31B" w14:textId="0A35205C" w:rsidR="000B1B7B" w:rsidRPr="0010110E" w:rsidRDefault="000B1B7B" w:rsidP="000B1B7B">
      <w:pPr>
        <w:pStyle w:val="ListParagraph"/>
        <w:numPr>
          <w:ilvl w:val="1"/>
          <w:numId w:val="1"/>
        </w:numPr>
        <w:jc w:val="both"/>
        <w:rPr>
          <w:rFonts w:asciiTheme="minorHAnsi" w:hAnsiTheme="minorHAnsi" w:cstheme="minorBidi"/>
          <w:color w:val="auto"/>
        </w:rPr>
      </w:pPr>
      <w:r w:rsidRPr="0010110E">
        <w:rPr>
          <w:rFonts w:asciiTheme="minorHAnsi" w:hAnsiTheme="minorHAnsi" w:cstheme="minorBidi"/>
          <w:color w:val="auto"/>
        </w:rPr>
        <w:t xml:space="preserve">El Consultor además de presentar las bases de datos en formato </w:t>
      </w:r>
      <w:proofErr w:type="spellStart"/>
      <w:r w:rsidRPr="0010110E">
        <w:rPr>
          <w:rFonts w:asciiTheme="minorHAnsi" w:hAnsiTheme="minorHAnsi" w:cstheme="minorBidi"/>
          <w:color w:val="auto"/>
        </w:rPr>
        <w:t>Power</w:t>
      </w:r>
      <w:proofErr w:type="spellEnd"/>
      <w:r w:rsidRPr="0010110E">
        <w:rPr>
          <w:rFonts w:asciiTheme="minorHAnsi" w:hAnsiTheme="minorHAnsi" w:cstheme="minorBidi"/>
          <w:color w:val="auto"/>
        </w:rPr>
        <w:t xml:space="preserve"> Factory y SDDP utilizadas en las simulaciones eléctricas y energéticas, deberá entregar las planillas de cálculo en formato editable, archivos y otras herramientas utilizadas para la elaboración de cada informe.</w:t>
      </w:r>
    </w:p>
    <w:p w14:paraId="0228877B" w14:textId="77777777" w:rsidR="000B1B7B" w:rsidRPr="000B1B7B" w:rsidRDefault="000B1B7B" w:rsidP="000B1B7B">
      <w:pPr>
        <w:jc w:val="both"/>
        <w:rPr>
          <w:rFonts w:asciiTheme="minorHAnsi" w:hAnsiTheme="minorHAnsi" w:cstheme="minorBidi"/>
          <w:color w:val="auto"/>
        </w:rPr>
      </w:pPr>
    </w:p>
    <w:p w14:paraId="5B9CD059" w14:textId="77777777" w:rsidR="00185714" w:rsidRDefault="000B1B7B" w:rsidP="000B1B7B">
      <w:pPr>
        <w:pStyle w:val="ListParagraph"/>
        <w:numPr>
          <w:ilvl w:val="0"/>
          <w:numId w:val="1"/>
        </w:numPr>
        <w:jc w:val="both"/>
        <w:rPr>
          <w:rFonts w:asciiTheme="minorHAnsi" w:hAnsiTheme="minorHAnsi" w:cstheme="minorBidi"/>
          <w:color w:val="auto"/>
        </w:rPr>
      </w:pPr>
      <w:r w:rsidRPr="0010110E">
        <w:rPr>
          <w:rFonts w:asciiTheme="minorHAnsi" w:hAnsiTheme="minorHAnsi" w:cstheme="minorBidi"/>
          <w:b/>
          <w:bCs/>
          <w:color w:val="auto"/>
        </w:rPr>
        <w:t>Horizonte del estudio:</w:t>
      </w:r>
      <w:r w:rsidRPr="0010110E">
        <w:rPr>
          <w:rFonts w:asciiTheme="minorHAnsi" w:hAnsiTheme="minorHAnsi" w:cstheme="minorBidi"/>
          <w:color w:val="auto"/>
        </w:rPr>
        <w:t xml:space="preserve"> Se considerará un horizonte de análisis de 20 años. </w:t>
      </w:r>
    </w:p>
    <w:p w14:paraId="3C26957B" w14:textId="77777777" w:rsidR="00185714" w:rsidRDefault="00185714" w:rsidP="00185714">
      <w:pPr>
        <w:pStyle w:val="ListParagraph"/>
        <w:jc w:val="both"/>
        <w:rPr>
          <w:rFonts w:asciiTheme="minorHAnsi" w:hAnsiTheme="minorHAnsi" w:cstheme="minorBidi"/>
          <w:color w:val="auto"/>
        </w:rPr>
      </w:pPr>
    </w:p>
    <w:p w14:paraId="601DA7B4" w14:textId="0D6203C9" w:rsidR="006F2A6B" w:rsidRDefault="000B1B7B" w:rsidP="000B1B7B">
      <w:pPr>
        <w:pStyle w:val="ListParagraph"/>
        <w:numPr>
          <w:ilvl w:val="0"/>
          <w:numId w:val="1"/>
        </w:numPr>
        <w:jc w:val="both"/>
        <w:rPr>
          <w:rFonts w:asciiTheme="minorHAnsi" w:hAnsiTheme="minorHAnsi" w:cstheme="minorBidi"/>
          <w:color w:val="auto"/>
        </w:rPr>
      </w:pPr>
      <w:r w:rsidRPr="00185714">
        <w:rPr>
          <w:rFonts w:asciiTheme="minorHAnsi" w:hAnsiTheme="minorHAnsi" w:cstheme="minorBidi"/>
          <w:color w:val="auto"/>
        </w:rPr>
        <w:t>El Consultor será responsable de estimar cualquier información adicional que se requiera para cumplir con los objetivos del estudio, tales como costos de inversión en líneas de transmisión, transformadores y otras instalaciones y equipamientos que permitan desarrollar los distintos proyectos de interconexión, costos de mitigación medioambiental, social y otros si corresponde. La información debe ser validada por las contrapartes.</w:t>
      </w:r>
    </w:p>
    <w:p w14:paraId="6FC361C8" w14:textId="77777777" w:rsidR="00FF72BD" w:rsidRPr="00FF72BD" w:rsidRDefault="00FF72BD" w:rsidP="00FF72BD">
      <w:pPr>
        <w:pStyle w:val="ListParagraph"/>
        <w:rPr>
          <w:rFonts w:asciiTheme="minorHAnsi" w:hAnsiTheme="minorHAnsi" w:cstheme="minorBidi"/>
          <w:color w:val="auto"/>
        </w:rPr>
      </w:pPr>
    </w:p>
    <w:p w14:paraId="6400A7B9" w14:textId="77777777" w:rsidR="005E5D6A" w:rsidRPr="005E5D6A" w:rsidRDefault="005E5D6A" w:rsidP="005E5D6A">
      <w:pPr>
        <w:pStyle w:val="ListParagraph"/>
        <w:numPr>
          <w:ilvl w:val="0"/>
          <w:numId w:val="1"/>
        </w:numPr>
        <w:jc w:val="both"/>
        <w:rPr>
          <w:rFonts w:asciiTheme="minorHAnsi" w:hAnsiTheme="minorHAnsi" w:cstheme="minorBidi"/>
          <w:b/>
          <w:bCs/>
          <w:color w:val="auto"/>
        </w:rPr>
      </w:pPr>
      <w:r w:rsidRPr="005E5D6A">
        <w:rPr>
          <w:rFonts w:asciiTheme="minorHAnsi" w:hAnsiTheme="minorHAnsi" w:cstheme="minorBidi"/>
          <w:b/>
          <w:bCs/>
          <w:color w:val="auto"/>
        </w:rPr>
        <w:t>Resultados y Productos Esperados</w:t>
      </w:r>
    </w:p>
    <w:p w14:paraId="082F4FF5" w14:textId="77777777" w:rsidR="005E5D6A" w:rsidRPr="005E5D6A" w:rsidRDefault="005E5D6A" w:rsidP="005E5D6A">
      <w:pPr>
        <w:pStyle w:val="ListParagraph"/>
        <w:jc w:val="both"/>
        <w:rPr>
          <w:rFonts w:asciiTheme="minorHAnsi" w:hAnsiTheme="minorHAnsi" w:cstheme="minorBidi"/>
          <w:color w:val="auto"/>
        </w:rPr>
      </w:pPr>
    </w:p>
    <w:p w14:paraId="1A1B2520" w14:textId="77777777" w:rsidR="005E5D6A" w:rsidRPr="005E5D6A" w:rsidRDefault="005E5D6A" w:rsidP="00CB360A">
      <w:pPr>
        <w:pStyle w:val="ListParagraph"/>
        <w:numPr>
          <w:ilvl w:val="1"/>
          <w:numId w:val="1"/>
        </w:numPr>
        <w:jc w:val="both"/>
        <w:rPr>
          <w:rFonts w:asciiTheme="minorHAnsi" w:hAnsiTheme="minorHAnsi" w:cstheme="minorBidi"/>
          <w:color w:val="auto"/>
        </w:rPr>
      </w:pPr>
      <w:r w:rsidRPr="005E5D6A">
        <w:rPr>
          <w:rFonts w:asciiTheme="minorHAnsi" w:hAnsiTheme="minorHAnsi" w:cstheme="minorBidi"/>
          <w:color w:val="auto"/>
        </w:rPr>
        <w:t>Para dar cumplimiento a las actividades claves del estudio, el Consultor deberá presentar un (1) cronograma de actividades, tres (3) informes de avance, un (1) informe final y realizar una presentación a ambas delegaciones. Estos entregables deberán cumplir los siguientes plazos y contenidos:</w:t>
      </w:r>
    </w:p>
    <w:p w14:paraId="1E6BFC2B" w14:textId="77777777" w:rsidR="005E5D6A" w:rsidRPr="005E5D6A" w:rsidRDefault="005E5D6A" w:rsidP="007B2D74">
      <w:pPr>
        <w:pStyle w:val="ListParagraph"/>
        <w:ind w:left="1440"/>
        <w:jc w:val="both"/>
        <w:rPr>
          <w:rFonts w:asciiTheme="minorHAnsi" w:hAnsiTheme="minorHAnsi" w:cstheme="minorBidi"/>
          <w:color w:val="auto"/>
        </w:rPr>
      </w:pPr>
    </w:p>
    <w:p w14:paraId="2FB5B24C" w14:textId="77777777" w:rsidR="005E5D6A" w:rsidRPr="005E5D6A" w:rsidRDefault="005E5D6A" w:rsidP="00CB360A">
      <w:pPr>
        <w:pStyle w:val="ListParagraph"/>
        <w:numPr>
          <w:ilvl w:val="1"/>
          <w:numId w:val="1"/>
        </w:numPr>
        <w:jc w:val="both"/>
        <w:rPr>
          <w:rFonts w:asciiTheme="minorHAnsi" w:hAnsiTheme="minorHAnsi" w:cstheme="minorBidi"/>
          <w:color w:val="auto"/>
        </w:rPr>
      </w:pPr>
      <w:r w:rsidRPr="007B2D74">
        <w:rPr>
          <w:rFonts w:asciiTheme="minorHAnsi" w:hAnsiTheme="minorHAnsi" w:cstheme="minorBidi"/>
          <w:b/>
          <w:bCs/>
          <w:color w:val="auto"/>
        </w:rPr>
        <w:t>Cronograma de actividades: Plazo (dentro del primer mes del estudio):</w:t>
      </w:r>
      <w:r w:rsidRPr="005E5D6A">
        <w:rPr>
          <w:rFonts w:asciiTheme="minorHAnsi" w:hAnsiTheme="minorHAnsi" w:cstheme="minorBidi"/>
          <w:color w:val="auto"/>
        </w:rPr>
        <w:t xml:space="preserve"> Propuesta de cronograma de actividades y programación de reuniones que tendrá el consultor con las contrapartes para cumplir con los 4 informes a lo largo de todo el estudio. Adicionalmente, hacer una presentación de este cronograma (fecha a convenir con contrapartes). </w:t>
      </w:r>
    </w:p>
    <w:p w14:paraId="6885DBAF" w14:textId="77777777" w:rsidR="005E5D6A" w:rsidRPr="005E5D6A" w:rsidRDefault="005E5D6A" w:rsidP="007B2D74">
      <w:pPr>
        <w:pStyle w:val="ListParagraph"/>
        <w:ind w:left="1440"/>
        <w:jc w:val="both"/>
        <w:rPr>
          <w:rFonts w:asciiTheme="minorHAnsi" w:hAnsiTheme="minorHAnsi" w:cstheme="minorBidi"/>
          <w:color w:val="auto"/>
        </w:rPr>
      </w:pPr>
    </w:p>
    <w:p w14:paraId="7249ACC0" w14:textId="77777777" w:rsidR="005E5D6A" w:rsidRPr="005E5D6A" w:rsidRDefault="005E5D6A" w:rsidP="00CB360A">
      <w:pPr>
        <w:pStyle w:val="ListParagraph"/>
        <w:numPr>
          <w:ilvl w:val="1"/>
          <w:numId w:val="1"/>
        </w:numPr>
        <w:jc w:val="both"/>
        <w:rPr>
          <w:rFonts w:asciiTheme="minorHAnsi" w:hAnsiTheme="minorHAnsi" w:cstheme="minorBidi"/>
          <w:color w:val="auto"/>
        </w:rPr>
      </w:pPr>
      <w:r w:rsidRPr="007B2D74">
        <w:rPr>
          <w:rFonts w:asciiTheme="minorHAnsi" w:hAnsiTheme="minorHAnsi" w:cstheme="minorBidi"/>
          <w:b/>
          <w:bCs/>
          <w:color w:val="auto"/>
        </w:rPr>
        <w:t>Informe 1: Plazo a definir (propuesta: 12 semanas)</w:t>
      </w:r>
      <w:r w:rsidRPr="005E5D6A">
        <w:rPr>
          <w:rFonts w:asciiTheme="minorHAnsi" w:hAnsiTheme="minorHAnsi" w:cstheme="minorBidi"/>
          <w:color w:val="auto"/>
        </w:rPr>
        <w:t xml:space="preserve">. Este informe debe comprender los resultados y análisis de la Actividad 1 (complementariedad energética) y realizar una presentación a las delegaciones de ambos países (fecha a convenir con contrapartes). </w:t>
      </w:r>
    </w:p>
    <w:p w14:paraId="0F753C56" w14:textId="77777777" w:rsidR="005E5D6A" w:rsidRPr="005E5D6A" w:rsidRDefault="005E5D6A" w:rsidP="007B2D74">
      <w:pPr>
        <w:pStyle w:val="ListParagraph"/>
        <w:ind w:left="1440"/>
        <w:jc w:val="both"/>
        <w:rPr>
          <w:rFonts w:asciiTheme="minorHAnsi" w:hAnsiTheme="minorHAnsi" w:cstheme="minorBidi"/>
          <w:color w:val="auto"/>
        </w:rPr>
      </w:pPr>
    </w:p>
    <w:p w14:paraId="1F986904" w14:textId="77777777" w:rsidR="005E5D6A" w:rsidRPr="005E5D6A" w:rsidRDefault="005E5D6A" w:rsidP="00CB360A">
      <w:pPr>
        <w:pStyle w:val="ListParagraph"/>
        <w:numPr>
          <w:ilvl w:val="1"/>
          <w:numId w:val="1"/>
        </w:numPr>
        <w:jc w:val="both"/>
        <w:rPr>
          <w:rFonts w:asciiTheme="minorHAnsi" w:hAnsiTheme="minorHAnsi" w:cstheme="minorBidi"/>
          <w:color w:val="auto"/>
        </w:rPr>
      </w:pPr>
      <w:r w:rsidRPr="007B2D74">
        <w:rPr>
          <w:rFonts w:asciiTheme="minorHAnsi" w:hAnsiTheme="minorHAnsi" w:cstheme="minorBidi"/>
          <w:b/>
          <w:bCs/>
          <w:color w:val="auto"/>
        </w:rPr>
        <w:t>Informe 2: Plazo a definir (propuesta: 8 semanas).</w:t>
      </w:r>
      <w:r w:rsidRPr="005E5D6A">
        <w:rPr>
          <w:rFonts w:asciiTheme="minorHAnsi" w:hAnsiTheme="minorHAnsi" w:cstheme="minorBidi"/>
          <w:color w:val="auto"/>
        </w:rPr>
        <w:t xml:space="preserve"> Este informe debe comprender las observaciones del informe 1 y los resultados y análisis de la Actividad 2 (Evaluación técnica). Realizar una presentación del informe 2, en la fecha acordada entre las partes.</w:t>
      </w:r>
    </w:p>
    <w:p w14:paraId="350173A7" w14:textId="77777777" w:rsidR="005E5D6A" w:rsidRPr="005E5D6A" w:rsidRDefault="005E5D6A" w:rsidP="007B2D74">
      <w:pPr>
        <w:pStyle w:val="ListParagraph"/>
        <w:ind w:left="1440"/>
        <w:jc w:val="both"/>
        <w:rPr>
          <w:rFonts w:asciiTheme="minorHAnsi" w:hAnsiTheme="minorHAnsi" w:cstheme="minorBidi"/>
          <w:color w:val="auto"/>
        </w:rPr>
      </w:pPr>
    </w:p>
    <w:p w14:paraId="13BEA629" w14:textId="77777777" w:rsidR="005E5D6A" w:rsidRPr="005E5D6A" w:rsidRDefault="005E5D6A" w:rsidP="00CB360A">
      <w:pPr>
        <w:pStyle w:val="ListParagraph"/>
        <w:numPr>
          <w:ilvl w:val="1"/>
          <w:numId w:val="1"/>
        </w:numPr>
        <w:jc w:val="both"/>
        <w:rPr>
          <w:rFonts w:asciiTheme="minorHAnsi" w:hAnsiTheme="minorHAnsi" w:cstheme="minorBidi"/>
          <w:color w:val="auto"/>
        </w:rPr>
      </w:pPr>
      <w:r w:rsidRPr="007B2D74">
        <w:rPr>
          <w:rFonts w:asciiTheme="minorHAnsi" w:hAnsiTheme="minorHAnsi" w:cstheme="minorBidi"/>
          <w:b/>
          <w:bCs/>
          <w:color w:val="auto"/>
        </w:rPr>
        <w:t>Informe 3: Plazo a definir (propuesta: 8 semanas).</w:t>
      </w:r>
      <w:r w:rsidRPr="005E5D6A">
        <w:rPr>
          <w:rFonts w:asciiTheme="minorHAnsi" w:hAnsiTheme="minorHAnsi" w:cstheme="minorBidi"/>
          <w:color w:val="auto"/>
        </w:rPr>
        <w:t xml:space="preserve"> Este informe debe comprender las observaciones del informe 2, los resultados y análisis de la Actividad 3 (Evaluación de </w:t>
      </w:r>
      <w:r w:rsidRPr="005E5D6A">
        <w:rPr>
          <w:rFonts w:asciiTheme="minorHAnsi" w:hAnsiTheme="minorHAnsi" w:cstheme="minorBidi"/>
          <w:color w:val="auto"/>
        </w:rPr>
        <w:lastRenderedPageBreak/>
        <w:t>beneficios) y la Actividad 4 (regulación y medioambiente). Realizar una presentación del informe 3, en la fecha acordada entre las partes.</w:t>
      </w:r>
    </w:p>
    <w:p w14:paraId="13F93A3B" w14:textId="77777777" w:rsidR="005E5D6A" w:rsidRPr="005E5D6A" w:rsidRDefault="005E5D6A" w:rsidP="007B2D74">
      <w:pPr>
        <w:pStyle w:val="ListParagraph"/>
        <w:ind w:left="1440"/>
        <w:jc w:val="both"/>
        <w:rPr>
          <w:rFonts w:asciiTheme="minorHAnsi" w:hAnsiTheme="minorHAnsi" w:cstheme="minorBidi"/>
          <w:color w:val="auto"/>
        </w:rPr>
      </w:pPr>
    </w:p>
    <w:p w14:paraId="0437E7C7" w14:textId="5E78C132" w:rsidR="00FF72BD" w:rsidRDefault="005E5D6A" w:rsidP="00CB360A">
      <w:pPr>
        <w:pStyle w:val="ListParagraph"/>
        <w:numPr>
          <w:ilvl w:val="1"/>
          <w:numId w:val="1"/>
        </w:numPr>
        <w:jc w:val="both"/>
        <w:rPr>
          <w:rFonts w:asciiTheme="minorHAnsi" w:hAnsiTheme="minorHAnsi" w:cstheme="minorBidi"/>
          <w:color w:val="auto"/>
        </w:rPr>
      </w:pPr>
      <w:r w:rsidRPr="007B2D74">
        <w:rPr>
          <w:rFonts w:asciiTheme="minorHAnsi" w:hAnsiTheme="minorHAnsi" w:cstheme="minorBidi"/>
          <w:b/>
          <w:bCs/>
          <w:color w:val="auto"/>
        </w:rPr>
        <w:t>Informe Final: Plazo a definir (propuesta: 6 semanas).</w:t>
      </w:r>
      <w:r w:rsidRPr="005E5D6A">
        <w:rPr>
          <w:rFonts w:asciiTheme="minorHAnsi" w:hAnsiTheme="minorHAnsi" w:cstheme="minorBidi"/>
          <w:color w:val="auto"/>
        </w:rPr>
        <w:t xml:space="preserve"> Este informe debe comprender las observaciones del informe 3. Realizar una presentación del informe 3, en la fecha acordada entre las partes.</w:t>
      </w:r>
    </w:p>
    <w:p w14:paraId="4B069F6E" w14:textId="77777777" w:rsidR="00BB727D" w:rsidRPr="00BB727D" w:rsidRDefault="00BB727D" w:rsidP="00BB727D">
      <w:pPr>
        <w:pStyle w:val="ListParagraph"/>
        <w:rPr>
          <w:rFonts w:asciiTheme="minorHAnsi" w:hAnsiTheme="minorHAnsi" w:cstheme="minorBidi"/>
          <w:color w:val="auto"/>
        </w:rPr>
      </w:pPr>
    </w:p>
    <w:p w14:paraId="772CD442" w14:textId="1291FA5C" w:rsidR="00BB727D" w:rsidRPr="00BB727D" w:rsidRDefault="00BB727D" w:rsidP="00BB727D">
      <w:pPr>
        <w:pStyle w:val="ListParagraph"/>
        <w:widowControl/>
        <w:numPr>
          <w:ilvl w:val="0"/>
          <w:numId w:val="1"/>
        </w:numPr>
        <w:autoSpaceDE/>
        <w:autoSpaceDN/>
        <w:adjustRightInd/>
        <w:ind w:right="-10"/>
        <w:jc w:val="both"/>
        <w:rPr>
          <w:rFonts w:asciiTheme="minorHAnsi" w:hAnsiTheme="minorHAnsi" w:cstheme="minorHAnsi"/>
          <w:b/>
        </w:rPr>
      </w:pPr>
      <w:r w:rsidRPr="00BB727D">
        <w:rPr>
          <w:rFonts w:asciiTheme="minorHAnsi" w:hAnsiTheme="minorHAnsi" w:cstheme="minorHAnsi"/>
          <w:b/>
        </w:rPr>
        <w:t>Calendario de Pagos</w:t>
      </w:r>
    </w:p>
    <w:p w14:paraId="0DD7EE07" w14:textId="77777777" w:rsidR="00BB727D" w:rsidRPr="00BB727D" w:rsidRDefault="00BB727D" w:rsidP="00BB727D">
      <w:pPr>
        <w:pStyle w:val="ListParagraph"/>
        <w:ind w:left="360" w:right="-10"/>
        <w:jc w:val="both"/>
        <w:rPr>
          <w:rFonts w:asciiTheme="minorHAnsi" w:hAnsiTheme="minorHAnsi" w:cstheme="minorHAnsi"/>
          <w:b/>
        </w:rPr>
      </w:pPr>
    </w:p>
    <w:p w14:paraId="2FD3345F" w14:textId="77777777" w:rsidR="00BB727D" w:rsidRPr="00BB727D" w:rsidRDefault="00BB727D" w:rsidP="00BB727D">
      <w:pPr>
        <w:pStyle w:val="ListParagraph"/>
        <w:numPr>
          <w:ilvl w:val="1"/>
          <w:numId w:val="1"/>
        </w:numPr>
        <w:jc w:val="both"/>
        <w:rPr>
          <w:rFonts w:asciiTheme="minorHAnsi" w:hAnsiTheme="minorHAnsi" w:cstheme="minorHAnsi"/>
          <w:color w:val="auto"/>
        </w:rPr>
      </w:pPr>
      <w:r w:rsidRPr="00BB727D">
        <w:rPr>
          <w:rFonts w:asciiTheme="minorHAnsi" w:hAnsiTheme="minorHAnsi" w:cstheme="minorHAnsi"/>
          <w:color w:val="auto"/>
        </w:rPr>
        <w:t>Las condiciones de pago se basarán en los hitos o entregables del proyecto.  El Banco no espera hacer pagos por adelantado en virtud de contratos de consultoría a menos que se requiera una cantidad significativa de viajes.  El Banco desea recibir la propuesta de costos más competitiva para los servicios descritos en el presente documento.</w:t>
      </w:r>
    </w:p>
    <w:p w14:paraId="548CF255" w14:textId="77777777" w:rsidR="00BB727D" w:rsidRPr="00BB727D" w:rsidRDefault="00BB727D" w:rsidP="00BB727D">
      <w:pPr>
        <w:pStyle w:val="ListParagraph"/>
        <w:numPr>
          <w:ilvl w:val="1"/>
          <w:numId w:val="1"/>
        </w:numPr>
        <w:jc w:val="both"/>
        <w:rPr>
          <w:rFonts w:asciiTheme="minorHAnsi" w:hAnsiTheme="minorHAnsi" w:cstheme="minorHAnsi"/>
          <w:color w:val="auto"/>
        </w:rPr>
      </w:pPr>
      <w:r w:rsidRPr="00BB727D">
        <w:rPr>
          <w:rFonts w:asciiTheme="minorHAnsi" w:hAnsiTheme="minorHAnsi" w:cstheme="minorHAnsi"/>
          <w:color w:val="auto"/>
        </w:rPr>
        <w:t xml:space="preserve">La Tasa de Cambios Oficial del BID indicada en el SDP se aplicará para las conversiones necesarias de los pagos en moneda local. </w:t>
      </w:r>
    </w:p>
    <w:p w14:paraId="3E398E35" w14:textId="77777777" w:rsidR="00BB727D" w:rsidRPr="00BB727D" w:rsidRDefault="00BB727D" w:rsidP="00BB727D">
      <w:pPr>
        <w:shd w:val="clear" w:color="auto" w:fill="FFFFFF"/>
        <w:tabs>
          <w:tab w:val="left" w:pos="990"/>
        </w:tabs>
        <w:ind w:right="-10"/>
        <w:contextualSpacing/>
        <w:jc w:val="both"/>
        <w:rPr>
          <w:rFonts w:asciiTheme="minorHAnsi" w:hAnsiTheme="minorHAnsi" w:cstheme="minorHAnsi"/>
          <w:b/>
        </w:rPr>
      </w:pPr>
    </w:p>
    <w:tbl>
      <w:tblPr>
        <w:tblStyle w:val="TableGrid"/>
        <w:tblW w:w="0" w:type="auto"/>
        <w:jc w:val="center"/>
        <w:tblLook w:val="04A0" w:firstRow="1" w:lastRow="0" w:firstColumn="1" w:lastColumn="0" w:noHBand="0" w:noVBand="1"/>
      </w:tblPr>
      <w:tblGrid>
        <w:gridCol w:w="3688"/>
        <w:gridCol w:w="1368"/>
      </w:tblGrid>
      <w:tr w:rsidR="00BB727D" w:rsidRPr="00BB727D" w14:paraId="4FCCE9A9" w14:textId="77777777" w:rsidTr="00BB727D">
        <w:trPr>
          <w:trHeight w:val="218"/>
          <w:jc w:val="center"/>
        </w:trPr>
        <w:tc>
          <w:tcPr>
            <w:tcW w:w="5055" w:type="dxa"/>
            <w:gridSpan w:val="2"/>
          </w:tcPr>
          <w:p w14:paraId="41114D3D" w14:textId="77777777" w:rsidR="00BB727D" w:rsidRPr="00BB727D" w:rsidRDefault="00BB727D" w:rsidP="009F3DD4">
            <w:pPr>
              <w:pStyle w:val="ListParagraph"/>
              <w:ind w:left="0" w:right="-10"/>
              <w:jc w:val="center"/>
              <w:rPr>
                <w:rFonts w:asciiTheme="minorHAnsi" w:hAnsiTheme="minorHAnsi" w:cstheme="minorHAnsi"/>
                <w:b/>
              </w:rPr>
            </w:pPr>
            <w:r w:rsidRPr="00BB727D">
              <w:rPr>
                <w:rFonts w:asciiTheme="minorHAnsi" w:hAnsiTheme="minorHAnsi" w:cstheme="minorHAnsi"/>
                <w:b/>
              </w:rPr>
              <w:t>Plan de Pagos</w:t>
            </w:r>
          </w:p>
        </w:tc>
      </w:tr>
      <w:tr w:rsidR="00BB727D" w:rsidRPr="00BB727D" w14:paraId="50164A82" w14:textId="77777777" w:rsidTr="00BB727D">
        <w:trPr>
          <w:trHeight w:val="149"/>
          <w:jc w:val="center"/>
        </w:trPr>
        <w:tc>
          <w:tcPr>
            <w:tcW w:w="3688" w:type="dxa"/>
          </w:tcPr>
          <w:p w14:paraId="032CE3B2" w14:textId="77777777" w:rsidR="00BB727D" w:rsidRPr="00BB727D" w:rsidRDefault="00BB727D" w:rsidP="009F3DD4">
            <w:pPr>
              <w:pStyle w:val="ListParagraph"/>
              <w:ind w:right="-10"/>
              <w:rPr>
                <w:rFonts w:asciiTheme="minorHAnsi" w:hAnsiTheme="minorHAnsi" w:cstheme="minorHAnsi"/>
                <w:b/>
              </w:rPr>
            </w:pPr>
            <w:r w:rsidRPr="00BB727D">
              <w:rPr>
                <w:rFonts w:asciiTheme="minorHAnsi" w:hAnsiTheme="minorHAnsi" w:cstheme="minorHAnsi"/>
                <w:b/>
              </w:rPr>
              <w:t xml:space="preserve">Entregables </w:t>
            </w:r>
          </w:p>
        </w:tc>
        <w:tc>
          <w:tcPr>
            <w:tcW w:w="1368" w:type="dxa"/>
          </w:tcPr>
          <w:p w14:paraId="6C27DB55" w14:textId="77777777" w:rsidR="00BB727D" w:rsidRPr="00BB727D" w:rsidRDefault="00BB727D" w:rsidP="009F3DD4">
            <w:pPr>
              <w:pStyle w:val="ListParagraph"/>
              <w:ind w:left="0" w:right="-10"/>
              <w:jc w:val="center"/>
              <w:rPr>
                <w:rFonts w:asciiTheme="minorHAnsi" w:hAnsiTheme="minorHAnsi" w:cstheme="minorHAnsi"/>
                <w:b/>
              </w:rPr>
            </w:pPr>
            <w:r w:rsidRPr="00BB727D">
              <w:rPr>
                <w:rFonts w:asciiTheme="minorHAnsi" w:hAnsiTheme="minorHAnsi" w:cstheme="minorHAnsi"/>
                <w:b/>
              </w:rPr>
              <w:t>%</w:t>
            </w:r>
          </w:p>
        </w:tc>
      </w:tr>
      <w:tr w:rsidR="00BB727D" w:rsidRPr="00BB727D" w14:paraId="6AD0F214" w14:textId="77777777" w:rsidTr="00BB727D">
        <w:trPr>
          <w:trHeight w:val="357"/>
          <w:jc w:val="center"/>
        </w:trPr>
        <w:tc>
          <w:tcPr>
            <w:tcW w:w="3688" w:type="dxa"/>
          </w:tcPr>
          <w:p w14:paraId="02354D19" w14:textId="77777777" w:rsidR="00BB727D" w:rsidRPr="00BB727D" w:rsidRDefault="00BB727D" w:rsidP="00BB727D">
            <w:pPr>
              <w:pStyle w:val="ListParagraph"/>
              <w:widowControl/>
              <w:numPr>
                <w:ilvl w:val="0"/>
                <w:numId w:val="3"/>
              </w:numPr>
              <w:autoSpaceDE/>
              <w:autoSpaceDN/>
              <w:adjustRightInd/>
              <w:ind w:right="-10"/>
              <w:rPr>
                <w:rFonts w:asciiTheme="minorHAnsi" w:hAnsiTheme="minorHAnsi" w:cstheme="minorHAnsi"/>
              </w:rPr>
            </w:pPr>
            <w:r w:rsidRPr="00BB727D">
              <w:rPr>
                <w:rFonts w:asciiTheme="minorHAnsi" w:hAnsiTheme="minorHAnsi" w:cstheme="minorHAnsi"/>
              </w:rPr>
              <w:t>Cronograma de actividades</w:t>
            </w:r>
          </w:p>
        </w:tc>
        <w:tc>
          <w:tcPr>
            <w:tcW w:w="1368" w:type="dxa"/>
          </w:tcPr>
          <w:p w14:paraId="51DB72D3" w14:textId="77777777" w:rsidR="00BB727D" w:rsidRPr="00BB727D" w:rsidRDefault="00BB727D" w:rsidP="009F3DD4">
            <w:pPr>
              <w:pStyle w:val="ListParagraph"/>
              <w:ind w:left="0" w:right="-10"/>
              <w:jc w:val="center"/>
              <w:rPr>
                <w:rFonts w:asciiTheme="minorHAnsi" w:hAnsiTheme="minorHAnsi" w:cstheme="minorHAnsi"/>
              </w:rPr>
            </w:pPr>
            <w:r w:rsidRPr="00BB727D">
              <w:rPr>
                <w:rFonts w:asciiTheme="minorHAnsi" w:hAnsiTheme="minorHAnsi" w:cstheme="minorHAnsi"/>
              </w:rPr>
              <w:t>10%</w:t>
            </w:r>
          </w:p>
        </w:tc>
      </w:tr>
      <w:tr w:rsidR="00BB727D" w:rsidRPr="00BB727D" w14:paraId="1F831E9E" w14:textId="77777777" w:rsidTr="00BB727D">
        <w:trPr>
          <w:trHeight w:val="308"/>
          <w:jc w:val="center"/>
        </w:trPr>
        <w:tc>
          <w:tcPr>
            <w:tcW w:w="3688" w:type="dxa"/>
          </w:tcPr>
          <w:p w14:paraId="6CE3C98C" w14:textId="77777777" w:rsidR="00BB727D" w:rsidRPr="00BB727D" w:rsidRDefault="00BB727D" w:rsidP="00BB727D">
            <w:pPr>
              <w:pStyle w:val="ListParagraph"/>
              <w:widowControl/>
              <w:numPr>
                <w:ilvl w:val="0"/>
                <w:numId w:val="3"/>
              </w:numPr>
              <w:autoSpaceDE/>
              <w:autoSpaceDN/>
              <w:adjustRightInd/>
              <w:ind w:right="-10"/>
              <w:rPr>
                <w:rFonts w:asciiTheme="minorHAnsi" w:hAnsiTheme="minorHAnsi" w:cstheme="minorHAnsi"/>
              </w:rPr>
            </w:pPr>
            <w:r w:rsidRPr="00BB727D">
              <w:rPr>
                <w:rFonts w:asciiTheme="minorHAnsi" w:hAnsiTheme="minorHAnsi" w:cstheme="minorHAnsi"/>
              </w:rPr>
              <w:t>Informe 1</w:t>
            </w:r>
          </w:p>
        </w:tc>
        <w:tc>
          <w:tcPr>
            <w:tcW w:w="1368" w:type="dxa"/>
          </w:tcPr>
          <w:p w14:paraId="79B7E96E" w14:textId="77777777" w:rsidR="00BB727D" w:rsidRPr="00BB727D" w:rsidRDefault="00BB727D" w:rsidP="009F3DD4">
            <w:pPr>
              <w:pStyle w:val="ListParagraph"/>
              <w:ind w:left="0" w:right="-10"/>
              <w:jc w:val="center"/>
              <w:rPr>
                <w:rFonts w:asciiTheme="minorHAnsi" w:hAnsiTheme="minorHAnsi" w:cstheme="minorHAnsi"/>
              </w:rPr>
            </w:pPr>
            <w:r w:rsidRPr="00BB727D">
              <w:rPr>
                <w:rFonts w:asciiTheme="minorHAnsi" w:hAnsiTheme="minorHAnsi" w:cstheme="minorHAnsi"/>
              </w:rPr>
              <w:t>20%</w:t>
            </w:r>
          </w:p>
        </w:tc>
      </w:tr>
      <w:tr w:rsidR="00BB727D" w:rsidRPr="00BB727D" w14:paraId="3167746B" w14:textId="77777777" w:rsidTr="00BB727D">
        <w:trPr>
          <w:trHeight w:val="298"/>
          <w:jc w:val="center"/>
        </w:trPr>
        <w:tc>
          <w:tcPr>
            <w:tcW w:w="3688" w:type="dxa"/>
          </w:tcPr>
          <w:p w14:paraId="043A5E68" w14:textId="77777777" w:rsidR="00BB727D" w:rsidRPr="00BB727D" w:rsidRDefault="00BB727D" w:rsidP="00BB727D">
            <w:pPr>
              <w:pStyle w:val="ListParagraph"/>
              <w:widowControl/>
              <w:numPr>
                <w:ilvl w:val="0"/>
                <w:numId w:val="3"/>
              </w:numPr>
              <w:autoSpaceDE/>
              <w:autoSpaceDN/>
              <w:adjustRightInd/>
              <w:ind w:right="-10"/>
              <w:rPr>
                <w:rFonts w:asciiTheme="minorHAnsi" w:hAnsiTheme="minorHAnsi" w:cstheme="minorHAnsi"/>
              </w:rPr>
            </w:pPr>
            <w:r w:rsidRPr="00BB727D">
              <w:rPr>
                <w:rFonts w:asciiTheme="minorHAnsi" w:hAnsiTheme="minorHAnsi" w:cstheme="minorHAnsi"/>
              </w:rPr>
              <w:t>Informe 2</w:t>
            </w:r>
          </w:p>
        </w:tc>
        <w:tc>
          <w:tcPr>
            <w:tcW w:w="1368" w:type="dxa"/>
          </w:tcPr>
          <w:p w14:paraId="4E446870" w14:textId="77777777" w:rsidR="00BB727D" w:rsidRPr="00BB727D" w:rsidRDefault="00BB727D" w:rsidP="009F3DD4">
            <w:pPr>
              <w:pStyle w:val="ListParagraph"/>
              <w:ind w:left="0" w:right="-10"/>
              <w:jc w:val="center"/>
              <w:rPr>
                <w:rFonts w:asciiTheme="minorHAnsi" w:hAnsiTheme="minorHAnsi" w:cstheme="minorHAnsi"/>
              </w:rPr>
            </w:pPr>
            <w:r w:rsidRPr="00BB727D">
              <w:rPr>
                <w:rFonts w:asciiTheme="minorHAnsi" w:hAnsiTheme="minorHAnsi" w:cstheme="minorHAnsi"/>
              </w:rPr>
              <w:t>20%</w:t>
            </w:r>
          </w:p>
        </w:tc>
      </w:tr>
      <w:tr w:rsidR="00BB727D" w:rsidRPr="00BB727D" w14:paraId="6D0A2300" w14:textId="77777777" w:rsidTr="00BB727D">
        <w:trPr>
          <w:trHeight w:val="298"/>
          <w:jc w:val="center"/>
        </w:trPr>
        <w:tc>
          <w:tcPr>
            <w:tcW w:w="3688" w:type="dxa"/>
          </w:tcPr>
          <w:p w14:paraId="68E9FDA4" w14:textId="77777777" w:rsidR="00BB727D" w:rsidRPr="00BB727D" w:rsidRDefault="00BB727D" w:rsidP="00BB727D">
            <w:pPr>
              <w:pStyle w:val="ListParagraph"/>
              <w:widowControl/>
              <w:numPr>
                <w:ilvl w:val="0"/>
                <w:numId w:val="3"/>
              </w:numPr>
              <w:autoSpaceDE/>
              <w:autoSpaceDN/>
              <w:adjustRightInd/>
              <w:ind w:right="-10"/>
              <w:rPr>
                <w:rFonts w:asciiTheme="minorHAnsi" w:hAnsiTheme="minorHAnsi" w:cstheme="minorHAnsi"/>
              </w:rPr>
            </w:pPr>
            <w:r w:rsidRPr="00BB727D">
              <w:rPr>
                <w:rFonts w:asciiTheme="minorHAnsi" w:hAnsiTheme="minorHAnsi" w:cstheme="minorHAnsi"/>
              </w:rPr>
              <w:t>Informe 3</w:t>
            </w:r>
          </w:p>
        </w:tc>
        <w:tc>
          <w:tcPr>
            <w:tcW w:w="1368" w:type="dxa"/>
          </w:tcPr>
          <w:p w14:paraId="73B4756F" w14:textId="77777777" w:rsidR="00BB727D" w:rsidRPr="00BB727D" w:rsidRDefault="00BB727D" w:rsidP="009F3DD4">
            <w:pPr>
              <w:pStyle w:val="ListParagraph"/>
              <w:ind w:left="0" w:right="-10"/>
              <w:jc w:val="center"/>
              <w:rPr>
                <w:rFonts w:asciiTheme="minorHAnsi" w:hAnsiTheme="minorHAnsi" w:cstheme="minorHAnsi"/>
              </w:rPr>
            </w:pPr>
            <w:r w:rsidRPr="00BB727D">
              <w:rPr>
                <w:rFonts w:asciiTheme="minorHAnsi" w:hAnsiTheme="minorHAnsi" w:cstheme="minorHAnsi"/>
              </w:rPr>
              <w:t>20%</w:t>
            </w:r>
          </w:p>
        </w:tc>
      </w:tr>
      <w:tr w:rsidR="00BB727D" w:rsidRPr="00BB727D" w14:paraId="685313B0" w14:textId="77777777" w:rsidTr="00BB727D">
        <w:trPr>
          <w:trHeight w:val="298"/>
          <w:jc w:val="center"/>
        </w:trPr>
        <w:tc>
          <w:tcPr>
            <w:tcW w:w="3688" w:type="dxa"/>
          </w:tcPr>
          <w:p w14:paraId="38EDA49F" w14:textId="77777777" w:rsidR="00BB727D" w:rsidRPr="00BB727D" w:rsidRDefault="00BB727D" w:rsidP="00BB727D">
            <w:pPr>
              <w:pStyle w:val="ListParagraph"/>
              <w:widowControl/>
              <w:numPr>
                <w:ilvl w:val="0"/>
                <w:numId w:val="3"/>
              </w:numPr>
              <w:autoSpaceDE/>
              <w:autoSpaceDN/>
              <w:adjustRightInd/>
              <w:ind w:right="-10"/>
              <w:rPr>
                <w:rFonts w:asciiTheme="minorHAnsi" w:hAnsiTheme="minorHAnsi" w:cstheme="minorHAnsi"/>
              </w:rPr>
            </w:pPr>
            <w:r w:rsidRPr="00BB727D">
              <w:rPr>
                <w:rFonts w:asciiTheme="minorHAnsi" w:hAnsiTheme="minorHAnsi" w:cstheme="minorHAnsi"/>
              </w:rPr>
              <w:t>Informe final</w:t>
            </w:r>
          </w:p>
        </w:tc>
        <w:tc>
          <w:tcPr>
            <w:tcW w:w="1368" w:type="dxa"/>
          </w:tcPr>
          <w:p w14:paraId="0FD137B7" w14:textId="77777777" w:rsidR="00BB727D" w:rsidRPr="00BB727D" w:rsidRDefault="00BB727D" w:rsidP="009F3DD4">
            <w:pPr>
              <w:pStyle w:val="ListParagraph"/>
              <w:ind w:left="0" w:right="-10"/>
              <w:jc w:val="center"/>
              <w:rPr>
                <w:rFonts w:asciiTheme="minorHAnsi" w:hAnsiTheme="minorHAnsi" w:cstheme="minorHAnsi"/>
              </w:rPr>
            </w:pPr>
            <w:r w:rsidRPr="00BB727D">
              <w:rPr>
                <w:rFonts w:asciiTheme="minorHAnsi" w:hAnsiTheme="minorHAnsi" w:cstheme="minorHAnsi"/>
              </w:rPr>
              <w:t>30%</w:t>
            </w:r>
          </w:p>
        </w:tc>
      </w:tr>
      <w:tr w:rsidR="00BB727D" w:rsidRPr="00BB727D" w14:paraId="40E0C6B8" w14:textId="77777777" w:rsidTr="00BB727D">
        <w:trPr>
          <w:trHeight w:val="158"/>
          <w:jc w:val="center"/>
        </w:trPr>
        <w:tc>
          <w:tcPr>
            <w:tcW w:w="3688" w:type="dxa"/>
          </w:tcPr>
          <w:p w14:paraId="56272738" w14:textId="77777777" w:rsidR="00BB727D" w:rsidRPr="00BB727D" w:rsidRDefault="00BB727D" w:rsidP="009F3DD4">
            <w:pPr>
              <w:pStyle w:val="ListParagraph"/>
              <w:ind w:left="0" w:right="-10"/>
              <w:jc w:val="right"/>
              <w:rPr>
                <w:rFonts w:asciiTheme="minorHAnsi" w:hAnsiTheme="minorHAnsi" w:cstheme="minorHAnsi"/>
                <w:b/>
              </w:rPr>
            </w:pPr>
            <w:r w:rsidRPr="00BB727D">
              <w:rPr>
                <w:rFonts w:asciiTheme="minorHAnsi" w:hAnsiTheme="minorHAnsi" w:cstheme="minorHAnsi"/>
                <w:b/>
              </w:rPr>
              <w:t>TOTAL</w:t>
            </w:r>
          </w:p>
        </w:tc>
        <w:tc>
          <w:tcPr>
            <w:tcW w:w="1368" w:type="dxa"/>
          </w:tcPr>
          <w:p w14:paraId="371878D8" w14:textId="77777777" w:rsidR="00BB727D" w:rsidRPr="00BB727D" w:rsidRDefault="00BB727D" w:rsidP="009F3DD4">
            <w:pPr>
              <w:pStyle w:val="ListParagraph"/>
              <w:ind w:left="0" w:right="-10"/>
              <w:jc w:val="center"/>
              <w:rPr>
                <w:rFonts w:asciiTheme="minorHAnsi" w:hAnsiTheme="minorHAnsi" w:cstheme="minorHAnsi"/>
                <w:b/>
              </w:rPr>
            </w:pPr>
            <w:r w:rsidRPr="00BB727D">
              <w:rPr>
                <w:rFonts w:asciiTheme="minorHAnsi" w:hAnsiTheme="minorHAnsi" w:cstheme="minorHAnsi"/>
              </w:rPr>
              <w:t>100%</w:t>
            </w:r>
          </w:p>
        </w:tc>
      </w:tr>
    </w:tbl>
    <w:p w14:paraId="0A3448EE" w14:textId="77777777" w:rsidR="00BB727D" w:rsidRPr="00BB727D" w:rsidRDefault="00BB727D" w:rsidP="00BB727D">
      <w:pPr>
        <w:rPr>
          <w:rFonts w:asciiTheme="minorHAnsi" w:hAnsiTheme="minorHAnsi" w:cstheme="minorHAnsi"/>
        </w:rPr>
      </w:pPr>
    </w:p>
    <w:p w14:paraId="12DE7BE6" w14:textId="47DB4506" w:rsidR="00BB727D" w:rsidRPr="00BB727D" w:rsidRDefault="00BB727D" w:rsidP="00BB727D">
      <w:pPr>
        <w:pStyle w:val="ListParagraph"/>
        <w:numPr>
          <w:ilvl w:val="0"/>
          <w:numId w:val="1"/>
        </w:numPr>
        <w:jc w:val="both"/>
        <w:rPr>
          <w:rFonts w:asciiTheme="minorHAnsi" w:hAnsiTheme="minorHAnsi" w:cstheme="minorHAnsi"/>
          <w:b/>
          <w:bCs/>
          <w:lang w:val="es-CO"/>
        </w:rPr>
      </w:pPr>
      <w:r w:rsidRPr="00BB727D">
        <w:rPr>
          <w:rFonts w:asciiTheme="minorHAnsi" w:hAnsiTheme="minorHAnsi" w:cstheme="minorHAnsi"/>
          <w:b/>
          <w:bCs/>
          <w:lang w:val="es-CO"/>
        </w:rPr>
        <w:t>Características de la Consultoría</w:t>
      </w:r>
    </w:p>
    <w:p w14:paraId="7C43EB30" w14:textId="77777777" w:rsidR="00BB727D" w:rsidRPr="00BB727D" w:rsidRDefault="00BB727D" w:rsidP="00BB727D">
      <w:pPr>
        <w:jc w:val="both"/>
        <w:rPr>
          <w:rFonts w:asciiTheme="minorHAnsi" w:hAnsiTheme="minorHAnsi" w:cstheme="minorHAnsi"/>
          <w:b/>
          <w:bCs/>
          <w:lang w:val="es-CO"/>
        </w:rPr>
      </w:pPr>
    </w:p>
    <w:p w14:paraId="54A278F6" w14:textId="77777777" w:rsidR="00BB727D" w:rsidRPr="007D54AF" w:rsidRDefault="00BB727D" w:rsidP="007D54AF">
      <w:pPr>
        <w:pStyle w:val="ListParagraph"/>
        <w:numPr>
          <w:ilvl w:val="1"/>
          <w:numId w:val="1"/>
        </w:numPr>
        <w:jc w:val="both"/>
        <w:rPr>
          <w:rFonts w:asciiTheme="minorHAnsi" w:hAnsiTheme="minorHAnsi" w:cstheme="minorHAnsi"/>
          <w:color w:val="auto"/>
        </w:rPr>
      </w:pPr>
      <w:r w:rsidRPr="007D54AF">
        <w:rPr>
          <w:rFonts w:asciiTheme="minorHAnsi" w:hAnsiTheme="minorHAnsi" w:cstheme="minorHAnsi"/>
          <w:color w:val="auto"/>
        </w:rPr>
        <w:t>Categoría y modalidad de la Consultoría: Firma Consultora</w:t>
      </w:r>
    </w:p>
    <w:p w14:paraId="78075E30" w14:textId="77777777" w:rsidR="00BB727D" w:rsidRPr="007D54AF" w:rsidRDefault="00BB727D" w:rsidP="007D54AF">
      <w:pPr>
        <w:pStyle w:val="ListParagraph"/>
        <w:numPr>
          <w:ilvl w:val="1"/>
          <w:numId w:val="1"/>
        </w:numPr>
        <w:jc w:val="both"/>
        <w:rPr>
          <w:rFonts w:asciiTheme="minorHAnsi" w:hAnsiTheme="minorHAnsi" w:cstheme="minorHAnsi"/>
          <w:color w:val="auto"/>
        </w:rPr>
      </w:pPr>
      <w:r w:rsidRPr="007D54AF">
        <w:rPr>
          <w:rFonts w:asciiTheme="minorHAnsi" w:hAnsiTheme="minorHAnsi" w:cstheme="minorHAnsi"/>
          <w:color w:val="auto"/>
        </w:rPr>
        <w:t>Duración del contrato: 10 meses</w:t>
      </w:r>
    </w:p>
    <w:sectPr w:rsidR="00BB727D" w:rsidRPr="007D54AF">
      <w:headerReference w:type="even" r:id="rId20"/>
      <w:headerReference w:type="default" r:id="rId21"/>
      <w:footerReference w:type="even" r:id="rId22"/>
      <w:footerReference w:type="default" r:id="rId23"/>
      <w:headerReference w:type="first" r:id="rId24"/>
      <w:footerReference w:type="first" r:id="rId25"/>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1D4D3" w14:textId="77777777" w:rsidR="00907522" w:rsidRDefault="00907522">
      <w:r>
        <w:separator/>
      </w:r>
    </w:p>
  </w:endnote>
  <w:endnote w:type="continuationSeparator" w:id="0">
    <w:p w14:paraId="6C3B4C60" w14:textId="77777777" w:rsidR="00907522" w:rsidRDefault="0090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A370" w14:textId="77777777" w:rsidR="00D761FB" w:rsidRDefault="00D76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E89A" w14:textId="77777777" w:rsidR="00D761FB" w:rsidRDefault="00D761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3B01" w14:textId="77777777" w:rsidR="00D761FB" w:rsidRDefault="00D76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1D91A" w14:textId="77777777" w:rsidR="00907522" w:rsidRDefault="00907522">
      <w:r>
        <w:separator/>
      </w:r>
    </w:p>
  </w:footnote>
  <w:footnote w:type="continuationSeparator" w:id="0">
    <w:p w14:paraId="301C6A42" w14:textId="77777777" w:rsidR="00907522" w:rsidRDefault="00907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892B" w14:textId="77777777" w:rsidR="00D761FB" w:rsidRDefault="00D76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4503" w14:textId="50D7B104" w:rsidR="00D761FB" w:rsidRDefault="00D76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2FD5" w14:textId="77777777" w:rsidR="00D761FB" w:rsidRDefault="00D76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5B0A"/>
    <w:multiLevelType w:val="hybridMultilevel"/>
    <w:tmpl w:val="F4F03B0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A4D97"/>
    <w:multiLevelType w:val="hybridMultilevel"/>
    <w:tmpl w:val="5E5C49BE"/>
    <w:lvl w:ilvl="0" w:tplc="ABB24ED2">
      <w:start w:val="1"/>
      <w:numFmt w:val="decimal"/>
      <w:lvlText w:val="%1."/>
      <w:lvlJc w:val="left"/>
      <w:pPr>
        <w:ind w:left="720" w:hanging="360"/>
      </w:pPr>
      <w:rPr>
        <w:rFonts w:ascii="Times New Roman" w:hAnsi="Times New Roman" w:hint="default"/>
        <w:b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63C65F78"/>
    <w:multiLevelType w:val="multilevel"/>
    <w:tmpl w:val="DDF2473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870F62"/>
    <w:multiLevelType w:val="hybridMultilevel"/>
    <w:tmpl w:val="C2443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readOnly" w:enforcement="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A7"/>
    <w:rsid w:val="00032422"/>
    <w:rsid w:val="0003493A"/>
    <w:rsid w:val="00050DB5"/>
    <w:rsid w:val="000B0219"/>
    <w:rsid w:val="000B1B7B"/>
    <w:rsid w:val="000C118D"/>
    <w:rsid w:val="000E5997"/>
    <w:rsid w:val="000F09A7"/>
    <w:rsid w:val="0010110E"/>
    <w:rsid w:val="00101CE0"/>
    <w:rsid w:val="0015387F"/>
    <w:rsid w:val="00172FEE"/>
    <w:rsid w:val="00185714"/>
    <w:rsid w:val="001910F7"/>
    <w:rsid w:val="001C1EA2"/>
    <w:rsid w:val="001F2366"/>
    <w:rsid w:val="001F3E4D"/>
    <w:rsid w:val="00201995"/>
    <w:rsid w:val="00206D9F"/>
    <w:rsid w:val="002932DF"/>
    <w:rsid w:val="003310FE"/>
    <w:rsid w:val="00360ACB"/>
    <w:rsid w:val="003800C7"/>
    <w:rsid w:val="003F5CA1"/>
    <w:rsid w:val="004003E8"/>
    <w:rsid w:val="00423E38"/>
    <w:rsid w:val="0045490A"/>
    <w:rsid w:val="00463054"/>
    <w:rsid w:val="004A3654"/>
    <w:rsid w:val="004D51F3"/>
    <w:rsid w:val="00507F1F"/>
    <w:rsid w:val="0051231A"/>
    <w:rsid w:val="0052634A"/>
    <w:rsid w:val="00532F35"/>
    <w:rsid w:val="00546C8D"/>
    <w:rsid w:val="00556C08"/>
    <w:rsid w:val="00565ECC"/>
    <w:rsid w:val="005673D5"/>
    <w:rsid w:val="0056772C"/>
    <w:rsid w:val="005B434A"/>
    <w:rsid w:val="005E20BB"/>
    <w:rsid w:val="005E5D6A"/>
    <w:rsid w:val="006071D7"/>
    <w:rsid w:val="00637714"/>
    <w:rsid w:val="00647EAD"/>
    <w:rsid w:val="0065049D"/>
    <w:rsid w:val="006738B4"/>
    <w:rsid w:val="006C3B20"/>
    <w:rsid w:val="006E3DEF"/>
    <w:rsid w:val="006F2A6B"/>
    <w:rsid w:val="007001EE"/>
    <w:rsid w:val="0078460F"/>
    <w:rsid w:val="007B2D74"/>
    <w:rsid w:val="007C2C06"/>
    <w:rsid w:val="007D54AF"/>
    <w:rsid w:val="008171F3"/>
    <w:rsid w:val="00822143"/>
    <w:rsid w:val="00861706"/>
    <w:rsid w:val="0086578F"/>
    <w:rsid w:val="00891E3C"/>
    <w:rsid w:val="008C7908"/>
    <w:rsid w:val="00901303"/>
    <w:rsid w:val="0090355D"/>
    <w:rsid w:val="0090501E"/>
    <w:rsid w:val="00907522"/>
    <w:rsid w:val="009A504B"/>
    <w:rsid w:val="009C4509"/>
    <w:rsid w:val="009F39E0"/>
    <w:rsid w:val="00A15B62"/>
    <w:rsid w:val="00A37CA7"/>
    <w:rsid w:val="00A438EB"/>
    <w:rsid w:val="00A8300A"/>
    <w:rsid w:val="00A838F0"/>
    <w:rsid w:val="00A83D94"/>
    <w:rsid w:val="00AA4FB5"/>
    <w:rsid w:val="00AD6E3D"/>
    <w:rsid w:val="00AE7268"/>
    <w:rsid w:val="00B07994"/>
    <w:rsid w:val="00B17BF0"/>
    <w:rsid w:val="00B27293"/>
    <w:rsid w:val="00B747D9"/>
    <w:rsid w:val="00B95237"/>
    <w:rsid w:val="00B96F4E"/>
    <w:rsid w:val="00BA79B0"/>
    <w:rsid w:val="00BB6A64"/>
    <w:rsid w:val="00BB727D"/>
    <w:rsid w:val="00BF0B50"/>
    <w:rsid w:val="00BF5CD3"/>
    <w:rsid w:val="00C27587"/>
    <w:rsid w:val="00C32A99"/>
    <w:rsid w:val="00C42B39"/>
    <w:rsid w:val="00C439C0"/>
    <w:rsid w:val="00C476D4"/>
    <w:rsid w:val="00C56002"/>
    <w:rsid w:val="00C90263"/>
    <w:rsid w:val="00C94EA8"/>
    <w:rsid w:val="00CA7C9E"/>
    <w:rsid w:val="00CB360A"/>
    <w:rsid w:val="00CD2A27"/>
    <w:rsid w:val="00CD36BB"/>
    <w:rsid w:val="00CD4904"/>
    <w:rsid w:val="00CE0491"/>
    <w:rsid w:val="00D04C85"/>
    <w:rsid w:val="00D761FB"/>
    <w:rsid w:val="00D92D8F"/>
    <w:rsid w:val="00DE327F"/>
    <w:rsid w:val="00E277C5"/>
    <w:rsid w:val="00E82ED1"/>
    <w:rsid w:val="00ED4D33"/>
    <w:rsid w:val="00F45D9C"/>
    <w:rsid w:val="00F53BB5"/>
    <w:rsid w:val="00F74266"/>
    <w:rsid w:val="00FF72BD"/>
    <w:rsid w:val="0506207C"/>
    <w:rsid w:val="08202347"/>
    <w:rsid w:val="19427AB5"/>
    <w:rsid w:val="1ACBE1A0"/>
    <w:rsid w:val="2C944FB1"/>
    <w:rsid w:val="427E340D"/>
    <w:rsid w:val="4C7BC12C"/>
    <w:rsid w:val="672BA2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32EBCC"/>
  <w14:defaultImageDpi w14:val="0"/>
  <w15:docId w15:val="{84C41C21-C044-464C-B5FF-03941554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lang w:val="es-MX"/>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customStyle="1" w:styleId="BalloonTextChar">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customStyle="1" w:styleId="HeaderChar">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customStyle="1" w:styleId="FooterChar">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customStyle="1" w:styleId="Heading1a">
    <w:name w:val="Heading 1a"/>
    <w:rsid w:val="006C3B2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s-MX" w:eastAsia="en-US"/>
    </w:rPr>
  </w:style>
  <w:style w:type="paragraph" w:styleId="BodyText">
    <w:name w:val="Body Text"/>
    <w:basedOn w:val="Normal"/>
    <w:link w:val="BodyTextChar"/>
    <w:semiHidden/>
    <w:rsid w:val="006C3B20"/>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semiHidden/>
    <w:rsid w:val="006C3B20"/>
    <w:rPr>
      <w:rFonts w:ascii="CG Times" w:eastAsia="Times New Roman" w:hAnsi="CG Times" w:cs="Times New Roman"/>
      <w:spacing w:val="-2"/>
      <w:sz w:val="24"/>
      <w:szCs w:val="20"/>
      <w:lang w:val="es-MX"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semiHidden/>
    <w:unhideWhenUsed/>
    <w:rsid w:val="004003E8"/>
    <w:rPr>
      <w:sz w:val="20"/>
      <w:szCs w:val="20"/>
    </w:rPr>
  </w:style>
  <w:style w:type="character" w:customStyle="1" w:styleId="CommentTextChar">
    <w:name w:val="Comment Text Char"/>
    <w:basedOn w:val="DefaultParagraphFont"/>
    <w:link w:val="CommentText"/>
    <w:uiPriority w:val="99"/>
    <w:semiHidden/>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customStyle="1" w:styleId="CommentSubjectChar">
    <w:name w:val="Comment Subject Char"/>
    <w:basedOn w:val="CommentTextChar"/>
    <w:link w:val="CommentSubject"/>
    <w:uiPriority w:val="99"/>
    <w:semiHidden/>
    <w:rsid w:val="004003E8"/>
    <w:rPr>
      <w:rFonts w:ascii="Arial" w:hAnsi="Arial" w:cs="Arial"/>
      <w:b/>
      <w:bCs/>
      <w:color w:val="000000"/>
      <w:sz w:val="20"/>
      <w:szCs w:val="20"/>
    </w:rPr>
  </w:style>
  <w:style w:type="paragraph" w:styleId="NormalWeb">
    <w:name w:val="Normal (Web)"/>
    <w:basedOn w:val="Normal"/>
    <w:uiPriority w:val="99"/>
    <w:semiHidden/>
    <w:unhideWhenUsed/>
    <w:rsid w:val="00A83D94"/>
    <w:pPr>
      <w:widowControl/>
      <w:autoSpaceDE/>
      <w:autoSpaceDN/>
      <w:adjustRightInd/>
      <w:spacing w:before="100" w:beforeAutospacing="1" w:after="100" w:afterAutospacing="1"/>
    </w:pPr>
    <w:rPr>
      <w:rFonts w:ascii="Times New Roman" w:eastAsia="Times New Roman" w:hAnsi="Times New Roman" w:cs="Times New Roman"/>
      <w:color w:val="auto"/>
      <w:lang w:val="en-US" w:eastAsia="en-US"/>
    </w:rPr>
  </w:style>
  <w:style w:type="character" w:styleId="UnresolvedMention">
    <w:name w:val="Unresolved Mention"/>
    <w:basedOn w:val="DefaultParagraphFont"/>
    <w:uiPriority w:val="99"/>
    <w:semiHidden/>
    <w:unhideWhenUsed/>
    <w:rsid w:val="000E5997"/>
    <w:rPr>
      <w:color w:val="605E5C"/>
      <w:shd w:val="clear" w:color="auto" w:fill="E1DFDD"/>
    </w:rPr>
  </w:style>
  <w:style w:type="paragraph" w:styleId="ListParagraph">
    <w:name w:val="List Paragraph"/>
    <w:aliases w:val="IFCL - List Paragraph,Párrafo,Titulo parrafo,Normal. Viñetas,Bolita,BOLA,Párrafo de lista2,Párrafo de lista3,Párrafo de lista21,BOLADEF,HOJA,MIBEX B,Lista multicolor - Énfasis 11,Guión,Titulo 8,TITULO 2,Fluvial1,titulo 3,Bullets"/>
    <w:basedOn w:val="Normal"/>
    <w:link w:val="ListParagraphChar"/>
    <w:uiPriority w:val="34"/>
    <w:qFormat/>
    <w:rsid w:val="006F2A6B"/>
    <w:pPr>
      <w:ind w:left="720"/>
      <w:contextualSpacing/>
    </w:pPr>
  </w:style>
  <w:style w:type="paragraph" w:styleId="BodyTextIndent3">
    <w:name w:val="Body Text Indent 3"/>
    <w:basedOn w:val="Normal"/>
    <w:link w:val="BodyTextIndent3Char"/>
    <w:uiPriority w:val="99"/>
    <w:semiHidden/>
    <w:unhideWhenUsed/>
    <w:rsid w:val="00BB727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B727D"/>
    <w:rPr>
      <w:rFonts w:ascii="Arial" w:hAnsi="Arial" w:cs="Arial"/>
      <w:color w:val="000000"/>
      <w:sz w:val="16"/>
      <w:szCs w:val="16"/>
      <w:lang w:val="es-MX"/>
    </w:rPr>
  </w:style>
  <w:style w:type="table" w:styleId="TableGrid">
    <w:name w:val="Table Grid"/>
    <w:basedOn w:val="TableNormal"/>
    <w:uiPriority w:val="59"/>
    <w:rsid w:val="00BB72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FCL - List Paragraph Char,Párrafo Char,Titulo parrafo Char,Normal. Viñetas Char,Bolita Char,BOLA Char,Párrafo de lista2 Char,Párrafo de lista3 Char,Párrafo de lista21 Char,BOLADEF Char,HOJA Char,MIBEX B Char,Guión Char,Titulo 8 Char"/>
    <w:link w:val="ListParagraph"/>
    <w:uiPriority w:val="34"/>
    <w:locked/>
    <w:rsid w:val="00BB727D"/>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amariama@iadb.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alvarome@iadb.or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iadb.org/document.cfm?id=3898861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beo-procurement.iadb.org/home"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iadb.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iadb.org/es/project/RG-T3739"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DBDocs_x0020_Number xmlns="cdc7663a-08f0-4737-9e8c-148ce897a09c" xsi:nil="tru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Regional</TermName>
          <TermId xmlns="http://schemas.microsoft.com/office/infopath/2007/PartnerControls">2537a5b7-6d8e-482c-94dc-32c3cc44ff65</TermId>
        </TermInfo>
      </Terms>
    </ic46d7e087fd4a108fb86518ca413cc6>
    <Division_x0020_or_x0020_Unit xmlns="cdc7663a-08f0-4737-9e8c-148ce897a09c">INE/ENE</Division_x0020_or_x0020_Unit>
    <Fiscal_x0020_Year_x0020_IDB xmlns="cdc7663a-08f0-4737-9e8c-148ce897a09c">2022</Fiscal_x0020_Year_x0020_IDB>
    <Other_x0020_Author xmlns="cdc7663a-08f0-4737-9e8c-148ce897a09c" xsi:nil="true"/>
    <Migration_x0020_Info xmlns="cdc7663a-08f0-4737-9e8c-148ce897a09c" xsi:nil="true"/>
    <Document_x0020_Author xmlns="cdc7663a-08f0-4737-9e8c-148ce897a09c">Marquez Barroeta Fidel</Document_x0020_Author>
    <Document_x0020_Language_x0020_IDB xmlns="cdc7663a-08f0-4737-9e8c-148ce897a09c">English</Document_x0020_Language_x0020_IDB>
    <TaxCatchAll xmlns="cdc7663a-08f0-4737-9e8c-148ce897a09c">
      <Value>6</Value>
      <Value>45</Value>
      <Value>44</Value>
      <Value>90</Value>
      <Value>49</Value>
    </TaxCatchAll>
    <Identifier xmlns="cdc7663a-08f0-4737-9e8c-148ce897a09c" xsi:nil="true"/>
    <_dlc_DocId xmlns="cdc7663a-08f0-4737-9e8c-148ce897a09c">EZSHARE-322565079-3</_dlc_DocId>
    <_dlc_DocIdUrl xmlns="cdc7663a-08f0-4737-9e8c-148ce897a09c">
      <Url>https://idbg.sharepoint.com/teams/EZ-RG-TCP/RG-T3739/_layouts/15/DocIdRedir.aspx?ID=EZSHARE-322565079-3</Url>
      <Description>EZSHARE-322565079-3</Description>
    </_dlc_DocIdUrl>
    <Related_x0020_SisCor_x0020_Number xmlns="cdc7663a-08f0-4737-9e8c-148ce897a09c" xsi:nil="true"/>
    <Record_x0020_Number xmlns="cdc7663a-08f0-4737-9e8c-148ce897a09c" xsi:nil="true"/>
    <Extracted_x0020_Keywords xmlns="cdc7663a-08f0-4737-9e8c-148ce897a09c">
      <Value>operación económica</Value>
      <Value>transmisión</Value>
      <Value>simulación</Value>
      <Value>análisis</Value>
      <Value>presente documento</Value>
      <Value>Chile</Value>
      <Value>ambos</Value>
      <Value>condiciones</Value>
      <Value>software</Value>
      <Value>SDDP</Value>
      <Value>modelo</Value>
      <Value>intercambio</Value>
      <Value>actividades</Value>
      <Value>datos</Value>
      <Value>caso</Value>
      <Value>Cronograma</Value>
      <Value>Selección Competitivo Simplificado País</Value>
      <Value>Integración Eléctrica Andina</Value>
      <Value>Interconexión Eléctrica Andina</Value>
      <Value>Equipo1300 New York Avenue</Value>
      <Value>Interconexión Eléctrica Bolivia</Value>
      <Value>corredor eléctrico Andino</Value>
      <Value>características técnicas</Value>
      <Value>proyección eléctricaA</Value>
      <Value>El Banco Interamericano de</Value>
    </Extracted_x0020_Keywords>
    <b26cdb1da78c4bb4b1c1bac2f6ac5911 xmlns="cdc7663a-08f0-4737-9e8c-148ce897a09c">
      <Terms xmlns="http://schemas.microsoft.com/office/infopath/2007/PartnerControls"/>
    </b26cdb1da78c4bb4b1c1bac2f6ac5911>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Approval_x0020_Number xmlns="cdc7663a-08f0-4737-9e8c-148ce897a09c">ATN/OC-18449-RG</Approval_x0020_Number>
    <Phase xmlns="cdc7663a-08f0-4737-9e8c-148ce897a09c">PHASE_IMPLEMENTATION</Phase>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ENERGY INTEGRATION</TermName>
          <TermId xmlns="http://schemas.microsoft.com/office/infopath/2007/PartnerControls">1d29eac4-5499-4447-a729-351edadf21f0</TermId>
        </TermInfo>
      </Terms>
    </b2ec7cfb18674cb8803df6b262e8b107>
    <Business_x0020_Area xmlns="cdc7663a-08f0-4737-9e8c-148ce897a09c">BEO Procurement</Business_x0020_Area>
    <Key_x0020_Document xmlns="cdc7663a-08f0-4737-9e8c-148ce897a09c">false</Key_x0020_Document>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RIN</TermName>
          <TermId xmlns="http://schemas.microsoft.com/office/infopath/2007/PartnerControls">1f24c1c3-8b43-4567-b6c6-b7c857230d8b</TermId>
        </TermInfo>
      </Terms>
    </g511464f9e53401d84b16fa9b379a574>
    <Operation_x0020_Type xmlns="cdc7663a-08f0-4737-9e8c-148ce897a09c">TCP</Operation_x0020_Type>
    <Package_x0020_Code xmlns="cdc7663a-08f0-4737-9e8c-148ce897a09c" xsi:nil="true"/>
    <Project_x0020_Number xmlns="cdc7663a-08f0-4737-9e8c-148ce897a09c">RG-T3739</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ENERGY</TermName>
          <TermId xmlns="http://schemas.microsoft.com/office/infopath/2007/PartnerControls">4fed196a-cd0b-4970-87de-42da17f9b203</TermId>
        </TermInfo>
      </Terms>
    </nddeef1749674d76abdbe4b239a70bc6>
    <Disclosure_x0020_Activity xmlns="cdc7663a-08f0-4737-9e8c-148ce897a09c">BEO 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5.xml><?xml version="1.0" encoding="utf-8"?>
<?mso-contentType ?>
<SharedContentType xmlns="Microsoft.SharePoint.Taxonomy.ContentTypeSync" SourceId="ae61f9b1-e23d-4f49-b3d7-56b991556c4b" ContentTypeId="0x0101001A458A224826124E8B45B1D613300CFC" PreviousValue="false"/>
</file>

<file path=customXml/item6.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E0185501502BD940A6FB3CA489963B12" ma:contentTypeVersion="2941" ma:contentTypeDescription="A content type to manage public (operations) IDB documents" ma:contentTypeScope="" ma:versionID="54495ecd0afe078487b9813f315cc0c6">
  <xsd:schema xmlns:xsd="http://www.w3.org/2001/XMLSchema" xmlns:xs="http://www.w3.org/2001/XMLSchema" xmlns:p="http://schemas.microsoft.com/office/2006/metadata/properties" xmlns:ns2="cdc7663a-08f0-4737-9e8c-148ce897a09c" targetNamespace="http://schemas.microsoft.com/office/2006/metadata/properties" ma:root="true" ma:fieldsID="9a263b66d42b747ad531a746dd895982"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element ref="ns2:Extracted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RG-T3739"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element name="Extracted_x0020_Keywords" ma:index="55" nillable="true" ma:displayName="Extracted Keywords" ma:hidden="true" ma:internalName="Extracted_x0020_Keywords" ma:readOnly="false">
      <xsd:complexType>
        <xsd:complexContent>
          <xsd:extension base="dms:MultiChoiceFillIn">
            <xsd:sequence>
              <xsd:element name="Value" maxOccurs="unbounded" minOccurs="0" nillable="true">
                <xsd:simpleType>
                  <xsd:union memberTypes="dms:Text">
                    <xsd:simpleType>
                      <xsd:restriction base="dms:Choice">
                        <xsd:enumeration value="ez"/>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5E50AB-C705-4C53-B2E7-F469F0E2EE3C}">
  <ds:schemaRefs>
    <ds:schemaRef ds:uri="http://schemas.microsoft.com/sharepoint/v3/contenttype/forms"/>
  </ds:schemaRefs>
</ds:datastoreItem>
</file>

<file path=customXml/itemProps2.xml><?xml version="1.0" encoding="utf-8"?>
<ds:datastoreItem xmlns:ds="http://schemas.openxmlformats.org/officeDocument/2006/customXml" ds:itemID="{B98CC96B-FD11-466D-AEB4-CD0D9388406A}">
  <ds:schemaRefs>
    <ds:schemaRef ds:uri="http://schemas.microsoft.com/office/2006/metadata/properties"/>
    <ds:schemaRef ds:uri="http://schemas.microsoft.com/office/infopath/2007/PartnerControls"/>
    <ds:schemaRef ds:uri="cdc7663a-08f0-4737-9e8c-148ce897a09c"/>
  </ds:schemaRefs>
</ds:datastoreItem>
</file>

<file path=customXml/itemProps3.xml><?xml version="1.0" encoding="utf-8"?>
<ds:datastoreItem xmlns:ds="http://schemas.openxmlformats.org/officeDocument/2006/customXml" ds:itemID="{87E23DAA-4EEF-42E2-874B-D6AC0418C7F3}">
  <ds:schemaRefs>
    <ds:schemaRef ds:uri="http://schemas.microsoft.com/sharepoint/events"/>
  </ds:schemaRefs>
</ds:datastoreItem>
</file>

<file path=customXml/itemProps4.xml><?xml version="1.0" encoding="utf-8"?>
<ds:datastoreItem xmlns:ds="http://schemas.openxmlformats.org/officeDocument/2006/customXml" ds:itemID="{B7B7F2B3-4B5B-42A5-8F59-68B029D3C467}"/>
</file>

<file path=customXml/itemProps5.xml><?xml version="1.0" encoding="utf-8"?>
<ds:datastoreItem xmlns:ds="http://schemas.openxmlformats.org/officeDocument/2006/customXml" ds:itemID="{9F6418D4-8EDB-4A4F-889A-51F13B75E151}"/>
</file>

<file path=customXml/itemProps6.xml><?xml version="1.0" encoding="utf-8"?>
<ds:datastoreItem xmlns:ds="http://schemas.openxmlformats.org/officeDocument/2006/customXml" ds:itemID="{E4AF67E3-78F5-47E5-8561-069D822FA824}"/>
</file>

<file path=docProps/app.xml><?xml version="1.0" encoding="utf-8"?>
<Properties xmlns="http://schemas.openxmlformats.org/officeDocument/2006/extended-properties" xmlns:vt="http://schemas.openxmlformats.org/officeDocument/2006/docPropsVTypes">
  <Template>Normal</Template>
  <TotalTime>154</TotalTime>
  <Pages>4</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keywords/>
  <cp:lastModifiedBy>Ana Macias</cp:lastModifiedBy>
  <cp:revision>56</cp:revision>
  <cp:lastPrinted>2015-01-20T22:56:00Z</cp:lastPrinted>
  <dcterms:created xsi:type="dcterms:W3CDTF">2017-06-16T14:15:00Z</dcterms:created>
  <dcterms:modified xsi:type="dcterms:W3CDTF">2022-01-17T19:08:00Z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Series Corporate IDB">
    <vt:lpwstr>860;#GOV-07.1 Policies and Procedures - Working Documents|adcd5c59-1403-4739-bab1-9a1dec4ffb30</vt:lpwstr>
  </property>
  <property fmtid="{D5CDD505-2E9C-101B-9397-08002B2CF9AE}" pid="5" name="Function Corporate IDB">
    <vt:lpwstr>335;#4 Governance|d48f69c4-9785-416c-9a0f-b99285e2bde9</vt:lpwstr>
  </property>
  <property fmtid="{D5CDD505-2E9C-101B-9397-08002B2CF9AE}" pid="6" name="TaxKeywordTaxHTField">
    <vt:lpwstr/>
  </property>
  <property fmtid="{D5CDD505-2E9C-101B-9397-08002B2CF9AE}" pid="7" name="Country">
    <vt:lpwstr>44;#Regional|2537a5b7-6d8e-482c-94dc-32c3cc44ff65</vt:lpwstr>
  </property>
  <property fmtid="{D5CDD505-2E9C-101B-9397-08002B2CF9AE}" pid="8" name="_dlc_DocIdItemGuid">
    <vt:lpwstr>b6aaeed9-2810-435b-9300-9176b6e3be81</vt:lpwstr>
  </property>
  <property fmtid="{D5CDD505-2E9C-101B-9397-08002B2CF9AE}" pid="9" name="SharedWithUsers">
    <vt:lpwstr>3006;#Estrada Regalado, Nelson Mauricio;#864;#Naslund-Hadley, Emma Ingrid;#3275;#Sosa Villatoro, Ana Ayme;#4175;#Nelson, Jennifer A;#3710;#Rodriguez Benavides, Rebeca Elizabeth;#4981;#Rubio Codina, Marta;#5381;#Aguilar Rivera, Ana Mylena</vt:lpwstr>
  </property>
  <property fmtid="{D5CDD505-2E9C-101B-9397-08002B2CF9AE}" pid="10" name="Sub-Sector">
    <vt:lpwstr>90;#ENERGY INTEGRATION|1d29eac4-5499-4447-a729-351edadf21f0</vt:lpwstr>
  </property>
  <property fmtid="{D5CDD505-2E9C-101B-9397-08002B2CF9AE}" pid="11" name="Series Operations IDB">
    <vt:lpwstr/>
  </property>
  <property fmtid="{D5CDD505-2E9C-101B-9397-08002B2CF9AE}" pid="12" name="Fund IDB">
    <vt:lpwstr>49;#RIN|1f24c1c3-8b43-4567-b6c6-b7c857230d8b</vt:lpwstr>
  </property>
  <property fmtid="{D5CDD505-2E9C-101B-9397-08002B2CF9AE}" pid="13" name="Sector IDB">
    <vt:lpwstr>45;#ENERGY|4fed196a-cd0b-4970-87de-42da17f9b203</vt:lpwstr>
  </property>
  <property fmtid="{D5CDD505-2E9C-101B-9397-08002B2CF9AE}" pid="14" name="Function Operations IDB">
    <vt:lpwstr>6;#Goods and Services|5bfebf1b-9f1f-4411-b1dd-4c19b807b799</vt:lpwstr>
  </property>
  <property fmtid="{D5CDD505-2E9C-101B-9397-08002B2CF9AE}" pid="16" name="ContentTypeId">
    <vt:lpwstr>0x0101001A458A224826124E8B45B1D613300CFC00E0185501502BD940A6FB3CA489963B12</vt:lpwstr>
  </property>
</Properties>
</file>