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95507D"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CL"/>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95507D">
        <w:rPr>
          <w:rFonts w:asciiTheme="minorHAnsi" w:hAnsiTheme="minorHAnsi"/>
          <w:lang w:val="es-CL"/>
        </w:rPr>
        <w:t xml:space="preserve">                </w:t>
      </w:r>
    </w:p>
    <w:p w14:paraId="596FA9A9" w14:textId="77777777" w:rsidR="00632202" w:rsidRPr="0095507D" w:rsidRDefault="00632202"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p>
    <w:p w14:paraId="7BC714B6" w14:textId="4ED195E1" w:rsidR="00D761FB" w:rsidRPr="0095507D" w:rsidRDefault="00A83D94"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CL"/>
        </w:rPr>
      </w:pPr>
      <w:r w:rsidRPr="0095507D">
        <w:rPr>
          <w:rFonts w:asciiTheme="minorHAnsi" w:eastAsiaTheme="minorEastAsia" w:hAnsiTheme="minorHAnsi" w:cstheme="minorBidi"/>
          <w:smallCaps w:val="0"/>
          <w:sz w:val="28"/>
          <w:szCs w:val="28"/>
          <w:u w:val="single"/>
          <w:lang w:val="es-CL"/>
        </w:rPr>
        <w:t xml:space="preserve"> </w:t>
      </w:r>
      <w:r w:rsidR="00546C8D" w:rsidRPr="0095507D">
        <w:rPr>
          <w:rFonts w:asciiTheme="minorHAnsi" w:eastAsiaTheme="minorEastAsia" w:hAnsiTheme="minorHAnsi" w:cstheme="minorBidi"/>
          <w:smallCaps w:val="0"/>
          <w:sz w:val="28"/>
          <w:szCs w:val="28"/>
          <w:u w:val="single"/>
          <w:lang w:val="es-CL"/>
        </w:rPr>
        <w:t xml:space="preserve">SOLICITUD DE </w:t>
      </w:r>
      <w:r w:rsidR="00E82ED1" w:rsidRPr="0095507D">
        <w:rPr>
          <w:rFonts w:asciiTheme="minorHAnsi" w:eastAsiaTheme="minorEastAsia" w:hAnsiTheme="minorHAnsi" w:cstheme="minorBidi"/>
          <w:smallCaps w:val="0"/>
          <w:sz w:val="28"/>
          <w:szCs w:val="28"/>
          <w:u w:val="single"/>
          <w:lang w:val="es-CL"/>
        </w:rPr>
        <w:t xml:space="preserve">EXPRESIONES </w:t>
      </w:r>
      <w:r w:rsidR="00546C8D" w:rsidRPr="0095507D">
        <w:rPr>
          <w:rFonts w:asciiTheme="minorHAnsi" w:eastAsiaTheme="minorEastAsia" w:hAnsiTheme="minorHAnsi" w:cstheme="minorBidi"/>
          <w:smallCaps w:val="0"/>
          <w:sz w:val="28"/>
          <w:szCs w:val="28"/>
          <w:u w:val="single"/>
          <w:lang w:val="es-CL"/>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23A5F7EC" w:rsidR="00D761FB" w:rsidRPr="00A572AA" w:rsidRDefault="08202347" w:rsidP="08202347">
      <w:pPr>
        <w:suppressAutoHyphens/>
        <w:rPr>
          <w:rFonts w:asciiTheme="minorHAnsi" w:eastAsia="Times New Roman" w:hAnsiTheme="minorHAnsi" w:cstheme="minorHAnsi"/>
          <w:iCs/>
          <w:color w:val="auto"/>
          <w:spacing w:val="-2"/>
          <w:szCs w:val="20"/>
          <w:lang w:eastAsia="en-US"/>
        </w:rPr>
      </w:pPr>
      <w:r w:rsidRPr="00A572AA">
        <w:rPr>
          <w:rFonts w:asciiTheme="minorHAnsi" w:eastAsia="Times New Roman" w:hAnsiTheme="minorHAnsi" w:cstheme="minorHAnsi"/>
          <w:iCs/>
          <w:color w:val="auto"/>
          <w:spacing w:val="-2"/>
          <w:szCs w:val="20"/>
          <w:lang w:eastAsia="en-US"/>
        </w:rPr>
        <w:t xml:space="preserve">Selección #: </w:t>
      </w:r>
      <w:r w:rsidR="00E41EF4" w:rsidRPr="00A572AA">
        <w:rPr>
          <w:rFonts w:asciiTheme="minorHAnsi" w:eastAsia="Times New Roman" w:hAnsiTheme="minorHAnsi" w:cstheme="minorHAnsi"/>
          <w:iCs/>
          <w:color w:val="auto"/>
          <w:spacing w:val="-2"/>
          <w:szCs w:val="20"/>
          <w:lang w:eastAsia="en-US"/>
        </w:rPr>
        <w:t>RG</w:t>
      </w:r>
      <w:r w:rsidR="007929E5" w:rsidRPr="00A572AA">
        <w:rPr>
          <w:rFonts w:asciiTheme="minorHAnsi" w:eastAsia="Times New Roman" w:hAnsiTheme="minorHAnsi" w:cstheme="minorHAnsi"/>
          <w:iCs/>
          <w:color w:val="auto"/>
          <w:spacing w:val="-2"/>
          <w:szCs w:val="20"/>
          <w:lang w:eastAsia="en-US"/>
        </w:rPr>
        <w:t>-</w:t>
      </w:r>
      <w:r w:rsidR="00E41EF4" w:rsidRPr="00A572AA">
        <w:rPr>
          <w:rFonts w:asciiTheme="minorHAnsi" w:eastAsia="Times New Roman" w:hAnsiTheme="minorHAnsi" w:cstheme="minorHAnsi"/>
          <w:iCs/>
          <w:color w:val="auto"/>
          <w:spacing w:val="-2"/>
          <w:szCs w:val="20"/>
          <w:lang w:eastAsia="en-US"/>
        </w:rPr>
        <w:t>E1672</w:t>
      </w:r>
      <w:r w:rsidR="007929E5" w:rsidRPr="00A572AA">
        <w:rPr>
          <w:rFonts w:asciiTheme="minorHAnsi" w:eastAsia="Times New Roman" w:hAnsiTheme="minorHAnsi" w:cstheme="minorHAnsi"/>
          <w:iCs/>
          <w:color w:val="auto"/>
          <w:spacing w:val="-2"/>
          <w:szCs w:val="20"/>
          <w:lang w:eastAsia="en-US"/>
        </w:rPr>
        <w:t>-P00</w:t>
      </w:r>
      <w:r w:rsidR="0095507D">
        <w:rPr>
          <w:rFonts w:asciiTheme="minorHAnsi" w:eastAsia="Times New Roman" w:hAnsiTheme="minorHAnsi" w:cstheme="minorHAnsi"/>
          <w:iCs/>
          <w:color w:val="auto"/>
          <w:spacing w:val="-2"/>
          <w:szCs w:val="20"/>
          <w:lang w:eastAsia="en-US"/>
        </w:rPr>
        <w:t>2</w:t>
      </w:r>
    </w:p>
    <w:p w14:paraId="2FE659F0" w14:textId="4B3C8C71" w:rsidR="00D761FB" w:rsidRPr="00A572AA" w:rsidRDefault="08202347">
      <w:pPr>
        <w:rPr>
          <w:rFonts w:asciiTheme="minorHAnsi" w:eastAsia="Times New Roman" w:hAnsiTheme="minorHAnsi" w:cstheme="minorHAnsi"/>
          <w:iCs/>
          <w:color w:val="auto"/>
          <w:spacing w:val="-2"/>
          <w:szCs w:val="20"/>
          <w:lang w:eastAsia="en-US"/>
        </w:rPr>
      </w:pPr>
      <w:r w:rsidRPr="00A572AA">
        <w:rPr>
          <w:rFonts w:asciiTheme="minorHAnsi" w:eastAsia="Times New Roman" w:hAnsiTheme="minorHAnsi" w:cstheme="minorHAnsi"/>
          <w:iCs/>
          <w:color w:val="auto"/>
          <w:spacing w:val="-2"/>
          <w:szCs w:val="20"/>
          <w:lang w:eastAsia="en-US"/>
        </w:rPr>
        <w:t>Método de selección:</w:t>
      </w:r>
      <w:r w:rsidR="007A1741" w:rsidRPr="00A572AA">
        <w:rPr>
          <w:rFonts w:asciiTheme="minorHAnsi" w:eastAsia="Times New Roman" w:hAnsiTheme="minorHAnsi" w:cstheme="minorHAnsi"/>
          <w:iCs/>
          <w:color w:val="auto"/>
          <w:spacing w:val="-2"/>
          <w:szCs w:val="20"/>
          <w:lang w:eastAsia="en-US"/>
        </w:rPr>
        <w:t xml:space="preserve"> Selección Competitiva Simplificada</w:t>
      </w:r>
    </w:p>
    <w:p w14:paraId="4356DB27" w14:textId="60C772D0" w:rsidR="00D761FB" w:rsidRPr="00A572AA" w:rsidRDefault="08202347" w:rsidP="08202347">
      <w:pPr>
        <w:suppressAutoHyphens/>
        <w:rPr>
          <w:rFonts w:asciiTheme="minorHAnsi" w:eastAsia="Times New Roman" w:hAnsiTheme="minorHAnsi" w:cstheme="minorHAnsi"/>
          <w:iCs/>
          <w:color w:val="auto"/>
          <w:spacing w:val="-2"/>
          <w:szCs w:val="20"/>
          <w:lang w:eastAsia="en-US"/>
        </w:rPr>
      </w:pPr>
      <w:r w:rsidRPr="00A572AA">
        <w:rPr>
          <w:rFonts w:asciiTheme="minorHAnsi" w:eastAsia="Times New Roman" w:hAnsiTheme="minorHAnsi" w:cstheme="minorHAnsi"/>
          <w:iCs/>
          <w:color w:val="auto"/>
          <w:spacing w:val="-2"/>
          <w:szCs w:val="20"/>
          <w:lang w:eastAsia="en-US"/>
        </w:rPr>
        <w:t>País:</w:t>
      </w:r>
      <w:r w:rsidR="007A1741" w:rsidRPr="00A572AA">
        <w:rPr>
          <w:rFonts w:asciiTheme="minorHAnsi" w:eastAsia="Times New Roman" w:hAnsiTheme="minorHAnsi" w:cstheme="minorHAnsi"/>
          <w:iCs/>
          <w:color w:val="auto"/>
          <w:spacing w:val="-2"/>
          <w:szCs w:val="20"/>
          <w:lang w:eastAsia="en-US"/>
        </w:rPr>
        <w:t xml:space="preserve"> Ecuador, Perú, Brasil</w:t>
      </w:r>
      <w:r w:rsidRPr="00A572AA">
        <w:rPr>
          <w:rFonts w:asciiTheme="minorHAnsi" w:eastAsia="Times New Roman" w:hAnsiTheme="minorHAnsi" w:cstheme="minorHAnsi"/>
          <w:iCs/>
          <w:color w:val="auto"/>
          <w:spacing w:val="-2"/>
          <w:szCs w:val="20"/>
          <w:lang w:eastAsia="en-US"/>
        </w:rPr>
        <w:t xml:space="preserve">  </w:t>
      </w:r>
    </w:p>
    <w:p w14:paraId="4C834057" w14:textId="1E65C00C" w:rsidR="00D761FB" w:rsidRPr="00A572AA" w:rsidRDefault="08202347" w:rsidP="08202347">
      <w:pPr>
        <w:suppressAutoHyphens/>
        <w:rPr>
          <w:rFonts w:asciiTheme="minorHAnsi" w:eastAsia="Times New Roman" w:hAnsiTheme="minorHAnsi" w:cstheme="minorHAnsi"/>
          <w:iCs/>
          <w:color w:val="auto"/>
          <w:spacing w:val="-2"/>
          <w:szCs w:val="20"/>
          <w:lang w:eastAsia="en-US"/>
        </w:rPr>
      </w:pPr>
      <w:r w:rsidRPr="00A572AA">
        <w:rPr>
          <w:rFonts w:asciiTheme="minorHAnsi" w:eastAsia="Times New Roman" w:hAnsiTheme="minorHAnsi" w:cstheme="minorHAnsi"/>
          <w:iCs/>
          <w:color w:val="auto"/>
          <w:spacing w:val="-2"/>
          <w:szCs w:val="20"/>
          <w:lang w:eastAsia="en-US"/>
        </w:rPr>
        <w:t>Sector:</w:t>
      </w:r>
      <w:r w:rsidR="00C55CA8" w:rsidRPr="00A572AA">
        <w:rPr>
          <w:rFonts w:asciiTheme="minorHAnsi" w:eastAsia="Times New Roman" w:hAnsiTheme="minorHAnsi" w:cstheme="minorHAnsi"/>
          <w:iCs/>
          <w:color w:val="auto"/>
          <w:spacing w:val="-2"/>
          <w:szCs w:val="20"/>
          <w:lang w:eastAsia="en-US"/>
        </w:rPr>
        <w:t xml:space="preserve"> Educación</w:t>
      </w:r>
    </w:p>
    <w:p w14:paraId="6B175998" w14:textId="649614CA" w:rsidR="00D761FB" w:rsidRPr="00A572AA" w:rsidRDefault="08202347">
      <w:pPr>
        <w:pStyle w:val="BodyText"/>
        <w:rPr>
          <w:rFonts w:asciiTheme="minorHAnsi" w:hAnsiTheme="minorHAnsi" w:cstheme="minorHAnsi"/>
          <w:iCs/>
        </w:rPr>
      </w:pPr>
      <w:r w:rsidRPr="00A572AA">
        <w:rPr>
          <w:rFonts w:asciiTheme="minorHAnsi" w:hAnsiTheme="minorHAnsi" w:cstheme="minorHAnsi"/>
          <w:iCs/>
        </w:rPr>
        <w:t>Proyecto #:</w:t>
      </w:r>
      <w:r w:rsidR="00C55CA8" w:rsidRPr="00A572AA">
        <w:rPr>
          <w:rFonts w:asciiTheme="minorHAnsi" w:hAnsiTheme="minorHAnsi" w:cstheme="minorHAnsi"/>
          <w:iCs/>
        </w:rPr>
        <w:t xml:space="preserve"> </w:t>
      </w:r>
      <w:r w:rsidR="00695E28" w:rsidRPr="00A572AA">
        <w:rPr>
          <w:rFonts w:asciiTheme="minorHAnsi" w:hAnsiTheme="minorHAnsi" w:cstheme="minorHAnsi"/>
          <w:iCs/>
        </w:rPr>
        <w:t>RG-E1672</w:t>
      </w:r>
    </w:p>
    <w:p w14:paraId="49F2CC52" w14:textId="77777777" w:rsidR="00A572AA" w:rsidRPr="00E43B6E" w:rsidRDefault="08202347" w:rsidP="00A572AA">
      <w:pPr>
        <w:pStyle w:val="BodyText"/>
        <w:rPr>
          <w:rFonts w:asciiTheme="minorHAnsi" w:hAnsiTheme="minorHAnsi" w:cstheme="minorHAnsi"/>
          <w:iCs/>
        </w:rPr>
      </w:pPr>
      <w:r w:rsidRPr="00A572AA">
        <w:rPr>
          <w:rFonts w:asciiTheme="minorHAnsi" w:hAnsiTheme="minorHAnsi" w:cstheme="minorHAnsi"/>
          <w:iCs/>
        </w:rPr>
        <w:t>Nombre del TC:</w:t>
      </w:r>
      <w:r w:rsidR="00695E28" w:rsidRPr="00A572AA">
        <w:rPr>
          <w:rFonts w:asciiTheme="minorHAnsi" w:hAnsiTheme="minorHAnsi" w:cstheme="minorHAnsi"/>
          <w:iCs/>
        </w:rPr>
        <w:t xml:space="preserve"> </w:t>
      </w:r>
      <w:r w:rsidR="00A572AA" w:rsidRPr="00E43B6E">
        <w:rPr>
          <w:rFonts w:asciiTheme="minorHAnsi" w:hAnsiTheme="minorHAnsi" w:cstheme="minorHAnsi"/>
          <w:iCs/>
        </w:rPr>
        <w:t>Usando nuevas herramientas tecnológicas para mejorar la asignación de recursos y los aprendizajes</w:t>
      </w:r>
    </w:p>
    <w:p w14:paraId="35128683" w14:textId="0295536A" w:rsidR="00D761FB" w:rsidRPr="00A572AA" w:rsidRDefault="08202347" w:rsidP="08202347">
      <w:pPr>
        <w:pStyle w:val="BodyText"/>
        <w:rPr>
          <w:rFonts w:asciiTheme="minorHAnsi" w:hAnsiTheme="minorHAnsi" w:cstheme="minorHAnsi"/>
          <w:iCs/>
        </w:rPr>
      </w:pPr>
      <w:r w:rsidRPr="00A572AA">
        <w:rPr>
          <w:rFonts w:asciiTheme="minorHAnsi" w:hAnsiTheme="minorHAnsi" w:cstheme="minorHAnsi"/>
          <w:iCs/>
        </w:rPr>
        <w:t xml:space="preserve">Descripción de los Servicios: </w:t>
      </w:r>
      <w:r w:rsidR="009342AD" w:rsidRPr="00A572AA">
        <w:rPr>
          <w:rFonts w:asciiTheme="minorHAnsi" w:hAnsiTheme="minorHAnsi" w:cstheme="minorHAnsi"/>
          <w:iCs/>
        </w:rPr>
        <w:t>Consultoría para evaluaciones de intervenciones que apoyan la toma de decisiones de las familias en sistemas centralizados de asignación de estudiantes</w:t>
      </w:r>
      <w:r w:rsidRPr="00A572AA">
        <w:rPr>
          <w:rFonts w:asciiTheme="minorHAnsi" w:hAnsiTheme="minorHAnsi" w:cstheme="minorHAnsi"/>
          <w:iCs/>
        </w:rPr>
        <w:t xml:space="preserve"> </w:t>
      </w:r>
    </w:p>
    <w:p w14:paraId="19F1721F" w14:textId="77777777" w:rsidR="00D761FB" w:rsidRDefault="00D761FB">
      <w:pPr>
        <w:pStyle w:val="BodyText"/>
        <w:rPr>
          <w:rFonts w:asciiTheme="minorHAnsi" w:hAnsiTheme="minorHAnsi" w:cstheme="minorHAnsi"/>
          <w:i/>
          <w:color w:val="0070C0"/>
        </w:rPr>
      </w:pPr>
    </w:p>
    <w:p w14:paraId="2C0FC91B" w14:textId="7B3CCCD1" w:rsidR="00D761FB" w:rsidRDefault="08202347" w:rsidP="005B434A">
      <w:pPr>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w:t>
      </w:r>
      <w:r w:rsidR="005B434A" w:rsidRPr="0095507D">
        <w:rPr>
          <w:rFonts w:asciiTheme="minorHAnsi" w:hAnsiTheme="minorHAnsi" w:cstheme="minorBidi"/>
          <w:color w:val="auto"/>
        </w:rPr>
        <w:t xml:space="preserve">de </w:t>
      </w:r>
      <w:r w:rsidR="0095507D" w:rsidRPr="0095507D">
        <w:rPr>
          <w:rFonts w:asciiTheme="minorHAnsi" w:hAnsiTheme="minorHAnsi" w:cstheme="minorBidi"/>
          <w:color w:val="auto"/>
        </w:rPr>
        <w:t xml:space="preserve">05 de </w:t>
      </w:r>
      <w:r w:rsidR="0095507D">
        <w:rPr>
          <w:rFonts w:asciiTheme="minorHAnsi" w:hAnsiTheme="minorHAnsi" w:cstheme="minorBidi"/>
          <w:color w:val="auto"/>
        </w:rPr>
        <w:t>a</w:t>
      </w:r>
      <w:r w:rsidR="0095507D" w:rsidRPr="0095507D">
        <w:rPr>
          <w:rFonts w:asciiTheme="minorHAnsi" w:hAnsiTheme="minorHAnsi" w:cstheme="minorBidi"/>
          <w:color w:val="auto"/>
        </w:rPr>
        <w:t>gosto</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6950FB9B" w14:textId="1152BA0B" w:rsidR="00D761FB" w:rsidRDefault="08202347" w:rsidP="08202347">
      <w:pPr>
        <w:suppressAutoHyphens/>
        <w:jc w:val="both"/>
        <w:rPr>
          <w:rFonts w:asciiTheme="minorHAnsi" w:hAnsiTheme="minorHAnsi" w:cstheme="minorBidi"/>
          <w:i/>
          <w:iCs/>
          <w:color w:val="0070C0"/>
        </w:rPr>
      </w:pPr>
      <w:r w:rsidRPr="08202347">
        <w:rPr>
          <w:rFonts w:asciiTheme="minorHAnsi" w:hAnsiTheme="minorHAnsi" w:cstheme="minorBidi"/>
        </w:rPr>
        <w:t>Los servicios de consultoría ("los Servicios") incluyen</w:t>
      </w:r>
      <w:r w:rsidR="00625436">
        <w:rPr>
          <w:rFonts w:asciiTheme="minorHAnsi" w:hAnsiTheme="minorHAnsi" w:cstheme="minorBidi"/>
        </w:rPr>
        <w:t xml:space="preserve"> la </w:t>
      </w:r>
      <w:r w:rsidR="0073594D" w:rsidRPr="00627A59">
        <w:rPr>
          <w:rFonts w:asciiTheme="minorHAnsi" w:hAnsiTheme="minorHAnsi" w:cstheme="minorBidi"/>
        </w:rPr>
        <w:t>evaluación</w:t>
      </w:r>
      <w:r w:rsidR="0073594D">
        <w:rPr>
          <w:rFonts w:asciiTheme="minorHAnsi" w:hAnsiTheme="minorHAnsi" w:cstheme="minorBidi"/>
        </w:rPr>
        <w:t xml:space="preserve"> </w:t>
      </w:r>
      <w:r w:rsidR="0073594D" w:rsidRPr="0073594D">
        <w:rPr>
          <w:rFonts w:asciiTheme="minorHAnsi" w:hAnsiTheme="minorHAnsi" w:cstheme="minorBidi"/>
        </w:rPr>
        <w:t>de intervenciones que apoyan la toma de decisiones de las familias en sistemas centralizados de asignación de estudiantes</w:t>
      </w:r>
      <w:r w:rsidR="0073594D">
        <w:rPr>
          <w:rFonts w:asciiTheme="minorHAnsi" w:hAnsiTheme="minorHAnsi" w:cstheme="minorBidi"/>
        </w:rPr>
        <w:t xml:space="preserve"> </w:t>
      </w:r>
      <w:r w:rsidR="004F6F32">
        <w:rPr>
          <w:rFonts w:asciiTheme="minorHAnsi" w:hAnsiTheme="minorHAnsi" w:cstheme="minorBidi"/>
        </w:rPr>
        <w:t xml:space="preserve">y la elaboración de un artículo académico para el cuarto trimestre de 2021. </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74DC8E84"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podrán obtener información adicional en horario de oficina, 09:00 a.m. - 5:00 PM (Hora de Washington DC), mediante el envío de un correo electrónico a:</w:t>
      </w:r>
      <w:r w:rsidR="00164C6B">
        <w:rPr>
          <w:rFonts w:asciiTheme="minorHAnsi" w:hAnsiTheme="minorHAnsi" w:cstheme="minorBidi"/>
          <w:color w:val="auto"/>
        </w:rPr>
        <w:t xml:space="preserve"> </w:t>
      </w:r>
      <w:r w:rsidR="00164C6B" w:rsidRPr="00164C6B">
        <w:rPr>
          <w:rFonts w:asciiTheme="minorHAnsi" w:hAnsiTheme="minorHAnsi" w:cstheme="minorBidi"/>
          <w:color w:val="auto"/>
        </w:rPr>
        <w:t>CAROLINAME@IADB.ORG</w:t>
      </w:r>
      <w:r w:rsidR="00164C6B">
        <w:rPr>
          <w:rFonts w:asciiTheme="minorHAnsi" w:hAnsiTheme="minorHAnsi" w:cstheme="minorBidi"/>
          <w:color w:val="auto"/>
        </w:rPr>
        <w:t>.</w:t>
      </w: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192D7E5B" w:rsidR="00D761FB" w:rsidRPr="008722CD" w:rsidRDefault="00546C8D" w:rsidP="08202347">
      <w:pPr>
        <w:jc w:val="both"/>
        <w:rPr>
          <w:rFonts w:asciiTheme="minorHAnsi" w:hAnsiTheme="minorHAnsi" w:cstheme="minorBidi"/>
          <w:color w:val="auto"/>
        </w:rPr>
      </w:pPr>
      <w:r w:rsidRPr="08202347">
        <w:rPr>
          <w:rFonts w:asciiTheme="minorHAnsi" w:hAnsiTheme="minorHAnsi" w:cstheme="minorBidi"/>
          <w:color w:val="auto"/>
        </w:rPr>
        <w:t xml:space="preserve">División: </w:t>
      </w:r>
      <w:r w:rsidR="008722CD">
        <w:rPr>
          <w:rFonts w:asciiTheme="minorHAnsi" w:hAnsiTheme="minorHAnsi" w:cstheme="minorBidi"/>
          <w:color w:val="auto"/>
        </w:rPr>
        <w:t>Educación (SCL/EDU)</w:t>
      </w:r>
    </w:p>
    <w:p w14:paraId="3A83DC3F" w14:textId="2D620083"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00253CC7">
        <w:rPr>
          <w:rFonts w:asciiTheme="minorHAnsi" w:hAnsiTheme="minorHAnsi" w:cstheme="minorBidi"/>
          <w:color w:val="auto"/>
        </w:rPr>
        <w:t xml:space="preserve"> </w:t>
      </w:r>
      <w:r w:rsidR="00253CC7" w:rsidRPr="00253CC7">
        <w:rPr>
          <w:rFonts w:asciiTheme="minorHAnsi" w:hAnsiTheme="minorHAnsi" w:cstheme="minorBidi"/>
          <w:color w:val="auto"/>
        </w:rPr>
        <w:t>Gregory Elacqua</w:t>
      </w:r>
      <w:r w:rsidR="00253CC7">
        <w:rPr>
          <w:rFonts w:asciiTheme="minorHAnsi" w:hAnsiTheme="minorHAnsi" w:cstheme="minorBidi"/>
          <w:color w:val="auto"/>
        </w:rPr>
        <w:t xml:space="preserve">, </w:t>
      </w:r>
      <w:r w:rsidR="00253CC7" w:rsidRPr="00253CC7">
        <w:rPr>
          <w:rFonts w:asciiTheme="minorHAnsi" w:hAnsiTheme="minorHAnsi" w:cstheme="minorBidi"/>
          <w:color w:val="auto"/>
        </w:rPr>
        <w:t>Principal Education Economist</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4BF5F7CC" w14:textId="79D9B4CE" w:rsidR="00253CC7" w:rsidRPr="007270AC" w:rsidRDefault="08202347" w:rsidP="08202347">
      <w:pPr>
        <w:suppressAutoHyphens/>
        <w:rPr>
          <w:rFonts w:asciiTheme="minorHAnsi" w:hAnsiTheme="minorHAnsi" w:cstheme="minorBidi"/>
          <w:i/>
          <w:iCs/>
          <w:color w:val="0070C0"/>
          <w:lang w:val="en-US"/>
        </w:rPr>
      </w:pPr>
      <w:r w:rsidRPr="007270AC">
        <w:rPr>
          <w:rFonts w:asciiTheme="minorHAnsi" w:hAnsiTheme="minorHAnsi" w:cstheme="minorBidi"/>
          <w:lang w:val="en-US"/>
        </w:rPr>
        <w:t xml:space="preserve">Tel: </w:t>
      </w:r>
      <w:r w:rsidR="00253CC7" w:rsidRPr="007270AC">
        <w:rPr>
          <w:rFonts w:asciiTheme="minorHAnsi" w:hAnsiTheme="minorHAnsi" w:cstheme="minorBidi"/>
          <w:lang w:val="en-US"/>
        </w:rPr>
        <w:t>+1 (202) 523-7366</w:t>
      </w:r>
    </w:p>
    <w:p w14:paraId="71BBB3A6" w14:textId="74420900" w:rsidR="00D761FB" w:rsidRPr="0095507D" w:rsidRDefault="08202347" w:rsidP="08202347">
      <w:pPr>
        <w:suppressAutoHyphens/>
        <w:jc w:val="both"/>
        <w:rPr>
          <w:rFonts w:asciiTheme="minorHAnsi" w:hAnsiTheme="minorHAnsi" w:cstheme="minorBidi"/>
          <w:color w:val="auto"/>
          <w:lang w:val="en-US"/>
        </w:rPr>
      </w:pPr>
      <w:r w:rsidRPr="0095507D">
        <w:rPr>
          <w:rFonts w:asciiTheme="minorHAnsi" w:hAnsiTheme="minorHAnsi" w:cstheme="minorBidi"/>
          <w:color w:val="auto"/>
          <w:lang w:val="en-US"/>
        </w:rPr>
        <w:t>Email:</w:t>
      </w:r>
      <w:r w:rsidR="000578AF" w:rsidRPr="0095507D">
        <w:rPr>
          <w:rFonts w:asciiTheme="minorHAnsi" w:hAnsiTheme="minorHAnsi" w:cstheme="minorBidi"/>
          <w:color w:val="auto"/>
          <w:lang w:val="en-US"/>
        </w:rPr>
        <w:t xml:space="preserve"> gregorye@iadb.org</w:t>
      </w:r>
    </w:p>
    <w:p w14:paraId="6B9A2A55" w14:textId="5A7EFBBB" w:rsidR="00D761FB" w:rsidRPr="000578AF" w:rsidRDefault="08202347" w:rsidP="08202347">
      <w:pPr>
        <w:jc w:val="both"/>
        <w:rPr>
          <w:rFonts w:asciiTheme="minorHAnsi" w:hAnsiTheme="minorHAnsi" w:cstheme="minorBidi"/>
          <w:color w:val="auto"/>
          <w:lang w:val="en-US"/>
        </w:rPr>
      </w:pPr>
      <w:r w:rsidRPr="000578AF">
        <w:rPr>
          <w:rFonts w:asciiTheme="minorHAnsi" w:hAnsiTheme="minorHAnsi" w:cstheme="minorBidi"/>
          <w:color w:val="auto"/>
          <w:lang w:val="en-US"/>
        </w:rPr>
        <w:t xml:space="preserve">Sitio Web: </w:t>
      </w:r>
      <w:hyperlink r:id="rId16">
        <w:r w:rsidRPr="000578AF">
          <w:rPr>
            <w:rStyle w:val="Hyperlink"/>
            <w:rFonts w:asciiTheme="minorHAnsi" w:hAnsiTheme="minorHAnsi" w:cstheme="minorBidi"/>
            <w:lang w:val="en-US"/>
          </w:rPr>
          <w:t>www.iadb.org</w:t>
        </w:r>
      </w:hyperlink>
      <w:r w:rsidRPr="000578AF">
        <w:rPr>
          <w:rFonts w:asciiTheme="minorHAnsi" w:hAnsiTheme="minorHAnsi" w:cstheme="minorBidi"/>
          <w:color w:val="auto"/>
          <w:lang w:val="en-US"/>
        </w:rPr>
        <w:t xml:space="preserve"> </w:t>
      </w:r>
    </w:p>
    <w:p w14:paraId="548C12AB" w14:textId="1CB50CE1" w:rsidR="00CE0491" w:rsidRPr="000578AF" w:rsidRDefault="00CE0491" w:rsidP="08202347">
      <w:pPr>
        <w:jc w:val="both"/>
        <w:rPr>
          <w:rFonts w:asciiTheme="minorHAnsi" w:hAnsiTheme="minorHAnsi" w:cstheme="minorBidi"/>
          <w:color w:val="auto"/>
          <w:lang w:val="en-US"/>
        </w:rPr>
      </w:pPr>
    </w:p>
    <w:p w14:paraId="08B9B30A" w14:textId="38956137" w:rsidR="00CE0491" w:rsidRPr="0095507D" w:rsidRDefault="00CE0491" w:rsidP="2C944FB1">
      <w:pPr>
        <w:jc w:val="both"/>
        <w:rPr>
          <w:rFonts w:asciiTheme="minorHAnsi" w:hAnsiTheme="minorHAnsi" w:cstheme="minorBidi"/>
          <w:color w:val="auto"/>
          <w:lang w:val="en-US"/>
        </w:rPr>
      </w:pPr>
    </w:p>
    <w:p w14:paraId="55BF5BB6" w14:textId="292E4211" w:rsidR="00804E99" w:rsidRPr="0095507D" w:rsidRDefault="00804E99">
      <w:pPr>
        <w:widowControl/>
        <w:autoSpaceDE/>
        <w:autoSpaceDN/>
        <w:adjustRightInd/>
        <w:spacing w:after="200" w:line="276" w:lineRule="auto"/>
        <w:rPr>
          <w:rFonts w:asciiTheme="minorHAnsi" w:hAnsiTheme="minorHAnsi" w:cstheme="minorBidi"/>
          <w:color w:val="auto"/>
          <w:lang w:val="en-US"/>
        </w:rPr>
      </w:pPr>
      <w:r w:rsidRPr="0095507D">
        <w:rPr>
          <w:rFonts w:asciiTheme="minorHAnsi" w:hAnsiTheme="minorHAnsi" w:cstheme="minorBidi"/>
          <w:color w:val="auto"/>
          <w:lang w:val="en-US"/>
        </w:rPr>
        <w:br w:type="page"/>
      </w:r>
    </w:p>
    <w:p w14:paraId="6EA93DB2" w14:textId="77777777" w:rsidR="00804E99" w:rsidRPr="0095507D" w:rsidRDefault="00804E99" w:rsidP="2C944FB1">
      <w:pPr>
        <w:jc w:val="both"/>
        <w:rPr>
          <w:rFonts w:asciiTheme="minorHAnsi" w:hAnsiTheme="minorHAnsi" w:cstheme="minorBidi"/>
          <w:color w:val="auto"/>
          <w:lang w:val="en-US"/>
        </w:rPr>
      </w:pPr>
    </w:p>
    <w:p w14:paraId="36918AA7" w14:textId="0FC56BEE" w:rsidR="007270AC" w:rsidRDefault="00BA3851" w:rsidP="007270AC">
      <w:pPr>
        <w:pStyle w:val="Heading1"/>
        <w:jc w:val="center"/>
        <w:rPr>
          <w:rFonts w:asciiTheme="minorHAnsi" w:hAnsiTheme="minorHAnsi"/>
          <w:b w:val="0"/>
          <w:sz w:val="22"/>
          <w:u w:val="single"/>
        </w:rPr>
      </w:pPr>
      <w:r>
        <w:rPr>
          <w:rFonts w:asciiTheme="minorHAnsi" w:hAnsiTheme="minorHAnsi"/>
          <w:sz w:val="22"/>
          <w:u w:val="single"/>
        </w:rPr>
        <w:t xml:space="preserve">BORRADOR </w:t>
      </w:r>
      <w:r w:rsidR="007270AC" w:rsidRPr="00795B40">
        <w:rPr>
          <w:rFonts w:asciiTheme="minorHAnsi" w:hAnsiTheme="minorHAnsi"/>
          <w:sz w:val="22"/>
          <w:u w:val="single"/>
        </w:rPr>
        <w:t>TÉRMINOS DE REFERENCIA</w:t>
      </w:r>
    </w:p>
    <w:p w14:paraId="0880F613" w14:textId="75EE1570" w:rsidR="007270AC" w:rsidRDefault="007270AC" w:rsidP="007270AC">
      <w:pPr>
        <w:jc w:val="both"/>
        <w:rPr>
          <w:rFonts w:cstheme="minorHAnsi"/>
          <w:i/>
          <w:color w:val="0070C0"/>
        </w:rPr>
      </w:pPr>
    </w:p>
    <w:p w14:paraId="69AA1B5D"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Antecedentes y Justificación</w:t>
      </w:r>
    </w:p>
    <w:p w14:paraId="3DE8BF83" w14:textId="77777777" w:rsidR="00804E99" w:rsidRDefault="00804E99" w:rsidP="00804E99">
      <w:pPr>
        <w:ind w:left="792"/>
        <w:contextualSpacing/>
        <w:jc w:val="both"/>
        <w:rPr>
          <w:rFonts w:asciiTheme="minorHAnsi" w:eastAsiaTheme="minorHAnsi" w:hAnsiTheme="minorHAnsi"/>
          <w:sz w:val="22"/>
        </w:rPr>
      </w:pPr>
    </w:p>
    <w:p w14:paraId="2507E0AE" w14:textId="77777777" w:rsidR="00804E99" w:rsidRPr="00FF11E2" w:rsidRDefault="00804E99" w:rsidP="00804E99">
      <w:pPr>
        <w:pStyle w:val="ListParagraph"/>
        <w:numPr>
          <w:ilvl w:val="1"/>
          <w:numId w:val="1"/>
        </w:numPr>
        <w:rPr>
          <w:rFonts w:asciiTheme="minorHAnsi" w:eastAsiaTheme="minorEastAsia" w:hAnsiTheme="minorHAnsi"/>
          <w:sz w:val="22"/>
          <w:szCs w:val="22"/>
        </w:rPr>
      </w:pPr>
      <w:r w:rsidRPr="00FF11E2">
        <w:rPr>
          <w:rFonts w:asciiTheme="minorHAnsi" w:eastAsiaTheme="minorEastAsia" w:hAnsiTheme="minorHAnsi"/>
          <w:sz w:val="22"/>
          <w:szCs w:val="22"/>
        </w:rPr>
        <w:t xml:space="preserve">Con el objetivo de mejorar la eficiencia, la transparencia y la equidad de los sistemas de matrícula escolar, diversos países han implementado sistemas centralizados. En términos simples, un sistema centralizado es un mecanismo administrado por una agencia del gobierno, el cual recopila las preferencias de las familias (ej. una lista ordenada de las escuelas preferidas), para posteriormente aplicar un algoritmo matemático que procesa dichas preferencias y asigna las vacantes, tomando en cuenta un conjunto de prioridades definidas. </w:t>
      </w:r>
    </w:p>
    <w:p w14:paraId="3A432FC1" w14:textId="77777777" w:rsidR="00804E99" w:rsidRPr="00617447" w:rsidRDefault="00804E99" w:rsidP="00804E99">
      <w:pPr>
        <w:pStyle w:val="ListParagraph"/>
        <w:numPr>
          <w:ilvl w:val="1"/>
          <w:numId w:val="1"/>
        </w:numPr>
        <w:rPr>
          <w:rFonts w:asciiTheme="minorHAnsi" w:eastAsiaTheme="minorEastAsia" w:hAnsiTheme="minorHAnsi"/>
          <w:sz w:val="22"/>
          <w:szCs w:val="22"/>
        </w:rPr>
      </w:pPr>
      <w:r w:rsidRPr="00617447">
        <w:rPr>
          <w:rFonts w:asciiTheme="minorHAnsi" w:eastAsiaTheme="minorEastAsia" w:hAnsiTheme="minorHAnsi"/>
          <w:sz w:val="22"/>
          <w:szCs w:val="22"/>
        </w:rPr>
        <w:t xml:space="preserve">Siguiendo la tendencia internacional, Perú, Ecuador y el Estado de Pernambuco en Brasil, están implementando cambios en sus sistemas de matrícula escolar. Estos cambios introducen soluciones tecnológicas a muchos de los problemas encontrados originalmente, tales como: i) insatisfacción con la asignación debido a que no se consideran las preferencias de las familias, lo que genera una alta demanda por traslados; </w:t>
      </w:r>
      <w:proofErr w:type="spellStart"/>
      <w:r w:rsidRPr="00617447">
        <w:rPr>
          <w:rFonts w:asciiTheme="minorHAnsi" w:eastAsiaTheme="minorEastAsia" w:hAnsiTheme="minorHAnsi"/>
          <w:sz w:val="22"/>
          <w:szCs w:val="22"/>
        </w:rPr>
        <w:t>ii</w:t>
      </w:r>
      <w:proofErr w:type="spellEnd"/>
      <w:r w:rsidRPr="00617447">
        <w:rPr>
          <w:rFonts w:asciiTheme="minorHAnsi" w:eastAsiaTheme="minorEastAsia" w:hAnsiTheme="minorHAnsi"/>
          <w:sz w:val="22"/>
          <w:szCs w:val="22"/>
        </w:rPr>
        <w:t xml:space="preserve">) en muchos casos las vacantes se asignan por orden de llegada, a pesar de existir reglas que regulan los criterios de prioridad; </w:t>
      </w:r>
      <w:proofErr w:type="spellStart"/>
      <w:r w:rsidRPr="00617447">
        <w:rPr>
          <w:rFonts w:asciiTheme="minorHAnsi" w:eastAsiaTheme="minorEastAsia" w:hAnsiTheme="minorHAnsi"/>
          <w:sz w:val="22"/>
          <w:szCs w:val="22"/>
        </w:rPr>
        <w:t>iii</w:t>
      </w:r>
      <w:proofErr w:type="spellEnd"/>
      <w:r w:rsidRPr="00617447">
        <w:rPr>
          <w:rFonts w:asciiTheme="minorHAnsi" w:eastAsiaTheme="minorEastAsia" w:hAnsiTheme="minorHAnsi"/>
          <w:sz w:val="22"/>
          <w:szCs w:val="22"/>
        </w:rPr>
        <w:t xml:space="preserve">) varias etapas del proceso funcionan de forma manual, lo que genera ineficiencias y falta de transparencia; </w:t>
      </w:r>
      <w:proofErr w:type="spellStart"/>
      <w:r w:rsidRPr="00617447">
        <w:rPr>
          <w:rFonts w:asciiTheme="minorHAnsi" w:eastAsiaTheme="minorEastAsia" w:hAnsiTheme="minorHAnsi"/>
          <w:sz w:val="22"/>
          <w:szCs w:val="22"/>
        </w:rPr>
        <w:t>iv</w:t>
      </w:r>
      <w:proofErr w:type="spellEnd"/>
      <w:r w:rsidRPr="00617447">
        <w:rPr>
          <w:rFonts w:asciiTheme="minorHAnsi" w:eastAsiaTheme="minorEastAsia" w:hAnsiTheme="minorHAnsi"/>
          <w:sz w:val="22"/>
          <w:szCs w:val="22"/>
        </w:rPr>
        <w:t>) problemas de coordinación, asociados a procesos descentralizados a nivel de escuela, han generado alta congestión y filas en las escuelas más demandadas; y vi) falta de transparencia sobre la disponibilidad de vacantes.</w:t>
      </w:r>
    </w:p>
    <w:p w14:paraId="3E8BCFF6" w14:textId="77777777" w:rsidR="00804E99" w:rsidRPr="00D07414" w:rsidRDefault="00804E99" w:rsidP="00804E99">
      <w:pPr>
        <w:pStyle w:val="ListParagraph"/>
        <w:numPr>
          <w:ilvl w:val="1"/>
          <w:numId w:val="1"/>
        </w:numPr>
        <w:rPr>
          <w:rFonts w:asciiTheme="minorHAnsi" w:eastAsiaTheme="minorEastAsia" w:hAnsiTheme="minorHAnsi"/>
          <w:sz w:val="22"/>
          <w:szCs w:val="22"/>
        </w:rPr>
      </w:pPr>
      <w:r w:rsidRPr="00D07414">
        <w:rPr>
          <w:rFonts w:asciiTheme="minorHAnsi" w:eastAsiaTheme="minorEastAsia" w:hAnsiTheme="minorHAnsi"/>
          <w:sz w:val="22"/>
          <w:szCs w:val="22"/>
        </w:rPr>
        <w:t xml:space="preserve">Paralelamente, se han implementado intervenciones, de bajo costo y basadas en estrategias de economía del comportamiento, para mejorar la calidad de las postulaciones de estudiantes, y así maximizar el porcentaje de estudiantes que queda asignado en alguna de sus preferencias declaradas. Para poder evaluar el éxito de estas intervenciones, se requiere desarrollar una evaluación detallada y completa de cada uno de los pilotos implementados, estos son: i) piloto de matrícula escolar en Manta, Ecuador; </w:t>
      </w:r>
      <w:proofErr w:type="spellStart"/>
      <w:r w:rsidRPr="00D07414">
        <w:rPr>
          <w:rFonts w:asciiTheme="minorHAnsi" w:eastAsiaTheme="minorEastAsia" w:hAnsiTheme="minorHAnsi"/>
          <w:sz w:val="22"/>
          <w:szCs w:val="22"/>
        </w:rPr>
        <w:t>ii</w:t>
      </w:r>
      <w:proofErr w:type="spellEnd"/>
      <w:r w:rsidRPr="00D07414">
        <w:rPr>
          <w:rFonts w:asciiTheme="minorHAnsi" w:eastAsiaTheme="minorEastAsia" w:hAnsiTheme="minorHAnsi"/>
          <w:sz w:val="22"/>
          <w:szCs w:val="22"/>
        </w:rPr>
        <w:t xml:space="preserve">) piloto de matrícula escolar en Tacna, Perú; y el </w:t>
      </w:r>
      <w:proofErr w:type="spellStart"/>
      <w:r w:rsidRPr="00D07414">
        <w:rPr>
          <w:rFonts w:asciiTheme="minorHAnsi" w:eastAsiaTheme="minorEastAsia" w:hAnsiTheme="minorHAnsi"/>
          <w:sz w:val="22"/>
          <w:szCs w:val="22"/>
        </w:rPr>
        <w:t>iii</w:t>
      </w:r>
      <w:proofErr w:type="spellEnd"/>
      <w:r w:rsidRPr="00D07414">
        <w:rPr>
          <w:rFonts w:asciiTheme="minorHAnsi" w:eastAsiaTheme="minorEastAsia" w:hAnsiTheme="minorHAnsi"/>
          <w:sz w:val="22"/>
          <w:szCs w:val="22"/>
        </w:rPr>
        <w:t xml:space="preserve">) piloto de matrícula escolar en </w:t>
      </w:r>
      <w:proofErr w:type="spellStart"/>
      <w:r w:rsidRPr="00D07414">
        <w:rPr>
          <w:rFonts w:asciiTheme="minorHAnsi" w:eastAsiaTheme="minorEastAsia" w:hAnsiTheme="minorHAnsi"/>
          <w:sz w:val="22"/>
          <w:szCs w:val="22"/>
        </w:rPr>
        <w:t>Caruaru</w:t>
      </w:r>
      <w:proofErr w:type="spellEnd"/>
      <w:r w:rsidRPr="00D07414">
        <w:rPr>
          <w:rFonts w:asciiTheme="minorHAnsi" w:eastAsiaTheme="minorEastAsia" w:hAnsiTheme="minorHAnsi"/>
          <w:sz w:val="22"/>
          <w:szCs w:val="22"/>
        </w:rPr>
        <w:t xml:space="preserve">, Pernambuco. </w:t>
      </w:r>
    </w:p>
    <w:p w14:paraId="14B5E9D6" w14:textId="77777777" w:rsidR="00804E99" w:rsidRPr="00F70501" w:rsidRDefault="00804E99" w:rsidP="00804E99">
      <w:pPr>
        <w:pStyle w:val="ListParagraph"/>
        <w:numPr>
          <w:ilvl w:val="1"/>
          <w:numId w:val="1"/>
        </w:numPr>
        <w:rPr>
          <w:rFonts w:asciiTheme="minorHAnsi" w:eastAsiaTheme="minorEastAsia" w:hAnsiTheme="minorHAnsi"/>
          <w:sz w:val="22"/>
          <w:szCs w:val="22"/>
        </w:rPr>
      </w:pPr>
      <w:r w:rsidRPr="00F70501">
        <w:rPr>
          <w:rFonts w:asciiTheme="minorHAnsi" w:eastAsiaTheme="minorEastAsia" w:hAnsiTheme="minorHAnsi"/>
          <w:sz w:val="22"/>
          <w:szCs w:val="22"/>
        </w:rPr>
        <w:t xml:space="preserve">En los tres casos la intervención, en términos generales, consistió en el envío de una cartilla indicando las escuelas a las que postuló (un resumen de la postulación), e informando de las posibilidades de no ser seleccionado. Adicionalmente a un grupo seleccionado aleatoriamente se le hicieron recomendaciones de escuelas cercanas. el caso de Perú también se realizó el piloto para los niveles de inicial y primer año de primaria, entregándose retroalimentación para la primera ronda a 6.873 postulantes, a quienes se les entregó una cartilla informativa con sus postulaciones, el riesgo de no quedar seleccionados (en casi que lo hubiera), y a un grupo (aleatorizado) se le entregó recomendaciones de escuelas. En el caso de Ecuador se realizó el piloto para los grados de Educación Inicial y primero de Educación General, participando del proceso 3.877 aspirantes, a los que además de las cartillas se les entregó retroalimentación en la plataforma (como alertas si postulaban a escuelas a más de 10 </w:t>
      </w:r>
      <w:proofErr w:type="spellStart"/>
      <w:r w:rsidRPr="00F70501">
        <w:rPr>
          <w:rFonts w:asciiTheme="minorHAnsi" w:eastAsiaTheme="minorEastAsia" w:hAnsiTheme="minorHAnsi"/>
          <w:sz w:val="22"/>
          <w:szCs w:val="22"/>
        </w:rPr>
        <w:t>kms</w:t>
      </w:r>
      <w:proofErr w:type="spellEnd"/>
      <w:r w:rsidRPr="00F70501">
        <w:rPr>
          <w:rFonts w:asciiTheme="minorHAnsi" w:eastAsiaTheme="minorEastAsia" w:hAnsiTheme="minorHAnsi"/>
          <w:sz w:val="22"/>
          <w:szCs w:val="22"/>
        </w:rPr>
        <w:t xml:space="preserve"> del hogar). En el caso de </w:t>
      </w:r>
      <w:proofErr w:type="spellStart"/>
      <w:r w:rsidRPr="00F70501">
        <w:rPr>
          <w:rFonts w:asciiTheme="minorHAnsi" w:eastAsiaTheme="minorEastAsia" w:hAnsiTheme="minorHAnsi"/>
          <w:sz w:val="22"/>
          <w:szCs w:val="22"/>
        </w:rPr>
        <w:t>Caruaru</w:t>
      </w:r>
      <w:proofErr w:type="spellEnd"/>
      <w:r w:rsidRPr="00F70501">
        <w:rPr>
          <w:rFonts w:asciiTheme="minorHAnsi" w:eastAsiaTheme="minorEastAsia" w:hAnsiTheme="minorHAnsi"/>
          <w:sz w:val="22"/>
          <w:szCs w:val="22"/>
        </w:rPr>
        <w:t xml:space="preserve"> se realizó para todos los niveles de la red municipal, participando 9.655 personas, a quienes, además de las cartillas y retroalimentación en la plataforma, se realizó un </w:t>
      </w:r>
      <w:proofErr w:type="spellStart"/>
      <w:r w:rsidRPr="00F70501">
        <w:rPr>
          <w:rFonts w:asciiTheme="minorHAnsi" w:eastAsiaTheme="minorEastAsia" w:hAnsiTheme="minorHAnsi"/>
          <w:sz w:val="22"/>
          <w:szCs w:val="22"/>
        </w:rPr>
        <w:t>nudge</w:t>
      </w:r>
      <w:proofErr w:type="spellEnd"/>
      <w:r w:rsidRPr="00F70501">
        <w:rPr>
          <w:rFonts w:asciiTheme="minorHAnsi" w:eastAsiaTheme="minorEastAsia" w:hAnsiTheme="minorHAnsi"/>
          <w:sz w:val="22"/>
          <w:szCs w:val="22"/>
        </w:rPr>
        <w:t xml:space="preserve"> (aleatorizado) promoviendo la selección de escuelas de tiempo completo (Escola de </w:t>
      </w:r>
      <w:proofErr w:type="spellStart"/>
      <w:r w:rsidRPr="00F70501">
        <w:rPr>
          <w:rFonts w:asciiTheme="minorHAnsi" w:eastAsiaTheme="minorEastAsia" w:hAnsiTheme="minorHAnsi"/>
          <w:sz w:val="22"/>
          <w:szCs w:val="22"/>
        </w:rPr>
        <w:t>Referência</w:t>
      </w:r>
      <w:proofErr w:type="spellEnd"/>
      <w:r w:rsidRPr="00F70501">
        <w:rPr>
          <w:rFonts w:asciiTheme="minorHAnsi" w:eastAsiaTheme="minorEastAsia" w:hAnsiTheme="minorHAnsi"/>
          <w:sz w:val="22"/>
          <w:szCs w:val="22"/>
        </w:rPr>
        <w:t xml:space="preserve">). </w:t>
      </w:r>
    </w:p>
    <w:p w14:paraId="21D86593" w14:textId="77777777" w:rsidR="00804E99" w:rsidRDefault="00804E99" w:rsidP="00804E99">
      <w:pPr>
        <w:ind w:left="792"/>
        <w:contextualSpacing/>
        <w:jc w:val="both"/>
        <w:rPr>
          <w:rFonts w:asciiTheme="minorHAnsi" w:hAnsiTheme="minorHAnsi"/>
          <w:i/>
          <w:iCs/>
          <w:sz w:val="22"/>
          <w:szCs w:val="22"/>
        </w:rPr>
      </w:pPr>
    </w:p>
    <w:p w14:paraId="05BD800A" w14:textId="77777777" w:rsidR="00804E99" w:rsidRDefault="00804E99" w:rsidP="00804E99">
      <w:pPr>
        <w:ind w:left="360"/>
        <w:contextualSpacing/>
        <w:rPr>
          <w:rFonts w:asciiTheme="minorHAnsi" w:eastAsiaTheme="minorHAnsi" w:hAnsiTheme="minorHAnsi"/>
          <w:b/>
          <w:sz w:val="22"/>
          <w:u w:val="single"/>
        </w:rPr>
      </w:pPr>
    </w:p>
    <w:p w14:paraId="51E5A59F"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Objetivos</w:t>
      </w:r>
    </w:p>
    <w:p w14:paraId="720FA21F" w14:textId="77777777" w:rsidR="00804E99" w:rsidRDefault="00804E99" w:rsidP="00804E99">
      <w:pPr>
        <w:ind w:left="360"/>
        <w:contextualSpacing/>
        <w:rPr>
          <w:rFonts w:asciiTheme="minorHAnsi" w:eastAsiaTheme="minorHAnsi" w:hAnsiTheme="minorHAnsi"/>
          <w:b/>
          <w:sz w:val="22"/>
          <w:u w:val="single"/>
        </w:rPr>
      </w:pPr>
      <w:r>
        <w:rPr>
          <w:rFonts w:asciiTheme="minorHAnsi" w:eastAsiaTheme="minorHAnsi" w:hAnsiTheme="minorHAnsi"/>
          <w:b/>
          <w:sz w:val="22"/>
          <w:u w:val="single"/>
        </w:rPr>
        <w:t xml:space="preserve"> </w:t>
      </w:r>
    </w:p>
    <w:p w14:paraId="5CCB658A" w14:textId="77777777" w:rsidR="00804E99" w:rsidRPr="00497FFE" w:rsidRDefault="00804E99" w:rsidP="00804E99">
      <w:pPr>
        <w:pStyle w:val="ListParagraph"/>
        <w:numPr>
          <w:ilvl w:val="1"/>
          <w:numId w:val="1"/>
        </w:numPr>
        <w:rPr>
          <w:rFonts w:asciiTheme="minorHAnsi" w:eastAsiaTheme="minorEastAsia" w:hAnsiTheme="minorHAnsi"/>
          <w:sz w:val="22"/>
          <w:szCs w:val="22"/>
        </w:rPr>
      </w:pPr>
      <w:r w:rsidRPr="00497FFE">
        <w:rPr>
          <w:rFonts w:asciiTheme="minorHAnsi" w:eastAsiaTheme="minorEastAsia" w:hAnsiTheme="minorHAnsi"/>
          <w:sz w:val="22"/>
          <w:szCs w:val="22"/>
        </w:rPr>
        <w:t xml:space="preserve">La División de Educación está constantemente consolidando su agenda de investigación en sistemas de asignación centralizada de estudiantes y docentes. En este contexto, la División de Educación busca para evaluar y mostrar los beneficios de utilizar un sistema centralizado y digital de matrícula escolar. </w:t>
      </w:r>
      <w:r>
        <w:rPr>
          <w:rFonts w:asciiTheme="minorHAnsi" w:eastAsiaTheme="minorEastAsia" w:hAnsiTheme="minorHAnsi"/>
          <w:sz w:val="22"/>
          <w:szCs w:val="22"/>
        </w:rPr>
        <w:t>Así</w:t>
      </w:r>
      <w:r w:rsidRPr="00497FFE">
        <w:rPr>
          <w:rFonts w:asciiTheme="minorHAnsi" w:eastAsiaTheme="minorEastAsia" w:hAnsiTheme="minorHAnsi"/>
          <w:sz w:val="22"/>
          <w:szCs w:val="22"/>
        </w:rPr>
        <w:t>, esta consultoría tiene el objetivo de apoyar estos trabajos, específicamente mediante la elaboración de estudios</w:t>
      </w:r>
      <w:r>
        <w:rPr>
          <w:rFonts w:asciiTheme="minorHAnsi" w:eastAsiaTheme="minorEastAsia" w:hAnsiTheme="minorHAnsi"/>
          <w:sz w:val="22"/>
          <w:szCs w:val="22"/>
        </w:rPr>
        <w:t xml:space="preserve"> académicos</w:t>
      </w:r>
      <w:r w:rsidRPr="00497FFE">
        <w:rPr>
          <w:rFonts w:asciiTheme="minorHAnsi" w:eastAsiaTheme="minorEastAsia" w:hAnsiTheme="minorHAnsi"/>
          <w:sz w:val="22"/>
          <w:szCs w:val="22"/>
        </w:rPr>
        <w:t xml:space="preserve"> que evalúen el éxito de estas implementaciones tecnológicas</w:t>
      </w:r>
      <w:r>
        <w:rPr>
          <w:rFonts w:asciiTheme="minorHAnsi" w:eastAsiaTheme="minorEastAsia" w:hAnsiTheme="minorHAnsi"/>
          <w:sz w:val="22"/>
          <w:szCs w:val="22"/>
        </w:rPr>
        <w:t xml:space="preserve"> y de los experimentos basados en economía del comportamiento</w:t>
      </w:r>
      <w:r w:rsidRPr="00497FFE">
        <w:rPr>
          <w:rFonts w:asciiTheme="minorHAnsi" w:eastAsiaTheme="minorEastAsia" w:hAnsiTheme="minorHAnsi"/>
          <w:sz w:val="22"/>
          <w:szCs w:val="22"/>
        </w:rPr>
        <w:t xml:space="preserve">, </w:t>
      </w:r>
      <w:r>
        <w:rPr>
          <w:rFonts w:asciiTheme="minorHAnsi" w:eastAsiaTheme="minorEastAsia" w:hAnsiTheme="minorHAnsi"/>
          <w:sz w:val="22"/>
          <w:szCs w:val="22"/>
        </w:rPr>
        <w:t xml:space="preserve">utilizando </w:t>
      </w:r>
      <w:r w:rsidRPr="00497FFE">
        <w:rPr>
          <w:rFonts w:asciiTheme="minorHAnsi" w:eastAsiaTheme="minorEastAsia" w:hAnsiTheme="minorHAnsi"/>
          <w:sz w:val="22"/>
          <w:szCs w:val="22"/>
        </w:rPr>
        <w:t>metodologías cuantitativas de evaluació</w:t>
      </w:r>
      <w:r>
        <w:rPr>
          <w:rFonts w:asciiTheme="minorHAnsi" w:eastAsiaTheme="minorEastAsia" w:hAnsiTheme="minorHAnsi"/>
          <w:sz w:val="22"/>
          <w:szCs w:val="22"/>
        </w:rPr>
        <w:t>n</w:t>
      </w:r>
      <w:r w:rsidRPr="00497FFE">
        <w:rPr>
          <w:rFonts w:asciiTheme="minorHAnsi" w:eastAsiaTheme="minorEastAsia" w:hAnsiTheme="minorHAnsi"/>
          <w:sz w:val="22"/>
          <w:szCs w:val="22"/>
        </w:rPr>
        <w:t xml:space="preserve">.   </w:t>
      </w:r>
    </w:p>
    <w:p w14:paraId="020336BA" w14:textId="77777777" w:rsidR="00804E99" w:rsidRDefault="00804E99" w:rsidP="00804E99">
      <w:pPr>
        <w:ind w:left="792"/>
        <w:contextualSpacing/>
        <w:jc w:val="both"/>
        <w:rPr>
          <w:rFonts w:asciiTheme="minorHAnsi" w:hAnsiTheme="minorHAnsi"/>
          <w:i/>
          <w:iCs/>
          <w:sz w:val="22"/>
          <w:szCs w:val="22"/>
        </w:rPr>
      </w:pPr>
    </w:p>
    <w:p w14:paraId="50573E02" w14:textId="77777777" w:rsidR="00804E99" w:rsidRDefault="00804E99" w:rsidP="00804E99">
      <w:pPr>
        <w:ind w:left="360"/>
        <w:contextualSpacing/>
        <w:rPr>
          <w:rFonts w:asciiTheme="minorHAnsi" w:eastAsiaTheme="minorHAnsi" w:hAnsiTheme="minorHAnsi"/>
          <w:b/>
          <w:sz w:val="22"/>
          <w:u w:val="single"/>
        </w:rPr>
      </w:pPr>
    </w:p>
    <w:p w14:paraId="3DF2B4A9"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Alcance de los Servicios</w:t>
      </w:r>
    </w:p>
    <w:p w14:paraId="23099163" w14:textId="77777777" w:rsidR="00804E99" w:rsidRDefault="00804E99" w:rsidP="00804E99">
      <w:pPr>
        <w:ind w:left="792"/>
        <w:contextualSpacing/>
        <w:jc w:val="both"/>
        <w:rPr>
          <w:rFonts w:asciiTheme="minorHAnsi" w:eastAsiaTheme="minorHAnsi" w:hAnsiTheme="minorHAnsi"/>
          <w:b/>
          <w:i/>
          <w:color w:val="006600"/>
          <w:sz w:val="22"/>
        </w:rPr>
      </w:pPr>
    </w:p>
    <w:p w14:paraId="411B3C36" w14:textId="77777777" w:rsidR="00804E99" w:rsidRPr="003E00DA" w:rsidRDefault="00804E99" w:rsidP="00804E99">
      <w:pPr>
        <w:pStyle w:val="ListParagraph"/>
        <w:numPr>
          <w:ilvl w:val="1"/>
          <w:numId w:val="1"/>
        </w:numPr>
        <w:rPr>
          <w:rFonts w:asciiTheme="minorHAnsi" w:eastAsiaTheme="minorEastAsia" w:hAnsiTheme="minorHAnsi"/>
          <w:sz w:val="22"/>
          <w:szCs w:val="22"/>
        </w:rPr>
      </w:pPr>
      <w:r w:rsidRPr="003E00DA">
        <w:rPr>
          <w:rFonts w:asciiTheme="minorHAnsi" w:eastAsiaTheme="minorEastAsia" w:hAnsiTheme="minorHAnsi"/>
          <w:sz w:val="22"/>
          <w:szCs w:val="22"/>
        </w:rPr>
        <w:t xml:space="preserve">Desarrollar tres estudios de investigación que permitan evaluar el impacto del uso la tecnología y técnicas de economía del comportamiento, en los sistemas de asignación de estudiantes en Perú, Pernambuco-Brasil </w:t>
      </w:r>
      <w:r w:rsidRPr="003E00DA">
        <w:rPr>
          <w:rFonts w:asciiTheme="minorHAnsi" w:eastAsiaTheme="minorEastAsia" w:hAnsiTheme="minorHAnsi"/>
          <w:sz w:val="22"/>
          <w:szCs w:val="22"/>
        </w:rPr>
        <w:lastRenderedPageBreak/>
        <w:t>y Ecuador. Para ello, la firma consultora deberá desarrollar una metodología de evaluación para las intervenciones y elaborar, en conjunto con la división de educación del BID, artículos académicos que sirvan de insumo para futuras implementaciones de estos sistemas en la región.</w:t>
      </w:r>
    </w:p>
    <w:p w14:paraId="4CE1B4C4" w14:textId="77777777" w:rsidR="00804E99" w:rsidRDefault="00804E99" w:rsidP="00804E99">
      <w:pPr>
        <w:ind w:left="792"/>
        <w:contextualSpacing/>
        <w:jc w:val="both"/>
        <w:rPr>
          <w:rFonts w:asciiTheme="minorHAnsi" w:hAnsiTheme="minorHAnsi"/>
          <w:i/>
          <w:iCs/>
          <w:sz w:val="22"/>
          <w:szCs w:val="22"/>
        </w:rPr>
      </w:pPr>
    </w:p>
    <w:p w14:paraId="09E0922E" w14:textId="77777777" w:rsidR="00804E99" w:rsidRDefault="00804E99" w:rsidP="00804E99">
      <w:pPr>
        <w:ind w:left="1224"/>
        <w:contextualSpacing/>
        <w:jc w:val="both"/>
        <w:rPr>
          <w:rFonts w:asciiTheme="minorHAnsi" w:eastAsiaTheme="minorHAnsi" w:hAnsiTheme="minorHAnsi"/>
          <w:sz w:val="22"/>
        </w:rPr>
      </w:pPr>
    </w:p>
    <w:p w14:paraId="0754B36D"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Actividades Clave</w:t>
      </w:r>
    </w:p>
    <w:p w14:paraId="5773FF5D" w14:textId="77777777" w:rsidR="00804E99" w:rsidRDefault="00804E99" w:rsidP="00804E99">
      <w:pPr>
        <w:ind w:left="360"/>
        <w:contextualSpacing/>
        <w:rPr>
          <w:rFonts w:asciiTheme="minorHAnsi" w:eastAsiaTheme="minorHAnsi" w:hAnsiTheme="minorHAnsi"/>
          <w:b/>
          <w:sz w:val="22"/>
          <w:u w:val="single"/>
        </w:rPr>
      </w:pPr>
    </w:p>
    <w:p w14:paraId="1818776B" w14:textId="77777777" w:rsidR="00804E99" w:rsidRPr="006C1381" w:rsidRDefault="00804E99" w:rsidP="00804E99">
      <w:pPr>
        <w:pStyle w:val="ListParagraph"/>
        <w:numPr>
          <w:ilvl w:val="1"/>
          <w:numId w:val="1"/>
        </w:numPr>
        <w:rPr>
          <w:rFonts w:asciiTheme="minorHAnsi" w:eastAsiaTheme="minorEastAsia" w:hAnsiTheme="minorHAnsi"/>
          <w:sz w:val="22"/>
          <w:szCs w:val="22"/>
        </w:rPr>
      </w:pPr>
      <w:r w:rsidRPr="006C1381">
        <w:rPr>
          <w:rFonts w:asciiTheme="minorHAnsi" w:eastAsiaTheme="minorEastAsia" w:hAnsiTheme="minorHAnsi"/>
          <w:sz w:val="22"/>
          <w:szCs w:val="22"/>
        </w:rPr>
        <w:t xml:space="preserve">Realizar una revisión de literatura, incluyendo informes previos elaborados para BID y que se pondrán a disposición de la firma consultora, sobre sistemas centralizados de matrícula, que sirvan de insumo para los artículos académicos finales. </w:t>
      </w:r>
    </w:p>
    <w:p w14:paraId="7DA9F52C" w14:textId="77777777" w:rsidR="00804E99" w:rsidRPr="005C63E3" w:rsidRDefault="00804E99" w:rsidP="00804E99">
      <w:pPr>
        <w:pStyle w:val="ListParagraph"/>
        <w:numPr>
          <w:ilvl w:val="1"/>
          <w:numId w:val="1"/>
        </w:numPr>
        <w:rPr>
          <w:rFonts w:asciiTheme="minorHAnsi" w:eastAsiaTheme="minorEastAsia" w:hAnsiTheme="minorHAnsi"/>
          <w:sz w:val="22"/>
          <w:szCs w:val="22"/>
        </w:rPr>
      </w:pPr>
      <w:r w:rsidRPr="005C63E3">
        <w:rPr>
          <w:rFonts w:asciiTheme="minorHAnsi" w:eastAsiaTheme="minorEastAsia" w:hAnsiTheme="minorHAnsi"/>
          <w:sz w:val="22"/>
          <w:szCs w:val="22"/>
        </w:rPr>
        <w:t>Describir los tres pilotos realizados en los países, y las diversas intervenciones, incluyendo las características de los sistemas de matrícula previo a los cambios implementados. De ser necesario la firma, podría necesitar agendar reuniones con los gobiernos para conocer en profundidad los proyectos.</w:t>
      </w:r>
    </w:p>
    <w:p w14:paraId="7C2F86C0" w14:textId="77777777" w:rsidR="00804E99" w:rsidRPr="00CF014E" w:rsidRDefault="00804E99" w:rsidP="00804E99">
      <w:pPr>
        <w:pStyle w:val="ListParagraph"/>
        <w:numPr>
          <w:ilvl w:val="1"/>
          <w:numId w:val="1"/>
        </w:numPr>
        <w:rPr>
          <w:rFonts w:asciiTheme="minorHAnsi" w:eastAsiaTheme="minorEastAsia" w:hAnsiTheme="minorHAnsi"/>
          <w:sz w:val="22"/>
          <w:szCs w:val="22"/>
        </w:rPr>
      </w:pPr>
      <w:r w:rsidRPr="00CF014E">
        <w:rPr>
          <w:rFonts w:asciiTheme="minorHAnsi" w:eastAsiaTheme="minorEastAsia" w:hAnsiTheme="minorHAnsi"/>
          <w:sz w:val="22"/>
          <w:szCs w:val="22"/>
        </w:rPr>
        <w:t xml:space="preserve">Elaborar una metodología cuantitativa de evaluación de las intervenciones aplicadas junto a los pilotos. La metodología de evaluación debe considerar la naturaleza de la intervención, el objetivo que estas tenían, y usar como insumos los datos levantados por BID y los gobiernos durante los pilotos de matrícula centralizada en Perú, Ecuador y Pernambuco.  </w:t>
      </w:r>
    </w:p>
    <w:p w14:paraId="46517800" w14:textId="77777777" w:rsidR="00804E99" w:rsidRPr="00123D3B" w:rsidRDefault="00804E99" w:rsidP="00804E99">
      <w:pPr>
        <w:pStyle w:val="ListParagraph"/>
        <w:numPr>
          <w:ilvl w:val="1"/>
          <w:numId w:val="1"/>
        </w:numPr>
        <w:rPr>
          <w:rFonts w:asciiTheme="minorHAnsi" w:eastAsiaTheme="minorEastAsia" w:hAnsiTheme="minorHAnsi"/>
          <w:sz w:val="22"/>
          <w:szCs w:val="22"/>
        </w:rPr>
      </w:pPr>
      <w:r w:rsidRPr="00123D3B">
        <w:rPr>
          <w:rFonts w:asciiTheme="minorHAnsi" w:eastAsiaTheme="minorEastAsia" w:hAnsiTheme="minorHAnsi"/>
          <w:sz w:val="22"/>
          <w:szCs w:val="22"/>
        </w:rPr>
        <w:t>Aplicar la metodología propuesta para la evaluación de las intervenciones y obtener resultados que permitan sacar conclusiones sobre el cumplimiento de los objetivos esperados.</w:t>
      </w:r>
    </w:p>
    <w:p w14:paraId="3E756267" w14:textId="77777777" w:rsidR="00804E99" w:rsidRPr="002518EE" w:rsidRDefault="00804E99" w:rsidP="00804E99">
      <w:pPr>
        <w:pStyle w:val="ListParagraph"/>
        <w:numPr>
          <w:ilvl w:val="1"/>
          <w:numId w:val="1"/>
        </w:numPr>
        <w:rPr>
          <w:rFonts w:asciiTheme="minorHAnsi" w:eastAsiaTheme="minorEastAsia" w:hAnsiTheme="minorHAnsi"/>
          <w:sz w:val="22"/>
          <w:szCs w:val="22"/>
        </w:rPr>
      </w:pPr>
      <w:r w:rsidRPr="002518EE">
        <w:rPr>
          <w:rFonts w:asciiTheme="minorHAnsi" w:eastAsiaTheme="minorEastAsia" w:hAnsiTheme="minorHAnsi"/>
          <w:sz w:val="22"/>
          <w:szCs w:val="22"/>
        </w:rPr>
        <w:t>Participar en reuniones con el equipo BID, y eventualmente los Ministerios de Educación, con el fin de identificar claramente las necesidades de los equipos y recibir retroalimentación sobre el avance de los productos.</w:t>
      </w:r>
    </w:p>
    <w:p w14:paraId="384CF16B" w14:textId="77777777" w:rsidR="00804E99" w:rsidRPr="00D93948" w:rsidRDefault="00804E99" w:rsidP="00804E99">
      <w:pPr>
        <w:pStyle w:val="ListParagraph"/>
        <w:numPr>
          <w:ilvl w:val="1"/>
          <w:numId w:val="1"/>
        </w:numPr>
        <w:rPr>
          <w:rFonts w:asciiTheme="minorHAnsi" w:eastAsiaTheme="minorEastAsia" w:hAnsiTheme="minorHAnsi"/>
          <w:sz w:val="22"/>
          <w:szCs w:val="22"/>
        </w:rPr>
      </w:pPr>
      <w:r w:rsidRPr="00D93948">
        <w:rPr>
          <w:rFonts w:asciiTheme="minorHAnsi" w:eastAsiaTheme="minorEastAsia" w:hAnsiTheme="minorHAnsi"/>
          <w:sz w:val="22"/>
          <w:szCs w:val="22"/>
        </w:rPr>
        <w:t>Elaborar tres artículos académicos que contengan al menos cada uno de los puntos mencionados anteriormente y otros que sugiera la persona responsable.</w:t>
      </w:r>
    </w:p>
    <w:p w14:paraId="7AD67434" w14:textId="77777777" w:rsidR="00804E99" w:rsidRDefault="00804E99" w:rsidP="00804E99">
      <w:pPr>
        <w:ind w:left="792"/>
        <w:contextualSpacing/>
        <w:jc w:val="both"/>
        <w:rPr>
          <w:rFonts w:asciiTheme="minorHAnsi" w:hAnsiTheme="minorHAnsi"/>
          <w:b/>
          <w:bCs/>
          <w:i/>
          <w:iCs/>
          <w:sz w:val="22"/>
          <w:szCs w:val="22"/>
        </w:rPr>
      </w:pPr>
    </w:p>
    <w:p w14:paraId="1034E308" w14:textId="77777777" w:rsidR="00804E99" w:rsidRDefault="00804E99" w:rsidP="00804E99">
      <w:pPr>
        <w:ind w:left="792"/>
        <w:contextualSpacing/>
        <w:rPr>
          <w:rFonts w:asciiTheme="minorHAnsi" w:eastAsiaTheme="minorHAnsi" w:hAnsiTheme="minorHAnsi"/>
          <w:b/>
          <w:sz w:val="22"/>
        </w:rPr>
      </w:pPr>
    </w:p>
    <w:p w14:paraId="57F6725C"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Resultados y Productos Esperados</w:t>
      </w:r>
    </w:p>
    <w:p w14:paraId="248E2610" w14:textId="77777777" w:rsidR="00804E99" w:rsidRDefault="00804E99" w:rsidP="00804E99">
      <w:pPr>
        <w:ind w:left="360"/>
        <w:contextualSpacing/>
        <w:rPr>
          <w:rFonts w:asciiTheme="minorHAnsi" w:eastAsiaTheme="minorHAnsi" w:hAnsiTheme="minorHAnsi"/>
          <w:b/>
          <w:sz w:val="22"/>
          <w:u w:val="single"/>
        </w:rPr>
      </w:pPr>
    </w:p>
    <w:p w14:paraId="7C570A34" w14:textId="77777777" w:rsidR="00804E99" w:rsidRPr="00C2311B" w:rsidRDefault="00804E99" w:rsidP="00804E99">
      <w:pPr>
        <w:numPr>
          <w:ilvl w:val="1"/>
          <w:numId w:val="1"/>
        </w:numPr>
        <w:autoSpaceDE/>
        <w:autoSpaceDN/>
        <w:adjustRightInd/>
        <w:contextualSpacing/>
        <w:jc w:val="both"/>
        <w:rPr>
          <w:rFonts w:asciiTheme="minorHAnsi" w:hAnsiTheme="minorHAnsi"/>
          <w:sz w:val="22"/>
          <w:szCs w:val="22"/>
        </w:rPr>
      </w:pPr>
      <w:r w:rsidRPr="00C2311B">
        <w:rPr>
          <w:rFonts w:asciiTheme="minorHAnsi" w:hAnsiTheme="minorHAnsi"/>
          <w:sz w:val="22"/>
          <w:szCs w:val="22"/>
        </w:rPr>
        <w:t>Producto 1. Informe que contenga la propuesta de estructura (</w:t>
      </w:r>
      <w:proofErr w:type="spellStart"/>
      <w:r w:rsidRPr="00C2311B">
        <w:rPr>
          <w:rFonts w:asciiTheme="minorHAnsi" w:hAnsiTheme="minorHAnsi"/>
          <w:sz w:val="22"/>
          <w:szCs w:val="22"/>
        </w:rPr>
        <w:t>outline</w:t>
      </w:r>
      <w:proofErr w:type="spellEnd"/>
      <w:r w:rsidRPr="00C2311B">
        <w:rPr>
          <w:rFonts w:asciiTheme="minorHAnsi" w:hAnsiTheme="minorHAnsi"/>
          <w:sz w:val="22"/>
          <w:szCs w:val="22"/>
        </w:rPr>
        <w:t xml:space="preserve">) para los tres artículos académicos de asignación centralizada de matrícula basados en </w:t>
      </w:r>
      <w:proofErr w:type="spellStart"/>
      <w:r w:rsidRPr="00C2311B">
        <w:rPr>
          <w:rFonts w:asciiTheme="minorHAnsi" w:hAnsiTheme="minorHAnsi"/>
          <w:sz w:val="22"/>
          <w:szCs w:val="22"/>
        </w:rPr>
        <w:t>en</w:t>
      </w:r>
      <w:proofErr w:type="spellEnd"/>
      <w:r w:rsidRPr="00C2311B">
        <w:rPr>
          <w:rFonts w:asciiTheme="minorHAnsi" w:hAnsiTheme="minorHAnsi"/>
          <w:sz w:val="22"/>
          <w:szCs w:val="22"/>
        </w:rPr>
        <w:t xml:space="preserve"> Manta (Ecuador), Tacna (Perú), y </w:t>
      </w:r>
      <w:proofErr w:type="spellStart"/>
      <w:r w:rsidRPr="00C2311B">
        <w:rPr>
          <w:rFonts w:asciiTheme="minorHAnsi" w:hAnsiTheme="minorHAnsi"/>
          <w:sz w:val="22"/>
          <w:szCs w:val="22"/>
        </w:rPr>
        <w:t>Caruaru</w:t>
      </w:r>
      <w:proofErr w:type="spellEnd"/>
      <w:r w:rsidRPr="00C2311B">
        <w:rPr>
          <w:rFonts w:asciiTheme="minorHAnsi" w:hAnsiTheme="minorHAnsi"/>
          <w:sz w:val="22"/>
          <w:szCs w:val="22"/>
        </w:rPr>
        <w:t xml:space="preserve"> (Pernambuco, Brasil), que contenga también una propuesta de metodología a utilizar para cada uno. La propuesta debe ser acordada con la persona BID responsable del proyecto.   </w:t>
      </w:r>
    </w:p>
    <w:p w14:paraId="322F574A" w14:textId="77777777" w:rsidR="00804E99" w:rsidRPr="00C2311B" w:rsidRDefault="00804E99" w:rsidP="00804E99">
      <w:pPr>
        <w:numPr>
          <w:ilvl w:val="1"/>
          <w:numId w:val="1"/>
        </w:numPr>
        <w:autoSpaceDE/>
        <w:autoSpaceDN/>
        <w:adjustRightInd/>
        <w:contextualSpacing/>
        <w:jc w:val="both"/>
        <w:rPr>
          <w:rFonts w:asciiTheme="minorHAnsi" w:hAnsiTheme="minorHAnsi"/>
          <w:sz w:val="22"/>
          <w:szCs w:val="22"/>
        </w:rPr>
      </w:pPr>
      <w:r w:rsidRPr="00C2311B">
        <w:rPr>
          <w:rFonts w:asciiTheme="minorHAnsi" w:hAnsiTheme="minorHAnsi"/>
          <w:sz w:val="22"/>
          <w:szCs w:val="22"/>
        </w:rPr>
        <w:t xml:space="preserve">Producto 2. Artículo Académico que evalúe la intervención realizada durante la implementación, utilizando la metodología acordada con BID y para el primer caso definido en el producto 1 de esta consultoría. El articulo debe evaluar el impacto de uso de tecnología y estrategias de economía del comportamiento en la asignación de estudiantes. El articulo debe contar con la aprobación y la colaboración del equipo BID a cargo de la intervención.  </w:t>
      </w:r>
    </w:p>
    <w:p w14:paraId="5D348906" w14:textId="77777777" w:rsidR="00804E99" w:rsidRPr="00C2311B" w:rsidRDefault="00804E99" w:rsidP="00804E99">
      <w:pPr>
        <w:numPr>
          <w:ilvl w:val="1"/>
          <w:numId w:val="1"/>
        </w:numPr>
        <w:autoSpaceDE/>
        <w:autoSpaceDN/>
        <w:adjustRightInd/>
        <w:contextualSpacing/>
        <w:jc w:val="both"/>
        <w:rPr>
          <w:rFonts w:asciiTheme="minorHAnsi" w:hAnsiTheme="minorHAnsi"/>
          <w:sz w:val="22"/>
          <w:szCs w:val="22"/>
        </w:rPr>
      </w:pPr>
      <w:r w:rsidRPr="00C2311B">
        <w:rPr>
          <w:rFonts w:asciiTheme="minorHAnsi" w:hAnsiTheme="minorHAnsi"/>
          <w:sz w:val="22"/>
          <w:szCs w:val="22"/>
        </w:rPr>
        <w:t xml:space="preserve">Producto 3. Artículo Académico que evalúe la intervención realizada durante la implementación, utilizando la metodología acordada con BID y para el segundo caso definido en el producto 1 de esta consultoría. El articulo debe evaluar el impacto de uso de tecnología y estrategias de economía del comportamiento en la asignación de estudiantes. El articulo debe contar con la aprobación y la colaboración del equipo BID a cargo de la intervención.  </w:t>
      </w:r>
    </w:p>
    <w:p w14:paraId="43798E89" w14:textId="77777777" w:rsidR="00804E99" w:rsidRPr="00C2311B" w:rsidRDefault="00804E99" w:rsidP="00804E99">
      <w:pPr>
        <w:numPr>
          <w:ilvl w:val="1"/>
          <w:numId w:val="1"/>
        </w:numPr>
        <w:autoSpaceDE/>
        <w:autoSpaceDN/>
        <w:adjustRightInd/>
        <w:contextualSpacing/>
        <w:jc w:val="both"/>
        <w:rPr>
          <w:rFonts w:asciiTheme="minorHAnsi" w:hAnsiTheme="minorHAnsi"/>
          <w:sz w:val="22"/>
          <w:szCs w:val="22"/>
        </w:rPr>
      </w:pPr>
      <w:r w:rsidRPr="00C2311B">
        <w:rPr>
          <w:rFonts w:asciiTheme="minorHAnsi" w:hAnsiTheme="minorHAnsi"/>
          <w:sz w:val="22"/>
          <w:szCs w:val="22"/>
        </w:rPr>
        <w:t xml:space="preserve">Producto 4. Artículo Académico que evalúe la intervención realizada durante la implementación, utilizando la metodología acordada con BID y para el tercer caso definido en el producto 1 de esta consultoría. El articulo debe evaluar el impacto de uso de tecnología y estrategias de economía del comportamiento en la asignación de estudiantes. El articulo debe contar con la aprobación y la colaboración del equipo BID a cargo de la intervención.  </w:t>
      </w:r>
    </w:p>
    <w:p w14:paraId="295DF211" w14:textId="77777777" w:rsidR="00804E99" w:rsidRDefault="00804E99" w:rsidP="00804E99">
      <w:pPr>
        <w:ind w:left="792"/>
        <w:contextualSpacing/>
        <w:jc w:val="both"/>
        <w:rPr>
          <w:rFonts w:asciiTheme="minorHAnsi" w:hAnsiTheme="minorHAnsi"/>
          <w:i/>
          <w:iCs/>
          <w:sz w:val="22"/>
          <w:szCs w:val="22"/>
        </w:rPr>
      </w:pPr>
    </w:p>
    <w:p w14:paraId="141C36EB" w14:textId="77777777" w:rsidR="00804E99" w:rsidRDefault="00804E99" w:rsidP="00804E99">
      <w:pPr>
        <w:ind w:left="792"/>
        <w:contextualSpacing/>
        <w:jc w:val="both"/>
        <w:rPr>
          <w:rFonts w:asciiTheme="minorHAnsi" w:eastAsiaTheme="minorHAnsi" w:hAnsiTheme="minorHAnsi"/>
          <w:i/>
          <w:sz w:val="22"/>
        </w:rPr>
      </w:pPr>
    </w:p>
    <w:p w14:paraId="19738674" w14:textId="77777777" w:rsidR="00804E99" w:rsidRDefault="00804E99" w:rsidP="00804E99">
      <w:pPr>
        <w:pStyle w:val="ListParagraph"/>
        <w:rPr>
          <w:rFonts w:asciiTheme="minorHAnsi" w:eastAsiaTheme="minorHAnsi" w:hAnsiTheme="minorHAnsi"/>
          <w:sz w:val="22"/>
        </w:rPr>
      </w:pPr>
    </w:p>
    <w:p w14:paraId="7FF9C2A4"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Calendario del Proyecto e Hitos</w:t>
      </w:r>
    </w:p>
    <w:p w14:paraId="2BACF7C1" w14:textId="77777777" w:rsidR="00804E99" w:rsidRDefault="00804E99" w:rsidP="00804E99">
      <w:pPr>
        <w:ind w:left="360"/>
        <w:contextualSpacing/>
        <w:rPr>
          <w:rFonts w:asciiTheme="minorHAnsi" w:eastAsiaTheme="minorHAnsi" w:hAnsiTheme="minorHAnsi"/>
          <w:b/>
          <w:sz w:val="22"/>
          <w:u w:val="single"/>
        </w:rPr>
      </w:pPr>
    </w:p>
    <w:p w14:paraId="25A9696D" w14:textId="77777777" w:rsidR="00804E99" w:rsidRPr="00ED33AF" w:rsidRDefault="00804E99" w:rsidP="00804E99">
      <w:pPr>
        <w:numPr>
          <w:ilvl w:val="1"/>
          <w:numId w:val="1"/>
        </w:numPr>
        <w:tabs>
          <w:tab w:val="left" w:pos="900"/>
        </w:tabs>
        <w:autoSpaceDE/>
        <w:autoSpaceDN/>
        <w:adjustRightInd/>
        <w:contextualSpacing/>
        <w:jc w:val="both"/>
        <w:rPr>
          <w:rFonts w:asciiTheme="minorHAnsi" w:hAnsiTheme="minorHAnsi"/>
          <w:sz w:val="22"/>
          <w:szCs w:val="22"/>
        </w:rPr>
      </w:pPr>
      <w:r w:rsidRPr="00ED33AF">
        <w:rPr>
          <w:rFonts w:asciiTheme="minorHAnsi" w:hAnsiTheme="minorHAnsi"/>
          <w:sz w:val="22"/>
          <w:szCs w:val="22"/>
        </w:rPr>
        <w:t xml:space="preserve">Primer entregable a los 10 días </w:t>
      </w:r>
    </w:p>
    <w:p w14:paraId="6F3E4AEB" w14:textId="77777777" w:rsidR="00804E99" w:rsidRPr="00ED33AF" w:rsidRDefault="00804E99" w:rsidP="00804E99">
      <w:pPr>
        <w:numPr>
          <w:ilvl w:val="1"/>
          <w:numId w:val="1"/>
        </w:numPr>
        <w:tabs>
          <w:tab w:val="left" w:pos="900"/>
        </w:tabs>
        <w:autoSpaceDE/>
        <w:autoSpaceDN/>
        <w:adjustRightInd/>
        <w:contextualSpacing/>
        <w:jc w:val="both"/>
        <w:rPr>
          <w:rFonts w:asciiTheme="minorHAnsi" w:hAnsiTheme="minorHAnsi"/>
          <w:sz w:val="22"/>
          <w:szCs w:val="22"/>
        </w:rPr>
      </w:pPr>
      <w:r w:rsidRPr="00ED33AF">
        <w:rPr>
          <w:rFonts w:asciiTheme="minorHAnsi" w:hAnsiTheme="minorHAnsi"/>
          <w:sz w:val="22"/>
          <w:szCs w:val="22"/>
        </w:rPr>
        <w:t xml:space="preserve">Segundo entregable a los 35 días </w:t>
      </w:r>
    </w:p>
    <w:p w14:paraId="43CD0EC9" w14:textId="77777777" w:rsidR="00804E99" w:rsidRPr="00ED33AF" w:rsidRDefault="00804E99" w:rsidP="00804E99">
      <w:pPr>
        <w:numPr>
          <w:ilvl w:val="1"/>
          <w:numId w:val="1"/>
        </w:numPr>
        <w:tabs>
          <w:tab w:val="left" w:pos="900"/>
        </w:tabs>
        <w:autoSpaceDE/>
        <w:autoSpaceDN/>
        <w:adjustRightInd/>
        <w:contextualSpacing/>
        <w:jc w:val="both"/>
        <w:rPr>
          <w:rFonts w:asciiTheme="minorHAnsi" w:hAnsiTheme="minorHAnsi"/>
          <w:sz w:val="22"/>
          <w:szCs w:val="22"/>
        </w:rPr>
      </w:pPr>
      <w:r w:rsidRPr="00ED33AF">
        <w:rPr>
          <w:rFonts w:asciiTheme="minorHAnsi" w:hAnsiTheme="minorHAnsi"/>
          <w:sz w:val="22"/>
          <w:szCs w:val="22"/>
        </w:rPr>
        <w:t xml:space="preserve">Tercer entregable a los 50 días </w:t>
      </w:r>
    </w:p>
    <w:p w14:paraId="2CBD00C6" w14:textId="77777777" w:rsidR="00804E99" w:rsidRPr="00ED33AF" w:rsidRDefault="00804E99" w:rsidP="00804E99">
      <w:pPr>
        <w:numPr>
          <w:ilvl w:val="1"/>
          <w:numId w:val="1"/>
        </w:numPr>
        <w:tabs>
          <w:tab w:val="left" w:pos="900"/>
        </w:tabs>
        <w:autoSpaceDE/>
        <w:autoSpaceDN/>
        <w:adjustRightInd/>
        <w:contextualSpacing/>
        <w:jc w:val="both"/>
        <w:rPr>
          <w:rFonts w:asciiTheme="minorHAnsi" w:hAnsiTheme="minorHAnsi"/>
          <w:sz w:val="22"/>
          <w:szCs w:val="22"/>
        </w:rPr>
      </w:pPr>
      <w:r w:rsidRPr="00ED33AF">
        <w:rPr>
          <w:rFonts w:asciiTheme="minorHAnsi" w:hAnsiTheme="minorHAnsi"/>
          <w:sz w:val="22"/>
          <w:szCs w:val="22"/>
        </w:rPr>
        <w:lastRenderedPageBreak/>
        <w:t xml:space="preserve">Cuarto entregable a los 60 días </w:t>
      </w:r>
    </w:p>
    <w:p w14:paraId="69D377E8" w14:textId="77777777" w:rsidR="00804E99" w:rsidRDefault="00804E99" w:rsidP="00804E99">
      <w:pPr>
        <w:tabs>
          <w:tab w:val="left" w:pos="900"/>
        </w:tabs>
        <w:ind w:left="360"/>
        <w:contextualSpacing/>
        <w:jc w:val="both"/>
        <w:rPr>
          <w:rFonts w:asciiTheme="minorHAnsi" w:hAnsiTheme="minorHAnsi"/>
          <w:i/>
          <w:iCs/>
          <w:sz w:val="22"/>
          <w:szCs w:val="22"/>
        </w:rPr>
      </w:pPr>
    </w:p>
    <w:p w14:paraId="70ABE029" w14:textId="77777777" w:rsidR="00804E99" w:rsidRDefault="00804E99" w:rsidP="00804E99">
      <w:pPr>
        <w:ind w:left="360"/>
        <w:contextualSpacing/>
        <w:rPr>
          <w:rFonts w:asciiTheme="minorHAnsi" w:eastAsiaTheme="minorHAnsi" w:hAnsiTheme="minorHAnsi"/>
          <w:b/>
          <w:sz w:val="22"/>
          <w:u w:val="single"/>
        </w:rPr>
      </w:pPr>
    </w:p>
    <w:p w14:paraId="0CC37FC8"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Requisitos de los Informes</w:t>
      </w:r>
    </w:p>
    <w:p w14:paraId="4309CAF0" w14:textId="77777777" w:rsidR="00804E99" w:rsidRDefault="00804E99" w:rsidP="00804E99">
      <w:pPr>
        <w:rPr>
          <w:rFonts w:asciiTheme="minorHAnsi" w:eastAsiaTheme="minorHAnsi" w:hAnsiTheme="minorHAnsi"/>
          <w:b/>
          <w:sz w:val="22"/>
          <w:u w:val="single"/>
        </w:rPr>
      </w:pPr>
    </w:p>
    <w:p w14:paraId="69BB2443" w14:textId="77777777" w:rsidR="00804E99" w:rsidRPr="00E121D1" w:rsidRDefault="00804E99" w:rsidP="00804E99">
      <w:pPr>
        <w:pStyle w:val="ListParagraph"/>
        <w:widowControl w:val="0"/>
        <w:numPr>
          <w:ilvl w:val="1"/>
          <w:numId w:val="1"/>
        </w:numPr>
        <w:tabs>
          <w:tab w:val="left" w:pos="360"/>
          <w:tab w:val="num" w:pos="900"/>
          <w:tab w:val="left" w:pos="9360"/>
        </w:tabs>
        <w:jc w:val="both"/>
        <w:rPr>
          <w:rFonts w:asciiTheme="minorHAnsi" w:eastAsiaTheme="minorEastAsia" w:hAnsiTheme="minorHAnsi"/>
          <w:sz w:val="22"/>
          <w:szCs w:val="22"/>
        </w:rPr>
      </w:pPr>
      <w:r w:rsidRPr="00E121D1">
        <w:rPr>
          <w:rFonts w:asciiTheme="minorHAnsi" w:eastAsiaTheme="minorEastAsia" w:hAnsiTheme="minorHAnsi"/>
          <w:sz w:val="22"/>
          <w:szCs w:val="22"/>
        </w:rPr>
        <w:t>Los informes principales</w:t>
      </w:r>
      <w:r>
        <w:rPr>
          <w:rFonts w:asciiTheme="minorHAnsi" w:eastAsiaTheme="minorEastAsia" w:hAnsiTheme="minorHAnsi"/>
          <w:sz w:val="22"/>
          <w:szCs w:val="22"/>
        </w:rPr>
        <w:t xml:space="preserve"> deben tener formato de artículos académicos, por cuento deben tener lenguaje académico y técnico y seguir la estructura de aquellos. Tanto los </w:t>
      </w:r>
      <w:proofErr w:type="spellStart"/>
      <w:r>
        <w:rPr>
          <w:rFonts w:asciiTheme="minorHAnsi" w:eastAsiaTheme="minorEastAsia" w:hAnsiTheme="minorHAnsi"/>
          <w:i/>
          <w:iCs/>
          <w:sz w:val="22"/>
          <w:szCs w:val="22"/>
        </w:rPr>
        <w:t>outlines</w:t>
      </w:r>
      <w:proofErr w:type="spellEnd"/>
      <w:r>
        <w:rPr>
          <w:rFonts w:asciiTheme="minorHAnsi" w:eastAsiaTheme="minorEastAsia" w:hAnsiTheme="minorHAnsi"/>
          <w:sz w:val="22"/>
          <w:szCs w:val="22"/>
        </w:rPr>
        <w:t xml:space="preserve"> como los borradores deben ser aprobados por el equipo BID. </w:t>
      </w:r>
    </w:p>
    <w:p w14:paraId="4B6B1EB1" w14:textId="77777777" w:rsidR="00804E99" w:rsidRPr="001F620E" w:rsidRDefault="00804E99" w:rsidP="00804E99">
      <w:pPr>
        <w:pStyle w:val="ListParagraph"/>
        <w:widowControl w:val="0"/>
        <w:tabs>
          <w:tab w:val="left" w:pos="360"/>
          <w:tab w:val="num" w:pos="900"/>
          <w:tab w:val="left" w:pos="9360"/>
        </w:tabs>
        <w:ind w:left="792"/>
        <w:jc w:val="both"/>
        <w:rPr>
          <w:rFonts w:asciiTheme="minorHAnsi" w:eastAsiaTheme="minorEastAsia" w:hAnsiTheme="minorHAnsi"/>
          <w:i/>
          <w:iCs/>
          <w:sz w:val="22"/>
          <w:szCs w:val="22"/>
        </w:rPr>
      </w:pPr>
    </w:p>
    <w:p w14:paraId="67854BE8" w14:textId="77777777" w:rsidR="00804E99" w:rsidRDefault="00804E99" w:rsidP="00804E99">
      <w:pPr>
        <w:rPr>
          <w:rFonts w:asciiTheme="minorHAnsi" w:eastAsiaTheme="minorHAnsi" w:hAnsiTheme="minorHAnsi"/>
          <w:b/>
          <w:sz w:val="22"/>
        </w:rPr>
      </w:pPr>
    </w:p>
    <w:p w14:paraId="7FBDFACA"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Criterios de aceptación</w:t>
      </w:r>
    </w:p>
    <w:p w14:paraId="364B0CB9" w14:textId="77777777" w:rsidR="00804E99" w:rsidRDefault="00804E99" w:rsidP="00804E99">
      <w:pPr>
        <w:shd w:val="clear" w:color="auto" w:fill="FFFFFF"/>
        <w:rPr>
          <w:rFonts w:asciiTheme="minorHAnsi" w:hAnsiTheme="minorHAnsi"/>
          <w:color w:val="008800"/>
          <w:sz w:val="22"/>
        </w:rPr>
      </w:pPr>
    </w:p>
    <w:p w14:paraId="7833DA10" w14:textId="77777777" w:rsidR="00804E99" w:rsidRPr="001F620E" w:rsidRDefault="00804E99" w:rsidP="00804E99">
      <w:pPr>
        <w:pStyle w:val="ListParagraph"/>
        <w:numPr>
          <w:ilvl w:val="1"/>
          <w:numId w:val="1"/>
        </w:numPr>
        <w:rPr>
          <w:rFonts w:asciiTheme="minorHAnsi" w:eastAsiaTheme="minorEastAsia" w:hAnsiTheme="minorHAnsi"/>
          <w:sz w:val="22"/>
          <w:szCs w:val="22"/>
        </w:rPr>
      </w:pPr>
      <w:r w:rsidRPr="001F620E">
        <w:rPr>
          <w:rFonts w:asciiTheme="minorHAnsi" w:eastAsiaTheme="minorEastAsia" w:hAnsiTheme="minorHAnsi"/>
          <w:sz w:val="22"/>
          <w:szCs w:val="22"/>
        </w:rPr>
        <w:t>La firma debe contar con experticia en temas de innovaciones tecnológicas e investigación académica en el sector de educación. Adicionalmente, el equipo debe estar liderado por al menos un académico senior, con amplia experiencia en investigación en temas de educación y conocimiento en temas de diseños de mecanismos aplicado al sistema educativo. Adicionalmente, el equipo de contar con personal capacitado en la evaluación de políticas públicas y manejo de bases de datos. Por ultima, se espera que el equipo propuesto por la firma cuente con publicaciones académicas en el tema.</w:t>
      </w:r>
    </w:p>
    <w:p w14:paraId="7841953D" w14:textId="77777777" w:rsidR="00804E99" w:rsidRDefault="00804E99" w:rsidP="00804E99">
      <w:pPr>
        <w:shd w:val="clear" w:color="auto" w:fill="FFFFFF"/>
        <w:ind w:left="792"/>
        <w:contextualSpacing/>
        <w:rPr>
          <w:rFonts w:asciiTheme="minorHAnsi" w:hAnsiTheme="minorHAnsi"/>
          <w:i/>
          <w:iCs/>
          <w:sz w:val="22"/>
          <w:szCs w:val="22"/>
        </w:rPr>
      </w:pPr>
    </w:p>
    <w:p w14:paraId="07074810" w14:textId="77777777" w:rsidR="00804E99" w:rsidRDefault="00804E99" w:rsidP="00804E99">
      <w:pPr>
        <w:shd w:val="clear" w:color="auto" w:fill="FFFFFF"/>
        <w:rPr>
          <w:rFonts w:asciiTheme="minorHAnsi" w:hAnsiTheme="minorHAnsi"/>
          <w:color w:val="008800"/>
          <w:sz w:val="22"/>
        </w:rPr>
      </w:pPr>
    </w:p>
    <w:p w14:paraId="3D644DE0" w14:textId="77777777" w:rsidR="00804E99" w:rsidRDefault="00804E99" w:rsidP="00804E99">
      <w:pPr>
        <w:numPr>
          <w:ilvl w:val="0"/>
          <w:numId w:val="1"/>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rPr>
        <w:t xml:space="preserve"> </w:t>
      </w:r>
      <w:r>
        <w:rPr>
          <w:rFonts w:asciiTheme="minorHAnsi" w:eastAsiaTheme="minorHAnsi" w:hAnsiTheme="minorHAnsi"/>
          <w:b/>
          <w:sz w:val="22"/>
          <w:u w:val="single"/>
        </w:rPr>
        <w:t>Supervisión e Informes</w:t>
      </w:r>
    </w:p>
    <w:p w14:paraId="4C0C6FD4" w14:textId="77777777" w:rsidR="00804E99" w:rsidRDefault="00804E99" w:rsidP="00804E99">
      <w:pPr>
        <w:ind w:left="360"/>
        <w:contextualSpacing/>
        <w:rPr>
          <w:rFonts w:asciiTheme="minorHAnsi" w:eastAsiaTheme="minorHAnsi" w:hAnsiTheme="minorHAnsi"/>
          <w:b/>
          <w:sz w:val="22"/>
          <w:u w:val="single"/>
        </w:rPr>
      </w:pPr>
    </w:p>
    <w:p w14:paraId="142AEF9C" w14:textId="77777777" w:rsidR="00804E99" w:rsidRPr="00CA23EE" w:rsidRDefault="00804E99" w:rsidP="00804E99">
      <w:pPr>
        <w:widowControl/>
        <w:numPr>
          <w:ilvl w:val="1"/>
          <w:numId w:val="1"/>
        </w:numPr>
        <w:autoSpaceDE/>
        <w:autoSpaceDN/>
        <w:adjustRightInd/>
        <w:rPr>
          <w:b/>
          <w:bCs/>
          <w:i/>
          <w:iCs/>
          <w:color w:val="006600"/>
          <w:sz w:val="22"/>
          <w:szCs w:val="22"/>
        </w:rPr>
      </w:pPr>
      <w:r w:rsidRPr="00CA23EE">
        <w:rPr>
          <w:rFonts w:asciiTheme="minorHAnsi" w:hAnsiTheme="minorHAnsi"/>
          <w:sz w:val="22"/>
          <w:szCs w:val="22"/>
        </w:rPr>
        <w:t xml:space="preserve">El proyecto será supervisado por Gregory Elacqua, Economista principal de la División de Educación (SCL/EDU); y Carolina Méndez, Especialista en Educación (EDU/CPE).  </w:t>
      </w:r>
    </w:p>
    <w:p w14:paraId="4E36F41C" w14:textId="77777777" w:rsidR="00804E99" w:rsidRDefault="00804E99" w:rsidP="00804E99">
      <w:pPr>
        <w:shd w:val="clear" w:color="auto" w:fill="FFFFFF"/>
        <w:tabs>
          <w:tab w:val="left" w:pos="990"/>
        </w:tabs>
        <w:ind w:left="792"/>
        <w:contextualSpacing/>
        <w:rPr>
          <w:rFonts w:asciiTheme="minorHAnsi" w:eastAsiaTheme="minorHAnsi" w:hAnsiTheme="minorHAnsi"/>
          <w:i/>
          <w:sz w:val="22"/>
        </w:rPr>
      </w:pPr>
    </w:p>
    <w:p w14:paraId="2D3FB81B" w14:textId="77777777" w:rsidR="00804E99" w:rsidRDefault="00804E99" w:rsidP="00804E99">
      <w:pPr>
        <w:ind w:right="-10"/>
        <w:jc w:val="both"/>
        <w:rPr>
          <w:rFonts w:asciiTheme="minorHAnsi" w:hAnsiTheme="minorHAnsi"/>
          <w:b/>
          <w:sz w:val="22"/>
        </w:rPr>
      </w:pPr>
    </w:p>
    <w:p w14:paraId="0086A6CC" w14:textId="77777777" w:rsidR="00804E99" w:rsidRDefault="00804E99" w:rsidP="00804E99">
      <w:pPr>
        <w:pStyle w:val="ListParagraph"/>
        <w:numPr>
          <w:ilvl w:val="0"/>
          <w:numId w:val="1"/>
        </w:numPr>
        <w:ind w:right="-10"/>
        <w:jc w:val="both"/>
        <w:rPr>
          <w:rFonts w:asciiTheme="minorHAnsi" w:hAnsiTheme="minorHAnsi"/>
          <w:b/>
          <w:sz w:val="22"/>
        </w:rPr>
      </w:pPr>
      <w:r>
        <w:rPr>
          <w:rFonts w:asciiTheme="minorHAnsi" w:hAnsiTheme="minorHAnsi"/>
          <w:b/>
          <w:sz w:val="22"/>
        </w:rPr>
        <w:t>Calendario de Pagos</w:t>
      </w:r>
    </w:p>
    <w:p w14:paraId="48B9A26C" w14:textId="77777777" w:rsidR="00804E99" w:rsidRDefault="00804E99" w:rsidP="00804E99">
      <w:pPr>
        <w:pStyle w:val="ListParagraph"/>
        <w:ind w:left="360" w:right="-10"/>
        <w:jc w:val="both"/>
        <w:rPr>
          <w:rFonts w:asciiTheme="minorHAnsi" w:hAnsiTheme="minorHAnsi"/>
          <w:b/>
          <w:sz w:val="22"/>
        </w:rPr>
      </w:pPr>
    </w:p>
    <w:p w14:paraId="1498D990" w14:textId="77777777" w:rsidR="00804E99" w:rsidRPr="00795B40" w:rsidRDefault="00804E99" w:rsidP="00804E99">
      <w:pPr>
        <w:pStyle w:val="ListParagraph"/>
        <w:numPr>
          <w:ilvl w:val="1"/>
          <w:numId w:val="1"/>
        </w:numPr>
        <w:ind w:right="-10"/>
        <w:jc w:val="both"/>
        <w:rPr>
          <w:rFonts w:asciiTheme="minorHAnsi" w:eastAsiaTheme="minorHAnsi" w:hAnsiTheme="minorHAnsi" w:cstheme="minorHAnsi"/>
          <w:iCs/>
          <w:sz w:val="22"/>
          <w:szCs w:val="22"/>
        </w:rPr>
      </w:pPr>
      <w:r w:rsidRPr="00795B40">
        <w:rPr>
          <w:rFonts w:asciiTheme="minorHAnsi" w:eastAsiaTheme="minorHAnsi" w:hAnsiTheme="minorHAnsi" w:cstheme="minorHAnsi"/>
          <w:iCs/>
          <w:sz w:val="22"/>
          <w:szCs w:val="22"/>
        </w:rPr>
        <w:t>Los pagos serán realizados una vez culminado el proceso de revisión, validación e incorporación de correcciones y comentarios de cada producto y por tanto recibidos de manera conforme por parte del BID.</w:t>
      </w:r>
    </w:p>
    <w:p w14:paraId="46DF1D76" w14:textId="77777777" w:rsidR="00804E99" w:rsidRPr="00795B40" w:rsidRDefault="00804E99" w:rsidP="00804E99">
      <w:pPr>
        <w:pBdr>
          <w:top w:val="nil"/>
          <w:left w:val="nil"/>
          <w:bottom w:val="nil"/>
          <w:right w:val="nil"/>
          <w:between w:val="nil"/>
        </w:pBdr>
        <w:ind w:left="1296" w:hanging="1296"/>
        <w:jc w:val="both"/>
        <w:rPr>
          <w:rFonts w:asciiTheme="minorHAnsi" w:eastAsia="Arial" w:hAnsiTheme="minorHAnsi" w:cstheme="minorHAnsi"/>
          <w:b/>
        </w:rPr>
      </w:pPr>
    </w:p>
    <w:tbl>
      <w:tblPr>
        <w:tblW w:w="738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3"/>
        <w:gridCol w:w="3487"/>
      </w:tblGrid>
      <w:tr w:rsidR="00804E99" w:rsidRPr="00795B40" w14:paraId="57336D85" w14:textId="77777777" w:rsidTr="004F105F">
        <w:tc>
          <w:tcPr>
            <w:tcW w:w="3893" w:type="dxa"/>
          </w:tcPr>
          <w:p w14:paraId="787A21E3" w14:textId="77777777" w:rsidR="00804E99" w:rsidRPr="00795B40" w:rsidRDefault="00804E99" w:rsidP="004F105F">
            <w:pPr>
              <w:spacing w:line="276" w:lineRule="auto"/>
              <w:jc w:val="center"/>
              <w:rPr>
                <w:rFonts w:asciiTheme="minorHAnsi" w:eastAsia="Arial" w:hAnsiTheme="minorHAnsi" w:cstheme="minorHAnsi"/>
                <w:b/>
              </w:rPr>
            </w:pPr>
            <w:r w:rsidRPr="00795B40">
              <w:rPr>
                <w:rFonts w:asciiTheme="minorHAnsi" w:eastAsia="Arial" w:hAnsiTheme="minorHAnsi" w:cstheme="minorHAnsi"/>
                <w:b/>
              </w:rPr>
              <w:t>Entregables</w:t>
            </w:r>
          </w:p>
        </w:tc>
        <w:tc>
          <w:tcPr>
            <w:tcW w:w="3487" w:type="dxa"/>
          </w:tcPr>
          <w:p w14:paraId="0073027F" w14:textId="77777777" w:rsidR="00804E99" w:rsidRPr="00795B40" w:rsidRDefault="00804E99" w:rsidP="004F105F">
            <w:pPr>
              <w:spacing w:line="276" w:lineRule="auto"/>
              <w:jc w:val="center"/>
              <w:rPr>
                <w:rFonts w:asciiTheme="minorHAnsi" w:eastAsia="Arial" w:hAnsiTheme="minorHAnsi" w:cstheme="minorHAnsi"/>
                <w:b/>
              </w:rPr>
            </w:pPr>
            <w:r w:rsidRPr="00795B40">
              <w:rPr>
                <w:rFonts w:asciiTheme="minorHAnsi" w:eastAsia="Arial" w:hAnsiTheme="minorHAnsi" w:cstheme="minorHAnsi"/>
                <w:b/>
              </w:rPr>
              <w:t xml:space="preserve">% </w:t>
            </w:r>
          </w:p>
        </w:tc>
      </w:tr>
      <w:tr w:rsidR="00804E99" w:rsidRPr="00795B40" w14:paraId="27FE2622" w14:textId="77777777" w:rsidTr="004F105F">
        <w:tc>
          <w:tcPr>
            <w:tcW w:w="3893" w:type="dxa"/>
          </w:tcPr>
          <w:p w14:paraId="6AFD67AC" w14:textId="77777777" w:rsidR="00804E99" w:rsidRPr="00795B40" w:rsidRDefault="00804E99" w:rsidP="004F105F">
            <w:pPr>
              <w:pStyle w:val="ListParagraph"/>
              <w:numPr>
                <w:ilvl w:val="0"/>
                <w:numId w:val="5"/>
              </w:numPr>
              <w:spacing w:after="160" w:line="259" w:lineRule="auto"/>
              <w:jc w:val="both"/>
              <w:rPr>
                <w:rFonts w:asciiTheme="minorHAnsi" w:eastAsia="Arial" w:hAnsiTheme="minorHAnsi" w:cstheme="minorHAnsi"/>
              </w:rPr>
            </w:pPr>
            <w:r w:rsidRPr="00795B40">
              <w:rPr>
                <w:rFonts w:asciiTheme="minorHAnsi" w:eastAsia="Arial" w:hAnsiTheme="minorHAnsi" w:cstheme="minorHAnsi"/>
              </w:rPr>
              <w:t>Producto 1</w:t>
            </w:r>
          </w:p>
        </w:tc>
        <w:tc>
          <w:tcPr>
            <w:tcW w:w="3487" w:type="dxa"/>
          </w:tcPr>
          <w:p w14:paraId="167F2D6B" w14:textId="77777777" w:rsidR="00804E99" w:rsidRPr="00795B40" w:rsidRDefault="00804E99" w:rsidP="004F105F">
            <w:pPr>
              <w:jc w:val="center"/>
              <w:rPr>
                <w:rFonts w:asciiTheme="minorHAnsi" w:eastAsia="Arial" w:hAnsiTheme="minorHAnsi" w:cstheme="minorHAnsi"/>
              </w:rPr>
            </w:pPr>
            <w:r w:rsidRPr="00795B40">
              <w:rPr>
                <w:rFonts w:asciiTheme="minorHAnsi" w:eastAsia="Arial" w:hAnsiTheme="minorHAnsi" w:cstheme="minorHAnsi"/>
              </w:rPr>
              <w:t>25%</w:t>
            </w:r>
          </w:p>
        </w:tc>
      </w:tr>
      <w:tr w:rsidR="00804E99" w:rsidRPr="00795B40" w14:paraId="45F25BC2" w14:textId="77777777" w:rsidTr="004F105F">
        <w:tc>
          <w:tcPr>
            <w:tcW w:w="3893" w:type="dxa"/>
          </w:tcPr>
          <w:p w14:paraId="5C09AC09" w14:textId="77777777" w:rsidR="00804E99" w:rsidRPr="00795B40" w:rsidRDefault="00804E99" w:rsidP="004F105F">
            <w:pPr>
              <w:pStyle w:val="ListParagraph"/>
              <w:numPr>
                <w:ilvl w:val="0"/>
                <w:numId w:val="5"/>
              </w:numPr>
              <w:spacing w:after="160" w:line="259" w:lineRule="auto"/>
              <w:jc w:val="both"/>
              <w:rPr>
                <w:rFonts w:asciiTheme="minorHAnsi" w:eastAsia="Arial" w:hAnsiTheme="minorHAnsi" w:cstheme="minorHAnsi"/>
              </w:rPr>
            </w:pPr>
            <w:r w:rsidRPr="00795B40">
              <w:rPr>
                <w:rFonts w:asciiTheme="minorHAnsi" w:eastAsia="Arial" w:hAnsiTheme="minorHAnsi" w:cstheme="minorHAnsi"/>
              </w:rPr>
              <w:t>Producto 2</w:t>
            </w:r>
          </w:p>
        </w:tc>
        <w:tc>
          <w:tcPr>
            <w:tcW w:w="3487" w:type="dxa"/>
          </w:tcPr>
          <w:p w14:paraId="7A19AC42" w14:textId="77777777" w:rsidR="00804E99" w:rsidRPr="00795B40" w:rsidRDefault="00804E99" w:rsidP="004F105F">
            <w:pPr>
              <w:spacing w:line="276" w:lineRule="auto"/>
              <w:jc w:val="center"/>
              <w:rPr>
                <w:rFonts w:asciiTheme="minorHAnsi" w:eastAsia="Arial" w:hAnsiTheme="minorHAnsi" w:cstheme="minorHAnsi"/>
              </w:rPr>
            </w:pPr>
            <w:r w:rsidRPr="00795B40">
              <w:rPr>
                <w:rFonts w:asciiTheme="minorHAnsi" w:eastAsia="Arial" w:hAnsiTheme="minorHAnsi" w:cstheme="minorHAnsi"/>
              </w:rPr>
              <w:t>25%</w:t>
            </w:r>
          </w:p>
        </w:tc>
      </w:tr>
      <w:tr w:rsidR="00804E99" w:rsidRPr="00795B40" w14:paraId="3A6090B0" w14:textId="77777777" w:rsidTr="004F105F">
        <w:tc>
          <w:tcPr>
            <w:tcW w:w="3893" w:type="dxa"/>
          </w:tcPr>
          <w:p w14:paraId="7DB6FE02" w14:textId="77777777" w:rsidR="00804E99" w:rsidRPr="00795B40" w:rsidRDefault="00804E99" w:rsidP="004F105F">
            <w:pPr>
              <w:pStyle w:val="ListParagraph"/>
              <w:numPr>
                <w:ilvl w:val="0"/>
                <w:numId w:val="5"/>
              </w:numPr>
              <w:spacing w:after="160" w:line="259" w:lineRule="auto"/>
              <w:jc w:val="both"/>
              <w:rPr>
                <w:rFonts w:asciiTheme="minorHAnsi" w:eastAsia="Arial" w:hAnsiTheme="minorHAnsi" w:cstheme="minorHAnsi"/>
              </w:rPr>
            </w:pPr>
            <w:r w:rsidRPr="00795B40">
              <w:rPr>
                <w:rFonts w:asciiTheme="minorHAnsi" w:eastAsia="Arial" w:hAnsiTheme="minorHAnsi" w:cstheme="minorHAnsi"/>
              </w:rPr>
              <w:t>Producto 3</w:t>
            </w:r>
          </w:p>
        </w:tc>
        <w:tc>
          <w:tcPr>
            <w:tcW w:w="3487" w:type="dxa"/>
          </w:tcPr>
          <w:p w14:paraId="703B9F70" w14:textId="77777777" w:rsidR="00804E99" w:rsidRPr="00795B40" w:rsidRDefault="00804E99" w:rsidP="004F105F">
            <w:pPr>
              <w:jc w:val="center"/>
              <w:rPr>
                <w:rFonts w:asciiTheme="minorHAnsi" w:eastAsia="Arial" w:hAnsiTheme="minorHAnsi" w:cstheme="minorHAnsi"/>
              </w:rPr>
            </w:pPr>
            <w:r w:rsidRPr="00795B40">
              <w:rPr>
                <w:rFonts w:asciiTheme="minorHAnsi" w:eastAsia="Arial" w:hAnsiTheme="minorHAnsi" w:cstheme="minorHAnsi"/>
              </w:rPr>
              <w:t>25%</w:t>
            </w:r>
          </w:p>
        </w:tc>
      </w:tr>
      <w:tr w:rsidR="00804E99" w:rsidRPr="00795B40" w14:paraId="25A08DEC" w14:textId="77777777" w:rsidTr="004F105F">
        <w:tc>
          <w:tcPr>
            <w:tcW w:w="3893" w:type="dxa"/>
          </w:tcPr>
          <w:p w14:paraId="259B734D" w14:textId="77777777" w:rsidR="00804E99" w:rsidRPr="00795B40" w:rsidRDefault="00804E99" w:rsidP="004F105F">
            <w:pPr>
              <w:pStyle w:val="ListParagraph"/>
              <w:numPr>
                <w:ilvl w:val="0"/>
                <w:numId w:val="5"/>
              </w:numPr>
              <w:spacing w:after="160" w:line="276" w:lineRule="auto"/>
              <w:rPr>
                <w:rFonts w:asciiTheme="minorHAnsi" w:eastAsia="Arial" w:hAnsiTheme="minorHAnsi" w:cstheme="minorHAnsi"/>
              </w:rPr>
            </w:pPr>
            <w:r w:rsidRPr="00795B40">
              <w:rPr>
                <w:rFonts w:asciiTheme="minorHAnsi" w:eastAsia="Arial" w:hAnsiTheme="minorHAnsi" w:cstheme="minorHAnsi"/>
              </w:rPr>
              <w:t>Producto 4</w:t>
            </w:r>
          </w:p>
        </w:tc>
        <w:tc>
          <w:tcPr>
            <w:tcW w:w="3487" w:type="dxa"/>
          </w:tcPr>
          <w:p w14:paraId="57A30FC3" w14:textId="77777777" w:rsidR="00804E99" w:rsidRPr="00795B40" w:rsidRDefault="00804E99" w:rsidP="004F105F">
            <w:pPr>
              <w:spacing w:line="276" w:lineRule="auto"/>
              <w:jc w:val="center"/>
              <w:rPr>
                <w:rFonts w:asciiTheme="minorHAnsi" w:eastAsia="Arial" w:hAnsiTheme="minorHAnsi" w:cstheme="minorHAnsi"/>
              </w:rPr>
            </w:pPr>
            <w:r w:rsidRPr="00795B40">
              <w:rPr>
                <w:rFonts w:asciiTheme="minorHAnsi" w:eastAsia="Arial" w:hAnsiTheme="minorHAnsi" w:cstheme="minorHAnsi"/>
              </w:rPr>
              <w:t>25%</w:t>
            </w:r>
          </w:p>
        </w:tc>
      </w:tr>
      <w:tr w:rsidR="00804E99" w:rsidRPr="00795B40" w14:paraId="3BF43E4E" w14:textId="77777777" w:rsidTr="004F105F">
        <w:tc>
          <w:tcPr>
            <w:tcW w:w="3893" w:type="dxa"/>
          </w:tcPr>
          <w:p w14:paraId="1B7167A9" w14:textId="77777777" w:rsidR="00804E99" w:rsidRPr="00795B40" w:rsidRDefault="00804E99" w:rsidP="004F105F">
            <w:pPr>
              <w:pStyle w:val="ListParagraph"/>
              <w:numPr>
                <w:ilvl w:val="0"/>
                <w:numId w:val="5"/>
              </w:numPr>
              <w:spacing w:after="160" w:line="276" w:lineRule="auto"/>
              <w:rPr>
                <w:rFonts w:asciiTheme="minorHAnsi" w:eastAsia="Arial" w:hAnsiTheme="minorHAnsi" w:cstheme="minorHAnsi"/>
              </w:rPr>
            </w:pPr>
            <w:r w:rsidRPr="00795B40">
              <w:rPr>
                <w:rFonts w:asciiTheme="minorHAnsi" w:eastAsia="Arial" w:hAnsiTheme="minorHAnsi" w:cstheme="minorHAnsi"/>
              </w:rPr>
              <w:t>Total</w:t>
            </w:r>
          </w:p>
        </w:tc>
        <w:tc>
          <w:tcPr>
            <w:tcW w:w="3487" w:type="dxa"/>
          </w:tcPr>
          <w:p w14:paraId="68A27876" w14:textId="77777777" w:rsidR="00804E99" w:rsidRPr="00795B40" w:rsidRDefault="00804E99" w:rsidP="004F105F">
            <w:pPr>
              <w:spacing w:line="276" w:lineRule="auto"/>
              <w:jc w:val="center"/>
              <w:rPr>
                <w:rFonts w:asciiTheme="minorHAnsi" w:eastAsia="Arial" w:hAnsiTheme="minorHAnsi" w:cstheme="minorHAnsi"/>
              </w:rPr>
            </w:pPr>
            <w:r w:rsidRPr="00795B40">
              <w:rPr>
                <w:rFonts w:asciiTheme="minorHAnsi" w:eastAsia="Arial" w:hAnsiTheme="minorHAnsi" w:cstheme="minorHAnsi"/>
              </w:rPr>
              <w:t>100%</w:t>
            </w:r>
          </w:p>
        </w:tc>
      </w:tr>
    </w:tbl>
    <w:p w14:paraId="2406FE58" w14:textId="77777777" w:rsidR="00804E99" w:rsidRPr="00795B40" w:rsidRDefault="00804E99" w:rsidP="00804E99">
      <w:pPr>
        <w:shd w:val="clear" w:color="auto" w:fill="FFFFFF"/>
        <w:tabs>
          <w:tab w:val="left" w:pos="990"/>
        </w:tabs>
        <w:ind w:right="-10"/>
        <w:contextualSpacing/>
        <w:jc w:val="both"/>
        <w:rPr>
          <w:rFonts w:asciiTheme="minorHAnsi" w:hAnsiTheme="minorHAnsi" w:cstheme="minorHAnsi"/>
          <w:b/>
          <w:sz w:val="22"/>
          <w:szCs w:val="22"/>
        </w:rPr>
      </w:pPr>
    </w:p>
    <w:p w14:paraId="49B96D7C" w14:textId="77777777" w:rsidR="00804E99" w:rsidRDefault="00804E99" w:rsidP="007270AC">
      <w:pPr>
        <w:jc w:val="both"/>
        <w:rPr>
          <w:rFonts w:cstheme="minorHAnsi"/>
          <w:i/>
          <w:color w:val="0070C0"/>
        </w:rPr>
      </w:pPr>
    </w:p>
    <w:sectPr w:rsidR="00804E99">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C22C" w14:textId="77777777" w:rsidR="00463054" w:rsidRDefault="00463054">
      <w:r>
        <w:separator/>
      </w:r>
    </w:p>
  </w:endnote>
  <w:endnote w:type="continuationSeparator" w:id="0">
    <w:p w14:paraId="56FA9A63" w14:textId="77777777" w:rsidR="00463054" w:rsidRDefault="004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6DB1" w14:textId="77777777" w:rsidR="00463054" w:rsidRDefault="00463054">
      <w:r>
        <w:separator/>
      </w:r>
    </w:p>
  </w:footnote>
  <w:footnote w:type="continuationSeparator" w:id="0">
    <w:p w14:paraId="6EF9E4B5" w14:textId="77777777" w:rsidR="00463054" w:rsidRDefault="0046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2AC"/>
    <w:multiLevelType w:val="hybridMultilevel"/>
    <w:tmpl w:val="96B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5CC8"/>
    <w:multiLevelType w:val="hybridMultilevel"/>
    <w:tmpl w:val="3F4CA9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47000FFC"/>
    <w:multiLevelType w:val="multilevel"/>
    <w:tmpl w:val="9168E9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B97104"/>
    <w:multiLevelType w:val="hybridMultilevel"/>
    <w:tmpl w:val="3E047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t7AwNjM1NTQ3tjBQ0lEKTi0uzszPAykwrgUAgpyP3SwAAAA="/>
  </w:docVars>
  <w:rsids>
    <w:rsidRoot w:val="00A37CA7"/>
    <w:rsid w:val="00032422"/>
    <w:rsid w:val="0003493A"/>
    <w:rsid w:val="00050DB5"/>
    <w:rsid w:val="000578AF"/>
    <w:rsid w:val="000C118D"/>
    <w:rsid w:val="00164C6B"/>
    <w:rsid w:val="001C1EA2"/>
    <w:rsid w:val="001F2366"/>
    <w:rsid w:val="00201995"/>
    <w:rsid w:val="00253CC7"/>
    <w:rsid w:val="00360ACB"/>
    <w:rsid w:val="003800C7"/>
    <w:rsid w:val="003F5CA1"/>
    <w:rsid w:val="004003E8"/>
    <w:rsid w:val="00423E38"/>
    <w:rsid w:val="00463054"/>
    <w:rsid w:val="004A3654"/>
    <w:rsid w:val="004D51F3"/>
    <w:rsid w:val="004F6F32"/>
    <w:rsid w:val="0051231A"/>
    <w:rsid w:val="0052634A"/>
    <w:rsid w:val="00546C8D"/>
    <w:rsid w:val="00556C08"/>
    <w:rsid w:val="005673D5"/>
    <w:rsid w:val="0056772C"/>
    <w:rsid w:val="00585610"/>
    <w:rsid w:val="005B434A"/>
    <w:rsid w:val="006071D7"/>
    <w:rsid w:val="00625436"/>
    <w:rsid w:val="00632202"/>
    <w:rsid w:val="00637714"/>
    <w:rsid w:val="00695E28"/>
    <w:rsid w:val="006C3B20"/>
    <w:rsid w:val="006D30B4"/>
    <w:rsid w:val="007001EE"/>
    <w:rsid w:val="007270AC"/>
    <w:rsid w:val="0073594D"/>
    <w:rsid w:val="0078460F"/>
    <w:rsid w:val="007929E5"/>
    <w:rsid w:val="007A1741"/>
    <w:rsid w:val="00804E99"/>
    <w:rsid w:val="008171F3"/>
    <w:rsid w:val="008722CD"/>
    <w:rsid w:val="00891E3C"/>
    <w:rsid w:val="008C7908"/>
    <w:rsid w:val="00901303"/>
    <w:rsid w:val="0090355D"/>
    <w:rsid w:val="0090501E"/>
    <w:rsid w:val="009342AD"/>
    <w:rsid w:val="0095507D"/>
    <w:rsid w:val="00982120"/>
    <w:rsid w:val="00A15B62"/>
    <w:rsid w:val="00A37CA7"/>
    <w:rsid w:val="00A438EB"/>
    <w:rsid w:val="00A572AA"/>
    <w:rsid w:val="00A838F0"/>
    <w:rsid w:val="00A83D94"/>
    <w:rsid w:val="00AD6E3D"/>
    <w:rsid w:val="00AE7268"/>
    <w:rsid w:val="00B17BF0"/>
    <w:rsid w:val="00B27293"/>
    <w:rsid w:val="00B747D9"/>
    <w:rsid w:val="00BA3851"/>
    <w:rsid w:val="00BF0B50"/>
    <w:rsid w:val="00BF5CD3"/>
    <w:rsid w:val="00C27587"/>
    <w:rsid w:val="00C42B39"/>
    <w:rsid w:val="00C439C0"/>
    <w:rsid w:val="00C55CA8"/>
    <w:rsid w:val="00C90263"/>
    <w:rsid w:val="00C94EA8"/>
    <w:rsid w:val="00CA7C9E"/>
    <w:rsid w:val="00CD2A27"/>
    <w:rsid w:val="00CD36BB"/>
    <w:rsid w:val="00CD4904"/>
    <w:rsid w:val="00CE0491"/>
    <w:rsid w:val="00D1360E"/>
    <w:rsid w:val="00D761FB"/>
    <w:rsid w:val="00DE327F"/>
    <w:rsid w:val="00E277C5"/>
    <w:rsid w:val="00E41EF4"/>
    <w:rsid w:val="00E53ACD"/>
    <w:rsid w:val="00E82ED1"/>
    <w:rsid w:val="00ED4D33"/>
    <w:rsid w:val="00F406CA"/>
    <w:rsid w:val="00F45D9C"/>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BodyTextIndent3">
    <w:name w:val="Body Text Indent 3"/>
    <w:basedOn w:val="Normal"/>
    <w:link w:val="BodyTextIndent3Char"/>
    <w:unhideWhenUsed/>
    <w:rsid w:val="007270AC"/>
    <w:pPr>
      <w:spacing w:after="120"/>
      <w:ind w:left="360"/>
    </w:pPr>
    <w:rPr>
      <w:sz w:val="16"/>
      <w:szCs w:val="16"/>
    </w:rPr>
  </w:style>
  <w:style w:type="character" w:customStyle="1" w:styleId="BodyTextIndent3Char">
    <w:name w:val="Body Text Indent 3 Char"/>
    <w:basedOn w:val="DefaultParagraphFont"/>
    <w:link w:val="BodyTextIndent3"/>
    <w:rsid w:val="007270AC"/>
    <w:rPr>
      <w:rFonts w:ascii="Arial" w:hAnsi="Arial" w:cs="Arial"/>
      <w:color w:val="000000"/>
      <w:sz w:val="16"/>
      <w:szCs w:val="16"/>
      <w:lang w:val="es-MX"/>
    </w:rPr>
  </w:style>
  <w:style w:type="paragraph" w:styleId="ListParagraph">
    <w:name w:val="List Paragraph"/>
    <w:aliases w:val="TIT 2 IND,Párrafo de lista1,Lista vistosa - Énfasis 11,Texto,List Paragraph1,Fundamentacion,SubPárrafo de lista,Bulleted List,Lista media 2 - Énfasis 41,Cita Pie de Página,titulo,Párrafo Normal,P?rrafo de lista,P?rrafo Normal,Bullets"/>
    <w:basedOn w:val="Normal"/>
    <w:link w:val="ListParagraphChar"/>
    <w:uiPriority w:val="34"/>
    <w:qFormat/>
    <w:rsid w:val="007270AC"/>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aliases w:val="TIT 2 IND Char,Párrafo de lista1 Char,Lista vistosa - Énfasis 11 Char,Texto Char,List Paragraph1 Char,Fundamentacion Char,SubPárrafo de lista Char,Bulleted List Char,Lista media 2 - Énfasis 41 Char,Cita Pie de Página Char,titulo Char"/>
    <w:link w:val="ListParagraph"/>
    <w:uiPriority w:val="34"/>
    <w:qFormat/>
    <w:locked/>
    <w:rsid w:val="007270AC"/>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6699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ad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E68B4F04ACDF546ADD85BFE631603B1" ma:contentTypeVersion="1600" ma:contentTypeDescription="A content type to manage public (operations) IDB documents" ma:contentTypeScope="" ma:versionID="15fee601bd0f199b9adbc75a2631c24e">
  <xsd:schema xmlns:xsd="http://www.w3.org/2001/XMLSchema" xmlns:xs="http://www.w3.org/2001/XMLSchema" xmlns:p="http://schemas.microsoft.com/office/2006/metadata/properties" xmlns:ns2="cdc7663a-08f0-4737-9e8c-148ce897a09c" targetNamespace="http://schemas.microsoft.com/office/2006/metadata/properties" ma:root="true" ma:fieldsID="8acddf47f146e7b57a1eaa45b8abd30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E167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SCL/EDU</Division_x0020_or_x0020_Unit>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Jorquera, Pablo Manuel</Document_x0020_Author>
    <Document_x0020_Language_x0020_IDB xmlns="cdc7663a-08f0-4737-9e8c-148ce897a09c">Spanish</Document_x0020_Language_x0020_IDB>
    <TaxCatchAll xmlns="cdc7663a-08f0-4737-9e8c-148ce897a09c">
      <Value>21</Value>
      <Value>381</Value>
      <Value>36</Value>
      <Value>7</Value>
    </TaxCatchAll>
    <Identifier xmlns="cdc7663a-08f0-4737-9e8c-148ce897a09c" xsi:nil="true"/>
    <_dlc_DocId xmlns="cdc7663a-08f0-4737-9e8c-148ce897a09c">EZSHARE-1967737414-27</_dlc_DocId>
    <_dlc_DocIdUrl xmlns="cdc7663a-08f0-4737-9e8c-148ce897a09c">
      <Url>https://idbg.sharepoint.com/teams/EZ-RG-ESW/RG-E1672/_layouts/15/DocIdRedir.aspx?ID=EZSHARE-1967737414-27</Url>
      <Description>EZSHARE-1967737414-27</Description>
    </_dlc_DocIdUrl>
    <Related_x0020_SisCor_x0020_Number xmlns="cdc7663a-08f0-4737-9e8c-148ce897a09c" xsi:nil="true"/>
    <Record_x0020_Number xmlns="cdc7663a-08f0-4737-9e8c-148ce897a09c" xsi:nil="true"/>
    <Extracted_x0020_Keywords xmlns="cdc7663a-08f0-4737-9e8c-148ce897a09c"/>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PRIMARY EDUCATION</TermName>
          <TermId xmlns="http://schemas.microsoft.com/office/infopath/2007/PartnerControls">3c9aef6b-e3d8-4e56-bc3a-dd53e692346f</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g511464f9e53401d84b16fa9b379a574>
    <Operation_x0020_Type xmlns="cdc7663a-08f0-4737-9e8c-148ce897a09c" xsi:nil="true"/>
    <Package_x0020_Code xmlns="cdc7663a-08f0-4737-9e8c-148ce897a09c" xsi:nil="true"/>
    <Project_x0020_Number xmlns="cdc7663a-08f0-4737-9e8c-148ce897a09c">RG-E1672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e61db9d8-dcb9-423f-a737-53d6e603e7c4</TermId>
        </TermInfo>
      </Terms>
    </nddeef1749674d76abdbe4b239a70bc6>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3117D161-2F3A-4D53-A75F-9678E51058AB}"/>
</file>

<file path=customXml/itemProps2.xml><?xml version="1.0" encoding="utf-8"?>
<ds:datastoreItem xmlns:ds="http://schemas.openxmlformats.org/officeDocument/2006/customXml" ds:itemID="{D247E9D8-FE53-4F79-A73C-56956F7B21DE}"/>
</file>

<file path=customXml/itemProps3.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4.xml><?xml version="1.0" encoding="utf-8"?>
<ds:datastoreItem xmlns:ds="http://schemas.openxmlformats.org/officeDocument/2006/customXml" ds:itemID="{B98CC96B-FD11-466D-AEB4-CD0D938840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c7663a-08f0-4737-9e8c-148ce897a09c"/>
    <ds:schemaRef ds:uri="http://www.w3.org/XML/1998/namespace"/>
    <ds:schemaRef ds:uri="http://purl.org/dc/dcmitype/"/>
  </ds:schemaRefs>
</ds:datastoreItem>
</file>

<file path=customXml/itemProps5.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6.xml><?xml version="1.0" encoding="utf-8"?>
<ds:datastoreItem xmlns:ds="http://schemas.openxmlformats.org/officeDocument/2006/customXml" ds:itemID="{7C45D963-7663-435F-890A-8A972D1B5077}"/>
</file>

<file path=docProps/app.xml><?xml version="1.0" encoding="utf-8"?>
<Properties xmlns="http://schemas.openxmlformats.org/officeDocument/2006/extended-properties" xmlns:vt="http://schemas.openxmlformats.org/officeDocument/2006/docPropsVTypes">
  <Template>Normal</Template>
  <TotalTime>2</TotalTime>
  <Pages>5</Pages>
  <Words>1859</Words>
  <Characters>10726</Characters>
  <Application>Microsoft Office Word</Application>
  <DocSecurity>0</DocSecurity>
  <Lines>89</Lines>
  <Paragraphs>25</Paragraphs>
  <ScaleCrop>false</ScaleCrop>
  <Company>Inter-American Development Bank</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Jorquera Armijo, Pablo Manuel</cp:lastModifiedBy>
  <cp:revision>9</cp:revision>
  <cp:lastPrinted>2015-01-20T22:56:00Z</cp:lastPrinted>
  <dcterms:created xsi:type="dcterms:W3CDTF">2021-07-27T14:53:00Z</dcterms:created>
  <dcterms:modified xsi:type="dcterms:W3CDTF">2021-07-27T20:47:00Z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21;#Regional|2537a5b7-6d8e-482c-94dc-32c3cc44ff65</vt:lpwstr>
  </property>
  <property fmtid="{D5CDD505-2E9C-101B-9397-08002B2CF9AE}" pid="8" name="_dlc_DocIdItemGuid">
    <vt:lpwstr>c448898c-65cc-4468-a3f5-627156338c7f</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ub-Sector">
    <vt:lpwstr>381;#PRIMARY EDUCATION|3c9aef6b-e3d8-4e56-bc3a-dd53e692346f</vt:lpwstr>
  </property>
  <property fmtid="{D5CDD505-2E9C-101B-9397-08002B2CF9AE}" pid="11" name="Series Operations IDB">
    <vt:lpwstr/>
  </property>
  <property fmtid="{D5CDD505-2E9C-101B-9397-08002B2CF9AE}" pid="12" name="Fund IDB">
    <vt:lpwstr/>
  </property>
  <property fmtid="{D5CDD505-2E9C-101B-9397-08002B2CF9AE}" pid="13" name="Sector IDB">
    <vt:lpwstr>36;#EDUCATION|e61db9d8-dcb9-423f-a737-53d6e603e7c4</vt:lpwstr>
  </property>
  <property fmtid="{D5CDD505-2E9C-101B-9397-08002B2CF9AE}" pid="14" name="Function Operations IDB">
    <vt:lpwstr>7;#Goods and Services|5bfebf1b-9f1f-4411-b1dd-4c19b807b799</vt:lpwstr>
  </property>
  <property fmtid="{D5CDD505-2E9C-101B-9397-08002B2CF9AE}" pid="15" name="ContentTypeId">
    <vt:lpwstr>0x0101001A458A224826124E8B45B1D613300CFC003E68B4F04ACDF546ADD85BFE631603B1</vt:lpwstr>
  </property>
</Properties>
</file>