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227A" w14:textId="4C952F30" w:rsidR="2CDD2216" w:rsidRPr="00E925A7" w:rsidRDefault="2CDD2216" w:rsidP="00E925A7">
      <w:pPr>
        <w:pStyle w:val="Heading1a"/>
        <w:keepNext w:val="0"/>
        <w:keepLines w:val="0"/>
        <w:tabs>
          <w:tab w:val="clear" w:pos="-720"/>
        </w:tabs>
        <w:suppressAutoHyphens w:val="0"/>
        <w:jc w:val="left"/>
        <w:rPr>
          <w:rFonts w:asciiTheme="minorHAnsi" w:hAnsiTheme="minorHAnsi" w:cstheme="minorHAnsi"/>
          <w:bCs/>
          <w:smallCaps w:val="0"/>
          <w:sz w:val="28"/>
          <w:u w:val="single"/>
        </w:rPr>
      </w:pPr>
      <w:r w:rsidRPr="633C71E7">
        <w:rPr>
          <w:rFonts w:asciiTheme="minorHAnsi" w:eastAsiaTheme="minorEastAsia" w:hAnsiTheme="minorHAnsi" w:cstheme="minorBidi"/>
          <w:noProof/>
        </w:rPr>
        <w:t xml:space="preserve">           </w:t>
      </w:r>
    </w:p>
    <w:p w14:paraId="22A377B5" w14:textId="77777777" w:rsidR="0003493A" w:rsidRDefault="0003493A" w:rsidP="00E925A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0546D62C" w14:textId="285F81E3" w:rsidR="00F45D9C" w:rsidRDefault="00170248" w:rsidP="2CDD2216">
      <w:pPr>
        <w:suppressAutoHyphens/>
        <w:rPr>
          <w:rFonts w:asciiTheme="minorHAnsi" w:hAnsiTheme="minorHAnsi" w:cstheme="minorBidi"/>
          <w:color w:val="0070C0"/>
          <w:lang w:eastAsia="ko-KR"/>
        </w:rPr>
      </w:pPr>
      <w:r w:rsidRPr="2CDD2216">
        <w:rPr>
          <w:rFonts w:asciiTheme="minorHAnsi" w:hAnsiTheme="minorHAnsi" w:cstheme="minorBidi"/>
          <w:color w:val="0070C0"/>
          <w:spacing w:val="-2"/>
        </w:rPr>
        <w:t>Selection #</w:t>
      </w:r>
      <w:r w:rsidR="00F45D9C" w:rsidRPr="2CDD2216">
        <w:rPr>
          <w:rFonts w:asciiTheme="minorHAnsi" w:hAnsiTheme="minorHAnsi" w:cstheme="minorBidi"/>
          <w:color w:val="0070C0"/>
          <w:spacing w:val="-2"/>
        </w:rPr>
        <w:t xml:space="preserve"> as assigned by </w:t>
      </w:r>
      <w:r w:rsidR="00360ACB" w:rsidRPr="2CDD2216">
        <w:rPr>
          <w:rFonts w:asciiTheme="minorHAnsi" w:hAnsiTheme="minorHAnsi" w:cstheme="minorBidi"/>
          <w:color w:val="0070C0"/>
          <w:spacing w:val="-2"/>
        </w:rPr>
        <w:t>e-Tool:</w:t>
      </w:r>
      <w:r w:rsidR="00660E90">
        <w:rPr>
          <w:rFonts w:asciiTheme="minorHAnsi" w:hAnsiTheme="minorHAnsi" w:cstheme="minorBidi"/>
          <w:color w:val="0070C0"/>
          <w:spacing w:val="-2"/>
        </w:rPr>
        <w:t xml:space="preserve"> RG-T3704-P002</w:t>
      </w:r>
    </w:p>
    <w:p w14:paraId="0992F71B" w14:textId="534B2E08" w:rsidR="672BA234" w:rsidRDefault="2CDD2216" w:rsidP="672BA234">
      <w:r w:rsidRPr="2CDD2216">
        <w:rPr>
          <w:rFonts w:asciiTheme="minorHAnsi" w:hAnsiTheme="minorHAnsi" w:cstheme="minorBidi"/>
          <w:color w:val="0070C0"/>
        </w:rPr>
        <w:t>Selection Method:</w:t>
      </w:r>
      <w:r w:rsidR="00861892">
        <w:rPr>
          <w:rFonts w:asciiTheme="minorHAnsi" w:hAnsiTheme="minorHAnsi" w:cstheme="minorBidi"/>
          <w:color w:val="0070C0"/>
        </w:rPr>
        <w:t xml:space="preserve"> </w:t>
      </w:r>
      <w:r w:rsidR="00660E90">
        <w:rPr>
          <w:rFonts w:asciiTheme="minorHAnsi" w:hAnsiTheme="minorHAnsi" w:cstheme="minorBidi"/>
          <w:color w:val="0070C0"/>
        </w:rPr>
        <w:t>Simplified competitive selection</w:t>
      </w:r>
      <w:r w:rsidR="00861892">
        <w:rPr>
          <w:rFonts w:asciiTheme="minorHAnsi" w:hAnsiTheme="minorHAnsi" w:cstheme="minorBidi"/>
          <w:color w:val="0070C0"/>
        </w:rPr>
        <w:t xml:space="preserve"> </w:t>
      </w:r>
    </w:p>
    <w:p w14:paraId="661E8539" w14:textId="004DF0AD" w:rsidR="00F45D9C" w:rsidRPr="00F45D9C" w:rsidRDefault="00F45D9C" w:rsidP="2CDD2216">
      <w:pPr>
        <w:suppressAutoHyphens/>
        <w:rPr>
          <w:rFonts w:asciiTheme="minorHAnsi" w:hAnsiTheme="minorHAnsi" w:cstheme="minorBidi"/>
          <w:i/>
          <w:iCs/>
          <w:color w:val="0070C0"/>
        </w:rPr>
      </w:pPr>
      <w:r w:rsidRPr="2CDD2216">
        <w:rPr>
          <w:rFonts w:asciiTheme="minorHAnsi" w:hAnsiTheme="minorHAnsi" w:cstheme="minorBidi"/>
          <w:color w:val="0070C0"/>
          <w:spacing w:val="-2"/>
        </w:rPr>
        <w:t xml:space="preserve">Country: </w:t>
      </w:r>
      <w:r w:rsidRPr="2CDD2216">
        <w:rPr>
          <w:rFonts w:asciiTheme="minorHAnsi" w:hAnsiTheme="minorHAnsi" w:cstheme="minorBidi"/>
          <w:i/>
          <w:iCs/>
          <w:color w:val="0070C0"/>
        </w:rPr>
        <w:t xml:space="preserve"> </w:t>
      </w:r>
      <w:r w:rsidR="00861892">
        <w:rPr>
          <w:rFonts w:asciiTheme="minorHAnsi" w:hAnsiTheme="minorHAnsi" w:cstheme="minorBidi"/>
          <w:i/>
          <w:iCs/>
          <w:color w:val="0070C0"/>
        </w:rPr>
        <w:t>Mexico</w:t>
      </w:r>
    </w:p>
    <w:p w14:paraId="3BE9C14F" w14:textId="60B9FED7"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650F80">
        <w:rPr>
          <w:rFonts w:asciiTheme="minorHAnsi" w:hAnsiTheme="minorHAnsi" w:cstheme="minorBidi"/>
          <w:i/>
          <w:iCs/>
          <w:color w:val="0070C0"/>
        </w:rPr>
        <w:t xml:space="preserve"> S</w:t>
      </w:r>
      <w:r w:rsidR="00114489">
        <w:rPr>
          <w:rFonts w:asciiTheme="minorHAnsi" w:hAnsiTheme="minorHAnsi" w:cstheme="minorBidi"/>
          <w:i/>
          <w:iCs/>
          <w:color w:val="0070C0"/>
        </w:rPr>
        <w:t>ocial Protection and Health</w:t>
      </w:r>
    </w:p>
    <w:p w14:paraId="11A9D93B" w14:textId="7C247B0A"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 xml:space="preserve">Funding – TC #: </w:t>
      </w:r>
      <w:r w:rsidR="00650F80">
        <w:rPr>
          <w:rFonts w:asciiTheme="minorHAnsi" w:hAnsiTheme="minorHAnsi" w:cstheme="minorBidi"/>
          <w:i/>
          <w:iCs/>
          <w:color w:val="0070C0"/>
        </w:rPr>
        <w:t>RG-T3704</w:t>
      </w:r>
      <w:r w:rsidRPr="2CDD2216">
        <w:rPr>
          <w:rFonts w:asciiTheme="minorHAnsi" w:hAnsiTheme="minorHAnsi" w:cstheme="minorBidi"/>
          <w:i/>
          <w:iCs/>
          <w:color w:val="0070C0"/>
        </w:rPr>
        <w:t xml:space="preserve">                           </w:t>
      </w:r>
    </w:p>
    <w:p w14:paraId="3BFF64A1" w14:textId="05225F56" w:rsidR="00F45D9C" w:rsidRPr="00AE7268" w:rsidRDefault="2CDD2216" w:rsidP="00F45D9C">
      <w:pPr>
        <w:pStyle w:val="BodyText"/>
      </w:pPr>
      <w:r w:rsidRPr="2CDD2216">
        <w:rPr>
          <w:rFonts w:asciiTheme="minorHAnsi" w:eastAsiaTheme="minorEastAsia" w:hAnsiTheme="minorHAnsi" w:cstheme="minorBidi"/>
          <w:i/>
          <w:iCs/>
          <w:color w:val="0070C0"/>
        </w:rPr>
        <w:t>Project #:</w:t>
      </w:r>
      <w:r w:rsidR="00650F80">
        <w:rPr>
          <w:rFonts w:asciiTheme="minorHAnsi" w:eastAsiaTheme="minorEastAsia" w:hAnsiTheme="minorHAnsi" w:cstheme="minorBidi"/>
          <w:i/>
          <w:iCs/>
          <w:color w:val="0070C0"/>
        </w:rPr>
        <w:t xml:space="preserve"> </w:t>
      </w:r>
      <w:r w:rsidR="00114489">
        <w:rPr>
          <w:rFonts w:asciiTheme="minorHAnsi" w:eastAsiaTheme="minorEastAsia" w:hAnsiTheme="minorHAnsi" w:cstheme="minorBidi"/>
          <w:i/>
          <w:iCs/>
          <w:color w:val="0070C0"/>
        </w:rPr>
        <w:t>ATN/KP</w:t>
      </w:r>
      <w:r w:rsidR="008F2366">
        <w:rPr>
          <w:rFonts w:asciiTheme="minorHAnsi" w:eastAsiaTheme="minorEastAsia" w:hAnsiTheme="minorHAnsi" w:cstheme="minorBidi"/>
          <w:i/>
          <w:iCs/>
          <w:color w:val="0070C0"/>
        </w:rPr>
        <w:t>-18135-RG</w:t>
      </w:r>
    </w:p>
    <w:p w14:paraId="4FC4572B" w14:textId="4BD08D0B" w:rsidR="00F45D9C" w:rsidRPr="005359B2" w:rsidRDefault="672BA234" w:rsidP="005359B2">
      <w:pPr>
        <w:pStyle w:val="BodyText"/>
        <w:tabs>
          <w:tab w:val="left" w:pos="6645"/>
        </w:tabs>
        <w:jc w:val="both"/>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TC name:</w:t>
      </w:r>
      <w:r w:rsidR="009B7014">
        <w:rPr>
          <w:rFonts w:asciiTheme="minorHAnsi" w:eastAsiaTheme="minorEastAsia" w:hAnsiTheme="minorHAnsi" w:cstheme="minorBidi"/>
          <w:i/>
          <w:iCs/>
          <w:color w:val="0070C0"/>
        </w:rPr>
        <w:t xml:space="preserve"> </w:t>
      </w:r>
      <w:r w:rsidR="009B7014" w:rsidRPr="005359B2">
        <w:rPr>
          <w:rFonts w:asciiTheme="minorHAnsi" w:eastAsiaTheme="minorEastAsia" w:hAnsiTheme="minorHAnsi" w:cstheme="minorBidi"/>
          <w:i/>
          <w:iCs/>
          <w:color w:val="0070C0"/>
        </w:rPr>
        <w:t>Innovative COVID-19 Response Using ICT Tools: Knowledge sharing between LAC and Korea in Public Health Emergency Preparedness</w:t>
      </w:r>
      <w:r w:rsidR="00170248">
        <w:rPr>
          <w:rFonts w:asciiTheme="minorHAnsi" w:eastAsiaTheme="minorEastAsia" w:hAnsiTheme="minorHAnsi" w:cstheme="minorBidi"/>
          <w:i/>
          <w:iCs/>
          <w:color w:val="0070C0"/>
        </w:rPr>
        <w:tab/>
      </w:r>
    </w:p>
    <w:p w14:paraId="3A50EEED" w14:textId="6855E635" w:rsidR="00F45D9C" w:rsidRPr="00AE7268" w:rsidRDefault="4738AB8D" w:rsidP="005359B2">
      <w:pPr>
        <w:pStyle w:val="BodyText"/>
        <w:jc w:val="both"/>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Description of Services:  </w:t>
      </w:r>
      <w:r w:rsidR="00442879">
        <w:rPr>
          <w:rFonts w:asciiTheme="minorHAnsi" w:eastAsiaTheme="minorEastAsia" w:hAnsiTheme="minorHAnsi" w:cstheme="minorBidi"/>
          <w:i/>
          <w:iCs/>
          <w:color w:val="0070C0"/>
        </w:rPr>
        <w:t xml:space="preserve">This consultancy is to provide support </w:t>
      </w:r>
      <w:r w:rsidR="005738CE">
        <w:rPr>
          <w:rFonts w:asciiTheme="minorHAnsi" w:eastAsiaTheme="minorEastAsia" w:hAnsiTheme="minorHAnsi" w:cstheme="minorBidi"/>
          <w:i/>
          <w:iCs/>
          <w:color w:val="0070C0"/>
        </w:rPr>
        <w:t xml:space="preserve">against </w:t>
      </w:r>
      <w:r w:rsidR="00442879" w:rsidRPr="00442879">
        <w:rPr>
          <w:rFonts w:asciiTheme="minorHAnsi" w:eastAsiaTheme="minorEastAsia" w:hAnsiTheme="minorHAnsi" w:cstheme="minorBidi"/>
          <w:i/>
          <w:iCs/>
          <w:color w:val="0070C0"/>
        </w:rPr>
        <w:t>COVID 19</w:t>
      </w:r>
      <w:r w:rsidR="005738CE">
        <w:rPr>
          <w:rFonts w:asciiTheme="minorHAnsi" w:eastAsiaTheme="minorEastAsia" w:hAnsiTheme="minorHAnsi" w:cstheme="minorBidi"/>
          <w:i/>
          <w:iCs/>
          <w:color w:val="0070C0"/>
        </w:rPr>
        <w:t xml:space="preserve"> through analyzing </w:t>
      </w:r>
      <w:r w:rsidR="00442879" w:rsidRPr="00442879">
        <w:rPr>
          <w:rFonts w:asciiTheme="minorHAnsi" w:eastAsiaTheme="minorEastAsia" w:hAnsiTheme="minorHAnsi" w:cstheme="minorBidi"/>
          <w:i/>
          <w:iCs/>
          <w:color w:val="0070C0"/>
        </w:rPr>
        <w:t xml:space="preserve">the capacity of public health emergency response systems in </w:t>
      </w:r>
      <w:r w:rsidR="005738CE">
        <w:rPr>
          <w:rFonts w:asciiTheme="minorHAnsi" w:eastAsiaTheme="minorEastAsia" w:hAnsiTheme="minorHAnsi" w:cstheme="minorBidi"/>
          <w:i/>
          <w:iCs/>
          <w:color w:val="0070C0"/>
        </w:rPr>
        <w:t>Mexico</w:t>
      </w:r>
      <w:r w:rsidR="00442879" w:rsidRPr="00442879">
        <w:rPr>
          <w:rFonts w:asciiTheme="minorHAnsi" w:eastAsiaTheme="minorEastAsia" w:hAnsiTheme="minorHAnsi" w:cstheme="minorBidi"/>
          <w:i/>
          <w:iCs/>
          <w:color w:val="0070C0"/>
        </w:rPr>
        <w:t xml:space="preserve"> in the context of detection, prevention, response and recovery and develop tools to monitor progress made in this area. Through this consultancy, the firm will also share its experience in strengthening public health emergency response system in Korea for the countries in the LAC region will be able to strengthen their system.</w:t>
      </w:r>
    </w:p>
    <w:p w14:paraId="4DEADFED" w14:textId="77777777" w:rsidR="00F45D9C" w:rsidRDefault="00F45D9C" w:rsidP="00761087">
      <w:pPr>
        <w:pStyle w:val="BodyText"/>
        <w:jc w:val="both"/>
        <w:rPr>
          <w:rFonts w:asciiTheme="minorHAnsi" w:hAnsiTheme="minorHAnsi" w:cstheme="minorHAnsi"/>
          <w:i/>
          <w:color w:val="0070C0"/>
          <w:szCs w:val="24"/>
        </w:rPr>
      </w:pPr>
    </w:p>
    <w:p w14:paraId="32A5BB8A" w14:textId="5D47C840" w:rsidR="00660E90" w:rsidRDefault="4738AB8D" w:rsidP="00660E90">
      <w:pPr>
        <w:widowControl/>
        <w:autoSpaceDE/>
        <w:autoSpaceDN/>
        <w:adjustRightInd/>
        <w:rPr>
          <w:rFonts w:ascii="Segoe UI" w:hAnsi="Segoe UI" w:cs="Segoe UI"/>
          <w:sz w:val="21"/>
          <w:szCs w:val="21"/>
        </w:rPr>
      </w:pPr>
      <w:r w:rsidRPr="4738AB8D">
        <w:rPr>
          <w:rFonts w:asciiTheme="minorHAnsi" w:hAnsiTheme="minorHAnsi" w:cstheme="minorBidi"/>
          <w:i/>
          <w:iCs/>
          <w:color w:val="0070C0"/>
        </w:rPr>
        <w:t>Link to TC document:</w:t>
      </w:r>
      <w:r w:rsidR="00660E90" w:rsidRPr="00660E90">
        <w:rPr>
          <w:rFonts w:ascii="Segoe UI" w:hAnsi="Segoe UI" w:cs="Segoe UI"/>
          <w:sz w:val="21"/>
          <w:szCs w:val="21"/>
        </w:rPr>
        <w:t xml:space="preserve"> </w:t>
      </w:r>
      <w:hyperlink r:id="rId13" w:history="1">
        <w:r w:rsidR="00660E90" w:rsidRPr="00F872CC">
          <w:rPr>
            <w:rStyle w:val="Hyperlink"/>
            <w:rFonts w:ascii="Segoe UI" w:hAnsi="Segoe UI" w:cs="Segoe UI"/>
            <w:sz w:val="21"/>
            <w:szCs w:val="21"/>
          </w:rPr>
          <w:t>https://www.iadb.org/en/project/RG-T3704</w:t>
        </w:r>
      </w:hyperlink>
      <w:r w:rsidR="00660E90">
        <w:rPr>
          <w:rFonts w:ascii="Segoe UI" w:hAnsi="Segoe UI" w:cs="Segoe UI"/>
          <w:sz w:val="21"/>
          <w:szCs w:val="21"/>
        </w:rPr>
        <w:t xml:space="preserve"> </w:t>
      </w:r>
    </w:p>
    <w:p w14:paraId="1DBF52D2" w14:textId="77777777" w:rsidR="00F45D9C" w:rsidRDefault="00F45D9C" w:rsidP="00F45D9C">
      <w:pPr>
        <w:pStyle w:val="BodyText"/>
        <w:rPr>
          <w:rFonts w:asciiTheme="minorHAnsi" w:hAnsiTheme="minorHAnsi" w:cstheme="minorHAnsi"/>
          <w:i/>
          <w:color w:val="0070C0"/>
          <w:szCs w:val="24"/>
        </w:rPr>
      </w:pPr>
    </w:p>
    <w:p w14:paraId="4FD8FFBB" w14:textId="77777777" w:rsidR="002E7B51" w:rsidRPr="00AE7268" w:rsidRDefault="00F45D9C" w:rsidP="002E7B51">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above mentioned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011B5D53" w:rsidR="002E7B51" w:rsidRDefault="002E7B51" w:rsidP="002E7B51">
      <w:pPr>
        <w:spacing w:line="320" w:lineRule="atLeast"/>
        <w:jc w:val="both"/>
        <w:rPr>
          <w:rFonts w:asciiTheme="minorHAnsi" w:hAnsiTheme="minorHAnsi" w:cstheme="minorBidi"/>
          <w:color w:val="auto"/>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w:t>
      </w:r>
      <w:r w:rsidR="00B46794">
        <w:rPr>
          <w:rFonts w:asciiTheme="minorHAnsi" w:hAnsiTheme="minorHAnsi" w:cstheme="minorBidi"/>
          <w:color w:val="auto"/>
        </w:rPr>
        <w:t xml:space="preserve">            </w:t>
      </w:r>
      <w:r w:rsidRPr="6D59273E">
        <w:rPr>
          <w:rFonts w:asciiTheme="minorHAnsi" w:hAnsiTheme="minorHAnsi" w:cstheme="minorBidi"/>
          <w:color w:val="auto"/>
        </w:rPr>
        <w:t xml:space="preserve"> (</w:t>
      </w:r>
      <w:hyperlink r:id="rId14"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by</w:t>
      </w:r>
      <w:r>
        <w:rPr>
          <w:rFonts w:asciiTheme="minorHAnsi" w:hAnsiTheme="minorHAnsi" w:cstheme="minorBidi"/>
          <w:color w:val="auto"/>
        </w:rPr>
        <w:t xml:space="preserve">: </w:t>
      </w:r>
      <w:r w:rsidR="00481B47">
        <w:rPr>
          <w:rFonts w:asciiTheme="minorHAnsi" w:hAnsiTheme="minorHAnsi" w:cstheme="minorBidi"/>
          <w:i/>
          <w:iCs/>
          <w:color w:val="0070C0"/>
          <w:spacing w:val="-2"/>
        </w:rPr>
        <w:t xml:space="preserve">December </w:t>
      </w:r>
      <w:r w:rsidR="00C224A3">
        <w:rPr>
          <w:rFonts w:asciiTheme="minorHAnsi" w:hAnsiTheme="minorHAnsi" w:cstheme="minorBidi"/>
          <w:i/>
          <w:iCs/>
          <w:color w:val="0070C0"/>
          <w:spacing w:val="-2"/>
        </w:rPr>
        <w:t>1</w:t>
      </w:r>
      <w:r w:rsidR="001D68E0">
        <w:rPr>
          <w:rFonts w:asciiTheme="minorHAnsi" w:hAnsiTheme="minorHAnsi" w:cstheme="minorBidi"/>
          <w:i/>
          <w:iCs/>
          <w:color w:val="0070C0"/>
          <w:spacing w:val="-2"/>
        </w:rPr>
        <w:t>5</w:t>
      </w:r>
      <w:r w:rsidR="00481B47">
        <w:rPr>
          <w:rFonts w:asciiTheme="minorHAnsi" w:hAnsiTheme="minorHAnsi" w:cstheme="minorBidi"/>
          <w:i/>
          <w:iCs/>
          <w:color w:val="0070C0"/>
          <w:spacing w:val="-2"/>
        </w:rPr>
        <w:t xml:space="preserve"> 2020</w:t>
      </w:r>
      <w:r>
        <w:rPr>
          <w:rFonts w:asciiTheme="minorHAnsi" w:hAnsiTheme="minorHAnsi" w:cstheme="minorBidi"/>
          <w:color w:val="auto"/>
        </w:rPr>
        <w:t xml:space="preserve">, </w:t>
      </w:r>
      <w:r w:rsidRPr="6D59273E">
        <w:rPr>
          <w:rFonts w:asciiTheme="minorHAnsi" w:hAnsiTheme="minorHAnsi" w:cstheme="minorBidi"/>
          <w:color w:val="auto"/>
        </w:rPr>
        <w:t>5</w:t>
      </w:r>
      <w:r>
        <w:rPr>
          <w:rFonts w:asciiTheme="minorHAnsi" w:hAnsiTheme="minorHAnsi" w:cstheme="minorBidi"/>
          <w:color w:val="auto"/>
        </w:rPr>
        <w:t xml:space="preserve">:00 </w:t>
      </w:r>
      <w:r w:rsidR="003C6547">
        <w:rPr>
          <w:rFonts w:asciiTheme="minorHAnsi" w:hAnsiTheme="minorHAnsi" w:cstheme="minorBidi"/>
          <w:color w:val="auto"/>
        </w:rPr>
        <w:t>P.M.</w:t>
      </w:r>
      <w:r w:rsidRPr="6D59273E">
        <w:rPr>
          <w:rFonts w:asciiTheme="minorHAnsi" w:hAnsiTheme="minorHAnsi" w:cstheme="minorBidi"/>
          <w:color w:val="auto"/>
        </w:rPr>
        <w:t xml:space="preserve"> (Washington D.C. Time)</w:t>
      </w:r>
      <w:r>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5C9CD365" w14:textId="5C2EF332" w:rsidR="00F45D9C" w:rsidRPr="00BF3A3D" w:rsidRDefault="00F45D9C" w:rsidP="00827F59">
      <w:pPr>
        <w:suppressAutoHyphens/>
        <w:jc w:val="both"/>
        <w:rPr>
          <w:rFonts w:asciiTheme="minorHAnsi" w:hAnsiTheme="minorHAnsi" w:cstheme="minorBidi"/>
          <w:i/>
          <w:iCs/>
          <w:color w:val="0070C0"/>
          <w:spacing w:val="-2"/>
        </w:rPr>
      </w:pPr>
      <w:r w:rsidRPr="2CDD2216">
        <w:rPr>
          <w:rFonts w:asciiTheme="minorHAnsi" w:hAnsiTheme="minorHAnsi" w:cstheme="minorBidi"/>
          <w:spacing w:val="-2"/>
        </w:rPr>
        <w:t>The consulting services (“the Services”) include</w:t>
      </w:r>
      <w:r w:rsidR="00827F59" w:rsidRPr="00827F59">
        <w:rPr>
          <w:rFonts w:asciiTheme="minorHAnsi" w:hAnsiTheme="minorHAnsi" w:cstheme="minorBidi"/>
          <w:i/>
          <w:iCs/>
          <w:color w:val="0070C0"/>
          <w:spacing w:val="-2"/>
        </w:rPr>
        <w:t xml:space="preserve"> </w:t>
      </w:r>
      <w:r w:rsidR="00BF3A3D">
        <w:rPr>
          <w:rFonts w:asciiTheme="minorHAnsi" w:hAnsiTheme="minorHAnsi" w:cstheme="minorBidi"/>
          <w:i/>
          <w:iCs/>
          <w:color w:val="0070C0"/>
          <w:spacing w:val="-2"/>
        </w:rPr>
        <w:t>conducting a s</w:t>
      </w:r>
      <w:r w:rsidR="00827F59" w:rsidRPr="00827F59">
        <w:rPr>
          <w:rFonts w:asciiTheme="minorHAnsi" w:hAnsiTheme="minorHAnsi" w:cstheme="minorBidi"/>
          <w:i/>
          <w:iCs/>
          <w:color w:val="0070C0"/>
          <w:spacing w:val="-2"/>
        </w:rPr>
        <w:t>eries of online knowledge sharing programs on Korea’s public health emergency response system and recommendations for LAC region including workplace health management in times of pandemics</w:t>
      </w:r>
      <w:r w:rsidR="00BF3A3D">
        <w:rPr>
          <w:rFonts w:asciiTheme="minorHAnsi" w:hAnsiTheme="minorHAnsi" w:cstheme="minorBidi"/>
          <w:i/>
          <w:iCs/>
          <w:color w:val="0070C0"/>
          <w:spacing w:val="-2"/>
        </w:rPr>
        <w:t>, and providing a</w:t>
      </w:r>
      <w:r w:rsidR="00827F59" w:rsidRPr="00827F59">
        <w:rPr>
          <w:rFonts w:asciiTheme="minorHAnsi" w:hAnsiTheme="minorHAnsi" w:cstheme="minorBidi"/>
          <w:i/>
          <w:iCs/>
          <w:color w:val="0070C0"/>
          <w:spacing w:val="-2"/>
        </w:rPr>
        <w:t xml:space="preserve"> policy recommendation paper on measures to strengthen the public health emergency response system in </w:t>
      </w:r>
      <w:r w:rsidR="00F33ECB">
        <w:rPr>
          <w:rFonts w:asciiTheme="minorHAnsi" w:hAnsiTheme="minorHAnsi" w:cstheme="minorBidi"/>
          <w:i/>
          <w:iCs/>
          <w:color w:val="0070C0"/>
          <w:spacing w:val="-2"/>
        </w:rPr>
        <w:t>Mexico</w:t>
      </w:r>
      <w:r w:rsidR="00827F59" w:rsidRPr="00827F59">
        <w:rPr>
          <w:rFonts w:asciiTheme="minorHAnsi" w:hAnsiTheme="minorHAnsi" w:cstheme="minorBidi"/>
          <w:i/>
          <w:iCs/>
          <w:color w:val="0070C0"/>
          <w:spacing w:val="-2"/>
        </w:rPr>
        <w:t xml:space="preserve"> including workplace safety measures during a pandemic and during the return to normality</w:t>
      </w:r>
      <w:r w:rsidR="0044356A">
        <w:rPr>
          <w:rFonts w:asciiTheme="minorHAnsi" w:hAnsiTheme="minorHAnsi" w:cstheme="minorBidi"/>
          <w:i/>
          <w:iCs/>
          <w:color w:val="0070C0"/>
          <w:spacing w:val="-2"/>
        </w:rPr>
        <w:t>.</w:t>
      </w:r>
    </w:p>
    <w:p w14:paraId="0766B3CB" w14:textId="77777777" w:rsidR="00F45D9C" w:rsidRPr="00AE7268" w:rsidRDefault="00F45D9C" w:rsidP="00F45D9C">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14:paraId="0A0C2E05" w14:textId="508C1FD4"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5">
        <w:r w:rsidRPr="2CDD2216">
          <w:rPr>
            <w:rStyle w:val="Hyperlink"/>
            <w:rFonts w:asciiTheme="minorHAnsi" w:hAnsiTheme="minorHAnsi" w:cstheme="minorBidi"/>
            <w:i/>
            <w:iCs/>
          </w:rPr>
          <w:t>Policy for the Selection and Contracting of Consulting firms for Bank-executed Operational Work</w:t>
        </w:r>
      </w:hyperlink>
      <w:r w:rsidR="003C4BA8">
        <w:rPr>
          <w:rFonts w:asciiTheme="minorHAnsi" w:hAnsiTheme="minorHAnsi" w:cstheme="minorBidi"/>
          <w:color w:val="auto"/>
        </w:rPr>
        <w:t xml:space="preserve"> - GN-2765-1. </w:t>
      </w:r>
      <w:r w:rsidRPr="2CDD2216">
        <w:rPr>
          <w:rFonts w:asciiTheme="minorHAnsi" w:hAnsiTheme="minorHAnsi" w:cstheme="minorBidi"/>
          <w:color w:val="auto"/>
        </w:rPr>
        <w:t xml:space="preserve">All eligible consulting firms, as defined in the Policy may express an interest. </w:t>
      </w:r>
      <w:r w:rsidR="003C4BA8" w:rsidRPr="003C4BA8">
        <w:rPr>
          <w:rFonts w:asciiTheme="minorHAnsi" w:hAnsiTheme="minorHAnsi" w:cstheme="minorBidi"/>
          <w:color w:val="auto"/>
        </w:rPr>
        <w:t xml:space="preserve">If the Consulting Firm is presented in a Consortium, it will designate one of them as a representative, and the latter will be responsible for the communications, the registration in the portal and </w:t>
      </w:r>
      <w:r w:rsidR="003C4BA8">
        <w:rPr>
          <w:rFonts w:asciiTheme="minorHAnsi" w:hAnsiTheme="minorHAnsi" w:cstheme="minorBidi"/>
          <w:color w:val="auto"/>
        </w:rPr>
        <w:t xml:space="preserve">for submitting </w:t>
      </w:r>
      <w:r w:rsidR="003C4BA8" w:rsidRPr="003C4BA8">
        <w:rPr>
          <w:rFonts w:asciiTheme="minorHAnsi" w:hAnsiTheme="minorHAnsi" w:cstheme="minorBidi"/>
          <w:color w:val="auto"/>
        </w:rPr>
        <w:t>the corresponding documen</w:t>
      </w:r>
      <w:r w:rsidR="003C4BA8">
        <w:rPr>
          <w:rFonts w:asciiTheme="minorHAnsi" w:hAnsiTheme="minorHAnsi" w:cstheme="minorBidi"/>
          <w:color w:val="auto"/>
        </w:rPr>
        <w:t>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77777777"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r w:rsidR="002C3359" w:rsidRPr="002E7B51">
        <w:rPr>
          <w:rStyle w:val="normaltextrun"/>
          <w:rFonts w:ascii="Calibri" w:hAnsi="Calibri"/>
          <w:u w:val="single"/>
          <w:shd w:val="clear" w:color="auto" w:fill="FFFFFF"/>
        </w:rPr>
        <w:t>draft summary</w:t>
      </w:r>
      <w:r w:rsidR="002C3359" w:rsidRPr="002E7B51">
        <w:rPr>
          <w:rStyle w:val="apple-converted-space"/>
          <w:rFonts w:ascii="Calibri" w:hAnsi="Calibri"/>
          <w:shd w:val="clear" w:color="auto" w:fill="FFFFFF"/>
        </w:rPr>
        <w:t> </w:t>
      </w:r>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73F6620B" w14:textId="77777777" w:rsidR="002E7B51" w:rsidRPr="005D749D" w:rsidRDefault="002E7B51" w:rsidP="2CDD2216">
      <w:pPr>
        <w:suppressAutoHyphens/>
        <w:jc w:val="both"/>
        <w:rPr>
          <w:rFonts w:asciiTheme="minorHAnsi" w:hAnsiTheme="minorHAnsi" w:cstheme="minorBidi"/>
          <w:i/>
          <w:iCs/>
          <w:color w:val="4F81BD" w:themeColor="accent1"/>
        </w:rPr>
      </w:pPr>
    </w:p>
    <w:p w14:paraId="4E1C23E0" w14:textId="7DF86A23" w:rsidR="002E7B51" w:rsidRPr="0078460F" w:rsidRDefault="002E7B51" w:rsidP="002E7B51">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to: </w:t>
      </w:r>
      <w:r w:rsidR="00C734E3">
        <w:rPr>
          <w:rFonts w:asciiTheme="minorHAnsi" w:hAnsiTheme="minorHAnsi" w:cstheme="minorBidi"/>
          <w:i/>
          <w:iCs/>
          <w:color w:val="0070C0"/>
        </w:rPr>
        <w:t xml:space="preserve">Luis Tejerina, </w:t>
      </w:r>
      <w:hyperlink r:id="rId16" w:history="1">
        <w:r w:rsidR="00C734E3" w:rsidRPr="00C43C97">
          <w:rPr>
            <w:rStyle w:val="Hyperlink"/>
            <w:rFonts w:asciiTheme="minorHAnsi" w:hAnsiTheme="minorHAnsi" w:cstheme="minorBidi"/>
            <w:i/>
            <w:iCs/>
          </w:rPr>
          <w:t>luist@iadb.org</w:t>
        </w:r>
      </w:hyperlink>
      <w:r w:rsidR="00C734E3">
        <w:rPr>
          <w:rFonts w:asciiTheme="minorHAnsi" w:hAnsiTheme="minorHAnsi" w:cstheme="minorBidi"/>
          <w:i/>
          <w:iCs/>
          <w:color w:val="0070C0"/>
        </w:rPr>
        <w:t xml:space="preserve"> </w:t>
      </w:r>
    </w:p>
    <w:p w14:paraId="28992729" w14:textId="77777777" w:rsidR="00F45D9C" w:rsidRPr="005D749D" w:rsidRDefault="00F45D9C" w:rsidP="00F45D9C">
      <w:pPr>
        <w:suppressAutoHyphens/>
        <w:jc w:val="both"/>
        <w:rPr>
          <w:rFonts w:asciiTheme="minorHAnsi" w:hAnsiTheme="minorHAnsi" w:cstheme="minorHAnsi"/>
          <w:i/>
          <w:iCs/>
          <w:color w:val="4F81BD" w:themeColor="accent1"/>
          <w:spacing w:val="-2"/>
        </w:rPr>
      </w:pPr>
    </w:p>
    <w:p w14:paraId="1680211F" w14:textId="77777777" w:rsidR="00F45D9C" w:rsidRPr="00AE7268" w:rsidRDefault="00F45D9C" w:rsidP="00F45D9C">
      <w:pPr>
        <w:spacing w:line="320" w:lineRule="atLeast"/>
        <w:jc w:val="both"/>
        <w:rPr>
          <w:rFonts w:asciiTheme="minorHAnsi" w:hAnsiTheme="minorHAnsi" w:cs="Times New Roman"/>
          <w:color w:val="auto"/>
        </w:rPr>
      </w:pPr>
    </w:p>
    <w:p w14:paraId="4C8351D7"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14:paraId="64E78C0E" w14:textId="4AD80A9A" w:rsidR="00F45D9C" w:rsidRPr="00AE7268" w:rsidRDefault="00F45D9C" w:rsidP="2CDD2216">
      <w:pPr>
        <w:spacing w:line="320" w:lineRule="atLeast"/>
        <w:jc w:val="both"/>
        <w:rPr>
          <w:rFonts w:asciiTheme="minorHAnsi" w:hAnsiTheme="minorHAnsi" w:cstheme="minorBidi"/>
          <w:i/>
          <w:iCs/>
          <w:color w:val="0070C0"/>
        </w:rPr>
      </w:pPr>
      <w:r w:rsidRPr="2CDD2216">
        <w:rPr>
          <w:rFonts w:asciiTheme="minorHAnsi" w:hAnsiTheme="minorHAnsi" w:cstheme="minorBidi"/>
          <w:color w:val="auto"/>
        </w:rPr>
        <w:t xml:space="preserve">Division: </w:t>
      </w:r>
      <w:r w:rsidR="00C734E3">
        <w:rPr>
          <w:rFonts w:asciiTheme="minorHAnsi" w:hAnsiTheme="minorHAnsi" w:cstheme="minorBidi"/>
          <w:i/>
          <w:iCs/>
          <w:color w:val="0070C0"/>
          <w:spacing w:val="-2"/>
        </w:rPr>
        <w:t>SCL/S</w:t>
      </w:r>
      <w:r w:rsidR="00AD4E78">
        <w:rPr>
          <w:rFonts w:asciiTheme="minorHAnsi" w:hAnsiTheme="minorHAnsi" w:cstheme="minorBidi"/>
          <w:i/>
          <w:iCs/>
          <w:color w:val="0070C0"/>
          <w:spacing w:val="-2"/>
        </w:rPr>
        <w:t>CL</w:t>
      </w:r>
    </w:p>
    <w:p w14:paraId="21F4E4F5" w14:textId="5669CB5F" w:rsidR="00F45D9C" w:rsidRPr="00AE7268" w:rsidRDefault="00F45D9C"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Attn:</w:t>
      </w:r>
      <w:r w:rsidRPr="2CDD2216">
        <w:rPr>
          <w:rFonts w:asciiTheme="minorHAnsi" w:hAnsiTheme="minorHAnsi" w:cstheme="minorBidi"/>
          <w:i/>
          <w:iCs/>
          <w:color w:val="0070C0"/>
          <w:spacing w:val="-2"/>
        </w:rPr>
        <w:t xml:space="preserve"> </w:t>
      </w:r>
      <w:r w:rsidR="00C734E3">
        <w:rPr>
          <w:rFonts w:asciiTheme="minorHAnsi" w:hAnsiTheme="minorHAnsi" w:cstheme="minorBidi"/>
          <w:i/>
          <w:iCs/>
          <w:color w:val="0070C0"/>
          <w:spacing w:val="-2"/>
        </w:rPr>
        <w:t>Luis Tejerina</w:t>
      </w:r>
    </w:p>
    <w:p w14:paraId="4B0045BF" w14:textId="77777777" w:rsidR="00F45D9C" w:rsidRPr="00AE7268" w:rsidRDefault="00F45D9C" w:rsidP="00F45D9C">
      <w:pPr>
        <w:spacing w:line="320" w:lineRule="atLeast"/>
        <w:jc w:val="both"/>
        <w:rPr>
          <w:rFonts w:asciiTheme="minorHAnsi" w:hAnsiTheme="minorHAnsi" w:cs="Times New Roman"/>
          <w:color w:val="auto"/>
        </w:rPr>
      </w:pPr>
    </w:p>
    <w:p w14:paraId="648099CF"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1300 New York Ave, NW, Washington DC 20577, USA</w:t>
      </w:r>
    </w:p>
    <w:p w14:paraId="349989D8" w14:textId="30DDA8DF" w:rsidR="00F45D9C" w:rsidRPr="00C52D85" w:rsidRDefault="00F45D9C" w:rsidP="2CDD2216">
      <w:pPr>
        <w:suppressAutoHyphens/>
        <w:rPr>
          <w:rFonts w:asciiTheme="minorHAnsi" w:hAnsiTheme="minorHAnsi" w:cstheme="minorBidi"/>
          <w:i/>
          <w:iCs/>
          <w:color w:val="0070C0"/>
          <w:lang w:val="pt-BR"/>
        </w:rPr>
      </w:pPr>
      <w:r w:rsidRPr="00C52D85">
        <w:rPr>
          <w:rFonts w:asciiTheme="minorHAnsi" w:hAnsiTheme="minorHAnsi" w:cstheme="minorBidi"/>
          <w:spacing w:val="-2"/>
          <w:lang w:val="pt-BR"/>
        </w:rPr>
        <w:t xml:space="preserve">Tel: </w:t>
      </w:r>
      <w:r w:rsidR="00896803" w:rsidRPr="00C52D85">
        <w:rPr>
          <w:rFonts w:asciiTheme="minorHAnsi" w:hAnsiTheme="minorHAnsi" w:cstheme="minorBidi"/>
          <w:spacing w:val="-2"/>
          <w:lang w:val="pt-BR"/>
        </w:rPr>
        <w:t>+</w:t>
      </w:r>
      <w:r w:rsidR="00896803" w:rsidRPr="00C52D85">
        <w:rPr>
          <w:rFonts w:asciiTheme="minorHAnsi" w:hAnsiTheme="minorHAnsi" w:cstheme="minorBidi"/>
          <w:color w:val="auto"/>
          <w:lang w:val="pt-BR"/>
        </w:rPr>
        <w:t>1 (240) 651-9101</w:t>
      </w:r>
    </w:p>
    <w:p w14:paraId="0C7C68E9" w14:textId="78B2DAF2" w:rsidR="00F45D9C" w:rsidRPr="00C52D85" w:rsidRDefault="00F45D9C" w:rsidP="2CDD2216">
      <w:pPr>
        <w:suppressAutoHyphens/>
        <w:jc w:val="both"/>
        <w:rPr>
          <w:rFonts w:asciiTheme="minorHAnsi" w:hAnsiTheme="minorHAnsi" w:cstheme="minorBidi"/>
          <w:color w:val="0070C0"/>
          <w:lang w:val="pt-BR"/>
        </w:rPr>
      </w:pPr>
      <w:r w:rsidRPr="00C52D85">
        <w:rPr>
          <w:rFonts w:asciiTheme="minorHAnsi" w:hAnsiTheme="minorHAnsi" w:cstheme="minorBidi"/>
          <w:spacing w:val="-2"/>
          <w:lang w:val="pt-BR"/>
        </w:rPr>
        <w:t xml:space="preserve">E-mail: </w:t>
      </w:r>
      <w:r w:rsidR="00896803" w:rsidRPr="00C52D85">
        <w:rPr>
          <w:rFonts w:asciiTheme="minorHAnsi" w:hAnsiTheme="minorHAnsi" w:cstheme="minorBidi"/>
          <w:i/>
          <w:iCs/>
          <w:color w:val="0070C0"/>
          <w:spacing w:val="-2"/>
          <w:lang w:val="pt-BR"/>
        </w:rPr>
        <w:t>luist@iadb.org</w:t>
      </w:r>
    </w:p>
    <w:p w14:paraId="1BD17ACE" w14:textId="77777777" w:rsidR="0017024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Web site: </w:t>
      </w:r>
      <w:hyperlink r:id="rId17">
        <w:r w:rsidRPr="2CDD2216">
          <w:rPr>
            <w:rStyle w:val="Hyperlink"/>
            <w:rFonts w:asciiTheme="minorHAnsi" w:hAnsiTheme="minorHAnsi" w:cstheme="minorBidi"/>
          </w:rPr>
          <w:t>www.iadb.org</w:t>
        </w:r>
      </w:hyperlink>
      <w:r w:rsidRPr="2CDD2216">
        <w:rPr>
          <w:rFonts w:asciiTheme="minorHAnsi" w:hAnsiTheme="minorHAnsi" w:cstheme="minorBidi"/>
          <w:color w:val="auto"/>
        </w:rPr>
        <w:t xml:space="preserve"> </w:t>
      </w:r>
    </w:p>
    <w:p w14:paraId="4E60ECBE" w14:textId="77777777" w:rsidR="00170248" w:rsidRPr="00170248" w:rsidRDefault="00170248" w:rsidP="00170248">
      <w:pPr>
        <w:rPr>
          <w:rFonts w:asciiTheme="minorHAnsi" w:hAnsiTheme="minorHAnsi" w:cs="Times New Roman"/>
        </w:rPr>
      </w:pPr>
    </w:p>
    <w:p w14:paraId="7767042F" w14:textId="77777777" w:rsidR="00170248" w:rsidRPr="00170248" w:rsidRDefault="00170248" w:rsidP="00170248">
      <w:pPr>
        <w:rPr>
          <w:rFonts w:asciiTheme="minorHAnsi" w:hAnsiTheme="minorHAnsi" w:cs="Times New Roman"/>
        </w:rPr>
      </w:pPr>
    </w:p>
    <w:p w14:paraId="1AD967EE" w14:textId="2174CB09" w:rsidR="00B5040E" w:rsidRDefault="00B5040E" w:rsidP="10E76954">
      <w:pPr>
        <w:tabs>
          <w:tab w:val="left" w:pos="4275"/>
        </w:tabs>
        <w:rPr>
          <w:rFonts w:asciiTheme="minorHAnsi" w:hAnsiTheme="minorHAnsi" w:cs="Times New Roman"/>
        </w:rPr>
      </w:pPr>
    </w:p>
    <w:p w14:paraId="189DED3E" w14:textId="7DA3163F" w:rsidR="00B5040E" w:rsidRDefault="00B5040E" w:rsidP="10E76954">
      <w:pPr>
        <w:tabs>
          <w:tab w:val="left" w:pos="4275"/>
        </w:tabs>
        <w:rPr>
          <w:rFonts w:asciiTheme="minorHAnsi" w:hAnsiTheme="minorHAnsi" w:cs="Times New Roman"/>
        </w:rPr>
      </w:pPr>
    </w:p>
    <w:p w14:paraId="74996DF6" w14:textId="3D1C78F8" w:rsidR="00B5040E" w:rsidRDefault="00B5040E" w:rsidP="10E76954">
      <w:pPr>
        <w:tabs>
          <w:tab w:val="left" w:pos="4275"/>
        </w:tabs>
        <w:rPr>
          <w:rFonts w:asciiTheme="minorHAnsi" w:hAnsiTheme="minorHAnsi" w:cs="Times New Roman"/>
        </w:rPr>
      </w:pPr>
    </w:p>
    <w:p w14:paraId="08598CA7" w14:textId="6E758BE0" w:rsidR="00B5040E" w:rsidRDefault="00B5040E" w:rsidP="10E76954">
      <w:pPr>
        <w:tabs>
          <w:tab w:val="left" w:pos="4275"/>
        </w:tabs>
        <w:rPr>
          <w:rFonts w:asciiTheme="minorHAnsi" w:hAnsiTheme="minorHAnsi" w:cs="Times New Roman"/>
        </w:rPr>
      </w:pPr>
    </w:p>
    <w:p w14:paraId="2E840CD5" w14:textId="1AED15FB" w:rsidR="00B5040E" w:rsidRDefault="00B5040E" w:rsidP="10E76954">
      <w:pPr>
        <w:tabs>
          <w:tab w:val="left" w:pos="4275"/>
        </w:tabs>
        <w:rPr>
          <w:rFonts w:asciiTheme="minorHAnsi" w:hAnsiTheme="minorHAnsi" w:cs="Times New Roman"/>
        </w:rPr>
      </w:pPr>
    </w:p>
    <w:p w14:paraId="1471066B" w14:textId="4F0FEE3E" w:rsidR="00B5040E" w:rsidRDefault="00B5040E" w:rsidP="10E76954">
      <w:pPr>
        <w:tabs>
          <w:tab w:val="left" w:pos="4275"/>
        </w:tabs>
        <w:rPr>
          <w:rFonts w:asciiTheme="minorHAnsi" w:hAnsiTheme="minorHAnsi" w:cs="Times New Roman"/>
        </w:rPr>
      </w:pPr>
    </w:p>
    <w:p w14:paraId="3133A348" w14:textId="751150D9" w:rsidR="00B5040E" w:rsidRDefault="00B5040E" w:rsidP="10E76954">
      <w:pPr>
        <w:tabs>
          <w:tab w:val="left" w:pos="4275"/>
        </w:tabs>
        <w:rPr>
          <w:rFonts w:asciiTheme="minorHAnsi" w:hAnsiTheme="minorHAnsi" w:cs="Times New Roman"/>
        </w:rPr>
      </w:pPr>
    </w:p>
    <w:p w14:paraId="34579B54" w14:textId="1FEEC128" w:rsidR="00B17842" w:rsidRDefault="00B17842" w:rsidP="10E76954">
      <w:pPr>
        <w:tabs>
          <w:tab w:val="left" w:pos="4275"/>
        </w:tabs>
        <w:rPr>
          <w:rFonts w:asciiTheme="minorHAnsi" w:hAnsiTheme="minorHAnsi" w:cs="Times New Roman"/>
        </w:rPr>
      </w:pPr>
    </w:p>
    <w:p w14:paraId="2574D4A1" w14:textId="0E0DE7B4" w:rsidR="00B17842" w:rsidRDefault="00B17842" w:rsidP="10E76954">
      <w:pPr>
        <w:tabs>
          <w:tab w:val="left" w:pos="4275"/>
        </w:tabs>
        <w:rPr>
          <w:rFonts w:asciiTheme="minorHAnsi" w:hAnsiTheme="minorHAnsi" w:cs="Times New Roman"/>
        </w:rPr>
      </w:pPr>
    </w:p>
    <w:p w14:paraId="467E953E" w14:textId="013055DA" w:rsidR="00B17842" w:rsidRDefault="00B17842" w:rsidP="10E76954">
      <w:pPr>
        <w:tabs>
          <w:tab w:val="left" w:pos="4275"/>
        </w:tabs>
        <w:rPr>
          <w:rFonts w:asciiTheme="minorHAnsi" w:hAnsiTheme="minorHAnsi" w:cs="Times New Roman"/>
        </w:rPr>
      </w:pPr>
    </w:p>
    <w:p w14:paraId="365A3602" w14:textId="3DD6ABD7" w:rsidR="00B17842" w:rsidRDefault="00B17842" w:rsidP="10E76954">
      <w:pPr>
        <w:tabs>
          <w:tab w:val="left" w:pos="4275"/>
        </w:tabs>
        <w:rPr>
          <w:rFonts w:asciiTheme="minorHAnsi" w:hAnsiTheme="minorHAnsi" w:cs="Times New Roman"/>
        </w:rPr>
      </w:pPr>
    </w:p>
    <w:p w14:paraId="6F8B367D" w14:textId="4AB63C04" w:rsidR="00B17842" w:rsidRDefault="00B17842" w:rsidP="10E76954">
      <w:pPr>
        <w:tabs>
          <w:tab w:val="left" w:pos="4275"/>
        </w:tabs>
        <w:rPr>
          <w:rFonts w:asciiTheme="minorHAnsi" w:hAnsiTheme="minorHAnsi" w:cs="Times New Roman"/>
        </w:rPr>
      </w:pPr>
    </w:p>
    <w:p w14:paraId="4C2940CA" w14:textId="65A76F54" w:rsidR="00B17842" w:rsidRDefault="00B17842" w:rsidP="10E76954">
      <w:pPr>
        <w:tabs>
          <w:tab w:val="left" w:pos="4275"/>
        </w:tabs>
        <w:rPr>
          <w:rFonts w:asciiTheme="minorHAnsi" w:hAnsiTheme="minorHAnsi" w:cs="Times New Roman"/>
        </w:rPr>
      </w:pPr>
    </w:p>
    <w:p w14:paraId="6366E392" w14:textId="7D35541E" w:rsidR="00B17842" w:rsidRDefault="00B17842" w:rsidP="10E76954">
      <w:pPr>
        <w:tabs>
          <w:tab w:val="left" w:pos="4275"/>
        </w:tabs>
        <w:rPr>
          <w:rFonts w:asciiTheme="minorHAnsi" w:hAnsiTheme="minorHAnsi" w:cs="Times New Roman"/>
        </w:rPr>
      </w:pPr>
    </w:p>
    <w:p w14:paraId="01E8FB50" w14:textId="102C63A2" w:rsidR="00B17842" w:rsidRDefault="00B17842" w:rsidP="10E76954">
      <w:pPr>
        <w:tabs>
          <w:tab w:val="left" w:pos="4275"/>
        </w:tabs>
        <w:rPr>
          <w:rFonts w:asciiTheme="minorHAnsi" w:hAnsiTheme="minorHAnsi" w:cs="Times New Roman"/>
        </w:rPr>
      </w:pPr>
    </w:p>
    <w:p w14:paraId="11F6FCA5" w14:textId="77777777" w:rsidR="00432656" w:rsidRDefault="00432656" w:rsidP="10E76954">
      <w:pPr>
        <w:tabs>
          <w:tab w:val="left" w:pos="4275"/>
        </w:tabs>
        <w:rPr>
          <w:rFonts w:asciiTheme="minorHAnsi" w:hAnsiTheme="minorHAnsi" w:cs="Times New Roman"/>
        </w:rPr>
      </w:pPr>
    </w:p>
    <w:p w14:paraId="71D145B7" w14:textId="046C80D5" w:rsidR="00B5040E" w:rsidRDefault="00B5040E" w:rsidP="10E76954">
      <w:pPr>
        <w:tabs>
          <w:tab w:val="left" w:pos="4275"/>
        </w:tabs>
        <w:rPr>
          <w:rFonts w:asciiTheme="minorHAnsi" w:hAnsiTheme="minorHAnsi" w:cs="Times New Roman"/>
        </w:rPr>
      </w:pPr>
    </w:p>
    <w:p w14:paraId="51972EE3" w14:textId="2FEEAD8E" w:rsidR="00B5040E" w:rsidRDefault="00B5040E" w:rsidP="10E76954">
      <w:pPr>
        <w:tabs>
          <w:tab w:val="left" w:pos="4275"/>
        </w:tabs>
        <w:rPr>
          <w:rFonts w:asciiTheme="minorHAnsi" w:hAnsiTheme="minorHAnsi" w:cs="Times New Roman"/>
        </w:rPr>
      </w:pPr>
    </w:p>
    <w:p w14:paraId="38D35C69" w14:textId="597D4068" w:rsidR="00C57618" w:rsidRPr="00432656" w:rsidRDefault="00C224A3" w:rsidP="00C57618">
      <w:pPr>
        <w:jc w:val="both"/>
        <w:rPr>
          <w:iCs/>
          <w:color w:val="0070C0"/>
        </w:rPr>
      </w:pPr>
      <w:r>
        <w:rPr>
          <w:iCs/>
          <w:color w:val="0070C0"/>
          <w:sz w:val="22"/>
          <w:szCs w:val="22"/>
        </w:rPr>
        <w:lastRenderedPageBreak/>
        <w:tab/>
      </w:r>
      <w:r>
        <w:rPr>
          <w:iCs/>
          <w:color w:val="0070C0"/>
          <w:sz w:val="22"/>
          <w:szCs w:val="22"/>
        </w:rPr>
        <w:tab/>
      </w:r>
      <w:r>
        <w:rPr>
          <w:iCs/>
          <w:color w:val="0070C0"/>
          <w:sz w:val="22"/>
          <w:szCs w:val="22"/>
        </w:rPr>
        <w:tab/>
      </w:r>
      <w:r>
        <w:rPr>
          <w:iCs/>
          <w:color w:val="0070C0"/>
          <w:sz w:val="22"/>
          <w:szCs w:val="22"/>
        </w:rPr>
        <w:tab/>
      </w:r>
      <w:r>
        <w:rPr>
          <w:iCs/>
          <w:color w:val="0070C0"/>
          <w:sz w:val="22"/>
          <w:szCs w:val="22"/>
        </w:rPr>
        <w:tab/>
      </w:r>
      <w:r w:rsidR="00C57618" w:rsidRPr="00590858">
        <w:rPr>
          <w:iCs/>
          <w:color w:val="0070C0"/>
          <w:sz w:val="22"/>
          <w:szCs w:val="22"/>
        </w:rPr>
        <w:tab/>
      </w:r>
      <w:r w:rsidR="00C57618" w:rsidRPr="00590858">
        <w:rPr>
          <w:iCs/>
          <w:color w:val="0070C0"/>
          <w:sz w:val="22"/>
          <w:szCs w:val="22"/>
        </w:rPr>
        <w:tab/>
      </w:r>
      <w:r w:rsidR="000F3C1D">
        <w:rPr>
          <w:iCs/>
          <w:color w:val="0070C0"/>
          <w:sz w:val="22"/>
          <w:szCs w:val="22"/>
        </w:rPr>
        <w:t xml:space="preserve">    </w:t>
      </w:r>
      <w:r w:rsidR="008B63BC">
        <w:rPr>
          <w:iCs/>
          <w:color w:val="0070C0"/>
          <w:sz w:val="22"/>
          <w:szCs w:val="22"/>
        </w:rPr>
        <w:t>S</w:t>
      </w:r>
      <w:r w:rsidR="00C57618" w:rsidRPr="00432656">
        <w:rPr>
          <w:iCs/>
          <w:color w:val="4F81BD" w:themeColor="accent1"/>
        </w:rPr>
        <w:t xml:space="preserve">election process </w:t>
      </w:r>
      <w:r w:rsidRPr="00432656">
        <w:rPr>
          <w:iCs/>
          <w:color w:val="4F81BD" w:themeColor="accent1"/>
        </w:rPr>
        <w:t xml:space="preserve"># </w:t>
      </w:r>
      <w:r w:rsidRPr="00432656">
        <w:rPr>
          <w:rFonts w:asciiTheme="minorHAnsi" w:hAnsiTheme="minorHAnsi" w:cstheme="minorBidi"/>
          <w:color w:val="0070C0"/>
          <w:spacing w:val="-2"/>
        </w:rPr>
        <w:t>RG-T3704-P002</w:t>
      </w:r>
    </w:p>
    <w:p w14:paraId="1F8D0C40" w14:textId="77777777" w:rsidR="00C57618" w:rsidRPr="00590858" w:rsidRDefault="00C57618" w:rsidP="00C57618">
      <w:pPr>
        <w:jc w:val="both"/>
        <w:rPr>
          <w:b/>
          <w:iCs/>
          <w:sz w:val="22"/>
          <w:szCs w:val="22"/>
          <w:u w:val="single"/>
        </w:rPr>
      </w:pPr>
    </w:p>
    <w:p w14:paraId="011BC081" w14:textId="77777777" w:rsidR="00C57618" w:rsidRPr="00590858" w:rsidRDefault="00C57618" w:rsidP="00C57618">
      <w:pPr>
        <w:pStyle w:val="Heading1"/>
        <w:jc w:val="center"/>
        <w:rPr>
          <w:b w:val="0"/>
          <w:iCs/>
          <w:sz w:val="22"/>
          <w:szCs w:val="22"/>
          <w:u w:val="single"/>
        </w:rPr>
      </w:pPr>
      <w:r w:rsidRPr="00590858">
        <w:rPr>
          <w:iCs/>
          <w:sz w:val="22"/>
          <w:szCs w:val="22"/>
          <w:u w:val="single"/>
        </w:rPr>
        <w:t>TERMS OF REFERENCE</w:t>
      </w:r>
    </w:p>
    <w:p w14:paraId="20B4D2C2" w14:textId="77777777" w:rsidR="00C57618" w:rsidRPr="00590858" w:rsidRDefault="00C57618" w:rsidP="00C57618">
      <w:pPr>
        <w:jc w:val="both"/>
        <w:rPr>
          <w:iCs/>
          <w:color w:val="0070C0"/>
          <w:sz w:val="22"/>
          <w:szCs w:val="22"/>
        </w:rPr>
      </w:pPr>
    </w:p>
    <w:p w14:paraId="5406114D" w14:textId="77777777" w:rsidR="00C57618" w:rsidRPr="00590858" w:rsidRDefault="00C57618" w:rsidP="00C57618">
      <w:pPr>
        <w:pStyle w:val="Heading2"/>
        <w:jc w:val="center"/>
        <w:rPr>
          <w:iCs w:val="0"/>
          <w:color w:val="auto"/>
          <w:sz w:val="22"/>
          <w:szCs w:val="22"/>
        </w:rPr>
      </w:pPr>
      <w:r w:rsidRPr="00590858">
        <w:rPr>
          <w:color w:val="auto"/>
          <w:sz w:val="22"/>
          <w:szCs w:val="22"/>
        </w:rPr>
        <w:t xml:space="preserve">Public health emergency response capacity building </w:t>
      </w:r>
    </w:p>
    <w:p w14:paraId="07D29E7D" w14:textId="77777777" w:rsidR="00C57618" w:rsidRPr="00590858" w:rsidRDefault="00C57618" w:rsidP="00C57618">
      <w:pPr>
        <w:jc w:val="center"/>
        <w:rPr>
          <w:iCs/>
          <w:color w:val="0070C0"/>
          <w:sz w:val="22"/>
          <w:szCs w:val="22"/>
        </w:rPr>
      </w:pPr>
    </w:p>
    <w:p w14:paraId="3616E599" w14:textId="77777777" w:rsidR="00C57618" w:rsidRPr="00590858" w:rsidRDefault="00C57618" w:rsidP="00C57618">
      <w:pPr>
        <w:suppressAutoHyphens/>
        <w:rPr>
          <w:iCs/>
          <w:color w:val="0070C0"/>
          <w:spacing w:val="-2"/>
          <w:sz w:val="22"/>
          <w:szCs w:val="22"/>
        </w:rPr>
      </w:pPr>
      <w:r w:rsidRPr="00590858">
        <w:rPr>
          <w:iCs/>
          <w:color w:val="0070C0"/>
          <w:spacing w:val="-2"/>
          <w:sz w:val="22"/>
          <w:szCs w:val="22"/>
        </w:rPr>
        <w:t>Regional</w:t>
      </w:r>
    </w:p>
    <w:p w14:paraId="2772DD4D" w14:textId="77777777" w:rsidR="00C57618" w:rsidRPr="00CD6189" w:rsidRDefault="00C57618" w:rsidP="00C57618">
      <w:pPr>
        <w:pStyle w:val="BodyText"/>
        <w:rPr>
          <w:rFonts w:ascii="Arial" w:eastAsiaTheme="minorEastAsia" w:hAnsi="Arial" w:cs="Arial"/>
          <w:iCs/>
          <w:color w:val="0070C0"/>
          <w:sz w:val="22"/>
          <w:szCs w:val="22"/>
          <w:lang w:eastAsia="es-AR"/>
        </w:rPr>
      </w:pPr>
      <w:r w:rsidRPr="00CD6189">
        <w:rPr>
          <w:rFonts w:ascii="Arial" w:eastAsiaTheme="minorEastAsia" w:hAnsi="Arial" w:cs="Arial"/>
          <w:iCs/>
          <w:color w:val="0070C0"/>
          <w:sz w:val="22"/>
          <w:szCs w:val="22"/>
          <w:lang w:eastAsia="es-AR"/>
        </w:rPr>
        <w:t>RG-T3704</w:t>
      </w:r>
    </w:p>
    <w:p w14:paraId="7CA087B8" w14:textId="77777777" w:rsidR="00C57618" w:rsidRPr="00CD6189" w:rsidRDefault="00590851" w:rsidP="00C57618">
      <w:pPr>
        <w:tabs>
          <w:tab w:val="left" w:pos="7080"/>
        </w:tabs>
        <w:jc w:val="both"/>
        <w:rPr>
          <w:iCs/>
          <w:color w:val="0070C0"/>
          <w:spacing w:val="-2"/>
          <w:sz w:val="22"/>
          <w:szCs w:val="22"/>
        </w:rPr>
      </w:pPr>
      <w:hyperlink r:id="rId18" w:tgtFrame="_parent" w:history="1">
        <w:r w:rsidR="00C57618" w:rsidRPr="00CD6189">
          <w:rPr>
            <w:color w:val="0070C0"/>
            <w:spacing w:val="-2"/>
          </w:rPr>
          <w:t>Innovative COVID-19 Response Using ICT Tools: Knowledge Sharing Between LAC and Korea in Public Health Emergency Preparedness</w:t>
        </w:r>
      </w:hyperlink>
    </w:p>
    <w:p w14:paraId="35839940" w14:textId="77777777" w:rsidR="00C57618" w:rsidRPr="00590858" w:rsidRDefault="00C57618" w:rsidP="00C57618">
      <w:pPr>
        <w:tabs>
          <w:tab w:val="left" w:pos="7080"/>
        </w:tabs>
        <w:jc w:val="both"/>
        <w:rPr>
          <w:iCs/>
          <w:sz w:val="22"/>
          <w:szCs w:val="22"/>
        </w:rPr>
      </w:pPr>
      <w:r w:rsidRPr="00590858">
        <w:rPr>
          <w:iCs/>
          <w:sz w:val="22"/>
          <w:szCs w:val="22"/>
        </w:rPr>
        <w:tab/>
      </w:r>
    </w:p>
    <w:p w14:paraId="149B0C63"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Background and Justification</w:t>
      </w:r>
    </w:p>
    <w:p w14:paraId="1B36E72B" w14:textId="77777777" w:rsidR="00C57618" w:rsidRPr="00590858" w:rsidRDefault="00C57618" w:rsidP="00C57618">
      <w:pPr>
        <w:spacing w:line="276" w:lineRule="auto"/>
        <w:ind w:left="792"/>
        <w:contextualSpacing/>
        <w:jc w:val="both"/>
        <w:rPr>
          <w:rFonts w:eastAsiaTheme="minorHAnsi"/>
          <w:iCs/>
          <w:sz w:val="22"/>
          <w:szCs w:val="22"/>
        </w:rPr>
      </w:pPr>
    </w:p>
    <w:p w14:paraId="244F0EC0"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When COVID 19 hit the countries in Latin America and the Caribbean few countries were ready with information systems in place to react and produce the necessary data to help authorities face the crisis. Countries like Uruguay, Argentina have developed chatbots to answer questions and provide information on COVID-19 to citizens. Colombia launched an informative platform to follow up with the evolution of COVID-19 in the country and launched an app to track COVID-19. Peru and Costa Rica developed dashboards and analytics to monitor the spread of the disease. However, use of digital tools in the LAC region in general was limited due to lack of infrastructure, governance structures for a scenario like this one and policies to back the use of digital technologies during pandemics. Furthermore, responses from various countries were heterogeneous and, in some cases, not led by the Ministries of health. Digital solutions were imported from other regions and implemented in a rush to respond to the challenge without vetting their applicability in the region or strategic planning regarding the role they played in the overall health system response to the pandemic.</w:t>
      </w:r>
    </w:p>
    <w:p w14:paraId="07F5A316"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Digital health interventions are commonly used tools to improve efficiency and quality of health care (Nelson et al. 2019) and they are also proven to be effective during public health emergencies (Allen at al. 2019). According to a recent IDB’s publication, in times of public health emergencies, stronger information systems are important, and digital tools were used to serve as emergency response systems, client communication systems, public health and disease surveillance systems and so on. The report also emphasized the importance of non-digital factors such as institutional capacity, and legal framework to maximize the effectiveness of the digital tools in times of public health emergencies (Park et al. 2020)</w:t>
      </w:r>
    </w:p>
    <w:p w14:paraId="757E3378"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 xml:space="preserve">South Korea is one of the countries that had made the relevant investments and reacted quickly to manage the crisis using data and technology. Korea regularly suffers contingencies that can have serious public health consequences from yearly typhoon to infectious disease outbreaks, which led to development of public health emergency preparedness and response capacity and building resilience (OECD, 2020) Especially against the infectious disease outbreak the country system after MERS outbreak in 2015. MERS outbreak gave important lessons to Korea as gaps of the systems were discovered, </w:t>
      </w:r>
      <w:r w:rsidRPr="00590858">
        <w:rPr>
          <w:rFonts w:eastAsiaTheme="minorHAnsi"/>
          <w:bCs/>
          <w:iCs/>
          <w:sz w:val="22"/>
          <w:szCs w:val="22"/>
        </w:rPr>
        <w:lastRenderedPageBreak/>
        <w:t xml:space="preserve">which later the government successfully filled institutional, legal frameworks to enhance the country’s emergency preparedness. </w:t>
      </w:r>
    </w:p>
    <w:p w14:paraId="05897071"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Considering risks for public health, preparedness for public health emergencies became a key policy priority in Korea. The first steps entailed reflection in its legal and institutional framework related to the important risks for pandemic outbreaks and disasters. Currently, Korea’s legal framework for public health emergencies is based on an all-hazard approach. The Framework Act on the Management of Disasters and Safety of 2015 clarifies the responsibilities of national to local governments all across the risk management cycle, from prevention, preparedness to response and recovery. The Act also provide instructions to all levels of government to establish both a Safety Management Committee for Policy planning and implementation and a Disaster and Safety Countermeasures Headquarter for operational response, as well as the development of Safety management Plans in all local governments, corresponding with the national Master Plan for Safety management developed every five years (OECD, 2020).</w:t>
      </w:r>
    </w:p>
    <w:p w14:paraId="04AB5D9F"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Objectives</w:t>
      </w:r>
    </w:p>
    <w:p w14:paraId="3D334393" w14:textId="50B417F3" w:rsidR="00C57618" w:rsidRPr="00590858" w:rsidRDefault="00C57618" w:rsidP="00C57618">
      <w:pPr>
        <w:spacing w:line="276" w:lineRule="auto"/>
        <w:ind w:left="360"/>
        <w:contextualSpacing/>
        <w:rPr>
          <w:rFonts w:eastAsiaTheme="minorHAnsi"/>
          <w:b/>
          <w:iCs/>
          <w:sz w:val="22"/>
          <w:szCs w:val="22"/>
          <w:u w:val="single"/>
        </w:rPr>
      </w:pPr>
    </w:p>
    <w:p w14:paraId="5BE6FF9C" w14:textId="7914F214" w:rsidR="00F33ECB" w:rsidRPr="003D524C" w:rsidRDefault="00C57618" w:rsidP="00F33ECB">
      <w:pPr>
        <w:numPr>
          <w:ilvl w:val="1"/>
          <w:numId w:val="1"/>
        </w:numPr>
        <w:autoSpaceDE/>
        <w:autoSpaceDN/>
        <w:adjustRightInd/>
        <w:spacing w:after="240" w:line="276" w:lineRule="auto"/>
        <w:ind w:left="720" w:hanging="720"/>
        <w:jc w:val="both"/>
        <w:rPr>
          <w:rFonts w:eastAsiaTheme="minorHAnsi"/>
          <w:b/>
          <w:iCs/>
          <w:sz w:val="22"/>
          <w:szCs w:val="22"/>
          <w:u w:val="single"/>
        </w:rPr>
      </w:pPr>
      <w:r w:rsidRPr="003D524C">
        <w:rPr>
          <w:rFonts w:eastAsiaTheme="minorHAnsi"/>
          <w:bCs/>
          <w:iCs/>
          <w:sz w:val="22"/>
          <w:szCs w:val="22"/>
        </w:rPr>
        <w:t xml:space="preserve">This consultancy </w:t>
      </w:r>
      <w:r w:rsidR="003D524C" w:rsidRPr="003D524C">
        <w:rPr>
          <w:rFonts w:eastAsiaTheme="minorHAnsi"/>
          <w:bCs/>
          <w:iCs/>
          <w:sz w:val="22"/>
          <w:szCs w:val="22"/>
        </w:rPr>
        <w:t>will</w:t>
      </w:r>
      <w:r w:rsidRPr="003D524C">
        <w:rPr>
          <w:rFonts w:eastAsiaTheme="minorHAnsi"/>
          <w:bCs/>
          <w:iCs/>
          <w:sz w:val="22"/>
          <w:szCs w:val="22"/>
        </w:rPr>
        <w:t xml:space="preserve"> provide support against COVID 19 </w:t>
      </w:r>
      <w:r w:rsidR="003D524C" w:rsidRPr="003D524C">
        <w:rPr>
          <w:rFonts w:eastAsiaTheme="minorHAnsi"/>
          <w:bCs/>
          <w:iCs/>
          <w:sz w:val="22"/>
          <w:szCs w:val="22"/>
        </w:rPr>
        <w:t>by</w:t>
      </w:r>
      <w:r w:rsidRPr="003D524C">
        <w:rPr>
          <w:rFonts w:eastAsiaTheme="minorHAnsi"/>
          <w:bCs/>
          <w:iCs/>
          <w:sz w:val="22"/>
          <w:szCs w:val="22"/>
        </w:rPr>
        <w:t xml:space="preserve"> analyzing the capacity of public health emergency response systems in Mexico in the context of detection, prevention, response and recovery and develop tools to monitor progress made in this area. Through this consultancy, the firm will also share </w:t>
      </w:r>
      <w:r w:rsidR="003D524C" w:rsidRPr="003D524C">
        <w:rPr>
          <w:rFonts w:eastAsiaTheme="minorHAnsi"/>
          <w:bCs/>
          <w:iCs/>
          <w:sz w:val="22"/>
          <w:szCs w:val="22"/>
        </w:rPr>
        <w:t xml:space="preserve">the </w:t>
      </w:r>
      <w:r w:rsidR="00861892">
        <w:rPr>
          <w:rFonts w:eastAsiaTheme="minorHAnsi"/>
          <w:bCs/>
          <w:iCs/>
          <w:sz w:val="22"/>
          <w:szCs w:val="22"/>
        </w:rPr>
        <w:t>K</w:t>
      </w:r>
      <w:r w:rsidR="003D524C" w:rsidRPr="003D524C">
        <w:rPr>
          <w:rFonts w:eastAsiaTheme="minorHAnsi"/>
          <w:bCs/>
          <w:iCs/>
          <w:sz w:val="22"/>
          <w:szCs w:val="22"/>
        </w:rPr>
        <w:t>orean</w:t>
      </w:r>
      <w:r w:rsidRPr="003D524C">
        <w:rPr>
          <w:rFonts w:eastAsiaTheme="minorHAnsi"/>
          <w:bCs/>
          <w:iCs/>
          <w:sz w:val="22"/>
          <w:szCs w:val="22"/>
        </w:rPr>
        <w:t xml:space="preserve"> experience in strengthening public health emergency response system</w:t>
      </w:r>
      <w:r w:rsidR="003D524C" w:rsidRPr="003D524C">
        <w:rPr>
          <w:rFonts w:eastAsiaTheme="minorHAnsi"/>
          <w:bCs/>
          <w:iCs/>
          <w:sz w:val="22"/>
          <w:szCs w:val="22"/>
        </w:rPr>
        <w:t>s</w:t>
      </w:r>
      <w:r w:rsidRPr="003D524C">
        <w:rPr>
          <w:rFonts w:eastAsiaTheme="minorHAnsi"/>
          <w:bCs/>
          <w:iCs/>
          <w:sz w:val="22"/>
          <w:szCs w:val="22"/>
        </w:rPr>
        <w:t xml:space="preserve"> for the countries in the LAC region</w:t>
      </w:r>
      <w:r w:rsidR="003D524C" w:rsidRPr="003D524C">
        <w:rPr>
          <w:rFonts w:eastAsiaTheme="minorHAnsi"/>
          <w:bCs/>
          <w:iCs/>
          <w:sz w:val="22"/>
          <w:szCs w:val="22"/>
        </w:rPr>
        <w:t>.</w:t>
      </w:r>
    </w:p>
    <w:p w14:paraId="72B43BAF" w14:textId="484CCE7F"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Scope of Services</w:t>
      </w:r>
    </w:p>
    <w:p w14:paraId="0762AE40" w14:textId="77777777" w:rsidR="00C57618" w:rsidRPr="00590858" w:rsidRDefault="00C57618" w:rsidP="00C57618">
      <w:pPr>
        <w:spacing w:line="276" w:lineRule="auto"/>
        <w:ind w:left="792"/>
        <w:contextualSpacing/>
        <w:jc w:val="both"/>
        <w:rPr>
          <w:rFonts w:eastAsiaTheme="minorHAnsi"/>
          <w:b/>
          <w:iCs/>
          <w:sz w:val="22"/>
          <w:szCs w:val="22"/>
        </w:rPr>
      </w:pPr>
    </w:p>
    <w:p w14:paraId="6FC38285"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iCs/>
          <w:sz w:val="22"/>
          <w:szCs w:val="22"/>
        </w:rPr>
      </w:pPr>
      <w:bookmarkStart w:id="0" w:name="_Hlk56777255"/>
      <w:r w:rsidRPr="00590858">
        <w:rPr>
          <w:rFonts w:eastAsiaTheme="minorHAnsi"/>
          <w:bCs/>
          <w:iCs/>
          <w:sz w:val="22"/>
          <w:szCs w:val="22"/>
        </w:rPr>
        <w:t>Provide a series of online knowledge sharing programs on Korea’s public health emergency response system and recommendations for LAC region including workplace health management in times of pandemics.</w:t>
      </w:r>
    </w:p>
    <w:p w14:paraId="3A732E24" w14:textId="5EB95FD7"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 xml:space="preserve">A policy recommendation paper on measures to strengthen the public health emergency response system in </w:t>
      </w:r>
      <w:r w:rsidR="003D524C">
        <w:rPr>
          <w:rFonts w:eastAsiaTheme="minorHAnsi"/>
          <w:bCs/>
          <w:iCs/>
          <w:sz w:val="22"/>
          <w:szCs w:val="22"/>
        </w:rPr>
        <w:t>Mexico</w:t>
      </w:r>
      <w:r w:rsidRPr="00590858">
        <w:rPr>
          <w:rFonts w:eastAsiaTheme="minorHAnsi"/>
          <w:bCs/>
          <w:iCs/>
          <w:sz w:val="22"/>
          <w:szCs w:val="22"/>
        </w:rPr>
        <w:t xml:space="preserve"> including workplace safety measures during a pandemic and during the return to normality.</w:t>
      </w:r>
    </w:p>
    <w:bookmarkEnd w:id="0"/>
    <w:p w14:paraId="6FBDDE70"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Key Activities</w:t>
      </w:r>
    </w:p>
    <w:p w14:paraId="620B53D7" w14:textId="77777777" w:rsidR="00C57618" w:rsidRPr="00590858" w:rsidRDefault="00C57618" w:rsidP="00C57618">
      <w:pPr>
        <w:spacing w:line="276" w:lineRule="auto"/>
        <w:contextualSpacing/>
        <w:jc w:val="both"/>
        <w:rPr>
          <w:rFonts w:eastAsiaTheme="minorHAnsi"/>
          <w:b/>
          <w:iCs/>
          <w:sz w:val="22"/>
          <w:szCs w:val="22"/>
          <w:u w:val="single"/>
        </w:rPr>
      </w:pPr>
    </w:p>
    <w:p w14:paraId="679C4156" w14:textId="77777777" w:rsidR="00C57618" w:rsidRPr="00590858" w:rsidRDefault="00C57618" w:rsidP="00C57618">
      <w:pPr>
        <w:contextualSpacing/>
        <w:jc w:val="both"/>
        <w:rPr>
          <w:rFonts w:eastAsiaTheme="minorHAnsi"/>
          <w:bCs/>
          <w:iCs/>
          <w:sz w:val="22"/>
          <w:szCs w:val="22"/>
        </w:rPr>
      </w:pPr>
      <w:r w:rsidRPr="00590858">
        <w:rPr>
          <w:rFonts w:eastAsiaTheme="minorHAnsi"/>
          <w:bCs/>
          <w:iCs/>
          <w:sz w:val="22"/>
          <w:szCs w:val="22"/>
        </w:rPr>
        <w:t>The selected firm will:</w:t>
      </w:r>
    </w:p>
    <w:p w14:paraId="70835F19"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Develop a series of online knowledge sharing programs on Korea’s public health emergency response system for Mexico</w:t>
      </w:r>
      <w:r>
        <w:rPr>
          <w:rFonts w:eastAsiaTheme="minorHAnsi"/>
          <w:bCs/>
          <w:iCs/>
          <w:sz w:val="22"/>
          <w:szCs w:val="22"/>
        </w:rPr>
        <w:t xml:space="preserve"> </w:t>
      </w:r>
      <w:r w:rsidRPr="00590858">
        <w:rPr>
          <w:rFonts w:eastAsiaTheme="minorHAnsi"/>
          <w:bCs/>
          <w:iCs/>
          <w:sz w:val="22"/>
          <w:szCs w:val="22"/>
        </w:rPr>
        <w:t xml:space="preserve">including workplace health management in times of pandemics, and epidemiological surveillance in the workplace. </w:t>
      </w:r>
    </w:p>
    <w:p w14:paraId="076FB742" w14:textId="0BC23964" w:rsidR="003D524C" w:rsidRDefault="003D524C" w:rsidP="00C57618">
      <w:pPr>
        <w:numPr>
          <w:ilvl w:val="1"/>
          <w:numId w:val="1"/>
        </w:numPr>
        <w:autoSpaceDE/>
        <w:autoSpaceDN/>
        <w:adjustRightInd/>
        <w:spacing w:after="240" w:line="276" w:lineRule="auto"/>
        <w:ind w:left="720" w:hanging="720"/>
        <w:jc w:val="both"/>
        <w:rPr>
          <w:rFonts w:eastAsiaTheme="minorHAnsi"/>
          <w:bCs/>
          <w:iCs/>
          <w:sz w:val="22"/>
          <w:szCs w:val="22"/>
        </w:rPr>
      </w:pPr>
      <w:r>
        <w:rPr>
          <w:rFonts w:eastAsiaTheme="minorHAnsi"/>
          <w:bCs/>
          <w:iCs/>
          <w:sz w:val="22"/>
          <w:szCs w:val="22"/>
        </w:rPr>
        <w:t>Develop a learning material on the basic components of an emergency response system.</w:t>
      </w:r>
    </w:p>
    <w:p w14:paraId="7AE440A2" w14:textId="5907485B" w:rsidR="00C57618" w:rsidRPr="00590858" w:rsidRDefault="00C57618" w:rsidP="00C57618">
      <w:pPr>
        <w:numPr>
          <w:ilvl w:val="1"/>
          <w:numId w:val="1"/>
        </w:numPr>
        <w:autoSpaceDE/>
        <w:autoSpaceDN/>
        <w:adjustRightInd/>
        <w:spacing w:after="240" w:line="276" w:lineRule="auto"/>
        <w:ind w:left="720" w:hanging="720"/>
        <w:jc w:val="both"/>
        <w:rPr>
          <w:rFonts w:eastAsiaTheme="minorHAnsi"/>
          <w:bCs/>
          <w:iCs/>
          <w:sz w:val="22"/>
          <w:szCs w:val="22"/>
        </w:rPr>
      </w:pPr>
      <w:r w:rsidRPr="00590858">
        <w:rPr>
          <w:rFonts w:eastAsiaTheme="minorHAnsi"/>
          <w:bCs/>
          <w:iCs/>
          <w:sz w:val="22"/>
          <w:szCs w:val="22"/>
        </w:rPr>
        <w:t xml:space="preserve">Document and prepare a report on how the Korean emergency response system works </w:t>
      </w:r>
      <w:r w:rsidRPr="00590858">
        <w:rPr>
          <w:rFonts w:eastAsiaTheme="minorHAnsi"/>
          <w:bCs/>
          <w:iCs/>
          <w:sz w:val="22"/>
          <w:szCs w:val="22"/>
        </w:rPr>
        <w:lastRenderedPageBreak/>
        <w:t>and recommendations and best practices for the region based on Korea’s experience</w:t>
      </w:r>
    </w:p>
    <w:p w14:paraId="21907F1D" w14:textId="77777777" w:rsidR="00C57618" w:rsidRPr="00590858" w:rsidRDefault="00C57618" w:rsidP="00C57618">
      <w:pPr>
        <w:numPr>
          <w:ilvl w:val="1"/>
          <w:numId w:val="1"/>
        </w:numPr>
        <w:autoSpaceDE/>
        <w:autoSpaceDN/>
        <w:adjustRightInd/>
        <w:spacing w:after="240" w:line="276" w:lineRule="auto"/>
        <w:ind w:left="720" w:hanging="720"/>
        <w:jc w:val="both"/>
        <w:rPr>
          <w:iCs/>
          <w:sz w:val="22"/>
          <w:szCs w:val="22"/>
        </w:rPr>
      </w:pPr>
      <w:r w:rsidRPr="00590858">
        <w:rPr>
          <w:iCs/>
          <w:sz w:val="22"/>
          <w:szCs w:val="22"/>
        </w:rPr>
        <w:t xml:space="preserve">Review literature and existing documentation of </w:t>
      </w:r>
      <w:r>
        <w:rPr>
          <w:iCs/>
          <w:sz w:val="22"/>
          <w:szCs w:val="22"/>
        </w:rPr>
        <w:t>Mexico</w:t>
      </w:r>
      <w:r w:rsidRPr="00590858">
        <w:rPr>
          <w:iCs/>
          <w:sz w:val="22"/>
          <w:szCs w:val="22"/>
        </w:rPr>
        <w:t xml:space="preserve"> on their emergency response systems.</w:t>
      </w:r>
    </w:p>
    <w:p w14:paraId="18001C15" w14:textId="5AE70C16" w:rsidR="003D524C" w:rsidRPr="003D524C" w:rsidRDefault="00C57618" w:rsidP="003D524C">
      <w:pPr>
        <w:numPr>
          <w:ilvl w:val="1"/>
          <w:numId w:val="1"/>
        </w:numPr>
        <w:autoSpaceDE/>
        <w:autoSpaceDN/>
        <w:adjustRightInd/>
        <w:spacing w:after="240" w:line="276" w:lineRule="auto"/>
        <w:ind w:left="720" w:hanging="720"/>
        <w:jc w:val="both"/>
        <w:rPr>
          <w:iCs/>
          <w:sz w:val="22"/>
          <w:szCs w:val="22"/>
        </w:rPr>
      </w:pPr>
      <w:r w:rsidRPr="00590858">
        <w:rPr>
          <w:iCs/>
          <w:sz w:val="22"/>
          <w:szCs w:val="22"/>
        </w:rPr>
        <w:t xml:space="preserve">Conduct phone interviews or video interviews to collect more information on emergency response systems in </w:t>
      </w:r>
      <w:r w:rsidR="00F33ECB">
        <w:rPr>
          <w:iCs/>
          <w:sz w:val="22"/>
          <w:szCs w:val="22"/>
        </w:rPr>
        <w:t>Mexico</w:t>
      </w:r>
      <w:r w:rsidRPr="00590858">
        <w:rPr>
          <w:iCs/>
          <w:sz w:val="22"/>
          <w:szCs w:val="22"/>
        </w:rPr>
        <w:t>.</w:t>
      </w:r>
    </w:p>
    <w:p w14:paraId="4450F454" w14:textId="032CE777" w:rsidR="00C57618" w:rsidRDefault="00C57618" w:rsidP="00C57618">
      <w:pPr>
        <w:numPr>
          <w:ilvl w:val="1"/>
          <w:numId w:val="1"/>
        </w:numPr>
        <w:autoSpaceDE/>
        <w:autoSpaceDN/>
        <w:adjustRightInd/>
        <w:spacing w:after="240" w:line="276" w:lineRule="auto"/>
        <w:ind w:left="720" w:hanging="720"/>
        <w:jc w:val="both"/>
        <w:rPr>
          <w:iCs/>
          <w:sz w:val="22"/>
          <w:szCs w:val="22"/>
        </w:rPr>
      </w:pPr>
      <w:r w:rsidRPr="00590858">
        <w:rPr>
          <w:iCs/>
          <w:sz w:val="22"/>
          <w:szCs w:val="22"/>
        </w:rPr>
        <w:t xml:space="preserve">Conduct analysis of </w:t>
      </w:r>
      <w:r w:rsidR="00F33ECB">
        <w:rPr>
          <w:iCs/>
          <w:sz w:val="22"/>
          <w:szCs w:val="22"/>
        </w:rPr>
        <w:t xml:space="preserve">the </w:t>
      </w:r>
      <w:r w:rsidRPr="00590858">
        <w:rPr>
          <w:iCs/>
          <w:sz w:val="22"/>
          <w:szCs w:val="22"/>
        </w:rPr>
        <w:t>public health emergency response system of Mexico</w:t>
      </w:r>
      <w:r>
        <w:rPr>
          <w:iCs/>
          <w:sz w:val="22"/>
          <w:szCs w:val="22"/>
        </w:rPr>
        <w:t xml:space="preserve"> </w:t>
      </w:r>
      <w:r w:rsidRPr="00590858">
        <w:rPr>
          <w:iCs/>
          <w:sz w:val="22"/>
          <w:szCs w:val="22"/>
        </w:rPr>
        <w:t>in terms of detection, prevention, response and recovery.</w:t>
      </w:r>
      <w:r w:rsidR="00A9237C">
        <w:rPr>
          <w:iCs/>
          <w:sz w:val="22"/>
          <w:szCs w:val="22"/>
        </w:rPr>
        <w:t xml:space="preserve"> </w:t>
      </w:r>
    </w:p>
    <w:p w14:paraId="3D061777" w14:textId="3DA163D4" w:rsidR="003D524C" w:rsidRPr="00590858" w:rsidRDefault="00A9237C" w:rsidP="00C57618">
      <w:pPr>
        <w:numPr>
          <w:ilvl w:val="1"/>
          <w:numId w:val="1"/>
        </w:numPr>
        <w:autoSpaceDE/>
        <w:autoSpaceDN/>
        <w:adjustRightInd/>
        <w:spacing w:after="240" w:line="276" w:lineRule="auto"/>
        <w:ind w:left="720" w:hanging="720"/>
        <w:jc w:val="both"/>
        <w:rPr>
          <w:iCs/>
          <w:sz w:val="22"/>
          <w:szCs w:val="22"/>
        </w:rPr>
      </w:pPr>
      <w:r>
        <w:rPr>
          <w:rFonts w:eastAsiaTheme="minorHAnsi"/>
          <w:bCs/>
          <w:iCs/>
          <w:sz w:val="22"/>
          <w:szCs w:val="22"/>
        </w:rPr>
        <w:t xml:space="preserve">Developing a </w:t>
      </w:r>
      <w:r w:rsidRPr="00590858">
        <w:rPr>
          <w:rFonts w:eastAsiaTheme="minorHAnsi"/>
          <w:bCs/>
          <w:iCs/>
          <w:sz w:val="22"/>
          <w:szCs w:val="22"/>
        </w:rPr>
        <w:t xml:space="preserve">policy recommendation paper on measures to strengthen the public health emergency response system in </w:t>
      </w:r>
      <w:r>
        <w:rPr>
          <w:rFonts w:eastAsiaTheme="minorHAnsi"/>
          <w:bCs/>
          <w:iCs/>
          <w:sz w:val="22"/>
          <w:szCs w:val="22"/>
        </w:rPr>
        <w:t>Mexico</w:t>
      </w:r>
      <w:r w:rsidRPr="00590858">
        <w:rPr>
          <w:rFonts w:eastAsiaTheme="minorHAnsi"/>
          <w:bCs/>
          <w:iCs/>
          <w:sz w:val="22"/>
          <w:szCs w:val="22"/>
        </w:rPr>
        <w:t xml:space="preserve"> including workplace safety measures during a pandemic and during the return to normality</w:t>
      </w:r>
      <w:r>
        <w:rPr>
          <w:rFonts w:eastAsiaTheme="minorHAnsi"/>
          <w:bCs/>
          <w:iCs/>
          <w:sz w:val="22"/>
          <w:szCs w:val="22"/>
        </w:rPr>
        <w:t xml:space="preserve">. Recommendations should consider </w:t>
      </w:r>
      <w:r>
        <w:rPr>
          <w:rFonts w:eastAsiaTheme="minorHAnsi"/>
          <w:iCs/>
          <w:sz w:val="22"/>
          <w:szCs w:val="22"/>
        </w:rPr>
        <w:t>n</w:t>
      </w:r>
      <w:r w:rsidRPr="00590858">
        <w:rPr>
          <w:rFonts w:eastAsiaTheme="minorHAnsi"/>
          <w:iCs/>
          <w:sz w:val="22"/>
          <w:szCs w:val="22"/>
        </w:rPr>
        <w:t>ational and community strategies for conducting tests within the context of society reopening</w:t>
      </w:r>
    </w:p>
    <w:p w14:paraId="70BA0345" w14:textId="77777777" w:rsidR="00C57618" w:rsidRPr="00590858" w:rsidRDefault="00C57618" w:rsidP="00C57618">
      <w:pPr>
        <w:numPr>
          <w:ilvl w:val="1"/>
          <w:numId w:val="1"/>
        </w:numPr>
        <w:autoSpaceDE/>
        <w:autoSpaceDN/>
        <w:adjustRightInd/>
        <w:spacing w:after="240" w:line="276" w:lineRule="auto"/>
        <w:ind w:left="720" w:hanging="720"/>
        <w:jc w:val="both"/>
        <w:rPr>
          <w:iCs/>
          <w:sz w:val="22"/>
          <w:szCs w:val="22"/>
        </w:rPr>
      </w:pPr>
      <w:r w:rsidRPr="00590858">
        <w:rPr>
          <w:iCs/>
          <w:sz w:val="22"/>
          <w:szCs w:val="22"/>
        </w:rPr>
        <w:t>Development of guidelines on how to implement similar analyses for other countries in the region, including the workplace safety measures to reopen the society.</w:t>
      </w:r>
    </w:p>
    <w:p w14:paraId="2B1C5638"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Expected Outcome and Deliverables</w:t>
      </w:r>
    </w:p>
    <w:p w14:paraId="79246866" w14:textId="77777777" w:rsidR="00C57618" w:rsidRPr="00590858" w:rsidRDefault="00C57618" w:rsidP="00C57618">
      <w:pPr>
        <w:spacing w:line="276" w:lineRule="auto"/>
        <w:ind w:left="360"/>
        <w:contextualSpacing/>
        <w:rPr>
          <w:rFonts w:eastAsiaTheme="minorHAnsi"/>
          <w:b/>
          <w:iCs/>
          <w:sz w:val="22"/>
          <w:szCs w:val="22"/>
          <w:u w:val="single"/>
        </w:rPr>
      </w:pPr>
    </w:p>
    <w:p w14:paraId="04C60AE4" w14:textId="77777777" w:rsidR="00C57618" w:rsidRPr="00590858" w:rsidRDefault="00C57618" w:rsidP="00C57618">
      <w:pPr>
        <w:numPr>
          <w:ilvl w:val="1"/>
          <w:numId w:val="1"/>
        </w:numPr>
        <w:autoSpaceDE/>
        <w:autoSpaceDN/>
        <w:adjustRightInd/>
        <w:spacing w:line="276" w:lineRule="auto"/>
        <w:ind w:left="720" w:hanging="720"/>
        <w:jc w:val="both"/>
        <w:rPr>
          <w:rFonts w:eastAsiaTheme="minorHAnsi"/>
          <w:iCs/>
          <w:sz w:val="22"/>
          <w:szCs w:val="22"/>
        </w:rPr>
      </w:pPr>
      <w:r w:rsidRPr="00590858">
        <w:rPr>
          <w:rFonts w:eastAsiaTheme="minorHAnsi"/>
          <w:iCs/>
          <w:sz w:val="22"/>
          <w:szCs w:val="22"/>
        </w:rPr>
        <w:t>Product 1: Workplan and proposed sample of countries and outline of report</w:t>
      </w:r>
    </w:p>
    <w:p w14:paraId="3C9C8DCB" w14:textId="77777777" w:rsidR="00C57618" w:rsidRPr="00590858" w:rsidRDefault="00C57618" w:rsidP="00C57618">
      <w:pPr>
        <w:numPr>
          <w:ilvl w:val="1"/>
          <w:numId w:val="1"/>
        </w:numPr>
        <w:autoSpaceDE/>
        <w:autoSpaceDN/>
        <w:adjustRightInd/>
        <w:spacing w:line="276" w:lineRule="auto"/>
        <w:ind w:left="720" w:hanging="720"/>
        <w:jc w:val="both"/>
        <w:rPr>
          <w:rFonts w:eastAsiaTheme="minorHAnsi"/>
          <w:iCs/>
          <w:sz w:val="22"/>
          <w:szCs w:val="22"/>
        </w:rPr>
      </w:pPr>
      <w:r w:rsidRPr="00590858">
        <w:rPr>
          <w:rFonts w:eastAsiaTheme="minorHAnsi"/>
          <w:iCs/>
          <w:sz w:val="22"/>
          <w:szCs w:val="22"/>
        </w:rPr>
        <w:t>Product 2: Learning material on the basic components of an emergency response system</w:t>
      </w:r>
    </w:p>
    <w:p w14:paraId="41235470" w14:textId="25DB0A02" w:rsidR="00C57618" w:rsidRPr="00A9237C" w:rsidRDefault="00C57618" w:rsidP="00A9237C">
      <w:pPr>
        <w:numPr>
          <w:ilvl w:val="1"/>
          <w:numId w:val="1"/>
        </w:numPr>
        <w:autoSpaceDE/>
        <w:autoSpaceDN/>
        <w:adjustRightInd/>
        <w:spacing w:line="276" w:lineRule="auto"/>
        <w:ind w:left="720" w:hanging="720"/>
        <w:jc w:val="both"/>
        <w:rPr>
          <w:rFonts w:eastAsiaTheme="minorHAnsi"/>
          <w:iCs/>
          <w:sz w:val="22"/>
          <w:szCs w:val="22"/>
        </w:rPr>
      </w:pPr>
      <w:r w:rsidRPr="00590858">
        <w:rPr>
          <w:rFonts w:eastAsiaTheme="minorHAnsi"/>
          <w:iCs/>
          <w:sz w:val="22"/>
          <w:szCs w:val="22"/>
        </w:rPr>
        <w:t>Product 3: A series of online learning program</w:t>
      </w:r>
      <w:r w:rsidR="003D524C">
        <w:rPr>
          <w:rFonts w:eastAsiaTheme="minorHAnsi"/>
          <w:iCs/>
          <w:sz w:val="22"/>
          <w:szCs w:val="22"/>
        </w:rPr>
        <w:t>s</w:t>
      </w:r>
      <w:r w:rsidRPr="00590858">
        <w:rPr>
          <w:rFonts w:eastAsiaTheme="minorHAnsi"/>
          <w:iCs/>
          <w:sz w:val="22"/>
          <w:szCs w:val="22"/>
        </w:rPr>
        <w:t xml:space="preserve"> on Korea’s emergency response syste</w:t>
      </w:r>
      <w:r w:rsidR="00A9237C">
        <w:rPr>
          <w:rFonts w:eastAsiaTheme="minorHAnsi"/>
          <w:iCs/>
          <w:sz w:val="22"/>
          <w:szCs w:val="22"/>
        </w:rPr>
        <w:t>m</w:t>
      </w:r>
    </w:p>
    <w:p w14:paraId="036B11A0" w14:textId="47C7B5E6" w:rsidR="00C57618" w:rsidRPr="00590858" w:rsidRDefault="00C57618" w:rsidP="00C57618">
      <w:pPr>
        <w:numPr>
          <w:ilvl w:val="1"/>
          <w:numId w:val="1"/>
        </w:numPr>
        <w:autoSpaceDE/>
        <w:autoSpaceDN/>
        <w:adjustRightInd/>
        <w:spacing w:line="276" w:lineRule="auto"/>
        <w:ind w:left="720" w:hanging="720"/>
        <w:jc w:val="both"/>
        <w:rPr>
          <w:iCs/>
          <w:sz w:val="22"/>
          <w:szCs w:val="22"/>
        </w:rPr>
      </w:pPr>
      <w:r w:rsidRPr="00590858">
        <w:rPr>
          <w:iCs/>
          <w:sz w:val="22"/>
          <w:szCs w:val="22"/>
        </w:rPr>
        <w:t xml:space="preserve">Product </w:t>
      </w:r>
      <w:r w:rsidR="00A9237C">
        <w:rPr>
          <w:iCs/>
          <w:sz w:val="22"/>
          <w:szCs w:val="22"/>
        </w:rPr>
        <w:t>4</w:t>
      </w:r>
      <w:r w:rsidRPr="00590858">
        <w:rPr>
          <w:iCs/>
          <w:sz w:val="22"/>
          <w:szCs w:val="22"/>
        </w:rPr>
        <w:t>: Draft report on emergency response systems</w:t>
      </w:r>
      <w:r w:rsidR="003D524C">
        <w:rPr>
          <w:iCs/>
          <w:sz w:val="22"/>
          <w:szCs w:val="22"/>
        </w:rPr>
        <w:t xml:space="preserve"> in Mexico </w:t>
      </w:r>
    </w:p>
    <w:p w14:paraId="3D8FDECC" w14:textId="5A58ABFF" w:rsidR="00C57618" w:rsidRPr="00590858" w:rsidRDefault="00C57618" w:rsidP="00C57618">
      <w:pPr>
        <w:numPr>
          <w:ilvl w:val="1"/>
          <w:numId w:val="1"/>
        </w:numPr>
        <w:autoSpaceDE/>
        <w:autoSpaceDN/>
        <w:adjustRightInd/>
        <w:spacing w:line="276" w:lineRule="auto"/>
        <w:ind w:left="720" w:hanging="720"/>
        <w:jc w:val="both"/>
        <w:rPr>
          <w:rFonts w:eastAsiaTheme="minorHAnsi"/>
          <w:iCs/>
          <w:sz w:val="22"/>
          <w:szCs w:val="22"/>
        </w:rPr>
      </w:pPr>
      <w:r w:rsidRPr="00590858">
        <w:rPr>
          <w:rFonts w:eastAsiaTheme="minorHAnsi"/>
          <w:iCs/>
          <w:sz w:val="22"/>
          <w:szCs w:val="22"/>
        </w:rPr>
        <w:t xml:space="preserve">Product </w:t>
      </w:r>
      <w:r w:rsidR="00A9237C">
        <w:rPr>
          <w:rFonts w:eastAsiaTheme="minorHAnsi"/>
          <w:iCs/>
          <w:sz w:val="22"/>
          <w:szCs w:val="22"/>
        </w:rPr>
        <w:t>5</w:t>
      </w:r>
      <w:r w:rsidRPr="00590858">
        <w:rPr>
          <w:rFonts w:eastAsiaTheme="minorHAnsi"/>
          <w:iCs/>
          <w:sz w:val="22"/>
          <w:szCs w:val="22"/>
        </w:rPr>
        <w:t xml:space="preserve">: Final report on </w:t>
      </w:r>
      <w:r w:rsidR="003D524C">
        <w:rPr>
          <w:rFonts w:eastAsiaTheme="minorHAnsi"/>
          <w:iCs/>
          <w:sz w:val="22"/>
          <w:szCs w:val="22"/>
        </w:rPr>
        <w:t>Mexico</w:t>
      </w:r>
      <w:r w:rsidRPr="00590858">
        <w:rPr>
          <w:rFonts w:eastAsiaTheme="minorHAnsi"/>
          <w:iCs/>
          <w:sz w:val="22"/>
          <w:szCs w:val="22"/>
        </w:rPr>
        <w:t xml:space="preserve"> and best practices for the region based on Korean experience including guidelines for implementing studies of public emergency response systems</w:t>
      </w:r>
    </w:p>
    <w:p w14:paraId="53631060" w14:textId="77777777" w:rsidR="00C57618" w:rsidRPr="00590858" w:rsidRDefault="00C57618" w:rsidP="00C57618">
      <w:pPr>
        <w:spacing w:line="276" w:lineRule="auto"/>
        <w:ind w:left="720"/>
        <w:jc w:val="both"/>
        <w:rPr>
          <w:rFonts w:eastAsiaTheme="minorHAnsi"/>
          <w:iCs/>
          <w:sz w:val="22"/>
          <w:szCs w:val="22"/>
        </w:rPr>
      </w:pPr>
    </w:p>
    <w:p w14:paraId="1A780BAB"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Project Schedule and Milestones</w:t>
      </w:r>
    </w:p>
    <w:p w14:paraId="0A645BF7" w14:textId="77777777" w:rsidR="00C57618" w:rsidRPr="00590858" w:rsidRDefault="00C57618" w:rsidP="00C57618">
      <w:pPr>
        <w:spacing w:line="276" w:lineRule="auto"/>
        <w:ind w:left="792"/>
        <w:jc w:val="both"/>
        <w:rPr>
          <w:b/>
          <w:iCs/>
          <w:sz w:val="22"/>
          <w:szCs w:val="22"/>
          <w:u w:val="single"/>
        </w:rPr>
      </w:pPr>
    </w:p>
    <w:tbl>
      <w:tblPr>
        <w:tblStyle w:val="TableGrid"/>
        <w:tblW w:w="5000" w:type="pct"/>
        <w:jc w:val="center"/>
        <w:tblLook w:val="06A0" w:firstRow="1" w:lastRow="0" w:firstColumn="1" w:lastColumn="0" w:noHBand="1" w:noVBand="1"/>
      </w:tblPr>
      <w:tblGrid>
        <w:gridCol w:w="1712"/>
        <w:gridCol w:w="764"/>
        <w:gridCol w:w="679"/>
        <w:gridCol w:w="885"/>
        <w:gridCol w:w="885"/>
        <w:gridCol w:w="885"/>
        <w:gridCol w:w="885"/>
        <w:gridCol w:w="885"/>
        <w:gridCol w:w="885"/>
        <w:gridCol w:w="885"/>
      </w:tblGrid>
      <w:tr w:rsidR="00C57618" w:rsidRPr="00590858" w14:paraId="76C631DC" w14:textId="77777777" w:rsidTr="000D0B4D">
        <w:trPr>
          <w:trHeight w:val="300"/>
          <w:jc w:val="center"/>
        </w:trPr>
        <w:tc>
          <w:tcPr>
            <w:tcW w:w="916" w:type="pct"/>
            <w:tcBorders>
              <w:top w:val="single" w:sz="4" w:space="0" w:color="auto"/>
              <w:left w:val="single" w:sz="4" w:space="0" w:color="auto"/>
              <w:bottom w:val="single" w:sz="4" w:space="0" w:color="auto"/>
              <w:right w:val="single" w:sz="4" w:space="0" w:color="auto"/>
            </w:tcBorders>
            <w:vAlign w:val="bottom"/>
          </w:tcPr>
          <w:p w14:paraId="4728D917"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Month</w:t>
            </w:r>
          </w:p>
        </w:tc>
        <w:tc>
          <w:tcPr>
            <w:tcW w:w="409" w:type="pct"/>
            <w:tcBorders>
              <w:top w:val="single" w:sz="4" w:space="0" w:color="auto"/>
              <w:left w:val="single" w:sz="4" w:space="0" w:color="auto"/>
              <w:bottom w:val="single" w:sz="4" w:space="0" w:color="auto"/>
              <w:right w:val="single" w:sz="4" w:space="0" w:color="auto"/>
            </w:tcBorders>
            <w:vAlign w:val="bottom"/>
          </w:tcPr>
          <w:p w14:paraId="051D1057"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1</w:t>
            </w:r>
          </w:p>
        </w:tc>
        <w:tc>
          <w:tcPr>
            <w:tcW w:w="363" w:type="pct"/>
            <w:tcBorders>
              <w:top w:val="single" w:sz="4" w:space="0" w:color="auto"/>
              <w:left w:val="single" w:sz="4" w:space="0" w:color="auto"/>
              <w:bottom w:val="single" w:sz="4" w:space="0" w:color="auto"/>
              <w:right w:val="single" w:sz="4" w:space="0" w:color="auto"/>
            </w:tcBorders>
            <w:vAlign w:val="bottom"/>
          </w:tcPr>
          <w:p w14:paraId="470889EF"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2</w:t>
            </w:r>
          </w:p>
        </w:tc>
        <w:tc>
          <w:tcPr>
            <w:tcW w:w="473" w:type="pct"/>
            <w:tcBorders>
              <w:top w:val="single" w:sz="4" w:space="0" w:color="auto"/>
              <w:left w:val="single" w:sz="4" w:space="0" w:color="auto"/>
              <w:bottom w:val="single" w:sz="4" w:space="0" w:color="auto"/>
              <w:right w:val="single" w:sz="4" w:space="0" w:color="auto"/>
            </w:tcBorders>
            <w:vAlign w:val="bottom"/>
          </w:tcPr>
          <w:p w14:paraId="2DA075BC"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3</w:t>
            </w:r>
          </w:p>
        </w:tc>
        <w:tc>
          <w:tcPr>
            <w:tcW w:w="473" w:type="pct"/>
            <w:tcBorders>
              <w:top w:val="single" w:sz="4" w:space="0" w:color="auto"/>
              <w:left w:val="single" w:sz="4" w:space="0" w:color="auto"/>
              <w:bottom w:val="single" w:sz="4" w:space="0" w:color="auto"/>
              <w:right w:val="single" w:sz="4" w:space="0" w:color="auto"/>
            </w:tcBorders>
            <w:vAlign w:val="bottom"/>
          </w:tcPr>
          <w:p w14:paraId="7FD173F3"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4</w:t>
            </w:r>
          </w:p>
        </w:tc>
        <w:tc>
          <w:tcPr>
            <w:tcW w:w="473" w:type="pct"/>
            <w:tcBorders>
              <w:top w:val="single" w:sz="4" w:space="0" w:color="auto"/>
              <w:left w:val="single" w:sz="4" w:space="0" w:color="auto"/>
              <w:bottom w:val="single" w:sz="4" w:space="0" w:color="auto"/>
              <w:right w:val="single" w:sz="4" w:space="0" w:color="auto"/>
            </w:tcBorders>
            <w:vAlign w:val="bottom"/>
          </w:tcPr>
          <w:p w14:paraId="215A3C7F"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5</w:t>
            </w:r>
          </w:p>
        </w:tc>
        <w:tc>
          <w:tcPr>
            <w:tcW w:w="473" w:type="pct"/>
            <w:tcBorders>
              <w:top w:val="single" w:sz="4" w:space="0" w:color="auto"/>
              <w:left w:val="single" w:sz="4" w:space="0" w:color="auto"/>
              <w:bottom w:val="single" w:sz="4" w:space="0" w:color="auto"/>
              <w:right w:val="single" w:sz="4" w:space="0" w:color="auto"/>
            </w:tcBorders>
            <w:vAlign w:val="bottom"/>
          </w:tcPr>
          <w:p w14:paraId="1DCF9A7F"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6</w:t>
            </w:r>
          </w:p>
        </w:tc>
        <w:tc>
          <w:tcPr>
            <w:tcW w:w="473" w:type="pct"/>
            <w:tcBorders>
              <w:top w:val="single" w:sz="4" w:space="0" w:color="auto"/>
              <w:left w:val="single" w:sz="4" w:space="0" w:color="auto"/>
              <w:bottom w:val="single" w:sz="4" w:space="0" w:color="auto"/>
              <w:right w:val="single" w:sz="4" w:space="0" w:color="auto"/>
            </w:tcBorders>
            <w:vAlign w:val="bottom"/>
          </w:tcPr>
          <w:p w14:paraId="4066C31E"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7</w:t>
            </w:r>
          </w:p>
        </w:tc>
        <w:tc>
          <w:tcPr>
            <w:tcW w:w="473" w:type="pct"/>
            <w:tcBorders>
              <w:top w:val="single" w:sz="4" w:space="0" w:color="auto"/>
              <w:left w:val="single" w:sz="4" w:space="0" w:color="auto"/>
              <w:bottom w:val="single" w:sz="4" w:space="0" w:color="auto"/>
              <w:right w:val="single" w:sz="4" w:space="0" w:color="auto"/>
            </w:tcBorders>
            <w:vAlign w:val="bottom"/>
          </w:tcPr>
          <w:p w14:paraId="41582C97"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8</w:t>
            </w:r>
          </w:p>
        </w:tc>
        <w:tc>
          <w:tcPr>
            <w:tcW w:w="473" w:type="pct"/>
            <w:tcBorders>
              <w:top w:val="single" w:sz="4" w:space="0" w:color="auto"/>
              <w:left w:val="single" w:sz="4" w:space="0" w:color="auto"/>
              <w:bottom w:val="single" w:sz="4" w:space="0" w:color="auto"/>
              <w:right w:val="single" w:sz="4" w:space="0" w:color="auto"/>
            </w:tcBorders>
            <w:vAlign w:val="bottom"/>
          </w:tcPr>
          <w:p w14:paraId="6EB37CC3" w14:textId="77777777" w:rsidR="00C57618" w:rsidRPr="00590858" w:rsidRDefault="00C57618" w:rsidP="000D0B4D">
            <w:pPr>
              <w:jc w:val="center"/>
              <w:rPr>
                <w:b/>
                <w:bCs/>
                <w:iCs/>
                <w:sz w:val="18"/>
                <w:szCs w:val="18"/>
              </w:rPr>
            </w:pPr>
            <w:r w:rsidRPr="00590858">
              <w:rPr>
                <w:rFonts w:eastAsia="Calibri"/>
                <w:b/>
                <w:bCs/>
                <w:iCs/>
                <w:color w:val="000000" w:themeColor="text1"/>
                <w:sz w:val="18"/>
                <w:szCs w:val="18"/>
              </w:rPr>
              <w:t>9</w:t>
            </w:r>
          </w:p>
        </w:tc>
      </w:tr>
      <w:tr w:rsidR="00C57618" w:rsidRPr="00590858" w14:paraId="64351D0C" w14:textId="77777777" w:rsidTr="000D0B4D">
        <w:trPr>
          <w:trHeight w:val="224"/>
          <w:jc w:val="center"/>
        </w:trPr>
        <w:tc>
          <w:tcPr>
            <w:tcW w:w="916" w:type="pct"/>
            <w:tcBorders>
              <w:top w:val="single" w:sz="4" w:space="0" w:color="auto"/>
              <w:left w:val="single" w:sz="4" w:space="0" w:color="auto"/>
              <w:bottom w:val="single" w:sz="4" w:space="0" w:color="auto"/>
              <w:right w:val="single" w:sz="4" w:space="0" w:color="auto"/>
            </w:tcBorders>
            <w:vAlign w:val="bottom"/>
          </w:tcPr>
          <w:p w14:paraId="2C73A9DA" w14:textId="77777777" w:rsidR="00C57618" w:rsidRPr="00590858" w:rsidRDefault="00C57618" w:rsidP="000D0B4D">
            <w:pPr>
              <w:rPr>
                <w:iCs/>
                <w:sz w:val="18"/>
                <w:szCs w:val="18"/>
              </w:rPr>
            </w:pPr>
            <w:r w:rsidRPr="00590858">
              <w:rPr>
                <w:rFonts w:eastAsia="Calibri"/>
                <w:iCs/>
                <w:color w:val="000000" w:themeColor="text1"/>
                <w:sz w:val="18"/>
                <w:szCs w:val="18"/>
              </w:rPr>
              <w:t>Product 1</w:t>
            </w:r>
          </w:p>
        </w:tc>
        <w:tc>
          <w:tcPr>
            <w:tcW w:w="409" w:type="pct"/>
            <w:tcBorders>
              <w:top w:val="single" w:sz="4" w:space="0" w:color="auto"/>
              <w:left w:val="single" w:sz="4" w:space="0" w:color="auto"/>
              <w:bottom w:val="single" w:sz="4" w:space="0" w:color="auto"/>
              <w:right w:val="single" w:sz="4" w:space="0" w:color="auto"/>
            </w:tcBorders>
            <w:shd w:val="clear" w:color="auto" w:fill="B4C6E7"/>
            <w:vAlign w:val="bottom"/>
          </w:tcPr>
          <w:p w14:paraId="6C47DD72"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363" w:type="pct"/>
            <w:tcBorders>
              <w:top w:val="single" w:sz="4" w:space="0" w:color="auto"/>
              <w:left w:val="single" w:sz="4" w:space="0" w:color="auto"/>
              <w:bottom w:val="single" w:sz="4" w:space="0" w:color="auto"/>
              <w:right w:val="single" w:sz="4" w:space="0" w:color="auto"/>
            </w:tcBorders>
            <w:vAlign w:val="bottom"/>
          </w:tcPr>
          <w:p w14:paraId="1C0742AC"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5D957575"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49C7F37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16D37CD7"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4A68F376"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3750C7EA"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311231E0"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22103E5C"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r>
      <w:tr w:rsidR="00C57618" w:rsidRPr="00590858" w14:paraId="5C280C78" w14:textId="77777777" w:rsidTr="000D0B4D">
        <w:trPr>
          <w:trHeight w:val="300"/>
          <w:jc w:val="center"/>
        </w:trPr>
        <w:tc>
          <w:tcPr>
            <w:tcW w:w="916" w:type="pct"/>
            <w:tcBorders>
              <w:top w:val="single" w:sz="4" w:space="0" w:color="auto"/>
              <w:left w:val="single" w:sz="4" w:space="0" w:color="auto"/>
              <w:bottom w:val="single" w:sz="4" w:space="0" w:color="auto"/>
              <w:right w:val="single" w:sz="4" w:space="0" w:color="auto"/>
            </w:tcBorders>
            <w:vAlign w:val="bottom"/>
          </w:tcPr>
          <w:p w14:paraId="64A83617" w14:textId="77777777" w:rsidR="00C57618" w:rsidRPr="00590858" w:rsidRDefault="00C57618" w:rsidP="000D0B4D">
            <w:pPr>
              <w:rPr>
                <w:iCs/>
                <w:sz w:val="18"/>
                <w:szCs w:val="18"/>
              </w:rPr>
            </w:pPr>
            <w:r w:rsidRPr="00590858">
              <w:rPr>
                <w:rFonts w:eastAsia="Calibri"/>
                <w:iCs/>
                <w:color w:val="000000" w:themeColor="text1"/>
                <w:sz w:val="18"/>
                <w:szCs w:val="18"/>
              </w:rPr>
              <w:t>Product 2</w:t>
            </w:r>
          </w:p>
        </w:tc>
        <w:tc>
          <w:tcPr>
            <w:tcW w:w="409" w:type="pct"/>
            <w:tcBorders>
              <w:top w:val="single" w:sz="4" w:space="0" w:color="auto"/>
              <w:left w:val="single" w:sz="4" w:space="0" w:color="auto"/>
              <w:bottom w:val="single" w:sz="4" w:space="0" w:color="auto"/>
              <w:right w:val="single" w:sz="4" w:space="0" w:color="auto"/>
            </w:tcBorders>
            <w:vAlign w:val="bottom"/>
          </w:tcPr>
          <w:p w14:paraId="242FFD4E"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363" w:type="pct"/>
            <w:tcBorders>
              <w:top w:val="single" w:sz="4" w:space="0" w:color="auto"/>
              <w:left w:val="single" w:sz="4" w:space="0" w:color="auto"/>
              <w:bottom w:val="single" w:sz="4" w:space="0" w:color="auto"/>
              <w:right w:val="single" w:sz="4" w:space="0" w:color="auto"/>
            </w:tcBorders>
            <w:vAlign w:val="bottom"/>
          </w:tcPr>
          <w:p w14:paraId="601550DB"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B4C6E7"/>
            <w:vAlign w:val="bottom"/>
          </w:tcPr>
          <w:p w14:paraId="2CCBD241"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224DC249"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1C23269D"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0B8D2271"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406EEE8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7AC110E5"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5BB22451"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r>
      <w:tr w:rsidR="00C57618" w:rsidRPr="00590858" w14:paraId="30AD7DF0" w14:textId="77777777" w:rsidTr="000D0B4D">
        <w:trPr>
          <w:trHeight w:val="300"/>
          <w:jc w:val="center"/>
        </w:trPr>
        <w:tc>
          <w:tcPr>
            <w:tcW w:w="916" w:type="pct"/>
            <w:tcBorders>
              <w:top w:val="single" w:sz="4" w:space="0" w:color="auto"/>
              <w:left w:val="single" w:sz="4" w:space="0" w:color="auto"/>
              <w:bottom w:val="single" w:sz="4" w:space="0" w:color="auto"/>
              <w:right w:val="single" w:sz="4" w:space="0" w:color="auto"/>
            </w:tcBorders>
            <w:vAlign w:val="bottom"/>
          </w:tcPr>
          <w:p w14:paraId="077337A8" w14:textId="77777777" w:rsidR="00C57618" w:rsidRPr="00590858" w:rsidRDefault="00C57618" w:rsidP="000D0B4D">
            <w:pPr>
              <w:rPr>
                <w:iCs/>
                <w:sz w:val="18"/>
                <w:szCs w:val="18"/>
              </w:rPr>
            </w:pPr>
            <w:r w:rsidRPr="00590858">
              <w:rPr>
                <w:rFonts w:eastAsia="Calibri"/>
                <w:iCs/>
                <w:color w:val="000000" w:themeColor="text1"/>
                <w:sz w:val="18"/>
                <w:szCs w:val="18"/>
              </w:rPr>
              <w:t>Product 3</w:t>
            </w:r>
          </w:p>
        </w:tc>
        <w:tc>
          <w:tcPr>
            <w:tcW w:w="409" w:type="pct"/>
            <w:tcBorders>
              <w:top w:val="single" w:sz="4" w:space="0" w:color="auto"/>
              <w:left w:val="single" w:sz="4" w:space="0" w:color="auto"/>
              <w:bottom w:val="single" w:sz="4" w:space="0" w:color="auto"/>
              <w:right w:val="single" w:sz="4" w:space="0" w:color="auto"/>
            </w:tcBorders>
            <w:vAlign w:val="bottom"/>
          </w:tcPr>
          <w:p w14:paraId="6A2AD642"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363" w:type="pct"/>
            <w:tcBorders>
              <w:top w:val="single" w:sz="4" w:space="0" w:color="auto"/>
              <w:left w:val="single" w:sz="4" w:space="0" w:color="auto"/>
              <w:bottom w:val="single" w:sz="4" w:space="0" w:color="auto"/>
              <w:right w:val="single" w:sz="4" w:space="0" w:color="auto"/>
            </w:tcBorders>
            <w:vAlign w:val="bottom"/>
          </w:tcPr>
          <w:p w14:paraId="086AA4F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B4C6E7"/>
            <w:vAlign w:val="bottom"/>
          </w:tcPr>
          <w:p w14:paraId="7E46EB98"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B4C6E7"/>
            <w:vAlign w:val="bottom"/>
          </w:tcPr>
          <w:p w14:paraId="01C926F3"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1CE7EE27"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08A818A7"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33C677EA"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5FF31D27"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0CB25682"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r>
      <w:tr w:rsidR="00C57618" w:rsidRPr="00590858" w14:paraId="63C19E24" w14:textId="77777777" w:rsidTr="000D0B4D">
        <w:trPr>
          <w:trHeight w:val="300"/>
          <w:jc w:val="center"/>
        </w:trPr>
        <w:tc>
          <w:tcPr>
            <w:tcW w:w="916" w:type="pct"/>
            <w:tcBorders>
              <w:top w:val="single" w:sz="4" w:space="0" w:color="auto"/>
              <w:left w:val="single" w:sz="4" w:space="0" w:color="auto"/>
              <w:bottom w:val="single" w:sz="4" w:space="0" w:color="auto"/>
              <w:right w:val="single" w:sz="4" w:space="0" w:color="auto"/>
            </w:tcBorders>
            <w:vAlign w:val="bottom"/>
          </w:tcPr>
          <w:p w14:paraId="6A8598EC" w14:textId="785AFB39" w:rsidR="00C57618" w:rsidRPr="00590858" w:rsidRDefault="00C57618" w:rsidP="000D0B4D">
            <w:pPr>
              <w:rPr>
                <w:iCs/>
                <w:sz w:val="18"/>
                <w:szCs w:val="18"/>
              </w:rPr>
            </w:pPr>
            <w:r w:rsidRPr="00590858">
              <w:rPr>
                <w:rFonts w:eastAsia="Calibri"/>
                <w:iCs/>
                <w:color w:val="000000" w:themeColor="text1"/>
                <w:sz w:val="18"/>
                <w:szCs w:val="18"/>
              </w:rPr>
              <w:t xml:space="preserve">Product </w:t>
            </w:r>
            <w:r w:rsidR="00B46FB4">
              <w:rPr>
                <w:rFonts w:eastAsia="Calibri"/>
                <w:iCs/>
                <w:color w:val="000000" w:themeColor="text1"/>
                <w:sz w:val="18"/>
                <w:szCs w:val="18"/>
              </w:rPr>
              <w:t>4</w:t>
            </w:r>
          </w:p>
        </w:tc>
        <w:tc>
          <w:tcPr>
            <w:tcW w:w="409" w:type="pct"/>
            <w:tcBorders>
              <w:top w:val="single" w:sz="4" w:space="0" w:color="auto"/>
              <w:left w:val="single" w:sz="4" w:space="0" w:color="auto"/>
              <w:bottom w:val="single" w:sz="4" w:space="0" w:color="auto"/>
              <w:right w:val="single" w:sz="4" w:space="0" w:color="auto"/>
            </w:tcBorders>
            <w:vAlign w:val="bottom"/>
          </w:tcPr>
          <w:p w14:paraId="22487FC3"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363" w:type="pct"/>
            <w:tcBorders>
              <w:top w:val="single" w:sz="4" w:space="0" w:color="auto"/>
              <w:left w:val="single" w:sz="4" w:space="0" w:color="auto"/>
              <w:bottom w:val="single" w:sz="4" w:space="0" w:color="auto"/>
              <w:right w:val="single" w:sz="4" w:space="0" w:color="auto"/>
            </w:tcBorders>
            <w:vAlign w:val="bottom"/>
          </w:tcPr>
          <w:p w14:paraId="525A102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642A06AC"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3B4EED45"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5DF14269"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B4C6E7"/>
            <w:vAlign w:val="bottom"/>
          </w:tcPr>
          <w:p w14:paraId="0B8DA7E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B4C6E7"/>
            <w:vAlign w:val="bottom"/>
          </w:tcPr>
          <w:p w14:paraId="546E7EF6"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2E0998DB"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4139DC3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r>
      <w:tr w:rsidR="00C57618" w:rsidRPr="00590858" w14:paraId="456B9B1D" w14:textId="77777777" w:rsidTr="000D0B4D">
        <w:trPr>
          <w:trHeight w:val="300"/>
          <w:jc w:val="center"/>
        </w:trPr>
        <w:tc>
          <w:tcPr>
            <w:tcW w:w="916" w:type="pct"/>
            <w:tcBorders>
              <w:top w:val="single" w:sz="4" w:space="0" w:color="auto"/>
              <w:left w:val="single" w:sz="4" w:space="0" w:color="auto"/>
              <w:bottom w:val="single" w:sz="4" w:space="0" w:color="auto"/>
              <w:right w:val="single" w:sz="4" w:space="0" w:color="auto"/>
            </w:tcBorders>
            <w:vAlign w:val="bottom"/>
          </w:tcPr>
          <w:p w14:paraId="15DCB076" w14:textId="155984AA" w:rsidR="00C57618" w:rsidRPr="00590858" w:rsidRDefault="00C57618" w:rsidP="000D0B4D">
            <w:pPr>
              <w:rPr>
                <w:iCs/>
                <w:sz w:val="18"/>
                <w:szCs w:val="18"/>
              </w:rPr>
            </w:pPr>
            <w:r w:rsidRPr="00590858">
              <w:rPr>
                <w:rFonts w:eastAsia="Calibri"/>
                <w:iCs/>
                <w:color w:val="000000" w:themeColor="text1"/>
                <w:sz w:val="18"/>
                <w:szCs w:val="18"/>
              </w:rPr>
              <w:t xml:space="preserve">Product </w:t>
            </w:r>
            <w:r w:rsidR="00B46FB4">
              <w:rPr>
                <w:rFonts w:eastAsia="Calibri"/>
                <w:iCs/>
                <w:color w:val="000000" w:themeColor="text1"/>
                <w:sz w:val="18"/>
                <w:szCs w:val="18"/>
              </w:rPr>
              <w:t>5</w:t>
            </w:r>
          </w:p>
        </w:tc>
        <w:tc>
          <w:tcPr>
            <w:tcW w:w="409" w:type="pct"/>
            <w:tcBorders>
              <w:top w:val="single" w:sz="4" w:space="0" w:color="auto"/>
              <w:left w:val="single" w:sz="4" w:space="0" w:color="auto"/>
              <w:bottom w:val="single" w:sz="4" w:space="0" w:color="auto"/>
              <w:right w:val="single" w:sz="4" w:space="0" w:color="auto"/>
            </w:tcBorders>
            <w:vAlign w:val="bottom"/>
          </w:tcPr>
          <w:p w14:paraId="4E6A4920"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363" w:type="pct"/>
            <w:tcBorders>
              <w:top w:val="single" w:sz="4" w:space="0" w:color="auto"/>
              <w:left w:val="single" w:sz="4" w:space="0" w:color="auto"/>
              <w:bottom w:val="single" w:sz="4" w:space="0" w:color="auto"/>
              <w:right w:val="single" w:sz="4" w:space="0" w:color="auto"/>
            </w:tcBorders>
            <w:vAlign w:val="bottom"/>
          </w:tcPr>
          <w:p w14:paraId="5E843B8C"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11ED4B6B"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57730E61"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73FB7627"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10F0AAFC"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B4C6E7"/>
            <w:vAlign w:val="bottom"/>
          </w:tcPr>
          <w:p w14:paraId="7BDC3FEA"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4B8CE0F4" w14:textId="77777777" w:rsidR="00C57618" w:rsidRPr="00590858" w:rsidRDefault="00C57618" w:rsidP="000D0B4D">
            <w:pPr>
              <w:rPr>
                <w:iCs/>
                <w:sz w:val="18"/>
                <w:szCs w:val="18"/>
              </w:rPr>
            </w:pPr>
            <w:r w:rsidRPr="00590858">
              <w:rPr>
                <w:rFonts w:eastAsia="Calibri"/>
                <w:iCs/>
                <w:color w:val="000000" w:themeColor="text1"/>
                <w:sz w:val="18"/>
                <w:szCs w:val="18"/>
              </w:rPr>
              <w:t xml:space="preserve"> </w:t>
            </w:r>
          </w:p>
        </w:tc>
        <w:tc>
          <w:tcPr>
            <w:tcW w:w="473" w:type="pct"/>
            <w:tcBorders>
              <w:top w:val="single" w:sz="4" w:space="0" w:color="auto"/>
              <w:left w:val="single" w:sz="4" w:space="0" w:color="auto"/>
              <w:bottom w:val="single" w:sz="4" w:space="0" w:color="auto"/>
              <w:right w:val="single" w:sz="4" w:space="0" w:color="auto"/>
            </w:tcBorders>
            <w:vAlign w:val="bottom"/>
          </w:tcPr>
          <w:p w14:paraId="769ECEAC" w14:textId="77777777" w:rsidR="00C57618" w:rsidRPr="00590858" w:rsidRDefault="00C57618" w:rsidP="000D0B4D">
            <w:pPr>
              <w:rPr>
                <w:rFonts w:eastAsia="Calibri"/>
                <w:iCs/>
                <w:color w:val="000000" w:themeColor="text1"/>
                <w:sz w:val="18"/>
                <w:szCs w:val="18"/>
              </w:rPr>
            </w:pPr>
          </w:p>
        </w:tc>
      </w:tr>
    </w:tbl>
    <w:p w14:paraId="4C2A807A" w14:textId="77777777" w:rsidR="00C57618" w:rsidRPr="00590858" w:rsidRDefault="00C57618" w:rsidP="00C57618">
      <w:pPr>
        <w:tabs>
          <w:tab w:val="left" w:pos="900"/>
        </w:tabs>
        <w:spacing w:line="276" w:lineRule="auto"/>
        <w:contextualSpacing/>
        <w:jc w:val="both"/>
        <w:rPr>
          <w:rFonts w:eastAsiaTheme="minorHAnsi"/>
          <w:b/>
          <w:iCs/>
          <w:sz w:val="22"/>
          <w:szCs w:val="22"/>
          <w:u w:val="single"/>
        </w:rPr>
      </w:pPr>
    </w:p>
    <w:p w14:paraId="158F931A"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Reporting Requirements</w:t>
      </w:r>
    </w:p>
    <w:p w14:paraId="400B0A90" w14:textId="77777777" w:rsidR="00C57618" w:rsidRPr="00590858" w:rsidRDefault="00C57618" w:rsidP="00C57618">
      <w:pPr>
        <w:spacing w:line="276" w:lineRule="auto"/>
        <w:rPr>
          <w:rFonts w:eastAsiaTheme="minorHAnsi"/>
          <w:b/>
          <w:iCs/>
          <w:sz w:val="22"/>
          <w:szCs w:val="22"/>
          <w:u w:val="single"/>
        </w:rPr>
      </w:pPr>
    </w:p>
    <w:p w14:paraId="02A1000C" w14:textId="3397E593" w:rsidR="00C57618" w:rsidRPr="00590858" w:rsidRDefault="00C57618" w:rsidP="00C57618">
      <w:pPr>
        <w:numPr>
          <w:ilvl w:val="1"/>
          <w:numId w:val="1"/>
        </w:numPr>
        <w:autoSpaceDE/>
        <w:autoSpaceDN/>
        <w:adjustRightInd/>
        <w:spacing w:after="240" w:line="276" w:lineRule="auto"/>
        <w:ind w:left="720" w:hanging="720"/>
        <w:jc w:val="both"/>
        <w:rPr>
          <w:rFonts w:eastAsiaTheme="minorHAnsi"/>
          <w:iCs/>
          <w:sz w:val="22"/>
          <w:szCs w:val="22"/>
        </w:rPr>
      </w:pPr>
      <w:r w:rsidRPr="00590858">
        <w:rPr>
          <w:rFonts w:eastAsiaTheme="minorHAnsi"/>
          <w:iCs/>
          <w:sz w:val="22"/>
          <w:szCs w:val="22"/>
        </w:rPr>
        <w:t>The firm will be required to send progress reports every 15 days with progress o</w:t>
      </w:r>
      <w:r w:rsidR="00861892">
        <w:rPr>
          <w:rFonts w:eastAsiaTheme="minorHAnsi"/>
          <w:iCs/>
          <w:sz w:val="22"/>
          <w:szCs w:val="22"/>
        </w:rPr>
        <w:t>r</w:t>
      </w:r>
      <w:r w:rsidRPr="00590858">
        <w:rPr>
          <w:rFonts w:eastAsiaTheme="minorHAnsi"/>
          <w:iCs/>
          <w:sz w:val="22"/>
          <w:szCs w:val="22"/>
        </w:rPr>
        <w:t xml:space="preserve"> products and plans for the remainder of the project. </w:t>
      </w:r>
    </w:p>
    <w:p w14:paraId="758B75A4"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Acceptance Criteria</w:t>
      </w:r>
    </w:p>
    <w:p w14:paraId="022D1802" w14:textId="77777777" w:rsidR="00C57618" w:rsidRPr="00590858" w:rsidRDefault="00C57618" w:rsidP="00C57618">
      <w:pPr>
        <w:shd w:val="clear" w:color="auto" w:fill="FFFFFF"/>
        <w:rPr>
          <w:iCs/>
          <w:sz w:val="22"/>
          <w:szCs w:val="22"/>
          <w:lang w:val="en-GB"/>
        </w:rPr>
      </w:pPr>
    </w:p>
    <w:p w14:paraId="16FEBFD9" w14:textId="334E9429" w:rsidR="00C57618" w:rsidRPr="00590858" w:rsidRDefault="00C57618" w:rsidP="00C57618">
      <w:pPr>
        <w:numPr>
          <w:ilvl w:val="1"/>
          <w:numId w:val="1"/>
        </w:numPr>
        <w:autoSpaceDE/>
        <w:autoSpaceDN/>
        <w:adjustRightInd/>
        <w:spacing w:after="240" w:line="276" w:lineRule="auto"/>
        <w:ind w:left="720" w:hanging="720"/>
        <w:jc w:val="both"/>
        <w:rPr>
          <w:rFonts w:eastAsiaTheme="minorHAnsi"/>
          <w:iCs/>
          <w:sz w:val="22"/>
          <w:szCs w:val="22"/>
        </w:rPr>
      </w:pPr>
      <w:r w:rsidRPr="00590858">
        <w:rPr>
          <w:rFonts w:eastAsiaTheme="minorHAnsi"/>
          <w:iCs/>
          <w:sz w:val="22"/>
          <w:szCs w:val="22"/>
        </w:rPr>
        <w:lastRenderedPageBreak/>
        <w:t xml:space="preserve">Responsible person: Luis Tejerina, Sector </w:t>
      </w:r>
      <w:r w:rsidR="00B46FB4">
        <w:rPr>
          <w:rFonts w:eastAsiaTheme="minorHAnsi"/>
          <w:iCs/>
          <w:sz w:val="22"/>
          <w:szCs w:val="22"/>
        </w:rPr>
        <w:t>L</w:t>
      </w:r>
      <w:r w:rsidRPr="00590858">
        <w:rPr>
          <w:rFonts w:eastAsiaTheme="minorHAnsi"/>
          <w:iCs/>
          <w:sz w:val="22"/>
          <w:szCs w:val="22"/>
        </w:rPr>
        <w:t xml:space="preserve">ead </w:t>
      </w:r>
      <w:r w:rsidR="00B46FB4">
        <w:rPr>
          <w:rFonts w:eastAsiaTheme="minorHAnsi"/>
          <w:iCs/>
          <w:sz w:val="22"/>
          <w:szCs w:val="22"/>
        </w:rPr>
        <w:t>s</w:t>
      </w:r>
      <w:r w:rsidRPr="00590858">
        <w:rPr>
          <w:rFonts w:eastAsiaTheme="minorHAnsi"/>
          <w:iCs/>
          <w:sz w:val="22"/>
          <w:szCs w:val="22"/>
        </w:rPr>
        <w:t>pecialist of Economics in Social Protection and Health Division</w:t>
      </w:r>
    </w:p>
    <w:p w14:paraId="4612A760"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u w:val="single"/>
        </w:rPr>
        <w:t>Other Requirements</w:t>
      </w:r>
    </w:p>
    <w:p w14:paraId="54ABD98D" w14:textId="77777777" w:rsidR="00C57618" w:rsidRPr="00590858" w:rsidRDefault="00C57618" w:rsidP="00C57618">
      <w:pPr>
        <w:shd w:val="clear" w:color="auto" w:fill="FFFFFF"/>
        <w:spacing w:line="276" w:lineRule="auto"/>
        <w:contextualSpacing/>
        <w:rPr>
          <w:rFonts w:eastAsiaTheme="minorHAnsi"/>
          <w:iCs/>
          <w:sz w:val="22"/>
          <w:szCs w:val="22"/>
        </w:rPr>
      </w:pPr>
    </w:p>
    <w:p w14:paraId="5FC5E198" w14:textId="00AB187C" w:rsidR="00C57618" w:rsidRPr="00590858" w:rsidRDefault="00C57618" w:rsidP="00C57618">
      <w:pPr>
        <w:numPr>
          <w:ilvl w:val="1"/>
          <w:numId w:val="1"/>
        </w:numPr>
        <w:autoSpaceDE/>
        <w:autoSpaceDN/>
        <w:adjustRightInd/>
        <w:spacing w:line="276" w:lineRule="auto"/>
        <w:ind w:left="720" w:hanging="720"/>
        <w:jc w:val="both"/>
        <w:rPr>
          <w:rFonts w:eastAsiaTheme="minorHAnsi"/>
          <w:iCs/>
          <w:sz w:val="22"/>
          <w:szCs w:val="22"/>
        </w:rPr>
      </w:pPr>
      <w:r w:rsidRPr="00590858">
        <w:rPr>
          <w:rFonts w:eastAsiaTheme="minorHAnsi"/>
          <w:iCs/>
          <w:sz w:val="22"/>
          <w:szCs w:val="22"/>
        </w:rPr>
        <w:t xml:space="preserve">Expertise in </w:t>
      </w:r>
      <w:r w:rsidR="003D524C">
        <w:rPr>
          <w:rFonts w:eastAsiaTheme="minorHAnsi"/>
          <w:iCs/>
          <w:sz w:val="22"/>
          <w:szCs w:val="22"/>
        </w:rPr>
        <w:t xml:space="preserve">the </w:t>
      </w:r>
      <w:r w:rsidRPr="00590858">
        <w:rPr>
          <w:rFonts w:eastAsiaTheme="minorHAnsi"/>
          <w:iCs/>
          <w:sz w:val="22"/>
          <w:szCs w:val="22"/>
        </w:rPr>
        <w:t>Korean public emergency response system</w:t>
      </w:r>
    </w:p>
    <w:p w14:paraId="456C6939" w14:textId="77777777" w:rsidR="00C57618" w:rsidRPr="00590858" w:rsidRDefault="00C57618" w:rsidP="00C57618">
      <w:pPr>
        <w:numPr>
          <w:ilvl w:val="1"/>
          <w:numId w:val="1"/>
        </w:numPr>
        <w:autoSpaceDE/>
        <w:autoSpaceDN/>
        <w:adjustRightInd/>
        <w:spacing w:line="276" w:lineRule="auto"/>
        <w:ind w:left="720" w:hanging="720"/>
        <w:jc w:val="both"/>
        <w:rPr>
          <w:rFonts w:eastAsiaTheme="minorHAnsi"/>
          <w:iCs/>
          <w:sz w:val="22"/>
          <w:szCs w:val="22"/>
        </w:rPr>
      </w:pPr>
      <w:r w:rsidRPr="00590858">
        <w:rPr>
          <w:rFonts w:eastAsiaTheme="minorHAnsi"/>
          <w:iCs/>
          <w:sz w:val="22"/>
          <w:szCs w:val="22"/>
        </w:rPr>
        <w:t>Prior experience working with Korean Centers for Disease Control and Prevention is highly valued.</w:t>
      </w:r>
    </w:p>
    <w:p w14:paraId="6B0D83D9" w14:textId="77777777" w:rsidR="00C57618" w:rsidRPr="00590858" w:rsidRDefault="00C57618" w:rsidP="00C57618">
      <w:pPr>
        <w:numPr>
          <w:ilvl w:val="1"/>
          <w:numId w:val="1"/>
        </w:numPr>
        <w:autoSpaceDE/>
        <w:autoSpaceDN/>
        <w:adjustRightInd/>
        <w:spacing w:line="276" w:lineRule="auto"/>
        <w:ind w:left="720" w:hanging="720"/>
        <w:jc w:val="both"/>
        <w:rPr>
          <w:rFonts w:eastAsiaTheme="minorHAnsi"/>
          <w:bCs/>
          <w:iCs/>
          <w:sz w:val="22"/>
          <w:szCs w:val="22"/>
        </w:rPr>
      </w:pPr>
      <w:r w:rsidRPr="00590858">
        <w:rPr>
          <w:rFonts w:eastAsiaTheme="minorHAnsi"/>
          <w:bCs/>
          <w:iCs/>
          <w:sz w:val="22"/>
          <w:szCs w:val="22"/>
        </w:rPr>
        <w:t>Consanguinity: You have no family members (up to fourth degree of consanguinity and second degree of affinity, including spouse) working at the IDB Group.</w:t>
      </w:r>
    </w:p>
    <w:p w14:paraId="00881B5D" w14:textId="77777777" w:rsidR="00C57618" w:rsidRPr="00590858" w:rsidRDefault="00C57618" w:rsidP="00C57618">
      <w:pPr>
        <w:numPr>
          <w:ilvl w:val="1"/>
          <w:numId w:val="1"/>
        </w:numPr>
        <w:autoSpaceDE/>
        <w:autoSpaceDN/>
        <w:adjustRightInd/>
        <w:spacing w:line="276" w:lineRule="auto"/>
        <w:ind w:left="720" w:hanging="720"/>
        <w:jc w:val="both"/>
        <w:rPr>
          <w:rFonts w:eastAsiaTheme="minorHAnsi"/>
          <w:bCs/>
          <w:iCs/>
          <w:sz w:val="22"/>
          <w:szCs w:val="22"/>
        </w:rPr>
      </w:pPr>
      <w:r w:rsidRPr="00590858">
        <w:rPr>
          <w:rFonts w:eastAsiaTheme="minorHAnsi"/>
          <w:bCs/>
          <w:iCs/>
          <w:sz w:val="22"/>
          <w:szCs w:val="22"/>
        </w:rPr>
        <w:t>Education: Team should include an epidemiologist with at least 5 years of experience in the analysis of emergency response systems</w:t>
      </w:r>
    </w:p>
    <w:p w14:paraId="008E7842" w14:textId="77777777" w:rsidR="00C57618" w:rsidRPr="00590858" w:rsidRDefault="00C57618" w:rsidP="00C57618">
      <w:pPr>
        <w:numPr>
          <w:ilvl w:val="1"/>
          <w:numId w:val="1"/>
        </w:numPr>
        <w:autoSpaceDE/>
        <w:autoSpaceDN/>
        <w:adjustRightInd/>
        <w:spacing w:line="276" w:lineRule="auto"/>
        <w:ind w:left="720" w:hanging="720"/>
        <w:jc w:val="both"/>
        <w:rPr>
          <w:rFonts w:eastAsiaTheme="minorHAnsi"/>
          <w:bCs/>
          <w:iCs/>
          <w:sz w:val="22"/>
          <w:szCs w:val="22"/>
        </w:rPr>
      </w:pPr>
      <w:r w:rsidRPr="00590858">
        <w:rPr>
          <w:rFonts w:eastAsiaTheme="minorHAnsi"/>
          <w:bCs/>
          <w:iCs/>
          <w:sz w:val="22"/>
          <w:szCs w:val="22"/>
        </w:rPr>
        <w:t xml:space="preserve">Experience: Understanding of the Korean emergency response system. At least 5 years of experience in analyzing emergency response systems of other countries. </w:t>
      </w:r>
    </w:p>
    <w:p w14:paraId="74A83BAA" w14:textId="77777777" w:rsidR="00C57618" w:rsidRPr="00590858" w:rsidRDefault="00C57618" w:rsidP="00C57618">
      <w:pPr>
        <w:numPr>
          <w:ilvl w:val="1"/>
          <w:numId w:val="1"/>
        </w:numPr>
        <w:autoSpaceDE/>
        <w:autoSpaceDN/>
        <w:adjustRightInd/>
        <w:spacing w:line="276" w:lineRule="auto"/>
        <w:ind w:left="720" w:hanging="720"/>
        <w:jc w:val="both"/>
        <w:rPr>
          <w:iCs/>
          <w:sz w:val="22"/>
          <w:szCs w:val="22"/>
        </w:rPr>
      </w:pPr>
      <w:r w:rsidRPr="00590858">
        <w:rPr>
          <w:iCs/>
          <w:sz w:val="22"/>
          <w:szCs w:val="22"/>
        </w:rPr>
        <w:t>Languages: English and Korean</w:t>
      </w:r>
    </w:p>
    <w:p w14:paraId="7505DD3B" w14:textId="77777777" w:rsidR="00C57618" w:rsidRPr="00590858" w:rsidRDefault="00C57618" w:rsidP="00C57618">
      <w:pPr>
        <w:spacing w:line="276" w:lineRule="auto"/>
        <w:ind w:left="720"/>
        <w:jc w:val="both"/>
        <w:rPr>
          <w:iCs/>
          <w:sz w:val="22"/>
          <w:szCs w:val="22"/>
        </w:rPr>
      </w:pPr>
    </w:p>
    <w:p w14:paraId="7D05044F" w14:textId="77777777" w:rsidR="00C57618" w:rsidRPr="00590858" w:rsidRDefault="00C57618" w:rsidP="00C57618">
      <w:pPr>
        <w:numPr>
          <w:ilvl w:val="0"/>
          <w:numId w:val="1"/>
        </w:numPr>
        <w:autoSpaceDE/>
        <w:autoSpaceDN/>
        <w:adjustRightInd/>
        <w:spacing w:line="276" w:lineRule="auto"/>
        <w:contextualSpacing/>
        <w:rPr>
          <w:rFonts w:eastAsiaTheme="minorHAnsi"/>
          <w:b/>
          <w:iCs/>
          <w:sz w:val="22"/>
          <w:szCs w:val="22"/>
          <w:u w:val="single"/>
        </w:rPr>
      </w:pPr>
      <w:r w:rsidRPr="00590858">
        <w:rPr>
          <w:rFonts w:eastAsiaTheme="minorHAnsi"/>
          <w:b/>
          <w:iCs/>
          <w:sz w:val="22"/>
          <w:szCs w:val="22"/>
        </w:rPr>
        <w:t xml:space="preserve"> </w:t>
      </w:r>
      <w:r w:rsidRPr="00590858">
        <w:rPr>
          <w:rFonts w:eastAsiaTheme="minorHAnsi"/>
          <w:b/>
          <w:iCs/>
          <w:sz w:val="22"/>
          <w:szCs w:val="22"/>
          <w:u w:val="single"/>
        </w:rPr>
        <w:t>Supervision and Reporting</w:t>
      </w:r>
    </w:p>
    <w:p w14:paraId="44834FD9" w14:textId="77777777" w:rsidR="00C57618" w:rsidRPr="00590858" w:rsidRDefault="00C57618" w:rsidP="00C57618">
      <w:pPr>
        <w:spacing w:line="276" w:lineRule="auto"/>
        <w:ind w:left="360"/>
        <w:contextualSpacing/>
        <w:rPr>
          <w:rFonts w:eastAsiaTheme="minorHAnsi"/>
          <w:b/>
          <w:iCs/>
          <w:sz w:val="22"/>
          <w:szCs w:val="22"/>
          <w:u w:val="single"/>
        </w:rPr>
      </w:pPr>
    </w:p>
    <w:p w14:paraId="7C9B0920"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iCs/>
          <w:sz w:val="22"/>
          <w:szCs w:val="22"/>
        </w:rPr>
      </w:pPr>
      <w:r w:rsidRPr="00590858">
        <w:rPr>
          <w:rFonts w:eastAsiaTheme="minorHAnsi"/>
          <w:iCs/>
          <w:sz w:val="22"/>
          <w:szCs w:val="22"/>
        </w:rPr>
        <w:t>Responsible persons: Luis Tejerina, Sector lead specialist of Economics in Social Protection and Health Division/ Social Sector, will accept the products.</w:t>
      </w:r>
    </w:p>
    <w:p w14:paraId="62BA13E6" w14:textId="77777777" w:rsidR="00C57618" w:rsidRPr="00590858" w:rsidRDefault="00C57618" w:rsidP="00C57618">
      <w:pPr>
        <w:pStyle w:val="ListParagraph"/>
        <w:numPr>
          <w:ilvl w:val="0"/>
          <w:numId w:val="1"/>
        </w:numPr>
        <w:ind w:right="-10"/>
        <w:jc w:val="both"/>
        <w:rPr>
          <w:rFonts w:ascii="Arial" w:hAnsi="Arial" w:cs="Arial"/>
          <w:b/>
          <w:iCs/>
          <w:sz w:val="22"/>
          <w:szCs w:val="22"/>
          <w:u w:val="single"/>
        </w:rPr>
      </w:pPr>
      <w:r w:rsidRPr="00590858">
        <w:rPr>
          <w:rFonts w:ascii="Arial" w:hAnsi="Arial" w:cs="Arial"/>
          <w:b/>
          <w:iCs/>
          <w:sz w:val="22"/>
          <w:szCs w:val="22"/>
          <w:u w:val="single"/>
        </w:rPr>
        <w:t>Schedule of Payments</w:t>
      </w:r>
    </w:p>
    <w:p w14:paraId="179A4163" w14:textId="77777777" w:rsidR="00C57618" w:rsidRPr="00590858" w:rsidRDefault="00C57618" w:rsidP="00C57618">
      <w:pPr>
        <w:pStyle w:val="ListParagraph"/>
        <w:ind w:left="360" w:right="-10"/>
        <w:jc w:val="both"/>
        <w:rPr>
          <w:rFonts w:ascii="Arial" w:hAnsi="Arial" w:cs="Arial"/>
          <w:b/>
          <w:iCs/>
          <w:sz w:val="22"/>
          <w:szCs w:val="22"/>
        </w:rPr>
      </w:pPr>
    </w:p>
    <w:p w14:paraId="13CB3CD9"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iCs/>
          <w:sz w:val="22"/>
          <w:szCs w:val="22"/>
        </w:rPr>
      </w:pPr>
      <w:r w:rsidRPr="00590858">
        <w:rPr>
          <w:rFonts w:eastAsiaTheme="minorHAnsi"/>
          <w:iCs/>
          <w:sz w:val="22"/>
          <w:szCs w:val="22"/>
        </w:rPr>
        <w:t>Payment terms will be based on project milestones or deliverables.  The Bank does not expect to make advance payments under consulting contracts unless a significant amount of travel is required.  The Bank wishes to receive the most competitive cost proposal for the services described herein.</w:t>
      </w:r>
    </w:p>
    <w:p w14:paraId="76EA080D" w14:textId="77777777" w:rsidR="00C57618" w:rsidRPr="00590858" w:rsidRDefault="00C57618" w:rsidP="00C57618">
      <w:pPr>
        <w:numPr>
          <w:ilvl w:val="1"/>
          <w:numId w:val="1"/>
        </w:numPr>
        <w:autoSpaceDE/>
        <w:autoSpaceDN/>
        <w:adjustRightInd/>
        <w:spacing w:after="240" w:line="276" w:lineRule="auto"/>
        <w:ind w:left="720" w:hanging="720"/>
        <w:jc w:val="both"/>
        <w:rPr>
          <w:rFonts w:eastAsiaTheme="minorHAnsi"/>
          <w:iCs/>
          <w:sz w:val="22"/>
          <w:szCs w:val="22"/>
        </w:rPr>
      </w:pPr>
      <w:r w:rsidRPr="00590858">
        <w:rPr>
          <w:rFonts w:eastAsiaTheme="minorHAnsi"/>
          <w:iCs/>
          <w:sz w:val="22"/>
          <w:szCs w:val="22"/>
        </w:rPr>
        <w:t xml:space="preserve">The IDB Official Exchange Rate indicated in the RFP will be applied for necessary conversions of local currency payments. </w:t>
      </w:r>
    </w:p>
    <w:tbl>
      <w:tblPr>
        <w:tblStyle w:val="TableGrid"/>
        <w:tblW w:w="5000" w:type="pct"/>
        <w:tblLook w:val="04A0" w:firstRow="1" w:lastRow="0" w:firstColumn="1" w:lastColumn="0" w:noHBand="0" w:noVBand="1"/>
      </w:tblPr>
      <w:tblGrid>
        <w:gridCol w:w="4860"/>
        <w:gridCol w:w="4490"/>
      </w:tblGrid>
      <w:tr w:rsidR="00C57618" w:rsidRPr="00590858" w14:paraId="4471F06F" w14:textId="77777777" w:rsidTr="000D0B4D">
        <w:trPr>
          <w:trHeight w:val="218"/>
        </w:trPr>
        <w:tc>
          <w:tcPr>
            <w:tcW w:w="5000" w:type="pct"/>
            <w:gridSpan w:val="2"/>
          </w:tcPr>
          <w:p w14:paraId="0B43D5E9" w14:textId="77777777" w:rsidR="00C57618" w:rsidRPr="00590858" w:rsidRDefault="00C57618" w:rsidP="000D0B4D">
            <w:pPr>
              <w:pStyle w:val="ListParagraph"/>
              <w:ind w:left="0" w:right="-10"/>
              <w:jc w:val="center"/>
              <w:rPr>
                <w:rFonts w:ascii="Arial" w:hAnsi="Arial" w:cs="Arial"/>
                <w:b/>
                <w:iCs/>
                <w:sz w:val="22"/>
                <w:szCs w:val="22"/>
              </w:rPr>
            </w:pPr>
            <w:r w:rsidRPr="00590858">
              <w:rPr>
                <w:rFonts w:ascii="Arial" w:hAnsi="Arial" w:cs="Arial"/>
                <w:b/>
                <w:iCs/>
                <w:sz w:val="22"/>
                <w:szCs w:val="22"/>
              </w:rPr>
              <w:t>Payment Schedule</w:t>
            </w:r>
          </w:p>
        </w:tc>
      </w:tr>
      <w:tr w:rsidR="00C57618" w:rsidRPr="00590858" w14:paraId="6FD70776" w14:textId="77777777" w:rsidTr="000D0B4D">
        <w:trPr>
          <w:trHeight w:val="149"/>
        </w:trPr>
        <w:tc>
          <w:tcPr>
            <w:tcW w:w="2599" w:type="pct"/>
          </w:tcPr>
          <w:p w14:paraId="6221B348" w14:textId="77777777" w:rsidR="00C57618" w:rsidRPr="00590858" w:rsidRDefault="00C57618" w:rsidP="000D0B4D">
            <w:pPr>
              <w:pStyle w:val="ListParagraph"/>
              <w:ind w:right="-10"/>
              <w:jc w:val="center"/>
              <w:rPr>
                <w:rFonts w:ascii="Arial" w:hAnsi="Arial" w:cs="Arial"/>
                <w:b/>
                <w:iCs/>
                <w:sz w:val="22"/>
                <w:szCs w:val="22"/>
              </w:rPr>
            </w:pPr>
            <w:r w:rsidRPr="00590858">
              <w:rPr>
                <w:rFonts w:ascii="Arial" w:hAnsi="Arial" w:cs="Arial"/>
                <w:b/>
                <w:iCs/>
                <w:sz w:val="22"/>
                <w:szCs w:val="22"/>
              </w:rPr>
              <w:t>Deliverable</w:t>
            </w:r>
          </w:p>
        </w:tc>
        <w:tc>
          <w:tcPr>
            <w:tcW w:w="2401" w:type="pct"/>
          </w:tcPr>
          <w:p w14:paraId="41E7ACA5" w14:textId="77777777" w:rsidR="00C57618" w:rsidRPr="00590858" w:rsidRDefault="00C57618" w:rsidP="000D0B4D">
            <w:pPr>
              <w:pStyle w:val="ListParagraph"/>
              <w:ind w:left="0" w:right="-10"/>
              <w:jc w:val="center"/>
              <w:rPr>
                <w:rFonts w:ascii="Arial" w:hAnsi="Arial" w:cs="Arial"/>
                <w:b/>
                <w:iCs/>
                <w:sz w:val="22"/>
                <w:szCs w:val="22"/>
              </w:rPr>
            </w:pPr>
            <w:r w:rsidRPr="00590858">
              <w:rPr>
                <w:rFonts w:ascii="Arial" w:hAnsi="Arial" w:cs="Arial"/>
                <w:b/>
                <w:iCs/>
                <w:sz w:val="22"/>
                <w:szCs w:val="22"/>
              </w:rPr>
              <w:t>%</w:t>
            </w:r>
          </w:p>
        </w:tc>
      </w:tr>
      <w:tr w:rsidR="00C57618" w:rsidRPr="00590858" w14:paraId="7D78E3DE" w14:textId="77777777" w:rsidTr="000D0B4D">
        <w:trPr>
          <w:trHeight w:val="357"/>
        </w:trPr>
        <w:tc>
          <w:tcPr>
            <w:tcW w:w="2599" w:type="pct"/>
          </w:tcPr>
          <w:p w14:paraId="27462BAF" w14:textId="77777777" w:rsidR="00C57618" w:rsidRPr="00590858" w:rsidRDefault="00C57618" w:rsidP="000D0B4D">
            <w:pPr>
              <w:pStyle w:val="ListParagraph"/>
              <w:ind w:right="-10"/>
              <w:jc w:val="center"/>
              <w:rPr>
                <w:rFonts w:ascii="Arial" w:hAnsi="Arial" w:cs="Arial"/>
                <w:iCs/>
                <w:sz w:val="22"/>
                <w:szCs w:val="22"/>
              </w:rPr>
            </w:pPr>
            <w:r w:rsidRPr="00590858">
              <w:rPr>
                <w:rFonts w:ascii="Arial" w:hAnsi="Arial" w:cs="Arial"/>
                <w:iCs/>
                <w:sz w:val="22"/>
                <w:szCs w:val="22"/>
              </w:rPr>
              <w:t>Product 1</w:t>
            </w:r>
          </w:p>
        </w:tc>
        <w:tc>
          <w:tcPr>
            <w:tcW w:w="2401" w:type="pct"/>
          </w:tcPr>
          <w:p w14:paraId="4A06AF1E" w14:textId="77777777" w:rsidR="00C57618" w:rsidRPr="00590858" w:rsidRDefault="00C57618" w:rsidP="000D0B4D">
            <w:pPr>
              <w:pStyle w:val="ListParagraph"/>
              <w:ind w:left="0" w:right="-10"/>
              <w:jc w:val="center"/>
              <w:rPr>
                <w:rFonts w:ascii="Arial" w:hAnsi="Arial" w:cs="Arial"/>
                <w:iCs/>
                <w:sz w:val="22"/>
                <w:szCs w:val="22"/>
              </w:rPr>
            </w:pPr>
            <w:r w:rsidRPr="00590858">
              <w:rPr>
                <w:rFonts w:ascii="Arial" w:hAnsi="Arial" w:cs="Arial"/>
                <w:iCs/>
                <w:sz w:val="22"/>
                <w:szCs w:val="22"/>
              </w:rPr>
              <w:t>10</w:t>
            </w:r>
          </w:p>
        </w:tc>
      </w:tr>
      <w:tr w:rsidR="00C57618" w:rsidRPr="00590858" w14:paraId="103278E0" w14:textId="77777777" w:rsidTr="000D0B4D">
        <w:trPr>
          <w:trHeight w:val="308"/>
        </w:trPr>
        <w:tc>
          <w:tcPr>
            <w:tcW w:w="2599" w:type="pct"/>
          </w:tcPr>
          <w:p w14:paraId="21CAB0EA" w14:textId="77777777" w:rsidR="00C57618" w:rsidRPr="00590858" w:rsidRDefault="00C57618" w:rsidP="000D0B4D">
            <w:pPr>
              <w:pStyle w:val="ListParagraph"/>
              <w:ind w:right="-10"/>
              <w:jc w:val="center"/>
              <w:rPr>
                <w:rFonts w:ascii="Arial" w:hAnsi="Arial" w:cs="Arial"/>
                <w:iCs/>
                <w:sz w:val="22"/>
                <w:szCs w:val="22"/>
              </w:rPr>
            </w:pPr>
            <w:r w:rsidRPr="00590858">
              <w:rPr>
                <w:rFonts w:ascii="Arial" w:hAnsi="Arial" w:cs="Arial"/>
                <w:iCs/>
                <w:sz w:val="22"/>
                <w:szCs w:val="22"/>
              </w:rPr>
              <w:t>Product 2</w:t>
            </w:r>
          </w:p>
        </w:tc>
        <w:tc>
          <w:tcPr>
            <w:tcW w:w="2401" w:type="pct"/>
          </w:tcPr>
          <w:p w14:paraId="77F1BED2" w14:textId="77777777" w:rsidR="00C57618" w:rsidRPr="00590858" w:rsidRDefault="00C57618" w:rsidP="000D0B4D">
            <w:pPr>
              <w:pStyle w:val="ListParagraph"/>
              <w:ind w:left="0" w:right="-10"/>
              <w:jc w:val="center"/>
              <w:rPr>
                <w:rFonts w:ascii="Arial" w:hAnsi="Arial" w:cs="Arial"/>
                <w:iCs/>
                <w:sz w:val="22"/>
                <w:szCs w:val="22"/>
              </w:rPr>
            </w:pPr>
            <w:r w:rsidRPr="00590858">
              <w:rPr>
                <w:rFonts w:ascii="Arial" w:hAnsi="Arial" w:cs="Arial"/>
                <w:iCs/>
                <w:sz w:val="22"/>
                <w:szCs w:val="22"/>
              </w:rPr>
              <w:t>10</w:t>
            </w:r>
          </w:p>
        </w:tc>
      </w:tr>
      <w:tr w:rsidR="00C57618" w:rsidRPr="00590858" w14:paraId="4C7AA501" w14:textId="77777777" w:rsidTr="000D0B4D">
        <w:trPr>
          <w:trHeight w:val="298"/>
        </w:trPr>
        <w:tc>
          <w:tcPr>
            <w:tcW w:w="2599" w:type="pct"/>
          </w:tcPr>
          <w:p w14:paraId="7B53E324" w14:textId="77777777" w:rsidR="00C57618" w:rsidRPr="00590858" w:rsidRDefault="00C57618" w:rsidP="000D0B4D">
            <w:pPr>
              <w:pStyle w:val="ListParagraph"/>
              <w:ind w:right="-10"/>
              <w:jc w:val="center"/>
              <w:rPr>
                <w:rFonts w:ascii="Arial" w:hAnsi="Arial" w:cs="Arial"/>
                <w:iCs/>
                <w:sz w:val="22"/>
                <w:szCs w:val="22"/>
              </w:rPr>
            </w:pPr>
            <w:r w:rsidRPr="00590858">
              <w:rPr>
                <w:rFonts w:ascii="Arial" w:hAnsi="Arial" w:cs="Arial"/>
                <w:iCs/>
                <w:sz w:val="22"/>
                <w:szCs w:val="22"/>
              </w:rPr>
              <w:t>Product 3</w:t>
            </w:r>
          </w:p>
        </w:tc>
        <w:tc>
          <w:tcPr>
            <w:tcW w:w="2401" w:type="pct"/>
          </w:tcPr>
          <w:p w14:paraId="5C3DDE01" w14:textId="77777777" w:rsidR="00C57618" w:rsidRPr="00590858" w:rsidRDefault="00C57618" w:rsidP="000D0B4D">
            <w:pPr>
              <w:pStyle w:val="ListParagraph"/>
              <w:ind w:left="0" w:right="-10"/>
              <w:jc w:val="center"/>
              <w:rPr>
                <w:rFonts w:ascii="Arial" w:hAnsi="Arial" w:cs="Arial"/>
                <w:iCs/>
                <w:sz w:val="22"/>
                <w:szCs w:val="22"/>
              </w:rPr>
            </w:pPr>
            <w:r w:rsidRPr="00590858">
              <w:rPr>
                <w:rFonts w:ascii="Arial" w:hAnsi="Arial" w:cs="Arial"/>
                <w:iCs/>
                <w:sz w:val="22"/>
                <w:szCs w:val="22"/>
              </w:rPr>
              <w:t>25</w:t>
            </w:r>
          </w:p>
        </w:tc>
      </w:tr>
      <w:tr w:rsidR="00C57618" w:rsidRPr="00590858" w14:paraId="5E82175F" w14:textId="77777777" w:rsidTr="000D0B4D">
        <w:trPr>
          <w:trHeight w:val="298"/>
        </w:trPr>
        <w:tc>
          <w:tcPr>
            <w:tcW w:w="2599" w:type="pct"/>
          </w:tcPr>
          <w:p w14:paraId="1818ECA2" w14:textId="77777777" w:rsidR="00C57618" w:rsidRPr="00590858" w:rsidRDefault="00C57618" w:rsidP="000D0B4D">
            <w:pPr>
              <w:pStyle w:val="ListParagraph"/>
              <w:ind w:right="-10"/>
              <w:jc w:val="center"/>
              <w:rPr>
                <w:rFonts w:ascii="Arial" w:hAnsi="Arial" w:cs="Arial"/>
                <w:iCs/>
                <w:sz w:val="22"/>
                <w:szCs w:val="22"/>
              </w:rPr>
            </w:pPr>
            <w:r w:rsidRPr="00590858">
              <w:rPr>
                <w:rFonts w:ascii="Arial" w:hAnsi="Arial" w:cs="Arial"/>
                <w:iCs/>
                <w:sz w:val="22"/>
                <w:szCs w:val="22"/>
              </w:rPr>
              <w:t>Product 4</w:t>
            </w:r>
          </w:p>
        </w:tc>
        <w:tc>
          <w:tcPr>
            <w:tcW w:w="2401" w:type="pct"/>
          </w:tcPr>
          <w:p w14:paraId="0F3AD174" w14:textId="1021FC5E" w:rsidR="00C57618" w:rsidRPr="00590858" w:rsidRDefault="00A9237C" w:rsidP="000D0B4D">
            <w:pPr>
              <w:pStyle w:val="ListParagraph"/>
              <w:ind w:left="0" w:right="-10"/>
              <w:jc w:val="center"/>
              <w:rPr>
                <w:rFonts w:ascii="Arial" w:hAnsi="Arial" w:cs="Arial"/>
                <w:iCs/>
                <w:sz w:val="22"/>
                <w:szCs w:val="22"/>
              </w:rPr>
            </w:pPr>
            <w:r>
              <w:rPr>
                <w:rFonts w:ascii="Arial" w:hAnsi="Arial" w:cs="Arial"/>
                <w:iCs/>
                <w:sz w:val="22"/>
                <w:szCs w:val="22"/>
              </w:rPr>
              <w:t>2</w:t>
            </w:r>
            <w:r w:rsidR="00C57618" w:rsidRPr="00590858">
              <w:rPr>
                <w:rFonts w:ascii="Arial" w:hAnsi="Arial" w:cs="Arial"/>
                <w:iCs/>
                <w:sz w:val="22"/>
                <w:szCs w:val="22"/>
              </w:rPr>
              <w:t>5</w:t>
            </w:r>
          </w:p>
        </w:tc>
      </w:tr>
      <w:tr w:rsidR="00C57618" w:rsidRPr="00590858" w14:paraId="628F80DA" w14:textId="77777777" w:rsidTr="000D0B4D">
        <w:trPr>
          <w:trHeight w:val="298"/>
        </w:trPr>
        <w:tc>
          <w:tcPr>
            <w:tcW w:w="2599" w:type="pct"/>
          </w:tcPr>
          <w:p w14:paraId="3FC7753F" w14:textId="77777777" w:rsidR="00C57618" w:rsidRPr="00590858" w:rsidRDefault="00C57618" w:rsidP="000D0B4D">
            <w:pPr>
              <w:pStyle w:val="ListParagraph"/>
              <w:ind w:right="-10"/>
              <w:jc w:val="center"/>
              <w:rPr>
                <w:rFonts w:ascii="Arial" w:hAnsi="Arial" w:cs="Arial"/>
                <w:iCs/>
                <w:sz w:val="22"/>
                <w:szCs w:val="22"/>
              </w:rPr>
            </w:pPr>
            <w:r w:rsidRPr="00590858">
              <w:rPr>
                <w:rFonts w:ascii="Arial" w:hAnsi="Arial" w:cs="Arial"/>
                <w:iCs/>
                <w:sz w:val="22"/>
                <w:szCs w:val="22"/>
              </w:rPr>
              <w:t>Product 5</w:t>
            </w:r>
          </w:p>
        </w:tc>
        <w:tc>
          <w:tcPr>
            <w:tcW w:w="2401" w:type="pct"/>
          </w:tcPr>
          <w:p w14:paraId="61E9D4A4" w14:textId="36E04539" w:rsidR="00C57618" w:rsidRPr="00590858" w:rsidRDefault="00A9237C" w:rsidP="000D0B4D">
            <w:pPr>
              <w:pStyle w:val="ListParagraph"/>
              <w:ind w:left="0" w:right="-10"/>
              <w:jc w:val="center"/>
              <w:rPr>
                <w:rFonts w:ascii="Arial" w:hAnsi="Arial" w:cs="Arial"/>
                <w:iCs/>
                <w:sz w:val="22"/>
                <w:szCs w:val="22"/>
              </w:rPr>
            </w:pPr>
            <w:r>
              <w:rPr>
                <w:rFonts w:ascii="Arial" w:hAnsi="Arial" w:cs="Arial"/>
                <w:iCs/>
                <w:sz w:val="22"/>
                <w:szCs w:val="22"/>
              </w:rPr>
              <w:t>3</w:t>
            </w:r>
            <w:r w:rsidR="00C57618" w:rsidRPr="00590858">
              <w:rPr>
                <w:rFonts w:ascii="Arial" w:hAnsi="Arial" w:cs="Arial"/>
                <w:iCs/>
                <w:sz w:val="22"/>
                <w:szCs w:val="22"/>
              </w:rPr>
              <w:t>0</w:t>
            </w:r>
          </w:p>
        </w:tc>
      </w:tr>
      <w:tr w:rsidR="00C57618" w:rsidRPr="00F37B9D" w14:paraId="13488B63" w14:textId="77777777" w:rsidTr="000D0B4D">
        <w:trPr>
          <w:trHeight w:val="158"/>
        </w:trPr>
        <w:tc>
          <w:tcPr>
            <w:tcW w:w="2599" w:type="pct"/>
          </w:tcPr>
          <w:p w14:paraId="0E5F4212" w14:textId="77777777" w:rsidR="00C57618" w:rsidRPr="00590858" w:rsidRDefault="00C57618" w:rsidP="000D0B4D">
            <w:pPr>
              <w:pStyle w:val="ListParagraph"/>
              <w:ind w:left="0" w:right="-10"/>
              <w:jc w:val="center"/>
              <w:rPr>
                <w:rFonts w:ascii="Arial" w:hAnsi="Arial" w:cs="Arial"/>
                <w:b/>
                <w:iCs/>
                <w:sz w:val="22"/>
                <w:szCs w:val="22"/>
              </w:rPr>
            </w:pPr>
            <w:r w:rsidRPr="00590858">
              <w:rPr>
                <w:rFonts w:ascii="Arial" w:hAnsi="Arial" w:cs="Arial"/>
                <w:b/>
                <w:iCs/>
                <w:sz w:val="22"/>
                <w:szCs w:val="22"/>
              </w:rPr>
              <w:t>TOTAL</w:t>
            </w:r>
          </w:p>
        </w:tc>
        <w:tc>
          <w:tcPr>
            <w:tcW w:w="2401" w:type="pct"/>
          </w:tcPr>
          <w:p w14:paraId="77765FDD" w14:textId="77777777" w:rsidR="00C57618" w:rsidRPr="00F37B9D" w:rsidRDefault="00C57618" w:rsidP="000D0B4D">
            <w:pPr>
              <w:pStyle w:val="ListParagraph"/>
              <w:ind w:left="0" w:right="-10"/>
              <w:jc w:val="center"/>
              <w:rPr>
                <w:rFonts w:ascii="Arial" w:hAnsi="Arial" w:cs="Arial"/>
                <w:b/>
                <w:iCs/>
                <w:sz w:val="22"/>
                <w:szCs w:val="22"/>
              </w:rPr>
            </w:pPr>
            <w:r w:rsidRPr="00590858">
              <w:rPr>
                <w:rFonts w:ascii="Arial" w:hAnsi="Arial" w:cs="Arial"/>
                <w:iCs/>
                <w:sz w:val="22"/>
                <w:szCs w:val="22"/>
              </w:rPr>
              <w:t>100%</w:t>
            </w:r>
          </w:p>
        </w:tc>
      </w:tr>
    </w:tbl>
    <w:p w14:paraId="6118103B" w14:textId="77777777" w:rsidR="00C57618" w:rsidRDefault="00C57618" w:rsidP="00C57618">
      <w:pPr>
        <w:rPr>
          <w:iCs/>
          <w:sz w:val="22"/>
          <w:szCs w:val="22"/>
        </w:rPr>
        <w:sectPr w:rsidR="00C57618">
          <w:headerReference w:type="default" r:id="rId19"/>
          <w:pgSz w:w="12240" w:h="15840"/>
          <w:pgMar w:top="1440" w:right="1440" w:bottom="1440" w:left="1440" w:header="720" w:footer="720" w:gutter="0"/>
          <w:cols w:space="720"/>
          <w:docGrid w:linePitch="360"/>
        </w:sectPr>
      </w:pPr>
    </w:p>
    <w:p w14:paraId="7284FA6C" w14:textId="77777777" w:rsidR="00B5040E" w:rsidRPr="00170248" w:rsidRDefault="00B5040E" w:rsidP="10E76954">
      <w:pPr>
        <w:tabs>
          <w:tab w:val="left" w:pos="4275"/>
        </w:tabs>
        <w:rPr>
          <w:rFonts w:asciiTheme="minorHAnsi" w:hAnsiTheme="minorHAnsi" w:cs="Times New Roman"/>
        </w:rPr>
      </w:pPr>
    </w:p>
    <w:sectPr w:rsidR="00B5040E" w:rsidRPr="00170248">
      <w:headerReference w:type="even" r:id="rId20"/>
      <w:headerReference w:type="default" r:id="rId21"/>
      <w:footerReference w:type="even" r:id="rId22"/>
      <w:footerReference w:type="default" r:id="rId23"/>
      <w:headerReference w:type="first" r:id="rId24"/>
      <w:footerReference w:type="first" r:id="rId2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80E6" w14:textId="77777777" w:rsidR="00590851" w:rsidRDefault="00590851" w:rsidP="0056772C">
      <w:r>
        <w:separator/>
      </w:r>
    </w:p>
  </w:endnote>
  <w:endnote w:type="continuationSeparator" w:id="0">
    <w:p w14:paraId="580E1738" w14:textId="77777777" w:rsidR="00590851" w:rsidRDefault="00590851"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DD94D" w14:textId="77777777" w:rsidR="00590851" w:rsidRDefault="00590851" w:rsidP="0056772C">
      <w:r>
        <w:separator/>
      </w:r>
    </w:p>
  </w:footnote>
  <w:footnote w:type="continuationSeparator" w:id="0">
    <w:p w14:paraId="2B13225F" w14:textId="77777777" w:rsidR="00590851" w:rsidRDefault="00590851"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0833" w14:textId="77777777" w:rsidR="00C57618" w:rsidRDefault="00C57618" w:rsidP="003277B0">
    <w:pPr>
      <w:pStyle w:val="Header"/>
    </w:pPr>
    <w:r>
      <w:rPr>
        <w:noProof/>
      </w:rPr>
      <w:drawing>
        <wp:inline distT="0" distB="0" distL="0" distR="0" wp14:anchorId="42D85D73" wp14:editId="0185D9C0">
          <wp:extent cx="1476375" cy="374495"/>
          <wp:effectExtent l="0" t="0" r="0" b="6985"/>
          <wp:docPr id="211469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6375" cy="374495"/>
                  </a:xfrm>
                  <a:prstGeom prst="rect">
                    <a:avLst/>
                  </a:prstGeom>
                </pic:spPr>
              </pic:pic>
            </a:graphicData>
          </a:graphic>
        </wp:inline>
      </w:drawing>
    </w:r>
    <w:r w:rsidRPr="167407BE">
      <w:rPr>
        <w:i/>
        <w:iCs/>
        <w:color w:val="4F80BD"/>
      </w:rPr>
      <w:t xml:space="preserve">                                                                                 </w:t>
    </w:r>
  </w:p>
  <w:p w14:paraId="2C6E59C8" w14:textId="77777777" w:rsidR="00C57618" w:rsidRPr="006E62D9" w:rsidRDefault="00C57618">
    <w:pPr>
      <w:pStyle w:val="Header"/>
      <w:rPr>
        <w: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1B06"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C9C0" w14:textId="77777777" w:rsidR="0056772C" w:rsidRDefault="005677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65F78"/>
    <w:multiLevelType w:val="multilevel"/>
    <w:tmpl w:val="28EA175A"/>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zQ3MjQyMzI2MzdX0lEKTi0uzszPAykwqQUAboUrDSwAAAA="/>
  </w:docVars>
  <w:rsids>
    <w:rsidRoot w:val="00A37CA7"/>
    <w:rsid w:val="0003493A"/>
    <w:rsid w:val="00050DB5"/>
    <w:rsid w:val="000C118D"/>
    <w:rsid w:val="000F3C1D"/>
    <w:rsid w:val="00114489"/>
    <w:rsid w:val="00170248"/>
    <w:rsid w:val="001D68E0"/>
    <w:rsid w:val="001F2366"/>
    <w:rsid w:val="002C3359"/>
    <w:rsid w:val="002E7B51"/>
    <w:rsid w:val="00360ACB"/>
    <w:rsid w:val="003800C7"/>
    <w:rsid w:val="003C4BA8"/>
    <w:rsid w:val="003C6547"/>
    <w:rsid w:val="003D524C"/>
    <w:rsid w:val="003F5CA1"/>
    <w:rsid w:val="004003E8"/>
    <w:rsid w:val="004160F8"/>
    <w:rsid w:val="00423E38"/>
    <w:rsid w:val="00432656"/>
    <w:rsid w:val="00442879"/>
    <w:rsid w:val="0044356A"/>
    <w:rsid w:val="00481B47"/>
    <w:rsid w:val="004A3654"/>
    <w:rsid w:val="004A57F6"/>
    <w:rsid w:val="004D1120"/>
    <w:rsid w:val="004D51F3"/>
    <w:rsid w:val="0051231A"/>
    <w:rsid w:val="0052634A"/>
    <w:rsid w:val="005359B2"/>
    <w:rsid w:val="00556C08"/>
    <w:rsid w:val="005673D5"/>
    <w:rsid w:val="0056772C"/>
    <w:rsid w:val="005738CE"/>
    <w:rsid w:val="00590851"/>
    <w:rsid w:val="005E0963"/>
    <w:rsid w:val="006071D7"/>
    <w:rsid w:val="00637714"/>
    <w:rsid w:val="00637BD8"/>
    <w:rsid w:val="00650F80"/>
    <w:rsid w:val="00655585"/>
    <w:rsid w:val="00660E90"/>
    <w:rsid w:val="006973CB"/>
    <w:rsid w:val="006C3B20"/>
    <w:rsid w:val="006E32AE"/>
    <w:rsid w:val="00761087"/>
    <w:rsid w:val="0078460F"/>
    <w:rsid w:val="008171F3"/>
    <w:rsid w:val="00827F59"/>
    <w:rsid w:val="00861892"/>
    <w:rsid w:val="00876B4B"/>
    <w:rsid w:val="00891E3C"/>
    <w:rsid w:val="00896803"/>
    <w:rsid w:val="008B63BC"/>
    <w:rsid w:val="008C7908"/>
    <w:rsid w:val="008E16E7"/>
    <w:rsid w:val="008F2366"/>
    <w:rsid w:val="00901303"/>
    <w:rsid w:val="009B448C"/>
    <w:rsid w:val="009B688E"/>
    <w:rsid w:val="009B7014"/>
    <w:rsid w:val="00A15B62"/>
    <w:rsid w:val="00A37CA7"/>
    <w:rsid w:val="00A838F0"/>
    <w:rsid w:val="00A9237C"/>
    <w:rsid w:val="00AD4E78"/>
    <w:rsid w:val="00AD6E3D"/>
    <w:rsid w:val="00AE7268"/>
    <w:rsid w:val="00B17842"/>
    <w:rsid w:val="00B17BF0"/>
    <w:rsid w:val="00B27293"/>
    <w:rsid w:val="00B46794"/>
    <w:rsid w:val="00B46FB4"/>
    <w:rsid w:val="00B5040E"/>
    <w:rsid w:val="00BF0B50"/>
    <w:rsid w:val="00BF3A3D"/>
    <w:rsid w:val="00BF5CD3"/>
    <w:rsid w:val="00C224A3"/>
    <w:rsid w:val="00C27587"/>
    <w:rsid w:val="00C42B39"/>
    <w:rsid w:val="00C439C0"/>
    <w:rsid w:val="00C52D85"/>
    <w:rsid w:val="00C57618"/>
    <w:rsid w:val="00C734E3"/>
    <w:rsid w:val="00CA49B4"/>
    <w:rsid w:val="00CA7C9E"/>
    <w:rsid w:val="00CD36BB"/>
    <w:rsid w:val="00CD4904"/>
    <w:rsid w:val="00CD6189"/>
    <w:rsid w:val="00D27B59"/>
    <w:rsid w:val="00DE327F"/>
    <w:rsid w:val="00E277C5"/>
    <w:rsid w:val="00E925A7"/>
    <w:rsid w:val="00ED4D33"/>
    <w:rsid w:val="00F33ECB"/>
    <w:rsid w:val="00F45D9C"/>
    <w:rsid w:val="00F473B1"/>
    <w:rsid w:val="00F74266"/>
    <w:rsid w:val="10E76954"/>
    <w:rsid w:val="23C30F60"/>
    <w:rsid w:val="2CDD2216"/>
    <w:rsid w:val="4738AB8D"/>
    <w:rsid w:val="633C71E7"/>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96"/>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UnresolvedMention">
    <w:name w:val="Unresolved Mention"/>
    <w:basedOn w:val="DefaultParagraphFont"/>
    <w:uiPriority w:val="99"/>
    <w:semiHidden/>
    <w:unhideWhenUsed/>
    <w:rsid w:val="00C734E3"/>
    <w:rPr>
      <w:color w:val="605E5C"/>
      <w:shd w:val="clear" w:color="auto" w:fill="E1DFDD"/>
    </w:rPr>
  </w:style>
  <w:style w:type="table" w:styleId="TableGrid">
    <w:name w:val="Table Grid"/>
    <w:basedOn w:val="TableNormal"/>
    <w:uiPriority w:val="59"/>
    <w:rsid w:val="00C57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7618"/>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link w:val="ListParagraph"/>
    <w:uiPriority w:val="34"/>
    <w:locked/>
    <w:rsid w:val="00C57618"/>
    <w:rPr>
      <w:rFonts w:ascii="Times New Roman" w:eastAsia="Times New Roman" w:hAnsi="Times New Roman" w:cs="Times New Roman"/>
      <w:sz w:val="20"/>
      <w:szCs w:val="20"/>
      <w:lang w:val="en-US" w:eastAsia="en-US"/>
    </w:rPr>
  </w:style>
  <w:style w:type="paragraph" w:styleId="NormalWeb">
    <w:name w:val="Normal (Web)"/>
    <w:basedOn w:val="Normal"/>
    <w:uiPriority w:val="99"/>
    <w:semiHidden/>
    <w:unhideWhenUsed/>
    <w:rsid w:val="00C57618"/>
    <w:pPr>
      <w:widowControl/>
      <w:autoSpaceDE/>
      <w:autoSpaceDN/>
      <w:adjustRightInd/>
      <w:spacing w:before="100" w:beforeAutospacing="1" w:after="100" w:afterAutospacing="1"/>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88474">
      <w:bodyDiv w:val="1"/>
      <w:marLeft w:val="0"/>
      <w:marRight w:val="0"/>
      <w:marTop w:val="0"/>
      <w:marBottom w:val="0"/>
      <w:divBdr>
        <w:top w:val="none" w:sz="0" w:space="0" w:color="auto"/>
        <w:left w:val="none" w:sz="0" w:space="0" w:color="auto"/>
        <w:bottom w:val="none" w:sz="0" w:space="0" w:color="auto"/>
        <w:right w:val="none" w:sz="0" w:space="0" w:color="auto"/>
      </w:divBdr>
      <w:divsChild>
        <w:div w:id="100061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adb.org/en/project/RG-T3704" TargetMode="External"/><Relationship Id="rId18" Type="http://schemas.openxmlformats.org/officeDocument/2006/relationships/hyperlink" Target="https://convergence.iadb.org/Operation/RG-T3704" TargetMode="External"/><Relationship Id="rId26" Type="http://schemas.openxmlformats.org/officeDocument/2006/relationships/fontTable" Target="fontTable.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 TargetMode="External"/><Relationship Id="rId25" Type="http://schemas.openxmlformats.org/officeDocument/2006/relationships/footer" Target="footer3.xml"/><Relationship Id="rId33" Type="http://schemas.openxmlformats.org/officeDocument/2006/relationships/customXml" Target="../customXml/item6.xml"/><Relationship Id="rId16" Type="http://schemas.openxmlformats.org/officeDocument/2006/relationships/hyperlink" Target="mailto:luist@iadb.org" TargetMode="External"/><Relationship Id="rId20" Type="http://schemas.openxmlformats.org/officeDocument/2006/relationships/header" Target="header2.xml"/><Relationship Id="rId29" Type="http://schemas.openxmlformats.org/officeDocument/2006/relationships/customXml" Target="../customXml/item2.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customXml" Target="../customXml/item5.xml"/><Relationship Id="rId15" Type="http://schemas.openxmlformats.org/officeDocument/2006/relationships/hyperlink" Target="http://idbdocs.iadb.org/wsdocs/getdocument.aspx?DOCNUM=38988574"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90CE5F170290D4488A81AC197CF6E7EF" ma:contentTypeVersion="2843" ma:contentTypeDescription="The base project type from which other project content types inherit their information." ma:contentTypeScope="" ma:versionID="5cd1e4f7d6f7a06942cb3a6d1f762f63">
  <xsd:schema xmlns:xsd="http://www.w3.org/2001/XMLSchema" xmlns:xs="http://www.w3.org/2001/XMLSchema" xmlns:p="http://schemas.microsoft.com/office/2006/metadata/properties" xmlns:ns2="cdc7663a-08f0-4737-9e8c-148ce897a09c" targetNamespace="http://schemas.microsoft.com/office/2006/metadata/properties" ma:root="true" ma:fieldsID="6d16a6fb91214a139625c4361dccbfb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704"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E3A7E44E2072E49854A6AD864911D1D" ma:contentTypeVersion="2843" ma:contentTypeDescription="A content type to manage public (operations) IDB documents" ma:contentTypeScope="" ma:versionID="60399bd2470a5a4ad6ffe64c53e69ec0">
  <xsd:schema xmlns:xsd="http://www.w3.org/2001/XMLSchema" xmlns:xs="http://www.w3.org/2001/XMLSchema" xmlns:p="http://schemas.microsoft.com/office/2006/metadata/properties" xmlns:ns2="cdc7663a-08f0-4737-9e8c-148ce897a09c" targetNamespace="http://schemas.microsoft.com/office/2006/metadata/properties" ma:root="true" ma:fieldsID="b729e9a1784390bde345f631de0e99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70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RG</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Salvatierra Roncal Pilar</Other_x0020_Author>
    <Migration_x0020_Info xmlns="cdc7663a-08f0-4737-9e8c-148ce897a09c" xsi:nil="true"/>
    <Approval_x0020_Number xmlns="cdc7663a-08f0-4737-9e8c-148ce897a09c">ATN/KP-18135-RG</Approval_x0020_Number>
    <Phase xmlns="cdc7663a-08f0-4737-9e8c-148ce897a09c">ACTIVE</Phase>
    <Document_x0020_Author xmlns="cdc7663a-08f0-4737-9e8c-148ce897a09c">Guerra Martha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SA-HSS</TermName>
          <TermId xmlns="http://schemas.microsoft.com/office/infopath/2007/PartnerControls">98be7628-374e-4ecf-a12c-bb48b439037b</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KPR</TermName>
          <TermId xmlns="http://schemas.microsoft.com/office/infopath/2007/PartnerControls">6532625e-d021-44f5-96e1-a6225058695c</TermId>
        </TermInfo>
      </Terms>
    </g511464f9e53401d84b16fa9b379a574>
    <Related_x0020_SisCor_x0020_Number xmlns="cdc7663a-08f0-4737-9e8c-148ce897a09c" xsi:nil="true"/>
    <TaxCatchAll xmlns="cdc7663a-08f0-4737-9e8c-148ce897a09c">
      <Value>116</Value>
      <Value>1576</Value>
      <Value>112</Value>
      <Value>111</Value>
      <Value>44</Value>
      <Value>6</Value>
    </TaxCatchAll>
    <Operation_x0020_Type xmlns="cdc7663a-08f0-4737-9e8c-148ce897a09c">TCP</Operation_x0020_Type>
    <Package_x0020_Code xmlns="cdc7663a-08f0-4737-9e8c-148ce897a09c" xsi:nil="true"/>
    <Identifier xmlns="cdc7663a-08f0-4737-9e8c-148ce897a09c">RG-T3704-P002</Identifier>
    <Project_x0020_Number xmlns="cdc7663a-08f0-4737-9e8c-148ce897a09c">RG-T3704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SA</TermName>
          <TermId xmlns="http://schemas.microsoft.com/office/infopath/2007/PartnerControls">e15154b4-8fa2-4f19-a924-5a9b44dc8218</TermId>
        </TermInfo>
      </Terms>
    </nddeef1749674d76abdbe4b239a70bc6>
    <Record_x0020_Number xmlns="cdc7663a-08f0-4737-9e8c-148ce897a09c" xsi:nil="true"/>
    <_dlc_DocId xmlns="cdc7663a-08f0-4737-9e8c-148ce897a09c">EZSHARE-1833159558-26</_dlc_DocId>
    <_dlc_DocIdUrl xmlns="cdc7663a-08f0-4737-9e8c-148ce897a09c">
      <Url>https://idbg.sharepoint.com/teams/EZ-RG-TCP/RG-T3704/_layouts/15/DocIdRedir.aspx?ID=EZSHARE-1833159558-26</Url>
      <Description>EZSHARE-1833159558-26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Health;</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0B508734-4AF7-464B-83B5-285E7D73813A}"/>
</file>

<file path=customXml/itemProps2.xml><?xml version="1.0" encoding="utf-8"?>
<ds:datastoreItem xmlns:ds="http://schemas.openxmlformats.org/officeDocument/2006/customXml" ds:itemID="{9E012A94-6FDF-4682-9320-CB31DCA890C4}"/>
</file>

<file path=customXml/itemProps3.xml><?xml version="1.0" encoding="utf-8"?>
<ds:datastoreItem xmlns:ds="http://schemas.openxmlformats.org/officeDocument/2006/customXml" ds:itemID="{A1F61ACA-D008-4C3B-A0A9-F66FB05C07AD}"/>
</file>

<file path=customXml/itemProps4.xml><?xml version="1.0" encoding="utf-8"?>
<ds:datastoreItem xmlns:ds="http://schemas.openxmlformats.org/officeDocument/2006/customXml" ds:itemID="{E08DC4AC-8CBE-44D6-A474-E7E8CBF0B940}"/>
</file>

<file path=customXml/itemProps5.xml><?xml version="1.0" encoding="utf-8"?>
<ds:datastoreItem xmlns:ds="http://schemas.openxmlformats.org/officeDocument/2006/customXml" ds:itemID="{17DEEBB4-1A4A-4101-B85B-0D0A6AF36878}"/>
</file>

<file path=customXml/itemProps6.xml><?xml version="1.0" encoding="utf-8"?>
<ds:datastoreItem xmlns:ds="http://schemas.openxmlformats.org/officeDocument/2006/customXml" ds:itemID="{41E33B88-E7D8-42DD-AAF3-42BC3DEAADDE}"/>
</file>

<file path=docProps/app.xml><?xml version="1.0" encoding="utf-8"?>
<Properties xmlns="http://schemas.openxmlformats.org/officeDocument/2006/extended-properties" xmlns:vt="http://schemas.openxmlformats.org/officeDocument/2006/docPropsVTypes">
  <Template>Normal</Template>
  <TotalTime>22</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Capacity Building</cp:keywords>
  <cp:lastModifiedBy>Salvatierra Roncal, Pilar</cp:lastModifiedBy>
  <cp:revision>21</cp:revision>
  <cp:lastPrinted>2015-01-20T22:56:00Z</cp:lastPrinted>
  <dcterms:created xsi:type="dcterms:W3CDTF">2020-12-02T12:07:00Z</dcterms:created>
  <dcterms:modified xsi:type="dcterms:W3CDTF">2020-12-03T21:23:00Z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1576;#Capacity Building|1e87e83a-f2bf-44b4-a62d-79c345fdba08</vt:lpwstr>
  </property>
  <property fmtid="{D5CDD505-2E9C-101B-9397-08002B2CF9AE}" pid="4" name="Sub_x002d_Sector">
    <vt:lpwstr/>
  </property>
  <property fmtid="{D5CDD505-2E9C-101B-9397-08002B2CF9AE}" pid="5" name="TaxKeywordTaxHTField">
    <vt:lpwstr>Capacity Building|1e87e83a-f2bf-44b4-a62d-79c345fdba08</vt:lpwstr>
  </property>
  <property fmtid="{D5CDD505-2E9C-101B-9397-08002B2CF9AE}" pid="6" name="Country">
    <vt:lpwstr>44;#RG|2537a5b7-6d8e-482c-94dc-32c3cc44ff65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6;#Goods and Services|5bfebf1b-9f1f-4411-b1dd-4c19b807b799</vt:lpwstr>
  </property>
  <property fmtid="{D5CDD505-2E9C-101B-9397-08002B2CF9AE}" pid="10" name="Sector_x0020_IDB">
    <vt:lpwstr/>
  </property>
  <property fmtid="{D5CDD505-2E9C-101B-9397-08002B2CF9AE}" pid="11" name="Sub-Sector">
    <vt:lpwstr>112;#SA-HSS|98be7628-374e-4ecf-a12c-bb48b439037b</vt:lpwstr>
  </property>
  <property fmtid="{D5CDD505-2E9C-101B-9397-08002B2CF9AE}" pid="13" name="Fund IDB">
    <vt:lpwstr>116;#KPR|6532625e-d021-44f5-96e1-a6225058695c</vt:lpwstr>
  </property>
  <property fmtid="{D5CDD505-2E9C-101B-9397-08002B2CF9AE}" pid="14" name="Sector IDB">
    <vt:lpwstr>111;#SA|e15154b4-8fa2-4f19-a924-5a9b44dc8218</vt:lpwstr>
  </property>
  <property fmtid="{D5CDD505-2E9C-101B-9397-08002B2CF9AE}" pid="15" name="_dlc_DocIdItemGuid">
    <vt:lpwstr>1c0ebad9-8eeb-4902-9cee-e77dd139a4d6</vt:lpwstr>
  </property>
  <property fmtid="{D5CDD505-2E9C-101B-9397-08002B2CF9AE}" pid="17" name="ContentTypeId">
    <vt:lpwstr>0x0101001A458A224826124E8B45B1D613300CFC00AE3A7E44E2072E49854A6AD864911D1D</vt:lpwstr>
  </property>
  <property fmtid="{D5CDD505-2E9C-101B-9397-08002B2CF9AE}" pid="18" name="Series Operations IDB">
    <vt:lpwstr/>
  </property>
</Properties>
</file>