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495" w:type="dxa"/>
        <w:jc w:val="center"/>
        <w:tblCellMar>
          <w:left w:w="115" w:type="dxa"/>
          <w:right w:w="115" w:type="dxa"/>
        </w:tblCellMar>
        <w:tblLook w:val="04A0" w:firstRow="1" w:lastRow="0" w:firstColumn="1" w:lastColumn="0" w:noHBand="0" w:noVBand="1"/>
      </w:tblPr>
      <w:tblGrid>
        <w:gridCol w:w="2770"/>
        <w:gridCol w:w="1478"/>
        <w:gridCol w:w="4897"/>
        <w:gridCol w:w="4350"/>
      </w:tblGrid>
      <w:tr w:rsidR="003A17ED" w:rsidRPr="00093220" w14:paraId="42983FE7" w14:textId="77777777" w:rsidTr="00C74E29">
        <w:trPr>
          <w:jc w:val="center"/>
        </w:trPr>
        <w:tc>
          <w:tcPr>
            <w:tcW w:w="2784" w:type="dxa"/>
            <w:shd w:val="clear" w:color="auto" w:fill="0070C0"/>
            <w:vAlign w:val="center"/>
          </w:tcPr>
          <w:p w14:paraId="6E3F40B9" w14:textId="59545AE6" w:rsidR="001F5638" w:rsidRPr="00D411D9" w:rsidRDefault="001F5638" w:rsidP="00D411D9">
            <w:pPr>
              <w:rPr>
                <w:color w:val="FFFFFF" w:themeColor="background1"/>
                <w:sz w:val="20"/>
                <w:szCs w:val="20"/>
                <w:lang w:val="pt-BR"/>
              </w:rPr>
            </w:pPr>
            <w:r w:rsidRPr="00D411D9">
              <w:rPr>
                <w:rFonts w:ascii="Arial" w:eastAsia="Times New Roman" w:hAnsi="Arial" w:cs="Arial"/>
                <w:b/>
                <w:bCs/>
                <w:color w:val="FFFFFF" w:themeColor="background1"/>
                <w:sz w:val="28"/>
                <w:szCs w:val="20"/>
                <w:lang w:val="pt-BR"/>
              </w:rPr>
              <w:t>S</w:t>
            </w:r>
            <w:r w:rsidR="00093220" w:rsidRPr="00D411D9">
              <w:rPr>
                <w:rFonts w:ascii="Arial" w:eastAsia="Times New Roman" w:hAnsi="Arial" w:cs="Arial"/>
                <w:b/>
                <w:bCs/>
                <w:color w:val="FFFFFF" w:themeColor="background1"/>
                <w:sz w:val="28"/>
                <w:szCs w:val="20"/>
                <w:lang w:val="pt-BR"/>
              </w:rPr>
              <w:t>eção</w:t>
            </w:r>
          </w:p>
        </w:tc>
        <w:tc>
          <w:tcPr>
            <w:tcW w:w="1355" w:type="dxa"/>
            <w:shd w:val="clear" w:color="auto" w:fill="0070C0"/>
            <w:vAlign w:val="center"/>
          </w:tcPr>
          <w:p w14:paraId="0BA2E029" w14:textId="1F72400B" w:rsidR="001F5638" w:rsidRPr="00093220" w:rsidRDefault="00093220" w:rsidP="001F5638">
            <w:pPr>
              <w:pStyle w:val="ListParagraph"/>
              <w:ind w:left="-60"/>
              <w:jc w:val="center"/>
              <w:rPr>
                <w:rFonts w:ascii="Arial" w:eastAsia="Times New Roman" w:hAnsi="Arial" w:cs="Arial"/>
                <w:b/>
                <w:bCs/>
                <w:color w:val="FFFFFF" w:themeColor="background1"/>
                <w:sz w:val="28"/>
                <w:szCs w:val="20"/>
                <w:lang w:val="pt-BR"/>
              </w:rPr>
            </w:pPr>
            <w:r w:rsidRPr="00093220">
              <w:rPr>
                <w:rFonts w:ascii="Arial" w:eastAsia="Times New Roman" w:hAnsi="Arial" w:cs="Arial"/>
                <w:b/>
                <w:bCs/>
                <w:color w:val="FFFFFF" w:themeColor="background1"/>
                <w:sz w:val="28"/>
                <w:szCs w:val="20"/>
                <w:lang w:val="pt-BR"/>
              </w:rPr>
              <w:t>Parágrafo</w:t>
            </w:r>
          </w:p>
        </w:tc>
        <w:tc>
          <w:tcPr>
            <w:tcW w:w="4946" w:type="dxa"/>
            <w:shd w:val="clear" w:color="auto" w:fill="0070C0"/>
            <w:vAlign w:val="center"/>
          </w:tcPr>
          <w:p w14:paraId="2B3D8237" w14:textId="4B7AEB10" w:rsidR="001F5638" w:rsidRPr="0008308D" w:rsidRDefault="00093220" w:rsidP="00D662E0">
            <w:pPr>
              <w:jc w:val="center"/>
              <w:rPr>
                <w:rFonts w:ascii="Arial" w:eastAsia="Times New Roman" w:hAnsi="Arial" w:cs="Arial"/>
                <w:b/>
                <w:bCs/>
                <w:color w:val="FFFFFF" w:themeColor="background1"/>
                <w:sz w:val="28"/>
                <w:szCs w:val="20"/>
                <w:lang w:val="pt-BR"/>
              </w:rPr>
            </w:pPr>
            <w:r w:rsidRPr="0008308D">
              <w:rPr>
                <w:rFonts w:ascii="Arial" w:eastAsia="Times New Roman" w:hAnsi="Arial" w:cs="Arial"/>
                <w:b/>
                <w:bCs/>
                <w:color w:val="FFFFFF" w:themeColor="background1"/>
                <w:sz w:val="28"/>
                <w:szCs w:val="20"/>
                <w:lang w:val="pt-BR"/>
              </w:rPr>
              <w:t>Mudança Proposta</w:t>
            </w:r>
          </w:p>
        </w:tc>
        <w:tc>
          <w:tcPr>
            <w:tcW w:w="4410" w:type="dxa"/>
            <w:shd w:val="clear" w:color="auto" w:fill="0070C0"/>
            <w:vAlign w:val="center"/>
          </w:tcPr>
          <w:p w14:paraId="027E4E8E" w14:textId="0E301A22" w:rsidR="001F5638" w:rsidRPr="00093220" w:rsidRDefault="001F5638" w:rsidP="00D662E0">
            <w:pPr>
              <w:jc w:val="center"/>
              <w:rPr>
                <w:color w:val="FFFFFF" w:themeColor="background1"/>
                <w:sz w:val="28"/>
                <w:lang w:val="pt-BR"/>
              </w:rPr>
            </w:pPr>
            <w:r w:rsidRPr="00093220">
              <w:rPr>
                <w:rFonts w:ascii="Arial" w:eastAsia="Times New Roman" w:hAnsi="Arial" w:cs="Arial"/>
                <w:b/>
                <w:bCs/>
                <w:color w:val="FFFFFF" w:themeColor="background1"/>
                <w:sz w:val="28"/>
                <w:szCs w:val="20"/>
                <w:lang w:val="pt-BR"/>
              </w:rPr>
              <w:t>Coment</w:t>
            </w:r>
            <w:r w:rsidR="00093220" w:rsidRPr="00093220">
              <w:rPr>
                <w:rFonts w:ascii="Arial" w:eastAsia="Times New Roman" w:hAnsi="Arial" w:cs="Arial"/>
                <w:b/>
                <w:bCs/>
                <w:color w:val="FFFFFF" w:themeColor="background1"/>
                <w:sz w:val="28"/>
                <w:szCs w:val="20"/>
                <w:lang w:val="pt-BR"/>
              </w:rPr>
              <w:t>á</w:t>
            </w:r>
            <w:r w:rsidRPr="00093220">
              <w:rPr>
                <w:rFonts w:ascii="Arial" w:eastAsia="Times New Roman" w:hAnsi="Arial" w:cs="Arial"/>
                <w:b/>
                <w:bCs/>
                <w:color w:val="FFFFFF" w:themeColor="background1"/>
                <w:sz w:val="28"/>
                <w:szCs w:val="20"/>
                <w:lang w:val="pt-BR"/>
              </w:rPr>
              <w:t>rios</w:t>
            </w:r>
          </w:p>
        </w:tc>
      </w:tr>
      <w:tr w:rsidR="004A2C65" w:rsidRPr="00093220" w14:paraId="23EC0E87" w14:textId="77777777" w:rsidTr="00C74E29">
        <w:trPr>
          <w:jc w:val="center"/>
        </w:trPr>
        <w:tc>
          <w:tcPr>
            <w:tcW w:w="2784" w:type="dxa"/>
            <w:vAlign w:val="center"/>
          </w:tcPr>
          <w:p w14:paraId="05278FDF" w14:textId="4096FCB0" w:rsidR="008D24A3" w:rsidRPr="000E2702" w:rsidRDefault="00EB7DD7" w:rsidP="00EB7DD7">
            <w:pPr>
              <w:pStyle w:val="Heading1"/>
              <w:spacing w:before="0" w:after="100"/>
              <w:outlineLvl w:val="0"/>
              <w:rPr>
                <w:rFonts w:asciiTheme="minorHAnsi" w:hAnsiTheme="minorHAnsi"/>
                <w:color w:val="FF0000"/>
                <w:sz w:val="20"/>
                <w:szCs w:val="20"/>
                <w:lang w:val="pt-BR"/>
              </w:rPr>
            </w:pPr>
            <w:r w:rsidRPr="000E2702">
              <w:rPr>
                <w:rFonts w:asciiTheme="minorHAnsi" w:hAnsiTheme="minorHAnsi"/>
                <w:color w:val="FF0000"/>
                <w:sz w:val="20"/>
                <w:szCs w:val="20"/>
                <w:lang w:val="pt-BR"/>
              </w:rPr>
              <w:lastRenderedPageBreak/>
              <w:t>Siglas, abreviaturas e definição de termos</w:t>
            </w:r>
          </w:p>
        </w:tc>
        <w:tc>
          <w:tcPr>
            <w:tcW w:w="1355" w:type="dxa"/>
            <w:vAlign w:val="center"/>
          </w:tcPr>
          <w:p w14:paraId="59C71E99" w14:textId="77777777" w:rsidR="008D24A3" w:rsidRPr="00093220" w:rsidRDefault="008D24A3" w:rsidP="006D2939">
            <w:pPr>
              <w:jc w:val="center"/>
              <w:rPr>
                <w:rFonts w:ascii="Arial" w:eastAsia="Times New Roman" w:hAnsi="Arial" w:cs="Arial"/>
                <w:bCs/>
                <w:sz w:val="18"/>
                <w:szCs w:val="18"/>
                <w:lang w:val="pt-BR"/>
              </w:rPr>
            </w:pPr>
          </w:p>
        </w:tc>
        <w:tc>
          <w:tcPr>
            <w:tcW w:w="4946" w:type="dxa"/>
            <w:vAlign w:val="center"/>
          </w:tcPr>
          <w:p w14:paraId="46EDC373" w14:textId="7B68C8C5" w:rsidR="008D24A3" w:rsidRPr="0008308D" w:rsidRDefault="00C455C1" w:rsidP="00E15852">
            <w:pPr>
              <w:jc w:val="both"/>
              <w:rPr>
                <w:rFonts w:asciiTheme="minorHAnsi" w:hAnsiTheme="minorHAnsi" w:cstheme="minorHAnsi"/>
                <w:sz w:val="20"/>
                <w:szCs w:val="20"/>
                <w:lang w:val="pt-BR"/>
              </w:rPr>
            </w:pPr>
            <w:r w:rsidRPr="0008308D">
              <w:rPr>
                <w:rFonts w:asciiTheme="minorHAnsi" w:hAnsiTheme="minorHAnsi" w:cstheme="minorHAnsi"/>
                <w:sz w:val="20"/>
                <w:szCs w:val="20"/>
                <w:lang w:val="pt-BR"/>
              </w:rPr>
              <w:t>Ver tab</w:t>
            </w:r>
            <w:r w:rsidR="00EB7DD7" w:rsidRPr="0008308D">
              <w:rPr>
                <w:rFonts w:asciiTheme="minorHAnsi" w:hAnsiTheme="minorHAnsi" w:cstheme="minorHAnsi"/>
                <w:sz w:val="20"/>
                <w:szCs w:val="20"/>
                <w:lang w:val="pt-BR"/>
              </w:rPr>
              <w:t>e</w:t>
            </w:r>
            <w:r w:rsidRPr="0008308D">
              <w:rPr>
                <w:rFonts w:asciiTheme="minorHAnsi" w:hAnsiTheme="minorHAnsi" w:cstheme="minorHAnsi"/>
                <w:sz w:val="20"/>
                <w:szCs w:val="20"/>
                <w:lang w:val="pt-BR"/>
              </w:rPr>
              <w:t>la</w:t>
            </w:r>
          </w:p>
        </w:tc>
        <w:tc>
          <w:tcPr>
            <w:tcW w:w="4410" w:type="dxa"/>
          </w:tcPr>
          <w:p w14:paraId="2A6FF3E3" w14:textId="77777777" w:rsidR="008D24A3" w:rsidRPr="00093220" w:rsidRDefault="008D24A3" w:rsidP="00D662E0">
            <w:pPr>
              <w:rPr>
                <w:lang w:val="pt-BR"/>
              </w:rPr>
            </w:pPr>
          </w:p>
        </w:tc>
      </w:tr>
      <w:tr w:rsidR="004A2C65" w:rsidRPr="00C74E29" w14:paraId="61551E4F" w14:textId="77777777" w:rsidTr="00C74E29">
        <w:trPr>
          <w:jc w:val="center"/>
        </w:trPr>
        <w:tc>
          <w:tcPr>
            <w:tcW w:w="2784" w:type="dxa"/>
            <w:vAlign w:val="center"/>
          </w:tcPr>
          <w:p w14:paraId="74B3D869" w14:textId="77777777" w:rsidR="00EB7DD7" w:rsidRPr="000E2702" w:rsidRDefault="00EB7DD7" w:rsidP="00EB7DD7">
            <w:pPr>
              <w:pStyle w:val="Heading2"/>
              <w:jc w:val="center"/>
              <w:outlineLvl w:val="1"/>
              <w:rPr>
                <w:rFonts w:asciiTheme="minorHAnsi" w:hAnsiTheme="minorHAnsi"/>
                <w:w w:val="102"/>
                <w:sz w:val="20"/>
              </w:rPr>
            </w:pPr>
            <w:bookmarkStart w:id="0" w:name="_Toc143081961"/>
            <w:bookmarkStart w:id="1" w:name="_Toc360111335"/>
            <w:proofErr w:type="spellStart"/>
            <w:r w:rsidRPr="000E2702">
              <w:rPr>
                <w:rFonts w:asciiTheme="minorHAnsi" w:hAnsiTheme="minorHAnsi"/>
                <w:w w:val="102"/>
                <w:sz w:val="20"/>
              </w:rPr>
              <w:lastRenderedPageBreak/>
              <w:t>Considerações</w:t>
            </w:r>
            <w:proofErr w:type="spellEnd"/>
            <w:r w:rsidRPr="000E2702">
              <w:rPr>
                <w:rFonts w:asciiTheme="minorHAnsi" w:hAnsiTheme="minorHAnsi"/>
                <w:w w:val="102"/>
                <w:sz w:val="20"/>
              </w:rPr>
              <w:t xml:space="preserve"> </w:t>
            </w:r>
            <w:proofErr w:type="spellStart"/>
            <w:r w:rsidRPr="000E2702">
              <w:rPr>
                <w:rFonts w:asciiTheme="minorHAnsi" w:hAnsiTheme="minorHAnsi"/>
                <w:w w:val="102"/>
                <w:sz w:val="20"/>
              </w:rPr>
              <w:t>gerais</w:t>
            </w:r>
            <w:bookmarkEnd w:id="0"/>
            <w:bookmarkEnd w:id="1"/>
            <w:proofErr w:type="spellEnd"/>
          </w:p>
          <w:p w14:paraId="1E9326EC" w14:textId="42954CE5" w:rsidR="001F5638" w:rsidRPr="000E2702" w:rsidRDefault="001F5638" w:rsidP="006D2939">
            <w:pPr>
              <w:jc w:val="center"/>
              <w:rPr>
                <w:b/>
                <w:sz w:val="20"/>
                <w:szCs w:val="20"/>
                <w:lang w:val="pt-BR"/>
              </w:rPr>
            </w:pPr>
          </w:p>
        </w:tc>
        <w:tc>
          <w:tcPr>
            <w:tcW w:w="1355" w:type="dxa"/>
            <w:vAlign w:val="center"/>
          </w:tcPr>
          <w:p w14:paraId="20411AF9" w14:textId="1F3B19DE" w:rsidR="001F5638" w:rsidRPr="00093220" w:rsidRDefault="001F5638" w:rsidP="006D2939">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1.</w:t>
            </w:r>
            <w:r w:rsidR="007330E9" w:rsidRPr="00093220">
              <w:rPr>
                <w:rFonts w:ascii="Arial" w:eastAsia="Times New Roman" w:hAnsi="Arial" w:cs="Arial"/>
                <w:bCs/>
                <w:sz w:val="18"/>
                <w:szCs w:val="18"/>
                <w:lang w:val="pt-BR"/>
              </w:rPr>
              <w:t>4</w:t>
            </w:r>
            <w:r w:rsidRPr="00093220">
              <w:rPr>
                <w:rFonts w:ascii="Arial" w:eastAsia="Times New Roman" w:hAnsi="Arial" w:cs="Arial"/>
                <w:bCs/>
                <w:sz w:val="18"/>
                <w:szCs w:val="18"/>
                <w:lang w:val="pt-BR"/>
              </w:rPr>
              <w:t xml:space="preserve"> </w:t>
            </w:r>
          </w:p>
        </w:tc>
        <w:tc>
          <w:tcPr>
            <w:tcW w:w="4946" w:type="dxa"/>
          </w:tcPr>
          <w:p w14:paraId="75A5DE87" w14:textId="77777777" w:rsidR="0008308D" w:rsidRDefault="0008308D" w:rsidP="00EB7DD7">
            <w:pPr>
              <w:pStyle w:val="AutoNumpara"/>
              <w:widowControl w:val="0"/>
              <w:spacing w:before="0"/>
              <w:ind w:left="78" w:hanging="48"/>
              <w:rPr>
                <w:rFonts w:asciiTheme="minorHAnsi" w:hAnsiTheme="minorHAnsi" w:cstheme="minorHAnsi"/>
                <w:sz w:val="20"/>
                <w:lang w:val="pt-BR"/>
              </w:rPr>
            </w:pPr>
          </w:p>
          <w:p w14:paraId="3E988AD9" w14:textId="6C723D48" w:rsidR="00EB7DD7" w:rsidRPr="0008308D" w:rsidRDefault="00EB7DD7" w:rsidP="00EB7DD7">
            <w:pPr>
              <w:pStyle w:val="AutoNumpara"/>
              <w:widowControl w:val="0"/>
              <w:spacing w:before="0"/>
              <w:ind w:left="78" w:hanging="48"/>
              <w:rPr>
                <w:rFonts w:asciiTheme="minorHAnsi" w:hAnsiTheme="minorHAnsi" w:cstheme="minorHAnsi"/>
                <w:noProof w:val="0"/>
                <w:sz w:val="20"/>
                <w:lang w:val="pt-BR"/>
              </w:rPr>
            </w:pPr>
            <w:r w:rsidRPr="0008308D">
              <w:rPr>
                <w:rFonts w:asciiTheme="minorHAnsi" w:hAnsiTheme="minorHAnsi" w:cstheme="minorHAnsi"/>
                <w:sz w:val="20"/>
                <w:lang w:val="pt-BR"/>
              </w:rPr>
              <w:t>Competem</w:t>
            </w:r>
            <w:r w:rsidRPr="0008308D">
              <w:rPr>
                <w:rFonts w:asciiTheme="minorHAnsi" w:hAnsiTheme="minorHAnsi" w:cstheme="minorHAnsi"/>
                <w:noProof w:val="0"/>
                <w:spacing w:val="-5"/>
                <w:w w:val="102"/>
                <w:sz w:val="20"/>
                <w:lang w:val="pt-BR"/>
              </w:rPr>
              <w:t xml:space="preserve"> </w:t>
            </w:r>
            <w:r w:rsidRPr="0008308D">
              <w:rPr>
                <w:rFonts w:asciiTheme="minorHAnsi" w:hAnsiTheme="minorHAnsi" w:cstheme="minorHAnsi"/>
                <w:sz w:val="20"/>
                <w:lang w:val="pt-BR"/>
              </w:rPr>
              <w:t xml:space="preserve">ao Mutuário a elaboração e implementação do projeto e, portanto, a seleção do consultor, adjudicação e subseqüente administração do contrato. Embora as normas e procedimentos específicos a serem adotados para a contratação de consultores dependam de circunstâncias peculiares de cada caso, </w:t>
            </w:r>
            <w:r w:rsidRPr="0008308D">
              <w:rPr>
                <w:rFonts w:asciiTheme="minorHAnsi" w:hAnsiTheme="minorHAnsi" w:cstheme="minorHAnsi"/>
                <w:color w:val="FF0000"/>
                <w:sz w:val="20"/>
                <w:lang w:val="pt-BR"/>
              </w:rPr>
              <w:t>os seguintes princípios básicos de aquisições do Banco guiam a política do Banco para os processos de seleção:</w:t>
            </w:r>
          </w:p>
          <w:p w14:paraId="7D1375E1" w14:textId="77777777" w:rsidR="00EB7DD7" w:rsidRPr="0008308D" w:rsidRDefault="00EB7DD7" w:rsidP="00EB7DD7">
            <w:pPr>
              <w:numPr>
                <w:ilvl w:val="0"/>
                <w:numId w:val="18"/>
              </w:numPr>
              <w:tabs>
                <w:tab w:val="clear" w:pos="1375"/>
              </w:tabs>
              <w:suppressAutoHyphens/>
              <w:spacing w:after="120"/>
              <w:ind w:left="1260" w:hanging="540"/>
              <w:jc w:val="both"/>
              <w:rPr>
                <w:rFonts w:asciiTheme="minorHAnsi" w:hAnsiTheme="minorHAnsi" w:cstheme="minorHAnsi"/>
                <w:sz w:val="20"/>
                <w:szCs w:val="20"/>
                <w:lang w:val="pt-BR"/>
              </w:rPr>
            </w:pPr>
            <w:r w:rsidRPr="0008308D">
              <w:rPr>
                <w:rFonts w:asciiTheme="minorHAnsi" w:hAnsiTheme="minorHAnsi" w:cstheme="minorHAnsi"/>
                <w:color w:val="FF0000"/>
                <w:sz w:val="20"/>
                <w:szCs w:val="20"/>
                <w:lang w:val="pt-BR"/>
              </w:rPr>
              <w:t xml:space="preserve">Valor por dinheiro: o princípio </w:t>
            </w:r>
            <w:proofErr w:type="spellStart"/>
            <w:r w:rsidRPr="0008308D">
              <w:rPr>
                <w:rFonts w:asciiTheme="minorHAnsi" w:hAnsiTheme="minorHAnsi" w:cstheme="minorHAnsi"/>
                <w:color w:val="FF0000"/>
                <w:sz w:val="20"/>
                <w:szCs w:val="20"/>
                <w:lang w:val="pt-BR"/>
              </w:rPr>
              <w:t>VpD</w:t>
            </w:r>
            <w:proofErr w:type="spellEnd"/>
            <w:r w:rsidRPr="0008308D">
              <w:rPr>
                <w:rFonts w:asciiTheme="minorHAnsi" w:hAnsiTheme="minorHAnsi" w:cstheme="minorHAnsi"/>
                <w:color w:val="FF0000"/>
                <w:sz w:val="20"/>
                <w:szCs w:val="20"/>
                <w:lang w:val="pt-BR"/>
              </w:rPr>
              <w:t xml:space="preserve"> significa o uso eficaz, eficiente e econômico dos recursos, o que requer uma avaliação dos custos e benefícios relevantes, juntamente com uma avaliação dos riscos e dos atributos e do ciclo de vida que não o preço, conforme apropriado.  O preço sozinho pode não representar necessariamente o </w:t>
            </w:r>
            <w:proofErr w:type="spellStart"/>
            <w:r w:rsidRPr="0008308D">
              <w:rPr>
                <w:rFonts w:asciiTheme="minorHAnsi" w:hAnsiTheme="minorHAnsi" w:cstheme="minorHAnsi"/>
                <w:color w:val="FF0000"/>
                <w:sz w:val="20"/>
                <w:szCs w:val="20"/>
                <w:lang w:val="pt-BR"/>
              </w:rPr>
              <w:t>VpD</w:t>
            </w:r>
            <w:proofErr w:type="spellEnd"/>
            <w:r w:rsidRPr="0008308D">
              <w:rPr>
                <w:rFonts w:asciiTheme="minorHAnsi" w:hAnsiTheme="minorHAnsi" w:cstheme="minorHAnsi"/>
                <w:color w:val="FF0000"/>
                <w:sz w:val="20"/>
                <w:szCs w:val="20"/>
                <w:lang w:val="pt-BR"/>
              </w:rPr>
              <w:t>.</w:t>
            </w:r>
          </w:p>
          <w:p w14:paraId="6E9E2AC7" w14:textId="77777777" w:rsidR="00EB7DD7" w:rsidRPr="0008308D" w:rsidRDefault="00EB7DD7" w:rsidP="00EB7DD7">
            <w:pPr>
              <w:numPr>
                <w:ilvl w:val="0"/>
                <w:numId w:val="18"/>
              </w:numPr>
              <w:tabs>
                <w:tab w:val="clear" w:pos="1375"/>
              </w:tabs>
              <w:suppressAutoHyphens/>
              <w:spacing w:after="120"/>
              <w:ind w:left="1260" w:hanging="540"/>
              <w:jc w:val="both"/>
              <w:rPr>
                <w:rFonts w:asciiTheme="minorHAnsi" w:hAnsiTheme="minorHAnsi" w:cstheme="minorHAnsi"/>
                <w:sz w:val="20"/>
                <w:szCs w:val="20"/>
                <w:lang w:val="pt-BR"/>
              </w:rPr>
            </w:pPr>
            <w:r w:rsidRPr="0008308D">
              <w:rPr>
                <w:rFonts w:asciiTheme="minorHAnsi" w:hAnsiTheme="minorHAnsi" w:cstheme="minorHAnsi"/>
                <w:w w:val="102"/>
                <w:sz w:val="20"/>
                <w:szCs w:val="20"/>
                <w:lang w:val="pt-BR"/>
              </w:rPr>
              <w:t>necessidade</w:t>
            </w:r>
            <w:r w:rsidRPr="0008308D">
              <w:rPr>
                <w:rFonts w:asciiTheme="minorHAnsi" w:hAnsiTheme="minorHAnsi" w:cstheme="minorHAnsi"/>
                <w:spacing w:val="-8"/>
                <w:w w:val="102"/>
                <w:sz w:val="20"/>
                <w:szCs w:val="20"/>
                <w:lang w:val="pt-BR"/>
              </w:rPr>
              <w:t xml:space="preserve"> </w:t>
            </w:r>
            <w:r w:rsidRPr="0008308D">
              <w:rPr>
                <w:rFonts w:asciiTheme="minorHAnsi" w:hAnsiTheme="minorHAnsi" w:cstheme="minorHAnsi"/>
                <w:w w:val="102"/>
                <w:sz w:val="20"/>
                <w:szCs w:val="20"/>
                <w:lang w:val="pt-BR"/>
              </w:rPr>
              <w:t>de</w:t>
            </w:r>
            <w:r w:rsidRPr="0008308D">
              <w:rPr>
                <w:rFonts w:asciiTheme="minorHAnsi" w:hAnsiTheme="minorHAnsi" w:cstheme="minorHAnsi"/>
                <w:spacing w:val="-8"/>
                <w:w w:val="102"/>
                <w:sz w:val="20"/>
                <w:szCs w:val="20"/>
                <w:lang w:val="pt-BR"/>
              </w:rPr>
              <w:t xml:space="preserve"> </w:t>
            </w:r>
            <w:r w:rsidRPr="0008308D">
              <w:rPr>
                <w:rFonts w:asciiTheme="minorHAnsi" w:hAnsiTheme="minorHAnsi" w:cstheme="minorHAnsi"/>
                <w:w w:val="102"/>
                <w:sz w:val="20"/>
                <w:szCs w:val="20"/>
                <w:lang w:val="pt-BR"/>
              </w:rPr>
              <w:t>serviços</w:t>
            </w:r>
            <w:r w:rsidRPr="0008308D">
              <w:rPr>
                <w:rFonts w:asciiTheme="minorHAnsi" w:hAnsiTheme="minorHAnsi" w:cstheme="minorHAnsi"/>
                <w:spacing w:val="-8"/>
                <w:w w:val="102"/>
                <w:sz w:val="20"/>
                <w:szCs w:val="20"/>
                <w:lang w:val="pt-BR"/>
              </w:rPr>
              <w:t xml:space="preserve"> </w:t>
            </w:r>
            <w:r w:rsidRPr="0008308D">
              <w:rPr>
                <w:rFonts w:asciiTheme="minorHAnsi" w:hAnsiTheme="minorHAnsi" w:cstheme="minorHAnsi"/>
                <w:w w:val="102"/>
                <w:sz w:val="20"/>
                <w:szCs w:val="20"/>
                <w:lang w:val="pt-BR"/>
              </w:rPr>
              <w:t>de</w:t>
            </w:r>
            <w:r w:rsidRPr="0008308D">
              <w:rPr>
                <w:rFonts w:asciiTheme="minorHAnsi" w:hAnsiTheme="minorHAnsi" w:cstheme="minorHAnsi"/>
                <w:spacing w:val="-8"/>
                <w:w w:val="102"/>
                <w:sz w:val="20"/>
                <w:szCs w:val="20"/>
                <w:lang w:val="pt-BR"/>
              </w:rPr>
              <w:t xml:space="preserve"> </w:t>
            </w:r>
            <w:r w:rsidRPr="0008308D">
              <w:rPr>
                <w:rFonts w:asciiTheme="minorHAnsi" w:hAnsiTheme="minorHAnsi" w:cstheme="minorHAnsi"/>
                <w:w w:val="102"/>
                <w:sz w:val="20"/>
                <w:szCs w:val="20"/>
                <w:lang w:val="pt-BR"/>
              </w:rPr>
              <w:t xml:space="preserve">alta </w:t>
            </w:r>
            <w:r w:rsidRPr="0008308D">
              <w:rPr>
                <w:rFonts w:asciiTheme="minorHAnsi" w:hAnsiTheme="minorHAnsi" w:cstheme="minorHAnsi"/>
                <w:spacing w:val="1"/>
                <w:w w:val="102"/>
                <w:sz w:val="20"/>
                <w:szCs w:val="20"/>
                <w:lang w:val="pt-BR"/>
              </w:rPr>
              <w:t>qualidade</w:t>
            </w:r>
            <w:r w:rsidRPr="0008308D">
              <w:rPr>
                <w:rFonts w:asciiTheme="minorHAnsi" w:hAnsiTheme="minorHAnsi" w:cstheme="minorHAnsi"/>
                <w:w w:val="102"/>
                <w:sz w:val="20"/>
                <w:szCs w:val="20"/>
                <w:lang w:val="pt-BR"/>
              </w:rPr>
              <w:t>;</w:t>
            </w:r>
          </w:p>
          <w:p w14:paraId="44DBFFD1" w14:textId="77777777" w:rsidR="00EB7DD7" w:rsidRPr="0008308D" w:rsidRDefault="00EB7DD7" w:rsidP="00EB7DD7">
            <w:pPr>
              <w:numPr>
                <w:ilvl w:val="0"/>
                <w:numId w:val="18"/>
              </w:numPr>
              <w:tabs>
                <w:tab w:val="clear" w:pos="1375"/>
              </w:tabs>
              <w:suppressAutoHyphens/>
              <w:spacing w:after="120"/>
              <w:ind w:left="1260" w:hanging="540"/>
              <w:jc w:val="both"/>
              <w:rPr>
                <w:rFonts w:asciiTheme="minorHAnsi" w:hAnsiTheme="minorHAnsi" w:cstheme="minorHAnsi"/>
                <w:sz w:val="20"/>
                <w:szCs w:val="20"/>
                <w:lang w:val="pt-BR"/>
              </w:rPr>
            </w:pPr>
            <w:r w:rsidRPr="0008308D">
              <w:rPr>
                <w:rFonts w:asciiTheme="minorHAnsi" w:hAnsiTheme="minorHAnsi" w:cstheme="minorHAnsi"/>
                <w:color w:val="FF0000"/>
                <w:w w:val="102"/>
                <w:sz w:val="20"/>
                <w:szCs w:val="20"/>
                <w:lang w:val="pt-BR"/>
              </w:rPr>
              <w:t xml:space="preserve">economia e eficiência </w:t>
            </w:r>
            <w:r w:rsidRPr="0008308D">
              <w:rPr>
                <w:rFonts w:asciiTheme="minorHAnsi" w:hAnsiTheme="minorHAnsi" w:cstheme="minorHAnsi"/>
                <w:w w:val="102"/>
                <w:sz w:val="20"/>
                <w:szCs w:val="20"/>
                <w:lang w:val="pt-BR"/>
              </w:rPr>
              <w:t>na implementação do projeto, incluindo a aquisição dos serviços requeridos;</w:t>
            </w:r>
          </w:p>
          <w:p w14:paraId="46F1C194" w14:textId="77777777" w:rsidR="00EB7DD7" w:rsidRPr="0008308D" w:rsidRDefault="00EB7DD7" w:rsidP="00EB7DD7">
            <w:pPr>
              <w:numPr>
                <w:ilvl w:val="0"/>
                <w:numId w:val="18"/>
              </w:numPr>
              <w:tabs>
                <w:tab w:val="clear" w:pos="1375"/>
              </w:tabs>
              <w:suppressAutoHyphens/>
              <w:spacing w:after="120"/>
              <w:ind w:left="1260" w:hanging="540"/>
              <w:jc w:val="both"/>
              <w:rPr>
                <w:rFonts w:asciiTheme="minorHAnsi" w:hAnsiTheme="minorHAnsi" w:cstheme="minorHAnsi"/>
                <w:sz w:val="20"/>
                <w:szCs w:val="20"/>
                <w:lang w:val="pt-BR"/>
              </w:rPr>
            </w:pPr>
            <w:r w:rsidRPr="0008308D">
              <w:rPr>
                <w:rFonts w:asciiTheme="minorHAnsi" w:hAnsiTheme="minorHAnsi" w:cstheme="minorHAnsi"/>
                <w:w w:val="102"/>
                <w:sz w:val="20"/>
                <w:szCs w:val="20"/>
                <w:lang w:val="pt-BR"/>
              </w:rPr>
              <w:t xml:space="preserve">necessidade de proporcionar a todos os </w:t>
            </w:r>
            <w:r w:rsidRPr="0008308D">
              <w:rPr>
                <w:rFonts w:asciiTheme="minorHAnsi" w:hAnsiTheme="minorHAnsi" w:cstheme="minorHAnsi"/>
                <w:spacing w:val="1"/>
                <w:w w:val="102"/>
                <w:sz w:val="20"/>
                <w:szCs w:val="20"/>
                <w:lang w:val="pt-BR"/>
              </w:rPr>
              <w:t>consultores</w:t>
            </w:r>
            <w:r w:rsidRPr="0008308D">
              <w:rPr>
                <w:rFonts w:asciiTheme="minorHAnsi" w:hAnsiTheme="minorHAnsi" w:cstheme="minorHAnsi"/>
                <w:spacing w:val="-5"/>
                <w:w w:val="102"/>
                <w:sz w:val="20"/>
                <w:szCs w:val="20"/>
                <w:lang w:val="pt-BR"/>
              </w:rPr>
              <w:t xml:space="preserve"> </w:t>
            </w:r>
            <w:r w:rsidRPr="0008308D">
              <w:rPr>
                <w:rFonts w:asciiTheme="minorHAnsi" w:hAnsiTheme="minorHAnsi" w:cstheme="minorHAnsi"/>
                <w:spacing w:val="1"/>
                <w:w w:val="102"/>
                <w:sz w:val="20"/>
                <w:szCs w:val="20"/>
                <w:lang w:val="pt-BR"/>
              </w:rPr>
              <w:t>quali</w:t>
            </w:r>
            <w:r w:rsidRPr="0008308D">
              <w:rPr>
                <w:rFonts w:asciiTheme="minorHAnsi" w:hAnsiTheme="minorHAnsi" w:cstheme="minorHAnsi"/>
                <w:w w:val="102"/>
                <w:sz w:val="20"/>
                <w:szCs w:val="20"/>
                <w:lang w:val="pt-BR"/>
              </w:rPr>
              <w:t>ficados</w:t>
            </w:r>
            <w:r w:rsidRPr="0008308D">
              <w:rPr>
                <w:rFonts w:asciiTheme="minorHAnsi" w:hAnsiTheme="minorHAnsi" w:cstheme="minorHAnsi"/>
                <w:spacing w:val="-5"/>
                <w:w w:val="102"/>
                <w:sz w:val="20"/>
                <w:szCs w:val="20"/>
                <w:lang w:val="pt-BR"/>
              </w:rPr>
              <w:t xml:space="preserve"> </w:t>
            </w:r>
            <w:r w:rsidRPr="0008308D">
              <w:rPr>
                <w:rFonts w:asciiTheme="minorHAnsi" w:hAnsiTheme="minorHAnsi" w:cstheme="minorHAnsi"/>
                <w:w w:val="102"/>
                <w:sz w:val="20"/>
                <w:szCs w:val="20"/>
                <w:lang w:val="pt-BR"/>
              </w:rPr>
              <w:t>a</w:t>
            </w:r>
            <w:r w:rsidRPr="0008308D">
              <w:rPr>
                <w:rFonts w:asciiTheme="minorHAnsi" w:hAnsiTheme="minorHAnsi" w:cstheme="minorHAnsi"/>
                <w:spacing w:val="-5"/>
                <w:w w:val="102"/>
                <w:sz w:val="20"/>
                <w:szCs w:val="20"/>
                <w:lang w:val="pt-BR"/>
              </w:rPr>
              <w:t xml:space="preserve"> </w:t>
            </w:r>
            <w:r w:rsidRPr="0008308D">
              <w:rPr>
                <w:rFonts w:asciiTheme="minorHAnsi" w:hAnsiTheme="minorHAnsi" w:cstheme="minorHAnsi"/>
                <w:w w:val="102"/>
                <w:sz w:val="20"/>
                <w:szCs w:val="20"/>
                <w:lang w:val="pt-BR"/>
              </w:rPr>
              <w:t>oportunidade</w:t>
            </w:r>
            <w:r w:rsidRPr="0008308D">
              <w:rPr>
                <w:rFonts w:asciiTheme="minorHAnsi" w:hAnsiTheme="minorHAnsi" w:cstheme="minorHAnsi"/>
                <w:spacing w:val="-5"/>
                <w:w w:val="102"/>
                <w:sz w:val="20"/>
                <w:szCs w:val="20"/>
                <w:lang w:val="pt-BR"/>
              </w:rPr>
              <w:t xml:space="preserve"> </w:t>
            </w:r>
            <w:r w:rsidRPr="0008308D">
              <w:rPr>
                <w:rFonts w:asciiTheme="minorHAnsi" w:hAnsiTheme="minorHAnsi" w:cstheme="minorHAnsi"/>
                <w:w w:val="102"/>
                <w:sz w:val="20"/>
                <w:szCs w:val="20"/>
                <w:lang w:val="pt-BR"/>
              </w:rPr>
              <w:t>de competir para prestar serviços financiados</w:t>
            </w:r>
            <w:r w:rsidRPr="0008308D">
              <w:rPr>
                <w:rFonts w:asciiTheme="minorHAnsi" w:hAnsiTheme="minorHAnsi" w:cstheme="minorHAnsi"/>
                <w:spacing w:val="-5"/>
                <w:w w:val="102"/>
                <w:sz w:val="20"/>
                <w:szCs w:val="20"/>
                <w:lang w:val="pt-BR"/>
              </w:rPr>
              <w:t xml:space="preserve"> </w:t>
            </w:r>
            <w:r w:rsidRPr="0008308D">
              <w:rPr>
                <w:rFonts w:asciiTheme="minorHAnsi" w:hAnsiTheme="minorHAnsi" w:cstheme="minorHAnsi"/>
                <w:w w:val="102"/>
                <w:sz w:val="20"/>
                <w:szCs w:val="20"/>
                <w:lang w:val="pt-BR"/>
              </w:rPr>
              <w:t>pelo</w:t>
            </w:r>
            <w:r w:rsidRPr="0008308D">
              <w:rPr>
                <w:rFonts w:asciiTheme="minorHAnsi" w:hAnsiTheme="minorHAnsi" w:cstheme="minorHAnsi"/>
                <w:spacing w:val="-5"/>
                <w:w w:val="102"/>
                <w:sz w:val="20"/>
                <w:szCs w:val="20"/>
                <w:lang w:val="pt-BR"/>
              </w:rPr>
              <w:t xml:space="preserve"> </w:t>
            </w:r>
            <w:r w:rsidRPr="0008308D">
              <w:rPr>
                <w:rFonts w:asciiTheme="minorHAnsi" w:hAnsiTheme="minorHAnsi" w:cstheme="minorHAnsi"/>
                <w:w w:val="102"/>
                <w:sz w:val="20"/>
                <w:szCs w:val="20"/>
                <w:lang w:val="pt-BR"/>
              </w:rPr>
              <w:t>Banco;</w:t>
            </w:r>
          </w:p>
          <w:p w14:paraId="439C1DA3" w14:textId="77777777" w:rsidR="00EB7DD7" w:rsidRPr="0008308D" w:rsidRDefault="00EB7DD7" w:rsidP="00EB7DD7">
            <w:pPr>
              <w:numPr>
                <w:ilvl w:val="0"/>
                <w:numId w:val="18"/>
              </w:numPr>
              <w:tabs>
                <w:tab w:val="clear" w:pos="1375"/>
              </w:tabs>
              <w:suppressAutoHyphens/>
              <w:spacing w:after="120"/>
              <w:ind w:left="1260" w:hanging="540"/>
              <w:jc w:val="both"/>
              <w:rPr>
                <w:rFonts w:asciiTheme="minorHAnsi" w:hAnsiTheme="minorHAnsi" w:cstheme="minorHAnsi"/>
                <w:sz w:val="20"/>
                <w:szCs w:val="20"/>
                <w:lang w:val="pt-BR"/>
              </w:rPr>
            </w:pPr>
            <w:r w:rsidRPr="0008308D">
              <w:rPr>
                <w:rFonts w:asciiTheme="minorHAnsi" w:hAnsiTheme="minorHAnsi" w:cstheme="minorHAnsi"/>
                <w:w w:val="102"/>
                <w:sz w:val="20"/>
                <w:szCs w:val="20"/>
                <w:lang w:val="pt-BR"/>
              </w:rPr>
              <w:t>interesse do Banco em estimular o desenvolvimento e emprego de consultores nacionais</w:t>
            </w:r>
            <w:r w:rsidRPr="0008308D">
              <w:rPr>
                <w:rFonts w:asciiTheme="minorHAnsi" w:hAnsiTheme="minorHAnsi" w:cstheme="minorHAnsi"/>
                <w:spacing w:val="-8"/>
                <w:w w:val="102"/>
                <w:sz w:val="20"/>
                <w:szCs w:val="20"/>
                <w:lang w:val="pt-BR"/>
              </w:rPr>
              <w:t xml:space="preserve"> </w:t>
            </w:r>
            <w:r w:rsidRPr="0008308D">
              <w:rPr>
                <w:rFonts w:asciiTheme="minorHAnsi" w:hAnsiTheme="minorHAnsi" w:cstheme="minorHAnsi"/>
                <w:w w:val="102"/>
                <w:sz w:val="20"/>
                <w:szCs w:val="20"/>
                <w:lang w:val="pt-BR"/>
              </w:rPr>
              <w:t>de</w:t>
            </w:r>
            <w:r w:rsidRPr="0008308D">
              <w:rPr>
                <w:rFonts w:asciiTheme="minorHAnsi" w:hAnsiTheme="minorHAnsi" w:cstheme="minorHAnsi"/>
                <w:spacing w:val="-8"/>
                <w:w w:val="102"/>
                <w:sz w:val="20"/>
                <w:szCs w:val="20"/>
                <w:lang w:val="pt-BR"/>
              </w:rPr>
              <w:t xml:space="preserve"> </w:t>
            </w:r>
            <w:r w:rsidRPr="0008308D">
              <w:rPr>
                <w:rFonts w:asciiTheme="minorHAnsi" w:hAnsiTheme="minorHAnsi" w:cstheme="minorHAnsi"/>
                <w:w w:val="102"/>
                <w:sz w:val="20"/>
                <w:szCs w:val="20"/>
                <w:lang w:val="pt-BR"/>
              </w:rPr>
              <w:t>seus</w:t>
            </w:r>
            <w:r w:rsidRPr="0008308D">
              <w:rPr>
                <w:rFonts w:asciiTheme="minorHAnsi" w:hAnsiTheme="minorHAnsi" w:cstheme="minorHAnsi"/>
                <w:spacing w:val="-8"/>
                <w:w w:val="102"/>
                <w:sz w:val="20"/>
                <w:szCs w:val="20"/>
                <w:lang w:val="pt-BR"/>
              </w:rPr>
              <w:t xml:space="preserve"> </w:t>
            </w:r>
            <w:r w:rsidRPr="0008308D">
              <w:rPr>
                <w:rFonts w:asciiTheme="minorHAnsi" w:hAnsiTheme="minorHAnsi" w:cstheme="minorHAnsi"/>
                <w:w w:val="102"/>
                <w:sz w:val="20"/>
                <w:szCs w:val="20"/>
                <w:lang w:val="pt-BR"/>
              </w:rPr>
              <w:t>países</w:t>
            </w:r>
            <w:r w:rsidRPr="0008308D">
              <w:rPr>
                <w:rFonts w:asciiTheme="minorHAnsi" w:hAnsiTheme="minorHAnsi" w:cstheme="minorHAnsi"/>
                <w:spacing w:val="-8"/>
                <w:w w:val="102"/>
                <w:sz w:val="20"/>
                <w:szCs w:val="20"/>
                <w:lang w:val="pt-BR"/>
              </w:rPr>
              <w:t xml:space="preserve"> </w:t>
            </w:r>
            <w:r w:rsidRPr="0008308D">
              <w:rPr>
                <w:rFonts w:asciiTheme="minorHAnsi" w:hAnsiTheme="minorHAnsi" w:cstheme="minorHAnsi"/>
                <w:w w:val="102"/>
                <w:sz w:val="20"/>
                <w:szCs w:val="20"/>
                <w:lang w:val="pt-BR"/>
              </w:rPr>
              <w:t>membros</w:t>
            </w:r>
            <w:r w:rsidRPr="0008308D">
              <w:rPr>
                <w:rFonts w:asciiTheme="minorHAnsi" w:hAnsiTheme="minorHAnsi" w:cstheme="minorHAnsi"/>
                <w:spacing w:val="-8"/>
                <w:w w:val="102"/>
                <w:sz w:val="20"/>
                <w:szCs w:val="20"/>
                <w:lang w:val="pt-BR"/>
              </w:rPr>
              <w:t xml:space="preserve"> mutuários</w:t>
            </w:r>
            <w:r w:rsidRPr="0008308D">
              <w:rPr>
                <w:rFonts w:asciiTheme="minorHAnsi" w:hAnsiTheme="minorHAnsi" w:cstheme="minorHAnsi"/>
                <w:spacing w:val="1"/>
                <w:w w:val="102"/>
                <w:sz w:val="20"/>
                <w:szCs w:val="20"/>
                <w:lang w:val="pt-BR"/>
              </w:rPr>
              <w:t>; e</w:t>
            </w:r>
          </w:p>
          <w:p w14:paraId="5729CC02" w14:textId="77777777" w:rsidR="00EB7DD7" w:rsidRPr="0008308D" w:rsidRDefault="00EB7DD7" w:rsidP="00EB7DD7">
            <w:pPr>
              <w:pStyle w:val="Paragrapha"/>
              <w:numPr>
                <w:ilvl w:val="0"/>
                <w:numId w:val="18"/>
              </w:numPr>
              <w:tabs>
                <w:tab w:val="clear" w:pos="1375"/>
              </w:tabs>
              <w:ind w:left="1260"/>
              <w:rPr>
                <w:rFonts w:asciiTheme="minorHAnsi" w:hAnsiTheme="minorHAnsi" w:cstheme="minorHAnsi"/>
                <w:color w:val="FF0000"/>
                <w:sz w:val="20"/>
                <w:lang w:val="pt-BR"/>
              </w:rPr>
            </w:pPr>
            <w:r w:rsidRPr="0008308D">
              <w:rPr>
                <w:rFonts w:asciiTheme="minorHAnsi" w:hAnsiTheme="minorHAnsi" w:cstheme="minorHAnsi"/>
                <w:color w:val="FF0000"/>
                <w:sz w:val="20"/>
                <w:lang w:val="pt-BR"/>
              </w:rPr>
              <w:t xml:space="preserve">Adequado ao Propósito: o princípio de adequação ao propósito aplica-se tanto aos resultados esperados quanto aos acordos de aquisição para determinar a abordagem mais adequada para atender aos objetivos e resultados de desenvolvimento do </w:t>
            </w:r>
            <w:r w:rsidRPr="0008308D">
              <w:rPr>
                <w:rFonts w:asciiTheme="minorHAnsi" w:hAnsiTheme="minorHAnsi" w:cstheme="minorHAnsi"/>
                <w:color w:val="FF0000"/>
                <w:sz w:val="20"/>
                <w:lang w:val="pt-BR"/>
              </w:rPr>
              <w:lastRenderedPageBreak/>
              <w:t>projeto, considerando o contexto, o risco, valor, natureza e complexidade da aquisição;</w:t>
            </w:r>
          </w:p>
          <w:p w14:paraId="330536A8" w14:textId="10DD69B1" w:rsidR="001F5638" w:rsidRPr="0008308D" w:rsidRDefault="00EB7DD7" w:rsidP="00EB7DD7">
            <w:pPr>
              <w:pStyle w:val="Paragrapha"/>
              <w:numPr>
                <w:ilvl w:val="0"/>
                <w:numId w:val="18"/>
              </w:numPr>
              <w:tabs>
                <w:tab w:val="clear" w:pos="1375"/>
                <w:tab w:val="num" w:pos="1260"/>
              </w:tabs>
              <w:suppressAutoHyphens/>
              <w:ind w:left="1260"/>
              <w:rPr>
                <w:rFonts w:asciiTheme="minorHAnsi" w:hAnsiTheme="minorHAnsi" w:cstheme="minorHAnsi"/>
                <w:sz w:val="20"/>
                <w:lang w:val="pt-BR"/>
              </w:rPr>
            </w:pPr>
            <w:r w:rsidRPr="0008308D">
              <w:rPr>
                <w:rFonts w:asciiTheme="minorHAnsi" w:hAnsiTheme="minorHAnsi" w:cstheme="minorHAnsi"/>
                <w:color w:val="FF0000"/>
                <w:sz w:val="20"/>
                <w:lang w:val="pt-BR"/>
              </w:rPr>
              <w:t>Integridade: o princípio da integridade refere-se ao financiamento do Banco sendo usado para as finalidades pretendidas e boas práticas de gestão, e requer que todas as partes envolvidas no processo de aquisição observem o mais alto padrão ético durante o processo de aquisição, contratação e execução dos projetos financiados pelo Banco, abstendo-se de práticas proibidas, de acordo com o parágrafo 1.23.</w:t>
            </w:r>
          </w:p>
        </w:tc>
        <w:tc>
          <w:tcPr>
            <w:tcW w:w="4410" w:type="dxa"/>
          </w:tcPr>
          <w:p w14:paraId="616E58E4" w14:textId="6D56B907" w:rsidR="001F5638" w:rsidRPr="00093220" w:rsidRDefault="001F5638" w:rsidP="00D662E0">
            <w:pPr>
              <w:rPr>
                <w:lang w:val="pt-BR"/>
              </w:rPr>
            </w:pPr>
          </w:p>
        </w:tc>
      </w:tr>
      <w:tr w:rsidR="004A2C65" w:rsidRPr="00C74E29" w14:paraId="5BE49BA0" w14:textId="77777777" w:rsidTr="00C74E29">
        <w:trPr>
          <w:jc w:val="center"/>
        </w:trPr>
        <w:tc>
          <w:tcPr>
            <w:tcW w:w="2784" w:type="dxa"/>
            <w:vAlign w:val="center"/>
          </w:tcPr>
          <w:p w14:paraId="67535B3F" w14:textId="77777777" w:rsidR="001F5638" w:rsidRPr="000E2702" w:rsidRDefault="001F5638" w:rsidP="006D2939">
            <w:pPr>
              <w:jc w:val="center"/>
              <w:rPr>
                <w:sz w:val="20"/>
                <w:szCs w:val="20"/>
                <w:lang w:val="pt-BR"/>
              </w:rPr>
            </w:pPr>
          </w:p>
        </w:tc>
        <w:tc>
          <w:tcPr>
            <w:tcW w:w="1355" w:type="dxa"/>
            <w:vAlign w:val="center"/>
          </w:tcPr>
          <w:p w14:paraId="03E071B5" w14:textId="0CD5D680" w:rsidR="00A42EC1" w:rsidRPr="00093220" w:rsidRDefault="001F5638" w:rsidP="00A42EC1">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1.</w:t>
            </w:r>
            <w:r w:rsidR="009C7754" w:rsidRPr="00093220">
              <w:rPr>
                <w:rFonts w:ascii="Arial" w:eastAsia="Times New Roman" w:hAnsi="Arial" w:cs="Arial"/>
                <w:bCs/>
                <w:sz w:val="18"/>
                <w:szCs w:val="18"/>
                <w:lang w:val="pt-BR"/>
              </w:rPr>
              <w:t>5</w:t>
            </w:r>
          </w:p>
        </w:tc>
        <w:tc>
          <w:tcPr>
            <w:tcW w:w="4946" w:type="dxa"/>
          </w:tcPr>
          <w:p w14:paraId="5476DCDB" w14:textId="00DCBEC1" w:rsidR="00A42EC1" w:rsidRPr="0008308D" w:rsidRDefault="00EB7DD7" w:rsidP="00EB7DD7">
            <w:pPr>
              <w:pStyle w:val="AutoNumpara"/>
              <w:widowControl w:val="0"/>
              <w:spacing w:before="0"/>
              <w:ind w:left="78" w:firstLine="0"/>
              <w:rPr>
                <w:rFonts w:asciiTheme="minorHAnsi" w:hAnsiTheme="minorHAnsi" w:cstheme="minorHAnsi"/>
                <w:sz w:val="20"/>
                <w:lang w:val="pt-BR"/>
              </w:rPr>
            </w:pPr>
            <w:r w:rsidRPr="0008308D">
              <w:rPr>
                <w:rFonts w:asciiTheme="minorHAnsi" w:hAnsiTheme="minorHAnsi" w:cstheme="minorHAnsi"/>
                <w:sz w:val="20"/>
                <w:lang w:val="pt-BR"/>
              </w:rPr>
              <w:t xml:space="preserve">O Banco considera que, na maioria dos casos, os princípios acima podem ser alcançados mediante competição entre empresas qualificadas integrantes de uma lista curta, cuja seleção seja baseada na qualidade da proposta e, onde apropriado, no preço dos serviços a serem prestados. As Seções II e III destas Políticas descrevem os diferentes métodos de seleção de consultores aceites pelo Banco e as circunstâncias nas quais eles </w:t>
            </w:r>
            <w:r w:rsidRPr="0008308D">
              <w:rPr>
                <w:rFonts w:asciiTheme="minorHAnsi" w:hAnsiTheme="minorHAnsi" w:cstheme="minorHAnsi"/>
                <w:color w:val="FF0000"/>
                <w:sz w:val="20"/>
                <w:lang w:val="pt-BR"/>
              </w:rPr>
              <w:t>são apropriados</w:t>
            </w:r>
            <w:r w:rsidRPr="0008308D">
              <w:rPr>
                <w:rFonts w:asciiTheme="minorHAnsi" w:hAnsiTheme="minorHAnsi" w:cstheme="minorHAnsi"/>
                <w:sz w:val="20"/>
                <w:lang w:val="pt-BR"/>
              </w:rPr>
              <w:t xml:space="preserve"> </w:t>
            </w:r>
            <w:r w:rsidRPr="0008308D">
              <w:rPr>
                <w:rFonts w:asciiTheme="minorHAnsi" w:hAnsiTheme="minorHAnsi" w:cstheme="minorHAnsi"/>
                <w:color w:val="FF0000"/>
                <w:sz w:val="20"/>
                <w:lang w:val="pt-BR"/>
              </w:rPr>
              <w:t>para desenvolver procedimentos de aquisição que sejam adequados ao propósito, reflitam o Valor por Dinheiro ideal durante todo o ciclo de compras e os princípios básicos de compras do Banco sejam respeitados</w:t>
            </w:r>
            <w:r w:rsidRPr="0008308D">
              <w:rPr>
                <w:rFonts w:asciiTheme="minorHAnsi" w:hAnsiTheme="minorHAnsi" w:cstheme="minorHAnsi"/>
                <w:sz w:val="20"/>
                <w:lang w:val="pt-BR"/>
              </w:rPr>
              <w:t>. Sendo a Seleção Baseada na Qualidade e Custo (SBQC) o método mais comumente recomendado, a Seção II destas Políticas descreve, pormenorizadamente, os procedimentos para a SBQC. No entanto, a SBQC não é o método mais apropriado de seleção em todos os casos; portanto, a Seção III descreve outros métodos de seleção e as circunstâncias nas quais eles são mais adequados.</w:t>
            </w:r>
          </w:p>
        </w:tc>
        <w:tc>
          <w:tcPr>
            <w:tcW w:w="4410" w:type="dxa"/>
          </w:tcPr>
          <w:p w14:paraId="7B5A8D1D" w14:textId="77777777" w:rsidR="001F5638" w:rsidRPr="00093220" w:rsidRDefault="001F5638" w:rsidP="00D662E0">
            <w:pPr>
              <w:rPr>
                <w:lang w:val="pt-BR"/>
              </w:rPr>
            </w:pPr>
          </w:p>
        </w:tc>
      </w:tr>
      <w:tr w:rsidR="004A2C65" w:rsidRPr="00C74E29" w14:paraId="7471CB66" w14:textId="77777777" w:rsidTr="00C74E29">
        <w:trPr>
          <w:jc w:val="center"/>
        </w:trPr>
        <w:tc>
          <w:tcPr>
            <w:tcW w:w="2784" w:type="dxa"/>
            <w:vAlign w:val="center"/>
          </w:tcPr>
          <w:p w14:paraId="6C334055" w14:textId="1FAAD937" w:rsidR="001F5638" w:rsidRPr="000E2702" w:rsidRDefault="00EB7DD7" w:rsidP="00EB7DD7">
            <w:pPr>
              <w:spacing w:after="120"/>
              <w:jc w:val="center"/>
              <w:rPr>
                <w:rFonts w:asciiTheme="minorHAnsi" w:hAnsiTheme="minorHAnsi"/>
                <w:b/>
                <w:color w:val="FF0000"/>
                <w:sz w:val="20"/>
                <w:szCs w:val="20"/>
                <w:lang w:val="pt-BR"/>
              </w:rPr>
            </w:pPr>
            <w:r w:rsidRPr="000E2702">
              <w:rPr>
                <w:rFonts w:asciiTheme="minorHAnsi" w:hAnsiTheme="minorHAnsi"/>
                <w:b/>
                <w:color w:val="FF0000"/>
                <w:sz w:val="20"/>
                <w:szCs w:val="20"/>
                <w:lang w:val="pt-BR"/>
              </w:rPr>
              <w:t>Arranjos alternativos para as aquisições</w:t>
            </w:r>
          </w:p>
        </w:tc>
        <w:tc>
          <w:tcPr>
            <w:tcW w:w="1355" w:type="dxa"/>
            <w:vAlign w:val="center"/>
          </w:tcPr>
          <w:p w14:paraId="0537FCB6" w14:textId="6B3B9A12" w:rsidR="001F5638" w:rsidRPr="00093220" w:rsidRDefault="001F5638"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1.</w:t>
            </w:r>
            <w:r w:rsidR="00CC6F80" w:rsidRPr="00093220">
              <w:rPr>
                <w:rFonts w:ascii="Arial" w:eastAsia="Times New Roman" w:hAnsi="Arial" w:cs="Arial"/>
                <w:bCs/>
                <w:sz w:val="18"/>
                <w:szCs w:val="18"/>
                <w:lang w:val="pt-BR"/>
              </w:rPr>
              <w:t>9</w:t>
            </w:r>
          </w:p>
        </w:tc>
        <w:tc>
          <w:tcPr>
            <w:tcW w:w="4946" w:type="dxa"/>
          </w:tcPr>
          <w:p w14:paraId="4FE68119" w14:textId="65405C47" w:rsidR="001F5638" w:rsidRPr="0008308D" w:rsidRDefault="00EB7DD7" w:rsidP="00EB7DD7">
            <w:pPr>
              <w:pStyle w:val="AutoNumpara"/>
              <w:widowControl w:val="0"/>
              <w:spacing w:before="0"/>
              <w:ind w:left="78" w:firstLine="0"/>
              <w:rPr>
                <w:rFonts w:asciiTheme="minorHAnsi" w:hAnsiTheme="minorHAnsi" w:cstheme="minorHAnsi"/>
                <w:sz w:val="20"/>
                <w:lang w:val="pt-BR"/>
              </w:rPr>
            </w:pPr>
            <w:r w:rsidRPr="0008308D">
              <w:rPr>
                <w:rFonts w:asciiTheme="minorHAnsi" w:hAnsiTheme="minorHAnsi" w:cstheme="minorHAnsi"/>
                <w:color w:val="FF0000"/>
                <w:sz w:val="20"/>
                <w:lang w:val="pt-BR"/>
              </w:rPr>
              <w:t xml:space="preserve">Quando o Mutuário solicitar, o Banco poderá, sujeito as suas políticas, normas e requisitos operativos e aplicáveis, acordar utilizar e aplicar as normas e procedimentos de aquisições de outra agência ou organização multilateral ou bilateral e poderá acordar que tal entidade assuma uma </w:t>
            </w:r>
            <w:r w:rsidRPr="0008308D">
              <w:rPr>
                <w:rFonts w:asciiTheme="minorHAnsi" w:hAnsiTheme="minorHAnsi" w:cstheme="minorHAnsi"/>
                <w:color w:val="FF0000"/>
                <w:sz w:val="20"/>
                <w:lang w:val="pt-BR"/>
              </w:rPr>
              <w:lastRenderedPageBreak/>
              <w:t>posição de liderança em apoio a execução e o monitoramento das atividades de aquisição por meio de acordos de confiança mútua. Tais acordos devem ser consistentes com os Princípios Básicos de Aquisição do Banco e com as provisões estabelecidas no parágrafo 1.2 e assegurar que as Práticas Proibidas e os Procedimentos de Sanções do Banco, bem como as soluções contratuais estabelecidas nos Contratos de Empréstimo, permitam confiar nas políticas da instituição líder designada.</w:t>
            </w:r>
          </w:p>
        </w:tc>
        <w:tc>
          <w:tcPr>
            <w:tcW w:w="4410" w:type="dxa"/>
          </w:tcPr>
          <w:p w14:paraId="0E5BD7C8" w14:textId="77777777" w:rsidR="001F5638" w:rsidRPr="00EB7DD7" w:rsidRDefault="001F5638" w:rsidP="00D662E0">
            <w:pPr>
              <w:rPr>
                <w:lang w:val="pt-BR"/>
              </w:rPr>
            </w:pPr>
          </w:p>
        </w:tc>
      </w:tr>
      <w:tr w:rsidR="004A2C65" w:rsidRPr="00C74E29" w14:paraId="68C182F1" w14:textId="77777777" w:rsidTr="00C74E29">
        <w:trPr>
          <w:jc w:val="center"/>
        </w:trPr>
        <w:tc>
          <w:tcPr>
            <w:tcW w:w="2784" w:type="dxa"/>
            <w:vAlign w:val="center"/>
          </w:tcPr>
          <w:p w14:paraId="77A79A9B" w14:textId="3F2F2A67" w:rsidR="001F5638" w:rsidRPr="000E2702" w:rsidRDefault="00EB7DD7" w:rsidP="00EB7DD7">
            <w:pPr>
              <w:pStyle w:val="ListParagraph"/>
              <w:spacing w:after="120"/>
              <w:ind w:left="405"/>
              <w:rPr>
                <w:rFonts w:asciiTheme="minorHAnsi" w:hAnsiTheme="minorHAnsi"/>
                <w:b/>
                <w:color w:val="FF0000"/>
                <w:sz w:val="20"/>
                <w:szCs w:val="20"/>
                <w:lang w:val="pt-BR"/>
              </w:rPr>
            </w:pPr>
            <w:r w:rsidRPr="000E2702">
              <w:rPr>
                <w:rFonts w:asciiTheme="minorHAnsi" w:hAnsiTheme="minorHAnsi"/>
                <w:b/>
                <w:color w:val="FF0000"/>
                <w:sz w:val="20"/>
                <w:szCs w:val="20"/>
                <w:lang w:val="pt-BR"/>
              </w:rPr>
              <w:t>Uso de Sistemas de País</w:t>
            </w:r>
          </w:p>
        </w:tc>
        <w:tc>
          <w:tcPr>
            <w:tcW w:w="1355" w:type="dxa"/>
            <w:vAlign w:val="center"/>
          </w:tcPr>
          <w:p w14:paraId="73E32E9B" w14:textId="2A255114" w:rsidR="001F5638" w:rsidRPr="00093220" w:rsidRDefault="001F5638"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1.</w:t>
            </w:r>
            <w:r w:rsidR="005F6170" w:rsidRPr="00093220">
              <w:rPr>
                <w:rFonts w:ascii="Arial" w:eastAsia="Times New Roman" w:hAnsi="Arial" w:cs="Arial"/>
                <w:bCs/>
                <w:sz w:val="18"/>
                <w:szCs w:val="18"/>
                <w:lang w:val="pt-BR"/>
              </w:rPr>
              <w:t>10</w:t>
            </w:r>
          </w:p>
        </w:tc>
        <w:tc>
          <w:tcPr>
            <w:tcW w:w="4946" w:type="dxa"/>
          </w:tcPr>
          <w:p w14:paraId="6D7FEBB7" w14:textId="3B284727" w:rsidR="001F5638" w:rsidRPr="0008308D" w:rsidRDefault="00EB7DD7" w:rsidP="00EB7DD7">
            <w:pPr>
              <w:pStyle w:val="AutoNumpara"/>
              <w:ind w:left="78" w:firstLine="0"/>
              <w:rPr>
                <w:rFonts w:asciiTheme="minorHAnsi" w:hAnsiTheme="minorHAnsi" w:cstheme="minorHAnsi"/>
                <w:color w:val="FF0000"/>
                <w:sz w:val="20"/>
                <w:lang w:val="pt-BR"/>
              </w:rPr>
            </w:pPr>
            <w:r w:rsidRPr="0008308D">
              <w:rPr>
                <w:rFonts w:asciiTheme="minorHAnsi" w:hAnsiTheme="minorHAnsi" w:cstheme="minorHAnsi"/>
                <w:color w:val="FF0000"/>
                <w:sz w:val="20"/>
                <w:lang w:val="pt-BR"/>
              </w:rPr>
              <w:t>Por solicitação do Mutuário, o Banco pode se apoiar e aplicar as regras, procedimentos e sistemas de aquisição do Mutuário nacional o subnacional, ou agência do Mutuário quando cumprir com as normas internacionais de acordo com as avaliações</w:t>
            </w:r>
            <w:r w:rsidRPr="0008308D">
              <w:rPr>
                <w:rFonts w:asciiTheme="minorHAnsi" w:hAnsiTheme="minorHAnsi" w:cstheme="minorHAnsi"/>
                <w:color w:val="FF0000"/>
                <w:sz w:val="20"/>
                <w:vertAlign w:val="superscript"/>
              </w:rPr>
              <w:footnoteReference w:id="1"/>
            </w:r>
            <w:r w:rsidRPr="0008308D">
              <w:rPr>
                <w:rFonts w:asciiTheme="minorHAnsi" w:hAnsiTheme="minorHAnsi" w:cstheme="minorHAnsi"/>
                <w:color w:val="FF0000"/>
                <w:sz w:val="20"/>
                <w:lang w:val="pt-BR"/>
              </w:rPr>
              <w:t xml:space="preserve"> do Banco e for aceitável para o Banco.</w:t>
            </w:r>
          </w:p>
        </w:tc>
        <w:tc>
          <w:tcPr>
            <w:tcW w:w="4410" w:type="dxa"/>
          </w:tcPr>
          <w:p w14:paraId="32FE81AC" w14:textId="77777777" w:rsidR="001F5638" w:rsidRPr="00EB7DD7" w:rsidRDefault="001F5638" w:rsidP="00D662E0">
            <w:pPr>
              <w:rPr>
                <w:lang w:val="pt-BR"/>
              </w:rPr>
            </w:pPr>
          </w:p>
        </w:tc>
      </w:tr>
      <w:tr w:rsidR="004A2C65" w:rsidRPr="00C74E29" w14:paraId="3133E5A6" w14:textId="77777777" w:rsidTr="00C74E29">
        <w:trPr>
          <w:jc w:val="center"/>
        </w:trPr>
        <w:tc>
          <w:tcPr>
            <w:tcW w:w="2784" w:type="dxa"/>
            <w:vAlign w:val="center"/>
          </w:tcPr>
          <w:p w14:paraId="6DCE00C2" w14:textId="60D741A9" w:rsidR="005F6170" w:rsidRPr="000E2702" w:rsidRDefault="00EB7DD7" w:rsidP="00EB7DD7">
            <w:pPr>
              <w:pStyle w:val="Heading2"/>
              <w:jc w:val="center"/>
              <w:outlineLvl w:val="1"/>
              <w:rPr>
                <w:rFonts w:asciiTheme="minorHAnsi" w:hAnsiTheme="minorHAnsi"/>
                <w:sz w:val="20"/>
                <w:lang w:val="pt-BR"/>
              </w:rPr>
            </w:pPr>
            <w:bookmarkStart w:id="2" w:name="_Toc143081966"/>
            <w:bookmarkStart w:id="3" w:name="_Toc360111340"/>
            <w:r w:rsidRPr="000E2702">
              <w:rPr>
                <w:rFonts w:asciiTheme="minorHAnsi" w:hAnsiTheme="minorHAnsi"/>
                <w:spacing w:val="11"/>
                <w:w w:val="102"/>
                <w:sz w:val="20"/>
                <w:lang w:val="pt-BR"/>
              </w:rPr>
              <w:lastRenderedPageBreak/>
              <w:t>Contratação</w:t>
            </w:r>
            <w:r w:rsidRPr="000E2702">
              <w:rPr>
                <w:rFonts w:asciiTheme="minorHAnsi" w:hAnsiTheme="minorHAnsi"/>
                <w:w w:val="102"/>
                <w:sz w:val="20"/>
                <w:lang w:val="pt-BR"/>
              </w:rPr>
              <w:t xml:space="preserve"> Antecipada e Financiamento</w:t>
            </w:r>
            <w:r w:rsidRPr="000E2702">
              <w:rPr>
                <w:rFonts w:asciiTheme="minorHAnsi" w:hAnsiTheme="minorHAnsi"/>
                <w:sz w:val="20"/>
                <w:lang w:val="pt-BR"/>
              </w:rPr>
              <w:t xml:space="preserve"> </w:t>
            </w:r>
            <w:r w:rsidRPr="000E2702">
              <w:rPr>
                <w:rFonts w:asciiTheme="minorHAnsi" w:hAnsiTheme="minorHAnsi"/>
                <w:spacing w:val="-5"/>
                <w:w w:val="102"/>
                <w:sz w:val="20"/>
                <w:lang w:val="pt-BR"/>
              </w:rPr>
              <w:t>Retroativo</w:t>
            </w:r>
            <w:bookmarkEnd w:id="2"/>
            <w:bookmarkEnd w:id="3"/>
          </w:p>
        </w:tc>
        <w:tc>
          <w:tcPr>
            <w:tcW w:w="1355" w:type="dxa"/>
            <w:vAlign w:val="center"/>
          </w:tcPr>
          <w:p w14:paraId="13000439" w14:textId="14891966" w:rsidR="005F6170" w:rsidRPr="00093220" w:rsidRDefault="00F000FC"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1.14</w:t>
            </w:r>
          </w:p>
        </w:tc>
        <w:tc>
          <w:tcPr>
            <w:tcW w:w="4946" w:type="dxa"/>
          </w:tcPr>
          <w:p w14:paraId="02AEA7FF" w14:textId="34A07938" w:rsidR="005F6170" w:rsidRPr="0008308D" w:rsidRDefault="00EB7DD7" w:rsidP="00EB7DD7">
            <w:pPr>
              <w:pStyle w:val="AutoNumpara"/>
              <w:widowControl w:val="0"/>
              <w:spacing w:before="0"/>
              <w:ind w:left="67" w:firstLine="0"/>
              <w:rPr>
                <w:rFonts w:asciiTheme="minorHAnsi" w:hAnsiTheme="minorHAnsi" w:cstheme="minorHAnsi"/>
                <w:sz w:val="20"/>
                <w:lang w:val="pt-BR"/>
              </w:rPr>
            </w:pPr>
            <w:r w:rsidRPr="0008308D">
              <w:rPr>
                <w:rFonts w:asciiTheme="minorHAnsi" w:hAnsiTheme="minorHAnsi" w:cstheme="minorHAnsi"/>
                <w:sz w:val="20"/>
                <w:lang w:val="pt-BR"/>
              </w:rPr>
              <w:t xml:space="preserve">Com a prévia aprovação do Banco e em circunstâncias como as que visam a acelerar a implementação do projeto, é facultado ao Mutuário promover a seleção de consultores antes da assinatura do correspondente Contrato de Empréstimo. Esse procedimento é denominado contratação antecipada. Nesses casos, os processos de seleção, inclusive no que tange à publicidade, deverão estar de acordo com </w:t>
            </w:r>
            <w:r w:rsidRPr="0008308D">
              <w:rPr>
                <w:rFonts w:asciiTheme="minorHAnsi" w:hAnsiTheme="minorHAnsi" w:cstheme="minorHAnsi"/>
                <w:color w:val="FF0000"/>
                <w:sz w:val="20"/>
                <w:lang w:val="pt-BR"/>
              </w:rPr>
              <w:t>os princípios básicos de aquisições do Banco</w:t>
            </w:r>
            <w:r w:rsidRPr="0008308D">
              <w:rPr>
                <w:rFonts w:asciiTheme="minorHAnsi" w:hAnsiTheme="minorHAnsi" w:cstheme="minorHAnsi"/>
                <w:sz w:val="20"/>
                <w:lang w:val="pt-BR"/>
              </w:rPr>
              <w:t>, devendo o Banco revisar o procedimento conduzido pelo Mutuário. O Mutuário que optar pela contratação antecipada o fará por sua conta e risco, e nenhuma “não objeção” emitida pelo Banco relativa a tais procedimentos, documentação ou recomendação de adjudicação, comprometerá o Banco a efetivar o empréstimo relativo ao projeto.  Se o contrato for assinado, o reembolso pelo Banco de qualquer pagamento feito pelo Mutuário no âmbito do contrato firmado em data anterior à assinatura do empréstimo será considerado financiamento retroativo, somente admitido nos limites especificados no Contrato de Empréstimo.</w:t>
            </w:r>
          </w:p>
        </w:tc>
        <w:tc>
          <w:tcPr>
            <w:tcW w:w="4410" w:type="dxa"/>
          </w:tcPr>
          <w:p w14:paraId="016F9857" w14:textId="77777777" w:rsidR="005F6170" w:rsidRPr="00EB7DD7" w:rsidRDefault="005F6170" w:rsidP="00D662E0">
            <w:pPr>
              <w:rPr>
                <w:lang w:val="pt-BR"/>
              </w:rPr>
            </w:pPr>
          </w:p>
        </w:tc>
      </w:tr>
      <w:tr w:rsidR="004A2C65" w:rsidRPr="00093220" w14:paraId="0903D172" w14:textId="77777777" w:rsidTr="00C74E29">
        <w:trPr>
          <w:jc w:val="center"/>
        </w:trPr>
        <w:tc>
          <w:tcPr>
            <w:tcW w:w="2784" w:type="dxa"/>
            <w:vAlign w:val="center"/>
          </w:tcPr>
          <w:p w14:paraId="2EFDE9F1" w14:textId="7007097F" w:rsidR="005F6170" w:rsidRPr="000E2702" w:rsidRDefault="00EB7DD7" w:rsidP="00EB7DD7">
            <w:pPr>
              <w:pStyle w:val="Heading2"/>
              <w:jc w:val="center"/>
              <w:outlineLvl w:val="1"/>
              <w:rPr>
                <w:rFonts w:asciiTheme="minorHAnsi" w:hAnsiTheme="minorHAnsi"/>
                <w:w w:val="102"/>
                <w:sz w:val="20"/>
                <w:lang w:val="pt-BR"/>
              </w:rPr>
            </w:pPr>
            <w:bookmarkStart w:id="4" w:name="_Toc143081968"/>
            <w:bookmarkStart w:id="5" w:name="_Toc360111342"/>
            <w:r w:rsidRPr="000E2702">
              <w:rPr>
                <w:rFonts w:asciiTheme="minorHAnsi" w:hAnsiTheme="minorHAnsi"/>
                <w:w w:val="102"/>
                <w:sz w:val="20"/>
                <w:lang w:val="pt-BR"/>
              </w:rPr>
              <w:t>Revisão, Orientação e Supervisão do Banco</w:t>
            </w:r>
            <w:bookmarkEnd w:id="4"/>
            <w:bookmarkEnd w:id="5"/>
          </w:p>
        </w:tc>
        <w:tc>
          <w:tcPr>
            <w:tcW w:w="1355" w:type="dxa"/>
            <w:vAlign w:val="center"/>
          </w:tcPr>
          <w:p w14:paraId="5E0484AC" w14:textId="1D27A3E0" w:rsidR="005F6170" w:rsidRPr="00093220" w:rsidRDefault="002D2043"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1.16</w:t>
            </w:r>
          </w:p>
        </w:tc>
        <w:tc>
          <w:tcPr>
            <w:tcW w:w="4946" w:type="dxa"/>
          </w:tcPr>
          <w:p w14:paraId="6E62B2EE" w14:textId="5CE00C08" w:rsidR="005F6170" w:rsidRPr="0008308D" w:rsidRDefault="00EB7DD7" w:rsidP="0041385A">
            <w:pPr>
              <w:jc w:val="both"/>
              <w:rPr>
                <w:rFonts w:asciiTheme="minorHAnsi" w:hAnsiTheme="minorHAnsi" w:cstheme="minorHAnsi"/>
                <w:sz w:val="20"/>
                <w:szCs w:val="20"/>
                <w:lang w:val="pt-BR"/>
              </w:rPr>
            </w:pPr>
            <w:r w:rsidRPr="0008308D">
              <w:rPr>
                <w:rFonts w:asciiTheme="minorHAnsi" w:hAnsiTheme="minorHAnsi" w:cstheme="minorHAnsi"/>
                <w:sz w:val="20"/>
                <w:szCs w:val="20"/>
                <w:lang w:val="pt-BR"/>
              </w:rPr>
              <w:t xml:space="preserve">Compete ao Banco rever a contratação de consultores pelo Mutuário, a fim de se assegurar que o processo de seleção seja realizado de acordo com as disposições destas </w:t>
            </w:r>
            <w:r w:rsidRPr="0008308D">
              <w:rPr>
                <w:rFonts w:asciiTheme="minorHAnsi" w:hAnsiTheme="minorHAnsi" w:cstheme="minorHAnsi"/>
                <w:color w:val="FF0000"/>
                <w:sz w:val="20"/>
                <w:szCs w:val="20"/>
                <w:lang w:val="pt-BR"/>
              </w:rPr>
              <w:t>os princípios básicos de aquisições do Banco</w:t>
            </w:r>
            <w:r w:rsidRPr="0008308D">
              <w:rPr>
                <w:rFonts w:asciiTheme="minorHAnsi" w:hAnsiTheme="minorHAnsi" w:cstheme="minorHAnsi"/>
                <w:sz w:val="20"/>
                <w:szCs w:val="20"/>
                <w:lang w:val="pt-BR"/>
              </w:rPr>
              <w:t>. Os procedimentos de revisão são descritos no Apêndice 1.</w:t>
            </w:r>
          </w:p>
        </w:tc>
        <w:tc>
          <w:tcPr>
            <w:tcW w:w="4410" w:type="dxa"/>
          </w:tcPr>
          <w:p w14:paraId="5B7740F5" w14:textId="77777777" w:rsidR="005F6170" w:rsidRPr="00093220" w:rsidRDefault="005F6170" w:rsidP="00D662E0">
            <w:pPr>
              <w:rPr>
                <w:lang w:val="pt-BR"/>
              </w:rPr>
            </w:pPr>
          </w:p>
        </w:tc>
      </w:tr>
      <w:tr w:rsidR="004A2C65" w:rsidRPr="00C74E29" w14:paraId="7F8B6E1D" w14:textId="77777777" w:rsidTr="00C74E29">
        <w:trPr>
          <w:jc w:val="center"/>
        </w:trPr>
        <w:tc>
          <w:tcPr>
            <w:tcW w:w="2784" w:type="dxa"/>
            <w:vAlign w:val="center"/>
          </w:tcPr>
          <w:p w14:paraId="4CAAF779" w14:textId="77777777" w:rsidR="00A4325F" w:rsidRPr="000E2702" w:rsidRDefault="00A4325F" w:rsidP="00A4325F">
            <w:pPr>
              <w:pStyle w:val="Heading2"/>
              <w:jc w:val="center"/>
              <w:outlineLvl w:val="1"/>
              <w:rPr>
                <w:rFonts w:asciiTheme="minorHAnsi" w:hAnsiTheme="minorHAnsi"/>
                <w:w w:val="102"/>
                <w:sz w:val="20"/>
                <w:lang w:val="pt-BR"/>
              </w:rPr>
            </w:pPr>
            <w:bookmarkStart w:id="6" w:name="_Toc99258007"/>
            <w:bookmarkStart w:id="7" w:name="_Toc143081969"/>
            <w:bookmarkStart w:id="8" w:name="_Toc360111343"/>
            <w:r w:rsidRPr="000E2702">
              <w:rPr>
                <w:rFonts w:asciiTheme="minorHAnsi" w:hAnsiTheme="minorHAnsi"/>
                <w:w w:val="102"/>
                <w:sz w:val="20"/>
                <w:lang w:val="pt-BR"/>
              </w:rPr>
              <w:lastRenderedPageBreak/>
              <w:t>Aquisição Viciada</w:t>
            </w:r>
            <w:bookmarkEnd w:id="6"/>
            <w:bookmarkEnd w:id="7"/>
            <w:bookmarkEnd w:id="8"/>
          </w:p>
          <w:p w14:paraId="7286BF1A" w14:textId="19C243AD" w:rsidR="005F6170" w:rsidRPr="000E2702" w:rsidRDefault="005F6170" w:rsidP="006D2939">
            <w:pPr>
              <w:jc w:val="center"/>
              <w:rPr>
                <w:b/>
                <w:sz w:val="20"/>
                <w:szCs w:val="20"/>
                <w:lang w:val="es-419"/>
              </w:rPr>
            </w:pPr>
          </w:p>
        </w:tc>
        <w:tc>
          <w:tcPr>
            <w:tcW w:w="1355" w:type="dxa"/>
            <w:vAlign w:val="center"/>
          </w:tcPr>
          <w:p w14:paraId="365E4D98" w14:textId="46A253A1" w:rsidR="005F6170" w:rsidRPr="00093220" w:rsidRDefault="00923CD4"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1.19</w:t>
            </w:r>
          </w:p>
        </w:tc>
        <w:tc>
          <w:tcPr>
            <w:tcW w:w="4946" w:type="dxa"/>
          </w:tcPr>
          <w:p w14:paraId="5AD39184" w14:textId="6F518449" w:rsidR="005F6170" w:rsidRPr="0008308D" w:rsidRDefault="00A4325F" w:rsidP="0041385A">
            <w:pPr>
              <w:jc w:val="both"/>
              <w:rPr>
                <w:rFonts w:asciiTheme="minorHAnsi" w:hAnsiTheme="minorHAnsi" w:cstheme="minorHAnsi"/>
                <w:sz w:val="20"/>
                <w:szCs w:val="20"/>
                <w:lang w:val="pt-BR"/>
              </w:rPr>
            </w:pPr>
            <w:r w:rsidRPr="0008308D">
              <w:rPr>
                <w:rFonts w:asciiTheme="minorHAnsi" w:hAnsiTheme="minorHAnsi" w:cstheme="minorHAnsi"/>
                <w:sz w:val="20"/>
                <w:szCs w:val="20"/>
                <w:lang w:val="pt-BR"/>
              </w:rPr>
              <w:t>O Banco não financia gastos com serviços de consultoria na hipótese da seleção ou contratação dos Consultores não ter sido feita conforme as disposições acordadas no Contrato de Empréstimo e no Plano de Aquisições</w:t>
            </w:r>
            <w:r w:rsidRPr="0008308D">
              <w:rPr>
                <w:rFonts w:asciiTheme="minorHAnsi" w:hAnsiTheme="minorHAnsi" w:cstheme="minorHAnsi"/>
                <w:sz w:val="20"/>
                <w:szCs w:val="20"/>
                <w:vertAlign w:val="superscript"/>
              </w:rPr>
              <w:footnoteReference w:id="2"/>
            </w:r>
            <w:r w:rsidRPr="0008308D">
              <w:rPr>
                <w:rFonts w:asciiTheme="minorHAnsi" w:hAnsiTheme="minorHAnsi" w:cstheme="minorHAnsi"/>
                <w:sz w:val="20"/>
                <w:szCs w:val="20"/>
                <w:lang w:val="pt-BR"/>
              </w:rPr>
              <w:t xml:space="preserve"> aprovado pelo Banco. Em tais casos, </w:t>
            </w:r>
            <w:r w:rsidRPr="0008308D">
              <w:rPr>
                <w:rFonts w:asciiTheme="minorHAnsi" w:hAnsiTheme="minorHAnsi" w:cstheme="minorHAnsi"/>
                <w:color w:val="FF0000"/>
                <w:sz w:val="20"/>
                <w:szCs w:val="20"/>
                <w:lang w:val="pt-BR"/>
              </w:rPr>
              <w:t>o Banco poderá exercer outros recursos previstos no Contrato de Empréstimo, tomar outras medidas apropriadas, inclusive declarar viciado o processo de seleção</w:t>
            </w:r>
            <w:r w:rsidRPr="0008308D">
              <w:rPr>
                <w:rFonts w:asciiTheme="minorHAnsi" w:hAnsiTheme="minorHAnsi" w:cstheme="minorHAnsi"/>
                <w:sz w:val="20"/>
                <w:szCs w:val="20"/>
                <w:lang w:val="pt-BR"/>
              </w:rPr>
              <w:t>. Mesmo no caso de o contrato haver sido adjudicado após a obtenção da “não objeção” do Banco, o Banco ainda poderá declarar viciado o processo de seleção, se concluir que a “não objeção” baseou-se em informações incompletas, imprecisas ou enganosas fornecidas pelo Mutuário ou que os termos e condições do contrato foram modificados sem a aprovação do Banco.</w:t>
            </w:r>
          </w:p>
        </w:tc>
        <w:tc>
          <w:tcPr>
            <w:tcW w:w="4410" w:type="dxa"/>
          </w:tcPr>
          <w:p w14:paraId="018251DE" w14:textId="77777777" w:rsidR="005F6170" w:rsidRPr="00A4325F" w:rsidRDefault="005F6170" w:rsidP="00D662E0">
            <w:pPr>
              <w:rPr>
                <w:lang w:val="pt-BR"/>
              </w:rPr>
            </w:pPr>
          </w:p>
        </w:tc>
      </w:tr>
      <w:tr w:rsidR="004A2C65" w:rsidRPr="00C74E29" w14:paraId="1743AFA2" w14:textId="77777777" w:rsidTr="00C74E29">
        <w:trPr>
          <w:jc w:val="center"/>
        </w:trPr>
        <w:tc>
          <w:tcPr>
            <w:tcW w:w="2784" w:type="dxa"/>
            <w:vAlign w:val="center"/>
          </w:tcPr>
          <w:p w14:paraId="230C3EC8" w14:textId="254CC94D" w:rsidR="005F6170" w:rsidRPr="000E2702" w:rsidRDefault="000B22DA" w:rsidP="006D2939">
            <w:pPr>
              <w:jc w:val="center"/>
              <w:rPr>
                <w:b/>
                <w:sz w:val="20"/>
                <w:szCs w:val="20"/>
                <w:lang w:val="pt-BR"/>
              </w:rPr>
            </w:pPr>
            <w:proofErr w:type="spellStart"/>
            <w:proofErr w:type="gramStart"/>
            <w:r w:rsidRPr="000E2702">
              <w:rPr>
                <w:b/>
                <w:sz w:val="20"/>
                <w:szCs w:val="20"/>
                <w:lang w:val="pt-BR"/>
              </w:rPr>
              <w:t>Prácticas</w:t>
            </w:r>
            <w:proofErr w:type="spellEnd"/>
            <w:r w:rsidRPr="000E2702">
              <w:rPr>
                <w:b/>
                <w:sz w:val="20"/>
                <w:szCs w:val="20"/>
                <w:lang w:val="pt-BR"/>
              </w:rPr>
              <w:t xml:space="preserve"> Proibidas</w:t>
            </w:r>
            <w:proofErr w:type="gramEnd"/>
          </w:p>
        </w:tc>
        <w:tc>
          <w:tcPr>
            <w:tcW w:w="1355" w:type="dxa"/>
            <w:vAlign w:val="center"/>
          </w:tcPr>
          <w:p w14:paraId="27D1416B" w14:textId="559E53DC" w:rsidR="005F6170" w:rsidRPr="00093220" w:rsidRDefault="000B22DA"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1.24</w:t>
            </w:r>
          </w:p>
        </w:tc>
        <w:tc>
          <w:tcPr>
            <w:tcW w:w="4946" w:type="dxa"/>
          </w:tcPr>
          <w:p w14:paraId="21C779A5" w14:textId="6E6C50B0" w:rsidR="005F6170" w:rsidRPr="0008308D" w:rsidRDefault="00A4325F" w:rsidP="00A4325F">
            <w:pPr>
              <w:pStyle w:val="AutoNumpara"/>
              <w:widowControl w:val="0"/>
              <w:spacing w:before="0"/>
              <w:ind w:left="-23" w:firstLine="0"/>
              <w:rPr>
                <w:rFonts w:asciiTheme="minorHAnsi" w:hAnsiTheme="minorHAnsi" w:cstheme="minorHAnsi"/>
                <w:noProof w:val="0"/>
                <w:sz w:val="20"/>
                <w:lang w:val="pt-BR"/>
              </w:rPr>
            </w:pPr>
            <w:r w:rsidRPr="0008308D">
              <w:rPr>
                <w:rFonts w:asciiTheme="minorHAnsi" w:hAnsiTheme="minorHAnsi" w:cstheme="minorHAnsi"/>
                <w:noProof w:val="0"/>
                <w:sz w:val="20"/>
                <w:lang w:val="pt-BR"/>
              </w:rPr>
              <w:t>Com a concordância específica do Banco, o Mutuário poderá introduzir nas SDP para grandes contratos financiados pelo Banco, um requisito pelo qual o consultor inclua na proposta um compromisso pelo qual o consultor compromete-se a observar, no decorrer do processo de seleção ou durante a execução do contrato, a legislação do país relativa às Práticas Proibidas (inclusive suborno)</w:t>
            </w:r>
            <w:r w:rsidRPr="0008308D">
              <w:rPr>
                <w:rFonts w:asciiTheme="minorHAnsi" w:hAnsiTheme="minorHAnsi" w:cstheme="minorHAnsi"/>
                <w:color w:val="FF0000"/>
                <w:sz w:val="20"/>
                <w:lang w:val="pt-BR"/>
              </w:rPr>
              <w:t xml:space="preserve">, e os regulamentos de um Banco Multilateral de Desenvolvimento ou Agência Internacional de Desenvolvimento relacionados a Práticas Proibidas, conforme aplicável e </w:t>
            </w:r>
            <w:r w:rsidRPr="0008308D">
              <w:rPr>
                <w:rFonts w:asciiTheme="minorHAnsi" w:hAnsiTheme="minorHAnsi" w:cstheme="minorHAnsi"/>
                <w:noProof w:val="0"/>
                <w:sz w:val="20"/>
                <w:lang w:val="pt-BR"/>
              </w:rPr>
              <w:t>contido nos Editais de Licitação.</w:t>
            </w:r>
            <w:r w:rsidRPr="0008308D">
              <w:rPr>
                <w:rFonts w:asciiTheme="minorHAnsi" w:hAnsiTheme="minorHAnsi" w:cstheme="minorHAnsi"/>
                <w:sz w:val="20"/>
                <w:vertAlign w:val="superscript"/>
              </w:rPr>
              <w:footnoteReference w:id="3"/>
            </w:r>
            <w:r w:rsidRPr="0008308D">
              <w:rPr>
                <w:rFonts w:asciiTheme="minorHAnsi" w:hAnsiTheme="minorHAnsi" w:cstheme="minorHAnsi"/>
                <w:noProof w:val="0"/>
                <w:sz w:val="20"/>
                <w:lang w:val="pt-BR"/>
              </w:rPr>
              <w:t xml:space="preserve"> O Banco aceitará a introdução de tais disposições, a pedido do país do Mutuário, desde que os aspectos que as regem sejam satisfatórios ao Banco.</w:t>
            </w:r>
          </w:p>
        </w:tc>
        <w:tc>
          <w:tcPr>
            <w:tcW w:w="4410" w:type="dxa"/>
          </w:tcPr>
          <w:p w14:paraId="7C926543" w14:textId="77777777" w:rsidR="005F6170" w:rsidRPr="00A4325F" w:rsidRDefault="005F6170" w:rsidP="00D662E0">
            <w:pPr>
              <w:rPr>
                <w:lang w:val="pt-BR"/>
              </w:rPr>
            </w:pPr>
          </w:p>
        </w:tc>
      </w:tr>
      <w:tr w:rsidR="004A2C65" w:rsidRPr="00C74E29" w14:paraId="6BBF00EF" w14:textId="77777777" w:rsidTr="00C74E29">
        <w:trPr>
          <w:jc w:val="center"/>
        </w:trPr>
        <w:tc>
          <w:tcPr>
            <w:tcW w:w="2784" w:type="dxa"/>
            <w:vAlign w:val="center"/>
          </w:tcPr>
          <w:p w14:paraId="62C9411F" w14:textId="07FDAA41" w:rsidR="001F5638" w:rsidRPr="000E2702" w:rsidRDefault="00A4325F" w:rsidP="00A4325F">
            <w:pPr>
              <w:spacing w:after="120"/>
              <w:ind w:left="720"/>
              <w:rPr>
                <w:rFonts w:asciiTheme="minorHAnsi" w:hAnsiTheme="minorHAnsi"/>
                <w:b/>
                <w:color w:val="FF0000"/>
                <w:sz w:val="20"/>
                <w:szCs w:val="20"/>
                <w:lang w:val="pt-BR"/>
              </w:rPr>
            </w:pPr>
            <w:r w:rsidRPr="000E2702">
              <w:rPr>
                <w:rFonts w:asciiTheme="minorHAnsi" w:hAnsiTheme="minorHAnsi"/>
                <w:b/>
                <w:color w:val="FF0000"/>
                <w:sz w:val="20"/>
                <w:szCs w:val="20"/>
                <w:lang w:val="pt-BR"/>
              </w:rPr>
              <w:t>Apoio Complementar para Aquisições</w:t>
            </w:r>
          </w:p>
        </w:tc>
        <w:tc>
          <w:tcPr>
            <w:tcW w:w="1355" w:type="dxa"/>
            <w:vAlign w:val="center"/>
          </w:tcPr>
          <w:p w14:paraId="5DD43FD7" w14:textId="6760DC78" w:rsidR="001F5638" w:rsidRPr="00093220" w:rsidRDefault="001F5638"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1.</w:t>
            </w:r>
            <w:r w:rsidR="007B597C" w:rsidRPr="00093220">
              <w:rPr>
                <w:rFonts w:ascii="Arial" w:eastAsia="Times New Roman" w:hAnsi="Arial" w:cs="Arial"/>
                <w:bCs/>
                <w:sz w:val="18"/>
                <w:szCs w:val="18"/>
                <w:lang w:val="pt-BR"/>
              </w:rPr>
              <w:t>26</w:t>
            </w:r>
          </w:p>
        </w:tc>
        <w:tc>
          <w:tcPr>
            <w:tcW w:w="4946" w:type="dxa"/>
          </w:tcPr>
          <w:p w14:paraId="32A2056E" w14:textId="1C07DC78" w:rsidR="001F5638" w:rsidRPr="0008308D" w:rsidRDefault="00A4325F" w:rsidP="00A4325F">
            <w:pPr>
              <w:pStyle w:val="AutoNumpara"/>
              <w:ind w:left="0" w:firstLine="0"/>
              <w:rPr>
                <w:rFonts w:asciiTheme="minorHAnsi" w:hAnsiTheme="minorHAnsi" w:cstheme="minorHAnsi"/>
                <w:color w:val="FF0000"/>
                <w:sz w:val="20"/>
                <w:lang w:val="pt-BR"/>
              </w:rPr>
            </w:pPr>
            <w:r w:rsidRPr="0008308D">
              <w:rPr>
                <w:rFonts w:asciiTheme="minorHAnsi" w:hAnsiTheme="minorHAnsi" w:cstheme="minorHAnsi"/>
                <w:color w:val="FF0000"/>
                <w:sz w:val="20"/>
                <w:lang w:val="pt-BR"/>
              </w:rPr>
              <w:t xml:space="preserve">O Banco pode concordar em fornecer ao Mutuário um Apoio Complementar para Aquisições (ACA), onde o Mutuário, ou conforme apropriado, o país membro, e quando seja julgado pelo Banco que: (a) foram identificadas deficiências na capacidade de execução do Mutuário; ou (b) </w:t>
            </w:r>
            <w:r w:rsidRPr="0008308D">
              <w:rPr>
                <w:rFonts w:asciiTheme="minorHAnsi" w:hAnsiTheme="minorHAnsi" w:cstheme="minorHAnsi"/>
                <w:color w:val="FF0000"/>
                <w:sz w:val="20"/>
                <w:lang w:val="pt-BR"/>
              </w:rPr>
              <w:lastRenderedPageBreak/>
              <w:t>em casos de processos de aquisição e contratação complexos ou inovadores.</w:t>
            </w:r>
          </w:p>
        </w:tc>
        <w:tc>
          <w:tcPr>
            <w:tcW w:w="4410" w:type="dxa"/>
          </w:tcPr>
          <w:p w14:paraId="67E588D3" w14:textId="77777777" w:rsidR="001F5638" w:rsidRPr="00A4325F" w:rsidRDefault="001F5638" w:rsidP="00D662E0">
            <w:pPr>
              <w:rPr>
                <w:lang w:val="pt-BR"/>
              </w:rPr>
            </w:pPr>
          </w:p>
        </w:tc>
      </w:tr>
      <w:tr w:rsidR="004A2C65" w:rsidRPr="00C74E29" w14:paraId="6BD43497" w14:textId="77777777" w:rsidTr="00C74E29">
        <w:trPr>
          <w:jc w:val="center"/>
        </w:trPr>
        <w:tc>
          <w:tcPr>
            <w:tcW w:w="2784" w:type="dxa"/>
            <w:vAlign w:val="center"/>
          </w:tcPr>
          <w:p w14:paraId="316FD90E" w14:textId="5685124E" w:rsidR="00136BA4" w:rsidRPr="000E2702" w:rsidRDefault="00136BA4" w:rsidP="001F5638">
            <w:pPr>
              <w:jc w:val="center"/>
              <w:rPr>
                <w:b/>
                <w:sz w:val="20"/>
                <w:szCs w:val="20"/>
                <w:lang w:val="pt-BR"/>
              </w:rPr>
            </w:pPr>
          </w:p>
        </w:tc>
        <w:tc>
          <w:tcPr>
            <w:tcW w:w="1355" w:type="dxa"/>
            <w:vAlign w:val="center"/>
          </w:tcPr>
          <w:p w14:paraId="2AE6BF89" w14:textId="1FA4F947" w:rsidR="00136BA4" w:rsidRPr="00093220" w:rsidRDefault="00136BA4"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1.2</w:t>
            </w:r>
            <w:r w:rsidR="009905E9" w:rsidRPr="00093220">
              <w:rPr>
                <w:rFonts w:ascii="Arial" w:eastAsia="Times New Roman" w:hAnsi="Arial" w:cs="Arial"/>
                <w:bCs/>
                <w:sz w:val="18"/>
                <w:szCs w:val="18"/>
                <w:lang w:val="pt-BR"/>
              </w:rPr>
              <w:t>7</w:t>
            </w:r>
          </w:p>
        </w:tc>
        <w:tc>
          <w:tcPr>
            <w:tcW w:w="4946" w:type="dxa"/>
          </w:tcPr>
          <w:p w14:paraId="714EAF40" w14:textId="0BA2C3A6" w:rsidR="00136BA4" w:rsidRPr="0008308D" w:rsidRDefault="003A17ED" w:rsidP="003A17ED">
            <w:pPr>
              <w:pStyle w:val="AutoNumpara"/>
              <w:ind w:left="0" w:firstLine="0"/>
              <w:rPr>
                <w:rFonts w:asciiTheme="minorHAnsi" w:hAnsiTheme="minorHAnsi" w:cstheme="minorHAnsi"/>
                <w:color w:val="FF0000"/>
                <w:sz w:val="20"/>
                <w:lang w:val="pt-BR"/>
              </w:rPr>
            </w:pPr>
            <w:r w:rsidRPr="0008308D">
              <w:rPr>
                <w:rFonts w:asciiTheme="minorHAnsi" w:hAnsiTheme="minorHAnsi" w:cstheme="minorHAnsi"/>
                <w:color w:val="FF0000"/>
                <w:sz w:val="20"/>
                <w:lang w:val="pt-BR"/>
              </w:rPr>
              <w:t>O ACA não implica que Banco execute as aquisições em nome do Mutuário, e a execução do projeto continua sendo de responsabilidade do Mutuário. O escopo e a natureza desse apoio são determinados pelo Banco, caso a caso.</w:t>
            </w:r>
          </w:p>
        </w:tc>
        <w:tc>
          <w:tcPr>
            <w:tcW w:w="4410" w:type="dxa"/>
          </w:tcPr>
          <w:p w14:paraId="72A62B33" w14:textId="77777777" w:rsidR="00136BA4" w:rsidRPr="003A17ED" w:rsidRDefault="00136BA4" w:rsidP="00D662E0">
            <w:pPr>
              <w:rPr>
                <w:lang w:val="pt-BR"/>
              </w:rPr>
            </w:pPr>
          </w:p>
        </w:tc>
      </w:tr>
      <w:tr w:rsidR="004A2C65" w:rsidRPr="00C74E29" w14:paraId="060D2ECE" w14:textId="77777777" w:rsidTr="00C74E29">
        <w:trPr>
          <w:jc w:val="center"/>
        </w:trPr>
        <w:tc>
          <w:tcPr>
            <w:tcW w:w="2784" w:type="dxa"/>
            <w:vAlign w:val="center"/>
          </w:tcPr>
          <w:p w14:paraId="1993BB73" w14:textId="627753C2" w:rsidR="001F5638" w:rsidRPr="000E2702" w:rsidRDefault="004A2C65" w:rsidP="004A2C65">
            <w:pPr>
              <w:spacing w:after="120"/>
              <w:ind w:left="405"/>
              <w:jc w:val="center"/>
              <w:rPr>
                <w:rFonts w:asciiTheme="minorHAnsi" w:hAnsiTheme="minorHAnsi"/>
                <w:b/>
                <w:noProof/>
                <w:color w:val="FF0000"/>
                <w:spacing w:val="-2"/>
                <w:sz w:val="20"/>
                <w:szCs w:val="20"/>
                <w:lang w:val="pt-BR"/>
              </w:rPr>
            </w:pPr>
            <w:r w:rsidRPr="000E2702">
              <w:rPr>
                <w:rFonts w:asciiTheme="minorHAnsi" w:hAnsiTheme="minorHAnsi"/>
                <w:b/>
                <w:noProof/>
                <w:color w:val="FF0000"/>
                <w:spacing w:val="-2"/>
                <w:sz w:val="20"/>
                <w:szCs w:val="20"/>
                <w:lang w:val="pt-BR"/>
              </w:rPr>
              <w:t>Sistemas eletrônicos de compras</w:t>
            </w:r>
          </w:p>
        </w:tc>
        <w:tc>
          <w:tcPr>
            <w:tcW w:w="1355" w:type="dxa"/>
            <w:vAlign w:val="center"/>
          </w:tcPr>
          <w:p w14:paraId="538AF089" w14:textId="550362CC" w:rsidR="001F5638" w:rsidRPr="00093220" w:rsidRDefault="001F5638"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1.2</w:t>
            </w:r>
            <w:r w:rsidR="009905E9" w:rsidRPr="00093220">
              <w:rPr>
                <w:rFonts w:ascii="Arial" w:eastAsia="Times New Roman" w:hAnsi="Arial" w:cs="Arial"/>
                <w:bCs/>
                <w:sz w:val="18"/>
                <w:szCs w:val="18"/>
                <w:lang w:val="pt-BR"/>
              </w:rPr>
              <w:t>8</w:t>
            </w:r>
          </w:p>
        </w:tc>
        <w:tc>
          <w:tcPr>
            <w:tcW w:w="4946" w:type="dxa"/>
          </w:tcPr>
          <w:p w14:paraId="143A95BC" w14:textId="79A61C8E" w:rsidR="001F5638" w:rsidRPr="0008308D" w:rsidRDefault="004A2C65" w:rsidP="004A2C65">
            <w:pPr>
              <w:pStyle w:val="AutoNumpara"/>
              <w:ind w:left="0" w:firstLine="0"/>
              <w:rPr>
                <w:rFonts w:asciiTheme="minorHAnsi" w:hAnsiTheme="minorHAnsi" w:cstheme="minorHAnsi"/>
                <w:color w:val="FF0000"/>
                <w:sz w:val="20"/>
                <w:lang w:val="pt-BR"/>
              </w:rPr>
            </w:pPr>
            <w:r w:rsidRPr="0008308D">
              <w:rPr>
                <w:rFonts w:asciiTheme="minorHAnsi" w:hAnsiTheme="minorHAnsi" w:cstheme="minorHAnsi"/>
                <w:color w:val="FF0000"/>
                <w:sz w:val="20"/>
                <w:lang w:val="pt-BR"/>
              </w:rPr>
              <w:t>O Banco incentiva os mutuários a modernizar continuamente seus sistemas de compras, inclusive incorporando elementos para compras eletrônicas que assegurem os Princípios Básicos de Aquisição do Banco. Os mutuários podem usar sistemas de aquisição eletrônica (e-procurement) para fases do processo de aquisição, incluindo: emissão de SBD e suas modificações, ofertas de aquisição, propostas, cotações e execução de outras ações ou métodos de aquisição, como pregão eletrônico, desde que o Banco esteja satisfeito com a adequação do sistema, incluindo sua acessibilidade, segurança e integridade, confidencialidade e facilidade de auditoria.</w:t>
            </w:r>
          </w:p>
        </w:tc>
        <w:tc>
          <w:tcPr>
            <w:tcW w:w="4410" w:type="dxa"/>
          </w:tcPr>
          <w:p w14:paraId="55D5CC58" w14:textId="77777777" w:rsidR="001F5638" w:rsidRPr="004A2C65" w:rsidRDefault="001F5638" w:rsidP="00D662E0">
            <w:pPr>
              <w:rPr>
                <w:lang w:val="pt-BR"/>
              </w:rPr>
            </w:pPr>
          </w:p>
        </w:tc>
      </w:tr>
      <w:tr w:rsidR="004A2C65" w:rsidRPr="00C74E29" w14:paraId="6C40571F" w14:textId="77777777" w:rsidTr="00C74E29">
        <w:trPr>
          <w:jc w:val="center"/>
        </w:trPr>
        <w:tc>
          <w:tcPr>
            <w:tcW w:w="2784" w:type="dxa"/>
            <w:vAlign w:val="center"/>
          </w:tcPr>
          <w:p w14:paraId="5E64DF75" w14:textId="720AF16D" w:rsidR="001F5638" w:rsidRPr="000E2702" w:rsidRDefault="004A2C65" w:rsidP="004A2C65">
            <w:pPr>
              <w:spacing w:after="120"/>
              <w:ind w:left="405"/>
              <w:jc w:val="center"/>
              <w:rPr>
                <w:rFonts w:asciiTheme="minorHAnsi" w:hAnsiTheme="minorHAnsi"/>
                <w:b/>
                <w:noProof/>
                <w:color w:val="FF0000"/>
                <w:spacing w:val="-2"/>
                <w:sz w:val="20"/>
                <w:szCs w:val="20"/>
                <w:lang w:val="pt-BR"/>
              </w:rPr>
            </w:pPr>
            <w:r w:rsidRPr="000E2702">
              <w:rPr>
                <w:rFonts w:asciiTheme="minorHAnsi" w:hAnsiTheme="minorHAnsi"/>
                <w:b/>
                <w:noProof/>
                <w:color w:val="FF0000"/>
                <w:spacing w:val="-2"/>
                <w:sz w:val="20"/>
                <w:szCs w:val="20"/>
                <w:lang w:val="pt-BR"/>
              </w:rPr>
              <w:t>Compras sustentáveis</w:t>
            </w:r>
          </w:p>
        </w:tc>
        <w:tc>
          <w:tcPr>
            <w:tcW w:w="1355" w:type="dxa"/>
            <w:vAlign w:val="center"/>
          </w:tcPr>
          <w:p w14:paraId="5EDD65DE" w14:textId="470D1EF2" w:rsidR="001F5638" w:rsidRPr="00093220" w:rsidRDefault="0041385A"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1.</w:t>
            </w:r>
            <w:r w:rsidR="009905E9" w:rsidRPr="00093220">
              <w:rPr>
                <w:rFonts w:ascii="Arial" w:eastAsia="Times New Roman" w:hAnsi="Arial" w:cs="Arial"/>
                <w:bCs/>
                <w:sz w:val="18"/>
                <w:szCs w:val="18"/>
                <w:lang w:val="pt-BR"/>
              </w:rPr>
              <w:t>29</w:t>
            </w:r>
            <w:r w:rsidRPr="00093220">
              <w:rPr>
                <w:rFonts w:ascii="Arial" w:eastAsia="Times New Roman" w:hAnsi="Arial" w:cs="Arial"/>
                <w:bCs/>
                <w:sz w:val="18"/>
                <w:szCs w:val="18"/>
                <w:lang w:val="pt-BR"/>
              </w:rPr>
              <w:t xml:space="preserve"> </w:t>
            </w:r>
          </w:p>
        </w:tc>
        <w:tc>
          <w:tcPr>
            <w:tcW w:w="4946" w:type="dxa"/>
          </w:tcPr>
          <w:p w14:paraId="6E99D1BC" w14:textId="233B1976" w:rsidR="001F5638" w:rsidRPr="0008308D" w:rsidRDefault="004A2C65" w:rsidP="004A2C65">
            <w:pPr>
              <w:pStyle w:val="AutoNumpara"/>
              <w:ind w:left="0" w:firstLine="0"/>
              <w:rPr>
                <w:rFonts w:asciiTheme="minorHAnsi" w:hAnsiTheme="minorHAnsi" w:cstheme="minorHAnsi"/>
                <w:color w:val="FF0000"/>
                <w:sz w:val="20"/>
                <w:lang w:val="pt-BR"/>
              </w:rPr>
            </w:pPr>
            <w:r w:rsidRPr="0008308D">
              <w:rPr>
                <w:rFonts w:asciiTheme="minorHAnsi" w:hAnsiTheme="minorHAnsi" w:cstheme="minorHAnsi"/>
                <w:color w:val="FF0000"/>
                <w:sz w:val="20"/>
                <w:lang w:val="pt-BR"/>
              </w:rPr>
              <w:t>Se acordado com o Banco, o Mutuário poderá incluir requisitos adicionais de sustentabilidade no processo de aquisição, incluindo seus próprios requisitos de política de aquisição sustentável, se aplicados de maneira consistente com os Princípios Básicos de Aquisição do Banco.</w:t>
            </w:r>
          </w:p>
        </w:tc>
        <w:tc>
          <w:tcPr>
            <w:tcW w:w="4410" w:type="dxa"/>
          </w:tcPr>
          <w:p w14:paraId="664B27BC" w14:textId="77777777" w:rsidR="001F5638" w:rsidRPr="004A2C65" w:rsidRDefault="001F5638" w:rsidP="00D662E0">
            <w:pPr>
              <w:rPr>
                <w:lang w:val="pt-BR"/>
              </w:rPr>
            </w:pPr>
          </w:p>
        </w:tc>
      </w:tr>
      <w:tr w:rsidR="004A2C65" w:rsidRPr="00C74E29" w14:paraId="0B7F6470" w14:textId="77777777" w:rsidTr="00C74E29">
        <w:trPr>
          <w:jc w:val="center"/>
        </w:trPr>
        <w:tc>
          <w:tcPr>
            <w:tcW w:w="2784" w:type="dxa"/>
            <w:vAlign w:val="center"/>
          </w:tcPr>
          <w:p w14:paraId="7B5B3BD1" w14:textId="5D617413" w:rsidR="001F5638" w:rsidRPr="000E2702" w:rsidRDefault="004A2C65" w:rsidP="004A2C65">
            <w:pPr>
              <w:pStyle w:val="AutoNumpara"/>
              <w:ind w:left="720" w:firstLine="0"/>
              <w:rPr>
                <w:rFonts w:asciiTheme="minorHAnsi" w:hAnsiTheme="minorHAnsi"/>
                <w:b/>
                <w:noProof w:val="0"/>
                <w:color w:val="FF0000"/>
                <w:sz w:val="20"/>
                <w:lang w:val="pt-BR"/>
              </w:rPr>
            </w:pPr>
            <w:r w:rsidRPr="000E2702">
              <w:rPr>
                <w:rFonts w:asciiTheme="minorHAnsi" w:hAnsiTheme="minorHAnsi"/>
                <w:b/>
                <w:noProof w:val="0"/>
                <w:color w:val="FF0000"/>
                <w:sz w:val="20"/>
                <w:lang w:val="pt-BR"/>
              </w:rPr>
              <w:t>Concorrência Limitada</w:t>
            </w:r>
          </w:p>
        </w:tc>
        <w:tc>
          <w:tcPr>
            <w:tcW w:w="1355" w:type="dxa"/>
            <w:vAlign w:val="center"/>
          </w:tcPr>
          <w:p w14:paraId="7612AEFE" w14:textId="4EFFCE44" w:rsidR="001F5638" w:rsidRPr="00093220" w:rsidRDefault="00522E83"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2.9</w:t>
            </w:r>
          </w:p>
        </w:tc>
        <w:tc>
          <w:tcPr>
            <w:tcW w:w="4946" w:type="dxa"/>
          </w:tcPr>
          <w:p w14:paraId="45D04008" w14:textId="5B791645" w:rsidR="001F5638" w:rsidRPr="0008308D" w:rsidRDefault="004A2C65" w:rsidP="004A2C65">
            <w:pPr>
              <w:pStyle w:val="AutoNumpara"/>
              <w:ind w:left="0" w:firstLine="0"/>
              <w:rPr>
                <w:rFonts w:asciiTheme="minorHAnsi" w:hAnsiTheme="minorHAnsi" w:cstheme="minorHAnsi"/>
                <w:noProof w:val="0"/>
                <w:color w:val="FF0000"/>
                <w:sz w:val="20"/>
                <w:lang w:val="pt-BR"/>
              </w:rPr>
            </w:pPr>
            <w:r w:rsidRPr="0008308D">
              <w:rPr>
                <w:rFonts w:asciiTheme="minorHAnsi" w:hAnsiTheme="minorHAnsi" w:cstheme="minorHAnsi"/>
                <w:noProof w:val="0"/>
                <w:color w:val="FF0000"/>
                <w:sz w:val="20"/>
                <w:lang w:val="pt-BR"/>
              </w:rPr>
              <w:t xml:space="preserve">A Seleção por concorrência limitada é quando os Mutuários preparam uma lista restrita sem publicidade. Pode ser apropriado quando houver um número limitado de Consultores qualificados para realizar o assunto dos serviços, ou outras razões excepcionais justificáveis. Os mutuários devem buscar </w:t>
            </w:r>
            <w:proofErr w:type="spellStart"/>
            <w:r w:rsidRPr="0008308D">
              <w:rPr>
                <w:rFonts w:asciiTheme="minorHAnsi" w:hAnsiTheme="minorHAnsi" w:cstheme="minorHAnsi"/>
                <w:noProof w:val="0"/>
                <w:color w:val="FF0000"/>
                <w:sz w:val="20"/>
                <w:lang w:val="pt-BR"/>
              </w:rPr>
              <w:t>EOIs</w:t>
            </w:r>
            <w:proofErr w:type="spellEnd"/>
            <w:r w:rsidRPr="0008308D">
              <w:rPr>
                <w:rFonts w:asciiTheme="minorHAnsi" w:hAnsiTheme="minorHAnsi" w:cstheme="minorHAnsi"/>
                <w:noProof w:val="0"/>
                <w:color w:val="FF0000"/>
                <w:sz w:val="20"/>
                <w:lang w:val="pt-BR"/>
              </w:rPr>
              <w:t xml:space="preserve"> de uma lista de consultores em potencial que seja ampla o suficiente para garantir a concorrência adequada.</w:t>
            </w:r>
          </w:p>
        </w:tc>
        <w:tc>
          <w:tcPr>
            <w:tcW w:w="4410" w:type="dxa"/>
          </w:tcPr>
          <w:p w14:paraId="55C541EF" w14:textId="77777777" w:rsidR="001F5638" w:rsidRPr="004A2C65" w:rsidRDefault="001F5638" w:rsidP="00D662E0">
            <w:pPr>
              <w:rPr>
                <w:lang w:val="pt-BR"/>
              </w:rPr>
            </w:pPr>
          </w:p>
        </w:tc>
      </w:tr>
      <w:tr w:rsidR="004A2C65" w:rsidRPr="00EB7DD7" w14:paraId="07F04308" w14:textId="77777777" w:rsidTr="00C74E29">
        <w:trPr>
          <w:jc w:val="center"/>
        </w:trPr>
        <w:tc>
          <w:tcPr>
            <w:tcW w:w="2784" w:type="dxa"/>
            <w:vAlign w:val="center"/>
          </w:tcPr>
          <w:p w14:paraId="313CE4C5" w14:textId="1204D824" w:rsidR="001F5638" w:rsidRPr="000E2702" w:rsidRDefault="004A2C65" w:rsidP="004A2C65">
            <w:pPr>
              <w:pStyle w:val="Heading2"/>
              <w:jc w:val="center"/>
              <w:outlineLvl w:val="1"/>
              <w:rPr>
                <w:rFonts w:asciiTheme="minorHAnsi" w:hAnsiTheme="minorHAnsi"/>
                <w:w w:val="102"/>
                <w:sz w:val="20"/>
                <w:lang w:val="pt-BR"/>
              </w:rPr>
            </w:pPr>
            <w:bookmarkStart w:id="9" w:name="_Toc143081986"/>
            <w:bookmarkStart w:id="10" w:name="_Toc360111360"/>
            <w:r w:rsidRPr="000E2702">
              <w:rPr>
                <w:rFonts w:asciiTheme="minorHAnsi" w:hAnsiTheme="minorHAnsi"/>
                <w:w w:val="102"/>
                <w:sz w:val="20"/>
                <w:lang w:val="pt-BR"/>
              </w:rPr>
              <w:lastRenderedPageBreak/>
              <w:t>Avaliação das Propostas: Qualidade e Custo</w:t>
            </w:r>
            <w:bookmarkEnd w:id="9"/>
            <w:bookmarkEnd w:id="10"/>
          </w:p>
        </w:tc>
        <w:tc>
          <w:tcPr>
            <w:tcW w:w="1355" w:type="dxa"/>
            <w:vAlign w:val="center"/>
          </w:tcPr>
          <w:p w14:paraId="0821295E" w14:textId="2B0CCDB8" w:rsidR="001F5638" w:rsidRPr="00093220" w:rsidRDefault="00F95DF3"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2.15</w:t>
            </w:r>
          </w:p>
        </w:tc>
        <w:tc>
          <w:tcPr>
            <w:tcW w:w="4946" w:type="dxa"/>
          </w:tcPr>
          <w:p w14:paraId="7B3CBFC8" w14:textId="513E5049" w:rsidR="001F5638" w:rsidRPr="0008308D" w:rsidRDefault="004A2C65" w:rsidP="004A2C65">
            <w:pPr>
              <w:pStyle w:val="AutoNumpara"/>
              <w:widowControl w:val="0"/>
              <w:spacing w:before="0"/>
              <w:ind w:left="55" w:firstLine="0"/>
              <w:rPr>
                <w:rFonts w:asciiTheme="minorHAnsi" w:hAnsiTheme="minorHAnsi" w:cstheme="minorHAnsi"/>
                <w:noProof w:val="0"/>
                <w:sz w:val="20"/>
                <w:lang w:val="pt-BR"/>
              </w:rPr>
            </w:pPr>
            <w:r w:rsidRPr="0008308D">
              <w:rPr>
                <w:rFonts w:asciiTheme="minorHAnsi" w:hAnsiTheme="minorHAnsi" w:cstheme="minorHAnsi"/>
                <w:noProof w:val="0"/>
                <w:color w:val="FF0000"/>
                <w:sz w:val="20"/>
                <w:lang w:val="pt-BR"/>
              </w:rPr>
              <w:t xml:space="preserve">Os critérios de avaliação e metodologia devem ser especificados em detalhes na SDP. Os critérios e metodologia de avaliação devem ser adequados ao tipo, natureza, condições de mercado e complexidade do que está sendo adquirido. </w:t>
            </w:r>
            <w:r w:rsidRPr="0008308D">
              <w:rPr>
                <w:rFonts w:asciiTheme="minorHAnsi" w:hAnsiTheme="minorHAnsi" w:cstheme="minorHAnsi"/>
                <w:noProof w:val="0"/>
                <w:sz w:val="20"/>
                <w:lang w:val="pt-BR"/>
              </w:rPr>
              <w:t>A avaliação das propostas será efetuada em duas etapas: considerar-se à primeiramente a qualidade e depois o custo. Os avaliadores das propostas técnicas não terão acesso às propostas financeiras até que se conclua o processo de avaliação técnica, inclusive quaisquer revisões do Banco e a “não objeção” esteja concluída. As propostas financeiras somente serão abertas depois que a avaliação das propostas técnicas tiver sido concluída e os resultados divulgados aos consultores participantes. A avaliação obedecerá integralmente às disposições da SDP.</w:t>
            </w:r>
          </w:p>
        </w:tc>
        <w:tc>
          <w:tcPr>
            <w:tcW w:w="4410" w:type="dxa"/>
          </w:tcPr>
          <w:p w14:paraId="73C28188" w14:textId="77777777" w:rsidR="001F5638" w:rsidRPr="00EB7DD7" w:rsidRDefault="001F5638" w:rsidP="00D662E0">
            <w:pPr>
              <w:rPr>
                <w:lang w:val="es-419"/>
              </w:rPr>
            </w:pPr>
          </w:p>
        </w:tc>
      </w:tr>
      <w:tr w:rsidR="004A2C65" w:rsidRPr="00EB7DD7" w14:paraId="6AC8B467" w14:textId="77777777" w:rsidTr="00C74E29">
        <w:trPr>
          <w:jc w:val="center"/>
        </w:trPr>
        <w:tc>
          <w:tcPr>
            <w:tcW w:w="2784" w:type="dxa"/>
            <w:vAlign w:val="center"/>
          </w:tcPr>
          <w:p w14:paraId="40991179" w14:textId="77777777" w:rsidR="004A2C65" w:rsidRPr="000E2702" w:rsidRDefault="004A2C65" w:rsidP="004A2C65">
            <w:pPr>
              <w:pStyle w:val="Heading2"/>
              <w:jc w:val="center"/>
              <w:outlineLvl w:val="1"/>
              <w:rPr>
                <w:rFonts w:asciiTheme="minorHAnsi" w:hAnsiTheme="minorHAnsi"/>
                <w:w w:val="102"/>
                <w:sz w:val="20"/>
                <w:lang w:val="pt-BR"/>
              </w:rPr>
            </w:pPr>
            <w:bookmarkStart w:id="11" w:name="_Toc143081987"/>
            <w:bookmarkStart w:id="12" w:name="_Toc360111361"/>
            <w:r w:rsidRPr="000E2702">
              <w:rPr>
                <w:rFonts w:asciiTheme="minorHAnsi" w:hAnsiTheme="minorHAnsi"/>
                <w:w w:val="102"/>
                <w:sz w:val="20"/>
                <w:lang w:val="pt-BR"/>
              </w:rPr>
              <w:t>Avaliação da Qualidade</w:t>
            </w:r>
            <w:bookmarkEnd w:id="11"/>
            <w:bookmarkEnd w:id="12"/>
          </w:p>
          <w:p w14:paraId="274850DD" w14:textId="7752DA99" w:rsidR="001F5638" w:rsidRPr="000E2702" w:rsidRDefault="001F5638" w:rsidP="006D2939">
            <w:pPr>
              <w:jc w:val="center"/>
              <w:rPr>
                <w:b/>
                <w:sz w:val="20"/>
                <w:szCs w:val="20"/>
                <w:lang w:val="pt-BR"/>
              </w:rPr>
            </w:pPr>
          </w:p>
        </w:tc>
        <w:tc>
          <w:tcPr>
            <w:tcW w:w="1355" w:type="dxa"/>
            <w:vAlign w:val="center"/>
          </w:tcPr>
          <w:p w14:paraId="1C5308A7" w14:textId="25371714" w:rsidR="001F5638" w:rsidRPr="00093220" w:rsidRDefault="00E50D33"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2.16</w:t>
            </w:r>
          </w:p>
        </w:tc>
        <w:tc>
          <w:tcPr>
            <w:tcW w:w="4946" w:type="dxa"/>
          </w:tcPr>
          <w:p w14:paraId="387FA464" w14:textId="37A3E2B1" w:rsidR="001F5638" w:rsidRPr="0008308D" w:rsidRDefault="004A2C65" w:rsidP="00451C47">
            <w:pPr>
              <w:suppressAutoHyphens/>
              <w:spacing w:after="120"/>
              <w:jc w:val="both"/>
              <w:rPr>
                <w:rFonts w:asciiTheme="minorHAnsi" w:hAnsiTheme="minorHAnsi" w:cstheme="minorHAnsi"/>
                <w:sz w:val="20"/>
                <w:szCs w:val="20"/>
                <w:lang w:val="es-419"/>
              </w:rPr>
            </w:pPr>
            <w:r w:rsidRPr="0008308D">
              <w:rPr>
                <w:rFonts w:asciiTheme="minorHAnsi" w:hAnsiTheme="minorHAnsi" w:cstheme="minorHAnsi"/>
                <w:sz w:val="20"/>
                <w:szCs w:val="20"/>
                <w:lang w:val="pt-BR"/>
              </w:rPr>
              <w:t>O Mutuário avaliará cada proposta técnica (mediante comitê de avaliação composto de três ou mais especialistas do setor) com base em diversos critérios: (a) experiência do consultor para a execução do serviço; (b) qualidade da metodologia proposta</w:t>
            </w:r>
            <w:r w:rsidRPr="0008308D">
              <w:rPr>
                <w:rFonts w:asciiTheme="minorHAnsi" w:hAnsiTheme="minorHAnsi" w:cstheme="minorHAnsi"/>
                <w:color w:val="FF0000"/>
                <w:sz w:val="20"/>
                <w:szCs w:val="20"/>
                <w:lang w:val="pt-BR"/>
              </w:rPr>
              <w:t>, incluindo inovação e critérios de sustentabilidade</w:t>
            </w:r>
            <w:r w:rsidRPr="0008308D">
              <w:rPr>
                <w:rFonts w:asciiTheme="minorHAnsi" w:hAnsiTheme="minorHAnsi" w:cstheme="minorHAnsi"/>
                <w:sz w:val="20"/>
                <w:szCs w:val="20"/>
                <w:lang w:val="pt-BR"/>
              </w:rPr>
              <w:t xml:space="preserve">; (c) qualificação do pessoal-chave proposto; (d) transferência de conhecimento, se exigida no TDR; e (e) grau de participação de pessoal nacional no pessoal-chave proposto para a execução do serviço. A cada critério será atribuída pontuação em escala de </w:t>
            </w:r>
            <w:smartTag w:uri="urn:schemas-microsoft-com:office:smarttags" w:element="metricconverter">
              <w:smartTagPr>
                <w:attr w:name="ProductID" w:val="1 a"/>
              </w:smartTagPr>
              <w:r w:rsidRPr="0008308D">
                <w:rPr>
                  <w:rFonts w:asciiTheme="minorHAnsi" w:hAnsiTheme="minorHAnsi" w:cstheme="minorHAnsi"/>
                  <w:sz w:val="20"/>
                  <w:szCs w:val="20"/>
                  <w:lang w:val="pt-BR"/>
                </w:rPr>
                <w:t>1 a</w:t>
              </w:r>
            </w:smartTag>
            <w:r w:rsidRPr="0008308D">
              <w:rPr>
                <w:rFonts w:asciiTheme="minorHAnsi" w:hAnsiTheme="minorHAnsi" w:cstheme="minorHAnsi"/>
                <w:sz w:val="20"/>
                <w:szCs w:val="20"/>
                <w:lang w:val="pt-BR"/>
              </w:rPr>
              <w:t xml:space="preserve"> 100. À pontuação será, então, aplicado o peso, aferindo-se as respectivas notas. Os pesos a seguir são ilustrativos. Os valores percentuais a serem efetivamente usados deverão se adequar ao serviço específico</w:t>
            </w:r>
            <w:r w:rsidRPr="0008308D">
              <w:rPr>
                <w:rFonts w:asciiTheme="minorHAnsi" w:hAnsiTheme="minorHAnsi" w:cstheme="minorHAnsi"/>
                <w:color w:val="FF0000"/>
                <w:sz w:val="20"/>
                <w:szCs w:val="20"/>
                <w:lang w:val="pt-BR"/>
              </w:rPr>
              <w:t>, natureza, condições do mercado, inovação e complexidade,</w:t>
            </w:r>
            <w:r w:rsidRPr="0008308D">
              <w:rPr>
                <w:rFonts w:asciiTheme="minorHAnsi" w:hAnsiTheme="minorHAnsi" w:cstheme="minorHAnsi"/>
                <w:sz w:val="20"/>
                <w:szCs w:val="20"/>
                <w:lang w:val="pt-BR"/>
              </w:rPr>
              <w:t xml:space="preserve"> e deverão obedecer aos parâmetros indicados abaixo, a menos que haja aprovação do Banco em sentido contrário. Os pesos propostos deverão ser informados na SDP</w:t>
            </w:r>
            <w:r w:rsidR="00FF2D8D" w:rsidRPr="0008308D">
              <w:rPr>
                <w:rFonts w:asciiTheme="minorHAnsi" w:hAnsiTheme="minorHAnsi" w:cstheme="minorHAnsi"/>
                <w:sz w:val="20"/>
                <w:szCs w:val="20"/>
                <w:lang w:val="pt-BR"/>
              </w:rPr>
              <w:t>.</w:t>
            </w:r>
          </w:p>
        </w:tc>
        <w:tc>
          <w:tcPr>
            <w:tcW w:w="4410" w:type="dxa"/>
          </w:tcPr>
          <w:p w14:paraId="0B9B95A6" w14:textId="77777777" w:rsidR="001F5638" w:rsidRPr="00EB7DD7" w:rsidRDefault="001F5638" w:rsidP="00D662E0">
            <w:pPr>
              <w:rPr>
                <w:lang w:val="es-419"/>
              </w:rPr>
            </w:pPr>
          </w:p>
        </w:tc>
      </w:tr>
      <w:tr w:rsidR="004A2C65" w:rsidRPr="00C74E29" w14:paraId="4815BD01" w14:textId="77777777" w:rsidTr="00C74E29">
        <w:trPr>
          <w:jc w:val="center"/>
        </w:trPr>
        <w:tc>
          <w:tcPr>
            <w:tcW w:w="2784" w:type="dxa"/>
            <w:vAlign w:val="center"/>
          </w:tcPr>
          <w:p w14:paraId="579440C1" w14:textId="77777777" w:rsidR="00FF2D8D" w:rsidRPr="000E2702" w:rsidRDefault="00FF2D8D" w:rsidP="00FF2D8D">
            <w:pPr>
              <w:pStyle w:val="AutoNumpara"/>
              <w:widowControl w:val="0"/>
              <w:spacing w:before="0"/>
              <w:ind w:left="425" w:firstLine="0"/>
              <w:rPr>
                <w:rFonts w:asciiTheme="minorHAnsi" w:hAnsiTheme="minorHAnsi"/>
                <w:b/>
                <w:noProof w:val="0"/>
                <w:color w:val="FF0000"/>
                <w:sz w:val="20"/>
                <w:lang w:val="pt-BR"/>
              </w:rPr>
            </w:pPr>
            <w:r w:rsidRPr="000E2702">
              <w:rPr>
                <w:rFonts w:asciiTheme="minorHAnsi" w:hAnsiTheme="minorHAnsi"/>
                <w:b/>
                <w:noProof w:val="0"/>
                <w:color w:val="FF0000"/>
                <w:sz w:val="20"/>
                <w:lang w:val="pt-BR"/>
              </w:rPr>
              <w:t>Melhor oferta final</w:t>
            </w:r>
          </w:p>
          <w:p w14:paraId="173602BF" w14:textId="4060AB31" w:rsidR="001F3C16" w:rsidRPr="000E2702" w:rsidRDefault="001F3C16" w:rsidP="00FF2D8D">
            <w:pPr>
              <w:rPr>
                <w:b/>
                <w:sz w:val="20"/>
                <w:szCs w:val="20"/>
                <w:lang w:val="pt-BR"/>
              </w:rPr>
            </w:pPr>
          </w:p>
        </w:tc>
        <w:tc>
          <w:tcPr>
            <w:tcW w:w="1355" w:type="dxa"/>
            <w:vAlign w:val="center"/>
          </w:tcPr>
          <w:p w14:paraId="0E140466" w14:textId="554393F1" w:rsidR="001F3C16" w:rsidRPr="00093220" w:rsidRDefault="00084876"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2.25</w:t>
            </w:r>
          </w:p>
        </w:tc>
        <w:tc>
          <w:tcPr>
            <w:tcW w:w="4946" w:type="dxa"/>
          </w:tcPr>
          <w:p w14:paraId="37264F8D" w14:textId="77777777" w:rsidR="00FF2D8D" w:rsidRPr="0008308D" w:rsidRDefault="00FF2D8D" w:rsidP="00FF2D8D">
            <w:pPr>
              <w:pStyle w:val="AutoNumpara"/>
              <w:widowControl w:val="0"/>
              <w:spacing w:before="0"/>
              <w:ind w:left="0" w:firstLine="0"/>
              <w:rPr>
                <w:rFonts w:asciiTheme="minorHAnsi" w:hAnsiTheme="minorHAnsi" w:cstheme="minorHAnsi"/>
                <w:noProof w:val="0"/>
                <w:sz w:val="20"/>
                <w:lang w:val="pt-BR"/>
              </w:rPr>
            </w:pPr>
            <w:r w:rsidRPr="0008308D">
              <w:rPr>
                <w:rFonts w:asciiTheme="minorHAnsi" w:hAnsiTheme="minorHAnsi" w:cstheme="minorHAnsi"/>
                <w:color w:val="FF0000"/>
                <w:sz w:val="20"/>
                <w:lang w:val="pt-BR"/>
              </w:rPr>
              <w:t xml:space="preserve">Em aquisições competitivas internacionais sujeitas a revisão prévia, o Banco pode concordar com o uso pelo Mutuário da Melhor Oferta e Final (MOF). A MOF é uma opção sob a qual o Mutuário convida os licitantes que enviaram propostas substancialmente sensíveis para enviar </w:t>
            </w:r>
            <w:r w:rsidRPr="0008308D">
              <w:rPr>
                <w:rFonts w:asciiTheme="minorHAnsi" w:hAnsiTheme="minorHAnsi" w:cstheme="minorHAnsi"/>
                <w:color w:val="FF0000"/>
                <w:sz w:val="20"/>
                <w:lang w:val="pt-BR"/>
              </w:rPr>
              <w:lastRenderedPageBreak/>
              <w:t>sua melhor e última oferta. Esse processo pode ser apropriado quando o processo de aquisição se beneficiaria da oportunidade final dos licitantes de melhorar suas propostas, inclusive reduzindo preços, esclarecendo ou modificando sua proposta ou fornecendo informações adicionais. O Mutuário informará aos licitantes nos documentos de licitação o seguinte:</w:t>
            </w:r>
          </w:p>
          <w:p w14:paraId="53C6B4E1" w14:textId="77777777" w:rsidR="00FF2D8D" w:rsidRPr="0008308D" w:rsidRDefault="00FF2D8D" w:rsidP="00FF2D8D">
            <w:pPr>
              <w:pStyle w:val="ListParagraph"/>
              <w:spacing w:after="200"/>
              <w:ind w:left="405" w:firstLine="315"/>
              <w:jc w:val="both"/>
              <w:rPr>
                <w:rFonts w:asciiTheme="minorHAnsi" w:hAnsiTheme="minorHAnsi" w:cstheme="minorHAnsi"/>
                <w:color w:val="FF0000"/>
                <w:sz w:val="20"/>
                <w:szCs w:val="20"/>
                <w:lang w:val="pt-BR"/>
              </w:rPr>
            </w:pPr>
            <w:r w:rsidRPr="0008308D">
              <w:rPr>
                <w:rFonts w:asciiTheme="minorHAnsi" w:hAnsiTheme="minorHAnsi" w:cstheme="minorHAnsi"/>
                <w:color w:val="FF0000"/>
                <w:sz w:val="20"/>
                <w:szCs w:val="20"/>
                <w:lang w:val="pt-BR"/>
              </w:rPr>
              <w:t>(a) se será utilizada a MOF;</w:t>
            </w:r>
          </w:p>
          <w:p w14:paraId="091601B8" w14:textId="77777777" w:rsidR="00FF2D8D" w:rsidRPr="0008308D" w:rsidRDefault="00FF2D8D" w:rsidP="00FF2D8D">
            <w:pPr>
              <w:pStyle w:val="ListParagraph"/>
              <w:spacing w:after="200"/>
              <w:ind w:left="405" w:firstLine="315"/>
              <w:jc w:val="both"/>
              <w:rPr>
                <w:rFonts w:asciiTheme="minorHAnsi" w:hAnsiTheme="minorHAnsi" w:cstheme="minorHAnsi"/>
                <w:color w:val="FF0000"/>
                <w:sz w:val="20"/>
                <w:szCs w:val="20"/>
                <w:lang w:val="pt-BR"/>
              </w:rPr>
            </w:pPr>
            <w:r w:rsidRPr="0008308D">
              <w:rPr>
                <w:rFonts w:asciiTheme="minorHAnsi" w:hAnsiTheme="minorHAnsi" w:cstheme="minorHAnsi"/>
                <w:color w:val="FF0000"/>
                <w:sz w:val="20"/>
                <w:szCs w:val="20"/>
                <w:lang w:val="pt-BR"/>
              </w:rPr>
              <w:t>(b) que os Licitantes não são obrigados a submeter uma MOF; e</w:t>
            </w:r>
          </w:p>
          <w:p w14:paraId="2C4CAB7D" w14:textId="77777777" w:rsidR="00FF2D8D" w:rsidRPr="0008308D" w:rsidRDefault="00FF2D8D" w:rsidP="00FF2D8D">
            <w:pPr>
              <w:pStyle w:val="ListParagraph"/>
              <w:spacing w:after="200"/>
              <w:ind w:left="405" w:firstLine="315"/>
              <w:jc w:val="both"/>
              <w:rPr>
                <w:rFonts w:asciiTheme="minorHAnsi" w:hAnsiTheme="minorHAnsi" w:cstheme="minorHAnsi"/>
                <w:color w:val="FF0000"/>
                <w:sz w:val="20"/>
                <w:szCs w:val="20"/>
                <w:lang w:val="pt-BR"/>
              </w:rPr>
            </w:pPr>
            <w:r w:rsidRPr="0008308D">
              <w:rPr>
                <w:rFonts w:asciiTheme="minorHAnsi" w:hAnsiTheme="minorHAnsi" w:cstheme="minorHAnsi"/>
                <w:color w:val="FF0000"/>
                <w:sz w:val="20"/>
                <w:szCs w:val="20"/>
                <w:lang w:val="pt-BR"/>
              </w:rPr>
              <w:t>(c) que não haverá negociação após a MOF.</w:t>
            </w:r>
          </w:p>
          <w:p w14:paraId="30F97A92" w14:textId="4EB5FFE2" w:rsidR="001F3C16" w:rsidRPr="0008308D" w:rsidRDefault="001F3C16" w:rsidP="000F12C2">
            <w:pPr>
              <w:pStyle w:val="ListParagraph"/>
              <w:spacing w:after="120"/>
              <w:ind w:left="405" w:hanging="423"/>
              <w:jc w:val="both"/>
              <w:rPr>
                <w:rFonts w:asciiTheme="minorHAnsi" w:hAnsiTheme="minorHAnsi" w:cstheme="minorHAnsi"/>
                <w:sz w:val="20"/>
                <w:szCs w:val="20"/>
                <w:lang w:val="pt-BR"/>
              </w:rPr>
            </w:pPr>
          </w:p>
        </w:tc>
        <w:tc>
          <w:tcPr>
            <w:tcW w:w="4410" w:type="dxa"/>
          </w:tcPr>
          <w:p w14:paraId="6DE011BF" w14:textId="77777777" w:rsidR="001F3C16" w:rsidRPr="00FF2D8D" w:rsidRDefault="001F3C16" w:rsidP="00D662E0">
            <w:pPr>
              <w:rPr>
                <w:lang w:val="pt-BR"/>
              </w:rPr>
            </w:pPr>
          </w:p>
        </w:tc>
      </w:tr>
      <w:tr w:rsidR="004A2C65" w:rsidRPr="00C74E29" w14:paraId="17704660" w14:textId="77777777" w:rsidTr="00C74E29">
        <w:trPr>
          <w:jc w:val="center"/>
        </w:trPr>
        <w:tc>
          <w:tcPr>
            <w:tcW w:w="2784" w:type="dxa"/>
            <w:vAlign w:val="center"/>
          </w:tcPr>
          <w:p w14:paraId="30BDCEFA" w14:textId="75B8CCF4" w:rsidR="001F5638" w:rsidRPr="000E2702" w:rsidRDefault="00FF2D8D" w:rsidP="00FF2D8D">
            <w:pPr>
              <w:pStyle w:val="Heading2"/>
              <w:jc w:val="center"/>
              <w:outlineLvl w:val="1"/>
              <w:rPr>
                <w:rFonts w:asciiTheme="minorHAnsi" w:hAnsiTheme="minorHAnsi"/>
                <w:w w:val="102"/>
                <w:sz w:val="20"/>
                <w:lang w:val="pt-BR"/>
              </w:rPr>
            </w:pPr>
            <w:bookmarkStart w:id="13" w:name="_Toc143081990"/>
            <w:bookmarkStart w:id="14" w:name="_Toc360111364"/>
            <w:r w:rsidRPr="000E2702">
              <w:rPr>
                <w:rFonts w:asciiTheme="minorHAnsi" w:hAnsiTheme="minorHAnsi"/>
                <w:w w:val="102"/>
                <w:sz w:val="20"/>
                <w:lang w:val="pt-BR"/>
              </w:rPr>
              <w:t>Negociação e Adjudicação do Contrato</w:t>
            </w:r>
            <w:bookmarkEnd w:id="13"/>
            <w:bookmarkEnd w:id="14"/>
          </w:p>
        </w:tc>
        <w:tc>
          <w:tcPr>
            <w:tcW w:w="1355" w:type="dxa"/>
            <w:vAlign w:val="center"/>
          </w:tcPr>
          <w:p w14:paraId="7CBA1486" w14:textId="464F8F88" w:rsidR="001F5638" w:rsidRPr="00093220" w:rsidRDefault="00900B33"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2.2</w:t>
            </w:r>
            <w:r w:rsidR="00084876" w:rsidRPr="00093220">
              <w:rPr>
                <w:rFonts w:ascii="Arial" w:eastAsia="Times New Roman" w:hAnsi="Arial" w:cs="Arial"/>
                <w:bCs/>
                <w:sz w:val="18"/>
                <w:szCs w:val="18"/>
                <w:lang w:val="pt-BR"/>
              </w:rPr>
              <w:t>6</w:t>
            </w:r>
          </w:p>
        </w:tc>
        <w:tc>
          <w:tcPr>
            <w:tcW w:w="4946" w:type="dxa"/>
          </w:tcPr>
          <w:p w14:paraId="09B2525E" w14:textId="1BFBA8B6" w:rsidR="001F5638" w:rsidRPr="0008308D" w:rsidRDefault="00FF2D8D" w:rsidP="00FF2D8D">
            <w:pPr>
              <w:pStyle w:val="AutoNumpara"/>
              <w:widowControl w:val="0"/>
              <w:spacing w:before="0"/>
              <w:ind w:left="55" w:firstLine="0"/>
              <w:rPr>
                <w:rFonts w:asciiTheme="minorHAnsi" w:hAnsiTheme="minorHAnsi" w:cstheme="minorHAnsi"/>
                <w:noProof w:val="0"/>
                <w:sz w:val="20"/>
                <w:lang w:val="pt-BR"/>
              </w:rPr>
            </w:pPr>
            <w:r w:rsidRPr="0008308D">
              <w:rPr>
                <w:rFonts w:asciiTheme="minorHAnsi" w:hAnsiTheme="minorHAnsi" w:cstheme="minorHAnsi"/>
                <w:noProof w:val="0"/>
                <w:sz w:val="20"/>
                <w:lang w:val="pt-BR"/>
              </w:rPr>
              <w:t>As negociações compreenderão discussões a respeito dos TDR, metodologia, pessoal, insumos do Mutuário e Condições Especiais do Contrato</w:t>
            </w:r>
            <w:r w:rsidRPr="0008308D">
              <w:rPr>
                <w:rFonts w:asciiTheme="minorHAnsi" w:hAnsiTheme="minorHAnsi" w:cstheme="minorHAnsi"/>
                <w:color w:val="FF0000"/>
                <w:sz w:val="20"/>
                <w:lang w:val="pt-BR"/>
              </w:rPr>
              <w:t>, para adjudicar o contrato à proposta mais vantajosa, ou seja, à melhor proposta avaliada.</w:t>
            </w:r>
            <w:r w:rsidRPr="0008308D">
              <w:rPr>
                <w:rFonts w:asciiTheme="minorHAnsi" w:hAnsiTheme="minorHAnsi" w:cstheme="minorHAnsi"/>
                <w:noProof w:val="0"/>
                <w:color w:val="FF0000"/>
                <w:sz w:val="20"/>
                <w:lang w:val="pt-BR"/>
              </w:rPr>
              <w:t xml:space="preserve"> </w:t>
            </w:r>
            <w:r w:rsidRPr="0008308D">
              <w:rPr>
                <w:rFonts w:asciiTheme="minorHAnsi" w:hAnsiTheme="minorHAnsi" w:cstheme="minorHAnsi"/>
                <w:noProof w:val="0"/>
                <w:sz w:val="20"/>
                <w:lang w:val="pt-BR"/>
              </w:rPr>
              <w:t xml:space="preserve">Essas discussões não poderão resultar em alterações substanciais dos TDR originais ou dos termos do contrato, de forma que a qualidade do produto final, seu preço e a relevância da avaliação inicial não sejam afetados. Não deverão ser feitas reduções substanciais nos insumos do trabalho apenas para adequação ao orçamento.  </w:t>
            </w:r>
            <w:r w:rsidRPr="0008308D">
              <w:rPr>
                <w:rFonts w:asciiTheme="minorHAnsi" w:hAnsiTheme="minorHAnsi" w:cstheme="minorHAnsi"/>
                <w:noProof w:val="0"/>
                <w:color w:val="FF0000"/>
                <w:sz w:val="20"/>
                <w:lang w:val="pt-BR"/>
              </w:rPr>
              <w:t xml:space="preserve">Para serviços de consultoria complexos e soluções inovadoras, onde o Mutuário pode não conhecer a melhor solução disponível no mercado, o Banco pode concordar em discutir os termos de referência originais ou os termos do contrato, o produto final ou seu custo para obter a proposta mais vantajosas.  </w:t>
            </w:r>
            <w:r w:rsidRPr="0008308D">
              <w:rPr>
                <w:rFonts w:asciiTheme="minorHAnsi" w:hAnsiTheme="minorHAnsi" w:cstheme="minorHAnsi"/>
                <w:noProof w:val="0"/>
                <w:sz w:val="20"/>
                <w:lang w:val="pt-BR"/>
              </w:rPr>
              <w:t>Os TDR finais e a metodologia ajustada serão incorporados à “Descrição dos Serviços”, que passará a fazer parte integrante do contrato.</w:t>
            </w:r>
          </w:p>
        </w:tc>
        <w:tc>
          <w:tcPr>
            <w:tcW w:w="4410" w:type="dxa"/>
          </w:tcPr>
          <w:p w14:paraId="5F2B33D4" w14:textId="77777777" w:rsidR="001F5638" w:rsidRPr="00FF2D8D" w:rsidRDefault="001F5638" w:rsidP="00D662E0">
            <w:pPr>
              <w:rPr>
                <w:lang w:val="pt-BR"/>
              </w:rPr>
            </w:pPr>
          </w:p>
        </w:tc>
      </w:tr>
      <w:tr w:rsidR="004A2C65" w:rsidRPr="00C74E29" w14:paraId="76070E05" w14:textId="77777777" w:rsidTr="00C74E29">
        <w:trPr>
          <w:jc w:val="center"/>
        </w:trPr>
        <w:tc>
          <w:tcPr>
            <w:tcW w:w="2784" w:type="dxa"/>
            <w:vAlign w:val="center"/>
          </w:tcPr>
          <w:p w14:paraId="025660B8" w14:textId="1642C563" w:rsidR="008E5DBD" w:rsidRPr="000E2702" w:rsidRDefault="00FF2D8D" w:rsidP="00FF2D8D">
            <w:pPr>
              <w:spacing w:after="200"/>
              <w:ind w:left="495"/>
              <w:rPr>
                <w:rFonts w:asciiTheme="minorHAnsi" w:hAnsiTheme="minorHAnsi"/>
                <w:b/>
                <w:color w:val="FF0000"/>
                <w:spacing w:val="-2"/>
                <w:sz w:val="20"/>
                <w:szCs w:val="20"/>
                <w:lang w:val="pt-BR"/>
              </w:rPr>
            </w:pPr>
            <w:r w:rsidRPr="000E2702">
              <w:rPr>
                <w:rFonts w:asciiTheme="minorHAnsi" w:hAnsiTheme="minorHAnsi"/>
                <w:b/>
                <w:color w:val="FF0000"/>
                <w:spacing w:val="-2"/>
                <w:sz w:val="20"/>
                <w:szCs w:val="20"/>
                <w:lang w:val="pt-BR"/>
              </w:rPr>
              <w:t>Prazo Suspensivo</w:t>
            </w:r>
          </w:p>
        </w:tc>
        <w:tc>
          <w:tcPr>
            <w:tcW w:w="1355" w:type="dxa"/>
            <w:vAlign w:val="center"/>
          </w:tcPr>
          <w:p w14:paraId="46C9244C" w14:textId="4A29D969" w:rsidR="008E5DBD" w:rsidRPr="00093220" w:rsidRDefault="008E5DBD"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2.31</w:t>
            </w:r>
          </w:p>
        </w:tc>
        <w:tc>
          <w:tcPr>
            <w:tcW w:w="4946" w:type="dxa"/>
          </w:tcPr>
          <w:p w14:paraId="2D824CF5" w14:textId="4FFE83CD" w:rsidR="008E5DBD" w:rsidRPr="0008308D" w:rsidRDefault="00BD03EC" w:rsidP="00BD03EC">
            <w:pPr>
              <w:pStyle w:val="AutoNumpara"/>
              <w:ind w:left="0" w:firstLine="0"/>
              <w:rPr>
                <w:rFonts w:asciiTheme="minorHAnsi" w:hAnsiTheme="minorHAnsi" w:cstheme="minorHAnsi"/>
                <w:noProof w:val="0"/>
                <w:color w:val="FF0000"/>
                <w:sz w:val="20"/>
                <w:lang w:val="pt-BR"/>
              </w:rPr>
            </w:pPr>
            <w:r w:rsidRPr="0008308D">
              <w:rPr>
                <w:rFonts w:asciiTheme="minorHAnsi" w:hAnsiTheme="minorHAnsi" w:cstheme="minorHAnsi"/>
                <w:noProof w:val="0"/>
                <w:color w:val="FF0000"/>
                <w:sz w:val="20"/>
                <w:lang w:val="pt-BR"/>
              </w:rPr>
              <w:t>A pedido do Mutuário, o Banco pode concordar em adotar este mecanismo a fim de dar aos licitantes tempo para examinar a adjudicação e avaliar se é apropriado apresentar uma reclamação.</w:t>
            </w:r>
          </w:p>
        </w:tc>
        <w:tc>
          <w:tcPr>
            <w:tcW w:w="4410" w:type="dxa"/>
          </w:tcPr>
          <w:p w14:paraId="7ACF1935" w14:textId="77777777" w:rsidR="008E5DBD" w:rsidRPr="00BD03EC" w:rsidRDefault="008E5DBD" w:rsidP="00D662E0">
            <w:pPr>
              <w:rPr>
                <w:lang w:val="pt-BR"/>
              </w:rPr>
            </w:pPr>
          </w:p>
        </w:tc>
      </w:tr>
      <w:tr w:rsidR="004A2C65" w:rsidRPr="00C74E29" w14:paraId="0636B6A4" w14:textId="77777777" w:rsidTr="00C74E29">
        <w:trPr>
          <w:jc w:val="center"/>
        </w:trPr>
        <w:tc>
          <w:tcPr>
            <w:tcW w:w="2784" w:type="dxa"/>
            <w:vAlign w:val="center"/>
          </w:tcPr>
          <w:p w14:paraId="76C59112" w14:textId="77777777" w:rsidR="008E5DBD" w:rsidRPr="000E2702" w:rsidRDefault="008E5DBD" w:rsidP="006D2939">
            <w:pPr>
              <w:jc w:val="center"/>
              <w:rPr>
                <w:b/>
                <w:sz w:val="20"/>
                <w:szCs w:val="20"/>
                <w:lang w:val="pt-BR"/>
              </w:rPr>
            </w:pPr>
          </w:p>
        </w:tc>
        <w:tc>
          <w:tcPr>
            <w:tcW w:w="1355" w:type="dxa"/>
            <w:vAlign w:val="center"/>
          </w:tcPr>
          <w:p w14:paraId="145B60A5" w14:textId="24163286" w:rsidR="008E5DBD" w:rsidRPr="00093220" w:rsidRDefault="008E5DBD"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2.32</w:t>
            </w:r>
          </w:p>
        </w:tc>
        <w:tc>
          <w:tcPr>
            <w:tcW w:w="4946" w:type="dxa"/>
          </w:tcPr>
          <w:p w14:paraId="10974C39" w14:textId="3CC44100" w:rsidR="008E5DBD" w:rsidRPr="0008308D" w:rsidRDefault="00BD03EC" w:rsidP="00BD03EC">
            <w:pPr>
              <w:pStyle w:val="AutoNumpara"/>
              <w:ind w:left="0" w:firstLine="0"/>
              <w:rPr>
                <w:rFonts w:asciiTheme="minorHAnsi" w:hAnsiTheme="minorHAnsi" w:cstheme="minorHAnsi"/>
                <w:noProof w:val="0"/>
                <w:color w:val="FF0000"/>
                <w:sz w:val="20"/>
                <w:lang w:val="pt-BR"/>
              </w:rPr>
            </w:pPr>
            <w:r w:rsidRPr="0008308D">
              <w:rPr>
                <w:rFonts w:asciiTheme="minorHAnsi" w:hAnsiTheme="minorHAnsi" w:cstheme="minorHAnsi"/>
                <w:noProof w:val="0"/>
                <w:color w:val="FF0000"/>
                <w:sz w:val="20"/>
                <w:lang w:val="pt-BR"/>
              </w:rPr>
              <w:t>O prazo suspensivo começará quando a Notificação de Intenção de Adjudicação do Mutuário</w:t>
            </w:r>
            <w:r w:rsidRPr="0008308D">
              <w:rPr>
                <w:rFonts w:asciiTheme="minorHAnsi" w:hAnsiTheme="minorHAnsi" w:cstheme="minorHAnsi"/>
                <w:noProof w:val="0"/>
                <w:color w:val="FF0000"/>
                <w:sz w:val="20"/>
                <w:vertAlign w:val="superscript"/>
              </w:rPr>
              <w:footnoteReference w:id="4"/>
            </w:r>
            <w:r w:rsidRPr="0008308D">
              <w:rPr>
                <w:rFonts w:asciiTheme="minorHAnsi" w:hAnsiTheme="minorHAnsi" w:cstheme="minorHAnsi"/>
                <w:noProof w:val="0"/>
                <w:color w:val="FF0000"/>
                <w:sz w:val="20"/>
                <w:lang w:val="pt-BR"/>
              </w:rPr>
              <w:t xml:space="preserve"> for enviada aos licitantes. O prazo suspensivo durará dez (10) Dias Úteis após essa data de transmissão, a menos que seja expressamente prorrogado. O contrato não será adjudicado antes ou durante o prazo suspensivo.</w:t>
            </w:r>
          </w:p>
        </w:tc>
        <w:tc>
          <w:tcPr>
            <w:tcW w:w="4410" w:type="dxa"/>
          </w:tcPr>
          <w:p w14:paraId="1753D59D" w14:textId="77777777" w:rsidR="008E5DBD" w:rsidRPr="00BD03EC" w:rsidRDefault="008E5DBD" w:rsidP="00D662E0">
            <w:pPr>
              <w:rPr>
                <w:lang w:val="pt-BR"/>
              </w:rPr>
            </w:pPr>
          </w:p>
        </w:tc>
      </w:tr>
      <w:tr w:rsidR="004A2C65" w:rsidRPr="00C74E29" w14:paraId="7D09274D" w14:textId="77777777" w:rsidTr="00C74E29">
        <w:trPr>
          <w:jc w:val="center"/>
        </w:trPr>
        <w:tc>
          <w:tcPr>
            <w:tcW w:w="2784" w:type="dxa"/>
            <w:vAlign w:val="center"/>
          </w:tcPr>
          <w:p w14:paraId="7C095371" w14:textId="77777777" w:rsidR="008E5DBD" w:rsidRPr="000E2702" w:rsidRDefault="008E5DBD" w:rsidP="006D2939">
            <w:pPr>
              <w:jc w:val="center"/>
              <w:rPr>
                <w:b/>
                <w:sz w:val="20"/>
                <w:szCs w:val="20"/>
                <w:lang w:val="pt-BR"/>
              </w:rPr>
            </w:pPr>
          </w:p>
        </w:tc>
        <w:tc>
          <w:tcPr>
            <w:tcW w:w="1355" w:type="dxa"/>
            <w:vAlign w:val="center"/>
          </w:tcPr>
          <w:p w14:paraId="0CD31A27" w14:textId="298B2E28" w:rsidR="008E5DBD" w:rsidRPr="00093220" w:rsidRDefault="008E5DBD"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2.33</w:t>
            </w:r>
          </w:p>
        </w:tc>
        <w:tc>
          <w:tcPr>
            <w:tcW w:w="4946" w:type="dxa"/>
          </w:tcPr>
          <w:p w14:paraId="199F06A3" w14:textId="4AD0867D" w:rsidR="008E5DBD" w:rsidRPr="0008308D" w:rsidRDefault="00BD03EC" w:rsidP="00BD03EC">
            <w:pPr>
              <w:pStyle w:val="AutoNumpara"/>
              <w:ind w:left="0" w:firstLine="0"/>
              <w:rPr>
                <w:rFonts w:asciiTheme="minorHAnsi" w:hAnsiTheme="minorHAnsi" w:cstheme="minorHAnsi"/>
                <w:noProof w:val="0"/>
                <w:color w:val="FF0000"/>
                <w:sz w:val="20"/>
                <w:lang w:val="pt-BR"/>
              </w:rPr>
            </w:pPr>
            <w:r w:rsidRPr="0008308D">
              <w:rPr>
                <w:rFonts w:asciiTheme="minorHAnsi" w:hAnsiTheme="minorHAnsi" w:cstheme="minorHAnsi"/>
                <w:noProof w:val="0"/>
                <w:color w:val="FF0000"/>
                <w:sz w:val="20"/>
                <w:lang w:val="pt-BR"/>
              </w:rPr>
              <w:t>Não obstante o anterior, não haverá exigência de um prazo suspensivo nas seguintes situações: (a) apenas uma Proposta / Oferta foi submetida em um processo competitivo aberto; (b) contratação direta; e (c) Situações de emergência reconhecidas pelo Banco.</w:t>
            </w:r>
          </w:p>
        </w:tc>
        <w:tc>
          <w:tcPr>
            <w:tcW w:w="4410" w:type="dxa"/>
          </w:tcPr>
          <w:p w14:paraId="04CE6519" w14:textId="77777777" w:rsidR="008E5DBD" w:rsidRPr="00BD03EC" w:rsidRDefault="008E5DBD" w:rsidP="00D662E0">
            <w:pPr>
              <w:rPr>
                <w:lang w:val="pt-BR"/>
              </w:rPr>
            </w:pPr>
          </w:p>
        </w:tc>
      </w:tr>
      <w:tr w:rsidR="004A2C65" w:rsidRPr="00C74E29" w14:paraId="7319F5B6" w14:textId="77777777" w:rsidTr="00C74E29">
        <w:trPr>
          <w:jc w:val="center"/>
        </w:trPr>
        <w:tc>
          <w:tcPr>
            <w:tcW w:w="2784" w:type="dxa"/>
            <w:vAlign w:val="center"/>
          </w:tcPr>
          <w:p w14:paraId="6335B027" w14:textId="77777777" w:rsidR="008E5DBD" w:rsidRPr="000E2702" w:rsidRDefault="008E5DBD" w:rsidP="006D2939">
            <w:pPr>
              <w:jc w:val="center"/>
              <w:rPr>
                <w:b/>
                <w:sz w:val="20"/>
                <w:szCs w:val="20"/>
                <w:lang w:val="pt-BR"/>
              </w:rPr>
            </w:pPr>
          </w:p>
        </w:tc>
        <w:tc>
          <w:tcPr>
            <w:tcW w:w="1355" w:type="dxa"/>
            <w:vAlign w:val="center"/>
          </w:tcPr>
          <w:p w14:paraId="1DB3B9B0" w14:textId="0E518BD0" w:rsidR="008E5DBD" w:rsidRPr="00093220" w:rsidRDefault="008E5DBD"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2.34</w:t>
            </w:r>
          </w:p>
        </w:tc>
        <w:tc>
          <w:tcPr>
            <w:tcW w:w="4946" w:type="dxa"/>
          </w:tcPr>
          <w:p w14:paraId="12E74F89" w14:textId="72133167" w:rsidR="008E5DBD" w:rsidRPr="0008308D" w:rsidRDefault="00BD03EC" w:rsidP="00BD03EC">
            <w:pPr>
              <w:pStyle w:val="AutoNumpara"/>
              <w:ind w:left="0" w:firstLine="0"/>
              <w:rPr>
                <w:rFonts w:asciiTheme="minorHAnsi" w:hAnsiTheme="minorHAnsi" w:cstheme="minorHAnsi"/>
                <w:noProof w:val="0"/>
                <w:color w:val="FF0000"/>
                <w:sz w:val="20"/>
                <w:lang w:val="pt-BR"/>
              </w:rPr>
            </w:pPr>
            <w:r w:rsidRPr="0008308D">
              <w:rPr>
                <w:rFonts w:asciiTheme="minorHAnsi" w:hAnsiTheme="minorHAnsi" w:cstheme="minorHAnsi"/>
                <w:noProof w:val="0"/>
                <w:color w:val="FF0000"/>
                <w:sz w:val="20"/>
                <w:lang w:val="pt-BR"/>
              </w:rPr>
              <w:t>No final do prazo suspensivo, se o Mutuário não receber qualquer reclamação de um licitante não selecionado, o Mutuário deverá adjudicar o contrato de acordo com sua decisão de adjudicação, conforme comunicado anteriormente por meio da Notificação de Intenção de Adjudicação.</w:t>
            </w:r>
          </w:p>
        </w:tc>
        <w:tc>
          <w:tcPr>
            <w:tcW w:w="4410" w:type="dxa"/>
          </w:tcPr>
          <w:p w14:paraId="4EE2EFE5" w14:textId="77777777" w:rsidR="008E5DBD" w:rsidRPr="00BD03EC" w:rsidRDefault="008E5DBD" w:rsidP="00D662E0">
            <w:pPr>
              <w:rPr>
                <w:lang w:val="pt-BR"/>
              </w:rPr>
            </w:pPr>
          </w:p>
        </w:tc>
      </w:tr>
      <w:tr w:rsidR="004A2C65" w:rsidRPr="00C74E29" w14:paraId="535F4FFF" w14:textId="77777777" w:rsidTr="00C74E29">
        <w:trPr>
          <w:jc w:val="center"/>
        </w:trPr>
        <w:tc>
          <w:tcPr>
            <w:tcW w:w="2784" w:type="dxa"/>
            <w:vAlign w:val="center"/>
          </w:tcPr>
          <w:p w14:paraId="45F438EF" w14:textId="77777777" w:rsidR="008E5DBD" w:rsidRPr="000E2702" w:rsidRDefault="008E5DBD" w:rsidP="006D2939">
            <w:pPr>
              <w:jc w:val="center"/>
              <w:rPr>
                <w:b/>
                <w:sz w:val="20"/>
                <w:szCs w:val="20"/>
                <w:lang w:val="pt-BR"/>
              </w:rPr>
            </w:pPr>
          </w:p>
        </w:tc>
        <w:tc>
          <w:tcPr>
            <w:tcW w:w="1355" w:type="dxa"/>
            <w:vAlign w:val="center"/>
          </w:tcPr>
          <w:p w14:paraId="4538FF5E" w14:textId="2F6A87DC" w:rsidR="008E5DBD" w:rsidRPr="00093220" w:rsidRDefault="008E5DBD"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2.35</w:t>
            </w:r>
          </w:p>
        </w:tc>
        <w:tc>
          <w:tcPr>
            <w:tcW w:w="4946" w:type="dxa"/>
          </w:tcPr>
          <w:p w14:paraId="36A98B1F" w14:textId="655B25C4" w:rsidR="008E5DBD" w:rsidRPr="0008308D" w:rsidRDefault="00BD03EC" w:rsidP="00BD03EC">
            <w:pPr>
              <w:pStyle w:val="AutoNumpara"/>
              <w:ind w:left="55" w:firstLine="0"/>
              <w:rPr>
                <w:rFonts w:asciiTheme="minorHAnsi" w:hAnsiTheme="minorHAnsi" w:cstheme="minorHAnsi"/>
                <w:noProof w:val="0"/>
                <w:color w:val="FF0000"/>
                <w:sz w:val="20"/>
                <w:lang w:val="pt-BR"/>
              </w:rPr>
            </w:pPr>
            <w:r w:rsidRPr="0008308D">
              <w:rPr>
                <w:rFonts w:asciiTheme="minorHAnsi" w:hAnsiTheme="minorHAnsi" w:cstheme="minorHAnsi"/>
                <w:noProof w:val="0"/>
                <w:color w:val="FF0000"/>
                <w:sz w:val="20"/>
                <w:lang w:val="pt-BR"/>
              </w:rPr>
              <w:t>Para contratos sujeitos a revisão prévia, quando nenhuma reclamação for recebida pelo Mutuário durante o prazo suspensivo, o Mutuário deverá adjudicar o contrato de acordo com a recomendação de adjudicação que tenha recebido a não objeção do Banco. O Mutuário informará a situação acima mencionada ao Banco no prazo de 3 (três) Dias Úteis da adjudicação.</w:t>
            </w:r>
          </w:p>
        </w:tc>
        <w:tc>
          <w:tcPr>
            <w:tcW w:w="4410" w:type="dxa"/>
          </w:tcPr>
          <w:p w14:paraId="214AF32A" w14:textId="77777777" w:rsidR="008E5DBD" w:rsidRPr="00BD03EC" w:rsidRDefault="008E5DBD" w:rsidP="00D662E0">
            <w:pPr>
              <w:rPr>
                <w:lang w:val="pt-BR"/>
              </w:rPr>
            </w:pPr>
          </w:p>
        </w:tc>
      </w:tr>
      <w:tr w:rsidR="004A2C65" w:rsidRPr="00C74E29" w14:paraId="6447623B" w14:textId="77777777" w:rsidTr="00C74E29">
        <w:trPr>
          <w:jc w:val="center"/>
        </w:trPr>
        <w:tc>
          <w:tcPr>
            <w:tcW w:w="2784" w:type="dxa"/>
            <w:vAlign w:val="center"/>
          </w:tcPr>
          <w:p w14:paraId="0A8CDD41" w14:textId="77777777" w:rsidR="008E5DBD" w:rsidRPr="000E2702" w:rsidRDefault="008E5DBD" w:rsidP="006D2939">
            <w:pPr>
              <w:jc w:val="center"/>
              <w:rPr>
                <w:b/>
                <w:sz w:val="20"/>
                <w:szCs w:val="20"/>
                <w:lang w:val="pt-BR"/>
              </w:rPr>
            </w:pPr>
          </w:p>
        </w:tc>
        <w:tc>
          <w:tcPr>
            <w:tcW w:w="1355" w:type="dxa"/>
            <w:vAlign w:val="center"/>
          </w:tcPr>
          <w:p w14:paraId="5910C481" w14:textId="00EDE100" w:rsidR="008E5DBD" w:rsidRPr="00093220" w:rsidRDefault="008E5DBD"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2.36</w:t>
            </w:r>
          </w:p>
        </w:tc>
        <w:tc>
          <w:tcPr>
            <w:tcW w:w="4946" w:type="dxa"/>
          </w:tcPr>
          <w:p w14:paraId="734F640C" w14:textId="5E0B91EE" w:rsidR="008E5DBD" w:rsidRPr="0008308D" w:rsidRDefault="00BD03EC" w:rsidP="00BD03EC">
            <w:pPr>
              <w:pStyle w:val="AutoNumpara"/>
              <w:ind w:left="55" w:firstLine="0"/>
              <w:rPr>
                <w:rFonts w:asciiTheme="minorHAnsi" w:hAnsiTheme="minorHAnsi" w:cstheme="minorHAnsi"/>
                <w:noProof w:val="0"/>
                <w:color w:val="FF0000"/>
                <w:sz w:val="20"/>
                <w:lang w:val="pt-BR"/>
              </w:rPr>
            </w:pPr>
            <w:r w:rsidRPr="0008308D">
              <w:rPr>
                <w:rFonts w:asciiTheme="minorHAnsi" w:hAnsiTheme="minorHAnsi" w:cstheme="minorHAnsi"/>
                <w:noProof w:val="0"/>
                <w:color w:val="FF0000"/>
                <w:sz w:val="20"/>
                <w:lang w:val="pt-BR"/>
              </w:rPr>
              <w:t>O Mutuário transmitirá a notificação de adjudicação ao licitante vencedor juntamente com outros documentos, conforme especificado nos documentos de licitação para a assinatura do contrato.</w:t>
            </w:r>
          </w:p>
        </w:tc>
        <w:tc>
          <w:tcPr>
            <w:tcW w:w="4410" w:type="dxa"/>
          </w:tcPr>
          <w:p w14:paraId="47BE22BC" w14:textId="77777777" w:rsidR="008E5DBD" w:rsidRPr="00BD03EC" w:rsidRDefault="008E5DBD" w:rsidP="00D662E0">
            <w:pPr>
              <w:rPr>
                <w:lang w:val="pt-BR"/>
              </w:rPr>
            </w:pPr>
          </w:p>
        </w:tc>
      </w:tr>
      <w:tr w:rsidR="004A2C65" w:rsidRPr="00C74E29" w14:paraId="4402FACA" w14:textId="77777777" w:rsidTr="00C74E29">
        <w:trPr>
          <w:jc w:val="center"/>
        </w:trPr>
        <w:tc>
          <w:tcPr>
            <w:tcW w:w="2784" w:type="dxa"/>
            <w:vAlign w:val="center"/>
          </w:tcPr>
          <w:p w14:paraId="21906CC5" w14:textId="77777777" w:rsidR="008E5DBD" w:rsidRPr="000E2702" w:rsidRDefault="008E5DBD" w:rsidP="006D2939">
            <w:pPr>
              <w:jc w:val="center"/>
              <w:rPr>
                <w:b/>
                <w:sz w:val="20"/>
                <w:szCs w:val="20"/>
                <w:lang w:val="pt-BR"/>
              </w:rPr>
            </w:pPr>
          </w:p>
        </w:tc>
        <w:tc>
          <w:tcPr>
            <w:tcW w:w="1355" w:type="dxa"/>
            <w:vAlign w:val="center"/>
          </w:tcPr>
          <w:p w14:paraId="3CA9744B" w14:textId="1EA68477" w:rsidR="008E5DBD" w:rsidRPr="00093220" w:rsidRDefault="008E5DBD"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2.37</w:t>
            </w:r>
          </w:p>
        </w:tc>
        <w:tc>
          <w:tcPr>
            <w:tcW w:w="4946" w:type="dxa"/>
          </w:tcPr>
          <w:p w14:paraId="4BDF39F6" w14:textId="12E0061C" w:rsidR="008E5DBD" w:rsidRPr="0008308D" w:rsidRDefault="00BD03EC" w:rsidP="00BD03EC">
            <w:pPr>
              <w:pStyle w:val="AutoNumpara"/>
              <w:ind w:left="55" w:firstLine="0"/>
              <w:rPr>
                <w:rFonts w:asciiTheme="minorHAnsi" w:hAnsiTheme="minorHAnsi" w:cstheme="minorHAnsi"/>
                <w:noProof w:val="0"/>
                <w:color w:val="FF0000"/>
                <w:sz w:val="20"/>
                <w:lang w:val="pt-BR"/>
              </w:rPr>
            </w:pPr>
            <w:r w:rsidRPr="0008308D">
              <w:rPr>
                <w:rFonts w:asciiTheme="minorHAnsi" w:hAnsiTheme="minorHAnsi" w:cstheme="minorHAnsi"/>
                <w:noProof w:val="0"/>
                <w:color w:val="FF0000"/>
                <w:sz w:val="20"/>
                <w:lang w:val="pt-BR"/>
              </w:rPr>
              <w:t xml:space="preserve">Se o Mutuário receber uma reclamação de um licitante não selecionado durante o prazo suspensivo, o Mutuário não deverá prosseguir com a adjudicação do contrato até </w:t>
            </w:r>
            <w:r w:rsidRPr="0008308D">
              <w:rPr>
                <w:rFonts w:asciiTheme="minorHAnsi" w:hAnsiTheme="minorHAnsi" w:cstheme="minorHAnsi"/>
                <w:noProof w:val="0"/>
                <w:color w:val="FF0000"/>
                <w:sz w:val="20"/>
                <w:lang w:val="pt-BR"/>
              </w:rPr>
              <w:lastRenderedPageBreak/>
              <w:t>que a reclamação seja tratada, conforme estabelecido no Apêndice 3.</w:t>
            </w:r>
          </w:p>
        </w:tc>
        <w:tc>
          <w:tcPr>
            <w:tcW w:w="4410" w:type="dxa"/>
          </w:tcPr>
          <w:p w14:paraId="4DBF6E9A" w14:textId="77777777" w:rsidR="008E5DBD" w:rsidRPr="00BD03EC" w:rsidRDefault="008E5DBD" w:rsidP="00D662E0">
            <w:pPr>
              <w:rPr>
                <w:lang w:val="pt-BR"/>
              </w:rPr>
            </w:pPr>
          </w:p>
        </w:tc>
      </w:tr>
      <w:tr w:rsidR="004A2C65" w:rsidRPr="00C74E29" w14:paraId="21938E3D" w14:textId="77777777" w:rsidTr="00C74E29">
        <w:trPr>
          <w:jc w:val="center"/>
        </w:trPr>
        <w:tc>
          <w:tcPr>
            <w:tcW w:w="2784" w:type="dxa"/>
            <w:vAlign w:val="center"/>
          </w:tcPr>
          <w:p w14:paraId="415BDFFD" w14:textId="77777777" w:rsidR="008E5DBD" w:rsidRPr="000E2702" w:rsidRDefault="008E5DBD" w:rsidP="006D2939">
            <w:pPr>
              <w:jc w:val="center"/>
              <w:rPr>
                <w:b/>
                <w:sz w:val="20"/>
                <w:szCs w:val="20"/>
                <w:lang w:val="pt-BR"/>
              </w:rPr>
            </w:pPr>
          </w:p>
        </w:tc>
        <w:tc>
          <w:tcPr>
            <w:tcW w:w="1355" w:type="dxa"/>
            <w:vAlign w:val="center"/>
          </w:tcPr>
          <w:p w14:paraId="7CACC71F" w14:textId="5AB9C94B" w:rsidR="008E5DBD" w:rsidRPr="00093220" w:rsidRDefault="008E5DBD"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2.38</w:t>
            </w:r>
          </w:p>
        </w:tc>
        <w:tc>
          <w:tcPr>
            <w:tcW w:w="4946" w:type="dxa"/>
          </w:tcPr>
          <w:p w14:paraId="0B5FE4C7" w14:textId="786D2FAE" w:rsidR="008E5DBD" w:rsidRPr="0008308D" w:rsidRDefault="00BD03EC" w:rsidP="00BD03EC">
            <w:pPr>
              <w:pStyle w:val="AutoNumpara"/>
              <w:ind w:left="55" w:firstLine="0"/>
              <w:rPr>
                <w:rFonts w:asciiTheme="minorHAnsi" w:hAnsiTheme="minorHAnsi" w:cstheme="minorHAnsi"/>
                <w:noProof w:val="0"/>
                <w:color w:val="FF0000"/>
                <w:sz w:val="20"/>
                <w:lang w:val="pt-BR"/>
              </w:rPr>
            </w:pPr>
            <w:r w:rsidRPr="0008308D">
              <w:rPr>
                <w:rFonts w:asciiTheme="minorHAnsi" w:hAnsiTheme="minorHAnsi" w:cstheme="minorHAnsi"/>
                <w:noProof w:val="0"/>
                <w:color w:val="FF0000"/>
                <w:sz w:val="20"/>
                <w:lang w:val="pt-BR"/>
              </w:rPr>
              <w:t xml:space="preserve">Para contratos sujeitos a revisão prévia pelo Banco, o Mutuário não deverá prosseguir com a adjudicação do contrato sem receber a confirmação do Banco quanto à resolução satisfatória da reclamação. Para contratos sujeitos a revisão </w:t>
            </w:r>
            <w:proofErr w:type="spellStart"/>
            <w:r w:rsidRPr="0008308D">
              <w:rPr>
                <w:rFonts w:asciiTheme="minorHAnsi" w:hAnsiTheme="minorHAnsi" w:cstheme="minorHAnsi"/>
                <w:noProof w:val="0"/>
                <w:color w:val="FF0000"/>
                <w:sz w:val="20"/>
                <w:lang w:val="pt-BR"/>
              </w:rPr>
              <w:t>ex-post</w:t>
            </w:r>
            <w:proofErr w:type="spellEnd"/>
            <w:r w:rsidRPr="0008308D">
              <w:rPr>
                <w:rFonts w:asciiTheme="minorHAnsi" w:hAnsiTheme="minorHAnsi" w:cstheme="minorHAnsi"/>
                <w:noProof w:val="0"/>
                <w:color w:val="FF0000"/>
                <w:sz w:val="20"/>
                <w:lang w:val="pt-BR"/>
              </w:rPr>
              <w:t xml:space="preserve"> pelo Banco, o Mutuário deverá proceder de acordo com o Apêndice 3.</w:t>
            </w:r>
          </w:p>
        </w:tc>
        <w:tc>
          <w:tcPr>
            <w:tcW w:w="4410" w:type="dxa"/>
          </w:tcPr>
          <w:p w14:paraId="78D86B26" w14:textId="77777777" w:rsidR="008E5DBD" w:rsidRPr="00BD03EC" w:rsidRDefault="008E5DBD" w:rsidP="00D662E0">
            <w:pPr>
              <w:rPr>
                <w:lang w:val="pt-BR"/>
              </w:rPr>
            </w:pPr>
          </w:p>
        </w:tc>
      </w:tr>
      <w:tr w:rsidR="004A2C65" w:rsidRPr="00C74E29" w14:paraId="794F8EEC" w14:textId="77777777" w:rsidTr="00C74E29">
        <w:trPr>
          <w:jc w:val="center"/>
        </w:trPr>
        <w:tc>
          <w:tcPr>
            <w:tcW w:w="2784" w:type="dxa"/>
            <w:vAlign w:val="center"/>
          </w:tcPr>
          <w:p w14:paraId="67617F96" w14:textId="77777777" w:rsidR="00BD03EC" w:rsidRPr="000E2702" w:rsidRDefault="00BD03EC" w:rsidP="00BD03EC">
            <w:pPr>
              <w:pStyle w:val="Heading2"/>
              <w:jc w:val="center"/>
              <w:outlineLvl w:val="1"/>
              <w:rPr>
                <w:rFonts w:asciiTheme="minorHAnsi" w:hAnsiTheme="minorHAnsi"/>
                <w:w w:val="102"/>
                <w:sz w:val="20"/>
                <w:lang w:val="pt-BR"/>
              </w:rPr>
            </w:pPr>
            <w:bookmarkStart w:id="15" w:name="_Toc143081992"/>
            <w:bookmarkStart w:id="16" w:name="_Toc360111366"/>
            <w:r w:rsidRPr="000E2702">
              <w:rPr>
                <w:rFonts w:asciiTheme="minorHAnsi" w:hAnsiTheme="minorHAnsi"/>
                <w:w w:val="102"/>
                <w:sz w:val="20"/>
                <w:lang w:val="pt-BR"/>
              </w:rPr>
              <w:t>Esclarecimentos</w:t>
            </w:r>
            <w:bookmarkEnd w:id="15"/>
            <w:bookmarkEnd w:id="16"/>
            <w:r w:rsidRPr="000E2702">
              <w:rPr>
                <w:rFonts w:asciiTheme="minorHAnsi" w:hAnsiTheme="minorHAnsi"/>
                <w:w w:val="102"/>
                <w:sz w:val="20"/>
                <w:lang w:val="pt-BR"/>
              </w:rPr>
              <w:t xml:space="preserve"> </w:t>
            </w:r>
            <w:r w:rsidRPr="000E2702">
              <w:rPr>
                <w:rFonts w:asciiTheme="minorHAnsi" w:hAnsiTheme="minorHAnsi"/>
                <w:color w:val="FF0000"/>
                <w:w w:val="102"/>
                <w:sz w:val="20"/>
                <w:lang w:val="pt-BR"/>
              </w:rPr>
              <w:t>por parte do Mutuário</w:t>
            </w:r>
          </w:p>
          <w:p w14:paraId="34C47056" w14:textId="7D209E30" w:rsidR="008E5DBD" w:rsidRPr="000E2702" w:rsidRDefault="008E5DBD" w:rsidP="00BD03EC">
            <w:pPr>
              <w:rPr>
                <w:b/>
                <w:sz w:val="20"/>
                <w:szCs w:val="20"/>
                <w:lang w:val="es-419"/>
              </w:rPr>
            </w:pPr>
          </w:p>
        </w:tc>
        <w:tc>
          <w:tcPr>
            <w:tcW w:w="1355" w:type="dxa"/>
            <w:vAlign w:val="center"/>
          </w:tcPr>
          <w:p w14:paraId="6F16533A" w14:textId="2D10A7D4" w:rsidR="008E5DBD" w:rsidRPr="00093220" w:rsidRDefault="008E5DBD"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2.39</w:t>
            </w:r>
          </w:p>
        </w:tc>
        <w:tc>
          <w:tcPr>
            <w:tcW w:w="4946" w:type="dxa"/>
          </w:tcPr>
          <w:p w14:paraId="4683DCEB" w14:textId="71F26BE6" w:rsidR="008E5DBD" w:rsidRPr="0008308D" w:rsidRDefault="00BD03EC" w:rsidP="00BD03EC">
            <w:pPr>
              <w:pStyle w:val="AutoNumpara"/>
              <w:widowControl w:val="0"/>
              <w:spacing w:before="0"/>
              <w:ind w:left="55" w:firstLine="0"/>
              <w:rPr>
                <w:rFonts w:asciiTheme="minorHAnsi" w:hAnsiTheme="minorHAnsi" w:cstheme="minorHAnsi"/>
                <w:noProof w:val="0"/>
                <w:sz w:val="20"/>
                <w:lang w:val="pt-BR"/>
              </w:rPr>
            </w:pPr>
            <w:r w:rsidRPr="0008308D">
              <w:rPr>
                <w:rFonts w:asciiTheme="minorHAnsi" w:hAnsiTheme="minorHAnsi" w:cstheme="minorHAnsi"/>
                <w:noProof w:val="0"/>
                <w:sz w:val="20"/>
                <w:lang w:val="pt-BR"/>
              </w:rPr>
              <w:t xml:space="preserve">Na </w:t>
            </w:r>
            <w:r w:rsidRPr="0008308D">
              <w:rPr>
                <w:rFonts w:asciiTheme="minorHAnsi" w:hAnsiTheme="minorHAnsi" w:cstheme="minorHAnsi"/>
                <w:noProof w:val="0"/>
                <w:color w:val="FF0000"/>
                <w:sz w:val="20"/>
                <w:lang w:val="pt-BR"/>
              </w:rPr>
              <w:t>notificação da intenção de adjudicação referida no parágrafo 2.32 ou na publicação da adjudicação do contrato referida no parágrafo 2.30</w:t>
            </w:r>
            <w:r w:rsidRPr="0008308D">
              <w:rPr>
                <w:rFonts w:asciiTheme="minorHAnsi" w:hAnsiTheme="minorHAnsi" w:cstheme="minorHAnsi"/>
                <w:noProof w:val="0"/>
                <w:sz w:val="20"/>
                <w:lang w:val="pt-BR"/>
              </w:rPr>
              <w:t xml:space="preserve">, o Mutuário deverá especificar que qualquer consultor que deseje conhecer os motivos pelos quais sua proposta não tenha sido selecionada poderá solicitar esclarecimentos ao Mutuário. O Mutuário deverá prontamente fornecer as explicações por que tal proposta não foi selecionada, por escrito e/ou em reunião de esclarecimentos, à escolha do consultor. O consultor solicitante deverá arcar com todos os custos para participar de tal reunião. </w:t>
            </w:r>
          </w:p>
        </w:tc>
        <w:tc>
          <w:tcPr>
            <w:tcW w:w="4410" w:type="dxa"/>
          </w:tcPr>
          <w:p w14:paraId="4BBEFF28" w14:textId="77777777" w:rsidR="008E5DBD" w:rsidRPr="00BD03EC" w:rsidRDefault="008E5DBD" w:rsidP="00D662E0">
            <w:pPr>
              <w:rPr>
                <w:lang w:val="pt-BR"/>
              </w:rPr>
            </w:pPr>
          </w:p>
        </w:tc>
      </w:tr>
      <w:tr w:rsidR="004A2C65" w:rsidRPr="00C74E29" w14:paraId="45F1E0A1" w14:textId="77777777" w:rsidTr="00C74E29">
        <w:trPr>
          <w:jc w:val="center"/>
        </w:trPr>
        <w:tc>
          <w:tcPr>
            <w:tcW w:w="2784" w:type="dxa"/>
            <w:vAlign w:val="center"/>
          </w:tcPr>
          <w:p w14:paraId="7C2AFB6D" w14:textId="088D7B65" w:rsidR="008E5DBD" w:rsidRPr="000E2702" w:rsidRDefault="009045A0" w:rsidP="006D2939">
            <w:pPr>
              <w:jc w:val="center"/>
              <w:rPr>
                <w:b/>
                <w:sz w:val="20"/>
                <w:szCs w:val="20"/>
                <w:lang w:val="pt-BR"/>
              </w:rPr>
            </w:pPr>
            <w:r w:rsidRPr="000E2702">
              <w:rPr>
                <w:b/>
                <w:sz w:val="20"/>
                <w:szCs w:val="20"/>
                <w:lang w:val="pt-BR"/>
              </w:rPr>
              <w:t>Confidencialidad</w:t>
            </w:r>
            <w:r w:rsidR="00BF2E79" w:rsidRPr="000E2702">
              <w:rPr>
                <w:b/>
                <w:sz w:val="20"/>
                <w:szCs w:val="20"/>
                <w:lang w:val="pt-BR"/>
              </w:rPr>
              <w:t>e</w:t>
            </w:r>
          </w:p>
        </w:tc>
        <w:tc>
          <w:tcPr>
            <w:tcW w:w="1355" w:type="dxa"/>
            <w:vAlign w:val="center"/>
          </w:tcPr>
          <w:p w14:paraId="17FC8301" w14:textId="502E4F91" w:rsidR="008E5DBD" w:rsidRPr="00093220" w:rsidRDefault="009045A0"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2.41</w:t>
            </w:r>
          </w:p>
        </w:tc>
        <w:tc>
          <w:tcPr>
            <w:tcW w:w="4946" w:type="dxa"/>
          </w:tcPr>
          <w:p w14:paraId="4D3A8153" w14:textId="71034DB3" w:rsidR="008E5DBD" w:rsidRPr="0008308D" w:rsidRDefault="00BF2E79" w:rsidP="00BF2E79">
            <w:pPr>
              <w:pStyle w:val="AutoNumpara"/>
              <w:widowControl w:val="0"/>
              <w:spacing w:before="0"/>
              <w:ind w:left="0" w:firstLine="0"/>
              <w:rPr>
                <w:rFonts w:asciiTheme="minorHAnsi" w:hAnsiTheme="minorHAnsi" w:cstheme="minorHAnsi"/>
                <w:noProof w:val="0"/>
                <w:sz w:val="20"/>
                <w:lang w:val="pt-BR"/>
              </w:rPr>
            </w:pPr>
            <w:r w:rsidRPr="0008308D">
              <w:rPr>
                <w:rFonts w:asciiTheme="minorHAnsi" w:hAnsiTheme="minorHAnsi" w:cstheme="minorHAnsi"/>
                <w:noProof w:val="0"/>
                <w:sz w:val="20"/>
                <w:lang w:val="pt-BR"/>
              </w:rPr>
              <w:t xml:space="preserve">As informações referentes à avaliação das propostas e as recomendações relativas à adjudicação não serão reveladas aos consultores que apresentaram as propostas ou a outras pessoas que não estiverem oficialmente vinculadas ao processo, </w:t>
            </w:r>
            <w:r w:rsidRPr="0008308D">
              <w:rPr>
                <w:rFonts w:asciiTheme="minorHAnsi" w:hAnsiTheme="minorHAnsi" w:cstheme="minorHAnsi"/>
                <w:noProof w:val="0"/>
                <w:color w:val="FF0000"/>
                <w:sz w:val="20"/>
                <w:lang w:val="pt-BR"/>
              </w:rPr>
              <w:t>até a publicação da intenção de adjudicação ou da adjudicação</w:t>
            </w:r>
            <w:r w:rsidRPr="0008308D">
              <w:rPr>
                <w:rFonts w:asciiTheme="minorHAnsi" w:hAnsiTheme="minorHAnsi" w:cstheme="minorHAnsi"/>
                <w:noProof w:val="0"/>
                <w:sz w:val="20"/>
                <w:lang w:val="pt-BR"/>
              </w:rPr>
              <w:t>, excetuando-se as disposições dos parágrafos 2.21 e 2.29.</w:t>
            </w:r>
          </w:p>
        </w:tc>
        <w:tc>
          <w:tcPr>
            <w:tcW w:w="4410" w:type="dxa"/>
          </w:tcPr>
          <w:p w14:paraId="58801D53" w14:textId="77777777" w:rsidR="008E5DBD" w:rsidRPr="00BF2E79" w:rsidRDefault="008E5DBD" w:rsidP="00D662E0">
            <w:pPr>
              <w:rPr>
                <w:lang w:val="pt-BR"/>
              </w:rPr>
            </w:pPr>
          </w:p>
        </w:tc>
      </w:tr>
      <w:tr w:rsidR="004A2C65" w:rsidRPr="00C74E29" w14:paraId="4D268F94" w14:textId="77777777" w:rsidTr="00C74E29">
        <w:trPr>
          <w:jc w:val="center"/>
        </w:trPr>
        <w:tc>
          <w:tcPr>
            <w:tcW w:w="2784" w:type="dxa"/>
            <w:vAlign w:val="center"/>
          </w:tcPr>
          <w:p w14:paraId="7C4E7219" w14:textId="77777777" w:rsidR="0014286D" w:rsidRPr="000E2702" w:rsidRDefault="0014286D" w:rsidP="0014286D">
            <w:pPr>
              <w:pStyle w:val="Heading2"/>
              <w:jc w:val="center"/>
              <w:outlineLvl w:val="1"/>
              <w:rPr>
                <w:rFonts w:asciiTheme="minorHAnsi" w:hAnsiTheme="minorHAnsi"/>
                <w:w w:val="102"/>
                <w:sz w:val="20"/>
                <w:lang w:val="pt-BR"/>
              </w:rPr>
            </w:pPr>
            <w:bookmarkStart w:id="17" w:name="_Toc143082001"/>
            <w:bookmarkStart w:id="18" w:name="_Toc360111375"/>
            <w:r w:rsidRPr="000E2702">
              <w:rPr>
                <w:rFonts w:asciiTheme="minorHAnsi" w:hAnsiTheme="minorHAnsi"/>
                <w:w w:val="102"/>
                <w:sz w:val="20"/>
                <w:lang w:val="pt-BR"/>
              </w:rPr>
              <w:lastRenderedPageBreak/>
              <w:t>Contratação Direta (CD)</w:t>
            </w:r>
            <w:bookmarkEnd w:id="17"/>
            <w:bookmarkEnd w:id="18"/>
          </w:p>
          <w:p w14:paraId="6E3AF99E" w14:textId="14898F62" w:rsidR="001F5638" w:rsidRPr="000E2702" w:rsidRDefault="001F5638" w:rsidP="0014286D">
            <w:pPr>
              <w:rPr>
                <w:b/>
                <w:sz w:val="20"/>
                <w:szCs w:val="20"/>
                <w:lang w:val="pt-BR"/>
              </w:rPr>
            </w:pPr>
          </w:p>
        </w:tc>
        <w:tc>
          <w:tcPr>
            <w:tcW w:w="1355" w:type="dxa"/>
            <w:vAlign w:val="center"/>
          </w:tcPr>
          <w:p w14:paraId="67872333" w14:textId="4F7F2AB7" w:rsidR="001F5638" w:rsidRPr="00093220" w:rsidRDefault="005D0715"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3.10</w:t>
            </w:r>
          </w:p>
        </w:tc>
        <w:tc>
          <w:tcPr>
            <w:tcW w:w="4946" w:type="dxa"/>
          </w:tcPr>
          <w:p w14:paraId="465E3EA8" w14:textId="33000E48" w:rsidR="001F5638" w:rsidRPr="0008308D" w:rsidRDefault="0014286D" w:rsidP="0014286D">
            <w:pPr>
              <w:pStyle w:val="AutoNumpara"/>
              <w:widowControl w:val="0"/>
              <w:spacing w:before="0"/>
              <w:ind w:left="55" w:firstLine="0"/>
              <w:rPr>
                <w:rFonts w:asciiTheme="minorHAnsi" w:hAnsiTheme="minorHAnsi" w:cstheme="minorHAnsi"/>
                <w:noProof w:val="0"/>
                <w:sz w:val="20"/>
                <w:lang w:val="pt-BR"/>
              </w:rPr>
            </w:pPr>
            <w:r w:rsidRPr="0008308D">
              <w:rPr>
                <w:rFonts w:asciiTheme="minorHAnsi" w:hAnsiTheme="minorHAnsi" w:cstheme="minorHAnsi"/>
                <w:noProof w:val="0"/>
                <w:sz w:val="20"/>
                <w:lang w:val="pt-BR"/>
              </w:rPr>
              <w:t xml:space="preserve">A Contratação Direta pode ser adequada apenas se representar evidente vantagem em relação à competição: (a) para serviços que envolvam continuação decorrente de trabalhos anteriores já executados pela mesma empresa </w:t>
            </w:r>
            <w:r w:rsidRPr="0008308D">
              <w:rPr>
                <w:rFonts w:asciiTheme="minorHAnsi" w:hAnsiTheme="minorHAnsi" w:cstheme="minorHAnsi"/>
                <w:noProof w:val="0"/>
                <w:color w:val="FF0000"/>
                <w:sz w:val="20"/>
                <w:lang w:val="pt-BR"/>
              </w:rPr>
              <w:t>nos últimos 12 meses (ver próximo parágrafo); b) quando houver um requisito justificável para contratar uma empresa que tenha concluído previamente um contrato com o Mutuário para executar um tipo similar de Serviço de Consultoria. A justificativa deve mostrar que a empresa teve um desempenho satisfatório sob o contrato anterior, que nenhuma vantagem pode ser obtida pela concorrência e que os preços são razoáveis;</w:t>
            </w:r>
            <w:r w:rsidRPr="0008308D">
              <w:rPr>
                <w:rFonts w:asciiTheme="minorHAnsi" w:hAnsiTheme="minorHAnsi" w:cstheme="minorHAnsi"/>
                <w:noProof w:val="0"/>
                <w:sz w:val="20"/>
                <w:lang w:val="pt-BR"/>
              </w:rPr>
              <w:t xml:space="preserve"> (c) em emergências, tais como: para atender a situações decorrentes de desastres e para serviços de consultoria necessários durante o período imediatamente posterior à emergência; (d) para serviços de baixo risco e muito pequenos</w:t>
            </w:r>
            <w:r w:rsidRPr="0008308D">
              <w:rPr>
                <w:rFonts w:asciiTheme="minorHAnsi" w:hAnsiTheme="minorHAnsi" w:cstheme="minorHAnsi"/>
                <w:sz w:val="20"/>
                <w:vertAlign w:val="superscript"/>
              </w:rPr>
              <w:footnoteReference w:id="5"/>
            </w:r>
            <w:r w:rsidRPr="0008308D">
              <w:rPr>
                <w:rFonts w:asciiTheme="minorHAnsi" w:hAnsiTheme="minorHAnsi" w:cstheme="minorHAnsi"/>
                <w:noProof w:val="0"/>
                <w:sz w:val="20"/>
                <w:lang w:val="pt-BR"/>
              </w:rPr>
              <w:t>; ou (e) quando apenas uma empresa mostrar-se qualificada ou com experiência de valor excepcional para a execução do serviço.</w:t>
            </w:r>
          </w:p>
        </w:tc>
        <w:tc>
          <w:tcPr>
            <w:tcW w:w="4410" w:type="dxa"/>
          </w:tcPr>
          <w:p w14:paraId="3470241F" w14:textId="77777777" w:rsidR="001F5638" w:rsidRPr="0014286D" w:rsidRDefault="001F5638" w:rsidP="00D662E0">
            <w:pPr>
              <w:rPr>
                <w:lang w:val="pt-BR"/>
              </w:rPr>
            </w:pPr>
          </w:p>
        </w:tc>
      </w:tr>
      <w:tr w:rsidR="004A2C65" w:rsidRPr="00C74E29" w14:paraId="17CF3E87" w14:textId="77777777" w:rsidTr="00C74E29">
        <w:trPr>
          <w:jc w:val="center"/>
        </w:trPr>
        <w:tc>
          <w:tcPr>
            <w:tcW w:w="2784" w:type="dxa"/>
            <w:vAlign w:val="center"/>
          </w:tcPr>
          <w:p w14:paraId="5B5F0432" w14:textId="15AD7E5B" w:rsidR="001F5638" w:rsidRPr="000E2702" w:rsidRDefault="00F86383" w:rsidP="00F86383">
            <w:pPr>
              <w:pStyle w:val="Heading2"/>
              <w:jc w:val="center"/>
              <w:outlineLvl w:val="1"/>
              <w:rPr>
                <w:rFonts w:asciiTheme="minorHAnsi" w:hAnsiTheme="minorHAnsi"/>
                <w:w w:val="102"/>
                <w:sz w:val="20"/>
                <w:lang w:val="pt-BR"/>
              </w:rPr>
            </w:pPr>
            <w:bookmarkStart w:id="19" w:name="_Toc143082003"/>
            <w:bookmarkStart w:id="20" w:name="_Toc360111377"/>
            <w:r w:rsidRPr="000E2702">
              <w:rPr>
                <w:rFonts w:asciiTheme="minorHAnsi" w:hAnsiTheme="minorHAnsi"/>
                <w:w w:val="102"/>
                <w:sz w:val="20"/>
                <w:lang w:val="pt-BR"/>
              </w:rPr>
              <w:t>Seleção de Tipos Especiais de Consultores</w:t>
            </w:r>
            <w:bookmarkEnd w:id="19"/>
            <w:bookmarkEnd w:id="20"/>
          </w:p>
        </w:tc>
        <w:tc>
          <w:tcPr>
            <w:tcW w:w="1355" w:type="dxa"/>
            <w:vAlign w:val="center"/>
          </w:tcPr>
          <w:p w14:paraId="6730CD6D" w14:textId="6F12E252" w:rsidR="001F5638" w:rsidRPr="00093220" w:rsidRDefault="006E2872"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3.21</w:t>
            </w:r>
          </w:p>
        </w:tc>
        <w:tc>
          <w:tcPr>
            <w:tcW w:w="4946" w:type="dxa"/>
          </w:tcPr>
          <w:p w14:paraId="5645B194" w14:textId="620DF4F7" w:rsidR="001F5638" w:rsidRPr="0008308D" w:rsidRDefault="00F86383" w:rsidP="00F86383">
            <w:pPr>
              <w:pStyle w:val="AutoNumpara"/>
              <w:widowControl w:val="0"/>
              <w:spacing w:before="0"/>
              <w:ind w:left="0" w:firstLine="0"/>
              <w:rPr>
                <w:rFonts w:asciiTheme="minorHAnsi" w:hAnsiTheme="minorHAnsi" w:cstheme="minorHAnsi"/>
                <w:noProof w:val="0"/>
                <w:sz w:val="20"/>
                <w:lang w:val="pt-BR"/>
              </w:rPr>
            </w:pPr>
            <w:r w:rsidRPr="0008308D">
              <w:rPr>
                <w:rFonts w:asciiTheme="minorHAnsi" w:hAnsiTheme="minorHAnsi" w:cstheme="minorHAnsi"/>
                <w:i/>
                <w:noProof w:val="0"/>
                <w:sz w:val="20"/>
                <w:lang w:val="pt-BR"/>
              </w:rPr>
              <w:t>Provedores de Serviços.</w:t>
            </w:r>
            <w:r w:rsidRPr="0008308D">
              <w:rPr>
                <w:rFonts w:asciiTheme="minorHAnsi" w:hAnsiTheme="minorHAnsi" w:cstheme="minorHAnsi"/>
                <w:noProof w:val="0"/>
                <w:sz w:val="20"/>
                <w:lang w:val="pt-BR"/>
              </w:rPr>
              <w:t xml:space="preserve"> Projetos do setor social podem demandar a utilização de grande número de indivíduos prestando serviços sob contrato (por exemplo, assistentes sociais, enfermeiras e paramédicos, </w:t>
            </w:r>
            <w:proofErr w:type="spellStart"/>
            <w:r w:rsidRPr="0008308D">
              <w:rPr>
                <w:rFonts w:asciiTheme="minorHAnsi" w:hAnsiTheme="minorHAnsi" w:cstheme="minorHAnsi"/>
                <w:noProof w:val="0"/>
                <w:color w:val="FF0000"/>
                <w:sz w:val="20"/>
                <w:lang w:val="pt-BR"/>
              </w:rPr>
              <w:t>encuestadores</w:t>
            </w:r>
            <w:proofErr w:type="spellEnd"/>
            <w:r w:rsidRPr="0008308D">
              <w:rPr>
                <w:rFonts w:asciiTheme="minorHAnsi" w:hAnsiTheme="minorHAnsi" w:cstheme="minorHAnsi"/>
                <w:noProof w:val="0"/>
                <w:color w:val="FF0000"/>
                <w:sz w:val="20"/>
                <w:lang w:val="pt-BR"/>
              </w:rPr>
              <w:t>, entre outros</w:t>
            </w:r>
            <w:r w:rsidRPr="0008308D">
              <w:rPr>
                <w:rFonts w:asciiTheme="minorHAnsi" w:hAnsiTheme="minorHAnsi" w:cstheme="minorHAnsi"/>
                <w:noProof w:val="0"/>
                <w:sz w:val="20"/>
                <w:lang w:val="pt-BR"/>
              </w:rPr>
              <w:t>). A descrição de funções, qualificações mínimas, condições de emprego, procedimentos de seleção e o nível de revisão dos mesmos por parte do Banco serão estabelecidos nos documentos do projeto e o contrato que será utilizado deverá estar incluído no Plano de Aquisições aprovado pelo Banco.</w:t>
            </w:r>
          </w:p>
        </w:tc>
        <w:tc>
          <w:tcPr>
            <w:tcW w:w="4410" w:type="dxa"/>
          </w:tcPr>
          <w:p w14:paraId="68FEF378" w14:textId="77777777" w:rsidR="001F5638" w:rsidRPr="00093220" w:rsidRDefault="001F5638" w:rsidP="00D662E0">
            <w:pPr>
              <w:rPr>
                <w:lang w:val="pt-BR"/>
              </w:rPr>
            </w:pPr>
          </w:p>
        </w:tc>
      </w:tr>
      <w:tr w:rsidR="004A2C65" w:rsidRPr="00C74E29" w14:paraId="41B3855D" w14:textId="77777777" w:rsidTr="00C74E29">
        <w:trPr>
          <w:jc w:val="center"/>
        </w:trPr>
        <w:tc>
          <w:tcPr>
            <w:tcW w:w="2784" w:type="dxa"/>
            <w:vAlign w:val="center"/>
          </w:tcPr>
          <w:p w14:paraId="7C930655" w14:textId="77777777" w:rsidR="00F86383" w:rsidRPr="000E2702" w:rsidRDefault="00F86383" w:rsidP="00F86383">
            <w:pPr>
              <w:pStyle w:val="Heading1"/>
              <w:keepNext w:val="0"/>
              <w:widowControl w:val="0"/>
              <w:spacing w:before="0" w:after="100"/>
              <w:ind w:left="-25"/>
              <w:jc w:val="center"/>
              <w:outlineLvl w:val="0"/>
              <w:rPr>
                <w:rFonts w:ascii="Calibri" w:eastAsiaTheme="minorEastAsia" w:hAnsi="Calibri" w:cs="Calibri"/>
                <w:b/>
                <w:color w:val="auto"/>
                <w:sz w:val="20"/>
                <w:szCs w:val="20"/>
                <w:lang w:val="pt-BR"/>
              </w:rPr>
            </w:pPr>
            <w:bookmarkStart w:id="21" w:name="_Toc143082004"/>
            <w:bookmarkStart w:id="22" w:name="_Toc360111378"/>
            <w:r w:rsidRPr="000E2702">
              <w:rPr>
                <w:rFonts w:ascii="Calibri" w:eastAsiaTheme="minorEastAsia" w:hAnsi="Calibri" w:cs="Calibri"/>
                <w:b/>
                <w:color w:val="auto"/>
                <w:sz w:val="20"/>
                <w:szCs w:val="20"/>
                <w:lang w:val="pt-BR"/>
              </w:rPr>
              <w:t>Tipos de Contrato e Cláusulas Essenciais</w:t>
            </w:r>
            <w:bookmarkEnd w:id="21"/>
            <w:bookmarkEnd w:id="22"/>
          </w:p>
          <w:p w14:paraId="049E8528" w14:textId="59E76DC1" w:rsidR="001F5638" w:rsidRPr="000E2702" w:rsidRDefault="006642FD" w:rsidP="006642FD">
            <w:pPr>
              <w:jc w:val="center"/>
              <w:rPr>
                <w:b/>
                <w:sz w:val="20"/>
                <w:szCs w:val="20"/>
                <w:lang w:val="pt-BR"/>
              </w:rPr>
            </w:pPr>
            <w:r w:rsidRPr="000E2702">
              <w:rPr>
                <w:b/>
                <w:sz w:val="20"/>
                <w:szCs w:val="20"/>
                <w:lang w:val="pt-BR"/>
              </w:rPr>
              <w:t>Tipos de Contrato</w:t>
            </w:r>
          </w:p>
        </w:tc>
        <w:tc>
          <w:tcPr>
            <w:tcW w:w="1355" w:type="dxa"/>
            <w:vAlign w:val="center"/>
          </w:tcPr>
          <w:p w14:paraId="50670747" w14:textId="59985A63" w:rsidR="001F5638" w:rsidRPr="00093220" w:rsidRDefault="006642FD"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4.6</w:t>
            </w:r>
          </w:p>
        </w:tc>
        <w:tc>
          <w:tcPr>
            <w:tcW w:w="4946" w:type="dxa"/>
          </w:tcPr>
          <w:p w14:paraId="1B8F0E08" w14:textId="52577C6E" w:rsidR="001F5638" w:rsidRPr="0008308D" w:rsidRDefault="00F86383" w:rsidP="00F86383">
            <w:pPr>
              <w:pStyle w:val="AutoNumpara"/>
              <w:widowControl w:val="0"/>
              <w:spacing w:before="0"/>
              <w:ind w:left="55" w:firstLine="0"/>
              <w:rPr>
                <w:rFonts w:asciiTheme="minorHAnsi" w:hAnsiTheme="minorHAnsi" w:cstheme="minorHAnsi"/>
                <w:noProof w:val="0"/>
                <w:sz w:val="20"/>
                <w:lang w:val="pt-BR"/>
              </w:rPr>
            </w:pPr>
            <w:r w:rsidRPr="0008308D">
              <w:rPr>
                <w:rFonts w:asciiTheme="minorHAnsi" w:hAnsiTheme="minorHAnsi" w:cstheme="minorHAnsi"/>
                <w:i/>
                <w:noProof w:val="0"/>
                <w:color w:val="FF0000"/>
                <w:sz w:val="20"/>
                <w:lang w:val="pt-BR"/>
              </w:rPr>
              <w:t>Contratos marco</w:t>
            </w:r>
            <w:r w:rsidRPr="0008308D">
              <w:rPr>
                <w:rFonts w:asciiTheme="minorHAnsi" w:hAnsiTheme="minorHAnsi" w:cstheme="minorHAnsi"/>
                <w:noProof w:val="0"/>
                <w:color w:val="FF0000"/>
                <w:sz w:val="20"/>
                <w:lang w:val="pt-BR"/>
              </w:rPr>
              <w:t xml:space="preserve">. Um Contrato Marco (CM) é um acordo estabelecido com empresas ou consultores individuais (painel de consultores), conforme exigido por um período de tempo específico. O CM estabelece termos e condições específicos sob os quais serviços de consultoria específicos podem ser prestados diretamente ou de forma competitiva durante todo o prazo do contrato. Os </w:t>
            </w:r>
            <w:proofErr w:type="spellStart"/>
            <w:r w:rsidRPr="0008308D">
              <w:rPr>
                <w:rFonts w:asciiTheme="minorHAnsi" w:hAnsiTheme="minorHAnsi" w:cstheme="minorHAnsi"/>
                <w:noProof w:val="0"/>
                <w:color w:val="FF0000"/>
                <w:sz w:val="20"/>
                <w:lang w:val="pt-BR"/>
              </w:rPr>
              <w:t>CMs</w:t>
            </w:r>
            <w:proofErr w:type="spellEnd"/>
            <w:r w:rsidRPr="0008308D">
              <w:rPr>
                <w:rFonts w:asciiTheme="minorHAnsi" w:hAnsiTheme="minorHAnsi" w:cstheme="minorHAnsi"/>
                <w:noProof w:val="0"/>
                <w:color w:val="FF0000"/>
                <w:sz w:val="20"/>
                <w:lang w:val="pt-BR"/>
              </w:rPr>
              <w:t xml:space="preserve"> </w:t>
            </w:r>
            <w:r w:rsidRPr="0008308D">
              <w:rPr>
                <w:rFonts w:asciiTheme="minorHAnsi" w:hAnsiTheme="minorHAnsi" w:cstheme="minorHAnsi"/>
                <w:noProof w:val="0"/>
                <w:color w:val="FF0000"/>
                <w:sz w:val="20"/>
                <w:lang w:val="pt-BR"/>
              </w:rPr>
              <w:lastRenderedPageBreak/>
              <w:t>podem ser apropriados para a seleção recorrente de Serviços de Consultoria ou para consolidar requerimentos quando diferentes entidades do Mutuário adquirem os mesmos tipos de Serviços de Consultoria.</w:t>
            </w:r>
          </w:p>
        </w:tc>
        <w:tc>
          <w:tcPr>
            <w:tcW w:w="4410" w:type="dxa"/>
          </w:tcPr>
          <w:p w14:paraId="312DB633" w14:textId="77777777" w:rsidR="001F5638" w:rsidRPr="00093220" w:rsidRDefault="001F5638" w:rsidP="00D662E0">
            <w:pPr>
              <w:rPr>
                <w:lang w:val="pt-BR"/>
              </w:rPr>
            </w:pPr>
          </w:p>
        </w:tc>
      </w:tr>
      <w:tr w:rsidR="004A2C65" w:rsidRPr="00C74E29" w14:paraId="373B4C0B" w14:textId="77777777" w:rsidTr="00C74E29">
        <w:trPr>
          <w:jc w:val="center"/>
        </w:trPr>
        <w:tc>
          <w:tcPr>
            <w:tcW w:w="2784" w:type="dxa"/>
            <w:vAlign w:val="center"/>
          </w:tcPr>
          <w:p w14:paraId="6F140693" w14:textId="77777777" w:rsidR="00F86383" w:rsidRPr="000E2702" w:rsidRDefault="00F86383" w:rsidP="00F86383">
            <w:pPr>
              <w:pStyle w:val="Heading1"/>
              <w:keepNext w:val="0"/>
              <w:widowControl w:val="0"/>
              <w:spacing w:before="0" w:after="100"/>
              <w:ind w:left="65"/>
              <w:jc w:val="center"/>
              <w:outlineLvl w:val="0"/>
              <w:rPr>
                <w:rFonts w:asciiTheme="minorHAnsi" w:hAnsiTheme="minorHAnsi"/>
                <w:smallCaps/>
                <w:spacing w:val="-2"/>
                <w:sz w:val="20"/>
                <w:szCs w:val="20"/>
                <w:lang w:val="pt-BR"/>
              </w:rPr>
            </w:pPr>
            <w:bookmarkStart w:id="23" w:name="_Toc143082008"/>
            <w:bookmarkStart w:id="24" w:name="_Toc360111382"/>
            <w:r w:rsidRPr="000E2702">
              <w:rPr>
                <w:rFonts w:asciiTheme="minorHAnsi" w:hAnsiTheme="minorHAnsi"/>
                <w:spacing w:val="-2"/>
                <w:sz w:val="20"/>
                <w:szCs w:val="20"/>
                <w:lang w:val="pt-BR"/>
              </w:rPr>
              <w:t>Apêndice 1</w:t>
            </w:r>
            <w:bookmarkStart w:id="25" w:name="_Toc143082009"/>
            <w:bookmarkEnd w:id="23"/>
            <w:r w:rsidRPr="000E2702">
              <w:rPr>
                <w:rFonts w:asciiTheme="minorHAnsi" w:hAnsiTheme="minorHAnsi"/>
                <w:spacing w:val="-2"/>
                <w:sz w:val="20"/>
                <w:szCs w:val="20"/>
                <w:lang w:val="pt-BR"/>
              </w:rPr>
              <w:t>: Revisão pelo Banco da Seleção de Consultores</w:t>
            </w:r>
            <w:bookmarkEnd w:id="24"/>
            <w:bookmarkEnd w:id="25"/>
          </w:p>
          <w:p w14:paraId="6E4D26FE" w14:textId="77777777" w:rsidR="00F86383" w:rsidRPr="000E2702" w:rsidRDefault="00F86383" w:rsidP="00F86383">
            <w:pPr>
              <w:pStyle w:val="Heading2"/>
              <w:ind w:left="65"/>
              <w:jc w:val="center"/>
              <w:outlineLvl w:val="1"/>
              <w:rPr>
                <w:rFonts w:asciiTheme="minorHAnsi" w:hAnsiTheme="minorHAnsi"/>
                <w:sz w:val="20"/>
                <w:lang w:val="pt-BR"/>
              </w:rPr>
            </w:pPr>
            <w:bookmarkStart w:id="26" w:name="_Toc358896417"/>
            <w:bookmarkStart w:id="27" w:name="_Toc458086119"/>
            <w:r w:rsidRPr="000E2702">
              <w:rPr>
                <w:rFonts w:asciiTheme="minorHAnsi" w:hAnsiTheme="minorHAnsi"/>
                <w:color w:val="FF0000"/>
                <w:sz w:val="20"/>
                <w:lang w:val="pt-BR"/>
              </w:rPr>
              <w:t>Estratégia de Aquisições</w:t>
            </w:r>
            <w:r w:rsidRPr="000E2702">
              <w:rPr>
                <w:rFonts w:asciiTheme="minorHAnsi" w:hAnsiTheme="minorHAnsi"/>
                <w:sz w:val="20"/>
                <w:lang w:val="pt-BR"/>
              </w:rPr>
              <w:t xml:space="preserve"> </w:t>
            </w:r>
            <w:r w:rsidRPr="000E2702">
              <w:rPr>
                <w:rFonts w:asciiTheme="minorHAnsi" w:hAnsiTheme="minorHAnsi"/>
                <w:sz w:val="20"/>
                <w:lang w:val="pt-BR"/>
              </w:rPr>
              <w:fldChar w:fldCharType="begin"/>
            </w:r>
            <w:r w:rsidRPr="000E2702">
              <w:rPr>
                <w:rFonts w:asciiTheme="minorHAnsi" w:hAnsiTheme="minorHAnsi"/>
                <w:sz w:val="20"/>
                <w:lang w:val="pt-BR"/>
              </w:rPr>
              <w:instrText>ADVANCE \D 4.0</w:instrText>
            </w:r>
            <w:r w:rsidRPr="000E2702">
              <w:rPr>
                <w:rFonts w:asciiTheme="minorHAnsi" w:hAnsiTheme="minorHAnsi"/>
                <w:sz w:val="20"/>
                <w:lang w:val="pt-BR"/>
              </w:rPr>
              <w:fldChar w:fldCharType="end"/>
            </w:r>
            <w:bookmarkEnd w:id="26"/>
            <w:bookmarkEnd w:id="27"/>
          </w:p>
          <w:p w14:paraId="38239B37" w14:textId="65830998" w:rsidR="000F3047" w:rsidRPr="000E2702" w:rsidRDefault="000F3047" w:rsidP="00670469">
            <w:pPr>
              <w:jc w:val="center"/>
              <w:rPr>
                <w:b/>
                <w:sz w:val="20"/>
                <w:szCs w:val="20"/>
                <w:lang w:val="pt-BR"/>
              </w:rPr>
            </w:pPr>
          </w:p>
        </w:tc>
        <w:tc>
          <w:tcPr>
            <w:tcW w:w="1355" w:type="dxa"/>
            <w:vAlign w:val="center"/>
          </w:tcPr>
          <w:p w14:paraId="49065A62" w14:textId="440DA9D4" w:rsidR="000F3047" w:rsidRPr="00093220" w:rsidRDefault="00670469"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1</w:t>
            </w:r>
          </w:p>
        </w:tc>
        <w:tc>
          <w:tcPr>
            <w:tcW w:w="4946" w:type="dxa"/>
          </w:tcPr>
          <w:p w14:paraId="3F17D873" w14:textId="77777777" w:rsidR="00F86383" w:rsidRPr="0008308D" w:rsidRDefault="00F86383" w:rsidP="00F86383">
            <w:pPr>
              <w:pStyle w:val="Paragraph1"/>
              <w:numPr>
                <w:ilvl w:val="0"/>
                <w:numId w:val="0"/>
              </w:numPr>
              <w:rPr>
                <w:rFonts w:asciiTheme="minorHAnsi" w:hAnsiTheme="minorHAnsi" w:cstheme="minorHAnsi"/>
                <w:noProof w:val="0"/>
                <w:sz w:val="20"/>
                <w:lang w:val="pt-BR"/>
              </w:rPr>
            </w:pPr>
            <w:r w:rsidRPr="0008308D">
              <w:rPr>
                <w:rFonts w:asciiTheme="minorHAnsi" w:hAnsiTheme="minorHAnsi" w:cstheme="minorHAnsi"/>
                <w:color w:val="FF0000"/>
                <w:sz w:val="20"/>
                <w:lang w:val="pt-BR"/>
              </w:rPr>
              <w:t xml:space="preserve">O Mutuário deverá elaborar uma estratégia de aquisições que justifique os arranjos propostos para a sua conformidade com o Contrato de Empréstimo e estas Políticas. O Banco revisará a estratégia e os procedimentos de aquisição propostos pelo Mutuário, conforme estabelecido no Plano de Aquisições. O Plano de Aquisições deve ser preparado com base na análise de mercado conduzida durante a preparação da estratégia de aquisições e quaisquer considerações de adequação aos propósitos dos métodos selecionados e deve cobrir um período inicial de pelo menos 18 meses. </w:t>
            </w:r>
            <w:r w:rsidRPr="0008308D">
              <w:rPr>
                <w:rFonts w:asciiTheme="minorHAnsi" w:hAnsiTheme="minorHAnsi" w:cstheme="minorHAnsi"/>
                <w:noProof w:val="0"/>
                <w:spacing w:val="2"/>
                <w:w w:val="102"/>
                <w:sz w:val="20"/>
                <w:lang w:val="pt-BR"/>
              </w:rPr>
              <w:t>O</w:t>
            </w:r>
            <w:r w:rsidRPr="0008308D">
              <w:rPr>
                <w:rFonts w:asciiTheme="minorHAnsi" w:hAnsiTheme="minorHAnsi" w:cstheme="minorHAnsi"/>
                <w:noProof w:val="0"/>
                <w:w w:val="102"/>
                <w:sz w:val="20"/>
                <w:lang w:val="pt-BR"/>
              </w:rPr>
              <w:t xml:space="preserve"> </w:t>
            </w:r>
            <w:r w:rsidRPr="0008308D">
              <w:rPr>
                <w:rFonts w:asciiTheme="minorHAnsi" w:hAnsiTheme="minorHAnsi" w:cstheme="minorHAnsi"/>
                <w:noProof w:val="0"/>
                <w:spacing w:val="2"/>
                <w:w w:val="102"/>
                <w:sz w:val="20"/>
                <w:lang w:val="pt-BR"/>
              </w:rPr>
              <w:t>Mutuário</w:t>
            </w:r>
            <w:r w:rsidRPr="0008308D">
              <w:rPr>
                <w:rFonts w:asciiTheme="minorHAnsi" w:hAnsiTheme="minorHAnsi" w:cstheme="minorHAnsi"/>
                <w:noProof w:val="0"/>
                <w:w w:val="102"/>
                <w:sz w:val="20"/>
                <w:lang w:val="pt-BR"/>
              </w:rPr>
              <w:t xml:space="preserve"> </w:t>
            </w:r>
            <w:r w:rsidRPr="0008308D">
              <w:rPr>
                <w:rFonts w:asciiTheme="minorHAnsi" w:hAnsiTheme="minorHAnsi" w:cstheme="minorHAnsi"/>
                <w:noProof w:val="0"/>
                <w:spacing w:val="2"/>
                <w:w w:val="102"/>
                <w:sz w:val="20"/>
                <w:lang w:val="pt-BR"/>
              </w:rPr>
              <w:t>dever</w:t>
            </w:r>
            <w:r w:rsidRPr="0008308D">
              <w:rPr>
                <w:rFonts w:asciiTheme="minorHAnsi" w:hAnsiTheme="minorHAnsi" w:cstheme="minorHAnsi"/>
                <w:noProof w:val="0"/>
                <w:w w:val="102"/>
                <w:sz w:val="20"/>
                <w:lang w:val="pt-BR"/>
              </w:rPr>
              <w:t xml:space="preserve">á </w:t>
            </w:r>
            <w:r w:rsidRPr="0008308D">
              <w:rPr>
                <w:rFonts w:asciiTheme="minorHAnsi" w:hAnsiTheme="minorHAnsi" w:cstheme="minorHAnsi"/>
                <w:noProof w:val="0"/>
                <w:spacing w:val="2"/>
                <w:w w:val="102"/>
                <w:sz w:val="20"/>
                <w:lang w:val="pt-BR"/>
              </w:rPr>
              <w:t>atualizar</w:t>
            </w:r>
            <w:r w:rsidRPr="0008308D">
              <w:rPr>
                <w:rFonts w:asciiTheme="minorHAnsi" w:hAnsiTheme="minorHAnsi" w:cstheme="minorHAnsi"/>
                <w:noProof w:val="0"/>
                <w:w w:val="102"/>
                <w:sz w:val="20"/>
                <w:lang w:val="pt-BR"/>
              </w:rPr>
              <w:t xml:space="preserve"> </w:t>
            </w:r>
            <w:r w:rsidRPr="0008308D">
              <w:rPr>
                <w:rFonts w:asciiTheme="minorHAnsi" w:hAnsiTheme="minorHAnsi" w:cstheme="minorHAnsi"/>
                <w:noProof w:val="0"/>
                <w:spacing w:val="2"/>
                <w:w w:val="102"/>
                <w:sz w:val="20"/>
                <w:lang w:val="pt-BR"/>
              </w:rPr>
              <w:t>o</w:t>
            </w:r>
            <w:r w:rsidRPr="0008308D">
              <w:rPr>
                <w:rFonts w:asciiTheme="minorHAnsi" w:hAnsiTheme="minorHAnsi" w:cstheme="minorHAnsi"/>
                <w:noProof w:val="0"/>
                <w:w w:val="102"/>
                <w:sz w:val="20"/>
                <w:lang w:val="pt-BR"/>
              </w:rPr>
              <w:t xml:space="preserve"> </w:t>
            </w:r>
            <w:r w:rsidRPr="0008308D">
              <w:rPr>
                <w:rFonts w:asciiTheme="minorHAnsi" w:hAnsiTheme="minorHAnsi" w:cstheme="minorHAnsi"/>
                <w:noProof w:val="0"/>
                <w:spacing w:val="2"/>
                <w:w w:val="102"/>
                <w:sz w:val="20"/>
                <w:lang w:val="pt-BR"/>
              </w:rPr>
              <w:t>Plano de Aquisições</w:t>
            </w:r>
            <w:r w:rsidRPr="0008308D">
              <w:rPr>
                <w:rFonts w:asciiTheme="minorHAnsi" w:hAnsiTheme="minorHAnsi" w:cstheme="minorHAnsi"/>
                <w:noProof w:val="0"/>
                <w:w w:val="102"/>
                <w:sz w:val="20"/>
                <w:lang w:val="pt-BR"/>
              </w:rPr>
              <w:t xml:space="preserve"> </w:t>
            </w:r>
            <w:r w:rsidRPr="0008308D">
              <w:rPr>
                <w:rFonts w:asciiTheme="minorHAnsi" w:hAnsiTheme="minorHAnsi" w:cstheme="minorHAnsi"/>
                <w:noProof w:val="0"/>
                <w:spacing w:val="2"/>
                <w:w w:val="102"/>
                <w:sz w:val="20"/>
                <w:lang w:val="pt-BR"/>
              </w:rPr>
              <w:t>anualmente</w:t>
            </w:r>
            <w:r w:rsidRPr="0008308D">
              <w:rPr>
                <w:rFonts w:asciiTheme="minorHAnsi" w:hAnsiTheme="minorHAnsi" w:cstheme="minorHAnsi"/>
                <w:noProof w:val="0"/>
                <w:w w:val="102"/>
                <w:sz w:val="20"/>
                <w:lang w:val="pt-BR"/>
              </w:rPr>
              <w:t xml:space="preserve"> </w:t>
            </w:r>
            <w:r w:rsidRPr="0008308D">
              <w:rPr>
                <w:rFonts w:asciiTheme="minorHAnsi" w:hAnsiTheme="minorHAnsi" w:cstheme="minorHAnsi"/>
                <w:noProof w:val="0"/>
                <w:spacing w:val="2"/>
                <w:w w:val="102"/>
                <w:sz w:val="20"/>
                <w:lang w:val="pt-BR"/>
              </w:rPr>
              <w:t>o</w:t>
            </w:r>
            <w:r w:rsidRPr="0008308D">
              <w:rPr>
                <w:rFonts w:asciiTheme="minorHAnsi" w:hAnsiTheme="minorHAnsi" w:cstheme="minorHAnsi"/>
                <w:noProof w:val="0"/>
                <w:w w:val="102"/>
                <w:sz w:val="20"/>
                <w:lang w:val="pt-BR"/>
              </w:rPr>
              <w:t xml:space="preserve">u </w:t>
            </w:r>
            <w:r w:rsidRPr="0008308D">
              <w:rPr>
                <w:rFonts w:asciiTheme="minorHAnsi" w:hAnsiTheme="minorHAnsi" w:cstheme="minorHAnsi"/>
                <w:noProof w:val="0"/>
                <w:spacing w:val="2"/>
                <w:w w:val="102"/>
                <w:sz w:val="20"/>
                <w:lang w:val="pt-BR"/>
              </w:rPr>
              <w:t>conforme</w:t>
            </w:r>
            <w:r w:rsidRPr="0008308D">
              <w:rPr>
                <w:rFonts w:asciiTheme="minorHAnsi" w:hAnsiTheme="minorHAnsi" w:cstheme="minorHAnsi"/>
                <w:noProof w:val="0"/>
                <w:w w:val="102"/>
                <w:sz w:val="20"/>
                <w:lang w:val="pt-BR"/>
              </w:rPr>
              <w:t xml:space="preserve"> </w:t>
            </w:r>
            <w:r w:rsidRPr="0008308D">
              <w:rPr>
                <w:rFonts w:asciiTheme="minorHAnsi" w:hAnsiTheme="minorHAnsi" w:cstheme="minorHAnsi"/>
                <w:noProof w:val="0"/>
                <w:spacing w:val="2"/>
                <w:w w:val="102"/>
                <w:sz w:val="20"/>
                <w:lang w:val="pt-BR"/>
              </w:rPr>
              <w:t>necessário,</w:t>
            </w:r>
            <w:r w:rsidRPr="0008308D">
              <w:rPr>
                <w:rFonts w:asciiTheme="minorHAnsi" w:hAnsiTheme="minorHAnsi" w:cstheme="minorHAnsi"/>
                <w:noProof w:val="0"/>
                <w:w w:val="102"/>
                <w:sz w:val="20"/>
                <w:lang w:val="pt-BR"/>
              </w:rPr>
              <w:t xml:space="preserve"> </w:t>
            </w:r>
            <w:r w:rsidRPr="0008308D">
              <w:rPr>
                <w:rFonts w:asciiTheme="minorHAnsi" w:hAnsiTheme="minorHAnsi" w:cstheme="minorHAnsi"/>
                <w:noProof w:val="0"/>
                <w:spacing w:val="2"/>
                <w:w w:val="102"/>
                <w:sz w:val="20"/>
                <w:lang w:val="pt-BR"/>
              </w:rPr>
              <w:t>sempre</w:t>
            </w:r>
            <w:r w:rsidRPr="0008308D">
              <w:rPr>
                <w:rFonts w:asciiTheme="minorHAnsi" w:hAnsiTheme="minorHAnsi" w:cstheme="minorHAnsi"/>
                <w:noProof w:val="0"/>
                <w:w w:val="102"/>
                <w:sz w:val="20"/>
                <w:lang w:val="pt-BR"/>
              </w:rPr>
              <w:t xml:space="preserve"> </w:t>
            </w:r>
            <w:r w:rsidRPr="0008308D">
              <w:rPr>
                <w:rFonts w:asciiTheme="minorHAnsi" w:hAnsiTheme="minorHAnsi" w:cstheme="minorHAnsi"/>
                <w:noProof w:val="0"/>
                <w:spacing w:val="2"/>
                <w:w w:val="102"/>
                <w:sz w:val="20"/>
                <w:lang w:val="pt-BR"/>
              </w:rPr>
              <w:t>cobrindo</w:t>
            </w:r>
            <w:r w:rsidRPr="0008308D">
              <w:rPr>
                <w:rFonts w:asciiTheme="minorHAnsi" w:hAnsiTheme="minorHAnsi" w:cstheme="minorHAnsi"/>
                <w:noProof w:val="0"/>
                <w:w w:val="102"/>
                <w:sz w:val="20"/>
                <w:lang w:val="pt-BR"/>
              </w:rPr>
              <w:t xml:space="preserve"> o período</w:t>
            </w:r>
            <w:r w:rsidRPr="0008308D">
              <w:rPr>
                <w:rFonts w:asciiTheme="minorHAnsi" w:hAnsiTheme="minorHAnsi" w:cstheme="minorHAnsi"/>
                <w:noProof w:val="0"/>
                <w:spacing w:val="-3"/>
                <w:w w:val="102"/>
                <w:sz w:val="20"/>
                <w:lang w:val="pt-BR"/>
              </w:rPr>
              <w:t xml:space="preserve"> </w:t>
            </w:r>
            <w:r w:rsidRPr="0008308D">
              <w:rPr>
                <w:rFonts w:asciiTheme="minorHAnsi" w:hAnsiTheme="minorHAnsi" w:cstheme="minorHAnsi"/>
                <w:noProof w:val="0"/>
                <w:w w:val="102"/>
                <w:sz w:val="20"/>
                <w:lang w:val="pt-BR"/>
              </w:rPr>
              <w:t>de</w:t>
            </w:r>
            <w:r w:rsidRPr="0008308D">
              <w:rPr>
                <w:rFonts w:asciiTheme="minorHAnsi" w:hAnsiTheme="minorHAnsi" w:cstheme="minorHAnsi"/>
                <w:noProof w:val="0"/>
                <w:spacing w:val="-3"/>
                <w:w w:val="102"/>
                <w:sz w:val="20"/>
                <w:lang w:val="pt-BR"/>
              </w:rPr>
              <w:t xml:space="preserve"> </w:t>
            </w:r>
            <w:r w:rsidRPr="0008308D">
              <w:rPr>
                <w:rFonts w:asciiTheme="minorHAnsi" w:hAnsiTheme="minorHAnsi" w:cstheme="minorHAnsi"/>
                <w:noProof w:val="0"/>
                <w:w w:val="102"/>
                <w:sz w:val="20"/>
                <w:lang w:val="pt-BR"/>
              </w:rPr>
              <w:t>18</w:t>
            </w:r>
            <w:r w:rsidRPr="0008308D">
              <w:rPr>
                <w:rFonts w:asciiTheme="minorHAnsi" w:hAnsiTheme="minorHAnsi" w:cstheme="minorHAnsi"/>
                <w:noProof w:val="0"/>
                <w:spacing w:val="-3"/>
                <w:w w:val="102"/>
                <w:sz w:val="20"/>
                <w:lang w:val="pt-BR"/>
              </w:rPr>
              <w:t xml:space="preserve"> </w:t>
            </w:r>
            <w:r w:rsidRPr="0008308D">
              <w:rPr>
                <w:rFonts w:asciiTheme="minorHAnsi" w:hAnsiTheme="minorHAnsi" w:cstheme="minorHAnsi"/>
                <w:noProof w:val="0"/>
                <w:w w:val="102"/>
                <w:sz w:val="20"/>
                <w:lang w:val="pt-BR"/>
              </w:rPr>
              <w:t>meses</w:t>
            </w:r>
            <w:r w:rsidRPr="0008308D">
              <w:rPr>
                <w:rFonts w:asciiTheme="minorHAnsi" w:hAnsiTheme="minorHAnsi" w:cstheme="minorHAnsi"/>
                <w:noProof w:val="0"/>
                <w:spacing w:val="-3"/>
                <w:w w:val="102"/>
                <w:sz w:val="20"/>
                <w:lang w:val="pt-BR"/>
              </w:rPr>
              <w:t xml:space="preserve"> </w:t>
            </w:r>
            <w:r w:rsidRPr="0008308D">
              <w:rPr>
                <w:rFonts w:asciiTheme="minorHAnsi" w:hAnsiTheme="minorHAnsi" w:cstheme="minorHAnsi"/>
                <w:noProof w:val="0"/>
                <w:w w:val="102"/>
                <w:sz w:val="20"/>
                <w:lang w:val="pt-BR"/>
              </w:rPr>
              <w:t>seguintes</w:t>
            </w:r>
            <w:r w:rsidRPr="0008308D">
              <w:rPr>
                <w:rFonts w:asciiTheme="minorHAnsi" w:hAnsiTheme="minorHAnsi" w:cstheme="minorHAnsi"/>
                <w:noProof w:val="0"/>
                <w:spacing w:val="-3"/>
                <w:w w:val="102"/>
                <w:sz w:val="20"/>
                <w:lang w:val="pt-BR"/>
              </w:rPr>
              <w:t xml:space="preserve"> </w:t>
            </w:r>
            <w:r w:rsidRPr="0008308D">
              <w:rPr>
                <w:rFonts w:asciiTheme="minorHAnsi" w:hAnsiTheme="minorHAnsi" w:cstheme="minorHAnsi"/>
                <w:noProof w:val="0"/>
                <w:w w:val="102"/>
                <w:sz w:val="20"/>
                <w:lang w:val="pt-BR"/>
              </w:rPr>
              <w:t>de implementação</w:t>
            </w:r>
            <w:r w:rsidRPr="0008308D">
              <w:rPr>
                <w:rFonts w:asciiTheme="minorHAnsi" w:hAnsiTheme="minorHAnsi" w:cstheme="minorHAnsi"/>
                <w:noProof w:val="0"/>
                <w:spacing w:val="-3"/>
                <w:w w:val="102"/>
                <w:sz w:val="20"/>
                <w:lang w:val="pt-BR"/>
              </w:rPr>
              <w:t xml:space="preserve"> </w:t>
            </w:r>
            <w:r w:rsidRPr="0008308D">
              <w:rPr>
                <w:rFonts w:asciiTheme="minorHAnsi" w:hAnsiTheme="minorHAnsi" w:cstheme="minorHAnsi"/>
                <w:noProof w:val="0"/>
                <w:w w:val="102"/>
                <w:sz w:val="20"/>
                <w:lang w:val="pt-BR"/>
              </w:rPr>
              <w:t>do</w:t>
            </w:r>
            <w:r w:rsidRPr="0008308D">
              <w:rPr>
                <w:rFonts w:asciiTheme="minorHAnsi" w:hAnsiTheme="minorHAnsi" w:cstheme="minorHAnsi"/>
                <w:noProof w:val="0"/>
                <w:spacing w:val="-3"/>
                <w:w w:val="102"/>
                <w:sz w:val="20"/>
                <w:lang w:val="pt-BR"/>
              </w:rPr>
              <w:t xml:space="preserve"> </w:t>
            </w:r>
            <w:r w:rsidRPr="0008308D">
              <w:rPr>
                <w:rFonts w:asciiTheme="minorHAnsi" w:hAnsiTheme="minorHAnsi" w:cstheme="minorHAnsi"/>
                <w:noProof w:val="0"/>
                <w:w w:val="102"/>
                <w:sz w:val="20"/>
                <w:lang w:val="pt-BR"/>
              </w:rPr>
              <w:t>projeto.</w:t>
            </w:r>
            <w:r w:rsidRPr="0008308D">
              <w:rPr>
                <w:rFonts w:asciiTheme="minorHAnsi" w:hAnsiTheme="minorHAnsi" w:cstheme="minorHAnsi"/>
                <w:noProof w:val="0"/>
                <w:spacing w:val="-3"/>
                <w:w w:val="102"/>
                <w:sz w:val="20"/>
                <w:lang w:val="pt-BR"/>
              </w:rPr>
              <w:t xml:space="preserve"> </w:t>
            </w:r>
            <w:r w:rsidRPr="0008308D">
              <w:rPr>
                <w:rFonts w:asciiTheme="minorHAnsi" w:hAnsiTheme="minorHAnsi" w:cstheme="minorHAnsi"/>
                <w:noProof w:val="0"/>
                <w:w w:val="102"/>
                <w:sz w:val="20"/>
                <w:lang w:val="pt-BR"/>
              </w:rPr>
              <w:t>Quaisquer</w:t>
            </w:r>
            <w:r w:rsidRPr="0008308D">
              <w:rPr>
                <w:rFonts w:asciiTheme="minorHAnsi" w:hAnsiTheme="minorHAnsi" w:cstheme="minorHAnsi"/>
                <w:noProof w:val="0"/>
                <w:spacing w:val="-3"/>
                <w:w w:val="102"/>
                <w:sz w:val="20"/>
                <w:lang w:val="pt-BR"/>
              </w:rPr>
              <w:t xml:space="preserve"> </w:t>
            </w:r>
            <w:r w:rsidRPr="0008308D">
              <w:rPr>
                <w:rFonts w:asciiTheme="minorHAnsi" w:hAnsiTheme="minorHAnsi" w:cstheme="minorHAnsi"/>
                <w:noProof w:val="0"/>
                <w:w w:val="102"/>
                <w:sz w:val="20"/>
                <w:lang w:val="pt-BR"/>
              </w:rPr>
              <w:t xml:space="preserve">revisões </w:t>
            </w:r>
            <w:r w:rsidRPr="0008308D">
              <w:rPr>
                <w:rFonts w:asciiTheme="minorHAnsi" w:hAnsiTheme="minorHAnsi" w:cstheme="minorHAnsi"/>
                <w:noProof w:val="0"/>
                <w:spacing w:val="4"/>
                <w:w w:val="102"/>
                <w:sz w:val="20"/>
                <w:lang w:val="pt-BR"/>
              </w:rPr>
              <w:t>propostas</w:t>
            </w:r>
            <w:r w:rsidRPr="0008308D">
              <w:rPr>
                <w:rFonts w:asciiTheme="minorHAnsi" w:hAnsiTheme="minorHAnsi" w:cstheme="minorHAnsi"/>
                <w:noProof w:val="0"/>
                <w:spacing w:val="-5"/>
                <w:w w:val="102"/>
                <w:sz w:val="20"/>
                <w:lang w:val="pt-BR"/>
              </w:rPr>
              <w:t xml:space="preserve"> </w:t>
            </w:r>
            <w:r w:rsidRPr="0008308D">
              <w:rPr>
                <w:rFonts w:asciiTheme="minorHAnsi" w:hAnsiTheme="minorHAnsi" w:cstheme="minorHAnsi"/>
                <w:noProof w:val="0"/>
                <w:spacing w:val="4"/>
                <w:w w:val="102"/>
                <w:sz w:val="20"/>
                <w:lang w:val="pt-BR"/>
              </w:rPr>
              <w:t>ao</w:t>
            </w:r>
            <w:r w:rsidRPr="0008308D">
              <w:rPr>
                <w:rFonts w:asciiTheme="minorHAnsi" w:hAnsiTheme="minorHAnsi" w:cstheme="minorHAnsi"/>
                <w:noProof w:val="0"/>
                <w:spacing w:val="-5"/>
                <w:w w:val="102"/>
                <w:sz w:val="20"/>
                <w:lang w:val="pt-BR"/>
              </w:rPr>
              <w:t xml:space="preserve"> </w:t>
            </w:r>
            <w:r w:rsidRPr="0008308D">
              <w:rPr>
                <w:rFonts w:asciiTheme="minorHAnsi" w:hAnsiTheme="minorHAnsi" w:cstheme="minorHAnsi"/>
                <w:noProof w:val="0"/>
                <w:spacing w:val="4"/>
                <w:w w:val="102"/>
                <w:sz w:val="20"/>
                <w:lang w:val="pt-BR"/>
              </w:rPr>
              <w:t>Plano de Aquisições</w:t>
            </w:r>
            <w:r w:rsidRPr="0008308D">
              <w:rPr>
                <w:rFonts w:asciiTheme="minorHAnsi" w:hAnsiTheme="minorHAnsi" w:cstheme="minorHAnsi"/>
                <w:noProof w:val="0"/>
                <w:spacing w:val="-10"/>
                <w:w w:val="102"/>
                <w:sz w:val="20"/>
                <w:lang w:val="pt-BR"/>
              </w:rPr>
              <w:t xml:space="preserve"> </w:t>
            </w:r>
            <w:r w:rsidRPr="0008308D">
              <w:rPr>
                <w:rFonts w:asciiTheme="minorHAnsi" w:hAnsiTheme="minorHAnsi" w:cstheme="minorHAnsi"/>
                <w:noProof w:val="0"/>
                <w:w w:val="102"/>
                <w:sz w:val="20"/>
                <w:lang w:val="pt-BR"/>
              </w:rPr>
              <w:t>deverão</w:t>
            </w:r>
            <w:r w:rsidRPr="0008308D">
              <w:rPr>
                <w:rFonts w:asciiTheme="minorHAnsi" w:hAnsiTheme="minorHAnsi" w:cstheme="minorHAnsi"/>
                <w:noProof w:val="0"/>
                <w:spacing w:val="-10"/>
                <w:w w:val="102"/>
                <w:sz w:val="20"/>
                <w:lang w:val="pt-BR"/>
              </w:rPr>
              <w:t xml:space="preserve"> </w:t>
            </w:r>
            <w:r w:rsidRPr="0008308D">
              <w:rPr>
                <w:rFonts w:asciiTheme="minorHAnsi" w:hAnsiTheme="minorHAnsi" w:cstheme="minorHAnsi"/>
                <w:noProof w:val="0"/>
                <w:w w:val="102"/>
                <w:sz w:val="20"/>
                <w:lang w:val="pt-BR"/>
              </w:rPr>
              <w:t>ser enviadas</w:t>
            </w:r>
            <w:r w:rsidRPr="0008308D">
              <w:rPr>
                <w:rFonts w:asciiTheme="minorHAnsi" w:hAnsiTheme="minorHAnsi" w:cstheme="minorHAnsi"/>
                <w:noProof w:val="0"/>
                <w:spacing w:val="-5"/>
                <w:w w:val="102"/>
                <w:sz w:val="20"/>
                <w:lang w:val="pt-BR"/>
              </w:rPr>
              <w:t xml:space="preserve"> </w:t>
            </w:r>
            <w:r w:rsidRPr="0008308D">
              <w:rPr>
                <w:rFonts w:asciiTheme="minorHAnsi" w:hAnsiTheme="minorHAnsi" w:cstheme="minorHAnsi"/>
                <w:noProof w:val="0"/>
                <w:w w:val="102"/>
                <w:sz w:val="20"/>
                <w:lang w:val="pt-BR"/>
              </w:rPr>
              <w:t>ao</w:t>
            </w:r>
            <w:r w:rsidRPr="0008308D">
              <w:rPr>
                <w:rFonts w:asciiTheme="minorHAnsi" w:hAnsiTheme="minorHAnsi" w:cstheme="minorHAnsi"/>
                <w:noProof w:val="0"/>
                <w:spacing w:val="-5"/>
                <w:w w:val="102"/>
                <w:sz w:val="20"/>
                <w:lang w:val="pt-BR"/>
              </w:rPr>
              <w:t xml:space="preserve"> </w:t>
            </w:r>
            <w:r w:rsidRPr="0008308D">
              <w:rPr>
                <w:rFonts w:asciiTheme="minorHAnsi" w:hAnsiTheme="minorHAnsi" w:cstheme="minorHAnsi"/>
                <w:noProof w:val="0"/>
                <w:w w:val="102"/>
                <w:sz w:val="20"/>
                <w:lang w:val="pt-BR"/>
              </w:rPr>
              <w:t>Banco</w:t>
            </w:r>
            <w:r w:rsidRPr="0008308D">
              <w:rPr>
                <w:rFonts w:asciiTheme="minorHAnsi" w:hAnsiTheme="minorHAnsi" w:cstheme="minorHAnsi"/>
                <w:noProof w:val="0"/>
                <w:spacing w:val="-5"/>
                <w:w w:val="102"/>
                <w:sz w:val="20"/>
                <w:lang w:val="pt-BR"/>
              </w:rPr>
              <w:t xml:space="preserve"> </w:t>
            </w:r>
            <w:r w:rsidRPr="0008308D">
              <w:rPr>
                <w:rFonts w:asciiTheme="minorHAnsi" w:hAnsiTheme="minorHAnsi" w:cstheme="minorHAnsi"/>
                <w:noProof w:val="0"/>
                <w:w w:val="102"/>
                <w:sz w:val="20"/>
                <w:lang w:val="pt-BR"/>
              </w:rPr>
              <w:t>para</w:t>
            </w:r>
            <w:r w:rsidRPr="0008308D">
              <w:rPr>
                <w:rFonts w:asciiTheme="minorHAnsi" w:hAnsiTheme="minorHAnsi" w:cstheme="minorHAnsi"/>
                <w:noProof w:val="0"/>
                <w:spacing w:val="-5"/>
                <w:w w:val="102"/>
                <w:sz w:val="20"/>
                <w:lang w:val="pt-BR"/>
              </w:rPr>
              <w:t xml:space="preserve"> </w:t>
            </w:r>
            <w:r w:rsidRPr="0008308D">
              <w:rPr>
                <w:rFonts w:asciiTheme="minorHAnsi" w:hAnsiTheme="minorHAnsi" w:cstheme="minorHAnsi"/>
                <w:noProof w:val="0"/>
                <w:w w:val="102"/>
                <w:sz w:val="20"/>
                <w:lang w:val="pt-BR"/>
              </w:rPr>
              <w:t>sua</w:t>
            </w:r>
            <w:r w:rsidRPr="0008308D">
              <w:rPr>
                <w:rFonts w:asciiTheme="minorHAnsi" w:hAnsiTheme="minorHAnsi" w:cstheme="minorHAnsi"/>
                <w:noProof w:val="0"/>
                <w:spacing w:val="-5"/>
                <w:w w:val="102"/>
                <w:sz w:val="20"/>
                <w:lang w:val="pt-BR"/>
              </w:rPr>
              <w:t xml:space="preserve"> </w:t>
            </w:r>
            <w:r w:rsidRPr="0008308D">
              <w:rPr>
                <w:rFonts w:asciiTheme="minorHAnsi" w:hAnsiTheme="minorHAnsi" w:cstheme="minorHAnsi"/>
                <w:noProof w:val="0"/>
                <w:w w:val="102"/>
                <w:sz w:val="20"/>
                <w:lang w:val="pt-BR"/>
              </w:rPr>
              <w:t>aprovação</w:t>
            </w:r>
            <w:r w:rsidRPr="0008308D">
              <w:rPr>
                <w:rFonts w:asciiTheme="minorHAnsi" w:hAnsiTheme="minorHAnsi" w:cstheme="minorHAnsi"/>
                <w:noProof w:val="0"/>
                <w:spacing w:val="-5"/>
                <w:w w:val="102"/>
                <w:sz w:val="20"/>
                <w:lang w:val="pt-BR"/>
              </w:rPr>
              <w:t xml:space="preserve"> </w:t>
            </w:r>
            <w:r w:rsidRPr="0008308D">
              <w:rPr>
                <w:rFonts w:asciiTheme="minorHAnsi" w:hAnsiTheme="minorHAnsi" w:cstheme="minorHAnsi"/>
                <w:noProof w:val="0"/>
                <w:w w:val="102"/>
                <w:sz w:val="20"/>
                <w:lang w:val="pt-BR"/>
              </w:rPr>
              <w:t>prévia.</w:t>
            </w:r>
          </w:p>
          <w:p w14:paraId="13C62D6F" w14:textId="411AE033" w:rsidR="000F3047" w:rsidRPr="0008308D" w:rsidRDefault="000F3047" w:rsidP="004423D9">
            <w:pPr>
              <w:suppressAutoHyphens/>
              <w:spacing w:after="120"/>
              <w:jc w:val="both"/>
              <w:rPr>
                <w:rFonts w:asciiTheme="minorHAnsi" w:hAnsiTheme="minorHAnsi" w:cstheme="minorHAnsi"/>
                <w:sz w:val="20"/>
                <w:szCs w:val="20"/>
                <w:lang w:val="pt-BR"/>
              </w:rPr>
            </w:pPr>
          </w:p>
        </w:tc>
        <w:tc>
          <w:tcPr>
            <w:tcW w:w="4410" w:type="dxa"/>
          </w:tcPr>
          <w:p w14:paraId="34C9A7E8" w14:textId="77777777" w:rsidR="000F3047" w:rsidRPr="00093220" w:rsidRDefault="000F3047" w:rsidP="00D662E0">
            <w:pPr>
              <w:rPr>
                <w:lang w:val="pt-BR"/>
              </w:rPr>
            </w:pPr>
          </w:p>
        </w:tc>
      </w:tr>
      <w:tr w:rsidR="004A2C65" w:rsidRPr="00C74E29" w14:paraId="0193B1A2" w14:textId="77777777" w:rsidTr="00C74E29">
        <w:trPr>
          <w:jc w:val="center"/>
        </w:trPr>
        <w:tc>
          <w:tcPr>
            <w:tcW w:w="2784" w:type="dxa"/>
            <w:vAlign w:val="center"/>
          </w:tcPr>
          <w:p w14:paraId="38B5A67C" w14:textId="77777777" w:rsidR="00F86383" w:rsidRPr="000E2702" w:rsidRDefault="00F86383" w:rsidP="00F86383">
            <w:pPr>
              <w:pStyle w:val="Heading2"/>
              <w:jc w:val="center"/>
              <w:outlineLvl w:val="1"/>
              <w:rPr>
                <w:rFonts w:asciiTheme="minorHAnsi" w:hAnsiTheme="minorHAnsi"/>
                <w:w w:val="102"/>
                <w:sz w:val="20"/>
                <w:lang w:val="pt-BR"/>
              </w:rPr>
            </w:pPr>
            <w:bookmarkStart w:id="28" w:name="_Toc143082011"/>
            <w:bookmarkStart w:id="29" w:name="_Toc360111384"/>
            <w:r w:rsidRPr="000E2702">
              <w:rPr>
                <w:rFonts w:asciiTheme="minorHAnsi" w:hAnsiTheme="minorHAnsi"/>
                <w:w w:val="102"/>
                <w:sz w:val="20"/>
                <w:lang w:val="pt-BR"/>
              </w:rPr>
              <w:t>Revisão “</w:t>
            </w:r>
            <w:proofErr w:type="spellStart"/>
            <w:r w:rsidRPr="000E2702">
              <w:rPr>
                <w:rFonts w:asciiTheme="minorHAnsi" w:hAnsiTheme="minorHAnsi"/>
                <w:w w:val="102"/>
                <w:sz w:val="20"/>
                <w:lang w:val="pt-BR"/>
              </w:rPr>
              <w:t>Ex-ante</w:t>
            </w:r>
            <w:proofErr w:type="spellEnd"/>
            <w:r w:rsidRPr="000E2702">
              <w:rPr>
                <w:rFonts w:asciiTheme="minorHAnsi" w:hAnsiTheme="minorHAnsi"/>
                <w:w w:val="102"/>
                <w:sz w:val="20"/>
                <w:lang w:val="pt-BR"/>
              </w:rPr>
              <w:t>”</w:t>
            </w:r>
            <w:bookmarkEnd w:id="28"/>
            <w:bookmarkEnd w:id="29"/>
          </w:p>
          <w:p w14:paraId="229A7C01" w14:textId="694FE29E" w:rsidR="000F3047" w:rsidRPr="000E2702" w:rsidRDefault="000F3047" w:rsidP="006642FD">
            <w:pPr>
              <w:jc w:val="center"/>
              <w:rPr>
                <w:b/>
                <w:sz w:val="20"/>
                <w:szCs w:val="20"/>
                <w:lang w:val="pt-BR"/>
              </w:rPr>
            </w:pPr>
          </w:p>
        </w:tc>
        <w:tc>
          <w:tcPr>
            <w:tcW w:w="1355" w:type="dxa"/>
            <w:vAlign w:val="center"/>
          </w:tcPr>
          <w:p w14:paraId="1B93EC10" w14:textId="19A1BABA" w:rsidR="000F3047" w:rsidRPr="00093220" w:rsidRDefault="0067771F"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2</w:t>
            </w:r>
          </w:p>
        </w:tc>
        <w:tc>
          <w:tcPr>
            <w:tcW w:w="4946" w:type="dxa"/>
          </w:tcPr>
          <w:p w14:paraId="4E976054" w14:textId="77777777" w:rsidR="00F86383" w:rsidRPr="0008308D" w:rsidRDefault="00F86383" w:rsidP="00F86383">
            <w:pPr>
              <w:pStyle w:val="Paragraph1"/>
              <w:numPr>
                <w:ilvl w:val="0"/>
                <w:numId w:val="0"/>
              </w:numPr>
              <w:rPr>
                <w:rFonts w:asciiTheme="minorHAnsi" w:hAnsiTheme="minorHAnsi" w:cstheme="minorHAnsi"/>
                <w:noProof w:val="0"/>
                <w:w w:val="102"/>
                <w:sz w:val="20"/>
                <w:lang w:val="pt-BR"/>
              </w:rPr>
            </w:pPr>
            <w:r w:rsidRPr="0008308D">
              <w:rPr>
                <w:rFonts w:asciiTheme="minorHAnsi" w:hAnsiTheme="minorHAnsi" w:cstheme="minorHAnsi"/>
                <w:noProof w:val="0"/>
                <w:w w:val="102"/>
                <w:sz w:val="20"/>
                <w:lang w:val="pt-BR"/>
              </w:rPr>
              <w:t>Com relação a todos os contratos que estejam sujeitos à revisão prévia pelo Banco:</w:t>
            </w:r>
          </w:p>
          <w:p w14:paraId="14D3D00C" w14:textId="560796F6" w:rsidR="00D46BC7" w:rsidRPr="0008308D" w:rsidRDefault="00F86383" w:rsidP="00F86383">
            <w:pPr>
              <w:pStyle w:val="Paragrapha"/>
              <w:numPr>
                <w:ilvl w:val="0"/>
                <w:numId w:val="21"/>
              </w:numPr>
              <w:spacing w:before="0"/>
              <w:ind w:left="505"/>
              <w:rPr>
                <w:rFonts w:asciiTheme="minorHAnsi" w:hAnsiTheme="minorHAnsi" w:cstheme="minorHAnsi"/>
                <w:sz w:val="20"/>
                <w:lang w:val="pt-BR"/>
              </w:rPr>
            </w:pPr>
            <w:r w:rsidRPr="0008308D">
              <w:rPr>
                <w:rFonts w:asciiTheme="minorHAnsi" w:hAnsiTheme="minorHAnsi" w:cstheme="minorHAnsi"/>
                <w:sz w:val="20"/>
                <w:lang w:val="pt-BR"/>
              </w:rPr>
              <w:t xml:space="preserve">Se </w:t>
            </w:r>
            <w:r w:rsidRPr="0008308D">
              <w:rPr>
                <w:rFonts w:asciiTheme="minorHAnsi" w:hAnsiTheme="minorHAnsi" w:cstheme="minorHAnsi"/>
                <w:color w:val="FF0000"/>
                <w:sz w:val="20"/>
                <w:lang w:val="pt-BR"/>
              </w:rPr>
              <w:t>após a notificação da intenção de adjudicação do contrato ou da publicação dos resultados da avaliação, conforme acordado com o Banco,</w:t>
            </w:r>
            <w:r w:rsidRPr="0008308D">
              <w:rPr>
                <w:rFonts w:asciiTheme="minorHAnsi" w:hAnsiTheme="minorHAnsi" w:cstheme="minorHAnsi"/>
                <w:sz w:val="20"/>
                <w:lang w:val="pt-BR"/>
              </w:rPr>
              <w:t xml:space="preserve"> o Mutuário receber reclamações dos consultores, uma cópia do recurso interposto por estes e uma cópia da resposta do Mutuário deverá ser enviada ao Banco para</w:t>
            </w:r>
            <w:r w:rsidRPr="0008308D">
              <w:rPr>
                <w:rFonts w:asciiTheme="minorHAnsi" w:hAnsiTheme="minorHAnsi" w:cstheme="minorHAnsi"/>
                <w:color w:val="FF0000"/>
                <w:sz w:val="20"/>
                <w:lang w:val="pt-BR"/>
              </w:rPr>
              <w:t xml:space="preserve"> “não objeção”</w:t>
            </w:r>
            <w:r w:rsidRPr="0008308D">
              <w:rPr>
                <w:rFonts w:asciiTheme="minorHAnsi" w:hAnsiTheme="minorHAnsi" w:cstheme="minorHAnsi"/>
                <w:sz w:val="20"/>
                <w:lang w:val="pt-BR"/>
              </w:rPr>
              <w:t>.</w:t>
            </w:r>
          </w:p>
        </w:tc>
        <w:tc>
          <w:tcPr>
            <w:tcW w:w="4410" w:type="dxa"/>
          </w:tcPr>
          <w:p w14:paraId="1CE1129C" w14:textId="77777777" w:rsidR="000F3047" w:rsidRPr="00093220" w:rsidRDefault="000F3047" w:rsidP="00D662E0">
            <w:pPr>
              <w:rPr>
                <w:lang w:val="pt-BR"/>
              </w:rPr>
            </w:pPr>
          </w:p>
        </w:tc>
      </w:tr>
      <w:tr w:rsidR="004A2C65" w:rsidRPr="00C74E29" w14:paraId="06104825" w14:textId="77777777" w:rsidTr="00C74E29">
        <w:trPr>
          <w:jc w:val="center"/>
        </w:trPr>
        <w:tc>
          <w:tcPr>
            <w:tcW w:w="2784" w:type="dxa"/>
            <w:vAlign w:val="center"/>
          </w:tcPr>
          <w:p w14:paraId="39EE5235" w14:textId="77777777" w:rsidR="003103AC" w:rsidRPr="000E2702" w:rsidRDefault="003103AC" w:rsidP="003103AC">
            <w:pPr>
              <w:pStyle w:val="Heading1"/>
              <w:keepNext w:val="0"/>
              <w:widowControl w:val="0"/>
              <w:spacing w:before="0" w:after="100"/>
              <w:jc w:val="center"/>
              <w:outlineLvl w:val="0"/>
              <w:rPr>
                <w:rFonts w:ascii="Calibri" w:eastAsiaTheme="minorEastAsia" w:hAnsi="Calibri" w:cs="Calibri"/>
                <w:b/>
                <w:color w:val="auto"/>
                <w:sz w:val="20"/>
                <w:szCs w:val="20"/>
                <w:lang w:val="pt-BR"/>
              </w:rPr>
            </w:pPr>
            <w:bookmarkStart w:id="30" w:name="_Toc143082016"/>
            <w:bookmarkStart w:id="31" w:name="_Toc360111389"/>
            <w:r w:rsidRPr="000E2702">
              <w:rPr>
                <w:rFonts w:ascii="Calibri" w:eastAsiaTheme="minorEastAsia" w:hAnsi="Calibri" w:cs="Calibri"/>
                <w:b/>
                <w:color w:val="auto"/>
                <w:sz w:val="20"/>
                <w:szCs w:val="20"/>
                <w:lang w:val="pt-BR"/>
              </w:rPr>
              <w:t>Apêndice 3</w:t>
            </w:r>
            <w:bookmarkEnd w:id="30"/>
            <w:r w:rsidRPr="000E2702">
              <w:rPr>
                <w:rFonts w:ascii="Calibri" w:eastAsiaTheme="minorEastAsia" w:hAnsi="Calibri" w:cs="Calibri"/>
                <w:b/>
                <w:color w:val="auto"/>
                <w:sz w:val="20"/>
                <w:szCs w:val="20"/>
                <w:lang w:val="pt-BR"/>
              </w:rPr>
              <w:t>:</w:t>
            </w:r>
            <w:bookmarkStart w:id="32" w:name="_Toc143082017"/>
            <w:r w:rsidRPr="000E2702">
              <w:rPr>
                <w:rFonts w:ascii="Calibri" w:eastAsiaTheme="minorEastAsia" w:hAnsi="Calibri" w:cs="Calibri"/>
                <w:b/>
                <w:color w:val="auto"/>
                <w:sz w:val="20"/>
                <w:szCs w:val="20"/>
                <w:lang w:val="pt-BR"/>
              </w:rPr>
              <w:t xml:space="preserve"> Orientação aos Consultores</w:t>
            </w:r>
            <w:bookmarkEnd w:id="31"/>
            <w:bookmarkEnd w:id="32"/>
          </w:p>
          <w:p w14:paraId="71AE7510" w14:textId="77777777" w:rsidR="003F6CB9" w:rsidRPr="000E2702" w:rsidRDefault="003F6CB9" w:rsidP="003F6CB9">
            <w:pPr>
              <w:jc w:val="center"/>
              <w:rPr>
                <w:b/>
                <w:sz w:val="20"/>
                <w:szCs w:val="20"/>
                <w:lang w:val="pt-BR"/>
              </w:rPr>
            </w:pPr>
          </w:p>
          <w:p w14:paraId="1A1247DB" w14:textId="3F939824" w:rsidR="000F3047" w:rsidRPr="000E2702" w:rsidRDefault="003F6CB9" w:rsidP="003F6CB9">
            <w:pPr>
              <w:jc w:val="center"/>
              <w:rPr>
                <w:b/>
                <w:sz w:val="20"/>
                <w:szCs w:val="20"/>
                <w:lang w:val="pt-BR"/>
              </w:rPr>
            </w:pPr>
            <w:r w:rsidRPr="000E2702">
              <w:rPr>
                <w:b/>
                <w:sz w:val="20"/>
                <w:szCs w:val="20"/>
                <w:lang w:val="pt-BR"/>
              </w:rPr>
              <w:t>Propósito</w:t>
            </w:r>
          </w:p>
        </w:tc>
        <w:tc>
          <w:tcPr>
            <w:tcW w:w="1355" w:type="dxa"/>
            <w:vAlign w:val="center"/>
          </w:tcPr>
          <w:p w14:paraId="4A5B5248" w14:textId="4CCDE930" w:rsidR="000F3047" w:rsidRPr="00093220" w:rsidRDefault="003F6CB9"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1</w:t>
            </w:r>
          </w:p>
        </w:tc>
        <w:tc>
          <w:tcPr>
            <w:tcW w:w="4946" w:type="dxa"/>
          </w:tcPr>
          <w:p w14:paraId="2C708291" w14:textId="6F8809DA" w:rsidR="000F3047" w:rsidRPr="0008308D" w:rsidRDefault="003103AC" w:rsidP="003103AC">
            <w:pPr>
              <w:pStyle w:val="Paragraph1"/>
              <w:numPr>
                <w:ilvl w:val="0"/>
                <w:numId w:val="0"/>
              </w:numPr>
              <w:rPr>
                <w:rFonts w:asciiTheme="minorHAnsi" w:hAnsiTheme="minorHAnsi" w:cstheme="minorHAnsi"/>
                <w:noProof w:val="0"/>
                <w:w w:val="102"/>
                <w:sz w:val="20"/>
                <w:lang w:val="pt-BR"/>
              </w:rPr>
            </w:pPr>
            <w:r w:rsidRPr="0008308D">
              <w:rPr>
                <w:rFonts w:asciiTheme="minorHAnsi" w:hAnsiTheme="minorHAnsi" w:cstheme="minorHAnsi"/>
                <w:noProof w:val="0"/>
                <w:w w:val="102"/>
                <w:sz w:val="20"/>
                <w:lang w:val="pt-BR"/>
              </w:rPr>
              <w:t xml:space="preserve">Este apêndice contém orientação aos consultores interessados em fornecer serviços profissionais e de consultoria financiados pelo Banco ou com recursos dos fundos por ele administrados.  </w:t>
            </w:r>
            <w:r w:rsidRPr="0008308D">
              <w:rPr>
                <w:rFonts w:asciiTheme="minorHAnsi" w:hAnsiTheme="minorHAnsi" w:cstheme="minorHAnsi"/>
                <w:color w:val="FF0000"/>
                <w:sz w:val="20"/>
                <w:lang w:val="pt-BR"/>
              </w:rPr>
              <w:t xml:space="preserve">Quando o Contrato de Empréstimo incluir disposições relativas a um prazo </w:t>
            </w:r>
            <w:r w:rsidRPr="0008308D">
              <w:rPr>
                <w:rFonts w:asciiTheme="minorHAnsi" w:hAnsiTheme="minorHAnsi" w:cstheme="minorHAnsi"/>
                <w:color w:val="FF0000"/>
                <w:sz w:val="20"/>
                <w:lang w:val="pt-BR"/>
              </w:rPr>
              <w:lastRenderedPageBreak/>
              <w:t>suspensivo</w:t>
            </w:r>
            <w:r w:rsidRPr="0008308D">
              <w:rPr>
                <w:rStyle w:val="FootnoteReference"/>
                <w:rFonts w:asciiTheme="minorHAnsi" w:hAnsiTheme="minorHAnsi" w:cstheme="minorHAnsi"/>
                <w:color w:val="FF0000"/>
                <w:sz w:val="20"/>
                <w:lang w:val="pt-BR"/>
              </w:rPr>
              <w:footnoteReference w:id="6"/>
            </w:r>
            <w:r w:rsidRPr="0008308D">
              <w:rPr>
                <w:rFonts w:asciiTheme="minorHAnsi" w:hAnsiTheme="minorHAnsi" w:cstheme="minorHAnsi"/>
                <w:color w:val="FF0000"/>
                <w:sz w:val="20"/>
                <w:lang w:val="pt-BR"/>
              </w:rPr>
              <w:t xml:space="preserve"> que permita reclamações antes da notificação de adjudicação, as funções do Banco, do Licitante e do Mutuário para análise e tratamento de reclamações serão definidas no Contrato de Empréstimo ou nos procedimentos de aquisição acordados entre o Banco e o Mutuário.</w:t>
            </w:r>
          </w:p>
        </w:tc>
        <w:tc>
          <w:tcPr>
            <w:tcW w:w="4410" w:type="dxa"/>
          </w:tcPr>
          <w:p w14:paraId="734DADC5" w14:textId="77777777" w:rsidR="000F3047" w:rsidRPr="00093220" w:rsidRDefault="000F3047" w:rsidP="00D662E0">
            <w:pPr>
              <w:rPr>
                <w:lang w:val="pt-BR"/>
              </w:rPr>
            </w:pPr>
          </w:p>
        </w:tc>
      </w:tr>
      <w:tr w:rsidR="004A2C65" w:rsidRPr="00C74E29" w14:paraId="0D004703" w14:textId="77777777" w:rsidTr="00C74E29">
        <w:trPr>
          <w:jc w:val="center"/>
        </w:trPr>
        <w:tc>
          <w:tcPr>
            <w:tcW w:w="2784" w:type="dxa"/>
            <w:vAlign w:val="center"/>
          </w:tcPr>
          <w:p w14:paraId="39AC645F" w14:textId="50EEE562" w:rsidR="000F3047" w:rsidRPr="000E2702" w:rsidRDefault="00E85AB5" w:rsidP="006642FD">
            <w:pPr>
              <w:jc w:val="center"/>
              <w:rPr>
                <w:b/>
                <w:sz w:val="20"/>
                <w:szCs w:val="20"/>
                <w:lang w:val="pt-BR"/>
              </w:rPr>
            </w:pPr>
            <w:r w:rsidRPr="000E2702">
              <w:rPr>
                <w:b/>
                <w:sz w:val="20"/>
                <w:szCs w:val="20"/>
                <w:lang w:val="pt-BR"/>
              </w:rPr>
              <w:t>Confidencialidad</w:t>
            </w:r>
            <w:r w:rsidR="003103AC" w:rsidRPr="000E2702">
              <w:rPr>
                <w:b/>
                <w:sz w:val="20"/>
                <w:szCs w:val="20"/>
                <w:lang w:val="pt-BR"/>
              </w:rPr>
              <w:t>e</w:t>
            </w:r>
          </w:p>
        </w:tc>
        <w:tc>
          <w:tcPr>
            <w:tcW w:w="1355" w:type="dxa"/>
            <w:vAlign w:val="center"/>
          </w:tcPr>
          <w:p w14:paraId="25935B71" w14:textId="5EE3114F" w:rsidR="000F3047" w:rsidRPr="00093220" w:rsidRDefault="00E85AB5"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10</w:t>
            </w:r>
          </w:p>
        </w:tc>
        <w:tc>
          <w:tcPr>
            <w:tcW w:w="4946" w:type="dxa"/>
          </w:tcPr>
          <w:p w14:paraId="2127CA1B" w14:textId="053C7D55" w:rsidR="000F3047" w:rsidRPr="0008308D" w:rsidRDefault="003103AC" w:rsidP="003103AC">
            <w:pPr>
              <w:pStyle w:val="Paragraph1"/>
              <w:numPr>
                <w:ilvl w:val="0"/>
                <w:numId w:val="0"/>
              </w:numPr>
              <w:rPr>
                <w:rFonts w:asciiTheme="minorHAnsi" w:hAnsiTheme="minorHAnsi" w:cstheme="minorHAnsi"/>
                <w:noProof w:val="0"/>
                <w:w w:val="102"/>
                <w:sz w:val="20"/>
                <w:lang w:val="pt-BR"/>
              </w:rPr>
            </w:pPr>
            <w:r w:rsidRPr="0008308D">
              <w:rPr>
                <w:rFonts w:asciiTheme="minorHAnsi" w:hAnsiTheme="minorHAnsi" w:cstheme="minorHAnsi"/>
                <w:noProof w:val="0"/>
                <w:w w:val="102"/>
                <w:sz w:val="20"/>
                <w:lang w:val="pt-BR"/>
              </w:rPr>
              <w:t xml:space="preserve">O processo de avaliação das propostas, consoante o disposto no parágrafo 2.31, será confidencial </w:t>
            </w:r>
            <w:r w:rsidRPr="0008308D">
              <w:rPr>
                <w:rFonts w:asciiTheme="minorHAnsi" w:hAnsiTheme="minorHAnsi" w:cstheme="minorHAnsi"/>
                <w:noProof w:val="0"/>
                <w:color w:val="FF0000"/>
                <w:w w:val="102"/>
                <w:sz w:val="20"/>
                <w:lang w:val="pt-BR"/>
              </w:rPr>
              <w:t>até a notificação da intenção de adjudicação ou a publicação da adjudicação do contrato, conforme seja aplicável</w:t>
            </w:r>
            <w:r w:rsidRPr="0008308D">
              <w:rPr>
                <w:rFonts w:asciiTheme="minorHAnsi" w:hAnsiTheme="minorHAnsi" w:cstheme="minorHAnsi"/>
                <w:noProof w:val="0"/>
                <w:w w:val="102"/>
                <w:sz w:val="20"/>
                <w:lang w:val="pt-BR"/>
              </w:rPr>
              <w:t>, exceto a notificação da pontuação técnica, conforme indicado nos parágrafos 2.20 e 2.27. A confidencialidade permite que o Mutuário e os revisores do Banco evitem qualquer interferência inoportuna ou a percepção da mesma. Na hipótese de, durante o processo de avaliação, os consultores desejarem apresentar informações adicionais ao Mutuário, ao Banco ou a ambos, deverão fazê-lo por escrito.</w:t>
            </w:r>
          </w:p>
        </w:tc>
        <w:tc>
          <w:tcPr>
            <w:tcW w:w="4410" w:type="dxa"/>
          </w:tcPr>
          <w:p w14:paraId="0E812F4D" w14:textId="77777777" w:rsidR="000F3047" w:rsidRPr="00093220" w:rsidRDefault="000F3047" w:rsidP="00D662E0">
            <w:pPr>
              <w:rPr>
                <w:lang w:val="pt-BR"/>
              </w:rPr>
            </w:pPr>
          </w:p>
        </w:tc>
      </w:tr>
      <w:tr w:rsidR="004A2C65" w:rsidRPr="00C74E29" w14:paraId="608FF542" w14:textId="77777777" w:rsidTr="00C74E29">
        <w:trPr>
          <w:jc w:val="center"/>
        </w:trPr>
        <w:tc>
          <w:tcPr>
            <w:tcW w:w="2784" w:type="dxa"/>
            <w:vAlign w:val="center"/>
          </w:tcPr>
          <w:p w14:paraId="313C873B" w14:textId="77777777" w:rsidR="003103AC" w:rsidRPr="000E2702" w:rsidRDefault="003103AC" w:rsidP="003103AC">
            <w:pPr>
              <w:pStyle w:val="Heading2"/>
              <w:jc w:val="center"/>
              <w:outlineLvl w:val="1"/>
              <w:rPr>
                <w:rFonts w:asciiTheme="minorHAnsi" w:hAnsiTheme="minorHAnsi"/>
                <w:w w:val="102"/>
                <w:sz w:val="20"/>
                <w:lang w:val="pt-BR"/>
              </w:rPr>
            </w:pPr>
            <w:bookmarkStart w:id="33" w:name="_Toc143082025"/>
            <w:bookmarkStart w:id="34" w:name="_Toc360111397"/>
            <w:r w:rsidRPr="000E2702">
              <w:rPr>
                <w:rFonts w:asciiTheme="minorHAnsi" w:hAnsiTheme="minorHAnsi"/>
                <w:w w:val="102"/>
                <w:sz w:val="20"/>
                <w:lang w:val="pt-BR"/>
              </w:rPr>
              <w:lastRenderedPageBreak/>
              <w:t>Esclarecimentos</w:t>
            </w:r>
            <w:bookmarkEnd w:id="33"/>
            <w:bookmarkEnd w:id="34"/>
            <w:r w:rsidRPr="000E2702">
              <w:rPr>
                <w:rFonts w:asciiTheme="minorHAnsi" w:hAnsiTheme="minorHAnsi"/>
                <w:w w:val="102"/>
                <w:sz w:val="20"/>
                <w:lang w:val="pt-BR"/>
              </w:rPr>
              <w:t xml:space="preserve"> </w:t>
            </w:r>
            <w:r w:rsidRPr="000E2702">
              <w:rPr>
                <w:rFonts w:asciiTheme="minorHAnsi" w:hAnsiTheme="minorHAnsi"/>
                <w:color w:val="FF0000"/>
                <w:w w:val="102"/>
                <w:sz w:val="20"/>
                <w:lang w:val="pt-BR"/>
              </w:rPr>
              <w:t>realizados pelo Banco</w:t>
            </w:r>
          </w:p>
          <w:p w14:paraId="5EB0EDBE" w14:textId="41DC0870" w:rsidR="000F3047" w:rsidRPr="000E2702" w:rsidRDefault="000F3047" w:rsidP="006642FD">
            <w:pPr>
              <w:jc w:val="center"/>
              <w:rPr>
                <w:b/>
                <w:sz w:val="20"/>
                <w:szCs w:val="20"/>
                <w:lang w:val="es-419"/>
              </w:rPr>
            </w:pPr>
          </w:p>
        </w:tc>
        <w:tc>
          <w:tcPr>
            <w:tcW w:w="1355" w:type="dxa"/>
            <w:vAlign w:val="center"/>
          </w:tcPr>
          <w:p w14:paraId="449D7FF1" w14:textId="70588446" w:rsidR="000F3047" w:rsidRPr="00093220" w:rsidRDefault="000049A4" w:rsidP="001F5638">
            <w:pPr>
              <w:jc w:val="center"/>
              <w:rPr>
                <w:rFonts w:ascii="Arial" w:eastAsia="Times New Roman" w:hAnsi="Arial" w:cs="Arial"/>
                <w:bCs/>
                <w:sz w:val="18"/>
                <w:szCs w:val="18"/>
                <w:lang w:val="pt-BR"/>
              </w:rPr>
            </w:pPr>
            <w:r w:rsidRPr="00093220">
              <w:rPr>
                <w:rFonts w:ascii="Arial" w:eastAsia="Times New Roman" w:hAnsi="Arial" w:cs="Arial"/>
                <w:bCs/>
                <w:sz w:val="18"/>
                <w:szCs w:val="18"/>
                <w:lang w:val="pt-BR"/>
              </w:rPr>
              <w:t>15</w:t>
            </w:r>
          </w:p>
        </w:tc>
        <w:tc>
          <w:tcPr>
            <w:tcW w:w="4946" w:type="dxa"/>
          </w:tcPr>
          <w:p w14:paraId="69422C4C" w14:textId="2864C45C" w:rsidR="000F3047" w:rsidRPr="0008308D" w:rsidRDefault="003103AC" w:rsidP="003103AC">
            <w:pPr>
              <w:pStyle w:val="Paragraph1"/>
              <w:numPr>
                <w:ilvl w:val="0"/>
                <w:numId w:val="0"/>
              </w:numPr>
              <w:rPr>
                <w:rFonts w:asciiTheme="minorHAnsi" w:hAnsiTheme="minorHAnsi" w:cstheme="minorHAnsi"/>
                <w:noProof w:val="0"/>
                <w:w w:val="102"/>
                <w:sz w:val="20"/>
                <w:lang w:val="pt-BR"/>
              </w:rPr>
            </w:pPr>
            <w:r w:rsidRPr="0008308D">
              <w:rPr>
                <w:rFonts w:asciiTheme="minorHAnsi" w:hAnsiTheme="minorHAnsi" w:cstheme="minorHAnsi"/>
                <w:noProof w:val="0"/>
                <w:w w:val="102"/>
                <w:sz w:val="20"/>
                <w:lang w:val="pt-BR"/>
              </w:rPr>
              <w:t xml:space="preserve">Na hipótese de, após a </w:t>
            </w:r>
            <w:r w:rsidRPr="0008308D">
              <w:rPr>
                <w:rFonts w:asciiTheme="minorHAnsi" w:hAnsiTheme="minorHAnsi" w:cstheme="minorHAnsi"/>
                <w:noProof w:val="0"/>
                <w:color w:val="FF0000"/>
                <w:w w:val="102"/>
                <w:sz w:val="20"/>
                <w:lang w:val="pt-BR"/>
              </w:rPr>
              <w:t xml:space="preserve">notificação da intenção de adjudicação ou da publicação da </w:t>
            </w:r>
            <w:r w:rsidRPr="0008308D">
              <w:rPr>
                <w:rFonts w:asciiTheme="minorHAnsi" w:hAnsiTheme="minorHAnsi" w:cstheme="minorHAnsi"/>
                <w:noProof w:val="0"/>
                <w:w w:val="102"/>
                <w:sz w:val="20"/>
                <w:lang w:val="pt-BR"/>
              </w:rPr>
              <w:t>adjudicação do contrato</w:t>
            </w:r>
            <w:r w:rsidRPr="0008308D">
              <w:rPr>
                <w:rFonts w:asciiTheme="minorHAnsi" w:hAnsiTheme="minorHAnsi" w:cstheme="minorHAnsi"/>
                <w:noProof w:val="0"/>
                <w:color w:val="FF0000"/>
                <w:w w:val="102"/>
                <w:sz w:val="20"/>
                <w:lang w:val="pt-BR"/>
              </w:rPr>
              <w:t>, conforme seja aplicável</w:t>
            </w:r>
            <w:r w:rsidRPr="0008308D">
              <w:rPr>
                <w:rFonts w:asciiTheme="minorHAnsi" w:hAnsiTheme="minorHAnsi" w:cstheme="minorHAnsi"/>
                <w:noProof w:val="0"/>
                <w:w w:val="102"/>
                <w:sz w:val="20"/>
                <w:lang w:val="pt-BR"/>
              </w:rPr>
              <w:t>, o consultor desejar obter esclarecimentos a respeito das razões da não aceitação de sua proposta, deverá endereçar solicitação ao Mutuário, conforme o disposto no parágrafo 2.29. Insatisfeito com a resposta e desejando reunir-se com o Banco, o consultor poderá enviar comunicação escrita ao Representante do Banco no país do Mutuário com uma cópia para a Divisão de Aquisições de Projetos na sede do Banco em Washington, D.C. O Representante do Banco no país do Mutuário providenciará uma reunião no nível apropriado e com o pessoal competente. É vedado, na referida reunião, discutir-se a proposta dos demais competidores, restringindo-se a discussão apenas à proposta do consultor.</w:t>
            </w:r>
          </w:p>
        </w:tc>
        <w:tc>
          <w:tcPr>
            <w:tcW w:w="4410" w:type="dxa"/>
          </w:tcPr>
          <w:p w14:paraId="2AAA4118" w14:textId="77777777" w:rsidR="000F3047" w:rsidRPr="00093220" w:rsidRDefault="000F3047" w:rsidP="00D662E0">
            <w:pPr>
              <w:rPr>
                <w:lang w:val="pt-BR"/>
              </w:rPr>
            </w:pPr>
          </w:p>
        </w:tc>
      </w:tr>
    </w:tbl>
    <w:p w14:paraId="1978A3BA" w14:textId="77777777" w:rsidR="00EA16A1" w:rsidRPr="00093220" w:rsidRDefault="00EA16A1" w:rsidP="006D2939">
      <w:pPr>
        <w:ind w:left="180"/>
        <w:rPr>
          <w:lang w:val="pt-BR"/>
        </w:rPr>
      </w:pPr>
      <w:bookmarkStart w:id="35" w:name="_GoBack"/>
      <w:bookmarkEnd w:id="35"/>
    </w:p>
    <w:sectPr w:rsidR="00EA16A1" w:rsidRPr="00093220" w:rsidSect="00D411D9">
      <w:headerReference w:type="first" r:id="rId13"/>
      <w:pgSz w:w="15840" w:h="12240" w:orient="landscape"/>
      <w:pgMar w:top="1440" w:right="360" w:bottom="900" w:left="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3E7D8" w14:textId="77777777" w:rsidR="00A17F07" w:rsidRDefault="00A17F07" w:rsidP="006D2939">
      <w:r>
        <w:separator/>
      </w:r>
    </w:p>
  </w:endnote>
  <w:endnote w:type="continuationSeparator" w:id="0">
    <w:p w14:paraId="484CF3BC" w14:textId="77777777" w:rsidR="00A17F07" w:rsidRDefault="00A17F07" w:rsidP="006D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E75EC" w14:textId="77777777" w:rsidR="00A17F07" w:rsidRDefault="00A17F07" w:rsidP="006D2939">
      <w:r>
        <w:separator/>
      </w:r>
    </w:p>
  </w:footnote>
  <w:footnote w:type="continuationSeparator" w:id="0">
    <w:p w14:paraId="05D27E75" w14:textId="77777777" w:rsidR="00A17F07" w:rsidRDefault="00A17F07" w:rsidP="006D2939">
      <w:r>
        <w:continuationSeparator/>
      </w:r>
    </w:p>
  </w:footnote>
  <w:footnote w:id="1">
    <w:p w14:paraId="348146A8" w14:textId="77777777" w:rsidR="00EB7DD7" w:rsidRPr="00447E3C" w:rsidRDefault="00EB7DD7" w:rsidP="00EB7DD7">
      <w:pPr>
        <w:pStyle w:val="FootnoteText"/>
        <w:rPr>
          <w:lang w:val="pt-BR"/>
        </w:rPr>
      </w:pPr>
      <w:r w:rsidRPr="00447E3C">
        <w:rPr>
          <w:rStyle w:val="FootnoteReference"/>
          <w:color w:val="FF0000"/>
        </w:rPr>
        <w:footnoteRef/>
      </w:r>
      <w:r w:rsidRPr="00447E3C">
        <w:rPr>
          <w:color w:val="FF0000"/>
          <w:lang w:val="pt-BR"/>
        </w:rPr>
        <w:t xml:space="preserve"> Normalmente, o Banco aplica a Metodologia para Sistemas de Compras de Avaliação (MAPS), desenvolvida pelas </w:t>
      </w:r>
      <w:proofErr w:type="spellStart"/>
      <w:r w:rsidRPr="00447E3C">
        <w:rPr>
          <w:color w:val="FF0000"/>
          <w:lang w:val="pt-BR"/>
        </w:rPr>
        <w:t>IFIs</w:t>
      </w:r>
      <w:proofErr w:type="spellEnd"/>
      <w:r w:rsidRPr="00447E3C">
        <w:rPr>
          <w:color w:val="FF0000"/>
          <w:lang w:val="pt-BR"/>
        </w:rPr>
        <w:t xml:space="preserve"> e pela OCDE.</w:t>
      </w:r>
    </w:p>
  </w:footnote>
  <w:footnote w:id="2">
    <w:p w14:paraId="6BA82695" w14:textId="77777777" w:rsidR="00A4325F" w:rsidRPr="00C74E29" w:rsidRDefault="00A4325F" w:rsidP="00A4325F">
      <w:pPr>
        <w:pStyle w:val="FootnoteText"/>
        <w:spacing w:after="0"/>
        <w:rPr>
          <w:rFonts w:asciiTheme="minorHAnsi" w:hAnsiTheme="minorHAnsi"/>
          <w:sz w:val="18"/>
          <w:szCs w:val="18"/>
          <w:lang w:val="pt-BR"/>
        </w:rPr>
      </w:pPr>
      <w:r w:rsidRPr="00FE6D1C">
        <w:rPr>
          <w:rStyle w:val="FootnoteReference"/>
          <w:rFonts w:asciiTheme="minorHAnsi" w:hAnsiTheme="minorHAnsi"/>
          <w:sz w:val="18"/>
          <w:szCs w:val="18"/>
          <w:lang w:val="pt-BR"/>
        </w:rPr>
        <w:footnoteRef/>
      </w:r>
      <w:r w:rsidRPr="00C74E29">
        <w:rPr>
          <w:rFonts w:asciiTheme="minorHAnsi" w:hAnsiTheme="minorHAnsi"/>
          <w:sz w:val="18"/>
          <w:szCs w:val="18"/>
          <w:lang w:val="pt-BR"/>
        </w:rPr>
        <w:t xml:space="preserve"> </w:t>
      </w:r>
      <w:r w:rsidRPr="00C74E29">
        <w:rPr>
          <w:rFonts w:asciiTheme="minorHAnsi" w:hAnsiTheme="minorHAnsi"/>
          <w:sz w:val="18"/>
          <w:szCs w:val="18"/>
          <w:lang w:val="pt-BR"/>
        </w:rPr>
        <w:tab/>
      </w:r>
      <w:r w:rsidRPr="00C74E29">
        <w:rPr>
          <w:rFonts w:asciiTheme="minorHAnsi" w:hAnsiTheme="minorHAnsi"/>
          <w:spacing w:val="-2"/>
          <w:sz w:val="18"/>
          <w:szCs w:val="18"/>
          <w:lang w:val="pt-BR"/>
        </w:rPr>
        <w:t>Ver parágrafo 1.23.</w:t>
      </w:r>
    </w:p>
  </w:footnote>
  <w:footnote w:id="3">
    <w:p w14:paraId="09B1DB3D" w14:textId="77777777" w:rsidR="00A4325F" w:rsidRPr="00FE6D1C" w:rsidRDefault="00A4325F" w:rsidP="00A4325F">
      <w:pPr>
        <w:pStyle w:val="FootnoteText"/>
        <w:spacing w:after="0"/>
        <w:ind w:left="360" w:hanging="360"/>
        <w:rPr>
          <w:rFonts w:asciiTheme="minorHAnsi" w:hAnsiTheme="minorHAnsi"/>
          <w:sz w:val="18"/>
          <w:szCs w:val="18"/>
          <w:lang w:val="pt-BR"/>
        </w:rPr>
      </w:pPr>
      <w:r w:rsidRPr="00FE6D1C">
        <w:rPr>
          <w:rStyle w:val="FootnoteReference"/>
          <w:rFonts w:asciiTheme="minorHAnsi" w:hAnsiTheme="minorHAnsi"/>
          <w:sz w:val="18"/>
          <w:szCs w:val="18"/>
        </w:rPr>
        <w:footnoteRef/>
      </w:r>
      <w:r w:rsidRPr="00FE6D1C">
        <w:rPr>
          <w:rFonts w:asciiTheme="minorHAnsi" w:hAnsiTheme="minorHAnsi"/>
          <w:sz w:val="18"/>
          <w:szCs w:val="18"/>
          <w:lang w:val="pt-BR"/>
        </w:rPr>
        <w:t xml:space="preserve"> </w:t>
      </w:r>
      <w:r w:rsidRPr="00FE6D1C">
        <w:rPr>
          <w:rFonts w:asciiTheme="minorHAnsi" w:hAnsiTheme="minorHAnsi"/>
          <w:sz w:val="18"/>
          <w:szCs w:val="18"/>
          <w:lang w:val="pt-BR"/>
        </w:rPr>
        <w:tab/>
      </w:r>
      <w:r w:rsidRPr="00FE6D1C">
        <w:rPr>
          <w:rFonts w:asciiTheme="minorHAnsi" w:hAnsiTheme="minorHAnsi"/>
          <w:spacing w:val="-2"/>
          <w:sz w:val="18"/>
          <w:szCs w:val="18"/>
          <w:lang w:val="pt-BR"/>
        </w:rPr>
        <w:t xml:space="preserve">Por exemplo, tal compromisso pode ser redigido conforme se segue: “Comprometemo-nos, no decorrer do processo licitatório do contrato supra (e durante a execução do contrato caso ele nos seja adjudicado), a observar estritamente a legislação contra fraude e corrupção em vigor no país do Mutuário, referida pelo Mutuário no SDP relativo a este contrato e, sem prejuízo dos procedimentos do Banco para lidar com casos de </w:t>
      </w:r>
      <w:r>
        <w:rPr>
          <w:rFonts w:asciiTheme="minorHAnsi" w:hAnsiTheme="minorHAnsi"/>
          <w:color w:val="FF0000"/>
          <w:spacing w:val="-2"/>
          <w:sz w:val="18"/>
          <w:szCs w:val="18"/>
          <w:lang w:val="pt-BR"/>
        </w:rPr>
        <w:t>práticas proibidas</w:t>
      </w:r>
      <w:r w:rsidRPr="00FE6D1C">
        <w:rPr>
          <w:rFonts w:asciiTheme="minorHAnsi" w:hAnsiTheme="minorHAnsi"/>
          <w:spacing w:val="-2"/>
          <w:sz w:val="18"/>
          <w:szCs w:val="18"/>
          <w:lang w:val="pt-BR"/>
        </w:rPr>
        <w:t>, cumprir as normas administrativas estabelecidas por [autoridade local] para receber e resolver todas as queixas relativas aos procedimentos de licitação”.</w:t>
      </w:r>
    </w:p>
  </w:footnote>
  <w:footnote w:id="4">
    <w:p w14:paraId="3557A7FF" w14:textId="77777777" w:rsidR="00BD03EC" w:rsidRPr="00D42743" w:rsidRDefault="00BD03EC" w:rsidP="00BD03EC">
      <w:pPr>
        <w:pStyle w:val="FootnoteText"/>
        <w:rPr>
          <w:lang w:val="pt-BR"/>
        </w:rPr>
      </w:pPr>
      <w:r w:rsidRPr="009246CF">
        <w:rPr>
          <w:rStyle w:val="FootnoteReference"/>
          <w:color w:val="FF0000"/>
        </w:rPr>
        <w:footnoteRef/>
      </w:r>
      <w:r w:rsidRPr="009246CF">
        <w:rPr>
          <w:color w:val="FF0000"/>
          <w:lang w:val="pt-BR"/>
        </w:rPr>
        <w:t xml:space="preserve"> Notificação de intenção de adjudicação (NIA) é uma notificação por escrito transmitida a cada concorrente que apresentou uma proposta, informando</w:t>
      </w:r>
      <w:r>
        <w:rPr>
          <w:color w:val="FF0000"/>
          <w:lang w:val="pt-BR"/>
        </w:rPr>
        <w:t xml:space="preserve"> </w:t>
      </w:r>
      <w:r w:rsidRPr="009246CF">
        <w:rPr>
          <w:color w:val="FF0000"/>
          <w:lang w:val="pt-BR"/>
        </w:rPr>
        <w:t>da intenção de adjudicar o contrato ao licitante vencedor.</w:t>
      </w:r>
    </w:p>
  </w:footnote>
  <w:footnote w:id="5">
    <w:p w14:paraId="45FF8B26" w14:textId="77777777" w:rsidR="0014286D" w:rsidRPr="00FE6D1C" w:rsidRDefault="0014286D" w:rsidP="0014286D">
      <w:pPr>
        <w:pStyle w:val="FootnoteText"/>
        <w:spacing w:after="0"/>
        <w:rPr>
          <w:rFonts w:asciiTheme="minorHAnsi" w:hAnsiTheme="minorHAnsi"/>
          <w:sz w:val="18"/>
          <w:szCs w:val="18"/>
          <w:lang w:val="pt-BR"/>
        </w:rPr>
      </w:pPr>
      <w:r w:rsidRPr="00FE6D1C">
        <w:rPr>
          <w:rStyle w:val="FootnoteReference"/>
          <w:rFonts w:asciiTheme="minorHAnsi" w:hAnsiTheme="minorHAnsi"/>
          <w:sz w:val="18"/>
          <w:szCs w:val="18"/>
          <w:lang w:val="pt-BR"/>
        </w:rPr>
        <w:footnoteRef/>
      </w:r>
      <w:r w:rsidRPr="00FE6D1C">
        <w:rPr>
          <w:rFonts w:asciiTheme="minorHAnsi" w:hAnsiTheme="minorHAnsi"/>
          <w:sz w:val="18"/>
          <w:szCs w:val="18"/>
          <w:lang w:val="pt-BR"/>
        </w:rPr>
        <w:t xml:space="preserve"> </w:t>
      </w:r>
      <w:r w:rsidRPr="00FE6D1C">
        <w:rPr>
          <w:rFonts w:asciiTheme="minorHAnsi" w:hAnsiTheme="minorHAnsi"/>
          <w:sz w:val="18"/>
          <w:szCs w:val="18"/>
          <w:lang w:val="pt-BR"/>
        </w:rPr>
        <w:tab/>
      </w:r>
      <w:r w:rsidRPr="00FE6D1C">
        <w:rPr>
          <w:rFonts w:asciiTheme="minorHAnsi" w:hAnsiTheme="minorHAnsi"/>
          <w:spacing w:val="-2"/>
          <w:sz w:val="18"/>
          <w:szCs w:val="18"/>
          <w:lang w:val="pt-BR"/>
        </w:rPr>
        <w:t>Os limites em dólares para a caracterização de “muito pequenos” serão determinados em cada caso, levando-se em conta a natureza e a complexidade do serviço, mas em nenhum caso ultrapassarão US$ 100.000.</w:t>
      </w:r>
    </w:p>
  </w:footnote>
  <w:footnote w:id="6">
    <w:p w14:paraId="52D3775E" w14:textId="77777777" w:rsidR="003103AC" w:rsidRPr="00C572B5" w:rsidRDefault="003103AC" w:rsidP="003103AC">
      <w:pPr>
        <w:pStyle w:val="FootnoteText"/>
        <w:rPr>
          <w:lang w:val="pt-BR"/>
        </w:rPr>
      </w:pPr>
      <w:r w:rsidRPr="00C572B5">
        <w:rPr>
          <w:rStyle w:val="FootnoteReference"/>
          <w:color w:val="FF0000"/>
        </w:rPr>
        <w:footnoteRef/>
      </w:r>
      <w:r w:rsidRPr="00C572B5">
        <w:rPr>
          <w:color w:val="FF0000"/>
          <w:lang w:val="pt-BR"/>
        </w:rPr>
        <w:t xml:space="preserve"> Após a decisão de adjudicar o contrato, o Mutuário deverá prontamente e simultaneamente fornecer notificação por escrito da intenção do Mutuário de adjudicar o contrato ao licitante vencedor (a Notificação de Intenção de </w:t>
      </w:r>
      <w:r>
        <w:rPr>
          <w:color w:val="FF0000"/>
          <w:lang w:val="pt-BR"/>
        </w:rPr>
        <w:t>Adjudicação</w:t>
      </w:r>
      <w:r w:rsidRPr="00C572B5">
        <w:rPr>
          <w:color w:val="FF0000"/>
          <w:lang w:val="pt-BR"/>
        </w:rPr>
        <w:t xml:space="preserve">) a todos os licitantes. Esta notificação inicia o </w:t>
      </w:r>
      <w:r>
        <w:rPr>
          <w:color w:val="FF0000"/>
          <w:lang w:val="pt-BR"/>
        </w:rPr>
        <w:t>prazo suspensivo</w:t>
      </w:r>
      <w:r w:rsidRPr="00C572B5">
        <w:rPr>
          <w:color w:val="FF0000"/>
          <w:lang w:val="pt-BR"/>
        </w:rPr>
        <w:t xml:space="preserve">. O Mutuário publicará o aviso de adjudicação do Contrato após o término do </w:t>
      </w:r>
      <w:r>
        <w:rPr>
          <w:color w:val="FF0000"/>
          <w:lang w:val="pt-BR"/>
        </w:rPr>
        <w:t>prazo suspensivo</w:t>
      </w:r>
      <w:r w:rsidRPr="00C572B5">
        <w:rPr>
          <w:color w:val="FF0000"/>
          <w:lang w:val="pt-BR"/>
        </w:rPr>
        <w:t xml:space="preserve">. Se o Mutuário receber uma queixa de um licitante </w:t>
      </w:r>
      <w:r>
        <w:rPr>
          <w:color w:val="FF0000"/>
          <w:lang w:val="pt-BR"/>
        </w:rPr>
        <w:t xml:space="preserve">não adjudicado </w:t>
      </w:r>
      <w:r w:rsidRPr="00C572B5">
        <w:rPr>
          <w:color w:val="FF0000"/>
          <w:lang w:val="pt-BR"/>
        </w:rPr>
        <w:t xml:space="preserve">dentro do </w:t>
      </w:r>
      <w:r>
        <w:rPr>
          <w:color w:val="FF0000"/>
          <w:lang w:val="pt-BR"/>
        </w:rPr>
        <w:t>prazo suspensivo</w:t>
      </w:r>
      <w:r w:rsidRPr="00C572B5">
        <w:rPr>
          <w:color w:val="FF0000"/>
          <w:lang w:val="pt-BR"/>
        </w:rPr>
        <w:t xml:space="preserve">, o Mutuário não deverá prosseguir com a adjudicação do contrato até que a reclamação seja tratada em consulta com o Banco para processos de revisão </w:t>
      </w:r>
      <w:proofErr w:type="spellStart"/>
      <w:r w:rsidRPr="00C572B5">
        <w:rPr>
          <w:color w:val="FF0000"/>
          <w:lang w:val="pt-BR"/>
        </w:rPr>
        <w:t>ex</w:t>
      </w:r>
      <w:proofErr w:type="spellEnd"/>
      <w:r w:rsidRPr="00C572B5">
        <w:rPr>
          <w:color w:val="FF0000"/>
          <w:lang w:val="pt-BR"/>
        </w:rPr>
        <w:t xml:space="preserve"> 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5C04" w14:textId="0E7A3E6A" w:rsidR="00DF6286" w:rsidRPr="00093220" w:rsidRDefault="00DF6286" w:rsidP="00DF6286">
    <w:pPr>
      <w:pStyle w:val="Header"/>
      <w:jc w:val="center"/>
      <w:rPr>
        <w:b/>
        <w:lang w:val="pt-BR"/>
      </w:rPr>
    </w:pPr>
    <w:r w:rsidRPr="00DD4F32">
      <w:rPr>
        <w:rFonts w:ascii="Segoe UI" w:hAnsi="Segoe UI" w:cs="Segoe UI"/>
        <w:b/>
        <w:noProof/>
        <w:color w:val="444444"/>
        <w:sz w:val="20"/>
      </w:rPr>
      <w:drawing>
        <wp:anchor distT="0" distB="0" distL="114300" distR="114300" simplePos="0" relativeHeight="251663360" behindDoc="0" locked="0" layoutInCell="1" allowOverlap="1" wp14:anchorId="421D6A4B" wp14:editId="09180D1E">
          <wp:simplePos x="0" y="0"/>
          <wp:positionH relativeFrom="column">
            <wp:posOffset>0</wp:posOffset>
          </wp:positionH>
          <wp:positionV relativeFrom="paragraph">
            <wp:posOffset>-320040</wp:posOffset>
          </wp:positionV>
          <wp:extent cx="1151255" cy="814070"/>
          <wp:effectExtent l="0" t="0" r="0" b="0"/>
          <wp:wrapSquare wrapText="bothSides"/>
          <wp:docPr id="19" name="Picture 19" descr="BID_sin descriptor_ByN_MR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D_sin descriptor_ByN_MR_150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255" cy="814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3220" w:rsidRPr="00093220">
      <w:rPr>
        <w:b/>
        <w:lang w:val="pt-BR"/>
      </w:rPr>
      <w:t>EXPANSÃO</w:t>
    </w:r>
    <w:r w:rsidRPr="00093220">
      <w:rPr>
        <w:b/>
        <w:lang w:val="pt-BR"/>
      </w:rPr>
      <w:t xml:space="preserve"> DAS POL</w:t>
    </w:r>
    <w:r w:rsidR="00093220" w:rsidRPr="00093220">
      <w:rPr>
        <w:b/>
        <w:lang w:val="pt-BR"/>
      </w:rPr>
      <w:t>Í</w:t>
    </w:r>
    <w:r w:rsidRPr="00093220">
      <w:rPr>
        <w:b/>
        <w:lang w:val="pt-BR"/>
      </w:rPr>
      <w:t>TICAS DE A</w:t>
    </w:r>
    <w:r w:rsidR="00093220" w:rsidRPr="00093220">
      <w:rPr>
        <w:b/>
        <w:lang w:val="pt-BR"/>
      </w:rPr>
      <w:t>Q</w:t>
    </w:r>
    <w:r w:rsidRPr="00093220">
      <w:rPr>
        <w:b/>
        <w:lang w:val="pt-BR"/>
      </w:rPr>
      <w:t>UISI</w:t>
    </w:r>
    <w:r w:rsidR="00093220" w:rsidRPr="00093220">
      <w:rPr>
        <w:b/>
        <w:lang w:val="pt-BR"/>
      </w:rPr>
      <w:t>ÇÕES</w:t>
    </w:r>
    <w:r w:rsidR="00093220">
      <w:rPr>
        <w:b/>
        <w:lang w:val="pt-BR"/>
      </w:rPr>
      <w:t xml:space="preserve"> </w:t>
    </w:r>
    <w:r w:rsidRPr="00093220">
      <w:rPr>
        <w:b/>
        <w:lang w:val="pt-BR"/>
      </w:rPr>
      <w:t>– CONSULTA P</w:t>
    </w:r>
    <w:r w:rsidR="00093220">
      <w:rPr>
        <w:b/>
        <w:lang w:val="pt-BR"/>
      </w:rPr>
      <w:t>Ú</w:t>
    </w:r>
    <w:r w:rsidRPr="00093220">
      <w:rPr>
        <w:b/>
        <w:lang w:val="pt-BR"/>
      </w:rPr>
      <w:t>BLICA</w:t>
    </w:r>
  </w:p>
  <w:p w14:paraId="68EC08E0" w14:textId="0948B648" w:rsidR="00DF6286" w:rsidRPr="00093220" w:rsidRDefault="00DF6286" w:rsidP="00DF6286">
    <w:pPr>
      <w:pStyle w:val="Header"/>
      <w:jc w:val="center"/>
      <w:rPr>
        <w:b/>
        <w:sz w:val="24"/>
        <w:szCs w:val="24"/>
        <w:lang w:val="pt-BR"/>
      </w:rPr>
    </w:pPr>
    <w:r w:rsidRPr="00093220">
      <w:rPr>
        <w:b/>
        <w:sz w:val="24"/>
        <w:szCs w:val="24"/>
        <w:lang w:val="pt-BR"/>
      </w:rPr>
      <w:t>Tab</w:t>
    </w:r>
    <w:r w:rsidR="00093220" w:rsidRPr="00093220">
      <w:rPr>
        <w:b/>
        <w:sz w:val="24"/>
        <w:szCs w:val="24"/>
        <w:lang w:val="pt-BR"/>
      </w:rPr>
      <w:t>e</w:t>
    </w:r>
    <w:r w:rsidRPr="00093220">
      <w:rPr>
        <w:b/>
        <w:sz w:val="24"/>
        <w:szCs w:val="24"/>
        <w:lang w:val="pt-BR"/>
      </w:rPr>
      <w:t>la de Coment</w:t>
    </w:r>
    <w:r w:rsidR="00093220" w:rsidRPr="00093220">
      <w:rPr>
        <w:b/>
        <w:sz w:val="24"/>
        <w:szCs w:val="24"/>
        <w:lang w:val="pt-BR"/>
      </w:rPr>
      <w:t>á</w:t>
    </w:r>
    <w:r w:rsidRPr="00093220">
      <w:rPr>
        <w:b/>
        <w:sz w:val="24"/>
        <w:szCs w:val="24"/>
        <w:lang w:val="pt-BR"/>
      </w:rPr>
      <w:t>rios – Políticas para a Sele</w:t>
    </w:r>
    <w:r w:rsidR="00093220" w:rsidRPr="00093220">
      <w:rPr>
        <w:b/>
        <w:sz w:val="24"/>
        <w:szCs w:val="24"/>
        <w:lang w:val="pt-BR"/>
      </w:rPr>
      <w:t>ção e</w:t>
    </w:r>
    <w:r w:rsidRPr="00093220">
      <w:rPr>
        <w:b/>
        <w:sz w:val="24"/>
        <w:szCs w:val="24"/>
        <w:lang w:val="pt-BR"/>
      </w:rPr>
      <w:t xml:space="preserve"> Contrata</w:t>
    </w:r>
    <w:r w:rsidR="00093220" w:rsidRPr="00093220">
      <w:rPr>
        <w:b/>
        <w:sz w:val="24"/>
        <w:szCs w:val="24"/>
        <w:lang w:val="pt-BR"/>
      </w:rPr>
      <w:t>ç</w:t>
    </w:r>
    <w:r w:rsidR="00093220">
      <w:rPr>
        <w:b/>
        <w:sz w:val="24"/>
        <w:szCs w:val="24"/>
        <w:lang w:val="pt-BR"/>
      </w:rPr>
      <w:t xml:space="preserve">ão </w:t>
    </w:r>
    <w:r w:rsidRPr="00093220">
      <w:rPr>
        <w:b/>
        <w:sz w:val="24"/>
        <w:szCs w:val="24"/>
        <w:lang w:val="pt-BR"/>
      </w:rPr>
      <w:t>de Consultores - BID</w:t>
    </w:r>
  </w:p>
  <w:p w14:paraId="1F715BCE" w14:textId="3B0AE462" w:rsidR="00C45240" w:rsidRPr="00093220" w:rsidRDefault="00C45240">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027A"/>
    <w:multiLevelType w:val="hybridMultilevel"/>
    <w:tmpl w:val="5096ECAA"/>
    <w:lvl w:ilvl="0" w:tplc="2120465C">
      <w:start w:val="1"/>
      <w:numFmt w:val="lowerRoman"/>
      <w:lvlText w:val="%1."/>
      <w:lvlJc w:val="left"/>
      <w:pPr>
        <w:ind w:left="1116" w:hanging="72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 w15:restartNumberingAfterBreak="0">
    <w:nsid w:val="08AB3D4F"/>
    <w:multiLevelType w:val="hybridMultilevel"/>
    <w:tmpl w:val="86609FE0"/>
    <w:lvl w:ilvl="0" w:tplc="767CEB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6C2CBF"/>
    <w:multiLevelType w:val="multilevel"/>
    <w:tmpl w:val="89E0B8B0"/>
    <w:lvl w:ilvl="0">
      <w:start w:val="1"/>
      <w:numFmt w:val="decimal"/>
      <w:lvlText w:val="%1"/>
      <w:lvlJc w:val="left"/>
      <w:pPr>
        <w:tabs>
          <w:tab w:val="num" w:pos="405"/>
        </w:tabs>
        <w:ind w:left="405" w:hanging="405"/>
      </w:pPr>
      <w:rPr>
        <w:rFonts w:hint="default"/>
      </w:rPr>
    </w:lvl>
    <w:lvl w:ilvl="1">
      <w:start w:val="1"/>
      <w:numFmt w:val="decimal"/>
      <w:lvlText w:val="2.%2."/>
      <w:lvlJc w:val="left"/>
      <w:pPr>
        <w:tabs>
          <w:tab w:val="num" w:pos="405"/>
        </w:tabs>
        <w:ind w:left="405" w:hanging="4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052FB0"/>
    <w:multiLevelType w:val="singleLevel"/>
    <w:tmpl w:val="94727644"/>
    <w:lvl w:ilvl="0">
      <w:start w:val="1"/>
      <w:numFmt w:val="decimal"/>
      <w:pStyle w:val="Paragraph1"/>
      <w:lvlText w:val="%1."/>
      <w:lvlJc w:val="left"/>
      <w:pPr>
        <w:tabs>
          <w:tab w:val="num" w:pos="1080"/>
        </w:tabs>
        <w:ind w:left="1080" w:hanging="360"/>
      </w:pPr>
      <w:rPr>
        <w:rFonts w:asciiTheme="minorHAnsi" w:hAnsiTheme="minorHAnsi" w:hint="default"/>
        <w:b w:val="0"/>
        <w:i w:val="0"/>
        <w:sz w:val="22"/>
        <w:szCs w:val="22"/>
      </w:rPr>
    </w:lvl>
  </w:abstractNum>
  <w:abstractNum w:abstractNumId="4" w15:restartNumberingAfterBreak="0">
    <w:nsid w:val="458E2C2C"/>
    <w:multiLevelType w:val="hybridMultilevel"/>
    <w:tmpl w:val="B4B4FBDC"/>
    <w:lvl w:ilvl="0" w:tplc="212046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43FA0"/>
    <w:multiLevelType w:val="hybridMultilevel"/>
    <w:tmpl w:val="50261D36"/>
    <w:lvl w:ilvl="0" w:tplc="3AB806C8">
      <w:start w:val="4"/>
      <w:numFmt w:val="lowerLetter"/>
      <w:lvlText w:val="(%1)"/>
      <w:lvlJc w:val="left"/>
      <w:pPr>
        <w:ind w:left="11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D5F33"/>
    <w:multiLevelType w:val="hybridMultilevel"/>
    <w:tmpl w:val="6B38B748"/>
    <w:lvl w:ilvl="0" w:tplc="04661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81F84"/>
    <w:multiLevelType w:val="hybridMultilevel"/>
    <w:tmpl w:val="0C5C7EAC"/>
    <w:lvl w:ilvl="0" w:tplc="C9D6A4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40A56"/>
    <w:multiLevelType w:val="hybridMultilevel"/>
    <w:tmpl w:val="571AFC26"/>
    <w:lvl w:ilvl="0" w:tplc="48A8E5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9923C8"/>
    <w:multiLevelType w:val="multilevel"/>
    <w:tmpl w:val="A3545882"/>
    <w:lvl w:ilvl="0">
      <w:start w:val="1"/>
      <w:numFmt w:val="upperRoman"/>
      <w:lvlText w:val="%1."/>
      <w:lvlJc w:val="center"/>
      <w:pPr>
        <w:tabs>
          <w:tab w:val="num" w:pos="360"/>
        </w:tabs>
        <w:ind w:left="288" w:hanging="288"/>
      </w:pPr>
      <w:rPr>
        <w:rFonts w:asciiTheme="minorHAnsi" w:hAnsiTheme="minorHAnsi" w:hint="default"/>
        <w:b/>
        <w:i w:val="0"/>
        <w:sz w:val="22"/>
        <w:szCs w:val="22"/>
      </w:rPr>
    </w:lvl>
    <w:lvl w:ilvl="1">
      <w:start w:val="1"/>
      <w:numFmt w:val="decimal"/>
      <w:isLgl/>
      <w:lvlText w:val="%1.%2"/>
      <w:lvlJc w:val="left"/>
      <w:pPr>
        <w:tabs>
          <w:tab w:val="num" w:pos="720"/>
        </w:tabs>
        <w:ind w:left="720" w:hanging="720"/>
      </w:pPr>
    </w:lvl>
    <w:lvl w:ilvl="2">
      <w:start w:val="1"/>
      <w:numFmt w:val="lowerLetter"/>
      <w:lvlRestart w:val="0"/>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0" w15:restartNumberingAfterBreak="0">
    <w:nsid w:val="63421C5A"/>
    <w:multiLevelType w:val="hybridMultilevel"/>
    <w:tmpl w:val="BCACC930"/>
    <w:lvl w:ilvl="0" w:tplc="767CEB02">
      <w:start w:val="1"/>
      <w:numFmt w:val="lowerLetter"/>
      <w:lvlText w:val="(%1)"/>
      <w:lvlJc w:val="left"/>
      <w:pPr>
        <w:tabs>
          <w:tab w:val="num" w:pos="1375"/>
        </w:tabs>
        <w:ind w:left="1375" w:hanging="547"/>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77370EC"/>
    <w:multiLevelType w:val="hybridMultilevel"/>
    <w:tmpl w:val="BCACC930"/>
    <w:lvl w:ilvl="0" w:tplc="767CEB02">
      <w:start w:val="1"/>
      <w:numFmt w:val="lowerLetter"/>
      <w:lvlText w:val="(%1)"/>
      <w:lvlJc w:val="left"/>
      <w:pPr>
        <w:tabs>
          <w:tab w:val="num" w:pos="1375"/>
        </w:tabs>
        <w:ind w:left="1375" w:hanging="54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B487F2A"/>
    <w:multiLevelType w:val="multilevel"/>
    <w:tmpl w:val="129A2384"/>
    <w:lvl w:ilvl="0">
      <w:start w:val="1"/>
      <w:numFmt w:val="decimal"/>
      <w:lvlText w:val="%1"/>
      <w:lvlJc w:val="left"/>
      <w:pPr>
        <w:tabs>
          <w:tab w:val="num" w:pos="405"/>
        </w:tabs>
        <w:ind w:left="405" w:hanging="405"/>
      </w:pPr>
      <w:rPr>
        <w:rFonts w:hint="default"/>
      </w:rPr>
    </w:lvl>
    <w:lvl w:ilvl="1">
      <w:start w:val="1"/>
      <w:numFmt w:val="decimal"/>
      <w:lvlText w:val="2.%2."/>
      <w:lvlJc w:val="left"/>
      <w:pPr>
        <w:tabs>
          <w:tab w:val="num" w:pos="495"/>
        </w:tabs>
        <w:ind w:left="495" w:hanging="405"/>
      </w:pPr>
      <w:rPr>
        <w:rFonts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E644D07"/>
    <w:multiLevelType w:val="hybridMultilevel"/>
    <w:tmpl w:val="86747AF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B45D8D"/>
    <w:multiLevelType w:val="multilevel"/>
    <w:tmpl w:val="1D444362"/>
    <w:lvl w:ilvl="0">
      <w:start w:val="1"/>
      <w:numFmt w:val="decimal"/>
      <w:lvlText w:val="%1"/>
      <w:lvlJc w:val="left"/>
      <w:pPr>
        <w:tabs>
          <w:tab w:val="num" w:pos="405"/>
        </w:tabs>
        <w:ind w:left="405" w:hanging="405"/>
      </w:pPr>
      <w:rPr>
        <w:rFonts w:hint="default"/>
      </w:rPr>
    </w:lvl>
    <w:lvl w:ilvl="1">
      <w:start w:val="1"/>
      <w:numFmt w:val="decimal"/>
      <w:lvlText w:val="4.%2."/>
      <w:lvlJc w:val="left"/>
      <w:pPr>
        <w:tabs>
          <w:tab w:val="num" w:pos="405"/>
        </w:tabs>
        <w:ind w:left="405" w:hanging="4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39C7FF5"/>
    <w:multiLevelType w:val="multilevel"/>
    <w:tmpl w:val="99B4FBEA"/>
    <w:lvl w:ilvl="0">
      <w:start w:val="1"/>
      <w:numFmt w:val="decimal"/>
      <w:lvlText w:val="%1"/>
      <w:lvlJc w:val="left"/>
      <w:pPr>
        <w:tabs>
          <w:tab w:val="num" w:pos="405"/>
        </w:tabs>
        <w:ind w:left="405" w:hanging="405"/>
      </w:pPr>
      <w:rPr>
        <w:rFonts w:hint="default"/>
      </w:rPr>
    </w:lvl>
    <w:lvl w:ilvl="1">
      <w:start w:val="1"/>
      <w:numFmt w:val="decimal"/>
      <w:lvlText w:val="%2."/>
      <w:lvlJc w:val="left"/>
      <w:pPr>
        <w:tabs>
          <w:tab w:val="num" w:pos="405"/>
        </w:tabs>
        <w:ind w:left="405" w:hanging="4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62D7DF6"/>
    <w:multiLevelType w:val="multilevel"/>
    <w:tmpl w:val="7354F55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6D528D5"/>
    <w:multiLevelType w:val="multilevel"/>
    <w:tmpl w:val="29C0F362"/>
    <w:lvl w:ilvl="0">
      <w:start w:val="1"/>
      <w:numFmt w:val="decimal"/>
      <w:lvlText w:val="%1"/>
      <w:lvlJc w:val="left"/>
      <w:pPr>
        <w:tabs>
          <w:tab w:val="num" w:pos="405"/>
        </w:tabs>
        <w:ind w:left="405" w:hanging="405"/>
      </w:pPr>
      <w:rPr>
        <w:rFonts w:hint="default"/>
      </w:rPr>
    </w:lvl>
    <w:lvl w:ilvl="1">
      <w:start w:val="1"/>
      <w:numFmt w:val="decimal"/>
      <w:lvlText w:val="3.%2."/>
      <w:lvlJc w:val="left"/>
      <w:pPr>
        <w:tabs>
          <w:tab w:val="num" w:pos="495"/>
        </w:tabs>
        <w:ind w:left="495" w:hanging="405"/>
      </w:pPr>
      <w:rPr>
        <w:rFonts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9C12973"/>
    <w:multiLevelType w:val="hybridMultilevel"/>
    <w:tmpl w:val="D2E2C564"/>
    <w:lvl w:ilvl="0" w:tplc="48A8E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BB50FC6"/>
    <w:multiLevelType w:val="hybridMultilevel"/>
    <w:tmpl w:val="BCACC930"/>
    <w:lvl w:ilvl="0" w:tplc="767CEB02">
      <w:start w:val="1"/>
      <w:numFmt w:val="lowerLetter"/>
      <w:lvlText w:val="(%1)"/>
      <w:lvlJc w:val="left"/>
      <w:pPr>
        <w:tabs>
          <w:tab w:val="num" w:pos="1375"/>
        </w:tabs>
        <w:ind w:left="1375" w:hanging="54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D2001D4"/>
    <w:multiLevelType w:val="hybridMultilevel"/>
    <w:tmpl w:val="DDF81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4"/>
  </w:num>
  <w:num w:numId="4">
    <w:abstractNumId w:val="0"/>
  </w:num>
  <w:num w:numId="5">
    <w:abstractNumId w:val="17"/>
  </w:num>
  <w:num w:numId="6">
    <w:abstractNumId w:val="19"/>
  </w:num>
  <w:num w:numId="7">
    <w:abstractNumId w:val="11"/>
  </w:num>
  <w:num w:numId="8">
    <w:abstractNumId w:val="7"/>
  </w:num>
  <w:num w:numId="9">
    <w:abstractNumId w:val="6"/>
  </w:num>
  <w:num w:numId="10">
    <w:abstractNumId w:val="13"/>
  </w:num>
  <w:num w:numId="11">
    <w:abstractNumId w:val="2"/>
  </w:num>
  <w:num w:numId="12">
    <w:abstractNumId w:val="14"/>
  </w:num>
  <w:num w:numId="13">
    <w:abstractNumId w:val="18"/>
  </w:num>
  <w:num w:numId="14">
    <w:abstractNumId w:val="16"/>
  </w:num>
  <w:num w:numId="15">
    <w:abstractNumId w:val="1"/>
  </w:num>
  <w:num w:numId="16">
    <w:abstractNumId w:val="15"/>
  </w:num>
  <w:num w:numId="17">
    <w:abstractNumId w:val="9"/>
  </w:num>
  <w:num w:numId="18">
    <w:abstractNumId w:val="10"/>
  </w:num>
  <w:num w:numId="19">
    <w:abstractNumId w:val="3"/>
  </w:num>
  <w:num w:numId="20">
    <w:abstractNumId w:val="8"/>
  </w:num>
  <w:num w:numId="21">
    <w:abstractNumId w:val="5"/>
  </w:num>
  <w:num w:numId="2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39"/>
    <w:rsid w:val="00000947"/>
    <w:rsid w:val="000049A4"/>
    <w:rsid w:val="0005655D"/>
    <w:rsid w:val="00060019"/>
    <w:rsid w:val="0008308D"/>
    <w:rsid w:val="00084876"/>
    <w:rsid w:val="00086D3F"/>
    <w:rsid w:val="00093220"/>
    <w:rsid w:val="000948FB"/>
    <w:rsid w:val="000B22DA"/>
    <w:rsid w:val="000C6AB6"/>
    <w:rsid w:val="000E2702"/>
    <w:rsid w:val="000E6009"/>
    <w:rsid w:val="000F12C2"/>
    <w:rsid w:val="000F3047"/>
    <w:rsid w:val="000F3B22"/>
    <w:rsid w:val="00136BA4"/>
    <w:rsid w:val="00136C55"/>
    <w:rsid w:val="0014286D"/>
    <w:rsid w:val="0015688F"/>
    <w:rsid w:val="00164324"/>
    <w:rsid w:val="00192E5C"/>
    <w:rsid w:val="001B0CD1"/>
    <w:rsid w:val="001D1316"/>
    <w:rsid w:val="001F3C16"/>
    <w:rsid w:val="001F5638"/>
    <w:rsid w:val="001F6B3B"/>
    <w:rsid w:val="002779A2"/>
    <w:rsid w:val="002D2043"/>
    <w:rsid w:val="003103AC"/>
    <w:rsid w:val="0032683E"/>
    <w:rsid w:val="00347E45"/>
    <w:rsid w:val="003A17ED"/>
    <w:rsid w:val="003C5187"/>
    <w:rsid w:val="003F6CB9"/>
    <w:rsid w:val="0041385A"/>
    <w:rsid w:val="004423D9"/>
    <w:rsid w:val="00450E66"/>
    <w:rsid w:val="00451C47"/>
    <w:rsid w:val="0049789F"/>
    <w:rsid w:val="004A2C65"/>
    <w:rsid w:val="004C4C7F"/>
    <w:rsid w:val="004E1693"/>
    <w:rsid w:val="005004E1"/>
    <w:rsid w:val="00512E9F"/>
    <w:rsid w:val="00522E83"/>
    <w:rsid w:val="005959EC"/>
    <w:rsid w:val="005B1236"/>
    <w:rsid w:val="005D0715"/>
    <w:rsid w:val="005E2AA3"/>
    <w:rsid w:val="005F6170"/>
    <w:rsid w:val="00602F54"/>
    <w:rsid w:val="00606873"/>
    <w:rsid w:val="006642FD"/>
    <w:rsid w:val="00670469"/>
    <w:rsid w:val="00676C49"/>
    <w:rsid w:val="0067771F"/>
    <w:rsid w:val="00687466"/>
    <w:rsid w:val="006A6BFF"/>
    <w:rsid w:val="006C52A8"/>
    <w:rsid w:val="006D2939"/>
    <w:rsid w:val="006E2872"/>
    <w:rsid w:val="0071741F"/>
    <w:rsid w:val="007330E9"/>
    <w:rsid w:val="00747511"/>
    <w:rsid w:val="00771B2D"/>
    <w:rsid w:val="0079227E"/>
    <w:rsid w:val="007B597C"/>
    <w:rsid w:val="007F350D"/>
    <w:rsid w:val="00805929"/>
    <w:rsid w:val="00822183"/>
    <w:rsid w:val="00823753"/>
    <w:rsid w:val="00892FB6"/>
    <w:rsid w:val="008D24A3"/>
    <w:rsid w:val="008D3992"/>
    <w:rsid w:val="008E2D01"/>
    <w:rsid w:val="008E5DBD"/>
    <w:rsid w:val="008F05F0"/>
    <w:rsid w:val="00900B33"/>
    <w:rsid w:val="009045A0"/>
    <w:rsid w:val="00923CD4"/>
    <w:rsid w:val="0095419B"/>
    <w:rsid w:val="009905E9"/>
    <w:rsid w:val="009C43E1"/>
    <w:rsid w:val="009C7754"/>
    <w:rsid w:val="009F434D"/>
    <w:rsid w:val="00A17F07"/>
    <w:rsid w:val="00A211EC"/>
    <w:rsid w:val="00A4073D"/>
    <w:rsid w:val="00A42EC1"/>
    <w:rsid w:val="00A4325F"/>
    <w:rsid w:val="00AC2333"/>
    <w:rsid w:val="00BD03EC"/>
    <w:rsid w:val="00BF2E79"/>
    <w:rsid w:val="00BF32BF"/>
    <w:rsid w:val="00C03C54"/>
    <w:rsid w:val="00C117E1"/>
    <w:rsid w:val="00C45240"/>
    <w:rsid w:val="00C455C1"/>
    <w:rsid w:val="00C5583E"/>
    <w:rsid w:val="00C74E29"/>
    <w:rsid w:val="00C816DA"/>
    <w:rsid w:val="00CA2BCA"/>
    <w:rsid w:val="00CC6F80"/>
    <w:rsid w:val="00CE46B2"/>
    <w:rsid w:val="00CF5552"/>
    <w:rsid w:val="00D411D9"/>
    <w:rsid w:val="00D46BC7"/>
    <w:rsid w:val="00D4730E"/>
    <w:rsid w:val="00D853A2"/>
    <w:rsid w:val="00D970B8"/>
    <w:rsid w:val="00DB13E7"/>
    <w:rsid w:val="00DC6BB7"/>
    <w:rsid w:val="00DF6286"/>
    <w:rsid w:val="00E039A7"/>
    <w:rsid w:val="00E15852"/>
    <w:rsid w:val="00E402F4"/>
    <w:rsid w:val="00E50D33"/>
    <w:rsid w:val="00E641E6"/>
    <w:rsid w:val="00E70B19"/>
    <w:rsid w:val="00E85AB5"/>
    <w:rsid w:val="00EA16A1"/>
    <w:rsid w:val="00EB7DD7"/>
    <w:rsid w:val="00EE288B"/>
    <w:rsid w:val="00F000FC"/>
    <w:rsid w:val="00F22CAE"/>
    <w:rsid w:val="00F4756D"/>
    <w:rsid w:val="00F86383"/>
    <w:rsid w:val="00F95DF3"/>
    <w:rsid w:val="00FC2983"/>
    <w:rsid w:val="00FF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6ED5C4"/>
  <w15:chartTrackingRefBased/>
  <w15:docId w15:val="{AE4580A9-B5F1-4B90-8D74-B74BD952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939"/>
    <w:pPr>
      <w:spacing w:after="0" w:line="240" w:lineRule="auto"/>
    </w:pPr>
    <w:rPr>
      <w:rFonts w:ascii="Calibri" w:eastAsiaTheme="minorEastAsia" w:hAnsi="Calibri" w:cs="Calibri"/>
      <w:lang w:eastAsia="zh-CN"/>
    </w:rPr>
  </w:style>
  <w:style w:type="paragraph" w:styleId="Heading1">
    <w:name w:val="heading 1"/>
    <w:basedOn w:val="Normal"/>
    <w:next w:val="Normal"/>
    <w:link w:val="Heading1Char"/>
    <w:qFormat/>
    <w:rsid w:val="00EB7D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1385A"/>
    <w:pPr>
      <w:keepNext/>
      <w:tabs>
        <w:tab w:val="left" w:pos="547"/>
        <w:tab w:val="left" w:pos="1080"/>
      </w:tabs>
      <w:suppressAutoHyphens/>
      <w:spacing w:after="100"/>
      <w:outlineLvl w:val="1"/>
    </w:pPr>
    <w:rPr>
      <w:rFonts w:ascii="Times New Roman Bold" w:eastAsia="Times New Roman" w:hAnsi="Times New Roman Bold" w:cs="Times New Roman"/>
      <w:b/>
      <w:sz w:val="24"/>
      <w:szCs w:val="20"/>
      <w:lang w:eastAsia="en-US"/>
    </w:rPr>
  </w:style>
  <w:style w:type="paragraph" w:styleId="Heading4">
    <w:name w:val="heading 4"/>
    <w:next w:val="Normal"/>
    <w:link w:val="Heading4Char"/>
    <w:qFormat/>
    <w:rsid w:val="00EB7DD7"/>
    <w:pPr>
      <w:keepNext/>
      <w:tabs>
        <w:tab w:val="left" w:pos="1440"/>
        <w:tab w:val="num" w:pos="1800"/>
      </w:tabs>
      <w:spacing w:before="120" w:after="120" w:line="240" w:lineRule="auto"/>
      <w:ind w:left="1800" w:hanging="360"/>
      <w:jc w:val="both"/>
      <w:outlineLvl w:val="3"/>
    </w:pPr>
    <w:rPr>
      <w:rFonts w:ascii="Times New Roman Bold" w:eastAsia="Times New Roman" w:hAnsi="Times New Roman Bold" w:cs="Times New Roman"/>
      <w:b/>
      <w:noProof/>
      <w:sz w:val="24"/>
      <w:szCs w:val="20"/>
    </w:rPr>
  </w:style>
  <w:style w:type="paragraph" w:styleId="Heading5">
    <w:name w:val="heading 5"/>
    <w:next w:val="Normal"/>
    <w:link w:val="Heading5Char"/>
    <w:qFormat/>
    <w:rsid w:val="00EB7DD7"/>
    <w:pPr>
      <w:keepNext/>
      <w:tabs>
        <w:tab w:val="num" w:pos="2088"/>
      </w:tabs>
      <w:spacing w:before="120" w:after="120" w:line="240" w:lineRule="auto"/>
      <w:ind w:left="2088" w:hanging="288"/>
      <w:jc w:val="both"/>
      <w:outlineLvl w:val="4"/>
    </w:pPr>
    <w:rPr>
      <w:rFonts w:ascii="Times New Roman Bold" w:eastAsia="Times New Roman" w:hAnsi="Times New Roman Bold" w:cs="Times New Roman"/>
      <w:b/>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93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
    <w:basedOn w:val="Normal"/>
    <w:link w:val="ListParagraphChar"/>
    <w:uiPriority w:val="34"/>
    <w:qFormat/>
    <w:rsid w:val="006D2939"/>
    <w:pPr>
      <w:ind w:left="720"/>
    </w:pPr>
  </w:style>
  <w:style w:type="paragraph" w:customStyle="1" w:styleId="Default">
    <w:name w:val="Default"/>
    <w:rsid w:val="006D2939"/>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6D2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939"/>
    <w:rPr>
      <w:rFonts w:ascii="Segoe UI" w:eastAsiaTheme="minorEastAsia" w:hAnsi="Segoe UI" w:cs="Segoe UI"/>
      <w:sz w:val="18"/>
      <w:szCs w:val="18"/>
      <w:lang w:eastAsia="zh-CN"/>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1F5638"/>
    <w:rPr>
      <w:rFonts w:ascii="Calibri" w:eastAsiaTheme="minorEastAsia" w:hAnsi="Calibri" w:cs="Calibri"/>
      <w:lang w:eastAsia="zh-CN"/>
    </w:rPr>
  </w:style>
  <w:style w:type="paragraph" w:styleId="FootnoteText">
    <w:name w:val="footnote text"/>
    <w:basedOn w:val="Normal"/>
    <w:link w:val="FootnoteTextChar"/>
    <w:rsid w:val="0041385A"/>
    <w:pPr>
      <w:keepLines/>
      <w:suppressAutoHyphens/>
      <w:spacing w:after="60"/>
    </w:pPr>
    <w:rPr>
      <w:rFonts w:ascii="Times New Roman" w:eastAsia="Times New Roman" w:hAnsi="Times New Roman" w:cs="Times New Roman"/>
      <w:sz w:val="16"/>
      <w:szCs w:val="20"/>
      <w:lang w:eastAsia="en-US"/>
    </w:rPr>
  </w:style>
  <w:style w:type="character" w:customStyle="1" w:styleId="FootnoteTextChar">
    <w:name w:val="Footnote Text Char"/>
    <w:basedOn w:val="DefaultParagraphFont"/>
    <w:link w:val="FootnoteText"/>
    <w:rsid w:val="0041385A"/>
    <w:rPr>
      <w:rFonts w:ascii="Times New Roman" w:eastAsia="Times New Roman" w:hAnsi="Times New Roman" w:cs="Times New Roman"/>
      <w:sz w:val="16"/>
      <w:szCs w:val="20"/>
    </w:rPr>
  </w:style>
  <w:style w:type="character" w:styleId="FootnoteReference">
    <w:name w:val="footnote reference"/>
    <w:basedOn w:val="DefaultParagraphFont"/>
    <w:rsid w:val="0041385A"/>
    <w:rPr>
      <w:vertAlign w:val="superscript"/>
    </w:rPr>
  </w:style>
  <w:style w:type="character" w:customStyle="1" w:styleId="Heading2Char">
    <w:name w:val="Heading 2 Char"/>
    <w:basedOn w:val="DefaultParagraphFont"/>
    <w:link w:val="Heading2"/>
    <w:rsid w:val="0041385A"/>
    <w:rPr>
      <w:rFonts w:ascii="Times New Roman Bold" w:eastAsia="Times New Roman" w:hAnsi="Times New Roman Bold" w:cs="Times New Roman"/>
      <w:b/>
      <w:sz w:val="24"/>
      <w:szCs w:val="20"/>
    </w:rPr>
  </w:style>
  <w:style w:type="paragraph" w:styleId="Header">
    <w:name w:val="header"/>
    <w:basedOn w:val="Normal"/>
    <w:link w:val="HeaderChar"/>
    <w:uiPriority w:val="99"/>
    <w:unhideWhenUsed/>
    <w:rsid w:val="00DC6BB7"/>
    <w:pPr>
      <w:tabs>
        <w:tab w:val="center" w:pos="4680"/>
        <w:tab w:val="right" w:pos="9360"/>
      </w:tabs>
    </w:pPr>
  </w:style>
  <w:style w:type="character" w:customStyle="1" w:styleId="HeaderChar">
    <w:name w:val="Header Char"/>
    <w:basedOn w:val="DefaultParagraphFont"/>
    <w:link w:val="Header"/>
    <w:uiPriority w:val="99"/>
    <w:rsid w:val="00DC6BB7"/>
    <w:rPr>
      <w:rFonts w:ascii="Calibri" w:eastAsiaTheme="minorEastAsia" w:hAnsi="Calibri" w:cs="Calibri"/>
      <w:lang w:eastAsia="zh-CN"/>
    </w:rPr>
  </w:style>
  <w:style w:type="paragraph" w:styleId="Footer">
    <w:name w:val="footer"/>
    <w:basedOn w:val="Normal"/>
    <w:link w:val="FooterChar"/>
    <w:uiPriority w:val="99"/>
    <w:unhideWhenUsed/>
    <w:rsid w:val="00DC6BB7"/>
    <w:pPr>
      <w:tabs>
        <w:tab w:val="center" w:pos="4680"/>
        <w:tab w:val="right" w:pos="9360"/>
      </w:tabs>
    </w:pPr>
  </w:style>
  <w:style w:type="character" w:customStyle="1" w:styleId="FooterChar">
    <w:name w:val="Footer Char"/>
    <w:basedOn w:val="DefaultParagraphFont"/>
    <w:link w:val="Footer"/>
    <w:uiPriority w:val="99"/>
    <w:rsid w:val="00DC6BB7"/>
    <w:rPr>
      <w:rFonts w:ascii="Calibri" w:eastAsiaTheme="minorEastAsia" w:hAnsi="Calibri" w:cs="Calibri"/>
      <w:lang w:eastAsia="zh-CN"/>
    </w:rPr>
  </w:style>
  <w:style w:type="character" w:customStyle="1" w:styleId="Heading1Char">
    <w:name w:val="Heading 1 Char"/>
    <w:basedOn w:val="DefaultParagraphFont"/>
    <w:link w:val="Heading1"/>
    <w:uiPriority w:val="9"/>
    <w:rsid w:val="00EB7DD7"/>
    <w:rPr>
      <w:rFonts w:asciiTheme="majorHAnsi" w:eastAsiaTheme="majorEastAsia" w:hAnsiTheme="majorHAnsi" w:cstheme="majorBidi"/>
      <w:color w:val="2F5496" w:themeColor="accent1" w:themeShade="BF"/>
      <w:sz w:val="32"/>
      <w:szCs w:val="32"/>
      <w:lang w:eastAsia="zh-CN"/>
    </w:rPr>
  </w:style>
  <w:style w:type="character" w:customStyle="1" w:styleId="Heading4Char">
    <w:name w:val="Heading 4 Char"/>
    <w:basedOn w:val="DefaultParagraphFont"/>
    <w:link w:val="Heading4"/>
    <w:rsid w:val="00EB7DD7"/>
    <w:rPr>
      <w:rFonts w:ascii="Times New Roman Bold" w:eastAsia="Times New Roman" w:hAnsi="Times New Roman Bold" w:cs="Times New Roman"/>
      <w:b/>
      <w:noProof/>
      <w:sz w:val="24"/>
      <w:szCs w:val="20"/>
    </w:rPr>
  </w:style>
  <w:style w:type="character" w:customStyle="1" w:styleId="Heading5Char">
    <w:name w:val="Heading 5 Char"/>
    <w:basedOn w:val="DefaultParagraphFont"/>
    <w:link w:val="Heading5"/>
    <w:rsid w:val="00EB7DD7"/>
    <w:rPr>
      <w:rFonts w:ascii="Times New Roman Bold" w:eastAsia="Times New Roman" w:hAnsi="Times New Roman Bold" w:cs="Times New Roman"/>
      <w:b/>
      <w:noProof/>
      <w:sz w:val="24"/>
      <w:szCs w:val="20"/>
    </w:rPr>
  </w:style>
  <w:style w:type="paragraph" w:customStyle="1" w:styleId="AutoNumpara">
    <w:name w:val="AutoNumpara"/>
    <w:basedOn w:val="BodyTextIndent"/>
    <w:rsid w:val="00EB7DD7"/>
    <w:pPr>
      <w:spacing w:before="120"/>
      <w:ind w:left="1476" w:hanging="360"/>
      <w:jc w:val="both"/>
    </w:pPr>
    <w:rPr>
      <w:rFonts w:ascii="Times New Roman" w:eastAsia="Times New Roman" w:hAnsi="Times New Roman" w:cs="Times New Roman"/>
      <w:noProof/>
      <w:spacing w:val="-2"/>
      <w:sz w:val="24"/>
      <w:szCs w:val="20"/>
      <w:lang w:val="es-ES" w:eastAsia="en-US"/>
    </w:rPr>
  </w:style>
  <w:style w:type="paragraph" w:customStyle="1" w:styleId="Paragrapha">
    <w:name w:val="Paragraph a"/>
    <w:basedOn w:val="Normal"/>
    <w:rsid w:val="00EB7DD7"/>
    <w:pPr>
      <w:spacing w:before="120" w:after="120"/>
      <w:jc w:val="both"/>
    </w:pPr>
    <w:rPr>
      <w:rFonts w:ascii="Times New Roman" w:eastAsia="Times New Roman" w:hAnsi="Times New Roman" w:cs="Times New Roman"/>
      <w:spacing w:val="-3"/>
      <w:sz w:val="24"/>
      <w:szCs w:val="20"/>
      <w:lang w:val="es-ES" w:eastAsia="en-US"/>
    </w:rPr>
  </w:style>
  <w:style w:type="paragraph" w:styleId="BodyTextIndent">
    <w:name w:val="Body Text Indent"/>
    <w:basedOn w:val="Normal"/>
    <w:link w:val="BodyTextIndentChar"/>
    <w:uiPriority w:val="99"/>
    <w:semiHidden/>
    <w:unhideWhenUsed/>
    <w:rsid w:val="00EB7DD7"/>
    <w:pPr>
      <w:spacing w:after="120"/>
      <w:ind w:left="360"/>
    </w:pPr>
  </w:style>
  <w:style w:type="character" w:customStyle="1" w:styleId="BodyTextIndentChar">
    <w:name w:val="Body Text Indent Char"/>
    <w:basedOn w:val="DefaultParagraphFont"/>
    <w:link w:val="BodyTextIndent"/>
    <w:uiPriority w:val="99"/>
    <w:semiHidden/>
    <w:rsid w:val="00EB7DD7"/>
    <w:rPr>
      <w:rFonts w:ascii="Calibri" w:eastAsiaTheme="minorEastAsia" w:hAnsi="Calibri" w:cs="Calibri"/>
      <w:lang w:eastAsia="zh-CN"/>
    </w:rPr>
  </w:style>
  <w:style w:type="paragraph" w:customStyle="1" w:styleId="Paragraph1">
    <w:name w:val="Paragraph1"/>
    <w:rsid w:val="00F86383"/>
    <w:pPr>
      <w:numPr>
        <w:numId w:val="19"/>
      </w:numPr>
      <w:spacing w:before="120" w:after="120" w:line="240" w:lineRule="auto"/>
      <w:jc w:val="both"/>
    </w:pPr>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66B06E59AB175241BBFB297522263BEB" PreviousValue="false"/>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141" ma:contentTypeDescription="A content type to manage public (corporate) IDB documents" ma:contentTypeScope="" ma:versionID="49aff83f233202fc7bfe7354c8492a9d">
  <xsd:schema xmlns:xsd="http://www.w3.org/2001/XMLSchema" xmlns:xs="http://www.w3.org/2001/XMLSchema" xmlns:p="http://schemas.microsoft.com/office/2006/metadata/properties" xmlns:ns2="cdc7663a-08f0-4737-9e8c-148ce897a09c" targetNamespace="http://schemas.microsoft.com/office/2006/metadata/properties" ma:root="true" ma:fieldsID="dfd050aba5a877f7058c550db71c0a9e"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EZSHARE-1132444900-22370</_dlc_DocId>
    <TaxCatchAll xmlns="cdc7663a-08f0-4737-9e8c-148ce897a09c">
      <Value>335</Value>
      <Value>336</Value>
    </TaxCatchAll>
    <_dlc_DocIdUrl xmlns="cdc7663a-08f0-4737-9e8c-148ce897a09c">
      <Url>https://idbg.sharepoint.com/teams/ez-COF/FMP/_layouts/15/DocIdRedir.aspx?ID=EZSHARE-1132444900-22370</Url>
      <Description>EZSHARE-1132444900-22370</Description>
    </_dlc_DocIdUrl>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2019</Fiscal_x0020_Year_x0020_IDB>
    <Other_x0020_Author xmlns="cdc7663a-08f0-4737-9e8c-148ce897a09c" xsi:nil="true"/>
    <Migration_x0020_Info xmlns="cdc7663a-08f0-4737-9e8c-148ce897a09c" xsi:nil="true"/>
    <Document_x0020_Author xmlns="cdc7663a-08f0-4737-9e8c-148ce897a09c">Sanchez-Pena, Luz E.</Document_x0020_Author>
    <Document_x0020_Language_x0020_IDB xmlns="cdc7663a-08f0-4737-9e8c-148ce897a09c">Spanish</Document_x0020_Language_x0020_IDB>
    <Identifier xmlns="cdc7663a-08f0-4737-9e8c-148ce897a09c" xsi:nil="true"/>
    <Disclosure_x0020_Activity xmlns="cdc7663a-08f0-4737-9e8c-148ce897a09c">Procurement</Disclosure_x0020_Activity>
    <Issue_x0020_Date xmlns="cdc7663a-08f0-4737-9e8c-148ce897a09c" xsi:nil="true"/>
    <KP_x0020_Topics xmlns="cdc7663a-08f0-4737-9e8c-148ce897a09c" xsi:nil="true"/>
    <Disclosed xmlns="cdc7663a-08f0-4737-9e8c-148ce897a09c">true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453CC0-7441-4519-ADD1-F74EDFAA97DD}">
  <ds:schemaRefs>
    <ds:schemaRef ds:uri="Microsoft.SharePoint.Taxonomy.ContentTypeSync"/>
  </ds:schemaRefs>
</ds:datastoreItem>
</file>

<file path=customXml/itemProps2.xml><?xml version="1.0" encoding="utf-8"?>
<ds:datastoreItem xmlns:ds="http://schemas.openxmlformats.org/officeDocument/2006/customXml" ds:itemID="{16451C76-7BC1-4205-B0EF-F0AAB1DED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BCEB2-DB5C-4C38-BA6C-526A4B5F6DFC}">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81176007-E965-48E4-9FB9-2DC4E19064C4}">
  <ds:schemaRefs>
    <ds:schemaRef ds:uri="http://schemas.microsoft.com/sharepoint/v3/contenttype/forms/url"/>
  </ds:schemaRefs>
</ds:datastoreItem>
</file>

<file path=customXml/itemProps5.xml><?xml version="1.0" encoding="utf-8"?>
<ds:datastoreItem xmlns:ds="http://schemas.openxmlformats.org/officeDocument/2006/customXml" ds:itemID="{19EC3070-1B42-4EC6-A401-5C06198DC6EC}">
  <ds:schemaRefs>
    <ds:schemaRef ds:uri="http://schemas.microsoft.com/sharepoint/v3/contenttype/forms"/>
  </ds:schemaRefs>
</ds:datastoreItem>
</file>

<file path=customXml/itemProps6.xml><?xml version="1.0" encoding="utf-8"?>
<ds:datastoreItem xmlns:ds="http://schemas.openxmlformats.org/officeDocument/2006/customXml" ds:itemID="{948EE2D3-517E-487B-9697-8D63AE4F78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Salazar, David Agustin</cp:lastModifiedBy>
  <cp:revision>77</cp:revision>
  <dcterms:created xsi:type="dcterms:W3CDTF">2019-02-25T17:20:00Z</dcterms:created>
  <dcterms:modified xsi:type="dcterms:W3CDTF">2019-03-02T18:17:00Z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Corporate IDB">
    <vt:lpwstr>336;#GOV-07 Policies and Procedures|3b89635c-b6ec-4e08-819f-3881ddae0f5b</vt:lpwstr>
  </property>
  <property fmtid="{D5CDD505-2E9C-101B-9397-08002B2CF9AE}" pid="3" name="Function Corporate IDB">
    <vt:lpwstr>335;#4 Governance|d48f69c4-9785-416c-9a0f-b99285e2bde9</vt:lpwstr>
  </property>
  <property fmtid="{D5CDD505-2E9C-101B-9397-08002B2CF9AE}" pid="4" name="_dlc_DocIdItemGuid">
    <vt:lpwstr>5414d17d-7ec2-4220-8a29-3f7aed108b28</vt:lpwstr>
  </property>
  <property fmtid="{D5CDD505-2E9C-101B-9397-08002B2CF9AE}" pid="5" name="TaxKeyword">
    <vt:lpwstr/>
  </property>
  <property fmtid="{D5CDD505-2E9C-101B-9397-08002B2CF9AE}" pid="6" name="TaxKeywordTaxHTField">
    <vt:lpwstr/>
  </property>
  <property fmtid="{D5CDD505-2E9C-101B-9397-08002B2CF9AE}" pid="7" name="Country">
    <vt:lpwstr/>
  </property>
  <property fmtid="{D5CDD505-2E9C-101B-9397-08002B2CF9AE}" pid="8" name="AuthorIds_UIVersion_2">
    <vt:lpwstr>940</vt:lpwstr>
  </property>
  <property fmtid="{D5CDD505-2E9C-101B-9397-08002B2CF9AE}" pid="9" name="AuthorIds_UIVersion_3">
    <vt:lpwstr>940</vt:lpwstr>
  </property>
  <property fmtid="{D5CDD505-2E9C-101B-9397-08002B2CF9AE}" pid="10" name="AuthorIds_UIVersion_4">
    <vt:lpwstr>940</vt:lpwstr>
  </property>
  <property fmtid="{D5CDD505-2E9C-101B-9397-08002B2CF9AE}" pid="11" name="Stage">
    <vt:lpwstr>Draft</vt:lpwstr>
  </property>
  <property fmtid="{D5CDD505-2E9C-101B-9397-08002B2CF9AE}" pid="12" name="Disclosed">
    <vt:bool>false</vt:bool>
  </property>
  <property fmtid="{D5CDD505-2E9C-101B-9397-08002B2CF9AE}" pid="13" name="ContentTypeId">
    <vt:lpwstr>0x01010066B06E59AB175241BBFB297522263BEB0073F8908D5DEBAD4385B516E09646285F</vt:lpwstr>
  </property>
  <property fmtid="{D5CDD505-2E9C-101B-9397-08002B2CF9AE}" pid="14" name="SharedWithUsers">
    <vt:lpwstr>4;#Everyone</vt:lpwstr>
  </property>
</Properties>
</file>