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495" w:type="dxa"/>
        <w:jc w:val="center"/>
        <w:tblLook w:val="04A0" w:firstRow="1" w:lastRow="0" w:firstColumn="1" w:lastColumn="0" w:noHBand="0" w:noVBand="1"/>
      </w:tblPr>
      <w:tblGrid>
        <w:gridCol w:w="2762"/>
        <w:gridCol w:w="1464"/>
        <w:gridCol w:w="4908"/>
        <w:gridCol w:w="4361"/>
      </w:tblGrid>
      <w:tr w:rsidR="001F5638" w:rsidRPr="00C2792F" w14:paraId="42983FE7" w14:textId="77777777" w:rsidTr="0013322E">
        <w:trPr>
          <w:trHeight w:val="620"/>
          <w:jc w:val="center"/>
        </w:trPr>
        <w:tc>
          <w:tcPr>
            <w:tcW w:w="2762" w:type="dxa"/>
            <w:shd w:val="clear" w:color="auto" w:fill="0070C0"/>
            <w:vAlign w:val="center"/>
          </w:tcPr>
          <w:p w14:paraId="6E3F40B9" w14:textId="2CF43349" w:rsidR="001F5638" w:rsidRPr="00C2792F" w:rsidRDefault="009F4A3D" w:rsidP="006D2939">
            <w:pPr>
              <w:pStyle w:val="Default"/>
              <w:jc w:val="center"/>
              <w:rPr>
                <w:color w:val="FFFFFF" w:themeColor="background1"/>
                <w:sz w:val="28"/>
                <w:szCs w:val="28"/>
                <w:lang w:val="pt-BR"/>
              </w:rPr>
            </w:pPr>
            <w:r w:rsidRPr="00C2792F">
              <w:rPr>
                <w:b/>
                <w:bCs/>
                <w:color w:val="FFFFFF" w:themeColor="background1"/>
                <w:sz w:val="28"/>
                <w:szCs w:val="28"/>
                <w:lang w:val="pt-BR"/>
              </w:rPr>
              <w:t>Seção</w:t>
            </w:r>
          </w:p>
        </w:tc>
        <w:tc>
          <w:tcPr>
            <w:tcW w:w="1464" w:type="dxa"/>
            <w:shd w:val="clear" w:color="auto" w:fill="0070C0"/>
            <w:vAlign w:val="center"/>
          </w:tcPr>
          <w:p w14:paraId="0BA2E029" w14:textId="69E7C3A3" w:rsidR="001F5638" w:rsidRPr="00C2792F" w:rsidRDefault="009F4A3D" w:rsidP="001F5638">
            <w:pPr>
              <w:pStyle w:val="ListParagraph"/>
              <w:ind w:left="-60"/>
              <w:jc w:val="center"/>
              <w:rPr>
                <w:rFonts w:ascii="Arial" w:eastAsia="Times New Roman" w:hAnsi="Arial" w:cs="Arial"/>
                <w:b/>
                <w:bCs/>
                <w:color w:val="FFFFFF" w:themeColor="background1"/>
                <w:sz w:val="28"/>
                <w:szCs w:val="20"/>
                <w:lang w:val="pt-BR"/>
              </w:rPr>
            </w:pPr>
            <w:r w:rsidRPr="00C2792F">
              <w:rPr>
                <w:rFonts w:ascii="Arial" w:eastAsia="Times New Roman" w:hAnsi="Arial" w:cs="Arial"/>
                <w:b/>
                <w:bCs/>
                <w:color w:val="FFFFFF" w:themeColor="background1"/>
                <w:sz w:val="28"/>
                <w:szCs w:val="20"/>
                <w:lang w:val="pt-BR"/>
              </w:rPr>
              <w:t>Parágrafo</w:t>
            </w:r>
          </w:p>
        </w:tc>
        <w:tc>
          <w:tcPr>
            <w:tcW w:w="4908" w:type="dxa"/>
            <w:shd w:val="clear" w:color="auto" w:fill="0070C0"/>
            <w:vAlign w:val="center"/>
          </w:tcPr>
          <w:p w14:paraId="2B3D8237" w14:textId="1634D00A" w:rsidR="001F5638" w:rsidRPr="00C2792F" w:rsidRDefault="009F4A3D" w:rsidP="00D662E0">
            <w:pPr>
              <w:jc w:val="center"/>
              <w:rPr>
                <w:rFonts w:asciiTheme="minorHAnsi" w:eastAsia="Times New Roman" w:hAnsiTheme="minorHAnsi" w:cstheme="minorHAnsi"/>
                <w:b/>
                <w:bCs/>
                <w:color w:val="FFFFFF" w:themeColor="background1"/>
                <w:sz w:val="18"/>
                <w:szCs w:val="18"/>
                <w:lang w:val="pt-BR"/>
              </w:rPr>
            </w:pPr>
            <w:r w:rsidRPr="00C2792F">
              <w:rPr>
                <w:rFonts w:ascii="Arial" w:eastAsia="Times New Roman" w:hAnsi="Arial" w:cs="Arial"/>
                <w:b/>
                <w:bCs/>
                <w:color w:val="FFFFFF" w:themeColor="background1"/>
                <w:sz w:val="28"/>
                <w:szCs w:val="20"/>
                <w:lang w:val="pt-BR"/>
              </w:rPr>
              <w:t>Mudanças Propostas</w:t>
            </w:r>
          </w:p>
        </w:tc>
        <w:tc>
          <w:tcPr>
            <w:tcW w:w="4361" w:type="dxa"/>
            <w:shd w:val="clear" w:color="auto" w:fill="0070C0"/>
            <w:vAlign w:val="center"/>
          </w:tcPr>
          <w:p w14:paraId="027E4E8E" w14:textId="0191EB12" w:rsidR="001F5638" w:rsidRPr="00C2792F" w:rsidRDefault="009F4A3D" w:rsidP="00D662E0">
            <w:pPr>
              <w:jc w:val="center"/>
              <w:rPr>
                <w:color w:val="FFFFFF" w:themeColor="background1"/>
                <w:sz w:val="28"/>
                <w:lang w:val="pt-BR"/>
              </w:rPr>
            </w:pPr>
            <w:r w:rsidRPr="00C2792F">
              <w:rPr>
                <w:rFonts w:ascii="Arial" w:eastAsia="Times New Roman" w:hAnsi="Arial" w:cs="Arial"/>
                <w:b/>
                <w:bCs/>
                <w:color w:val="FFFFFF" w:themeColor="background1"/>
                <w:sz w:val="28"/>
                <w:szCs w:val="20"/>
                <w:lang w:val="pt-BR"/>
              </w:rPr>
              <w:t>Comentários</w:t>
            </w:r>
          </w:p>
        </w:tc>
      </w:tr>
      <w:tr w:rsidR="006A2273" w:rsidRPr="00C2792F" w14:paraId="54F22925" w14:textId="77777777" w:rsidTr="0013322E">
        <w:trPr>
          <w:jc w:val="center"/>
        </w:trPr>
        <w:tc>
          <w:tcPr>
            <w:tcW w:w="2762" w:type="dxa"/>
            <w:vAlign w:val="center"/>
          </w:tcPr>
          <w:p w14:paraId="7EFE8C36" w14:textId="4EDD78AC" w:rsidR="006A2273" w:rsidRPr="00C2792F" w:rsidRDefault="00BA26EE" w:rsidP="006D2939">
            <w:pPr>
              <w:jc w:val="center"/>
              <w:rPr>
                <w:b/>
                <w:sz w:val="18"/>
                <w:szCs w:val="18"/>
                <w:lang w:val="pt-BR"/>
              </w:rPr>
            </w:pPr>
            <w:r w:rsidRPr="00C2792F">
              <w:rPr>
                <w:b/>
                <w:sz w:val="18"/>
                <w:szCs w:val="18"/>
                <w:lang w:val="pt-BR"/>
              </w:rPr>
              <w:t xml:space="preserve">Siglas, Abreviaturas </w:t>
            </w:r>
            <w:r w:rsidR="009F4A3D" w:rsidRPr="00C2792F">
              <w:rPr>
                <w:b/>
                <w:sz w:val="18"/>
                <w:szCs w:val="18"/>
                <w:lang w:val="pt-BR"/>
              </w:rPr>
              <w:t>e Definição de Termos</w:t>
            </w:r>
          </w:p>
        </w:tc>
        <w:tc>
          <w:tcPr>
            <w:tcW w:w="1464" w:type="dxa"/>
            <w:vAlign w:val="center"/>
          </w:tcPr>
          <w:p w14:paraId="0655E24A" w14:textId="77777777" w:rsidR="006A2273" w:rsidRPr="00C2792F" w:rsidRDefault="006A2273" w:rsidP="006D2939">
            <w:pPr>
              <w:jc w:val="center"/>
              <w:rPr>
                <w:rFonts w:ascii="Arial" w:eastAsia="Times New Roman" w:hAnsi="Arial" w:cs="Arial"/>
                <w:bCs/>
                <w:sz w:val="18"/>
                <w:szCs w:val="18"/>
                <w:lang w:val="pt-BR"/>
              </w:rPr>
            </w:pPr>
          </w:p>
        </w:tc>
        <w:tc>
          <w:tcPr>
            <w:tcW w:w="4908" w:type="dxa"/>
            <w:vAlign w:val="center"/>
          </w:tcPr>
          <w:p w14:paraId="27D6EF4D" w14:textId="216B4EBB" w:rsidR="006A2273" w:rsidRPr="00C2792F" w:rsidRDefault="00BA26EE" w:rsidP="00571B04">
            <w:pPr>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Ver tab</w:t>
            </w:r>
            <w:r w:rsidR="009F4A3D" w:rsidRPr="00C2792F">
              <w:rPr>
                <w:rFonts w:asciiTheme="minorHAnsi" w:hAnsiTheme="minorHAnsi" w:cstheme="minorHAnsi"/>
                <w:sz w:val="18"/>
                <w:szCs w:val="18"/>
                <w:lang w:val="pt-BR"/>
              </w:rPr>
              <w:t>e</w:t>
            </w:r>
            <w:r w:rsidRPr="00C2792F">
              <w:rPr>
                <w:rFonts w:asciiTheme="minorHAnsi" w:hAnsiTheme="minorHAnsi" w:cstheme="minorHAnsi"/>
                <w:sz w:val="18"/>
                <w:szCs w:val="18"/>
                <w:lang w:val="pt-BR"/>
              </w:rPr>
              <w:t>la</w:t>
            </w:r>
          </w:p>
        </w:tc>
        <w:tc>
          <w:tcPr>
            <w:tcW w:w="4361" w:type="dxa"/>
            <w:vAlign w:val="center"/>
          </w:tcPr>
          <w:p w14:paraId="7BA71C35" w14:textId="77777777" w:rsidR="006A2273" w:rsidRPr="00C2792F" w:rsidRDefault="006A2273" w:rsidP="00D662E0">
            <w:pPr>
              <w:rPr>
                <w:lang w:val="pt-BR"/>
              </w:rPr>
            </w:pPr>
          </w:p>
        </w:tc>
      </w:tr>
      <w:tr w:rsidR="001F5638" w:rsidRPr="00CD7864" w14:paraId="61551E4F" w14:textId="77777777" w:rsidTr="0013322E">
        <w:trPr>
          <w:jc w:val="center"/>
        </w:trPr>
        <w:tc>
          <w:tcPr>
            <w:tcW w:w="2762" w:type="dxa"/>
            <w:vAlign w:val="center"/>
          </w:tcPr>
          <w:p w14:paraId="1E9326EC" w14:textId="20E37CCF" w:rsidR="001F5638" w:rsidRPr="00C2792F" w:rsidRDefault="009F4A3D" w:rsidP="006D2939">
            <w:pPr>
              <w:jc w:val="center"/>
              <w:rPr>
                <w:b/>
                <w:sz w:val="18"/>
                <w:szCs w:val="18"/>
                <w:lang w:val="pt-BR"/>
              </w:rPr>
            </w:pPr>
            <w:bookmarkStart w:id="0" w:name="_Toc143318130"/>
            <w:r w:rsidRPr="00C2792F">
              <w:rPr>
                <w:rFonts w:asciiTheme="minorHAnsi" w:hAnsiTheme="minorHAnsi"/>
                <w:sz w:val="18"/>
                <w:szCs w:val="18"/>
                <w:lang w:val="pt-BR"/>
              </w:rPr>
              <w:t>Considerações</w:t>
            </w:r>
            <w:r w:rsidRPr="00C2792F">
              <w:rPr>
                <w:rFonts w:asciiTheme="minorHAnsi" w:hAnsiTheme="minorHAnsi"/>
                <w:spacing w:val="11"/>
                <w:sz w:val="18"/>
                <w:szCs w:val="18"/>
                <w:lang w:val="pt-BR"/>
              </w:rPr>
              <w:t xml:space="preserve"> </w:t>
            </w:r>
            <w:r w:rsidRPr="00C2792F">
              <w:rPr>
                <w:rFonts w:asciiTheme="minorHAnsi" w:hAnsiTheme="minorHAnsi"/>
                <w:sz w:val="18"/>
                <w:szCs w:val="18"/>
                <w:lang w:val="pt-BR"/>
              </w:rPr>
              <w:t>Gerais</w:t>
            </w:r>
            <w:bookmarkEnd w:id="0"/>
          </w:p>
        </w:tc>
        <w:tc>
          <w:tcPr>
            <w:tcW w:w="1464" w:type="dxa"/>
            <w:vAlign w:val="center"/>
          </w:tcPr>
          <w:p w14:paraId="20411AF9" w14:textId="6EB667CE" w:rsidR="001F5638" w:rsidRPr="00C2792F" w:rsidRDefault="001F5638" w:rsidP="006D2939">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 xml:space="preserve">1.2 </w:t>
            </w:r>
          </w:p>
        </w:tc>
        <w:tc>
          <w:tcPr>
            <w:tcW w:w="4908" w:type="dxa"/>
            <w:vAlign w:val="center"/>
          </w:tcPr>
          <w:p w14:paraId="0A6849FE" w14:textId="77777777" w:rsidR="009F4A3D" w:rsidRPr="00C2792F" w:rsidRDefault="009F4A3D" w:rsidP="009F4A3D">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sz w:val="18"/>
                <w:szCs w:val="18"/>
                <w:lang w:val="pt-BR"/>
              </w:rPr>
              <w:t xml:space="preserve">Compete ao Mutuário a responsabilidade pela implementação do projeto e, por conseguinte, pela adjudicação e administração de contratos abrangidos pelo projeto. Por sua vez, o Banco, de acordo com seu Convênio Constitutivo, “tomará as medidas necessárias para assegurar que os produtos de qualquer empréstimo que conceda ou garanta, ou em que tenha participação, se destinem unicamente aos fins para os quais o empréstimo tenha sido concedido, dando devida atenção às considerações de economia e eficiência”. Embora, na prática, as normas e os procedimentos específicos de aquisições e contratações a serem observados na implementação de um projeto dependam de cada caso em particular, </w:t>
            </w:r>
            <w:r w:rsidRPr="00C2792F">
              <w:rPr>
                <w:rFonts w:asciiTheme="minorHAnsi" w:hAnsiTheme="minorHAnsi" w:cstheme="minorHAnsi"/>
                <w:color w:val="FF0000"/>
                <w:sz w:val="18"/>
                <w:szCs w:val="18"/>
                <w:lang w:val="pt-BR"/>
              </w:rPr>
              <w:t>os seguintes princípios básicos de aquisições do Banco guiam as aquisições de acordo com estas Políticas:</w:t>
            </w:r>
          </w:p>
          <w:p w14:paraId="7543BE1D" w14:textId="08AB7D9E" w:rsidR="009F4A3D" w:rsidRPr="00C2792F" w:rsidRDefault="009F4A3D" w:rsidP="009F4A3D">
            <w:pPr>
              <w:numPr>
                <w:ilvl w:val="0"/>
                <w:numId w:val="13"/>
              </w:numPr>
              <w:tabs>
                <w:tab w:val="clear" w:pos="1375"/>
              </w:tabs>
              <w:suppressAutoHyphens/>
              <w:spacing w:after="120"/>
              <w:ind w:left="1260" w:hanging="540"/>
              <w:jc w:val="both"/>
              <w:rPr>
                <w:rFonts w:asciiTheme="minorHAnsi" w:hAnsiTheme="minorHAnsi" w:cstheme="minorHAnsi"/>
                <w:sz w:val="18"/>
                <w:szCs w:val="18"/>
                <w:lang w:val="pt-BR"/>
              </w:rPr>
            </w:pPr>
            <w:r w:rsidRPr="00C2792F">
              <w:rPr>
                <w:rFonts w:asciiTheme="minorHAnsi" w:hAnsiTheme="minorHAnsi" w:cstheme="minorHAnsi"/>
                <w:color w:val="FF0000"/>
                <w:sz w:val="18"/>
                <w:szCs w:val="18"/>
                <w:lang w:val="pt-BR"/>
              </w:rPr>
              <w:t xml:space="preserve">economia e eficiência </w:t>
            </w:r>
            <w:r w:rsidRPr="00C2792F">
              <w:rPr>
                <w:rFonts w:asciiTheme="minorHAnsi" w:hAnsiTheme="minorHAnsi" w:cstheme="minorHAnsi"/>
                <w:sz w:val="18"/>
                <w:szCs w:val="18"/>
                <w:lang w:val="pt-BR"/>
              </w:rPr>
              <w:t>na implementação do projeto, inclusive nas aquisições de bens e contratação de obras nele incluídas;</w:t>
            </w:r>
          </w:p>
          <w:p w14:paraId="42E15153" w14:textId="77777777" w:rsidR="009F4A3D" w:rsidRPr="00C2792F" w:rsidRDefault="009F4A3D" w:rsidP="009F4A3D">
            <w:pPr>
              <w:pStyle w:val="Paragrapha"/>
              <w:numPr>
                <w:ilvl w:val="0"/>
                <w:numId w:val="13"/>
              </w:numPr>
              <w:tabs>
                <w:tab w:val="clear" w:pos="1375"/>
              </w:tabs>
              <w:ind w:left="1260"/>
              <w:rPr>
                <w:rFonts w:asciiTheme="minorHAnsi" w:hAnsiTheme="minorHAnsi" w:cstheme="minorHAnsi"/>
                <w:sz w:val="18"/>
                <w:szCs w:val="18"/>
                <w:lang w:val="pt-BR"/>
              </w:rPr>
            </w:pPr>
            <w:r w:rsidRPr="00C2792F">
              <w:rPr>
                <w:rFonts w:asciiTheme="minorHAnsi" w:hAnsiTheme="minorHAnsi" w:cstheme="minorHAnsi"/>
                <w:spacing w:val="0"/>
                <w:sz w:val="18"/>
                <w:szCs w:val="18"/>
                <w:lang w:val="pt-BR"/>
              </w:rPr>
              <w:t>o interesse do Banco em oferecer a todos os licitantes elegíveis de países mutuários e não-mutuários, membros do Banco</w:t>
            </w:r>
            <w:r w:rsidRPr="00C2792F">
              <w:rPr>
                <w:rFonts w:asciiTheme="minorHAnsi" w:hAnsiTheme="minorHAnsi" w:cstheme="minorHAnsi"/>
                <w:spacing w:val="0"/>
                <w:sz w:val="18"/>
                <w:szCs w:val="18"/>
                <w:vertAlign w:val="superscript"/>
                <w:lang w:val="pt-BR"/>
              </w:rPr>
              <w:footnoteReference w:id="1"/>
            </w:r>
            <w:r w:rsidRPr="00C2792F">
              <w:rPr>
                <w:rFonts w:asciiTheme="minorHAnsi" w:hAnsiTheme="minorHAnsi" w:cstheme="minorHAnsi"/>
                <w:spacing w:val="0"/>
                <w:sz w:val="18"/>
                <w:szCs w:val="18"/>
                <w:lang w:val="pt-BR"/>
              </w:rPr>
              <w:t xml:space="preserve"> as mesmas informações e igual oportunidade de competir para o fornecimento de bens e a contratação de obras financiados pelo Banco</w:t>
            </w:r>
            <w:r w:rsidRPr="00C2792F">
              <w:rPr>
                <w:rFonts w:asciiTheme="minorHAnsi" w:hAnsiTheme="minorHAnsi" w:cstheme="minorHAnsi"/>
                <w:w w:val="102"/>
                <w:sz w:val="18"/>
                <w:szCs w:val="18"/>
                <w:lang w:val="pt-BR"/>
              </w:rPr>
              <w:t>;</w:t>
            </w:r>
          </w:p>
          <w:p w14:paraId="58F9C17B" w14:textId="77777777" w:rsidR="009F4A3D" w:rsidRPr="00C2792F" w:rsidRDefault="009F4A3D" w:rsidP="009F4A3D">
            <w:pPr>
              <w:pStyle w:val="Paragrapha"/>
              <w:numPr>
                <w:ilvl w:val="0"/>
                <w:numId w:val="13"/>
              </w:numPr>
              <w:tabs>
                <w:tab w:val="clear" w:pos="1375"/>
              </w:tabs>
              <w:ind w:left="1260"/>
              <w:rPr>
                <w:rFonts w:asciiTheme="minorHAnsi" w:hAnsiTheme="minorHAnsi" w:cstheme="minorHAnsi"/>
                <w:spacing w:val="0"/>
                <w:sz w:val="18"/>
                <w:szCs w:val="18"/>
                <w:lang w:val="pt-BR"/>
              </w:rPr>
            </w:pPr>
            <w:r w:rsidRPr="00C2792F">
              <w:rPr>
                <w:rFonts w:asciiTheme="minorHAnsi" w:hAnsiTheme="minorHAnsi" w:cstheme="minorHAnsi"/>
                <w:spacing w:val="0"/>
                <w:sz w:val="18"/>
                <w:szCs w:val="18"/>
                <w:lang w:val="pt-BR"/>
              </w:rPr>
              <w:t>o interesse do Banco em estimular o desenvolvimento da construção civil e da indústria nacional do país Mutuário; e</w:t>
            </w:r>
          </w:p>
          <w:p w14:paraId="00806DD8" w14:textId="77777777" w:rsidR="009F4A3D" w:rsidRPr="00C2792F" w:rsidRDefault="009F4A3D" w:rsidP="009F4A3D">
            <w:pPr>
              <w:pStyle w:val="Paragrapha"/>
              <w:numPr>
                <w:ilvl w:val="0"/>
                <w:numId w:val="13"/>
              </w:numPr>
              <w:tabs>
                <w:tab w:val="clear" w:pos="1375"/>
              </w:tabs>
              <w:ind w:left="1260"/>
              <w:rPr>
                <w:rFonts w:asciiTheme="minorHAnsi" w:hAnsiTheme="minorHAnsi" w:cstheme="minorHAnsi"/>
                <w:sz w:val="18"/>
                <w:szCs w:val="18"/>
                <w:lang w:val="pt-BR"/>
              </w:rPr>
            </w:pPr>
            <w:r w:rsidRPr="00C2792F">
              <w:rPr>
                <w:rFonts w:asciiTheme="minorHAnsi" w:hAnsiTheme="minorHAnsi" w:cstheme="minorHAnsi"/>
                <w:spacing w:val="0"/>
                <w:sz w:val="18"/>
                <w:szCs w:val="18"/>
                <w:lang w:val="pt-BR"/>
              </w:rPr>
              <w:t>a importância da transparência no processo de aquisições</w:t>
            </w:r>
            <w:r w:rsidRPr="00C2792F">
              <w:rPr>
                <w:rFonts w:asciiTheme="minorHAnsi" w:hAnsiTheme="minorHAnsi" w:cstheme="minorHAnsi"/>
                <w:color w:val="FF0000"/>
                <w:sz w:val="18"/>
                <w:szCs w:val="18"/>
                <w:lang w:val="pt-BR"/>
              </w:rPr>
              <w:t>;</w:t>
            </w:r>
            <w:r w:rsidRPr="00C2792F">
              <w:rPr>
                <w:rFonts w:asciiTheme="minorHAnsi" w:hAnsiTheme="minorHAnsi" w:cstheme="minorHAnsi"/>
                <w:sz w:val="18"/>
                <w:szCs w:val="18"/>
                <w:lang w:val="pt-BR"/>
              </w:rPr>
              <w:fldChar w:fldCharType="begin"/>
            </w:r>
            <w:r w:rsidRPr="00C2792F">
              <w:rPr>
                <w:rFonts w:asciiTheme="minorHAnsi" w:hAnsiTheme="minorHAnsi" w:cstheme="minorHAnsi"/>
                <w:sz w:val="18"/>
                <w:szCs w:val="18"/>
                <w:lang w:val="pt-BR"/>
              </w:rPr>
              <w:instrText>ADVANCE \D 6.0</w:instrText>
            </w:r>
            <w:r w:rsidRPr="00C2792F">
              <w:rPr>
                <w:rFonts w:asciiTheme="minorHAnsi" w:hAnsiTheme="minorHAnsi" w:cstheme="minorHAnsi"/>
                <w:sz w:val="18"/>
                <w:szCs w:val="18"/>
                <w:lang w:val="pt-BR"/>
              </w:rPr>
              <w:fldChar w:fldCharType="end"/>
            </w:r>
          </w:p>
          <w:p w14:paraId="5A02A8FF" w14:textId="77777777" w:rsidR="009F4A3D" w:rsidRPr="00C2792F" w:rsidRDefault="009F4A3D" w:rsidP="009F4A3D">
            <w:pPr>
              <w:pStyle w:val="Paragrapha"/>
              <w:numPr>
                <w:ilvl w:val="0"/>
                <w:numId w:val="13"/>
              </w:numPr>
              <w:tabs>
                <w:tab w:val="clear" w:pos="1375"/>
              </w:tabs>
              <w:ind w:left="1260"/>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 xml:space="preserve">Adequado ao Propósito: o princípio de adequação ao propósito aplica-se tanto aos resultados esperados quanto aos acordos de </w:t>
            </w:r>
            <w:r w:rsidRPr="00C2792F">
              <w:rPr>
                <w:rFonts w:asciiTheme="minorHAnsi" w:hAnsiTheme="minorHAnsi" w:cstheme="minorHAnsi"/>
                <w:color w:val="FF0000"/>
                <w:sz w:val="18"/>
                <w:szCs w:val="18"/>
                <w:lang w:val="pt-BR"/>
              </w:rPr>
              <w:lastRenderedPageBreak/>
              <w:t>aquisição para determinar a abordagem mais adequada para atender aos objetivos e resultados de desenvolvimento do projeto, considerando o contexto, o risco, valor, natureza e complexidade da aquisição;</w:t>
            </w:r>
          </w:p>
          <w:p w14:paraId="330536A8" w14:textId="622961FD" w:rsidR="001F5638" w:rsidRPr="00C2792F" w:rsidRDefault="009F4A3D" w:rsidP="00571B04">
            <w:pPr>
              <w:pStyle w:val="Paragrapha"/>
              <w:numPr>
                <w:ilvl w:val="0"/>
                <w:numId w:val="13"/>
              </w:numPr>
              <w:tabs>
                <w:tab w:val="clear" w:pos="1375"/>
                <w:tab w:val="num" w:pos="1260"/>
              </w:tabs>
              <w:ind w:left="1260"/>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Integridade: o princípio da integridade refere-se ao financiamento do Banco sendo usado para as finalidades pretendidas e boas práticas de gestão, e requer que todas as partes envolvidas no processo de aquisição observem o mais alto padrão ético durante o processo de aquisição, contratação e execução dos projetos financiados pelo Banco, abstendo-se de práticas proibidas, de acordo com o parágrafo 1.16.</w:t>
            </w:r>
          </w:p>
        </w:tc>
        <w:tc>
          <w:tcPr>
            <w:tcW w:w="4361" w:type="dxa"/>
            <w:vAlign w:val="center"/>
          </w:tcPr>
          <w:p w14:paraId="616E58E4" w14:textId="6D56B907" w:rsidR="001F5638" w:rsidRPr="00C2792F" w:rsidRDefault="001F5638" w:rsidP="00D662E0">
            <w:pPr>
              <w:rPr>
                <w:lang w:val="pt-BR"/>
              </w:rPr>
            </w:pPr>
          </w:p>
        </w:tc>
      </w:tr>
      <w:tr w:rsidR="005B6E43" w:rsidRPr="00CD7864" w14:paraId="1E50A43E" w14:textId="77777777" w:rsidTr="0013322E">
        <w:trPr>
          <w:jc w:val="center"/>
        </w:trPr>
        <w:tc>
          <w:tcPr>
            <w:tcW w:w="2762" w:type="dxa"/>
            <w:vAlign w:val="center"/>
          </w:tcPr>
          <w:p w14:paraId="550E6C0F" w14:textId="77777777" w:rsidR="005B6E43" w:rsidRPr="00C2792F" w:rsidRDefault="005B6E43" w:rsidP="006D2939">
            <w:pPr>
              <w:jc w:val="center"/>
              <w:rPr>
                <w:sz w:val="18"/>
                <w:szCs w:val="18"/>
                <w:lang w:val="pt-BR"/>
              </w:rPr>
            </w:pPr>
          </w:p>
        </w:tc>
        <w:tc>
          <w:tcPr>
            <w:tcW w:w="1464" w:type="dxa"/>
            <w:vAlign w:val="center"/>
          </w:tcPr>
          <w:p w14:paraId="25545A89" w14:textId="457A0749" w:rsidR="005B6E43" w:rsidRPr="00C2792F" w:rsidRDefault="005B6E43"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1.3</w:t>
            </w:r>
          </w:p>
        </w:tc>
        <w:tc>
          <w:tcPr>
            <w:tcW w:w="4908" w:type="dxa"/>
            <w:vAlign w:val="center"/>
          </w:tcPr>
          <w:p w14:paraId="30220081" w14:textId="1E37538A" w:rsidR="005B6E43" w:rsidRPr="00C2792F" w:rsidRDefault="009F4A3D" w:rsidP="002E3B0D">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A concorrência aberta é a base da licitação pública eficiente. Os Mutuários devem selecionar o método mais apropriado de aquisição. Na maioria dos casos</w:t>
            </w:r>
            <w:r w:rsidRPr="00C2792F">
              <w:rPr>
                <w:rFonts w:asciiTheme="minorHAnsi" w:hAnsiTheme="minorHAnsi" w:cstheme="minorHAnsi"/>
                <w:color w:val="FF0000"/>
                <w:sz w:val="18"/>
                <w:szCs w:val="18"/>
                <w:lang w:val="pt-BR"/>
              </w:rPr>
              <w:t xml:space="preserve">, a menos que justificado na estratégia de aquisição, conforme requerido no Apêndice 1 destas Políticas, bem como considerações de adequação ao propósito, </w:t>
            </w:r>
            <w:r w:rsidRPr="00C2792F">
              <w:rPr>
                <w:rFonts w:asciiTheme="minorHAnsi" w:hAnsiTheme="minorHAnsi" w:cstheme="minorHAnsi"/>
                <w:sz w:val="18"/>
                <w:szCs w:val="18"/>
                <w:lang w:val="pt-BR"/>
              </w:rPr>
              <w:t xml:space="preserve">o método mais apropriado </w:t>
            </w:r>
            <w:r w:rsidRPr="00C2792F">
              <w:rPr>
                <w:rFonts w:asciiTheme="minorHAnsi" w:hAnsiTheme="minorHAnsi" w:cstheme="minorHAnsi"/>
                <w:color w:val="FF0000"/>
                <w:sz w:val="18"/>
                <w:szCs w:val="18"/>
                <w:lang w:val="pt-BR"/>
              </w:rPr>
              <w:t xml:space="preserve">será </w:t>
            </w:r>
            <w:r w:rsidRPr="00C2792F">
              <w:rPr>
                <w:rFonts w:asciiTheme="minorHAnsi" w:hAnsiTheme="minorHAnsi" w:cstheme="minorHAnsi"/>
                <w:sz w:val="18"/>
                <w:szCs w:val="18"/>
                <w:lang w:val="pt-BR"/>
              </w:rPr>
              <w:t xml:space="preserve">a Concorrência Pública Internacional (CPI), </w:t>
            </w:r>
            <w:r w:rsidRPr="00C2792F">
              <w:rPr>
                <w:rFonts w:asciiTheme="minorHAnsi" w:hAnsiTheme="minorHAnsi" w:cstheme="minorHAnsi"/>
                <w:color w:val="FF0000"/>
                <w:sz w:val="18"/>
                <w:szCs w:val="18"/>
                <w:lang w:val="pt-BR"/>
              </w:rPr>
              <w:t>seja como Solicitude de Oferta (SDO) ou como Solicitude de Proposta (SDP),</w:t>
            </w:r>
            <w:r w:rsidRPr="00C2792F">
              <w:rPr>
                <w:rFonts w:asciiTheme="minorHAnsi" w:hAnsiTheme="minorHAnsi" w:cstheme="minorHAnsi"/>
                <w:sz w:val="18"/>
                <w:szCs w:val="18"/>
                <w:lang w:val="pt-BR"/>
              </w:rPr>
              <w:t xml:space="preserve"> quando devidamente administrada e permitida a inclusão, no edital, de margens de preferência para bens de produção nacional, de acordo com as condições prescritas, é de seleção. Na maioria dos casos, portanto, o Banco exige que os Mutuários adquiram bens, contratem obras e serviços por meio de uma CPI aberta a Fornecedores e Empreiteiros elegíveis.</w:t>
            </w:r>
            <w:r w:rsidRPr="00C2792F">
              <w:rPr>
                <w:rFonts w:asciiTheme="minorHAnsi" w:hAnsiTheme="minorHAnsi" w:cstheme="minorHAnsi"/>
                <w:sz w:val="18"/>
                <w:szCs w:val="18"/>
                <w:vertAlign w:val="superscript"/>
                <w:lang w:val="pt-BR"/>
              </w:rPr>
              <w:footnoteReference w:id="2"/>
            </w:r>
            <w:r w:rsidRPr="00C2792F">
              <w:rPr>
                <w:rFonts w:asciiTheme="minorHAnsi" w:hAnsiTheme="minorHAnsi" w:cstheme="minorHAnsi"/>
                <w:sz w:val="18"/>
                <w:szCs w:val="18"/>
                <w:lang w:val="pt-BR"/>
              </w:rPr>
              <w:t xml:space="preserve"> Os procedimentos aplicáveis à CPI encontram-se descritos na Seção II destas Políticas.</w:t>
            </w:r>
          </w:p>
        </w:tc>
        <w:tc>
          <w:tcPr>
            <w:tcW w:w="4361" w:type="dxa"/>
            <w:vAlign w:val="center"/>
          </w:tcPr>
          <w:p w14:paraId="237A1A53" w14:textId="77777777" w:rsidR="005B6E43" w:rsidRPr="00C2792F" w:rsidRDefault="005B6E43" w:rsidP="00D662E0">
            <w:pPr>
              <w:rPr>
                <w:lang w:val="pt-BR"/>
              </w:rPr>
            </w:pPr>
          </w:p>
        </w:tc>
      </w:tr>
      <w:tr w:rsidR="001F5638" w:rsidRPr="00CD7864" w14:paraId="5BE49BA0" w14:textId="77777777" w:rsidTr="0013322E">
        <w:trPr>
          <w:jc w:val="center"/>
        </w:trPr>
        <w:tc>
          <w:tcPr>
            <w:tcW w:w="2762" w:type="dxa"/>
            <w:vAlign w:val="center"/>
          </w:tcPr>
          <w:p w14:paraId="67535B3F" w14:textId="77777777" w:rsidR="001F5638" w:rsidRPr="00C2792F" w:rsidRDefault="001F5638" w:rsidP="006D2939">
            <w:pPr>
              <w:jc w:val="center"/>
              <w:rPr>
                <w:sz w:val="18"/>
                <w:szCs w:val="18"/>
                <w:lang w:val="pt-BR"/>
              </w:rPr>
            </w:pPr>
          </w:p>
        </w:tc>
        <w:tc>
          <w:tcPr>
            <w:tcW w:w="1464" w:type="dxa"/>
            <w:vAlign w:val="center"/>
          </w:tcPr>
          <w:p w14:paraId="03E071B5" w14:textId="45AEAD03" w:rsidR="001F5638" w:rsidRPr="00C2792F" w:rsidRDefault="001F5638"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1.4</w:t>
            </w:r>
          </w:p>
        </w:tc>
        <w:tc>
          <w:tcPr>
            <w:tcW w:w="4908" w:type="dxa"/>
            <w:vAlign w:val="center"/>
          </w:tcPr>
          <w:p w14:paraId="5476DCDB" w14:textId="54B98125" w:rsidR="001F5638" w:rsidRPr="00C2792F" w:rsidRDefault="009F4A3D" w:rsidP="002E3B0D">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Quando a CPI não for o método de aquisição mais apropriado, outros métodos de aquisição poderão ser usados. A Seção III descreve os métodos de aquisição alternativos e as circunstâncias em que sua aplicação seria mais apropriada </w:t>
            </w:r>
            <w:r w:rsidRPr="00C2792F">
              <w:rPr>
                <w:rFonts w:asciiTheme="minorHAnsi" w:hAnsiTheme="minorHAnsi" w:cstheme="minorHAnsi"/>
                <w:color w:val="FF0000"/>
                <w:sz w:val="18"/>
                <w:szCs w:val="18"/>
                <w:lang w:val="pt-BR"/>
              </w:rPr>
              <w:t>para a implementação de procedimentos que reflitam a otimização da relação custo-benefício durante o ciclo de compras e que respeitem os princípios de contratação do Banco</w:t>
            </w:r>
            <w:r w:rsidRPr="00C2792F">
              <w:rPr>
                <w:rFonts w:asciiTheme="minorHAnsi" w:hAnsiTheme="minorHAnsi" w:cstheme="minorHAnsi"/>
                <w:sz w:val="18"/>
                <w:szCs w:val="18"/>
                <w:lang w:val="pt-BR"/>
              </w:rPr>
              <w:t xml:space="preserve">.  Os métodos específicos que podem ser seguidos para as licitações no âmbito </w:t>
            </w:r>
            <w:r w:rsidRPr="00C2792F">
              <w:rPr>
                <w:rFonts w:asciiTheme="minorHAnsi" w:hAnsiTheme="minorHAnsi" w:cstheme="minorHAnsi"/>
                <w:sz w:val="18"/>
                <w:szCs w:val="18"/>
                <w:lang w:val="pt-BR"/>
              </w:rPr>
              <w:lastRenderedPageBreak/>
              <w:t>de cada projeto encontram-se discriminados no Contrato de Empréstimo. Os contratos específicos a serem financiados no âmbito do projeto e seu método de aquisição, em conformidade com o Contrato de Empréstimo, estão definidos no Plano de Aquisições, como indicado no parágrafo 1.18 destas Políticas.</w:t>
            </w:r>
          </w:p>
        </w:tc>
        <w:tc>
          <w:tcPr>
            <w:tcW w:w="4361" w:type="dxa"/>
            <w:vAlign w:val="center"/>
          </w:tcPr>
          <w:p w14:paraId="7B5A8D1D" w14:textId="77777777" w:rsidR="001F5638" w:rsidRPr="00C2792F" w:rsidRDefault="001F5638" w:rsidP="00D662E0">
            <w:pPr>
              <w:rPr>
                <w:lang w:val="pt-BR"/>
              </w:rPr>
            </w:pPr>
          </w:p>
        </w:tc>
      </w:tr>
      <w:tr w:rsidR="001F5638" w:rsidRPr="00CD7864" w14:paraId="7471CB66" w14:textId="77777777" w:rsidTr="0013322E">
        <w:trPr>
          <w:jc w:val="center"/>
        </w:trPr>
        <w:tc>
          <w:tcPr>
            <w:tcW w:w="2762" w:type="dxa"/>
            <w:vAlign w:val="center"/>
          </w:tcPr>
          <w:p w14:paraId="21D23AC0" w14:textId="77777777" w:rsidR="009F4A3D" w:rsidRPr="00C2792F" w:rsidRDefault="009F4A3D" w:rsidP="009F4A3D">
            <w:pPr>
              <w:spacing w:after="120"/>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Arranjos alternativos para as aquisições</w:t>
            </w:r>
          </w:p>
          <w:p w14:paraId="6C334055" w14:textId="64B8D50D" w:rsidR="001F5638" w:rsidRPr="00C2792F" w:rsidRDefault="001F5638" w:rsidP="006D2939">
            <w:pPr>
              <w:jc w:val="center"/>
              <w:rPr>
                <w:sz w:val="18"/>
                <w:szCs w:val="18"/>
                <w:lang w:val="pt-BR"/>
              </w:rPr>
            </w:pPr>
          </w:p>
        </w:tc>
        <w:tc>
          <w:tcPr>
            <w:tcW w:w="1464" w:type="dxa"/>
            <w:vAlign w:val="center"/>
          </w:tcPr>
          <w:p w14:paraId="0537FCB6" w14:textId="07A3345A" w:rsidR="001F5638" w:rsidRPr="00C2792F" w:rsidRDefault="001F5638"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1.6</w:t>
            </w:r>
          </w:p>
        </w:tc>
        <w:tc>
          <w:tcPr>
            <w:tcW w:w="4908" w:type="dxa"/>
            <w:vAlign w:val="center"/>
          </w:tcPr>
          <w:p w14:paraId="4FE68119" w14:textId="3CDA0607" w:rsidR="001F5638" w:rsidRPr="00C2792F" w:rsidRDefault="009F4A3D" w:rsidP="009F4A3D">
            <w:pPr>
              <w:suppressAutoHyphens/>
              <w:spacing w:after="120"/>
              <w:contextualSpacing/>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Quando o Mutuário solicitar, o Banco poderá, sujeito as suas políticas, normas e requisitos operativos e aplicáveis, acordar utilizar e aplicar as normas e procedimentos de aquisições de outra agência ou organização multilateral ou bilateral e poderá acordar que tal entidade assuma uma posição de liderança em apoio a execução e o monitoramento das atividades de aquisição por meio de acordos de confiança mútua. Tais acordos devem ser consistentes com os Princípios Básicos de Aquisição do Banco e com as provisões estabelecidas no parágrafo 1.2 e assegurar que as Práticas Proibidas e os Procedimentos de Sanções do Banco, bem como as soluções contratuais estabelecidas nos Contratos de Empréstimo, permitam confiar nas políticas da instituição líder designada.</w:t>
            </w:r>
          </w:p>
        </w:tc>
        <w:tc>
          <w:tcPr>
            <w:tcW w:w="4361" w:type="dxa"/>
            <w:vAlign w:val="center"/>
          </w:tcPr>
          <w:p w14:paraId="0E5BD7C8" w14:textId="77777777" w:rsidR="001F5638" w:rsidRPr="00C2792F" w:rsidRDefault="001F5638" w:rsidP="00D662E0">
            <w:pPr>
              <w:rPr>
                <w:lang w:val="pt-BR"/>
              </w:rPr>
            </w:pPr>
          </w:p>
        </w:tc>
      </w:tr>
      <w:tr w:rsidR="001F5638" w:rsidRPr="00CD7864" w14:paraId="68C182F1" w14:textId="77777777" w:rsidTr="0013322E">
        <w:trPr>
          <w:jc w:val="center"/>
        </w:trPr>
        <w:tc>
          <w:tcPr>
            <w:tcW w:w="2762" w:type="dxa"/>
            <w:vAlign w:val="center"/>
          </w:tcPr>
          <w:p w14:paraId="37DD1A48" w14:textId="77777777" w:rsidR="009F4A3D" w:rsidRPr="00C2792F" w:rsidRDefault="009F4A3D" w:rsidP="009F4A3D">
            <w:pPr>
              <w:pStyle w:val="ListParagraph"/>
              <w:spacing w:after="120"/>
              <w:ind w:left="405"/>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Uso de Sistemas de País</w:t>
            </w:r>
          </w:p>
          <w:p w14:paraId="77A79A9B" w14:textId="77777777" w:rsidR="001F5638" w:rsidRPr="00C2792F" w:rsidRDefault="001F5638" w:rsidP="001F5638">
            <w:pPr>
              <w:jc w:val="center"/>
              <w:rPr>
                <w:b/>
                <w:sz w:val="18"/>
                <w:szCs w:val="18"/>
                <w:lang w:val="pt-BR"/>
              </w:rPr>
            </w:pPr>
          </w:p>
        </w:tc>
        <w:tc>
          <w:tcPr>
            <w:tcW w:w="1464" w:type="dxa"/>
            <w:vAlign w:val="center"/>
          </w:tcPr>
          <w:p w14:paraId="73E32E9B" w14:textId="4C2E4FA5" w:rsidR="001F5638" w:rsidRPr="00C2792F" w:rsidRDefault="001F5638"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1.7</w:t>
            </w:r>
          </w:p>
        </w:tc>
        <w:tc>
          <w:tcPr>
            <w:tcW w:w="4908" w:type="dxa"/>
            <w:vAlign w:val="center"/>
          </w:tcPr>
          <w:p w14:paraId="6D7FEBB7" w14:textId="6E5EC62C" w:rsidR="002E3B0D" w:rsidRPr="00C2792F" w:rsidRDefault="009F4A3D" w:rsidP="002E3B0D">
            <w:pPr>
              <w:suppressAutoHyphens/>
              <w:spacing w:after="120"/>
              <w:contextualSpacing/>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Por solicitação do Mutuário, o Banco pode se apoiar e aplicar as regras, procedimentos e sistemas de aquisição do Mutuário nacional o subnacional, ou agência do Mutuário quando cumprir com as normas internacionais de acordo com as avaliações do Banco e for aceitável para o Banco, desde que sejam consistentes com os Princípios Básicos de Aquisição do Banco e tenham sido satisfatoriamente avaliados</w:t>
            </w:r>
            <w:r w:rsidRPr="00C2792F">
              <w:rPr>
                <w:rStyle w:val="FootnoteReference"/>
                <w:rFonts w:asciiTheme="minorHAnsi" w:hAnsiTheme="minorHAnsi" w:cstheme="minorHAnsi"/>
                <w:color w:val="FF0000"/>
                <w:sz w:val="18"/>
                <w:szCs w:val="18"/>
                <w:lang w:val="pt-BR"/>
              </w:rPr>
              <w:footnoteReference w:id="3"/>
            </w:r>
            <w:r w:rsidRPr="00C2792F">
              <w:rPr>
                <w:rFonts w:asciiTheme="minorHAnsi" w:hAnsiTheme="minorHAnsi" w:cstheme="minorHAnsi"/>
                <w:color w:val="FF0000"/>
                <w:sz w:val="18"/>
                <w:szCs w:val="18"/>
                <w:lang w:val="pt-BR"/>
              </w:rPr>
              <w:t xml:space="preserve"> e considerados aceitáveis pelo Banco.</w:t>
            </w:r>
          </w:p>
        </w:tc>
        <w:tc>
          <w:tcPr>
            <w:tcW w:w="4361" w:type="dxa"/>
            <w:vAlign w:val="center"/>
          </w:tcPr>
          <w:p w14:paraId="32FE81AC" w14:textId="77777777" w:rsidR="001F5638" w:rsidRPr="00C2792F" w:rsidRDefault="001F5638" w:rsidP="00D662E0">
            <w:pPr>
              <w:rPr>
                <w:lang w:val="pt-BR"/>
              </w:rPr>
            </w:pPr>
          </w:p>
        </w:tc>
      </w:tr>
      <w:tr w:rsidR="00AE71DB" w:rsidRPr="00CD7864" w14:paraId="573978E3" w14:textId="77777777" w:rsidTr="0013322E">
        <w:trPr>
          <w:jc w:val="center"/>
        </w:trPr>
        <w:tc>
          <w:tcPr>
            <w:tcW w:w="2762" w:type="dxa"/>
            <w:vAlign w:val="center"/>
          </w:tcPr>
          <w:p w14:paraId="127F45A3" w14:textId="3023C19C" w:rsidR="00AE71DB" w:rsidRPr="00C2792F" w:rsidRDefault="00BA22E7" w:rsidP="006D2939">
            <w:pPr>
              <w:jc w:val="center"/>
              <w:rPr>
                <w:b/>
                <w:sz w:val="18"/>
                <w:szCs w:val="18"/>
                <w:lang w:val="pt-BR"/>
              </w:rPr>
            </w:pPr>
            <w:r w:rsidRPr="00C2792F">
              <w:rPr>
                <w:b/>
                <w:sz w:val="18"/>
                <w:szCs w:val="18"/>
                <w:lang w:val="pt-BR"/>
              </w:rPr>
              <w:t>Elegibilidad</w:t>
            </w:r>
            <w:r w:rsidR="009F4A3D" w:rsidRPr="00C2792F">
              <w:rPr>
                <w:b/>
                <w:sz w:val="18"/>
                <w:szCs w:val="18"/>
                <w:lang w:val="pt-BR"/>
              </w:rPr>
              <w:t>e</w:t>
            </w:r>
          </w:p>
        </w:tc>
        <w:tc>
          <w:tcPr>
            <w:tcW w:w="1464" w:type="dxa"/>
            <w:vAlign w:val="center"/>
          </w:tcPr>
          <w:p w14:paraId="379F307E" w14:textId="6A0DA8A6" w:rsidR="00AE71DB" w:rsidRPr="00C2792F" w:rsidRDefault="00AE71DB"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1.10</w:t>
            </w:r>
          </w:p>
        </w:tc>
        <w:tc>
          <w:tcPr>
            <w:tcW w:w="4908" w:type="dxa"/>
            <w:vAlign w:val="center"/>
          </w:tcPr>
          <w:p w14:paraId="58633A8C" w14:textId="6FE4211A" w:rsidR="009F4A3D" w:rsidRPr="00C2792F" w:rsidRDefault="009F4A3D" w:rsidP="009F4A3D">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São exceções à regra do parágrafo acima: </w:t>
            </w:r>
          </w:p>
          <w:p w14:paraId="7114270A" w14:textId="03A2ADB0" w:rsidR="00191A97" w:rsidRPr="00C2792F" w:rsidRDefault="009F4A3D" w:rsidP="009F4A3D">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(d) Como exceção ao item (c), quando os serviços de empresas estatais, no país do Mutuário, são de natureza única e excepcional e sua participação é fundamental para a implementação do projeto, o Banco pode concordar com a contratação dessas instituições caso a caso.</w:t>
            </w:r>
          </w:p>
        </w:tc>
        <w:tc>
          <w:tcPr>
            <w:tcW w:w="4361" w:type="dxa"/>
            <w:vAlign w:val="center"/>
          </w:tcPr>
          <w:p w14:paraId="2D2A9F99" w14:textId="77777777" w:rsidR="00AE71DB" w:rsidRPr="00C2792F" w:rsidRDefault="00AE71DB" w:rsidP="00D662E0">
            <w:pPr>
              <w:rPr>
                <w:lang w:val="pt-BR"/>
              </w:rPr>
            </w:pPr>
          </w:p>
        </w:tc>
      </w:tr>
      <w:tr w:rsidR="009E48C2" w:rsidRPr="00CD7864" w14:paraId="1C7DC149" w14:textId="77777777" w:rsidTr="0013322E">
        <w:trPr>
          <w:jc w:val="center"/>
        </w:trPr>
        <w:tc>
          <w:tcPr>
            <w:tcW w:w="2762" w:type="dxa"/>
            <w:vAlign w:val="center"/>
          </w:tcPr>
          <w:p w14:paraId="60525899" w14:textId="070E8598" w:rsidR="009E48C2" w:rsidRPr="00C2792F" w:rsidRDefault="009F4A3D" w:rsidP="009F4A3D">
            <w:pPr>
              <w:pStyle w:val="Heading2"/>
              <w:tabs>
                <w:tab w:val="clear" w:pos="547"/>
                <w:tab w:val="clear" w:pos="1080"/>
              </w:tabs>
              <w:jc w:val="center"/>
              <w:outlineLvl w:val="1"/>
              <w:rPr>
                <w:rFonts w:asciiTheme="minorHAnsi" w:hAnsiTheme="minorHAnsi"/>
                <w:sz w:val="18"/>
                <w:szCs w:val="18"/>
                <w:lang w:val="pt-BR"/>
              </w:rPr>
            </w:pPr>
            <w:bookmarkStart w:id="1" w:name="_Toc143318133"/>
            <w:bookmarkStart w:id="2" w:name="_Toc364483365"/>
            <w:bookmarkStart w:id="3" w:name="Advance_Contracting_and_Retroactive_Fin"/>
            <w:bookmarkStart w:id="4" w:name="_Toc358896351"/>
            <w:bookmarkStart w:id="5" w:name="_Toc458086051"/>
            <w:r w:rsidRPr="00C2792F">
              <w:rPr>
                <w:rFonts w:asciiTheme="minorHAnsi" w:hAnsiTheme="minorHAnsi"/>
                <w:sz w:val="18"/>
                <w:szCs w:val="18"/>
                <w:lang w:val="pt-BR"/>
              </w:rPr>
              <w:lastRenderedPageBreak/>
              <w:t>Contratação</w:t>
            </w:r>
            <w:r w:rsidRPr="00C2792F">
              <w:rPr>
                <w:rFonts w:asciiTheme="minorHAnsi" w:hAnsiTheme="minorHAnsi"/>
                <w:spacing w:val="7"/>
                <w:sz w:val="18"/>
                <w:szCs w:val="18"/>
                <w:lang w:val="pt-BR"/>
              </w:rPr>
              <w:t xml:space="preserve"> </w:t>
            </w:r>
            <w:r w:rsidRPr="00C2792F">
              <w:rPr>
                <w:rFonts w:asciiTheme="minorHAnsi" w:hAnsiTheme="minorHAnsi"/>
                <w:sz w:val="18"/>
                <w:szCs w:val="18"/>
                <w:lang w:val="pt-BR"/>
              </w:rPr>
              <w:t>Antecipada</w:t>
            </w:r>
            <w:r w:rsidRPr="00C2792F">
              <w:rPr>
                <w:rFonts w:asciiTheme="minorHAnsi" w:hAnsiTheme="minorHAnsi"/>
                <w:spacing w:val="7"/>
                <w:sz w:val="18"/>
                <w:szCs w:val="18"/>
                <w:lang w:val="pt-BR"/>
              </w:rPr>
              <w:t xml:space="preserve"> </w:t>
            </w:r>
            <w:r w:rsidRPr="00C2792F">
              <w:rPr>
                <w:rFonts w:asciiTheme="minorHAnsi" w:hAnsiTheme="minorHAnsi"/>
                <w:sz w:val="18"/>
                <w:szCs w:val="18"/>
                <w:lang w:val="pt-BR"/>
              </w:rPr>
              <w:t>e</w:t>
            </w:r>
            <w:r w:rsidRPr="00C2792F">
              <w:rPr>
                <w:rFonts w:asciiTheme="minorHAnsi" w:hAnsiTheme="minorHAnsi"/>
                <w:spacing w:val="7"/>
                <w:sz w:val="18"/>
                <w:szCs w:val="18"/>
                <w:lang w:val="pt-BR"/>
              </w:rPr>
              <w:t xml:space="preserve"> </w:t>
            </w:r>
            <w:r w:rsidRPr="00C2792F">
              <w:rPr>
                <w:rFonts w:asciiTheme="minorHAnsi" w:hAnsiTheme="minorHAnsi"/>
                <w:sz w:val="18"/>
                <w:szCs w:val="18"/>
                <w:lang w:val="pt-BR"/>
              </w:rPr>
              <w:t>Financiamento Retroativo</w:t>
            </w:r>
            <w:bookmarkEnd w:id="1"/>
            <w:r w:rsidRPr="00C2792F">
              <w:rPr>
                <w:rFonts w:asciiTheme="minorHAnsi" w:hAnsiTheme="minorHAnsi"/>
                <w:sz w:val="18"/>
                <w:szCs w:val="18"/>
                <w:lang w:val="pt-BR"/>
              </w:rPr>
              <w:t xml:space="preserve"> </w:t>
            </w:r>
            <w:r w:rsidRPr="00C2792F">
              <w:rPr>
                <w:rFonts w:asciiTheme="minorHAnsi" w:hAnsiTheme="minorHAnsi"/>
                <w:sz w:val="18"/>
                <w:szCs w:val="18"/>
                <w:lang w:val="pt-BR"/>
              </w:rPr>
              <w:fldChar w:fldCharType="begin"/>
            </w:r>
            <w:r w:rsidRPr="00C2792F">
              <w:rPr>
                <w:rFonts w:asciiTheme="minorHAnsi" w:hAnsiTheme="minorHAnsi"/>
                <w:sz w:val="18"/>
                <w:szCs w:val="18"/>
                <w:lang w:val="pt-BR"/>
              </w:rPr>
              <w:instrText>ADVANCE \D 4.0</w:instrText>
            </w:r>
            <w:r w:rsidRPr="00C2792F">
              <w:rPr>
                <w:rFonts w:asciiTheme="minorHAnsi" w:hAnsiTheme="minorHAnsi"/>
                <w:sz w:val="18"/>
                <w:szCs w:val="18"/>
                <w:lang w:val="pt-BR"/>
              </w:rPr>
              <w:fldChar w:fldCharType="end"/>
            </w:r>
            <w:bookmarkEnd w:id="2"/>
            <w:bookmarkEnd w:id="3"/>
            <w:bookmarkEnd w:id="4"/>
            <w:bookmarkEnd w:id="5"/>
          </w:p>
        </w:tc>
        <w:tc>
          <w:tcPr>
            <w:tcW w:w="1464" w:type="dxa"/>
            <w:vAlign w:val="center"/>
          </w:tcPr>
          <w:p w14:paraId="521DD453" w14:textId="1488AAD0" w:rsidR="009E48C2" w:rsidRPr="00C2792F" w:rsidRDefault="009E48C2"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1.11</w:t>
            </w:r>
          </w:p>
        </w:tc>
        <w:tc>
          <w:tcPr>
            <w:tcW w:w="4908" w:type="dxa"/>
            <w:vAlign w:val="center"/>
          </w:tcPr>
          <w:p w14:paraId="5D675FD3" w14:textId="2EFC7713" w:rsidR="009E48C2" w:rsidRPr="00C2792F" w:rsidRDefault="009F4A3D" w:rsidP="009F4A3D">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O Mutuário poderá decidir iniciar o processo licitatório antes da efetiva assinatura do correspondente Contrato de Empréstimo com o Banco. Em tais casos, os procedimentos de licitação, incluindo divulgação, deverão </w:t>
            </w:r>
            <w:r w:rsidRPr="00C2792F">
              <w:rPr>
                <w:rFonts w:asciiTheme="minorHAnsi" w:hAnsiTheme="minorHAnsi" w:cstheme="minorHAnsi"/>
                <w:color w:val="FF0000"/>
                <w:sz w:val="18"/>
                <w:szCs w:val="18"/>
                <w:lang w:val="pt-BR"/>
              </w:rPr>
              <w:t xml:space="preserve">estar de acordo com os princípios básicos de aquisições do Banco </w:t>
            </w:r>
            <w:r w:rsidRPr="00C2792F">
              <w:rPr>
                <w:rFonts w:asciiTheme="minorHAnsi" w:hAnsiTheme="minorHAnsi" w:cstheme="minorHAnsi"/>
                <w:sz w:val="18"/>
                <w:szCs w:val="18"/>
                <w:lang w:val="pt-BR"/>
              </w:rPr>
              <w:t>a fim de que os respectivos contratos venham a ser considerados elegíveis para financiamento do Banco, e o Banco revisará o processo utilizado pelo Mutuário. O Mutuário responde pelos riscos da referida contratação antecipada, e a concordância do Banco com os procedimentos, documentação ou recomendação de adjudicação não acarreta o seu compromisso em conceder o empréstimo para o projeto correspondente. Se o contrato for assinado, o reembolso pelo Banco, de quaisquer pagamentos efetuados pelo Mutuário relativamente a tal contratação, antes da assinatura do contrato de empréstimo, é tido como financiamento retroativo, somente sendo permitido nos limites estabelecidos no Contrato de Empréstimo.</w:t>
            </w:r>
          </w:p>
        </w:tc>
        <w:tc>
          <w:tcPr>
            <w:tcW w:w="4361" w:type="dxa"/>
            <w:vAlign w:val="center"/>
          </w:tcPr>
          <w:p w14:paraId="61D3FC2A" w14:textId="77777777" w:rsidR="009E48C2" w:rsidRPr="00C2792F" w:rsidRDefault="009E48C2" w:rsidP="00D662E0">
            <w:pPr>
              <w:rPr>
                <w:lang w:val="pt-BR"/>
              </w:rPr>
            </w:pPr>
          </w:p>
        </w:tc>
      </w:tr>
      <w:tr w:rsidR="009E48C2" w:rsidRPr="00CD7864" w14:paraId="53B7CDCA" w14:textId="77777777" w:rsidTr="0013322E">
        <w:trPr>
          <w:jc w:val="center"/>
        </w:trPr>
        <w:tc>
          <w:tcPr>
            <w:tcW w:w="2762" w:type="dxa"/>
            <w:vAlign w:val="center"/>
          </w:tcPr>
          <w:p w14:paraId="16EE1060" w14:textId="14B249B8" w:rsidR="009E48C2" w:rsidRPr="00C2792F" w:rsidRDefault="006A083D" w:rsidP="006D2939">
            <w:pPr>
              <w:jc w:val="center"/>
              <w:rPr>
                <w:b/>
                <w:sz w:val="18"/>
                <w:szCs w:val="18"/>
                <w:lang w:val="pt-BR"/>
              </w:rPr>
            </w:pPr>
            <w:bookmarkStart w:id="6" w:name="_Toc143318136"/>
            <w:r w:rsidRPr="00C2792F">
              <w:rPr>
                <w:rFonts w:asciiTheme="minorHAnsi" w:hAnsiTheme="minorHAnsi"/>
                <w:sz w:val="18"/>
                <w:szCs w:val="18"/>
                <w:lang w:val="pt-BR"/>
              </w:rPr>
              <w:t>Aquisição</w:t>
            </w:r>
            <w:r w:rsidRPr="00C2792F">
              <w:rPr>
                <w:rFonts w:asciiTheme="minorHAnsi" w:hAnsiTheme="minorHAnsi"/>
                <w:spacing w:val="-5"/>
                <w:sz w:val="18"/>
                <w:szCs w:val="18"/>
                <w:lang w:val="pt-BR"/>
              </w:rPr>
              <w:t xml:space="preserve"> </w:t>
            </w:r>
            <w:r w:rsidRPr="00C2792F">
              <w:rPr>
                <w:rFonts w:asciiTheme="minorHAnsi" w:hAnsiTheme="minorHAnsi"/>
                <w:sz w:val="18"/>
                <w:szCs w:val="18"/>
                <w:lang w:val="pt-BR"/>
              </w:rPr>
              <w:t>Viciada</w:t>
            </w:r>
            <w:bookmarkEnd w:id="6"/>
          </w:p>
        </w:tc>
        <w:tc>
          <w:tcPr>
            <w:tcW w:w="1464" w:type="dxa"/>
            <w:vAlign w:val="center"/>
          </w:tcPr>
          <w:p w14:paraId="45F6E740" w14:textId="4C081DE9" w:rsidR="009E48C2" w:rsidRPr="00C2792F" w:rsidRDefault="009E48C2"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1.14</w:t>
            </w:r>
          </w:p>
        </w:tc>
        <w:tc>
          <w:tcPr>
            <w:tcW w:w="4908" w:type="dxa"/>
            <w:vAlign w:val="center"/>
          </w:tcPr>
          <w:p w14:paraId="2C125AD1" w14:textId="4A56D241" w:rsidR="009E48C2" w:rsidRPr="00C2792F" w:rsidRDefault="0013322E" w:rsidP="0013322E">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O Banco não financia despesas relativas a bens adquiridos e obras contratadas em desacordo com as disposições ajustadas no Contrato de Empréstimo e pormenorizadas no Plano de Aquisições.</w:t>
            </w:r>
            <w:r w:rsidRPr="00C2792F">
              <w:rPr>
                <w:rFonts w:asciiTheme="minorHAnsi" w:hAnsiTheme="minorHAnsi" w:cstheme="minorHAnsi"/>
                <w:sz w:val="18"/>
                <w:szCs w:val="18"/>
                <w:vertAlign w:val="superscript"/>
                <w:lang w:val="pt-BR"/>
              </w:rPr>
              <w:footnoteReference w:id="4"/>
            </w:r>
            <w:r w:rsidRPr="00C2792F">
              <w:rPr>
                <w:rFonts w:asciiTheme="minorHAnsi" w:hAnsiTheme="minorHAnsi" w:cstheme="minorHAnsi"/>
                <w:sz w:val="18"/>
                <w:szCs w:val="18"/>
                <w:vertAlign w:val="superscript"/>
                <w:lang w:val="pt-BR"/>
              </w:rPr>
              <w:t xml:space="preserve"> </w:t>
            </w:r>
            <w:r w:rsidRPr="00C2792F">
              <w:rPr>
                <w:rFonts w:asciiTheme="minorHAnsi" w:hAnsiTheme="minorHAnsi" w:cstheme="minorHAnsi"/>
                <w:sz w:val="18"/>
                <w:szCs w:val="18"/>
                <w:lang w:val="pt-BR"/>
              </w:rPr>
              <w:t xml:space="preserve">Em tais casos, </w:t>
            </w:r>
            <w:r w:rsidRPr="00C2792F">
              <w:rPr>
                <w:rFonts w:asciiTheme="minorHAnsi" w:hAnsiTheme="minorHAnsi" w:cstheme="minorHAnsi"/>
                <w:color w:val="FF0000"/>
                <w:sz w:val="18"/>
                <w:szCs w:val="18"/>
                <w:lang w:val="pt-BR"/>
              </w:rPr>
              <w:t>o Banco poderá exercer outros recursos previstos no Contrato de Empréstimo, tomar outras medidas apropriadas, inclusive declarar viciado o processo de seleção</w:t>
            </w:r>
            <w:r w:rsidRPr="00C2792F">
              <w:rPr>
                <w:rFonts w:asciiTheme="minorHAnsi" w:hAnsiTheme="minorHAnsi" w:cstheme="minorHAnsi"/>
                <w:sz w:val="18"/>
                <w:szCs w:val="18"/>
                <w:lang w:val="pt-BR"/>
              </w:rPr>
              <w:t>. Mesmo no caso de o contrato haver sido adjudicado após a obtenção da “não objeção” do Banco, poderá o mesmo declarar viciado o processo se concluir que a “não objeção” baseou-se em informações incompletas, imprecisas ou enganosas fornecidas pelo Mutuário ou que os termos e condições do contrato foram modificados sem a aprovação do Banco.</w:t>
            </w:r>
          </w:p>
        </w:tc>
        <w:tc>
          <w:tcPr>
            <w:tcW w:w="4361" w:type="dxa"/>
            <w:vAlign w:val="center"/>
          </w:tcPr>
          <w:p w14:paraId="5732D23A" w14:textId="77777777" w:rsidR="009E48C2" w:rsidRPr="00C2792F" w:rsidRDefault="009E48C2" w:rsidP="00D662E0">
            <w:pPr>
              <w:rPr>
                <w:lang w:val="pt-BR"/>
              </w:rPr>
            </w:pPr>
          </w:p>
        </w:tc>
      </w:tr>
      <w:tr w:rsidR="00197283" w:rsidRPr="00CD7864" w14:paraId="2BF58FCF" w14:textId="77777777" w:rsidTr="0013322E">
        <w:trPr>
          <w:jc w:val="center"/>
        </w:trPr>
        <w:tc>
          <w:tcPr>
            <w:tcW w:w="2762" w:type="dxa"/>
            <w:vAlign w:val="center"/>
          </w:tcPr>
          <w:p w14:paraId="0BC78FA4" w14:textId="3DECE072" w:rsidR="00197283" w:rsidRPr="00C2792F" w:rsidRDefault="0028758F" w:rsidP="006D2939">
            <w:pPr>
              <w:jc w:val="center"/>
              <w:rPr>
                <w:b/>
                <w:sz w:val="18"/>
                <w:szCs w:val="18"/>
                <w:lang w:val="pt-BR"/>
              </w:rPr>
            </w:pPr>
            <w:r w:rsidRPr="00C2792F">
              <w:rPr>
                <w:b/>
                <w:sz w:val="18"/>
                <w:szCs w:val="18"/>
                <w:lang w:val="pt-BR"/>
              </w:rPr>
              <w:t>Práticas Proibidas</w:t>
            </w:r>
          </w:p>
        </w:tc>
        <w:tc>
          <w:tcPr>
            <w:tcW w:w="1464" w:type="dxa"/>
            <w:vAlign w:val="center"/>
          </w:tcPr>
          <w:p w14:paraId="01DE382F" w14:textId="786FA5D5" w:rsidR="00197283" w:rsidRPr="00C2792F" w:rsidRDefault="00197283"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1.17</w:t>
            </w:r>
          </w:p>
        </w:tc>
        <w:tc>
          <w:tcPr>
            <w:tcW w:w="4908" w:type="dxa"/>
            <w:vAlign w:val="center"/>
          </w:tcPr>
          <w:p w14:paraId="451E1FFE" w14:textId="6CA0EBD7" w:rsidR="00197283" w:rsidRPr="00C2792F" w:rsidRDefault="0013322E" w:rsidP="0013322E">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Com a concordância específica do Banco, o Mutuário poderá introduzir nos formulários de proposta para grandes contratos financiados pelo Banco, compromisso do licitante no sentido de observar, no decorrer do processo de seleção ou durante a execução do contrato, a legislação do país relativa a Práticas Proibidas (inclusive suborno)</w:t>
            </w:r>
            <w:r w:rsidRPr="00C2792F">
              <w:rPr>
                <w:rFonts w:asciiTheme="minorHAnsi" w:hAnsiTheme="minorHAnsi" w:cstheme="minorHAnsi"/>
                <w:color w:val="FF0000"/>
                <w:sz w:val="18"/>
                <w:szCs w:val="18"/>
                <w:lang w:val="pt-BR"/>
              </w:rPr>
              <w:t xml:space="preserve">, e os regulamentos de um Banco Multilateral de Desenvolvimento ou Agência Internacional de Desenvolvimento relacionados a Práticas Proibidas, conforme </w:t>
            </w:r>
            <w:r w:rsidRPr="00C2792F">
              <w:rPr>
                <w:rFonts w:asciiTheme="minorHAnsi" w:hAnsiTheme="minorHAnsi" w:cstheme="minorHAnsi"/>
                <w:color w:val="FF0000"/>
                <w:sz w:val="18"/>
                <w:szCs w:val="18"/>
                <w:lang w:val="pt-BR"/>
              </w:rPr>
              <w:lastRenderedPageBreak/>
              <w:t>aplicável,</w:t>
            </w:r>
            <w:r w:rsidRPr="00C2792F">
              <w:rPr>
                <w:rFonts w:asciiTheme="minorHAnsi" w:hAnsiTheme="minorHAnsi" w:cstheme="minorHAnsi"/>
                <w:sz w:val="18"/>
                <w:szCs w:val="18"/>
                <w:lang w:val="pt-BR"/>
              </w:rPr>
              <w:t xml:space="preserve"> conforme contido nos Editais de Licitação.</w:t>
            </w:r>
            <w:r w:rsidRPr="00C2792F">
              <w:rPr>
                <w:rFonts w:asciiTheme="minorHAnsi" w:hAnsiTheme="minorHAnsi" w:cstheme="minorHAnsi"/>
                <w:sz w:val="18"/>
                <w:szCs w:val="18"/>
                <w:vertAlign w:val="superscript"/>
                <w:lang w:val="pt-BR"/>
              </w:rPr>
              <w:footnoteReference w:id="5"/>
            </w:r>
            <w:r w:rsidRPr="00C2792F">
              <w:rPr>
                <w:rFonts w:asciiTheme="minorHAnsi" w:hAnsiTheme="minorHAnsi" w:cstheme="minorHAnsi"/>
                <w:sz w:val="18"/>
                <w:szCs w:val="18"/>
                <w:lang w:val="pt-BR"/>
              </w:rPr>
              <w:t xml:space="preserve"> O Banco aceitará a introdução de tais disposições, a pedido do país do Mutuário, desde que os aspectos que regem tais disposições lhe sejam satisfatórios.</w:t>
            </w:r>
          </w:p>
        </w:tc>
        <w:tc>
          <w:tcPr>
            <w:tcW w:w="4361" w:type="dxa"/>
            <w:vAlign w:val="center"/>
          </w:tcPr>
          <w:p w14:paraId="2FBE209A" w14:textId="77777777" w:rsidR="00197283" w:rsidRPr="00C2792F" w:rsidRDefault="00197283" w:rsidP="00D662E0">
            <w:pPr>
              <w:rPr>
                <w:lang w:val="pt-BR"/>
              </w:rPr>
            </w:pPr>
          </w:p>
        </w:tc>
      </w:tr>
      <w:tr w:rsidR="001F5638" w:rsidRPr="00CD7864" w14:paraId="6BBF00EF" w14:textId="77777777" w:rsidTr="0013322E">
        <w:trPr>
          <w:jc w:val="center"/>
        </w:trPr>
        <w:tc>
          <w:tcPr>
            <w:tcW w:w="2762" w:type="dxa"/>
            <w:vAlign w:val="center"/>
          </w:tcPr>
          <w:p w14:paraId="62C9411F" w14:textId="748397DE" w:rsidR="001F5638" w:rsidRPr="00C2792F" w:rsidRDefault="0013322E" w:rsidP="0013322E">
            <w:pPr>
              <w:spacing w:after="120"/>
              <w:ind w:left="65"/>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Apoio Complementar para Aquisições</w:t>
            </w:r>
          </w:p>
        </w:tc>
        <w:tc>
          <w:tcPr>
            <w:tcW w:w="1464" w:type="dxa"/>
            <w:vAlign w:val="center"/>
          </w:tcPr>
          <w:p w14:paraId="5DD43FD7" w14:textId="394B29E4" w:rsidR="001F5638" w:rsidRPr="00C2792F" w:rsidRDefault="001F5638"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1.19</w:t>
            </w:r>
          </w:p>
        </w:tc>
        <w:tc>
          <w:tcPr>
            <w:tcW w:w="4908" w:type="dxa"/>
            <w:vAlign w:val="center"/>
          </w:tcPr>
          <w:p w14:paraId="32A2056E" w14:textId="6EDB3FF2" w:rsidR="001F5638" w:rsidRPr="00C2792F" w:rsidRDefault="0013322E" w:rsidP="0013322E">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color w:val="FF0000"/>
                <w:sz w:val="18"/>
                <w:szCs w:val="18"/>
                <w:lang w:val="pt-BR"/>
              </w:rPr>
              <w:t>O Banco pode concordar em fornecer ao Mutuário um Apoio Complementar para Aquisições (ACA), onde o Mutuário, ou conforme apropriado, o país membro, e quando seja julgado pelo Banco que: (a) foram identificadas deficiências na capacidade de execução do Mutuário; ou (b) em casos de processos de aquisição e contratação complexos ou inovadores</w:t>
            </w:r>
            <w:r w:rsidRPr="00C2792F">
              <w:rPr>
                <w:rFonts w:asciiTheme="minorHAnsi" w:hAnsiTheme="minorHAnsi" w:cstheme="minorHAnsi"/>
                <w:sz w:val="18"/>
                <w:szCs w:val="18"/>
                <w:lang w:val="pt-BR"/>
              </w:rPr>
              <w:t>.</w:t>
            </w:r>
          </w:p>
        </w:tc>
        <w:tc>
          <w:tcPr>
            <w:tcW w:w="4361" w:type="dxa"/>
            <w:vAlign w:val="center"/>
          </w:tcPr>
          <w:p w14:paraId="67E588D3" w14:textId="77777777" w:rsidR="001F5638" w:rsidRPr="00C2792F" w:rsidRDefault="001F5638" w:rsidP="00D662E0">
            <w:pPr>
              <w:rPr>
                <w:lang w:val="pt-BR"/>
              </w:rPr>
            </w:pPr>
          </w:p>
        </w:tc>
      </w:tr>
      <w:tr w:rsidR="00136BA4" w:rsidRPr="00CD7864" w14:paraId="6BD43497" w14:textId="77777777" w:rsidTr="0013322E">
        <w:trPr>
          <w:jc w:val="center"/>
        </w:trPr>
        <w:tc>
          <w:tcPr>
            <w:tcW w:w="2762" w:type="dxa"/>
            <w:vAlign w:val="center"/>
          </w:tcPr>
          <w:p w14:paraId="316FD90E" w14:textId="5685124E" w:rsidR="00136BA4" w:rsidRPr="00C2792F" w:rsidRDefault="00136BA4" w:rsidP="001F5638">
            <w:pPr>
              <w:jc w:val="center"/>
              <w:rPr>
                <w:b/>
                <w:sz w:val="18"/>
                <w:szCs w:val="18"/>
                <w:lang w:val="pt-BR"/>
              </w:rPr>
            </w:pPr>
          </w:p>
        </w:tc>
        <w:tc>
          <w:tcPr>
            <w:tcW w:w="1464" w:type="dxa"/>
            <w:vAlign w:val="center"/>
          </w:tcPr>
          <w:p w14:paraId="2AE6BF89" w14:textId="2368A0ED" w:rsidR="00136BA4" w:rsidRPr="00C2792F" w:rsidRDefault="00136BA4"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1.20</w:t>
            </w:r>
          </w:p>
        </w:tc>
        <w:tc>
          <w:tcPr>
            <w:tcW w:w="4908" w:type="dxa"/>
            <w:vAlign w:val="center"/>
          </w:tcPr>
          <w:p w14:paraId="714EAF40" w14:textId="3070118F" w:rsidR="00136BA4" w:rsidRPr="00C2792F" w:rsidRDefault="0013322E" w:rsidP="0013322E">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color w:val="FF0000"/>
                <w:sz w:val="18"/>
                <w:szCs w:val="18"/>
                <w:lang w:val="pt-BR"/>
              </w:rPr>
              <w:t>O ACA não implica que Banco execute as aquisições em nome do Mutuário, e a execução do projeto continua sendo de responsabilidade do Mutuário. O escopo e a natureza desse apoio são determinados pelo Banco, caso a caso.</w:t>
            </w:r>
          </w:p>
        </w:tc>
        <w:tc>
          <w:tcPr>
            <w:tcW w:w="4361" w:type="dxa"/>
            <w:vAlign w:val="center"/>
          </w:tcPr>
          <w:p w14:paraId="72A62B33" w14:textId="77777777" w:rsidR="00136BA4" w:rsidRPr="00C2792F" w:rsidRDefault="00136BA4" w:rsidP="00D662E0">
            <w:pPr>
              <w:rPr>
                <w:lang w:val="pt-BR"/>
              </w:rPr>
            </w:pPr>
          </w:p>
        </w:tc>
      </w:tr>
      <w:tr w:rsidR="001F5638" w:rsidRPr="00CD7864" w14:paraId="060D2ECE" w14:textId="77777777" w:rsidTr="0013322E">
        <w:trPr>
          <w:jc w:val="center"/>
        </w:trPr>
        <w:tc>
          <w:tcPr>
            <w:tcW w:w="2762" w:type="dxa"/>
            <w:vAlign w:val="center"/>
          </w:tcPr>
          <w:p w14:paraId="1993BB73" w14:textId="4A0E414A" w:rsidR="001F5638" w:rsidRPr="00C2792F" w:rsidRDefault="0013322E" w:rsidP="0013322E">
            <w:pPr>
              <w:spacing w:after="120"/>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Sistemas eletrônicos de compras</w:t>
            </w:r>
          </w:p>
        </w:tc>
        <w:tc>
          <w:tcPr>
            <w:tcW w:w="1464" w:type="dxa"/>
            <w:vAlign w:val="center"/>
          </w:tcPr>
          <w:p w14:paraId="538AF089" w14:textId="2965394C" w:rsidR="001F5638" w:rsidRPr="00C2792F" w:rsidRDefault="001F5638"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1.2</w:t>
            </w:r>
            <w:r w:rsidR="00136BA4" w:rsidRPr="00C2792F">
              <w:rPr>
                <w:rFonts w:ascii="Arial" w:eastAsia="Times New Roman" w:hAnsi="Arial" w:cs="Arial"/>
                <w:bCs/>
                <w:sz w:val="18"/>
                <w:szCs w:val="18"/>
                <w:lang w:val="pt-BR"/>
              </w:rPr>
              <w:t>1</w:t>
            </w:r>
          </w:p>
        </w:tc>
        <w:tc>
          <w:tcPr>
            <w:tcW w:w="4908" w:type="dxa"/>
            <w:vAlign w:val="center"/>
          </w:tcPr>
          <w:p w14:paraId="143A95BC" w14:textId="7C47C288" w:rsidR="001F5638" w:rsidRPr="00C2792F" w:rsidRDefault="0013322E" w:rsidP="002E3B0D">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O Banco incentiva os mutuários a modernizar continuamente seus sistemas de compras, inclusive incorporando elementos para compras eletrônicas que assegurem os Princípios Básicos de Aquisição do Banco. Os mutuários podem usar sistemas de aquisição eletrônica (e-procurement) para fases do processo de aquisição, incluindo: emissão de SBD e suas modificações, ofertas de aquisição, propostas, cotações e execução de outras ações ou métodos de aquisição, como pregão eletrônico, desde que o Banco esteja satisfeito com a adequação do sistema, incluindo sua acessibilidade, segurança e integridade, confidencialidade e facilidade de auditoria.</w:t>
            </w:r>
          </w:p>
        </w:tc>
        <w:tc>
          <w:tcPr>
            <w:tcW w:w="4361" w:type="dxa"/>
            <w:vAlign w:val="center"/>
          </w:tcPr>
          <w:p w14:paraId="55D5CC58" w14:textId="77777777" w:rsidR="001F5638" w:rsidRPr="00C2792F" w:rsidRDefault="001F5638" w:rsidP="00D662E0">
            <w:pPr>
              <w:rPr>
                <w:lang w:val="pt-BR"/>
              </w:rPr>
            </w:pPr>
          </w:p>
        </w:tc>
      </w:tr>
      <w:tr w:rsidR="001F5638" w:rsidRPr="00CD7864" w14:paraId="08F5F280" w14:textId="77777777" w:rsidTr="0013322E">
        <w:trPr>
          <w:jc w:val="center"/>
        </w:trPr>
        <w:tc>
          <w:tcPr>
            <w:tcW w:w="2762" w:type="dxa"/>
            <w:vAlign w:val="center"/>
          </w:tcPr>
          <w:p w14:paraId="3C18FBFF" w14:textId="2E849FA4" w:rsidR="001F5638" w:rsidRPr="00C2792F" w:rsidRDefault="0013322E" w:rsidP="0013322E">
            <w:pPr>
              <w:spacing w:after="120"/>
              <w:ind w:left="65"/>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Aquisição de ativos por arrendamento</w:t>
            </w:r>
          </w:p>
        </w:tc>
        <w:tc>
          <w:tcPr>
            <w:tcW w:w="1464" w:type="dxa"/>
            <w:vAlign w:val="center"/>
          </w:tcPr>
          <w:p w14:paraId="258844CC" w14:textId="738347B9" w:rsidR="001F5638" w:rsidRPr="00C2792F" w:rsidRDefault="0041385A"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1.2</w:t>
            </w:r>
            <w:r w:rsidR="00136BA4" w:rsidRPr="00C2792F">
              <w:rPr>
                <w:rFonts w:ascii="Arial" w:eastAsia="Times New Roman" w:hAnsi="Arial" w:cs="Arial"/>
                <w:bCs/>
                <w:sz w:val="18"/>
                <w:szCs w:val="18"/>
                <w:lang w:val="pt-BR"/>
              </w:rPr>
              <w:t>2</w:t>
            </w:r>
            <w:r w:rsidRPr="00C2792F">
              <w:rPr>
                <w:rFonts w:ascii="Arial" w:eastAsia="Times New Roman" w:hAnsi="Arial" w:cs="Arial"/>
                <w:bCs/>
                <w:sz w:val="18"/>
                <w:szCs w:val="18"/>
                <w:lang w:val="pt-BR"/>
              </w:rPr>
              <w:t xml:space="preserve"> </w:t>
            </w:r>
          </w:p>
        </w:tc>
        <w:tc>
          <w:tcPr>
            <w:tcW w:w="4908" w:type="dxa"/>
            <w:vAlign w:val="center"/>
          </w:tcPr>
          <w:p w14:paraId="77C413CF" w14:textId="510E507E" w:rsidR="001F5638" w:rsidRPr="00C2792F" w:rsidRDefault="0013322E" w:rsidP="0013322E">
            <w:pPr>
              <w:suppressAutoHyphens/>
              <w:spacing w:after="120"/>
              <w:jc w:val="both"/>
              <w:rPr>
                <w:rFonts w:asciiTheme="minorHAnsi" w:eastAsia="Times New Roman" w:hAnsiTheme="minorHAnsi" w:cstheme="minorHAnsi"/>
                <w:color w:val="FF0000"/>
                <w:sz w:val="18"/>
                <w:szCs w:val="18"/>
                <w:lang w:val="pt-BR" w:eastAsia="en-US"/>
              </w:rPr>
            </w:pPr>
            <w:r w:rsidRPr="00C2792F">
              <w:rPr>
                <w:rFonts w:asciiTheme="minorHAnsi" w:hAnsiTheme="minorHAnsi" w:cstheme="minorHAnsi"/>
                <w:color w:val="FF0000"/>
                <w:sz w:val="18"/>
                <w:szCs w:val="18"/>
                <w:lang w:val="pt-BR"/>
              </w:rPr>
              <w:t>O arrendamento pode ser apropriado quando há benefícios econômicos e/ou operacionais para o Mutuário (por exemplo, custos de financiamento mais baixos, benefícios fiscais, ativos usados por um período temporário, redução dos riscos de obsolescência). Os mutuários podem usar o arrendamento se acordado com o Banco e especificado no Plano de Aquisições. Medidas apropriadas de mitigação de riscos também devem ser acordadas com o Banco.</w:t>
            </w:r>
          </w:p>
        </w:tc>
        <w:tc>
          <w:tcPr>
            <w:tcW w:w="4361" w:type="dxa"/>
            <w:vAlign w:val="center"/>
          </w:tcPr>
          <w:p w14:paraId="77260760" w14:textId="77777777" w:rsidR="001F5638" w:rsidRPr="00C2792F" w:rsidRDefault="001F5638" w:rsidP="00D662E0">
            <w:pPr>
              <w:rPr>
                <w:lang w:val="pt-BR"/>
              </w:rPr>
            </w:pPr>
          </w:p>
        </w:tc>
      </w:tr>
      <w:tr w:rsidR="001B0CD1" w:rsidRPr="00CD7864" w14:paraId="51AF0ED0" w14:textId="77777777" w:rsidTr="0013322E">
        <w:trPr>
          <w:jc w:val="center"/>
        </w:trPr>
        <w:tc>
          <w:tcPr>
            <w:tcW w:w="2762" w:type="dxa"/>
            <w:vAlign w:val="center"/>
          </w:tcPr>
          <w:p w14:paraId="5956917C" w14:textId="2D6F0D0A" w:rsidR="001B0CD1" w:rsidRPr="00C2792F" w:rsidRDefault="0013322E" w:rsidP="0013322E">
            <w:pPr>
              <w:spacing w:after="120"/>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Aquisição de bens usados</w:t>
            </w:r>
          </w:p>
        </w:tc>
        <w:tc>
          <w:tcPr>
            <w:tcW w:w="1464" w:type="dxa"/>
            <w:vAlign w:val="center"/>
          </w:tcPr>
          <w:p w14:paraId="691815E4" w14:textId="2DE2D1F6" w:rsidR="001B0CD1" w:rsidRPr="00C2792F" w:rsidRDefault="001B0CD1"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1.23</w:t>
            </w:r>
          </w:p>
        </w:tc>
        <w:tc>
          <w:tcPr>
            <w:tcW w:w="4908" w:type="dxa"/>
            <w:vAlign w:val="center"/>
          </w:tcPr>
          <w:p w14:paraId="622CAA35" w14:textId="77777777" w:rsidR="0013322E" w:rsidRPr="00C2792F" w:rsidRDefault="0013322E" w:rsidP="0013322E">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 xml:space="preserve">Se acordado com o Banco e especificado no Plano de Aquisições, o Mutuário poderá adquirir Bens usados, se isso proporcionar </w:t>
            </w:r>
            <w:r w:rsidRPr="00C2792F">
              <w:rPr>
                <w:rFonts w:asciiTheme="minorHAnsi" w:hAnsiTheme="minorHAnsi" w:cstheme="minorHAnsi"/>
                <w:color w:val="FF0000"/>
                <w:sz w:val="18"/>
                <w:szCs w:val="18"/>
                <w:lang w:val="pt-BR"/>
              </w:rPr>
              <w:lastRenderedPageBreak/>
              <w:t>um meio econômico e eficiente de atingir os objetivos de desenvolvimento do projeto.  Os seguintes requisitos devem ser observados:</w:t>
            </w:r>
          </w:p>
          <w:p w14:paraId="668AA1B2" w14:textId="77777777" w:rsidR="0013322E" w:rsidRPr="00C2792F" w:rsidRDefault="0013322E" w:rsidP="0013322E">
            <w:pPr>
              <w:spacing w:after="12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(a) deve ser especificado no Plano de Aquisições incluindo quaisquer medidas de mitigação de risco que possam ser necessárias;</w:t>
            </w:r>
          </w:p>
          <w:p w14:paraId="6F6A1FD3" w14:textId="77777777" w:rsidR="0013322E" w:rsidRPr="00C2792F" w:rsidRDefault="0013322E" w:rsidP="0013322E">
            <w:pPr>
              <w:spacing w:after="12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(b) a aquisição de bens usados não será combinada com a aquisição de novos bens;</w:t>
            </w:r>
          </w:p>
          <w:p w14:paraId="5553CCA6" w14:textId="77777777" w:rsidR="0013322E" w:rsidRPr="00C2792F" w:rsidRDefault="0013322E" w:rsidP="0013322E">
            <w:pPr>
              <w:spacing w:after="12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c) Os requisitos / especificações técnicas devem descrever as características mínimas dos bens usados, incluindo a idade e a condição; e</w:t>
            </w:r>
          </w:p>
          <w:p w14:paraId="0ADEE4D5" w14:textId="77777777" w:rsidR="0013322E" w:rsidRPr="00C2792F" w:rsidRDefault="0013322E" w:rsidP="0013322E">
            <w:pPr>
              <w:spacing w:after="12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(d) cláusulas de garantia apropriadas devem ser especificadas.</w:t>
            </w:r>
          </w:p>
          <w:p w14:paraId="5C0CAF7B" w14:textId="4DE8E483" w:rsidR="001B0CD1" w:rsidRPr="00C2792F" w:rsidRDefault="001B0CD1" w:rsidP="001C5709">
            <w:pPr>
              <w:jc w:val="both"/>
              <w:rPr>
                <w:rFonts w:asciiTheme="minorHAnsi" w:hAnsiTheme="minorHAnsi" w:cstheme="minorHAnsi"/>
                <w:sz w:val="18"/>
                <w:szCs w:val="18"/>
                <w:lang w:val="pt-BR"/>
              </w:rPr>
            </w:pPr>
          </w:p>
        </w:tc>
        <w:tc>
          <w:tcPr>
            <w:tcW w:w="4361" w:type="dxa"/>
            <w:vAlign w:val="center"/>
          </w:tcPr>
          <w:p w14:paraId="6DB4F1D9" w14:textId="77777777" w:rsidR="001B0CD1" w:rsidRPr="00C2792F" w:rsidRDefault="001B0CD1" w:rsidP="00D662E0">
            <w:pPr>
              <w:rPr>
                <w:lang w:val="pt-BR"/>
              </w:rPr>
            </w:pPr>
          </w:p>
        </w:tc>
      </w:tr>
      <w:tr w:rsidR="001F5638" w:rsidRPr="00CD7864" w14:paraId="6C40571F" w14:textId="77777777" w:rsidTr="0013322E">
        <w:trPr>
          <w:jc w:val="center"/>
        </w:trPr>
        <w:tc>
          <w:tcPr>
            <w:tcW w:w="2762" w:type="dxa"/>
            <w:vAlign w:val="center"/>
          </w:tcPr>
          <w:p w14:paraId="5E64DF75" w14:textId="5BCEB253" w:rsidR="001F5638" w:rsidRPr="00C2792F" w:rsidRDefault="0013322E" w:rsidP="0013322E">
            <w:pPr>
              <w:spacing w:after="120"/>
              <w:ind w:left="-115"/>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Compras sustentáveis</w:t>
            </w:r>
          </w:p>
        </w:tc>
        <w:tc>
          <w:tcPr>
            <w:tcW w:w="1464" w:type="dxa"/>
            <w:vAlign w:val="center"/>
          </w:tcPr>
          <w:p w14:paraId="5EDD65DE" w14:textId="08A58CCB" w:rsidR="001F5638" w:rsidRPr="00C2792F" w:rsidRDefault="0041385A"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1.2</w:t>
            </w:r>
            <w:r w:rsidR="00136BA4" w:rsidRPr="00C2792F">
              <w:rPr>
                <w:rFonts w:ascii="Arial" w:eastAsia="Times New Roman" w:hAnsi="Arial" w:cs="Arial"/>
                <w:bCs/>
                <w:sz w:val="18"/>
                <w:szCs w:val="18"/>
                <w:lang w:val="pt-BR"/>
              </w:rPr>
              <w:t>4</w:t>
            </w:r>
            <w:r w:rsidRPr="00C2792F">
              <w:rPr>
                <w:rFonts w:ascii="Arial" w:eastAsia="Times New Roman" w:hAnsi="Arial" w:cs="Arial"/>
                <w:bCs/>
                <w:sz w:val="18"/>
                <w:szCs w:val="18"/>
                <w:lang w:val="pt-BR"/>
              </w:rPr>
              <w:t xml:space="preserve"> </w:t>
            </w:r>
          </w:p>
        </w:tc>
        <w:tc>
          <w:tcPr>
            <w:tcW w:w="4908" w:type="dxa"/>
            <w:vAlign w:val="center"/>
          </w:tcPr>
          <w:p w14:paraId="6E99D1BC" w14:textId="1FD137B5" w:rsidR="001F5638" w:rsidRPr="00C2792F" w:rsidRDefault="0013322E" w:rsidP="0013322E">
            <w:pPr>
              <w:suppressAutoHyphens/>
              <w:spacing w:after="120"/>
              <w:contextualSpacing/>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Se acordado com o Banco, o Mutuário poderá incluir requisitos adicionais de sustentabilidade no processo de aquisição, incluindo seus próprios requisitos de política de aquisição sustentável, se aplicados de maneira consistente com os Princípios Básicos de Aquisição do Banco.</w:t>
            </w:r>
          </w:p>
        </w:tc>
        <w:tc>
          <w:tcPr>
            <w:tcW w:w="4361" w:type="dxa"/>
            <w:vAlign w:val="center"/>
          </w:tcPr>
          <w:p w14:paraId="664B27BC" w14:textId="77777777" w:rsidR="001F5638" w:rsidRPr="00C2792F" w:rsidRDefault="001F5638" w:rsidP="00D662E0">
            <w:pPr>
              <w:rPr>
                <w:lang w:val="pt-BR"/>
              </w:rPr>
            </w:pPr>
          </w:p>
        </w:tc>
      </w:tr>
      <w:tr w:rsidR="001F5638" w:rsidRPr="00CD7864" w14:paraId="0B7F6470" w14:textId="77777777" w:rsidTr="0013322E">
        <w:trPr>
          <w:jc w:val="center"/>
        </w:trPr>
        <w:tc>
          <w:tcPr>
            <w:tcW w:w="2762" w:type="dxa"/>
            <w:vAlign w:val="center"/>
          </w:tcPr>
          <w:p w14:paraId="7B5B3BD1" w14:textId="03424F43" w:rsidR="001F5638" w:rsidRPr="00C2792F" w:rsidRDefault="0013322E" w:rsidP="0013322E">
            <w:pPr>
              <w:pStyle w:val="ListParagraph"/>
              <w:spacing w:after="120"/>
              <w:ind w:left="0"/>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Critérios de avaliação</w:t>
            </w:r>
          </w:p>
        </w:tc>
        <w:tc>
          <w:tcPr>
            <w:tcW w:w="1464" w:type="dxa"/>
            <w:vAlign w:val="center"/>
          </w:tcPr>
          <w:p w14:paraId="7612AEFE" w14:textId="5643504B" w:rsidR="001F5638" w:rsidRPr="00C2792F" w:rsidRDefault="0041385A"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1.2</w:t>
            </w:r>
            <w:r w:rsidR="00136BA4" w:rsidRPr="00C2792F">
              <w:rPr>
                <w:rFonts w:ascii="Arial" w:eastAsia="Times New Roman" w:hAnsi="Arial" w:cs="Arial"/>
                <w:bCs/>
                <w:sz w:val="18"/>
                <w:szCs w:val="18"/>
                <w:lang w:val="pt-BR"/>
              </w:rPr>
              <w:t>5</w:t>
            </w:r>
          </w:p>
        </w:tc>
        <w:tc>
          <w:tcPr>
            <w:tcW w:w="4908" w:type="dxa"/>
            <w:vAlign w:val="center"/>
          </w:tcPr>
          <w:p w14:paraId="45D04008" w14:textId="60092D05" w:rsidR="001F5638" w:rsidRPr="00C2792F" w:rsidRDefault="0013322E" w:rsidP="0013322E">
            <w:pPr>
              <w:suppressAutoHyphens/>
              <w:spacing w:after="120"/>
              <w:contextualSpacing/>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Os critérios de avaliação devem ser definidos para permitir que o Mutuário obtenha VpD por meio de atividades de aquisição financiadas pelo Banco. Os critérios de avaliação devem refletir a natureza da aquisição e podem basear-se no preço ou em uma combinação de atributos de preço e não-preço, como qualidade, sustentabilidade, inovação e custos do ciclo de vida, entre outros. Tais atributos devem ser expressos em termos monetários, quando possível. Quando isso não for possível, os atributos sem preço devem ser mensuráveis e comparáveis entre as ofertas. Com base nos critérios de avaliação, os critérios de adjudicação poderiam ser apenas o preço ou uma combinação de atributos de preço e não-preço, e em ambos os casos, a adjudicação do contrato deve ocorrer para a “proposta mais vantajosa”.</w:t>
            </w:r>
          </w:p>
        </w:tc>
        <w:tc>
          <w:tcPr>
            <w:tcW w:w="4361" w:type="dxa"/>
            <w:vAlign w:val="center"/>
          </w:tcPr>
          <w:p w14:paraId="55C541EF" w14:textId="77777777" w:rsidR="001F5638" w:rsidRPr="00C2792F" w:rsidRDefault="001F5638" w:rsidP="00D662E0">
            <w:pPr>
              <w:rPr>
                <w:lang w:val="pt-BR"/>
              </w:rPr>
            </w:pPr>
          </w:p>
        </w:tc>
      </w:tr>
      <w:tr w:rsidR="00165BE9" w:rsidRPr="00CD7864" w14:paraId="3629DC83" w14:textId="77777777" w:rsidTr="0013322E">
        <w:trPr>
          <w:jc w:val="center"/>
        </w:trPr>
        <w:tc>
          <w:tcPr>
            <w:tcW w:w="2762" w:type="dxa"/>
            <w:vAlign w:val="center"/>
          </w:tcPr>
          <w:p w14:paraId="41B85B5A" w14:textId="63D3DE47" w:rsidR="00165BE9" w:rsidRPr="00C2792F" w:rsidRDefault="0013322E" w:rsidP="006D2939">
            <w:pPr>
              <w:jc w:val="center"/>
              <w:rPr>
                <w:b/>
                <w:sz w:val="18"/>
                <w:szCs w:val="18"/>
                <w:lang w:val="pt-BR"/>
              </w:rPr>
            </w:pPr>
            <w:bookmarkStart w:id="7" w:name="_Toc143318143"/>
            <w:r w:rsidRPr="00C2792F">
              <w:rPr>
                <w:rFonts w:asciiTheme="minorHAnsi" w:hAnsiTheme="minorHAnsi"/>
                <w:sz w:val="18"/>
                <w:szCs w:val="18"/>
                <w:lang w:val="pt-BR"/>
              </w:rPr>
              <w:t>Tipo e Montante dos Contratos</w:t>
            </w:r>
            <w:bookmarkEnd w:id="7"/>
          </w:p>
        </w:tc>
        <w:tc>
          <w:tcPr>
            <w:tcW w:w="1464" w:type="dxa"/>
            <w:vAlign w:val="center"/>
          </w:tcPr>
          <w:p w14:paraId="5895647C" w14:textId="1D2FDDE3" w:rsidR="00165BE9" w:rsidRPr="00C2792F" w:rsidRDefault="00730808"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7003E3" w:rsidRPr="00C2792F">
              <w:rPr>
                <w:rFonts w:ascii="Arial" w:eastAsia="Times New Roman" w:hAnsi="Arial" w:cs="Arial"/>
                <w:bCs/>
                <w:sz w:val="18"/>
                <w:szCs w:val="18"/>
                <w:lang w:val="pt-BR"/>
              </w:rPr>
              <w:t>2</w:t>
            </w:r>
          </w:p>
        </w:tc>
        <w:tc>
          <w:tcPr>
            <w:tcW w:w="4908" w:type="dxa"/>
            <w:vAlign w:val="center"/>
          </w:tcPr>
          <w:p w14:paraId="763CCC40" w14:textId="68E3B37A" w:rsidR="00165BE9" w:rsidRPr="00C2792F" w:rsidRDefault="0013322E" w:rsidP="002E3B0D">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Os Editais de Licitação deverão indicar claramente o tipo de contrato a ser celebrado e conter as disposições contratuais apropriadas.  </w:t>
            </w:r>
            <w:r w:rsidRPr="00C2792F">
              <w:rPr>
                <w:rFonts w:asciiTheme="minorHAnsi" w:hAnsiTheme="minorHAnsi" w:cstheme="minorHAnsi"/>
                <w:color w:val="FF0000"/>
                <w:sz w:val="18"/>
                <w:szCs w:val="18"/>
                <w:lang w:val="pt-BR"/>
              </w:rPr>
              <w:t xml:space="preserve">A seleção de tipos e tamanhos de contratos leva em consideração a natureza, o risco, a complexidade das aquisições e as considerações de VPD. Os tipos e tamanhos de contrato aplicáveis ​​incluem: quantia total, preço unitário, custos </w:t>
            </w:r>
            <w:r w:rsidRPr="00C2792F">
              <w:rPr>
                <w:rFonts w:asciiTheme="minorHAnsi" w:hAnsiTheme="minorHAnsi" w:cstheme="minorHAnsi"/>
                <w:color w:val="FF0000"/>
                <w:sz w:val="18"/>
                <w:szCs w:val="18"/>
                <w:lang w:val="pt-BR"/>
              </w:rPr>
              <w:lastRenderedPageBreak/>
              <w:t xml:space="preserve">reembolsáveis mais comissões, baseados no desempenho, baseados no tempo, contratos marco, serviços de gerenciamento, desenho e construção, desenho - manutenção e operação, desenho – operação – transferência, ou uma combinação das mesmas, entre outras aceitáveis ​​pelo Banco.  </w:t>
            </w:r>
            <w:r w:rsidRPr="00C2792F">
              <w:rPr>
                <w:rFonts w:asciiTheme="minorHAnsi" w:hAnsiTheme="minorHAnsi" w:cstheme="minorHAnsi"/>
                <w:sz w:val="18"/>
                <w:szCs w:val="18"/>
                <w:lang w:val="pt-BR"/>
              </w:rPr>
              <w:t>Os contratos mais usuais preveem os regimes de execução por preço global, por preços unitários, por reembolso dos custos mais comissões, ou alguma combinação desses regimes. O Banco somente admite o emprego de contratos que prevejam o reembolso de custos em circunstâncias excepcionais, tais como, condições de alto risco ou diante da impossibilidade de determinar, antecipadamente e com exatidão, os custos envolvidos. Tais contratos deverão prever incentivos apropriados objetivando a limitação de custos.</w:t>
            </w:r>
          </w:p>
        </w:tc>
        <w:tc>
          <w:tcPr>
            <w:tcW w:w="4361" w:type="dxa"/>
            <w:vAlign w:val="center"/>
          </w:tcPr>
          <w:p w14:paraId="15749FF9" w14:textId="77777777" w:rsidR="00165BE9" w:rsidRPr="00C2792F" w:rsidRDefault="00165BE9" w:rsidP="00D662E0">
            <w:pPr>
              <w:rPr>
                <w:lang w:val="pt-BR"/>
              </w:rPr>
            </w:pPr>
          </w:p>
        </w:tc>
      </w:tr>
      <w:tr w:rsidR="001F5638" w:rsidRPr="00CD7864" w14:paraId="41B3855D" w14:textId="77777777" w:rsidTr="0013322E">
        <w:trPr>
          <w:jc w:val="center"/>
        </w:trPr>
        <w:tc>
          <w:tcPr>
            <w:tcW w:w="2762" w:type="dxa"/>
            <w:vAlign w:val="center"/>
          </w:tcPr>
          <w:p w14:paraId="50192F94" w14:textId="77777777" w:rsidR="0013322E" w:rsidRPr="00C2792F" w:rsidRDefault="0013322E" w:rsidP="0013322E">
            <w:pPr>
              <w:spacing w:after="120"/>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Um estágio, um envelope</w:t>
            </w:r>
          </w:p>
          <w:p w14:paraId="049E8528" w14:textId="6AC2D95A" w:rsidR="001F5638" w:rsidRPr="00C2792F" w:rsidRDefault="001F5638" w:rsidP="006D2939">
            <w:pPr>
              <w:jc w:val="center"/>
              <w:rPr>
                <w:b/>
                <w:sz w:val="18"/>
                <w:szCs w:val="18"/>
                <w:lang w:val="pt-BR"/>
              </w:rPr>
            </w:pPr>
          </w:p>
        </w:tc>
        <w:tc>
          <w:tcPr>
            <w:tcW w:w="1464" w:type="dxa"/>
            <w:vAlign w:val="center"/>
          </w:tcPr>
          <w:p w14:paraId="50670747" w14:textId="250057B3" w:rsidR="001F5638" w:rsidRPr="00C2792F" w:rsidRDefault="00A211EC"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2.1</w:t>
            </w:r>
            <w:r w:rsidR="0073096F" w:rsidRPr="00C2792F">
              <w:rPr>
                <w:rFonts w:ascii="Arial" w:eastAsia="Times New Roman" w:hAnsi="Arial" w:cs="Arial"/>
                <w:bCs/>
                <w:sz w:val="18"/>
                <w:szCs w:val="18"/>
                <w:lang w:val="pt-BR"/>
              </w:rPr>
              <w:t>1</w:t>
            </w:r>
          </w:p>
        </w:tc>
        <w:tc>
          <w:tcPr>
            <w:tcW w:w="4908" w:type="dxa"/>
            <w:vAlign w:val="center"/>
          </w:tcPr>
          <w:p w14:paraId="1B8F0E08" w14:textId="303A7993" w:rsidR="001F5638" w:rsidRPr="00C2792F" w:rsidRDefault="0013322E" w:rsidP="0013322E">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A aquisição em um único estágio e em envelope único é mais apropriada quando as especificações e os requisitos são suficientes para permitir o envio de ofertas completas. Neste caso se requer a apresentação de propostas técnicas e financeiras em um único envelope.</w:t>
            </w:r>
          </w:p>
        </w:tc>
        <w:tc>
          <w:tcPr>
            <w:tcW w:w="4361" w:type="dxa"/>
            <w:vAlign w:val="center"/>
          </w:tcPr>
          <w:p w14:paraId="312DB633" w14:textId="77777777" w:rsidR="001F5638" w:rsidRPr="00C2792F" w:rsidRDefault="001F5638" w:rsidP="00D662E0">
            <w:pPr>
              <w:rPr>
                <w:lang w:val="pt-BR"/>
              </w:rPr>
            </w:pPr>
          </w:p>
        </w:tc>
      </w:tr>
      <w:tr w:rsidR="001F5638" w:rsidRPr="00CD7864" w14:paraId="105D3E03" w14:textId="77777777" w:rsidTr="0013322E">
        <w:trPr>
          <w:jc w:val="center"/>
        </w:trPr>
        <w:tc>
          <w:tcPr>
            <w:tcW w:w="2762" w:type="dxa"/>
            <w:vAlign w:val="center"/>
          </w:tcPr>
          <w:p w14:paraId="1F101B87" w14:textId="729F9B9F" w:rsidR="001F5638" w:rsidRPr="00C2792F" w:rsidRDefault="00A211EC" w:rsidP="006D2939">
            <w:pPr>
              <w:jc w:val="center"/>
              <w:rPr>
                <w:b/>
                <w:sz w:val="18"/>
                <w:szCs w:val="18"/>
                <w:lang w:val="pt-BR"/>
              </w:rPr>
            </w:pPr>
            <w:r w:rsidRPr="00C2792F">
              <w:rPr>
                <w:b/>
                <w:sz w:val="18"/>
                <w:szCs w:val="18"/>
                <w:lang w:val="pt-BR"/>
              </w:rPr>
              <w:t>Una Etapa, Dos Sobres</w:t>
            </w:r>
          </w:p>
        </w:tc>
        <w:tc>
          <w:tcPr>
            <w:tcW w:w="1464" w:type="dxa"/>
            <w:vAlign w:val="center"/>
          </w:tcPr>
          <w:p w14:paraId="47FCBC3F" w14:textId="4C8D4882" w:rsidR="00A211EC" w:rsidRPr="00C2792F" w:rsidRDefault="00A211EC" w:rsidP="00A211EC">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9F246A" w:rsidRPr="00C2792F">
              <w:rPr>
                <w:rFonts w:ascii="Arial" w:eastAsia="Times New Roman" w:hAnsi="Arial" w:cs="Arial"/>
                <w:bCs/>
                <w:sz w:val="18"/>
                <w:szCs w:val="18"/>
                <w:lang w:val="pt-BR"/>
              </w:rPr>
              <w:t>1</w:t>
            </w:r>
            <w:r w:rsidR="00507BA7" w:rsidRPr="00C2792F">
              <w:rPr>
                <w:rFonts w:ascii="Arial" w:eastAsia="Times New Roman" w:hAnsi="Arial" w:cs="Arial"/>
                <w:bCs/>
                <w:sz w:val="18"/>
                <w:szCs w:val="18"/>
                <w:lang w:val="pt-BR"/>
              </w:rPr>
              <w:t>2</w:t>
            </w:r>
          </w:p>
        </w:tc>
        <w:tc>
          <w:tcPr>
            <w:tcW w:w="4908" w:type="dxa"/>
            <w:vAlign w:val="center"/>
          </w:tcPr>
          <w:p w14:paraId="45CE8B30" w14:textId="1860AFBE" w:rsidR="001F5638" w:rsidRPr="00C2792F" w:rsidRDefault="002D197E" w:rsidP="00E13983">
            <w:pPr>
              <w:tabs>
                <w:tab w:val="left" w:pos="720"/>
                <w:tab w:val="left" w:pos="1080"/>
              </w:tabs>
              <w:suppressAutoHyphens/>
              <w:spacing w:after="120"/>
              <w:jc w:val="both"/>
              <w:rPr>
                <w:rFonts w:asciiTheme="minorHAnsi" w:eastAsia="Times New Roman" w:hAnsiTheme="minorHAnsi" w:cstheme="minorHAnsi"/>
                <w:color w:val="FF0000"/>
                <w:sz w:val="18"/>
                <w:szCs w:val="18"/>
                <w:lang w:val="pt-BR" w:eastAsia="en-US"/>
              </w:rPr>
            </w:pPr>
            <w:r w:rsidRPr="00C2792F">
              <w:rPr>
                <w:rFonts w:asciiTheme="minorHAnsi" w:hAnsiTheme="minorHAnsi" w:cstheme="minorHAnsi"/>
                <w:color w:val="FF0000"/>
                <w:sz w:val="18"/>
                <w:szCs w:val="18"/>
                <w:lang w:val="pt-BR"/>
              </w:rPr>
              <w:t>Se apropriado, um processo de dois envelopes pode ser usado em aquisições de estágio único. O primeiro envelope contém as qualificações e proposta técnica e o segundo envelope a proposta financeira (preço); os dois envelopes são abertos e avaliados sequencialmente.</w:t>
            </w:r>
          </w:p>
        </w:tc>
        <w:tc>
          <w:tcPr>
            <w:tcW w:w="4361" w:type="dxa"/>
            <w:vAlign w:val="center"/>
          </w:tcPr>
          <w:p w14:paraId="6ABA83C0" w14:textId="77777777" w:rsidR="001F5638" w:rsidRPr="00C2792F" w:rsidRDefault="001F5638" w:rsidP="00D662E0">
            <w:pPr>
              <w:rPr>
                <w:lang w:val="pt-BR"/>
              </w:rPr>
            </w:pPr>
          </w:p>
        </w:tc>
      </w:tr>
      <w:tr w:rsidR="001F5638" w:rsidRPr="00CD7864" w14:paraId="4AC15C48" w14:textId="77777777" w:rsidTr="0013322E">
        <w:trPr>
          <w:jc w:val="center"/>
        </w:trPr>
        <w:tc>
          <w:tcPr>
            <w:tcW w:w="2762" w:type="dxa"/>
            <w:vAlign w:val="center"/>
          </w:tcPr>
          <w:p w14:paraId="71CFB24E" w14:textId="6C09936D" w:rsidR="002D197E" w:rsidRPr="00C2792F" w:rsidRDefault="002D197E" w:rsidP="002D197E">
            <w:pPr>
              <w:spacing w:after="120"/>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Aquisições em fases múltiplas</w:t>
            </w:r>
          </w:p>
          <w:p w14:paraId="6420A3B9" w14:textId="28E4EFC9" w:rsidR="001F5638" w:rsidRPr="00C2792F" w:rsidRDefault="001F5638" w:rsidP="002D197E">
            <w:pPr>
              <w:rPr>
                <w:b/>
                <w:sz w:val="18"/>
                <w:szCs w:val="18"/>
                <w:lang w:val="pt-BR"/>
              </w:rPr>
            </w:pPr>
          </w:p>
        </w:tc>
        <w:tc>
          <w:tcPr>
            <w:tcW w:w="1464" w:type="dxa"/>
            <w:vAlign w:val="center"/>
          </w:tcPr>
          <w:p w14:paraId="5335D79B" w14:textId="360E1579" w:rsidR="001F5638" w:rsidRPr="00C2792F" w:rsidRDefault="00A211EC"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9F246A" w:rsidRPr="00C2792F">
              <w:rPr>
                <w:rFonts w:ascii="Arial" w:eastAsia="Times New Roman" w:hAnsi="Arial" w:cs="Arial"/>
                <w:bCs/>
                <w:sz w:val="18"/>
                <w:szCs w:val="18"/>
                <w:lang w:val="pt-BR"/>
              </w:rPr>
              <w:t>1</w:t>
            </w:r>
            <w:r w:rsidR="00CE3F6A" w:rsidRPr="00C2792F">
              <w:rPr>
                <w:rFonts w:ascii="Arial" w:eastAsia="Times New Roman" w:hAnsi="Arial" w:cs="Arial"/>
                <w:bCs/>
                <w:sz w:val="18"/>
                <w:szCs w:val="18"/>
                <w:lang w:val="pt-BR"/>
              </w:rPr>
              <w:t>3</w:t>
            </w:r>
          </w:p>
        </w:tc>
        <w:tc>
          <w:tcPr>
            <w:tcW w:w="4908" w:type="dxa"/>
            <w:vAlign w:val="center"/>
          </w:tcPr>
          <w:p w14:paraId="1B14998F" w14:textId="77777777" w:rsidR="002D197E" w:rsidRPr="00C2792F" w:rsidRDefault="002D197E" w:rsidP="002D197E">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 xml:space="preserve">Muitas vezes pode ser impraticável preparar antecipadamente as especificações técnicas completas para a aquisição de: </w:t>
            </w:r>
          </w:p>
          <w:p w14:paraId="0053BB73" w14:textId="77777777" w:rsidR="002D197E" w:rsidRPr="00C2792F" w:rsidRDefault="002D197E" w:rsidP="002D197E">
            <w:pPr>
              <w:spacing w:after="120"/>
              <w:ind w:left="49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(a) grandes instalações complexas para as quais será adjudicado um contrato chave na mão para a concepção e construção de uma instalação;</w:t>
            </w:r>
          </w:p>
          <w:p w14:paraId="274ADC9B" w14:textId="77777777" w:rsidR="002D197E" w:rsidRPr="00C2792F" w:rsidRDefault="002D197E" w:rsidP="002D197E">
            <w:pPr>
              <w:spacing w:after="120"/>
              <w:ind w:left="49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b) obras, bens ou serviços de natureza complexa e especial; ou</w:t>
            </w:r>
          </w:p>
          <w:p w14:paraId="539D489F" w14:textId="777FB185" w:rsidR="001F5638" w:rsidRPr="00C2792F" w:rsidRDefault="002D197E" w:rsidP="002D197E">
            <w:pPr>
              <w:spacing w:after="120"/>
              <w:ind w:left="49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c) soluções inovadoras, tecnologias complexas de informação e comunicação sujeitas a rápidos avanços tecnológicos.</w:t>
            </w:r>
          </w:p>
        </w:tc>
        <w:tc>
          <w:tcPr>
            <w:tcW w:w="4361" w:type="dxa"/>
            <w:vAlign w:val="center"/>
          </w:tcPr>
          <w:p w14:paraId="68EC4288" w14:textId="77777777" w:rsidR="001F5638" w:rsidRPr="00C2792F" w:rsidRDefault="001F5638" w:rsidP="00D662E0">
            <w:pPr>
              <w:rPr>
                <w:lang w:val="pt-BR"/>
              </w:rPr>
            </w:pPr>
          </w:p>
        </w:tc>
      </w:tr>
      <w:tr w:rsidR="001F5638" w:rsidRPr="00CD7864" w14:paraId="55831C46" w14:textId="77777777" w:rsidTr="0013322E">
        <w:trPr>
          <w:jc w:val="center"/>
        </w:trPr>
        <w:tc>
          <w:tcPr>
            <w:tcW w:w="2762" w:type="dxa"/>
            <w:vAlign w:val="center"/>
          </w:tcPr>
          <w:p w14:paraId="76FE202D" w14:textId="77777777" w:rsidR="001F5638" w:rsidRPr="00C2792F" w:rsidRDefault="001F5638" w:rsidP="006D2939">
            <w:pPr>
              <w:jc w:val="center"/>
              <w:rPr>
                <w:b/>
                <w:sz w:val="18"/>
                <w:szCs w:val="18"/>
                <w:lang w:val="pt-BR"/>
              </w:rPr>
            </w:pPr>
          </w:p>
        </w:tc>
        <w:tc>
          <w:tcPr>
            <w:tcW w:w="1464" w:type="dxa"/>
            <w:vAlign w:val="center"/>
          </w:tcPr>
          <w:p w14:paraId="0E255F61" w14:textId="7781EDAF" w:rsidR="001F5638" w:rsidRPr="00C2792F" w:rsidRDefault="00A211EC"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2.1</w:t>
            </w:r>
            <w:r w:rsidR="00507BA7" w:rsidRPr="00C2792F">
              <w:rPr>
                <w:rFonts w:ascii="Arial" w:eastAsia="Times New Roman" w:hAnsi="Arial" w:cs="Arial"/>
                <w:bCs/>
                <w:sz w:val="18"/>
                <w:szCs w:val="18"/>
                <w:lang w:val="pt-BR"/>
              </w:rPr>
              <w:t>4</w:t>
            </w:r>
          </w:p>
        </w:tc>
        <w:tc>
          <w:tcPr>
            <w:tcW w:w="4908" w:type="dxa"/>
            <w:vAlign w:val="center"/>
          </w:tcPr>
          <w:p w14:paraId="4AC8B79F" w14:textId="0CBD908E" w:rsidR="001F5638" w:rsidRPr="00C2792F" w:rsidRDefault="002D197E" w:rsidP="002D197E">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 xml:space="preserve">No primeiro estágio, convida-se a apresentar propostas com base em um projeto conceitual ou especificação funcional ou de desempenho, sujeitas à realização de reuniões confidenciais de exploração e esclarecimentos pelo Mutuário, para conhecer as </w:t>
            </w:r>
            <w:r w:rsidRPr="00C2792F">
              <w:rPr>
                <w:rFonts w:asciiTheme="minorHAnsi" w:hAnsiTheme="minorHAnsi" w:cstheme="minorHAnsi"/>
                <w:color w:val="FF0000"/>
                <w:sz w:val="18"/>
                <w:szCs w:val="18"/>
                <w:lang w:val="pt-BR"/>
              </w:rPr>
              <w:lastRenderedPageBreak/>
              <w:t>possíveis soluções. Na segunda etapa, o documento SPO ou SDP poderá ser alterado para refletir as descobertas feitas nas reuniões confidenciais e emitidas aos licitantes qualificados, solicitando-lhes que enviem suas Propostas finais. Conforme exigido no documento de solicitação de propostas / ofertas, a segunda etapa pode ser enviada em um (1) envelope ou dois (2) envelopes para as partes técnica e financeira, respectivamente, onde os dois envelopes são abertos e avaliados sequencialmente.</w:t>
            </w:r>
          </w:p>
        </w:tc>
        <w:tc>
          <w:tcPr>
            <w:tcW w:w="4361" w:type="dxa"/>
            <w:vAlign w:val="center"/>
          </w:tcPr>
          <w:p w14:paraId="59D1825D" w14:textId="77777777" w:rsidR="001F5638" w:rsidRPr="00C2792F" w:rsidRDefault="001F5638" w:rsidP="00D662E0">
            <w:pPr>
              <w:rPr>
                <w:lang w:val="pt-BR"/>
              </w:rPr>
            </w:pPr>
          </w:p>
        </w:tc>
      </w:tr>
      <w:tr w:rsidR="001F5638" w:rsidRPr="00CD7864" w14:paraId="085B55C4" w14:textId="77777777" w:rsidTr="0013322E">
        <w:trPr>
          <w:jc w:val="center"/>
        </w:trPr>
        <w:tc>
          <w:tcPr>
            <w:tcW w:w="2762" w:type="dxa"/>
            <w:vAlign w:val="center"/>
          </w:tcPr>
          <w:p w14:paraId="21E09840" w14:textId="34ECF691" w:rsidR="001F5638" w:rsidRPr="00C2792F" w:rsidRDefault="00A211EC" w:rsidP="006D2939">
            <w:pPr>
              <w:jc w:val="center"/>
              <w:rPr>
                <w:b/>
                <w:sz w:val="18"/>
                <w:szCs w:val="18"/>
                <w:lang w:val="pt-BR"/>
              </w:rPr>
            </w:pPr>
            <w:r w:rsidRPr="00C2792F">
              <w:rPr>
                <w:b/>
                <w:sz w:val="18"/>
                <w:szCs w:val="18"/>
                <w:lang w:val="pt-BR"/>
              </w:rPr>
              <w:t>Di</w:t>
            </w:r>
            <w:r w:rsidR="00B24BD6" w:rsidRPr="00C2792F">
              <w:rPr>
                <w:b/>
                <w:sz w:val="18"/>
                <w:szCs w:val="18"/>
                <w:lang w:val="pt-BR"/>
              </w:rPr>
              <w:t>á</w:t>
            </w:r>
            <w:r w:rsidRPr="00C2792F">
              <w:rPr>
                <w:b/>
                <w:sz w:val="18"/>
                <w:szCs w:val="18"/>
                <w:lang w:val="pt-BR"/>
              </w:rPr>
              <w:t>logo Competitivo</w:t>
            </w:r>
          </w:p>
        </w:tc>
        <w:tc>
          <w:tcPr>
            <w:tcW w:w="1464" w:type="dxa"/>
            <w:vAlign w:val="center"/>
          </w:tcPr>
          <w:p w14:paraId="403D9B87" w14:textId="2C16111B" w:rsidR="001F5638" w:rsidRPr="00C2792F" w:rsidRDefault="00A211EC"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8A6DC7" w:rsidRPr="00C2792F">
              <w:rPr>
                <w:rFonts w:ascii="Arial" w:eastAsia="Times New Roman" w:hAnsi="Arial" w:cs="Arial"/>
                <w:bCs/>
                <w:sz w:val="18"/>
                <w:szCs w:val="18"/>
                <w:lang w:val="pt-BR"/>
              </w:rPr>
              <w:t>1</w:t>
            </w:r>
            <w:r w:rsidR="003A6386" w:rsidRPr="00C2792F">
              <w:rPr>
                <w:rFonts w:ascii="Arial" w:eastAsia="Times New Roman" w:hAnsi="Arial" w:cs="Arial"/>
                <w:bCs/>
                <w:sz w:val="18"/>
                <w:szCs w:val="18"/>
                <w:lang w:val="pt-BR"/>
              </w:rPr>
              <w:t>5</w:t>
            </w:r>
          </w:p>
        </w:tc>
        <w:tc>
          <w:tcPr>
            <w:tcW w:w="4908" w:type="dxa"/>
            <w:vAlign w:val="center"/>
          </w:tcPr>
          <w:p w14:paraId="6ADA5898" w14:textId="77777777" w:rsidR="00B24BD6" w:rsidRPr="00C2792F" w:rsidRDefault="00B24BD6" w:rsidP="00B24BD6">
            <w:pPr>
              <w:suppressAutoHyphens/>
              <w:spacing w:after="120"/>
              <w:ind w:left="9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 xml:space="preserve">O diálogo competitivo é um procedimento de estágios múltiplos, através do qual o Mutuário é capaz de conduzir diálogos diretamente com os licitantes, com o objetivo de desenvolver uma ou mais soluções alternativas adequadas para atender aos seus requerimentos. Este procedimento foi concebido para aquisições particularmente complexas ou inovadoras e é apropriado: </w:t>
            </w:r>
          </w:p>
          <w:p w14:paraId="5585B17C" w14:textId="77777777" w:rsidR="00B24BD6" w:rsidRPr="00C2792F" w:rsidRDefault="00B24BD6" w:rsidP="00B24BD6">
            <w:pPr>
              <w:pStyle w:val="ListParagraph"/>
              <w:spacing w:after="12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(a) onde várias soluções que satisfaçam os requisitos do Mutuário possam ser possíveis, e onde os arranjos técnicos e comerciais detalhados necessários para apoiar essas soluções exijam discussão e desenvolvimento entre as partes; e</w:t>
            </w:r>
          </w:p>
          <w:p w14:paraId="16846070" w14:textId="34621EAB" w:rsidR="001F5638" w:rsidRPr="00C2792F" w:rsidRDefault="00B24BD6" w:rsidP="00B24BD6">
            <w:pPr>
              <w:pStyle w:val="ListParagraph"/>
              <w:spacing w:after="12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(b) devido à natureza e complexidade da aquisição, o Mutuário não está objetivamente apto a: i. definir adequadamente as especificações técnicas ou de desempenho e o escopo para satisfazer seus requisitos; e/ou; ii. especificar totalmente as disposições legais e/ou financeiras da aquisição.</w:t>
            </w:r>
          </w:p>
        </w:tc>
        <w:tc>
          <w:tcPr>
            <w:tcW w:w="4361" w:type="dxa"/>
            <w:vAlign w:val="center"/>
          </w:tcPr>
          <w:p w14:paraId="607BCC59" w14:textId="77777777" w:rsidR="001F5638" w:rsidRPr="00C2792F" w:rsidRDefault="001F5638" w:rsidP="00D662E0">
            <w:pPr>
              <w:rPr>
                <w:lang w:val="pt-BR"/>
              </w:rPr>
            </w:pPr>
          </w:p>
        </w:tc>
      </w:tr>
      <w:tr w:rsidR="00337457" w:rsidRPr="00CD7864" w14:paraId="57DD4C50" w14:textId="77777777" w:rsidTr="0013322E">
        <w:trPr>
          <w:jc w:val="center"/>
        </w:trPr>
        <w:tc>
          <w:tcPr>
            <w:tcW w:w="2762" w:type="dxa"/>
            <w:vAlign w:val="center"/>
          </w:tcPr>
          <w:p w14:paraId="32F5F51B" w14:textId="77777777" w:rsidR="00337457" w:rsidRPr="00C2792F" w:rsidRDefault="00337457" w:rsidP="00337457">
            <w:pPr>
              <w:jc w:val="center"/>
              <w:rPr>
                <w:b/>
                <w:sz w:val="18"/>
                <w:szCs w:val="18"/>
                <w:lang w:val="pt-BR"/>
              </w:rPr>
            </w:pPr>
          </w:p>
        </w:tc>
        <w:tc>
          <w:tcPr>
            <w:tcW w:w="1464" w:type="dxa"/>
            <w:vAlign w:val="center"/>
          </w:tcPr>
          <w:p w14:paraId="20C8C96E" w14:textId="041F75EB" w:rsidR="00337457" w:rsidRPr="00C2792F" w:rsidRDefault="00337457" w:rsidP="00337457">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2.16</w:t>
            </w:r>
          </w:p>
        </w:tc>
        <w:tc>
          <w:tcPr>
            <w:tcW w:w="4908" w:type="dxa"/>
            <w:vAlign w:val="center"/>
          </w:tcPr>
          <w:p w14:paraId="51E4326A" w14:textId="3A7E331F" w:rsidR="00337457" w:rsidRPr="00C2792F" w:rsidRDefault="00B24BD6" w:rsidP="00B24BD6">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 xml:space="preserve">No Diálogo Competitivo, o Mutuário entra em diálogo com os licitantes pré-qualificados, com o objetivo de melhor identificar e definir os meios mais adequados para satisfazer os requisitos do Mutuário antes de convidar os licitantes a submeter suas Propostas finais. O uso deste método requer justificação e deve ser incorporado na estratégia de aquisições, com a aprovação prévia do Banco e sua inclusão no Plano de Aquisições. Para garantir a transparência e a prestação de contas, o Mutuário identificará um Provedor de Garantia de Probidade ou Entidade (Auditor de Probabilidade) independente, aceitável para o Banco. O Auditor de probidade será nomeado no início da licitação e fará a auditoria do processo até a adjudicação do </w:t>
            </w:r>
            <w:r w:rsidRPr="00C2792F">
              <w:rPr>
                <w:rFonts w:asciiTheme="minorHAnsi" w:hAnsiTheme="minorHAnsi" w:cstheme="minorHAnsi"/>
                <w:color w:val="FF0000"/>
                <w:sz w:val="18"/>
                <w:szCs w:val="18"/>
                <w:lang w:val="pt-BR"/>
              </w:rPr>
              <w:lastRenderedPageBreak/>
              <w:t>contrato, e preparará um relatório a ser submetido aos proponentes e ao Banco.</w:t>
            </w:r>
          </w:p>
        </w:tc>
        <w:tc>
          <w:tcPr>
            <w:tcW w:w="4361" w:type="dxa"/>
            <w:vAlign w:val="center"/>
          </w:tcPr>
          <w:p w14:paraId="4ADB3DC3" w14:textId="77777777" w:rsidR="00337457" w:rsidRPr="00C2792F" w:rsidRDefault="00337457" w:rsidP="00337457">
            <w:pPr>
              <w:rPr>
                <w:lang w:val="pt-BR"/>
              </w:rPr>
            </w:pPr>
          </w:p>
        </w:tc>
      </w:tr>
      <w:tr w:rsidR="008C40FA" w:rsidRPr="00CD7864" w14:paraId="4ADCC5C0" w14:textId="77777777" w:rsidTr="0013322E">
        <w:trPr>
          <w:jc w:val="center"/>
        </w:trPr>
        <w:tc>
          <w:tcPr>
            <w:tcW w:w="2762" w:type="dxa"/>
            <w:vAlign w:val="center"/>
          </w:tcPr>
          <w:p w14:paraId="25E59D3D" w14:textId="3EDDB972" w:rsidR="008C40FA" w:rsidRPr="00C2792F" w:rsidRDefault="00B24BD6" w:rsidP="00B24BD6">
            <w:pPr>
              <w:pStyle w:val="ListParagraph"/>
              <w:spacing w:after="120"/>
              <w:ind w:left="405"/>
              <w:rPr>
                <w:rFonts w:asciiTheme="minorHAnsi" w:hAnsiTheme="minorHAnsi"/>
                <w:b/>
                <w:color w:val="FF0000"/>
                <w:sz w:val="18"/>
                <w:szCs w:val="18"/>
                <w:lang w:val="pt-BR"/>
              </w:rPr>
            </w:pPr>
            <w:r w:rsidRPr="00C2792F">
              <w:rPr>
                <w:rFonts w:asciiTheme="minorHAnsi" w:hAnsiTheme="minorHAnsi"/>
                <w:b/>
                <w:color w:val="FF0000"/>
                <w:sz w:val="18"/>
                <w:szCs w:val="18"/>
                <w:lang w:val="pt-BR"/>
              </w:rPr>
              <w:t>Parcerias de inovação</w:t>
            </w:r>
          </w:p>
        </w:tc>
        <w:tc>
          <w:tcPr>
            <w:tcW w:w="1464" w:type="dxa"/>
            <w:vAlign w:val="center"/>
          </w:tcPr>
          <w:p w14:paraId="74CE03C6" w14:textId="5A0BEE00" w:rsidR="008C40FA" w:rsidRPr="00C2792F" w:rsidRDefault="0081621C"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2.1</w:t>
            </w:r>
            <w:r w:rsidR="003A6386" w:rsidRPr="00C2792F">
              <w:rPr>
                <w:rFonts w:ascii="Arial" w:eastAsia="Times New Roman" w:hAnsi="Arial" w:cs="Arial"/>
                <w:bCs/>
                <w:sz w:val="18"/>
                <w:szCs w:val="18"/>
                <w:lang w:val="pt-BR"/>
              </w:rPr>
              <w:t>7</w:t>
            </w:r>
          </w:p>
        </w:tc>
        <w:tc>
          <w:tcPr>
            <w:tcW w:w="4908" w:type="dxa"/>
            <w:vAlign w:val="center"/>
          </w:tcPr>
          <w:p w14:paraId="3B0E22A5" w14:textId="77777777" w:rsidR="00B24BD6" w:rsidRPr="00C2792F" w:rsidRDefault="00B24BD6" w:rsidP="00B24BD6">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A Parceria de Inovação é um procedimento de estágios múltiplos em que o Mutuário precisa de uma solução para entregar melhores obras, bens ou serviços para atingir suas metas de desenvolvimento sustentável, e essa solução não está prontamente disponível no mercado. Este procedimento deve ser feito de acordo com os Princípios Básicos de Aquisição do Banco e deve ser usado em circunstâncias excepcionais, onde: (i) as novas obras, bens ou serviços de não consultoria tenham mérito inovador; (ii) necessidades de inovação ocorram durante o desempenho do contrato, (iii) o(s) fornecedor(es) precisam desenvolver a nova solução com a colaboração técnica do Mutuário; e (iv) espera-se que o(s) fornecedor(es) crie(m) a solução inovadora e assegure(m) sua implementação em escala real para o Mutuário. Neste procedimento, existe a intenção de incluir no contrato tanto o desenvolvimento quanto a compra da solução fornecida, desde que o fornecedor observe os níveis de desempenho acordados e os custos mínimos.</w:t>
            </w:r>
          </w:p>
          <w:p w14:paraId="1E73C23C" w14:textId="7B8BBE3D" w:rsidR="008C40FA" w:rsidRPr="00C2792F" w:rsidRDefault="008C40FA" w:rsidP="00844751">
            <w:pPr>
              <w:tabs>
                <w:tab w:val="left" w:pos="720"/>
                <w:tab w:val="left" w:pos="1080"/>
              </w:tabs>
              <w:suppressAutoHyphens/>
              <w:spacing w:after="120"/>
              <w:jc w:val="both"/>
              <w:rPr>
                <w:rFonts w:asciiTheme="minorHAnsi" w:eastAsia="Times New Roman" w:hAnsiTheme="minorHAnsi" w:cstheme="minorHAnsi"/>
                <w:color w:val="FF0000"/>
                <w:sz w:val="18"/>
                <w:szCs w:val="18"/>
                <w:lang w:val="pt-BR" w:eastAsia="en-US"/>
              </w:rPr>
            </w:pPr>
          </w:p>
        </w:tc>
        <w:tc>
          <w:tcPr>
            <w:tcW w:w="4361" w:type="dxa"/>
            <w:vAlign w:val="center"/>
          </w:tcPr>
          <w:p w14:paraId="59EF42A6" w14:textId="77777777" w:rsidR="008C40FA" w:rsidRPr="00C2792F" w:rsidRDefault="008C40FA" w:rsidP="00D662E0">
            <w:pPr>
              <w:rPr>
                <w:lang w:val="pt-BR"/>
              </w:rPr>
            </w:pPr>
          </w:p>
        </w:tc>
      </w:tr>
      <w:tr w:rsidR="003F13E2" w:rsidRPr="00CD7864" w14:paraId="2F485BFC" w14:textId="77777777" w:rsidTr="0013322E">
        <w:trPr>
          <w:jc w:val="center"/>
        </w:trPr>
        <w:tc>
          <w:tcPr>
            <w:tcW w:w="2762" w:type="dxa"/>
            <w:vAlign w:val="center"/>
          </w:tcPr>
          <w:p w14:paraId="769E229A" w14:textId="54DD7A04" w:rsidR="003F13E2" w:rsidRPr="00C2792F" w:rsidRDefault="00B24BD6" w:rsidP="00B24BD6">
            <w:pPr>
              <w:pStyle w:val="Heading2"/>
              <w:jc w:val="center"/>
              <w:outlineLvl w:val="1"/>
              <w:rPr>
                <w:rFonts w:asciiTheme="minorHAnsi" w:hAnsiTheme="minorHAnsi"/>
                <w:sz w:val="18"/>
                <w:szCs w:val="18"/>
                <w:lang w:val="pt-BR"/>
              </w:rPr>
            </w:pPr>
            <w:bookmarkStart w:id="8" w:name="_Toc143318149"/>
            <w:bookmarkStart w:id="9" w:name="_Toc364483380"/>
            <w:bookmarkStart w:id="10" w:name="_Toc358896366"/>
            <w:bookmarkStart w:id="11" w:name="_Toc458086067"/>
            <w:r w:rsidRPr="00C2792F">
              <w:rPr>
                <w:rFonts w:asciiTheme="minorHAnsi" w:hAnsiTheme="minorHAnsi"/>
                <w:sz w:val="18"/>
                <w:szCs w:val="18"/>
                <w:lang w:val="pt-BR"/>
              </w:rPr>
              <w:lastRenderedPageBreak/>
              <w:t>Validade</w:t>
            </w:r>
            <w:r w:rsidRPr="00C2792F">
              <w:rPr>
                <w:rFonts w:asciiTheme="minorHAnsi" w:hAnsiTheme="minorHAnsi"/>
                <w:spacing w:val="3"/>
                <w:sz w:val="18"/>
                <w:szCs w:val="18"/>
                <w:lang w:val="pt-BR"/>
              </w:rPr>
              <w:t xml:space="preserve"> </w:t>
            </w:r>
            <w:r w:rsidRPr="00C2792F">
              <w:rPr>
                <w:rFonts w:asciiTheme="minorHAnsi" w:hAnsiTheme="minorHAnsi"/>
                <w:sz w:val="18"/>
                <w:szCs w:val="18"/>
                <w:lang w:val="pt-BR"/>
              </w:rPr>
              <w:t>das</w:t>
            </w:r>
            <w:r w:rsidRPr="00C2792F">
              <w:rPr>
                <w:rFonts w:asciiTheme="minorHAnsi" w:hAnsiTheme="minorHAnsi"/>
                <w:spacing w:val="3"/>
                <w:sz w:val="18"/>
                <w:szCs w:val="18"/>
                <w:lang w:val="pt-BR"/>
              </w:rPr>
              <w:t xml:space="preserve"> </w:t>
            </w:r>
            <w:r w:rsidRPr="00C2792F">
              <w:rPr>
                <w:rFonts w:asciiTheme="minorHAnsi" w:hAnsiTheme="minorHAnsi"/>
                <w:sz w:val="18"/>
                <w:szCs w:val="18"/>
                <w:lang w:val="pt-BR"/>
              </w:rPr>
              <w:t>Propostas</w:t>
            </w:r>
            <w:r w:rsidRPr="00C2792F">
              <w:rPr>
                <w:rFonts w:asciiTheme="minorHAnsi" w:hAnsiTheme="minorHAnsi"/>
                <w:spacing w:val="3"/>
                <w:sz w:val="18"/>
                <w:szCs w:val="18"/>
                <w:lang w:val="pt-BR"/>
              </w:rPr>
              <w:t xml:space="preserve"> </w:t>
            </w:r>
            <w:r w:rsidRPr="00C2792F">
              <w:rPr>
                <w:rFonts w:asciiTheme="minorHAnsi" w:hAnsiTheme="minorHAnsi"/>
                <w:sz w:val="18"/>
                <w:szCs w:val="18"/>
                <w:lang w:val="pt-BR"/>
              </w:rPr>
              <w:t>e</w:t>
            </w:r>
            <w:r w:rsidRPr="00C2792F">
              <w:rPr>
                <w:rFonts w:asciiTheme="minorHAnsi" w:hAnsiTheme="minorHAnsi"/>
                <w:spacing w:val="3"/>
                <w:sz w:val="18"/>
                <w:szCs w:val="18"/>
                <w:lang w:val="pt-BR"/>
              </w:rPr>
              <w:t xml:space="preserve"> </w:t>
            </w:r>
            <w:r w:rsidRPr="00C2792F">
              <w:rPr>
                <w:rFonts w:asciiTheme="minorHAnsi" w:hAnsiTheme="minorHAnsi"/>
                <w:sz w:val="18"/>
                <w:szCs w:val="18"/>
                <w:lang w:val="pt-BR"/>
              </w:rPr>
              <w:t>Garantia</w:t>
            </w:r>
            <w:r w:rsidRPr="00C2792F">
              <w:rPr>
                <w:rFonts w:asciiTheme="minorHAnsi" w:hAnsiTheme="minorHAnsi"/>
                <w:spacing w:val="3"/>
                <w:sz w:val="18"/>
                <w:szCs w:val="18"/>
                <w:lang w:val="pt-BR"/>
              </w:rPr>
              <w:t xml:space="preserve"> </w:t>
            </w:r>
            <w:r w:rsidRPr="00C2792F">
              <w:rPr>
                <w:rFonts w:asciiTheme="minorHAnsi" w:hAnsiTheme="minorHAnsi"/>
                <w:sz w:val="18"/>
                <w:szCs w:val="18"/>
                <w:lang w:val="pt-BR"/>
              </w:rPr>
              <w:t>de</w:t>
            </w:r>
            <w:r w:rsidRPr="00C2792F">
              <w:rPr>
                <w:rFonts w:asciiTheme="minorHAnsi" w:hAnsiTheme="minorHAnsi"/>
                <w:spacing w:val="3"/>
                <w:sz w:val="18"/>
                <w:szCs w:val="18"/>
                <w:lang w:val="pt-BR"/>
              </w:rPr>
              <w:t xml:space="preserve"> </w:t>
            </w:r>
            <w:r w:rsidRPr="00C2792F">
              <w:rPr>
                <w:rFonts w:asciiTheme="minorHAnsi" w:hAnsiTheme="minorHAnsi"/>
                <w:sz w:val="18"/>
                <w:szCs w:val="18"/>
                <w:lang w:val="pt-BR"/>
              </w:rPr>
              <w:t>Proposta</w:t>
            </w:r>
            <w:bookmarkEnd w:id="8"/>
            <w:r w:rsidRPr="00C2792F">
              <w:rPr>
                <w:rFonts w:asciiTheme="minorHAnsi" w:hAnsiTheme="minorHAnsi"/>
                <w:sz w:val="18"/>
                <w:szCs w:val="18"/>
                <w:lang w:val="pt-BR"/>
              </w:rPr>
              <w:t xml:space="preserve"> </w:t>
            </w:r>
            <w:r w:rsidRPr="00C2792F">
              <w:rPr>
                <w:rFonts w:asciiTheme="minorHAnsi" w:hAnsiTheme="minorHAnsi"/>
                <w:sz w:val="18"/>
                <w:szCs w:val="18"/>
                <w:lang w:val="pt-BR"/>
              </w:rPr>
              <w:fldChar w:fldCharType="begin"/>
            </w:r>
            <w:r w:rsidRPr="00C2792F">
              <w:rPr>
                <w:rFonts w:asciiTheme="minorHAnsi" w:hAnsiTheme="minorHAnsi"/>
                <w:sz w:val="18"/>
                <w:szCs w:val="18"/>
                <w:lang w:val="pt-BR"/>
              </w:rPr>
              <w:instrText>ADVANCE \D 4.0</w:instrText>
            </w:r>
            <w:r w:rsidRPr="00C2792F">
              <w:rPr>
                <w:rFonts w:asciiTheme="minorHAnsi" w:hAnsiTheme="minorHAnsi"/>
                <w:sz w:val="18"/>
                <w:szCs w:val="18"/>
                <w:lang w:val="pt-BR"/>
              </w:rPr>
              <w:fldChar w:fldCharType="end"/>
            </w:r>
            <w:bookmarkEnd w:id="9"/>
            <w:bookmarkEnd w:id="10"/>
            <w:bookmarkEnd w:id="11"/>
          </w:p>
        </w:tc>
        <w:tc>
          <w:tcPr>
            <w:tcW w:w="1464" w:type="dxa"/>
            <w:vAlign w:val="center"/>
          </w:tcPr>
          <w:p w14:paraId="2BA25426" w14:textId="479422C7" w:rsidR="003F13E2" w:rsidRPr="00C2792F" w:rsidRDefault="003F13E2"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2.22</w:t>
            </w:r>
          </w:p>
        </w:tc>
        <w:tc>
          <w:tcPr>
            <w:tcW w:w="4908" w:type="dxa"/>
            <w:vAlign w:val="center"/>
          </w:tcPr>
          <w:p w14:paraId="0D83065B" w14:textId="6320AED8" w:rsidR="003F13E2" w:rsidRPr="00C2792F" w:rsidRDefault="00B24BD6" w:rsidP="00B24BD6">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No lugar de uma garantia de proposta, o Mutuário poderá exigir que os licitantes assinem uma declaração aceitando que deixarão de ser elegíveis para apresentar propostas em qualquer contrato com o Mutuário por um período de tempo, caso retirem ou modifiquem suas propostas durante o período de validade das mesmas ou, caso lhes seja adjudicado o contrato, deixem de assiná-lo ou de apresentar uma garantia de execução no prazo definido no Edital de Licitação, o licitante será inelegível  por determinado período de tempo de apresentar ofertas perante o Mutuário.</w:t>
            </w:r>
          </w:p>
        </w:tc>
        <w:tc>
          <w:tcPr>
            <w:tcW w:w="4361" w:type="dxa"/>
            <w:vAlign w:val="center"/>
          </w:tcPr>
          <w:p w14:paraId="76978EA6" w14:textId="77777777" w:rsidR="003F13E2" w:rsidRPr="00C2792F" w:rsidRDefault="003F13E2" w:rsidP="00D662E0">
            <w:pPr>
              <w:rPr>
                <w:lang w:val="pt-BR"/>
              </w:rPr>
            </w:pPr>
          </w:p>
        </w:tc>
      </w:tr>
      <w:tr w:rsidR="002F20E2" w:rsidRPr="00CD7864" w14:paraId="3887BC08" w14:textId="77777777" w:rsidTr="0013322E">
        <w:trPr>
          <w:jc w:val="center"/>
        </w:trPr>
        <w:tc>
          <w:tcPr>
            <w:tcW w:w="2762" w:type="dxa"/>
            <w:vAlign w:val="center"/>
          </w:tcPr>
          <w:p w14:paraId="6C0E78C1" w14:textId="08EE3078" w:rsidR="002F20E2" w:rsidRPr="00C2792F" w:rsidRDefault="002121B5" w:rsidP="002121B5">
            <w:pPr>
              <w:pStyle w:val="Heading2"/>
              <w:jc w:val="center"/>
              <w:outlineLvl w:val="1"/>
              <w:rPr>
                <w:rFonts w:asciiTheme="minorHAnsi" w:hAnsiTheme="minorHAnsi"/>
                <w:sz w:val="18"/>
                <w:szCs w:val="18"/>
                <w:lang w:val="pt-BR"/>
              </w:rPr>
            </w:pPr>
            <w:bookmarkStart w:id="12" w:name="_Toc143318154"/>
            <w:bookmarkStart w:id="13" w:name="_Toc364483385"/>
            <w:bookmarkStart w:id="14" w:name="_Toc358896371"/>
            <w:bookmarkStart w:id="15" w:name="_Toc458086072"/>
            <w:r w:rsidRPr="00C2792F">
              <w:rPr>
                <w:rFonts w:asciiTheme="minorHAnsi" w:hAnsiTheme="minorHAnsi"/>
                <w:sz w:val="18"/>
                <w:szCs w:val="18"/>
                <w:lang w:val="pt-BR"/>
              </w:rPr>
              <w:t>Preços</w:t>
            </w:r>
            <w:bookmarkEnd w:id="12"/>
            <w:r w:rsidRPr="00C2792F">
              <w:rPr>
                <w:rFonts w:asciiTheme="minorHAnsi" w:hAnsiTheme="minorHAnsi"/>
                <w:sz w:val="18"/>
                <w:szCs w:val="18"/>
                <w:lang w:val="pt-BR"/>
              </w:rPr>
              <w:t xml:space="preserve"> </w:t>
            </w:r>
            <w:r w:rsidRPr="00C2792F">
              <w:rPr>
                <w:rFonts w:asciiTheme="minorHAnsi" w:hAnsiTheme="minorHAnsi"/>
                <w:sz w:val="18"/>
                <w:szCs w:val="18"/>
                <w:lang w:val="pt-BR"/>
              </w:rPr>
              <w:fldChar w:fldCharType="begin"/>
            </w:r>
            <w:r w:rsidRPr="00C2792F">
              <w:rPr>
                <w:rFonts w:asciiTheme="minorHAnsi" w:hAnsiTheme="minorHAnsi"/>
                <w:sz w:val="18"/>
                <w:szCs w:val="18"/>
                <w:lang w:val="pt-BR"/>
              </w:rPr>
              <w:instrText>ADVANCE \D 4.0</w:instrText>
            </w:r>
            <w:r w:rsidRPr="00C2792F">
              <w:rPr>
                <w:rFonts w:asciiTheme="minorHAnsi" w:hAnsiTheme="minorHAnsi"/>
                <w:sz w:val="18"/>
                <w:szCs w:val="18"/>
                <w:lang w:val="pt-BR"/>
              </w:rPr>
              <w:fldChar w:fldCharType="end"/>
            </w:r>
            <w:bookmarkEnd w:id="13"/>
            <w:bookmarkEnd w:id="14"/>
            <w:bookmarkEnd w:id="15"/>
          </w:p>
        </w:tc>
        <w:tc>
          <w:tcPr>
            <w:tcW w:w="1464" w:type="dxa"/>
            <w:vAlign w:val="center"/>
          </w:tcPr>
          <w:p w14:paraId="023B6D64" w14:textId="430C701A" w:rsidR="002F20E2" w:rsidRPr="00C2792F" w:rsidRDefault="002F20E2"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2.30</w:t>
            </w:r>
          </w:p>
        </w:tc>
        <w:tc>
          <w:tcPr>
            <w:tcW w:w="4908" w:type="dxa"/>
            <w:vAlign w:val="center"/>
          </w:tcPr>
          <w:p w14:paraId="3CE050BF" w14:textId="4C1A772F" w:rsidR="002F20E2" w:rsidRPr="00C2792F" w:rsidRDefault="002121B5" w:rsidP="002121B5">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No caso de contratos do tipo </w:t>
            </w:r>
            <w:r w:rsidRPr="00C2792F">
              <w:rPr>
                <w:rFonts w:asciiTheme="minorHAnsi" w:hAnsiTheme="minorHAnsi" w:cstheme="minorHAnsi"/>
                <w:color w:val="FF0000"/>
                <w:sz w:val="18"/>
                <w:szCs w:val="18"/>
                <w:lang w:val="pt-BR"/>
              </w:rPr>
              <w:t xml:space="preserve">de desenho e construção ou </w:t>
            </w:r>
            <w:r w:rsidRPr="00C2792F">
              <w:rPr>
                <w:rFonts w:asciiTheme="minorHAnsi" w:hAnsiTheme="minorHAnsi" w:cstheme="minorHAnsi"/>
                <w:sz w:val="18"/>
                <w:szCs w:val="18"/>
                <w:lang w:val="pt-BR"/>
              </w:rPr>
              <w:t>de empreitada integral, dever-se-á solicitar aos licitantes que apresentem o preço final das instalações no local designado, incluindo todos os custos de fornecimento dos equipamentos, transporte marítimo, transporte local e seguros, instalação e comissionamento, bem como os custos de obras conexas e todos os demais serviços incluídos no escopo do contrato, tais como: projeto, manutenção, operação, etc. Salvo disposição em contrário, contida nos Editais de Licitação, o preço de um contrato do tipo empreitada integral incluirá todas as taxas, tributos e outros encargos</w:t>
            </w:r>
            <w:r w:rsidRPr="00C2792F">
              <w:rPr>
                <w:rFonts w:asciiTheme="minorHAnsi" w:hAnsiTheme="minorHAnsi" w:cstheme="minorHAnsi"/>
                <w:sz w:val="18"/>
                <w:szCs w:val="18"/>
                <w:vertAlign w:val="superscript"/>
                <w:lang w:val="pt-BR"/>
              </w:rPr>
              <w:footnoteReference w:id="6"/>
            </w:r>
            <w:r w:rsidRPr="00C2792F">
              <w:rPr>
                <w:rFonts w:asciiTheme="minorHAnsi" w:hAnsiTheme="minorHAnsi" w:cstheme="minorHAnsi"/>
                <w:sz w:val="18"/>
                <w:szCs w:val="18"/>
                <w:lang w:val="pt-BR"/>
              </w:rPr>
              <w:t xml:space="preserve">. </w:t>
            </w:r>
          </w:p>
        </w:tc>
        <w:tc>
          <w:tcPr>
            <w:tcW w:w="4361" w:type="dxa"/>
            <w:vAlign w:val="center"/>
          </w:tcPr>
          <w:p w14:paraId="04868ACE" w14:textId="77777777" w:rsidR="002F20E2" w:rsidRPr="00C2792F" w:rsidRDefault="002F20E2" w:rsidP="00D662E0">
            <w:pPr>
              <w:rPr>
                <w:lang w:val="pt-BR"/>
              </w:rPr>
            </w:pPr>
          </w:p>
        </w:tc>
      </w:tr>
      <w:tr w:rsidR="001F5638" w:rsidRPr="00CD7864" w14:paraId="664FDE86" w14:textId="77777777" w:rsidTr="0013322E">
        <w:trPr>
          <w:jc w:val="center"/>
        </w:trPr>
        <w:tc>
          <w:tcPr>
            <w:tcW w:w="2762" w:type="dxa"/>
            <w:vAlign w:val="center"/>
          </w:tcPr>
          <w:p w14:paraId="5FC5772C" w14:textId="23FD5B35" w:rsidR="001F5638" w:rsidRPr="00C2792F" w:rsidRDefault="002121B5" w:rsidP="006D2939">
            <w:pPr>
              <w:jc w:val="center"/>
              <w:rPr>
                <w:sz w:val="18"/>
                <w:szCs w:val="18"/>
                <w:lang w:val="pt-BR"/>
              </w:rPr>
            </w:pPr>
            <w:bookmarkStart w:id="16" w:name="_Toc143318170"/>
            <w:r w:rsidRPr="00C2792F">
              <w:rPr>
                <w:rFonts w:asciiTheme="minorHAnsi" w:hAnsiTheme="minorHAnsi"/>
                <w:sz w:val="18"/>
                <w:szCs w:val="18"/>
                <w:lang w:val="pt-BR"/>
              </w:rPr>
              <w:t>Procedimentos de Abertura de Propostas</w:t>
            </w:r>
            <w:bookmarkEnd w:id="16"/>
          </w:p>
        </w:tc>
        <w:tc>
          <w:tcPr>
            <w:tcW w:w="1464" w:type="dxa"/>
            <w:vAlign w:val="center"/>
          </w:tcPr>
          <w:p w14:paraId="3579B238" w14:textId="26070242" w:rsidR="001F5638" w:rsidRPr="00C2792F" w:rsidRDefault="00A211EC"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D86ACC" w:rsidRPr="00C2792F">
              <w:rPr>
                <w:rFonts w:ascii="Arial" w:eastAsia="Times New Roman" w:hAnsi="Arial" w:cs="Arial"/>
                <w:bCs/>
                <w:sz w:val="18"/>
                <w:szCs w:val="18"/>
                <w:lang w:val="pt-BR"/>
              </w:rPr>
              <w:t>5</w:t>
            </w:r>
            <w:r w:rsidR="00E756FF" w:rsidRPr="00C2792F">
              <w:rPr>
                <w:rFonts w:ascii="Arial" w:eastAsia="Times New Roman" w:hAnsi="Arial" w:cs="Arial"/>
                <w:bCs/>
                <w:sz w:val="18"/>
                <w:szCs w:val="18"/>
                <w:lang w:val="pt-BR"/>
              </w:rPr>
              <w:t>3</w:t>
            </w:r>
          </w:p>
        </w:tc>
        <w:tc>
          <w:tcPr>
            <w:tcW w:w="4908" w:type="dxa"/>
            <w:vAlign w:val="center"/>
          </w:tcPr>
          <w:p w14:paraId="18B6E304" w14:textId="5C210B98" w:rsidR="001F5638" w:rsidRPr="00C2792F" w:rsidRDefault="002121B5" w:rsidP="002E3B0D">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O momento da abertura das propostas deve coincidir com o fim de seu prazo de entrega ou ser imediatamente posterior</w:t>
            </w:r>
            <w:r w:rsidRPr="00C2792F">
              <w:rPr>
                <w:rFonts w:asciiTheme="minorHAnsi" w:hAnsiTheme="minorHAnsi" w:cstheme="minorHAnsi"/>
                <w:sz w:val="18"/>
                <w:szCs w:val="18"/>
                <w:vertAlign w:val="superscript"/>
                <w:lang w:val="pt-BR"/>
              </w:rPr>
              <w:footnoteReference w:id="7"/>
            </w:r>
            <w:r w:rsidRPr="00C2792F">
              <w:rPr>
                <w:rFonts w:asciiTheme="minorHAnsi" w:hAnsiTheme="minorHAnsi" w:cstheme="minorHAnsi"/>
                <w:sz w:val="18"/>
                <w:szCs w:val="18"/>
                <w:lang w:val="pt-BR"/>
              </w:rPr>
              <w:t xml:space="preserve"> ao mesmo e deve ser anunciado, juntamente com o local da abertura das propostas, no aviso de licitação. O Mutuário abrirá todas as propostas no momento e no local estipulados. As propostas serão abertas em sessão pública </w:t>
            </w:r>
            <w:r w:rsidRPr="00C2792F">
              <w:rPr>
                <w:rFonts w:asciiTheme="minorHAnsi" w:hAnsiTheme="minorHAnsi" w:cstheme="minorHAnsi"/>
                <w:color w:val="FF0000"/>
                <w:sz w:val="18"/>
                <w:szCs w:val="18"/>
                <w:lang w:val="pt-BR"/>
              </w:rPr>
              <w:t xml:space="preserve">e seguir os procedimentos estabelecidos nos editais de licitação (etapa única com um ou dois envelopes ou de estágios múltiplos); </w:t>
            </w:r>
            <w:r w:rsidRPr="00C2792F">
              <w:rPr>
                <w:rFonts w:asciiTheme="minorHAnsi" w:hAnsiTheme="minorHAnsi" w:cstheme="minorHAnsi"/>
                <w:sz w:val="18"/>
                <w:szCs w:val="18"/>
                <w:lang w:val="pt-BR"/>
              </w:rPr>
              <w:t xml:space="preserve">podendo os licitantes ou seus representantes fazer-se presentes (pessoalmente ou </w:t>
            </w:r>
            <w:r w:rsidRPr="00C2792F">
              <w:rPr>
                <w:rFonts w:asciiTheme="minorHAnsi" w:hAnsiTheme="minorHAnsi" w:cstheme="minorHAnsi"/>
                <w:i/>
                <w:iCs/>
                <w:sz w:val="18"/>
                <w:szCs w:val="18"/>
                <w:lang w:val="pt-BR"/>
              </w:rPr>
              <w:t>online</w:t>
            </w:r>
            <w:r w:rsidRPr="00C2792F">
              <w:rPr>
                <w:rFonts w:asciiTheme="minorHAnsi" w:hAnsiTheme="minorHAnsi" w:cstheme="minorHAnsi"/>
                <w:sz w:val="18"/>
                <w:szCs w:val="18"/>
                <w:lang w:val="pt-BR"/>
              </w:rPr>
              <w:t xml:space="preserve">, quando se tratar de licitação eletrônica). O nome dos licitantes, o preço total de cada proposta, bem como de propostas alternativas, caso solicitadas ou autorizadas, serão lidos em voz alta (e publicados </w:t>
            </w:r>
            <w:r w:rsidRPr="00C2792F">
              <w:rPr>
                <w:rFonts w:asciiTheme="minorHAnsi" w:hAnsiTheme="minorHAnsi" w:cstheme="minorHAnsi"/>
                <w:i/>
                <w:iCs/>
                <w:sz w:val="18"/>
                <w:szCs w:val="18"/>
                <w:lang w:val="pt-BR"/>
              </w:rPr>
              <w:t>online</w:t>
            </w:r>
            <w:r w:rsidRPr="00C2792F">
              <w:rPr>
                <w:rFonts w:asciiTheme="minorHAnsi" w:hAnsiTheme="minorHAnsi" w:cstheme="minorHAnsi"/>
                <w:sz w:val="18"/>
                <w:szCs w:val="18"/>
                <w:lang w:val="pt-BR"/>
              </w:rPr>
              <w:t xml:space="preserve">, quando a licitação eletrônica for usada) e registrados no momento da abertura, devendo ser enviada, imediatamente, cópia da ata ao Banco e a todos os licitantes que enviarem </w:t>
            </w:r>
            <w:r w:rsidRPr="00C2792F">
              <w:rPr>
                <w:rFonts w:asciiTheme="minorHAnsi" w:hAnsiTheme="minorHAnsi" w:cstheme="minorHAnsi"/>
                <w:sz w:val="18"/>
                <w:szCs w:val="18"/>
                <w:lang w:val="pt-BR"/>
              </w:rPr>
              <w:lastRenderedPageBreak/>
              <w:t>propostas dentro do prazo. As propostas apresentadas após o prazo de entrega, bem como as que não forem abertas e lidas no momento da abertura das propostas, serão desconsideradas.</w:t>
            </w:r>
          </w:p>
        </w:tc>
        <w:tc>
          <w:tcPr>
            <w:tcW w:w="4361" w:type="dxa"/>
            <w:vAlign w:val="center"/>
          </w:tcPr>
          <w:p w14:paraId="33F20252" w14:textId="77777777" w:rsidR="001F5638" w:rsidRPr="00C2792F" w:rsidRDefault="001F5638" w:rsidP="00D662E0">
            <w:pPr>
              <w:rPr>
                <w:lang w:val="pt-BR"/>
              </w:rPr>
            </w:pPr>
          </w:p>
        </w:tc>
      </w:tr>
      <w:tr w:rsidR="009508AD" w:rsidRPr="00CD7864" w14:paraId="4406670D" w14:textId="77777777" w:rsidTr="0013322E">
        <w:trPr>
          <w:jc w:val="center"/>
        </w:trPr>
        <w:tc>
          <w:tcPr>
            <w:tcW w:w="2762" w:type="dxa"/>
            <w:vAlign w:val="center"/>
          </w:tcPr>
          <w:p w14:paraId="6A65CCB0" w14:textId="314D6D3E" w:rsidR="009508AD" w:rsidRPr="00C2792F" w:rsidRDefault="00AF5730" w:rsidP="00771B2D">
            <w:pPr>
              <w:jc w:val="center"/>
              <w:rPr>
                <w:b/>
                <w:sz w:val="18"/>
                <w:szCs w:val="18"/>
                <w:lang w:val="pt-BR"/>
              </w:rPr>
            </w:pPr>
            <w:r w:rsidRPr="00C2792F">
              <w:rPr>
                <w:b/>
                <w:sz w:val="18"/>
                <w:szCs w:val="18"/>
                <w:lang w:val="pt-BR"/>
              </w:rPr>
              <w:t>Confidencialidad</w:t>
            </w:r>
            <w:r w:rsidR="002121B5" w:rsidRPr="00C2792F">
              <w:rPr>
                <w:b/>
                <w:sz w:val="18"/>
                <w:szCs w:val="18"/>
                <w:lang w:val="pt-BR"/>
              </w:rPr>
              <w:t>e</w:t>
            </w:r>
          </w:p>
        </w:tc>
        <w:tc>
          <w:tcPr>
            <w:tcW w:w="1464" w:type="dxa"/>
            <w:vAlign w:val="center"/>
          </w:tcPr>
          <w:p w14:paraId="5E6A6FDA" w14:textId="2DC92D3E" w:rsidR="009508AD" w:rsidRPr="00C2792F" w:rsidRDefault="00AF5730"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2.55</w:t>
            </w:r>
          </w:p>
        </w:tc>
        <w:tc>
          <w:tcPr>
            <w:tcW w:w="4908" w:type="dxa"/>
            <w:vAlign w:val="center"/>
          </w:tcPr>
          <w:p w14:paraId="3451D7F6" w14:textId="16F0D6B8" w:rsidR="009508AD" w:rsidRPr="00C2792F" w:rsidRDefault="002121B5" w:rsidP="002121B5">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Desde a abertura pública das propostas até a </w:t>
            </w:r>
            <w:r w:rsidRPr="00C2792F">
              <w:rPr>
                <w:rFonts w:asciiTheme="minorHAnsi" w:hAnsiTheme="minorHAnsi" w:cstheme="minorHAnsi"/>
                <w:color w:val="FF0000"/>
                <w:sz w:val="18"/>
                <w:szCs w:val="18"/>
                <w:lang w:val="pt-BR"/>
              </w:rPr>
              <w:t>notificação da intenção de adjudicação do contrato ou publicação da adjudicação do contrato, conforme aplicável ou acordado com o Banco para o processo</w:t>
            </w:r>
            <w:r w:rsidRPr="00C2792F">
              <w:rPr>
                <w:rFonts w:asciiTheme="minorHAnsi" w:hAnsiTheme="minorHAnsi" w:cstheme="minorHAnsi"/>
                <w:sz w:val="18"/>
                <w:szCs w:val="18"/>
                <w:lang w:val="pt-BR"/>
              </w:rPr>
              <w:t>, não serão prestadas aos licitantes ou a quaisquer pessoas não envolvidas oficialmente no processo, informações relativas ao exame, esclarecimentos, avaliação de propostas e recomendações de adjudicação.</w:t>
            </w:r>
          </w:p>
        </w:tc>
        <w:tc>
          <w:tcPr>
            <w:tcW w:w="4361" w:type="dxa"/>
            <w:vAlign w:val="center"/>
          </w:tcPr>
          <w:p w14:paraId="42D6C312" w14:textId="77777777" w:rsidR="009508AD" w:rsidRPr="00C2792F" w:rsidRDefault="009508AD" w:rsidP="00D662E0">
            <w:pPr>
              <w:rPr>
                <w:lang w:val="pt-BR"/>
              </w:rPr>
            </w:pPr>
          </w:p>
        </w:tc>
      </w:tr>
      <w:tr w:rsidR="001F5638" w:rsidRPr="00CD7864" w14:paraId="43507ED2" w14:textId="77777777" w:rsidTr="0013322E">
        <w:trPr>
          <w:jc w:val="center"/>
        </w:trPr>
        <w:tc>
          <w:tcPr>
            <w:tcW w:w="2762" w:type="dxa"/>
            <w:vAlign w:val="center"/>
          </w:tcPr>
          <w:p w14:paraId="2118B99C" w14:textId="216193AE" w:rsidR="001F5638" w:rsidRPr="00C2792F" w:rsidRDefault="002121B5" w:rsidP="002121B5">
            <w:pPr>
              <w:pStyle w:val="Heading2"/>
              <w:tabs>
                <w:tab w:val="clear" w:pos="547"/>
                <w:tab w:val="clear" w:pos="1080"/>
              </w:tabs>
              <w:jc w:val="center"/>
              <w:outlineLvl w:val="1"/>
              <w:rPr>
                <w:rFonts w:asciiTheme="minorHAnsi" w:hAnsiTheme="minorHAnsi"/>
                <w:sz w:val="18"/>
                <w:szCs w:val="18"/>
                <w:lang w:val="pt-BR"/>
              </w:rPr>
            </w:pPr>
            <w:bookmarkStart w:id="17" w:name="_Toc143318174"/>
            <w:bookmarkStart w:id="18" w:name="_Toc364483404"/>
            <w:bookmarkStart w:id="19" w:name="_Toc358896391"/>
            <w:bookmarkStart w:id="20" w:name="_Toc458086092"/>
            <w:r w:rsidRPr="00C2792F">
              <w:rPr>
                <w:rFonts w:asciiTheme="minorHAnsi" w:hAnsiTheme="minorHAnsi"/>
                <w:sz w:val="18"/>
                <w:szCs w:val="18"/>
                <w:lang w:val="pt-BR"/>
              </w:rPr>
              <w:t>Avaliação e Comparação de Propostas</w:t>
            </w:r>
            <w:bookmarkEnd w:id="17"/>
            <w:r w:rsidRPr="00C2792F">
              <w:rPr>
                <w:rFonts w:asciiTheme="minorHAnsi" w:hAnsiTheme="minorHAnsi"/>
                <w:sz w:val="18"/>
                <w:szCs w:val="18"/>
                <w:lang w:val="pt-BR"/>
              </w:rPr>
              <w:t xml:space="preserve"> </w:t>
            </w:r>
            <w:r w:rsidRPr="00C2792F">
              <w:rPr>
                <w:rFonts w:asciiTheme="minorHAnsi" w:hAnsiTheme="minorHAnsi"/>
                <w:sz w:val="18"/>
                <w:szCs w:val="18"/>
                <w:lang w:val="pt-BR"/>
              </w:rPr>
              <w:fldChar w:fldCharType="begin"/>
            </w:r>
            <w:r w:rsidRPr="00C2792F">
              <w:rPr>
                <w:rFonts w:asciiTheme="minorHAnsi" w:hAnsiTheme="minorHAnsi"/>
                <w:sz w:val="18"/>
                <w:szCs w:val="18"/>
                <w:lang w:val="pt-BR"/>
              </w:rPr>
              <w:instrText>ADVANCE \D 4.0</w:instrText>
            </w:r>
            <w:r w:rsidRPr="00C2792F">
              <w:rPr>
                <w:rFonts w:asciiTheme="minorHAnsi" w:hAnsiTheme="minorHAnsi"/>
                <w:sz w:val="18"/>
                <w:szCs w:val="18"/>
                <w:lang w:val="pt-BR"/>
              </w:rPr>
              <w:fldChar w:fldCharType="end"/>
            </w:r>
            <w:bookmarkEnd w:id="18"/>
            <w:bookmarkEnd w:id="19"/>
            <w:bookmarkEnd w:id="20"/>
          </w:p>
        </w:tc>
        <w:tc>
          <w:tcPr>
            <w:tcW w:w="1464" w:type="dxa"/>
            <w:vAlign w:val="center"/>
          </w:tcPr>
          <w:p w14:paraId="4C9563F9" w14:textId="3987A48B" w:rsidR="001F5638" w:rsidRPr="00C2792F" w:rsidRDefault="00771B2D"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2.5</w:t>
            </w:r>
            <w:r w:rsidR="00CA7B1A" w:rsidRPr="00C2792F">
              <w:rPr>
                <w:rFonts w:ascii="Arial" w:eastAsia="Times New Roman" w:hAnsi="Arial" w:cs="Arial"/>
                <w:bCs/>
                <w:sz w:val="18"/>
                <w:szCs w:val="18"/>
                <w:lang w:val="pt-BR"/>
              </w:rPr>
              <w:t>7</w:t>
            </w:r>
          </w:p>
        </w:tc>
        <w:tc>
          <w:tcPr>
            <w:tcW w:w="4908" w:type="dxa"/>
            <w:vAlign w:val="center"/>
          </w:tcPr>
          <w:p w14:paraId="1A291A2E" w14:textId="0C5A87BF" w:rsidR="001F5638" w:rsidRPr="00C2792F" w:rsidRDefault="002121B5" w:rsidP="004A79A1">
            <w:pPr>
              <w:tabs>
                <w:tab w:val="left" w:pos="720"/>
                <w:tab w:val="left" w:pos="1080"/>
              </w:tabs>
              <w:suppressAutoHyphens/>
              <w:spacing w:after="120"/>
              <w:jc w:val="both"/>
              <w:rPr>
                <w:rFonts w:asciiTheme="minorHAnsi" w:eastAsia="Times New Roman" w:hAnsiTheme="minorHAnsi" w:cstheme="minorHAnsi"/>
                <w:color w:val="FF0000"/>
                <w:sz w:val="18"/>
                <w:szCs w:val="18"/>
                <w:lang w:val="pt-BR" w:eastAsia="en-US"/>
              </w:rPr>
            </w:pPr>
            <w:r w:rsidRPr="00C2792F">
              <w:rPr>
                <w:rFonts w:asciiTheme="minorHAnsi" w:hAnsiTheme="minorHAnsi" w:cstheme="minorHAnsi"/>
                <w:color w:val="FF0000"/>
                <w:sz w:val="18"/>
                <w:szCs w:val="18"/>
                <w:lang w:val="pt-BR"/>
              </w:rPr>
              <w:t>Os critérios de avaliação e metodologia devem ser especificados em detalhe nos documentos de licitação. Os critérios e metodologia de avaliação devem ser adequados ao tipo, natureza, condições de mercado e complexidade do que está sendo adquirido. Para atingir o VPD, os critérios de avaliação podem considerar fatores como custo, qualidade, risco, inovação, sustentabilidade e ciclo de vida. Sujeito ao parágrafo 2.68, a oferta com a proposta mais vantajosa, mas não necessariamente o preço mais baixo apresentado, será selecionada para adjudicação</w:t>
            </w:r>
          </w:p>
        </w:tc>
        <w:tc>
          <w:tcPr>
            <w:tcW w:w="4361" w:type="dxa"/>
            <w:vAlign w:val="center"/>
          </w:tcPr>
          <w:p w14:paraId="254781EF" w14:textId="77777777" w:rsidR="001F5638" w:rsidRPr="00C2792F" w:rsidRDefault="001F5638" w:rsidP="00D662E0">
            <w:pPr>
              <w:rPr>
                <w:lang w:val="pt-BR"/>
              </w:rPr>
            </w:pPr>
          </w:p>
        </w:tc>
      </w:tr>
      <w:tr w:rsidR="001F5638" w:rsidRPr="00CD7864" w14:paraId="231CD20F" w14:textId="77777777" w:rsidTr="0013322E">
        <w:trPr>
          <w:jc w:val="center"/>
        </w:trPr>
        <w:tc>
          <w:tcPr>
            <w:tcW w:w="2762" w:type="dxa"/>
            <w:vAlign w:val="center"/>
          </w:tcPr>
          <w:p w14:paraId="021E25B2" w14:textId="77777777" w:rsidR="001F5638" w:rsidRPr="00C2792F" w:rsidRDefault="001F5638" w:rsidP="006D2939">
            <w:pPr>
              <w:jc w:val="center"/>
              <w:rPr>
                <w:b/>
                <w:sz w:val="18"/>
                <w:szCs w:val="18"/>
                <w:lang w:val="pt-BR"/>
              </w:rPr>
            </w:pPr>
          </w:p>
        </w:tc>
        <w:tc>
          <w:tcPr>
            <w:tcW w:w="1464" w:type="dxa"/>
            <w:vAlign w:val="center"/>
          </w:tcPr>
          <w:p w14:paraId="5998C440" w14:textId="4ABA4776" w:rsidR="001F5638" w:rsidRPr="00C2792F" w:rsidRDefault="00771B2D"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7425F3" w:rsidRPr="00C2792F">
              <w:rPr>
                <w:rFonts w:ascii="Arial" w:eastAsia="Times New Roman" w:hAnsi="Arial" w:cs="Arial"/>
                <w:bCs/>
                <w:sz w:val="18"/>
                <w:szCs w:val="18"/>
                <w:lang w:val="pt-BR"/>
              </w:rPr>
              <w:t>60</w:t>
            </w:r>
          </w:p>
        </w:tc>
        <w:tc>
          <w:tcPr>
            <w:tcW w:w="4908" w:type="dxa"/>
            <w:vAlign w:val="center"/>
          </w:tcPr>
          <w:p w14:paraId="54ADB9FF" w14:textId="603F6030" w:rsidR="001F5638" w:rsidRPr="00C2792F" w:rsidRDefault="002121B5" w:rsidP="002121B5">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Os Editais de Licitação também especificarão os fatores relevantes, além do preço, que serão considerados na avaliação da proposta, e como serão aplicados na determinação da proposta </w:t>
            </w:r>
            <w:r w:rsidRPr="00C2792F">
              <w:rPr>
                <w:rFonts w:asciiTheme="minorHAnsi" w:hAnsiTheme="minorHAnsi" w:cstheme="minorHAnsi"/>
                <w:color w:val="FF0000"/>
                <w:sz w:val="18"/>
                <w:szCs w:val="18"/>
                <w:lang w:val="pt-BR"/>
              </w:rPr>
              <w:t>mais vantajosa. O uso de critérios do tipo nominal são critérios que são avaliados em pontos de mérito, pois não podem ser totalmente avaliados em termos monetários. Os pontos de mérito atribuídos normalmente baseiam-se no grau em que o lance atende ou excede os requisitos detalhados no documento de licitação. Para obras,</w:t>
            </w:r>
            <w:r w:rsidRPr="00C2792F">
              <w:rPr>
                <w:rFonts w:asciiTheme="minorHAnsi" w:hAnsiTheme="minorHAnsi" w:cstheme="minorHAnsi"/>
                <w:sz w:val="18"/>
                <w:szCs w:val="18"/>
                <w:lang w:val="pt-BR"/>
              </w:rPr>
              <w:t xml:space="preserve"> bens e equipamentos, poderão ser considerados outros fatores, dentre os quais: cronograma de pagamentos, data de entrega, custos operacionais, eficiência, </w:t>
            </w:r>
            <w:r w:rsidRPr="00C2792F">
              <w:rPr>
                <w:rFonts w:asciiTheme="minorHAnsi" w:hAnsiTheme="minorHAnsi" w:cstheme="minorHAnsi"/>
                <w:color w:val="FF0000"/>
                <w:sz w:val="18"/>
                <w:szCs w:val="18"/>
                <w:lang w:val="pt-BR"/>
              </w:rPr>
              <w:t>soluções inovadoras</w:t>
            </w:r>
            <w:r w:rsidRPr="00C2792F">
              <w:rPr>
                <w:rFonts w:asciiTheme="minorHAnsi" w:hAnsiTheme="minorHAnsi" w:cstheme="minorHAnsi"/>
                <w:sz w:val="18"/>
                <w:szCs w:val="18"/>
                <w:lang w:val="pt-BR"/>
              </w:rPr>
              <w:t xml:space="preserve"> e adequação do equipamento, disponibilidade de peças de reposição e manutenção, treinamento, segurança, </w:t>
            </w:r>
            <w:r w:rsidRPr="00C2792F">
              <w:rPr>
                <w:rFonts w:asciiTheme="minorHAnsi" w:hAnsiTheme="minorHAnsi" w:cstheme="minorHAnsi"/>
                <w:color w:val="FF0000"/>
                <w:sz w:val="18"/>
                <w:szCs w:val="18"/>
                <w:lang w:val="pt-BR"/>
              </w:rPr>
              <w:t>sustentabilidade</w:t>
            </w:r>
            <w:r w:rsidRPr="00C2792F">
              <w:rPr>
                <w:rFonts w:asciiTheme="minorHAnsi" w:hAnsiTheme="minorHAnsi" w:cstheme="minorHAnsi"/>
                <w:sz w:val="18"/>
                <w:szCs w:val="18"/>
                <w:lang w:val="pt-BR"/>
              </w:rPr>
              <w:t xml:space="preserve"> e benefícios ambientais. Na medida do possível os fatores a serem considerados, além do custo, para determinar a proposta </w:t>
            </w:r>
            <w:r w:rsidRPr="00C2792F">
              <w:rPr>
                <w:rFonts w:asciiTheme="minorHAnsi" w:hAnsiTheme="minorHAnsi" w:cstheme="minorHAnsi"/>
                <w:color w:val="FF0000"/>
                <w:sz w:val="18"/>
                <w:szCs w:val="18"/>
                <w:lang w:val="pt-BR"/>
              </w:rPr>
              <w:t>mais vantajosa</w:t>
            </w:r>
            <w:r w:rsidRPr="00C2792F">
              <w:rPr>
                <w:rFonts w:asciiTheme="minorHAnsi" w:hAnsiTheme="minorHAnsi" w:cstheme="minorHAnsi"/>
                <w:sz w:val="18"/>
                <w:szCs w:val="18"/>
                <w:lang w:val="pt-BR"/>
              </w:rPr>
              <w:t>, deverão ser expressos em termos monetários ou receber um peso relativo nas disposições sobre avaliação contidas nos Editais de Licitação.</w:t>
            </w:r>
          </w:p>
        </w:tc>
        <w:tc>
          <w:tcPr>
            <w:tcW w:w="4361" w:type="dxa"/>
            <w:vAlign w:val="center"/>
          </w:tcPr>
          <w:p w14:paraId="566606B9" w14:textId="77777777" w:rsidR="001F5638" w:rsidRPr="00C2792F" w:rsidRDefault="001F5638" w:rsidP="00D662E0">
            <w:pPr>
              <w:rPr>
                <w:lang w:val="pt-BR"/>
              </w:rPr>
            </w:pPr>
          </w:p>
        </w:tc>
      </w:tr>
      <w:tr w:rsidR="001F5638" w:rsidRPr="00CD7864" w14:paraId="0D08B527" w14:textId="77777777" w:rsidTr="0013322E">
        <w:trPr>
          <w:jc w:val="center"/>
        </w:trPr>
        <w:tc>
          <w:tcPr>
            <w:tcW w:w="2762" w:type="dxa"/>
            <w:vAlign w:val="center"/>
          </w:tcPr>
          <w:p w14:paraId="10BBA0E0" w14:textId="5FDF14F3" w:rsidR="001F5638" w:rsidRPr="00C2792F" w:rsidRDefault="002121B5" w:rsidP="002121B5">
            <w:pPr>
              <w:spacing w:after="120"/>
              <w:ind w:left="720"/>
              <w:rPr>
                <w:rFonts w:asciiTheme="minorHAnsi" w:hAnsiTheme="minorHAnsi"/>
                <w:b/>
                <w:color w:val="FF0000"/>
                <w:sz w:val="18"/>
                <w:szCs w:val="18"/>
                <w:lang w:val="pt-BR"/>
              </w:rPr>
            </w:pPr>
            <w:r w:rsidRPr="00C2792F">
              <w:rPr>
                <w:rFonts w:asciiTheme="minorHAnsi" w:hAnsiTheme="minorHAnsi"/>
                <w:b/>
                <w:color w:val="FF0000"/>
                <w:sz w:val="18"/>
                <w:szCs w:val="18"/>
                <w:lang w:val="pt-BR"/>
              </w:rPr>
              <w:lastRenderedPageBreak/>
              <w:t>Ofertas anormalmente baixas</w:t>
            </w:r>
          </w:p>
        </w:tc>
        <w:tc>
          <w:tcPr>
            <w:tcW w:w="1464" w:type="dxa"/>
            <w:vAlign w:val="center"/>
          </w:tcPr>
          <w:p w14:paraId="09177976" w14:textId="6A92C2BF" w:rsidR="001F5638" w:rsidRPr="00C2792F" w:rsidRDefault="00771B2D"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9E0D17" w:rsidRPr="00C2792F">
              <w:rPr>
                <w:rFonts w:ascii="Arial" w:eastAsia="Times New Roman" w:hAnsi="Arial" w:cs="Arial"/>
                <w:bCs/>
                <w:sz w:val="18"/>
                <w:szCs w:val="18"/>
                <w:lang w:val="pt-BR"/>
              </w:rPr>
              <w:t>6</w:t>
            </w:r>
            <w:r w:rsidR="0097448B" w:rsidRPr="00C2792F">
              <w:rPr>
                <w:rFonts w:ascii="Arial" w:eastAsia="Times New Roman" w:hAnsi="Arial" w:cs="Arial"/>
                <w:bCs/>
                <w:sz w:val="18"/>
                <w:szCs w:val="18"/>
                <w:lang w:val="pt-BR"/>
              </w:rPr>
              <w:t>3</w:t>
            </w:r>
          </w:p>
        </w:tc>
        <w:tc>
          <w:tcPr>
            <w:tcW w:w="4908" w:type="dxa"/>
            <w:vAlign w:val="center"/>
          </w:tcPr>
          <w:p w14:paraId="649B4D4D" w14:textId="135A5DA1" w:rsidR="001F5638" w:rsidRPr="00C2792F" w:rsidRDefault="002121B5" w:rsidP="002121B5">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Uma oferta anormalmente baixa é aquela em que o preço da proposta, em combinação com outros elementos da proposta, é anormalmente baixo em relação ao assunto da aquisição, o que levanta preocupações importantes do Mutuário quanto à capacidade do licitante de realizar o contrato pelo preço oferecido.</w:t>
            </w:r>
          </w:p>
        </w:tc>
        <w:tc>
          <w:tcPr>
            <w:tcW w:w="4361" w:type="dxa"/>
            <w:vAlign w:val="center"/>
          </w:tcPr>
          <w:p w14:paraId="2D14AB9F" w14:textId="77777777" w:rsidR="001F5638" w:rsidRPr="00C2792F" w:rsidRDefault="001F5638" w:rsidP="00D662E0">
            <w:pPr>
              <w:rPr>
                <w:lang w:val="pt-BR"/>
              </w:rPr>
            </w:pPr>
          </w:p>
        </w:tc>
      </w:tr>
      <w:tr w:rsidR="001F5638" w:rsidRPr="00CD7864" w14:paraId="1F8F32F1" w14:textId="77777777" w:rsidTr="0013322E">
        <w:trPr>
          <w:jc w:val="center"/>
        </w:trPr>
        <w:tc>
          <w:tcPr>
            <w:tcW w:w="2762" w:type="dxa"/>
            <w:vAlign w:val="center"/>
          </w:tcPr>
          <w:p w14:paraId="221A4A19" w14:textId="77777777" w:rsidR="001F5638" w:rsidRPr="00C2792F" w:rsidRDefault="001F5638" w:rsidP="006D2939">
            <w:pPr>
              <w:jc w:val="center"/>
              <w:rPr>
                <w:b/>
                <w:sz w:val="18"/>
                <w:szCs w:val="18"/>
                <w:lang w:val="pt-BR"/>
              </w:rPr>
            </w:pPr>
          </w:p>
        </w:tc>
        <w:tc>
          <w:tcPr>
            <w:tcW w:w="1464" w:type="dxa"/>
            <w:vAlign w:val="center"/>
          </w:tcPr>
          <w:p w14:paraId="65996C02" w14:textId="66EC9A17" w:rsidR="001F5638" w:rsidRPr="00C2792F" w:rsidRDefault="00771B2D"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2.6</w:t>
            </w:r>
            <w:r w:rsidR="0097448B" w:rsidRPr="00C2792F">
              <w:rPr>
                <w:rFonts w:ascii="Arial" w:eastAsia="Times New Roman" w:hAnsi="Arial" w:cs="Arial"/>
                <w:bCs/>
                <w:sz w:val="18"/>
                <w:szCs w:val="18"/>
                <w:lang w:val="pt-BR"/>
              </w:rPr>
              <w:t>4</w:t>
            </w:r>
          </w:p>
        </w:tc>
        <w:tc>
          <w:tcPr>
            <w:tcW w:w="4908" w:type="dxa"/>
            <w:vAlign w:val="center"/>
          </w:tcPr>
          <w:p w14:paraId="49D17B24" w14:textId="795597C8" w:rsidR="001F5638" w:rsidRPr="00C2792F" w:rsidRDefault="002121B5" w:rsidP="002121B5">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Quando o Mutuário identificar uma proposta que potencialmente seja anormalmente baixa, o Mutuário solicitará esclarecimentos por escrito do licitante, incluindo análises detalhadas do preço de sua oferta em relação ao objeto do contrato, escopo, metodologia proposta, cronograma, alocação de riscos e responsabilidades e quaisquer outros requisitos dos documentos da licitação. Se, após avaliar a análise do preço, o Mutuário determinar que o licitante não conseguiu demonstrar sua capacidade de entregar o contrato pelo preço ofertado, o Mutuário deverá rejeitar a proposta.</w:t>
            </w:r>
          </w:p>
        </w:tc>
        <w:tc>
          <w:tcPr>
            <w:tcW w:w="4361" w:type="dxa"/>
            <w:vAlign w:val="center"/>
          </w:tcPr>
          <w:p w14:paraId="0A66A9DD" w14:textId="77777777" w:rsidR="001F5638" w:rsidRPr="00C2792F" w:rsidRDefault="001F5638" w:rsidP="00D662E0">
            <w:pPr>
              <w:rPr>
                <w:lang w:val="pt-BR"/>
              </w:rPr>
            </w:pPr>
          </w:p>
        </w:tc>
      </w:tr>
      <w:tr w:rsidR="001F5638" w:rsidRPr="00CD7864" w14:paraId="6F7A8969" w14:textId="77777777" w:rsidTr="0013322E">
        <w:trPr>
          <w:jc w:val="center"/>
        </w:trPr>
        <w:tc>
          <w:tcPr>
            <w:tcW w:w="2762" w:type="dxa"/>
            <w:vAlign w:val="center"/>
          </w:tcPr>
          <w:p w14:paraId="53A20F1B" w14:textId="7EA1D5C0" w:rsidR="001F5638" w:rsidRPr="00C2792F" w:rsidRDefault="002121B5" w:rsidP="006D2939">
            <w:pPr>
              <w:jc w:val="center"/>
              <w:rPr>
                <w:b/>
                <w:sz w:val="18"/>
                <w:szCs w:val="18"/>
                <w:lang w:val="pt-BR"/>
              </w:rPr>
            </w:pPr>
            <w:bookmarkStart w:id="21" w:name="_Toc143318177"/>
            <w:r w:rsidRPr="00C2792F">
              <w:rPr>
                <w:rFonts w:asciiTheme="minorHAnsi" w:hAnsiTheme="minorHAnsi"/>
                <w:sz w:val="18"/>
                <w:szCs w:val="18"/>
                <w:lang w:val="pt-BR"/>
              </w:rPr>
              <w:t>Pós-Qualificação de Licitantes</w:t>
            </w:r>
            <w:bookmarkEnd w:id="21"/>
          </w:p>
        </w:tc>
        <w:tc>
          <w:tcPr>
            <w:tcW w:w="1464" w:type="dxa"/>
            <w:vAlign w:val="center"/>
          </w:tcPr>
          <w:p w14:paraId="0B2A6A8F" w14:textId="27BCB054" w:rsidR="001F5638" w:rsidRPr="00C2792F" w:rsidRDefault="00771B2D"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F224BF" w:rsidRPr="00C2792F">
              <w:rPr>
                <w:rFonts w:ascii="Arial" w:eastAsia="Times New Roman" w:hAnsi="Arial" w:cs="Arial"/>
                <w:bCs/>
                <w:sz w:val="18"/>
                <w:szCs w:val="18"/>
                <w:lang w:val="pt-BR"/>
              </w:rPr>
              <w:t>6</w:t>
            </w:r>
            <w:r w:rsidR="00ED3A3D" w:rsidRPr="00C2792F">
              <w:rPr>
                <w:rFonts w:ascii="Arial" w:eastAsia="Times New Roman" w:hAnsi="Arial" w:cs="Arial"/>
                <w:bCs/>
                <w:sz w:val="18"/>
                <w:szCs w:val="18"/>
                <w:lang w:val="pt-BR"/>
              </w:rPr>
              <w:t>8</w:t>
            </w:r>
          </w:p>
        </w:tc>
        <w:tc>
          <w:tcPr>
            <w:tcW w:w="4908" w:type="dxa"/>
            <w:vAlign w:val="center"/>
          </w:tcPr>
          <w:p w14:paraId="7546AB11" w14:textId="1DD1822B" w:rsidR="001F5638" w:rsidRPr="00C2792F" w:rsidRDefault="002121B5" w:rsidP="002E3B0D">
            <w:pPr>
              <w:suppressAutoHyphens/>
              <w:spacing w:after="20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Na hipótese de não ter havido pré-qualificação, o Mutuário determinará se o licitante cuja proposta tenha sido julgada como a </w:t>
            </w:r>
            <w:r w:rsidRPr="00C2792F">
              <w:rPr>
                <w:rFonts w:asciiTheme="minorHAnsi" w:hAnsiTheme="minorHAnsi" w:cstheme="minorHAnsi"/>
                <w:color w:val="FF0000"/>
                <w:sz w:val="18"/>
                <w:szCs w:val="18"/>
                <w:lang w:val="pt-BR"/>
              </w:rPr>
              <w:t>mais vantajosa</w:t>
            </w:r>
            <w:r w:rsidRPr="00C2792F">
              <w:rPr>
                <w:rFonts w:asciiTheme="minorHAnsi" w:hAnsiTheme="minorHAnsi" w:cstheme="minorHAnsi"/>
                <w:sz w:val="18"/>
                <w:szCs w:val="18"/>
                <w:lang w:val="pt-BR"/>
              </w:rPr>
              <w:t xml:space="preserve"> </w:t>
            </w:r>
            <w:r w:rsidRPr="00C2792F">
              <w:rPr>
                <w:rFonts w:asciiTheme="minorHAnsi" w:hAnsiTheme="minorHAnsi" w:cstheme="minorHAnsi"/>
                <w:color w:val="FF0000"/>
                <w:sz w:val="18"/>
                <w:szCs w:val="18"/>
                <w:lang w:val="pt-BR"/>
              </w:rPr>
              <w:t xml:space="preserve">e os outros licitantes que tenham superado a avaliação </w:t>
            </w:r>
            <w:r w:rsidRPr="00C2792F">
              <w:rPr>
                <w:rFonts w:asciiTheme="minorHAnsi" w:hAnsiTheme="minorHAnsi" w:cstheme="minorHAnsi"/>
                <w:sz w:val="18"/>
                <w:szCs w:val="18"/>
                <w:lang w:val="pt-BR"/>
              </w:rPr>
              <w:t>possuem as qualificações e recursos necessários à execução satisfatória do contrato, conforme ofertado na proposta. Os critérios a serem adotados serão estabelecidos nos Editais de Licitação, devendo a proposta ser rejeitada caso o licitante não atenda aos mesmos. Nesse caso, o Mutuário fará avaliação semelhante do licitante que vier classificado a seguir.</w:t>
            </w:r>
          </w:p>
        </w:tc>
        <w:tc>
          <w:tcPr>
            <w:tcW w:w="4361" w:type="dxa"/>
            <w:vAlign w:val="center"/>
          </w:tcPr>
          <w:p w14:paraId="1053874F" w14:textId="77777777" w:rsidR="001F5638" w:rsidRPr="00C2792F" w:rsidRDefault="001F5638" w:rsidP="00D662E0">
            <w:pPr>
              <w:rPr>
                <w:lang w:val="pt-BR"/>
              </w:rPr>
            </w:pPr>
          </w:p>
        </w:tc>
      </w:tr>
      <w:tr w:rsidR="00371DD2" w:rsidRPr="00CD7864" w14:paraId="194344A2" w14:textId="77777777" w:rsidTr="0013322E">
        <w:trPr>
          <w:jc w:val="center"/>
        </w:trPr>
        <w:tc>
          <w:tcPr>
            <w:tcW w:w="2762" w:type="dxa"/>
            <w:vAlign w:val="center"/>
          </w:tcPr>
          <w:p w14:paraId="2DD4FBE2" w14:textId="773459D7" w:rsidR="00371DD2" w:rsidRPr="00C2792F" w:rsidRDefault="002121B5" w:rsidP="002121B5">
            <w:pPr>
              <w:spacing w:after="200"/>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Melhor oferta final</w:t>
            </w:r>
          </w:p>
        </w:tc>
        <w:tc>
          <w:tcPr>
            <w:tcW w:w="1464" w:type="dxa"/>
            <w:vAlign w:val="center"/>
          </w:tcPr>
          <w:p w14:paraId="5ECFD495" w14:textId="5900495A" w:rsidR="00371DD2" w:rsidRPr="00C2792F" w:rsidRDefault="00A474BB"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2.69</w:t>
            </w:r>
          </w:p>
        </w:tc>
        <w:tc>
          <w:tcPr>
            <w:tcW w:w="4908" w:type="dxa"/>
            <w:vAlign w:val="center"/>
          </w:tcPr>
          <w:p w14:paraId="49389A6E" w14:textId="2393D9FC" w:rsidR="002121B5" w:rsidRPr="00C2792F" w:rsidRDefault="002121B5" w:rsidP="002121B5">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Em aquisições competitivas internacionais sujeitas a revisão prévia, o Banco pode concordar com o uso pelo Mutuário da Melhor Oferta e Final (MOF). A MOF é uma opção sob a qual o Mutuário convida os licitantes que enviaram propostas substancialmente sensíveis para enviar sua melhor e última oferta. Esse processo pode ser apropriado quando o processo de aquisição se beneficiaria da oportunidade final dos licitantes de melhorar suas propostas, inclusive reduzindo preços, esclarecendo ou modificando sua proposta ou fornecendo informações adicionais. O Mutuário informará aos licitantes nos documentos de licitação o seguinte:</w:t>
            </w:r>
          </w:p>
          <w:p w14:paraId="1B893945" w14:textId="77777777" w:rsidR="002121B5" w:rsidRPr="00C2792F" w:rsidRDefault="002121B5" w:rsidP="002121B5">
            <w:pPr>
              <w:pStyle w:val="ListParagraph"/>
              <w:spacing w:after="20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(a) se será utilizada a MOF;</w:t>
            </w:r>
          </w:p>
          <w:p w14:paraId="7A66C53C" w14:textId="77777777" w:rsidR="002121B5" w:rsidRPr="00C2792F" w:rsidRDefault="002121B5" w:rsidP="002121B5">
            <w:pPr>
              <w:pStyle w:val="ListParagraph"/>
              <w:spacing w:after="20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lastRenderedPageBreak/>
              <w:t>(b) que os Licitantes não são obrigados a submeter uma MOF; e</w:t>
            </w:r>
          </w:p>
          <w:p w14:paraId="53A97F57" w14:textId="77777777" w:rsidR="002121B5" w:rsidRPr="00C2792F" w:rsidRDefault="002121B5" w:rsidP="002121B5">
            <w:pPr>
              <w:pStyle w:val="ListParagraph"/>
              <w:spacing w:after="20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(c) que não haverá negociação após a MOF.</w:t>
            </w:r>
          </w:p>
          <w:p w14:paraId="661B3CE8" w14:textId="01EBAC2B" w:rsidR="00371DD2" w:rsidRPr="00C2792F" w:rsidRDefault="00371DD2" w:rsidP="00A474BB">
            <w:pPr>
              <w:tabs>
                <w:tab w:val="left" w:pos="720"/>
              </w:tabs>
              <w:spacing w:after="120"/>
              <w:jc w:val="both"/>
              <w:rPr>
                <w:rFonts w:asciiTheme="minorHAnsi" w:hAnsiTheme="minorHAnsi" w:cstheme="minorHAnsi"/>
                <w:color w:val="FF0000"/>
                <w:sz w:val="18"/>
                <w:szCs w:val="18"/>
                <w:lang w:val="pt-BR"/>
              </w:rPr>
            </w:pPr>
          </w:p>
        </w:tc>
        <w:tc>
          <w:tcPr>
            <w:tcW w:w="4361" w:type="dxa"/>
            <w:vAlign w:val="center"/>
          </w:tcPr>
          <w:p w14:paraId="3DFC75E2" w14:textId="77777777" w:rsidR="00371DD2" w:rsidRPr="00C2792F" w:rsidRDefault="00371DD2" w:rsidP="00D662E0">
            <w:pPr>
              <w:rPr>
                <w:lang w:val="pt-BR"/>
              </w:rPr>
            </w:pPr>
          </w:p>
        </w:tc>
      </w:tr>
      <w:tr w:rsidR="00371DD2" w:rsidRPr="00CD7864" w14:paraId="689D4E65" w14:textId="77777777" w:rsidTr="0013322E">
        <w:trPr>
          <w:jc w:val="center"/>
        </w:trPr>
        <w:tc>
          <w:tcPr>
            <w:tcW w:w="2762" w:type="dxa"/>
            <w:vAlign w:val="center"/>
          </w:tcPr>
          <w:p w14:paraId="05A33158" w14:textId="77777777" w:rsidR="002121B5" w:rsidRPr="00C2792F" w:rsidRDefault="002121B5" w:rsidP="002121B5">
            <w:pPr>
              <w:spacing w:after="200"/>
              <w:jc w:val="center"/>
              <w:rPr>
                <w:rFonts w:asciiTheme="minorHAnsi" w:hAnsiTheme="minorHAnsi"/>
                <w:b/>
                <w:color w:val="FF0000"/>
                <w:sz w:val="18"/>
                <w:szCs w:val="18"/>
                <w:lang w:val="pt-BR"/>
              </w:rPr>
            </w:pPr>
            <w:r w:rsidRPr="00C2792F">
              <w:rPr>
                <w:rFonts w:asciiTheme="minorHAnsi" w:hAnsiTheme="minorHAnsi"/>
                <w:b/>
                <w:color w:val="FF0000"/>
                <w:sz w:val="18"/>
                <w:szCs w:val="18"/>
                <w:lang w:val="pt-BR"/>
              </w:rPr>
              <w:t>Negociações</w:t>
            </w:r>
          </w:p>
          <w:p w14:paraId="5212E730" w14:textId="38573BF0" w:rsidR="00371DD2" w:rsidRPr="00C2792F" w:rsidRDefault="00371DD2" w:rsidP="00771B2D">
            <w:pPr>
              <w:pStyle w:val="Heading2"/>
              <w:tabs>
                <w:tab w:val="clear" w:pos="547"/>
                <w:tab w:val="clear" w:pos="1080"/>
              </w:tabs>
              <w:jc w:val="center"/>
              <w:outlineLvl w:val="1"/>
              <w:rPr>
                <w:rFonts w:ascii="Calibri" w:eastAsiaTheme="minorEastAsia" w:hAnsi="Calibri" w:cs="Calibri"/>
                <w:sz w:val="18"/>
                <w:szCs w:val="18"/>
                <w:lang w:val="pt-BR" w:eastAsia="zh-CN"/>
              </w:rPr>
            </w:pPr>
          </w:p>
        </w:tc>
        <w:tc>
          <w:tcPr>
            <w:tcW w:w="1464" w:type="dxa"/>
            <w:vAlign w:val="center"/>
          </w:tcPr>
          <w:p w14:paraId="3A3C0C3B" w14:textId="5946E640" w:rsidR="00371DD2" w:rsidRPr="00C2792F" w:rsidRDefault="008D7719"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2.70</w:t>
            </w:r>
          </w:p>
        </w:tc>
        <w:tc>
          <w:tcPr>
            <w:tcW w:w="4908" w:type="dxa"/>
            <w:vAlign w:val="center"/>
          </w:tcPr>
          <w:p w14:paraId="2CAE0D93" w14:textId="6E1A1971" w:rsidR="00371DD2" w:rsidRPr="00C2792F" w:rsidRDefault="002121B5" w:rsidP="002121B5">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Em licitações competitivas internacionais sujeitas a revisão prévia, o Banco pode concordar com o uso das negociações pelo Mutuário após as avaliações de propostas e antes da adjudicação do contrato final. Qualquer negociação deverá estar de acordo com os requisitos do documento de solicitação de ofertas. Se as negociações forem realizadas, elas devem ser realizadas na presença de um Provedor de Asseguramento da Probidade (Auditor de Probidade), acordado com o Banco. As negociações podem envolver termos e condições, preço e/ou aspectos sociais, ambientais e inovadores, desde que não alterem os requerimentos mínimos da proposta.</w:t>
            </w:r>
          </w:p>
        </w:tc>
        <w:tc>
          <w:tcPr>
            <w:tcW w:w="4361" w:type="dxa"/>
            <w:vAlign w:val="center"/>
          </w:tcPr>
          <w:p w14:paraId="2C4B8796" w14:textId="77777777" w:rsidR="00371DD2" w:rsidRPr="00C2792F" w:rsidRDefault="00371DD2" w:rsidP="00D662E0">
            <w:pPr>
              <w:rPr>
                <w:lang w:val="pt-BR"/>
              </w:rPr>
            </w:pPr>
          </w:p>
        </w:tc>
      </w:tr>
      <w:tr w:rsidR="00371DD2" w:rsidRPr="00CD7864" w14:paraId="5FE192F7" w14:textId="77777777" w:rsidTr="0013322E">
        <w:trPr>
          <w:jc w:val="center"/>
        </w:trPr>
        <w:tc>
          <w:tcPr>
            <w:tcW w:w="2762" w:type="dxa"/>
            <w:vAlign w:val="center"/>
          </w:tcPr>
          <w:p w14:paraId="403CCA66" w14:textId="77777777" w:rsidR="00371DD2" w:rsidRPr="00C2792F" w:rsidRDefault="00371DD2" w:rsidP="00771B2D">
            <w:pPr>
              <w:pStyle w:val="Heading2"/>
              <w:tabs>
                <w:tab w:val="clear" w:pos="547"/>
                <w:tab w:val="clear" w:pos="1080"/>
              </w:tabs>
              <w:jc w:val="center"/>
              <w:outlineLvl w:val="1"/>
              <w:rPr>
                <w:rFonts w:ascii="Calibri" w:eastAsiaTheme="minorEastAsia" w:hAnsi="Calibri" w:cs="Calibri"/>
                <w:sz w:val="18"/>
                <w:szCs w:val="18"/>
                <w:lang w:val="pt-BR" w:eastAsia="zh-CN"/>
              </w:rPr>
            </w:pPr>
          </w:p>
        </w:tc>
        <w:tc>
          <w:tcPr>
            <w:tcW w:w="1464" w:type="dxa"/>
            <w:vAlign w:val="center"/>
          </w:tcPr>
          <w:p w14:paraId="772D6FD6" w14:textId="486EBC1F" w:rsidR="00371DD2" w:rsidRPr="00C2792F" w:rsidRDefault="007D3818"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2.71</w:t>
            </w:r>
          </w:p>
        </w:tc>
        <w:tc>
          <w:tcPr>
            <w:tcW w:w="4908" w:type="dxa"/>
            <w:vAlign w:val="center"/>
          </w:tcPr>
          <w:p w14:paraId="25285B35" w14:textId="09428453" w:rsidR="00371DD2" w:rsidRPr="00C2792F" w:rsidRDefault="002121B5" w:rsidP="002121B5">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O Mutuário negociará primeiro com o licitante que tiver a proposta mais vantajosa. Se o resultado for insatisfatório ou se um acordo não for alcançado, o Mutuário poderá negociar com a próxima proposta mais vantajosa, e assim por diante, até que um resultado satisfatório seja alcançado.</w:t>
            </w:r>
          </w:p>
        </w:tc>
        <w:tc>
          <w:tcPr>
            <w:tcW w:w="4361" w:type="dxa"/>
            <w:vAlign w:val="center"/>
          </w:tcPr>
          <w:p w14:paraId="183FBA7A" w14:textId="77777777" w:rsidR="00371DD2" w:rsidRPr="00C2792F" w:rsidRDefault="00371DD2" w:rsidP="00D662E0">
            <w:pPr>
              <w:rPr>
                <w:lang w:val="pt-BR"/>
              </w:rPr>
            </w:pPr>
          </w:p>
        </w:tc>
      </w:tr>
      <w:tr w:rsidR="00371DD2" w:rsidRPr="00CD7864" w14:paraId="3F43A131" w14:textId="77777777" w:rsidTr="0013322E">
        <w:trPr>
          <w:jc w:val="center"/>
        </w:trPr>
        <w:tc>
          <w:tcPr>
            <w:tcW w:w="2762" w:type="dxa"/>
            <w:vAlign w:val="center"/>
          </w:tcPr>
          <w:p w14:paraId="21EBFF40" w14:textId="1361685E" w:rsidR="00371DD2" w:rsidRPr="00C2792F" w:rsidRDefault="002121B5" w:rsidP="002121B5">
            <w:pPr>
              <w:spacing w:after="200"/>
              <w:ind w:left="495"/>
              <w:rPr>
                <w:rFonts w:asciiTheme="minorHAnsi" w:hAnsiTheme="minorHAnsi"/>
                <w:b/>
                <w:color w:val="FF0000"/>
                <w:sz w:val="18"/>
                <w:szCs w:val="18"/>
                <w:lang w:val="pt-BR"/>
              </w:rPr>
            </w:pPr>
            <w:r w:rsidRPr="00C2792F">
              <w:rPr>
                <w:rFonts w:asciiTheme="minorHAnsi" w:hAnsiTheme="minorHAnsi"/>
                <w:b/>
                <w:color w:val="FF0000"/>
                <w:sz w:val="18"/>
                <w:szCs w:val="18"/>
                <w:lang w:val="pt-BR"/>
              </w:rPr>
              <w:t>Prazo Suspensivo</w:t>
            </w:r>
          </w:p>
        </w:tc>
        <w:tc>
          <w:tcPr>
            <w:tcW w:w="1464" w:type="dxa"/>
            <w:vAlign w:val="center"/>
          </w:tcPr>
          <w:p w14:paraId="75AC05C6" w14:textId="20A66C20" w:rsidR="00371DD2" w:rsidRPr="00C2792F" w:rsidRDefault="007D3818"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2.72</w:t>
            </w:r>
          </w:p>
        </w:tc>
        <w:tc>
          <w:tcPr>
            <w:tcW w:w="4908" w:type="dxa"/>
            <w:vAlign w:val="center"/>
          </w:tcPr>
          <w:p w14:paraId="636680BA" w14:textId="3CB2C141" w:rsidR="00371DD2" w:rsidRPr="00C2792F" w:rsidRDefault="002121B5" w:rsidP="002121B5">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A pedido do Mutuário, o Banco pode concordar em adotar este mecanismo a fim de dar aos licitantes tempo para examinar a adjudicação e avaliar se é apropriado apresentar uma reclamação.</w:t>
            </w:r>
          </w:p>
        </w:tc>
        <w:tc>
          <w:tcPr>
            <w:tcW w:w="4361" w:type="dxa"/>
            <w:vAlign w:val="center"/>
          </w:tcPr>
          <w:p w14:paraId="6E654CE3" w14:textId="77777777" w:rsidR="00371DD2" w:rsidRPr="00C2792F" w:rsidRDefault="00371DD2" w:rsidP="00D662E0">
            <w:pPr>
              <w:rPr>
                <w:lang w:val="pt-BR"/>
              </w:rPr>
            </w:pPr>
          </w:p>
        </w:tc>
      </w:tr>
      <w:tr w:rsidR="001C20E7" w:rsidRPr="00CD7864" w14:paraId="55F2D95B" w14:textId="77777777" w:rsidTr="0013322E">
        <w:trPr>
          <w:jc w:val="center"/>
        </w:trPr>
        <w:tc>
          <w:tcPr>
            <w:tcW w:w="2762" w:type="dxa"/>
            <w:vAlign w:val="center"/>
          </w:tcPr>
          <w:p w14:paraId="169856C3" w14:textId="77777777" w:rsidR="001C20E7" w:rsidRPr="00C2792F" w:rsidRDefault="001C20E7" w:rsidP="001C20E7">
            <w:pPr>
              <w:pStyle w:val="Heading2"/>
              <w:tabs>
                <w:tab w:val="clear" w:pos="547"/>
                <w:tab w:val="clear" w:pos="1080"/>
              </w:tabs>
              <w:jc w:val="center"/>
              <w:outlineLvl w:val="1"/>
              <w:rPr>
                <w:rFonts w:ascii="Calibri" w:eastAsiaTheme="minorEastAsia" w:hAnsi="Calibri" w:cs="Calibri"/>
                <w:sz w:val="18"/>
                <w:szCs w:val="18"/>
                <w:lang w:val="pt-BR" w:eastAsia="zh-CN"/>
              </w:rPr>
            </w:pPr>
          </w:p>
        </w:tc>
        <w:tc>
          <w:tcPr>
            <w:tcW w:w="1464" w:type="dxa"/>
            <w:vAlign w:val="center"/>
          </w:tcPr>
          <w:p w14:paraId="6D452B36" w14:textId="674415C7" w:rsidR="001C20E7" w:rsidRPr="00C2792F" w:rsidRDefault="001C20E7" w:rsidP="001C20E7">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2.73</w:t>
            </w:r>
          </w:p>
        </w:tc>
        <w:tc>
          <w:tcPr>
            <w:tcW w:w="4908" w:type="dxa"/>
          </w:tcPr>
          <w:p w14:paraId="1197B58D" w14:textId="6B203A38" w:rsidR="001C20E7" w:rsidRPr="00C2792F" w:rsidRDefault="002121B5" w:rsidP="002121B5">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O prazo suspensivo começará quando a Notificação de Intenção de Adjudicação do Mutuário</w:t>
            </w:r>
            <w:r w:rsidRPr="00C2792F">
              <w:rPr>
                <w:rStyle w:val="FootnoteReference"/>
                <w:rFonts w:asciiTheme="minorHAnsi" w:hAnsiTheme="minorHAnsi" w:cstheme="minorHAnsi"/>
                <w:color w:val="FF0000"/>
                <w:sz w:val="18"/>
                <w:szCs w:val="18"/>
                <w:lang w:val="pt-BR"/>
              </w:rPr>
              <w:footnoteReference w:id="8"/>
            </w:r>
            <w:r w:rsidRPr="00C2792F">
              <w:rPr>
                <w:rFonts w:asciiTheme="minorHAnsi" w:hAnsiTheme="minorHAnsi" w:cstheme="minorHAnsi"/>
                <w:color w:val="FF0000"/>
                <w:sz w:val="18"/>
                <w:szCs w:val="18"/>
                <w:lang w:val="pt-BR"/>
              </w:rPr>
              <w:t xml:space="preserve"> for enviada aos licitantes. O prazo suspensivo durará dez (10) Dias Úteis após essa data de transmissão, a menos que seja expressamente prorrogado. O contrato não será adjudicado antes ou durante o prazo suspensivo.</w:t>
            </w:r>
          </w:p>
        </w:tc>
        <w:tc>
          <w:tcPr>
            <w:tcW w:w="4361" w:type="dxa"/>
            <w:vAlign w:val="center"/>
          </w:tcPr>
          <w:p w14:paraId="041C8A50" w14:textId="77777777" w:rsidR="001C20E7" w:rsidRPr="00C2792F" w:rsidRDefault="001C20E7" w:rsidP="001C20E7">
            <w:pPr>
              <w:rPr>
                <w:lang w:val="pt-BR"/>
              </w:rPr>
            </w:pPr>
          </w:p>
        </w:tc>
      </w:tr>
      <w:tr w:rsidR="001C20E7" w:rsidRPr="00CD7864" w14:paraId="1077EFF8" w14:textId="77777777" w:rsidTr="0013322E">
        <w:trPr>
          <w:jc w:val="center"/>
        </w:trPr>
        <w:tc>
          <w:tcPr>
            <w:tcW w:w="2762" w:type="dxa"/>
            <w:vAlign w:val="center"/>
          </w:tcPr>
          <w:p w14:paraId="0512EF35" w14:textId="77777777" w:rsidR="001C20E7" w:rsidRPr="00C2792F" w:rsidRDefault="001C20E7" w:rsidP="001C20E7">
            <w:pPr>
              <w:pStyle w:val="Heading2"/>
              <w:tabs>
                <w:tab w:val="clear" w:pos="547"/>
                <w:tab w:val="clear" w:pos="1080"/>
              </w:tabs>
              <w:jc w:val="center"/>
              <w:outlineLvl w:val="1"/>
              <w:rPr>
                <w:rFonts w:ascii="Calibri" w:eastAsiaTheme="minorEastAsia" w:hAnsi="Calibri" w:cs="Calibri"/>
                <w:sz w:val="18"/>
                <w:szCs w:val="18"/>
                <w:lang w:val="pt-BR" w:eastAsia="zh-CN"/>
              </w:rPr>
            </w:pPr>
          </w:p>
        </w:tc>
        <w:tc>
          <w:tcPr>
            <w:tcW w:w="1464" w:type="dxa"/>
            <w:vAlign w:val="center"/>
          </w:tcPr>
          <w:p w14:paraId="426F85AB" w14:textId="3E7725FA" w:rsidR="001C20E7" w:rsidRPr="00C2792F" w:rsidRDefault="001C20E7" w:rsidP="001C20E7">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2.74</w:t>
            </w:r>
          </w:p>
        </w:tc>
        <w:tc>
          <w:tcPr>
            <w:tcW w:w="4908" w:type="dxa"/>
          </w:tcPr>
          <w:p w14:paraId="4B67BA8D" w14:textId="157465FD" w:rsidR="001C20E7" w:rsidRPr="00C2792F" w:rsidRDefault="002121B5" w:rsidP="002121B5">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 xml:space="preserve">Não obstante o anterior, não haverá exigência de um prazo suspensivo nas seguintes situações: (a) apenas uma Proposta / Oferta foi submetida em um processo competitivo aberto; (b) contratação direta; e (c) Situações de emergência reconhecidas pelo Banco. </w:t>
            </w:r>
          </w:p>
        </w:tc>
        <w:tc>
          <w:tcPr>
            <w:tcW w:w="4361" w:type="dxa"/>
            <w:vAlign w:val="center"/>
          </w:tcPr>
          <w:p w14:paraId="656C8D5C" w14:textId="77777777" w:rsidR="001C20E7" w:rsidRPr="00C2792F" w:rsidRDefault="001C20E7" w:rsidP="001C20E7">
            <w:pPr>
              <w:rPr>
                <w:lang w:val="pt-BR"/>
              </w:rPr>
            </w:pPr>
          </w:p>
        </w:tc>
      </w:tr>
      <w:tr w:rsidR="001C20E7" w:rsidRPr="00CD7864" w14:paraId="3BACCF6D" w14:textId="77777777" w:rsidTr="0013322E">
        <w:trPr>
          <w:jc w:val="center"/>
        </w:trPr>
        <w:tc>
          <w:tcPr>
            <w:tcW w:w="2762" w:type="dxa"/>
            <w:vAlign w:val="center"/>
          </w:tcPr>
          <w:p w14:paraId="643DC5FF" w14:textId="77777777" w:rsidR="001C20E7" w:rsidRPr="00C2792F" w:rsidRDefault="001C20E7" w:rsidP="001C20E7">
            <w:pPr>
              <w:pStyle w:val="Heading2"/>
              <w:tabs>
                <w:tab w:val="clear" w:pos="547"/>
                <w:tab w:val="clear" w:pos="1080"/>
              </w:tabs>
              <w:jc w:val="center"/>
              <w:outlineLvl w:val="1"/>
              <w:rPr>
                <w:rFonts w:ascii="Calibri" w:eastAsiaTheme="minorEastAsia" w:hAnsi="Calibri" w:cs="Calibri"/>
                <w:sz w:val="18"/>
                <w:szCs w:val="18"/>
                <w:lang w:val="pt-BR" w:eastAsia="zh-CN"/>
              </w:rPr>
            </w:pPr>
          </w:p>
        </w:tc>
        <w:tc>
          <w:tcPr>
            <w:tcW w:w="1464" w:type="dxa"/>
            <w:vAlign w:val="center"/>
          </w:tcPr>
          <w:p w14:paraId="30E1BDBA" w14:textId="2C476C91" w:rsidR="001C20E7" w:rsidRPr="00C2792F" w:rsidRDefault="001C20E7" w:rsidP="001C20E7">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2.75</w:t>
            </w:r>
          </w:p>
        </w:tc>
        <w:tc>
          <w:tcPr>
            <w:tcW w:w="4908" w:type="dxa"/>
          </w:tcPr>
          <w:p w14:paraId="5F38463C" w14:textId="60F7A973" w:rsidR="001C20E7" w:rsidRPr="00C2792F" w:rsidRDefault="002121B5" w:rsidP="002121B5">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No final do prazo suspensivo, se o Mutuário não receber qualquer reclamação de um licitante não selecionado, o Mutuário deverá adjudicar o contrato de acordo com sua decisão de adjudicação, conforme comunicado anteriormente por meio da Notificação de Intenção de Adjudicação.</w:t>
            </w:r>
          </w:p>
        </w:tc>
        <w:tc>
          <w:tcPr>
            <w:tcW w:w="4361" w:type="dxa"/>
            <w:vAlign w:val="center"/>
          </w:tcPr>
          <w:p w14:paraId="0CEB5872" w14:textId="77777777" w:rsidR="001C20E7" w:rsidRPr="00C2792F" w:rsidRDefault="001C20E7" w:rsidP="001C20E7">
            <w:pPr>
              <w:rPr>
                <w:lang w:val="pt-BR"/>
              </w:rPr>
            </w:pPr>
          </w:p>
        </w:tc>
      </w:tr>
      <w:tr w:rsidR="001C20E7" w:rsidRPr="00CD7864" w14:paraId="34873625" w14:textId="77777777" w:rsidTr="0013322E">
        <w:trPr>
          <w:jc w:val="center"/>
        </w:trPr>
        <w:tc>
          <w:tcPr>
            <w:tcW w:w="2762" w:type="dxa"/>
            <w:vAlign w:val="center"/>
          </w:tcPr>
          <w:p w14:paraId="3248479A" w14:textId="77777777" w:rsidR="001C20E7" w:rsidRPr="00C2792F" w:rsidRDefault="001C20E7" w:rsidP="001C20E7">
            <w:pPr>
              <w:pStyle w:val="Heading2"/>
              <w:tabs>
                <w:tab w:val="clear" w:pos="547"/>
                <w:tab w:val="clear" w:pos="1080"/>
              </w:tabs>
              <w:jc w:val="center"/>
              <w:outlineLvl w:val="1"/>
              <w:rPr>
                <w:rFonts w:ascii="Calibri" w:eastAsiaTheme="minorEastAsia" w:hAnsi="Calibri" w:cs="Calibri"/>
                <w:sz w:val="18"/>
                <w:szCs w:val="18"/>
                <w:lang w:val="pt-BR" w:eastAsia="zh-CN"/>
              </w:rPr>
            </w:pPr>
          </w:p>
        </w:tc>
        <w:tc>
          <w:tcPr>
            <w:tcW w:w="1464" w:type="dxa"/>
            <w:vAlign w:val="center"/>
          </w:tcPr>
          <w:p w14:paraId="19EFA395" w14:textId="7969D0F1" w:rsidR="001C20E7" w:rsidRPr="00C2792F" w:rsidRDefault="001C20E7" w:rsidP="001C20E7">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2.76</w:t>
            </w:r>
          </w:p>
        </w:tc>
        <w:tc>
          <w:tcPr>
            <w:tcW w:w="4908" w:type="dxa"/>
          </w:tcPr>
          <w:p w14:paraId="19634D4B" w14:textId="476144C4" w:rsidR="001C20E7" w:rsidRPr="00C2792F" w:rsidRDefault="006937CE" w:rsidP="006937CE">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Para contratos sujeitos a revisão prévia, quando nenhuma reclamação for recebida pelo Mutuário durante o prazo suspensivo, o Mutuário deverá adjudicar o contrato de acordo com a recomendação de adjudicação que tenha recebido a não objeção do Banco. O Mutuário informará a situação acima mencionada ao Banco no prazo de 3 (três) Dias Úteis da adjudicação.</w:t>
            </w:r>
          </w:p>
        </w:tc>
        <w:tc>
          <w:tcPr>
            <w:tcW w:w="4361" w:type="dxa"/>
            <w:vAlign w:val="center"/>
          </w:tcPr>
          <w:p w14:paraId="1198F8A3" w14:textId="77777777" w:rsidR="001C20E7" w:rsidRPr="00C2792F" w:rsidRDefault="001C20E7" w:rsidP="001C20E7">
            <w:pPr>
              <w:rPr>
                <w:lang w:val="pt-BR"/>
              </w:rPr>
            </w:pPr>
          </w:p>
        </w:tc>
      </w:tr>
      <w:tr w:rsidR="001C20E7" w:rsidRPr="00CD7864" w14:paraId="27E68A0D" w14:textId="77777777" w:rsidTr="0013322E">
        <w:trPr>
          <w:jc w:val="center"/>
        </w:trPr>
        <w:tc>
          <w:tcPr>
            <w:tcW w:w="2762" w:type="dxa"/>
            <w:vAlign w:val="center"/>
          </w:tcPr>
          <w:p w14:paraId="4234F45F" w14:textId="77777777" w:rsidR="001C20E7" w:rsidRPr="00C2792F" w:rsidRDefault="001C20E7" w:rsidP="001C20E7">
            <w:pPr>
              <w:pStyle w:val="Heading2"/>
              <w:tabs>
                <w:tab w:val="clear" w:pos="547"/>
                <w:tab w:val="clear" w:pos="1080"/>
              </w:tabs>
              <w:jc w:val="center"/>
              <w:outlineLvl w:val="1"/>
              <w:rPr>
                <w:rFonts w:ascii="Calibri" w:eastAsiaTheme="minorEastAsia" w:hAnsi="Calibri" w:cs="Calibri"/>
                <w:sz w:val="18"/>
                <w:szCs w:val="18"/>
                <w:lang w:val="pt-BR" w:eastAsia="zh-CN"/>
              </w:rPr>
            </w:pPr>
          </w:p>
        </w:tc>
        <w:tc>
          <w:tcPr>
            <w:tcW w:w="1464" w:type="dxa"/>
            <w:vAlign w:val="center"/>
          </w:tcPr>
          <w:p w14:paraId="048FAC91" w14:textId="2F714F38" w:rsidR="001C20E7" w:rsidRPr="00C2792F" w:rsidRDefault="001C20E7" w:rsidP="001C20E7">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2.77</w:t>
            </w:r>
          </w:p>
        </w:tc>
        <w:tc>
          <w:tcPr>
            <w:tcW w:w="4908" w:type="dxa"/>
          </w:tcPr>
          <w:p w14:paraId="16DBF82A" w14:textId="53D78D0B" w:rsidR="001C20E7" w:rsidRPr="00C2792F" w:rsidRDefault="006937CE" w:rsidP="006937CE">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O Mutuário transmitirá a notificação de adjudicação ao licitante vencedor juntamente com outros documentos, conforme especificado nos documentos de licitação para a assinatura do contrato.</w:t>
            </w:r>
          </w:p>
        </w:tc>
        <w:tc>
          <w:tcPr>
            <w:tcW w:w="4361" w:type="dxa"/>
            <w:vAlign w:val="center"/>
          </w:tcPr>
          <w:p w14:paraId="0FCC33A9" w14:textId="77777777" w:rsidR="001C20E7" w:rsidRPr="00C2792F" w:rsidRDefault="001C20E7" w:rsidP="001C20E7">
            <w:pPr>
              <w:rPr>
                <w:lang w:val="pt-BR"/>
              </w:rPr>
            </w:pPr>
          </w:p>
        </w:tc>
      </w:tr>
      <w:tr w:rsidR="001C20E7" w:rsidRPr="00CD7864" w14:paraId="3E2FBC3A" w14:textId="77777777" w:rsidTr="0013322E">
        <w:trPr>
          <w:jc w:val="center"/>
        </w:trPr>
        <w:tc>
          <w:tcPr>
            <w:tcW w:w="2762" w:type="dxa"/>
            <w:vAlign w:val="center"/>
          </w:tcPr>
          <w:p w14:paraId="524ADC47" w14:textId="77777777" w:rsidR="001C20E7" w:rsidRPr="00C2792F" w:rsidRDefault="001C20E7" w:rsidP="001C20E7">
            <w:pPr>
              <w:pStyle w:val="Heading2"/>
              <w:tabs>
                <w:tab w:val="clear" w:pos="547"/>
                <w:tab w:val="clear" w:pos="1080"/>
              </w:tabs>
              <w:jc w:val="center"/>
              <w:outlineLvl w:val="1"/>
              <w:rPr>
                <w:rFonts w:ascii="Calibri" w:eastAsiaTheme="minorEastAsia" w:hAnsi="Calibri" w:cs="Calibri"/>
                <w:sz w:val="18"/>
                <w:szCs w:val="18"/>
                <w:lang w:val="pt-BR" w:eastAsia="zh-CN"/>
              </w:rPr>
            </w:pPr>
          </w:p>
        </w:tc>
        <w:tc>
          <w:tcPr>
            <w:tcW w:w="1464" w:type="dxa"/>
            <w:vAlign w:val="center"/>
          </w:tcPr>
          <w:p w14:paraId="1CF17B8B" w14:textId="7AF817BF" w:rsidR="001C20E7" w:rsidRPr="00C2792F" w:rsidRDefault="001C20E7" w:rsidP="001C20E7">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2.78</w:t>
            </w:r>
          </w:p>
        </w:tc>
        <w:tc>
          <w:tcPr>
            <w:tcW w:w="4908" w:type="dxa"/>
          </w:tcPr>
          <w:p w14:paraId="771D3E9D" w14:textId="6B351A69" w:rsidR="001C20E7" w:rsidRPr="00C2792F" w:rsidRDefault="006937CE" w:rsidP="006937CE">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Se o Mutuário receber uma reclamação de um licitante não selecionado durante o prazo suspensivo, o Mutuário não deverá prosseguir com a adjudicação do contrato até que a reclamação seja tratada, conforme estabelecido no Apêndice 3.</w:t>
            </w:r>
          </w:p>
        </w:tc>
        <w:tc>
          <w:tcPr>
            <w:tcW w:w="4361" w:type="dxa"/>
            <w:vAlign w:val="center"/>
          </w:tcPr>
          <w:p w14:paraId="37F7F2F0" w14:textId="77777777" w:rsidR="001C20E7" w:rsidRPr="00C2792F" w:rsidRDefault="001C20E7" w:rsidP="001C20E7">
            <w:pPr>
              <w:rPr>
                <w:lang w:val="pt-BR"/>
              </w:rPr>
            </w:pPr>
          </w:p>
        </w:tc>
      </w:tr>
      <w:tr w:rsidR="001C20E7" w:rsidRPr="00CD7864" w14:paraId="690B6CFC" w14:textId="77777777" w:rsidTr="0013322E">
        <w:trPr>
          <w:jc w:val="center"/>
        </w:trPr>
        <w:tc>
          <w:tcPr>
            <w:tcW w:w="2762" w:type="dxa"/>
            <w:vAlign w:val="center"/>
          </w:tcPr>
          <w:p w14:paraId="4854CB25" w14:textId="77777777" w:rsidR="001C20E7" w:rsidRPr="00C2792F" w:rsidRDefault="001C20E7" w:rsidP="001C20E7">
            <w:pPr>
              <w:pStyle w:val="Heading2"/>
              <w:tabs>
                <w:tab w:val="clear" w:pos="547"/>
                <w:tab w:val="clear" w:pos="1080"/>
              </w:tabs>
              <w:jc w:val="center"/>
              <w:outlineLvl w:val="1"/>
              <w:rPr>
                <w:rFonts w:ascii="Calibri" w:eastAsiaTheme="minorEastAsia" w:hAnsi="Calibri" w:cs="Calibri"/>
                <w:sz w:val="18"/>
                <w:szCs w:val="18"/>
                <w:lang w:val="pt-BR" w:eastAsia="zh-CN"/>
              </w:rPr>
            </w:pPr>
          </w:p>
        </w:tc>
        <w:tc>
          <w:tcPr>
            <w:tcW w:w="1464" w:type="dxa"/>
            <w:vAlign w:val="center"/>
          </w:tcPr>
          <w:p w14:paraId="78022E9E" w14:textId="6086DD65" w:rsidR="001C20E7" w:rsidRPr="00C2792F" w:rsidRDefault="001C20E7" w:rsidP="001C20E7">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2.79</w:t>
            </w:r>
          </w:p>
        </w:tc>
        <w:tc>
          <w:tcPr>
            <w:tcW w:w="4908" w:type="dxa"/>
          </w:tcPr>
          <w:p w14:paraId="06C35DFC" w14:textId="47B497F5" w:rsidR="001C20E7" w:rsidRPr="00C2792F" w:rsidRDefault="006937CE" w:rsidP="006937CE">
            <w:pPr>
              <w:suppressAutoHyphens/>
              <w:spacing w:after="20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Para contratos sujeitos a revisão prévia pelo Banco, o Mutuário não deverá prosseguir com a adjudicação do contrato sem receber a confirmação do Banco quanto à resolução satisfatória da reclamação. Para contratos sujeitos a revisão ex-post pelo Banco, o Mutuário deverá proceder de acordo com o Apêndice 3.</w:t>
            </w:r>
          </w:p>
        </w:tc>
        <w:tc>
          <w:tcPr>
            <w:tcW w:w="4361" w:type="dxa"/>
            <w:vAlign w:val="center"/>
          </w:tcPr>
          <w:p w14:paraId="0FF94652" w14:textId="77777777" w:rsidR="001C20E7" w:rsidRPr="00C2792F" w:rsidRDefault="001C20E7" w:rsidP="001C20E7">
            <w:pPr>
              <w:rPr>
                <w:lang w:val="pt-BR"/>
              </w:rPr>
            </w:pPr>
          </w:p>
        </w:tc>
      </w:tr>
      <w:tr w:rsidR="001F5638" w:rsidRPr="00CD7864" w14:paraId="0F4828C3" w14:textId="77777777" w:rsidTr="0013322E">
        <w:trPr>
          <w:jc w:val="center"/>
        </w:trPr>
        <w:tc>
          <w:tcPr>
            <w:tcW w:w="2762" w:type="dxa"/>
            <w:vAlign w:val="center"/>
          </w:tcPr>
          <w:p w14:paraId="4AF66553" w14:textId="2B063A11" w:rsidR="001F5638" w:rsidRPr="00C2792F" w:rsidRDefault="006937CE" w:rsidP="006937CE">
            <w:pPr>
              <w:pStyle w:val="Heading2"/>
              <w:tabs>
                <w:tab w:val="clear" w:pos="547"/>
                <w:tab w:val="clear" w:pos="1080"/>
              </w:tabs>
              <w:jc w:val="center"/>
              <w:outlineLvl w:val="1"/>
              <w:rPr>
                <w:rFonts w:asciiTheme="minorHAnsi" w:hAnsiTheme="minorHAnsi"/>
                <w:sz w:val="18"/>
                <w:szCs w:val="18"/>
                <w:lang w:val="pt-BR"/>
              </w:rPr>
            </w:pPr>
            <w:bookmarkStart w:id="22" w:name="_Toc143318178"/>
            <w:bookmarkStart w:id="23" w:name="_Toc364483408"/>
            <w:bookmarkStart w:id="24" w:name="_Toc358896395"/>
            <w:bookmarkStart w:id="25" w:name="_Toc458086096"/>
            <w:r w:rsidRPr="00C2792F">
              <w:rPr>
                <w:rFonts w:asciiTheme="minorHAnsi" w:hAnsiTheme="minorHAnsi"/>
                <w:sz w:val="18"/>
                <w:szCs w:val="18"/>
                <w:lang w:val="pt-BR"/>
              </w:rPr>
              <w:t>Adjudicação do Contrato</w:t>
            </w:r>
            <w:bookmarkEnd w:id="22"/>
            <w:r w:rsidRPr="00C2792F">
              <w:rPr>
                <w:rFonts w:asciiTheme="minorHAnsi" w:hAnsiTheme="minorHAnsi"/>
                <w:sz w:val="18"/>
                <w:szCs w:val="18"/>
                <w:lang w:val="pt-BR"/>
              </w:rPr>
              <w:t xml:space="preserve"> </w:t>
            </w:r>
            <w:r w:rsidRPr="00C2792F">
              <w:rPr>
                <w:rFonts w:asciiTheme="minorHAnsi" w:hAnsiTheme="minorHAnsi"/>
                <w:sz w:val="18"/>
                <w:szCs w:val="18"/>
                <w:lang w:val="pt-BR"/>
              </w:rPr>
              <w:fldChar w:fldCharType="begin"/>
            </w:r>
            <w:r w:rsidRPr="00C2792F">
              <w:rPr>
                <w:rFonts w:asciiTheme="minorHAnsi" w:hAnsiTheme="minorHAnsi"/>
                <w:sz w:val="18"/>
                <w:szCs w:val="18"/>
                <w:lang w:val="pt-BR"/>
              </w:rPr>
              <w:instrText>ADVANCE \D 4.0</w:instrText>
            </w:r>
            <w:r w:rsidRPr="00C2792F">
              <w:rPr>
                <w:rFonts w:asciiTheme="minorHAnsi" w:hAnsiTheme="minorHAnsi"/>
                <w:sz w:val="18"/>
                <w:szCs w:val="18"/>
                <w:lang w:val="pt-BR"/>
              </w:rPr>
              <w:fldChar w:fldCharType="end"/>
            </w:r>
            <w:bookmarkEnd w:id="23"/>
            <w:bookmarkEnd w:id="24"/>
            <w:bookmarkEnd w:id="25"/>
          </w:p>
        </w:tc>
        <w:tc>
          <w:tcPr>
            <w:tcW w:w="1464" w:type="dxa"/>
            <w:vAlign w:val="center"/>
          </w:tcPr>
          <w:p w14:paraId="6999F572" w14:textId="44CD717B" w:rsidR="001F5638" w:rsidRPr="00C2792F" w:rsidRDefault="00771B2D"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5932BC" w:rsidRPr="00C2792F">
              <w:rPr>
                <w:rFonts w:ascii="Arial" w:eastAsia="Times New Roman" w:hAnsi="Arial" w:cs="Arial"/>
                <w:bCs/>
                <w:sz w:val="18"/>
                <w:szCs w:val="18"/>
                <w:lang w:val="pt-BR"/>
              </w:rPr>
              <w:t>80</w:t>
            </w:r>
          </w:p>
        </w:tc>
        <w:tc>
          <w:tcPr>
            <w:tcW w:w="4908" w:type="dxa"/>
            <w:vAlign w:val="center"/>
          </w:tcPr>
          <w:p w14:paraId="5269FD84" w14:textId="55BB61EB" w:rsidR="001F5638" w:rsidRPr="00C2792F" w:rsidRDefault="006937CE" w:rsidP="002E3B0D">
            <w:pPr>
              <w:suppressAutoHyphens/>
              <w:spacing w:after="20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Antes do vencimento do prazo de validade das propostas, o Mutuário fará a adjudicação do objeto da licitação ao licitante que atenda aos padrões apropriados de capacidade e recursos, e cuja proposta tenha sido julgada: (i) substancialmente adequada aos termos do Edital de Licitação e (ii) </w:t>
            </w:r>
            <w:r w:rsidRPr="00C2792F">
              <w:rPr>
                <w:rFonts w:asciiTheme="minorHAnsi" w:hAnsiTheme="minorHAnsi" w:cstheme="minorHAnsi"/>
                <w:color w:val="FF0000"/>
                <w:sz w:val="18"/>
                <w:szCs w:val="18"/>
                <w:lang w:val="pt-BR"/>
              </w:rPr>
              <w:t>a mais vantajosa</w:t>
            </w:r>
            <w:r w:rsidRPr="00C2792F">
              <w:rPr>
                <w:rFonts w:asciiTheme="minorHAnsi" w:hAnsiTheme="minorHAnsi" w:cstheme="minorHAnsi"/>
                <w:sz w:val="18"/>
                <w:szCs w:val="18"/>
                <w:lang w:val="pt-BR"/>
              </w:rPr>
              <w:t>.</w:t>
            </w:r>
            <w:r w:rsidRPr="00C2792F">
              <w:rPr>
                <w:rFonts w:asciiTheme="minorHAnsi" w:hAnsiTheme="minorHAnsi" w:cstheme="minorHAnsi"/>
                <w:sz w:val="18"/>
                <w:szCs w:val="18"/>
                <w:vertAlign w:val="superscript"/>
                <w:lang w:val="pt-BR"/>
              </w:rPr>
              <w:footnoteReference w:id="9"/>
            </w:r>
            <w:r w:rsidRPr="00C2792F">
              <w:rPr>
                <w:rFonts w:asciiTheme="minorHAnsi" w:hAnsiTheme="minorHAnsi" w:cstheme="minorHAnsi"/>
                <w:sz w:val="18"/>
                <w:szCs w:val="18"/>
                <w:lang w:val="pt-BR"/>
              </w:rPr>
              <w:t xml:space="preserve"> Não se exigirá do licitante, como condição de adjudicação, que </w:t>
            </w:r>
            <w:proofErr w:type="spellStart"/>
            <w:r w:rsidRPr="00C2792F">
              <w:rPr>
                <w:rFonts w:asciiTheme="minorHAnsi" w:hAnsiTheme="minorHAnsi" w:cstheme="minorHAnsi"/>
                <w:sz w:val="18"/>
                <w:szCs w:val="18"/>
                <w:lang w:val="pt-BR"/>
              </w:rPr>
              <w:t>assuma</w:t>
            </w:r>
            <w:proofErr w:type="spellEnd"/>
            <w:r w:rsidRPr="00C2792F">
              <w:rPr>
                <w:rFonts w:asciiTheme="minorHAnsi" w:hAnsiTheme="minorHAnsi" w:cstheme="minorHAnsi"/>
                <w:sz w:val="18"/>
                <w:szCs w:val="18"/>
                <w:lang w:val="pt-BR"/>
              </w:rPr>
              <w:t xml:space="preserve"> responsabilidade por obras não previstas nos Editais de Licitação nem que modifique a oferta originalmente submetida.</w:t>
            </w:r>
          </w:p>
        </w:tc>
        <w:tc>
          <w:tcPr>
            <w:tcW w:w="4361" w:type="dxa"/>
            <w:vAlign w:val="center"/>
          </w:tcPr>
          <w:p w14:paraId="0590638F" w14:textId="77777777" w:rsidR="001F5638" w:rsidRPr="00C2792F" w:rsidRDefault="001F5638" w:rsidP="00D662E0">
            <w:pPr>
              <w:rPr>
                <w:lang w:val="pt-BR"/>
              </w:rPr>
            </w:pPr>
          </w:p>
        </w:tc>
      </w:tr>
      <w:tr w:rsidR="001F5638" w:rsidRPr="00CD7864" w14:paraId="1A02B391" w14:textId="77777777" w:rsidTr="0013322E">
        <w:trPr>
          <w:jc w:val="center"/>
        </w:trPr>
        <w:tc>
          <w:tcPr>
            <w:tcW w:w="2762" w:type="dxa"/>
            <w:vAlign w:val="center"/>
          </w:tcPr>
          <w:p w14:paraId="5E508313" w14:textId="5B54EDA8" w:rsidR="001F5638" w:rsidRPr="00C2792F" w:rsidRDefault="006937CE" w:rsidP="006937CE">
            <w:pPr>
              <w:pStyle w:val="Heading2"/>
              <w:tabs>
                <w:tab w:val="clear" w:pos="547"/>
                <w:tab w:val="clear" w:pos="1080"/>
              </w:tabs>
              <w:jc w:val="center"/>
              <w:outlineLvl w:val="1"/>
              <w:rPr>
                <w:rFonts w:asciiTheme="minorHAnsi" w:hAnsiTheme="minorHAnsi"/>
                <w:sz w:val="18"/>
                <w:szCs w:val="18"/>
                <w:lang w:val="pt-BR"/>
              </w:rPr>
            </w:pPr>
            <w:bookmarkStart w:id="26" w:name="_Toc143318180"/>
            <w:bookmarkStart w:id="27" w:name="_Toc358896397"/>
            <w:bookmarkStart w:id="28" w:name="_Toc458086098"/>
            <w:r w:rsidRPr="00C2792F">
              <w:rPr>
                <w:rFonts w:asciiTheme="minorHAnsi" w:hAnsiTheme="minorHAnsi"/>
                <w:sz w:val="18"/>
                <w:szCs w:val="18"/>
                <w:lang w:val="pt-BR"/>
              </w:rPr>
              <w:t>Rejeição de Todas as Propostas</w:t>
            </w:r>
            <w:bookmarkEnd w:id="26"/>
            <w:r w:rsidRPr="00C2792F">
              <w:rPr>
                <w:rFonts w:asciiTheme="minorHAnsi" w:hAnsiTheme="minorHAnsi"/>
                <w:sz w:val="18"/>
                <w:szCs w:val="18"/>
                <w:lang w:val="pt-BR"/>
              </w:rPr>
              <w:t xml:space="preserve"> </w:t>
            </w:r>
            <w:r w:rsidRPr="00C2792F">
              <w:rPr>
                <w:rFonts w:asciiTheme="minorHAnsi" w:hAnsiTheme="minorHAnsi"/>
                <w:sz w:val="18"/>
                <w:szCs w:val="18"/>
                <w:lang w:val="pt-BR"/>
              </w:rPr>
              <w:fldChar w:fldCharType="begin"/>
            </w:r>
            <w:r w:rsidRPr="00C2792F">
              <w:rPr>
                <w:rFonts w:asciiTheme="minorHAnsi" w:hAnsiTheme="minorHAnsi"/>
                <w:sz w:val="18"/>
                <w:szCs w:val="18"/>
                <w:lang w:val="pt-BR"/>
              </w:rPr>
              <w:instrText>ADVANCE \D 4.0</w:instrText>
            </w:r>
            <w:r w:rsidRPr="00C2792F">
              <w:rPr>
                <w:rFonts w:asciiTheme="minorHAnsi" w:hAnsiTheme="minorHAnsi"/>
                <w:sz w:val="18"/>
                <w:szCs w:val="18"/>
                <w:lang w:val="pt-BR"/>
              </w:rPr>
              <w:fldChar w:fldCharType="end"/>
            </w:r>
            <w:bookmarkEnd w:id="27"/>
            <w:bookmarkEnd w:id="28"/>
          </w:p>
        </w:tc>
        <w:tc>
          <w:tcPr>
            <w:tcW w:w="1464" w:type="dxa"/>
            <w:vAlign w:val="center"/>
          </w:tcPr>
          <w:p w14:paraId="51C15F9F" w14:textId="2AF50A2D" w:rsidR="001F5638" w:rsidRPr="00C2792F" w:rsidRDefault="00771B2D" w:rsidP="001F5638">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5932BC" w:rsidRPr="00C2792F">
              <w:rPr>
                <w:rFonts w:ascii="Arial" w:eastAsia="Times New Roman" w:hAnsi="Arial" w:cs="Arial"/>
                <w:bCs/>
                <w:sz w:val="18"/>
                <w:szCs w:val="18"/>
                <w:lang w:val="pt-BR"/>
              </w:rPr>
              <w:t>84</w:t>
            </w:r>
          </w:p>
        </w:tc>
        <w:tc>
          <w:tcPr>
            <w:tcW w:w="4908" w:type="dxa"/>
            <w:vAlign w:val="center"/>
          </w:tcPr>
          <w:p w14:paraId="027E29F0" w14:textId="2BF0459D" w:rsidR="001F5638" w:rsidRPr="00C2792F" w:rsidRDefault="006937CE" w:rsidP="0079227E">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O Mutuário não deverá rejeitar todas as propostas e solicitar novas propostas sob as mesmas condições do Edital e do contrato, apenas para tentar obter preços menores. Caso a proposta avaliada como a </w:t>
            </w:r>
            <w:r w:rsidRPr="00C2792F">
              <w:rPr>
                <w:rFonts w:asciiTheme="minorHAnsi" w:hAnsiTheme="minorHAnsi" w:cstheme="minorHAnsi"/>
                <w:color w:val="FF0000"/>
                <w:sz w:val="18"/>
                <w:szCs w:val="18"/>
                <w:lang w:val="pt-BR"/>
              </w:rPr>
              <w:t>mais vantajosa</w:t>
            </w:r>
            <w:r w:rsidRPr="00C2792F">
              <w:rPr>
                <w:rFonts w:asciiTheme="minorHAnsi" w:hAnsiTheme="minorHAnsi" w:cstheme="minorHAnsi"/>
                <w:sz w:val="18"/>
                <w:szCs w:val="18"/>
                <w:lang w:val="pt-BR"/>
              </w:rPr>
              <w:t xml:space="preserve"> exceda, por margem substancial, o orçamento referencial do Mutuário, este deverá investigar as causas do custo excessivo e considerar a hipótese de solicitar novas propostas, conforme descrito nos parágrafos anteriores. Alternativamente, poderá o Mutuário negociar com o </w:t>
            </w:r>
            <w:r w:rsidRPr="00C2792F">
              <w:rPr>
                <w:rFonts w:asciiTheme="minorHAnsi" w:hAnsiTheme="minorHAnsi" w:cstheme="minorHAnsi"/>
                <w:color w:val="FF0000"/>
                <w:sz w:val="18"/>
                <w:szCs w:val="18"/>
                <w:lang w:val="pt-BR"/>
              </w:rPr>
              <w:t>licitante avaliado mais vantajoso</w:t>
            </w:r>
            <w:r w:rsidRPr="00C2792F">
              <w:rPr>
                <w:rFonts w:asciiTheme="minorHAnsi" w:hAnsiTheme="minorHAnsi" w:cstheme="minorHAnsi"/>
                <w:sz w:val="18"/>
                <w:szCs w:val="18"/>
                <w:lang w:val="pt-BR"/>
              </w:rPr>
              <w:t>, a fim de procurar obter um contrato satisfatório, mediante a redução do escopo e/ou uma realocação do risco e da responsabilidade que possam se refletir na redução do preço do contrato. No entanto, a redução substancial do escopo ou a modificação substancial dos documentos do contrato poderá exigir nova licitação.</w:t>
            </w:r>
          </w:p>
        </w:tc>
        <w:tc>
          <w:tcPr>
            <w:tcW w:w="4361" w:type="dxa"/>
            <w:vAlign w:val="center"/>
          </w:tcPr>
          <w:p w14:paraId="63359785" w14:textId="77777777" w:rsidR="001F5638" w:rsidRPr="00C2792F" w:rsidRDefault="001F5638" w:rsidP="00D662E0">
            <w:pPr>
              <w:rPr>
                <w:lang w:val="pt-BR"/>
              </w:rPr>
            </w:pPr>
          </w:p>
        </w:tc>
      </w:tr>
      <w:tr w:rsidR="001F5638" w:rsidRPr="00CD7864" w14:paraId="492DD8FA" w14:textId="77777777" w:rsidTr="0013322E">
        <w:trPr>
          <w:jc w:val="center"/>
        </w:trPr>
        <w:tc>
          <w:tcPr>
            <w:tcW w:w="2762" w:type="dxa"/>
            <w:vAlign w:val="center"/>
          </w:tcPr>
          <w:p w14:paraId="74AF8AE1" w14:textId="77777777" w:rsidR="001F5638" w:rsidRPr="00C2792F" w:rsidRDefault="001F5638" w:rsidP="006D2939">
            <w:pPr>
              <w:jc w:val="center"/>
              <w:rPr>
                <w:b/>
                <w:sz w:val="18"/>
                <w:szCs w:val="18"/>
                <w:lang w:val="pt-BR"/>
              </w:rPr>
            </w:pPr>
          </w:p>
        </w:tc>
        <w:tc>
          <w:tcPr>
            <w:tcW w:w="1464" w:type="dxa"/>
            <w:vAlign w:val="center"/>
          </w:tcPr>
          <w:p w14:paraId="0D6FC557" w14:textId="070E22AC" w:rsidR="001F5638" w:rsidRPr="00C2792F" w:rsidRDefault="00771B2D" w:rsidP="0079227E">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r w:rsidR="005932BC" w:rsidRPr="00C2792F">
              <w:rPr>
                <w:rFonts w:ascii="Arial" w:eastAsia="Times New Roman" w:hAnsi="Arial" w:cs="Arial"/>
                <w:bCs/>
                <w:sz w:val="18"/>
                <w:szCs w:val="18"/>
                <w:lang w:val="pt-BR"/>
              </w:rPr>
              <w:t>85</w:t>
            </w:r>
          </w:p>
        </w:tc>
        <w:tc>
          <w:tcPr>
            <w:tcW w:w="4908" w:type="dxa"/>
            <w:vAlign w:val="center"/>
          </w:tcPr>
          <w:p w14:paraId="13F247CA" w14:textId="6D565F0F" w:rsidR="001F5638" w:rsidRPr="00C2792F" w:rsidRDefault="006937CE" w:rsidP="0079227E">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A rejeição de todas as propostas, a solicitação de apresentação de novas propostas ou as negociações com o licitante </w:t>
            </w:r>
            <w:r w:rsidRPr="00C2792F">
              <w:rPr>
                <w:rFonts w:asciiTheme="minorHAnsi" w:hAnsiTheme="minorHAnsi" w:cstheme="minorHAnsi"/>
                <w:color w:val="FF0000"/>
                <w:sz w:val="18"/>
                <w:szCs w:val="18"/>
                <w:lang w:val="pt-BR"/>
              </w:rPr>
              <w:t>avaliado mais vantajoso</w:t>
            </w:r>
            <w:r w:rsidRPr="00C2792F">
              <w:rPr>
                <w:rFonts w:asciiTheme="minorHAnsi" w:hAnsiTheme="minorHAnsi" w:cstheme="minorHAnsi"/>
                <w:sz w:val="18"/>
                <w:szCs w:val="18"/>
                <w:lang w:val="pt-BR"/>
              </w:rPr>
              <w:t>, dependem de prévia aprovação do Banco.</w:t>
            </w:r>
          </w:p>
        </w:tc>
        <w:tc>
          <w:tcPr>
            <w:tcW w:w="4361" w:type="dxa"/>
            <w:vAlign w:val="center"/>
          </w:tcPr>
          <w:p w14:paraId="5E499D8B" w14:textId="77777777" w:rsidR="001F5638" w:rsidRPr="00C2792F" w:rsidRDefault="001F5638" w:rsidP="00D662E0">
            <w:pPr>
              <w:rPr>
                <w:lang w:val="pt-BR"/>
              </w:rPr>
            </w:pPr>
          </w:p>
        </w:tc>
      </w:tr>
      <w:tr w:rsidR="005932BC" w:rsidRPr="00CD7864" w14:paraId="10B9870F" w14:textId="77777777" w:rsidTr="0013322E">
        <w:trPr>
          <w:jc w:val="center"/>
        </w:trPr>
        <w:tc>
          <w:tcPr>
            <w:tcW w:w="2762" w:type="dxa"/>
            <w:vAlign w:val="center"/>
          </w:tcPr>
          <w:p w14:paraId="50B96BC2" w14:textId="37267ED7" w:rsidR="005932BC" w:rsidRPr="00C2792F" w:rsidRDefault="00C211F4" w:rsidP="00C211F4">
            <w:pPr>
              <w:pStyle w:val="Heading2"/>
              <w:tabs>
                <w:tab w:val="clear" w:pos="547"/>
                <w:tab w:val="clear" w:pos="1080"/>
              </w:tabs>
              <w:jc w:val="center"/>
              <w:outlineLvl w:val="1"/>
              <w:rPr>
                <w:rFonts w:asciiTheme="minorHAnsi" w:hAnsiTheme="minorHAnsi"/>
                <w:sz w:val="18"/>
                <w:szCs w:val="18"/>
                <w:lang w:val="pt-BR"/>
              </w:rPr>
            </w:pPr>
            <w:bookmarkStart w:id="29" w:name="_Toc143318181"/>
            <w:bookmarkStart w:id="30" w:name="_Toc458086099"/>
            <w:bookmarkStart w:id="31" w:name="Debriefing"/>
            <w:r w:rsidRPr="00C2792F">
              <w:rPr>
                <w:rFonts w:asciiTheme="minorHAnsi" w:hAnsiTheme="minorHAnsi"/>
                <w:sz w:val="18"/>
                <w:szCs w:val="18"/>
                <w:lang w:val="pt-BR"/>
              </w:rPr>
              <w:lastRenderedPageBreak/>
              <w:t>Esclarecimentos</w:t>
            </w:r>
            <w:bookmarkEnd w:id="29"/>
            <w:bookmarkEnd w:id="30"/>
            <w:r w:rsidRPr="00C2792F">
              <w:rPr>
                <w:rFonts w:asciiTheme="minorHAnsi" w:hAnsiTheme="minorHAnsi"/>
                <w:sz w:val="18"/>
                <w:szCs w:val="18"/>
                <w:lang w:val="pt-BR"/>
              </w:rPr>
              <w:t xml:space="preserve"> </w:t>
            </w:r>
            <w:r w:rsidRPr="00C2792F">
              <w:rPr>
                <w:rFonts w:asciiTheme="minorHAnsi" w:hAnsiTheme="minorHAnsi"/>
                <w:color w:val="FF0000"/>
                <w:sz w:val="18"/>
                <w:szCs w:val="18"/>
                <w:lang w:val="pt-BR"/>
              </w:rPr>
              <w:t>por parte do mutuário</w:t>
            </w:r>
            <w:bookmarkEnd w:id="31"/>
          </w:p>
        </w:tc>
        <w:tc>
          <w:tcPr>
            <w:tcW w:w="1464" w:type="dxa"/>
            <w:vAlign w:val="center"/>
          </w:tcPr>
          <w:p w14:paraId="7467C5FE" w14:textId="58AF832A" w:rsidR="005932BC" w:rsidRPr="00C2792F" w:rsidRDefault="00133B0F" w:rsidP="0079227E">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2.86</w:t>
            </w:r>
          </w:p>
        </w:tc>
        <w:tc>
          <w:tcPr>
            <w:tcW w:w="4908" w:type="dxa"/>
            <w:vAlign w:val="center"/>
          </w:tcPr>
          <w:p w14:paraId="4C23A8BE" w14:textId="73DB69D8" w:rsidR="005932BC" w:rsidRPr="00C2792F" w:rsidRDefault="00C211F4" w:rsidP="00C211F4">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color w:val="FF0000"/>
                <w:sz w:val="18"/>
                <w:szCs w:val="18"/>
                <w:lang w:val="pt-BR"/>
              </w:rPr>
              <w:t>Na publicação da intenção de adjudicação referida no parágrafo 2.73 ou na publicação de adjudicação do contrato referida no parágrafo 2.81</w:t>
            </w:r>
            <w:r w:rsidRPr="00C2792F">
              <w:rPr>
                <w:rFonts w:asciiTheme="minorHAnsi" w:hAnsiTheme="minorHAnsi" w:cstheme="minorHAnsi"/>
                <w:sz w:val="18"/>
                <w:szCs w:val="18"/>
                <w:lang w:val="pt-BR"/>
              </w:rPr>
              <w:t xml:space="preserve">, o Mutuário deverá especificar que qualquer licitante que deseje conhecer os motivos pelos quais sua proposta não foi selecionada, poderá solicitar uma explicação do Mutuário. O Mutuário deverá prontamente esclarecer por que tal proposta não foi selecionada, fazendo-o por escrito e/ou por meio de uma reunião de esclarecimentos, à escolha do Mutuário. O licitante interessado nos esclarecimentos arcará com todos os custos para comparecer a essa reunião. </w:t>
            </w:r>
          </w:p>
        </w:tc>
        <w:tc>
          <w:tcPr>
            <w:tcW w:w="4361" w:type="dxa"/>
            <w:vAlign w:val="center"/>
          </w:tcPr>
          <w:p w14:paraId="0F0D6A73" w14:textId="77777777" w:rsidR="005932BC" w:rsidRPr="00C2792F" w:rsidRDefault="005932BC" w:rsidP="00D662E0">
            <w:pPr>
              <w:rPr>
                <w:lang w:val="pt-BR"/>
              </w:rPr>
            </w:pPr>
          </w:p>
        </w:tc>
      </w:tr>
      <w:tr w:rsidR="001F5638" w:rsidRPr="00CD7864" w14:paraId="0779454B" w14:textId="77777777" w:rsidTr="0013322E">
        <w:trPr>
          <w:jc w:val="center"/>
        </w:trPr>
        <w:tc>
          <w:tcPr>
            <w:tcW w:w="2762" w:type="dxa"/>
            <w:vAlign w:val="center"/>
          </w:tcPr>
          <w:p w14:paraId="4BDD9B88" w14:textId="0F95F05C" w:rsidR="001F5638" w:rsidRPr="00C2792F" w:rsidRDefault="00C211F4" w:rsidP="00C211F4">
            <w:pPr>
              <w:pStyle w:val="Heading2"/>
              <w:tabs>
                <w:tab w:val="clear" w:pos="547"/>
                <w:tab w:val="clear" w:pos="1080"/>
              </w:tabs>
              <w:jc w:val="center"/>
              <w:outlineLvl w:val="1"/>
              <w:rPr>
                <w:rFonts w:asciiTheme="minorHAnsi" w:hAnsiTheme="minorHAnsi"/>
                <w:sz w:val="18"/>
                <w:szCs w:val="18"/>
                <w:lang w:val="pt-BR"/>
              </w:rPr>
            </w:pPr>
            <w:bookmarkStart w:id="32" w:name="_Toc143318187"/>
            <w:bookmarkStart w:id="33" w:name="_Toc364483415"/>
            <w:bookmarkStart w:id="34" w:name="_Toc358896403"/>
            <w:bookmarkStart w:id="35" w:name="_Toc458086105"/>
            <w:r w:rsidRPr="00C2792F">
              <w:rPr>
                <w:rFonts w:asciiTheme="minorHAnsi" w:hAnsiTheme="minorHAnsi"/>
                <w:sz w:val="18"/>
                <w:szCs w:val="18"/>
                <w:lang w:val="pt-BR"/>
              </w:rPr>
              <w:t>Concorrência Limitada</w:t>
            </w:r>
            <w:bookmarkEnd w:id="32"/>
            <w:r w:rsidRPr="00C2792F">
              <w:rPr>
                <w:rFonts w:asciiTheme="minorHAnsi" w:hAnsiTheme="minorHAnsi"/>
                <w:sz w:val="18"/>
                <w:szCs w:val="18"/>
                <w:lang w:val="pt-BR"/>
              </w:rPr>
              <w:t xml:space="preserve"> </w:t>
            </w:r>
            <w:r w:rsidRPr="00C2792F">
              <w:rPr>
                <w:rFonts w:asciiTheme="minorHAnsi" w:hAnsiTheme="minorHAnsi"/>
                <w:sz w:val="18"/>
                <w:szCs w:val="18"/>
                <w:lang w:val="pt-BR"/>
              </w:rPr>
              <w:fldChar w:fldCharType="begin"/>
            </w:r>
            <w:r w:rsidRPr="00C2792F">
              <w:rPr>
                <w:rFonts w:asciiTheme="minorHAnsi" w:hAnsiTheme="minorHAnsi"/>
                <w:sz w:val="18"/>
                <w:szCs w:val="18"/>
                <w:lang w:val="pt-BR"/>
              </w:rPr>
              <w:instrText>ADVANCE \D 4.0</w:instrText>
            </w:r>
            <w:r w:rsidRPr="00C2792F">
              <w:rPr>
                <w:rFonts w:asciiTheme="minorHAnsi" w:hAnsiTheme="minorHAnsi"/>
                <w:sz w:val="18"/>
                <w:szCs w:val="18"/>
                <w:lang w:val="pt-BR"/>
              </w:rPr>
              <w:fldChar w:fldCharType="end"/>
            </w:r>
            <w:bookmarkEnd w:id="33"/>
            <w:bookmarkEnd w:id="34"/>
            <w:bookmarkEnd w:id="35"/>
          </w:p>
        </w:tc>
        <w:tc>
          <w:tcPr>
            <w:tcW w:w="1464" w:type="dxa"/>
            <w:vAlign w:val="center"/>
          </w:tcPr>
          <w:p w14:paraId="0FA48411" w14:textId="1DBE6903" w:rsidR="001F5638" w:rsidRPr="00C2792F" w:rsidRDefault="00DB13E7" w:rsidP="0079227E">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3.2</w:t>
            </w:r>
          </w:p>
        </w:tc>
        <w:tc>
          <w:tcPr>
            <w:tcW w:w="4908" w:type="dxa"/>
            <w:vAlign w:val="center"/>
          </w:tcPr>
          <w:p w14:paraId="356B3F44" w14:textId="6BE03BFF" w:rsidR="008E2D01" w:rsidRPr="00C2792F" w:rsidRDefault="00C211F4" w:rsidP="00C211F4">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A Concorrência Limitada (</w:t>
            </w:r>
            <w:r w:rsidRPr="00C2792F">
              <w:rPr>
                <w:rFonts w:asciiTheme="minorHAnsi" w:hAnsiTheme="minorHAnsi" w:cstheme="minorHAnsi"/>
                <w:color w:val="FF0000"/>
                <w:sz w:val="18"/>
                <w:szCs w:val="18"/>
                <w:lang w:val="pt-BR"/>
              </w:rPr>
              <w:t>CL</w:t>
            </w:r>
            <w:r w:rsidRPr="00C2792F">
              <w:rPr>
                <w:rFonts w:asciiTheme="minorHAnsi" w:hAnsiTheme="minorHAnsi" w:cstheme="minorHAnsi"/>
                <w:sz w:val="18"/>
                <w:szCs w:val="18"/>
                <w:lang w:val="pt-BR"/>
              </w:rPr>
              <w:t xml:space="preserve">) é essencialmente </w:t>
            </w:r>
            <w:r w:rsidRPr="00C2792F">
              <w:rPr>
                <w:rFonts w:asciiTheme="minorHAnsi" w:hAnsiTheme="minorHAnsi" w:cstheme="minorHAnsi"/>
                <w:color w:val="FF0000"/>
                <w:sz w:val="18"/>
                <w:szCs w:val="18"/>
                <w:lang w:val="pt-BR"/>
              </w:rPr>
              <w:t>um método competitivo</w:t>
            </w:r>
            <w:r w:rsidRPr="00C2792F">
              <w:rPr>
                <w:rFonts w:asciiTheme="minorHAnsi" w:hAnsiTheme="minorHAnsi" w:cstheme="minorHAnsi"/>
                <w:sz w:val="18"/>
                <w:szCs w:val="18"/>
                <w:lang w:val="pt-BR"/>
              </w:rPr>
              <w:t xml:space="preserve"> mediante convite direto, sem ampla divulgação. Pode mostrar-se apropriado o emprego desse método de aquisição quando: (a) o número de Fornecedores é limitado, ou (b) outras razões excepcionais justificam distanciar-se dos procedimentos de uma CPI típica. Na CL, os Mutuários devem solicitar propostas de uma lista de potenciais Fornecedores, devendo essa lista ser ampla o suficiente para assegurar preços competitivos e incluir todos os fornecedores, na hipótese de haver apenas um número limitado deles. As preferências nacionais não se aplicam à avaliação de propostas na CL. Ressalvadas as disposições em matéria de preferências nacionais e publicidade, os demais procedimentos de CPI são aplicáveis, incluindo a publicação do resultado da Adjudicação do Contrato, conforme o parágrafo 2.60.</w:t>
            </w:r>
          </w:p>
        </w:tc>
        <w:tc>
          <w:tcPr>
            <w:tcW w:w="4361" w:type="dxa"/>
            <w:vAlign w:val="center"/>
          </w:tcPr>
          <w:p w14:paraId="7D5D830B" w14:textId="77777777" w:rsidR="001F5638" w:rsidRPr="00C2792F" w:rsidRDefault="001F5638" w:rsidP="00D662E0">
            <w:pPr>
              <w:rPr>
                <w:lang w:val="pt-BR"/>
              </w:rPr>
            </w:pPr>
          </w:p>
        </w:tc>
      </w:tr>
      <w:tr w:rsidR="001E2B24" w:rsidRPr="00CD7864" w14:paraId="60D704D8" w14:textId="77777777" w:rsidTr="0013322E">
        <w:trPr>
          <w:jc w:val="center"/>
        </w:trPr>
        <w:tc>
          <w:tcPr>
            <w:tcW w:w="2762" w:type="dxa"/>
            <w:vAlign w:val="center"/>
          </w:tcPr>
          <w:p w14:paraId="4575CA39" w14:textId="77777777" w:rsidR="00C211F4" w:rsidRPr="00C2792F" w:rsidRDefault="00C211F4" w:rsidP="00C211F4">
            <w:pPr>
              <w:pStyle w:val="Heading2"/>
              <w:tabs>
                <w:tab w:val="clear" w:pos="547"/>
                <w:tab w:val="clear" w:pos="1080"/>
              </w:tabs>
              <w:jc w:val="center"/>
              <w:outlineLvl w:val="1"/>
              <w:rPr>
                <w:rFonts w:asciiTheme="minorHAnsi" w:hAnsiTheme="minorHAnsi"/>
                <w:sz w:val="18"/>
                <w:szCs w:val="18"/>
                <w:lang w:val="pt-BR"/>
              </w:rPr>
            </w:pPr>
            <w:bookmarkStart w:id="36" w:name="_Toc143318189"/>
            <w:bookmarkStart w:id="37" w:name="_Toc458086107"/>
            <w:bookmarkStart w:id="38" w:name="Shopping"/>
            <w:r w:rsidRPr="00C2792F">
              <w:rPr>
                <w:rFonts w:asciiTheme="minorHAnsi" w:hAnsiTheme="minorHAnsi"/>
                <w:sz w:val="18"/>
                <w:szCs w:val="18"/>
                <w:lang w:val="pt-BR"/>
              </w:rPr>
              <w:lastRenderedPageBreak/>
              <w:t>Comparação de Preços</w:t>
            </w:r>
            <w:bookmarkEnd w:id="36"/>
            <w:bookmarkEnd w:id="37"/>
          </w:p>
          <w:bookmarkEnd w:id="38"/>
          <w:p w14:paraId="4DD0F7C1" w14:textId="5A889981" w:rsidR="001E2B24" w:rsidRPr="00C2792F" w:rsidRDefault="001E2B24" w:rsidP="0079227E">
            <w:pPr>
              <w:jc w:val="center"/>
              <w:rPr>
                <w:b/>
                <w:sz w:val="18"/>
                <w:szCs w:val="18"/>
                <w:lang w:val="pt-BR"/>
              </w:rPr>
            </w:pPr>
          </w:p>
        </w:tc>
        <w:tc>
          <w:tcPr>
            <w:tcW w:w="1464" w:type="dxa"/>
            <w:vAlign w:val="center"/>
          </w:tcPr>
          <w:p w14:paraId="64BD8885" w14:textId="04D7344E" w:rsidR="001E2B24" w:rsidRPr="00C2792F" w:rsidRDefault="00B32F1F" w:rsidP="0079227E">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3.5</w:t>
            </w:r>
          </w:p>
        </w:tc>
        <w:tc>
          <w:tcPr>
            <w:tcW w:w="4908" w:type="dxa"/>
            <w:vAlign w:val="center"/>
          </w:tcPr>
          <w:p w14:paraId="562B3540" w14:textId="453F9AF8" w:rsidR="001E2B24" w:rsidRPr="00C2792F" w:rsidRDefault="00C211F4" w:rsidP="00C211F4">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Trata-se do método de aquisições baseado na comparação de preços ofertados por diversos Fornecedores (no caso de bens) ou diversos Empreiteiros (no caso de obras civis), num mínimo de três, para assegurar preços competitivos, constituindo-se em método apropriado para a aquisição de bens disponíveis para entrega imediata, “de prateleira”, produtos de pequeno valor sujeitos à especificação padronizada, ou obras civis simples, de pequeno valor. Os pedidos de cotação de preços incluirão a descrição e a quantidade de bens ou especificação das obras, bem como o local e data previstos para entrega ou conclusão. As cotações podem ser submetidas por carta, fax ou meio eletrônico. A avaliação das cotações observará os </w:t>
            </w:r>
            <w:r w:rsidRPr="00C2792F">
              <w:rPr>
                <w:rFonts w:asciiTheme="minorHAnsi" w:hAnsiTheme="minorHAnsi" w:cstheme="minorHAnsi"/>
                <w:color w:val="FF0000"/>
                <w:sz w:val="18"/>
                <w:szCs w:val="18"/>
                <w:lang w:val="pt-BR"/>
              </w:rPr>
              <w:t>Princípios Básicos de Aquisições do Banco</w:t>
            </w:r>
            <w:r w:rsidRPr="00C2792F">
              <w:rPr>
                <w:rFonts w:asciiTheme="minorHAnsi" w:hAnsiTheme="minorHAnsi" w:cstheme="minorHAnsi"/>
                <w:sz w:val="18"/>
                <w:szCs w:val="18"/>
                <w:lang w:val="pt-BR"/>
              </w:rPr>
              <w:t xml:space="preserve">. </w:t>
            </w:r>
            <w:proofErr w:type="gramStart"/>
            <w:r w:rsidRPr="00C2792F">
              <w:rPr>
                <w:rFonts w:asciiTheme="minorHAnsi" w:hAnsiTheme="minorHAnsi" w:cstheme="minorHAnsi"/>
                <w:sz w:val="18"/>
                <w:szCs w:val="18"/>
                <w:lang w:val="pt-BR"/>
              </w:rPr>
              <w:t>Os termos da proposta aceita</w:t>
            </w:r>
            <w:proofErr w:type="gramEnd"/>
            <w:r w:rsidRPr="00C2792F">
              <w:rPr>
                <w:rFonts w:asciiTheme="minorHAnsi" w:hAnsiTheme="minorHAnsi" w:cstheme="minorHAnsi"/>
                <w:sz w:val="18"/>
                <w:szCs w:val="18"/>
                <w:lang w:val="pt-BR"/>
              </w:rPr>
              <w:t xml:space="preserve"> serão incorporados à ordem de compra ou contrato simplificado, </w:t>
            </w:r>
            <w:r w:rsidRPr="00C2792F">
              <w:rPr>
                <w:rFonts w:asciiTheme="minorHAnsi" w:hAnsiTheme="minorHAnsi" w:cstheme="minorHAnsi"/>
                <w:color w:val="FF0000"/>
                <w:sz w:val="18"/>
                <w:szCs w:val="18"/>
                <w:lang w:val="pt-BR"/>
              </w:rPr>
              <w:t>que incluam as disposições sobre práticas proibidas e elegibilidade</w:t>
            </w:r>
            <w:r w:rsidRPr="00C2792F">
              <w:rPr>
                <w:rFonts w:asciiTheme="minorHAnsi" w:hAnsiTheme="minorHAnsi" w:cstheme="minorHAnsi"/>
                <w:sz w:val="18"/>
                <w:szCs w:val="18"/>
                <w:lang w:val="pt-BR"/>
              </w:rPr>
              <w:t>.</w:t>
            </w:r>
            <w:r w:rsidRPr="00C2792F">
              <w:rPr>
                <w:rFonts w:asciiTheme="minorHAnsi" w:hAnsiTheme="minorHAnsi" w:cstheme="minorHAnsi"/>
                <w:sz w:val="18"/>
                <w:szCs w:val="18"/>
                <w:lang w:val="pt-BR"/>
              </w:rPr>
              <w:fldChar w:fldCharType="begin"/>
            </w:r>
            <w:r w:rsidRPr="00C2792F">
              <w:rPr>
                <w:rFonts w:asciiTheme="minorHAnsi" w:hAnsiTheme="minorHAnsi" w:cstheme="minorHAnsi"/>
                <w:sz w:val="18"/>
                <w:szCs w:val="18"/>
                <w:lang w:val="pt-BR"/>
              </w:rPr>
              <w:instrText>ADVANCE \D 6.0</w:instrText>
            </w:r>
            <w:r w:rsidRPr="00C2792F">
              <w:rPr>
                <w:rFonts w:asciiTheme="minorHAnsi" w:hAnsiTheme="minorHAnsi" w:cstheme="minorHAnsi"/>
                <w:sz w:val="18"/>
                <w:szCs w:val="18"/>
                <w:lang w:val="pt-BR"/>
              </w:rPr>
              <w:fldChar w:fldCharType="end"/>
            </w:r>
          </w:p>
        </w:tc>
        <w:tc>
          <w:tcPr>
            <w:tcW w:w="4361" w:type="dxa"/>
            <w:vAlign w:val="center"/>
          </w:tcPr>
          <w:p w14:paraId="52A6B768" w14:textId="77777777" w:rsidR="001E2B24" w:rsidRPr="00C2792F" w:rsidRDefault="001E2B24" w:rsidP="00D662E0">
            <w:pPr>
              <w:rPr>
                <w:lang w:val="pt-BR"/>
              </w:rPr>
            </w:pPr>
          </w:p>
        </w:tc>
      </w:tr>
      <w:tr w:rsidR="001F5638" w:rsidRPr="00CD7864" w14:paraId="0D09C5D1" w14:textId="77777777" w:rsidTr="0013322E">
        <w:trPr>
          <w:jc w:val="center"/>
        </w:trPr>
        <w:tc>
          <w:tcPr>
            <w:tcW w:w="2762" w:type="dxa"/>
            <w:vAlign w:val="center"/>
          </w:tcPr>
          <w:p w14:paraId="4E95A60F" w14:textId="77777777" w:rsidR="008E2D01" w:rsidRPr="00C2792F" w:rsidRDefault="008E2D01" w:rsidP="0079227E">
            <w:pPr>
              <w:jc w:val="center"/>
              <w:rPr>
                <w:b/>
                <w:sz w:val="18"/>
                <w:szCs w:val="18"/>
                <w:lang w:val="pt-BR"/>
              </w:rPr>
            </w:pPr>
            <w:bookmarkStart w:id="39" w:name="Direct_Contracting"/>
          </w:p>
          <w:p w14:paraId="38261EBC" w14:textId="77777777" w:rsidR="008E2D01" w:rsidRPr="00C2792F" w:rsidRDefault="008E2D01" w:rsidP="0079227E">
            <w:pPr>
              <w:jc w:val="center"/>
              <w:rPr>
                <w:b/>
                <w:sz w:val="18"/>
                <w:szCs w:val="18"/>
                <w:lang w:val="pt-BR"/>
              </w:rPr>
            </w:pPr>
          </w:p>
          <w:p w14:paraId="2A2D80B1" w14:textId="77777777" w:rsidR="008E2D01" w:rsidRPr="00C2792F" w:rsidRDefault="008E2D01" w:rsidP="0079227E">
            <w:pPr>
              <w:jc w:val="center"/>
              <w:rPr>
                <w:b/>
                <w:sz w:val="18"/>
                <w:szCs w:val="18"/>
                <w:lang w:val="pt-BR"/>
              </w:rPr>
            </w:pPr>
          </w:p>
          <w:p w14:paraId="05020074" w14:textId="77777777" w:rsidR="008E2D01" w:rsidRPr="00C2792F" w:rsidRDefault="008E2D01" w:rsidP="0079227E">
            <w:pPr>
              <w:jc w:val="center"/>
              <w:rPr>
                <w:b/>
                <w:sz w:val="18"/>
                <w:szCs w:val="18"/>
                <w:lang w:val="pt-BR"/>
              </w:rPr>
            </w:pPr>
          </w:p>
          <w:p w14:paraId="5264114E" w14:textId="164CB7F3" w:rsidR="001F5638" w:rsidRPr="00C2792F" w:rsidRDefault="00C211F4" w:rsidP="0079227E">
            <w:pPr>
              <w:jc w:val="center"/>
              <w:rPr>
                <w:b/>
                <w:sz w:val="18"/>
                <w:szCs w:val="18"/>
                <w:lang w:val="pt-BR"/>
              </w:rPr>
            </w:pPr>
            <w:bookmarkStart w:id="40" w:name="_Toc143318190"/>
            <w:r w:rsidRPr="00C2792F">
              <w:rPr>
                <w:rFonts w:asciiTheme="minorHAnsi" w:hAnsiTheme="minorHAnsi"/>
                <w:sz w:val="18"/>
                <w:szCs w:val="18"/>
                <w:lang w:val="pt-BR"/>
              </w:rPr>
              <w:t>Contratação Direta</w:t>
            </w:r>
            <w:bookmarkEnd w:id="39"/>
            <w:bookmarkEnd w:id="40"/>
          </w:p>
        </w:tc>
        <w:tc>
          <w:tcPr>
            <w:tcW w:w="1464" w:type="dxa"/>
            <w:vAlign w:val="center"/>
          </w:tcPr>
          <w:p w14:paraId="63F8CCFA" w14:textId="4A1C79C5" w:rsidR="001F5638" w:rsidRPr="00C2792F" w:rsidRDefault="00DB13E7" w:rsidP="0079227E">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3.6</w:t>
            </w:r>
          </w:p>
        </w:tc>
        <w:tc>
          <w:tcPr>
            <w:tcW w:w="4908" w:type="dxa"/>
            <w:vAlign w:val="center"/>
          </w:tcPr>
          <w:p w14:paraId="10072625" w14:textId="77777777" w:rsidR="00C211F4" w:rsidRPr="00C2792F" w:rsidRDefault="00C211F4" w:rsidP="00C211F4">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Contratação direta (fonte única) é o método pelo qual a adjudicação é feita sem procedimento competitivo prévio </w:t>
            </w:r>
            <w:r w:rsidRPr="00C2792F">
              <w:rPr>
                <w:rFonts w:asciiTheme="minorHAnsi" w:hAnsiTheme="minorHAnsi" w:cstheme="minorHAnsi"/>
                <w:color w:val="FF0000"/>
                <w:sz w:val="18"/>
                <w:szCs w:val="18"/>
                <w:lang w:val="pt-BR"/>
              </w:rPr>
              <w:t>e pode ser apropriado quando existe apenas uma firma adequada ou quando existe uma justificativa para utilizar a um provedor determinado</w:t>
            </w:r>
            <w:r w:rsidRPr="00C2792F">
              <w:rPr>
                <w:rFonts w:asciiTheme="minorHAnsi" w:hAnsiTheme="minorHAnsi" w:cstheme="minorHAnsi"/>
                <w:sz w:val="18"/>
                <w:szCs w:val="18"/>
                <w:lang w:val="pt-BR"/>
              </w:rPr>
              <w:t>, podendo mostrar-se apropriada nas seguintes circunstâncias:</w:t>
            </w:r>
            <w:r w:rsidRPr="00C2792F">
              <w:rPr>
                <w:rFonts w:asciiTheme="minorHAnsi" w:hAnsiTheme="minorHAnsi" w:cstheme="minorHAnsi"/>
                <w:sz w:val="18"/>
                <w:szCs w:val="18"/>
                <w:lang w:val="pt-BR"/>
              </w:rPr>
              <w:fldChar w:fldCharType="begin"/>
            </w:r>
            <w:r w:rsidRPr="00C2792F">
              <w:rPr>
                <w:rFonts w:asciiTheme="minorHAnsi" w:hAnsiTheme="minorHAnsi" w:cstheme="minorHAnsi"/>
                <w:sz w:val="18"/>
                <w:szCs w:val="18"/>
                <w:lang w:val="pt-BR"/>
              </w:rPr>
              <w:instrText>ADVANCE \D 6.0</w:instrText>
            </w:r>
            <w:r w:rsidRPr="00C2792F">
              <w:rPr>
                <w:rFonts w:asciiTheme="minorHAnsi" w:hAnsiTheme="minorHAnsi" w:cstheme="minorHAnsi"/>
                <w:sz w:val="18"/>
                <w:szCs w:val="18"/>
                <w:lang w:val="pt-BR"/>
              </w:rPr>
              <w:fldChar w:fldCharType="end"/>
            </w:r>
          </w:p>
          <w:p w14:paraId="7D4F148E" w14:textId="77777777" w:rsidR="00C211F4" w:rsidRPr="00C2792F" w:rsidRDefault="00C211F4" w:rsidP="00C211F4">
            <w:pPr>
              <w:numPr>
                <w:ilvl w:val="0"/>
                <w:numId w:val="6"/>
              </w:numPr>
              <w:tabs>
                <w:tab w:val="clear" w:pos="1375"/>
              </w:tabs>
              <w:suppressAutoHyphens/>
              <w:spacing w:after="120"/>
              <w:ind w:left="517"/>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um contrato de bens, obras </w:t>
            </w:r>
            <w:r w:rsidRPr="00C2792F">
              <w:rPr>
                <w:rFonts w:asciiTheme="minorHAnsi" w:hAnsiTheme="minorHAnsi" w:cstheme="minorHAnsi"/>
                <w:color w:val="FF0000"/>
                <w:sz w:val="18"/>
                <w:szCs w:val="18"/>
                <w:lang w:val="pt-BR"/>
              </w:rPr>
              <w:t xml:space="preserve">ou serviços diferentes de consultoria </w:t>
            </w:r>
            <w:r w:rsidRPr="00C2792F">
              <w:rPr>
                <w:rFonts w:asciiTheme="minorHAnsi" w:hAnsiTheme="minorHAnsi" w:cstheme="minorHAnsi"/>
                <w:sz w:val="18"/>
                <w:szCs w:val="18"/>
                <w:lang w:val="pt-BR"/>
              </w:rPr>
              <w:t>em vigor</w:t>
            </w:r>
            <w:r w:rsidRPr="00C2792F">
              <w:rPr>
                <w:rFonts w:asciiTheme="minorHAnsi" w:hAnsiTheme="minorHAnsi" w:cstheme="minorHAnsi"/>
                <w:color w:val="FF0000"/>
                <w:sz w:val="18"/>
                <w:szCs w:val="18"/>
                <w:lang w:val="pt-BR"/>
              </w:rPr>
              <w:t>, incluindo um contrato que originalmente não seja financiado pelo Banco,</w:t>
            </w:r>
            <w:r w:rsidRPr="00C2792F">
              <w:rPr>
                <w:rFonts w:asciiTheme="minorHAnsi" w:hAnsiTheme="minorHAnsi" w:cstheme="minorHAnsi"/>
                <w:sz w:val="18"/>
                <w:szCs w:val="18"/>
                <w:lang w:val="pt-BR"/>
              </w:rPr>
              <w:t xml:space="preserve"> adjudicado de acordo com procedimentos aceites pelo Banco, pode ser aditado para inclusão de bens, obras ou </w:t>
            </w:r>
            <w:r w:rsidRPr="00C2792F">
              <w:rPr>
                <w:rFonts w:asciiTheme="minorHAnsi" w:hAnsiTheme="minorHAnsi" w:cstheme="minorHAnsi"/>
                <w:color w:val="FF0000"/>
                <w:sz w:val="18"/>
                <w:szCs w:val="18"/>
                <w:lang w:val="pt-BR"/>
              </w:rPr>
              <w:t xml:space="preserve">serviços diferentes de consultoria </w:t>
            </w:r>
            <w:r w:rsidRPr="00C2792F">
              <w:rPr>
                <w:rFonts w:asciiTheme="minorHAnsi" w:hAnsiTheme="minorHAnsi" w:cstheme="minorHAnsi"/>
                <w:sz w:val="18"/>
                <w:szCs w:val="18"/>
                <w:lang w:val="pt-BR"/>
              </w:rPr>
              <w:t>adicionais de natureza similar. Nesses casos, o Banco deve estar convencido de que nenhuma vantagem poderia ser obtida com a adoção de processo competitivo</w:t>
            </w:r>
            <w:r w:rsidRPr="00C2792F">
              <w:rPr>
                <w:rFonts w:asciiTheme="minorHAnsi" w:hAnsiTheme="minorHAnsi" w:cstheme="minorHAnsi"/>
                <w:color w:val="FF0000"/>
                <w:sz w:val="18"/>
                <w:szCs w:val="18"/>
                <w:lang w:val="pt-BR"/>
              </w:rPr>
              <w:t>, que esteja devidamente justificado</w:t>
            </w:r>
            <w:r w:rsidRPr="00C2792F">
              <w:rPr>
                <w:rFonts w:asciiTheme="minorHAnsi" w:hAnsiTheme="minorHAnsi" w:cstheme="minorHAnsi"/>
                <w:sz w:val="18"/>
                <w:szCs w:val="18"/>
                <w:lang w:val="pt-BR"/>
              </w:rPr>
              <w:t xml:space="preserve"> e de que os preços do contrato aditado são razoáveis. Na hipótese de ser possível prever o aditamento, disposições regulamentares deverão ser incluídas no contrato original.</w:t>
            </w:r>
          </w:p>
          <w:p w14:paraId="5DD497DA" w14:textId="77777777" w:rsidR="00C211F4" w:rsidRPr="00C2792F" w:rsidRDefault="00C211F4" w:rsidP="00C211F4">
            <w:pPr>
              <w:numPr>
                <w:ilvl w:val="0"/>
                <w:numId w:val="6"/>
              </w:numPr>
              <w:tabs>
                <w:tab w:val="clear" w:pos="1375"/>
              </w:tabs>
              <w:suppressAutoHyphens/>
              <w:spacing w:after="120"/>
              <w:ind w:left="517"/>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 xml:space="preserve">exista um requisito justificável para contratar uma empresa que tenha concluído previamente um contrato, nos últimos 12 meses, com o Mutuário para executar um tipo de contrato semelhante. A justificativa deverá </w:t>
            </w:r>
            <w:r w:rsidRPr="00C2792F">
              <w:rPr>
                <w:rFonts w:asciiTheme="minorHAnsi" w:hAnsiTheme="minorHAnsi" w:cstheme="minorHAnsi"/>
                <w:color w:val="FF0000"/>
                <w:sz w:val="18"/>
                <w:szCs w:val="18"/>
                <w:lang w:val="pt-BR"/>
              </w:rPr>
              <w:lastRenderedPageBreak/>
              <w:t xml:space="preserve">mostrar que a firma </w:t>
            </w:r>
            <w:proofErr w:type="gramStart"/>
            <w:r w:rsidRPr="00C2792F">
              <w:rPr>
                <w:rFonts w:asciiTheme="minorHAnsi" w:hAnsiTheme="minorHAnsi" w:cstheme="minorHAnsi"/>
                <w:color w:val="FF0000"/>
                <w:sz w:val="18"/>
                <w:szCs w:val="18"/>
                <w:lang w:val="pt-BR"/>
              </w:rPr>
              <w:t>desempenhou-se</w:t>
            </w:r>
            <w:proofErr w:type="gramEnd"/>
            <w:r w:rsidRPr="00C2792F">
              <w:rPr>
                <w:rFonts w:asciiTheme="minorHAnsi" w:hAnsiTheme="minorHAnsi" w:cstheme="minorHAnsi"/>
                <w:color w:val="FF0000"/>
                <w:sz w:val="18"/>
                <w:szCs w:val="18"/>
                <w:lang w:val="pt-BR"/>
              </w:rPr>
              <w:t xml:space="preserve"> satisfatoriamente no contrato anterior, que nenhuma vantagem poderia ser obtida pela concorrência e que os preços sejam razoáveis;</w:t>
            </w:r>
          </w:p>
          <w:p w14:paraId="3FD2613C" w14:textId="77777777" w:rsidR="00C211F4" w:rsidRPr="00C2792F" w:rsidRDefault="00C211F4" w:rsidP="00C211F4">
            <w:pPr>
              <w:numPr>
                <w:ilvl w:val="0"/>
                <w:numId w:val="6"/>
              </w:numPr>
              <w:tabs>
                <w:tab w:val="clear" w:pos="1375"/>
                <w:tab w:val="num" w:pos="967"/>
              </w:tabs>
              <w:suppressAutoHyphens/>
              <w:spacing w:after="120"/>
              <w:ind w:left="517"/>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a padronização de </w:t>
            </w:r>
            <w:r w:rsidRPr="00C2792F">
              <w:rPr>
                <w:rFonts w:asciiTheme="minorHAnsi" w:hAnsiTheme="minorHAnsi" w:cstheme="minorHAnsi"/>
                <w:color w:val="FF0000"/>
                <w:sz w:val="18"/>
                <w:szCs w:val="18"/>
                <w:lang w:val="pt-BR"/>
              </w:rPr>
              <w:t>bens</w:t>
            </w:r>
            <w:r w:rsidRPr="00C2792F">
              <w:rPr>
                <w:rFonts w:asciiTheme="minorHAnsi" w:hAnsiTheme="minorHAnsi" w:cstheme="minorHAnsi"/>
                <w:sz w:val="18"/>
                <w:szCs w:val="18"/>
                <w:lang w:val="pt-BR"/>
              </w:rPr>
              <w:t xml:space="preserve"> ou de peças de reposição, objetivando compatibilizá-los com </w:t>
            </w:r>
            <w:r w:rsidRPr="00C2792F">
              <w:rPr>
                <w:rFonts w:asciiTheme="minorHAnsi" w:hAnsiTheme="minorHAnsi" w:cstheme="minorHAnsi"/>
                <w:color w:val="FF0000"/>
                <w:sz w:val="18"/>
                <w:szCs w:val="18"/>
                <w:lang w:val="pt-BR"/>
              </w:rPr>
              <w:t>bens</w:t>
            </w:r>
            <w:r w:rsidRPr="00C2792F">
              <w:rPr>
                <w:rFonts w:asciiTheme="minorHAnsi" w:hAnsiTheme="minorHAnsi" w:cstheme="minorHAnsi"/>
                <w:sz w:val="18"/>
                <w:szCs w:val="18"/>
                <w:lang w:val="pt-BR"/>
              </w:rPr>
              <w:t xml:space="preserve"> existentes, pode justificar aquisições adicionais do Fornecedor original. Para que essas compras sejam justificadas, o equipamento original deve ser adequado, a quantidade de novos itens deve ser menor do que a existente, o preço deve ser razoável e as vantagens oferecidas por outra marca ou fonte de equipamento devem ter sido analisadas e rejeitadas por motivos aceites pelo Banco;</w:t>
            </w:r>
          </w:p>
          <w:p w14:paraId="04E908E0" w14:textId="77777777" w:rsidR="00C211F4" w:rsidRPr="00C2792F" w:rsidRDefault="00C211F4" w:rsidP="00C211F4">
            <w:pPr>
              <w:numPr>
                <w:ilvl w:val="0"/>
                <w:numId w:val="6"/>
              </w:numPr>
              <w:tabs>
                <w:tab w:val="clear" w:pos="1375"/>
              </w:tabs>
              <w:suppressAutoHyphens/>
              <w:spacing w:after="120"/>
              <w:ind w:left="517"/>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o </w:t>
            </w:r>
            <w:r w:rsidRPr="00C2792F">
              <w:rPr>
                <w:rFonts w:asciiTheme="minorHAnsi" w:hAnsiTheme="minorHAnsi" w:cstheme="minorHAnsi"/>
                <w:color w:val="FF0000"/>
                <w:sz w:val="18"/>
                <w:szCs w:val="18"/>
                <w:lang w:val="pt-BR"/>
              </w:rPr>
              <w:t xml:space="preserve">bem </w:t>
            </w:r>
            <w:r w:rsidRPr="00C2792F">
              <w:rPr>
                <w:rFonts w:asciiTheme="minorHAnsi" w:hAnsiTheme="minorHAnsi" w:cstheme="minorHAnsi"/>
                <w:sz w:val="18"/>
                <w:szCs w:val="18"/>
                <w:lang w:val="pt-BR"/>
              </w:rPr>
              <w:t>necessário é patenteado, só podendo ser obtido de uma única fonte;</w:t>
            </w:r>
          </w:p>
          <w:p w14:paraId="7B063730" w14:textId="77777777" w:rsidR="00C211F4" w:rsidRPr="00C2792F" w:rsidRDefault="00C211F4" w:rsidP="00C211F4">
            <w:pPr>
              <w:numPr>
                <w:ilvl w:val="0"/>
                <w:numId w:val="6"/>
              </w:numPr>
              <w:tabs>
                <w:tab w:val="clear" w:pos="1375"/>
              </w:tabs>
              <w:suppressAutoHyphens/>
              <w:spacing w:after="120"/>
              <w:ind w:left="517"/>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o empreiteiro responsável pelo planejamento de um determinado processo exige a compra de itens essenciais de um determinado Fornecedor como condição de garantia de desempenho </w:t>
            </w:r>
            <w:r w:rsidRPr="00C2792F">
              <w:rPr>
                <w:rFonts w:asciiTheme="minorHAnsi" w:hAnsiTheme="minorHAnsi" w:cstheme="minorHAnsi"/>
                <w:color w:val="FF0000"/>
                <w:sz w:val="18"/>
                <w:szCs w:val="18"/>
                <w:lang w:val="pt-BR"/>
              </w:rPr>
              <w:t>de um equipamento, planta ou instalação</w:t>
            </w:r>
            <w:r w:rsidRPr="00C2792F">
              <w:rPr>
                <w:rFonts w:asciiTheme="minorHAnsi" w:hAnsiTheme="minorHAnsi" w:cstheme="minorHAnsi"/>
                <w:sz w:val="18"/>
                <w:szCs w:val="18"/>
                <w:lang w:val="pt-BR"/>
              </w:rPr>
              <w:t xml:space="preserve">; </w:t>
            </w:r>
          </w:p>
          <w:p w14:paraId="38802705" w14:textId="77777777" w:rsidR="00C211F4" w:rsidRPr="00C2792F" w:rsidRDefault="00C211F4" w:rsidP="00C211F4">
            <w:pPr>
              <w:numPr>
                <w:ilvl w:val="0"/>
                <w:numId w:val="6"/>
              </w:numPr>
              <w:tabs>
                <w:tab w:val="clear" w:pos="1375"/>
              </w:tabs>
              <w:suppressAutoHyphens/>
              <w:spacing w:after="120"/>
              <w:ind w:left="517"/>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 xml:space="preserve">os bens, obras ou serviços de não consultoria prestados no </w:t>
            </w:r>
            <w:proofErr w:type="gramStart"/>
            <w:r w:rsidRPr="00C2792F">
              <w:rPr>
                <w:rFonts w:asciiTheme="minorHAnsi" w:hAnsiTheme="minorHAnsi" w:cstheme="minorHAnsi"/>
                <w:color w:val="FF0000"/>
                <w:sz w:val="18"/>
                <w:szCs w:val="18"/>
                <w:lang w:val="pt-BR"/>
              </w:rPr>
              <w:t>pais</w:t>
            </w:r>
            <w:proofErr w:type="gramEnd"/>
            <w:r w:rsidRPr="00C2792F">
              <w:rPr>
                <w:rFonts w:asciiTheme="minorHAnsi" w:hAnsiTheme="minorHAnsi" w:cstheme="minorHAnsi"/>
                <w:color w:val="FF0000"/>
                <w:sz w:val="18"/>
                <w:szCs w:val="18"/>
                <w:lang w:val="pt-BR"/>
              </w:rPr>
              <w:t xml:space="preserve"> do mutuário por uma empresa estatal, universidade, centro de pesquisa ou instituição do país do mutuário são de natureza única e excepcional, de acordo com o parágrafo 1.10 (d)</w:t>
            </w:r>
          </w:p>
          <w:p w14:paraId="2765CAF4" w14:textId="77777777" w:rsidR="00C211F4" w:rsidRPr="00C2792F" w:rsidRDefault="00C211F4" w:rsidP="00C211F4">
            <w:pPr>
              <w:numPr>
                <w:ilvl w:val="0"/>
                <w:numId w:val="6"/>
              </w:numPr>
              <w:tabs>
                <w:tab w:val="clear" w:pos="1375"/>
              </w:tabs>
              <w:suppressAutoHyphens/>
              <w:spacing w:after="120"/>
              <w:ind w:left="517"/>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em circunstâncias excepcionais, tais como as decorrentes de desastres naturais </w:t>
            </w:r>
            <w:r w:rsidRPr="00C2792F">
              <w:rPr>
                <w:rFonts w:asciiTheme="minorHAnsi" w:hAnsiTheme="minorHAnsi" w:cstheme="minorHAnsi"/>
                <w:color w:val="FF0000"/>
                <w:sz w:val="18"/>
                <w:szCs w:val="18"/>
                <w:lang w:val="pt-BR"/>
              </w:rPr>
              <w:t>ou situações de emergência; e</w:t>
            </w:r>
          </w:p>
          <w:p w14:paraId="5ADC8562" w14:textId="3C4FC15B" w:rsidR="00862FD9" w:rsidRPr="00C2792F" w:rsidRDefault="00C211F4" w:rsidP="00C211F4">
            <w:pPr>
              <w:numPr>
                <w:ilvl w:val="0"/>
                <w:numId w:val="6"/>
              </w:numPr>
              <w:tabs>
                <w:tab w:val="clear" w:pos="1375"/>
              </w:tabs>
              <w:suppressAutoHyphens/>
              <w:spacing w:after="120"/>
              <w:ind w:left="517"/>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a aquisição é de baixo valor e baixo risco, conforme acordado no Plano de Aquisições.</w:t>
            </w:r>
          </w:p>
        </w:tc>
        <w:tc>
          <w:tcPr>
            <w:tcW w:w="4361" w:type="dxa"/>
            <w:vAlign w:val="center"/>
          </w:tcPr>
          <w:p w14:paraId="6EFA227B" w14:textId="77777777" w:rsidR="001F5638" w:rsidRPr="00C2792F" w:rsidRDefault="001F5638" w:rsidP="00D662E0">
            <w:pPr>
              <w:rPr>
                <w:lang w:val="pt-BR"/>
              </w:rPr>
            </w:pPr>
          </w:p>
        </w:tc>
      </w:tr>
      <w:tr w:rsidR="00687D28" w:rsidRPr="00CD7864" w14:paraId="5DD12271" w14:textId="77777777" w:rsidTr="0013322E">
        <w:trPr>
          <w:jc w:val="center"/>
        </w:trPr>
        <w:tc>
          <w:tcPr>
            <w:tcW w:w="2762" w:type="dxa"/>
            <w:vAlign w:val="center"/>
          </w:tcPr>
          <w:p w14:paraId="608721F8" w14:textId="77777777" w:rsidR="00687D28" w:rsidRPr="00C2792F" w:rsidRDefault="00687D28" w:rsidP="0079227E">
            <w:pPr>
              <w:jc w:val="center"/>
              <w:rPr>
                <w:b/>
                <w:sz w:val="18"/>
                <w:szCs w:val="18"/>
                <w:lang w:val="pt-BR"/>
              </w:rPr>
            </w:pPr>
          </w:p>
        </w:tc>
        <w:tc>
          <w:tcPr>
            <w:tcW w:w="1464" w:type="dxa"/>
            <w:vAlign w:val="center"/>
          </w:tcPr>
          <w:p w14:paraId="3B2F1085" w14:textId="13BAD457" w:rsidR="00687D28" w:rsidRPr="00C2792F" w:rsidRDefault="00687D28" w:rsidP="0079227E">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3.7</w:t>
            </w:r>
          </w:p>
        </w:tc>
        <w:tc>
          <w:tcPr>
            <w:tcW w:w="4908" w:type="dxa"/>
            <w:vAlign w:val="center"/>
          </w:tcPr>
          <w:p w14:paraId="17998799" w14:textId="28C74D11" w:rsidR="00687D28" w:rsidRPr="00C2792F" w:rsidRDefault="00C211F4" w:rsidP="003A2AD5">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Após a assinatura do contrato, o Mutuário deverá publicar no </w:t>
            </w:r>
            <w:r w:rsidRPr="00C2792F">
              <w:rPr>
                <w:rFonts w:asciiTheme="minorHAnsi" w:hAnsiTheme="minorHAnsi" w:cstheme="minorHAnsi"/>
                <w:i/>
                <w:iCs/>
                <w:sz w:val="18"/>
                <w:szCs w:val="18"/>
                <w:lang w:val="pt-BR"/>
              </w:rPr>
              <w:t xml:space="preserve">UNDB online </w:t>
            </w:r>
            <w:r w:rsidRPr="00C2792F">
              <w:rPr>
                <w:rFonts w:asciiTheme="minorHAnsi" w:hAnsiTheme="minorHAnsi" w:cstheme="minorHAnsi"/>
                <w:sz w:val="18"/>
                <w:szCs w:val="18"/>
                <w:lang w:val="pt-BR"/>
              </w:rPr>
              <w:t xml:space="preserve">e no </w:t>
            </w:r>
            <w:r w:rsidRPr="00C2792F">
              <w:rPr>
                <w:rFonts w:asciiTheme="minorHAnsi" w:hAnsiTheme="minorHAnsi" w:cstheme="minorHAnsi"/>
                <w:i/>
                <w:iCs/>
                <w:sz w:val="18"/>
                <w:szCs w:val="18"/>
                <w:lang w:val="pt-BR"/>
              </w:rPr>
              <w:t>site</w:t>
            </w:r>
            <w:r w:rsidRPr="00C2792F">
              <w:rPr>
                <w:rFonts w:asciiTheme="minorHAnsi" w:hAnsiTheme="minorHAnsi" w:cstheme="minorHAnsi"/>
                <w:sz w:val="18"/>
                <w:szCs w:val="18"/>
                <w:lang w:val="pt-BR"/>
              </w:rPr>
              <w:t xml:space="preserve"> do Banco o nome do empreiteiro, o preço, a duração e o escopo resumido </w:t>
            </w:r>
            <w:r w:rsidRPr="00C2792F">
              <w:rPr>
                <w:rFonts w:asciiTheme="minorHAnsi" w:hAnsiTheme="minorHAnsi" w:cstheme="minorHAnsi"/>
                <w:color w:val="FF0000"/>
                <w:sz w:val="18"/>
                <w:szCs w:val="18"/>
                <w:lang w:val="pt-BR"/>
              </w:rPr>
              <w:t>da contratação direta</w:t>
            </w:r>
            <w:r w:rsidRPr="00C2792F">
              <w:rPr>
                <w:rFonts w:asciiTheme="minorHAnsi" w:hAnsiTheme="minorHAnsi" w:cstheme="minorHAnsi"/>
                <w:sz w:val="18"/>
                <w:szCs w:val="18"/>
                <w:lang w:val="pt-BR"/>
              </w:rPr>
              <w:t>. Essa publicação poderá ser feita trimestralmente e no formato de uma tabela resumida, cobrindo o período anterior.</w:t>
            </w:r>
          </w:p>
        </w:tc>
        <w:tc>
          <w:tcPr>
            <w:tcW w:w="4361" w:type="dxa"/>
            <w:vAlign w:val="center"/>
          </w:tcPr>
          <w:p w14:paraId="77F3C4C8" w14:textId="77777777" w:rsidR="00687D28" w:rsidRPr="00C2792F" w:rsidRDefault="00687D28" w:rsidP="00D662E0">
            <w:pPr>
              <w:rPr>
                <w:lang w:val="pt-BR"/>
              </w:rPr>
            </w:pPr>
          </w:p>
        </w:tc>
      </w:tr>
      <w:tr w:rsidR="001F5638" w:rsidRPr="00CD7864" w14:paraId="6FAF3FC9" w14:textId="77777777" w:rsidTr="0013322E">
        <w:trPr>
          <w:jc w:val="center"/>
        </w:trPr>
        <w:tc>
          <w:tcPr>
            <w:tcW w:w="2762" w:type="dxa"/>
            <w:vAlign w:val="center"/>
          </w:tcPr>
          <w:p w14:paraId="4AF6A397" w14:textId="7CCD51CD" w:rsidR="001F5638" w:rsidRPr="00C2792F" w:rsidRDefault="00C211F4" w:rsidP="00C211F4">
            <w:pPr>
              <w:pStyle w:val="Heading2"/>
              <w:tabs>
                <w:tab w:val="clear" w:pos="547"/>
                <w:tab w:val="clear" w:pos="1080"/>
              </w:tabs>
              <w:jc w:val="center"/>
              <w:outlineLvl w:val="1"/>
              <w:rPr>
                <w:rFonts w:asciiTheme="minorHAnsi" w:hAnsiTheme="minorHAnsi"/>
                <w:sz w:val="18"/>
                <w:szCs w:val="18"/>
                <w:lang w:val="pt-BR"/>
              </w:rPr>
            </w:pPr>
            <w:bookmarkStart w:id="41" w:name="_Toc143318191"/>
            <w:bookmarkStart w:id="42" w:name="_Toc364483419"/>
            <w:bookmarkStart w:id="43" w:name="_Toc358896407"/>
            <w:bookmarkStart w:id="44" w:name="_Toc458086109"/>
            <w:r w:rsidRPr="00C2792F">
              <w:rPr>
                <w:rFonts w:asciiTheme="minorHAnsi" w:hAnsiTheme="minorHAnsi"/>
                <w:sz w:val="18"/>
                <w:szCs w:val="18"/>
                <w:lang w:val="pt-BR"/>
              </w:rPr>
              <w:lastRenderedPageBreak/>
              <w:t>Administração Direta</w:t>
            </w:r>
            <w:bookmarkEnd w:id="41"/>
            <w:r w:rsidRPr="00C2792F">
              <w:rPr>
                <w:rFonts w:asciiTheme="minorHAnsi" w:hAnsiTheme="minorHAnsi"/>
                <w:sz w:val="18"/>
                <w:szCs w:val="18"/>
                <w:lang w:val="pt-BR"/>
              </w:rPr>
              <w:t xml:space="preserve"> </w:t>
            </w:r>
            <w:r w:rsidRPr="00C2792F">
              <w:rPr>
                <w:rFonts w:asciiTheme="minorHAnsi" w:hAnsiTheme="minorHAnsi"/>
                <w:sz w:val="18"/>
                <w:szCs w:val="18"/>
                <w:lang w:val="pt-BR"/>
              </w:rPr>
              <w:fldChar w:fldCharType="begin"/>
            </w:r>
            <w:r w:rsidRPr="00C2792F">
              <w:rPr>
                <w:rFonts w:asciiTheme="minorHAnsi" w:hAnsiTheme="minorHAnsi"/>
                <w:sz w:val="18"/>
                <w:szCs w:val="18"/>
                <w:lang w:val="pt-BR"/>
              </w:rPr>
              <w:instrText>ADVANCE \D 4.0</w:instrText>
            </w:r>
            <w:r w:rsidRPr="00C2792F">
              <w:rPr>
                <w:rFonts w:asciiTheme="minorHAnsi" w:hAnsiTheme="minorHAnsi"/>
                <w:sz w:val="18"/>
                <w:szCs w:val="18"/>
                <w:lang w:val="pt-BR"/>
              </w:rPr>
              <w:fldChar w:fldCharType="end"/>
            </w:r>
            <w:bookmarkEnd w:id="42"/>
            <w:bookmarkEnd w:id="43"/>
            <w:bookmarkEnd w:id="44"/>
          </w:p>
        </w:tc>
        <w:tc>
          <w:tcPr>
            <w:tcW w:w="1464" w:type="dxa"/>
            <w:vAlign w:val="center"/>
          </w:tcPr>
          <w:p w14:paraId="72EEA853" w14:textId="3C358D31" w:rsidR="001F5638" w:rsidRPr="00C2792F" w:rsidRDefault="00DB13E7" w:rsidP="0079227E">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3.8</w:t>
            </w:r>
          </w:p>
        </w:tc>
        <w:tc>
          <w:tcPr>
            <w:tcW w:w="4908" w:type="dxa"/>
            <w:vAlign w:val="center"/>
          </w:tcPr>
          <w:p w14:paraId="1EFAC6E9" w14:textId="77777777" w:rsidR="00C211F4" w:rsidRPr="00C2792F" w:rsidRDefault="00C211F4" w:rsidP="00C211F4">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A administração direta, ou seja, a construção e instalação de equipamentos e serviços de não consultoria, realizada por um departamento do governo do país do Mutuário usando seu próprio pessoal e equipamento</w:t>
            </w:r>
            <w:r w:rsidRPr="00C2792F">
              <w:rPr>
                <w:rFonts w:asciiTheme="minorHAnsi" w:hAnsiTheme="minorHAnsi" w:cstheme="minorHAnsi"/>
                <w:sz w:val="18"/>
                <w:szCs w:val="18"/>
                <w:vertAlign w:val="superscript"/>
                <w:lang w:val="pt-BR"/>
              </w:rPr>
              <w:footnoteReference w:id="10"/>
            </w:r>
            <w:r w:rsidRPr="00C2792F">
              <w:rPr>
                <w:rFonts w:asciiTheme="minorHAnsi" w:hAnsiTheme="minorHAnsi" w:cstheme="minorHAnsi"/>
                <w:sz w:val="18"/>
                <w:szCs w:val="18"/>
                <w:lang w:val="pt-BR"/>
              </w:rPr>
              <w:t>, pode ser o único método prático para construir sob circunstâncias específicas. A utilização da administração direta exige que o Mutuário aplique os mesmos controles de qualidade e inspeções rigorosos que os contratos adjudicados a terceiros. A administração direta deve ser justificada e só pode ser usada, após a não objeção do Banco, sob qualquer uma das seguintes circunstâncias:</w:t>
            </w:r>
          </w:p>
          <w:p w14:paraId="15AD8C46" w14:textId="77777777" w:rsidR="00C211F4" w:rsidRPr="00C2792F" w:rsidRDefault="00C211F4" w:rsidP="00C211F4">
            <w:pPr>
              <w:numPr>
                <w:ilvl w:val="0"/>
                <w:numId w:val="7"/>
              </w:numPr>
              <w:tabs>
                <w:tab w:val="clear" w:pos="1375"/>
              </w:tabs>
              <w:suppressAutoHyphens/>
              <w:spacing w:after="120"/>
              <w:ind w:left="126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o volume de obras </w:t>
            </w:r>
            <w:r w:rsidRPr="00C2792F">
              <w:rPr>
                <w:rFonts w:asciiTheme="minorHAnsi" w:hAnsiTheme="minorHAnsi" w:cstheme="minorHAnsi"/>
                <w:color w:val="FF0000"/>
                <w:sz w:val="18"/>
                <w:szCs w:val="18"/>
                <w:lang w:val="pt-BR"/>
              </w:rPr>
              <w:t xml:space="preserve">e/ou serviços </w:t>
            </w:r>
            <w:r w:rsidRPr="00C2792F">
              <w:rPr>
                <w:rFonts w:asciiTheme="minorHAnsi" w:hAnsiTheme="minorHAnsi" w:cstheme="minorHAnsi"/>
                <w:sz w:val="18"/>
                <w:szCs w:val="18"/>
                <w:lang w:val="pt-BR"/>
              </w:rPr>
              <w:t>não pode ser previamente definido;</w:t>
            </w:r>
          </w:p>
          <w:p w14:paraId="3DEB12AD" w14:textId="77777777" w:rsidR="00C211F4" w:rsidRPr="00C2792F" w:rsidRDefault="00C211F4" w:rsidP="00C211F4">
            <w:pPr>
              <w:numPr>
                <w:ilvl w:val="0"/>
                <w:numId w:val="7"/>
              </w:numPr>
              <w:tabs>
                <w:tab w:val="clear" w:pos="1375"/>
              </w:tabs>
              <w:suppressAutoHyphens/>
              <w:spacing w:after="120"/>
              <w:ind w:left="126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a reduzida dimensão, distribuição geográfica ou localização remota das obras </w:t>
            </w:r>
            <w:r w:rsidRPr="00C2792F">
              <w:rPr>
                <w:rFonts w:asciiTheme="minorHAnsi" w:hAnsiTheme="minorHAnsi" w:cstheme="minorHAnsi"/>
                <w:color w:val="FF0000"/>
                <w:sz w:val="18"/>
                <w:szCs w:val="18"/>
                <w:lang w:val="pt-BR"/>
              </w:rPr>
              <w:t>e/ou serviços</w:t>
            </w:r>
            <w:r w:rsidRPr="00C2792F">
              <w:rPr>
                <w:rFonts w:asciiTheme="minorHAnsi" w:hAnsiTheme="minorHAnsi" w:cstheme="minorHAnsi"/>
                <w:sz w:val="18"/>
                <w:szCs w:val="18"/>
                <w:lang w:val="pt-BR"/>
              </w:rPr>
              <w:t xml:space="preserve"> torna improvável a apresentação de propostas a preços razoáveis por empresas qualificadas de construção;</w:t>
            </w:r>
          </w:p>
          <w:p w14:paraId="7E3847FE" w14:textId="77777777" w:rsidR="00C211F4" w:rsidRPr="00C2792F" w:rsidRDefault="00C211F4" w:rsidP="00C211F4">
            <w:pPr>
              <w:numPr>
                <w:ilvl w:val="0"/>
                <w:numId w:val="7"/>
              </w:numPr>
              <w:tabs>
                <w:tab w:val="clear" w:pos="1375"/>
              </w:tabs>
              <w:suppressAutoHyphens/>
              <w:spacing w:after="120"/>
              <w:ind w:left="126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é necessário que a obra </w:t>
            </w:r>
            <w:r w:rsidRPr="00C2792F">
              <w:rPr>
                <w:rFonts w:asciiTheme="minorHAnsi" w:hAnsiTheme="minorHAnsi" w:cstheme="minorHAnsi"/>
                <w:color w:val="FF0000"/>
                <w:sz w:val="18"/>
                <w:szCs w:val="18"/>
                <w:lang w:val="pt-BR"/>
              </w:rPr>
              <w:t xml:space="preserve">e/ou serviço </w:t>
            </w:r>
            <w:r w:rsidRPr="00C2792F">
              <w:rPr>
                <w:rFonts w:asciiTheme="minorHAnsi" w:hAnsiTheme="minorHAnsi" w:cstheme="minorHAnsi"/>
                <w:sz w:val="18"/>
                <w:szCs w:val="18"/>
                <w:lang w:val="pt-BR"/>
              </w:rPr>
              <w:t>seja executado sem interrupção das operações em andamento;</w:t>
            </w:r>
          </w:p>
          <w:p w14:paraId="502ED09C" w14:textId="77777777" w:rsidR="00C211F4" w:rsidRPr="00C2792F" w:rsidRDefault="00C211F4" w:rsidP="00C211F4">
            <w:pPr>
              <w:numPr>
                <w:ilvl w:val="0"/>
                <w:numId w:val="7"/>
              </w:numPr>
              <w:tabs>
                <w:tab w:val="clear" w:pos="1375"/>
              </w:tabs>
              <w:suppressAutoHyphens/>
              <w:spacing w:after="120"/>
              <w:ind w:left="126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o Mutuário tem mais condições de absorver os riscos de interrupção inevitável da obra </w:t>
            </w:r>
            <w:r w:rsidRPr="00C2792F">
              <w:rPr>
                <w:rFonts w:asciiTheme="minorHAnsi" w:hAnsiTheme="minorHAnsi" w:cstheme="minorHAnsi"/>
                <w:color w:val="FF0000"/>
                <w:sz w:val="18"/>
                <w:szCs w:val="18"/>
                <w:lang w:val="pt-BR"/>
              </w:rPr>
              <w:t xml:space="preserve">e/ou serviço </w:t>
            </w:r>
            <w:r w:rsidRPr="00C2792F">
              <w:rPr>
                <w:rFonts w:asciiTheme="minorHAnsi" w:hAnsiTheme="minorHAnsi" w:cstheme="minorHAnsi"/>
                <w:sz w:val="18"/>
                <w:szCs w:val="18"/>
                <w:lang w:val="pt-BR"/>
              </w:rPr>
              <w:t xml:space="preserve">do que um Empreiteiro; </w:t>
            </w:r>
            <w:r w:rsidRPr="00C2792F">
              <w:rPr>
                <w:rFonts w:asciiTheme="minorHAnsi" w:hAnsiTheme="minorHAnsi" w:cstheme="minorHAnsi"/>
                <w:color w:val="FF0000"/>
                <w:sz w:val="18"/>
                <w:szCs w:val="18"/>
                <w:lang w:val="pt-BR"/>
              </w:rPr>
              <w:t>ou</w:t>
            </w:r>
          </w:p>
          <w:p w14:paraId="2F05DBE5" w14:textId="77777777" w:rsidR="00C211F4" w:rsidRPr="00C2792F" w:rsidRDefault="00C211F4" w:rsidP="00C211F4">
            <w:pPr>
              <w:numPr>
                <w:ilvl w:val="0"/>
                <w:numId w:val="7"/>
              </w:numPr>
              <w:tabs>
                <w:tab w:val="clear" w:pos="1375"/>
              </w:tabs>
              <w:suppressAutoHyphens/>
              <w:spacing w:after="120"/>
              <w:ind w:left="1260"/>
              <w:jc w:val="both"/>
              <w:rPr>
                <w:rFonts w:asciiTheme="minorHAnsi" w:hAnsiTheme="minorHAnsi" w:cstheme="minorHAnsi"/>
                <w:sz w:val="18"/>
                <w:szCs w:val="18"/>
                <w:lang w:val="pt-BR"/>
              </w:rPr>
            </w:pPr>
            <w:proofErr w:type="spellStart"/>
            <w:r w:rsidRPr="00C2792F">
              <w:rPr>
                <w:rFonts w:asciiTheme="minorHAnsi" w:hAnsiTheme="minorHAnsi" w:cstheme="minorHAnsi"/>
                <w:sz w:val="18"/>
                <w:szCs w:val="18"/>
                <w:lang w:val="pt-BR"/>
              </w:rPr>
              <w:t>existam</w:t>
            </w:r>
            <w:proofErr w:type="spellEnd"/>
            <w:r w:rsidRPr="00C2792F">
              <w:rPr>
                <w:rFonts w:asciiTheme="minorHAnsi" w:hAnsiTheme="minorHAnsi" w:cstheme="minorHAnsi"/>
                <w:sz w:val="18"/>
                <w:szCs w:val="18"/>
                <w:lang w:val="pt-BR"/>
              </w:rPr>
              <w:t xml:space="preserve"> situações de emergência </w:t>
            </w:r>
            <w:r w:rsidRPr="00C2792F">
              <w:rPr>
                <w:rFonts w:asciiTheme="minorHAnsi" w:hAnsiTheme="minorHAnsi" w:cstheme="minorHAnsi"/>
                <w:color w:val="FF0000"/>
                <w:sz w:val="18"/>
                <w:szCs w:val="18"/>
                <w:lang w:val="pt-BR"/>
              </w:rPr>
              <w:t xml:space="preserve">ou reparações urgentes </w:t>
            </w:r>
            <w:r w:rsidRPr="00C2792F">
              <w:rPr>
                <w:rFonts w:asciiTheme="minorHAnsi" w:hAnsiTheme="minorHAnsi" w:cstheme="minorHAnsi"/>
                <w:sz w:val="18"/>
                <w:szCs w:val="18"/>
                <w:lang w:val="pt-BR"/>
              </w:rPr>
              <w:t>que requeiram pronta atenção.</w:t>
            </w:r>
          </w:p>
          <w:p w14:paraId="48BC7B80" w14:textId="467C05E4" w:rsidR="001F5638" w:rsidRPr="00C2792F" w:rsidRDefault="001F5638" w:rsidP="00C211F4">
            <w:pPr>
              <w:tabs>
                <w:tab w:val="left" w:pos="720"/>
                <w:tab w:val="left" w:pos="1080"/>
              </w:tabs>
              <w:suppressAutoHyphens/>
              <w:spacing w:after="120"/>
              <w:jc w:val="both"/>
              <w:rPr>
                <w:rFonts w:asciiTheme="minorHAnsi" w:hAnsiTheme="minorHAnsi" w:cstheme="minorHAnsi"/>
                <w:sz w:val="18"/>
                <w:szCs w:val="18"/>
                <w:lang w:val="pt-BR"/>
              </w:rPr>
            </w:pPr>
          </w:p>
        </w:tc>
        <w:tc>
          <w:tcPr>
            <w:tcW w:w="4361" w:type="dxa"/>
            <w:vAlign w:val="center"/>
          </w:tcPr>
          <w:p w14:paraId="411F7A9A" w14:textId="77777777" w:rsidR="001F5638" w:rsidRPr="00C2792F" w:rsidRDefault="001F5638" w:rsidP="00D662E0">
            <w:pPr>
              <w:rPr>
                <w:lang w:val="pt-BR"/>
              </w:rPr>
            </w:pPr>
          </w:p>
        </w:tc>
      </w:tr>
      <w:tr w:rsidR="001F5638" w:rsidRPr="00CD7864" w14:paraId="2073A686" w14:textId="77777777" w:rsidTr="0013322E">
        <w:trPr>
          <w:jc w:val="center"/>
        </w:trPr>
        <w:tc>
          <w:tcPr>
            <w:tcW w:w="2762" w:type="dxa"/>
            <w:vAlign w:val="center"/>
          </w:tcPr>
          <w:p w14:paraId="312EEAB2" w14:textId="54424CEF" w:rsidR="001F5638" w:rsidRPr="00C2792F" w:rsidRDefault="00C211F4" w:rsidP="00C211F4">
            <w:pPr>
              <w:spacing w:after="120"/>
              <w:ind w:left="720"/>
              <w:rPr>
                <w:rFonts w:asciiTheme="minorHAnsi" w:hAnsiTheme="minorHAnsi"/>
                <w:b/>
                <w:color w:val="FF0000"/>
                <w:sz w:val="18"/>
                <w:szCs w:val="18"/>
                <w:lang w:val="pt-BR"/>
              </w:rPr>
            </w:pPr>
            <w:r w:rsidRPr="00C2792F">
              <w:rPr>
                <w:rFonts w:asciiTheme="minorHAnsi" w:hAnsiTheme="minorHAnsi"/>
                <w:b/>
                <w:color w:val="FF0000"/>
                <w:sz w:val="18"/>
                <w:szCs w:val="18"/>
                <w:lang w:val="pt-BR"/>
              </w:rPr>
              <w:t>Aquisições em empréstimos a intermediários financeiros</w:t>
            </w:r>
          </w:p>
        </w:tc>
        <w:tc>
          <w:tcPr>
            <w:tcW w:w="1464" w:type="dxa"/>
            <w:vAlign w:val="center"/>
          </w:tcPr>
          <w:p w14:paraId="6FEE7F0F" w14:textId="613304B0" w:rsidR="001F5638" w:rsidRPr="00C2792F" w:rsidRDefault="005004E1" w:rsidP="005004E1">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3.12</w:t>
            </w:r>
          </w:p>
        </w:tc>
        <w:tc>
          <w:tcPr>
            <w:tcW w:w="4908" w:type="dxa"/>
            <w:vAlign w:val="center"/>
          </w:tcPr>
          <w:p w14:paraId="2B8D5ED5" w14:textId="4B8E1A82" w:rsidR="001F5638" w:rsidRPr="00C2792F" w:rsidRDefault="00C211F4" w:rsidP="00C211F4">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 xml:space="preserve">Quando o empréstimo fornece fundos a uma instituição intermediária, como uma instituição de crédito agrícola ou uma empresa de financiamento do desenvolvimento, para ser repassados a beneficiários como indivíduos, empresas do setor privado, pequenas e médias empresas ou empresas comerciais autônomas do setor público, para o financiamento parcial de subprojetos, a aquisição é geralmente realizada pelos respectivos beneficiários de acordo com práticas estabelecidas </w:t>
            </w:r>
            <w:r w:rsidRPr="00C2792F">
              <w:rPr>
                <w:rFonts w:asciiTheme="minorHAnsi" w:hAnsiTheme="minorHAnsi" w:cstheme="minorHAnsi"/>
                <w:color w:val="FF0000"/>
                <w:sz w:val="18"/>
                <w:szCs w:val="18"/>
                <w:lang w:val="pt-BR"/>
              </w:rPr>
              <w:lastRenderedPageBreak/>
              <w:t>do setor privado ou comerciais, que são aceitáveis para o Banco. Quando uma instituição intermediária repassar a beneficiários de nível subnacional do setor público, como os municípios, a aquisição será realizada de acordo com os Princípios Básicos de Aquisição do Banco, aceitáveis para o Banco.</w:t>
            </w:r>
          </w:p>
        </w:tc>
        <w:tc>
          <w:tcPr>
            <w:tcW w:w="4361" w:type="dxa"/>
            <w:vAlign w:val="center"/>
          </w:tcPr>
          <w:p w14:paraId="4F3E3492" w14:textId="77777777" w:rsidR="001F5638" w:rsidRPr="00C2792F" w:rsidRDefault="001F5638" w:rsidP="00D662E0">
            <w:pPr>
              <w:rPr>
                <w:lang w:val="pt-BR"/>
              </w:rPr>
            </w:pPr>
          </w:p>
        </w:tc>
      </w:tr>
      <w:tr w:rsidR="001F5638" w:rsidRPr="00CD7864" w14:paraId="295DEBF9" w14:textId="77777777" w:rsidTr="0013322E">
        <w:trPr>
          <w:jc w:val="center"/>
        </w:trPr>
        <w:tc>
          <w:tcPr>
            <w:tcW w:w="2762" w:type="dxa"/>
            <w:vAlign w:val="center"/>
          </w:tcPr>
          <w:p w14:paraId="0FC82239" w14:textId="6C6E0812" w:rsidR="001F5638" w:rsidRPr="00C2792F" w:rsidRDefault="00B113AB" w:rsidP="00B113AB">
            <w:pPr>
              <w:spacing w:after="120"/>
              <w:ind w:left="720"/>
              <w:rPr>
                <w:rFonts w:asciiTheme="minorHAnsi" w:hAnsiTheme="minorHAnsi"/>
                <w:b/>
                <w:color w:val="FF0000"/>
                <w:sz w:val="18"/>
                <w:szCs w:val="18"/>
                <w:lang w:val="pt-BR"/>
              </w:rPr>
            </w:pPr>
            <w:r w:rsidRPr="00C2792F">
              <w:rPr>
                <w:rFonts w:asciiTheme="minorHAnsi" w:hAnsiTheme="minorHAnsi"/>
                <w:b/>
                <w:color w:val="FF0000"/>
                <w:sz w:val="18"/>
                <w:szCs w:val="18"/>
                <w:lang w:val="pt-BR"/>
              </w:rPr>
              <w:t>Parcerias Público Privadas</w:t>
            </w:r>
          </w:p>
        </w:tc>
        <w:tc>
          <w:tcPr>
            <w:tcW w:w="1464" w:type="dxa"/>
            <w:vAlign w:val="center"/>
          </w:tcPr>
          <w:p w14:paraId="0BD59963" w14:textId="2E3912B6" w:rsidR="001F5638" w:rsidRPr="00C2792F" w:rsidRDefault="005004E1" w:rsidP="0079227E">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3.13</w:t>
            </w:r>
          </w:p>
        </w:tc>
        <w:tc>
          <w:tcPr>
            <w:tcW w:w="4908" w:type="dxa"/>
            <w:vAlign w:val="center"/>
          </w:tcPr>
          <w:p w14:paraId="1C6A12AE" w14:textId="57060F12" w:rsidR="001F5638" w:rsidRPr="00C2792F" w:rsidRDefault="00B113AB" w:rsidP="0079227E">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Uma PPP é um contrato de longo prazo entre uma parte privada e uma entidade governamental para fornecer um ativo ou serviço público, no qual a parte privada assume risco significativo e a responsabilidade de gerenciamento e remuneração está vinculada ao desempenho</w:t>
            </w:r>
          </w:p>
        </w:tc>
        <w:tc>
          <w:tcPr>
            <w:tcW w:w="4361" w:type="dxa"/>
            <w:vAlign w:val="center"/>
          </w:tcPr>
          <w:p w14:paraId="47BFEFC3" w14:textId="77777777" w:rsidR="001F5638" w:rsidRPr="00C2792F" w:rsidRDefault="001F5638" w:rsidP="00D662E0">
            <w:pPr>
              <w:rPr>
                <w:lang w:val="pt-BR"/>
              </w:rPr>
            </w:pPr>
          </w:p>
        </w:tc>
      </w:tr>
      <w:tr w:rsidR="001F5638" w:rsidRPr="00CD7864" w14:paraId="5ED0E336" w14:textId="77777777" w:rsidTr="0013322E">
        <w:trPr>
          <w:jc w:val="center"/>
        </w:trPr>
        <w:tc>
          <w:tcPr>
            <w:tcW w:w="2762" w:type="dxa"/>
            <w:vAlign w:val="center"/>
          </w:tcPr>
          <w:p w14:paraId="13328B06" w14:textId="77777777" w:rsidR="001F5638" w:rsidRPr="00C2792F" w:rsidRDefault="001F5638" w:rsidP="0079227E">
            <w:pPr>
              <w:jc w:val="center"/>
              <w:rPr>
                <w:b/>
                <w:sz w:val="18"/>
                <w:szCs w:val="18"/>
                <w:lang w:val="pt-BR"/>
              </w:rPr>
            </w:pPr>
          </w:p>
        </w:tc>
        <w:tc>
          <w:tcPr>
            <w:tcW w:w="1464" w:type="dxa"/>
            <w:vAlign w:val="center"/>
          </w:tcPr>
          <w:p w14:paraId="150C174F" w14:textId="37C5D274" w:rsidR="001F5638" w:rsidRPr="00C2792F" w:rsidRDefault="005004E1" w:rsidP="005004E1">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3.14</w:t>
            </w:r>
          </w:p>
        </w:tc>
        <w:tc>
          <w:tcPr>
            <w:tcW w:w="4908" w:type="dxa"/>
            <w:vAlign w:val="center"/>
          </w:tcPr>
          <w:p w14:paraId="50F7E55F" w14:textId="77777777" w:rsidR="00B113AB" w:rsidRPr="00C2792F" w:rsidRDefault="00B113AB" w:rsidP="00B113AB">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O Banco pode financiar o custo de um projeto ou de um contrato adquirido ao abrigo de acordos PPP</w:t>
            </w:r>
            <w:r w:rsidRPr="00C2792F">
              <w:rPr>
                <w:rStyle w:val="FootnoteReference"/>
                <w:rFonts w:asciiTheme="minorHAnsi" w:hAnsiTheme="minorHAnsi" w:cstheme="minorHAnsi"/>
                <w:color w:val="FF0000"/>
                <w:sz w:val="18"/>
                <w:szCs w:val="18"/>
                <w:lang w:val="pt-BR"/>
              </w:rPr>
              <w:footnoteReference w:id="11"/>
            </w:r>
            <w:r w:rsidRPr="00C2792F">
              <w:rPr>
                <w:rFonts w:asciiTheme="minorHAnsi" w:hAnsiTheme="minorHAnsi" w:cstheme="minorHAnsi"/>
                <w:color w:val="FF0000"/>
                <w:sz w:val="18"/>
                <w:szCs w:val="18"/>
                <w:lang w:val="pt-BR"/>
              </w:rPr>
              <w:t>, CPO/COT/CPOT</w:t>
            </w:r>
            <w:r w:rsidRPr="00C2792F">
              <w:rPr>
                <w:rStyle w:val="FootnoteReference"/>
                <w:rFonts w:asciiTheme="minorHAnsi" w:hAnsiTheme="minorHAnsi" w:cstheme="minorHAnsi"/>
                <w:color w:val="FF0000"/>
                <w:sz w:val="18"/>
                <w:szCs w:val="18"/>
                <w:lang w:val="pt-BR"/>
              </w:rPr>
              <w:footnoteReference w:id="12"/>
            </w:r>
            <w:r w:rsidRPr="00C2792F">
              <w:rPr>
                <w:rFonts w:asciiTheme="minorHAnsi" w:hAnsiTheme="minorHAnsi" w:cstheme="minorHAnsi"/>
                <w:color w:val="FF0000"/>
                <w:sz w:val="18"/>
                <w:szCs w:val="18"/>
                <w:lang w:val="pt-BR"/>
              </w:rPr>
              <w:t>, concessões ou tipos similares de acordos do setor privado</w:t>
            </w:r>
            <w:r w:rsidRPr="00C2792F">
              <w:rPr>
                <w:rStyle w:val="FootnoteReference"/>
                <w:rFonts w:asciiTheme="minorHAnsi" w:hAnsiTheme="minorHAnsi" w:cstheme="minorHAnsi"/>
                <w:color w:val="FF0000"/>
                <w:sz w:val="18"/>
                <w:szCs w:val="18"/>
                <w:lang w:val="pt-BR"/>
              </w:rPr>
              <w:footnoteReference w:id="13"/>
            </w:r>
            <w:r w:rsidRPr="00C2792F">
              <w:rPr>
                <w:rFonts w:asciiTheme="minorHAnsi" w:hAnsiTheme="minorHAnsi" w:cstheme="minorHAnsi"/>
                <w:color w:val="FF0000"/>
                <w:sz w:val="18"/>
                <w:szCs w:val="18"/>
                <w:lang w:val="pt-BR"/>
              </w:rPr>
              <w:t>, se o processo de seleção:</w:t>
            </w:r>
          </w:p>
          <w:p w14:paraId="51274028" w14:textId="77777777" w:rsidR="00B113AB" w:rsidRPr="00C2792F" w:rsidRDefault="00B113AB" w:rsidP="00B113AB">
            <w:pPr>
              <w:pStyle w:val="ListParagraph"/>
              <w:spacing w:after="12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(a) reflita os Princípios Básicos de Aquisição do Banco</w:t>
            </w:r>
          </w:p>
          <w:p w14:paraId="69D525C8" w14:textId="77777777" w:rsidR="00B113AB" w:rsidRPr="00C2792F" w:rsidRDefault="00B113AB" w:rsidP="00B113AB">
            <w:pPr>
              <w:pStyle w:val="ListParagraph"/>
              <w:spacing w:after="12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(b) reflita a aplicação dos Procedimentos de Práticas Proibidas e Procedimentos de Sanções do Banco; e</w:t>
            </w:r>
          </w:p>
          <w:p w14:paraId="31174F09" w14:textId="77777777" w:rsidR="00B113AB" w:rsidRPr="00C2792F" w:rsidRDefault="00B113AB" w:rsidP="00B113AB">
            <w:pPr>
              <w:pStyle w:val="ListParagraph"/>
              <w:spacing w:after="120"/>
              <w:ind w:left="40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(c) seja consistente, conforme apropriado, com os requerimentos estabelecidos nestas Políticas.</w:t>
            </w:r>
          </w:p>
          <w:p w14:paraId="0BE6F909" w14:textId="1814A06A" w:rsidR="001F5638" w:rsidRPr="00C2792F" w:rsidRDefault="001F5638" w:rsidP="00B113AB">
            <w:pPr>
              <w:tabs>
                <w:tab w:val="left" w:pos="720"/>
                <w:tab w:val="left" w:pos="1080"/>
              </w:tabs>
              <w:suppressAutoHyphens/>
              <w:contextualSpacing/>
              <w:jc w:val="both"/>
              <w:rPr>
                <w:rFonts w:asciiTheme="minorHAnsi" w:hAnsiTheme="minorHAnsi" w:cstheme="minorHAnsi"/>
                <w:color w:val="FF0000"/>
                <w:sz w:val="18"/>
                <w:szCs w:val="18"/>
                <w:lang w:val="pt-BR"/>
              </w:rPr>
            </w:pPr>
          </w:p>
        </w:tc>
        <w:tc>
          <w:tcPr>
            <w:tcW w:w="4361" w:type="dxa"/>
            <w:vAlign w:val="center"/>
          </w:tcPr>
          <w:p w14:paraId="29C7533C" w14:textId="77777777" w:rsidR="001F5638" w:rsidRPr="00C2792F" w:rsidRDefault="001F5638" w:rsidP="00D662E0">
            <w:pPr>
              <w:rPr>
                <w:lang w:val="pt-BR"/>
              </w:rPr>
            </w:pPr>
          </w:p>
        </w:tc>
      </w:tr>
      <w:tr w:rsidR="001F5638" w:rsidRPr="00CD7864" w14:paraId="74249DA1" w14:textId="77777777" w:rsidTr="0013322E">
        <w:trPr>
          <w:jc w:val="center"/>
        </w:trPr>
        <w:tc>
          <w:tcPr>
            <w:tcW w:w="2762" w:type="dxa"/>
            <w:vAlign w:val="center"/>
          </w:tcPr>
          <w:p w14:paraId="0EA97439" w14:textId="77777777" w:rsidR="001F5638" w:rsidRPr="00C2792F" w:rsidRDefault="001F5638" w:rsidP="0079227E">
            <w:pPr>
              <w:jc w:val="center"/>
              <w:rPr>
                <w:b/>
                <w:sz w:val="18"/>
                <w:szCs w:val="18"/>
                <w:lang w:val="pt-BR"/>
              </w:rPr>
            </w:pPr>
          </w:p>
        </w:tc>
        <w:tc>
          <w:tcPr>
            <w:tcW w:w="1464" w:type="dxa"/>
            <w:vAlign w:val="center"/>
          </w:tcPr>
          <w:p w14:paraId="15DC6DE0" w14:textId="318426E0" w:rsidR="001F5638" w:rsidRPr="00C2792F" w:rsidRDefault="005004E1" w:rsidP="005004E1">
            <w:pPr>
              <w:jc w:val="center"/>
              <w:rPr>
                <w:rFonts w:ascii="Arial" w:eastAsia="Times New Roman" w:hAnsi="Arial" w:cs="Arial"/>
                <w:b/>
                <w:bCs/>
                <w:sz w:val="20"/>
                <w:szCs w:val="20"/>
                <w:u w:val="single"/>
                <w:lang w:val="pt-BR"/>
              </w:rPr>
            </w:pPr>
            <w:r w:rsidRPr="00C2792F">
              <w:rPr>
                <w:rFonts w:ascii="Arial" w:eastAsia="Times New Roman" w:hAnsi="Arial" w:cs="Arial"/>
                <w:bCs/>
                <w:sz w:val="18"/>
                <w:szCs w:val="18"/>
                <w:lang w:val="pt-BR"/>
              </w:rPr>
              <w:t>3.15</w:t>
            </w:r>
          </w:p>
        </w:tc>
        <w:tc>
          <w:tcPr>
            <w:tcW w:w="4908" w:type="dxa"/>
            <w:vAlign w:val="center"/>
          </w:tcPr>
          <w:p w14:paraId="391A1605" w14:textId="77777777" w:rsidR="00B113AB" w:rsidRPr="00C2792F" w:rsidRDefault="00B113AB" w:rsidP="00B113AB">
            <w:pPr>
              <w:suppressAutoHyphens/>
              <w:spacing w:after="120"/>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O Banco pode concordar em financiar projetos de PPP iniciados a partir de propostas não solicitadas. Em todos os casos de propostas não solicitadas, o processo para avaliar e determinar a melhor adequação ao propósito e VPF para a adjudicação de um contrato iniciado por uma proposta não solicitada deve ser claramente definido pelo Mutuário. Quando uma proposta não solicitada estiver sujeita a uma seleção de processos competitivos, o Mutuário poderá usar uma das seguintes abordagens para permitir que a empresa que enviou a proposta não solicitada participe do processo:</w:t>
            </w:r>
          </w:p>
          <w:p w14:paraId="38CB95C8" w14:textId="77777777" w:rsidR="00B113AB" w:rsidRPr="00C2792F" w:rsidRDefault="00B113AB" w:rsidP="00B113AB">
            <w:pPr>
              <w:spacing w:after="120"/>
              <w:ind w:left="49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lastRenderedPageBreak/>
              <w:t>(a) O Mutuário não concede nenhuma vantagem para a empresa no processo. O Mutuário poderá compensar separadamente a empresa, se permitido pelo arcabouço regulatório aplicável do Mutuário; ou</w:t>
            </w:r>
          </w:p>
          <w:p w14:paraId="446FE292" w14:textId="4BDAAEA1" w:rsidR="001F5638" w:rsidRPr="00C2792F" w:rsidRDefault="00B113AB" w:rsidP="00B113AB">
            <w:pPr>
              <w:spacing w:after="120"/>
              <w:ind w:left="495"/>
              <w:jc w:val="both"/>
              <w:rPr>
                <w:rFonts w:asciiTheme="minorHAnsi" w:hAnsiTheme="minorHAnsi" w:cstheme="minorHAnsi"/>
                <w:color w:val="FF0000"/>
                <w:sz w:val="18"/>
                <w:szCs w:val="18"/>
                <w:lang w:val="pt-BR"/>
              </w:rPr>
            </w:pPr>
            <w:r w:rsidRPr="00C2792F">
              <w:rPr>
                <w:rFonts w:asciiTheme="minorHAnsi" w:hAnsiTheme="minorHAnsi" w:cstheme="minorHAnsi"/>
                <w:color w:val="FF0000"/>
                <w:sz w:val="18"/>
                <w:szCs w:val="18"/>
                <w:lang w:val="pt-BR"/>
              </w:rPr>
              <w:t>(b) A empresa recebe uma vantagem no processo de seleção, como um bônus de pontuação na avaliação ou um acesso garantido a um processo de várias etapas. Essa vantagem deve ser divulgada no documento de solicitação de propostas/solicitação de ofertas e definida de tal forma que não impeça a concorrência efetiva.</w:t>
            </w:r>
          </w:p>
        </w:tc>
        <w:tc>
          <w:tcPr>
            <w:tcW w:w="4361" w:type="dxa"/>
            <w:vAlign w:val="center"/>
          </w:tcPr>
          <w:p w14:paraId="136DBE27" w14:textId="77777777" w:rsidR="001F5638" w:rsidRPr="00C2792F" w:rsidRDefault="001F5638" w:rsidP="00D662E0">
            <w:pPr>
              <w:rPr>
                <w:lang w:val="pt-BR"/>
              </w:rPr>
            </w:pPr>
          </w:p>
        </w:tc>
      </w:tr>
      <w:tr w:rsidR="007549E7" w:rsidRPr="00CD7864" w14:paraId="7622CA6D" w14:textId="77777777" w:rsidTr="0013322E">
        <w:trPr>
          <w:jc w:val="center"/>
        </w:trPr>
        <w:tc>
          <w:tcPr>
            <w:tcW w:w="2762" w:type="dxa"/>
            <w:vAlign w:val="center"/>
          </w:tcPr>
          <w:p w14:paraId="2636DD67" w14:textId="38D54597" w:rsidR="007549E7" w:rsidRPr="00C2792F" w:rsidRDefault="00B113AB" w:rsidP="00B113AB">
            <w:pPr>
              <w:pStyle w:val="Heading2"/>
              <w:tabs>
                <w:tab w:val="clear" w:pos="547"/>
                <w:tab w:val="clear" w:pos="1080"/>
              </w:tabs>
              <w:jc w:val="center"/>
              <w:outlineLvl w:val="1"/>
              <w:rPr>
                <w:rFonts w:asciiTheme="minorHAnsi" w:hAnsiTheme="minorHAnsi"/>
                <w:sz w:val="18"/>
                <w:szCs w:val="18"/>
                <w:lang w:val="pt-BR"/>
              </w:rPr>
            </w:pPr>
            <w:bookmarkStart w:id="45" w:name="_Toc143318197"/>
            <w:bookmarkStart w:id="46" w:name="_Toc458086115"/>
            <w:bookmarkStart w:id="47" w:name="Performance_Based_Procurement"/>
            <w:r w:rsidRPr="00C2792F">
              <w:rPr>
                <w:rFonts w:asciiTheme="minorHAnsi" w:hAnsiTheme="minorHAnsi"/>
                <w:sz w:val="18"/>
                <w:szCs w:val="18"/>
                <w:lang w:val="pt-BR"/>
              </w:rPr>
              <w:lastRenderedPageBreak/>
              <w:t>Aquisições Baseadas no Desempenho</w:t>
            </w:r>
            <w:bookmarkEnd w:id="45"/>
            <w:bookmarkEnd w:id="46"/>
            <w:bookmarkEnd w:id="47"/>
          </w:p>
        </w:tc>
        <w:tc>
          <w:tcPr>
            <w:tcW w:w="1464" w:type="dxa"/>
            <w:vAlign w:val="center"/>
          </w:tcPr>
          <w:p w14:paraId="21D87018" w14:textId="42EDAD32" w:rsidR="007549E7" w:rsidRPr="00C2792F" w:rsidRDefault="00071BD3" w:rsidP="005004E1">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3.17</w:t>
            </w:r>
          </w:p>
        </w:tc>
        <w:tc>
          <w:tcPr>
            <w:tcW w:w="4908" w:type="dxa"/>
            <w:vAlign w:val="center"/>
          </w:tcPr>
          <w:p w14:paraId="0750FAA0" w14:textId="31976528" w:rsidR="007549E7" w:rsidRPr="00C2792F" w:rsidRDefault="00B113AB" w:rsidP="001F20E9">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As Contratações Baseadas no Desempenho (ou Contratações Baseadas no Produto) podem envolver: (a) o fornecimento de serviços a serem pagos com base nos produtos; (b) projeto, fornecimento, construção (ou recuperação) e comissionamento de uma instalação a ser operada pelo Mutuário; ou (c) projeto, fornecimento, construção (ou recuperação) de uma instalação e o fornecimento de serviços para a sua operação e manutenção por um determinado período de anos após o seu comissionamento</w:t>
            </w:r>
            <w:r w:rsidRPr="00C2792F">
              <w:rPr>
                <w:rFonts w:asciiTheme="minorHAnsi" w:hAnsiTheme="minorHAnsi" w:cstheme="minorHAnsi"/>
                <w:sz w:val="18"/>
                <w:szCs w:val="18"/>
                <w:vertAlign w:val="superscript"/>
                <w:lang w:val="pt-BR"/>
              </w:rPr>
              <w:footnoteReference w:id="14"/>
            </w:r>
            <w:r w:rsidRPr="00C2792F">
              <w:rPr>
                <w:rFonts w:asciiTheme="minorHAnsi" w:hAnsiTheme="minorHAnsi" w:cstheme="minorHAnsi"/>
                <w:sz w:val="18"/>
                <w:szCs w:val="18"/>
                <w:lang w:val="pt-BR"/>
              </w:rPr>
              <w:t>.</w:t>
            </w:r>
            <w:r w:rsidRPr="00C2792F">
              <w:rPr>
                <w:rFonts w:asciiTheme="minorHAnsi" w:hAnsiTheme="minorHAnsi" w:cstheme="minorHAnsi"/>
                <w:spacing w:val="4"/>
                <w:w w:val="102"/>
                <w:sz w:val="18"/>
                <w:szCs w:val="18"/>
                <w:vertAlign w:val="superscript"/>
                <w:lang w:val="pt-BR"/>
              </w:rPr>
              <w:t xml:space="preserve"> </w:t>
            </w:r>
            <w:r w:rsidRPr="00C2792F">
              <w:rPr>
                <w:rFonts w:asciiTheme="minorHAnsi" w:hAnsiTheme="minorHAnsi" w:cstheme="minorHAnsi"/>
                <w:sz w:val="18"/>
                <w:szCs w:val="18"/>
                <w:lang w:val="pt-BR"/>
              </w:rPr>
              <w:t xml:space="preserve">Para os casos em que projeto, fornecimento e/ou construção são necessários, a pré-qualificação é normalmente exigida e o uso da Licitação em </w:t>
            </w:r>
            <w:r w:rsidRPr="00C2792F">
              <w:rPr>
                <w:rFonts w:asciiTheme="minorHAnsi" w:hAnsiTheme="minorHAnsi" w:cstheme="minorHAnsi"/>
                <w:color w:val="FF0000"/>
                <w:sz w:val="18"/>
                <w:szCs w:val="18"/>
                <w:lang w:val="pt-BR"/>
              </w:rPr>
              <w:t>estágios múltiplos</w:t>
            </w:r>
            <w:r w:rsidRPr="00C2792F">
              <w:rPr>
                <w:rFonts w:asciiTheme="minorHAnsi" w:hAnsiTheme="minorHAnsi" w:cstheme="minorHAnsi"/>
                <w:sz w:val="18"/>
                <w:szCs w:val="18"/>
                <w:lang w:val="pt-BR"/>
              </w:rPr>
              <w:t>, conforme indicado no parágrafo 2.13, deverá ser aplicado.</w:t>
            </w:r>
          </w:p>
        </w:tc>
        <w:tc>
          <w:tcPr>
            <w:tcW w:w="4361" w:type="dxa"/>
            <w:vAlign w:val="center"/>
          </w:tcPr>
          <w:p w14:paraId="48AB7E8D" w14:textId="77777777" w:rsidR="007549E7" w:rsidRPr="00C2792F" w:rsidRDefault="007549E7" w:rsidP="00D662E0">
            <w:pPr>
              <w:rPr>
                <w:lang w:val="pt-BR"/>
              </w:rPr>
            </w:pPr>
          </w:p>
        </w:tc>
      </w:tr>
      <w:tr w:rsidR="000E683C" w:rsidRPr="00CD7864" w14:paraId="37B75B4E" w14:textId="77777777" w:rsidTr="0013322E">
        <w:trPr>
          <w:jc w:val="center"/>
        </w:trPr>
        <w:tc>
          <w:tcPr>
            <w:tcW w:w="2762" w:type="dxa"/>
            <w:vAlign w:val="center"/>
          </w:tcPr>
          <w:p w14:paraId="175765AF" w14:textId="77777777" w:rsidR="00B113AB" w:rsidRPr="00C2792F" w:rsidRDefault="00B113AB" w:rsidP="00B113AB">
            <w:pPr>
              <w:pStyle w:val="Heading1"/>
              <w:outlineLvl w:val="0"/>
              <w:rPr>
                <w:rFonts w:asciiTheme="minorHAnsi" w:hAnsiTheme="minorHAnsi"/>
                <w:sz w:val="18"/>
                <w:szCs w:val="18"/>
                <w:lang w:val="pt-BR"/>
              </w:rPr>
            </w:pPr>
            <w:bookmarkStart w:id="48" w:name="Appendix_1"/>
            <w:bookmarkStart w:id="49" w:name="_Toc458086118"/>
            <w:r w:rsidRPr="00C2792F">
              <w:rPr>
                <w:rFonts w:asciiTheme="minorHAnsi" w:hAnsiTheme="minorHAnsi"/>
                <w:sz w:val="18"/>
                <w:szCs w:val="18"/>
                <w:lang w:val="pt-BR"/>
              </w:rPr>
              <w:t>Apêndice 1</w:t>
            </w:r>
            <w:bookmarkStart w:id="50" w:name="Review_by_the_Bank_of_Procurement_Decisi"/>
            <w:bookmarkStart w:id="51" w:name="_Toc93232079"/>
            <w:bookmarkStart w:id="52" w:name="_Toc114471043"/>
            <w:bookmarkStart w:id="53" w:name="_Toc289438149"/>
            <w:bookmarkEnd w:id="48"/>
            <w:r w:rsidRPr="00C2792F">
              <w:rPr>
                <w:rFonts w:asciiTheme="minorHAnsi" w:hAnsiTheme="minorHAnsi"/>
                <w:sz w:val="18"/>
                <w:szCs w:val="18"/>
                <w:lang w:val="pt-BR"/>
              </w:rPr>
              <w:t xml:space="preserve">: </w:t>
            </w:r>
            <w:bookmarkStart w:id="54" w:name="_Toc143318201"/>
            <w:bookmarkEnd w:id="50"/>
            <w:bookmarkEnd w:id="51"/>
            <w:bookmarkEnd w:id="52"/>
            <w:bookmarkEnd w:id="53"/>
            <w:r w:rsidRPr="00C2792F">
              <w:rPr>
                <w:rFonts w:asciiTheme="minorHAnsi" w:hAnsiTheme="minorHAnsi"/>
                <w:sz w:val="18"/>
                <w:szCs w:val="18"/>
                <w:lang w:val="pt-BR"/>
              </w:rPr>
              <w:t>Revisão pelo Banco das Decisões sobre Aquisições</w:t>
            </w:r>
            <w:bookmarkEnd w:id="49"/>
            <w:bookmarkEnd w:id="54"/>
          </w:p>
          <w:p w14:paraId="0EE4AE03" w14:textId="77777777" w:rsidR="00B113AB" w:rsidRPr="00C2792F" w:rsidRDefault="00B113AB" w:rsidP="00B113AB">
            <w:pPr>
              <w:pStyle w:val="Heading2"/>
              <w:jc w:val="center"/>
              <w:outlineLvl w:val="1"/>
              <w:rPr>
                <w:rFonts w:asciiTheme="minorHAnsi" w:hAnsiTheme="minorHAnsi"/>
                <w:sz w:val="18"/>
                <w:szCs w:val="18"/>
                <w:lang w:val="pt-BR"/>
              </w:rPr>
            </w:pPr>
            <w:bookmarkStart w:id="55" w:name="_Toc358896417"/>
            <w:bookmarkStart w:id="56" w:name="_Toc458086119"/>
            <w:r w:rsidRPr="00C2792F">
              <w:rPr>
                <w:rFonts w:asciiTheme="minorHAnsi" w:hAnsiTheme="minorHAnsi"/>
                <w:color w:val="FF0000"/>
                <w:sz w:val="18"/>
                <w:szCs w:val="18"/>
                <w:lang w:val="pt-BR"/>
              </w:rPr>
              <w:t>Estratégia de Aquisições</w:t>
            </w:r>
            <w:r w:rsidRPr="00C2792F">
              <w:rPr>
                <w:rFonts w:asciiTheme="minorHAnsi" w:hAnsiTheme="minorHAnsi"/>
                <w:sz w:val="18"/>
                <w:szCs w:val="18"/>
                <w:lang w:val="pt-BR"/>
              </w:rPr>
              <w:t xml:space="preserve"> </w:t>
            </w:r>
            <w:r w:rsidRPr="00C2792F">
              <w:rPr>
                <w:rFonts w:asciiTheme="minorHAnsi" w:hAnsiTheme="minorHAnsi"/>
                <w:sz w:val="18"/>
                <w:szCs w:val="18"/>
                <w:lang w:val="pt-BR"/>
              </w:rPr>
              <w:fldChar w:fldCharType="begin"/>
            </w:r>
            <w:r w:rsidRPr="00C2792F">
              <w:rPr>
                <w:rFonts w:asciiTheme="minorHAnsi" w:hAnsiTheme="minorHAnsi"/>
                <w:sz w:val="18"/>
                <w:szCs w:val="18"/>
                <w:lang w:val="pt-BR"/>
              </w:rPr>
              <w:instrText>ADVANCE \D 4.0</w:instrText>
            </w:r>
            <w:r w:rsidRPr="00C2792F">
              <w:rPr>
                <w:rFonts w:asciiTheme="minorHAnsi" w:hAnsiTheme="minorHAnsi"/>
                <w:sz w:val="18"/>
                <w:szCs w:val="18"/>
                <w:lang w:val="pt-BR"/>
              </w:rPr>
              <w:fldChar w:fldCharType="end"/>
            </w:r>
            <w:bookmarkEnd w:id="55"/>
            <w:bookmarkEnd w:id="56"/>
          </w:p>
          <w:p w14:paraId="1923AFCD" w14:textId="25C87C5B" w:rsidR="000E683C" w:rsidRPr="00C2792F" w:rsidRDefault="000E683C" w:rsidP="002A2DB4">
            <w:pPr>
              <w:jc w:val="center"/>
              <w:rPr>
                <w:b/>
                <w:sz w:val="18"/>
                <w:szCs w:val="18"/>
                <w:lang w:val="pt-BR"/>
              </w:rPr>
            </w:pPr>
          </w:p>
        </w:tc>
        <w:tc>
          <w:tcPr>
            <w:tcW w:w="1464" w:type="dxa"/>
            <w:vAlign w:val="center"/>
          </w:tcPr>
          <w:p w14:paraId="091BFDD4" w14:textId="3AE04F8E" w:rsidR="000E683C" w:rsidRPr="00C2792F" w:rsidRDefault="002A2DB4" w:rsidP="005004E1">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w:t>
            </w:r>
          </w:p>
        </w:tc>
        <w:tc>
          <w:tcPr>
            <w:tcW w:w="4908" w:type="dxa"/>
            <w:vAlign w:val="center"/>
          </w:tcPr>
          <w:p w14:paraId="0CC9DB5B" w14:textId="77777777" w:rsidR="00B113AB" w:rsidRPr="00C2792F" w:rsidRDefault="00B113AB" w:rsidP="00B113AB">
            <w:pPr>
              <w:tabs>
                <w:tab w:val="left" w:pos="360"/>
              </w:tabs>
              <w:suppressAutoHyphens/>
              <w:spacing w:after="120"/>
              <w:jc w:val="both"/>
              <w:rPr>
                <w:rFonts w:asciiTheme="minorHAnsi" w:hAnsiTheme="minorHAnsi" w:cstheme="minorHAnsi"/>
                <w:sz w:val="18"/>
                <w:szCs w:val="18"/>
                <w:lang w:val="pt-BR"/>
              </w:rPr>
            </w:pPr>
            <w:r w:rsidRPr="00C2792F">
              <w:rPr>
                <w:rFonts w:asciiTheme="minorHAnsi" w:hAnsiTheme="minorHAnsi" w:cstheme="minorHAnsi"/>
                <w:color w:val="FF0000"/>
                <w:sz w:val="18"/>
                <w:szCs w:val="18"/>
                <w:lang w:val="pt-BR"/>
              </w:rPr>
              <w:t xml:space="preserve">O Mutuário deverá elaborar uma estratégia de aquisições que justifique os arranjos propostos para a sua conformidade com o Contrato de Empréstimo e estas Políticas. O Banco revisará a estratégia e os procedimentos de aquisição propostos pelo Mutuário, conforme estabelecido no Plano de Aquisições. O Plano de Aquisições deve ser preparado com base na análise de mercado conduzida durante a preparação da estratégia de aquisições e quaisquer considerações de adequação aos propósitos dos métodos selecionados e deve cobrir um período inicial de pelo menos 18 meses. </w:t>
            </w:r>
            <w:r w:rsidRPr="00C2792F">
              <w:rPr>
                <w:rFonts w:asciiTheme="minorHAnsi" w:hAnsiTheme="minorHAnsi" w:cstheme="minorHAnsi"/>
                <w:sz w:val="18"/>
                <w:szCs w:val="18"/>
                <w:lang w:val="pt-BR"/>
              </w:rPr>
              <w:t xml:space="preserve">O Mutuário deverá atualizar o Plano de Aquisições anualmente ou conforme necessário, sempre cobrindo o próximo período de 18 meses de implementação do projeto. Quaisquer revisões propostas ao Plano de Aquisições serão fornecidas ao Banco para sua aprovação prévia. </w:t>
            </w:r>
          </w:p>
          <w:p w14:paraId="11E563E4" w14:textId="3C43B6D5" w:rsidR="000E683C" w:rsidRPr="00C2792F" w:rsidRDefault="000E683C" w:rsidP="00F31BF0">
            <w:pPr>
              <w:tabs>
                <w:tab w:val="left" w:pos="360"/>
                <w:tab w:val="left" w:pos="547"/>
                <w:tab w:val="left" w:pos="1080"/>
              </w:tabs>
              <w:suppressAutoHyphens/>
              <w:spacing w:after="120"/>
              <w:contextualSpacing/>
              <w:jc w:val="both"/>
              <w:rPr>
                <w:rFonts w:asciiTheme="minorHAnsi" w:eastAsia="Times New Roman" w:hAnsiTheme="minorHAnsi" w:cstheme="minorHAnsi"/>
                <w:sz w:val="18"/>
                <w:szCs w:val="18"/>
                <w:lang w:val="pt-BR" w:eastAsia="en-US"/>
              </w:rPr>
            </w:pPr>
          </w:p>
        </w:tc>
        <w:tc>
          <w:tcPr>
            <w:tcW w:w="4361" w:type="dxa"/>
            <w:vAlign w:val="center"/>
          </w:tcPr>
          <w:p w14:paraId="2835EC4F" w14:textId="77777777" w:rsidR="000E683C" w:rsidRPr="00C2792F" w:rsidRDefault="000E683C" w:rsidP="00D662E0">
            <w:pPr>
              <w:rPr>
                <w:lang w:val="pt-BR"/>
              </w:rPr>
            </w:pPr>
          </w:p>
        </w:tc>
      </w:tr>
      <w:tr w:rsidR="000E683C" w:rsidRPr="00CD7864" w14:paraId="5F1A4E87" w14:textId="77777777" w:rsidTr="0013322E">
        <w:trPr>
          <w:jc w:val="center"/>
        </w:trPr>
        <w:tc>
          <w:tcPr>
            <w:tcW w:w="2762" w:type="dxa"/>
            <w:vAlign w:val="center"/>
          </w:tcPr>
          <w:p w14:paraId="48EE8BEA" w14:textId="77777777" w:rsidR="00B113AB" w:rsidRPr="00C2792F" w:rsidRDefault="00B113AB" w:rsidP="00B113AB">
            <w:pPr>
              <w:pStyle w:val="Heading2"/>
              <w:jc w:val="center"/>
              <w:outlineLvl w:val="1"/>
              <w:rPr>
                <w:rFonts w:asciiTheme="minorHAnsi" w:hAnsiTheme="minorHAnsi"/>
                <w:sz w:val="18"/>
                <w:szCs w:val="18"/>
                <w:lang w:val="pt-BR"/>
              </w:rPr>
            </w:pPr>
            <w:bookmarkStart w:id="57" w:name="_Toc143318203"/>
            <w:bookmarkStart w:id="58" w:name="_Toc358896418"/>
            <w:bookmarkStart w:id="59" w:name="_Toc458086120"/>
            <w:r w:rsidRPr="00C2792F">
              <w:rPr>
                <w:rFonts w:asciiTheme="minorHAnsi" w:hAnsiTheme="minorHAnsi"/>
                <w:sz w:val="18"/>
                <w:szCs w:val="18"/>
                <w:lang w:val="pt-BR"/>
              </w:rPr>
              <w:lastRenderedPageBreak/>
              <w:t>Revisão Ex-ante</w:t>
            </w:r>
            <w:bookmarkEnd w:id="57"/>
            <w:bookmarkEnd w:id="58"/>
            <w:bookmarkEnd w:id="59"/>
          </w:p>
          <w:p w14:paraId="69CCAC47" w14:textId="1B55E2E8" w:rsidR="000E683C" w:rsidRPr="00C2792F" w:rsidRDefault="000E683C" w:rsidP="0079227E">
            <w:pPr>
              <w:jc w:val="center"/>
              <w:rPr>
                <w:b/>
                <w:sz w:val="18"/>
                <w:szCs w:val="18"/>
                <w:lang w:val="pt-BR"/>
              </w:rPr>
            </w:pPr>
          </w:p>
        </w:tc>
        <w:tc>
          <w:tcPr>
            <w:tcW w:w="1464" w:type="dxa"/>
            <w:vAlign w:val="center"/>
          </w:tcPr>
          <w:p w14:paraId="6BFA1E32" w14:textId="3955DA6B" w:rsidR="000E683C" w:rsidRPr="00C2792F" w:rsidRDefault="005D4FD2" w:rsidP="005004E1">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2</w:t>
            </w:r>
          </w:p>
        </w:tc>
        <w:tc>
          <w:tcPr>
            <w:tcW w:w="4908" w:type="dxa"/>
            <w:vAlign w:val="center"/>
          </w:tcPr>
          <w:p w14:paraId="37464444" w14:textId="77777777" w:rsidR="00D428B7" w:rsidRPr="00C2792F" w:rsidRDefault="00B113AB" w:rsidP="00B113AB">
            <w:pPr>
              <w:tabs>
                <w:tab w:val="left" w:pos="360"/>
              </w:tabs>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No que diz respeito a todos os contratos</w:t>
            </w:r>
            <w:r w:rsidRPr="00C2792F">
              <w:rPr>
                <w:rFonts w:asciiTheme="minorHAnsi" w:hAnsiTheme="minorHAnsi" w:cstheme="minorHAnsi"/>
                <w:sz w:val="18"/>
                <w:szCs w:val="18"/>
                <w:vertAlign w:val="superscript"/>
                <w:lang w:val="pt-BR"/>
              </w:rPr>
              <w:footnoteReference w:id="15"/>
            </w:r>
            <w:r w:rsidRPr="00C2792F">
              <w:rPr>
                <w:rFonts w:asciiTheme="minorHAnsi" w:hAnsiTheme="minorHAnsi" w:cstheme="minorHAnsi"/>
                <w:sz w:val="18"/>
                <w:szCs w:val="18"/>
                <w:lang w:val="pt-BR"/>
              </w:rPr>
              <w:t xml:space="preserve"> que estão sujeitos à revisão “</w:t>
            </w:r>
            <w:proofErr w:type="spellStart"/>
            <w:r w:rsidRPr="00C2792F">
              <w:rPr>
                <w:rFonts w:asciiTheme="minorHAnsi" w:hAnsiTheme="minorHAnsi" w:cstheme="minorHAnsi"/>
                <w:sz w:val="18"/>
                <w:szCs w:val="18"/>
                <w:lang w:val="pt-BR"/>
              </w:rPr>
              <w:t>Ex-ante</w:t>
            </w:r>
            <w:proofErr w:type="spellEnd"/>
            <w:r w:rsidRPr="00C2792F">
              <w:rPr>
                <w:rFonts w:asciiTheme="minorHAnsi" w:hAnsiTheme="minorHAnsi" w:cstheme="minorHAnsi"/>
                <w:sz w:val="18"/>
                <w:szCs w:val="18"/>
                <w:lang w:val="pt-BR"/>
              </w:rPr>
              <w:t>” do Banco:</w:t>
            </w:r>
            <w:r w:rsidRPr="00C2792F">
              <w:rPr>
                <w:rFonts w:asciiTheme="minorHAnsi" w:hAnsiTheme="minorHAnsi" w:cstheme="minorHAnsi"/>
                <w:sz w:val="18"/>
                <w:szCs w:val="18"/>
                <w:lang w:val="pt-BR"/>
              </w:rPr>
              <w:fldChar w:fldCharType="begin"/>
            </w:r>
            <w:r w:rsidRPr="00C2792F">
              <w:rPr>
                <w:rFonts w:asciiTheme="minorHAnsi" w:hAnsiTheme="minorHAnsi" w:cstheme="minorHAnsi"/>
                <w:sz w:val="18"/>
                <w:szCs w:val="18"/>
                <w:lang w:val="pt-BR"/>
              </w:rPr>
              <w:instrText>ADVANCE \D 6.0</w:instrText>
            </w:r>
            <w:r w:rsidRPr="00C2792F">
              <w:rPr>
                <w:rFonts w:asciiTheme="minorHAnsi" w:hAnsiTheme="minorHAnsi" w:cstheme="minorHAnsi"/>
                <w:sz w:val="18"/>
                <w:szCs w:val="18"/>
                <w:lang w:val="pt-BR"/>
              </w:rPr>
              <w:fldChar w:fldCharType="end"/>
            </w:r>
          </w:p>
          <w:p w14:paraId="1DB5AF7C" w14:textId="77777777" w:rsidR="00B113AB" w:rsidRPr="00C2792F" w:rsidRDefault="00B113AB" w:rsidP="00B113AB">
            <w:pPr>
              <w:numPr>
                <w:ilvl w:val="0"/>
                <w:numId w:val="37"/>
              </w:numPr>
              <w:tabs>
                <w:tab w:val="clear" w:pos="1375"/>
                <w:tab w:val="num" w:pos="828"/>
                <w:tab w:val="num" w:pos="1237"/>
              </w:tabs>
              <w:suppressAutoHyphens/>
              <w:spacing w:after="120"/>
              <w:ind w:left="517"/>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Se o Mutuário</w:t>
            </w:r>
            <w:r w:rsidRPr="00C2792F">
              <w:rPr>
                <w:rFonts w:asciiTheme="minorHAnsi" w:hAnsiTheme="minorHAnsi" w:cstheme="minorHAnsi"/>
                <w:color w:val="FF0000"/>
                <w:sz w:val="18"/>
                <w:szCs w:val="18"/>
                <w:lang w:val="pt-BR"/>
              </w:rPr>
              <w:t>, após a notificação da intenção de adjudicação do contrato ou da publicação dos resultados da avaliação, conforme acordado com o Banco</w:t>
            </w:r>
            <w:r w:rsidRPr="00C2792F">
              <w:rPr>
                <w:rFonts w:asciiTheme="minorHAnsi" w:hAnsiTheme="minorHAnsi" w:cstheme="minorHAnsi"/>
                <w:sz w:val="18"/>
                <w:szCs w:val="18"/>
                <w:lang w:val="pt-BR"/>
              </w:rPr>
              <w:t>, receber protestos ou reclamações dos licitantes, uma cópia da reclamação e uma cópia da resposta do Mutuário deverão ser enviadas para informação do Banco.</w:t>
            </w:r>
          </w:p>
          <w:p w14:paraId="75654E69" w14:textId="3E21CF1B" w:rsidR="00B113AB" w:rsidRPr="00C2792F" w:rsidRDefault="00B113AB" w:rsidP="00B113AB">
            <w:pPr>
              <w:numPr>
                <w:ilvl w:val="0"/>
                <w:numId w:val="37"/>
              </w:numPr>
              <w:suppressAutoHyphens/>
              <w:spacing w:after="120"/>
              <w:ind w:left="517" w:hanging="54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Se o Mutuário, como resultado da análise de algum protesto, alterar a sua </w:t>
            </w:r>
            <w:r w:rsidRPr="00C2792F">
              <w:rPr>
                <w:rFonts w:asciiTheme="minorHAnsi" w:hAnsiTheme="minorHAnsi" w:cstheme="minorHAnsi"/>
                <w:color w:val="FF0000"/>
                <w:sz w:val="18"/>
                <w:szCs w:val="18"/>
                <w:lang w:val="pt-BR"/>
              </w:rPr>
              <w:t xml:space="preserve">intenção de adjudicação ou </w:t>
            </w:r>
            <w:r w:rsidRPr="00C2792F">
              <w:rPr>
                <w:rFonts w:asciiTheme="minorHAnsi" w:hAnsiTheme="minorHAnsi" w:cstheme="minorHAnsi"/>
                <w:sz w:val="18"/>
                <w:szCs w:val="18"/>
                <w:lang w:val="pt-BR"/>
              </w:rPr>
              <w:t xml:space="preserve">recomendação de adjudicação do contrato, </w:t>
            </w:r>
            <w:r w:rsidRPr="00C2792F">
              <w:rPr>
                <w:rFonts w:asciiTheme="minorHAnsi" w:hAnsiTheme="minorHAnsi" w:cstheme="minorHAnsi"/>
                <w:color w:val="FF0000"/>
                <w:sz w:val="18"/>
                <w:szCs w:val="18"/>
                <w:lang w:val="pt-BR"/>
              </w:rPr>
              <w:t xml:space="preserve">conforme acordado com o Banco, </w:t>
            </w:r>
            <w:r w:rsidRPr="00C2792F">
              <w:rPr>
                <w:rFonts w:asciiTheme="minorHAnsi" w:hAnsiTheme="minorHAnsi" w:cstheme="minorHAnsi"/>
                <w:sz w:val="18"/>
                <w:szCs w:val="18"/>
                <w:lang w:val="pt-BR"/>
              </w:rPr>
              <w:t>as razões para tal decisão e um relatório de avaliação revisado deverão ser submetidos ao Banco para sua “não objeção”. O Mutuário deverá providenciar a republicação da adjudicação do contrato, conforme estabelecido no parágrafo 2.60 destas Políticas.</w:t>
            </w:r>
          </w:p>
        </w:tc>
        <w:tc>
          <w:tcPr>
            <w:tcW w:w="4361" w:type="dxa"/>
            <w:vAlign w:val="center"/>
          </w:tcPr>
          <w:p w14:paraId="4A7E01DD" w14:textId="77777777" w:rsidR="000E683C" w:rsidRPr="00C2792F" w:rsidRDefault="000E683C" w:rsidP="00D662E0">
            <w:pPr>
              <w:rPr>
                <w:lang w:val="pt-BR"/>
              </w:rPr>
            </w:pPr>
          </w:p>
        </w:tc>
      </w:tr>
      <w:tr w:rsidR="000E683C" w:rsidRPr="00CD7864" w14:paraId="0D569B78" w14:textId="77777777" w:rsidTr="0013322E">
        <w:trPr>
          <w:jc w:val="center"/>
        </w:trPr>
        <w:tc>
          <w:tcPr>
            <w:tcW w:w="2762" w:type="dxa"/>
            <w:vAlign w:val="center"/>
          </w:tcPr>
          <w:p w14:paraId="777211B9" w14:textId="77777777" w:rsidR="00563A85" w:rsidRPr="00C2792F" w:rsidRDefault="00563A85" w:rsidP="0079227E">
            <w:pPr>
              <w:jc w:val="center"/>
              <w:rPr>
                <w:b/>
                <w:sz w:val="18"/>
                <w:szCs w:val="18"/>
                <w:lang w:val="pt-BR"/>
              </w:rPr>
            </w:pPr>
          </w:p>
          <w:p w14:paraId="2CFC1E77" w14:textId="23D310E4" w:rsidR="00563A85" w:rsidRPr="00C2792F" w:rsidRDefault="00B113AB" w:rsidP="0079227E">
            <w:pPr>
              <w:jc w:val="center"/>
              <w:rPr>
                <w:b/>
                <w:sz w:val="18"/>
                <w:szCs w:val="18"/>
                <w:lang w:val="pt-BR"/>
              </w:rPr>
            </w:pPr>
            <w:bookmarkStart w:id="60" w:name="Appendix_3"/>
            <w:r w:rsidRPr="00C2792F">
              <w:rPr>
                <w:sz w:val="18"/>
                <w:szCs w:val="18"/>
                <w:lang w:val="pt-BR"/>
              </w:rPr>
              <w:t>Apêndice 3</w:t>
            </w:r>
            <w:bookmarkEnd w:id="60"/>
            <w:r w:rsidRPr="00C2792F">
              <w:rPr>
                <w:sz w:val="18"/>
                <w:szCs w:val="18"/>
                <w:lang w:val="pt-BR"/>
              </w:rPr>
              <w:t>:</w:t>
            </w:r>
            <w:bookmarkStart w:id="61" w:name="Guidance_to_Bidders"/>
            <w:r w:rsidRPr="00C2792F">
              <w:rPr>
                <w:sz w:val="18"/>
                <w:szCs w:val="18"/>
                <w:lang w:val="pt-BR"/>
              </w:rPr>
              <w:t xml:space="preserve"> </w:t>
            </w:r>
            <w:bookmarkStart w:id="62" w:name="_Toc143318210"/>
            <w:bookmarkEnd w:id="61"/>
            <w:r w:rsidRPr="00C2792F">
              <w:rPr>
                <w:sz w:val="18"/>
                <w:szCs w:val="18"/>
                <w:lang w:val="pt-BR"/>
              </w:rPr>
              <w:t>Orientação aos Licitantes</w:t>
            </w:r>
            <w:bookmarkEnd w:id="62"/>
            <w:r w:rsidRPr="00C2792F">
              <w:rPr>
                <w:sz w:val="18"/>
                <w:szCs w:val="18"/>
                <w:lang w:val="pt-BR"/>
              </w:rPr>
              <w:t xml:space="preserve"> </w:t>
            </w:r>
          </w:p>
          <w:p w14:paraId="0FE568BB" w14:textId="77777777" w:rsidR="00563A85" w:rsidRPr="00C2792F" w:rsidRDefault="00563A85" w:rsidP="0079227E">
            <w:pPr>
              <w:jc w:val="center"/>
              <w:rPr>
                <w:b/>
                <w:sz w:val="18"/>
                <w:szCs w:val="18"/>
                <w:lang w:val="pt-BR"/>
              </w:rPr>
            </w:pPr>
            <w:r w:rsidRPr="00C2792F">
              <w:rPr>
                <w:b/>
                <w:sz w:val="18"/>
                <w:szCs w:val="18"/>
                <w:lang w:val="pt-BR"/>
              </w:rPr>
              <w:t>Propósito</w:t>
            </w:r>
          </w:p>
          <w:p w14:paraId="57D943DD" w14:textId="13C1E11A" w:rsidR="00563A85" w:rsidRPr="00C2792F" w:rsidRDefault="00563A85" w:rsidP="0079227E">
            <w:pPr>
              <w:jc w:val="center"/>
              <w:rPr>
                <w:b/>
                <w:sz w:val="18"/>
                <w:szCs w:val="18"/>
                <w:lang w:val="pt-BR"/>
              </w:rPr>
            </w:pPr>
          </w:p>
        </w:tc>
        <w:tc>
          <w:tcPr>
            <w:tcW w:w="1464" w:type="dxa"/>
            <w:vAlign w:val="center"/>
          </w:tcPr>
          <w:p w14:paraId="450D4AC7" w14:textId="144BFFCC" w:rsidR="000E683C" w:rsidRPr="00C2792F" w:rsidRDefault="005A6BCD" w:rsidP="005004E1">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w:t>
            </w:r>
          </w:p>
        </w:tc>
        <w:tc>
          <w:tcPr>
            <w:tcW w:w="4908" w:type="dxa"/>
            <w:vAlign w:val="center"/>
          </w:tcPr>
          <w:p w14:paraId="29FA97CD" w14:textId="61324397" w:rsidR="000E683C" w:rsidRPr="00C2792F" w:rsidRDefault="00B113AB" w:rsidP="00B113AB">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O objeto deste Apêndice é orientar potenciais licitantes interessados em participar de licitações financiadas pelo Banco. </w:t>
            </w:r>
            <w:r w:rsidRPr="00C2792F">
              <w:rPr>
                <w:rFonts w:asciiTheme="minorHAnsi" w:hAnsiTheme="minorHAnsi" w:cstheme="minorHAnsi"/>
                <w:color w:val="FF0000"/>
                <w:sz w:val="18"/>
                <w:szCs w:val="18"/>
                <w:lang w:val="pt-BR"/>
              </w:rPr>
              <w:t>Quando o Contrato de Empréstimo incluir disposições relativas a um prazo suspensivo</w:t>
            </w:r>
            <w:r w:rsidRPr="00C2792F">
              <w:rPr>
                <w:rStyle w:val="FootnoteReference"/>
                <w:rFonts w:asciiTheme="minorHAnsi" w:hAnsiTheme="minorHAnsi" w:cstheme="minorHAnsi"/>
                <w:color w:val="FF0000"/>
                <w:sz w:val="18"/>
                <w:szCs w:val="18"/>
                <w:lang w:val="pt-BR"/>
              </w:rPr>
              <w:footnoteReference w:id="16"/>
            </w:r>
            <w:r w:rsidRPr="00C2792F">
              <w:rPr>
                <w:rFonts w:asciiTheme="minorHAnsi" w:hAnsiTheme="minorHAnsi" w:cstheme="minorHAnsi"/>
                <w:color w:val="FF0000"/>
                <w:sz w:val="18"/>
                <w:szCs w:val="18"/>
                <w:lang w:val="pt-BR"/>
              </w:rPr>
              <w:t xml:space="preserve"> que permita reclamações antes da notificação de adjudicação, as funções do Banco, do Licitante e do Mutuário para análise e tratamento de reclamações serão definidas no Contrato de Empréstimo ou nos procedimentos de aquisição acordados entre o Banco e o Mutuário.</w:t>
            </w:r>
          </w:p>
        </w:tc>
        <w:tc>
          <w:tcPr>
            <w:tcW w:w="4361" w:type="dxa"/>
            <w:vAlign w:val="center"/>
          </w:tcPr>
          <w:p w14:paraId="0D9E4F58" w14:textId="77777777" w:rsidR="000E683C" w:rsidRPr="00C2792F" w:rsidRDefault="000E683C" w:rsidP="00D662E0">
            <w:pPr>
              <w:rPr>
                <w:lang w:val="pt-BR"/>
              </w:rPr>
            </w:pPr>
          </w:p>
        </w:tc>
      </w:tr>
      <w:tr w:rsidR="00CD3FDA" w:rsidRPr="00CD7864" w14:paraId="256A2CA8" w14:textId="77777777" w:rsidTr="0013322E">
        <w:trPr>
          <w:jc w:val="center"/>
        </w:trPr>
        <w:tc>
          <w:tcPr>
            <w:tcW w:w="2762" w:type="dxa"/>
            <w:vAlign w:val="center"/>
          </w:tcPr>
          <w:p w14:paraId="7291D0ED" w14:textId="4B80DB1B" w:rsidR="00CD3FDA" w:rsidRPr="00C2792F" w:rsidRDefault="000C2436" w:rsidP="0079227E">
            <w:pPr>
              <w:jc w:val="center"/>
              <w:rPr>
                <w:b/>
                <w:sz w:val="18"/>
                <w:szCs w:val="18"/>
                <w:lang w:val="pt-BR"/>
              </w:rPr>
            </w:pPr>
            <w:bookmarkStart w:id="63" w:name="_Toc101955601"/>
            <w:bookmarkStart w:id="64" w:name="_Toc143318215"/>
            <w:r w:rsidRPr="00C2792F">
              <w:rPr>
                <w:rFonts w:asciiTheme="minorHAnsi" w:hAnsiTheme="minorHAnsi"/>
                <w:sz w:val="18"/>
                <w:szCs w:val="18"/>
                <w:lang w:val="pt-BR"/>
              </w:rPr>
              <w:t>Papel do Licitante</w:t>
            </w:r>
            <w:bookmarkEnd w:id="63"/>
            <w:bookmarkEnd w:id="64"/>
          </w:p>
        </w:tc>
        <w:tc>
          <w:tcPr>
            <w:tcW w:w="1464" w:type="dxa"/>
            <w:vAlign w:val="center"/>
          </w:tcPr>
          <w:p w14:paraId="5F0911E7" w14:textId="7E4D78A0" w:rsidR="00CD3FDA" w:rsidRPr="00C2792F" w:rsidRDefault="00731913" w:rsidP="005004E1">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9</w:t>
            </w:r>
          </w:p>
        </w:tc>
        <w:tc>
          <w:tcPr>
            <w:tcW w:w="4908" w:type="dxa"/>
            <w:vAlign w:val="center"/>
          </w:tcPr>
          <w:p w14:paraId="7A00A3DB" w14:textId="487CA63E" w:rsidR="00CD3FDA" w:rsidRPr="00C2792F" w:rsidRDefault="000C2436" w:rsidP="000C2436">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Cabe ao licitante a responsabilidade de suscitar questões relativas à ambiguidade, contradição, omissão, etc., antes de submeter sua proposta, a fim de assegurar a apresentação de uma proposta adequada e completa, devidamente acompanhada de todos os documentos de apoio solicitados nos Editais de Licitação. O descumprimento de requisitos </w:t>
            </w:r>
            <w:proofErr w:type="gramStart"/>
            <w:r w:rsidRPr="00C2792F">
              <w:rPr>
                <w:rFonts w:asciiTheme="minorHAnsi" w:hAnsiTheme="minorHAnsi" w:cstheme="minorHAnsi"/>
                <w:sz w:val="18"/>
                <w:szCs w:val="18"/>
                <w:lang w:val="pt-BR"/>
              </w:rPr>
              <w:t>essenciais  (</w:t>
            </w:r>
            <w:proofErr w:type="gramEnd"/>
            <w:r w:rsidRPr="00C2792F">
              <w:rPr>
                <w:rFonts w:asciiTheme="minorHAnsi" w:hAnsiTheme="minorHAnsi" w:cstheme="minorHAnsi"/>
                <w:sz w:val="18"/>
                <w:szCs w:val="18"/>
                <w:lang w:val="pt-BR"/>
              </w:rPr>
              <w:t xml:space="preserve">técnicos e comerciais) resultará na rejeição da proposta. O licitante que desejar propor variações relativamente a requisitos não essenciais ou solução alternativa deverá cotar o preço para </w:t>
            </w:r>
            <w:r w:rsidRPr="00C2792F">
              <w:rPr>
                <w:rFonts w:asciiTheme="minorHAnsi" w:hAnsiTheme="minorHAnsi" w:cstheme="minorHAnsi"/>
                <w:sz w:val="18"/>
                <w:szCs w:val="18"/>
                <w:lang w:val="pt-BR"/>
              </w:rPr>
              <w:lastRenderedPageBreak/>
              <w:t xml:space="preserve">uma proposta integralmente adequada aos termos do Edital e, em separado, indicar o ajustamento do preço que pode ser ofertado caso a variação seja aceita. Soluções alternativas somente devem ser ofertadas quando autorizadas no Edital de Licitação. Uma vez que as propostas tenham sido recebidas e abertas publicamente, não será facultado aos licitantes alterar o preço ou substância da proposta ou solicitar tal alteração, </w:t>
            </w:r>
            <w:r w:rsidRPr="00C2792F">
              <w:rPr>
                <w:rFonts w:asciiTheme="minorHAnsi" w:hAnsiTheme="minorHAnsi" w:cstheme="minorHAnsi"/>
                <w:color w:val="FF0000"/>
                <w:sz w:val="18"/>
                <w:szCs w:val="18"/>
                <w:lang w:val="pt-BR"/>
              </w:rPr>
              <w:t>a menos que os documentos de licitação estabeleçam procedimentos para a negociação</w:t>
            </w:r>
            <w:r w:rsidRPr="00C2792F">
              <w:rPr>
                <w:rFonts w:asciiTheme="minorHAnsi" w:hAnsiTheme="minorHAnsi" w:cstheme="minorHAnsi"/>
                <w:sz w:val="18"/>
                <w:szCs w:val="18"/>
                <w:lang w:val="pt-BR"/>
              </w:rPr>
              <w:t>.</w:t>
            </w:r>
          </w:p>
        </w:tc>
        <w:tc>
          <w:tcPr>
            <w:tcW w:w="4361" w:type="dxa"/>
            <w:vAlign w:val="center"/>
          </w:tcPr>
          <w:p w14:paraId="059AF9B4" w14:textId="77777777" w:rsidR="00CD3FDA" w:rsidRPr="00C2792F" w:rsidRDefault="00CD3FDA" w:rsidP="00D662E0">
            <w:pPr>
              <w:rPr>
                <w:lang w:val="pt-BR"/>
              </w:rPr>
            </w:pPr>
          </w:p>
        </w:tc>
      </w:tr>
      <w:tr w:rsidR="00CD3FDA" w:rsidRPr="00CD7864" w14:paraId="435B4678" w14:textId="77777777" w:rsidTr="0013322E">
        <w:trPr>
          <w:jc w:val="center"/>
        </w:trPr>
        <w:tc>
          <w:tcPr>
            <w:tcW w:w="2762" w:type="dxa"/>
            <w:vAlign w:val="center"/>
          </w:tcPr>
          <w:p w14:paraId="7C2C63F1" w14:textId="34069AAF" w:rsidR="00CD3FDA" w:rsidRPr="00C2792F" w:rsidRDefault="00731913" w:rsidP="0079227E">
            <w:pPr>
              <w:jc w:val="center"/>
              <w:rPr>
                <w:b/>
                <w:sz w:val="18"/>
                <w:szCs w:val="18"/>
                <w:lang w:val="pt-BR"/>
              </w:rPr>
            </w:pPr>
            <w:r w:rsidRPr="00C2792F">
              <w:rPr>
                <w:b/>
                <w:sz w:val="18"/>
                <w:szCs w:val="18"/>
                <w:lang w:val="pt-BR"/>
              </w:rPr>
              <w:t>Confidencialidad</w:t>
            </w:r>
            <w:r w:rsidR="000C2436" w:rsidRPr="00C2792F">
              <w:rPr>
                <w:b/>
                <w:sz w:val="18"/>
                <w:szCs w:val="18"/>
                <w:lang w:val="pt-BR"/>
              </w:rPr>
              <w:t>e</w:t>
            </w:r>
          </w:p>
        </w:tc>
        <w:tc>
          <w:tcPr>
            <w:tcW w:w="1464" w:type="dxa"/>
            <w:vAlign w:val="center"/>
          </w:tcPr>
          <w:p w14:paraId="4E031D5F" w14:textId="58F59380" w:rsidR="00CD3FDA" w:rsidRPr="00C2792F" w:rsidRDefault="00731913" w:rsidP="005004E1">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10</w:t>
            </w:r>
          </w:p>
        </w:tc>
        <w:tc>
          <w:tcPr>
            <w:tcW w:w="4908" w:type="dxa"/>
            <w:vAlign w:val="center"/>
          </w:tcPr>
          <w:p w14:paraId="688A930F" w14:textId="61A63ECE" w:rsidR="00CD3FDA" w:rsidRPr="00C2792F" w:rsidRDefault="000C2436" w:rsidP="00D83F4E">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Consoante o prescrito no parágrafo 2.55 destas Políticas, o processo de avaliação de propostas será confidencial até que </w:t>
            </w:r>
            <w:r w:rsidRPr="00C2792F">
              <w:rPr>
                <w:rFonts w:asciiTheme="minorHAnsi" w:hAnsiTheme="minorHAnsi" w:cstheme="minorHAnsi"/>
                <w:color w:val="FF0000"/>
                <w:sz w:val="18"/>
                <w:szCs w:val="18"/>
                <w:lang w:val="pt-BR"/>
              </w:rPr>
              <w:t>a intenção de adjudicação tenha sido enviada aos licitantes ou até a publicação da adjudicação do contrato, conforme aplicável</w:t>
            </w:r>
            <w:r w:rsidRPr="00C2792F">
              <w:rPr>
                <w:rFonts w:asciiTheme="minorHAnsi" w:hAnsiTheme="minorHAnsi" w:cstheme="minorHAnsi"/>
                <w:sz w:val="18"/>
                <w:szCs w:val="18"/>
                <w:lang w:val="pt-BR"/>
              </w:rPr>
              <w:t>. Isso é essencial para permitir que os revisores do Mutuário e do Banco evitem a possibilidade ou percepção de qualquer interferência indevida. Nesse momento, caso o licitante deseje apresentar informações adicionais ao Banco ou a ambos, deverá fazê-lo por escrito.</w:t>
            </w:r>
          </w:p>
        </w:tc>
        <w:tc>
          <w:tcPr>
            <w:tcW w:w="4361" w:type="dxa"/>
            <w:vAlign w:val="center"/>
          </w:tcPr>
          <w:p w14:paraId="2738A694" w14:textId="77777777" w:rsidR="00CD3FDA" w:rsidRPr="00C2792F" w:rsidRDefault="00CD3FDA" w:rsidP="00D662E0">
            <w:pPr>
              <w:rPr>
                <w:lang w:val="pt-BR"/>
              </w:rPr>
            </w:pPr>
          </w:p>
        </w:tc>
      </w:tr>
      <w:tr w:rsidR="00AB2768" w:rsidRPr="00CD7864" w14:paraId="0B01F581" w14:textId="77777777" w:rsidTr="0013322E">
        <w:trPr>
          <w:jc w:val="center"/>
        </w:trPr>
        <w:tc>
          <w:tcPr>
            <w:tcW w:w="2762" w:type="dxa"/>
            <w:vAlign w:val="center"/>
          </w:tcPr>
          <w:p w14:paraId="50FE1EC1" w14:textId="77777777" w:rsidR="00D83F4E" w:rsidRPr="00C2792F" w:rsidRDefault="00D83F4E" w:rsidP="00D83F4E">
            <w:pPr>
              <w:pStyle w:val="Heading2"/>
              <w:jc w:val="center"/>
              <w:outlineLvl w:val="1"/>
              <w:rPr>
                <w:rFonts w:asciiTheme="minorHAnsi" w:hAnsiTheme="minorHAnsi"/>
                <w:sz w:val="18"/>
                <w:szCs w:val="18"/>
                <w:lang w:val="pt-BR"/>
              </w:rPr>
            </w:pPr>
            <w:bookmarkStart w:id="65" w:name="_Toc101955604"/>
            <w:bookmarkStart w:id="66" w:name="_Toc143318218"/>
            <w:bookmarkStart w:id="67" w:name="_Toc358896431"/>
            <w:bookmarkStart w:id="68" w:name="_Toc458086134"/>
            <w:r w:rsidRPr="00C2792F">
              <w:rPr>
                <w:rFonts w:asciiTheme="minorHAnsi" w:hAnsiTheme="minorHAnsi"/>
                <w:sz w:val="18"/>
                <w:szCs w:val="18"/>
                <w:lang w:val="pt-BR"/>
              </w:rPr>
              <w:t>Esclarecimentos</w:t>
            </w:r>
            <w:bookmarkEnd w:id="65"/>
            <w:bookmarkEnd w:id="66"/>
            <w:r w:rsidRPr="00C2792F">
              <w:rPr>
                <w:rFonts w:asciiTheme="minorHAnsi" w:hAnsiTheme="minorHAnsi"/>
                <w:sz w:val="18"/>
                <w:szCs w:val="18"/>
                <w:lang w:val="pt-BR"/>
              </w:rPr>
              <w:t xml:space="preserve"> </w:t>
            </w:r>
            <w:bookmarkEnd w:id="67"/>
            <w:bookmarkEnd w:id="68"/>
            <w:r w:rsidRPr="00C2792F">
              <w:rPr>
                <w:rFonts w:asciiTheme="minorHAnsi" w:hAnsiTheme="minorHAnsi"/>
                <w:color w:val="FF0000"/>
                <w:sz w:val="18"/>
                <w:szCs w:val="18"/>
                <w:lang w:val="pt-BR"/>
              </w:rPr>
              <w:t>por parte do Banco</w:t>
            </w:r>
          </w:p>
          <w:p w14:paraId="6B8BFD28" w14:textId="0C09047E" w:rsidR="00AB2768" w:rsidRPr="00C2792F" w:rsidRDefault="00AB2768" w:rsidP="0079227E">
            <w:pPr>
              <w:jc w:val="center"/>
              <w:rPr>
                <w:b/>
                <w:sz w:val="18"/>
                <w:szCs w:val="18"/>
                <w:lang w:val="pt-BR"/>
              </w:rPr>
            </w:pPr>
          </w:p>
        </w:tc>
        <w:tc>
          <w:tcPr>
            <w:tcW w:w="1464" w:type="dxa"/>
            <w:vAlign w:val="center"/>
          </w:tcPr>
          <w:p w14:paraId="747BE1A9" w14:textId="1B1032CD" w:rsidR="00AB2768" w:rsidRPr="00C2792F" w:rsidRDefault="00AB2768" w:rsidP="005004E1">
            <w:pPr>
              <w:jc w:val="center"/>
              <w:rPr>
                <w:rFonts w:ascii="Arial" w:eastAsia="Times New Roman" w:hAnsi="Arial" w:cs="Arial"/>
                <w:bCs/>
                <w:sz w:val="18"/>
                <w:szCs w:val="18"/>
                <w:lang w:val="pt-BR"/>
              </w:rPr>
            </w:pPr>
            <w:r w:rsidRPr="00C2792F">
              <w:rPr>
                <w:rFonts w:ascii="Arial" w:eastAsia="Times New Roman" w:hAnsi="Arial" w:cs="Arial"/>
                <w:bCs/>
                <w:sz w:val="18"/>
                <w:szCs w:val="18"/>
                <w:lang w:val="pt-BR"/>
              </w:rPr>
              <w:t>15</w:t>
            </w:r>
          </w:p>
        </w:tc>
        <w:tc>
          <w:tcPr>
            <w:tcW w:w="4908" w:type="dxa"/>
            <w:vAlign w:val="center"/>
          </w:tcPr>
          <w:p w14:paraId="4F8D1398" w14:textId="57D203F3" w:rsidR="00AB2768" w:rsidRPr="00C2792F" w:rsidRDefault="00D83F4E" w:rsidP="00D83F4E">
            <w:pPr>
              <w:suppressAutoHyphens/>
              <w:spacing w:after="120"/>
              <w:jc w:val="both"/>
              <w:rPr>
                <w:rFonts w:asciiTheme="minorHAnsi" w:hAnsiTheme="minorHAnsi" w:cstheme="minorHAnsi"/>
                <w:sz w:val="18"/>
                <w:szCs w:val="18"/>
                <w:lang w:val="pt-BR"/>
              </w:rPr>
            </w:pPr>
            <w:r w:rsidRPr="00C2792F">
              <w:rPr>
                <w:rFonts w:asciiTheme="minorHAnsi" w:hAnsiTheme="minorHAnsi" w:cstheme="minorHAnsi"/>
                <w:sz w:val="18"/>
                <w:szCs w:val="18"/>
                <w:lang w:val="pt-BR"/>
              </w:rPr>
              <w:t xml:space="preserve">Conforme estabelecido no parágrafo 2.86, o licitante que, após </w:t>
            </w:r>
            <w:r w:rsidRPr="00C2792F">
              <w:rPr>
                <w:rFonts w:asciiTheme="minorHAnsi" w:hAnsiTheme="minorHAnsi" w:cstheme="minorHAnsi"/>
                <w:color w:val="FF0000"/>
                <w:sz w:val="18"/>
                <w:szCs w:val="18"/>
                <w:lang w:val="pt-BR"/>
              </w:rPr>
              <w:t>a notificação da intenção de adjudicação ou da notificação de adjudicação, segundo seja aplicável</w:t>
            </w:r>
            <w:r w:rsidRPr="00C2792F">
              <w:rPr>
                <w:rFonts w:asciiTheme="minorHAnsi" w:hAnsiTheme="minorHAnsi" w:cstheme="minorHAnsi"/>
                <w:sz w:val="18"/>
                <w:szCs w:val="18"/>
                <w:lang w:val="pt-BR"/>
              </w:rPr>
              <w:t>, desejar conhecer as razões da rejeição de sua proposta, deverá formular pedido nesse sentido ao Mutuário. Não se convencendo o licitante com a explicação recebida e desejando manter reunião com o Banco, poderá fazê-lo, dirigindo-se por escrito à Representação do BID no país do Mutuário, enviando uma cópia para a Divisão de Aquisições de Projetos na sede do Banco em Washington, D.C., que providenciará uma reunião no nível apropriado e com o pessoal relevante. É vedado, nessa reunião, discutir-se qualquer proposta que não seja a do próprio licitante.</w:t>
            </w:r>
          </w:p>
        </w:tc>
        <w:tc>
          <w:tcPr>
            <w:tcW w:w="4361" w:type="dxa"/>
            <w:vAlign w:val="center"/>
          </w:tcPr>
          <w:p w14:paraId="72358A27" w14:textId="77777777" w:rsidR="00AB2768" w:rsidRPr="00C2792F" w:rsidRDefault="00AB2768" w:rsidP="00D662E0">
            <w:pPr>
              <w:rPr>
                <w:lang w:val="pt-BR"/>
              </w:rPr>
            </w:pPr>
          </w:p>
        </w:tc>
      </w:tr>
    </w:tbl>
    <w:p w14:paraId="1978A3BA" w14:textId="77777777" w:rsidR="00EA16A1" w:rsidRPr="00C2792F" w:rsidRDefault="00EA16A1" w:rsidP="00C80F8D">
      <w:pPr>
        <w:rPr>
          <w:lang w:val="pt-BR"/>
        </w:rPr>
      </w:pPr>
      <w:bookmarkStart w:id="69" w:name="_GoBack"/>
      <w:bookmarkEnd w:id="69"/>
    </w:p>
    <w:sectPr w:rsidR="00EA16A1" w:rsidRPr="00C2792F" w:rsidSect="002428D5">
      <w:headerReference w:type="default" r:id="rId13"/>
      <w:headerReference w:type="first" r:id="rId14"/>
      <w:pgSz w:w="15840" w:h="12240" w:orient="landscape"/>
      <w:pgMar w:top="1440" w:right="360" w:bottom="1440" w:left="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E19C" w14:textId="77777777" w:rsidR="003924C5" w:rsidRDefault="003924C5" w:rsidP="006D2939">
      <w:r>
        <w:separator/>
      </w:r>
    </w:p>
  </w:endnote>
  <w:endnote w:type="continuationSeparator" w:id="0">
    <w:p w14:paraId="03DBDF77" w14:textId="77777777" w:rsidR="003924C5" w:rsidRDefault="003924C5" w:rsidP="006D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0CF5" w14:textId="77777777" w:rsidR="003924C5" w:rsidRDefault="003924C5" w:rsidP="006D2939">
      <w:r>
        <w:separator/>
      </w:r>
    </w:p>
  </w:footnote>
  <w:footnote w:type="continuationSeparator" w:id="0">
    <w:p w14:paraId="6F849415" w14:textId="77777777" w:rsidR="003924C5" w:rsidRDefault="003924C5" w:rsidP="006D2939">
      <w:r>
        <w:continuationSeparator/>
      </w:r>
    </w:p>
  </w:footnote>
  <w:footnote w:id="1">
    <w:p w14:paraId="0B88B931" w14:textId="77777777" w:rsidR="009F4A3D" w:rsidRPr="00CD7864" w:rsidRDefault="009F4A3D" w:rsidP="009F4A3D">
      <w:pPr>
        <w:pStyle w:val="FootnoteText"/>
        <w:spacing w:after="0"/>
        <w:ind w:left="360" w:hanging="360"/>
        <w:jc w:val="both"/>
        <w:rPr>
          <w:rFonts w:asciiTheme="minorHAnsi" w:hAnsiTheme="minorHAnsi"/>
          <w:sz w:val="18"/>
          <w:szCs w:val="18"/>
          <w:lang w:val="pt-BR"/>
        </w:rPr>
      </w:pPr>
      <w:r w:rsidRPr="00000804">
        <w:rPr>
          <w:rStyle w:val="FootnoteReference"/>
          <w:rFonts w:asciiTheme="minorHAnsi" w:hAnsiTheme="minorHAnsi"/>
          <w:sz w:val="18"/>
          <w:szCs w:val="18"/>
        </w:rPr>
        <w:footnoteRef/>
      </w:r>
      <w:r w:rsidRPr="00CD7864">
        <w:rPr>
          <w:rFonts w:asciiTheme="minorHAnsi" w:hAnsiTheme="minorHAnsi"/>
          <w:sz w:val="18"/>
          <w:szCs w:val="18"/>
          <w:lang w:val="pt-BR"/>
        </w:rPr>
        <w:t xml:space="preserve"> </w:t>
      </w:r>
      <w:r w:rsidRPr="00CD7864">
        <w:rPr>
          <w:rFonts w:asciiTheme="minorHAnsi" w:hAnsiTheme="minorHAnsi"/>
          <w:sz w:val="18"/>
          <w:szCs w:val="18"/>
          <w:lang w:val="pt-BR"/>
        </w:rPr>
        <w:tab/>
        <w:t>Ver parágrafos 1.6, 1.7 e 1.8</w:t>
      </w:r>
    </w:p>
  </w:footnote>
  <w:footnote w:id="2">
    <w:p w14:paraId="37CF44AC" w14:textId="77777777" w:rsidR="009F4A3D" w:rsidRPr="00CD7864" w:rsidRDefault="009F4A3D" w:rsidP="009F4A3D">
      <w:pPr>
        <w:pStyle w:val="FootnoteText"/>
        <w:spacing w:after="0"/>
        <w:ind w:left="360" w:hanging="360"/>
        <w:jc w:val="both"/>
        <w:rPr>
          <w:rFonts w:asciiTheme="minorHAnsi" w:hAnsiTheme="minorHAnsi"/>
          <w:sz w:val="18"/>
          <w:szCs w:val="18"/>
          <w:lang w:val="pt-BR"/>
        </w:rPr>
      </w:pPr>
      <w:r w:rsidRPr="00000804">
        <w:rPr>
          <w:rStyle w:val="FootnoteReference"/>
          <w:rFonts w:asciiTheme="minorHAnsi" w:hAnsiTheme="minorHAnsi"/>
          <w:sz w:val="18"/>
          <w:szCs w:val="18"/>
        </w:rPr>
        <w:footnoteRef/>
      </w:r>
      <w:r w:rsidRPr="00CD7864">
        <w:rPr>
          <w:rFonts w:asciiTheme="minorHAnsi" w:hAnsiTheme="minorHAnsi"/>
          <w:sz w:val="18"/>
          <w:szCs w:val="18"/>
          <w:lang w:val="pt-BR"/>
        </w:rPr>
        <w:t xml:space="preserve"> </w:t>
      </w:r>
      <w:r w:rsidRPr="00CD7864">
        <w:rPr>
          <w:rFonts w:asciiTheme="minorHAnsi" w:hAnsiTheme="minorHAnsi"/>
          <w:sz w:val="18"/>
          <w:szCs w:val="18"/>
          <w:lang w:val="pt-BR"/>
        </w:rPr>
        <w:tab/>
        <w:t>Ver parágrafos 1.6, 1.7 e 1.8</w:t>
      </w:r>
    </w:p>
  </w:footnote>
  <w:footnote w:id="3">
    <w:p w14:paraId="2ADD6C23" w14:textId="77777777" w:rsidR="009F4A3D" w:rsidRPr="00447E3C" w:rsidRDefault="009F4A3D" w:rsidP="009F4A3D">
      <w:pPr>
        <w:pStyle w:val="FootnoteText"/>
        <w:rPr>
          <w:lang w:val="pt-BR"/>
        </w:rPr>
      </w:pPr>
      <w:r w:rsidRPr="00447E3C">
        <w:rPr>
          <w:rStyle w:val="FootnoteReference"/>
          <w:color w:val="FF0000"/>
        </w:rPr>
        <w:footnoteRef/>
      </w:r>
      <w:r w:rsidRPr="00447E3C">
        <w:rPr>
          <w:color w:val="FF0000"/>
          <w:lang w:val="pt-BR"/>
        </w:rPr>
        <w:t xml:space="preserve"> Normalmente, o Banco aplica a Metodologia para Sistemas de Compras de Avaliação (MAPS), desenvolvida pelas IFIs e pela OCDE.</w:t>
      </w:r>
    </w:p>
  </w:footnote>
  <w:footnote w:id="4">
    <w:p w14:paraId="296DA44C" w14:textId="77777777" w:rsidR="0013322E" w:rsidRPr="00CD7864" w:rsidRDefault="0013322E" w:rsidP="0013322E">
      <w:pPr>
        <w:pStyle w:val="FootnoteText"/>
        <w:spacing w:after="0"/>
        <w:ind w:left="360" w:hanging="360"/>
        <w:jc w:val="both"/>
        <w:rPr>
          <w:rFonts w:asciiTheme="minorHAnsi" w:hAnsiTheme="minorHAnsi"/>
          <w:sz w:val="18"/>
          <w:szCs w:val="18"/>
          <w:lang w:val="pt-BR"/>
        </w:rPr>
      </w:pPr>
      <w:r w:rsidRPr="00000804">
        <w:rPr>
          <w:rStyle w:val="FootnoteReference"/>
          <w:rFonts w:asciiTheme="minorHAnsi" w:hAnsiTheme="minorHAnsi"/>
          <w:sz w:val="18"/>
          <w:szCs w:val="18"/>
        </w:rPr>
        <w:footnoteRef/>
      </w:r>
      <w:r w:rsidRPr="00CD7864">
        <w:rPr>
          <w:rFonts w:asciiTheme="minorHAnsi" w:hAnsiTheme="minorHAnsi"/>
          <w:sz w:val="18"/>
          <w:szCs w:val="18"/>
          <w:lang w:val="pt-BR"/>
        </w:rPr>
        <w:t xml:space="preserve"> </w:t>
      </w:r>
      <w:r w:rsidRPr="00CD7864">
        <w:rPr>
          <w:rFonts w:asciiTheme="minorHAnsi" w:hAnsiTheme="minorHAnsi"/>
          <w:sz w:val="18"/>
          <w:szCs w:val="18"/>
          <w:lang w:val="pt-BR"/>
        </w:rPr>
        <w:tab/>
        <w:t>Ver parágrafo 1.16.</w:t>
      </w:r>
    </w:p>
  </w:footnote>
  <w:footnote w:id="5">
    <w:p w14:paraId="7B173783" w14:textId="77777777" w:rsidR="0013322E" w:rsidRPr="00000804" w:rsidRDefault="0013322E" w:rsidP="0013322E">
      <w:pPr>
        <w:pStyle w:val="FootnoteText"/>
        <w:spacing w:after="0"/>
        <w:ind w:left="360" w:hanging="360"/>
        <w:jc w:val="both"/>
        <w:rPr>
          <w:rFonts w:asciiTheme="minorHAnsi" w:hAnsiTheme="minorHAnsi"/>
          <w:sz w:val="18"/>
          <w:szCs w:val="18"/>
          <w:lang w:val="pt-BR"/>
        </w:rPr>
      </w:pPr>
      <w:r w:rsidRPr="00000804">
        <w:rPr>
          <w:rStyle w:val="FootnoteReference"/>
          <w:rFonts w:asciiTheme="minorHAnsi" w:hAnsiTheme="minorHAnsi"/>
          <w:sz w:val="18"/>
          <w:szCs w:val="18"/>
        </w:rPr>
        <w:footnoteRef/>
      </w:r>
      <w:r w:rsidRPr="00000804">
        <w:rPr>
          <w:rFonts w:asciiTheme="minorHAnsi" w:hAnsiTheme="minorHAnsi"/>
          <w:sz w:val="18"/>
          <w:szCs w:val="18"/>
          <w:lang w:val="pt-BR"/>
        </w:rPr>
        <w:t xml:space="preserve"> </w:t>
      </w:r>
      <w:r w:rsidRPr="00000804">
        <w:rPr>
          <w:rFonts w:asciiTheme="minorHAnsi" w:hAnsiTheme="minorHAnsi"/>
          <w:sz w:val="18"/>
          <w:szCs w:val="18"/>
          <w:lang w:val="pt-BR"/>
        </w:rPr>
        <w:tab/>
        <w:t xml:space="preserve">Por exemplo, tal compromisso pode ser redigido como segue: “Comprometemo-nos, no decorrer do processo licitatório (e durante a execução do contrato, caso ele nos seja adjudicado), a observar estritamente a legislação contra fraude e corrupção em vigor no [país do Mutuário], referida pelo [Mutuário] no edital relativo a este contrato e, sem prejuízo dos procedimentos do Banco para lidar com casos de </w:t>
      </w:r>
      <w:r w:rsidRPr="004717E1">
        <w:rPr>
          <w:rFonts w:asciiTheme="minorHAnsi" w:hAnsiTheme="minorHAnsi"/>
          <w:color w:val="FF0000"/>
          <w:sz w:val="18"/>
          <w:szCs w:val="18"/>
          <w:lang w:val="pt-BR"/>
        </w:rPr>
        <w:t>práticas proibidas</w:t>
      </w:r>
      <w:r w:rsidRPr="00000804">
        <w:rPr>
          <w:rFonts w:asciiTheme="minorHAnsi" w:hAnsiTheme="minorHAnsi"/>
          <w:sz w:val="18"/>
          <w:szCs w:val="18"/>
          <w:lang w:val="pt-BR"/>
        </w:rPr>
        <w:t>, cumprir as normas administrativas estabelecidas por [autoridade local] para receber e resolver todas as queixas relativas aos procedimentos de licitação”.</w:t>
      </w:r>
    </w:p>
  </w:footnote>
  <w:footnote w:id="6">
    <w:p w14:paraId="797E0103" w14:textId="77777777" w:rsidR="002121B5" w:rsidRPr="00000804" w:rsidRDefault="002121B5" w:rsidP="002121B5">
      <w:pPr>
        <w:pStyle w:val="FootnoteText"/>
        <w:spacing w:after="0"/>
        <w:ind w:left="360" w:hanging="360"/>
        <w:jc w:val="both"/>
        <w:rPr>
          <w:rFonts w:asciiTheme="minorHAnsi" w:hAnsiTheme="minorHAnsi"/>
          <w:sz w:val="18"/>
          <w:szCs w:val="18"/>
          <w:lang w:val="pt-BR"/>
        </w:rPr>
      </w:pPr>
      <w:r w:rsidRPr="00000804">
        <w:rPr>
          <w:rStyle w:val="FootnoteReference"/>
          <w:rFonts w:asciiTheme="minorHAnsi" w:hAnsiTheme="minorHAnsi"/>
          <w:sz w:val="18"/>
          <w:szCs w:val="18"/>
        </w:rPr>
        <w:footnoteRef/>
      </w:r>
      <w:r w:rsidRPr="00000804">
        <w:rPr>
          <w:rFonts w:asciiTheme="minorHAnsi" w:hAnsiTheme="minorHAnsi"/>
          <w:sz w:val="18"/>
          <w:szCs w:val="18"/>
          <w:lang w:val="pt-BR"/>
        </w:rPr>
        <w:t xml:space="preserve"> </w:t>
      </w:r>
      <w:r w:rsidRPr="00000804">
        <w:rPr>
          <w:rFonts w:asciiTheme="minorHAnsi" w:hAnsiTheme="minorHAnsi"/>
          <w:spacing w:val="-14"/>
          <w:position w:val="8"/>
          <w:sz w:val="18"/>
          <w:szCs w:val="18"/>
          <w:lang w:val="pt-BR"/>
        </w:rPr>
        <w:tab/>
      </w:r>
      <w:r w:rsidRPr="00FD16BC">
        <w:rPr>
          <w:rFonts w:asciiTheme="minorHAnsi" w:hAnsiTheme="minorHAnsi"/>
          <w:sz w:val="18"/>
          <w:szCs w:val="18"/>
          <w:lang w:val="pt-BR"/>
        </w:rPr>
        <w:t xml:space="preserve">Bens em propostas para contratos do tipo empreitada integral poderão ser solicitados com base em DDP Entregue Imposto Pago até (local de destino) (ver INCOTERMS </w:t>
      </w:r>
      <w:r w:rsidRPr="006B0F69">
        <w:rPr>
          <w:rFonts w:asciiTheme="minorHAnsi" w:hAnsiTheme="minorHAnsi"/>
          <w:color w:val="FF0000"/>
          <w:sz w:val="18"/>
          <w:szCs w:val="18"/>
          <w:lang w:val="pt-BR"/>
        </w:rPr>
        <w:t>que correspondam ao momento do processo</w:t>
      </w:r>
      <w:r w:rsidRPr="00FD16BC">
        <w:rPr>
          <w:rFonts w:asciiTheme="minorHAnsi" w:hAnsiTheme="minorHAnsi"/>
          <w:sz w:val="18"/>
          <w:szCs w:val="18"/>
          <w:lang w:val="pt-BR"/>
        </w:rPr>
        <w:t>), e os licitantes devem poder escolher livremente as melhores combinações entre bens importados e bens produzidos no país do Mutuário na preparação de suas propostas.</w:t>
      </w:r>
    </w:p>
  </w:footnote>
  <w:footnote w:id="7">
    <w:p w14:paraId="7D6E2552" w14:textId="77777777" w:rsidR="002121B5" w:rsidRPr="00000804" w:rsidRDefault="002121B5" w:rsidP="002121B5">
      <w:pPr>
        <w:pStyle w:val="FootnoteText"/>
        <w:spacing w:after="0"/>
        <w:ind w:left="360" w:hanging="360"/>
        <w:jc w:val="both"/>
        <w:rPr>
          <w:rFonts w:asciiTheme="minorHAnsi" w:hAnsiTheme="minorHAnsi"/>
          <w:sz w:val="18"/>
          <w:szCs w:val="18"/>
          <w:lang w:val="pt-BR"/>
        </w:rPr>
      </w:pPr>
      <w:r w:rsidRPr="00000804">
        <w:rPr>
          <w:rStyle w:val="FootnoteReference"/>
          <w:rFonts w:asciiTheme="minorHAnsi" w:hAnsiTheme="minorHAnsi"/>
          <w:sz w:val="18"/>
          <w:szCs w:val="18"/>
        </w:rPr>
        <w:footnoteRef/>
      </w:r>
      <w:r w:rsidRPr="00000804">
        <w:rPr>
          <w:rFonts w:asciiTheme="minorHAnsi" w:hAnsiTheme="minorHAnsi"/>
          <w:sz w:val="18"/>
          <w:szCs w:val="18"/>
          <w:lang w:val="pt-BR"/>
        </w:rPr>
        <w:t xml:space="preserve"> </w:t>
      </w:r>
      <w:r w:rsidRPr="00000804">
        <w:rPr>
          <w:rFonts w:asciiTheme="minorHAnsi" w:hAnsiTheme="minorHAnsi"/>
          <w:sz w:val="18"/>
          <w:szCs w:val="18"/>
          <w:lang w:val="pt-BR"/>
        </w:rPr>
        <w:tab/>
      </w:r>
      <w:r w:rsidRPr="00FD16BC">
        <w:rPr>
          <w:rFonts w:asciiTheme="minorHAnsi" w:hAnsiTheme="minorHAnsi"/>
          <w:sz w:val="18"/>
          <w:szCs w:val="18"/>
          <w:lang w:val="pt-BR"/>
        </w:rPr>
        <w:t>Objetivando propiciar tempo suficiente para que as propostas sejam levadas até o local de abertura pública anunciado</w:t>
      </w:r>
      <w:r w:rsidRPr="00000804">
        <w:rPr>
          <w:rFonts w:asciiTheme="minorHAnsi" w:hAnsiTheme="minorHAnsi"/>
          <w:spacing w:val="-4"/>
          <w:w w:val="103"/>
          <w:sz w:val="18"/>
          <w:szCs w:val="18"/>
          <w:lang w:val="pt-BR"/>
        </w:rPr>
        <w:t>.</w:t>
      </w:r>
    </w:p>
  </w:footnote>
  <w:footnote w:id="8">
    <w:p w14:paraId="71714F6E" w14:textId="77777777" w:rsidR="002121B5" w:rsidRPr="00D42743" w:rsidRDefault="002121B5" w:rsidP="002121B5">
      <w:pPr>
        <w:pStyle w:val="FootnoteText"/>
        <w:rPr>
          <w:lang w:val="pt-BR"/>
        </w:rPr>
      </w:pPr>
      <w:r w:rsidRPr="009246CF">
        <w:rPr>
          <w:rStyle w:val="FootnoteReference"/>
          <w:color w:val="FF0000"/>
        </w:rPr>
        <w:footnoteRef/>
      </w:r>
      <w:r w:rsidRPr="009246CF">
        <w:rPr>
          <w:color w:val="FF0000"/>
          <w:lang w:val="pt-BR"/>
        </w:rPr>
        <w:t xml:space="preserve"> Notificação de intenção de adjudicação (NIA) é uma notificação por escrito transmitida a cada concorrente que apresentou uma proposta, informando</w:t>
      </w:r>
      <w:r>
        <w:rPr>
          <w:color w:val="FF0000"/>
          <w:lang w:val="pt-BR"/>
        </w:rPr>
        <w:t xml:space="preserve"> </w:t>
      </w:r>
      <w:r w:rsidRPr="009246CF">
        <w:rPr>
          <w:color w:val="FF0000"/>
          <w:lang w:val="pt-BR"/>
        </w:rPr>
        <w:t>da intenção de adjudicar o contrato ao licitante vencedor.</w:t>
      </w:r>
    </w:p>
  </w:footnote>
  <w:footnote w:id="9">
    <w:p w14:paraId="140D5A2D" w14:textId="77777777" w:rsidR="006937CE" w:rsidRPr="00000804" w:rsidRDefault="006937CE" w:rsidP="006937CE">
      <w:pPr>
        <w:pStyle w:val="FootnoteText"/>
        <w:spacing w:after="0"/>
        <w:ind w:left="360" w:hanging="360"/>
        <w:jc w:val="both"/>
        <w:rPr>
          <w:rFonts w:asciiTheme="minorHAnsi" w:hAnsiTheme="minorHAnsi"/>
          <w:sz w:val="18"/>
          <w:szCs w:val="18"/>
          <w:lang w:val="pt-BR"/>
        </w:rPr>
      </w:pPr>
      <w:r w:rsidRPr="00000804">
        <w:rPr>
          <w:rStyle w:val="FootnoteReference"/>
          <w:rFonts w:asciiTheme="minorHAnsi" w:hAnsiTheme="minorHAnsi"/>
          <w:sz w:val="18"/>
          <w:szCs w:val="18"/>
        </w:rPr>
        <w:footnoteRef/>
      </w:r>
      <w:r w:rsidRPr="00000804">
        <w:rPr>
          <w:rFonts w:asciiTheme="minorHAnsi" w:hAnsiTheme="minorHAnsi"/>
          <w:sz w:val="18"/>
          <w:szCs w:val="18"/>
          <w:lang w:val="pt-BR"/>
        </w:rPr>
        <w:t xml:space="preserve"> </w:t>
      </w:r>
      <w:r w:rsidRPr="00000804">
        <w:rPr>
          <w:rFonts w:asciiTheme="minorHAnsi" w:hAnsiTheme="minorHAnsi"/>
          <w:sz w:val="18"/>
          <w:szCs w:val="18"/>
          <w:lang w:val="pt-BR"/>
        </w:rPr>
        <w:tab/>
      </w:r>
      <w:r w:rsidRPr="00FD16BC">
        <w:rPr>
          <w:rFonts w:asciiTheme="minorHAnsi" w:hAnsiTheme="minorHAnsi"/>
          <w:sz w:val="18"/>
          <w:szCs w:val="18"/>
          <w:lang w:val="pt-BR"/>
        </w:rPr>
        <w:t xml:space="preserve">Referidos respectivamente como “licitante </w:t>
      </w:r>
      <w:r>
        <w:rPr>
          <w:rFonts w:asciiTheme="minorHAnsi" w:hAnsiTheme="minorHAnsi"/>
          <w:sz w:val="18"/>
          <w:szCs w:val="18"/>
          <w:lang w:val="pt-BR"/>
        </w:rPr>
        <w:t>avaliado mais vantajoso</w:t>
      </w:r>
      <w:r w:rsidRPr="00FD16BC">
        <w:rPr>
          <w:rFonts w:asciiTheme="minorHAnsi" w:hAnsiTheme="minorHAnsi"/>
          <w:sz w:val="18"/>
          <w:szCs w:val="18"/>
          <w:lang w:val="pt-BR"/>
        </w:rPr>
        <w:t>” e “a proposta avaliad</w:t>
      </w:r>
      <w:r>
        <w:rPr>
          <w:rFonts w:asciiTheme="minorHAnsi" w:hAnsiTheme="minorHAnsi"/>
          <w:sz w:val="18"/>
          <w:szCs w:val="18"/>
          <w:lang w:val="pt-BR"/>
        </w:rPr>
        <w:t>a como mais vantajosa</w:t>
      </w:r>
      <w:r w:rsidRPr="00FD16BC">
        <w:rPr>
          <w:rFonts w:asciiTheme="minorHAnsi" w:hAnsiTheme="minorHAnsi"/>
          <w:sz w:val="18"/>
          <w:szCs w:val="18"/>
          <w:lang w:val="pt-BR"/>
        </w:rPr>
        <w:t>”.</w:t>
      </w:r>
    </w:p>
  </w:footnote>
  <w:footnote w:id="10">
    <w:p w14:paraId="0ED1B743" w14:textId="77777777" w:rsidR="00C211F4" w:rsidRPr="00000804" w:rsidRDefault="00C211F4" w:rsidP="00C211F4">
      <w:pPr>
        <w:pStyle w:val="FootnoteText"/>
        <w:spacing w:after="0"/>
        <w:ind w:left="360" w:hanging="360"/>
        <w:jc w:val="both"/>
        <w:rPr>
          <w:rFonts w:asciiTheme="minorHAnsi" w:hAnsiTheme="minorHAnsi"/>
          <w:sz w:val="18"/>
          <w:szCs w:val="18"/>
          <w:lang w:val="pt-BR"/>
        </w:rPr>
      </w:pPr>
      <w:r w:rsidRPr="00000804">
        <w:rPr>
          <w:rStyle w:val="FootnoteReference"/>
          <w:rFonts w:asciiTheme="minorHAnsi" w:hAnsiTheme="minorHAnsi"/>
          <w:sz w:val="18"/>
          <w:szCs w:val="18"/>
        </w:rPr>
        <w:footnoteRef/>
      </w:r>
      <w:r w:rsidRPr="00000804">
        <w:rPr>
          <w:rFonts w:asciiTheme="minorHAnsi" w:hAnsiTheme="minorHAnsi"/>
          <w:sz w:val="18"/>
          <w:szCs w:val="18"/>
          <w:lang w:val="pt-BR"/>
        </w:rPr>
        <w:t xml:space="preserve"> </w:t>
      </w:r>
      <w:r w:rsidRPr="00000804">
        <w:rPr>
          <w:rFonts w:asciiTheme="minorHAnsi" w:hAnsiTheme="minorHAnsi"/>
          <w:sz w:val="18"/>
          <w:szCs w:val="18"/>
          <w:lang w:val="pt-BR"/>
        </w:rPr>
        <w:tab/>
      </w:r>
      <w:r w:rsidRPr="004D4E8C">
        <w:rPr>
          <w:rFonts w:asciiTheme="minorHAnsi" w:hAnsiTheme="minorHAnsi"/>
          <w:sz w:val="18"/>
          <w:szCs w:val="18"/>
          <w:lang w:val="pt-BR"/>
        </w:rPr>
        <w:t>Uma unidade de propriedade do governo que execute obras, desde que não goze de autonomia gerencial e financeira, deverá ser considerada como unidade de execução direta. “Execução Direta” é também conhecida como “mão-de-obra direta”, “unidades executoras departamentais” ou “trabalho executado diretamente”.</w:t>
      </w:r>
    </w:p>
  </w:footnote>
  <w:footnote w:id="11">
    <w:p w14:paraId="663FDCE4" w14:textId="77777777" w:rsidR="00B113AB" w:rsidRPr="00047324" w:rsidRDefault="00B113AB" w:rsidP="00B113AB">
      <w:pPr>
        <w:pStyle w:val="FootnoteText"/>
        <w:rPr>
          <w:lang w:val="pt-BR"/>
        </w:rPr>
      </w:pPr>
      <w:r w:rsidRPr="00047324">
        <w:rPr>
          <w:rStyle w:val="FootnoteReference"/>
          <w:color w:val="FF0000"/>
        </w:rPr>
        <w:footnoteRef/>
      </w:r>
      <w:r w:rsidRPr="00047324">
        <w:rPr>
          <w:color w:val="FF0000"/>
          <w:lang w:val="pt-BR"/>
        </w:rPr>
        <w:t xml:space="preserve"> O Mutuário pode incluir um valor razoável para o reembolso do custo de preparação de propostas </w:t>
      </w:r>
      <w:r>
        <w:rPr>
          <w:color w:val="FF0000"/>
          <w:lang w:val="pt-BR"/>
        </w:rPr>
        <w:t>não adjudicadas</w:t>
      </w:r>
      <w:r w:rsidRPr="00047324">
        <w:rPr>
          <w:color w:val="FF0000"/>
          <w:lang w:val="pt-BR"/>
        </w:rPr>
        <w:t xml:space="preserve"> de participantes qualificados, se justificado como uma medida para incentivar a </w:t>
      </w:r>
      <w:r>
        <w:rPr>
          <w:color w:val="FF0000"/>
          <w:lang w:val="pt-BR"/>
        </w:rPr>
        <w:t xml:space="preserve">maior participação de </w:t>
      </w:r>
      <w:r w:rsidRPr="00047324">
        <w:rPr>
          <w:color w:val="FF0000"/>
          <w:lang w:val="pt-BR"/>
        </w:rPr>
        <w:t>licitante</w:t>
      </w:r>
      <w:r>
        <w:rPr>
          <w:color w:val="FF0000"/>
          <w:lang w:val="pt-BR"/>
        </w:rPr>
        <w:t>s</w:t>
      </w:r>
      <w:r w:rsidRPr="00047324">
        <w:rPr>
          <w:color w:val="FF0000"/>
          <w:lang w:val="pt-BR"/>
        </w:rPr>
        <w:t xml:space="preserve"> no projeto.</w:t>
      </w:r>
    </w:p>
  </w:footnote>
  <w:footnote w:id="12">
    <w:p w14:paraId="3B0A01C0" w14:textId="77777777" w:rsidR="00B113AB" w:rsidRPr="00047324" w:rsidRDefault="00B113AB" w:rsidP="00B113AB">
      <w:pPr>
        <w:pStyle w:val="FootnoteText"/>
        <w:rPr>
          <w:color w:val="FF0000"/>
          <w:lang w:val="pt-BR"/>
        </w:rPr>
      </w:pPr>
      <w:r w:rsidRPr="00047324">
        <w:rPr>
          <w:rStyle w:val="FootnoteReference"/>
          <w:color w:val="FF0000"/>
        </w:rPr>
        <w:footnoteRef/>
      </w:r>
      <w:r w:rsidRPr="00047324">
        <w:rPr>
          <w:color w:val="FF0000"/>
          <w:lang w:val="pt-BR"/>
        </w:rPr>
        <w:t xml:space="preserve"> CPO: Construção, Propriedade, Operação;</w:t>
      </w:r>
    </w:p>
    <w:p w14:paraId="09F2044F" w14:textId="77777777" w:rsidR="00B113AB" w:rsidRPr="00047324" w:rsidRDefault="00B113AB" w:rsidP="00B113AB">
      <w:pPr>
        <w:pStyle w:val="FootnoteText"/>
        <w:rPr>
          <w:color w:val="FF0000"/>
          <w:lang w:val="pt-BR"/>
        </w:rPr>
      </w:pPr>
      <w:r w:rsidRPr="00047324">
        <w:rPr>
          <w:color w:val="FF0000"/>
          <w:lang w:val="pt-BR"/>
        </w:rPr>
        <w:t>COT: Construção, Operação, Transferência;</w:t>
      </w:r>
    </w:p>
    <w:p w14:paraId="249C1135" w14:textId="77777777" w:rsidR="00B113AB" w:rsidRPr="00F72A9D" w:rsidRDefault="00B113AB" w:rsidP="00B113AB">
      <w:pPr>
        <w:pStyle w:val="FootnoteText"/>
        <w:rPr>
          <w:color w:val="FF0000"/>
          <w:lang w:val="pt-BR"/>
        </w:rPr>
      </w:pPr>
      <w:r w:rsidRPr="00047324">
        <w:rPr>
          <w:color w:val="FF0000"/>
          <w:lang w:val="pt-BR"/>
        </w:rPr>
        <w:t>CPO</w:t>
      </w:r>
      <w:r w:rsidRPr="00F72A9D">
        <w:rPr>
          <w:color w:val="FF0000"/>
          <w:lang w:val="pt-BR"/>
        </w:rPr>
        <w:t>T: Construção, Propriedade, Operação, Transferência.</w:t>
      </w:r>
    </w:p>
  </w:footnote>
  <w:footnote w:id="13">
    <w:p w14:paraId="124CF52D" w14:textId="77777777" w:rsidR="00B113AB" w:rsidRPr="00F72A9D" w:rsidRDefault="00B113AB" w:rsidP="00B113AB">
      <w:pPr>
        <w:pStyle w:val="FootnoteText"/>
        <w:rPr>
          <w:lang w:val="pt-BR"/>
        </w:rPr>
      </w:pPr>
      <w:r w:rsidRPr="00F72A9D">
        <w:rPr>
          <w:rStyle w:val="FootnoteReference"/>
          <w:color w:val="FF0000"/>
        </w:rPr>
        <w:footnoteRef/>
      </w:r>
      <w:r w:rsidRPr="00F72A9D">
        <w:rPr>
          <w:color w:val="FF0000"/>
          <w:lang w:val="pt-BR"/>
        </w:rPr>
        <w:t xml:space="preserve"> Para projetos como estradas com pedágio, túneis, portos, pontes, usinas elétricas, usinas de disposição de resíduos e sistemas de distribuição de água</w:t>
      </w:r>
    </w:p>
  </w:footnote>
  <w:footnote w:id="14">
    <w:p w14:paraId="0E280D43" w14:textId="77777777" w:rsidR="00B113AB" w:rsidRPr="00000804" w:rsidRDefault="00B113AB" w:rsidP="00B113AB">
      <w:pPr>
        <w:pStyle w:val="FootnoteText"/>
        <w:spacing w:after="0"/>
        <w:ind w:left="360" w:hanging="360"/>
        <w:jc w:val="both"/>
        <w:rPr>
          <w:rFonts w:asciiTheme="minorHAnsi" w:hAnsiTheme="minorHAnsi"/>
          <w:sz w:val="18"/>
          <w:szCs w:val="18"/>
          <w:lang w:val="pt-BR"/>
        </w:rPr>
      </w:pPr>
      <w:r w:rsidRPr="00000804">
        <w:rPr>
          <w:rStyle w:val="FootnoteReference"/>
          <w:rFonts w:asciiTheme="minorHAnsi" w:hAnsiTheme="minorHAnsi"/>
          <w:sz w:val="18"/>
          <w:szCs w:val="18"/>
        </w:rPr>
        <w:footnoteRef/>
      </w:r>
      <w:r w:rsidRPr="00000804">
        <w:rPr>
          <w:rFonts w:asciiTheme="minorHAnsi" w:hAnsiTheme="minorHAnsi"/>
          <w:sz w:val="18"/>
          <w:szCs w:val="18"/>
          <w:lang w:val="pt-BR"/>
        </w:rPr>
        <w:t xml:space="preserve"> </w:t>
      </w:r>
      <w:r w:rsidRPr="00000804">
        <w:rPr>
          <w:rFonts w:asciiTheme="minorHAnsi" w:hAnsiTheme="minorHAnsi"/>
          <w:sz w:val="18"/>
          <w:szCs w:val="18"/>
          <w:lang w:val="pt-BR"/>
        </w:rPr>
        <w:tab/>
      </w:r>
      <w:r w:rsidRPr="004D4E8C">
        <w:rPr>
          <w:rFonts w:asciiTheme="minorHAnsi" w:hAnsiTheme="minorHAnsi"/>
          <w:sz w:val="18"/>
          <w:szCs w:val="18"/>
          <w:lang w:val="pt-BR"/>
        </w:rPr>
        <w:t>Exemplos de tais tipos de aquisição são: (i) para o caso de aquisição de serviços: prestação de serviços médicos, isto é, pagamentos de serviços específicos, como consultas ou testes de laboratório definidos etc.; (ii) para o caso de aquisição de uma instalação: projeto, aquisição, construção e comissionamento de uma usina térmica a ser operada pelo Mutuário; (iii) para o caso de aquisição de uma instalação e serviços: projeto, aquisição, construção (ou recuperação) de uma estrada e operação e manutenção da mesma por um período de cinco anos após a construção.</w:t>
      </w:r>
    </w:p>
  </w:footnote>
  <w:footnote w:id="15">
    <w:p w14:paraId="5182DDEE" w14:textId="77777777" w:rsidR="00B113AB" w:rsidRPr="00000804" w:rsidRDefault="00B113AB" w:rsidP="00B113AB">
      <w:pPr>
        <w:pStyle w:val="FootnoteText"/>
        <w:ind w:left="360" w:hanging="360"/>
        <w:jc w:val="both"/>
        <w:rPr>
          <w:rFonts w:asciiTheme="minorHAnsi" w:hAnsiTheme="minorHAnsi"/>
          <w:sz w:val="18"/>
          <w:szCs w:val="18"/>
          <w:lang w:val="pt-BR"/>
        </w:rPr>
      </w:pPr>
      <w:r w:rsidRPr="00000804">
        <w:rPr>
          <w:rStyle w:val="FootnoteReference"/>
          <w:rFonts w:asciiTheme="minorHAnsi" w:hAnsiTheme="minorHAnsi"/>
          <w:sz w:val="18"/>
          <w:szCs w:val="18"/>
        </w:rPr>
        <w:footnoteRef/>
      </w:r>
      <w:r w:rsidRPr="00000804">
        <w:rPr>
          <w:rFonts w:asciiTheme="minorHAnsi" w:hAnsiTheme="minorHAnsi"/>
          <w:sz w:val="18"/>
          <w:szCs w:val="18"/>
          <w:lang w:val="pt-BR"/>
        </w:rPr>
        <w:t xml:space="preserve"> </w:t>
      </w:r>
      <w:r w:rsidRPr="00000804">
        <w:rPr>
          <w:rFonts w:asciiTheme="minorHAnsi" w:hAnsiTheme="minorHAnsi"/>
          <w:sz w:val="18"/>
          <w:szCs w:val="18"/>
          <w:lang w:val="pt-BR"/>
        </w:rPr>
        <w:tab/>
      </w:r>
      <w:r w:rsidRPr="004D4E8C">
        <w:rPr>
          <w:rFonts w:asciiTheme="minorHAnsi" w:hAnsiTheme="minorHAnsi"/>
          <w:sz w:val="18"/>
          <w:szCs w:val="18"/>
          <w:lang w:val="pt-BR"/>
        </w:rPr>
        <w:t>Para contratos sujeitos a contratação direta, de acordo com os parágrafos 3.6 e 3.7, uma cópia das especificações e minuta do contrato deverá ser fornecida pelo Mutuário ao Banco para sua aprovação. O contrato somente poderá ser executado após a aprovação do Banco. As disposições da alínea (h) deste parágrafo deverão aplicar-se em relação ao contrato executado</w:t>
      </w:r>
      <w:r w:rsidRPr="00000804">
        <w:rPr>
          <w:rFonts w:asciiTheme="minorHAnsi" w:hAnsiTheme="minorHAnsi"/>
          <w:spacing w:val="-4"/>
          <w:w w:val="103"/>
          <w:sz w:val="18"/>
          <w:szCs w:val="18"/>
          <w:lang w:val="pt-BR"/>
        </w:rPr>
        <w:t>.</w:t>
      </w:r>
    </w:p>
  </w:footnote>
  <w:footnote w:id="16">
    <w:p w14:paraId="20EAE82A" w14:textId="77777777" w:rsidR="00B113AB" w:rsidRPr="00C572B5" w:rsidRDefault="00B113AB" w:rsidP="00B113AB">
      <w:pPr>
        <w:pStyle w:val="FootnoteText"/>
        <w:rPr>
          <w:lang w:val="pt-BR"/>
        </w:rPr>
      </w:pPr>
      <w:r w:rsidRPr="00C572B5">
        <w:rPr>
          <w:rStyle w:val="FootnoteReference"/>
          <w:color w:val="FF0000"/>
        </w:rPr>
        <w:footnoteRef/>
      </w:r>
      <w:r w:rsidRPr="00C572B5">
        <w:rPr>
          <w:color w:val="FF0000"/>
          <w:lang w:val="pt-BR"/>
        </w:rPr>
        <w:t xml:space="preserve"> Após a decisão de adjudicar o contrato, o Mutuário deverá prontamente e simultaneamente fornecer notificação por escrito da intenção do Mutuário de adjudicar o contrato ao licitante vencedor (a Notificação de Intenção de </w:t>
      </w:r>
      <w:r>
        <w:rPr>
          <w:color w:val="FF0000"/>
          <w:lang w:val="pt-BR"/>
        </w:rPr>
        <w:t>Adjudicação</w:t>
      </w:r>
      <w:r w:rsidRPr="00C572B5">
        <w:rPr>
          <w:color w:val="FF0000"/>
          <w:lang w:val="pt-BR"/>
        </w:rPr>
        <w:t xml:space="preserve">) a todos os licitantes. Esta notificação inicia o </w:t>
      </w:r>
      <w:r>
        <w:rPr>
          <w:color w:val="FF0000"/>
          <w:lang w:val="pt-BR"/>
        </w:rPr>
        <w:t>prazo suspensivo</w:t>
      </w:r>
      <w:r w:rsidRPr="00C572B5">
        <w:rPr>
          <w:color w:val="FF0000"/>
          <w:lang w:val="pt-BR"/>
        </w:rPr>
        <w:t xml:space="preserve">. O Mutuário publicará o aviso de adjudicação do Contrato após o término do </w:t>
      </w:r>
      <w:r>
        <w:rPr>
          <w:color w:val="FF0000"/>
          <w:lang w:val="pt-BR"/>
        </w:rPr>
        <w:t>prazo suspensivo</w:t>
      </w:r>
      <w:r w:rsidRPr="00C572B5">
        <w:rPr>
          <w:color w:val="FF0000"/>
          <w:lang w:val="pt-BR"/>
        </w:rPr>
        <w:t xml:space="preserve">. Se o Mutuário receber uma queixa de um licitante </w:t>
      </w:r>
      <w:r>
        <w:rPr>
          <w:color w:val="FF0000"/>
          <w:lang w:val="pt-BR"/>
        </w:rPr>
        <w:t xml:space="preserve">não adjudicado </w:t>
      </w:r>
      <w:r w:rsidRPr="00C572B5">
        <w:rPr>
          <w:color w:val="FF0000"/>
          <w:lang w:val="pt-BR"/>
        </w:rPr>
        <w:t xml:space="preserve">dentro do </w:t>
      </w:r>
      <w:r>
        <w:rPr>
          <w:color w:val="FF0000"/>
          <w:lang w:val="pt-BR"/>
        </w:rPr>
        <w:t>prazo suspensivo</w:t>
      </w:r>
      <w:r w:rsidRPr="00C572B5">
        <w:rPr>
          <w:color w:val="FF0000"/>
          <w:lang w:val="pt-BR"/>
        </w:rPr>
        <w:t>, o Mutuário não deverá prosseguir com a adjudicação do contrato até que a reclamação seja tratada em consulta com o Banco para processos de revisão ex 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63D6" w14:textId="77777777" w:rsidR="00FF61BF" w:rsidRPr="00DD4F32" w:rsidRDefault="00FF61BF" w:rsidP="00E25819">
    <w:pPr>
      <w:pStyle w:val="Header"/>
      <w:jc w:val="center"/>
      <w:rPr>
        <w:b/>
        <w:lang w:val="es-V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B2D5" w14:textId="6D24191B" w:rsidR="002428D5" w:rsidRPr="00CD7864" w:rsidRDefault="002428D5" w:rsidP="002428D5">
    <w:pPr>
      <w:pStyle w:val="Header"/>
      <w:jc w:val="center"/>
      <w:rPr>
        <w:b/>
        <w:lang w:val="pt-BR"/>
      </w:rPr>
    </w:pPr>
    <w:r w:rsidRPr="00DD4F32">
      <w:rPr>
        <w:rFonts w:ascii="Segoe UI" w:hAnsi="Segoe UI" w:cs="Segoe UI"/>
        <w:b/>
        <w:noProof/>
        <w:color w:val="444444"/>
        <w:sz w:val="20"/>
      </w:rPr>
      <w:drawing>
        <wp:anchor distT="0" distB="0" distL="114300" distR="114300" simplePos="0" relativeHeight="251661312" behindDoc="0" locked="0" layoutInCell="1" allowOverlap="1" wp14:anchorId="0B8E2CB7" wp14:editId="68560E04">
          <wp:simplePos x="0" y="0"/>
          <wp:positionH relativeFrom="column">
            <wp:posOffset>1905</wp:posOffset>
          </wp:positionH>
          <wp:positionV relativeFrom="paragraph">
            <wp:posOffset>-347557</wp:posOffset>
          </wp:positionV>
          <wp:extent cx="1151255" cy="814070"/>
          <wp:effectExtent l="0" t="0" r="0" b="0"/>
          <wp:wrapSquare wrapText="bothSides"/>
          <wp:docPr id="2" name="Picture 2" descr="BID_sin descriptor_ByN_MR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_sin descriptor_ByN_MR_15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255" cy="814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864" w:rsidRPr="00CD7864">
      <w:rPr>
        <w:b/>
        <w:lang w:val="pt-BR"/>
      </w:rPr>
      <w:t>EXPANSÃO</w:t>
    </w:r>
    <w:r w:rsidRPr="00CD7864">
      <w:rPr>
        <w:b/>
        <w:lang w:val="pt-BR"/>
      </w:rPr>
      <w:t xml:space="preserve"> DAS POL</w:t>
    </w:r>
    <w:r w:rsidR="00CD7864" w:rsidRPr="00CD7864">
      <w:rPr>
        <w:b/>
        <w:lang w:val="pt-BR"/>
      </w:rPr>
      <w:t>Í</w:t>
    </w:r>
    <w:r w:rsidRPr="00CD7864">
      <w:rPr>
        <w:b/>
        <w:lang w:val="pt-BR"/>
      </w:rPr>
      <w:t>TICAS DE AQUISI</w:t>
    </w:r>
    <w:r w:rsidR="00CD7864" w:rsidRPr="00CD7864">
      <w:rPr>
        <w:b/>
        <w:lang w:val="pt-BR"/>
      </w:rPr>
      <w:t>ÇÕES</w:t>
    </w:r>
    <w:r w:rsidR="00CD7864">
      <w:rPr>
        <w:b/>
        <w:lang w:val="pt-BR"/>
      </w:rPr>
      <w:t xml:space="preserve"> </w:t>
    </w:r>
    <w:r w:rsidRPr="00CD7864">
      <w:rPr>
        <w:b/>
        <w:lang w:val="pt-BR"/>
      </w:rPr>
      <w:t>– CONSULTA P</w:t>
    </w:r>
    <w:r w:rsidR="00CD7864" w:rsidRPr="00CD7864">
      <w:rPr>
        <w:b/>
        <w:lang w:val="pt-BR"/>
      </w:rPr>
      <w:t>Ú</w:t>
    </w:r>
    <w:r w:rsidRPr="00CD7864">
      <w:rPr>
        <w:b/>
        <w:lang w:val="pt-BR"/>
      </w:rPr>
      <w:t>BLICA</w:t>
    </w:r>
  </w:p>
  <w:p w14:paraId="5FB05A89" w14:textId="21AFF0A6" w:rsidR="002428D5" w:rsidRPr="00CD7864" w:rsidRDefault="002428D5" w:rsidP="002428D5">
    <w:pPr>
      <w:pStyle w:val="Header"/>
      <w:jc w:val="center"/>
      <w:rPr>
        <w:b/>
        <w:sz w:val="24"/>
        <w:szCs w:val="24"/>
        <w:lang w:val="pt-BR"/>
      </w:rPr>
    </w:pPr>
    <w:r w:rsidRPr="00CD7864">
      <w:rPr>
        <w:b/>
        <w:sz w:val="24"/>
        <w:szCs w:val="24"/>
        <w:lang w:val="pt-BR"/>
      </w:rPr>
      <w:t>Tab</w:t>
    </w:r>
    <w:r w:rsidR="00CD7864" w:rsidRPr="00CD7864">
      <w:rPr>
        <w:b/>
        <w:sz w:val="24"/>
        <w:szCs w:val="24"/>
        <w:lang w:val="pt-BR"/>
      </w:rPr>
      <w:t>e</w:t>
    </w:r>
    <w:r w:rsidRPr="00CD7864">
      <w:rPr>
        <w:b/>
        <w:sz w:val="24"/>
        <w:szCs w:val="24"/>
        <w:lang w:val="pt-BR"/>
      </w:rPr>
      <w:t>la de Coment</w:t>
    </w:r>
    <w:r w:rsidR="00CD7864" w:rsidRPr="00CD7864">
      <w:rPr>
        <w:b/>
        <w:sz w:val="24"/>
        <w:szCs w:val="24"/>
        <w:lang w:val="pt-BR"/>
      </w:rPr>
      <w:t>á</w:t>
    </w:r>
    <w:r w:rsidRPr="00CD7864">
      <w:rPr>
        <w:b/>
        <w:sz w:val="24"/>
        <w:szCs w:val="24"/>
        <w:lang w:val="pt-BR"/>
      </w:rPr>
      <w:t xml:space="preserve">rios – Políticas para a </w:t>
    </w:r>
    <w:proofErr w:type="spellStart"/>
    <w:r w:rsidR="00B14D72" w:rsidRPr="00CD7864">
      <w:rPr>
        <w:b/>
        <w:sz w:val="24"/>
        <w:szCs w:val="24"/>
        <w:lang w:val="pt-BR"/>
      </w:rPr>
      <w:t>Adquisi</w:t>
    </w:r>
    <w:r w:rsidR="00CD7864" w:rsidRPr="00CD7864">
      <w:rPr>
        <w:b/>
        <w:sz w:val="24"/>
        <w:szCs w:val="24"/>
        <w:lang w:val="pt-BR"/>
      </w:rPr>
      <w:t>ção</w:t>
    </w:r>
    <w:proofErr w:type="spellEnd"/>
    <w:r w:rsidR="00B14D72" w:rsidRPr="00CD7864">
      <w:rPr>
        <w:b/>
        <w:sz w:val="24"/>
        <w:szCs w:val="24"/>
        <w:lang w:val="pt-BR"/>
      </w:rPr>
      <w:t xml:space="preserve"> de B</w:t>
    </w:r>
    <w:r w:rsidR="00CD7864" w:rsidRPr="00CD7864">
      <w:rPr>
        <w:b/>
        <w:sz w:val="24"/>
        <w:szCs w:val="24"/>
        <w:lang w:val="pt-BR"/>
      </w:rPr>
      <w:t>e</w:t>
    </w:r>
    <w:r w:rsidR="00CD7864">
      <w:rPr>
        <w:b/>
        <w:sz w:val="24"/>
        <w:szCs w:val="24"/>
        <w:lang w:val="pt-BR"/>
      </w:rPr>
      <w:t>ns e</w:t>
    </w:r>
    <w:r w:rsidR="00B14D72" w:rsidRPr="00CD7864">
      <w:rPr>
        <w:b/>
        <w:sz w:val="24"/>
        <w:szCs w:val="24"/>
        <w:lang w:val="pt-BR"/>
      </w:rPr>
      <w:t xml:space="preserve"> Obras</w:t>
    </w:r>
    <w:r w:rsidRPr="00CD7864">
      <w:rPr>
        <w:b/>
        <w:sz w:val="24"/>
        <w:szCs w:val="24"/>
        <w:lang w:val="pt-BR"/>
      </w:rPr>
      <w:t xml:space="preserve"> - BID</w:t>
    </w:r>
  </w:p>
  <w:p w14:paraId="21A968F0" w14:textId="77777777" w:rsidR="00FF61BF" w:rsidRPr="00CD7864" w:rsidRDefault="00FF61BF">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C71"/>
    <w:multiLevelType w:val="hybridMultilevel"/>
    <w:tmpl w:val="BCACC930"/>
    <w:lvl w:ilvl="0" w:tplc="767CEB02">
      <w:start w:val="1"/>
      <w:numFmt w:val="lowerLetter"/>
      <w:lvlText w:val="(%1)"/>
      <w:lvlJc w:val="left"/>
      <w:pPr>
        <w:tabs>
          <w:tab w:val="num" w:pos="1375"/>
        </w:tabs>
        <w:ind w:left="1375" w:hanging="5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D7027A"/>
    <w:multiLevelType w:val="hybridMultilevel"/>
    <w:tmpl w:val="5096ECAA"/>
    <w:lvl w:ilvl="0" w:tplc="2120465C">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 w15:restartNumberingAfterBreak="0">
    <w:nsid w:val="07520B63"/>
    <w:multiLevelType w:val="hybridMultilevel"/>
    <w:tmpl w:val="4DB81220"/>
    <w:lvl w:ilvl="0" w:tplc="8D904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147B"/>
    <w:multiLevelType w:val="multilevel"/>
    <w:tmpl w:val="129A2384"/>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495"/>
        </w:tabs>
        <w:ind w:left="495" w:hanging="405"/>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EC7A92"/>
    <w:multiLevelType w:val="hybridMultilevel"/>
    <w:tmpl w:val="29F401BA"/>
    <w:lvl w:ilvl="0" w:tplc="C136E7D2">
      <w:start w:val="4"/>
      <w:numFmt w:val="lowerLetter"/>
      <w:lvlText w:val="(%1)"/>
      <w:lvlJc w:val="left"/>
      <w:pPr>
        <w:tabs>
          <w:tab w:val="num" w:pos="1375"/>
        </w:tabs>
        <w:ind w:left="1375"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A538A"/>
    <w:multiLevelType w:val="hybridMultilevel"/>
    <w:tmpl w:val="4AE0CDE4"/>
    <w:lvl w:ilvl="0" w:tplc="767CEB0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29AA065A"/>
    <w:multiLevelType w:val="hybridMultilevel"/>
    <w:tmpl w:val="D4B01A2C"/>
    <w:lvl w:ilvl="0" w:tplc="BDA60F6E">
      <w:start w:val="4"/>
      <w:numFmt w:val="lowerLetter"/>
      <w:lvlText w:val="(%1)"/>
      <w:lvlJc w:val="left"/>
      <w:pPr>
        <w:tabs>
          <w:tab w:val="num" w:pos="1375"/>
        </w:tabs>
        <w:ind w:left="1375"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2208C"/>
    <w:multiLevelType w:val="hybridMultilevel"/>
    <w:tmpl w:val="A4641D08"/>
    <w:lvl w:ilvl="0" w:tplc="0868EAB8">
      <w:start w:val="1"/>
      <w:numFmt w:val="decimal"/>
      <w:lvlText w:val="%1."/>
      <w:lvlJc w:val="left"/>
      <w:pPr>
        <w:ind w:left="360" w:hanging="360"/>
      </w:pPr>
      <w:rPr>
        <w:rFonts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8E2C2C"/>
    <w:multiLevelType w:val="hybridMultilevel"/>
    <w:tmpl w:val="B4B4FBDC"/>
    <w:lvl w:ilvl="0" w:tplc="21204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A4635"/>
    <w:multiLevelType w:val="hybridMultilevel"/>
    <w:tmpl w:val="3C0CEF82"/>
    <w:lvl w:ilvl="0" w:tplc="04090017">
      <w:start w:val="1"/>
      <w:numFmt w:val="lowerLetter"/>
      <w:lvlText w:val="%1)"/>
      <w:lvlJc w:val="left"/>
      <w:pPr>
        <w:ind w:left="1125" w:hanging="360"/>
      </w:p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4EBD5F33"/>
    <w:multiLevelType w:val="hybridMultilevel"/>
    <w:tmpl w:val="6B38B748"/>
    <w:lvl w:ilvl="0" w:tplc="0466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57FEF"/>
    <w:multiLevelType w:val="hybridMultilevel"/>
    <w:tmpl w:val="9DCC2EAC"/>
    <w:lvl w:ilvl="0" w:tplc="B89CF1B0">
      <w:start w:val="5"/>
      <w:numFmt w:val="lowerLetter"/>
      <w:lvlText w:val="(%1)"/>
      <w:lvlJc w:val="left"/>
      <w:pPr>
        <w:tabs>
          <w:tab w:val="num" w:pos="1375"/>
        </w:tabs>
        <w:ind w:left="1375"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81F84"/>
    <w:multiLevelType w:val="hybridMultilevel"/>
    <w:tmpl w:val="0C5C7EAC"/>
    <w:lvl w:ilvl="0" w:tplc="C9D6A4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21C5A"/>
    <w:multiLevelType w:val="hybridMultilevel"/>
    <w:tmpl w:val="BCACC930"/>
    <w:lvl w:ilvl="0" w:tplc="767CEB02">
      <w:start w:val="1"/>
      <w:numFmt w:val="lowerLetter"/>
      <w:lvlText w:val="(%1)"/>
      <w:lvlJc w:val="left"/>
      <w:pPr>
        <w:tabs>
          <w:tab w:val="num" w:pos="1375"/>
        </w:tabs>
        <w:ind w:left="1375" w:hanging="5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77370EC"/>
    <w:multiLevelType w:val="hybridMultilevel"/>
    <w:tmpl w:val="BCACC930"/>
    <w:lvl w:ilvl="0" w:tplc="767CEB02">
      <w:start w:val="1"/>
      <w:numFmt w:val="lowerLetter"/>
      <w:lvlText w:val="(%1)"/>
      <w:lvlJc w:val="left"/>
      <w:pPr>
        <w:tabs>
          <w:tab w:val="num" w:pos="1375"/>
        </w:tabs>
        <w:ind w:left="1375" w:hanging="5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BE4BCD"/>
    <w:multiLevelType w:val="singleLevel"/>
    <w:tmpl w:val="D6A03D24"/>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6" w15:restartNumberingAfterBreak="0">
    <w:nsid w:val="6B487F2A"/>
    <w:multiLevelType w:val="multilevel"/>
    <w:tmpl w:val="129A2384"/>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495"/>
        </w:tabs>
        <w:ind w:left="495" w:hanging="405"/>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644D07"/>
    <w:multiLevelType w:val="hybridMultilevel"/>
    <w:tmpl w:val="86747A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FD6F90"/>
    <w:multiLevelType w:val="hybridMultilevel"/>
    <w:tmpl w:val="A4641D08"/>
    <w:lvl w:ilvl="0" w:tplc="0868EAB8">
      <w:start w:val="1"/>
      <w:numFmt w:val="decimal"/>
      <w:lvlText w:val="%1."/>
      <w:lvlJc w:val="left"/>
      <w:pPr>
        <w:ind w:left="540" w:hanging="360"/>
      </w:pPr>
      <w:rPr>
        <w:rFonts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2D7DF6"/>
    <w:multiLevelType w:val="multilevel"/>
    <w:tmpl w:val="7354F55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6D528D5"/>
    <w:multiLevelType w:val="multilevel"/>
    <w:tmpl w:val="29C0F362"/>
    <w:lvl w:ilvl="0">
      <w:start w:val="1"/>
      <w:numFmt w:val="decimal"/>
      <w:lvlText w:val="%1"/>
      <w:lvlJc w:val="left"/>
      <w:pPr>
        <w:tabs>
          <w:tab w:val="num" w:pos="405"/>
        </w:tabs>
        <w:ind w:left="405" w:hanging="405"/>
      </w:pPr>
      <w:rPr>
        <w:rFonts w:hint="default"/>
      </w:rPr>
    </w:lvl>
    <w:lvl w:ilvl="1">
      <w:start w:val="1"/>
      <w:numFmt w:val="decimal"/>
      <w:lvlText w:val="3.%2."/>
      <w:lvlJc w:val="left"/>
      <w:pPr>
        <w:tabs>
          <w:tab w:val="num" w:pos="495"/>
        </w:tabs>
        <w:ind w:left="495" w:hanging="405"/>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1C0996"/>
    <w:multiLevelType w:val="hybridMultilevel"/>
    <w:tmpl w:val="F4DA02FA"/>
    <w:lvl w:ilvl="0" w:tplc="A732B382">
      <w:start w:val="5"/>
      <w:numFmt w:val="lowerLetter"/>
      <w:lvlText w:val="(%1)"/>
      <w:lvlJc w:val="left"/>
      <w:pPr>
        <w:tabs>
          <w:tab w:val="num" w:pos="547"/>
        </w:tabs>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5021D"/>
    <w:multiLevelType w:val="hybridMultilevel"/>
    <w:tmpl w:val="9BC2E0C4"/>
    <w:lvl w:ilvl="0" w:tplc="A9D6F032">
      <w:start w:val="1"/>
      <w:numFmt w:val="lowerLetter"/>
      <w:lvlText w:val="(%1)"/>
      <w:lvlJc w:val="left"/>
      <w:pPr>
        <w:tabs>
          <w:tab w:val="num" w:pos="2095"/>
        </w:tabs>
        <w:ind w:left="2095" w:hanging="54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BB50FC6"/>
    <w:multiLevelType w:val="hybridMultilevel"/>
    <w:tmpl w:val="BCACC930"/>
    <w:lvl w:ilvl="0" w:tplc="767CEB02">
      <w:start w:val="1"/>
      <w:numFmt w:val="lowerLetter"/>
      <w:lvlText w:val="(%1)"/>
      <w:lvlJc w:val="left"/>
      <w:pPr>
        <w:tabs>
          <w:tab w:val="num" w:pos="1375"/>
        </w:tabs>
        <w:ind w:left="1375" w:hanging="547"/>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D2001D4"/>
    <w:multiLevelType w:val="hybridMultilevel"/>
    <w:tmpl w:val="DDF8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34F8D"/>
    <w:multiLevelType w:val="hybridMultilevel"/>
    <w:tmpl w:val="9BA0F250"/>
    <w:lvl w:ilvl="0" w:tplc="2E94408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6"/>
  </w:num>
  <w:num w:numId="2">
    <w:abstractNumId w:val="24"/>
  </w:num>
  <w:num w:numId="3">
    <w:abstractNumId w:val="8"/>
  </w:num>
  <w:num w:numId="4">
    <w:abstractNumId w:val="1"/>
  </w:num>
  <w:num w:numId="5">
    <w:abstractNumId w:val="20"/>
  </w:num>
  <w:num w:numId="6">
    <w:abstractNumId w:val="23"/>
  </w:num>
  <w:num w:numId="7">
    <w:abstractNumId w:val="14"/>
  </w:num>
  <w:num w:numId="8">
    <w:abstractNumId w:val="12"/>
  </w:num>
  <w:num w:numId="9">
    <w:abstractNumId w:val="10"/>
  </w:num>
  <w:num w:numId="10">
    <w:abstractNumId w:val="17"/>
  </w:num>
  <w:num w:numId="11">
    <w:abstractNumId w:val="2"/>
  </w:num>
  <w:num w:numId="12">
    <w:abstractNumId w:val="19"/>
  </w:num>
  <w:num w:numId="13">
    <w:abstractNumId w:val="13"/>
  </w:num>
  <w:num w:numId="14">
    <w:abstractNumId w:val="0"/>
  </w:num>
  <w:num w:numId="15">
    <w:abstractNumId w:val="4"/>
  </w:num>
  <w:num w:numId="16">
    <w:abstractNumId w:val="3"/>
  </w:num>
  <w:num w:numId="17">
    <w:abstractNumId w:val="9"/>
  </w:num>
  <w:num w:numId="18">
    <w:abstractNumId w:val="25"/>
  </w:num>
  <w:num w:numId="19">
    <w:abstractNumId w:val="7"/>
  </w:num>
  <w:num w:numId="20">
    <w:abstractNumId w:val="22"/>
  </w:num>
  <w:num w:numId="21">
    <w:abstractNumId w:val="21"/>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39"/>
    <w:rsid w:val="000201A1"/>
    <w:rsid w:val="000306A5"/>
    <w:rsid w:val="00035CFB"/>
    <w:rsid w:val="0006187C"/>
    <w:rsid w:val="000638B4"/>
    <w:rsid w:val="00067DED"/>
    <w:rsid w:val="00071BD3"/>
    <w:rsid w:val="000905DE"/>
    <w:rsid w:val="000A0FBC"/>
    <w:rsid w:val="000B67F5"/>
    <w:rsid w:val="000C2436"/>
    <w:rsid w:val="000D2AAF"/>
    <w:rsid w:val="000D2B20"/>
    <w:rsid w:val="000E683C"/>
    <w:rsid w:val="00114142"/>
    <w:rsid w:val="00131947"/>
    <w:rsid w:val="0013322E"/>
    <w:rsid w:val="00133B0F"/>
    <w:rsid w:val="00136BA4"/>
    <w:rsid w:val="0014189C"/>
    <w:rsid w:val="0015688F"/>
    <w:rsid w:val="0015740D"/>
    <w:rsid w:val="00157B9F"/>
    <w:rsid w:val="00163200"/>
    <w:rsid w:val="00165BE9"/>
    <w:rsid w:val="0017254B"/>
    <w:rsid w:val="00191A97"/>
    <w:rsid w:val="00197283"/>
    <w:rsid w:val="001A03FA"/>
    <w:rsid w:val="001A06F6"/>
    <w:rsid w:val="001B0CD1"/>
    <w:rsid w:val="001C20E7"/>
    <w:rsid w:val="001C2EA3"/>
    <w:rsid w:val="001C5709"/>
    <w:rsid w:val="001C7E95"/>
    <w:rsid w:val="001D1316"/>
    <w:rsid w:val="001E2B24"/>
    <w:rsid w:val="001F20E9"/>
    <w:rsid w:val="001F5638"/>
    <w:rsid w:val="002121B5"/>
    <w:rsid w:val="0022389B"/>
    <w:rsid w:val="00227C9E"/>
    <w:rsid w:val="002316CD"/>
    <w:rsid w:val="002428D5"/>
    <w:rsid w:val="0025773B"/>
    <w:rsid w:val="00271425"/>
    <w:rsid w:val="0028758F"/>
    <w:rsid w:val="0029217F"/>
    <w:rsid w:val="002A2DB4"/>
    <w:rsid w:val="002D197E"/>
    <w:rsid w:val="002D27B6"/>
    <w:rsid w:val="002D66D6"/>
    <w:rsid w:val="002E3B0D"/>
    <w:rsid w:val="002E649D"/>
    <w:rsid w:val="002F20E2"/>
    <w:rsid w:val="002F65AD"/>
    <w:rsid w:val="003017BF"/>
    <w:rsid w:val="00317C45"/>
    <w:rsid w:val="003241C3"/>
    <w:rsid w:val="00324301"/>
    <w:rsid w:val="00325A2F"/>
    <w:rsid w:val="00337457"/>
    <w:rsid w:val="00347EBD"/>
    <w:rsid w:val="003638F1"/>
    <w:rsid w:val="00363E62"/>
    <w:rsid w:val="00371DD2"/>
    <w:rsid w:val="00382083"/>
    <w:rsid w:val="003924C5"/>
    <w:rsid w:val="003A2AD5"/>
    <w:rsid w:val="003A6386"/>
    <w:rsid w:val="003B27EB"/>
    <w:rsid w:val="003F13E2"/>
    <w:rsid w:val="003F5A77"/>
    <w:rsid w:val="00406A9E"/>
    <w:rsid w:val="0041385A"/>
    <w:rsid w:val="00451145"/>
    <w:rsid w:val="00451C47"/>
    <w:rsid w:val="00457E9F"/>
    <w:rsid w:val="00496275"/>
    <w:rsid w:val="004A54E5"/>
    <w:rsid w:val="004A79A1"/>
    <w:rsid w:val="004D07D0"/>
    <w:rsid w:val="004D4D09"/>
    <w:rsid w:val="005004E1"/>
    <w:rsid w:val="00504F13"/>
    <w:rsid w:val="00507BA7"/>
    <w:rsid w:val="00535185"/>
    <w:rsid w:val="00547A6C"/>
    <w:rsid w:val="00550284"/>
    <w:rsid w:val="00555179"/>
    <w:rsid w:val="00563A85"/>
    <w:rsid w:val="00564B94"/>
    <w:rsid w:val="00571B04"/>
    <w:rsid w:val="00574CB2"/>
    <w:rsid w:val="005932BC"/>
    <w:rsid w:val="005A6BCD"/>
    <w:rsid w:val="005B6E43"/>
    <w:rsid w:val="005C08F1"/>
    <w:rsid w:val="005D3B0A"/>
    <w:rsid w:val="005D4FD2"/>
    <w:rsid w:val="005E16A5"/>
    <w:rsid w:val="00606873"/>
    <w:rsid w:val="00622C82"/>
    <w:rsid w:val="00641D70"/>
    <w:rsid w:val="006420D6"/>
    <w:rsid w:val="0065565C"/>
    <w:rsid w:val="00664BEC"/>
    <w:rsid w:val="00683437"/>
    <w:rsid w:val="00687859"/>
    <w:rsid w:val="00687D28"/>
    <w:rsid w:val="006937CE"/>
    <w:rsid w:val="0069544E"/>
    <w:rsid w:val="006A026A"/>
    <w:rsid w:val="006A083D"/>
    <w:rsid w:val="006A2273"/>
    <w:rsid w:val="006A2406"/>
    <w:rsid w:val="006A241D"/>
    <w:rsid w:val="006B5626"/>
    <w:rsid w:val="006B688B"/>
    <w:rsid w:val="006D0383"/>
    <w:rsid w:val="006D25D8"/>
    <w:rsid w:val="006D2939"/>
    <w:rsid w:val="007003E3"/>
    <w:rsid w:val="00710C6C"/>
    <w:rsid w:val="00730808"/>
    <w:rsid w:val="0073096F"/>
    <w:rsid w:val="00731913"/>
    <w:rsid w:val="007357CB"/>
    <w:rsid w:val="007425F3"/>
    <w:rsid w:val="007549E7"/>
    <w:rsid w:val="00771B2D"/>
    <w:rsid w:val="0079227E"/>
    <w:rsid w:val="007A799D"/>
    <w:rsid w:val="007B3277"/>
    <w:rsid w:val="007B6D04"/>
    <w:rsid w:val="007B76FC"/>
    <w:rsid w:val="007D3818"/>
    <w:rsid w:val="00806C6F"/>
    <w:rsid w:val="0081123B"/>
    <w:rsid w:val="00816003"/>
    <w:rsid w:val="0081621C"/>
    <w:rsid w:val="00824B86"/>
    <w:rsid w:val="00844751"/>
    <w:rsid w:val="00846148"/>
    <w:rsid w:val="00850F07"/>
    <w:rsid w:val="00862FD9"/>
    <w:rsid w:val="00873790"/>
    <w:rsid w:val="00884CAA"/>
    <w:rsid w:val="008A6DC7"/>
    <w:rsid w:val="008C40FA"/>
    <w:rsid w:val="008C6375"/>
    <w:rsid w:val="008D7719"/>
    <w:rsid w:val="008E2D01"/>
    <w:rsid w:val="008E3A32"/>
    <w:rsid w:val="008F6E54"/>
    <w:rsid w:val="0091284C"/>
    <w:rsid w:val="00923082"/>
    <w:rsid w:val="009508AD"/>
    <w:rsid w:val="0095546E"/>
    <w:rsid w:val="0097448B"/>
    <w:rsid w:val="009860E7"/>
    <w:rsid w:val="009D56A4"/>
    <w:rsid w:val="009E0D17"/>
    <w:rsid w:val="009E48C2"/>
    <w:rsid w:val="009F246A"/>
    <w:rsid w:val="009F4A3D"/>
    <w:rsid w:val="00A211EC"/>
    <w:rsid w:val="00A22A04"/>
    <w:rsid w:val="00A26F58"/>
    <w:rsid w:val="00A474BB"/>
    <w:rsid w:val="00A53D4A"/>
    <w:rsid w:val="00A77B9C"/>
    <w:rsid w:val="00AA1B52"/>
    <w:rsid w:val="00AB1267"/>
    <w:rsid w:val="00AB2768"/>
    <w:rsid w:val="00AB537A"/>
    <w:rsid w:val="00AE71DB"/>
    <w:rsid w:val="00AF5730"/>
    <w:rsid w:val="00B113AB"/>
    <w:rsid w:val="00B14D72"/>
    <w:rsid w:val="00B23BBC"/>
    <w:rsid w:val="00B24BD6"/>
    <w:rsid w:val="00B32F1F"/>
    <w:rsid w:val="00B454F2"/>
    <w:rsid w:val="00B5039D"/>
    <w:rsid w:val="00B51437"/>
    <w:rsid w:val="00B71768"/>
    <w:rsid w:val="00B76C8E"/>
    <w:rsid w:val="00B76D05"/>
    <w:rsid w:val="00BA22E7"/>
    <w:rsid w:val="00BA26EE"/>
    <w:rsid w:val="00BC313B"/>
    <w:rsid w:val="00BF14FD"/>
    <w:rsid w:val="00BF4A07"/>
    <w:rsid w:val="00C05CE9"/>
    <w:rsid w:val="00C211F4"/>
    <w:rsid w:val="00C2792F"/>
    <w:rsid w:val="00C45665"/>
    <w:rsid w:val="00C72429"/>
    <w:rsid w:val="00C80054"/>
    <w:rsid w:val="00C80AF1"/>
    <w:rsid w:val="00C80F8D"/>
    <w:rsid w:val="00C816DA"/>
    <w:rsid w:val="00C84CB6"/>
    <w:rsid w:val="00C96302"/>
    <w:rsid w:val="00CA4EB1"/>
    <w:rsid w:val="00CA5EA1"/>
    <w:rsid w:val="00CA7B1A"/>
    <w:rsid w:val="00CB696F"/>
    <w:rsid w:val="00CB72F0"/>
    <w:rsid w:val="00CC16E6"/>
    <w:rsid w:val="00CC4781"/>
    <w:rsid w:val="00CD3FDA"/>
    <w:rsid w:val="00CD7864"/>
    <w:rsid w:val="00CE3F6A"/>
    <w:rsid w:val="00CF52E1"/>
    <w:rsid w:val="00CF5552"/>
    <w:rsid w:val="00CF78E4"/>
    <w:rsid w:val="00D06961"/>
    <w:rsid w:val="00D21D84"/>
    <w:rsid w:val="00D428B7"/>
    <w:rsid w:val="00D4732A"/>
    <w:rsid w:val="00D63824"/>
    <w:rsid w:val="00D7342A"/>
    <w:rsid w:val="00D81900"/>
    <w:rsid w:val="00D83F4E"/>
    <w:rsid w:val="00D846CF"/>
    <w:rsid w:val="00D86ACC"/>
    <w:rsid w:val="00DA3AD3"/>
    <w:rsid w:val="00DA5A29"/>
    <w:rsid w:val="00DB13E7"/>
    <w:rsid w:val="00DB2A0F"/>
    <w:rsid w:val="00DB7902"/>
    <w:rsid w:val="00DB7B00"/>
    <w:rsid w:val="00DD385F"/>
    <w:rsid w:val="00DD3FBA"/>
    <w:rsid w:val="00DD4F32"/>
    <w:rsid w:val="00E00E83"/>
    <w:rsid w:val="00E11F31"/>
    <w:rsid w:val="00E13983"/>
    <w:rsid w:val="00E25819"/>
    <w:rsid w:val="00E456F0"/>
    <w:rsid w:val="00E540C8"/>
    <w:rsid w:val="00E7392A"/>
    <w:rsid w:val="00E756FF"/>
    <w:rsid w:val="00E821A1"/>
    <w:rsid w:val="00E95480"/>
    <w:rsid w:val="00EA16A1"/>
    <w:rsid w:val="00EC1420"/>
    <w:rsid w:val="00ED3A3D"/>
    <w:rsid w:val="00EE203C"/>
    <w:rsid w:val="00EE2EEA"/>
    <w:rsid w:val="00EE7B2E"/>
    <w:rsid w:val="00EF6E8B"/>
    <w:rsid w:val="00F224BF"/>
    <w:rsid w:val="00F23AE5"/>
    <w:rsid w:val="00F24A9E"/>
    <w:rsid w:val="00F31BF0"/>
    <w:rsid w:val="00F544DE"/>
    <w:rsid w:val="00F80576"/>
    <w:rsid w:val="00FE7C3E"/>
    <w:rsid w:val="00FF37F6"/>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D5C4"/>
  <w15:chartTrackingRefBased/>
  <w15:docId w15:val="{AE4580A9-B5F1-4B90-8D74-B74BD952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939"/>
    <w:pPr>
      <w:spacing w:after="0" w:line="240" w:lineRule="auto"/>
    </w:pPr>
    <w:rPr>
      <w:rFonts w:ascii="Calibri" w:eastAsiaTheme="minorEastAsia" w:hAnsi="Calibri" w:cs="Calibri"/>
      <w:lang w:eastAsia="zh-CN"/>
    </w:rPr>
  </w:style>
  <w:style w:type="paragraph" w:styleId="Heading1">
    <w:name w:val="heading 1"/>
    <w:basedOn w:val="Normal"/>
    <w:next w:val="Normal"/>
    <w:link w:val="Heading1Char"/>
    <w:uiPriority w:val="9"/>
    <w:qFormat/>
    <w:rsid w:val="00B113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1385A"/>
    <w:pPr>
      <w:keepNext/>
      <w:tabs>
        <w:tab w:val="left" w:pos="547"/>
        <w:tab w:val="left" w:pos="1080"/>
      </w:tabs>
      <w:suppressAutoHyphens/>
      <w:spacing w:after="100"/>
      <w:outlineLvl w:val="1"/>
    </w:pPr>
    <w:rPr>
      <w:rFonts w:ascii="Times New Roman Bold" w:eastAsia="Times New Roman" w:hAnsi="Times New Roman Bold"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93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6D2939"/>
    <w:pPr>
      <w:ind w:left="720"/>
    </w:pPr>
  </w:style>
  <w:style w:type="paragraph" w:customStyle="1" w:styleId="Default">
    <w:name w:val="Default"/>
    <w:rsid w:val="006D2939"/>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6D2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39"/>
    <w:rPr>
      <w:rFonts w:ascii="Segoe UI" w:eastAsiaTheme="minorEastAsia" w:hAnsi="Segoe UI" w:cs="Segoe UI"/>
      <w:sz w:val="18"/>
      <w:szCs w:val="18"/>
      <w:lang w:eastAsia="zh-CN"/>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1F5638"/>
    <w:rPr>
      <w:rFonts w:ascii="Calibri" w:eastAsiaTheme="minorEastAsia" w:hAnsi="Calibri" w:cs="Calibri"/>
      <w:lang w:eastAsia="zh-CN"/>
    </w:rPr>
  </w:style>
  <w:style w:type="paragraph" w:styleId="FootnoteText">
    <w:name w:val="footnote text"/>
    <w:basedOn w:val="Normal"/>
    <w:link w:val="FootnoteTextChar"/>
    <w:rsid w:val="0041385A"/>
    <w:pPr>
      <w:keepLines/>
      <w:suppressAutoHyphens/>
      <w:spacing w:after="60"/>
    </w:pPr>
    <w:rPr>
      <w:rFonts w:ascii="Times New Roman" w:eastAsia="Times New Roman" w:hAnsi="Times New Roman" w:cs="Times New Roman"/>
      <w:sz w:val="16"/>
      <w:szCs w:val="20"/>
      <w:lang w:eastAsia="en-US"/>
    </w:rPr>
  </w:style>
  <w:style w:type="character" w:customStyle="1" w:styleId="FootnoteTextChar">
    <w:name w:val="Footnote Text Char"/>
    <w:basedOn w:val="DefaultParagraphFont"/>
    <w:link w:val="FootnoteText"/>
    <w:rsid w:val="0041385A"/>
    <w:rPr>
      <w:rFonts w:ascii="Times New Roman" w:eastAsia="Times New Roman" w:hAnsi="Times New Roman" w:cs="Times New Roman"/>
      <w:sz w:val="16"/>
      <w:szCs w:val="20"/>
    </w:rPr>
  </w:style>
  <w:style w:type="character" w:styleId="FootnoteReference">
    <w:name w:val="footnote reference"/>
    <w:basedOn w:val="DefaultParagraphFont"/>
    <w:rsid w:val="0041385A"/>
    <w:rPr>
      <w:vertAlign w:val="superscript"/>
    </w:rPr>
  </w:style>
  <w:style w:type="character" w:customStyle="1" w:styleId="Heading2Char">
    <w:name w:val="Heading 2 Char"/>
    <w:basedOn w:val="DefaultParagraphFont"/>
    <w:link w:val="Heading2"/>
    <w:rsid w:val="0041385A"/>
    <w:rPr>
      <w:rFonts w:ascii="Times New Roman Bold" w:eastAsia="Times New Roman" w:hAnsi="Times New Roman Bold" w:cs="Times New Roman"/>
      <w:b/>
      <w:sz w:val="24"/>
      <w:szCs w:val="20"/>
    </w:rPr>
  </w:style>
  <w:style w:type="paragraph" w:styleId="Header">
    <w:name w:val="header"/>
    <w:basedOn w:val="Normal"/>
    <w:link w:val="HeaderChar"/>
    <w:uiPriority w:val="99"/>
    <w:unhideWhenUsed/>
    <w:rsid w:val="00E25819"/>
    <w:pPr>
      <w:tabs>
        <w:tab w:val="center" w:pos="4680"/>
        <w:tab w:val="right" w:pos="9360"/>
      </w:tabs>
    </w:pPr>
  </w:style>
  <w:style w:type="character" w:customStyle="1" w:styleId="HeaderChar">
    <w:name w:val="Header Char"/>
    <w:basedOn w:val="DefaultParagraphFont"/>
    <w:link w:val="Header"/>
    <w:uiPriority w:val="99"/>
    <w:rsid w:val="00E25819"/>
    <w:rPr>
      <w:rFonts w:ascii="Calibri" w:eastAsiaTheme="minorEastAsia" w:hAnsi="Calibri" w:cs="Calibri"/>
      <w:lang w:eastAsia="zh-CN"/>
    </w:rPr>
  </w:style>
  <w:style w:type="paragraph" w:styleId="Footer">
    <w:name w:val="footer"/>
    <w:basedOn w:val="Normal"/>
    <w:link w:val="FooterChar"/>
    <w:uiPriority w:val="99"/>
    <w:unhideWhenUsed/>
    <w:rsid w:val="00E25819"/>
    <w:pPr>
      <w:tabs>
        <w:tab w:val="center" w:pos="4680"/>
        <w:tab w:val="right" w:pos="9360"/>
      </w:tabs>
    </w:pPr>
  </w:style>
  <w:style w:type="character" w:customStyle="1" w:styleId="FooterChar">
    <w:name w:val="Footer Char"/>
    <w:basedOn w:val="DefaultParagraphFont"/>
    <w:link w:val="Footer"/>
    <w:uiPriority w:val="99"/>
    <w:rsid w:val="00E25819"/>
    <w:rPr>
      <w:rFonts w:ascii="Calibri" w:eastAsiaTheme="minorEastAsia" w:hAnsi="Calibri" w:cs="Calibri"/>
      <w:lang w:eastAsia="zh-CN"/>
    </w:rPr>
  </w:style>
  <w:style w:type="paragraph" w:customStyle="1" w:styleId="Paragrapha">
    <w:name w:val="Paragraph a"/>
    <w:basedOn w:val="Normal"/>
    <w:rsid w:val="009F4A3D"/>
    <w:pPr>
      <w:numPr>
        <w:numId w:val="36"/>
      </w:numPr>
      <w:spacing w:before="120" w:after="120"/>
      <w:jc w:val="both"/>
    </w:pPr>
    <w:rPr>
      <w:rFonts w:ascii="Times New Roman" w:eastAsia="Times New Roman" w:hAnsi="Times New Roman" w:cs="Times New Roman"/>
      <w:spacing w:val="-3"/>
      <w:sz w:val="24"/>
      <w:szCs w:val="20"/>
      <w:lang w:val="es-ES" w:eastAsia="en-US"/>
    </w:rPr>
  </w:style>
  <w:style w:type="character" w:customStyle="1" w:styleId="Heading1Char">
    <w:name w:val="Heading 1 Char"/>
    <w:basedOn w:val="DefaultParagraphFont"/>
    <w:link w:val="Heading1"/>
    <w:uiPriority w:val="9"/>
    <w:rsid w:val="00B113AB"/>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1083">
      <w:bodyDiv w:val="1"/>
      <w:marLeft w:val="0"/>
      <w:marRight w:val="0"/>
      <w:marTop w:val="0"/>
      <w:marBottom w:val="0"/>
      <w:divBdr>
        <w:top w:val="none" w:sz="0" w:space="0" w:color="auto"/>
        <w:left w:val="none" w:sz="0" w:space="0" w:color="auto"/>
        <w:bottom w:val="none" w:sz="0" w:space="0" w:color="auto"/>
        <w:right w:val="none" w:sz="0" w:space="0" w:color="auto"/>
      </w:divBdr>
    </w:div>
    <w:div w:id="86117980">
      <w:bodyDiv w:val="1"/>
      <w:marLeft w:val="0"/>
      <w:marRight w:val="0"/>
      <w:marTop w:val="0"/>
      <w:marBottom w:val="0"/>
      <w:divBdr>
        <w:top w:val="none" w:sz="0" w:space="0" w:color="auto"/>
        <w:left w:val="none" w:sz="0" w:space="0" w:color="auto"/>
        <w:bottom w:val="none" w:sz="0" w:space="0" w:color="auto"/>
        <w:right w:val="none" w:sz="0" w:space="0" w:color="auto"/>
      </w:divBdr>
    </w:div>
    <w:div w:id="103892951">
      <w:bodyDiv w:val="1"/>
      <w:marLeft w:val="0"/>
      <w:marRight w:val="0"/>
      <w:marTop w:val="0"/>
      <w:marBottom w:val="0"/>
      <w:divBdr>
        <w:top w:val="none" w:sz="0" w:space="0" w:color="auto"/>
        <w:left w:val="none" w:sz="0" w:space="0" w:color="auto"/>
        <w:bottom w:val="none" w:sz="0" w:space="0" w:color="auto"/>
        <w:right w:val="none" w:sz="0" w:space="0" w:color="auto"/>
      </w:divBdr>
    </w:div>
    <w:div w:id="150953770">
      <w:bodyDiv w:val="1"/>
      <w:marLeft w:val="0"/>
      <w:marRight w:val="0"/>
      <w:marTop w:val="0"/>
      <w:marBottom w:val="0"/>
      <w:divBdr>
        <w:top w:val="none" w:sz="0" w:space="0" w:color="auto"/>
        <w:left w:val="none" w:sz="0" w:space="0" w:color="auto"/>
        <w:bottom w:val="none" w:sz="0" w:space="0" w:color="auto"/>
        <w:right w:val="none" w:sz="0" w:space="0" w:color="auto"/>
      </w:divBdr>
    </w:div>
    <w:div w:id="237175468">
      <w:bodyDiv w:val="1"/>
      <w:marLeft w:val="0"/>
      <w:marRight w:val="0"/>
      <w:marTop w:val="0"/>
      <w:marBottom w:val="0"/>
      <w:divBdr>
        <w:top w:val="none" w:sz="0" w:space="0" w:color="auto"/>
        <w:left w:val="none" w:sz="0" w:space="0" w:color="auto"/>
        <w:bottom w:val="none" w:sz="0" w:space="0" w:color="auto"/>
        <w:right w:val="none" w:sz="0" w:space="0" w:color="auto"/>
      </w:divBdr>
    </w:div>
    <w:div w:id="258562522">
      <w:bodyDiv w:val="1"/>
      <w:marLeft w:val="0"/>
      <w:marRight w:val="0"/>
      <w:marTop w:val="0"/>
      <w:marBottom w:val="0"/>
      <w:divBdr>
        <w:top w:val="none" w:sz="0" w:space="0" w:color="auto"/>
        <w:left w:val="none" w:sz="0" w:space="0" w:color="auto"/>
        <w:bottom w:val="none" w:sz="0" w:space="0" w:color="auto"/>
        <w:right w:val="none" w:sz="0" w:space="0" w:color="auto"/>
      </w:divBdr>
    </w:div>
    <w:div w:id="300427470">
      <w:bodyDiv w:val="1"/>
      <w:marLeft w:val="0"/>
      <w:marRight w:val="0"/>
      <w:marTop w:val="0"/>
      <w:marBottom w:val="0"/>
      <w:divBdr>
        <w:top w:val="none" w:sz="0" w:space="0" w:color="auto"/>
        <w:left w:val="none" w:sz="0" w:space="0" w:color="auto"/>
        <w:bottom w:val="none" w:sz="0" w:space="0" w:color="auto"/>
        <w:right w:val="none" w:sz="0" w:space="0" w:color="auto"/>
      </w:divBdr>
    </w:div>
    <w:div w:id="314990867">
      <w:bodyDiv w:val="1"/>
      <w:marLeft w:val="0"/>
      <w:marRight w:val="0"/>
      <w:marTop w:val="0"/>
      <w:marBottom w:val="0"/>
      <w:divBdr>
        <w:top w:val="none" w:sz="0" w:space="0" w:color="auto"/>
        <w:left w:val="none" w:sz="0" w:space="0" w:color="auto"/>
        <w:bottom w:val="none" w:sz="0" w:space="0" w:color="auto"/>
        <w:right w:val="none" w:sz="0" w:space="0" w:color="auto"/>
      </w:divBdr>
    </w:div>
    <w:div w:id="358164901">
      <w:bodyDiv w:val="1"/>
      <w:marLeft w:val="0"/>
      <w:marRight w:val="0"/>
      <w:marTop w:val="0"/>
      <w:marBottom w:val="0"/>
      <w:divBdr>
        <w:top w:val="none" w:sz="0" w:space="0" w:color="auto"/>
        <w:left w:val="none" w:sz="0" w:space="0" w:color="auto"/>
        <w:bottom w:val="none" w:sz="0" w:space="0" w:color="auto"/>
        <w:right w:val="none" w:sz="0" w:space="0" w:color="auto"/>
      </w:divBdr>
    </w:div>
    <w:div w:id="363363794">
      <w:bodyDiv w:val="1"/>
      <w:marLeft w:val="0"/>
      <w:marRight w:val="0"/>
      <w:marTop w:val="0"/>
      <w:marBottom w:val="0"/>
      <w:divBdr>
        <w:top w:val="none" w:sz="0" w:space="0" w:color="auto"/>
        <w:left w:val="none" w:sz="0" w:space="0" w:color="auto"/>
        <w:bottom w:val="none" w:sz="0" w:space="0" w:color="auto"/>
        <w:right w:val="none" w:sz="0" w:space="0" w:color="auto"/>
      </w:divBdr>
    </w:div>
    <w:div w:id="451440420">
      <w:bodyDiv w:val="1"/>
      <w:marLeft w:val="0"/>
      <w:marRight w:val="0"/>
      <w:marTop w:val="0"/>
      <w:marBottom w:val="0"/>
      <w:divBdr>
        <w:top w:val="none" w:sz="0" w:space="0" w:color="auto"/>
        <w:left w:val="none" w:sz="0" w:space="0" w:color="auto"/>
        <w:bottom w:val="none" w:sz="0" w:space="0" w:color="auto"/>
        <w:right w:val="none" w:sz="0" w:space="0" w:color="auto"/>
      </w:divBdr>
    </w:div>
    <w:div w:id="482552310">
      <w:bodyDiv w:val="1"/>
      <w:marLeft w:val="0"/>
      <w:marRight w:val="0"/>
      <w:marTop w:val="0"/>
      <w:marBottom w:val="0"/>
      <w:divBdr>
        <w:top w:val="none" w:sz="0" w:space="0" w:color="auto"/>
        <w:left w:val="none" w:sz="0" w:space="0" w:color="auto"/>
        <w:bottom w:val="none" w:sz="0" w:space="0" w:color="auto"/>
        <w:right w:val="none" w:sz="0" w:space="0" w:color="auto"/>
      </w:divBdr>
    </w:div>
    <w:div w:id="541334340">
      <w:bodyDiv w:val="1"/>
      <w:marLeft w:val="0"/>
      <w:marRight w:val="0"/>
      <w:marTop w:val="0"/>
      <w:marBottom w:val="0"/>
      <w:divBdr>
        <w:top w:val="none" w:sz="0" w:space="0" w:color="auto"/>
        <w:left w:val="none" w:sz="0" w:space="0" w:color="auto"/>
        <w:bottom w:val="none" w:sz="0" w:space="0" w:color="auto"/>
        <w:right w:val="none" w:sz="0" w:space="0" w:color="auto"/>
      </w:divBdr>
    </w:div>
    <w:div w:id="549615916">
      <w:bodyDiv w:val="1"/>
      <w:marLeft w:val="0"/>
      <w:marRight w:val="0"/>
      <w:marTop w:val="0"/>
      <w:marBottom w:val="0"/>
      <w:divBdr>
        <w:top w:val="none" w:sz="0" w:space="0" w:color="auto"/>
        <w:left w:val="none" w:sz="0" w:space="0" w:color="auto"/>
        <w:bottom w:val="none" w:sz="0" w:space="0" w:color="auto"/>
        <w:right w:val="none" w:sz="0" w:space="0" w:color="auto"/>
      </w:divBdr>
    </w:div>
    <w:div w:id="634064369">
      <w:bodyDiv w:val="1"/>
      <w:marLeft w:val="0"/>
      <w:marRight w:val="0"/>
      <w:marTop w:val="0"/>
      <w:marBottom w:val="0"/>
      <w:divBdr>
        <w:top w:val="none" w:sz="0" w:space="0" w:color="auto"/>
        <w:left w:val="none" w:sz="0" w:space="0" w:color="auto"/>
        <w:bottom w:val="none" w:sz="0" w:space="0" w:color="auto"/>
        <w:right w:val="none" w:sz="0" w:space="0" w:color="auto"/>
      </w:divBdr>
    </w:div>
    <w:div w:id="646594599">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887911790">
      <w:bodyDiv w:val="1"/>
      <w:marLeft w:val="0"/>
      <w:marRight w:val="0"/>
      <w:marTop w:val="0"/>
      <w:marBottom w:val="0"/>
      <w:divBdr>
        <w:top w:val="none" w:sz="0" w:space="0" w:color="auto"/>
        <w:left w:val="none" w:sz="0" w:space="0" w:color="auto"/>
        <w:bottom w:val="none" w:sz="0" w:space="0" w:color="auto"/>
        <w:right w:val="none" w:sz="0" w:space="0" w:color="auto"/>
      </w:divBdr>
    </w:div>
    <w:div w:id="890768344">
      <w:bodyDiv w:val="1"/>
      <w:marLeft w:val="0"/>
      <w:marRight w:val="0"/>
      <w:marTop w:val="0"/>
      <w:marBottom w:val="0"/>
      <w:divBdr>
        <w:top w:val="none" w:sz="0" w:space="0" w:color="auto"/>
        <w:left w:val="none" w:sz="0" w:space="0" w:color="auto"/>
        <w:bottom w:val="none" w:sz="0" w:space="0" w:color="auto"/>
        <w:right w:val="none" w:sz="0" w:space="0" w:color="auto"/>
      </w:divBdr>
    </w:div>
    <w:div w:id="936520403">
      <w:bodyDiv w:val="1"/>
      <w:marLeft w:val="0"/>
      <w:marRight w:val="0"/>
      <w:marTop w:val="0"/>
      <w:marBottom w:val="0"/>
      <w:divBdr>
        <w:top w:val="none" w:sz="0" w:space="0" w:color="auto"/>
        <w:left w:val="none" w:sz="0" w:space="0" w:color="auto"/>
        <w:bottom w:val="none" w:sz="0" w:space="0" w:color="auto"/>
        <w:right w:val="none" w:sz="0" w:space="0" w:color="auto"/>
      </w:divBdr>
    </w:div>
    <w:div w:id="983050171">
      <w:bodyDiv w:val="1"/>
      <w:marLeft w:val="0"/>
      <w:marRight w:val="0"/>
      <w:marTop w:val="0"/>
      <w:marBottom w:val="0"/>
      <w:divBdr>
        <w:top w:val="none" w:sz="0" w:space="0" w:color="auto"/>
        <w:left w:val="none" w:sz="0" w:space="0" w:color="auto"/>
        <w:bottom w:val="none" w:sz="0" w:space="0" w:color="auto"/>
        <w:right w:val="none" w:sz="0" w:space="0" w:color="auto"/>
      </w:divBdr>
    </w:div>
    <w:div w:id="984164732">
      <w:bodyDiv w:val="1"/>
      <w:marLeft w:val="0"/>
      <w:marRight w:val="0"/>
      <w:marTop w:val="0"/>
      <w:marBottom w:val="0"/>
      <w:divBdr>
        <w:top w:val="none" w:sz="0" w:space="0" w:color="auto"/>
        <w:left w:val="none" w:sz="0" w:space="0" w:color="auto"/>
        <w:bottom w:val="none" w:sz="0" w:space="0" w:color="auto"/>
        <w:right w:val="none" w:sz="0" w:space="0" w:color="auto"/>
      </w:divBdr>
    </w:div>
    <w:div w:id="987784730">
      <w:bodyDiv w:val="1"/>
      <w:marLeft w:val="0"/>
      <w:marRight w:val="0"/>
      <w:marTop w:val="0"/>
      <w:marBottom w:val="0"/>
      <w:divBdr>
        <w:top w:val="none" w:sz="0" w:space="0" w:color="auto"/>
        <w:left w:val="none" w:sz="0" w:space="0" w:color="auto"/>
        <w:bottom w:val="none" w:sz="0" w:space="0" w:color="auto"/>
        <w:right w:val="none" w:sz="0" w:space="0" w:color="auto"/>
      </w:divBdr>
    </w:div>
    <w:div w:id="1021275931">
      <w:bodyDiv w:val="1"/>
      <w:marLeft w:val="0"/>
      <w:marRight w:val="0"/>
      <w:marTop w:val="0"/>
      <w:marBottom w:val="0"/>
      <w:divBdr>
        <w:top w:val="none" w:sz="0" w:space="0" w:color="auto"/>
        <w:left w:val="none" w:sz="0" w:space="0" w:color="auto"/>
        <w:bottom w:val="none" w:sz="0" w:space="0" w:color="auto"/>
        <w:right w:val="none" w:sz="0" w:space="0" w:color="auto"/>
      </w:divBdr>
    </w:div>
    <w:div w:id="1073357110">
      <w:bodyDiv w:val="1"/>
      <w:marLeft w:val="0"/>
      <w:marRight w:val="0"/>
      <w:marTop w:val="0"/>
      <w:marBottom w:val="0"/>
      <w:divBdr>
        <w:top w:val="none" w:sz="0" w:space="0" w:color="auto"/>
        <w:left w:val="none" w:sz="0" w:space="0" w:color="auto"/>
        <w:bottom w:val="none" w:sz="0" w:space="0" w:color="auto"/>
        <w:right w:val="none" w:sz="0" w:space="0" w:color="auto"/>
      </w:divBdr>
    </w:div>
    <w:div w:id="1205023018">
      <w:bodyDiv w:val="1"/>
      <w:marLeft w:val="0"/>
      <w:marRight w:val="0"/>
      <w:marTop w:val="0"/>
      <w:marBottom w:val="0"/>
      <w:divBdr>
        <w:top w:val="none" w:sz="0" w:space="0" w:color="auto"/>
        <w:left w:val="none" w:sz="0" w:space="0" w:color="auto"/>
        <w:bottom w:val="none" w:sz="0" w:space="0" w:color="auto"/>
        <w:right w:val="none" w:sz="0" w:space="0" w:color="auto"/>
      </w:divBdr>
    </w:div>
    <w:div w:id="1223562731">
      <w:bodyDiv w:val="1"/>
      <w:marLeft w:val="0"/>
      <w:marRight w:val="0"/>
      <w:marTop w:val="0"/>
      <w:marBottom w:val="0"/>
      <w:divBdr>
        <w:top w:val="none" w:sz="0" w:space="0" w:color="auto"/>
        <w:left w:val="none" w:sz="0" w:space="0" w:color="auto"/>
        <w:bottom w:val="none" w:sz="0" w:space="0" w:color="auto"/>
        <w:right w:val="none" w:sz="0" w:space="0" w:color="auto"/>
      </w:divBdr>
    </w:div>
    <w:div w:id="1241788986">
      <w:bodyDiv w:val="1"/>
      <w:marLeft w:val="0"/>
      <w:marRight w:val="0"/>
      <w:marTop w:val="0"/>
      <w:marBottom w:val="0"/>
      <w:divBdr>
        <w:top w:val="none" w:sz="0" w:space="0" w:color="auto"/>
        <w:left w:val="none" w:sz="0" w:space="0" w:color="auto"/>
        <w:bottom w:val="none" w:sz="0" w:space="0" w:color="auto"/>
        <w:right w:val="none" w:sz="0" w:space="0" w:color="auto"/>
      </w:divBdr>
    </w:div>
    <w:div w:id="1317689624">
      <w:bodyDiv w:val="1"/>
      <w:marLeft w:val="0"/>
      <w:marRight w:val="0"/>
      <w:marTop w:val="0"/>
      <w:marBottom w:val="0"/>
      <w:divBdr>
        <w:top w:val="none" w:sz="0" w:space="0" w:color="auto"/>
        <w:left w:val="none" w:sz="0" w:space="0" w:color="auto"/>
        <w:bottom w:val="none" w:sz="0" w:space="0" w:color="auto"/>
        <w:right w:val="none" w:sz="0" w:space="0" w:color="auto"/>
      </w:divBdr>
    </w:div>
    <w:div w:id="1321232384">
      <w:bodyDiv w:val="1"/>
      <w:marLeft w:val="0"/>
      <w:marRight w:val="0"/>
      <w:marTop w:val="0"/>
      <w:marBottom w:val="0"/>
      <w:divBdr>
        <w:top w:val="none" w:sz="0" w:space="0" w:color="auto"/>
        <w:left w:val="none" w:sz="0" w:space="0" w:color="auto"/>
        <w:bottom w:val="none" w:sz="0" w:space="0" w:color="auto"/>
        <w:right w:val="none" w:sz="0" w:space="0" w:color="auto"/>
      </w:divBdr>
    </w:div>
    <w:div w:id="1380662144">
      <w:bodyDiv w:val="1"/>
      <w:marLeft w:val="0"/>
      <w:marRight w:val="0"/>
      <w:marTop w:val="0"/>
      <w:marBottom w:val="0"/>
      <w:divBdr>
        <w:top w:val="none" w:sz="0" w:space="0" w:color="auto"/>
        <w:left w:val="none" w:sz="0" w:space="0" w:color="auto"/>
        <w:bottom w:val="none" w:sz="0" w:space="0" w:color="auto"/>
        <w:right w:val="none" w:sz="0" w:space="0" w:color="auto"/>
      </w:divBdr>
    </w:div>
    <w:div w:id="1387994911">
      <w:bodyDiv w:val="1"/>
      <w:marLeft w:val="0"/>
      <w:marRight w:val="0"/>
      <w:marTop w:val="0"/>
      <w:marBottom w:val="0"/>
      <w:divBdr>
        <w:top w:val="none" w:sz="0" w:space="0" w:color="auto"/>
        <w:left w:val="none" w:sz="0" w:space="0" w:color="auto"/>
        <w:bottom w:val="none" w:sz="0" w:space="0" w:color="auto"/>
        <w:right w:val="none" w:sz="0" w:space="0" w:color="auto"/>
      </w:divBdr>
    </w:div>
    <w:div w:id="1404910789">
      <w:bodyDiv w:val="1"/>
      <w:marLeft w:val="0"/>
      <w:marRight w:val="0"/>
      <w:marTop w:val="0"/>
      <w:marBottom w:val="0"/>
      <w:divBdr>
        <w:top w:val="none" w:sz="0" w:space="0" w:color="auto"/>
        <w:left w:val="none" w:sz="0" w:space="0" w:color="auto"/>
        <w:bottom w:val="none" w:sz="0" w:space="0" w:color="auto"/>
        <w:right w:val="none" w:sz="0" w:space="0" w:color="auto"/>
      </w:divBdr>
    </w:div>
    <w:div w:id="1498033112">
      <w:bodyDiv w:val="1"/>
      <w:marLeft w:val="0"/>
      <w:marRight w:val="0"/>
      <w:marTop w:val="0"/>
      <w:marBottom w:val="0"/>
      <w:divBdr>
        <w:top w:val="none" w:sz="0" w:space="0" w:color="auto"/>
        <w:left w:val="none" w:sz="0" w:space="0" w:color="auto"/>
        <w:bottom w:val="none" w:sz="0" w:space="0" w:color="auto"/>
        <w:right w:val="none" w:sz="0" w:space="0" w:color="auto"/>
      </w:divBdr>
    </w:div>
    <w:div w:id="1523207264">
      <w:bodyDiv w:val="1"/>
      <w:marLeft w:val="0"/>
      <w:marRight w:val="0"/>
      <w:marTop w:val="0"/>
      <w:marBottom w:val="0"/>
      <w:divBdr>
        <w:top w:val="none" w:sz="0" w:space="0" w:color="auto"/>
        <w:left w:val="none" w:sz="0" w:space="0" w:color="auto"/>
        <w:bottom w:val="none" w:sz="0" w:space="0" w:color="auto"/>
        <w:right w:val="none" w:sz="0" w:space="0" w:color="auto"/>
      </w:divBdr>
    </w:div>
    <w:div w:id="1607537299">
      <w:bodyDiv w:val="1"/>
      <w:marLeft w:val="0"/>
      <w:marRight w:val="0"/>
      <w:marTop w:val="0"/>
      <w:marBottom w:val="0"/>
      <w:divBdr>
        <w:top w:val="none" w:sz="0" w:space="0" w:color="auto"/>
        <w:left w:val="none" w:sz="0" w:space="0" w:color="auto"/>
        <w:bottom w:val="none" w:sz="0" w:space="0" w:color="auto"/>
        <w:right w:val="none" w:sz="0" w:space="0" w:color="auto"/>
      </w:divBdr>
    </w:div>
    <w:div w:id="1700736641">
      <w:bodyDiv w:val="1"/>
      <w:marLeft w:val="0"/>
      <w:marRight w:val="0"/>
      <w:marTop w:val="0"/>
      <w:marBottom w:val="0"/>
      <w:divBdr>
        <w:top w:val="none" w:sz="0" w:space="0" w:color="auto"/>
        <w:left w:val="none" w:sz="0" w:space="0" w:color="auto"/>
        <w:bottom w:val="none" w:sz="0" w:space="0" w:color="auto"/>
        <w:right w:val="none" w:sz="0" w:space="0" w:color="auto"/>
      </w:divBdr>
    </w:div>
    <w:div w:id="1804348769">
      <w:bodyDiv w:val="1"/>
      <w:marLeft w:val="0"/>
      <w:marRight w:val="0"/>
      <w:marTop w:val="0"/>
      <w:marBottom w:val="0"/>
      <w:divBdr>
        <w:top w:val="none" w:sz="0" w:space="0" w:color="auto"/>
        <w:left w:val="none" w:sz="0" w:space="0" w:color="auto"/>
        <w:bottom w:val="none" w:sz="0" w:space="0" w:color="auto"/>
        <w:right w:val="none" w:sz="0" w:space="0" w:color="auto"/>
      </w:divBdr>
    </w:div>
    <w:div w:id="1827548163">
      <w:bodyDiv w:val="1"/>
      <w:marLeft w:val="0"/>
      <w:marRight w:val="0"/>
      <w:marTop w:val="0"/>
      <w:marBottom w:val="0"/>
      <w:divBdr>
        <w:top w:val="none" w:sz="0" w:space="0" w:color="auto"/>
        <w:left w:val="none" w:sz="0" w:space="0" w:color="auto"/>
        <w:bottom w:val="none" w:sz="0" w:space="0" w:color="auto"/>
        <w:right w:val="none" w:sz="0" w:space="0" w:color="auto"/>
      </w:divBdr>
    </w:div>
    <w:div w:id="1844202438">
      <w:bodyDiv w:val="1"/>
      <w:marLeft w:val="0"/>
      <w:marRight w:val="0"/>
      <w:marTop w:val="0"/>
      <w:marBottom w:val="0"/>
      <w:divBdr>
        <w:top w:val="none" w:sz="0" w:space="0" w:color="auto"/>
        <w:left w:val="none" w:sz="0" w:space="0" w:color="auto"/>
        <w:bottom w:val="none" w:sz="0" w:space="0" w:color="auto"/>
        <w:right w:val="none" w:sz="0" w:space="0" w:color="auto"/>
      </w:divBdr>
    </w:div>
    <w:div w:id="1865317793">
      <w:bodyDiv w:val="1"/>
      <w:marLeft w:val="0"/>
      <w:marRight w:val="0"/>
      <w:marTop w:val="0"/>
      <w:marBottom w:val="0"/>
      <w:divBdr>
        <w:top w:val="none" w:sz="0" w:space="0" w:color="auto"/>
        <w:left w:val="none" w:sz="0" w:space="0" w:color="auto"/>
        <w:bottom w:val="none" w:sz="0" w:space="0" w:color="auto"/>
        <w:right w:val="none" w:sz="0" w:space="0" w:color="auto"/>
      </w:divBdr>
    </w:div>
    <w:div w:id="1870684171">
      <w:bodyDiv w:val="1"/>
      <w:marLeft w:val="0"/>
      <w:marRight w:val="0"/>
      <w:marTop w:val="0"/>
      <w:marBottom w:val="0"/>
      <w:divBdr>
        <w:top w:val="none" w:sz="0" w:space="0" w:color="auto"/>
        <w:left w:val="none" w:sz="0" w:space="0" w:color="auto"/>
        <w:bottom w:val="none" w:sz="0" w:space="0" w:color="auto"/>
        <w:right w:val="none" w:sz="0" w:space="0" w:color="auto"/>
      </w:divBdr>
    </w:div>
    <w:div w:id="1951207949">
      <w:bodyDiv w:val="1"/>
      <w:marLeft w:val="0"/>
      <w:marRight w:val="0"/>
      <w:marTop w:val="0"/>
      <w:marBottom w:val="0"/>
      <w:divBdr>
        <w:top w:val="none" w:sz="0" w:space="0" w:color="auto"/>
        <w:left w:val="none" w:sz="0" w:space="0" w:color="auto"/>
        <w:bottom w:val="none" w:sz="0" w:space="0" w:color="auto"/>
        <w:right w:val="none" w:sz="0" w:space="0" w:color="auto"/>
      </w:divBdr>
    </w:div>
    <w:div w:id="1966425585">
      <w:bodyDiv w:val="1"/>
      <w:marLeft w:val="0"/>
      <w:marRight w:val="0"/>
      <w:marTop w:val="0"/>
      <w:marBottom w:val="0"/>
      <w:divBdr>
        <w:top w:val="none" w:sz="0" w:space="0" w:color="auto"/>
        <w:left w:val="none" w:sz="0" w:space="0" w:color="auto"/>
        <w:bottom w:val="none" w:sz="0" w:space="0" w:color="auto"/>
        <w:right w:val="none" w:sz="0" w:space="0" w:color="auto"/>
      </w:divBdr>
    </w:div>
    <w:div w:id="2014531992">
      <w:bodyDiv w:val="1"/>
      <w:marLeft w:val="0"/>
      <w:marRight w:val="0"/>
      <w:marTop w:val="0"/>
      <w:marBottom w:val="0"/>
      <w:divBdr>
        <w:top w:val="none" w:sz="0" w:space="0" w:color="auto"/>
        <w:left w:val="none" w:sz="0" w:space="0" w:color="auto"/>
        <w:bottom w:val="none" w:sz="0" w:space="0" w:color="auto"/>
        <w:right w:val="none" w:sz="0" w:space="0" w:color="auto"/>
      </w:divBdr>
    </w:div>
    <w:div w:id="2022849077">
      <w:bodyDiv w:val="1"/>
      <w:marLeft w:val="0"/>
      <w:marRight w:val="0"/>
      <w:marTop w:val="0"/>
      <w:marBottom w:val="0"/>
      <w:divBdr>
        <w:top w:val="none" w:sz="0" w:space="0" w:color="auto"/>
        <w:left w:val="none" w:sz="0" w:space="0" w:color="auto"/>
        <w:bottom w:val="none" w:sz="0" w:space="0" w:color="auto"/>
        <w:right w:val="none" w:sz="0" w:space="0" w:color="auto"/>
      </w:divBdr>
    </w:div>
    <w:div w:id="2037384089">
      <w:bodyDiv w:val="1"/>
      <w:marLeft w:val="0"/>
      <w:marRight w:val="0"/>
      <w:marTop w:val="0"/>
      <w:marBottom w:val="0"/>
      <w:divBdr>
        <w:top w:val="none" w:sz="0" w:space="0" w:color="auto"/>
        <w:left w:val="none" w:sz="0" w:space="0" w:color="auto"/>
        <w:bottom w:val="none" w:sz="0" w:space="0" w:color="auto"/>
        <w:right w:val="none" w:sz="0" w:space="0" w:color="auto"/>
      </w:divBdr>
    </w:div>
    <w:div w:id="2075738703">
      <w:bodyDiv w:val="1"/>
      <w:marLeft w:val="0"/>
      <w:marRight w:val="0"/>
      <w:marTop w:val="0"/>
      <w:marBottom w:val="0"/>
      <w:divBdr>
        <w:top w:val="none" w:sz="0" w:space="0" w:color="auto"/>
        <w:left w:val="none" w:sz="0" w:space="0" w:color="auto"/>
        <w:bottom w:val="none" w:sz="0" w:space="0" w:color="auto"/>
        <w:right w:val="none" w:sz="0" w:space="0" w:color="auto"/>
      </w:divBdr>
    </w:div>
    <w:div w:id="2083600497">
      <w:bodyDiv w:val="1"/>
      <w:marLeft w:val="0"/>
      <w:marRight w:val="0"/>
      <w:marTop w:val="0"/>
      <w:marBottom w:val="0"/>
      <w:divBdr>
        <w:top w:val="none" w:sz="0" w:space="0" w:color="auto"/>
        <w:left w:val="none" w:sz="0" w:space="0" w:color="auto"/>
        <w:bottom w:val="none" w:sz="0" w:space="0" w:color="auto"/>
        <w:right w:val="none" w:sz="0" w:space="0" w:color="auto"/>
      </w:divBdr>
    </w:div>
    <w:div w:id="2094349045">
      <w:bodyDiv w:val="1"/>
      <w:marLeft w:val="0"/>
      <w:marRight w:val="0"/>
      <w:marTop w:val="0"/>
      <w:marBottom w:val="0"/>
      <w:divBdr>
        <w:top w:val="none" w:sz="0" w:space="0" w:color="auto"/>
        <w:left w:val="none" w:sz="0" w:space="0" w:color="auto"/>
        <w:bottom w:val="none" w:sz="0" w:space="0" w:color="auto"/>
        <w:right w:val="none" w:sz="0" w:space="0" w:color="auto"/>
      </w:divBdr>
    </w:div>
    <w:div w:id="210384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EZSHARE-1132444900-22369</_dlc_DocId>
    <TaxCatchAll xmlns="cdc7663a-08f0-4737-9e8c-148ce897a09c">
      <Value>335</Value>
      <Value>336</Value>
    </TaxCatchAll>
    <_dlc_DocIdUrl xmlns="cdc7663a-08f0-4737-9e8c-148ce897a09c">
      <Url>https://idbg.sharepoint.com/teams/ez-COF/FMP/_layouts/15/DocIdRedir.aspx?ID=EZSHARE-1132444900-22369</Url>
      <Description>EZSHARE-1132444900-22369</Description>
    </_dlc_DocIdUrl>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2019</Fiscal_x0020_Year_x0020_IDB>
    <Other_x0020_Author xmlns="cdc7663a-08f0-4737-9e8c-148ce897a09c" xsi:nil="true"/>
    <Migration_x0020_Info xmlns="cdc7663a-08f0-4737-9e8c-148ce897a09c" xsi:nil="true"/>
    <Document_x0020_Author xmlns="cdc7663a-08f0-4737-9e8c-148ce897a09c">Sanchez-Pena, Luz E.</Document_x0020_Author>
    <Document_x0020_Language_x0020_IDB xmlns="cdc7663a-08f0-4737-9e8c-148ce897a09c">Spanish</Document_x0020_Language_x0020_IDB>
    <Identifier xmlns="cdc7663a-08f0-4737-9e8c-148ce897a09c" xsi:nil="true"/>
    <Disclosure_x0020_Activity xmlns="cdc7663a-08f0-4737-9e8c-148ce897a09c">Procurement</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141" ma:contentTypeDescription="A content type to manage public (corporate) IDB documents" ma:contentTypeScope="" ma:versionID="49aff83f233202fc7bfe7354c8492a9d">
  <xsd:schema xmlns:xsd="http://www.w3.org/2001/XMLSchema" xmlns:xs="http://www.w3.org/2001/XMLSchema" xmlns:p="http://schemas.microsoft.com/office/2006/metadata/properties" xmlns:ns2="cdc7663a-08f0-4737-9e8c-148ce897a09c" targetNamespace="http://schemas.microsoft.com/office/2006/metadata/properties" ma:root="true" ma:fieldsID="dfd050aba5a877f7058c550db71c0a9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438AA663-2406-4A76-AD08-DCE2EB622707}">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5B3AB9E9-C827-4A76-A064-BD24F8409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1BF02-68D3-421A-8B4B-C1BA7978F6E1}">
  <ds:schemaRefs>
    <ds:schemaRef ds:uri="http://schemas.microsoft.com/sharepoint/v3/contenttype/forms/url"/>
  </ds:schemaRefs>
</ds:datastoreItem>
</file>

<file path=customXml/itemProps4.xml><?xml version="1.0" encoding="utf-8"?>
<ds:datastoreItem xmlns:ds="http://schemas.openxmlformats.org/officeDocument/2006/customXml" ds:itemID="{B2B7CFFC-5E41-41CF-AB03-F5D25F259D74}">
  <ds:schemaRefs>
    <ds:schemaRef ds:uri="http://schemas.microsoft.com/sharepoint/v3/contenttype/forms"/>
  </ds:schemaRefs>
</ds:datastoreItem>
</file>

<file path=customXml/itemProps5.xml><?xml version="1.0" encoding="utf-8"?>
<ds:datastoreItem xmlns:ds="http://schemas.openxmlformats.org/officeDocument/2006/customXml" ds:itemID="{D9CF5F3E-0DE6-41E9-A261-C1671BA208A8}">
  <ds:schemaRefs>
    <ds:schemaRef ds:uri="http://schemas.microsoft.com/sharepoint/events"/>
  </ds:schemaRefs>
</ds:datastoreItem>
</file>

<file path=customXml/itemProps6.xml><?xml version="1.0" encoding="utf-8"?>
<ds:datastoreItem xmlns:ds="http://schemas.openxmlformats.org/officeDocument/2006/customXml" ds:itemID="{D5C837DF-E47C-48E6-94AD-07EE6733A1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6536</Words>
  <Characters>37257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Salazar, David Agustin</cp:lastModifiedBy>
  <cp:revision>17</cp:revision>
  <dcterms:created xsi:type="dcterms:W3CDTF">2019-02-24T17:49:00Z</dcterms:created>
  <dcterms:modified xsi:type="dcterms:W3CDTF">2019-03-02T17:29:00Z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Corporate IDB">
    <vt:lpwstr>336;#GOV-07 Policies and Procedures|3b89635c-b6ec-4e08-819f-3881ddae0f5b</vt:lpwstr>
  </property>
  <property fmtid="{D5CDD505-2E9C-101B-9397-08002B2CF9AE}" pid="3" name="Function Corporate IDB">
    <vt:lpwstr>335;#4 Governance|d48f69c4-9785-416c-9a0f-b99285e2bde9</vt:lpwstr>
  </property>
  <property fmtid="{D5CDD505-2E9C-101B-9397-08002B2CF9AE}" pid="4" name="_dlc_DocIdItemGuid">
    <vt:lpwstr>49423572-e578-4601-a67f-6a10725e7b3c</vt:lpwstr>
  </property>
  <property fmtid="{D5CDD505-2E9C-101B-9397-08002B2CF9AE}" pid="5" name="TaxKeyword">
    <vt:lpwstr/>
  </property>
  <property fmtid="{D5CDD505-2E9C-101B-9397-08002B2CF9AE}" pid="6" name="TaxKeywordTaxHTField">
    <vt:lpwstr/>
  </property>
  <property fmtid="{D5CDD505-2E9C-101B-9397-08002B2CF9AE}" pid="7" name="Country">
    <vt:lpwstr/>
  </property>
  <property fmtid="{D5CDD505-2E9C-101B-9397-08002B2CF9AE}" pid="8" name="Stage">
    <vt:lpwstr>Draft</vt:lpwstr>
  </property>
  <property fmtid="{D5CDD505-2E9C-101B-9397-08002B2CF9AE}" pid="9" name="Disclosed">
    <vt:bool>false</vt:bool>
  </property>
  <property fmtid="{D5CDD505-2E9C-101B-9397-08002B2CF9AE}" pid="10" name="ContentTypeId">
    <vt:lpwstr>0x01010066B06E59AB175241BBFB297522263BEB0073F8908D5DEBAD4385B516E09646285F</vt:lpwstr>
  </property>
  <property fmtid="{D5CDD505-2E9C-101B-9397-08002B2CF9AE}" pid="11" name="SharedWithUsers">
    <vt:lpwstr>4;#Everyone</vt:lpwstr>
  </property>
</Properties>
</file>