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7A0" w:rsidRDefault="00A007A0" w:rsidP="00A007A0">
      <w:pPr>
        <w:pStyle w:val="PlainText"/>
        <w:rPr>
          <w:rFonts w:ascii="Calibri" w:hAnsi="Calibri"/>
          <w:b/>
          <w:sz w:val="24"/>
          <w:szCs w:val="24"/>
          <w:lang w:val="fr-FR"/>
        </w:rPr>
      </w:pPr>
      <w:r>
        <w:rPr>
          <w:noProof/>
        </w:rPr>
        <w:drawing>
          <wp:inline distT="0" distB="0" distL="0" distR="0">
            <wp:extent cx="2218055" cy="713105"/>
            <wp:effectExtent l="19050" t="0" r="0" b="0"/>
            <wp:docPr id="1" name="Picture 1" descr="http://wwwadmin.iadb.org/identity/downloads/logos_idb/primary_logo_blueBar_small_es-pt-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min.iadb.org/identity/downloads/logos_idb/primary_logo_blueBar_small_es-pt-fr.gif"/>
                    <pic:cNvPicPr>
                      <a:picLocks noChangeAspect="1" noChangeArrowheads="1"/>
                    </pic:cNvPicPr>
                  </pic:nvPicPr>
                  <pic:blipFill>
                    <a:blip r:embed="rId5" cstate="print"/>
                    <a:srcRect/>
                    <a:stretch>
                      <a:fillRect/>
                    </a:stretch>
                  </pic:blipFill>
                  <pic:spPr bwMode="auto">
                    <a:xfrm>
                      <a:off x="0" y="0"/>
                      <a:ext cx="2218055" cy="713105"/>
                    </a:xfrm>
                    <a:prstGeom prst="rect">
                      <a:avLst/>
                    </a:prstGeom>
                    <a:noFill/>
                    <a:ln w="9525">
                      <a:noFill/>
                      <a:miter lim="800000"/>
                      <a:headEnd/>
                      <a:tailEnd/>
                    </a:ln>
                  </pic:spPr>
                </pic:pic>
              </a:graphicData>
            </a:graphic>
          </wp:inline>
        </w:drawing>
      </w:r>
    </w:p>
    <w:p w:rsidR="00A007A0" w:rsidRDefault="00A007A0" w:rsidP="00A007A0">
      <w:pPr>
        <w:pStyle w:val="PlainText"/>
        <w:rPr>
          <w:rFonts w:ascii="Calibri" w:hAnsi="Calibri"/>
          <w:b/>
          <w:sz w:val="24"/>
          <w:szCs w:val="24"/>
          <w:lang w:val="fr-FR"/>
        </w:rPr>
      </w:pPr>
    </w:p>
    <w:p w:rsidR="00A007A0" w:rsidRDefault="00A007A0" w:rsidP="00A007A0">
      <w:pPr>
        <w:pStyle w:val="PlainText"/>
        <w:jc w:val="center"/>
        <w:rPr>
          <w:rFonts w:ascii="Calibri" w:hAnsi="Calibri"/>
          <w:b/>
          <w:sz w:val="24"/>
          <w:szCs w:val="24"/>
          <w:lang w:val="fr-FR"/>
        </w:rPr>
      </w:pPr>
    </w:p>
    <w:p w:rsidR="00A007A0" w:rsidRPr="00A007A0" w:rsidRDefault="00A007A0" w:rsidP="00A007A0">
      <w:pPr>
        <w:pStyle w:val="PlainText"/>
        <w:jc w:val="center"/>
        <w:rPr>
          <w:rFonts w:ascii="Calibri" w:hAnsi="Calibri"/>
          <w:b/>
          <w:sz w:val="24"/>
          <w:szCs w:val="24"/>
          <w:lang w:val="fr-FR"/>
        </w:rPr>
      </w:pPr>
      <w:r w:rsidRPr="00A007A0">
        <w:rPr>
          <w:rFonts w:ascii="Calibri" w:hAnsi="Calibri"/>
          <w:b/>
          <w:sz w:val="24"/>
          <w:szCs w:val="24"/>
          <w:lang w:val="fr-FR"/>
        </w:rPr>
        <w:t>Les projets de la BID pour les énergies renouvelables à la Barbade</w:t>
      </w:r>
    </w:p>
    <w:p w:rsidR="00A007A0" w:rsidRPr="00A007A0" w:rsidRDefault="00A007A0" w:rsidP="00A007A0">
      <w:pPr>
        <w:pStyle w:val="PlainText"/>
        <w:rPr>
          <w:rFonts w:ascii="Calibri" w:hAnsi="Calibri"/>
          <w:sz w:val="22"/>
          <w:szCs w:val="22"/>
          <w:lang w:val="fr-FR"/>
        </w:rPr>
      </w:pPr>
    </w:p>
    <w:p w:rsidR="00A007A0" w:rsidRPr="00317729" w:rsidRDefault="00A007A0" w:rsidP="00A007A0">
      <w:pPr>
        <w:pStyle w:val="BodyTextIndent"/>
        <w:numPr>
          <w:ilvl w:val="0"/>
          <w:numId w:val="1"/>
        </w:numPr>
        <w:spacing w:after="120"/>
        <w:jc w:val="left"/>
        <w:rPr>
          <w:rFonts w:ascii="Calibri" w:eastAsia="Calibri" w:hAnsi="Calibri"/>
          <w:sz w:val="22"/>
          <w:szCs w:val="22"/>
          <w:lang w:val="fr-FR"/>
        </w:rPr>
      </w:pPr>
      <w:bookmarkStart w:id="0" w:name="_Ref263432470"/>
      <w:r w:rsidRPr="00317729">
        <w:rPr>
          <w:rFonts w:ascii="Calibri" w:eastAsia="Calibri" w:hAnsi="Calibri"/>
          <w:sz w:val="22"/>
          <w:szCs w:val="22"/>
          <w:lang w:val="fr-FR"/>
        </w:rPr>
        <w:t xml:space="preserve">Une opération nommée </w:t>
      </w:r>
      <w:r>
        <w:rPr>
          <w:rFonts w:ascii="Calibri" w:eastAsia="Calibri" w:hAnsi="Calibri"/>
          <w:sz w:val="22"/>
          <w:szCs w:val="22"/>
          <w:lang w:val="fr-FR"/>
        </w:rPr>
        <w:t>« </w:t>
      </w:r>
      <w:r w:rsidRPr="00317729">
        <w:rPr>
          <w:rFonts w:ascii="Calibri" w:eastAsia="Calibri" w:hAnsi="Calibri"/>
          <w:sz w:val="22"/>
          <w:szCs w:val="22"/>
          <w:lang w:val="fr-FR"/>
        </w:rPr>
        <w:t>Programme d</w:t>
      </w:r>
      <w:r>
        <w:rPr>
          <w:rFonts w:ascii="Calibri" w:eastAsia="Calibri" w:hAnsi="Calibri"/>
          <w:sz w:val="22"/>
          <w:szCs w:val="22"/>
          <w:lang w:val="fr-FR"/>
        </w:rPr>
        <w:t xml:space="preserve">´investissement en énergies soutenables» (Fonds futé) est en train d´être préparé en parallèle au Programme basé sur la politique énergétique (PBP). Le Fonds futé (10 millions d´USD) se focalisera sur la planification et l´implémentation de mécanismes financiers clé nécessaires à la mise en route des marchés à la Barbade des énergies renouvelables (RE) et des énergies efficientes (EE). Ceux- ci visent les moyennes et petites entreprises ainsi que le secteur résidentiel. </w:t>
      </w:r>
    </w:p>
    <w:p w:rsidR="00A007A0" w:rsidRPr="00317729" w:rsidRDefault="00A007A0" w:rsidP="00A007A0">
      <w:pPr>
        <w:pStyle w:val="BodyTextIndent"/>
        <w:numPr>
          <w:ilvl w:val="0"/>
          <w:numId w:val="1"/>
        </w:numPr>
        <w:spacing w:after="120"/>
        <w:jc w:val="left"/>
        <w:rPr>
          <w:rFonts w:ascii="Calibri" w:eastAsia="Calibri" w:hAnsi="Calibri"/>
          <w:sz w:val="22"/>
          <w:szCs w:val="22"/>
          <w:lang w:val="fr-FR"/>
        </w:rPr>
      </w:pPr>
      <w:r>
        <w:rPr>
          <w:rFonts w:ascii="Calibri" w:eastAsia="Calibri" w:hAnsi="Calibri"/>
          <w:sz w:val="22"/>
          <w:szCs w:val="22"/>
          <w:lang w:val="fr-FR"/>
        </w:rPr>
        <w:t xml:space="preserve">Pour l´année 2011 deux opérations additionnelles sont envisagées : un prêt basé sur la politique énergétique pour appuyer le Système des énergies renouvelables et le Fonds futé dans leur phase II. </w:t>
      </w:r>
    </w:p>
    <w:p w:rsidR="00A007A0" w:rsidRPr="009E45E2" w:rsidRDefault="00A007A0" w:rsidP="00A007A0">
      <w:pPr>
        <w:pStyle w:val="BodyTextIndent"/>
        <w:numPr>
          <w:ilvl w:val="0"/>
          <w:numId w:val="1"/>
        </w:numPr>
        <w:spacing w:after="120"/>
        <w:jc w:val="left"/>
        <w:rPr>
          <w:rFonts w:ascii="Calibri" w:eastAsia="Calibri" w:hAnsi="Calibri"/>
          <w:sz w:val="22"/>
          <w:szCs w:val="22"/>
          <w:lang w:val="fr-FR"/>
        </w:rPr>
      </w:pPr>
      <w:r w:rsidRPr="009E45E2">
        <w:rPr>
          <w:rFonts w:ascii="Calibri" w:eastAsia="Calibri" w:hAnsi="Calibri"/>
          <w:sz w:val="22"/>
          <w:szCs w:val="22"/>
          <w:lang w:val="fr-FR"/>
        </w:rPr>
        <w:t>Le GOBA est en train d</w:t>
      </w:r>
      <w:r>
        <w:rPr>
          <w:rFonts w:ascii="Calibri" w:eastAsia="Calibri" w:hAnsi="Calibri"/>
          <w:sz w:val="22"/>
          <w:szCs w:val="22"/>
          <w:lang w:val="fr-FR"/>
        </w:rPr>
        <w:t xml:space="preserve">´acquérir une connaissance exhaustive sur le secteur énergétique de la Barbade à travers une série d´opérations techniques de coopération financées par la BID, lesquelles sont actuellement sous exécution. Le Système des énergies renouvelables (SEFB) pour la Barbade est en train de mettre sur pied une matrice énergétique et d´analyser le potentiel en RE, EE et </w:t>
      </w:r>
      <w:proofErr w:type="spellStart"/>
      <w:r>
        <w:rPr>
          <w:rFonts w:ascii="Calibri" w:eastAsia="Calibri" w:hAnsi="Calibri"/>
          <w:sz w:val="22"/>
          <w:szCs w:val="22"/>
          <w:lang w:val="fr-FR"/>
        </w:rPr>
        <w:t>Bio-énergies</w:t>
      </w:r>
      <w:proofErr w:type="spellEnd"/>
      <w:r>
        <w:rPr>
          <w:rFonts w:ascii="Calibri" w:eastAsia="Calibri" w:hAnsi="Calibri"/>
          <w:sz w:val="22"/>
          <w:szCs w:val="22"/>
          <w:lang w:val="fr-FR"/>
        </w:rPr>
        <w:t xml:space="preserve"> (BE) pour l´île. Les résultats du SEFB appuieront les conditions imposées par la matrice de la politique énergétique pour les deux opérations de la PBP, lesquelles aideront à catalyser les mesures législatives et politiques de régulation nécessaires à la promotion des énergies propres. </w:t>
      </w:r>
    </w:p>
    <w:bookmarkEnd w:id="0"/>
    <w:p w:rsidR="00A007A0" w:rsidRPr="00FA4A72" w:rsidRDefault="00A007A0" w:rsidP="00A007A0">
      <w:pPr>
        <w:pStyle w:val="BodyTextIndent"/>
        <w:numPr>
          <w:ilvl w:val="0"/>
          <w:numId w:val="1"/>
        </w:numPr>
        <w:spacing w:after="120"/>
        <w:jc w:val="left"/>
        <w:rPr>
          <w:rFonts w:ascii="Calibri" w:eastAsia="Calibri" w:hAnsi="Calibri"/>
          <w:sz w:val="22"/>
          <w:szCs w:val="22"/>
          <w:lang w:val="fr-FR"/>
        </w:rPr>
      </w:pPr>
      <w:r w:rsidRPr="009E45E2">
        <w:rPr>
          <w:rFonts w:ascii="Calibri" w:eastAsia="Calibri" w:hAnsi="Calibri"/>
          <w:sz w:val="22"/>
          <w:szCs w:val="22"/>
          <w:lang w:val="fr-FR"/>
        </w:rPr>
        <w:t xml:space="preserve">Le Programme d´action d´efficience </w:t>
      </w:r>
      <w:r>
        <w:rPr>
          <w:rFonts w:ascii="Calibri" w:eastAsia="Calibri" w:hAnsi="Calibri"/>
          <w:sz w:val="22"/>
          <w:szCs w:val="22"/>
          <w:lang w:val="fr-FR"/>
        </w:rPr>
        <w:t xml:space="preserve">énergétique pour hôtels caribéens (CHENACT) encouragera l´implémentation des pratiques d´EE et de micro-génération de RE dans le secteur touristique caribéen, visant ainsi l´amélioration de la compétitivité des petits, moyens et larges hôtels. La moitié des fonds du CHENACT seront dirigés à un projet pilote que aura lieu à la Barbade. Il cherchera à montrer les potentiels bénéfices de l´implantation d´EE dans l´industrie hôtelière, apportant par là même de précieuses informations pour le SEFB. </w:t>
      </w:r>
    </w:p>
    <w:p w:rsidR="00A007A0" w:rsidRPr="00ED7780" w:rsidRDefault="00A007A0" w:rsidP="00A007A0">
      <w:pPr>
        <w:pStyle w:val="BodyTextIndent"/>
        <w:numPr>
          <w:ilvl w:val="0"/>
          <w:numId w:val="1"/>
        </w:numPr>
        <w:spacing w:after="120"/>
        <w:jc w:val="left"/>
        <w:rPr>
          <w:rFonts w:ascii="Calibri" w:eastAsia="Calibri" w:hAnsi="Calibri"/>
          <w:sz w:val="22"/>
          <w:szCs w:val="22"/>
          <w:lang w:val="fr-FR"/>
        </w:rPr>
      </w:pPr>
      <w:r w:rsidRPr="00ED7780">
        <w:rPr>
          <w:rFonts w:ascii="Calibri" w:eastAsia="Calibri" w:hAnsi="Calibri"/>
          <w:sz w:val="22"/>
          <w:szCs w:val="22"/>
          <w:lang w:val="fr-FR"/>
        </w:rPr>
        <w:t>L</w:t>
      </w:r>
      <w:r>
        <w:rPr>
          <w:rFonts w:ascii="Calibri" w:eastAsia="Calibri" w:hAnsi="Calibri"/>
          <w:sz w:val="22"/>
          <w:szCs w:val="22"/>
          <w:lang w:val="fr-FR"/>
        </w:rPr>
        <w:t>a Structure</w:t>
      </w:r>
      <w:r w:rsidRPr="00ED7780">
        <w:rPr>
          <w:rFonts w:ascii="Calibri" w:eastAsia="Calibri" w:hAnsi="Calibri"/>
          <w:color w:val="FF0000"/>
          <w:sz w:val="22"/>
          <w:szCs w:val="22"/>
          <w:lang w:val="fr-FR"/>
        </w:rPr>
        <w:t xml:space="preserve"> </w:t>
      </w:r>
      <w:r w:rsidRPr="00ED7780">
        <w:rPr>
          <w:rFonts w:ascii="Calibri" w:eastAsia="Calibri" w:hAnsi="Calibri"/>
          <w:color w:val="000000"/>
          <w:sz w:val="22"/>
          <w:szCs w:val="22"/>
          <w:lang w:val="fr-FR"/>
        </w:rPr>
        <w:t>d´environnement global (GEF)</w:t>
      </w:r>
      <w:r>
        <w:rPr>
          <w:rFonts w:ascii="Calibri" w:eastAsia="Calibri" w:hAnsi="Calibri"/>
          <w:color w:val="000000"/>
          <w:sz w:val="22"/>
          <w:szCs w:val="22"/>
          <w:lang w:val="fr-FR"/>
        </w:rPr>
        <w:t xml:space="preserve"> finance, à travers la BID, le Programme d´implémentation d´énergies propres, aussi nommé Programme pilote du SEFB. Ce programme, exécuté en </w:t>
      </w:r>
      <w:r w:rsidRPr="00781922">
        <w:rPr>
          <w:rFonts w:ascii="Calibri" w:eastAsia="Calibri" w:hAnsi="Calibri"/>
          <w:sz w:val="22"/>
          <w:szCs w:val="22"/>
          <w:lang w:val="fr-FR"/>
        </w:rPr>
        <w:t xml:space="preserve">coopération avec le BL&amp;P et le GOBA, installera 3000 compteurs électriques, 15000 </w:t>
      </w:r>
      <w:proofErr w:type="spellStart"/>
      <w:r w:rsidRPr="00781922">
        <w:rPr>
          <w:rFonts w:ascii="Calibri" w:eastAsia="Calibri" w:hAnsi="Calibri"/>
          <w:sz w:val="22"/>
          <w:szCs w:val="22"/>
          <w:lang w:val="fr-FR"/>
        </w:rPr>
        <w:t>CFLs</w:t>
      </w:r>
      <w:proofErr w:type="spellEnd"/>
      <w:r w:rsidRPr="00781922">
        <w:rPr>
          <w:rFonts w:ascii="Calibri" w:eastAsia="Calibri" w:hAnsi="Calibri"/>
          <w:sz w:val="22"/>
          <w:szCs w:val="22"/>
          <w:lang w:val="fr-FR"/>
        </w:rPr>
        <w:t>, 28 systèmes</w:t>
      </w:r>
      <w:r w:rsidRPr="0011739B">
        <w:rPr>
          <w:rFonts w:ascii="Calibri" w:eastAsia="Calibri" w:hAnsi="Calibri"/>
          <w:sz w:val="22"/>
          <w:szCs w:val="22"/>
          <w:lang w:val="fr-FR"/>
        </w:rPr>
        <w:t xml:space="preserve"> PV</w:t>
      </w:r>
      <w:r>
        <w:rPr>
          <w:rFonts w:ascii="Calibri" w:eastAsia="Calibri" w:hAnsi="Calibri"/>
          <w:sz w:val="22"/>
          <w:szCs w:val="22"/>
          <w:lang w:val="fr-FR"/>
        </w:rPr>
        <w:t xml:space="preserve"> et un microsystème éolien parmi des ménages sélectionnés. Le projet pilote fournira les bases pour la reproduction du modèle à échelle nationale une fois qu´il sera prêt. Seront alors utilisés à cette fin les financements du Fonds futé.</w:t>
      </w:r>
    </w:p>
    <w:p w:rsidR="00A007A0" w:rsidRPr="0011739B" w:rsidRDefault="00A007A0" w:rsidP="00A007A0">
      <w:pPr>
        <w:pStyle w:val="BodyTextIndent"/>
        <w:numPr>
          <w:ilvl w:val="0"/>
          <w:numId w:val="1"/>
        </w:numPr>
        <w:spacing w:after="120"/>
        <w:jc w:val="left"/>
        <w:rPr>
          <w:rFonts w:ascii="Calibri" w:eastAsia="Calibri" w:hAnsi="Calibri"/>
          <w:sz w:val="22"/>
          <w:szCs w:val="22"/>
          <w:lang w:val="fr-FR"/>
        </w:rPr>
      </w:pPr>
      <w:bookmarkStart w:id="1" w:name="_Ref263432483"/>
      <w:r w:rsidRPr="0011739B">
        <w:rPr>
          <w:rFonts w:ascii="Calibri" w:eastAsia="Calibri" w:hAnsi="Calibri"/>
          <w:sz w:val="22"/>
          <w:szCs w:val="22"/>
          <w:lang w:val="fr-FR"/>
        </w:rPr>
        <w:t>La BID, à travers son Fonds pour infrastructures (INFRAFUND)</w:t>
      </w:r>
      <w:r>
        <w:rPr>
          <w:rFonts w:ascii="Calibri" w:eastAsia="Calibri" w:hAnsi="Calibri"/>
          <w:sz w:val="22"/>
          <w:szCs w:val="22"/>
          <w:lang w:val="fr-FR"/>
        </w:rPr>
        <w:t>,</w:t>
      </w:r>
      <w:r w:rsidRPr="0011739B">
        <w:rPr>
          <w:rFonts w:ascii="Calibri" w:eastAsia="Calibri" w:hAnsi="Calibri"/>
          <w:sz w:val="22"/>
          <w:szCs w:val="22"/>
          <w:lang w:val="fr-FR"/>
        </w:rPr>
        <w:t xml:space="preserve"> est en train de financer</w:t>
      </w:r>
      <w:r>
        <w:rPr>
          <w:rFonts w:ascii="Calibri" w:eastAsia="Calibri" w:hAnsi="Calibri"/>
          <w:sz w:val="22"/>
          <w:szCs w:val="22"/>
          <w:lang w:val="fr-FR"/>
        </w:rPr>
        <w:t xml:space="preserve"> les études nécessaires à l´actualisation et l´extension du réseau de gaz naturel. Cela supposera aussi une étude sur les utilisations les plus efficientes pour les sources énergétiques fossiles. Les recommandations de ces évaluations seront utilisées en tant que conditions pour la politique énergétique dans la seconde opération du PBP. De cette manière tout le secteur énergétique de la Barbade aura des recommandations concrètes afin d´avancer vers une utilisation plus rationnelle et soutenable, tant des RE comme des énergies fossiles. </w:t>
      </w:r>
    </w:p>
    <w:bookmarkEnd w:id="1"/>
    <w:p w:rsidR="00D82383" w:rsidRPr="00A007A0" w:rsidRDefault="00D82383">
      <w:pPr>
        <w:rPr>
          <w:lang w:val="fr-FR"/>
        </w:rPr>
      </w:pPr>
    </w:p>
    <w:sectPr w:rsidR="00D82383" w:rsidRPr="00A007A0" w:rsidSect="00D823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alibri">
    <w:altName w:val="Times New Roman"/>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046FE"/>
    <w:multiLevelType w:val="hybridMultilevel"/>
    <w:tmpl w:val="6E4827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rsids>
    <w:rsidRoot w:val="00A007A0"/>
    <w:rsid w:val="00581D30"/>
    <w:rsid w:val="00A007A0"/>
    <w:rsid w:val="00D823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3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A007A0"/>
    <w:pPr>
      <w:spacing w:after="0" w:line="240" w:lineRule="auto"/>
      <w:ind w:left="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A007A0"/>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A007A0"/>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A007A0"/>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A00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7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13" Type="http://schemas.openxmlformats.org/officeDocument/2006/relationships/customXml" Target="../customXml/item6.xml"/><Relationship Id="rId3" Type="http://schemas.openxmlformats.org/officeDocument/2006/relationships/settings" Target="settings.xml"/><Relationship Id="rId7" Type="http://schemas.openxmlformats.org/officeDocument/2006/relationships/theme" Target="theme/theme1.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DBDocs_x0020_Number xmlns="cdc7663a-08f0-4737-9e8c-148ce897a09c">35353714</IDBDocs_x0020_Number>
    <TaxCatchAll xmlns="cdc7663a-08f0-4737-9e8c-148ce897a09c">
      <Value>8</Value>
      <Value>7</Value>
    </TaxCatchAll>
    <SISCOR_x0020_Number xmlns="cdc7663a-08f0-4737-9e8c-148ce897a09c" xsi:nil="true"/>
    <Division_x0020_or_x0020_Unit xmlns="cdc7663a-08f0-4737-9e8c-148ce897a09c">EXR/CMG</Division_x0020_or_x0020_Unit>
    <Document_x0020_Author xmlns="cdc7663a-08f0-4737-9e8c-148ce897a09c">CHRISTINAM</Document_x0020_Author>
    <Fiscal_x0020_Year_x0020_IDB xmlns="cdc7663a-08f0-4737-9e8c-148ce897a09c">2010</Fiscal_x0020_Year_x0020_IDB>
    <Other_x0020_Author xmlns="cdc7663a-08f0-4737-9e8c-148ce897a09c" xsi:nil="true"/>
    <Migration_x0020_Info xmlns="cdc7663a-08f0-4737-9e8c-148ce897a09c">&lt;Data&gt;&lt;APPLICATION&gt;MS WORD&lt;/APPLICATION&gt;&lt;STAGE_CODE&gt;N/A&lt;/STAGE_CODE&gt;&lt;USER_STAGE&gt;NON-APPLICABLE&lt;/USER_STAGE&gt;&lt;PD_OBJ_TYPE&gt;0&lt;/PD_OBJ_TYPE&gt;&lt;MAKERECORD&gt;N&lt;/MAKERECORD&gt;&lt;/Data&gt;</Migration_x0020_Info>
    <Document_x0020_Language_x0020_IDB xmlns="cdc7663a-08f0-4737-9e8c-148ce897a09c">French</Document_x0020_Language_x0020_IDB>
    <Identifier xmlns="cdc7663a-08f0-4737-9e8c-148ce897a09c" xsi:nil="true"/>
    <Access_x0020_to_x0020_Information_x00a0_Policy xmlns="cdc7663a-08f0-4737-9e8c-148ce897a09c">Confidential</Access_x0020_to_x0020_Information_x00a0_Policy>
    <ic46d7e087fd4a108fb86518ca413cc6 xmlns="cdc7663a-08f0-4737-9e8c-148ce897a09c">
      <Terms xmlns="http://schemas.microsoft.com/office/infopath/2007/PartnerControls"/>
    </ic46d7e087fd4a108fb86518ca413cc6>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PUB-03 Cultural Programs</TermName>
          <TermId xmlns="http://schemas.microsoft.com/office/infopath/2007/PartnerControls">9ed9d41a-3660-4f7e-ad97-20a708c7d751</TermId>
        </TermInfo>
      </Terms>
    </j65ec2e3a7e44c39a1acebfd2a19200a>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7 Public Relations</TermName>
          <TermId xmlns="http://schemas.microsoft.com/office/infopath/2007/PartnerControls">d23e511c-fa8c-4069-b074-dbe83e1cd122</TermId>
        </TermInfo>
      </Terms>
    </cf0f1ca6d90e4583ad80995bcde0e58a>
    <Abstract xmlns="cdc7663a-08f0-4737-9e8c-148ce897a09c" xsi:nil="true"/>
    <Editor1 xmlns="cdc7663a-08f0-4737-9e8c-148ce897a09c" xsi:nil="true"/>
    <Disclosure_x0020_Activity xmlns="cdc7663a-08f0-4737-9e8c-148ce897a09c">NON-APPLICABLE</Disclosure_x0020_Activity>
    <Region xmlns="cdc7663a-08f0-4737-9e8c-148ce897a09c" xsi:nil="true"/>
    <Disclosed xmlns="cdc7663a-08f0-4737-9e8c-148ce897a09c">false</Disclosed>
    <_dlc_DocId xmlns="cdc7663a-08f0-4737-9e8c-148ce897a09c">EZSHARE-917344851-1468</_dlc_DocId>
    <Publication_x0020_Type xmlns="cdc7663a-08f0-4737-9e8c-148ce897a09c" xsi:nil="true"/>
    <Issue_x0020_Date xmlns="cdc7663a-08f0-4737-9e8c-148ce897a09c" xsi:nil="true"/>
    <KP_x0020_Topics xmlns="cdc7663a-08f0-4737-9e8c-148ce897a09c" xsi:nil="true"/>
    <Webtopic xmlns="cdc7663a-08f0-4737-9e8c-148ce897a09c">Generic</Webtopic>
    <Publishing_x0020_House xmlns="cdc7663a-08f0-4737-9e8c-148ce897a09c" xsi:nil="true"/>
    <_dlc_DocIdUrl xmlns="cdc7663a-08f0-4737-9e8c-148ce897a09c">
      <Url>https://idbg.sharepoint.com/teams/ez-EXR/_layouts/15/DocIdRedir.aspx?ID=EZSHARE-917344851-1468</Url>
      <Description>EZSHARE-917344851-1468</Description>
    </_dlc_DocIdUrl>
  </documentManagement>
</p:properties>
</file>

<file path=customXml/item2.xml><?xml version="1.0" encoding="utf-8"?>
<?mso-contentType ?>
<FormUrls xmlns="http://schemas.microsoft.com/sharepoint/v3/contenttype/forms/url">
  <Display>_catalogs/masterpage/ECMForms/DisclosureCorporateCT/View.aspx</Display>
  <Edit>_catalogs/masterpage/ECMForms/DisclosureCorporateCT/Edit.aspx</Edit>
</FormUrl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ae61f9b1-e23d-4f49-b3d7-56b991556c4b" ContentTypeId="0x01010066B06E59AB175241BBFB297522263BEB"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0BDAB76021CD3D40B736BB32CD86FC33" ma:contentTypeVersion="5" ma:contentTypeDescription="A content type to manage public (corporate) IDB documents" ma:contentTypeScope="" ma:versionID="5058fd043e8c405b3a31d0988c340a00">
  <xsd:schema xmlns:xsd="http://www.w3.org/2001/XMLSchema" xmlns:xs="http://www.w3.org/2001/XMLSchema" xmlns:p="http://schemas.microsoft.com/office/2006/metadata/properties" xmlns:ns2="cdc7663a-08f0-4737-9e8c-148ce897a09c" targetNamespace="http://schemas.microsoft.com/office/2006/metadata/properties" ma:root="true" ma:fieldsID="7e1bd7f865f01086d76cce93b0a884e1"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0e8227-0d55-4e05-a6d7-b2199c6842a9}" ma:internalName="TaxCatchAll" ma:showField="CatchAllData" ma:web="0da3c2c3-7849-4db0-866c-d5c6829aa30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0e8227-0d55-4e05-a6d7-b2199c6842a9}" ma:internalName="TaxCatchAllLabel" ma:readOnly="true" ma:showField="CatchAllDataLabel" ma:web="0da3c2c3-7849-4db0-866c-d5c6829aa306">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dexed="true"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288055-931D-4ED8-B3E6-E16CC145EABE}"/>
</file>

<file path=customXml/itemProps2.xml><?xml version="1.0" encoding="utf-8"?>
<ds:datastoreItem xmlns:ds="http://schemas.openxmlformats.org/officeDocument/2006/customXml" ds:itemID="{B021FDC7-0713-4FA3-ACF7-FAEF9933AB4A}"/>
</file>

<file path=customXml/itemProps3.xml><?xml version="1.0" encoding="utf-8"?>
<ds:datastoreItem xmlns:ds="http://schemas.openxmlformats.org/officeDocument/2006/customXml" ds:itemID="{C54D34A4-A3AF-469F-8C42-8268C6A9AD92}"/>
</file>

<file path=customXml/itemProps4.xml><?xml version="1.0" encoding="utf-8"?>
<ds:datastoreItem xmlns:ds="http://schemas.openxmlformats.org/officeDocument/2006/customXml" ds:itemID="{AD830BE2-6DC0-472C-AA46-5EDB50918A52}"/>
</file>

<file path=customXml/itemProps5.xml><?xml version="1.0" encoding="utf-8"?>
<ds:datastoreItem xmlns:ds="http://schemas.openxmlformats.org/officeDocument/2006/customXml" ds:itemID="{05749EDA-DDAC-4EFD-8C5E-AA20A846D39E}"/>
</file>

<file path=customXml/itemProps6.xml><?xml version="1.0" encoding="utf-8"?>
<ds:datastoreItem xmlns:ds="http://schemas.openxmlformats.org/officeDocument/2006/customXml" ds:itemID="{2F57243D-783B-452F-BD71-85BB484EB112}"/>
</file>

<file path=docProps/app.xml><?xml version="1.0" encoding="utf-8"?>
<Properties xmlns="http://schemas.openxmlformats.org/officeDocument/2006/extended-properties" xmlns:vt="http://schemas.openxmlformats.org/officeDocument/2006/docPropsVTypes">
  <Template>Normal.dotm</Template>
  <TotalTime>2</TotalTime>
  <Pages>2</Pages>
  <Words>506</Words>
  <Characters>2646</Characters>
  <Application>Microsoft Office Word</Application>
  <DocSecurity>0</DocSecurity>
  <Lines>35</Lines>
  <Paragraphs>7</Paragraphs>
  <ScaleCrop>false</ScaleCrop>
  <Company>Inter-American Development Bank</Company>
  <LinksUpToDate>false</LinksUpToDate>
  <CharactersWithSpaces>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projets de la BID pour les énergies renouvelables à la Barbade</dc:title>
  <dc:subject/>
  <dc:creator>MILDREDR</dc:creator>
  <cp:keywords/>
  <dc:description/>
  <cp:lastModifiedBy>MILDREDR</cp:lastModifiedBy>
  <cp:revision>1</cp:revision>
  <dcterms:created xsi:type="dcterms:W3CDTF">2010-09-16T21:05:00Z</dcterms:created>
  <dcterms:modified xsi:type="dcterms:W3CDTF">2010-09-16T21:07:00Z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0x01010066B06E59AB175241BBFB297522263BEB000BDAB76021CD3D40B736BB32CD86FC33</vt:lpwstr>
  </property>
  <property fmtid="{D5CDD505-2E9C-101B-9397-08002B2CF9AE}" pid="3" name="TaxKeyword">
    <vt:lpwstr/>
  </property>
  <property fmtid="{D5CDD505-2E9C-101B-9397-08002B2CF9AE}" pid="4" name="Series Corporate IDB">
    <vt:lpwstr>8;#PUB-03 Cultural Programs|9ed9d41a-3660-4f7e-ad97-20a708c7d751</vt:lpwstr>
  </property>
  <property fmtid="{D5CDD505-2E9C-101B-9397-08002B2CF9AE}" pid="5" name="Function Corporate IDB">
    <vt:lpwstr>7;#7 Public Relations|d23e511c-fa8c-4069-b074-dbe83e1cd122</vt:lpwstr>
  </property>
  <property fmtid="{D5CDD505-2E9C-101B-9397-08002B2CF9AE}" pid="6" name="TaxKeywordTaxHTField">
    <vt:lpwstr/>
  </property>
  <property fmtid="{D5CDD505-2E9C-101B-9397-08002B2CF9AE}" pid="7" name="Country">
    <vt:lpwstr/>
  </property>
  <property fmtid="{D5CDD505-2E9C-101B-9397-08002B2CF9AE}" pid="10" name="Order">
    <vt:r8>146800</vt:r8>
  </property>
  <property fmtid="{D5CDD505-2E9C-101B-9397-08002B2CF9AE}" pid="11" name="Record Number">
    <vt:lpwstr/>
  </property>
  <property fmtid="{D5CDD505-2E9C-101B-9397-08002B2CF9AE}" pid="12" name="URL">
    <vt:lpwstr/>
  </property>
  <property fmtid="{D5CDD505-2E9C-101B-9397-08002B2CF9AE}" pid="13" name="Related SisCor Number">
    <vt:lpwstr/>
  </property>
  <property fmtid="{D5CDD505-2E9C-101B-9397-08002B2CF9AE}" pid="14" name="_dlc_DocIdItemGuid">
    <vt:lpwstr>cd9e557c-8747-41c1-b29e-1eac74a812ee</vt:lpwstr>
  </property>
</Properties>
</file>