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20E6" w:rsidRPr="00267950" w:rsidRDefault="009C20E6" w:rsidP="00B67463">
      <w:pPr>
        <w:jc w:val="center"/>
        <w:rPr>
          <w:rFonts w:asciiTheme="minorHAnsi" w:hAnsiTheme="minorHAnsi" w:cstheme="minorHAnsi"/>
          <w:sz w:val="32"/>
        </w:rPr>
      </w:pPr>
    </w:p>
    <w:p w:rsidR="00B05503" w:rsidRPr="00267950" w:rsidRDefault="00B05503" w:rsidP="00B67463">
      <w:pPr>
        <w:jc w:val="center"/>
        <w:rPr>
          <w:rFonts w:asciiTheme="minorHAnsi" w:hAnsiTheme="minorHAnsi" w:cstheme="minorHAnsi"/>
          <w:sz w:val="32"/>
        </w:rPr>
      </w:pPr>
    </w:p>
    <w:p w:rsidR="009C20E6" w:rsidRPr="0072678C" w:rsidRDefault="009C20E6" w:rsidP="00B67463">
      <w:pPr>
        <w:jc w:val="center"/>
        <w:rPr>
          <w:rFonts w:asciiTheme="minorHAnsi" w:hAnsiTheme="minorHAnsi" w:cstheme="minorHAnsi"/>
          <w:b/>
          <w:sz w:val="48"/>
          <w:szCs w:val="48"/>
        </w:rPr>
      </w:pPr>
      <w:r w:rsidRPr="0072678C">
        <w:rPr>
          <w:rFonts w:asciiTheme="minorHAnsi" w:hAnsiTheme="minorHAnsi" w:cstheme="minorHAnsi"/>
          <w:b/>
          <w:sz w:val="48"/>
          <w:szCs w:val="48"/>
        </w:rPr>
        <w:t xml:space="preserve">Metodologia de </w:t>
      </w:r>
      <w:bookmarkStart w:id="0" w:name="_Hlk489809628"/>
      <w:r w:rsidRPr="0072678C">
        <w:rPr>
          <w:rFonts w:asciiTheme="minorHAnsi" w:hAnsiTheme="minorHAnsi" w:cstheme="minorHAnsi"/>
          <w:b/>
          <w:sz w:val="48"/>
          <w:szCs w:val="48"/>
        </w:rPr>
        <w:t>Avaliação da Maturidade e Desempenho da Gestão Fiscal</w:t>
      </w:r>
    </w:p>
    <w:p w:rsidR="009C20E6" w:rsidRPr="0072678C" w:rsidRDefault="009C20E6" w:rsidP="00B67463">
      <w:pPr>
        <w:jc w:val="center"/>
        <w:rPr>
          <w:rFonts w:asciiTheme="minorHAnsi" w:hAnsiTheme="minorHAnsi" w:cstheme="minorHAnsi"/>
          <w:b/>
          <w:sz w:val="48"/>
          <w:szCs w:val="48"/>
        </w:rPr>
      </w:pPr>
      <w:r w:rsidRPr="0072678C">
        <w:rPr>
          <w:rFonts w:asciiTheme="minorHAnsi" w:hAnsiTheme="minorHAnsi" w:cstheme="minorHAnsi"/>
          <w:b/>
          <w:sz w:val="48"/>
          <w:szCs w:val="48"/>
        </w:rPr>
        <w:t>(MD-GEFIS)</w:t>
      </w:r>
    </w:p>
    <w:bookmarkEnd w:id="0"/>
    <w:p w:rsidR="009C20E6" w:rsidRPr="0072678C" w:rsidRDefault="009C20E6" w:rsidP="00B67463">
      <w:pPr>
        <w:jc w:val="center"/>
        <w:rPr>
          <w:rFonts w:asciiTheme="minorHAnsi" w:hAnsiTheme="minorHAnsi" w:cstheme="minorHAnsi"/>
          <w:b/>
          <w:sz w:val="40"/>
          <w:szCs w:val="32"/>
        </w:rPr>
      </w:pPr>
    </w:p>
    <w:p w:rsidR="009C20E6" w:rsidRPr="0072678C" w:rsidRDefault="009C20E6" w:rsidP="00B67463">
      <w:pPr>
        <w:jc w:val="center"/>
        <w:rPr>
          <w:rFonts w:asciiTheme="minorHAnsi" w:hAnsiTheme="minorHAnsi" w:cstheme="minorHAnsi"/>
          <w:b/>
          <w:sz w:val="40"/>
          <w:szCs w:val="32"/>
        </w:rPr>
      </w:pPr>
    </w:p>
    <w:p w:rsidR="003E72F4" w:rsidRPr="0072678C" w:rsidRDefault="003E72F4" w:rsidP="003E72F4">
      <w:pPr>
        <w:ind w:left="-426" w:right="-427"/>
        <w:jc w:val="center"/>
        <w:rPr>
          <w:rFonts w:asciiTheme="minorHAnsi" w:hAnsiTheme="minorHAnsi" w:cstheme="minorHAnsi"/>
          <w:b/>
          <w:sz w:val="52"/>
          <w:szCs w:val="56"/>
        </w:rPr>
      </w:pPr>
      <w:r w:rsidRPr="0072678C">
        <w:rPr>
          <w:rFonts w:asciiTheme="minorHAnsi" w:hAnsiTheme="minorHAnsi" w:cstheme="minorHAnsi"/>
          <w:b/>
          <w:sz w:val="52"/>
          <w:szCs w:val="56"/>
        </w:rPr>
        <w:t>Relatório de Diagnóstico da Gestão Fiscal</w:t>
      </w:r>
    </w:p>
    <w:p w:rsidR="009C20E6" w:rsidRPr="0072678C" w:rsidRDefault="009C20E6" w:rsidP="00B67463">
      <w:pPr>
        <w:jc w:val="center"/>
        <w:rPr>
          <w:rFonts w:asciiTheme="minorHAnsi" w:hAnsiTheme="minorHAnsi" w:cstheme="minorHAnsi"/>
          <w:b/>
          <w:sz w:val="56"/>
          <w:szCs w:val="56"/>
        </w:rPr>
      </w:pPr>
    </w:p>
    <w:p w:rsidR="000A18BE" w:rsidRPr="0072678C" w:rsidRDefault="000A18BE" w:rsidP="00B67463">
      <w:pPr>
        <w:jc w:val="center"/>
        <w:rPr>
          <w:rFonts w:asciiTheme="minorHAnsi" w:hAnsiTheme="minorHAnsi" w:cstheme="minorHAnsi"/>
          <w:b/>
          <w:sz w:val="40"/>
          <w:szCs w:val="32"/>
        </w:rPr>
      </w:pPr>
    </w:p>
    <w:p w:rsidR="000A18BE" w:rsidRPr="0072678C" w:rsidRDefault="000A18BE" w:rsidP="00582819">
      <w:pPr>
        <w:jc w:val="center"/>
        <w:rPr>
          <w:rFonts w:asciiTheme="minorHAnsi" w:hAnsiTheme="minorHAnsi" w:cstheme="minorHAnsi"/>
          <w:b/>
          <w:sz w:val="40"/>
          <w:szCs w:val="32"/>
        </w:rPr>
      </w:pPr>
      <w:r w:rsidRPr="0072678C">
        <w:rPr>
          <w:rFonts w:asciiTheme="minorHAnsi" w:hAnsiTheme="minorHAnsi" w:cstheme="minorHAnsi"/>
          <w:b/>
          <w:sz w:val="40"/>
          <w:szCs w:val="32"/>
        </w:rPr>
        <w:t>Secr</w:t>
      </w:r>
      <w:r w:rsidR="00582819" w:rsidRPr="0072678C">
        <w:rPr>
          <w:rFonts w:asciiTheme="minorHAnsi" w:hAnsiTheme="minorHAnsi" w:cstheme="minorHAnsi"/>
          <w:b/>
          <w:sz w:val="40"/>
          <w:szCs w:val="32"/>
        </w:rPr>
        <w:t>etaria d</w:t>
      </w:r>
      <w:r w:rsidR="00FC4915" w:rsidRPr="0072678C">
        <w:rPr>
          <w:rFonts w:asciiTheme="minorHAnsi" w:hAnsiTheme="minorHAnsi" w:cstheme="minorHAnsi"/>
          <w:b/>
          <w:sz w:val="40"/>
          <w:szCs w:val="32"/>
        </w:rPr>
        <w:t>a Fazenda do Estado de São Paulo</w:t>
      </w:r>
    </w:p>
    <w:p w:rsidR="009C20E6" w:rsidRPr="0072678C" w:rsidRDefault="009C20E6" w:rsidP="00B67463">
      <w:pPr>
        <w:jc w:val="center"/>
        <w:rPr>
          <w:rFonts w:asciiTheme="minorHAnsi" w:hAnsiTheme="minorHAnsi" w:cstheme="minorHAnsi"/>
          <w:b/>
          <w:sz w:val="40"/>
          <w:szCs w:val="32"/>
        </w:rPr>
      </w:pPr>
    </w:p>
    <w:p w:rsidR="000A18BE" w:rsidRPr="0072678C" w:rsidRDefault="000A18BE" w:rsidP="00B67463">
      <w:pPr>
        <w:jc w:val="center"/>
        <w:rPr>
          <w:rFonts w:asciiTheme="minorHAnsi" w:hAnsiTheme="minorHAnsi" w:cstheme="minorHAnsi"/>
          <w:b/>
          <w:sz w:val="40"/>
          <w:szCs w:val="32"/>
        </w:rPr>
      </w:pPr>
    </w:p>
    <w:p w:rsidR="000A18BE" w:rsidRPr="0072678C" w:rsidRDefault="00E01404" w:rsidP="00B67463">
      <w:pPr>
        <w:jc w:val="center"/>
        <w:rPr>
          <w:rFonts w:asciiTheme="minorHAnsi" w:hAnsiTheme="minorHAnsi" w:cstheme="minorHAnsi"/>
          <w:b/>
          <w:sz w:val="40"/>
          <w:szCs w:val="32"/>
        </w:rPr>
      </w:pPr>
      <w:r w:rsidRPr="0072678C">
        <w:rPr>
          <w:rFonts w:asciiTheme="minorHAnsi" w:hAnsiTheme="minorHAnsi" w:cstheme="minorHAnsi"/>
          <w:b/>
          <w:sz w:val="40"/>
          <w:szCs w:val="32"/>
        </w:rPr>
        <w:t>Versão</w:t>
      </w:r>
      <w:r w:rsidR="00643329" w:rsidRPr="0072678C">
        <w:rPr>
          <w:rFonts w:asciiTheme="minorHAnsi" w:hAnsiTheme="minorHAnsi" w:cstheme="minorHAnsi"/>
          <w:b/>
          <w:sz w:val="40"/>
          <w:szCs w:val="32"/>
        </w:rPr>
        <w:t xml:space="preserve"> </w:t>
      </w:r>
      <w:r w:rsidR="000C7BB6" w:rsidRPr="0072678C">
        <w:rPr>
          <w:rFonts w:asciiTheme="minorHAnsi" w:hAnsiTheme="minorHAnsi" w:cstheme="minorHAnsi"/>
          <w:b/>
          <w:sz w:val="40"/>
          <w:szCs w:val="32"/>
        </w:rPr>
        <w:t xml:space="preserve">Preliminar </w:t>
      </w:r>
      <w:r w:rsidR="00643329" w:rsidRPr="0072678C">
        <w:rPr>
          <w:rFonts w:asciiTheme="minorHAnsi" w:hAnsiTheme="minorHAnsi" w:cstheme="minorHAnsi"/>
          <w:b/>
          <w:sz w:val="40"/>
          <w:szCs w:val="32"/>
        </w:rPr>
        <w:t>001</w:t>
      </w:r>
    </w:p>
    <w:p w:rsidR="009C20E6" w:rsidRPr="0072678C" w:rsidRDefault="006E17CE" w:rsidP="00B67463">
      <w:pPr>
        <w:jc w:val="center"/>
        <w:rPr>
          <w:rFonts w:asciiTheme="minorHAnsi" w:hAnsiTheme="minorHAnsi" w:cstheme="minorHAnsi"/>
          <w:b/>
          <w:sz w:val="40"/>
          <w:szCs w:val="32"/>
        </w:rPr>
      </w:pPr>
      <w:r w:rsidRPr="0072678C">
        <w:rPr>
          <w:rFonts w:asciiTheme="minorHAnsi" w:hAnsiTheme="minorHAnsi" w:cstheme="minorHAnsi"/>
          <w:b/>
          <w:sz w:val="40"/>
          <w:szCs w:val="32"/>
        </w:rPr>
        <w:t>29</w:t>
      </w:r>
      <w:r w:rsidR="007F5D51" w:rsidRPr="0072678C">
        <w:rPr>
          <w:rFonts w:asciiTheme="minorHAnsi" w:hAnsiTheme="minorHAnsi" w:cstheme="minorHAnsi"/>
          <w:b/>
          <w:sz w:val="40"/>
          <w:szCs w:val="32"/>
        </w:rPr>
        <w:t xml:space="preserve"> de Junho </w:t>
      </w:r>
      <w:r w:rsidR="008E3DAC" w:rsidRPr="0072678C">
        <w:rPr>
          <w:rFonts w:asciiTheme="minorHAnsi" w:hAnsiTheme="minorHAnsi" w:cstheme="minorHAnsi"/>
          <w:b/>
          <w:sz w:val="40"/>
          <w:szCs w:val="32"/>
        </w:rPr>
        <w:t xml:space="preserve">de </w:t>
      </w:r>
      <w:r w:rsidR="00404DB0" w:rsidRPr="0072678C">
        <w:rPr>
          <w:rFonts w:asciiTheme="minorHAnsi" w:hAnsiTheme="minorHAnsi" w:cstheme="minorHAnsi"/>
          <w:b/>
          <w:sz w:val="40"/>
          <w:szCs w:val="32"/>
        </w:rPr>
        <w:t>2018</w:t>
      </w:r>
    </w:p>
    <w:p w:rsidR="0021709C" w:rsidRPr="0072678C" w:rsidRDefault="0021709C" w:rsidP="00B67463">
      <w:pPr>
        <w:jc w:val="center"/>
        <w:rPr>
          <w:rFonts w:asciiTheme="minorHAnsi" w:hAnsiTheme="minorHAnsi" w:cstheme="minorHAnsi"/>
          <w:b/>
          <w:sz w:val="40"/>
          <w:szCs w:val="32"/>
        </w:rPr>
      </w:pPr>
    </w:p>
    <w:p w:rsidR="0021709C" w:rsidRPr="0072678C" w:rsidRDefault="0021709C" w:rsidP="00B67463">
      <w:pPr>
        <w:jc w:val="center"/>
        <w:rPr>
          <w:rFonts w:asciiTheme="minorHAnsi" w:hAnsiTheme="minorHAnsi" w:cstheme="minorHAnsi"/>
          <w:b/>
          <w:sz w:val="40"/>
          <w:szCs w:val="32"/>
        </w:rPr>
      </w:pPr>
    </w:p>
    <w:p w:rsidR="0021709C" w:rsidRPr="0072678C" w:rsidRDefault="0021709C" w:rsidP="00B67463">
      <w:pPr>
        <w:jc w:val="center"/>
        <w:rPr>
          <w:rFonts w:asciiTheme="minorHAnsi" w:hAnsiTheme="minorHAnsi" w:cstheme="minorHAnsi"/>
          <w:b/>
          <w:sz w:val="40"/>
          <w:szCs w:val="32"/>
        </w:rPr>
      </w:pPr>
    </w:p>
    <w:p w:rsidR="0021709C" w:rsidRPr="0072678C" w:rsidRDefault="00100EC6" w:rsidP="00B67463">
      <w:pPr>
        <w:jc w:val="center"/>
        <w:rPr>
          <w:rFonts w:asciiTheme="minorHAnsi" w:hAnsiTheme="minorHAnsi" w:cstheme="minorHAnsi"/>
          <w:sz w:val="40"/>
        </w:rPr>
      </w:pPr>
      <w:r w:rsidRPr="0072678C">
        <w:rPr>
          <w:rFonts w:asciiTheme="minorHAnsi" w:hAnsiTheme="minorHAnsi" w:cstheme="minorHAnsi"/>
          <w:b/>
          <w:sz w:val="40"/>
        </w:rPr>
        <w:t>Flávio</w:t>
      </w:r>
      <w:r w:rsidRPr="0072678C">
        <w:rPr>
          <w:rFonts w:asciiTheme="minorHAnsi" w:hAnsiTheme="minorHAnsi" w:cstheme="minorHAnsi"/>
          <w:sz w:val="40"/>
        </w:rPr>
        <w:t xml:space="preserve"> </w:t>
      </w:r>
      <w:r w:rsidR="00CB3E84" w:rsidRPr="0072678C">
        <w:rPr>
          <w:rFonts w:asciiTheme="minorHAnsi" w:hAnsiTheme="minorHAnsi" w:cstheme="minorHAnsi"/>
          <w:sz w:val="40"/>
        </w:rPr>
        <w:t xml:space="preserve">Roberto </w:t>
      </w:r>
      <w:r w:rsidRPr="0072678C">
        <w:rPr>
          <w:rFonts w:asciiTheme="minorHAnsi" w:hAnsiTheme="minorHAnsi" w:cstheme="minorHAnsi"/>
          <w:b/>
          <w:sz w:val="40"/>
        </w:rPr>
        <w:t>Galvão</w:t>
      </w:r>
      <w:r w:rsidR="00CB3E84" w:rsidRPr="0072678C">
        <w:rPr>
          <w:rFonts w:asciiTheme="minorHAnsi" w:hAnsiTheme="minorHAnsi" w:cstheme="minorHAnsi"/>
          <w:sz w:val="40"/>
        </w:rPr>
        <w:t xml:space="preserve"> de Moraes </w:t>
      </w:r>
    </w:p>
    <w:p w:rsidR="005B27BD" w:rsidRPr="0072678C" w:rsidRDefault="005B27BD" w:rsidP="00B67463">
      <w:pPr>
        <w:jc w:val="center"/>
        <w:rPr>
          <w:rFonts w:asciiTheme="minorHAnsi" w:hAnsiTheme="minorHAnsi" w:cstheme="minorHAnsi"/>
          <w:sz w:val="40"/>
        </w:rPr>
      </w:pPr>
      <w:r w:rsidRPr="0072678C">
        <w:rPr>
          <w:rFonts w:asciiTheme="minorHAnsi" w:hAnsiTheme="minorHAnsi" w:cstheme="minorHAnsi"/>
          <w:sz w:val="40"/>
        </w:rPr>
        <w:t>(Consultor)</w:t>
      </w:r>
    </w:p>
    <w:p w:rsidR="009C20E6" w:rsidRPr="0072678C" w:rsidRDefault="009C20E6">
      <w:pPr>
        <w:rPr>
          <w:rFonts w:asciiTheme="minorHAnsi" w:hAnsiTheme="minorHAnsi" w:cstheme="minorHAnsi"/>
        </w:rPr>
      </w:pPr>
    </w:p>
    <w:p w:rsidR="00830346" w:rsidRPr="0072678C" w:rsidRDefault="00830346">
      <w:pPr>
        <w:spacing w:after="160" w:line="259" w:lineRule="auto"/>
        <w:rPr>
          <w:rFonts w:asciiTheme="minorHAnsi" w:hAnsiTheme="minorHAnsi" w:cstheme="minorHAnsi"/>
        </w:rPr>
      </w:pPr>
      <w:r w:rsidRPr="0072678C">
        <w:rPr>
          <w:rFonts w:asciiTheme="minorHAnsi" w:hAnsiTheme="minorHAnsi" w:cstheme="minorHAnsi"/>
        </w:rPr>
        <w:br w:type="page"/>
      </w:r>
    </w:p>
    <w:p w:rsidR="003352FA" w:rsidRPr="0072678C" w:rsidRDefault="003352FA" w:rsidP="003352FA">
      <w:pPr>
        <w:rPr>
          <w:rFonts w:asciiTheme="minorHAnsi" w:hAnsiTheme="minorHAnsi" w:cstheme="minorHAnsi"/>
          <w:bCs/>
          <w:sz w:val="22"/>
          <w:szCs w:val="22"/>
        </w:rPr>
      </w:pPr>
      <w:bookmarkStart w:id="1" w:name="_Toc492718537"/>
    </w:p>
    <w:sdt>
      <w:sdtPr>
        <w:rPr>
          <w:rFonts w:asciiTheme="minorHAnsi" w:eastAsia="Times New Roman" w:hAnsiTheme="minorHAnsi" w:cstheme="minorHAnsi"/>
          <w:color w:val="auto"/>
          <w:sz w:val="22"/>
          <w:szCs w:val="22"/>
          <w:lang w:eastAsia="en-US"/>
        </w:rPr>
        <w:id w:val="-821811389"/>
        <w:docPartObj>
          <w:docPartGallery w:val="Table of Contents"/>
          <w:docPartUnique/>
        </w:docPartObj>
      </w:sdtPr>
      <w:sdtEndPr>
        <w:rPr>
          <w:b/>
          <w:bCs/>
          <w:sz w:val="18"/>
          <w:szCs w:val="18"/>
          <w:lang w:eastAsia="pt-BR"/>
        </w:rPr>
      </w:sdtEndPr>
      <w:sdtContent>
        <w:p w:rsidR="00EC68E4" w:rsidRPr="0072678C" w:rsidRDefault="00EC68E4" w:rsidP="00EC68E4">
          <w:pPr>
            <w:pStyle w:val="TOCHeading"/>
            <w:jc w:val="center"/>
            <w:rPr>
              <w:rFonts w:asciiTheme="minorHAnsi" w:eastAsia="Times New Roman" w:hAnsiTheme="minorHAnsi" w:cstheme="minorHAnsi"/>
              <w:color w:val="auto"/>
              <w:sz w:val="22"/>
              <w:szCs w:val="22"/>
              <w:lang w:eastAsia="en-US"/>
            </w:rPr>
          </w:pPr>
        </w:p>
        <w:p w:rsidR="00EC68E4" w:rsidRPr="0072678C" w:rsidRDefault="00EC68E4" w:rsidP="00EC68E4">
          <w:pPr>
            <w:pStyle w:val="TOCHeading"/>
            <w:jc w:val="center"/>
            <w:rPr>
              <w:rFonts w:asciiTheme="minorHAnsi" w:hAnsiTheme="minorHAnsi" w:cstheme="minorHAnsi"/>
              <w:b/>
              <w:color w:val="auto"/>
              <w:sz w:val="22"/>
              <w:szCs w:val="22"/>
            </w:rPr>
          </w:pPr>
          <w:r w:rsidRPr="0072678C">
            <w:rPr>
              <w:rFonts w:asciiTheme="minorHAnsi" w:hAnsiTheme="minorHAnsi" w:cstheme="minorHAnsi"/>
              <w:b/>
              <w:color w:val="auto"/>
              <w:sz w:val="22"/>
              <w:szCs w:val="22"/>
            </w:rPr>
            <w:t>SUMÁRIO</w:t>
          </w:r>
        </w:p>
        <w:p w:rsidR="00EC68E4" w:rsidRPr="0072678C" w:rsidRDefault="00EC68E4" w:rsidP="00EC68E4">
          <w:pPr>
            <w:rPr>
              <w:rFonts w:asciiTheme="minorHAnsi" w:hAnsiTheme="minorHAnsi" w:cstheme="minorHAnsi"/>
              <w:sz w:val="20"/>
              <w:szCs w:val="20"/>
            </w:rPr>
          </w:pPr>
        </w:p>
        <w:p w:rsidR="0072678C" w:rsidRPr="0072678C" w:rsidRDefault="003677BC">
          <w:pPr>
            <w:pStyle w:val="TOC1"/>
            <w:rPr>
              <w:rFonts w:eastAsiaTheme="minorEastAsia" w:cstheme="minorBidi"/>
              <w:b w:val="0"/>
              <w:sz w:val="22"/>
              <w:szCs w:val="22"/>
              <w:lang w:eastAsia="pt-BR"/>
            </w:rPr>
          </w:pPr>
          <w:r w:rsidRPr="0072678C">
            <w:rPr>
              <w:noProof w:val="0"/>
            </w:rPr>
            <w:fldChar w:fldCharType="begin"/>
          </w:r>
          <w:r w:rsidR="00EC68E4" w:rsidRPr="0072678C">
            <w:rPr>
              <w:noProof w:val="0"/>
            </w:rPr>
            <w:instrText xml:space="preserve"> TOC \o "1-3" \h \z \u </w:instrText>
          </w:r>
          <w:r w:rsidRPr="0072678C">
            <w:rPr>
              <w:noProof w:val="0"/>
            </w:rPr>
            <w:fldChar w:fldCharType="separate"/>
          </w:r>
          <w:hyperlink w:anchor="_Toc518058444" w:history="1">
            <w:r w:rsidR="0072678C" w:rsidRPr="0072678C">
              <w:rPr>
                <w:rStyle w:val="Hyperlink"/>
              </w:rPr>
              <w:t>I.</w:t>
            </w:r>
            <w:r w:rsidR="0072678C" w:rsidRPr="0072678C">
              <w:rPr>
                <w:rFonts w:eastAsiaTheme="minorEastAsia" w:cstheme="minorBidi"/>
                <w:b w:val="0"/>
                <w:sz w:val="22"/>
                <w:szCs w:val="22"/>
                <w:lang w:eastAsia="pt-BR"/>
              </w:rPr>
              <w:tab/>
            </w:r>
            <w:r w:rsidR="0072678C" w:rsidRPr="0072678C">
              <w:rPr>
                <w:rStyle w:val="Hyperlink"/>
              </w:rPr>
              <w:t>APRESENTAÇÃO</w:t>
            </w:r>
            <w:r w:rsidR="0072678C" w:rsidRPr="0072678C">
              <w:rPr>
                <w:webHidden/>
              </w:rPr>
              <w:tab/>
            </w:r>
            <w:r w:rsidR="0072678C" w:rsidRPr="0072678C">
              <w:rPr>
                <w:webHidden/>
              </w:rPr>
              <w:fldChar w:fldCharType="begin"/>
            </w:r>
            <w:r w:rsidR="0072678C" w:rsidRPr="0072678C">
              <w:rPr>
                <w:webHidden/>
              </w:rPr>
              <w:instrText xml:space="preserve"> PAGEREF _Toc518058444 \h </w:instrText>
            </w:r>
            <w:r w:rsidR="0072678C" w:rsidRPr="0072678C">
              <w:rPr>
                <w:webHidden/>
              </w:rPr>
            </w:r>
            <w:r w:rsidR="0072678C" w:rsidRPr="0072678C">
              <w:rPr>
                <w:webHidden/>
              </w:rPr>
              <w:fldChar w:fldCharType="separate"/>
            </w:r>
            <w:r w:rsidR="0072678C" w:rsidRPr="0072678C">
              <w:rPr>
                <w:webHidden/>
              </w:rPr>
              <w:t>3</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45" w:history="1">
            <w:r w:rsidR="0072678C" w:rsidRPr="0072678C">
              <w:rPr>
                <w:rStyle w:val="Hyperlink"/>
              </w:rPr>
              <w:t>II.</w:t>
            </w:r>
            <w:r w:rsidR="0072678C" w:rsidRPr="0072678C">
              <w:rPr>
                <w:rFonts w:eastAsiaTheme="minorEastAsia" w:cstheme="minorBidi"/>
                <w:b w:val="0"/>
                <w:sz w:val="22"/>
                <w:szCs w:val="22"/>
                <w:lang w:eastAsia="pt-BR"/>
              </w:rPr>
              <w:tab/>
            </w:r>
            <w:r w:rsidR="0072678C" w:rsidRPr="0072678C">
              <w:rPr>
                <w:rStyle w:val="Hyperlink"/>
              </w:rPr>
              <w:t>PARTE I – RESUMO EXECUTIVO</w:t>
            </w:r>
            <w:r w:rsidR="0072678C" w:rsidRPr="0072678C">
              <w:rPr>
                <w:webHidden/>
              </w:rPr>
              <w:tab/>
            </w:r>
            <w:r w:rsidR="0072678C" w:rsidRPr="0072678C">
              <w:rPr>
                <w:webHidden/>
              </w:rPr>
              <w:fldChar w:fldCharType="begin"/>
            </w:r>
            <w:r w:rsidR="0072678C" w:rsidRPr="0072678C">
              <w:rPr>
                <w:webHidden/>
              </w:rPr>
              <w:instrText xml:space="preserve"> PAGEREF _Toc518058445 \h </w:instrText>
            </w:r>
            <w:r w:rsidR="0072678C" w:rsidRPr="0072678C">
              <w:rPr>
                <w:webHidden/>
              </w:rPr>
            </w:r>
            <w:r w:rsidR="0072678C" w:rsidRPr="0072678C">
              <w:rPr>
                <w:webHidden/>
              </w:rPr>
              <w:fldChar w:fldCharType="separate"/>
            </w:r>
            <w:r w:rsidR="0072678C" w:rsidRPr="0072678C">
              <w:rPr>
                <w:webHidden/>
              </w:rPr>
              <w:t>3</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46" w:history="1">
            <w:r w:rsidR="0072678C" w:rsidRPr="0072678C">
              <w:rPr>
                <w:rStyle w:val="Hyperlink"/>
              </w:rPr>
              <w:t>A.</w:t>
            </w:r>
            <w:r w:rsidR="0072678C" w:rsidRPr="0072678C">
              <w:rPr>
                <w:rFonts w:eastAsiaTheme="minorEastAsia" w:cstheme="minorBidi"/>
                <w:b w:val="0"/>
                <w:sz w:val="22"/>
                <w:szCs w:val="22"/>
                <w:lang w:eastAsia="pt-BR"/>
              </w:rPr>
              <w:tab/>
            </w:r>
            <w:r w:rsidR="0072678C" w:rsidRPr="0072678C">
              <w:rPr>
                <w:rStyle w:val="Hyperlink"/>
              </w:rPr>
              <w:t>Visão Geral da Maturidade dos Processos da Gestão Fiscal do Estado de São Paulo</w:t>
            </w:r>
            <w:r w:rsidR="0072678C" w:rsidRPr="0072678C">
              <w:rPr>
                <w:webHidden/>
              </w:rPr>
              <w:tab/>
            </w:r>
            <w:r w:rsidR="0072678C" w:rsidRPr="0072678C">
              <w:rPr>
                <w:webHidden/>
              </w:rPr>
              <w:fldChar w:fldCharType="begin"/>
            </w:r>
            <w:r w:rsidR="0072678C" w:rsidRPr="0072678C">
              <w:rPr>
                <w:webHidden/>
              </w:rPr>
              <w:instrText xml:space="preserve"> PAGEREF _Toc518058446 \h </w:instrText>
            </w:r>
            <w:r w:rsidR="0072678C" w:rsidRPr="0072678C">
              <w:rPr>
                <w:webHidden/>
              </w:rPr>
            </w:r>
            <w:r w:rsidR="0072678C" w:rsidRPr="0072678C">
              <w:rPr>
                <w:webHidden/>
              </w:rPr>
              <w:fldChar w:fldCharType="separate"/>
            </w:r>
            <w:r w:rsidR="0072678C" w:rsidRPr="0072678C">
              <w:rPr>
                <w:webHidden/>
              </w:rPr>
              <w:t>4</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47" w:history="1">
            <w:r w:rsidR="0072678C" w:rsidRPr="0072678C">
              <w:rPr>
                <w:rStyle w:val="Hyperlink"/>
              </w:rPr>
              <w:t>B - Visão da Maturidade dos Processos por Eixo da Gestão Fiscal</w:t>
            </w:r>
            <w:r w:rsidR="0072678C" w:rsidRPr="0072678C">
              <w:rPr>
                <w:webHidden/>
              </w:rPr>
              <w:tab/>
            </w:r>
            <w:r w:rsidR="0072678C" w:rsidRPr="0072678C">
              <w:rPr>
                <w:webHidden/>
              </w:rPr>
              <w:fldChar w:fldCharType="begin"/>
            </w:r>
            <w:r w:rsidR="0072678C" w:rsidRPr="0072678C">
              <w:rPr>
                <w:webHidden/>
              </w:rPr>
              <w:instrText xml:space="preserve"> PAGEREF _Toc518058447 \h </w:instrText>
            </w:r>
            <w:r w:rsidR="0072678C" w:rsidRPr="0072678C">
              <w:rPr>
                <w:webHidden/>
              </w:rPr>
            </w:r>
            <w:r w:rsidR="0072678C" w:rsidRPr="0072678C">
              <w:rPr>
                <w:webHidden/>
              </w:rPr>
              <w:fldChar w:fldCharType="separate"/>
            </w:r>
            <w:r w:rsidR="0072678C" w:rsidRPr="0072678C">
              <w:rPr>
                <w:webHidden/>
              </w:rPr>
              <w:t>5</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48" w:history="1">
            <w:r w:rsidR="0072678C" w:rsidRPr="0072678C">
              <w:rPr>
                <w:rStyle w:val="Hyperlink"/>
              </w:rPr>
              <w:t>1 - Eixo I- Gestão Fazendária e Transparência Fiscal</w:t>
            </w:r>
            <w:r w:rsidR="0072678C" w:rsidRPr="0072678C">
              <w:rPr>
                <w:webHidden/>
              </w:rPr>
              <w:tab/>
            </w:r>
            <w:r w:rsidR="0072678C" w:rsidRPr="0072678C">
              <w:rPr>
                <w:webHidden/>
              </w:rPr>
              <w:fldChar w:fldCharType="begin"/>
            </w:r>
            <w:r w:rsidR="0072678C" w:rsidRPr="0072678C">
              <w:rPr>
                <w:webHidden/>
              </w:rPr>
              <w:instrText xml:space="preserve"> PAGEREF _Toc518058448 \h </w:instrText>
            </w:r>
            <w:r w:rsidR="0072678C" w:rsidRPr="0072678C">
              <w:rPr>
                <w:webHidden/>
              </w:rPr>
            </w:r>
            <w:r w:rsidR="0072678C" w:rsidRPr="0072678C">
              <w:rPr>
                <w:webHidden/>
              </w:rPr>
              <w:fldChar w:fldCharType="separate"/>
            </w:r>
            <w:r w:rsidR="0072678C" w:rsidRPr="0072678C">
              <w:rPr>
                <w:webHidden/>
              </w:rPr>
              <w:t>5</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49" w:history="1">
            <w:r w:rsidR="0072678C" w:rsidRPr="0072678C">
              <w:rPr>
                <w:rStyle w:val="Hyperlink"/>
              </w:rPr>
              <w:t>1.1 - Visão Geral da Maturidade dos Processos</w:t>
            </w:r>
            <w:r w:rsidR="0072678C" w:rsidRPr="0072678C">
              <w:rPr>
                <w:webHidden/>
              </w:rPr>
              <w:tab/>
            </w:r>
            <w:r w:rsidR="0072678C" w:rsidRPr="0072678C">
              <w:rPr>
                <w:webHidden/>
              </w:rPr>
              <w:fldChar w:fldCharType="begin"/>
            </w:r>
            <w:r w:rsidR="0072678C" w:rsidRPr="0072678C">
              <w:rPr>
                <w:webHidden/>
              </w:rPr>
              <w:instrText xml:space="preserve"> PAGEREF _Toc518058449 \h </w:instrText>
            </w:r>
            <w:r w:rsidR="0072678C" w:rsidRPr="0072678C">
              <w:rPr>
                <w:webHidden/>
              </w:rPr>
            </w:r>
            <w:r w:rsidR="0072678C" w:rsidRPr="0072678C">
              <w:rPr>
                <w:webHidden/>
              </w:rPr>
              <w:fldChar w:fldCharType="separate"/>
            </w:r>
            <w:r w:rsidR="0072678C" w:rsidRPr="0072678C">
              <w:rPr>
                <w:webHidden/>
              </w:rPr>
              <w:t>5</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50" w:history="1">
            <w:r w:rsidR="0072678C" w:rsidRPr="0072678C">
              <w:rPr>
                <w:rStyle w:val="Hyperlink"/>
              </w:rPr>
              <w:t>1.2 – Pontos de Melhoria dos Processos por Dimensão do Eixo I</w:t>
            </w:r>
            <w:r w:rsidR="0072678C" w:rsidRPr="0072678C">
              <w:rPr>
                <w:webHidden/>
              </w:rPr>
              <w:tab/>
            </w:r>
            <w:r w:rsidR="0072678C" w:rsidRPr="0072678C">
              <w:rPr>
                <w:webHidden/>
              </w:rPr>
              <w:fldChar w:fldCharType="begin"/>
            </w:r>
            <w:r w:rsidR="0072678C" w:rsidRPr="0072678C">
              <w:rPr>
                <w:webHidden/>
              </w:rPr>
              <w:instrText xml:space="preserve"> PAGEREF _Toc518058450 \h </w:instrText>
            </w:r>
            <w:r w:rsidR="0072678C" w:rsidRPr="0072678C">
              <w:rPr>
                <w:webHidden/>
              </w:rPr>
            </w:r>
            <w:r w:rsidR="0072678C" w:rsidRPr="0072678C">
              <w:rPr>
                <w:webHidden/>
              </w:rPr>
              <w:fldChar w:fldCharType="separate"/>
            </w:r>
            <w:r w:rsidR="0072678C" w:rsidRPr="0072678C">
              <w:rPr>
                <w:webHidden/>
              </w:rPr>
              <w:t>6</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51" w:history="1">
            <w:r w:rsidR="0072678C" w:rsidRPr="0072678C">
              <w:rPr>
                <w:rStyle w:val="Hyperlink"/>
              </w:rPr>
              <w:t>2 - Eixo II- Administração Tributária e Contencioso Fiscal</w:t>
            </w:r>
            <w:r w:rsidR="0072678C" w:rsidRPr="0072678C">
              <w:rPr>
                <w:webHidden/>
              </w:rPr>
              <w:tab/>
            </w:r>
            <w:r w:rsidR="0072678C" w:rsidRPr="0072678C">
              <w:rPr>
                <w:webHidden/>
              </w:rPr>
              <w:fldChar w:fldCharType="begin"/>
            </w:r>
            <w:r w:rsidR="0072678C" w:rsidRPr="0072678C">
              <w:rPr>
                <w:webHidden/>
              </w:rPr>
              <w:instrText xml:space="preserve"> PAGEREF _Toc518058451 \h </w:instrText>
            </w:r>
            <w:r w:rsidR="0072678C" w:rsidRPr="0072678C">
              <w:rPr>
                <w:webHidden/>
              </w:rPr>
            </w:r>
            <w:r w:rsidR="0072678C" w:rsidRPr="0072678C">
              <w:rPr>
                <w:webHidden/>
              </w:rPr>
              <w:fldChar w:fldCharType="separate"/>
            </w:r>
            <w:r w:rsidR="0072678C" w:rsidRPr="0072678C">
              <w:rPr>
                <w:webHidden/>
              </w:rPr>
              <w:t>13</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52" w:history="1">
            <w:r w:rsidR="0072678C" w:rsidRPr="0072678C">
              <w:rPr>
                <w:rStyle w:val="Hyperlink"/>
              </w:rPr>
              <w:t>2.1 - Visão Geral da Maturidade dos Processos</w:t>
            </w:r>
            <w:r w:rsidR="0072678C" w:rsidRPr="0072678C">
              <w:rPr>
                <w:webHidden/>
              </w:rPr>
              <w:tab/>
            </w:r>
            <w:r w:rsidR="0072678C" w:rsidRPr="0072678C">
              <w:rPr>
                <w:webHidden/>
              </w:rPr>
              <w:fldChar w:fldCharType="begin"/>
            </w:r>
            <w:r w:rsidR="0072678C" w:rsidRPr="0072678C">
              <w:rPr>
                <w:webHidden/>
              </w:rPr>
              <w:instrText xml:space="preserve"> PAGEREF _Toc518058452 \h </w:instrText>
            </w:r>
            <w:r w:rsidR="0072678C" w:rsidRPr="0072678C">
              <w:rPr>
                <w:webHidden/>
              </w:rPr>
            </w:r>
            <w:r w:rsidR="0072678C" w:rsidRPr="0072678C">
              <w:rPr>
                <w:webHidden/>
              </w:rPr>
              <w:fldChar w:fldCharType="separate"/>
            </w:r>
            <w:r w:rsidR="0072678C" w:rsidRPr="0072678C">
              <w:rPr>
                <w:webHidden/>
              </w:rPr>
              <w:t>13</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53" w:history="1">
            <w:r w:rsidR="0072678C" w:rsidRPr="0072678C">
              <w:rPr>
                <w:rStyle w:val="Hyperlink"/>
              </w:rPr>
              <w:t>2.2 – Pontos de Melhoria dos Processos por Dimensão do Eixo II</w:t>
            </w:r>
            <w:r w:rsidR="0072678C" w:rsidRPr="0072678C">
              <w:rPr>
                <w:webHidden/>
              </w:rPr>
              <w:tab/>
            </w:r>
            <w:r w:rsidR="0072678C" w:rsidRPr="0072678C">
              <w:rPr>
                <w:webHidden/>
              </w:rPr>
              <w:fldChar w:fldCharType="begin"/>
            </w:r>
            <w:r w:rsidR="0072678C" w:rsidRPr="0072678C">
              <w:rPr>
                <w:webHidden/>
              </w:rPr>
              <w:instrText xml:space="preserve"> PAGEREF _Toc518058453 \h </w:instrText>
            </w:r>
            <w:r w:rsidR="0072678C" w:rsidRPr="0072678C">
              <w:rPr>
                <w:webHidden/>
              </w:rPr>
            </w:r>
            <w:r w:rsidR="0072678C" w:rsidRPr="0072678C">
              <w:rPr>
                <w:webHidden/>
              </w:rPr>
              <w:fldChar w:fldCharType="separate"/>
            </w:r>
            <w:r w:rsidR="0072678C" w:rsidRPr="0072678C">
              <w:rPr>
                <w:webHidden/>
              </w:rPr>
              <w:t>14</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54" w:history="1">
            <w:r w:rsidR="0072678C" w:rsidRPr="0072678C">
              <w:rPr>
                <w:rStyle w:val="Hyperlink"/>
              </w:rPr>
              <w:t>3 - Eixo III- Administração Financeira e Gasto Público</w:t>
            </w:r>
            <w:r w:rsidR="0072678C" w:rsidRPr="0072678C">
              <w:rPr>
                <w:webHidden/>
              </w:rPr>
              <w:tab/>
            </w:r>
            <w:r w:rsidR="0072678C" w:rsidRPr="0072678C">
              <w:rPr>
                <w:webHidden/>
              </w:rPr>
              <w:fldChar w:fldCharType="begin"/>
            </w:r>
            <w:r w:rsidR="0072678C" w:rsidRPr="0072678C">
              <w:rPr>
                <w:webHidden/>
              </w:rPr>
              <w:instrText xml:space="preserve"> PAGEREF _Toc518058454 \h </w:instrText>
            </w:r>
            <w:r w:rsidR="0072678C" w:rsidRPr="0072678C">
              <w:rPr>
                <w:webHidden/>
              </w:rPr>
            </w:r>
            <w:r w:rsidR="0072678C" w:rsidRPr="0072678C">
              <w:rPr>
                <w:webHidden/>
              </w:rPr>
              <w:fldChar w:fldCharType="separate"/>
            </w:r>
            <w:r w:rsidR="0072678C" w:rsidRPr="0072678C">
              <w:rPr>
                <w:webHidden/>
              </w:rPr>
              <w:t>19</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55" w:history="1">
            <w:r w:rsidR="0072678C" w:rsidRPr="0072678C">
              <w:rPr>
                <w:rStyle w:val="Hyperlink"/>
              </w:rPr>
              <w:t>3.1 - Visão Geral da Maturidade dos Processos</w:t>
            </w:r>
            <w:r w:rsidR="0072678C" w:rsidRPr="0072678C">
              <w:rPr>
                <w:webHidden/>
              </w:rPr>
              <w:tab/>
            </w:r>
            <w:r w:rsidR="0072678C" w:rsidRPr="0072678C">
              <w:rPr>
                <w:webHidden/>
              </w:rPr>
              <w:fldChar w:fldCharType="begin"/>
            </w:r>
            <w:r w:rsidR="0072678C" w:rsidRPr="0072678C">
              <w:rPr>
                <w:webHidden/>
              </w:rPr>
              <w:instrText xml:space="preserve"> PAGEREF _Toc518058455 \h </w:instrText>
            </w:r>
            <w:r w:rsidR="0072678C" w:rsidRPr="0072678C">
              <w:rPr>
                <w:webHidden/>
              </w:rPr>
            </w:r>
            <w:r w:rsidR="0072678C" w:rsidRPr="0072678C">
              <w:rPr>
                <w:webHidden/>
              </w:rPr>
              <w:fldChar w:fldCharType="separate"/>
            </w:r>
            <w:r w:rsidR="0072678C" w:rsidRPr="0072678C">
              <w:rPr>
                <w:webHidden/>
              </w:rPr>
              <w:t>19</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56" w:history="1">
            <w:r w:rsidR="0072678C" w:rsidRPr="0072678C">
              <w:rPr>
                <w:rStyle w:val="Hyperlink"/>
              </w:rPr>
              <w:t>3.2 – Pontos de Melhoria dos Processos por Dimensão do Eixo III</w:t>
            </w:r>
            <w:r w:rsidR="0072678C" w:rsidRPr="0072678C">
              <w:rPr>
                <w:webHidden/>
              </w:rPr>
              <w:tab/>
            </w:r>
            <w:r w:rsidR="0072678C" w:rsidRPr="0072678C">
              <w:rPr>
                <w:webHidden/>
              </w:rPr>
              <w:fldChar w:fldCharType="begin"/>
            </w:r>
            <w:r w:rsidR="0072678C" w:rsidRPr="0072678C">
              <w:rPr>
                <w:webHidden/>
              </w:rPr>
              <w:instrText xml:space="preserve"> PAGEREF _Toc518058456 \h </w:instrText>
            </w:r>
            <w:r w:rsidR="0072678C" w:rsidRPr="0072678C">
              <w:rPr>
                <w:webHidden/>
              </w:rPr>
            </w:r>
            <w:r w:rsidR="0072678C" w:rsidRPr="0072678C">
              <w:rPr>
                <w:webHidden/>
              </w:rPr>
              <w:fldChar w:fldCharType="separate"/>
            </w:r>
            <w:r w:rsidR="0072678C" w:rsidRPr="0072678C">
              <w:rPr>
                <w:webHidden/>
              </w:rPr>
              <w:t>20</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57" w:history="1">
            <w:r w:rsidR="0072678C" w:rsidRPr="0072678C">
              <w:rPr>
                <w:rStyle w:val="Hyperlink"/>
              </w:rPr>
              <w:t>III.</w:t>
            </w:r>
            <w:r w:rsidR="0072678C" w:rsidRPr="0072678C">
              <w:rPr>
                <w:rFonts w:eastAsiaTheme="minorEastAsia" w:cstheme="minorBidi"/>
                <w:b w:val="0"/>
                <w:sz w:val="22"/>
                <w:szCs w:val="22"/>
                <w:lang w:eastAsia="pt-BR"/>
              </w:rPr>
              <w:tab/>
            </w:r>
            <w:r w:rsidR="0072678C" w:rsidRPr="0072678C">
              <w:rPr>
                <w:rStyle w:val="Hyperlink"/>
              </w:rPr>
              <w:t>PARTE II – DETALHAMENTO DA AVALIAÇÃO DAS DIMENSÕES POR EIXO</w:t>
            </w:r>
            <w:r w:rsidR="0072678C" w:rsidRPr="0072678C">
              <w:rPr>
                <w:webHidden/>
              </w:rPr>
              <w:tab/>
            </w:r>
            <w:r w:rsidR="0072678C" w:rsidRPr="0072678C">
              <w:rPr>
                <w:webHidden/>
              </w:rPr>
              <w:fldChar w:fldCharType="begin"/>
            </w:r>
            <w:r w:rsidR="0072678C" w:rsidRPr="0072678C">
              <w:rPr>
                <w:webHidden/>
              </w:rPr>
              <w:instrText xml:space="preserve"> PAGEREF _Toc518058457 \h </w:instrText>
            </w:r>
            <w:r w:rsidR="0072678C" w:rsidRPr="0072678C">
              <w:rPr>
                <w:webHidden/>
              </w:rPr>
            </w:r>
            <w:r w:rsidR="0072678C" w:rsidRPr="0072678C">
              <w:rPr>
                <w:webHidden/>
              </w:rPr>
              <w:fldChar w:fldCharType="separate"/>
            </w:r>
            <w:r w:rsidR="0072678C" w:rsidRPr="0072678C">
              <w:rPr>
                <w:webHidden/>
              </w:rPr>
              <w:t>26</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58" w:history="1">
            <w:r w:rsidR="0072678C" w:rsidRPr="0072678C">
              <w:rPr>
                <w:rStyle w:val="Hyperlink"/>
                <w:smallCaps/>
              </w:rPr>
              <w:t>A.</w:t>
            </w:r>
            <w:r w:rsidR="0072678C" w:rsidRPr="0072678C">
              <w:rPr>
                <w:rFonts w:eastAsiaTheme="minorEastAsia" w:cstheme="minorBidi"/>
                <w:b w:val="0"/>
                <w:sz w:val="22"/>
                <w:szCs w:val="22"/>
                <w:lang w:eastAsia="pt-BR"/>
              </w:rPr>
              <w:tab/>
            </w:r>
            <w:r w:rsidR="0072678C" w:rsidRPr="0072678C">
              <w:rPr>
                <w:rStyle w:val="Hyperlink"/>
                <w:smallCaps/>
              </w:rPr>
              <w:t>Eixo I. Gestão Fazendária e Transparência Fiscal (GF)</w:t>
            </w:r>
            <w:r w:rsidR="0072678C" w:rsidRPr="0072678C">
              <w:rPr>
                <w:webHidden/>
              </w:rPr>
              <w:tab/>
            </w:r>
            <w:r w:rsidR="0072678C" w:rsidRPr="0072678C">
              <w:rPr>
                <w:webHidden/>
              </w:rPr>
              <w:fldChar w:fldCharType="begin"/>
            </w:r>
            <w:r w:rsidR="0072678C" w:rsidRPr="0072678C">
              <w:rPr>
                <w:webHidden/>
              </w:rPr>
              <w:instrText xml:space="preserve"> PAGEREF _Toc518058458 \h </w:instrText>
            </w:r>
            <w:r w:rsidR="0072678C" w:rsidRPr="0072678C">
              <w:rPr>
                <w:webHidden/>
              </w:rPr>
            </w:r>
            <w:r w:rsidR="0072678C" w:rsidRPr="0072678C">
              <w:rPr>
                <w:webHidden/>
              </w:rPr>
              <w:fldChar w:fldCharType="separate"/>
            </w:r>
            <w:r w:rsidR="0072678C" w:rsidRPr="0072678C">
              <w:rPr>
                <w:webHidden/>
              </w:rPr>
              <w:t>26</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59" w:history="1">
            <w:r w:rsidR="0072678C" w:rsidRPr="0072678C">
              <w:rPr>
                <w:rStyle w:val="Hyperlink"/>
                <w:smallCaps/>
              </w:rPr>
              <w:t>B.</w:t>
            </w:r>
            <w:r w:rsidR="0072678C" w:rsidRPr="0072678C">
              <w:rPr>
                <w:rFonts w:eastAsiaTheme="minorEastAsia" w:cstheme="minorBidi"/>
                <w:b w:val="0"/>
                <w:sz w:val="22"/>
                <w:szCs w:val="22"/>
                <w:lang w:eastAsia="pt-BR"/>
              </w:rPr>
              <w:tab/>
            </w:r>
            <w:r w:rsidR="0072678C" w:rsidRPr="0072678C">
              <w:rPr>
                <w:rStyle w:val="Hyperlink"/>
                <w:smallCaps/>
              </w:rPr>
              <w:t>Eixo II. Administração Tributária e Contencioso Fiscal (AT)</w:t>
            </w:r>
            <w:r w:rsidR="0072678C" w:rsidRPr="0072678C">
              <w:rPr>
                <w:webHidden/>
              </w:rPr>
              <w:tab/>
            </w:r>
            <w:r w:rsidR="0072678C" w:rsidRPr="0072678C">
              <w:rPr>
                <w:webHidden/>
              </w:rPr>
              <w:fldChar w:fldCharType="begin"/>
            </w:r>
            <w:r w:rsidR="0072678C" w:rsidRPr="0072678C">
              <w:rPr>
                <w:webHidden/>
              </w:rPr>
              <w:instrText xml:space="preserve"> PAGEREF _Toc518058459 \h </w:instrText>
            </w:r>
            <w:r w:rsidR="0072678C" w:rsidRPr="0072678C">
              <w:rPr>
                <w:webHidden/>
              </w:rPr>
            </w:r>
            <w:r w:rsidR="0072678C" w:rsidRPr="0072678C">
              <w:rPr>
                <w:webHidden/>
              </w:rPr>
              <w:fldChar w:fldCharType="separate"/>
            </w:r>
            <w:r w:rsidR="0072678C" w:rsidRPr="0072678C">
              <w:rPr>
                <w:webHidden/>
              </w:rPr>
              <w:t>46</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60" w:history="1">
            <w:r w:rsidR="0072678C" w:rsidRPr="0072678C">
              <w:rPr>
                <w:rStyle w:val="Hyperlink"/>
                <w:smallCaps/>
              </w:rPr>
              <w:t>C.</w:t>
            </w:r>
            <w:r w:rsidR="0072678C" w:rsidRPr="0072678C">
              <w:rPr>
                <w:rFonts w:eastAsiaTheme="minorEastAsia" w:cstheme="minorBidi"/>
                <w:b w:val="0"/>
                <w:sz w:val="22"/>
                <w:szCs w:val="22"/>
                <w:lang w:eastAsia="pt-BR"/>
              </w:rPr>
              <w:tab/>
            </w:r>
            <w:r w:rsidR="0072678C" w:rsidRPr="0072678C">
              <w:rPr>
                <w:rStyle w:val="Hyperlink"/>
                <w:smallCaps/>
              </w:rPr>
              <w:t>Eixo III. Administração Financeira e Gasto Público (AF)</w:t>
            </w:r>
            <w:r w:rsidR="0072678C" w:rsidRPr="0072678C">
              <w:rPr>
                <w:webHidden/>
              </w:rPr>
              <w:tab/>
            </w:r>
            <w:r w:rsidR="0072678C" w:rsidRPr="0072678C">
              <w:rPr>
                <w:webHidden/>
              </w:rPr>
              <w:fldChar w:fldCharType="begin"/>
            </w:r>
            <w:r w:rsidR="0072678C" w:rsidRPr="0072678C">
              <w:rPr>
                <w:webHidden/>
              </w:rPr>
              <w:instrText xml:space="preserve"> PAGEREF _Toc518058460 \h </w:instrText>
            </w:r>
            <w:r w:rsidR="0072678C" w:rsidRPr="0072678C">
              <w:rPr>
                <w:webHidden/>
              </w:rPr>
            </w:r>
            <w:r w:rsidR="0072678C" w:rsidRPr="0072678C">
              <w:rPr>
                <w:webHidden/>
              </w:rPr>
              <w:fldChar w:fldCharType="separate"/>
            </w:r>
            <w:r w:rsidR="0072678C" w:rsidRPr="0072678C">
              <w:rPr>
                <w:webHidden/>
              </w:rPr>
              <w:t>64</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61" w:history="1">
            <w:r w:rsidR="0072678C" w:rsidRPr="0072678C">
              <w:rPr>
                <w:rStyle w:val="Hyperlink"/>
              </w:rPr>
              <w:t>IV.</w:t>
            </w:r>
            <w:r w:rsidR="0072678C" w:rsidRPr="0072678C">
              <w:rPr>
                <w:rFonts w:eastAsiaTheme="minorEastAsia" w:cstheme="minorBidi"/>
                <w:b w:val="0"/>
                <w:sz w:val="22"/>
                <w:szCs w:val="22"/>
                <w:lang w:eastAsia="pt-BR"/>
              </w:rPr>
              <w:tab/>
            </w:r>
            <w:r w:rsidR="0072678C" w:rsidRPr="0072678C">
              <w:rPr>
                <w:rStyle w:val="Hyperlink"/>
              </w:rPr>
              <w:t>PARTE III – ANEXO</w:t>
            </w:r>
            <w:r w:rsidR="0072678C" w:rsidRPr="0072678C">
              <w:rPr>
                <w:webHidden/>
              </w:rPr>
              <w:tab/>
            </w:r>
            <w:r w:rsidR="0072678C" w:rsidRPr="0072678C">
              <w:rPr>
                <w:webHidden/>
              </w:rPr>
              <w:fldChar w:fldCharType="begin"/>
            </w:r>
            <w:r w:rsidR="0072678C" w:rsidRPr="0072678C">
              <w:rPr>
                <w:webHidden/>
              </w:rPr>
              <w:instrText xml:space="preserve"> PAGEREF _Toc518058461 \h </w:instrText>
            </w:r>
            <w:r w:rsidR="0072678C" w:rsidRPr="0072678C">
              <w:rPr>
                <w:webHidden/>
              </w:rPr>
            </w:r>
            <w:r w:rsidR="0072678C" w:rsidRPr="0072678C">
              <w:rPr>
                <w:webHidden/>
              </w:rPr>
              <w:fldChar w:fldCharType="separate"/>
            </w:r>
            <w:r w:rsidR="0072678C" w:rsidRPr="0072678C">
              <w:rPr>
                <w:webHidden/>
              </w:rPr>
              <w:t>77</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62" w:history="1">
            <w:r w:rsidR="0072678C" w:rsidRPr="0072678C">
              <w:rPr>
                <w:rStyle w:val="Hyperlink"/>
                <w:smallCaps/>
              </w:rPr>
              <w:t>Anexo i – Metodologia: MD-GEFIS</w:t>
            </w:r>
            <w:r w:rsidR="0072678C" w:rsidRPr="0072678C">
              <w:rPr>
                <w:webHidden/>
              </w:rPr>
              <w:tab/>
            </w:r>
            <w:r w:rsidR="0072678C" w:rsidRPr="0072678C">
              <w:rPr>
                <w:webHidden/>
              </w:rPr>
              <w:fldChar w:fldCharType="begin"/>
            </w:r>
            <w:r w:rsidR="0072678C" w:rsidRPr="0072678C">
              <w:rPr>
                <w:webHidden/>
              </w:rPr>
              <w:instrText xml:space="preserve"> PAGEREF _Toc518058462 \h </w:instrText>
            </w:r>
            <w:r w:rsidR="0072678C" w:rsidRPr="0072678C">
              <w:rPr>
                <w:webHidden/>
              </w:rPr>
            </w:r>
            <w:r w:rsidR="0072678C" w:rsidRPr="0072678C">
              <w:rPr>
                <w:webHidden/>
              </w:rPr>
              <w:fldChar w:fldCharType="separate"/>
            </w:r>
            <w:r w:rsidR="0072678C" w:rsidRPr="0072678C">
              <w:rPr>
                <w:webHidden/>
              </w:rPr>
              <w:t>77</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63" w:history="1">
            <w:r w:rsidR="0072678C" w:rsidRPr="0072678C">
              <w:rPr>
                <w:rStyle w:val="Hyperlink"/>
              </w:rPr>
              <w:t>a.</w:t>
            </w:r>
            <w:r w:rsidR="0072678C" w:rsidRPr="0072678C">
              <w:rPr>
                <w:rFonts w:eastAsiaTheme="minorEastAsia" w:cstheme="minorBidi"/>
                <w:b w:val="0"/>
                <w:sz w:val="22"/>
                <w:szCs w:val="22"/>
                <w:lang w:eastAsia="pt-BR"/>
              </w:rPr>
              <w:tab/>
            </w:r>
            <w:r w:rsidR="0072678C" w:rsidRPr="0072678C">
              <w:rPr>
                <w:rStyle w:val="Hyperlink"/>
              </w:rPr>
              <w:t>Diretrizes para a avaliação da gestão fiscal subnacional</w:t>
            </w:r>
            <w:r w:rsidR="0072678C" w:rsidRPr="0072678C">
              <w:rPr>
                <w:webHidden/>
              </w:rPr>
              <w:tab/>
            </w:r>
            <w:r w:rsidR="0072678C" w:rsidRPr="0072678C">
              <w:rPr>
                <w:webHidden/>
              </w:rPr>
              <w:fldChar w:fldCharType="begin"/>
            </w:r>
            <w:r w:rsidR="0072678C" w:rsidRPr="0072678C">
              <w:rPr>
                <w:webHidden/>
              </w:rPr>
              <w:instrText xml:space="preserve"> PAGEREF _Toc518058463 \h </w:instrText>
            </w:r>
            <w:r w:rsidR="0072678C" w:rsidRPr="0072678C">
              <w:rPr>
                <w:webHidden/>
              </w:rPr>
            </w:r>
            <w:r w:rsidR="0072678C" w:rsidRPr="0072678C">
              <w:rPr>
                <w:webHidden/>
              </w:rPr>
              <w:fldChar w:fldCharType="separate"/>
            </w:r>
            <w:r w:rsidR="0072678C" w:rsidRPr="0072678C">
              <w:rPr>
                <w:webHidden/>
              </w:rPr>
              <w:t>77</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64" w:history="1">
            <w:r w:rsidR="0072678C" w:rsidRPr="0072678C">
              <w:rPr>
                <w:rStyle w:val="Hyperlink"/>
              </w:rPr>
              <w:t>b.</w:t>
            </w:r>
            <w:r w:rsidR="0072678C" w:rsidRPr="0072678C">
              <w:rPr>
                <w:rFonts w:eastAsiaTheme="minorEastAsia" w:cstheme="minorBidi"/>
                <w:b w:val="0"/>
                <w:sz w:val="22"/>
                <w:szCs w:val="22"/>
                <w:lang w:eastAsia="pt-BR"/>
              </w:rPr>
              <w:tab/>
            </w:r>
            <w:r w:rsidR="0072678C" w:rsidRPr="0072678C">
              <w:rPr>
                <w:rStyle w:val="Hyperlink"/>
              </w:rPr>
              <w:t>Premissas e objetivos da MD-GEFIS</w:t>
            </w:r>
            <w:r w:rsidR="0072678C" w:rsidRPr="0072678C">
              <w:rPr>
                <w:webHidden/>
              </w:rPr>
              <w:tab/>
            </w:r>
            <w:r w:rsidR="0072678C" w:rsidRPr="0072678C">
              <w:rPr>
                <w:webHidden/>
              </w:rPr>
              <w:fldChar w:fldCharType="begin"/>
            </w:r>
            <w:r w:rsidR="0072678C" w:rsidRPr="0072678C">
              <w:rPr>
                <w:webHidden/>
              </w:rPr>
              <w:instrText xml:space="preserve"> PAGEREF _Toc518058464 \h </w:instrText>
            </w:r>
            <w:r w:rsidR="0072678C" w:rsidRPr="0072678C">
              <w:rPr>
                <w:webHidden/>
              </w:rPr>
            </w:r>
            <w:r w:rsidR="0072678C" w:rsidRPr="0072678C">
              <w:rPr>
                <w:webHidden/>
              </w:rPr>
              <w:fldChar w:fldCharType="separate"/>
            </w:r>
            <w:r w:rsidR="0072678C" w:rsidRPr="0072678C">
              <w:rPr>
                <w:webHidden/>
              </w:rPr>
              <w:t>77</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65" w:history="1">
            <w:r w:rsidR="0072678C" w:rsidRPr="0072678C">
              <w:rPr>
                <w:rStyle w:val="Hyperlink"/>
              </w:rPr>
              <w:t>c.</w:t>
            </w:r>
            <w:r w:rsidR="0072678C" w:rsidRPr="0072678C">
              <w:rPr>
                <w:rFonts w:eastAsiaTheme="minorEastAsia" w:cstheme="minorBidi"/>
                <w:b w:val="0"/>
                <w:sz w:val="22"/>
                <w:szCs w:val="22"/>
                <w:lang w:eastAsia="pt-BR"/>
              </w:rPr>
              <w:tab/>
            </w:r>
            <w:r w:rsidR="0072678C" w:rsidRPr="0072678C">
              <w:rPr>
                <w:rStyle w:val="Hyperlink"/>
              </w:rPr>
              <w:t>A estrutura da MD-GEFIS</w:t>
            </w:r>
            <w:r w:rsidR="0072678C" w:rsidRPr="0072678C">
              <w:rPr>
                <w:webHidden/>
              </w:rPr>
              <w:tab/>
            </w:r>
            <w:r w:rsidR="0072678C" w:rsidRPr="0072678C">
              <w:rPr>
                <w:webHidden/>
              </w:rPr>
              <w:fldChar w:fldCharType="begin"/>
            </w:r>
            <w:r w:rsidR="0072678C" w:rsidRPr="0072678C">
              <w:rPr>
                <w:webHidden/>
              </w:rPr>
              <w:instrText xml:space="preserve"> PAGEREF _Toc518058465 \h </w:instrText>
            </w:r>
            <w:r w:rsidR="0072678C" w:rsidRPr="0072678C">
              <w:rPr>
                <w:webHidden/>
              </w:rPr>
            </w:r>
            <w:r w:rsidR="0072678C" w:rsidRPr="0072678C">
              <w:rPr>
                <w:webHidden/>
              </w:rPr>
              <w:fldChar w:fldCharType="separate"/>
            </w:r>
            <w:r w:rsidR="0072678C" w:rsidRPr="0072678C">
              <w:rPr>
                <w:webHidden/>
              </w:rPr>
              <w:t>78</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66" w:history="1">
            <w:r w:rsidR="0072678C" w:rsidRPr="0072678C">
              <w:rPr>
                <w:rStyle w:val="Hyperlink"/>
              </w:rPr>
              <w:t>d.</w:t>
            </w:r>
            <w:r w:rsidR="0072678C" w:rsidRPr="0072678C">
              <w:rPr>
                <w:rFonts w:eastAsiaTheme="minorEastAsia" w:cstheme="minorBidi"/>
                <w:b w:val="0"/>
                <w:sz w:val="22"/>
                <w:szCs w:val="22"/>
                <w:lang w:eastAsia="pt-BR"/>
              </w:rPr>
              <w:tab/>
            </w:r>
            <w:r w:rsidR="0072678C" w:rsidRPr="0072678C">
              <w:rPr>
                <w:rStyle w:val="Hyperlink"/>
              </w:rPr>
              <w:t>Sistema de medição</w:t>
            </w:r>
            <w:r w:rsidR="0072678C" w:rsidRPr="0072678C">
              <w:rPr>
                <w:webHidden/>
              </w:rPr>
              <w:tab/>
            </w:r>
            <w:r w:rsidR="0072678C" w:rsidRPr="0072678C">
              <w:rPr>
                <w:webHidden/>
              </w:rPr>
              <w:fldChar w:fldCharType="begin"/>
            </w:r>
            <w:r w:rsidR="0072678C" w:rsidRPr="0072678C">
              <w:rPr>
                <w:webHidden/>
              </w:rPr>
              <w:instrText xml:space="preserve"> PAGEREF _Toc518058466 \h </w:instrText>
            </w:r>
            <w:r w:rsidR="0072678C" w:rsidRPr="0072678C">
              <w:rPr>
                <w:webHidden/>
              </w:rPr>
            </w:r>
            <w:r w:rsidR="0072678C" w:rsidRPr="0072678C">
              <w:rPr>
                <w:webHidden/>
              </w:rPr>
              <w:fldChar w:fldCharType="separate"/>
            </w:r>
            <w:r w:rsidR="0072678C" w:rsidRPr="0072678C">
              <w:rPr>
                <w:webHidden/>
              </w:rPr>
              <w:t>79</w:t>
            </w:r>
            <w:r w:rsidR="0072678C" w:rsidRPr="0072678C">
              <w:rPr>
                <w:webHidden/>
              </w:rPr>
              <w:fldChar w:fldCharType="end"/>
            </w:r>
          </w:hyperlink>
        </w:p>
        <w:p w:rsidR="0072678C" w:rsidRPr="0072678C" w:rsidRDefault="009D1337">
          <w:pPr>
            <w:pStyle w:val="TOC1"/>
            <w:rPr>
              <w:rFonts w:eastAsiaTheme="minorEastAsia" w:cstheme="minorBidi"/>
              <w:b w:val="0"/>
              <w:sz w:val="22"/>
              <w:szCs w:val="22"/>
              <w:lang w:eastAsia="pt-BR"/>
            </w:rPr>
          </w:pPr>
          <w:hyperlink w:anchor="_Toc518058467" w:history="1">
            <w:r w:rsidR="0072678C" w:rsidRPr="0072678C">
              <w:rPr>
                <w:rStyle w:val="Hyperlink"/>
              </w:rPr>
              <w:t>e.</w:t>
            </w:r>
            <w:r w:rsidR="0072678C" w:rsidRPr="0072678C">
              <w:rPr>
                <w:rFonts w:eastAsiaTheme="minorEastAsia" w:cstheme="minorBidi"/>
                <w:b w:val="0"/>
                <w:sz w:val="22"/>
                <w:szCs w:val="22"/>
                <w:lang w:eastAsia="pt-BR"/>
              </w:rPr>
              <w:tab/>
            </w:r>
            <w:r w:rsidR="0072678C" w:rsidRPr="0072678C">
              <w:rPr>
                <w:rStyle w:val="Hyperlink"/>
              </w:rPr>
              <w:t>Síntese do modelo</w:t>
            </w:r>
            <w:r w:rsidR="0072678C" w:rsidRPr="0072678C">
              <w:rPr>
                <w:webHidden/>
              </w:rPr>
              <w:tab/>
            </w:r>
            <w:r w:rsidR="0072678C" w:rsidRPr="0072678C">
              <w:rPr>
                <w:webHidden/>
              </w:rPr>
              <w:fldChar w:fldCharType="begin"/>
            </w:r>
            <w:r w:rsidR="0072678C" w:rsidRPr="0072678C">
              <w:rPr>
                <w:webHidden/>
              </w:rPr>
              <w:instrText xml:space="preserve"> PAGEREF _Toc518058467 \h </w:instrText>
            </w:r>
            <w:r w:rsidR="0072678C" w:rsidRPr="0072678C">
              <w:rPr>
                <w:webHidden/>
              </w:rPr>
            </w:r>
            <w:r w:rsidR="0072678C" w:rsidRPr="0072678C">
              <w:rPr>
                <w:webHidden/>
              </w:rPr>
              <w:fldChar w:fldCharType="separate"/>
            </w:r>
            <w:r w:rsidR="0072678C" w:rsidRPr="0072678C">
              <w:rPr>
                <w:webHidden/>
              </w:rPr>
              <w:t>81</w:t>
            </w:r>
            <w:r w:rsidR="0072678C" w:rsidRPr="0072678C">
              <w:rPr>
                <w:webHidden/>
              </w:rPr>
              <w:fldChar w:fldCharType="end"/>
            </w:r>
          </w:hyperlink>
        </w:p>
        <w:p w:rsidR="00EC68E4" w:rsidRPr="0072678C" w:rsidRDefault="003677BC" w:rsidP="00EC68E4">
          <w:pPr>
            <w:rPr>
              <w:rFonts w:asciiTheme="minorHAnsi" w:hAnsiTheme="minorHAnsi" w:cstheme="minorHAnsi"/>
              <w:b/>
              <w:bCs/>
              <w:sz w:val="18"/>
              <w:szCs w:val="18"/>
            </w:rPr>
          </w:pPr>
          <w:r w:rsidRPr="0072678C">
            <w:rPr>
              <w:rFonts w:asciiTheme="minorHAnsi" w:hAnsiTheme="minorHAnsi" w:cstheme="minorHAnsi"/>
              <w:b/>
              <w:bCs/>
              <w:sz w:val="20"/>
              <w:szCs w:val="20"/>
            </w:rPr>
            <w:fldChar w:fldCharType="end"/>
          </w:r>
        </w:p>
      </w:sdtContent>
    </w:sdt>
    <w:p w:rsidR="00EC68E4" w:rsidRPr="0072678C" w:rsidRDefault="00EC68E4">
      <w:pPr>
        <w:spacing w:after="160" w:line="259" w:lineRule="auto"/>
        <w:rPr>
          <w:rFonts w:asciiTheme="minorHAnsi" w:hAnsiTheme="minorHAnsi" w:cstheme="minorHAnsi"/>
          <w:b/>
        </w:rPr>
      </w:pPr>
      <w:r w:rsidRPr="0072678C">
        <w:rPr>
          <w:rFonts w:asciiTheme="minorHAnsi" w:hAnsiTheme="minorHAnsi" w:cstheme="minorHAnsi"/>
          <w:b/>
        </w:rPr>
        <w:br w:type="page"/>
      </w:r>
    </w:p>
    <w:p w:rsidR="0069119E" w:rsidRPr="0072678C" w:rsidRDefault="00536A7A" w:rsidP="009B6793">
      <w:pPr>
        <w:pStyle w:val="Heading1"/>
        <w:numPr>
          <w:ilvl w:val="0"/>
          <w:numId w:val="3"/>
        </w:numPr>
        <w:spacing w:after="240"/>
        <w:ind w:left="426" w:hanging="426"/>
        <w:rPr>
          <w:rFonts w:asciiTheme="minorHAnsi" w:hAnsiTheme="minorHAnsi" w:cstheme="minorHAnsi"/>
          <w:b/>
          <w:color w:val="auto"/>
          <w:sz w:val="22"/>
          <w:szCs w:val="22"/>
        </w:rPr>
      </w:pPr>
      <w:bookmarkStart w:id="2" w:name="_Toc518058444"/>
      <w:bookmarkStart w:id="3" w:name="_Toc493438869"/>
      <w:r w:rsidRPr="0072678C">
        <w:rPr>
          <w:rFonts w:asciiTheme="minorHAnsi" w:hAnsiTheme="minorHAnsi" w:cstheme="minorHAnsi"/>
          <w:b/>
          <w:color w:val="auto"/>
          <w:sz w:val="22"/>
          <w:szCs w:val="22"/>
        </w:rPr>
        <w:lastRenderedPageBreak/>
        <w:t>APRESENTAÇÃO</w:t>
      </w:r>
      <w:bookmarkEnd w:id="2"/>
    </w:p>
    <w:p w:rsidR="0003318F" w:rsidRPr="0072678C" w:rsidRDefault="0003318F" w:rsidP="0003318F">
      <w:pPr>
        <w:spacing w:before="240" w:after="240"/>
        <w:jc w:val="both"/>
        <w:rPr>
          <w:rFonts w:asciiTheme="minorHAnsi" w:hAnsiTheme="minorHAnsi" w:cstheme="minorHAnsi"/>
          <w:sz w:val="22"/>
        </w:rPr>
      </w:pPr>
      <w:r w:rsidRPr="0072678C">
        <w:rPr>
          <w:rFonts w:asciiTheme="minorHAnsi" w:hAnsiTheme="minorHAnsi" w:cs="Arial"/>
          <w:sz w:val="22"/>
          <w:szCs w:val="22"/>
        </w:rPr>
        <w:t xml:space="preserve">Este Relatório tem por objetivo apresentar os resultados da avaliação da maturidade e desempenho da gestão fiscal do Estado de São Paulo, de acordo com a metodologia MD-GEFIS Modelo de Avaliação da Maturidade e Desempenho da Gestão Fiscal (Anexo I). Os resultados aqui apresentados deverão servir de </w:t>
      </w:r>
      <w:r w:rsidRPr="0072678C">
        <w:rPr>
          <w:rFonts w:asciiTheme="minorHAnsi" w:hAnsiTheme="minorHAnsi" w:cstheme="minorHAnsi"/>
          <w:sz w:val="22"/>
        </w:rPr>
        <w:t>linha de base para as iniciativas de modernização decorrentes de necessidades evidenciadas.</w:t>
      </w:r>
    </w:p>
    <w:p w:rsidR="0003318F" w:rsidRPr="0072678C" w:rsidRDefault="0003318F" w:rsidP="0003318F">
      <w:pPr>
        <w:spacing w:before="240" w:after="240"/>
        <w:jc w:val="both"/>
        <w:rPr>
          <w:rFonts w:asciiTheme="minorHAnsi" w:hAnsiTheme="minorHAnsi" w:cstheme="minorHAnsi"/>
          <w:sz w:val="22"/>
          <w:szCs w:val="22"/>
        </w:rPr>
      </w:pPr>
      <w:r w:rsidRPr="0072678C">
        <w:rPr>
          <w:rFonts w:asciiTheme="minorHAnsi" w:hAnsiTheme="minorHAnsi" w:cs="Arial"/>
          <w:sz w:val="22"/>
          <w:szCs w:val="22"/>
        </w:rPr>
        <w:t>As informações apresentadas neste documento foram coletadas com base no questionário de avaliação da metodologia e discutidas com gestores e técnicos dos seguintes órgãos da administração pública do Estado de São Paulo, responsáveis pela gestão fiscal: Secretaria de Estado da Fazenda do Estado, Secretaria de Planejamento e Gestão</w:t>
      </w:r>
      <w:r w:rsidR="004746B1" w:rsidRPr="0072678C">
        <w:rPr>
          <w:rFonts w:asciiTheme="minorHAnsi" w:hAnsiTheme="minorHAnsi" w:cs="Arial"/>
          <w:sz w:val="22"/>
          <w:szCs w:val="22"/>
        </w:rPr>
        <w:t>, e Procuradoria Geral do Estado</w:t>
      </w:r>
      <w:r w:rsidRPr="0072678C">
        <w:rPr>
          <w:rFonts w:asciiTheme="minorHAnsi" w:hAnsiTheme="minorHAnsi" w:cs="Arial"/>
          <w:sz w:val="22"/>
          <w:szCs w:val="22"/>
        </w:rPr>
        <w:t>. As reuniões foram conduzidas com apoio d</w:t>
      </w:r>
      <w:r w:rsidR="004746B1" w:rsidRPr="0072678C">
        <w:rPr>
          <w:rFonts w:asciiTheme="minorHAnsi" w:hAnsiTheme="minorHAnsi" w:cs="Arial"/>
          <w:sz w:val="22"/>
          <w:szCs w:val="22"/>
        </w:rPr>
        <w:t xml:space="preserve">o Consultor </w:t>
      </w:r>
      <w:r w:rsidRPr="0072678C">
        <w:rPr>
          <w:rFonts w:asciiTheme="minorHAnsi" w:hAnsiTheme="minorHAnsi" w:cs="Arial"/>
          <w:sz w:val="22"/>
          <w:szCs w:val="22"/>
        </w:rPr>
        <w:t xml:space="preserve">do BID e favoreceu a discussão e análise dos temas abordados e </w:t>
      </w:r>
      <w:r w:rsidRPr="0072678C">
        <w:rPr>
          <w:rFonts w:asciiTheme="minorHAnsi" w:hAnsiTheme="minorHAnsi" w:cs="Arial"/>
          <w:bCs/>
          <w:sz w:val="22"/>
          <w:szCs w:val="22"/>
        </w:rPr>
        <w:t>permitiu a i</w:t>
      </w:r>
      <w:r w:rsidRPr="0072678C">
        <w:rPr>
          <w:rFonts w:asciiTheme="minorHAnsi" w:hAnsiTheme="minorHAnsi" w:cs="Arial"/>
          <w:sz w:val="22"/>
          <w:szCs w:val="22"/>
        </w:rPr>
        <w:t>dentificação de oportunidades de melhoria e a verificação das possibilidades e limitações na implantação de outras formas de trabalho do ponto vista técnico, legal e político. Foram também coletadas evidências que comprovem as boas práticas os dados para apuração dos indicadores de desempenho.</w:t>
      </w:r>
    </w:p>
    <w:p w:rsidR="004746B1" w:rsidRPr="0072678C" w:rsidRDefault="004746B1" w:rsidP="004746B1">
      <w:pPr>
        <w:jc w:val="both"/>
        <w:rPr>
          <w:rFonts w:asciiTheme="minorHAnsi" w:hAnsiTheme="minorHAnsi" w:cs="Arial"/>
          <w:bCs/>
          <w:sz w:val="22"/>
          <w:szCs w:val="22"/>
        </w:rPr>
      </w:pPr>
      <w:r w:rsidRPr="0072678C">
        <w:rPr>
          <w:rFonts w:asciiTheme="minorHAnsi" w:hAnsiTheme="minorHAnsi" w:cs="Arial"/>
          <w:sz w:val="22"/>
          <w:szCs w:val="22"/>
        </w:rPr>
        <w:t xml:space="preserve">Este documento está estruturado em 3 partes: esta primeira contém o Resumo Executivo e a segunda apresenta os resultados alcançados pela avaliação da maturidade e desempenho da </w:t>
      </w:r>
      <w:r w:rsidRPr="0072678C">
        <w:rPr>
          <w:rFonts w:asciiTheme="minorHAnsi" w:hAnsiTheme="minorHAnsi" w:cs="Arial"/>
          <w:bCs/>
          <w:sz w:val="22"/>
          <w:szCs w:val="22"/>
        </w:rPr>
        <w:t xml:space="preserve">gestão fazendária e transparência fiscal, da administração tributária e contencioso fiscal e da administração financeira e gasto público da gestão fiscal do Estado </w:t>
      </w:r>
      <w:r w:rsidRPr="0072678C">
        <w:rPr>
          <w:rFonts w:asciiTheme="minorHAnsi" w:hAnsiTheme="minorHAnsi" w:cs="Arial"/>
          <w:sz w:val="22"/>
          <w:szCs w:val="22"/>
        </w:rPr>
        <w:t>do Espírito Santo</w:t>
      </w:r>
      <w:r w:rsidRPr="0072678C">
        <w:rPr>
          <w:rFonts w:asciiTheme="minorHAnsi" w:hAnsiTheme="minorHAnsi" w:cs="Arial"/>
          <w:bCs/>
          <w:sz w:val="22"/>
          <w:szCs w:val="22"/>
        </w:rPr>
        <w:t>.</w:t>
      </w:r>
      <w:r w:rsidR="00A24A7E" w:rsidRPr="0072678C">
        <w:rPr>
          <w:rFonts w:asciiTheme="minorHAnsi" w:hAnsiTheme="minorHAnsi" w:cs="Arial"/>
          <w:bCs/>
          <w:sz w:val="22"/>
          <w:szCs w:val="22"/>
        </w:rPr>
        <w:t xml:space="preserve"> A segunda apresenta o Detalhamento da Avaliação das Dimensões por Eixo e a terceira parte apresenta os Anexos.  </w:t>
      </w:r>
    </w:p>
    <w:p w:rsidR="00D37B27" w:rsidRPr="0072678C" w:rsidRDefault="009B6560" w:rsidP="00DD6BC3">
      <w:pPr>
        <w:pStyle w:val="Heading1"/>
        <w:numPr>
          <w:ilvl w:val="0"/>
          <w:numId w:val="3"/>
        </w:numPr>
        <w:pBdr>
          <w:top w:val="single" w:sz="4" w:space="1" w:color="auto"/>
          <w:left w:val="single" w:sz="4" w:space="4" w:color="auto"/>
          <w:bottom w:val="single" w:sz="4" w:space="1" w:color="auto"/>
          <w:right w:val="single" w:sz="4" w:space="4" w:color="auto"/>
        </w:pBdr>
        <w:spacing w:after="240"/>
        <w:ind w:left="426" w:hanging="426"/>
        <w:rPr>
          <w:rFonts w:asciiTheme="minorHAnsi" w:hAnsiTheme="minorHAnsi" w:cstheme="minorHAnsi"/>
          <w:b/>
          <w:color w:val="auto"/>
          <w:sz w:val="24"/>
          <w:szCs w:val="22"/>
        </w:rPr>
      </w:pPr>
      <w:bookmarkStart w:id="4" w:name="_Toc518058445"/>
      <w:r w:rsidRPr="0072678C">
        <w:rPr>
          <w:rFonts w:asciiTheme="minorHAnsi" w:hAnsiTheme="minorHAnsi" w:cstheme="minorHAnsi"/>
          <w:b/>
          <w:color w:val="auto"/>
          <w:sz w:val="24"/>
          <w:szCs w:val="22"/>
        </w:rPr>
        <w:t xml:space="preserve">PARTE I – </w:t>
      </w:r>
      <w:r w:rsidR="00222819" w:rsidRPr="0072678C">
        <w:rPr>
          <w:rFonts w:asciiTheme="minorHAnsi" w:hAnsiTheme="minorHAnsi" w:cstheme="minorHAnsi"/>
          <w:b/>
          <w:color w:val="auto"/>
          <w:sz w:val="24"/>
          <w:szCs w:val="22"/>
        </w:rPr>
        <w:t>RESUMO EXECUTIVO</w:t>
      </w:r>
      <w:bookmarkEnd w:id="4"/>
      <w:r w:rsidR="00222819" w:rsidRPr="0072678C">
        <w:rPr>
          <w:rFonts w:asciiTheme="minorHAnsi" w:hAnsiTheme="minorHAnsi" w:cstheme="minorHAnsi"/>
          <w:b/>
          <w:color w:val="auto"/>
          <w:sz w:val="24"/>
          <w:szCs w:val="22"/>
        </w:rPr>
        <w:t xml:space="preserve"> </w:t>
      </w:r>
    </w:p>
    <w:p w:rsidR="00DC1442" w:rsidRPr="0072678C" w:rsidRDefault="00A24A7E" w:rsidP="00F050B8">
      <w:pPr>
        <w:jc w:val="both"/>
        <w:rPr>
          <w:rFonts w:asciiTheme="minorHAnsi" w:hAnsiTheme="minorHAnsi" w:cstheme="minorHAnsi"/>
          <w:sz w:val="22"/>
          <w:szCs w:val="22"/>
        </w:rPr>
      </w:pPr>
      <w:bookmarkStart w:id="5" w:name="_Toc492718542"/>
      <w:r w:rsidRPr="0072678C">
        <w:rPr>
          <w:rFonts w:asciiTheme="minorHAnsi" w:hAnsiTheme="minorHAnsi" w:cs="Arial"/>
          <w:bCs/>
          <w:sz w:val="22"/>
          <w:szCs w:val="22"/>
        </w:rPr>
        <w:t>O principal órgão responsável pela gestão fiscal do estado de São Paulo é a Secret</w:t>
      </w:r>
      <w:r w:rsidR="00DC1442" w:rsidRPr="0072678C">
        <w:rPr>
          <w:rFonts w:asciiTheme="minorHAnsi" w:hAnsiTheme="minorHAnsi" w:cs="Arial"/>
          <w:bCs/>
          <w:sz w:val="22"/>
          <w:szCs w:val="22"/>
        </w:rPr>
        <w:t>aria</w:t>
      </w:r>
      <w:r w:rsidR="00F050B8" w:rsidRPr="0072678C">
        <w:rPr>
          <w:rFonts w:asciiTheme="minorHAnsi" w:hAnsiTheme="minorHAnsi" w:cs="Arial"/>
          <w:bCs/>
          <w:sz w:val="22"/>
          <w:szCs w:val="22"/>
        </w:rPr>
        <w:t xml:space="preserve"> </w:t>
      </w:r>
      <w:r w:rsidR="00DC1442" w:rsidRPr="0072678C">
        <w:rPr>
          <w:rFonts w:asciiTheme="minorHAnsi" w:hAnsiTheme="minorHAnsi" w:cstheme="minorHAnsi"/>
          <w:sz w:val="22"/>
          <w:szCs w:val="22"/>
        </w:rPr>
        <w:t>da Fazenda do Estado de São Paulo (SEFAZ/SP) responsável pela arrecadação dos tributos estaduais, entre eles o </w:t>
      </w:r>
      <w:hyperlink r:id="rId8" w:history="1">
        <w:r w:rsidR="00DC1442" w:rsidRPr="0072678C">
          <w:rPr>
            <w:rFonts w:asciiTheme="minorHAnsi" w:eastAsiaTheme="majorEastAsia" w:hAnsiTheme="minorHAnsi" w:cstheme="minorHAnsi"/>
            <w:sz w:val="22"/>
            <w:szCs w:val="22"/>
          </w:rPr>
          <w:t>ICMS</w:t>
        </w:r>
      </w:hyperlink>
      <w:r w:rsidR="00DC1442" w:rsidRPr="0072678C">
        <w:rPr>
          <w:rFonts w:asciiTheme="minorHAnsi" w:hAnsiTheme="minorHAnsi" w:cstheme="minorHAnsi"/>
          <w:sz w:val="22"/>
          <w:szCs w:val="22"/>
        </w:rPr>
        <w:t>, </w:t>
      </w:r>
      <w:hyperlink r:id="rId9" w:history="1">
        <w:r w:rsidR="00DC1442" w:rsidRPr="0072678C">
          <w:rPr>
            <w:rFonts w:asciiTheme="minorHAnsi" w:eastAsiaTheme="majorEastAsia" w:hAnsiTheme="minorHAnsi" w:cstheme="minorHAnsi"/>
            <w:sz w:val="22"/>
            <w:szCs w:val="22"/>
          </w:rPr>
          <w:t>IPVA</w:t>
        </w:r>
      </w:hyperlink>
      <w:r w:rsidR="00DC1442" w:rsidRPr="0072678C">
        <w:rPr>
          <w:rFonts w:asciiTheme="minorHAnsi" w:hAnsiTheme="minorHAnsi" w:cstheme="minorHAnsi"/>
          <w:sz w:val="22"/>
          <w:szCs w:val="22"/>
        </w:rPr>
        <w:t> e </w:t>
      </w:r>
      <w:hyperlink r:id="rId10" w:history="1">
        <w:r w:rsidR="00DC1442" w:rsidRPr="0072678C">
          <w:rPr>
            <w:rFonts w:asciiTheme="minorHAnsi" w:eastAsiaTheme="majorEastAsia" w:hAnsiTheme="minorHAnsi" w:cstheme="minorHAnsi"/>
            <w:sz w:val="22"/>
            <w:szCs w:val="22"/>
          </w:rPr>
          <w:t>ITCMD</w:t>
        </w:r>
      </w:hyperlink>
      <w:r w:rsidR="00DC1442" w:rsidRPr="0072678C">
        <w:rPr>
          <w:rFonts w:asciiTheme="minorHAnsi" w:hAnsiTheme="minorHAnsi" w:cstheme="minorHAnsi"/>
          <w:sz w:val="22"/>
          <w:szCs w:val="22"/>
        </w:rPr>
        <w:t>, pela gestão financeira e controle da execução orçamentária da administração estadual.</w:t>
      </w:r>
    </w:p>
    <w:p w:rsidR="00DC1442" w:rsidRPr="0072678C" w:rsidRDefault="00DC1442" w:rsidP="00DC1442">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A estrutura básica da Secretaria da Fazenda, bem como suas atribuições e competências, está regulamentada no Decreto n.º 60.812, de 30 de setembro de 2014, o qual determina sua responsabilidade político-administrativa nas áreas tributária, financeira e de controle interno do Governo do Estado de São Paulo.</w:t>
      </w:r>
    </w:p>
    <w:p w:rsidR="00DC1442" w:rsidRPr="0072678C" w:rsidRDefault="00DC1442" w:rsidP="00DC1442">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Entre as atribuições e competências, cabe à SEFAZ/SP definir e estabelecer a política e administração tributária e financeira, o controle interno do Poder Executivo; a gestão de compras e serviços do Estado; a execução orçamentária; a administração da área previdenciária e de fomento do Estado. </w:t>
      </w:r>
    </w:p>
    <w:p w:rsidR="00DC1442" w:rsidRPr="0072678C" w:rsidRDefault="00DC1442" w:rsidP="00F94200">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A Secretaria da Fazenda de São Paulo, responsável pela maior arrecadação de ICMS entre os estados brasileiros, mantém sua sede na capital e atua em todo o território paulista, por meio de 18 unidades regionais tributárias, dezenas de postos fiscais, além de unidades administrativas e de atendimento que contemplam os 645 municípios do Estado. </w:t>
      </w:r>
    </w:p>
    <w:p w:rsidR="00DC1442" w:rsidRPr="0072678C" w:rsidRDefault="001F2677" w:rsidP="00F94200">
      <w:pPr>
        <w:jc w:val="both"/>
        <w:rPr>
          <w:rFonts w:asciiTheme="minorHAnsi" w:hAnsiTheme="minorHAnsi" w:cs="Calibri"/>
          <w:sz w:val="22"/>
          <w:szCs w:val="22"/>
        </w:rPr>
      </w:pPr>
      <w:r w:rsidRPr="0072678C">
        <w:rPr>
          <w:rFonts w:asciiTheme="minorHAnsi" w:hAnsiTheme="minorHAnsi" w:cs="Calibri"/>
          <w:sz w:val="22"/>
          <w:szCs w:val="22"/>
        </w:rPr>
        <w:t>A SEFAZ/SP conta com aproximadamente 6.200 servidores, que já trabalham em média, há 17 anos. O perfil do profissional SEFAZ/SP é do sexo masculino, entre 51 e 60 anos (35% desse total), com mais de 20 anos de serviço na Administração Pública</w:t>
      </w:r>
      <w:r w:rsidR="00AE3176" w:rsidRPr="0072678C">
        <w:rPr>
          <w:rFonts w:asciiTheme="minorHAnsi" w:hAnsiTheme="minorHAnsi" w:cs="Calibri"/>
          <w:sz w:val="22"/>
          <w:szCs w:val="22"/>
        </w:rPr>
        <w:t>.</w:t>
      </w:r>
    </w:p>
    <w:p w:rsidR="00AE3176" w:rsidRPr="0072678C" w:rsidRDefault="00AE3176" w:rsidP="00B306B3">
      <w:pPr>
        <w:spacing w:after="120"/>
        <w:jc w:val="both"/>
        <w:rPr>
          <w:rFonts w:asciiTheme="minorHAnsi" w:hAnsiTheme="minorHAnsi" w:cs="Calibri"/>
          <w:sz w:val="22"/>
          <w:szCs w:val="22"/>
        </w:rPr>
      </w:pPr>
      <w:r w:rsidRPr="0072678C">
        <w:rPr>
          <w:rFonts w:asciiTheme="minorHAnsi" w:hAnsiTheme="minorHAnsi" w:cs="Calibri"/>
          <w:sz w:val="22"/>
          <w:szCs w:val="22"/>
        </w:rPr>
        <w:t xml:space="preserve">Os servidores com idade superior a 51 anos representam cerca </w:t>
      </w:r>
      <w:proofErr w:type="gramStart"/>
      <w:r w:rsidRPr="0072678C">
        <w:rPr>
          <w:rFonts w:asciiTheme="minorHAnsi" w:hAnsiTheme="minorHAnsi" w:cs="Calibri"/>
          <w:sz w:val="22"/>
          <w:szCs w:val="22"/>
        </w:rPr>
        <w:t>de  48</w:t>
      </w:r>
      <w:proofErr w:type="gramEnd"/>
      <w:r w:rsidRPr="0072678C">
        <w:rPr>
          <w:rFonts w:asciiTheme="minorHAnsi" w:hAnsiTheme="minorHAnsi" w:cs="Calibri"/>
          <w:sz w:val="22"/>
          <w:szCs w:val="22"/>
        </w:rPr>
        <w:t xml:space="preserve">% do total de fazendários. Os funcionários com mais de 20 anos de serviço no setor público correspondem a 45%, o que </w:t>
      </w:r>
      <w:r w:rsidRPr="0072678C">
        <w:rPr>
          <w:rFonts w:asciiTheme="minorHAnsi" w:hAnsiTheme="minorHAnsi" w:cs="Calibri"/>
          <w:sz w:val="22"/>
          <w:szCs w:val="22"/>
        </w:rPr>
        <w:lastRenderedPageBreak/>
        <w:t>evidencia uma força de trabalho envelhecida e com muitos servidores com direito já adquirido para aposentadoria.</w:t>
      </w:r>
    </w:p>
    <w:p w:rsidR="00F94200" w:rsidRPr="0072678C" w:rsidRDefault="00AE3176" w:rsidP="00F94200">
      <w:pPr>
        <w:jc w:val="both"/>
        <w:rPr>
          <w:rFonts w:asciiTheme="minorHAnsi" w:hAnsiTheme="minorHAnsi" w:cs="Calibri"/>
          <w:sz w:val="22"/>
          <w:szCs w:val="22"/>
        </w:rPr>
      </w:pPr>
      <w:r w:rsidRPr="0072678C">
        <w:rPr>
          <w:rFonts w:asciiTheme="minorHAnsi" w:hAnsiTheme="minorHAnsi" w:cs="Calibri"/>
          <w:sz w:val="22"/>
          <w:szCs w:val="22"/>
        </w:rPr>
        <w:t xml:space="preserve">A faixa etária com maior concentração de gestores é de 41 a 60 anos, com 57% do total, enquanto 37% dos gestores têm menos de 40 anos de idade. </w:t>
      </w:r>
    </w:p>
    <w:p w:rsidR="00F94200" w:rsidRPr="0072678C" w:rsidRDefault="00AE3176" w:rsidP="00F94200">
      <w:pPr>
        <w:jc w:val="both"/>
        <w:rPr>
          <w:rFonts w:asciiTheme="minorHAnsi" w:hAnsiTheme="minorHAnsi" w:cs="Calibri"/>
          <w:sz w:val="22"/>
          <w:szCs w:val="22"/>
        </w:rPr>
      </w:pPr>
      <w:r w:rsidRPr="0072678C">
        <w:rPr>
          <w:rFonts w:asciiTheme="minorHAnsi" w:hAnsiTheme="minorHAnsi" w:cs="Calibri"/>
          <w:sz w:val="22"/>
          <w:szCs w:val="22"/>
        </w:rPr>
        <w:t xml:space="preserve">Observa-se que nos próximos 10 anos ocorrerá uma elevação no índice de aposentadorias </w:t>
      </w:r>
      <w:r w:rsidR="00F94200" w:rsidRPr="0072678C">
        <w:rPr>
          <w:rFonts w:asciiTheme="minorHAnsi" w:hAnsiTheme="minorHAnsi" w:cs="Calibri"/>
          <w:sz w:val="22"/>
          <w:szCs w:val="22"/>
        </w:rPr>
        <w:t xml:space="preserve">o que é bastante preocupante para a sustentabilidade das ações que estão sendo implantadas. </w:t>
      </w:r>
    </w:p>
    <w:p w:rsidR="00222819" w:rsidRPr="0072678C" w:rsidRDefault="003B0394" w:rsidP="009B6793">
      <w:pPr>
        <w:pStyle w:val="ListParagraph"/>
        <w:numPr>
          <w:ilvl w:val="0"/>
          <w:numId w:val="36"/>
        </w:numPr>
        <w:spacing w:before="240" w:after="240"/>
        <w:jc w:val="both"/>
        <w:outlineLvl w:val="0"/>
        <w:rPr>
          <w:rFonts w:asciiTheme="minorHAnsi" w:hAnsiTheme="minorHAnsi" w:cstheme="minorHAnsi"/>
          <w:b/>
          <w:sz w:val="22"/>
          <w:szCs w:val="22"/>
        </w:rPr>
      </w:pPr>
      <w:bookmarkStart w:id="6" w:name="_Toc518058446"/>
      <w:bookmarkEnd w:id="5"/>
      <w:r w:rsidRPr="0072678C">
        <w:rPr>
          <w:rFonts w:asciiTheme="minorHAnsi" w:hAnsiTheme="minorHAnsi" w:cstheme="minorHAnsi"/>
          <w:b/>
          <w:sz w:val="22"/>
          <w:szCs w:val="22"/>
        </w:rPr>
        <w:t>Visão Geral da Maturidade dos Processos da Gestão Fiscal do Estado de São Paulo</w:t>
      </w:r>
      <w:bookmarkEnd w:id="6"/>
    </w:p>
    <w:p w:rsidR="00222819" w:rsidRPr="0072678C" w:rsidRDefault="00222819" w:rsidP="00527978">
      <w:pPr>
        <w:spacing w:before="240" w:after="240"/>
        <w:jc w:val="both"/>
        <w:rPr>
          <w:rFonts w:asciiTheme="minorHAnsi" w:hAnsiTheme="minorHAnsi" w:cstheme="minorHAnsi"/>
          <w:bCs/>
          <w:sz w:val="22"/>
          <w:szCs w:val="22"/>
        </w:rPr>
      </w:pPr>
      <w:r w:rsidRPr="0072678C">
        <w:rPr>
          <w:rFonts w:asciiTheme="minorHAnsi" w:hAnsiTheme="minorHAnsi" w:cstheme="minorHAnsi"/>
          <w:sz w:val="22"/>
          <w:szCs w:val="22"/>
        </w:rPr>
        <w:t>O nível de maturidade do conjunto dos processos críticos de cada Dimensão da MD-GEFIS foi identificado a partir da apuração das respostas dadas no Questionário aplicado com as equipes d</w:t>
      </w:r>
      <w:r w:rsidR="002571BB" w:rsidRPr="0072678C">
        <w:rPr>
          <w:rFonts w:asciiTheme="minorHAnsi" w:hAnsiTheme="minorHAnsi" w:cstheme="minorHAnsi"/>
          <w:sz w:val="22"/>
          <w:szCs w:val="22"/>
        </w:rPr>
        <w:t xml:space="preserve">e cada Secretaria </w:t>
      </w:r>
      <w:r w:rsidRPr="0072678C">
        <w:rPr>
          <w:rFonts w:asciiTheme="minorHAnsi" w:hAnsiTheme="minorHAnsi" w:cstheme="minorHAnsi"/>
          <w:sz w:val="22"/>
          <w:szCs w:val="22"/>
        </w:rPr>
        <w:t xml:space="preserve">cujos resultados são apresentados no </w:t>
      </w:r>
      <w:r w:rsidR="000730D5" w:rsidRPr="0072678C">
        <w:rPr>
          <w:rFonts w:asciiTheme="minorHAnsi" w:hAnsiTheme="minorHAnsi" w:cstheme="minorHAnsi"/>
          <w:b/>
          <w:sz w:val="22"/>
          <w:szCs w:val="22"/>
        </w:rPr>
        <w:t xml:space="preserve">Gráfico </w:t>
      </w:r>
      <w:r w:rsidR="002571BB" w:rsidRPr="0072678C">
        <w:rPr>
          <w:rFonts w:asciiTheme="minorHAnsi" w:hAnsiTheme="minorHAnsi" w:cstheme="minorHAnsi"/>
          <w:b/>
          <w:sz w:val="22"/>
          <w:szCs w:val="22"/>
        </w:rPr>
        <w:t>1</w:t>
      </w:r>
      <w:r w:rsidRPr="0072678C">
        <w:rPr>
          <w:rFonts w:asciiTheme="minorHAnsi" w:hAnsiTheme="minorHAnsi" w:cstheme="minorHAnsi"/>
          <w:b/>
          <w:sz w:val="22"/>
          <w:szCs w:val="22"/>
        </w:rPr>
        <w:t>,</w:t>
      </w:r>
      <w:r w:rsidRPr="0072678C">
        <w:rPr>
          <w:rFonts w:asciiTheme="minorHAnsi" w:hAnsiTheme="minorHAnsi" w:cstheme="minorHAnsi"/>
          <w:bCs/>
          <w:sz w:val="22"/>
          <w:szCs w:val="22"/>
        </w:rPr>
        <w:t xml:space="preserve"> a seguir:</w:t>
      </w:r>
    </w:p>
    <w:p w:rsidR="000730D5" w:rsidRPr="0072678C" w:rsidRDefault="000730D5" w:rsidP="00527978">
      <w:pPr>
        <w:spacing w:before="240" w:after="240"/>
        <w:jc w:val="both"/>
        <w:rPr>
          <w:rFonts w:asciiTheme="minorHAnsi" w:hAnsiTheme="minorHAnsi" w:cstheme="minorHAnsi"/>
          <w:bCs/>
          <w:sz w:val="22"/>
          <w:szCs w:val="22"/>
        </w:rPr>
      </w:pPr>
      <w:r w:rsidRPr="0072678C">
        <w:rPr>
          <w:rFonts w:asciiTheme="minorHAnsi" w:hAnsiTheme="minorHAnsi" w:cstheme="minorHAnsi"/>
          <w:bCs/>
          <w:noProof/>
          <w:sz w:val="22"/>
          <w:szCs w:val="22"/>
        </w:rPr>
        <w:drawing>
          <wp:inline distT="0" distB="0" distL="0" distR="0">
            <wp:extent cx="5600700" cy="3619500"/>
            <wp:effectExtent l="19050" t="0" r="19050" b="0"/>
            <wp:docPr id="1" name="Gráfico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22819" w:rsidRPr="0072678C" w:rsidRDefault="00222819" w:rsidP="00222819">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Observa-se que as </w:t>
      </w:r>
      <w:r w:rsidRPr="0072678C">
        <w:rPr>
          <w:rFonts w:asciiTheme="minorHAnsi" w:hAnsiTheme="minorHAnsi" w:cstheme="minorHAnsi"/>
          <w:b/>
          <w:sz w:val="22"/>
          <w:szCs w:val="22"/>
        </w:rPr>
        <w:t>dimensões transversais</w:t>
      </w:r>
      <w:r w:rsidRPr="0072678C">
        <w:rPr>
          <w:rFonts w:asciiTheme="minorHAnsi" w:hAnsiTheme="minorHAnsi" w:cstheme="minorHAnsi"/>
          <w:sz w:val="22"/>
          <w:szCs w:val="22"/>
        </w:rPr>
        <w:t xml:space="preserve"> de cada Eixo – Governança Pública (GF 1), Políticas e Gasto Tributário (AT 1) e Planejamento e Execução Orçamentária (AF 1) – ou seja, que tratam das políticas e que impactam e determinam as demais dimensões de seu respectivo eixo, encontram-se no nível </w:t>
      </w:r>
      <w:r w:rsidR="00C747E8" w:rsidRPr="0072678C">
        <w:rPr>
          <w:rFonts w:asciiTheme="minorHAnsi" w:hAnsiTheme="minorHAnsi" w:cstheme="minorHAnsi"/>
          <w:b/>
          <w:sz w:val="22"/>
          <w:szCs w:val="22"/>
        </w:rPr>
        <w:t>Intermediário (-)</w:t>
      </w:r>
      <w:r w:rsidR="00C747E8"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no Eixo I, </w:t>
      </w:r>
      <w:r w:rsidRPr="0072678C">
        <w:rPr>
          <w:rFonts w:asciiTheme="minorHAnsi" w:hAnsiTheme="minorHAnsi" w:cstheme="minorHAnsi"/>
          <w:b/>
          <w:sz w:val="22"/>
          <w:szCs w:val="22"/>
        </w:rPr>
        <w:t>In</w:t>
      </w:r>
      <w:r w:rsidR="00C747E8" w:rsidRPr="0072678C">
        <w:rPr>
          <w:rFonts w:asciiTheme="minorHAnsi" w:hAnsiTheme="minorHAnsi" w:cstheme="minorHAnsi"/>
          <w:b/>
          <w:sz w:val="22"/>
          <w:szCs w:val="22"/>
        </w:rPr>
        <w:t xml:space="preserve">termediário </w:t>
      </w:r>
      <w:r w:rsidRPr="0072678C">
        <w:rPr>
          <w:rFonts w:asciiTheme="minorHAnsi" w:hAnsiTheme="minorHAnsi" w:cstheme="minorHAnsi"/>
          <w:b/>
          <w:sz w:val="22"/>
          <w:szCs w:val="22"/>
        </w:rPr>
        <w:t xml:space="preserve">(-) </w:t>
      </w:r>
      <w:r w:rsidRPr="0072678C">
        <w:rPr>
          <w:rFonts w:asciiTheme="minorHAnsi" w:hAnsiTheme="minorHAnsi" w:cstheme="minorHAnsi"/>
          <w:sz w:val="22"/>
          <w:szCs w:val="22"/>
        </w:rPr>
        <w:t xml:space="preserve">no Eixo II; e, </w:t>
      </w:r>
      <w:r w:rsidR="00C747E8" w:rsidRPr="0072678C">
        <w:rPr>
          <w:rFonts w:asciiTheme="minorHAnsi" w:hAnsiTheme="minorHAnsi" w:cstheme="minorHAnsi"/>
          <w:b/>
          <w:sz w:val="22"/>
          <w:szCs w:val="22"/>
        </w:rPr>
        <w:t xml:space="preserve">Avançado (-) </w:t>
      </w:r>
      <w:r w:rsidRPr="0072678C">
        <w:rPr>
          <w:rFonts w:asciiTheme="minorHAnsi" w:hAnsiTheme="minorHAnsi" w:cstheme="minorHAnsi"/>
          <w:sz w:val="22"/>
          <w:szCs w:val="22"/>
        </w:rPr>
        <w:t xml:space="preserve">no Eixo III. </w:t>
      </w:r>
      <w:r w:rsidR="00AC6070" w:rsidRPr="0072678C">
        <w:rPr>
          <w:rFonts w:asciiTheme="minorHAnsi" w:hAnsiTheme="minorHAnsi" w:cstheme="minorHAnsi"/>
          <w:sz w:val="22"/>
          <w:szCs w:val="22"/>
        </w:rPr>
        <w:t>Apesar de apresentar bons resultados, mas p</w:t>
      </w:r>
      <w:r w:rsidRPr="0072678C">
        <w:rPr>
          <w:rFonts w:asciiTheme="minorHAnsi" w:hAnsiTheme="minorHAnsi" w:cstheme="minorHAnsi"/>
          <w:sz w:val="22"/>
          <w:szCs w:val="22"/>
        </w:rPr>
        <w:t>or serem dimensões que tratam dos processos que definem as políticas, é preocupante que</w:t>
      </w:r>
      <w:r w:rsidR="009973D1" w:rsidRPr="0072678C">
        <w:rPr>
          <w:rFonts w:asciiTheme="minorHAnsi" w:hAnsiTheme="minorHAnsi" w:cstheme="minorHAnsi"/>
          <w:sz w:val="22"/>
          <w:szCs w:val="22"/>
        </w:rPr>
        <w:t xml:space="preserve"> as </w:t>
      </w:r>
      <w:r w:rsidRPr="0072678C">
        <w:rPr>
          <w:rFonts w:asciiTheme="minorHAnsi" w:hAnsiTheme="minorHAnsi" w:cstheme="minorHAnsi"/>
          <w:sz w:val="22"/>
          <w:szCs w:val="22"/>
        </w:rPr>
        <w:t xml:space="preserve">dimensões </w:t>
      </w:r>
      <w:r w:rsidR="009973D1" w:rsidRPr="0072678C">
        <w:rPr>
          <w:rFonts w:asciiTheme="minorHAnsi" w:hAnsiTheme="minorHAnsi" w:cstheme="minorHAnsi"/>
          <w:sz w:val="22"/>
          <w:szCs w:val="22"/>
        </w:rPr>
        <w:t xml:space="preserve">Governança Pública (GF 1) e Políticas e Gasto Tributário (AT 1) </w:t>
      </w:r>
      <w:r w:rsidRPr="0072678C">
        <w:rPr>
          <w:rFonts w:asciiTheme="minorHAnsi" w:hAnsiTheme="minorHAnsi" w:cstheme="minorHAnsi"/>
          <w:sz w:val="22"/>
          <w:szCs w:val="22"/>
        </w:rPr>
        <w:t xml:space="preserve">estejam em </w:t>
      </w:r>
      <w:r w:rsidR="002571BB" w:rsidRPr="0072678C">
        <w:rPr>
          <w:rFonts w:asciiTheme="minorHAnsi" w:hAnsiTheme="minorHAnsi" w:cstheme="minorHAnsi"/>
          <w:sz w:val="22"/>
          <w:szCs w:val="22"/>
        </w:rPr>
        <w:t xml:space="preserve">níveis </w:t>
      </w:r>
      <w:r w:rsidR="009973D1" w:rsidRPr="0072678C">
        <w:rPr>
          <w:rFonts w:asciiTheme="minorHAnsi" w:hAnsiTheme="minorHAnsi" w:cstheme="minorHAnsi"/>
          <w:sz w:val="22"/>
          <w:szCs w:val="22"/>
        </w:rPr>
        <w:t xml:space="preserve">intermediário de </w:t>
      </w:r>
      <w:r w:rsidR="002571BB" w:rsidRPr="0072678C">
        <w:rPr>
          <w:rFonts w:asciiTheme="minorHAnsi" w:hAnsiTheme="minorHAnsi" w:cstheme="minorHAnsi"/>
          <w:sz w:val="22"/>
          <w:szCs w:val="22"/>
        </w:rPr>
        <w:t>maturidade</w:t>
      </w:r>
      <w:r w:rsidRPr="0072678C">
        <w:rPr>
          <w:rFonts w:asciiTheme="minorHAnsi" w:hAnsiTheme="minorHAnsi" w:cstheme="minorHAnsi"/>
          <w:sz w:val="22"/>
          <w:szCs w:val="22"/>
        </w:rPr>
        <w:t xml:space="preserve">. </w:t>
      </w:r>
      <w:r w:rsidR="00A60971" w:rsidRPr="0072678C">
        <w:rPr>
          <w:rFonts w:asciiTheme="minorHAnsi" w:hAnsiTheme="minorHAnsi" w:cstheme="minorHAnsi"/>
          <w:sz w:val="22"/>
          <w:szCs w:val="22"/>
        </w:rPr>
        <w:t xml:space="preserve">Já a dimensão AF 1. </w:t>
      </w:r>
      <w:proofErr w:type="gramStart"/>
      <w:r w:rsidR="00A60971" w:rsidRPr="0072678C">
        <w:rPr>
          <w:rFonts w:asciiTheme="minorHAnsi" w:hAnsiTheme="minorHAnsi" w:cstheme="minorHAnsi"/>
          <w:sz w:val="22"/>
          <w:szCs w:val="22"/>
        </w:rPr>
        <w:t>Planejamento e Execução Orçamentária</w:t>
      </w:r>
      <w:proofErr w:type="gramEnd"/>
      <w:r w:rsidR="00A60971" w:rsidRPr="0072678C">
        <w:rPr>
          <w:rFonts w:asciiTheme="minorHAnsi" w:hAnsiTheme="minorHAnsi" w:cstheme="minorHAnsi"/>
          <w:sz w:val="22"/>
          <w:szCs w:val="22"/>
        </w:rPr>
        <w:t xml:space="preserve"> é menos preocupante por ter alcançado o primeiro estágio da escala de maturidade Avançado (-). </w:t>
      </w:r>
      <w:r w:rsidRPr="0072678C">
        <w:rPr>
          <w:rFonts w:asciiTheme="minorHAnsi" w:hAnsiTheme="minorHAnsi" w:cstheme="minorHAnsi"/>
          <w:sz w:val="22"/>
          <w:szCs w:val="22"/>
        </w:rPr>
        <w:t xml:space="preserve">Em função de terem caráter estruturante e definidor de estratégias, essas dimensões influenciam na maturidade dos demais processos. </w:t>
      </w:r>
    </w:p>
    <w:p w:rsidR="00222819" w:rsidRPr="0072678C" w:rsidRDefault="00222819" w:rsidP="00222819">
      <w:pPr>
        <w:spacing w:before="240" w:after="240"/>
        <w:jc w:val="both"/>
        <w:rPr>
          <w:rFonts w:asciiTheme="minorHAnsi" w:hAnsiTheme="minorHAnsi" w:cstheme="minorHAnsi"/>
          <w:sz w:val="22"/>
          <w:szCs w:val="22"/>
        </w:rPr>
      </w:pPr>
      <w:bookmarkStart w:id="7" w:name="_Toc489811570"/>
      <w:r w:rsidRPr="0072678C">
        <w:rPr>
          <w:rFonts w:asciiTheme="minorHAnsi" w:hAnsiTheme="minorHAnsi" w:cstheme="minorHAnsi"/>
          <w:sz w:val="22"/>
          <w:szCs w:val="22"/>
        </w:rPr>
        <w:t xml:space="preserve">Analisando os resultados obtidos nas dimensões que têm maior interação e visibilidade na sociedade, ou seja, as dimensões </w:t>
      </w:r>
      <w:r w:rsidR="00A60971" w:rsidRPr="0072678C">
        <w:rPr>
          <w:rFonts w:asciiTheme="minorHAnsi" w:hAnsiTheme="minorHAnsi" w:cstheme="minorHAnsi"/>
          <w:sz w:val="22"/>
          <w:szCs w:val="22"/>
        </w:rPr>
        <w:t xml:space="preserve">GF 6. </w:t>
      </w:r>
      <w:proofErr w:type="gramStart"/>
      <w:r w:rsidRPr="0072678C">
        <w:rPr>
          <w:rFonts w:asciiTheme="minorHAnsi" w:hAnsiTheme="minorHAnsi" w:cstheme="minorHAnsi"/>
          <w:sz w:val="22"/>
          <w:szCs w:val="22"/>
        </w:rPr>
        <w:t>Transparência e Cidadania Fiscal</w:t>
      </w:r>
      <w:proofErr w:type="gramEnd"/>
      <w:r w:rsidRPr="0072678C">
        <w:rPr>
          <w:rFonts w:asciiTheme="minorHAnsi" w:hAnsiTheme="minorHAnsi" w:cstheme="minorHAnsi"/>
          <w:sz w:val="22"/>
          <w:szCs w:val="22"/>
        </w:rPr>
        <w:t xml:space="preserve"> – </w:t>
      </w:r>
      <w:r w:rsidR="00A60971" w:rsidRPr="0072678C">
        <w:rPr>
          <w:rFonts w:asciiTheme="minorHAnsi" w:hAnsiTheme="minorHAnsi" w:cstheme="minorHAnsi"/>
          <w:b/>
          <w:sz w:val="22"/>
          <w:szCs w:val="22"/>
        </w:rPr>
        <w:t xml:space="preserve">Avançado </w:t>
      </w:r>
      <w:r w:rsidRPr="0072678C">
        <w:rPr>
          <w:rFonts w:asciiTheme="minorHAnsi" w:hAnsiTheme="minorHAnsi" w:cstheme="minorHAnsi"/>
          <w:b/>
          <w:sz w:val="22"/>
          <w:szCs w:val="22"/>
        </w:rPr>
        <w:t>(</w:t>
      </w:r>
      <w:r w:rsidR="00A60971" w:rsidRPr="0072678C">
        <w:rPr>
          <w:rFonts w:asciiTheme="minorHAnsi" w:hAnsiTheme="minorHAnsi" w:cstheme="minorHAnsi"/>
          <w:b/>
          <w:sz w:val="22"/>
          <w:szCs w:val="22"/>
        </w:rPr>
        <w:t>-</w:t>
      </w:r>
      <w:r w:rsidRPr="0072678C">
        <w:rPr>
          <w:rFonts w:asciiTheme="minorHAnsi" w:hAnsiTheme="minorHAnsi" w:cstheme="minorHAnsi"/>
          <w:b/>
          <w:sz w:val="22"/>
          <w:szCs w:val="22"/>
        </w:rPr>
        <w:t xml:space="preserve">), </w:t>
      </w:r>
      <w:r w:rsidR="00A60971" w:rsidRPr="0072678C">
        <w:rPr>
          <w:rFonts w:asciiTheme="minorHAnsi" w:hAnsiTheme="minorHAnsi" w:cstheme="minorHAnsi"/>
          <w:b/>
          <w:sz w:val="22"/>
          <w:szCs w:val="22"/>
        </w:rPr>
        <w:t xml:space="preserve">AT 4. </w:t>
      </w:r>
      <w:r w:rsidRPr="0072678C">
        <w:rPr>
          <w:rFonts w:asciiTheme="minorHAnsi" w:hAnsiTheme="minorHAnsi" w:cstheme="minorHAnsi"/>
          <w:sz w:val="22"/>
          <w:szCs w:val="22"/>
        </w:rPr>
        <w:t xml:space="preserve">Contencioso Fiscal – </w:t>
      </w:r>
      <w:r w:rsidR="00C00544" w:rsidRPr="0072678C">
        <w:rPr>
          <w:rFonts w:asciiTheme="minorHAnsi" w:hAnsiTheme="minorHAnsi" w:cstheme="minorHAnsi"/>
          <w:b/>
          <w:sz w:val="22"/>
          <w:szCs w:val="22"/>
        </w:rPr>
        <w:t>Intermediário (-)</w:t>
      </w:r>
      <w:r w:rsidRPr="0072678C">
        <w:rPr>
          <w:rFonts w:asciiTheme="minorHAnsi" w:hAnsiTheme="minorHAnsi" w:cstheme="minorHAnsi"/>
          <w:b/>
          <w:sz w:val="22"/>
          <w:szCs w:val="22"/>
        </w:rPr>
        <w:t>,</w:t>
      </w:r>
      <w:r w:rsidRPr="0072678C">
        <w:rPr>
          <w:rFonts w:asciiTheme="minorHAnsi" w:hAnsiTheme="minorHAnsi" w:cstheme="minorHAnsi"/>
          <w:sz w:val="22"/>
          <w:szCs w:val="22"/>
        </w:rPr>
        <w:t xml:space="preserve"> </w:t>
      </w:r>
      <w:r w:rsidR="003804A6" w:rsidRPr="0072678C">
        <w:rPr>
          <w:rFonts w:asciiTheme="minorHAnsi" w:hAnsiTheme="minorHAnsi" w:cstheme="minorHAnsi"/>
          <w:sz w:val="22"/>
          <w:szCs w:val="22"/>
        </w:rPr>
        <w:t xml:space="preserve">AT 5. </w:t>
      </w:r>
      <w:r w:rsidRPr="0072678C">
        <w:rPr>
          <w:rFonts w:asciiTheme="minorHAnsi" w:hAnsiTheme="minorHAnsi" w:cstheme="minorHAnsi"/>
          <w:sz w:val="22"/>
          <w:szCs w:val="22"/>
        </w:rPr>
        <w:t xml:space="preserve">Serviços ao Contribuinte – </w:t>
      </w:r>
      <w:r w:rsidR="003804A6" w:rsidRPr="0072678C">
        <w:rPr>
          <w:rFonts w:asciiTheme="minorHAnsi" w:hAnsiTheme="minorHAnsi" w:cstheme="minorHAnsi"/>
          <w:b/>
          <w:sz w:val="22"/>
          <w:szCs w:val="22"/>
        </w:rPr>
        <w:t>Intermediário (-)</w:t>
      </w:r>
      <w:r w:rsidRPr="0072678C">
        <w:rPr>
          <w:rFonts w:asciiTheme="minorHAnsi" w:hAnsiTheme="minorHAnsi" w:cstheme="minorHAnsi"/>
          <w:sz w:val="22"/>
          <w:szCs w:val="22"/>
        </w:rPr>
        <w:t xml:space="preserve">, </w:t>
      </w:r>
      <w:r w:rsidR="003804A6" w:rsidRPr="0072678C">
        <w:rPr>
          <w:rFonts w:asciiTheme="minorHAnsi" w:hAnsiTheme="minorHAnsi" w:cstheme="minorHAnsi"/>
          <w:sz w:val="22"/>
          <w:szCs w:val="22"/>
        </w:rPr>
        <w:t xml:space="preserve">AT 6. </w:t>
      </w:r>
      <w:r w:rsidRPr="0072678C">
        <w:rPr>
          <w:rFonts w:asciiTheme="minorHAnsi" w:hAnsiTheme="minorHAnsi" w:cstheme="minorHAnsi"/>
          <w:sz w:val="22"/>
          <w:szCs w:val="22"/>
        </w:rPr>
        <w:t xml:space="preserve">Cobrança e Arrecadação – </w:t>
      </w:r>
      <w:r w:rsidRPr="0072678C">
        <w:rPr>
          <w:rFonts w:asciiTheme="minorHAnsi" w:hAnsiTheme="minorHAnsi" w:cstheme="minorHAnsi"/>
          <w:b/>
          <w:sz w:val="22"/>
          <w:szCs w:val="22"/>
        </w:rPr>
        <w:t>Intermediário (-)</w:t>
      </w:r>
      <w:r w:rsidRPr="0072678C">
        <w:rPr>
          <w:rFonts w:asciiTheme="minorHAnsi" w:hAnsiTheme="minorHAnsi" w:cstheme="minorHAnsi"/>
          <w:sz w:val="22"/>
          <w:szCs w:val="22"/>
        </w:rPr>
        <w:t xml:space="preserve">, </w:t>
      </w:r>
      <w:r w:rsidR="003804A6" w:rsidRPr="0072678C">
        <w:rPr>
          <w:rFonts w:asciiTheme="minorHAnsi" w:hAnsiTheme="minorHAnsi" w:cstheme="minorHAnsi"/>
          <w:sz w:val="22"/>
          <w:szCs w:val="22"/>
        </w:rPr>
        <w:t xml:space="preserve">AF 5. </w:t>
      </w:r>
      <w:r w:rsidRPr="0072678C">
        <w:rPr>
          <w:rFonts w:asciiTheme="minorHAnsi" w:hAnsiTheme="minorHAnsi" w:cstheme="minorHAnsi"/>
          <w:sz w:val="22"/>
          <w:szCs w:val="22"/>
        </w:rPr>
        <w:t xml:space="preserve">Gestão da Dívida Pública – </w:t>
      </w:r>
      <w:r w:rsidR="003804A6" w:rsidRPr="0072678C">
        <w:rPr>
          <w:rFonts w:asciiTheme="minorHAnsi" w:hAnsiTheme="minorHAnsi" w:cstheme="minorHAnsi"/>
          <w:b/>
          <w:sz w:val="22"/>
          <w:szCs w:val="22"/>
        </w:rPr>
        <w:t xml:space="preserve">Intermediário </w:t>
      </w:r>
      <w:r w:rsidRPr="0072678C">
        <w:rPr>
          <w:rFonts w:asciiTheme="minorHAnsi" w:hAnsiTheme="minorHAnsi" w:cstheme="minorHAnsi"/>
          <w:b/>
          <w:sz w:val="22"/>
          <w:szCs w:val="22"/>
        </w:rPr>
        <w:t>(-)</w:t>
      </w:r>
      <w:r w:rsidRPr="0072678C">
        <w:rPr>
          <w:rFonts w:asciiTheme="minorHAnsi" w:hAnsiTheme="minorHAnsi" w:cstheme="minorHAnsi"/>
          <w:sz w:val="22"/>
          <w:szCs w:val="22"/>
        </w:rPr>
        <w:t xml:space="preserve"> e </w:t>
      </w:r>
      <w:r w:rsidR="003804A6" w:rsidRPr="0072678C">
        <w:rPr>
          <w:rFonts w:asciiTheme="minorHAnsi" w:hAnsiTheme="minorHAnsi" w:cstheme="minorHAnsi"/>
          <w:sz w:val="22"/>
          <w:szCs w:val="22"/>
        </w:rPr>
        <w:t xml:space="preserve">AF 6. </w:t>
      </w:r>
      <w:r w:rsidRPr="0072678C">
        <w:rPr>
          <w:rFonts w:asciiTheme="minorHAnsi" w:hAnsiTheme="minorHAnsi" w:cstheme="minorHAnsi"/>
          <w:sz w:val="22"/>
          <w:szCs w:val="22"/>
        </w:rPr>
        <w:t xml:space="preserve">Gestão de Custos e Gastos Públicos – </w:t>
      </w:r>
      <w:r w:rsidRPr="0072678C">
        <w:rPr>
          <w:rFonts w:asciiTheme="minorHAnsi" w:hAnsiTheme="minorHAnsi" w:cstheme="minorHAnsi"/>
          <w:b/>
          <w:sz w:val="22"/>
          <w:szCs w:val="22"/>
        </w:rPr>
        <w:t>Iniciante (-)</w:t>
      </w:r>
      <w:r w:rsidR="00DE6128" w:rsidRPr="0072678C">
        <w:rPr>
          <w:rFonts w:asciiTheme="minorHAnsi" w:hAnsiTheme="minorHAnsi" w:cstheme="minorHAnsi"/>
          <w:b/>
          <w:sz w:val="22"/>
          <w:szCs w:val="22"/>
        </w:rPr>
        <w:t xml:space="preserve"> </w:t>
      </w:r>
      <w:r w:rsidR="00DE6128" w:rsidRPr="0072678C">
        <w:rPr>
          <w:rFonts w:asciiTheme="minorHAnsi" w:hAnsiTheme="minorHAnsi" w:cstheme="minorHAnsi"/>
          <w:sz w:val="22"/>
          <w:szCs w:val="22"/>
        </w:rPr>
        <w:t>observa-se</w:t>
      </w:r>
      <w:r w:rsidR="00AE5AA8" w:rsidRPr="0072678C">
        <w:rPr>
          <w:rFonts w:asciiTheme="minorHAnsi" w:hAnsiTheme="minorHAnsi" w:cstheme="minorHAnsi"/>
          <w:sz w:val="22"/>
          <w:szCs w:val="22"/>
        </w:rPr>
        <w:t xml:space="preserve"> que o </w:t>
      </w:r>
      <w:r w:rsidRPr="0072678C">
        <w:rPr>
          <w:rFonts w:asciiTheme="minorHAnsi" w:hAnsiTheme="minorHAnsi" w:cstheme="minorHAnsi"/>
          <w:sz w:val="22"/>
          <w:szCs w:val="22"/>
        </w:rPr>
        <w:t xml:space="preserve">grau de maturidade </w:t>
      </w:r>
      <w:r w:rsidRPr="0072678C">
        <w:rPr>
          <w:rFonts w:asciiTheme="minorHAnsi" w:hAnsiTheme="minorHAnsi" w:cstheme="minorHAnsi"/>
          <w:sz w:val="22"/>
          <w:szCs w:val="22"/>
        </w:rPr>
        <w:lastRenderedPageBreak/>
        <w:t>diagnosticado nessas dimensões que tratam da relação com a socieda</w:t>
      </w:r>
      <w:r w:rsidR="003804A6" w:rsidRPr="0072678C">
        <w:rPr>
          <w:rFonts w:asciiTheme="minorHAnsi" w:hAnsiTheme="minorHAnsi" w:cstheme="minorHAnsi"/>
          <w:sz w:val="22"/>
          <w:szCs w:val="22"/>
        </w:rPr>
        <w:t>de também demonstra preocupação</w:t>
      </w:r>
      <w:r w:rsidRPr="0072678C">
        <w:rPr>
          <w:rFonts w:asciiTheme="minorHAnsi" w:hAnsiTheme="minorHAnsi" w:cstheme="minorHAnsi"/>
          <w:sz w:val="22"/>
          <w:szCs w:val="22"/>
        </w:rPr>
        <w:t>, visto que a efetividade estrutural da Administração Tributária tende a aumentar quando se adota, entre outras “boas práticas” a transparência institucional.</w:t>
      </w:r>
      <w:r w:rsidRPr="0072678C">
        <w:rPr>
          <w:rStyle w:val="FootnoteReference"/>
          <w:rFonts w:asciiTheme="minorHAnsi" w:hAnsiTheme="minorHAnsi" w:cstheme="minorHAnsi"/>
          <w:sz w:val="22"/>
          <w:szCs w:val="22"/>
        </w:rPr>
        <w:footnoteReference w:id="1"/>
      </w:r>
      <w:r w:rsidR="0067242A"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As modernas administrações fiscais também têm enfatizado a importância da relação com a cidadania, inclusive, sobre as possíveis ações tomadas pelos gestores e as consequências imediatas e de longo prazo das políticas previstas. </w:t>
      </w:r>
      <w:r w:rsidR="00DE6128" w:rsidRPr="0072678C">
        <w:rPr>
          <w:rFonts w:asciiTheme="minorHAnsi" w:hAnsiTheme="minorHAnsi" w:cstheme="minorHAnsi"/>
          <w:sz w:val="22"/>
          <w:szCs w:val="22"/>
        </w:rPr>
        <w:t>Apenas a dimens</w:t>
      </w:r>
      <w:r w:rsidR="00597CA4" w:rsidRPr="0072678C">
        <w:rPr>
          <w:rFonts w:asciiTheme="minorHAnsi" w:hAnsiTheme="minorHAnsi" w:cstheme="minorHAnsi"/>
          <w:sz w:val="22"/>
          <w:szCs w:val="22"/>
        </w:rPr>
        <w:t xml:space="preserve">ão </w:t>
      </w:r>
      <w:r w:rsidR="00DE6128" w:rsidRPr="0072678C">
        <w:rPr>
          <w:rFonts w:asciiTheme="minorHAnsi" w:hAnsiTheme="minorHAnsi" w:cstheme="minorHAnsi"/>
          <w:b/>
          <w:sz w:val="22"/>
          <w:szCs w:val="22"/>
        </w:rPr>
        <w:t>GF 6. Transparência e Cidadania Fiscal</w:t>
      </w:r>
      <w:r w:rsidR="00DE6128" w:rsidRPr="0072678C">
        <w:rPr>
          <w:rFonts w:asciiTheme="minorHAnsi" w:hAnsiTheme="minorHAnsi" w:cstheme="minorHAnsi"/>
          <w:sz w:val="22"/>
          <w:szCs w:val="22"/>
        </w:rPr>
        <w:t xml:space="preserve"> </w:t>
      </w:r>
      <w:r w:rsidR="00597CA4" w:rsidRPr="0072678C">
        <w:rPr>
          <w:rFonts w:asciiTheme="minorHAnsi" w:hAnsiTheme="minorHAnsi" w:cstheme="minorHAnsi"/>
          <w:sz w:val="22"/>
          <w:szCs w:val="22"/>
        </w:rPr>
        <w:t xml:space="preserve">e </w:t>
      </w:r>
      <w:r w:rsidR="00DE6128" w:rsidRPr="0072678C">
        <w:rPr>
          <w:rFonts w:asciiTheme="minorHAnsi" w:hAnsiTheme="minorHAnsi" w:cstheme="minorHAnsi"/>
          <w:sz w:val="22"/>
          <w:szCs w:val="22"/>
        </w:rPr>
        <w:t>encontra-se na escala d</w:t>
      </w:r>
      <w:r w:rsidR="00BB3C31" w:rsidRPr="0072678C">
        <w:rPr>
          <w:rFonts w:asciiTheme="minorHAnsi" w:hAnsiTheme="minorHAnsi" w:cstheme="minorHAnsi"/>
          <w:sz w:val="22"/>
          <w:szCs w:val="22"/>
        </w:rPr>
        <w:t>e</w:t>
      </w:r>
      <w:r w:rsidR="00DE6128" w:rsidRPr="0072678C">
        <w:rPr>
          <w:rFonts w:asciiTheme="minorHAnsi" w:hAnsiTheme="minorHAnsi" w:cstheme="minorHAnsi"/>
          <w:sz w:val="22"/>
          <w:szCs w:val="22"/>
        </w:rPr>
        <w:t xml:space="preserve"> maturidade Avançado enquanto que as outras estão no estágio de iniciante e intermediário.</w:t>
      </w:r>
    </w:p>
    <w:p w:rsidR="00222819" w:rsidRPr="0072678C" w:rsidRDefault="00222819" w:rsidP="00222819">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Com vistas a se obter um valor que possa ser associado à Maturidade de cada um dos 3 Eixos da gestão fiscal, considera-se a proporção entre o somatório dos níveis de Maturidade de cada um dos Processos críticos que compõem as dimensões do Eixo e o valor máximo possível de ser alcançado, qual seja, o produto obtido pela multiplicação do número de Processos do Eixo e o valor máximo do nível de Maturidade de cada Processo (3).</w:t>
      </w:r>
    </w:p>
    <w:p w:rsidR="00222819" w:rsidRPr="0072678C" w:rsidRDefault="00222819" w:rsidP="00222819">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Os resultados obtidos da aplicação da MD-GEFIS no estado d</w:t>
      </w:r>
      <w:r w:rsidR="00BB3C31" w:rsidRPr="0072678C">
        <w:rPr>
          <w:rFonts w:asciiTheme="minorHAnsi" w:hAnsiTheme="minorHAnsi" w:cstheme="minorHAnsi"/>
          <w:sz w:val="22"/>
          <w:szCs w:val="22"/>
        </w:rPr>
        <w:t xml:space="preserve">e São Paulo </w:t>
      </w:r>
      <w:r w:rsidR="0067242A" w:rsidRPr="0072678C">
        <w:rPr>
          <w:rFonts w:asciiTheme="minorHAnsi" w:hAnsiTheme="minorHAnsi" w:cstheme="minorHAnsi"/>
          <w:sz w:val="22"/>
          <w:szCs w:val="22"/>
        </w:rPr>
        <w:t>estão</w:t>
      </w:r>
      <w:r w:rsidR="004B3816" w:rsidRPr="0072678C">
        <w:rPr>
          <w:rFonts w:asciiTheme="minorHAnsi" w:hAnsiTheme="minorHAnsi" w:cstheme="minorHAnsi"/>
          <w:sz w:val="22"/>
          <w:szCs w:val="22"/>
        </w:rPr>
        <w:t xml:space="preserve"> apresentados no</w:t>
      </w:r>
      <w:r w:rsidRPr="0072678C">
        <w:rPr>
          <w:rFonts w:asciiTheme="minorHAnsi" w:hAnsiTheme="minorHAnsi" w:cstheme="minorHAnsi"/>
          <w:sz w:val="22"/>
          <w:szCs w:val="22"/>
        </w:rPr>
        <w:t xml:space="preserve"> </w:t>
      </w:r>
      <w:r w:rsidRPr="0072678C">
        <w:rPr>
          <w:rFonts w:asciiTheme="minorHAnsi" w:hAnsiTheme="minorHAnsi" w:cstheme="minorHAnsi"/>
          <w:b/>
          <w:sz w:val="22"/>
          <w:szCs w:val="22"/>
        </w:rPr>
        <w:t xml:space="preserve">Quadro </w:t>
      </w:r>
      <w:r w:rsidR="003B190F" w:rsidRPr="0072678C">
        <w:rPr>
          <w:rFonts w:asciiTheme="minorHAnsi" w:hAnsiTheme="minorHAnsi" w:cstheme="minorHAnsi"/>
          <w:b/>
          <w:sz w:val="22"/>
          <w:szCs w:val="22"/>
        </w:rPr>
        <w:t>1</w:t>
      </w:r>
      <w:r w:rsidRPr="0072678C">
        <w:rPr>
          <w:rFonts w:asciiTheme="minorHAnsi" w:hAnsiTheme="minorHAnsi" w:cstheme="minorHAnsi"/>
          <w:sz w:val="22"/>
          <w:szCs w:val="22"/>
        </w:rPr>
        <w:t>, a seguir:</w:t>
      </w:r>
    </w:p>
    <w:p w:rsidR="00222819" w:rsidRPr="0072678C" w:rsidRDefault="00222819" w:rsidP="00222819">
      <w:pPr>
        <w:spacing w:before="240" w:after="60"/>
        <w:ind w:left="567"/>
        <w:jc w:val="center"/>
        <w:rPr>
          <w:rFonts w:asciiTheme="minorHAnsi" w:hAnsiTheme="minorHAnsi" w:cstheme="minorHAnsi"/>
          <w:bCs/>
          <w:sz w:val="22"/>
          <w:szCs w:val="22"/>
        </w:rPr>
      </w:pPr>
      <w:r w:rsidRPr="0072678C">
        <w:rPr>
          <w:rFonts w:asciiTheme="minorHAnsi" w:hAnsiTheme="minorHAnsi" w:cstheme="minorHAnsi"/>
          <w:b/>
          <w:bCs/>
          <w:sz w:val="22"/>
          <w:szCs w:val="22"/>
        </w:rPr>
        <w:t xml:space="preserve">Quadro </w:t>
      </w:r>
      <w:r w:rsidR="00F821D2" w:rsidRPr="0072678C">
        <w:rPr>
          <w:rFonts w:asciiTheme="minorHAnsi" w:hAnsiTheme="minorHAnsi" w:cstheme="minorHAnsi"/>
          <w:b/>
          <w:bCs/>
          <w:sz w:val="22"/>
          <w:szCs w:val="22"/>
        </w:rPr>
        <w:t>1</w:t>
      </w:r>
      <w:r w:rsidRPr="0072678C">
        <w:rPr>
          <w:rFonts w:asciiTheme="minorHAnsi" w:hAnsiTheme="minorHAnsi" w:cstheme="minorHAnsi"/>
          <w:b/>
          <w:bCs/>
          <w:sz w:val="22"/>
          <w:szCs w:val="22"/>
        </w:rPr>
        <w:t>-</w:t>
      </w:r>
      <w:r w:rsidRPr="0072678C">
        <w:rPr>
          <w:rFonts w:asciiTheme="minorHAnsi" w:hAnsiTheme="minorHAnsi" w:cstheme="minorHAnsi"/>
          <w:bCs/>
          <w:sz w:val="22"/>
          <w:szCs w:val="22"/>
        </w:rPr>
        <w:t xml:space="preserve"> Resultados da aplicação da MD-GEFIS no estado d</w:t>
      </w:r>
      <w:r w:rsidR="00BB3C31" w:rsidRPr="0072678C">
        <w:rPr>
          <w:rFonts w:asciiTheme="minorHAnsi" w:hAnsiTheme="minorHAnsi" w:cstheme="minorHAnsi"/>
          <w:bCs/>
          <w:sz w:val="22"/>
          <w:szCs w:val="22"/>
        </w:rPr>
        <w:t>e São Paulo</w:t>
      </w:r>
    </w:p>
    <w:tbl>
      <w:tblPr>
        <w:tblStyle w:val="TableGrid"/>
        <w:tblW w:w="0" w:type="auto"/>
        <w:tblInd w:w="108" w:type="dxa"/>
        <w:tblLook w:val="04A0" w:firstRow="1" w:lastRow="0" w:firstColumn="1" w:lastColumn="0" w:noHBand="0" w:noVBand="1"/>
      </w:tblPr>
      <w:tblGrid>
        <w:gridCol w:w="5046"/>
        <w:gridCol w:w="1188"/>
        <w:gridCol w:w="1189"/>
        <w:gridCol w:w="1189"/>
      </w:tblGrid>
      <w:tr w:rsidR="00222819" w:rsidRPr="0072678C" w:rsidTr="008C6E71">
        <w:tc>
          <w:tcPr>
            <w:tcW w:w="5046" w:type="dxa"/>
            <w:shd w:val="clear" w:color="auto" w:fill="D5DCE4" w:themeFill="text2" w:themeFillTint="33"/>
            <w:vAlign w:val="center"/>
          </w:tcPr>
          <w:p w:rsidR="00222819" w:rsidRPr="0072678C" w:rsidRDefault="00222819" w:rsidP="008C6E71">
            <w:pPr>
              <w:jc w:val="center"/>
              <w:rPr>
                <w:rFonts w:asciiTheme="minorHAnsi" w:hAnsiTheme="minorHAnsi" w:cstheme="minorHAnsi"/>
                <w:b/>
                <w:sz w:val="20"/>
                <w:szCs w:val="20"/>
              </w:rPr>
            </w:pPr>
            <w:r w:rsidRPr="0072678C">
              <w:rPr>
                <w:rFonts w:asciiTheme="minorHAnsi" w:hAnsiTheme="minorHAnsi" w:cstheme="minorHAnsi"/>
                <w:b/>
                <w:sz w:val="20"/>
                <w:szCs w:val="20"/>
              </w:rPr>
              <w:t>Eixo</w:t>
            </w:r>
          </w:p>
        </w:tc>
        <w:tc>
          <w:tcPr>
            <w:tcW w:w="1188" w:type="dxa"/>
            <w:shd w:val="clear" w:color="auto" w:fill="D5DCE4" w:themeFill="text2" w:themeFillTint="33"/>
            <w:vAlign w:val="center"/>
          </w:tcPr>
          <w:p w:rsidR="00222819" w:rsidRPr="0072678C" w:rsidRDefault="00222819" w:rsidP="008C6E71">
            <w:pPr>
              <w:jc w:val="center"/>
              <w:rPr>
                <w:rFonts w:asciiTheme="minorHAnsi" w:hAnsiTheme="minorHAnsi" w:cstheme="minorHAnsi"/>
                <w:b/>
                <w:sz w:val="20"/>
                <w:szCs w:val="20"/>
              </w:rPr>
            </w:pPr>
            <w:r w:rsidRPr="0072678C">
              <w:rPr>
                <w:rFonts w:asciiTheme="minorHAnsi" w:hAnsiTheme="minorHAnsi" w:cstheme="minorHAnsi"/>
                <w:b/>
                <w:sz w:val="20"/>
                <w:szCs w:val="20"/>
              </w:rPr>
              <w:t>Pontuação máxima</w:t>
            </w:r>
          </w:p>
        </w:tc>
        <w:tc>
          <w:tcPr>
            <w:tcW w:w="1189" w:type="dxa"/>
            <w:shd w:val="clear" w:color="auto" w:fill="D5DCE4" w:themeFill="text2" w:themeFillTint="33"/>
            <w:vAlign w:val="center"/>
          </w:tcPr>
          <w:p w:rsidR="00222819" w:rsidRPr="0072678C" w:rsidRDefault="00222819" w:rsidP="008C6E71">
            <w:pPr>
              <w:jc w:val="center"/>
              <w:rPr>
                <w:rFonts w:asciiTheme="minorHAnsi" w:hAnsiTheme="minorHAnsi" w:cstheme="minorHAnsi"/>
                <w:b/>
                <w:sz w:val="20"/>
                <w:szCs w:val="20"/>
              </w:rPr>
            </w:pPr>
            <w:r w:rsidRPr="0072678C">
              <w:rPr>
                <w:rFonts w:asciiTheme="minorHAnsi" w:hAnsiTheme="minorHAnsi" w:cstheme="minorHAnsi"/>
                <w:b/>
                <w:sz w:val="20"/>
                <w:szCs w:val="20"/>
              </w:rPr>
              <w:t>Pontuação obtida</w:t>
            </w:r>
          </w:p>
        </w:tc>
        <w:tc>
          <w:tcPr>
            <w:tcW w:w="1189" w:type="dxa"/>
            <w:shd w:val="clear" w:color="auto" w:fill="D5DCE4" w:themeFill="text2" w:themeFillTint="33"/>
            <w:vAlign w:val="center"/>
          </w:tcPr>
          <w:p w:rsidR="00222819" w:rsidRPr="0072678C" w:rsidRDefault="00222819" w:rsidP="008C6E71">
            <w:pPr>
              <w:jc w:val="center"/>
              <w:rPr>
                <w:rFonts w:asciiTheme="minorHAnsi" w:hAnsiTheme="minorHAnsi" w:cstheme="minorHAnsi"/>
                <w:b/>
                <w:sz w:val="20"/>
                <w:szCs w:val="20"/>
              </w:rPr>
            </w:pPr>
            <w:r w:rsidRPr="0072678C">
              <w:rPr>
                <w:rFonts w:asciiTheme="minorHAnsi" w:hAnsiTheme="minorHAnsi" w:cstheme="minorHAnsi"/>
                <w:b/>
                <w:sz w:val="20"/>
                <w:szCs w:val="20"/>
              </w:rPr>
              <w:t>Proporção</w:t>
            </w:r>
          </w:p>
          <w:p w:rsidR="00CE2BD6" w:rsidRPr="0072678C" w:rsidRDefault="00CE2BD6" w:rsidP="008C6E71">
            <w:pPr>
              <w:jc w:val="center"/>
              <w:rPr>
                <w:rFonts w:asciiTheme="minorHAnsi" w:hAnsiTheme="minorHAnsi" w:cstheme="minorHAnsi"/>
                <w:b/>
                <w:sz w:val="20"/>
                <w:szCs w:val="20"/>
              </w:rPr>
            </w:pPr>
            <w:r w:rsidRPr="0072678C">
              <w:rPr>
                <w:rFonts w:asciiTheme="minorHAnsi" w:hAnsiTheme="minorHAnsi" w:cstheme="minorHAnsi"/>
                <w:b/>
                <w:sz w:val="20"/>
                <w:szCs w:val="20"/>
              </w:rPr>
              <w:t>%</w:t>
            </w:r>
          </w:p>
        </w:tc>
      </w:tr>
      <w:tr w:rsidR="00BA7AD8" w:rsidRPr="0072678C" w:rsidTr="008C6E71">
        <w:tc>
          <w:tcPr>
            <w:tcW w:w="5046" w:type="dxa"/>
            <w:vAlign w:val="center"/>
          </w:tcPr>
          <w:p w:rsidR="00BA7AD8" w:rsidRPr="0072678C" w:rsidRDefault="00BA7AD8" w:rsidP="008C6E71">
            <w:pPr>
              <w:rPr>
                <w:rFonts w:asciiTheme="minorHAnsi" w:hAnsiTheme="minorHAnsi" w:cstheme="minorHAnsi"/>
                <w:sz w:val="20"/>
                <w:szCs w:val="20"/>
              </w:rPr>
            </w:pPr>
            <w:r w:rsidRPr="0072678C">
              <w:rPr>
                <w:rFonts w:asciiTheme="minorHAnsi" w:hAnsiTheme="minorHAnsi" w:cstheme="minorHAnsi"/>
                <w:sz w:val="20"/>
                <w:szCs w:val="20"/>
              </w:rPr>
              <w:t>I- Gestão Fazendária e Transparência Fiscal (GF)</w:t>
            </w:r>
          </w:p>
        </w:tc>
        <w:tc>
          <w:tcPr>
            <w:tcW w:w="1188" w:type="dxa"/>
            <w:vAlign w:val="center"/>
          </w:tcPr>
          <w:p w:rsidR="00BA7AD8" w:rsidRPr="0072678C" w:rsidRDefault="00BA7AD8" w:rsidP="008C6E71">
            <w:pPr>
              <w:jc w:val="center"/>
              <w:rPr>
                <w:rFonts w:asciiTheme="minorHAnsi" w:hAnsiTheme="minorHAnsi" w:cstheme="minorHAnsi"/>
                <w:sz w:val="20"/>
                <w:szCs w:val="20"/>
              </w:rPr>
            </w:pPr>
            <w:r w:rsidRPr="0072678C">
              <w:rPr>
                <w:rFonts w:asciiTheme="minorHAnsi" w:hAnsiTheme="minorHAnsi" w:cstheme="minorHAnsi"/>
                <w:sz w:val="20"/>
                <w:szCs w:val="20"/>
              </w:rPr>
              <w:t>165</w:t>
            </w:r>
          </w:p>
        </w:tc>
        <w:tc>
          <w:tcPr>
            <w:tcW w:w="1189" w:type="dxa"/>
            <w:vAlign w:val="center"/>
          </w:tcPr>
          <w:p w:rsidR="00BA7AD8" w:rsidRPr="0072678C" w:rsidRDefault="00BA7AD8" w:rsidP="008C6E71">
            <w:pPr>
              <w:jc w:val="center"/>
              <w:rPr>
                <w:rFonts w:asciiTheme="minorHAnsi" w:hAnsiTheme="minorHAnsi" w:cstheme="minorHAnsi"/>
                <w:sz w:val="20"/>
                <w:szCs w:val="20"/>
              </w:rPr>
            </w:pPr>
            <w:r w:rsidRPr="0072678C">
              <w:rPr>
                <w:rFonts w:asciiTheme="minorHAnsi" w:hAnsiTheme="minorHAnsi" w:cstheme="minorHAnsi"/>
                <w:sz w:val="20"/>
                <w:szCs w:val="20"/>
              </w:rPr>
              <w:t>101</w:t>
            </w:r>
          </w:p>
        </w:tc>
        <w:tc>
          <w:tcPr>
            <w:tcW w:w="1189" w:type="dxa"/>
            <w:shd w:val="clear" w:color="auto" w:fill="auto"/>
            <w:vAlign w:val="bottom"/>
          </w:tcPr>
          <w:p w:rsidR="00BA7AD8" w:rsidRPr="0072678C" w:rsidRDefault="00BA7AD8">
            <w:pPr>
              <w:jc w:val="center"/>
              <w:rPr>
                <w:rFonts w:ascii="Calibri" w:hAnsi="Calibri" w:cs="Calibri"/>
                <w:sz w:val="20"/>
                <w:szCs w:val="20"/>
              </w:rPr>
            </w:pPr>
            <w:r w:rsidRPr="0072678C">
              <w:rPr>
                <w:rFonts w:ascii="Calibri" w:hAnsi="Calibri" w:cs="Calibri"/>
                <w:sz w:val="20"/>
                <w:szCs w:val="20"/>
              </w:rPr>
              <w:t>61%</w:t>
            </w:r>
          </w:p>
        </w:tc>
      </w:tr>
      <w:tr w:rsidR="00BA7AD8" w:rsidRPr="0072678C" w:rsidTr="008C6E71">
        <w:tc>
          <w:tcPr>
            <w:tcW w:w="5046" w:type="dxa"/>
            <w:vAlign w:val="center"/>
          </w:tcPr>
          <w:p w:rsidR="00BA7AD8" w:rsidRPr="0072678C" w:rsidRDefault="00BA7AD8" w:rsidP="008C6E71">
            <w:pPr>
              <w:rPr>
                <w:rFonts w:asciiTheme="minorHAnsi" w:hAnsiTheme="minorHAnsi" w:cstheme="minorHAnsi"/>
                <w:sz w:val="20"/>
                <w:szCs w:val="20"/>
              </w:rPr>
            </w:pPr>
            <w:r w:rsidRPr="0072678C">
              <w:rPr>
                <w:rFonts w:asciiTheme="minorHAnsi" w:hAnsiTheme="minorHAnsi" w:cstheme="minorHAnsi"/>
                <w:sz w:val="20"/>
                <w:szCs w:val="20"/>
              </w:rPr>
              <w:t>II- Administração Tributária e Contencioso Fiscal (AT)</w:t>
            </w:r>
          </w:p>
        </w:tc>
        <w:tc>
          <w:tcPr>
            <w:tcW w:w="1188" w:type="dxa"/>
            <w:vAlign w:val="center"/>
          </w:tcPr>
          <w:p w:rsidR="00BA7AD8" w:rsidRPr="0072678C" w:rsidRDefault="00BA7AD8" w:rsidP="008C6E71">
            <w:pPr>
              <w:jc w:val="center"/>
              <w:rPr>
                <w:rFonts w:asciiTheme="minorHAnsi" w:hAnsiTheme="minorHAnsi" w:cstheme="minorHAnsi"/>
                <w:sz w:val="20"/>
                <w:szCs w:val="20"/>
              </w:rPr>
            </w:pPr>
            <w:r w:rsidRPr="0072678C">
              <w:rPr>
                <w:rFonts w:asciiTheme="minorHAnsi" w:hAnsiTheme="minorHAnsi" w:cstheme="minorHAnsi"/>
                <w:sz w:val="20"/>
                <w:szCs w:val="20"/>
              </w:rPr>
              <w:t>117</w:t>
            </w:r>
            <w:r w:rsidR="003677BC" w:rsidRPr="0072678C">
              <w:rPr>
                <w:rFonts w:asciiTheme="minorHAnsi" w:hAnsiTheme="minorHAnsi" w:cstheme="minorHAnsi"/>
                <w:sz w:val="20"/>
                <w:szCs w:val="20"/>
              </w:rPr>
              <w:fldChar w:fldCharType="begin"/>
            </w:r>
            <w:r w:rsidRPr="0072678C">
              <w:rPr>
                <w:rFonts w:asciiTheme="minorHAnsi" w:hAnsiTheme="minorHAnsi" w:cstheme="minorHAnsi"/>
                <w:sz w:val="20"/>
                <w:szCs w:val="20"/>
              </w:rPr>
              <w:instrText xml:space="preserve"> =SUM(ABOVE) </w:instrText>
            </w:r>
            <w:r w:rsidR="003677BC" w:rsidRPr="0072678C">
              <w:rPr>
                <w:rFonts w:asciiTheme="minorHAnsi" w:hAnsiTheme="minorHAnsi" w:cstheme="minorHAnsi"/>
                <w:sz w:val="20"/>
                <w:szCs w:val="20"/>
              </w:rPr>
              <w:fldChar w:fldCharType="end"/>
            </w:r>
          </w:p>
        </w:tc>
        <w:tc>
          <w:tcPr>
            <w:tcW w:w="1189" w:type="dxa"/>
            <w:vAlign w:val="center"/>
          </w:tcPr>
          <w:p w:rsidR="00BA7AD8" w:rsidRPr="0072678C" w:rsidRDefault="00BA7AD8" w:rsidP="008C6E71">
            <w:pPr>
              <w:jc w:val="center"/>
              <w:rPr>
                <w:rFonts w:asciiTheme="minorHAnsi" w:hAnsiTheme="minorHAnsi" w:cstheme="minorHAnsi"/>
                <w:sz w:val="20"/>
                <w:szCs w:val="20"/>
              </w:rPr>
            </w:pPr>
            <w:r w:rsidRPr="0072678C">
              <w:rPr>
                <w:rFonts w:asciiTheme="minorHAnsi" w:hAnsiTheme="minorHAnsi" w:cstheme="minorHAnsi"/>
                <w:sz w:val="20"/>
                <w:szCs w:val="20"/>
              </w:rPr>
              <w:t>77</w:t>
            </w:r>
          </w:p>
        </w:tc>
        <w:tc>
          <w:tcPr>
            <w:tcW w:w="1189" w:type="dxa"/>
            <w:shd w:val="clear" w:color="auto" w:fill="auto"/>
            <w:vAlign w:val="bottom"/>
          </w:tcPr>
          <w:p w:rsidR="00BA7AD8" w:rsidRPr="0072678C" w:rsidRDefault="00BA7AD8">
            <w:pPr>
              <w:jc w:val="center"/>
              <w:rPr>
                <w:rFonts w:ascii="Calibri" w:hAnsi="Calibri" w:cs="Calibri"/>
                <w:sz w:val="20"/>
                <w:szCs w:val="20"/>
              </w:rPr>
            </w:pPr>
            <w:r w:rsidRPr="0072678C">
              <w:rPr>
                <w:rFonts w:ascii="Calibri" w:hAnsi="Calibri" w:cs="Calibri"/>
                <w:sz w:val="20"/>
                <w:szCs w:val="20"/>
              </w:rPr>
              <w:t>66%</w:t>
            </w:r>
          </w:p>
        </w:tc>
      </w:tr>
      <w:tr w:rsidR="00BA7AD8" w:rsidRPr="0072678C" w:rsidTr="008C6E71">
        <w:tc>
          <w:tcPr>
            <w:tcW w:w="5046" w:type="dxa"/>
            <w:vAlign w:val="center"/>
          </w:tcPr>
          <w:p w:rsidR="00BA7AD8" w:rsidRPr="0072678C" w:rsidRDefault="00BA7AD8" w:rsidP="008C6E71">
            <w:pPr>
              <w:rPr>
                <w:rFonts w:asciiTheme="minorHAnsi" w:hAnsiTheme="minorHAnsi" w:cstheme="minorHAnsi"/>
                <w:sz w:val="20"/>
                <w:szCs w:val="20"/>
              </w:rPr>
            </w:pPr>
            <w:r w:rsidRPr="0072678C">
              <w:rPr>
                <w:rFonts w:asciiTheme="minorHAnsi" w:hAnsiTheme="minorHAnsi" w:cstheme="minorHAnsi"/>
                <w:sz w:val="20"/>
                <w:szCs w:val="20"/>
              </w:rPr>
              <w:t>III- Administração Financeira e Gasto Público (AF)</w:t>
            </w:r>
          </w:p>
        </w:tc>
        <w:tc>
          <w:tcPr>
            <w:tcW w:w="1188" w:type="dxa"/>
            <w:vAlign w:val="center"/>
          </w:tcPr>
          <w:p w:rsidR="00BA7AD8" w:rsidRPr="0072678C" w:rsidRDefault="00BA7AD8" w:rsidP="008C6E71">
            <w:pPr>
              <w:jc w:val="center"/>
              <w:rPr>
                <w:rFonts w:asciiTheme="minorHAnsi" w:hAnsiTheme="minorHAnsi" w:cstheme="minorHAnsi"/>
                <w:sz w:val="20"/>
                <w:szCs w:val="20"/>
              </w:rPr>
            </w:pPr>
            <w:r w:rsidRPr="0072678C">
              <w:rPr>
                <w:rFonts w:asciiTheme="minorHAnsi" w:hAnsiTheme="minorHAnsi" w:cstheme="minorHAnsi"/>
                <w:sz w:val="20"/>
                <w:szCs w:val="20"/>
              </w:rPr>
              <w:t>147</w:t>
            </w:r>
          </w:p>
        </w:tc>
        <w:tc>
          <w:tcPr>
            <w:tcW w:w="1189" w:type="dxa"/>
            <w:vAlign w:val="center"/>
          </w:tcPr>
          <w:p w:rsidR="00BA7AD8" w:rsidRPr="0072678C" w:rsidRDefault="00BA7AD8" w:rsidP="008C6E71">
            <w:pPr>
              <w:jc w:val="center"/>
              <w:rPr>
                <w:rFonts w:asciiTheme="minorHAnsi" w:hAnsiTheme="minorHAnsi" w:cstheme="minorHAnsi"/>
                <w:sz w:val="20"/>
                <w:szCs w:val="20"/>
              </w:rPr>
            </w:pPr>
            <w:r w:rsidRPr="0072678C">
              <w:rPr>
                <w:rFonts w:asciiTheme="minorHAnsi" w:hAnsiTheme="minorHAnsi" w:cstheme="minorHAnsi"/>
                <w:sz w:val="20"/>
                <w:szCs w:val="20"/>
              </w:rPr>
              <w:t>84</w:t>
            </w:r>
          </w:p>
        </w:tc>
        <w:tc>
          <w:tcPr>
            <w:tcW w:w="1189" w:type="dxa"/>
            <w:shd w:val="clear" w:color="auto" w:fill="auto"/>
            <w:vAlign w:val="bottom"/>
          </w:tcPr>
          <w:p w:rsidR="00BA7AD8" w:rsidRPr="0072678C" w:rsidRDefault="00BA7AD8">
            <w:pPr>
              <w:jc w:val="center"/>
              <w:rPr>
                <w:rFonts w:ascii="Calibri" w:hAnsi="Calibri" w:cs="Calibri"/>
                <w:sz w:val="20"/>
                <w:szCs w:val="20"/>
              </w:rPr>
            </w:pPr>
            <w:r w:rsidRPr="0072678C">
              <w:rPr>
                <w:rFonts w:ascii="Calibri" w:hAnsi="Calibri" w:cs="Calibri"/>
                <w:sz w:val="20"/>
                <w:szCs w:val="20"/>
              </w:rPr>
              <w:t>57%</w:t>
            </w:r>
          </w:p>
        </w:tc>
      </w:tr>
      <w:tr w:rsidR="00BA7AD8" w:rsidRPr="0072678C" w:rsidTr="008C6E71">
        <w:tc>
          <w:tcPr>
            <w:tcW w:w="5046" w:type="dxa"/>
            <w:vAlign w:val="center"/>
          </w:tcPr>
          <w:p w:rsidR="00BA7AD8" w:rsidRPr="0072678C" w:rsidRDefault="00BA7AD8" w:rsidP="008C6E71">
            <w:pPr>
              <w:jc w:val="center"/>
              <w:rPr>
                <w:rFonts w:asciiTheme="minorHAnsi" w:hAnsiTheme="minorHAnsi" w:cstheme="minorHAnsi"/>
                <w:b/>
                <w:sz w:val="20"/>
                <w:szCs w:val="20"/>
              </w:rPr>
            </w:pPr>
            <w:r w:rsidRPr="0072678C">
              <w:rPr>
                <w:rFonts w:asciiTheme="minorHAnsi" w:hAnsiTheme="minorHAnsi" w:cstheme="minorHAnsi"/>
                <w:b/>
                <w:sz w:val="20"/>
                <w:szCs w:val="20"/>
              </w:rPr>
              <w:t>Total</w:t>
            </w:r>
          </w:p>
        </w:tc>
        <w:tc>
          <w:tcPr>
            <w:tcW w:w="1188" w:type="dxa"/>
            <w:vAlign w:val="center"/>
          </w:tcPr>
          <w:p w:rsidR="00BA7AD8" w:rsidRPr="0072678C" w:rsidRDefault="00BA7AD8" w:rsidP="008C6E71">
            <w:pPr>
              <w:jc w:val="center"/>
              <w:rPr>
                <w:rFonts w:asciiTheme="minorHAnsi" w:hAnsiTheme="minorHAnsi" w:cstheme="minorHAnsi"/>
                <w:b/>
                <w:sz w:val="20"/>
                <w:szCs w:val="20"/>
              </w:rPr>
            </w:pPr>
            <w:r w:rsidRPr="0072678C">
              <w:rPr>
                <w:rFonts w:asciiTheme="minorHAnsi" w:hAnsiTheme="minorHAnsi" w:cstheme="minorHAnsi"/>
                <w:b/>
                <w:sz w:val="20"/>
                <w:szCs w:val="20"/>
              </w:rPr>
              <w:t>429</w:t>
            </w:r>
          </w:p>
        </w:tc>
        <w:tc>
          <w:tcPr>
            <w:tcW w:w="1189" w:type="dxa"/>
            <w:vAlign w:val="center"/>
          </w:tcPr>
          <w:p w:rsidR="00BA7AD8" w:rsidRPr="0072678C" w:rsidRDefault="00BA7AD8" w:rsidP="008C6E71">
            <w:pPr>
              <w:jc w:val="center"/>
              <w:rPr>
                <w:rFonts w:asciiTheme="minorHAnsi" w:hAnsiTheme="minorHAnsi" w:cstheme="minorHAnsi"/>
                <w:b/>
                <w:sz w:val="20"/>
                <w:szCs w:val="20"/>
              </w:rPr>
            </w:pPr>
            <w:r w:rsidRPr="0072678C">
              <w:rPr>
                <w:rFonts w:asciiTheme="minorHAnsi" w:hAnsiTheme="minorHAnsi" w:cstheme="minorHAnsi"/>
                <w:b/>
                <w:sz w:val="20"/>
                <w:szCs w:val="20"/>
              </w:rPr>
              <w:t>262</w:t>
            </w:r>
          </w:p>
        </w:tc>
        <w:tc>
          <w:tcPr>
            <w:tcW w:w="1189" w:type="dxa"/>
            <w:shd w:val="clear" w:color="auto" w:fill="auto"/>
            <w:vAlign w:val="bottom"/>
          </w:tcPr>
          <w:p w:rsidR="00BA7AD8" w:rsidRPr="0072678C" w:rsidRDefault="00BA7AD8">
            <w:pPr>
              <w:jc w:val="center"/>
              <w:rPr>
                <w:rFonts w:ascii="Calibri" w:hAnsi="Calibri" w:cs="Calibri"/>
                <w:b/>
                <w:sz w:val="20"/>
                <w:szCs w:val="20"/>
              </w:rPr>
            </w:pPr>
            <w:r w:rsidRPr="0072678C">
              <w:rPr>
                <w:rFonts w:ascii="Calibri" w:hAnsi="Calibri" w:cs="Calibri"/>
                <w:b/>
                <w:sz w:val="20"/>
                <w:szCs w:val="20"/>
              </w:rPr>
              <w:t>61%</w:t>
            </w:r>
          </w:p>
        </w:tc>
      </w:tr>
    </w:tbl>
    <w:p w:rsidR="00222819" w:rsidRPr="0072678C" w:rsidRDefault="00222819" w:rsidP="00222819">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Os resultados apresentados no Quadro </w:t>
      </w:r>
      <w:r w:rsidR="00F821D2" w:rsidRPr="0072678C">
        <w:rPr>
          <w:rFonts w:asciiTheme="minorHAnsi" w:hAnsiTheme="minorHAnsi" w:cstheme="minorHAnsi"/>
          <w:sz w:val="22"/>
          <w:szCs w:val="22"/>
        </w:rPr>
        <w:t>1</w:t>
      </w:r>
      <w:r w:rsidRPr="0072678C">
        <w:rPr>
          <w:rFonts w:asciiTheme="minorHAnsi" w:hAnsiTheme="minorHAnsi" w:cstheme="minorHAnsi"/>
          <w:sz w:val="22"/>
          <w:szCs w:val="22"/>
        </w:rPr>
        <w:t xml:space="preserve"> permitem concluir que os Processos críticos </w:t>
      </w:r>
      <w:r w:rsidR="00AC274A" w:rsidRPr="0072678C">
        <w:rPr>
          <w:rFonts w:asciiTheme="minorHAnsi" w:hAnsiTheme="minorHAnsi" w:cstheme="minorHAnsi"/>
          <w:sz w:val="22"/>
          <w:szCs w:val="22"/>
        </w:rPr>
        <w:t xml:space="preserve">que melhor </w:t>
      </w:r>
      <w:r w:rsidRPr="0072678C">
        <w:rPr>
          <w:rFonts w:asciiTheme="minorHAnsi" w:hAnsiTheme="minorHAnsi" w:cstheme="minorHAnsi"/>
          <w:sz w:val="22"/>
          <w:szCs w:val="22"/>
        </w:rPr>
        <w:t xml:space="preserve">atendem aos Requisitos das melhores práticas preconizadas pela MD-GEFIS, </w:t>
      </w:r>
      <w:r w:rsidR="00AC274A" w:rsidRPr="0072678C">
        <w:rPr>
          <w:rFonts w:asciiTheme="minorHAnsi" w:hAnsiTheme="minorHAnsi" w:cstheme="minorHAnsi"/>
          <w:sz w:val="22"/>
          <w:szCs w:val="22"/>
        </w:rPr>
        <w:t xml:space="preserve">estão no </w:t>
      </w:r>
      <w:r w:rsidRPr="0072678C">
        <w:rPr>
          <w:rFonts w:asciiTheme="minorHAnsi" w:hAnsiTheme="minorHAnsi" w:cstheme="minorHAnsi"/>
          <w:sz w:val="22"/>
          <w:szCs w:val="22"/>
        </w:rPr>
        <w:t xml:space="preserve">Eixo II, com </w:t>
      </w:r>
      <w:r w:rsidR="00BA7AD8" w:rsidRPr="0072678C">
        <w:rPr>
          <w:rFonts w:asciiTheme="minorHAnsi" w:hAnsiTheme="minorHAnsi" w:cstheme="minorHAnsi"/>
          <w:sz w:val="22"/>
          <w:szCs w:val="22"/>
        </w:rPr>
        <w:t>66</w:t>
      </w:r>
      <w:r w:rsidRPr="0072678C">
        <w:rPr>
          <w:rFonts w:asciiTheme="minorHAnsi" w:hAnsiTheme="minorHAnsi" w:cstheme="minorHAnsi"/>
          <w:sz w:val="22"/>
          <w:szCs w:val="22"/>
        </w:rPr>
        <w:t>%</w:t>
      </w:r>
      <w:r w:rsidR="00834293" w:rsidRPr="0072678C">
        <w:rPr>
          <w:rFonts w:asciiTheme="minorHAnsi" w:hAnsiTheme="minorHAnsi" w:cstheme="minorHAnsi"/>
          <w:sz w:val="22"/>
          <w:szCs w:val="22"/>
        </w:rPr>
        <w:t xml:space="preserve"> da pontuação máxima</w:t>
      </w:r>
      <w:r w:rsidRPr="0072678C">
        <w:rPr>
          <w:rFonts w:asciiTheme="minorHAnsi" w:hAnsiTheme="minorHAnsi" w:cstheme="minorHAnsi"/>
          <w:sz w:val="22"/>
          <w:szCs w:val="22"/>
        </w:rPr>
        <w:t xml:space="preserve">, seguido pelos Eixos </w:t>
      </w:r>
      <w:r w:rsidR="00BA7AD8" w:rsidRPr="0072678C">
        <w:rPr>
          <w:rFonts w:asciiTheme="minorHAnsi" w:hAnsiTheme="minorHAnsi" w:cstheme="minorHAnsi"/>
          <w:sz w:val="22"/>
          <w:szCs w:val="22"/>
        </w:rPr>
        <w:t xml:space="preserve">I </w:t>
      </w:r>
      <w:r w:rsidRPr="0072678C">
        <w:rPr>
          <w:rFonts w:asciiTheme="minorHAnsi" w:hAnsiTheme="minorHAnsi" w:cstheme="minorHAnsi"/>
          <w:sz w:val="22"/>
          <w:szCs w:val="22"/>
        </w:rPr>
        <w:t xml:space="preserve">e </w:t>
      </w:r>
      <w:r w:rsidR="00BA7AD8" w:rsidRPr="0072678C">
        <w:rPr>
          <w:rFonts w:asciiTheme="minorHAnsi" w:hAnsiTheme="minorHAnsi" w:cstheme="minorHAnsi"/>
          <w:sz w:val="22"/>
          <w:szCs w:val="22"/>
        </w:rPr>
        <w:t>I</w:t>
      </w:r>
      <w:r w:rsidRPr="0072678C">
        <w:rPr>
          <w:rFonts w:asciiTheme="minorHAnsi" w:hAnsiTheme="minorHAnsi" w:cstheme="minorHAnsi"/>
          <w:sz w:val="22"/>
          <w:szCs w:val="22"/>
        </w:rPr>
        <w:t xml:space="preserve">II, com </w:t>
      </w:r>
      <w:r w:rsidR="00BA7AD8" w:rsidRPr="0072678C">
        <w:rPr>
          <w:rFonts w:asciiTheme="minorHAnsi" w:hAnsiTheme="minorHAnsi" w:cstheme="minorHAnsi"/>
          <w:sz w:val="22"/>
          <w:szCs w:val="22"/>
        </w:rPr>
        <w:t>61</w:t>
      </w:r>
      <w:r w:rsidRPr="0072678C">
        <w:rPr>
          <w:rFonts w:asciiTheme="minorHAnsi" w:hAnsiTheme="minorHAnsi" w:cstheme="minorHAnsi"/>
          <w:sz w:val="22"/>
          <w:szCs w:val="22"/>
        </w:rPr>
        <w:t xml:space="preserve">% e </w:t>
      </w:r>
      <w:r w:rsidR="00BA7AD8" w:rsidRPr="0072678C">
        <w:rPr>
          <w:rFonts w:asciiTheme="minorHAnsi" w:hAnsiTheme="minorHAnsi" w:cstheme="minorHAnsi"/>
          <w:sz w:val="22"/>
          <w:szCs w:val="22"/>
        </w:rPr>
        <w:t>57</w:t>
      </w:r>
      <w:r w:rsidRPr="0072678C">
        <w:rPr>
          <w:rFonts w:asciiTheme="minorHAnsi" w:hAnsiTheme="minorHAnsi" w:cstheme="minorHAnsi"/>
          <w:sz w:val="22"/>
          <w:szCs w:val="22"/>
        </w:rPr>
        <w:t xml:space="preserve">%, respectivamente. Ainda, de forma geral, o somatório dos níveis de Maturidade dos Processos dos 3 Eixos corresponde a </w:t>
      </w:r>
      <w:r w:rsidR="00BA7AD8" w:rsidRPr="0072678C">
        <w:rPr>
          <w:rFonts w:asciiTheme="minorHAnsi" w:hAnsiTheme="minorHAnsi" w:cstheme="minorHAnsi"/>
          <w:sz w:val="22"/>
          <w:szCs w:val="22"/>
        </w:rPr>
        <w:t>61</w:t>
      </w:r>
      <w:r w:rsidRPr="0072678C">
        <w:rPr>
          <w:rFonts w:asciiTheme="minorHAnsi" w:hAnsiTheme="minorHAnsi" w:cstheme="minorHAnsi"/>
          <w:sz w:val="22"/>
          <w:szCs w:val="22"/>
        </w:rPr>
        <w:t xml:space="preserve">% da pontuação máxima possível demonstrando o baixo nível de maturidade dos processos da gestão fiscal. </w:t>
      </w:r>
    </w:p>
    <w:p w:rsidR="00A85E67" w:rsidRPr="0072678C" w:rsidRDefault="00834293" w:rsidP="00834293">
      <w:pPr>
        <w:spacing w:before="240" w:after="240"/>
        <w:jc w:val="both"/>
        <w:outlineLvl w:val="0"/>
        <w:rPr>
          <w:rFonts w:asciiTheme="minorHAnsi" w:hAnsiTheme="minorHAnsi" w:cstheme="minorHAnsi"/>
          <w:b/>
          <w:sz w:val="22"/>
          <w:szCs w:val="22"/>
        </w:rPr>
      </w:pPr>
      <w:bookmarkStart w:id="8" w:name="_Toc518058447"/>
      <w:bookmarkEnd w:id="7"/>
      <w:r w:rsidRPr="0072678C">
        <w:rPr>
          <w:rFonts w:asciiTheme="minorHAnsi" w:hAnsiTheme="minorHAnsi" w:cstheme="minorHAnsi"/>
          <w:b/>
          <w:sz w:val="22"/>
          <w:szCs w:val="22"/>
        </w:rPr>
        <w:t xml:space="preserve">B - </w:t>
      </w:r>
      <w:r w:rsidR="00A85E67" w:rsidRPr="0072678C">
        <w:rPr>
          <w:rFonts w:asciiTheme="minorHAnsi" w:hAnsiTheme="minorHAnsi" w:cstheme="minorHAnsi"/>
          <w:b/>
          <w:sz w:val="22"/>
          <w:szCs w:val="22"/>
        </w:rPr>
        <w:t>Visão da Maturidade d</w:t>
      </w:r>
      <w:r w:rsidR="00436A7B" w:rsidRPr="0072678C">
        <w:rPr>
          <w:rFonts w:asciiTheme="minorHAnsi" w:hAnsiTheme="minorHAnsi" w:cstheme="minorHAnsi"/>
          <w:b/>
          <w:sz w:val="22"/>
          <w:szCs w:val="22"/>
        </w:rPr>
        <w:t xml:space="preserve">os Processos por Eixo </w:t>
      </w:r>
      <w:r w:rsidR="00A85E67" w:rsidRPr="0072678C">
        <w:rPr>
          <w:rFonts w:asciiTheme="minorHAnsi" w:hAnsiTheme="minorHAnsi" w:cstheme="minorHAnsi"/>
          <w:b/>
          <w:sz w:val="22"/>
          <w:szCs w:val="22"/>
        </w:rPr>
        <w:t>da Gestão Fiscal</w:t>
      </w:r>
      <w:bookmarkEnd w:id="8"/>
      <w:r w:rsidR="00A85E67" w:rsidRPr="0072678C">
        <w:rPr>
          <w:rFonts w:asciiTheme="minorHAnsi" w:hAnsiTheme="minorHAnsi" w:cstheme="minorHAnsi"/>
          <w:b/>
          <w:sz w:val="22"/>
          <w:szCs w:val="22"/>
        </w:rPr>
        <w:t xml:space="preserve"> </w:t>
      </w:r>
    </w:p>
    <w:p w:rsidR="00222819" w:rsidRPr="0072678C" w:rsidRDefault="00834293" w:rsidP="00D2747F">
      <w:pPr>
        <w:pStyle w:val="Heading1"/>
        <w:rPr>
          <w:color w:val="auto"/>
          <w:sz w:val="24"/>
          <w:szCs w:val="24"/>
        </w:rPr>
      </w:pPr>
      <w:bookmarkStart w:id="9" w:name="_Toc518058448"/>
      <w:r w:rsidRPr="0072678C">
        <w:rPr>
          <w:rFonts w:asciiTheme="minorHAnsi" w:hAnsiTheme="minorHAnsi" w:cstheme="minorHAnsi"/>
          <w:b/>
          <w:color w:val="auto"/>
          <w:sz w:val="24"/>
          <w:szCs w:val="24"/>
        </w:rPr>
        <w:t xml:space="preserve">1 - </w:t>
      </w:r>
      <w:r w:rsidR="008C6E71" w:rsidRPr="0072678C">
        <w:rPr>
          <w:rFonts w:asciiTheme="minorHAnsi" w:hAnsiTheme="minorHAnsi" w:cstheme="minorHAnsi"/>
          <w:b/>
          <w:color w:val="auto"/>
          <w:sz w:val="24"/>
          <w:szCs w:val="24"/>
        </w:rPr>
        <w:t>Eixo I- Gestão Fazendária e Transparência Fiscal</w:t>
      </w:r>
      <w:bookmarkEnd w:id="9"/>
      <w:r w:rsidR="00137053" w:rsidRPr="0072678C">
        <w:rPr>
          <w:rFonts w:asciiTheme="minorHAnsi" w:hAnsiTheme="minorHAnsi" w:cstheme="minorHAnsi"/>
          <w:b/>
          <w:color w:val="auto"/>
          <w:sz w:val="24"/>
          <w:szCs w:val="24"/>
        </w:rPr>
        <w:t xml:space="preserve"> </w:t>
      </w:r>
    </w:p>
    <w:p w:rsidR="00D2747F" w:rsidRPr="0072678C" w:rsidRDefault="00D2747F" w:rsidP="00D2747F">
      <w:pPr>
        <w:pStyle w:val="Heading1"/>
        <w:rPr>
          <w:rFonts w:asciiTheme="minorHAnsi" w:hAnsiTheme="minorHAnsi" w:cstheme="minorHAnsi"/>
          <w:b/>
          <w:color w:val="auto"/>
          <w:sz w:val="22"/>
          <w:szCs w:val="22"/>
        </w:rPr>
      </w:pPr>
      <w:bookmarkStart w:id="10" w:name="_Toc518058449"/>
      <w:r w:rsidRPr="0072678C">
        <w:rPr>
          <w:rFonts w:asciiTheme="minorHAnsi" w:hAnsiTheme="minorHAnsi" w:cstheme="minorHAnsi"/>
          <w:b/>
          <w:color w:val="auto"/>
          <w:sz w:val="22"/>
          <w:szCs w:val="22"/>
        </w:rPr>
        <w:t xml:space="preserve">1.1 - Visão </w:t>
      </w:r>
      <w:r w:rsidR="00436A7B" w:rsidRPr="0072678C">
        <w:rPr>
          <w:rFonts w:asciiTheme="minorHAnsi" w:hAnsiTheme="minorHAnsi" w:cstheme="minorHAnsi"/>
          <w:b/>
          <w:color w:val="auto"/>
          <w:sz w:val="22"/>
          <w:szCs w:val="22"/>
        </w:rPr>
        <w:t>G</w:t>
      </w:r>
      <w:r w:rsidRPr="0072678C">
        <w:rPr>
          <w:rFonts w:asciiTheme="minorHAnsi" w:hAnsiTheme="minorHAnsi" w:cstheme="minorHAnsi"/>
          <w:b/>
          <w:color w:val="auto"/>
          <w:sz w:val="22"/>
          <w:szCs w:val="22"/>
        </w:rPr>
        <w:t xml:space="preserve">eral da </w:t>
      </w:r>
      <w:r w:rsidR="00436A7B" w:rsidRPr="0072678C">
        <w:rPr>
          <w:rFonts w:asciiTheme="minorHAnsi" w:hAnsiTheme="minorHAnsi" w:cstheme="minorHAnsi"/>
          <w:b/>
          <w:color w:val="auto"/>
          <w:sz w:val="22"/>
          <w:szCs w:val="22"/>
        </w:rPr>
        <w:t>M</w:t>
      </w:r>
      <w:r w:rsidRPr="0072678C">
        <w:rPr>
          <w:rFonts w:asciiTheme="minorHAnsi" w:hAnsiTheme="minorHAnsi" w:cstheme="minorHAnsi"/>
          <w:b/>
          <w:color w:val="auto"/>
          <w:sz w:val="22"/>
          <w:szCs w:val="22"/>
        </w:rPr>
        <w:t>aturidade</w:t>
      </w:r>
      <w:r w:rsidR="00436A7B" w:rsidRPr="0072678C">
        <w:rPr>
          <w:rFonts w:asciiTheme="minorHAnsi" w:hAnsiTheme="minorHAnsi" w:cstheme="minorHAnsi"/>
          <w:b/>
          <w:color w:val="auto"/>
          <w:sz w:val="22"/>
          <w:szCs w:val="22"/>
        </w:rPr>
        <w:t xml:space="preserve"> dos Processos</w:t>
      </w:r>
      <w:bookmarkEnd w:id="10"/>
    </w:p>
    <w:p w:rsidR="008C6E71" w:rsidRPr="0072678C" w:rsidRDefault="008C6E71" w:rsidP="008C6E71">
      <w:pPr>
        <w:spacing w:before="240" w:after="240"/>
        <w:jc w:val="both"/>
        <w:rPr>
          <w:rFonts w:asciiTheme="minorHAnsi" w:hAnsiTheme="minorHAnsi" w:cstheme="minorHAnsi"/>
          <w:bCs/>
          <w:sz w:val="22"/>
          <w:szCs w:val="22"/>
        </w:rPr>
      </w:pPr>
      <w:r w:rsidRPr="0072678C">
        <w:rPr>
          <w:rFonts w:asciiTheme="minorHAnsi" w:hAnsiTheme="minorHAnsi" w:cstheme="minorHAnsi"/>
          <w:sz w:val="22"/>
          <w:szCs w:val="22"/>
        </w:rPr>
        <w:t>No estado d</w:t>
      </w:r>
      <w:r w:rsidR="00B50E39" w:rsidRPr="0072678C">
        <w:rPr>
          <w:rFonts w:asciiTheme="minorHAnsi" w:hAnsiTheme="minorHAnsi" w:cstheme="minorHAnsi"/>
          <w:sz w:val="22"/>
          <w:szCs w:val="22"/>
        </w:rPr>
        <w:t>e São Paulo</w:t>
      </w:r>
      <w:r w:rsidRPr="0072678C">
        <w:rPr>
          <w:rFonts w:asciiTheme="minorHAnsi" w:hAnsiTheme="minorHAnsi" w:cstheme="minorHAnsi"/>
          <w:sz w:val="22"/>
          <w:szCs w:val="22"/>
        </w:rPr>
        <w:t>, a aplica</w:t>
      </w:r>
      <w:r w:rsidR="00B50E39" w:rsidRPr="0072678C">
        <w:rPr>
          <w:rFonts w:asciiTheme="minorHAnsi" w:hAnsiTheme="minorHAnsi" w:cstheme="minorHAnsi"/>
          <w:sz w:val="22"/>
          <w:szCs w:val="22"/>
        </w:rPr>
        <w:t>ção da MD-GEFIS mostrou que 2</w:t>
      </w:r>
      <w:r w:rsidRPr="0072678C">
        <w:rPr>
          <w:rFonts w:asciiTheme="minorHAnsi" w:hAnsiTheme="minorHAnsi" w:cstheme="minorHAnsi"/>
          <w:sz w:val="22"/>
          <w:szCs w:val="22"/>
        </w:rPr>
        <w:t xml:space="preserve"> dimensões apresentam nível </w:t>
      </w:r>
      <w:r w:rsidR="00B50E39" w:rsidRPr="0072678C">
        <w:rPr>
          <w:rFonts w:asciiTheme="minorHAnsi" w:hAnsiTheme="minorHAnsi" w:cstheme="minorHAnsi"/>
          <w:sz w:val="22"/>
          <w:szCs w:val="22"/>
        </w:rPr>
        <w:t xml:space="preserve">AVANÇADO </w:t>
      </w:r>
      <w:r w:rsidRPr="0072678C">
        <w:rPr>
          <w:rFonts w:asciiTheme="minorHAnsi" w:hAnsiTheme="minorHAnsi" w:cstheme="minorHAnsi"/>
          <w:sz w:val="22"/>
          <w:szCs w:val="22"/>
        </w:rPr>
        <w:t>de mat</w:t>
      </w:r>
      <w:r w:rsidR="00B50E39" w:rsidRPr="0072678C">
        <w:rPr>
          <w:rFonts w:asciiTheme="minorHAnsi" w:hAnsiTheme="minorHAnsi" w:cstheme="minorHAnsi"/>
          <w:sz w:val="22"/>
          <w:szCs w:val="22"/>
        </w:rPr>
        <w:t xml:space="preserve">uridade, outras </w:t>
      </w:r>
      <w:proofErr w:type="gramStart"/>
      <w:r w:rsidR="00B50E39" w:rsidRPr="0072678C">
        <w:rPr>
          <w:rFonts w:asciiTheme="minorHAnsi" w:hAnsiTheme="minorHAnsi" w:cstheme="minorHAnsi"/>
          <w:sz w:val="22"/>
          <w:szCs w:val="22"/>
        </w:rPr>
        <w:t>2 nível</w:t>
      </w:r>
      <w:proofErr w:type="gramEnd"/>
      <w:r w:rsidR="00B50E39" w:rsidRPr="0072678C">
        <w:rPr>
          <w:rFonts w:asciiTheme="minorHAnsi" w:hAnsiTheme="minorHAnsi" w:cstheme="minorHAnsi"/>
          <w:sz w:val="22"/>
          <w:szCs w:val="22"/>
        </w:rPr>
        <w:t xml:space="preserve"> I</w:t>
      </w:r>
      <w:r w:rsidR="00872EA9" w:rsidRPr="0072678C">
        <w:rPr>
          <w:rFonts w:asciiTheme="minorHAnsi" w:hAnsiTheme="minorHAnsi" w:cstheme="minorHAnsi"/>
          <w:sz w:val="22"/>
          <w:szCs w:val="22"/>
        </w:rPr>
        <w:t>NTERMEDIÁRIO e mais duas nível INICIANTE</w:t>
      </w:r>
      <w:r w:rsidR="00B50E39" w:rsidRPr="0072678C">
        <w:rPr>
          <w:rFonts w:asciiTheme="minorHAnsi" w:hAnsiTheme="minorHAnsi" w:cstheme="minorHAnsi"/>
          <w:sz w:val="22"/>
          <w:szCs w:val="22"/>
        </w:rPr>
        <w:t xml:space="preserve">, </w:t>
      </w:r>
      <w:r w:rsidR="00872EA9" w:rsidRPr="0072678C">
        <w:rPr>
          <w:rFonts w:asciiTheme="minorHAnsi" w:hAnsiTheme="minorHAnsi" w:cstheme="minorHAnsi"/>
          <w:sz w:val="22"/>
          <w:szCs w:val="22"/>
        </w:rPr>
        <w:t>ou seja</w:t>
      </w:r>
      <w:r w:rsidR="00ED0BE4">
        <w:rPr>
          <w:rFonts w:asciiTheme="minorHAnsi" w:hAnsiTheme="minorHAnsi" w:cstheme="minorHAnsi"/>
          <w:sz w:val="22"/>
          <w:szCs w:val="22"/>
        </w:rPr>
        <w:t>,</w:t>
      </w:r>
      <w:r w:rsidR="00872EA9" w:rsidRPr="0072678C">
        <w:rPr>
          <w:rFonts w:asciiTheme="minorHAnsi" w:hAnsiTheme="minorHAnsi" w:cstheme="minorHAnsi"/>
          <w:sz w:val="22"/>
          <w:szCs w:val="22"/>
        </w:rPr>
        <w:t xml:space="preserve"> os </w:t>
      </w:r>
      <w:r w:rsidR="00B50E39" w:rsidRPr="0072678C">
        <w:rPr>
          <w:rFonts w:asciiTheme="minorHAnsi" w:hAnsiTheme="minorHAnsi" w:cstheme="minorHAnsi"/>
          <w:sz w:val="22"/>
          <w:szCs w:val="22"/>
        </w:rPr>
        <w:t>processo</w:t>
      </w:r>
      <w:r w:rsidR="00ED0BE4">
        <w:rPr>
          <w:rFonts w:asciiTheme="minorHAnsi" w:hAnsiTheme="minorHAnsi" w:cstheme="minorHAnsi"/>
          <w:sz w:val="22"/>
          <w:szCs w:val="22"/>
        </w:rPr>
        <w:t>s</w:t>
      </w:r>
      <w:r w:rsidR="00B50E39" w:rsidRPr="0072678C">
        <w:rPr>
          <w:rFonts w:asciiTheme="minorHAnsi" w:hAnsiTheme="minorHAnsi" w:cstheme="minorHAnsi"/>
          <w:sz w:val="22"/>
          <w:szCs w:val="22"/>
        </w:rPr>
        <w:t xml:space="preserve"> destas dimensões </w:t>
      </w:r>
      <w:r w:rsidR="00872EA9" w:rsidRPr="0072678C">
        <w:rPr>
          <w:rFonts w:asciiTheme="minorHAnsi" w:hAnsiTheme="minorHAnsi" w:cstheme="minorHAnsi"/>
          <w:sz w:val="22"/>
          <w:szCs w:val="22"/>
        </w:rPr>
        <w:t xml:space="preserve">Gestão </w:t>
      </w:r>
      <w:r w:rsidRPr="0072678C">
        <w:rPr>
          <w:rFonts w:asciiTheme="minorHAnsi" w:hAnsiTheme="minorHAnsi" w:cstheme="minorHAnsi"/>
          <w:sz w:val="22"/>
          <w:szCs w:val="22"/>
        </w:rPr>
        <w:t xml:space="preserve">Fazendária e Transparência Fiscal adotam </w:t>
      </w:r>
      <w:r w:rsidR="00872EA9" w:rsidRPr="0072678C">
        <w:rPr>
          <w:rFonts w:asciiTheme="minorHAnsi" w:hAnsiTheme="minorHAnsi" w:cstheme="minorHAnsi"/>
          <w:sz w:val="22"/>
          <w:szCs w:val="22"/>
        </w:rPr>
        <w:t>uma quantidade mediana de requisitos d</w:t>
      </w:r>
      <w:r w:rsidRPr="0072678C">
        <w:rPr>
          <w:rFonts w:asciiTheme="minorHAnsi" w:hAnsiTheme="minorHAnsi" w:cstheme="minorHAnsi"/>
          <w:sz w:val="22"/>
          <w:szCs w:val="22"/>
        </w:rPr>
        <w:t xml:space="preserve">e boas práticas da MD-GEFIS, conforme apresentado no </w:t>
      </w:r>
      <w:r w:rsidRPr="0072678C">
        <w:rPr>
          <w:rFonts w:asciiTheme="minorHAnsi" w:hAnsiTheme="minorHAnsi" w:cstheme="minorHAnsi"/>
          <w:b/>
          <w:sz w:val="22"/>
          <w:szCs w:val="22"/>
        </w:rPr>
        <w:t xml:space="preserve">Gráfico </w:t>
      </w:r>
      <w:r w:rsidR="00C92145" w:rsidRPr="0072678C">
        <w:rPr>
          <w:rFonts w:asciiTheme="minorHAnsi" w:hAnsiTheme="minorHAnsi" w:cstheme="minorHAnsi"/>
          <w:b/>
          <w:sz w:val="22"/>
          <w:szCs w:val="22"/>
        </w:rPr>
        <w:t>2</w:t>
      </w:r>
      <w:r w:rsidRPr="0072678C">
        <w:rPr>
          <w:rFonts w:asciiTheme="minorHAnsi" w:hAnsiTheme="minorHAnsi" w:cstheme="minorHAnsi"/>
          <w:sz w:val="22"/>
          <w:szCs w:val="22"/>
        </w:rPr>
        <w:t>, a seguir:</w:t>
      </w:r>
      <w:r w:rsidRPr="0072678C">
        <w:rPr>
          <w:rFonts w:asciiTheme="minorHAnsi" w:hAnsiTheme="minorHAnsi" w:cstheme="minorHAnsi"/>
          <w:bCs/>
          <w:sz w:val="22"/>
          <w:szCs w:val="22"/>
        </w:rPr>
        <w:t xml:space="preserve"> </w:t>
      </w:r>
    </w:p>
    <w:p w:rsidR="008C6E71" w:rsidRPr="0072678C" w:rsidRDefault="001E727F" w:rsidP="008C6E71">
      <w:pPr>
        <w:spacing w:before="240" w:after="240"/>
        <w:jc w:val="center"/>
        <w:rPr>
          <w:rFonts w:asciiTheme="minorHAnsi" w:hAnsiTheme="minorHAnsi" w:cstheme="minorHAnsi"/>
          <w:sz w:val="22"/>
          <w:szCs w:val="22"/>
        </w:rPr>
      </w:pPr>
      <w:r w:rsidRPr="0072678C">
        <w:rPr>
          <w:rFonts w:asciiTheme="minorHAnsi" w:hAnsiTheme="minorHAnsi" w:cstheme="minorHAnsi"/>
          <w:noProof/>
          <w:sz w:val="22"/>
          <w:szCs w:val="22"/>
        </w:rPr>
        <w:lastRenderedPageBreak/>
        <w:drawing>
          <wp:inline distT="0" distB="0" distL="0" distR="0">
            <wp:extent cx="4898571" cy="3701143"/>
            <wp:effectExtent l="19050" t="0" r="16329" b="0"/>
            <wp:docPr id="7" name="Gráfico 2">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C6E71" w:rsidRPr="0072678C" w:rsidRDefault="008C6E71" w:rsidP="008C6E71">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No </w:t>
      </w:r>
      <w:r w:rsidRPr="0072678C">
        <w:rPr>
          <w:rFonts w:asciiTheme="minorHAnsi" w:hAnsiTheme="minorHAnsi" w:cstheme="minorHAnsi"/>
          <w:b/>
          <w:sz w:val="22"/>
          <w:szCs w:val="22"/>
        </w:rPr>
        <w:t xml:space="preserve">Gráfico </w:t>
      </w:r>
      <w:r w:rsidR="00FB5C67" w:rsidRPr="0072678C">
        <w:rPr>
          <w:rFonts w:asciiTheme="minorHAnsi" w:hAnsiTheme="minorHAnsi" w:cstheme="minorHAnsi"/>
          <w:b/>
          <w:sz w:val="22"/>
          <w:szCs w:val="22"/>
        </w:rPr>
        <w:t>2</w:t>
      </w:r>
      <w:r w:rsidRPr="0072678C">
        <w:rPr>
          <w:rFonts w:asciiTheme="minorHAnsi" w:hAnsiTheme="minorHAnsi" w:cstheme="minorHAnsi"/>
          <w:sz w:val="22"/>
          <w:szCs w:val="22"/>
        </w:rPr>
        <w:t xml:space="preserve">, os números de 1 a 6 correspondem respectivamente aos níveis de Maturidade: Iniciante (-), Iniciante (+), Intermediário (-), Intermediário (+), Avançado (-) </w:t>
      </w:r>
      <w:proofErr w:type="gramStart"/>
      <w:r w:rsidRPr="0072678C">
        <w:rPr>
          <w:rFonts w:asciiTheme="minorHAnsi" w:hAnsiTheme="minorHAnsi" w:cstheme="minorHAnsi"/>
          <w:sz w:val="22"/>
          <w:szCs w:val="22"/>
        </w:rPr>
        <w:t>e Avançado</w:t>
      </w:r>
      <w:proofErr w:type="gramEnd"/>
      <w:r w:rsidRPr="0072678C">
        <w:rPr>
          <w:rFonts w:asciiTheme="minorHAnsi" w:hAnsiTheme="minorHAnsi" w:cstheme="minorHAnsi"/>
          <w:sz w:val="22"/>
          <w:szCs w:val="22"/>
        </w:rPr>
        <w:t xml:space="preserve"> (+).</w:t>
      </w:r>
    </w:p>
    <w:p w:rsidR="003E2E2B" w:rsidRPr="0072678C" w:rsidRDefault="003E2E2B" w:rsidP="003E2E2B">
      <w:pPr>
        <w:jc w:val="both"/>
        <w:rPr>
          <w:rFonts w:asciiTheme="minorHAnsi" w:hAnsiTheme="minorHAnsi" w:cstheme="minorHAnsi"/>
          <w:sz w:val="22"/>
          <w:szCs w:val="22"/>
        </w:rPr>
      </w:pPr>
      <w:r w:rsidRPr="0072678C">
        <w:rPr>
          <w:rFonts w:asciiTheme="minorHAnsi" w:hAnsiTheme="minorHAnsi" w:cstheme="minorHAnsi"/>
          <w:sz w:val="22"/>
          <w:szCs w:val="22"/>
        </w:rPr>
        <w:t xml:space="preserve">A dimensão GF 5. Gestão de Aquisições e Materiais apresentou o maior nível de maturidade dentre as 6 dimensões pesquisadas, Avançado (+) obtendo 100% da pontuação máxima; seguido das dimensões GF 6. </w:t>
      </w:r>
      <w:proofErr w:type="gramStart"/>
      <w:r w:rsidRPr="0072678C">
        <w:rPr>
          <w:rFonts w:asciiTheme="minorHAnsi" w:hAnsiTheme="minorHAnsi" w:cstheme="minorHAnsi"/>
          <w:sz w:val="22"/>
          <w:szCs w:val="22"/>
        </w:rPr>
        <w:t>Transparência e Cidadania Fiscal</w:t>
      </w:r>
      <w:proofErr w:type="gramEnd"/>
      <w:r w:rsidRPr="0072678C">
        <w:rPr>
          <w:rFonts w:asciiTheme="minorHAnsi" w:hAnsiTheme="minorHAnsi" w:cstheme="minorHAnsi"/>
          <w:sz w:val="22"/>
          <w:szCs w:val="22"/>
        </w:rPr>
        <w:t xml:space="preserve"> (81%); GF 4. Gestão da Tecnologia da Informação (72%); GF 2. Gestão para Resultados (44%); e GF 3. Gestão de Pessoas (42%). Gestão para resultados e Gestão de Pessoas são as dimensões com menor nível de maturidade neste eixo, ou seja, Iniciante (+) e Iniciante (-) respectivamente.</w:t>
      </w:r>
    </w:p>
    <w:p w:rsidR="00AF27C3" w:rsidRPr="0072678C" w:rsidRDefault="00AF27C3" w:rsidP="003E2E2B">
      <w:pPr>
        <w:jc w:val="both"/>
        <w:rPr>
          <w:rFonts w:asciiTheme="minorHAnsi" w:hAnsiTheme="minorHAnsi" w:cstheme="minorHAnsi"/>
          <w:sz w:val="22"/>
          <w:szCs w:val="22"/>
        </w:rPr>
      </w:pPr>
    </w:p>
    <w:p w:rsidR="00137053" w:rsidRPr="0072678C" w:rsidRDefault="00137053" w:rsidP="00A47804">
      <w:pPr>
        <w:pStyle w:val="Heading1"/>
        <w:rPr>
          <w:color w:val="auto"/>
          <w:sz w:val="22"/>
          <w:szCs w:val="22"/>
        </w:rPr>
      </w:pPr>
      <w:bookmarkStart w:id="11" w:name="_Toc518058450"/>
      <w:r w:rsidRPr="0072678C">
        <w:rPr>
          <w:rFonts w:asciiTheme="minorHAnsi" w:hAnsiTheme="minorHAnsi" w:cstheme="minorHAnsi"/>
          <w:b/>
          <w:color w:val="auto"/>
          <w:sz w:val="22"/>
          <w:szCs w:val="22"/>
        </w:rPr>
        <w:t>1.</w:t>
      </w:r>
      <w:r w:rsidR="00436A7B" w:rsidRPr="0072678C">
        <w:rPr>
          <w:rFonts w:asciiTheme="minorHAnsi" w:hAnsiTheme="minorHAnsi" w:cstheme="minorHAnsi"/>
          <w:b/>
          <w:color w:val="auto"/>
          <w:sz w:val="22"/>
          <w:szCs w:val="22"/>
        </w:rPr>
        <w:t>2</w:t>
      </w:r>
      <w:r w:rsidRPr="0072678C">
        <w:rPr>
          <w:rFonts w:asciiTheme="minorHAnsi" w:hAnsiTheme="minorHAnsi" w:cstheme="minorHAnsi"/>
          <w:b/>
          <w:color w:val="auto"/>
          <w:sz w:val="22"/>
          <w:szCs w:val="22"/>
        </w:rPr>
        <w:t xml:space="preserve"> </w:t>
      </w:r>
      <w:r w:rsidR="00436A7B" w:rsidRPr="0072678C">
        <w:rPr>
          <w:rFonts w:asciiTheme="minorHAnsi" w:hAnsiTheme="minorHAnsi" w:cstheme="minorHAnsi"/>
          <w:b/>
          <w:color w:val="auto"/>
          <w:sz w:val="22"/>
          <w:szCs w:val="22"/>
        </w:rPr>
        <w:t>–</w:t>
      </w:r>
      <w:r w:rsidRPr="0072678C">
        <w:rPr>
          <w:rFonts w:asciiTheme="minorHAnsi" w:hAnsiTheme="minorHAnsi" w:cstheme="minorHAnsi"/>
          <w:b/>
          <w:color w:val="auto"/>
          <w:sz w:val="22"/>
          <w:szCs w:val="22"/>
        </w:rPr>
        <w:t xml:space="preserve"> </w:t>
      </w:r>
      <w:r w:rsidR="00436A7B" w:rsidRPr="0072678C">
        <w:rPr>
          <w:rFonts w:asciiTheme="minorHAnsi" w:hAnsiTheme="minorHAnsi" w:cstheme="minorHAnsi"/>
          <w:b/>
          <w:color w:val="auto"/>
          <w:sz w:val="22"/>
          <w:szCs w:val="22"/>
        </w:rPr>
        <w:t>Pontos de Melhoria dos Processos por Dimensão</w:t>
      </w:r>
      <w:r w:rsidR="003B0394" w:rsidRPr="0072678C">
        <w:rPr>
          <w:rFonts w:asciiTheme="minorHAnsi" w:hAnsiTheme="minorHAnsi" w:cstheme="minorHAnsi"/>
          <w:b/>
          <w:color w:val="auto"/>
          <w:sz w:val="22"/>
          <w:szCs w:val="22"/>
        </w:rPr>
        <w:t xml:space="preserve"> do Eixo I</w:t>
      </w:r>
      <w:bookmarkEnd w:id="11"/>
    </w:p>
    <w:p w:rsidR="00137053" w:rsidRPr="0072678C" w:rsidRDefault="00137053" w:rsidP="003E2E2B">
      <w:pPr>
        <w:jc w:val="both"/>
        <w:rPr>
          <w:rFonts w:asciiTheme="minorHAnsi" w:hAnsiTheme="minorHAnsi" w:cstheme="minorHAnsi"/>
          <w:sz w:val="22"/>
          <w:szCs w:val="22"/>
        </w:rPr>
      </w:pPr>
    </w:p>
    <w:p w:rsidR="00AF27C3" w:rsidRPr="0072678C" w:rsidRDefault="00137053" w:rsidP="003E2E2B">
      <w:pPr>
        <w:jc w:val="both"/>
        <w:rPr>
          <w:rFonts w:asciiTheme="minorHAnsi" w:hAnsiTheme="minorHAnsi" w:cstheme="minorHAnsi"/>
          <w:sz w:val="22"/>
          <w:szCs w:val="22"/>
        </w:rPr>
      </w:pPr>
      <w:r w:rsidRPr="0072678C">
        <w:rPr>
          <w:rFonts w:asciiTheme="minorHAnsi" w:hAnsiTheme="minorHAnsi" w:cstheme="minorHAnsi"/>
          <w:sz w:val="22"/>
          <w:szCs w:val="22"/>
        </w:rPr>
        <w:t>P</w:t>
      </w:r>
      <w:r w:rsidR="00AF27C3" w:rsidRPr="0072678C">
        <w:rPr>
          <w:rFonts w:asciiTheme="minorHAnsi" w:hAnsiTheme="minorHAnsi" w:cstheme="minorHAnsi"/>
          <w:sz w:val="22"/>
          <w:szCs w:val="22"/>
        </w:rPr>
        <w:t xml:space="preserve">ontos de melhorias </w:t>
      </w:r>
      <w:r w:rsidRPr="0072678C">
        <w:rPr>
          <w:rFonts w:asciiTheme="minorHAnsi" w:hAnsiTheme="minorHAnsi" w:cstheme="minorHAnsi"/>
          <w:sz w:val="22"/>
          <w:szCs w:val="22"/>
        </w:rPr>
        <w:t xml:space="preserve">para </w:t>
      </w:r>
      <w:r w:rsidR="0026728E" w:rsidRPr="0072678C">
        <w:rPr>
          <w:rFonts w:asciiTheme="minorHAnsi" w:hAnsiTheme="minorHAnsi" w:cstheme="minorHAnsi"/>
          <w:sz w:val="22"/>
          <w:szCs w:val="22"/>
        </w:rPr>
        <w:t xml:space="preserve">maturidade dos processos </w:t>
      </w:r>
      <w:r w:rsidR="00AF27C3" w:rsidRPr="0072678C">
        <w:rPr>
          <w:rFonts w:asciiTheme="minorHAnsi" w:hAnsiTheme="minorHAnsi" w:cstheme="minorHAnsi"/>
          <w:sz w:val="22"/>
          <w:szCs w:val="22"/>
        </w:rPr>
        <w:t xml:space="preserve">das dimensões </w:t>
      </w:r>
      <w:r w:rsidR="00AB2D0B" w:rsidRPr="0072678C">
        <w:rPr>
          <w:rFonts w:asciiTheme="minorHAnsi" w:hAnsiTheme="minorHAnsi" w:cstheme="minorHAnsi"/>
          <w:sz w:val="22"/>
          <w:szCs w:val="22"/>
        </w:rPr>
        <w:t xml:space="preserve">do Eixo I </w:t>
      </w:r>
      <w:r w:rsidR="0026728E" w:rsidRPr="0072678C">
        <w:rPr>
          <w:rFonts w:asciiTheme="minorHAnsi" w:hAnsiTheme="minorHAnsi" w:cstheme="minorHAnsi"/>
          <w:sz w:val="22"/>
          <w:szCs w:val="22"/>
        </w:rPr>
        <w:t>considerando as boas práticas da MD-</w:t>
      </w:r>
      <w:r w:rsidR="00064EE5">
        <w:rPr>
          <w:rFonts w:asciiTheme="minorHAnsi" w:hAnsiTheme="minorHAnsi" w:cstheme="minorHAnsi"/>
          <w:sz w:val="22"/>
          <w:szCs w:val="22"/>
        </w:rPr>
        <w:t>GEFIS</w:t>
      </w:r>
      <w:r w:rsidR="0026728E" w:rsidRPr="0072678C">
        <w:rPr>
          <w:rFonts w:asciiTheme="minorHAnsi" w:hAnsiTheme="minorHAnsi" w:cstheme="minorHAnsi"/>
          <w:sz w:val="22"/>
          <w:szCs w:val="22"/>
        </w:rPr>
        <w:t>:</w:t>
      </w:r>
    </w:p>
    <w:p w:rsidR="00A37DB1" w:rsidRPr="0072678C" w:rsidRDefault="00A37DB1" w:rsidP="00C30E7A">
      <w:pPr>
        <w:jc w:val="both"/>
        <w:rPr>
          <w:rFonts w:asciiTheme="minorHAnsi" w:hAnsiTheme="minorHAnsi" w:cstheme="minorHAnsi"/>
          <w:sz w:val="22"/>
          <w:szCs w:val="22"/>
        </w:rPr>
      </w:pPr>
    </w:p>
    <w:tbl>
      <w:tblPr>
        <w:tblW w:w="8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8"/>
        <w:gridCol w:w="1988"/>
        <w:gridCol w:w="884"/>
        <w:gridCol w:w="764"/>
        <w:gridCol w:w="521"/>
      </w:tblGrid>
      <w:tr w:rsidR="00AB2D0B" w:rsidRPr="0072678C" w:rsidTr="000C7BB6">
        <w:trPr>
          <w:trHeight w:val="345"/>
          <w:jc w:val="center"/>
        </w:trPr>
        <w:tc>
          <w:tcPr>
            <w:tcW w:w="4678" w:type="dxa"/>
            <w:vMerge w:val="restart"/>
            <w:shd w:val="clear" w:color="auto" w:fill="C5E0B3" w:themeFill="accent6" w:themeFillTint="66"/>
            <w:noWrap/>
            <w:vAlign w:val="center"/>
            <w:hideMark/>
          </w:tcPr>
          <w:p w:rsidR="00AB2D0B" w:rsidRPr="0072678C" w:rsidRDefault="00AB2D0B" w:rsidP="00AB2D0B">
            <w:pPr>
              <w:jc w:val="both"/>
              <w:rPr>
                <w:rFonts w:asciiTheme="minorHAnsi" w:hAnsiTheme="minorHAnsi" w:cstheme="minorHAnsi"/>
                <w:b/>
                <w:bCs/>
              </w:rPr>
            </w:pPr>
            <w:r w:rsidRPr="0072678C">
              <w:rPr>
                <w:rFonts w:asciiTheme="minorHAnsi" w:hAnsiTheme="minorHAnsi" w:cstheme="minorHAnsi"/>
                <w:b/>
                <w:bCs/>
                <w:sz w:val="22"/>
                <w:szCs w:val="22"/>
              </w:rPr>
              <w:t>GF 1. GOVERNANÇA PÚBLICA:</w:t>
            </w:r>
            <w:r w:rsidRPr="0072678C">
              <w:rPr>
                <w:rFonts w:asciiTheme="minorHAnsi" w:hAnsiTheme="minorHAnsi" w:cstheme="minorHAnsi"/>
                <w:sz w:val="22"/>
                <w:szCs w:val="22"/>
              </w:rPr>
              <w:t xml:space="preserve"> Promove a autonomia, o alinhamento, o direcionamento e o monitoramento da atuação da organização, com base em estrutura formal, que atende aos princípios de transparência, equidade, prestação de contas e responsabilidade social. </w:t>
            </w:r>
          </w:p>
        </w:tc>
        <w:tc>
          <w:tcPr>
            <w:tcW w:w="1988" w:type="dxa"/>
            <w:vMerge w:val="restart"/>
            <w:shd w:val="clear" w:color="auto" w:fill="C5E0B3" w:themeFill="accent6" w:themeFillTint="66"/>
            <w:noWrap/>
            <w:vAlign w:val="center"/>
            <w:hideMark/>
          </w:tcPr>
          <w:p w:rsidR="00AB2D0B" w:rsidRPr="0072678C" w:rsidRDefault="00AB2D0B" w:rsidP="00BC23AF">
            <w:pPr>
              <w:jc w:val="center"/>
              <w:rPr>
                <w:rFonts w:asciiTheme="minorHAnsi" w:hAnsiTheme="minorHAnsi" w:cstheme="minorHAnsi"/>
                <w:b/>
                <w:bCs/>
              </w:rPr>
            </w:pPr>
            <w:r w:rsidRPr="0072678C">
              <w:rPr>
                <w:rFonts w:asciiTheme="minorHAnsi" w:hAnsiTheme="minorHAnsi" w:cstheme="minorHAnsi"/>
                <w:b/>
                <w:bCs/>
                <w:sz w:val="22"/>
                <w:szCs w:val="22"/>
              </w:rPr>
              <w:t>Maturidade</w:t>
            </w:r>
          </w:p>
        </w:tc>
        <w:tc>
          <w:tcPr>
            <w:tcW w:w="2169" w:type="dxa"/>
            <w:gridSpan w:val="3"/>
            <w:shd w:val="clear" w:color="auto" w:fill="C5E0B3" w:themeFill="accent6" w:themeFillTint="66"/>
            <w:vAlign w:val="center"/>
          </w:tcPr>
          <w:p w:rsidR="00AB2D0B" w:rsidRPr="0072678C" w:rsidRDefault="00AB2D0B" w:rsidP="00BC23AF">
            <w:pPr>
              <w:jc w:val="center"/>
              <w:rPr>
                <w:rFonts w:asciiTheme="minorHAnsi" w:hAnsiTheme="minorHAnsi" w:cstheme="minorHAnsi"/>
                <w:b/>
              </w:rPr>
            </w:pPr>
            <w:r w:rsidRPr="0072678C">
              <w:rPr>
                <w:rFonts w:asciiTheme="minorHAnsi" w:hAnsiTheme="minorHAnsi" w:cstheme="minorHAnsi"/>
                <w:b/>
                <w:sz w:val="22"/>
                <w:szCs w:val="22"/>
              </w:rPr>
              <w:t xml:space="preserve">Pontuação </w:t>
            </w:r>
          </w:p>
        </w:tc>
      </w:tr>
      <w:tr w:rsidR="00AB2D0B" w:rsidRPr="0072678C" w:rsidTr="000C7BB6">
        <w:trPr>
          <w:trHeight w:val="345"/>
          <w:jc w:val="center"/>
        </w:trPr>
        <w:tc>
          <w:tcPr>
            <w:tcW w:w="4678" w:type="dxa"/>
            <w:vMerge/>
            <w:shd w:val="clear" w:color="auto" w:fill="C5E0B3" w:themeFill="accent6" w:themeFillTint="66"/>
            <w:noWrap/>
            <w:vAlign w:val="bottom"/>
            <w:hideMark/>
          </w:tcPr>
          <w:p w:rsidR="00AB2D0B" w:rsidRPr="0072678C" w:rsidRDefault="00AB2D0B" w:rsidP="00BC23AF">
            <w:pPr>
              <w:rPr>
                <w:rFonts w:asciiTheme="minorHAnsi" w:hAnsiTheme="minorHAnsi" w:cstheme="minorHAnsi"/>
                <w:b/>
                <w:bCs/>
              </w:rPr>
            </w:pPr>
          </w:p>
        </w:tc>
        <w:tc>
          <w:tcPr>
            <w:tcW w:w="1988" w:type="dxa"/>
            <w:vMerge/>
            <w:shd w:val="clear" w:color="auto" w:fill="C5E0B3" w:themeFill="accent6" w:themeFillTint="66"/>
            <w:noWrap/>
            <w:vAlign w:val="bottom"/>
            <w:hideMark/>
          </w:tcPr>
          <w:p w:rsidR="00AB2D0B" w:rsidRPr="0072678C" w:rsidRDefault="00AB2D0B" w:rsidP="00BC23AF">
            <w:pPr>
              <w:jc w:val="center"/>
              <w:rPr>
                <w:rFonts w:asciiTheme="minorHAnsi" w:hAnsiTheme="minorHAnsi" w:cstheme="minorHAnsi"/>
                <w:b/>
                <w:bCs/>
              </w:rPr>
            </w:pPr>
          </w:p>
        </w:tc>
        <w:tc>
          <w:tcPr>
            <w:tcW w:w="884" w:type="dxa"/>
            <w:shd w:val="clear" w:color="auto" w:fill="C5E0B3" w:themeFill="accent6" w:themeFillTint="66"/>
            <w:vAlign w:val="center"/>
          </w:tcPr>
          <w:p w:rsidR="00AB2D0B" w:rsidRPr="0072678C" w:rsidRDefault="00AB2D0B" w:rsidP="00BC23AF">
            <w:pPr>
              <w:jc w:val="center"/>
              <w:rPr>
                <w:rFonts w:asciiTheme="minorHAnsi" w:hAnsiTheme="minorHAnsi" w:cstheme="minorHAnsi"/>
                <w:b/>
              </w:rPr>
            </w:pPr>
            <w:r w:rsidRPr="0072678C">
              <w:rPr>
                <w:rFonts w:asciiTheme="minorHAnsi" w:hAnsiTheme="minorHAnsi" w:cstheme="minorHAnsi"/>
                <w:b/>
                <w:sz w:val="22"/>
                <w:szCs w:val="22"/>
              </w:rPr>
              <w:t>Máxima</w:t>
            </w:r>
          </w:p>
        </w:tc>
        <w:tc>
          <w:tcPr>
            <w:tcW w:w="764" w:type="dxa"/>
            <w:shd w:val="clear" w:color="auto" w:fill="C5E0B3" w:themeFill="accent6" w:themeFillTint="66"/>
            <w:vAlign w:val="center"/>
          </w:tcPr>
          <w:p w:rsidR="00AB2D0B" w:rsidRPr="0072678C" w:rsidRDefault="00AB2D0B" w:rsidP="00BC23AF">
            <w:pPr>
              <w:jc w:val="center"/>
              <w:rPr>
                <w:rFonts w:asciiTheme="minorHAnsi" w:hAnsiTheme="minorHAnsi" w:cstheme="minorHAnsi"/>
                <w:b/>
              </w:rPr>
            </w:pPr>
            <w:r w:rsidRPr="0072678C">
              <w:rPr>
                <w:rFonts w:asciiTheme="minorHAnsi" w:hAnsiTheme="minorHAnsi" w:cstheme="minorHAnsi"/>
                <w:b/>
                <w:sz w:val="22"/>
                <w:szCs w:val="22"/>
              </w:rPr>
              <w:t>Obtida</w:t>
            </w:r>
          </w:p>
        </w:tc>
        <w:tc>
          <w:tcPr>
            <w:tcW w:w="521" w:type="dxa"/>
            <w:shd w:val="clear" w:color="auto" w:fill="C5E0B3" w:themeFill="accent6" w:themeFillTint="66"/>
            <w:vAlign w:val="center"/>
          </w:tcPr>
          <w:p w:rsidR="00AB2D0B" w:rsidRPr="0072678C" w:rsidRDefault="00AB2D0B" w:rsidP="00BC23AF">
            <w:pPr>
              <w:jc w:val="center"/>
              <w:rPr>
                <w:rFonts w:asciiTheme="minorHAnsi" w:hAnsiTheme="minorHAnsi" w:cstheme="minorHAnsi"/>
                <w:b/>
              </w:rPr>
            </w:pPr>
            <w:r w:rsidRPr="0072678C">
              <w:rPr>
                <w:rFonts w:asciiTheme="minorHAnsi" w:hAnsiTheme="minorHAnsi" w:cstheme="minorHAnsi"/>
                <w:b/>
                <w:sz w:val="22"/>
                <w:szCs w:val="22"/>
              </w:rPr>
              <w:t>%</w:t>
            </w:r>
          </w:p>
        </w:tc>
      </w:tr>
      <w:tr w:rsidR="00AB2D0B" w:rsidRPr="0072678C" w:rsidTr="000C7BB6">
        <w:trPr>
          <w:trHeight w:val="345"/>
          <w:jc w:val="center"/>
        </w:trPr>
        <w:tc>
          <w:tcPr>
            <w:tcW w:w="4678" w:type="dxa"/>
            <w:vMerge/>
            <w:shd w:val="clear" w:color="auto" w:fill="auto"/>
            <w:noWrap/>
            <w:vAlign w:val="center"/>
            <w:hideMark/>
          </w:tcPr>
          <w:p w:rsidR="00AB2D0B" w:rsidRPr="0072678C" w:rsidRDefault="00AB2D0B" w:rsidP="00B16094">
            <w:pPr>
              <w:ind w:firstLineChars="200" w:firstLine="480"/>
              <w:jc w:val="center"/>
              <w:rPr>
                <w:rFonts w:ascii="Calibri" w:hAnsi="Calibri" w:cs="Calibri"/>
              </w:rPr>
            </w:pPr>
          </w:p>
        </w:tc>
        <w:tc>
          <w:tcPr>
            <w:tcW w:w="1988" w:type="dxa"/>
            <w:shd w:val="clear" w:color="auto" w:fill="auto"/>
            <w:noWrap/>
            <w:vAlign w:val="center"/>
            <w:hideMark/>
          </w:tcPr>
          <w:p w:rsidR="00AB2D0B" w:rsidRPr="0072678C" w:rsidRDefault="00AB2D0B" w:rsidP="00A37DB1">
            <w:pPr>
              <w:jc w:val="center"/>
              <w:rPr>
                <w:rFonts w:asciiTheme="minorHAnsi" w:hAnsiTheme="minorHAnsi" w:cstheme="minorHAnsi"/>
                <w:b/>
                <w:bCs/>
              </w:rPr>
            </w:pPr>
            <w:r w:rsidRPr="0072678C">
              <w:rPr>
                <w:rFonts w:asciiTheme="minorHAnsi" w:hAnsiTheme="minorHAnsi" w:cstheme="minorHAnsi"/>
                <w:b/>
                <w:bCs/>
                <w:sz w:val="22"/>
                <w:szCs w:val="22"/>
              </w:rPr>
              <w:t>INTERMEDIÁRIO (-)</w:t>
            </w:r>
          </w:p>
        </w:tc>
        <w:tc>
          <w:tcPr>
            <w:tcW w:w="884" w:type="dxa"/>
            <w:vAlign w:val="center"/>
          </w:tcPr>
          <w:p w:rsidR="00AB2D0B" w:rsidRPr="0072678C" w:rsidRDefault="00AB2D0B" w:rsidP="00A37DB1">
            <w:pPr>
              <w:jc w:val="center"/>
              <w:rPr>
                <w:rFonts w:ascii="Calibri" w:hAnsi="Calibri" w:cs="Calibri"/>
              </w:rPr>
            </w:pPr>
            <w:r w:rsidRPr="0072678C">
              <w:rPr>
                <w:rFonts w:ascii="Calibri" w:hAnsi="Calibri" w:cs="Calibri"/>
                <w:sz w:val="22"/>
                <w:szCs w:val="22"/>
              </w:rPr>
              <w:t>33</w:t>
            </w:r>
          </w:p>
        </w:tc>
        <w:tc>
          <w:tcPr>
            <w:tcW w:w="764" w:type="dxa"/>
            <w:vAlign w:val="center"/>
          </w:tcPr>
          <w:p w:rsidR="00AB2D0B" w:rsidRPr="0072678C" w:rsidRDefault="00AB2D0B" w:rsidP="00A37DB1">
            <w:pPr>
              <w:jc w:val="center"/>
              <w:rPr>
                <w:rFonts w:ascii="Calibri" w:hAnsi="Calibri" w:cs="Calibri"/>
              </w:rPr>
            </w:pPr>
            <w:r w:rsidRPr="0072678C">
              <w:rPr>
                <w:rFonts w:ascii="Calibri" w:hAnsi="Calibri" w:cs="Calibri"/>
                <w:sz w:val="22"/>
                <w:szCs w:val="22"/>
              </w:rPr>
              <w:t>21</w:t>
            </w:r>
          </w:p>
        </w:tc>
        <w:tc>
          <w:tcPr>
            <w:tcW w:w="521" w:type="dxa"/>
            <w:vAlign w:val="center"/>
          </w:tcPr>
          <w:p w:rsidR="00AB2D0B" w:rsidRPr="0072678C" w:rsidRDefault="00AB2D0B" w:rsidP="00A37DB1">
            <w:pPr>
              <w:jc w:val="center"/>
              <w:rPr>
                <w:rFonts w:ascii="Calibri" w:hAnsi="Calibri" w:cs="Calibri"/>
              </w:rPr>
            </w:pPr>
            <w:r w:rsidRPr="0072678C">
              <w:rPr>
                <w:rFonts w:ascii="Calibri" w:hAnsi="Calibri" w:cs="Calibri"/>
                <w:sz w:val="22"/>
                <w:szCs w:val="22"/>
              </w:rPr>
              <w:t>64%</w:t>
            </w:r>
          </w:p>
        </w:tc>
      </w:tr>
    </w:tbl>
    <w:p w:rsidR="00A37DB1" w:rsidRPr="0072678C" w:rsidRDefault="00A37DB1" w:rsidP="00C30E7A">
      <w:pPr>
        <w:jc w:val="both"/>
        <w:rPr>
          <w:rFonts w:asciiTheme="minorHAnsi" w:hAnsiTheme="minorHAnsi" w:cstheme="minorHAnsi"/>
          <w:sz w:val="22"/>
          <w:szCs w:val="22"/>
        </w:rPr>
      </w:pPr>
    </w:p>
    <w:p w:rsidR="00A45A18" w:rsidRPr="0072678C" w:rsidRDefault="00041CEC" w:rsidP="00C30E7A">
      <w:pPr>
        <w:jc w:val="both"/>
        <w:rPr>
          <w:rFonts w:asciiTheme="minorHAnsi" w:hAnsiTheme="minorHAnsi" w:cstheme="minorHAnsi"/>
          <w:sz w:val="22"/>
          <w:szCs w:val="22"/>
        </w:rPr>
      </w:pPr>
      <w:r w:rsidRPr="0072678C">
        <w:rPr>
          <w:rFonts w:asciiTheme="minorHAnsi" w:hAnsiTheme="minorHAnsi" w:cstheme="minorHAnsi"/>
          <w:sz w:val="22"/>
          <w:szCs w:val="22"/>
        </w:rPr>
        <w:t>Com relação ao p</w:t>
      </w:r>
      <w:r w:rsidR="00A45A18" w:rsidRPr="0072678C">
        <w:rPr>
          <w:rFonts w:asciiTheme="minorHAnsi" w:hAnsiTheme="minorHAnsi" w:cstheme="minorHAnsi"/>
          <w:sz w:val="22"/>
          <w:szCs w:val="22"/>
        </w:rPr>
        <w:t xml:space="preserve">rocesso </w:t>
      </w:r>
      <w:r w:rsidR="00A45A18" w:rsidRPr="0072678C">
        <w:rPr>
          <w:rFonts w:asciiTheme="minorHAnsi" w:hAnsiTheme="minorHAnsi" w:cstheme="minorHAnsi"/>
          <w:b/>
          <w:bCs/>
          <w:i/>
          <w:iCs/>
          <w:sz w:val="22"/>
          <w:szCs w:val="22"/>
        </w:rPr>
        <w:t>sistema de governança da gestão fiscal</w:t>
      </w:r>
      <w:r w:rsidR="00A45A18" w:rsidRPr="0072678C">
        <w:rPr>
          <w:rFonts w:asciiTheme="minorHAnsi" w:hAnsiTheme="minorHAnsi" w:cstheme="minorHAnsi"/>
          <w:b/>
          <w:bCs/>
          <w:sz w:val="22"/>
          <w:szCs w:val="22"/>
        </w:rPr>
        <w:t xml:space="preserve"> </w:t>
      </w:r>
      <w:r w:rsidR="00C30E7A" w:rsidRPr="0072678C">
        <w:rPr>
          <w:rFonts w:asciiTheme="minorHAnsi" w:hAnsiTheme="minorHAnsi" w:cstheme="minorHAnsi"/>
          <w:bCs/>
          <w:sz w:val="22"/>
          <w:szCs w:val="22"/>
        </w:rPr>
        <w:t>a</w:t>
      </w:r>
      <w:r w:rsidR="00C30E7A" w:rsidRPr="0072678C">
        <w:rPr>
          <w:rFonts w:asciiTheme="minorHAnsi" w:hAnsiTheme="minorHAnsi" w:cstheme="minorHAnsi"/>
          <w:sz w:val="22"/>
          <w:szCs w:val="22"/>
        </w:rPr>
        <w:t xml:space="preserve"> SEFAZ/SP </w:t>
      </w:r>
      <w:r w:rsidR="00C30E7A" w:rsidRPr="0072678C">
        <w:rPr>
          <w:rFonts w:asciiTheme="minorHAnsi" w:hAnsiTheme="minorHAnsi" w:cstheme="minorHAnsi"/>
          <w:bCs/>
          <w:sz w:val="22"/>
          <w:szCs w:val="22"/>
        </w:rPr>
        <w:t>deverá</w:t>
      </w:r>
      <w:r w:rsidR="00C30E7A" w:rsidRPr="0072678C">
        <w:rPr>
          <w:rFonts w:asciiTheme="minorHAnsi" w:hAnsiTheme="minorHAnsi" w:cstheme="minorHAnsi"/>
          <w:sz w:val="22"/>
          <w:szCs w:val="22"/>
        </w:rPr>
        <w:t xml:space="preserve"> a</w:t>
      </w:r>
      <w:r w:rsidR="00A45A18" w:rsidRPr="0072678C">
        <w:rPr>
          <w:rFonts w:asciiTheme="minorHAnsi" w:hAnsiTheme="minorHAnsi" w:cstheme="minorHAnsi"/>
          <w:sz w:val="22"/>
          <w:szCs w:val="22"/>
        </w:rPr>
        <w:t>presenta</w:t>
      </w:r>
      <w:r w:rsidRPr="0072678C">
        <w:rPr>
          <w:rFonts w:asciiTheme="minorHAnsi" w:hAnsiTheme="minorHAnsi" w:cstheme="minorHAnsi"/>
          <w:sz w:val="22"/>
          <w:szCs w:val="22"/>
        </w:rPr>
        <w:t>r</w:t>
      </w:r>
      <w:r w:rsidR="00A45A18" w:rsidRPr="0072678C">
        <w:rPr>
          <w:rFonts w:asciiTheme="minorHAnsi" w:hAnsiTheme="minorHAnsi" w:cstheme="minorHAnsi"/>
          <w:sz w:val="22"/>
          <w:szCs w:val="22"/>
        </w:rPr>
        <w:t xml:space="preserve"> mecanismos de responsabilização dos níveis de governança no que tange a avaliação, direcionamento e monitoramento</w:t>
      </w:r>
      <w:r w:rsidR="00C30E7A" w:rsidRPr="0072678C">
        <w:rPr>
          <w:rFonts w:asciiTheme="minorHAnsi" w:hAnsiTheme="minorHAnsi" w:cstheme="minorHAnsi"/>
          <w:sz w:val="22"/>
          <w:szCs w:val="22"/>
        </w:rPr>
        <w:t>; r</w:t>
      </w:r>
      <w:r w:rsidR="00A45A18" w:rsidRPr="0072678C">
        <w:rPr>
          <w:rFonts w:asciiTheme="minorHAnsi" w:hAnsiTheme="minorHAnsi" w:cstheme="minorHAnsi"/>
          <w:sz w:val="22"/>
          <w:szCs w:val="22"/>
        </w:rPr>
        <w:t>evisa</w:t>
      </w:r>
      <w:r w:rsidR="00920825" w:rsidRPr="0072678C">
        <w:rPr>
          <w:rFonts w:asciiTheme="minorHAnsi" w:hAnsiTheme="minorHAnsi" w:cstheme="minorHAnsi"/>
          <w:sz w:val="22"/>
          <w:szCs w:val="22"/>
        </w:rPr>
        <w:t>r</w:t>
      </w:r>
      <w:r w:rsidR="00A45A18" w:rsidRPr="0072678C">
        <w:rPr>
          <w:rFonts w:asciiTheme="minorHAnsi" w:hAnsiTheme="minorHAnsi" w:cstheme="minorHAnsi"/>
          <w:sz w:val="22"/>
          <w:szCs w:val="22"/>
        </w:rPr>
        <w:t xml:space="preserve"> periodicamente os papéis, atribuições e responsabilidades</w:t>
      </w:r>
      <w:r w:rsidR="00C30E7A" w:rsidRPr="0072678C">
        <w:rPr>
          <w:rFonts w:asciiTheme="minorHAnsi" w:hAnsiTheme="minorHAnsi" w:cstheme="minorHAnsi"/>
          <w:sz w:val="22"/>
          <w:szCs w:val="22"/>
        </w:rPr>
        <w:t>; i</w:t>
      </w:r>
      <w:r w:rsidR="00A45A18" w:rsidRPr="0072678C">
        <w:rPr>
          <w:rFonts w:asciiTheme="minorHAnsi" w:hAnsiTheme="minorHAnsi" w:cstheme="minorHAnsi"/>
          <w:sz w:val="22"/>
          <w:szCs w:val="22"/>
        </w:rPr>
        <w:t>nstitui</w:t>
      </w:r>
      <w:r w:rsidR="00920825" w:rsidRPr="0072678C">
        <w:rPr>
          <w:rFonts w:asciiTheme="minorHAnsi" w:hAnsiTheme="minorHAnsi" w:cstheme="minorHAnsi"/>
          <w:sz w:val="22"/>
          <w:szCs w:val="22"/>
        </w:rPr>
        <w:t>r</w:t>
      </w:r>
      <w:r w:rsidR="00A45A18" w:rsidRPr="0072678C">
        <w:rPr>
          <w:rFonts w:asciiTheme="minorHAnsi" w:hAnsiTheme="minorHAnsi" w:cstheme="minorHAnsi"/>
          <w:sz w:val="22"/>
          <w:szCs w:val="22"/>
        </w:rPr>
        <w:t xml:space="preserve"> formalmente código de ética e monitora</w:t>
      </w:r>
      <w:r w:rsidR="0026728E" w:rsidRPr="0072678C">
        <w:rPr>
          <w:rFonts w:asciiTheme="minorHAnsi" w:hAnsiTheme="minorHAnsi" w:cstheme="minorHAnsi"/>
          <w:sz w:val="22"/>
          <w:szCs w:val="22"/>
        </w:rPr>
        <w:t>r</w:t>
      </w:r>
      <w:r w:rsidR="00A45A18" w:rsidRPr="0072678C">
        <w:rPr>
          <w:rFonts w:asciiTheme="minorHAnsi" w:hAnsiTheme="minorHAnsi" w:cstheme="minorHAnsi"/>
          <w:sz w:val="22"/>
          <w:szCs w:val="22"/>
        </w:rPr>
        <w:t xml:space="preserve"> o seu cumprimento</w:t>
      </w:r>
      <w:r w:rsidR="00C30E7A" w:rsidRPr="0072678C">
        <w:rPr>
          <w:rFonts w:asciiTheme="minorHAnsi" w:hAnsiTheme="minorHAnsi" w:cstheme="minorHAnsi"/>
          <w:sz w:val="22"/>
          <w:szCs w:val="22"/>
        </w:rPr>
        <w:t>; e m</w:t>
      </w:r>
      <w:r w:rsidR="00A45A18" w:rsidRPr="0072678C">
        <w:rPr>
          <w:rFonts w:asciiTheme="minorHAnsi" w:hAnsiTheme="minorHAnsi" w:cstheme="minorHAnsi"/>
          <w:sz w:val="22"/>
          <w:szCs w:val="22"/>
        </w:rPr>
        <w:t>onitora</w:t>
      </w:r>
      <w:r w:rsidR="00920825" w:rsidRPr="0072678C">
        <w:rPr>
          <w:rFonts w:asciiTheme="minorHAnsi" w:hAnsiTheme="minorHAnsi" w:cstheme="minorHAnsi"/>
          <w:sz w:val="22"/>
          <w:szCs w:val="22"/>
        </w:rPr>
        <w:t>r</w:t>
      </w:r>
      <w:r w:rsidR="00A45A18" w:rsidRPr="0072678C">
        <w:rPr>
          <w:rFonts w:asciiTheme="minorHAnsi" w:hAnsiTheme="minorHAnsi" w:cstheme="minorHAnsi"/>
          <w:sz w:val="22"/>
          <w:szCs w:val="22"/>
        </w:rPr>
        <w:t xml:space="preserve"> e avalia</w:t>
      </w:r>
      <w:r w:rsidR="00920825" w:rsidRPr="0072678C">
        <w:rPr>
          <w:rFonts w:asciiTheme="minorHAnsi" w:hAnsiTheme="minorHAnsi" w:cstheme="minorHAnsi"/>
          <w:sz w:val="22"/>
          <w:szCs w:val="22"/>
        </w:rPr>
        <w:t>r</w:t>
      </w:r>
      <w:r w:rsidR="00A45A18" w:rsidRPr="0072678C">
        <w:rPr>
          <w:rFonts w:asciiTheme="minorHAnsi" w:hAnsiTheme="minorHAnsi" w:cstheme="minorHAnsi"/>
          <w:sz w:val="22"/>
          <w:szCs w:val="22"/>
        </w:rPr>
        <w:t xml:space="preserve"> o desempenho organizacional</w:t>
      </w:r>
      <w:r w:rsidR="00C30E7A" w:rsidRPr="0072678C">
        <w:rPr>
          <w:rFonts w:asciiTheme="minorHAnsi" w:hAnsiTheme="minorHAnsi" w:cstheme="minorHAnsi"/>
          <w:sz w:val="22"/>
          <w:szCs w:val="22"/>
        </w:rPr>
        <w:t xml:space="preserve">. </w:t>
      </w:r>
    </w:p>
    <w:p w:rsidR="00C30E7A" w:rsidRPr="0072678C" w:rsidRDefault="00C30E7A" w:rsidP="00C30E7A">
      <w:pPr>
        <w:jc w:val="both"/>
        <w:rPr>
          <w:rFonts w:asciiTheme="minorHAnsi" w:hAnsiTheme="minorHAnsi" w:cstheme="minorHAnsi"/>
          <w:sz w:val="22"/>
          <w:szCs w:val="22"/>
        </w:rPr>
      </w:pPr>
    </w:p>
    <w:p w:rsidR="00C30E7A" w:rsidRPr="0072678C" w:rsidRDefault="00C30E7A" w:rsidP="00C30E7A">
      <w:pPr>
        <w:jc w:val="both"/>
        <w:rPr>
          <w:rFonts w:asciiTheme="minorHAnsi" w:hAnsiTheme="minorHAnsi" w:cstheme="minorHAnsi"/>
          <w:sz w:val="22"/>
          <w:szCs w:val="22"/>
        </w:rPr>
      </w:pPr>
      <w:r w:rsidRPr="0072678C">
        <w:rPr>
          <w:rFonts w:asciiTheme="minorHAnsi" w:hAnsiTheme="minorHAnsi" w:cstheme="minorHAnsi"/>
          <w:sz w:val="22"/>
          <w:szCs w:val="22"/>
        </w:rPr>
        <w:lastRenderedPageBreak/>
        <w:t xml:space="preserve">No que se refere ao </w:t>
      </w:r>
      <w:r w:rsidRPr="0072678C">
        <w:rPr>
          <w:rFonts w:asciiTheme="minorHAnsi" w:hAnsiTheme="minorHAnsi" w:cstheme="minorHAnsi"/>
          <w:b/>
          <w:bCs/>
          <w:i/>
          <w:iCs/>
          <w:sz w:val="22"/>
          <w:szCs w:val="22"/>
        </w:rPr>
        <w:t xml:space="preserve">direcionamento estratégico da gestão fiscal </w:t>
      </w:r>
      <w:r w:rsidRPr="0072678C">
        <w:rPr>
          <w:rFonts w:asciiTheme="minorHAnsi" w:hAnsiTheme="minorHAnsi" w:cstheme="minorHAnsi"/>
          <w:sz w:val="22"/>
          <w:szCs w:val="22"/>
        </w:rPr>
        <w:t>deverá: comunica</w:t>
      </w:r>
      <w:r w:rsidR="00E07732">
        <w:rPr>
          <w:rFonts w:asciiTheme="minorHAnsi" w:hAnsiTheme="minorHAnsi" w:cstheme="minorHAnsi"/>
          <w:sz w:val="22"/>
          <w:szCs w:val="22"/>
        </w:rPr>
        <w:t>r</w:t>
      </w:r>
      <w:r w:rsidRPr="0072678C">
        <w:rPr>
          <w:rFonts w:asciiTheme="minorHAnsi" w:hAnsiTheme="minorHAnsi" w:cstheme="minorHAnsi"/>
          <w:sz w:val="22"/>
          <w:szCs w:val="22"/>
        </w:rPr>
        <w:t xml:space="preserve"> as políticas, diretrizes e metas estratégicas formal e tempestivamente para respectivas áreas; e realizar avaliação de riscos nas áreas tributária e financeira, </w:t>
      </w:r>
      <w:r w:rsidR="00920825" w:rsidRPr="0072678C">
        <w:rPr>
          <w:rFonts w:asciiTheme="minorHAnsi" w:hAnsiTheme="minorHAnsi" w:cstheme="minorHAnsi"/>
          <w:sz w:val="22"/>
          <w:szCs w:val="22"/>
        </w:rPr>
        <w:t xml:space="preserve">além de </w:t>
      </w:r>
      <w:r w:rsidRPr="0072678C">
        <w:rPr>
          <w:rFonts w:asciiTheme="minorHAnsi" w:hAnsiTheme="minorHAnsi" w:cstheme="minorHAnsi"/>
          <w:sz w:val="22"/>
          <w:szCs w:val="22"/>
        </w:rPr>
        <w:t>definir e gerencia</w:t>
      </w:r>
      <w:r w:rsidR="0026728E" w:rsidRPr="0072678C">
        <w:rPr>
          <w:rFonts w:asciiTheme="minorHAnsi" w:hAnsiTheme="minorHAnsi" w:cstheme="minorHAnsi"/>
          <w:sz w:val="22"/>
          <w:szCs w:val="22"/>
        </w:rPr>
        <w:t>r</w:t>
      </w:r>
      <w:r w:rsidRPr="0072678C">
        <w:rPr>
          <w:rFonts w:asciiTheme="minorHAnsi" w:hAnsiTheme="minorHAnsi" w:cstheme="minorHAnsi"/>
          <w:sz w:val="22"/>
          <w:szCs w:val="22"/>
        </w:rPr>
        <w:t xml:space="preserve"> </w:t>
      </w:r>
      <w:r w:rsidR="0026728E" w:rsidRPr="0072678C">
        <w:rPr>
          <w:rFonts w:asciiTheme="minorHAnsi" w:hAnsiTheme="minorHAnsi" w:cstheme="minorHAnsi"/>
          <w:sz w:val="22"/>
          <w:szCs w:val="22"/>
        </w:rPr>
        <w:t xml:space="preserve">um </w:t>
      </w:r>
      <w:r w:rsidRPr="0072678C">
        <w:rPr>
          <w:rFonts w:asciiTheme="minorHAnsi" w:hAnsiTheme="minorHAnsi" w:cstheme="minorHAnsi"/>
          <w:sz w:val="22"/>
          <w:szCs w:val="22"/>
        </w:rPr>
        <w:t>plano de mitigação</w:t>
      </w:r>
      <w:r w:rsidR="0026728E" w:rsidRPr="0072678C">
        <w:rPr>
          <w:rFonts w:asciiTheme="minorHAnsi" w:hAnsiTheme="minorHAnsi" w:cstheme="minorHAnsi"/>
          <w:sz w:val="22"/>
          <w:szCs w:val="22"/>
        </w:rPr>
        <w:t xml:space="preserve"> de riscos</w:t>
      </w:r>
      <w:r w:rsidRPr="0072678C">
        <w:rPr>
          <w:rFonts w:asciiTheme="minorHAnsi" w:hAnsiTheme="minorHAnsi" w:cstheme="minorHAnsi"/>
          <w:sz w:val="22"/>
          <w:szCs w:val="22"/>
        </w:rPr>
        <w:t>.</w:t>
      </w:r>
    </w:p>
    <w:p w:rsidR="00C30E7A" w:rsidRPr="0072678C" w:rsidRDefault="00C30E7A" w:rsidP="00C30E7A">
      <w:pPr>
        <w:jc w:val="both"/>
        <w:rPr>
          <w:rFonts w:asciiTheme="minorHAnsi" w:hAnsiTheme="minorHAnsi" w:cstheme="minorHAnsi"/>
          <w:sz w:val="22"/>
          <w:szCs w:val="22"/>
        </w:rPr>
      </w:pPr>
    </w:p>
    <w:p w:rsidR="00C30E7A" w:rsidRPr="0072678C" w:rsidRDefault="00C30E7A" w:rsidP="001C2311">
      <w:pPr>
        <w:jc w:val="both"/>
        <w:rPr>
          <w:rFonts w:asciiTheme="minorHAnsi" w:hAnsiTheme="minorHAnsi" w:cstheme="minorHAnsi"/>
          <w:sz w:val="22"/>
          <w:szCs w:val="22"/>
        </w:rPr>
      </w:pPr>
      <w:r w:rsidRPr="0072678C">
        <w:rPr>
          <w:rFonts w:asciiTheme="minorHAnsi" w:hAnsiTheme="minorHAnsi" w:cstheme="minorHAnsi"/>
          <w:sz w:val="22"/>
          <w:szCs w:val="22"/>
        </w:rPr>
        <w:t xml:space="preserve">Para o processo </w:t>
      </w:r>
      <w:r w:rsidRPr="0072678C">
        <w:rPr>
          <w:rFonts w:asciiTheme="minorHAnsi" w:hAnsiTheme="minorHAnsi" w:cstheme="minorHAnsi"/>
          <w:b/>
          <w:bCs/>
          <w:i/>
          <w:iCs/>
          <w:sz w:val="22"/>
          <w:szCs w:val="22"/>
        </w:rPr>
        <w:t>plano estratégico da gestão fiscal</w:t>
      </w:r>
      <w:r w:rsidRPr="0072678C">
        <w:rPr>
          <w:rFonts w:asciiTheme="minorHAnsi" w:hAnsiTheme="minorHAnsi" w:cstheme="minorHAnsi"/>
          <w:sz w:val="22"/>
          <w:szCs w:val="22"/>
        </w:rPr>
        <w:t xml:space="preserve"> </w:t>
      </w:r>
      <w:r w:rsidR="001C2311" w:rsidRPr="0072678C">
        <w:rPr>
          <w:rFonts w:asciiTheme="minorHAnsi" w:hAnsiTheme="minorHAnsi" w:cstheme="minorHAnsi"/>
          <w:sz w:val="22"/>
          <w:szCs w:val="22"/>
        </w:rPr>
        <w:t xml:space="preserve">a SEFAZ/SP deverá utilizar </w:t>
      </w:r>
      <w:r w:rsidRPr="0072678C">
        <w:rPr>
          <w:rFonts w:asciiTheme="minorHAnsi" w:hAnsiTheme="minorHAnsi" w:cstheme="minorHAnsi"/>
          <w:sz w:val="22"/>
          <w:szCs w:val="22"/>
        </w:rPr>
        <w:t>as diretrizes do plano estratégico estadual</w:t>
      </w:r>
      <w:r w:rsidR="001C2311" w:rsidRPr="0072678C">
        <w:rPr>
          <w:rFonts w:asciiTheme="minorHAnsi" w:hAnsiTheme="minorHAnsi" w:cstheme="minorHAnsi"/>
          <w:sz w:val="22"/>
          <w:szCs w:val="22"/>
        </w:rPr>
        <w:t>; c</w:t>
      </w:r>
      <w:r w:rsidRPr="0072678C">
        <w:rPr>
          <w:rFonts w:asciiTheme="minorHAnsi" w:hAnsiTheme="minorHAnsi" w:cstheme="minorHAnsi"/>
          <w:sz w:val="22"/>
          <w:szCs w:val="22"/>
        </w:rPr>
        <w:t>onsidera</w:t>
      </w:r>
      <w:r w:rsidR="001C2311" w:rsidRPr="0072678C">
        <w:rPr>
          <w:rFonts w:asciiTheme="minorHAnsi" w:hAnsiTheme="minorHAnsi" w:cstheme="minorHAnsi"/>
          <w:sz w:val="22"/>
          <w:szCs w:val="22"/>
        </w:rPr>
        <w:t>r</w:t>
      </w:r>
      <w:r w:rsidRPr="0072678C">
        <w:rPr>
          <w:rFonts w:asciiTheme="minorHAnsi" w:hAnsiTheme="minorHAnsi" w:cstheme="minorHAnsi"/>
          <w:sz w:val="22"/>
          <w:szCs w:val="22"/>
        </w:rPr>
        <w:t xml:space="preserve"> a participação de atores externos em sua etapa de formulação</w:t>
      </w:r>
      <w:r w:rsidR="001C2311" w:rsidRPr="0072678C">
        <w:rPr>
          <w:rFonts w:asciiTheme="minorHAnsi" w:hAnsiTheme="minorHAnsi" w:cstheme="minorHAnsi"/>
          <w:sz w:val="22"/>
          <w:szCs w:val="22"/>
        </w:rPr>
        <w:t xml:space="preserve">; e definir </w:t>
      </w:r>
      <w:r w:rsidRPr="0072678C">
        <w:rPr>
          <w:rFonts w:asciiTheme="minorHAnsi" w:hAnsiTheme="minorHAnsi" w:cstheme="minorHAnsi"/>
          <w:sz w:val="22"/>
          <w:szCs w:val="22"/>
        </w:rPr>
        <w:t>metas de curto, médio e longo prazos, associadas aos indicadores de resultado</w:t>
      </w:r>
      <w:r w:rsidR="001C2311" w:rsidRPr="0072678C">
        <w:rPr>
          <w:rFonts w:asciiTheme="minorHAnsi" w:hAnsiTheme="minorHAnsi" w:cstheme="minorHAnsi"/>
          <w:sz w:val="22"/>
          <w:szCs w:val="22"/>
        </w:rPr>
        <w:t>.</w:t>
      </w:r>
    </w:p>
    <w:p w:rsidR="00A45A18" w:rsidRPr="0072678C" w:rsidRDefault="00A45A18" w:rsidP="003E2E2B">
      <w:pPr>
        <w:jc w:val="both"/>
        <w:rPr>
          <w:rFonts w:asciiTheme="minorHAnsi" w:hAnsiTheme="minorHAnsi" w:cstheme="minorHAnsi"/>
          <w:sz w:val="22"/>
          <w:szCs w:val="22"/>
        </w:rPr>
      </w:pPr>
    </w:p>
    <w:p w:rsidR="001C2311" w:rsidRPr="0072678C" w:rsidRDefault="0026728E" w:rsidP="001C2311">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00592617" w:rsidRPr="0072678C">
        <w:rPr>
          <w:rFonts w:asciiTheme="minorHAnsi" w:hAnsiTheme="minorHAnsi" w:cstheme="minorHAnsi"/>
          <w:sz w:val="22"/>
          <w:szCs w:val="22"/>
        </w:rPr>
        <w:t xml:space="preserve">processo </w:t>
      </w:r>
      <w:r w:rsidR="001C2311" w:rsidRPr="0072678C">
        <w:rPr>
          <w:rFonts w:asciiTheme="minorHAnsi" w:hAnsiTheme="minorHAnsi" w:cstheme="minorHAnsi"/>
          <w:b/>
          <w:bCs/>
          <w:i/>
          <w:iCs/>
          <w:sz w:val="22"/>
          <w:szCs w:val="22"/>
        </w:rPr>
        <w:t xml:space="preserve">avaliação e o monitoramento do plano estratégico </w:t>
      </w:r>
      <w:r w:rsidRPr="0072678C">
        <w:rPr>
          <w:rFonts w:asciiTheme="minorHAnsi" w:hAnsiTheme="minorHAnsi" w:cstheme="minorHAnsi"/>
          <w:bCs/>
          <w:iCs/>
          <w:sz w:val="22"/>
          <w:szCs w:val="22"/>
        </w:rPr>
        <w:t>ainda não u</w:t>
      </w:r>
      <w:r w:rsidR="001C2311" w:rsidRPr="0072678C">
        <w:rPr>
          <w:rFonts w:asciiTheme="minorHAnsi" w:hAnsiTheme="minorHAnsi" w:cstheme="minorHAnsi"/>
          <w:sz w:val="22"/>
          <w:szCs w:val="22"/>
        </w:rPr>
        <w:t>tiliza</w:t>
      </w:r>
      <w:r w:rsidR="00592617" w:rsidRPr="0072678C">
        <w:rPr>
          <w:rFonts w:asciiTheme="minorHAnsi" w:hAnsiTheme="minorHAnsi" w:cstheme="minorHAnsi"/>
          <w:sz w:val="22"/>
          <w:szCs w:val="22"/>
        </w:rPr>
        <w:t>r</w:t>
      </w:r>
      <w:r w:rsidR="001C2311"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uma </w:t>
      </w:r>
      <w:r w:rsidR="001C2311" w:rsidRPr="0072678C">
        <w:rPr>
          <w:rFonts w:asciiTheme="minorHAnsi" w:hAnsiTheme="minorHAnsi" w:cstheme="minorHAnsi"/>
          <w:sz w:val="22"/>
          <w:szCs w:val="22"/>
        </w:rPr>
        <w:t>metodologia formalizada e divulgada</w:t>
      </w:r>
      <w:r w:rsidR="00E477E9" w:rsidRPr="0072678C">
        <w:rPr>
          <w:rFonts w:asciiTheme="minorHAnsi" w:hAnsiTheme="minorHAnsi" w:cstheme="minorHAnsi"/>
          <w:sz w:val="22"/>
          <w:szCs w:val="22"/>
        </w:rPr>
        <w:t xml:space="preserve"> para todos os Líderes e Servidores da SEFAZ/SP.</w:t>
      </w:r>
    </w:p>
    <w:p w:rsidR="00A45A18" w:rsidRPr="0072678C" w:rsidRDefault="00A45A18" w:rsidP="003E2E2B">
      <w:pPr>
        <w:jc w:val="both"/>
        <w:rPr>
          <w:rFonts w:asciiTheme="minorHAnsi" w:hAnsiTheme="minorHAnsi" w:cstheme="minorHAnsi"/>
          <w:sz w:val="22"/>
          <w:szCs w:val="22"/>
        </w:rPr>
      </w:pPr>
    </w:p>
    <w:p w:rsidR="001C2311" w:rsidRPr="0072678C" w:rsidRDefault="00592617" w:rsidP="00B9053B">
      <w:pPr>
        <w:jc w:val="both"/>
        <w:rPr>
          <w:rFonts w:asciiTheme="minorHAnsi" w:hAnsiTheme="minorHAnsi" w:cstheme="minorHAnsi"/>
          <w:sz w:val="22"/>
          <w:szCs w:val="22"/>
        </w:rPr>
      </w:pPr>
      <w:r w:rsidRPr="0072678C">
        <w:rPr>
          <w:rFonts w:asciiTheme="minorHAnsi" w:hAnsiTheme="minorHAnsi" w:cstheme="minorHAnsi"/>
          <w:sz w:val="22"/>
          <w:szCs w:val="22"/>
        </w:rPr>
        <w:t xml:space="preserve">No que se refere ao </w:t>
      </w:r>
      <w:r w:rsidR="00B9053B" w:rsidRPr="0072678C">
        <w:rPr>
          <w:rFonts w:asciiTheme="minorHAnsi" w:hAnsiTheme="minorHAnsi" w:cstheme="minorHAnsi"/>
          <w:sz w:val="22"/>
          <w:szCs w:val="22"/>
        </w:rPr>
        <w:t xml:space="preserve">processo </w:t>
      </w:r>
      <w:r w:rsidR="001C2311" w:rsidRPr="0072678C">
        <w:rPr>
          <w:rFonts w:asciiTheme="minorHAnsi" w:hAnsiTheme="minorHAnsi" w:cstheme="minorHAnsi"/>
          <w:b/>
          <w:bCs/>
          <w:i/>
          <w:iCs/>
          <w:sz w:val="22"/>
          <w:szCs w:val="22"/>
        </w:rPr>
        <w:t>gestão de projetos</w:t>
      </w:r>
      <w:r w:rsidRPr="0072678C">
        <w:rPr>
          <w:rFonts w:asciiTheme="minorHAnsi" w:hAnsiTheme="minorHAnsi" w:cstheme="minorHAnsi"/>
          <w:b/>
          <w:bCs/>
          <w:i/>
          <w:iCs/>
          <w:sz w:val="22"/>
          <w:szCs w:val="22"/>
        </w:rPr>
        <w:t xml:space="preserve">, </w:t>
      </w:r>
      <w:r w:rsidRPr="0072678C">
        <w:rPr>
          <w:rFonts w:asciiTheme="minorHAnsi" w:hAnsiTheme="minorHAnsi" w:cstheme="minorHAnsi"/>
          <w:sz w:val="22"/>
          <w:szCs w:val="22"/>
        </w:rPr>
        <w:t xml:space="preserve">este </w:t>
      </w:r>
      <w:r w:rsidR="00B9053B" w:rsidRPr="0072678C">
        <w:rPr>
          <w:rFonts w:asciiTheme="minorHAnsi" w:hAnsiTheme="minorHAnsi" w:cstheme="minorHAnsi"/>
          <w:sz w:val="22"/>
          <w:szCs w:val="22"/>
        </w:rPr>
        <w:t xml:space="preserve">necessitará de maior atenção com relação </w:t>
      </w:r>
      <w:r w:rsidR="001C2311" w:rsidRPr="0072678C">
        <w:rPr>
          <w:rFonts w:asciiTheme="minorHAnsi" w:hAnsiTheme="minorHAnsi" w:cstheme="minorHAnsi"/>
          <w:sz w:val="22"/>
          <w:szCs w:val="22"/>
        </w:rPr>
        <w:t>aos seguintes requisitos</w:t>
      </w:r>
      <w:r w:rsidR="00B9053B" w:rsidRPr="0072678C">
        <w:rPr>
          <w:rFonts w:asciiTheme="minorHAnsi" w:hAnsiTheme="minorHAnsi" w:cstheme="minorHAnsi"/>
          <w:sz w:val="22"/>
          <w:szCs w:val="22"/>
        </w:rPr>
        <w:t xml:space="preserve"> para melhoria da maturidade: </w:t>
      </w:r>
      <w:r w:rsidRPr="0072678C">
        <w:rPr>
          <w:rFonts w:asciiTheme="minorHAnsi" w:hAnsiTheme="minorHAnsi" w:cstheme="minorHAnsi"/>
          <w:sz w:val="22"/>
          <w:szCs w:val="22"/>
        </w:rPr>
        <w:t xml:space="preserve">os projetos deverão ser </w:t>
      </w:r>
      <w:r w:rsidR="00B9053B" w:rsidRPr="0072678C">
        <w:rPr>
          <w:rFonts w:asciiTheme="minorHAnsi" w:hAnsiTheme="minorHAnsi" w:cstheme="minorHAnsi"/>
          <w:sz w:val="22"/>
          <w:szCs w:val="22"/>
        </w:rPr>
        <w:t>p</w:t>
      </w:r>
      <w:r w:rsidR="001C2311" w:rsidRPr="0072678C">
        <w:rPr>
          <w:rFonts w:asciiTheme="minorHAnsi" w:hAnsiTheme="minorHAnsi" w:cstheme="minorHAnsi"/>
          <w:sz w:val="22"/>
          <w:szCs w:val="22"/>
        </w:rPr>
        <w:t>rioriza</w:t>
      </w:r>
      <w:r w:rsidRPr="0072678C">
        <w:rPr>
          <w:rFonts w:asciiTheme="minorHAnsi" w:hAnsiTheme="minorHAnsi" w:cstheme="minorHAnsi"/>
          <w:sz w:val="22"/>
          <w:szCs w:val="22"/>
        </w:rPr>
        <w:t xml:space="preserve">dos </w:t>
      </w:r>
      <w:r w:rsidR="001C2311" w:rsidRPr="0072678C">
        <w:rPr>
          <w:rFonts w:asciiTheme="minorHAnsi" w:hAnsiTheme="minorHAnsi" w:cstheme="minorHAnsi"/>
          <w:sz w:val="22"/>
          <w:szCs w:val="22"/>
        </w:rPr>
        <w:t>de acordo com a estraté</w:t>
      </w:r>
      <w:r w:rsidR="00B9053B" w:rsidRPr="0072678C">
        <w:rPr>
          <w:rFonts w:asciiTheme="minorHAnsi" w:hAnsiTheme="minorHAnsi" w:cstheme="minorHAnsi"/>
          <w:sz w:val="22"/>
          <w:szCs w:val="22"/>
        </w:rPr>
        <w:t>gia formalizada no planejamento</w:t>
      </w:r>
      <w:r w:rsidR="00E477E9" w:rsidRPr="0072678C">
        <w:rPr>
          <w:rFonts w:asciiTheme="minorHAnsi" w:hAnsiTheme="minorHAnsi" w:cstheme="minorHAnsi"/>
          <w:sz w:val="22"/>
          <w:szCs w:val="22"/>
        </w:rPr>
        <w:t xml:space="preserve"> estratégico</w:t>
      </w:r>
      <w:r w:rsidR="00B9053B" w:rsidRPr="0072678C">
        <w:rPr>
          <w:rFonts w:asciiTheme="minorHAnsi" w:hAnsiTheme="minorHAnsi" w:cstheme="minorHAnsi"/>
          <w:sz w:val="22"/>
          <w:szCs w:val="22"/>
        </w:rPr>
        <w:t xml:space="preserve">; </w:t>
      </w:r>
      <w:r w:rsidR="00E477E9" w:rsidRPr="0072678C">
        <w:rPr>
          <w:rFonts w:asciiTheme="minorHAnsi" w:hAnsiTheme="minorHAnsi" w:cstheme="minorHAnsi"/>
          <w:sz w:val="22"/>
          <w:szCs w:val="22"/>
        </w:rPr>
        <w:t xml:space="preserve">deverá </w:t>
      </w:r>
      <w:r w:rsidR="00B9053B" w:rsidRPr="0072678C">
        <w:rPr>
          <w:rFonts w:asciiTheme="minorHAnsi" w:hAnsiTheme="minorHAnsi" w:cstheme="minorHAnsi"/>
          <w:sz w:val="22"/>
          <w:szCs w:val="22"/>
        </w:rPr>
        <w:t>u</w:t>
      </w:r>
      <w:r w:rsidR="001C2311" w:rsidRPr="0072678C">
        <w:rPr>
          <w:rFonts w:asciiTheme="minorHAnsi" w:hAnsiTheme="minorHAnsi" w:cstheme="minorHAnsi"/>
          <w:sz w:val="22"/>
          <w:szCs w:val="22"/>
        </w:rPr>
        <w:t>tiliza</w:t>
      </w:r>
      <w:r w:rsidR="00B9053B" w:rsidRPr="0072678C">
        <w:rPr>
          <w:rFonts w:asciiTheme="minorHAnsi" w:hAnsiTheme="minorHAnsi" w:cstheme="minorHAnsi"/>
          <w:sz w:val="22"/>
          <w:szCs w:val="22"/>
        </w:rPr>
        <w:t xml:space="preserve">r </w:t>
      </w:r>
      <w:r w:rsidR="001C2311" w:rsidRPr="0072678C">
        <w:rPr>
          <w:rFonts w:asciiTheme="minorHAnsi" w:hAnsiTheme="minorHAnsi" w:cstheme="minorHAnsi"/>
          <w:sz w:val="22"/>
          <w:szCs w:val="22"/>
        </w:rPr>
        <w:t>metodologia com padronização de concei</w:t>
      </w:r>
      <w:r w:rsidR="00B9053B" w:rsidRPr="0072678C">
        <w:rPr>
          <w:rFonts w:asciiTheme="minorHAnsi" w:hAnsiTheme="minorHAnsi" w:cstheme="minorHAnsi"/>
          <w:sz w:val="22"/>
          <w:szCs w:val="22"/>
        </w:rPr>
        <w:t>tos, procedimentos e documentos; i</w:t>
      </w:r>
      <w:r w:rsidR="001C2311" w:rsidRPr="0072678C">
        <w:rPr>
          <w:rFonts w:asciiTheme="minorHAnsi" w:hAnsiTheme="minorHAnsi" w:cstheme="minorHAnsi"/>
          <w:sz w:val="22"/>
          <w:szCs w:val="22"/>
        </w:rPr>
        <w:t>mplementa</w:t>
      </w:r>
      <w:r w:rsidR="00B9053B" w:rsidRPr="0072678C">
        <w:rPr>
          <w:rFonts w:asciiTheme="minorHAnsi" w:hAnsiTheme="minorHAnsi" w:cstheme="minorHAnsi"/>
          <w:sz w:val="22"/>
          <w:szCs w:val="22"/>
        </w:rPr>
        <w:t>r</w:t>
      </w:r>
      <w:r w:rsidR="001C2311" w:rsidRPr="0072678C">
        <w:rPr>
          <w:rFonts w:asciiTheme="minorHAnsi" w:hAnsiTheme="minorHAnsi" w:cstheme="minorHAnsi"/>
          <w:sz w:val="22"/>
          <w:szCs w:val="22"/>
        </w:rPr>
        <w:t xml:space="preserve"> ações para mitigação dos riscos do projeto</w:t>
      </w:r>
      <w:r w:rsidR="00B9053B" w:rsidRPr="0072678C">
        <w:rPr>
          <w:rFonts w:asciiTheme="minorHAnsi" w:hAnsiTheme="minorHAnsi" w:cstheme="minorHAnsi"/>
          <w:sz w:val="22"/>
          <w:szCs w:val="22"/>
        </w:rPr>
        <w:t>; m</w:t>
      </w:r>
      <w:r w:rsidR="001C2311" w:rsidRPr="0072678C">
        <w:rPr>
          <w:rFonts w:asciiTheme="minorHAnsi" w:hAnsiTheme="minorHAnsi" w:cstheme="minorHAnsi"/>
          <w:sz w:val="22"/>
          <w:szCs w:val="22"/>
        </w:rPr>
        <w:t>onitora</w:t>
      </w:r>
      <w:r w:rsidR="00B9053B" w:rsidRPr="0072678C">
        <w:rPr>
          <w:rFonts w:asciiTheme="minorHAnsi" w:hAnsiTheme="minorHAnsi" w:cstheme="minorHAnsi"/>
          <w:sz w:val="22"/>
          <w:szCs w:val="22"/>
        </w:rPr>
        <w:t>r</w:t>
      </w:r>
      <w:r w:rsidR="001C2311" w:rsidRPr="0072678C">
        <w:rPr>
          <w:rFonts w:asciiTheme="minorHAnsi" w:hAnsiTheme="minorHAnsi" w:cstheme="minorHAnsi"/>
          <w:sz w:val="22"/>
          <w:szCs w:val="22"/>
        </w:rPr>
        <w:t xml:space="preserve"> o progresso do projeto por meio de ferramenta </w:t>
      </w:r>
      <w:r w:rsidR="00E477E9" w:rsidRPr="0072678C">
        <w:rPr>
          <w:rFonts w:asciiTheme="minorHAnsi" w:hAnsiTheme="minorHAnsi" w:cstheme="minorHAnsi"/>
          <w:sz w:val="22"/>
          <w:szCs w:val="22"/>
        </w:rPr>
        <w:t xml:space="preserve">uma </w:t>
      </w:r>
      <w:r w:rsidR="001C2311" w:rsidRPr="0072678C">
        <w:rPr>
          <w:rFonts w:asciiTheme="minorHAnsi" w:hAnsiTheme="minorHAnsi" w:cstheme="minorHAnsi"/>
          <w:sz w:val="22"/>
          <w:szCs w:val="22"/>
        </w:rPr>
        <w:t>WEB com acompanhamento em tempo real</w:t>
      </w:r>
      <w:r w:rsidR="00B9053B" w:rsidRPr="0072678C">
        <w:rPr>
          <w:rFonts w:asciiTheme="minorHAnsi" w:hAnsiTheme="minorHAnsi" w:cstheme="minorHAnsi"/>
          <w:sz w:val="22"/>
          <w:szCs w:val="22"/>
        </w:rPr>
        <w:t>; d</w:t>
      </w:r>
      <w:r w:rsidR="001C2311" w:rsidRPr="0072678C">
        <w:rPr>
          <w:rFonts w:asciiTheme="minorHAnsi" w:hAnsiTheme="minorHAnsi" w:cstheme="minorHAnsi"/>
          <w:sz w:val="22"/>
          <w:szCs w:val="22"/>
        </w:rPr>
        <w:t>ivulga</w:t>
      </w:r>
      <w:r w:rsidR="00B9053B" w:rsidRPr="0072678C">
        <w:rPr>
          <w:rFonts w:asciiTheme="minorHAnsi" w:hAnsiTheme="minorHAnsi" w:cstheme="minorHAnsi"/>
          <w:sz w:val="22"/>
          <w:szCs w:val="22"/>
        </w:rPr>
        <w:t>r</w:t>
      </w:r>
      <w:r w:rsidR="001C2311" w:rsidRPr="0072678C">
        <w:rPr>
          <w:rFonts w:asciiTheme="minorHAnsi" w:hAnsiTheme="minorHAnsi" w:cstheme="minorHAnsi"/>
          <w:sz w:val="22"/>
          <w:szCs w:val="22"/>
        </w:rPr>
        <w:t xml:space="preserve"> os resultados das avaliações dos projetos para o público interno</w:t>
      </w:r>
      <w:r w:rsidR="00B9053B" w:rsidRPr="0072678C">
        <w:rPr>
          <w:rFonts w:asciiTheme="minorHAnsi" w:hAnsiTheme="minorHAnsi" w:cstheme="minorHAnsi"/>
          <w:sz w:val="22"/>
          <w:szCs w:val="22"/>
        </w:rPr>
        <w:t>; e e</w:t>
      </w:r>
      <w:r w:rsidR="001C2311" w:rsidRPr="0072678C">
        <w:rPr>
          <w:rFonts w:asciiTheme="minorHAnsi" w:hAnsiTheme="minorHAnsi" w:cstheme="minorHAnsi"/>
          <w:sz w:val="22"/>
          <w:szCs w:val="22"/>
        </w:rPr>
        <w:t>stabelece</w:t>
      </w:r>
      <w:r w:rsidR="00B9053B" w:rsidRPr="0072678C">
        <w:rPr>
          <w:rFonts w:asciiTheme="minorHAnsi" w:hAnsiTheme="minorHAnsi" w:cstheme="minorHAnsi"/>
          <w:sz w:val="22"/>
          <w:szCs w:val="22"/>
        </w:rPr>
        <w:t>r</w:t>
      </w:r>
      <w:r w:rsidR="001C2311" w:rsidRPr="0072678C">
        <w:rPr>
          <w:rFonts w:asciiTheme="minorHAnsi" w:hAnsiTheme="minorHAnsi" w:cstheme="minorHAnsi"/>
          <w:sz w:val="22"/>
          <w:szCs w:val="22"/>
        </w:rPr>
        <w:t xml:space="preserve"> redes de relacionamento na organização para disseminação das melhores práticas</w:t>
      </w:r>
      <w:r w:rsidR="00E477E9" w:rsidRPr="0072678C">
        <w:rPr>
          <w:rFonts w:asciiTheme="minorHAnsi" w:hAnsiTheme="minorHAnsi" w:cstheme="minorHAnsi"/>
          <w:sz w:val="22"/>
          <w:szCs w:val="22"/>
        </w:rPr>
        <w:t xml:space="preserve"> e do conhecimento</w:t>
      </w:r>
      <w:r w:rsidR="00B9053B" w:rsidRPr="0072678C">
        <w:rPr>
          <w:rFonts w:asciiTheme="minorHAnsi" w:hAnsiTheme="minorHAnsi" w:cstheme="minorHAnsi"/>
          <w:sz w:val="22"/>
          <w:szCs w:val="22"/>
        </w:rPr>
        <w:t>.</w:t>
      </w:r>
      <w:r w:rsidR="001C2311" w:rsidRPr="0072678C">
        <w:rPr>
          <w:rFonts w:asciiTheme="minorHAnsi" w:hAnsiTheme="minorHAnsi" w:cstheme="minorHAnsi"/>
          <w:sz w:val="22"/>
          <w:szCs w:val="22"/>
        </w:rPr>
        <w:t xml:space="preserve"> </w:t>
      </w:r>
    </w:p>
    <w:p w:rsidR="001C2311" w:rsidRPr="0072678C" w:rsidRDefault="001C2311" w:rsidP="003E2E2B">
      <w:pPr>
        <w:jc w:val="both"/>
        <w:rPr>
          <w:rFonts w:asciiTheme="minorHAnsi" w:hAnsiTheme="minorHAnsi" w:cstheme="minorHAnsi"/>
          <w:sz w:val="22"/>
          <w:szCs w:val="22"/>
        </w:rPr>
      </w:pPr>
    </w:p>
    <w:p w:rsidR="00B9053B" w:rsidRPr="0072678C" w:rsidRDefault="00B9053B" w:rsidP="00592617">
      <w:pPr>
        <w:jc w:val="both"/>
        <w:rPr>
          <w:rFonts w:asciiTheme="minorHAnsi" w:hAnsiTheme="minorHAnsi" w:cstheme="minorHAnsi"/>
          <w:sz w:val="22"/>
          <w:szCs w:val="22"/>
        </w:rPr>
      </w:pPr>
      <w:r w:rsidRPr="0072678C">
        <w:rPr>
          <w:rFonts w:asciiTheme="minorHAnsi" w:hAnsiTheme="minorHAnsi" w:cstheme="minorHAnsi"/>
          <w:sz w:val="22"/>
          <w:szCs w:val="22"/>
        </w:rPr>
        <w:t xml:space="preserve">O mesmo deverá acontecer com o processo </w:t>
      </w:r>
      <w:r w:rsidRPr="0072678C">
        <w:rPr>
          <w:rFonts w:asciiTheme="minorHAnsi" w:hAnsiTheme="minorHAnsi" w:cstheme="minorHAnsi"/>
          <w:b/>
          <w:i/>
          <w:sz w:val="22"/>
          <w:szCs w:val="22"/>
        </w:rPr>
        <w:t>gestão de processos</w:t>
      </w:r>
      <w:r w:rsidRPr="0072678C">
        <w:rPr>
          <w:rFonts w:asciiTheme="minorHAnsi" w:hAnsiTheme="minorHAnsi" w:cstheme="minorHAnsi"/>
          <w:sz w:val="22"/>
          <w:szCs w:val="22"/>
        </w:rPr>
        <w:t xml:space="preserve"> </w:t>
      </w:r>
      <w:r w:rsidR="00041CEC" w:rsidRPr="0072678C">
        <w:rPr>
          <w:rFonts w:asciiTheme="minorHAnsi" w:hAnsiTheme="minorHAnsi" w:cstheme="minorHAnsi"/>
          <w:sz w:val="22"/>
          <w:szCs w:val="22"/>
        </w:rPr>
        <w:t xml:space="preserve">onde será necessário </w:t>
      </w:r>
      <w:r w:rsidR="00592617" w:rsidRPr="0072678C">
        <w:rPr>
          <w:rFonts w:asciiTheme="minorHAnsi" w:hAnsiTheme="minorHAnsi" w:cstheme="minorHAnsi"/>
          <w:sz w:val="22"/>
          <w:szCs w:val="22"/>
        </w:rPr>
        <w:t xml:space="preserve">implementar as práticas de </w:t>
      </w:r>
      <w:r w:rsidRPr="0072678C">
        <w:rPr>
          <w:rFonts w:asciiTheme="minorHAnsi" w:hAnsiTheme="minorHAnsi" w:cstheme="minorHAnsi"/>
          <w:sz w:val="22"/>
          <w:szCs w:val="22"/>
        </w:rPr>
        <w:t xml:space="preserve">monitoramento e </w:t>
      </w:r>
      <w:r w:rsidR="00D12F9E" w:rsidRPr="0072678C">
        <w:rPr>
          <w:rFonts w:asciiTheme="minorHAnsi" w:hAnsiTheme="minorHAnsi" w:cstheme="minorHAnsi"/>
          <w:sz w:val="22"/>
          <w:szCs w:val="22"/>
        </w:rPr>
        <w:t>operação</w:t>
      </w:r>
      <w:r w:rsidRPr="0072678C">
        <w:rPr>
          <w:rFonts w:asciiTheme="minorHAnsi" w:hAnsiTheme="minorHAnsi" w:cstheme="minorHAnsi"/>
          <w:sz w:val="22"/>
          <w:szCs w:val="22"/>
        </w:rPr>
        <w:t xml:space="preserve"> assistida dos processos prioritários</w:t>
      </w:r>
      <w:r w:rsidR="00E477E9" w:rsidRPr="0072678C">
        <w:rPr>
          <w:rFonts w:asciiTheme="minorHAnsi" w:hAnsiTheme="minorHAnsi" w:cstheme="minorHAnsi"/>
          <w:sz w:val="22"/>
          <w:szCs w:val="22"/>
        </w:rPr>
        <w:t xml:space="preserve">, e </w:t>
      </w:r>
      <w:r w:rsidR="00D12F9E" w:rsidRPr="0072678C">
        <w:rPr>
          <w:rFonts w:asciiTheme="minorHAnsi" w:hAnsiTheme="minorHAnsi" w:cstheme="minorHAnsi"/>
          <w:sz w:val="22"/>
          <w:szCs w:val="22"/>
        </w:rPr>
        <w:t>r</w:t>
      </w:r>
      <w:r w:rsidRPr="0072678C">
        <w:rPr>
          <w:rFonts w:asciiTheme="minorHAnsi" w:hAnsiTheme="minorHAnsi" w:cstheme="minorHAnsi"/>
          <w:sz w:val="22"/>
          <w:szCs w:val="22"/>
        </w:rPr>
        <w:t>ealiza</w:t>
      </w:r>
      <w:r w:rsidR="00D12F9E" w:rsidRPr="0072678C">
        <w:rPr>
          <w:rFonts w:asciiTheme="minorHAnsi" w:hAnsiTheme="minorHAnsi" w:cstheme="minorHAnsi"/>
          <w:sz w:val="22"/>
          <w:szCs w:val="22"/>
        </w:rPr>
        <w:t>r</w:t>
      </w:r>
      <w:r w:rsidRPr="0072678C">
        <w:rPr>
          <w:rFonts w:asciiTheme="minorHAnsi" w:hAnsiTheme="minorHAnsi" w:cstheme="minorHAnsi"/>
          <w:sz w:val="22"/>
          <w:szCs w:val="22"/>
        </w:rPr>
        <w:t xml:space="preserve"> capacitação sistemática em gestão estratégica de processos</w:t>
      </w:r>
      <w:r w:rsidR="00D12F9E" w:rsidRPr="0072678C">
        <w:rPr>
          <w:rFonts w:asciiTheme="minorHAnsi" w:hAnsiTheme="minorHAnsi" w:cstheme="minorHAnsi"/>
          <w:sz w:val="22"/>
          <w:szCs w:val="22"/>
        </w:rPr>
        <w:t>.</w:t>
      </w:r>
    </w:p>
    <w:p w:rsidR="00D12F9E" w:rsidRPr="0072678C" w:rsidRDefault="00D12F9E" w:rsidP="008310D6">
      <w:pPr>
        <w:jc w:val="both"/>
        <w:rPr>
          <w:rFonts w:asciiTheme="minorHAnsi" w:hAnsiTheme="minorHAnsi" w:cstheme="minorHAnsi"/>
          <w:sz w:val="22"/>
          <w:szCs w:val="22"/>
        </w:rPr>
      </w:pPr>
    </w:p>
    <w:p w:rsidR="008310D6" w:rsidRPr="0072678C" w:rsidRDefault="00041CEC" w:rsidP="008310D6">
      <w:pPr>
        <w:jc w:val="both"/>
        <w:rPr>
          <w:rFonts w:asciiTheme="minorHAnsi" w:hAnsiTheme="minorHAnsi" w:cstheme="minorHAnsi"/>
          <w:sz w:val="22"/>
          <w:szCs w:val="22"/>
        </w:rPr>
      </w:pPr>
      <w:r w:rsidRPr="0072678C">
        <w:rPr>
          <w:rFonts w:asciiTheme="minorHAnsi" w:hAnsiTheme="minorHAnsi" w:cstheme="minorHAnsi"/>
          <w:sz w:val="22"/>
          <w:szCs w:val="22"/>
        </w:rPr>
        <w:t xml:space="preserve">Para o </w:t>
      </w:r>
      <w:r w:rsidR="008310D6" w:rsidRPr="0072678C">
        <w:rPr>
          <w:rFonts w:asciiTheme="minorHAnsi" w:hAnsiTheme="minorHAnsi" w:cstheme="minorHAnsi"/>
          <w:sz w:val="22"/>
          <w:szCs w:val="22"/>
        </w:rPr>
        <w:t xml:space="preserve">processo </w:t>
      </w:r>
      <w:r w:rsidR="008310D6" w:rsidRPr="0072678C">
        <w:rPr>
          <w:rFonts w:asciiTheme="minorHAnsi" w:hAnsiTheme="minorHAnsi" w:cstheme="minorHAnsi"/>
          <w:b/>
          <w:bCs/>
          <w:i/>
          <w:iCs/>
          <w:sz w:val="22"/>
          <w:szCs w:val="22"/>
        </w:rPr>
        <w:t>gerenciamento de riscos e o controle interno</w:t>
      </w:r>
      <w:r w:rsidRPr="0072678C">
        <w:rPr>
          <w:rFonts w:asciiTheme="minorHAnsi" w:hAnsiTheme="minorHAnsi" w:cstheme="minorHAnsi"/>
          <w:sz w:val="22"/>
          <w:szCs w:val="22"/>
        </w:rPr>
        <w:t xml:space="preserve"> </w:t>
      </w:r>
      <w:r w:rsidR="008310D6" w:rsidRPr="0072678C">
        <w:rPr>
          <w:rFonts w:asciiTheme="minorHAnsi" w:hAnsiTheme="minorHAnsi" w:cstheme="minorHAnsi"/>
          <w:sz w:val="22"/>
          <w:szCs w:val="22"/>
        </w:rPr>
        <w:t xml:space="preserve">dispor de ambiente de controle para o monitoramento e para avaliação de riscos, </w:t>
      </w:r>
      <w:r w:rsidRPr="0072678C">
        <w:rPr>
          <w:rFonts w:asciiTheme="minorHAnsi" w:hAnsiTheme="minorHAnsi" w:cstheme="minorHAnsi"/>
          <w:sz w:val="22"/>
          <w:szCs w:val="22"/>
        </w:rPr>
        <w:t xml:space="preserve">implantar ações para </w:t>
      </w:r>
      <w:r w:rsidR="008310D6" w:rsidRPr="0072678C">
        <w:rPr>
          <w:rFonts w:asciiTheme="minorHAnsi" w:hAnsiTheme="minorHAnsi" w:cstheme="minorHAnsi"/>
          <w:sz w:val="22"/>
          <w:szCs w:val="22"/>
        </w:rPr>
        <w:t>identificar os riscos críticos e implantar os controles internos para sua mitigação.</w:t>
      </w:r>
    </w:p>
    <w:p w:rsidR="008310D6" w:rsidRPr="0072678C" w:rsidRDefault="008310D6" w:rsidP="00B9053B">
      <w:pPr>
        <w:rPr>
          <w:rFonts w:asciiTheme="minorHAnsi" w:hAnsiTheme="minorHAnsi" w:cstheme="minorHAnsi"/>
          <w:sz w:val="22"/>
          <w:szCs w:val="22"/>
        </w:rPr>
      </w:pPr>
    </w:p>
    <w:p w:rsidR="008310D6" w:rsidRPr="0072678C" w:rsidRDefault="008310D6" w:rsidP="001D2F60">
      <w:pPr>
        <w:jc w:val="both"/>
        <w:rPr>
          <w:rFonts w:asciiTheme="minorHAnsi" w:hAnsiTheme="minorHAnsi" w:cstheme="minorHAnsi"/>
          <w:sz w:val="22"/>
          <w:szCs w:val="22"/>
        </w:rPr>
      </w:pPr>
      <w:r w:rsidRPr="0072678C">
        <w:rPr>
          <w:rFonts w:asciiTheme="minorHAnsi" w:hAnsiTheme="minorHAnsi" w:cstheme="minorHAnsi"/>
          <w:sz w:val="22"/>
          <w:szCs w:val="22"/>
        </w:rPr>
        <w:t>Os</w:t>
      </w:r>
      <w:r w:rsidRPr="0072678C">
        <w:rPr>
          <w:rFonts w:asciiTheme="minorHAnsi" w:hAnsiTheme="minorHAnsi" w:cstheme="minorHAnsi"/>
          <w:b/>
          <w:bCs/>
          <w:i/>
          <w:iCs/>
          <w:sz w:val="22"/>
          <w:szCs w:val="22"/>
        </w:rPr>
        <w:t xml:space="preserve"> procedimentos de correição da administração fiscal</w:t>
      </w:r>
      <w:r w:rsidRPr="0072678C">
        <w:rPr>
          <w:rFonts w:asciiTheme="minorHAnsi" w:hAnsiTheme="minorHAnsi" w:cstheme="minorHAnsi"/>
          <w:sz w:val="22"/>
          <w:szCs w:val="22"/>
        </w:rPr>
        <w:t xml:space="preserve"> deverá utilizar análise de riscos dos serviços prestados para identificar possíveis desvios de condutas dos servidores e dos contribuintes; aplicar na apuração de responsabilidade, </w:t>
      </w:r>
      <w:r w:rsidR="00B433E4" w:rsidRPr="0072678C">
        <w:rPr>
          <w:rFonts w:asciiTheme="minorHAnsi" w:hAnsiTheme="minorHAnsi" w:cstheme="minorHAnsi"/>
          <w:sz w:val="22"/>
          <w:szCs w:val="22"/>
        </w:rPr>
        <w:t xml:space="preserve">realizar </w:t>
      </w:r>
      <w:r w:rsidRPr="0072678C">
        <w:rPr>
          <w:rFonts w:asciiTheme="minorHAnsi" w:hAnsiTheme="minorHAnsi" w:cstheme="minorHAnsi"/>
          <w:sz w:val="22"/>
          <w:szCs w:val="22"/>
        </w:rPr>
        <w:t>sindicância contraditória e o proc</w:t>
      </w:r>
      <w:r w:rsidR="00041CEC" w:rsidRPr="0072678C">
        <w:rPr>
          <w:rFonts w:asciiTheme="minorHAnsi" w:hAnsiTheme="minorHAnsi" w:cstheme="minorHAnsi"/>
          <w:sz w:val="22"/>
          <w:szCs w:val="22"/>
        </w:rPr>
        <w:t xml:space="preserve">esso administrativo disciplinar </w:t>
      </w:r>
      <w:r w:rsidRPr="0072678C">
        <w:rPr>
          <w:rFonts w:asciiTheme="minorHAnsi" w:hAnsiTheme="minorHAnsi" w:cstheme="minorHAnsi"/>
          <w:sz w:val="22"/>
          <w:szCs w:val="22"/>
        </w:rPr>
        <w:t>(excluindo a investigação preliminar e as sindicâncias investigativa e patrimonial)</w:t>
      </w:r>
      <w:r w:rsidR="00B433E4" w:rsidRPr="0072678C">
        <w:rPr>
          <w:rFonts w:asciiTheme="minorHAnsi" w:hAnsiTheme="minorHAnsi" w:cstheme="minorHAnsi"/>
          <w:sz w:val="22"/>
          <w:szCs w:val="22"/>
        </w:rPr>
        <w:t xml:space="preserve">. Os procedimentos de correição devem ser suportados por </w:t>
      </w:r>
      <w:r w:rsidR="001D2F60" w:rsidRPr="0072678C">
        <w:rPr>
          <w:rFonts w:asciiTheme="minorHAnsi" w:hAnsiTheme="minorHAnsi" w:cstheme="minorHAnsi"/>
          <w:sz w:val="22"/>
          <w:szCs w:val="22"/>
        </w:rPr>
        <w:t xml:space="preserve">ferramentas </w:t>
      </w:r>
      <w:r w:rsidRPr="0072678C">
        <w:rPr>
          <w:rFonts w:asciiTheme="minorHAnsi" w:hAnsiTheme="minorHAnsi" w:cstheme="minorHAnsi"/>
          <w:sz w:val="22"/>
          <w:szCs w:val="22"/>
        </w:rPr>
        <w:t xml:space="preserve">e tecnologias para </w:t>
      </w:r>
      <w:r w:rsidR="00B433E4" w:rsidRPr="0072678C">
        <w:rPr>
          <w:rFonts w:asciiTheme="minorHAnsi" w:hAnsiTheme="minorHAnsi" w:cstheme="minorHAnsi"/>
          <w:sz w:val="22"/>
          <w:szCs w:val="22"/>
        </w:rPr>
        <w:t>melhorar o desempenho e análise de doados</w:t>
      </w:r>
      <w:r w:rsidR="001D2F60" w:rsidRPr="0072678C">
        <w:rPr>
          <w:rFonts w:asciiTheme="minorHAnsi" w:hAnsiTheme="minorHAnsi" w:cstheme="minorHAnsi"/>
          <w:sz w:val="22"/>
          <w:szCs w:val="22"/>
        </w:rPr>
        <w:t>.</w:t>
      </w:r>
    </w:p>
    <w:p w:rsidR="001D2F60" w:rsidRPr="0072678C" w:rsidRDefault="001D2F60" w:rsidP="00B9053B">
      <w:pPr>
        <w:rPr>
          <w:rFonts w:asciiTheme="minorHAnsi" w:hAnsiTheme="minorHAnsi" w:cstheme="minorHAnsi"/>
          <w:sz w:val="22"/>
          <w:szCs w:val="22"/>
        </w:rPr>
      </w:pPr>
    </w:p>
    <w:p w:rsidR="001D2F60" w:rsidRPr="0072678C" w:rsidRDefault="001D2F60" w:rsidP="00041CEC">
      <w:pPr>
        <w:jc w:val="both"/>
        <w:rPr>
          <w:rFonts w:asciiTheme="minorHAnsi" w:hAnsiTheme="minorHAnsi" w:cstheme="minorHAnsi"/>
          <w:sz w:val="22"/>
          <w:szCs w:val="22"/>
        </w:rPr>
      </w:pPr>
      <w:r w:rsidRPr="0072678C">
        <w:rPr>
          <w:rFonts w:asciiTheme="minorHAnsi" w:hAnsiTheme="minorHAnsi" w:cstheme="minorHAnsi"/>
          <w:sz w:val="22"/>
          <w:szCs w:val="22"/>
        </w:rPr>
        <w:t xml:space="preserve">No que se refere a </w:t>
      </w:r>
      <w:r w:rsidRPr="0072678C">
        <w:rPr>
          <w:rFonts w:asciiTheme="minorHAnsi" w:hAnsiTheme="minorHAnsi" w:cstheme="minorHAnsi"/>
          <w:b/>
          <w:bCs/>
          <w:i/>
          <w:iCs/>
          <w:sz w:val="22"/>
          <w:szCs w:val="22"/>
        </w:rPr>
        <w:t>avaliação da qualidade dos produtos e serviços da gestão fiscal</w:t>
      </w:r>
      <w:r w:rsidRPr="0072678C">
        <w:rPr>
          <w:rFonts w:asciiTheme="minorHAnsi" w:hAnsiTheme="minorHAnsi" w:cstheme="minorHAnsi"/>
          <w:sz w:val="22"/>
          <w:szCs w:val="22"/>
        </w:rPr>
        <w:t xml:space="preserve"> a SEFAZ/SP necessitará realizar avaliação continuada com os usuários e/ou beneficiários dos demais órgãos do Governo dos produtos/serviços da gestão fiscal; realiza</w:t>
      </w:r>
      <w:r w:rsidR="00041CEC" w:rsidRPr="0072678C">
        <w:rPr>
          <w:rFonts w:asciiTheme="minorHAnsi" w:hAnsiTheme="minorHAnsi" w:cstheme="minorHAnsi"/>
          <w:sz w:val="22"/>
          <w:szCs w:val="22"/>
        </w:rPr>
        <w:t>r</w:t>
      </w:r>
      <w:r w:rsidRPr="0072678C">
        <w:rPr>
          <w:rFonts w:asciiTheme="minorHAnsi" w:hAnsiTheme="minorHAnsi" w:cstheme="minorHAnsi"/>
          <w:sz w:val="22"/>
          <w:szCs w:val="22"/>
        </w:rPr>
        <w:t xml:space="preserve"> avaliação continuada com a sociedade dos produtos/serviços da gestão fiscal; monitorar e avalia</w:t>
      </w:r>
      <w:r w:rsidR="00041CEC" w:rsidRPr="0072678C">
        <w:rPr>
          <w:rFonts w:asciiTheme="minorHAnsi" w:hAnsiTheme="minorHAnsi" w:cstheme="minorHAnsi"/>
          <w:sz w:val="22"/>
          <w:szCs w:val="22"/>
        </w:rPr>
        <w:t>r</w:t>
      </w:r>
      <w:r w:rsidRPr="0072678C">
        <w:rPr>
          <w:rFonts w:asciiTheme="minorHAnsi" w:hAnsiTheme="minorHAnsi" w:cstheme="minorHAnsi"/>
          <w:sz w:val="22"/>
          <w:szCs w:val="22"/>
        </w:rPr>
        <w:t xml:space="preserve"> a imagem da gestão fiscal, em especial quanto a sua confiabilidade; e adotar ações de melhoria baseadas nos resultados das avaliações</w:t>
      </w:r>
      <w:r w:rsidR="00A37DB1" w:rsidRPr="0072678C">
        <w:rPr>
          <w:rFonts w:asciiTheme="minorHAnsi" w:hAnsiTheme="minorHAnsi" w:cstheme="minorHAnsi"/>
          <w:sz w:val="22"/>
          <w:szCs w:val="22"/>
        </w:rPr>
        <w:t>.</w:t>
      </w:r>
    </w:p>
    <w:p w:rsidR="00A45A18" w:rsidRPr="0072678C" w:rsidRDefault="00A45A18" w:rsidP="003E2E2B">
      <w:pPr>
        <w:jc w:val="both"/>
        <w:rPr>
          <w:rFonts w:asciiTheme="minorHAnsi" w:hAnsiTheme="minorHAnsi" w:cstheme="minorHAnsi"/>
          <w:sz w:val="22"/>
          <w:szCs w:val="22"/>
        </w:rPr>
      </w:pPr>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74"/>
        <w:gridCol w:w="1776"/>
        <w:gridCol w:w="884"/>
        <w:gridCol w:w="764"/>
        <w:gridCol w:w="521"/>
      </w:tblGrid>
      <w:tr w:rsidR="00AB2D0B" w:rsidRPr="0072678C" w:rsidTr="00B306B3">
        <w:trPr>
          <w:trHeight w:val="345"/>
          <w:jc w:val="center"/>
        </w:trPr>
        <w:tc>
          <w:tcPr>
            <w:tcW w:w="4974" w:type="dxa"/>
            <w:vMerge w:val="restart"/>
            <w:shd w:val="clear" w:color="auto" w:fill="C5E0B3" w:themeFill="accent6" w:themeFillTint="66"/>
            <w:noWrap/>
            <w:vAlign w:val="center"/>
            <w:hideMark/>
          </w:tcPr>
          <w:p w:rsidR="00AB2D0B" w:rsidRPr="0072678C" w:rsidRDefault="00D13DA2" w:rsidP="00AB2D0B">
            <w:pPr>
              <w:jc w:val="both"/>
              <w:rPr>
                <w:rFonts w:asciiTheme="minorHAnsi" w:hAnsiTheme="minorHAnsi" w:cstheme="minorHAnsi"/>
                <w:b/>
                <w:bCs/>
              </w:rPr>
            </w:pPr>
            <w:r w:rsidRPr="0072678C">
              <w:rPr>
                <w:rFonts w:asciiTheme="minorHAnsi" w:hAnsiTheme="minorHAnsi" w:cstheme="minorHAnsi"/>
                <w:b/>
                <w:bCs/>
                <w:sz w:val="22"/>
                <w:szCs w:val="22"/>
              </w:rPr>
              <w:t>G</w:t>
            </w:r>
            <w:r w:rsidR="00AB2D0B" w:rsidRPr="0072678C">
              <w:rPr>
                <w:rFonts w:asciiTheme="minorHAnsi" w:hAnsiTheme="minorHAnsi" w:cstheme="minorHAnsi"/>
                <w:b/>
                <w:bCs/>
                <w:sz w:val="22"/>
                <w:szCs w:val="22"/>
              </w:rPr>
              <w:t>F 2. GESTÃO PARA RESULTADOS (</w:t>
            </w:r>
            <w:proofErr w:type="spellStart"/>
            <w:r w:rsidR="00AB2D0B" w:rsidRPr="0072678C">
              <w:rPr>
                <w:rFonts w:asciiTheme="minorHAnsi" w:hAnsiTheme="minorHAnsi" w:cstheme="minorHAnsi"/>
                <w:b/>
                <w:bCs/>
                <w:sz w:val="22"/>
                <w:szCs w:val="22"/>
              </w:rPr>
              <w:t>GpR</w:t>
            </w:r>
            <w:proofErr w:type="spellEnd"/>
            <w:r w:rsidR="00AB2D0B" w:rsidRPr="0072678C">
              <w:rPr>
                <w:rFonts w:asciiTheme="minorHAnsi" w:hAnsiTheme="minorHAnsi" w:cstheme="minorHAnsi"/>
                <w:b/>
                <w:bCs/>
                <w:sz w:val="22"/>
                <w:szCs w:val="22"/>
              </w:rPr>
              <w:t>):</w:t>
            </w:r>
            <w:r w:rsidR="00AB2D0B" w:rsidRPr="0072678C">
              <w:rPr>
                <w:rFonts w:asciiTheme="minorHAnsi" w:hAnsiTheme="minorHAnsi" w:cstheme="minorHAnsi"/>
                <w:sz w:val="22"/>
                <w:szCs w:val="22"/>
              </w:rPr>
              <w:t xml:space="preserve"> Promove um modelo de gestão orientado para resultados, baseado em indicadores de desempenho, em busca do aumento da eficiência, efetividade e “</w:t>
            </w:r>
            <w:proofErr w:type="spellStart"/>
            <w:r w:rsidR="00AB2D0B" w:rsidRPr="0072678C">
              <w:rPr>
                <w:rFonts w:asciiTheme="minorHAnsi" w:hAnsiTheme="minorHAnsi" w:cstheme="minorHAnsi"/>
                <w:sz w:val="22"/>
                <w:szCs w:val="22"/>
              </w:rPr>
              <w:t>accountability</w:t>
            </w:r>
            <w:proofErr w:type="spellEnd"/>
            <w:r w:rsidR="00AB2D0B" w:rsidRPr="0072678C">
              <w:rPr>
                <w:rFonts w:asciiTheme="minorHAnsi" w:hAnsiTheme="minorHAnsi" w:cstheme="minorHAnsi"/>
                <w:sz w:val="22"/>
                <w:szCs w:val="22"/>
              </w:rPr>
              <w:t>” da gestão, garantindo monitoramento e avaliação sistemática dos avanços e resultados pactuados.</w:t>
            </w:r>
          </w:p>
        </w:tc>
        <w:tc>
          <w:tcPr>
            <w:tcW w:w="1776" w:type="dxa"/>
            <w:vMerge w:val="restart"/>
            <w:shd w:val="clear" w:color="auto" w:fill="C5E0B3" w:themeFill="accent6" w:themeFillTint="66"/>
            <w:noWrap/>
            <w:vAlign w:val="center"/>
            <w:hideMark/>
          </w:tcPr>
          <w:p w:rsidR="00AB2D0B" w:rsidRPr="0072678C" w:rsidRDefault="00AB2D0B" w:rsidP="00BC23AF">
            <w:pPr>
              <w:jc w:val="center"/>
              <w:rPr>
                <w:rFonts w:asciiTheme="minorHAnsi" w:hAnsiTheme="minorHAnsi" w:cstheme="minorHAnsi"/>
                <w:b/>
                <w:bCs/>
              </w:rPr>
            </w:pPr>
            <w:r w:rsidRPr="0072678C">
              <w:rPr>
                <w:rFonts w:asciiTheme="minorHAnsi" w:hAnsiTheme="minorHAnsi" w:cstheme="minorHAnsi"/>
                <w:b/>
                <w:bCs/>
                <w:sz w:val="22"/>
                <w:szCs w:val="22"/>
              </w:rPr>
              <w:t>Maturidade</w:t>
            </w:r>
          </w:p>
        </w:tc>
        <w:tc>
          <w:tcPr>
            <w:tcW w:w="2169" w:type="dxa"/>
            <w:gridSpan w:val="3"/>
            <w:shd w:val="clear" w:color="auto" w:fill="C5E0B3" w:themeFill="accent6" w:themeFillTint="66"/>
            <w:vAlign w:val="center"/>
          </w:tcPr>
          <w:p w:rsidR="00AB2D0B" w:rsidRPr="0072678C" w:rsidRDefault="00AB2D0B" w:rsidP="00BC23AF">
            <w:pPr>
              <w:jc w:val="center"/>
              <w:rPr>
                <w:rFonts w:asciiTheme="minorHAnsi" w:hAnsiTheme="minorHAnsi" w:cstheme="minorHAnsi"/>
                <w:b/>
              </w:rPr>
            </w:pPr>
            <w:r w:rsidRPr="0072678C">
              <w:rPr>
                <w:rFonts w:asciiTheme="minorHAnsi" w:hAnsiTheme="minorHAnsi" w:cstheme="minorHAnsi"/>
                <w:b/>
                <w:sz w:val="22"/>
                <w:szCs w:val="22"/>
              </w:rPr>
              <w:t xml:space="preserve">Pontuação </w:t>
            </w:r>
          </w:p>
        </w:tc>
      </w:tr>
      <w:tr w:rsidR="00AB2D0B" w:rsidRPr="0072678C" w:rsidTr="00B306B3">
        <w:trPr>
          <w:trHeight w:val="345"/>
          <w:jc w:val="center"/>
        </w:trPr>
        <w:tc>
          <w:tcPr>
            <w:tcW w:w="4974" w:type="dxa"/>
            <w:vMerge/>
            <w:shd w:val="clear" w:color="auto" w:fill="C5E0B3" w:themeFill="accent6" w:themeFillTint="66"/>
            <w:noWrap/>
            <w:vAlign w:val="bottom"/>
            <w:hideMark/>
          </w:tcPr>
          <w:p w:rsidR="00AB2D0B" w:rsidRPr="0072678C" w:rsidRDefault="00AB2D0B" w:rsidP="00BC23AF">
            <w:pPr>
              <w:rPr>
                <w:rFonts w:asciiTheme="minorHAnsi" w:hAnsiTheme="minorHAnsi" w:cstheme="minorHAnsi"/>
                <w:b/>
                <w:bCs/>
              </w:rPr>
            </w:pPr>
          </w:p>
        </w:tc>
        <w:tc>
          <w:tcPr>
            <w:tcW w:w="1776" w:type="dxa"/>
            <w:vMerge/>
            <w:shd w:val="clear" w:color="auto" w:fill="C5E0B3" w:themeFill="accent6" w:themeFillTint="66"/>
            <w:noWrap/>
            <w:vAlign w:val="bottom"/>
            <w:hideMark/>
          </w:tcPr>
          <w:p w:rsidR="00AB2D0B" w:rsidRPr="0072678C" w:rsidRDefault="00AB2D0B" w:rsidP="00BC23AF">
            <w:pPr>
              <w:jc w:val="center"/>
              <w:rPr>
                <w:rFonts w:asciiTheme="minorHAnsi" w:hAnsiTheme="minorHAnsi" w:cstheme="minorHAnsi"/>
                <w:b/>
                <w:bCs/>
              </w:rPr>
            </w:pPr>
          </w:p>
        </w:tc>
        <w:tc>
          <w:tcPr>
            <w:tcW w:w="884" w:type="dxa"/>
            <w:shd w:val="clear" w:color="auto" w:fill="C5E0B3" w:themeFill="accent6" w:themeFillTint="66"/>
            <w:vAlign w:val="center"/>
          </w:tcPr>
          <w:p w:rsidR="00AB2D0B" w:rsidRPr="0072678C" w:rsidRDefault="00AB2D0B" w:rsidP="00BC23AF">
            <w:pPr>
              <w:jc w:val="center"/>
              <w:rPr>
                <w:rFonts w:asciiTheme="minorHAnsi" w:hAnsiTheme="minorHAnsi" w:cstheme="minorHAnsi"/>
                <w:b/>
              </w:rPr>
            </w:pPr>
            <w:r w:rsidRPr="0072678C">
              <w:rPr>
                <w:rFonts w:asciiTheme="minorHAnsi" w:hAnsiTheme="minorHAnsi" w:cstheme="minorHAnsi"/>
                <w:b/>
                <w:sz w:val="22"/>
                <w:szCs w:val="22"/>
              </w:rPr>
              <w:t>Máxima</w:t>
            </w:r>
          </w:p>
        </w:tc>
        <w:tc>
          <w:tcPr>
            <w:tcW w:w="764" w:type="dxa"/>
            <w:shd w:val="clear" w:color="auto" w:fill="C5E0B3" w:themeFill="accent6" w:themeFillTint="66"/>
            <w:vAlign w:val="center"/>
          </w:tcPr>
          <w:p w:rsidR="00AB2D0B" w:rsidRPr="0072678C" w:rsidRDefault="00AB2D0B" w:rsidP="00BC23AF">
            <w:pPr>
              <w:jc w:val="center"/>
              <w:rPr>
                <w:rFonts w:asciiTheme="minorHAnsi" w:hAnsiTheme="minorHAnsi" w:cstheme="minorHAnsi"/>
                <w:b/>
              </w:rPr>
            </w:pPr>
            <w:r w:rsidRPr="0072678C">
              <w:rPr>
                <w:rFonts w:asciiTheme="minorHAnsi" w:hAnsiTheme="minorHAnsi" w:cstheme="minorHAnsi"/>
                <w:b/>
                <w:sz w:val="22"/>
                <w:szCs w:val="22"/>
              </w:rPr>
              <w:t>Obtida</w:t>
            </w:r>
          </w:p>
        </w:tc>
        <w:tc>
          <w:tcPr>
            <w:tcW w:w="521" w:type="dxa"/>
            <w:shd w:val="clear" w:color="auto" w:fill="C5E0B3" w:themeFill="accent6" w:themeFillTint="66"/>
            <w:vAlign w:val="center"/>
          </w:tcPr>
          <w:p w:rsidR="00AB2D0B" w:rsidRPr="0072678C" w:rsidRDefault="00AB2D0B" w:rsidP="00BC23AF">
            <w:pPr>
              <w:jc w:val="center"/>
              <w:rPr>
                <w:rFonts w:asciiTheme="minorHAnsi" w:hAnsiTheme="minorHAnsi" w:cstheme="minorHAnsi"/>
                <w:b/>
              </w:rPr>
            </w:pPr>
            <w:r w:rsidRPr="0072678C">
              <w:rPr>
                <w:rFonts w:asciiTheme="minorHAnsi" w:hAnsiTheme="minorHAnsi" w:cstheme="minorHAnsi"/>
                <w:b/>
                <w:sz w:val="22"/>
                <w:szCs w:val="22"/>
              </w:rPr>
              <w:t>%</w:t>
            </w:r>
          </w:p>
        </w:tc>
      </w:tr>
      <w:tr w:rsidR="00AB2D0B" w:rsidRPr="0072678C" w:rsidTr="00B306B3">
        <w:trPr>
          <w:trHeight w:val="345"/>
          <w:jc w:val="center"/>
        </w:trPr>
        <w:tc>
          <w:tcPr>
            <w:tcW w:w="4974" w:type="dxa"/>
            <w:vMerge/>
            <w:shd w:val="clear" w:color="auto" w:fill="auto"/>
            <w:noWrap/>
            <w:vAlign w:val="center"/>
            <w:hideMark/>
          </w:tcPr>
          <w:p w:rsidR="00AB2D0B" w:rsidRPr="0072678C" w:rsidRDefault="00AB2D0B" w:rsidP="00B16094">
            <w:pPr>
              <w:ind w:firstLineChars="200" w:firstLine="480"/>
              <w:jc w:val="center"/>
              <w:rPr>
                <w:rFonts w:ascii="Calibri" w:hAnsi="Calibri" w:cs="Calibri"/>
              </w:rPr>
            </w:pPr>
          </w:p>
        </w:tc>
        <w:tc>
          <w:tcPr>
            <w:tcW w:w="1776" w:type="dxa"/>
            <w:shd w:val="clear" w:color="auto" w:fill="auto"/>
            <w:noWrap/>
            <w:vAlign w:val="center"/>
            <w:hideMark/>
          </w:tcPr>
          <w:p w:rsidR="00AB2D0B" w:rsidRPr="0072678C" w:rsidRDefault="00AB2D0B" w:rsidP="00A37DB1">
            <w:pPr>
              <w:jc w:val="center"/>
              <w:rPr>
                <w:rFonts w:asciiTheme="minorHAnsi" w:hAnsiTheme="minorHAnsi" w:cstheme="minorHAnsi"/>
                <w:b/>
                <w:bCs/>
              </w:rPr>
            </w:pPr>
            <w:r w:rsidRPr="0072678C">
              <w:rPr>
                <w:rFonts w:asciiTheme="minorHAnsi" w:hAnsiTheme="minorHAnsi" w:cstheme="minorHAnsi"/>
                <w:b/>
                <w:bCs/>
                <w:sz w:val="22"/>
                <w:szCs w:val="22"/>
              </w:rPr>
              <w:t>INICIANTE (+)</w:t>
            </w:r>
          </w:p>
        </w:tc>
        <w:tc>
          <w:tcPr>
            <w:tcW w:w="884" w:type="dxa"/>
            <w:vAlign w:val="center"/>
          </w:tcPr>
          <w:p w:rsidR="00AB2D0B" w:rsidRPr="0072678C" w:rsidRDefault="00AB2D0B" w:rsidP="00A37DB1">
            <w:pPr>
              <w:jc w:val="center"/>
              <w:rPr>
                <w:rFonts w:ascii="Calibri" w:hAnsi="Calibri" w:cs="Calibri"/>
              </w:rPr>
            </w:pPr>
            <w:r w:rsidRPr="0072678C">
              <w:rPr>
                <w:rFonts w:ascii="Calibri" w:hAnsi="Calibri" w:cs="Calibri"/>
                <w:sz w:val="22"/>
                <w:szCs w:val="22"/>
              </w:rPr>
              <w:t>39</w:t>
            </w:r>
          </w:p>
        </w:tc>
        <w:tc>
          <w:tcPr>
            <w:tcW w:w="764" w:type="dxa"/>
            <w:vAlign w:val="center"/>
          </w:tcPr>
          <w:p w:rsidR="00AB2D0B" w:rsidRPr="0072678C" w:rsidRDefault="00AB2D0B" w:rsidP="00A37DB1">
            <w:pPr>
              <w:jc w:val="center"/>
              <w:rPr>
                <w:rFonts w:ascii="Calibri" w:hAnsi="Calibri" w:cs="Calibri"/>
              </w:rPr>
            </w:pPr>
            <w:r w:rsidRPr="0072678C">
              <w:rPr>
                <w:rFonts w:ascii="Calibri" w:hAnsi="Calibri" w:cs="Calibri"/>
                <w:sz w:val="22"/>
                <w:szCs w:val="22"/>
              </w:rPr>
              <w:t>17</w:t>
            </w:r>
          </w:p>
        </w:tc>
        <w:tc>
          <w:tcPr>
            <w:tcW w:w="521" w:type="dxa"/>
            <w:vAlign w:val="center"/>
          </w:tcPr>
          <w:p w:rsidR="00AB2D0B" w:rsidRPr="0072678C" w:rsidRDefault="00AB2D0B" w:rsidP="00A37DB1">
            <w:pPr>
              <w:jc w:val="center"/>
              <w:rPr>
                <w:rFonts w:ascii="Calibri" w:hAnsi="Calibri" w:cs="Calibri"/>
              </w:rPr>
            </w:pPr>
            <w:r w:rsidRPr="0072678C">
              <w:rPr>
                <w:rFonts w:ascii="Calibri" w:hAnsi="Calibri" w:cs="Calibri"/>
                <w:sz w:val="22"/>
                <w:szCs w:val="22"/>
              </w:rPr>
              <w:t>44%</w:t>
            </w:r>
          </w:p>
        </w:tc>
      </w:tr>
    </w:tbl>
    <w:p w:rsidR="00B03CD0" w:rsidRPr="0072678C" w:rsidRDefault="00B03CD0" w:rsidP="00616559">
      <w:pPr>
        <w:jc w:val="both"/>
        <w:rPr>
          <w:rFonts w:asciiTheme="minorHAnsi" w:hAnsiTheme="minorHAnsi" w:cstheme="minorHAnsi"/>
          <w:sz w:val="22"/>
          <w:szCs w:val="22"/>
        </w:rPr>
      </w:pPr>
    </w:p>
    <w:p w:rsidR="00616559" w:rsidRPr="0072678C" w:rsidRDefault="00616559" w:rsidP="00616559">
      <w:pPr>
        <w:jc w:val="both"/>
        <w:rPr>
          <w:rFonts w:asciiTheme="minorHAnsi" w:hAnsiTheme="minorHAnsi" w:cstheme="minorHAnsi"/>
          <w:sz w:val="22"/>
          <w:szCs w:val="22"/>
        </w:rPr>
      </w:pPr>
      <w:r w:rsidRPr="0072678C">
        <w:rPr>
          <w:rFonts w:asciiTheme="minorHAnsi" w:hAnsiTheme="minorHAnsi" w:cstheme="minorHAnsi"/>
          <w:sz w:val="22"/>
          <w:szCs w:val="22"/>
        </w:rPr>
        <w:t xml:space="preserve">Para melhoria dos processos da dimensão </w:t>
      </w:r>
      <w:r w:rsidRPr="0072678C">
        <w:rPr>
          <w:rFonts w:asciiTheme="minorHAnsi" w:hAnsiTheme="minorHAnsi" w:cstheme="minorHAnsi"/>
          <w:b/>
          <w:i/>
          <w:sz w:val="22"/>
          <w:szCs w:val="22"/>
        </w:rPr>
        <w:t>GF 2. Gestão para Resultados</w:t>
      </w:r>
      <w:r w:rsidRPr="0072678C">
        <w:rPr>
          <w:rFonts w:asciiTheme="minorHAnsi" w:hAnsiTheme="minorHAnsi" w:cstheme="minorHAnsi"/>
          <w:sz w:val="22"/>
          <w:szCs w:val="22"/>
        </w:rPr>
        <w:t xml:space="preserve"> a SEFAZ/SP deverá:</w:t>
      </w:r>
    </w:p>
    <w:p w:rsidR="00616559" w:rsidRPr="0072678C" w:rsidRDefault="00616559" w:rsidP="003E2E2B">
      <w:pPr>
        <w:jc w:val="both"/>
        <w:rPr>
          <w:rFonts w:asciiTheme="minorHAnsi" w:hAnsiTheme="minorHAnsi" w:cstheme="minorHAnsi"/>
          <w:sz w:val="22"/>
          <w:szCs w:val="22"/>
        </w:rPr>
      </w:pPr>
    </w:p>
    <w:p w:rsidR="00616559" w:rsidRPr="0072678C" w:rsidRDefault="00616559" w:rsidP="00616559">
      <w:pPr>
        <w:jc w:val="both"/>
        <w:rPr>
          <w:rFonts w:asciiTheme="minorHAnsi" w:hAnsiTheme="minorHAnsi" w:cstheme="minorHAnsi"/>
          <w:sz w:val="22"/>
          <w:szCs w:val="22"/>
        </w:rPr>
      </w:pPr>
      <w:r w:rsidRPr="0072678C">
        <w:rPr>
          <w:rFonts w:asciiTheme="minorHAnsi" w:hAnsiTheme="minorHAnsi" w:cstheme="minorHAnsi"/>
          <w:sz w:val="22"/>
          <w:szCs w:val="22"/>
        </w:rPr>
        <w:t xml:space="preserve">No que se refere ao processo </w:t>
      </w:r>
      <w:r w:rsidRPr="0072678C">
        <w:rPr>
          <w:rFonts w:asciiTheme="minorHAnsi" w:hAnsiTheme="minorHAnsi" w:cstheme="minorHAnsi"/>
          <w:b/>
          <w:bCs/>
          <w:i/>
          <w:iCs/>
          <w:sz w:val="22"/>
          <w:szCs w:val="22"/>
        </w:rPr>
        <w:t>compreensão do ambiente institucional</w:t>
      </w:r>
      <w:r w:rsidRPr="0072678C">
        <w:rPr>
          <w:rFonts w:asciiTheme="minorHAnsi" w:hAnsiTheme="minorHAnsi" w:cstheme="minorHAnsi"/>
          <w:sz w:val="22"/>
          <w:szCs w:val="22"/>
        </w:rPr>
        <w:t xml:space="preserve"> </w:t>
      </w:r>
      <w:r w:rsidR="00527777" w:rsidRPr="0072678C">
        <w:rPr>
          <w:rFonts w:asciiTheme="minorHAnsi" w:hAnsiTheme="minorHAnsi" w:cstheme="minorHAnsi"/>
          <w:sz w:val="22"/>
          <w:szCs w:val="22"/>
        </w:rPr>
        <w:t xml:space="preserve">deverá </w:t>
      </w:r>
      <w:r w:rsidRPr="0072678C">
        <w:rPr>
          <w:rFonts w:asciiTheme="minorHAnsi" w:hAnsiTheme="minorHAnsi" w:cstheme="minorHAnsi"/>
          <w:sz w:val="22"/>
          <w:szCs w:val="22"/>
        </w:rPr>
        <w:t>utiliza</w:t>
      </w:r>
      <w:r w:rsidR="00527777" w:rsidRPr="0072678C">
        <w:rPr>
          <w:rFonts w:asciiTheme="minorHAnsi" w:hAnsiTheme="minorHAnsi" w:cstheme="minorHAnsi"/>
          <w:sz w:val="22"/>
          <w:szCs w:val="22"/>
        </w:rPr>
        <w:t>r</w:t>
      </w:r>
      <w:r w:rsidRPr="0072678C">
        <w:rPr>
          <w:rFonts w:asciiTheme="minorHAnsi" w:hAnsiTheme="minorHAnsi" w:cstheme="minorHAnsi"/>
          <w:sz w:val="22"/>
          <w:szCs w:val="22"/>
        </w:rPr>
        <w:t xml:space="preserve"> uma metodologias para compreender os ambientes interno e externo da organização </w:t>
      </w:r>
      <w:r w:rsidR="00A32E99" w:rsidRPr="0072678C">
        <w:rPr>
          <w:rFonts w:asciiTheme="minorHAnsi" w:hAnsiTheme="minorHAnsi" w:cstheme="minorHAnsi"/>
          <w:sz w:val="22"/>
          <w:szCs w:val="22"/>
        </w:rPr>
        <w:t xml:space="preserve">que apoie </w:t>
      </w:r>
      <w:r w:rsidRPr="0072678C">
        <w:rPr>
          <w:rFonts w:asciiTheme="minorHAnsi" w:hAnsiTheme="minorHAnsi" w:cstheme="minorHAnsi"/>
          <w:sz w:val="22"/>
          <w:szCs w:val="22"/>
        </w:rPr>
        <w:t xml:space="preserve">a formulação e revisão das estratégias; elaborar cenários e ambientes futuros para testar hipóteses e efetuar redirecionamentos estratégicos; gerenciar os </w:t>
      </w:r>
      <w:r w:rsidRPr="0072678C">
        <w:rPr>
          <w:rFonts w:asciiTheme="minorHAnsi" w:hAnsiTheme="minorHAnsi" w:cstheme="minorHAnsi"/>
          <w:i/>
          <w:iCs/>
          <w:sz w:val="22"/>
          <w:szCs w:val="22"/>
        </w:rPr>
        <w:t>stakeholders</w:t>
      </w:r>
      <w:r w:rsidRPr="0072678C">
        <w:rPr>
          <w:rFonts w:asciiTheme="minorHAnsi" w:hAnsiTheme="minorHAnsi" w:cstheme="minorHAnsi"/>
          <w:sz w:val="22"/>
          <w:szCs w:val="22"/>
        </w:rPr>
        <w:t xml:space="preserve"> (partes interessadas), envolvendo identificação, qualificação e avaliação para melhoria do relacionamento entre as diversas partes interessadas, com verificação periódica da satisfação dos usuários em relação aos serviços oferecidos; e buscar analisar e compreender as políticas públicas, seus princípios, diretrizes, orientações, resultados e disposições programáticas (em planos setoriais, governamentais, plurianuais, </w:t>
      </w:r>
      <w:proofErr w:type="spellStart"/>
      <w:r w:rsidRPr="0072678C">
        <w:rPr>
          <w:rFonts w:asciiTheme="minorHAnsi" w:hAnsiTheme="minorHAnsi" w:cstheme="minorHAnsi"/>
          <w:sz w:val="22"/>
          <w:szCs w:val="22"/>
        </w:rPr>
        <w:t>etc</w:t>
      </w:r>
      <w:proofErr w:type="spellEnd"/>
      <w:r w:rsidRPr="0072678C">
        <w:rPr>
          <w:rFonts w:asciiTheme="minorHAnsi" w:hAnsiTheme="minorHAnsi" w:cstheme="minorHAnsi"/>
          <w:sz w:val="22"/>
          <w:szCs w:val="22"/>
        </w:rPr>
        <w:t>)</w:t>
      </w:r>
    </w:p>
    <w:p w:rsidR="00616559" w:rsidRPr="0072678C" w:rsidRDefault="00616559"/>
    <w:p w:rsidR="00616559" w:rsidRPr="0072678C" w:rsidRDefault="00562B8D" w:rsidP="00562B8D">
      <w:pPr>
        <w:jc w:val="both"/>
        <w:rPr>
          <w:rFonts w:asciiTheme="minorHAnsi" w:hAnsiTheme="minorHAnsi" w:cstheme="minorHAnsi"/>
          <w:sz w:val="22"/>
          <w:szCs w:val="22"/>
        </w:rPr>
      </w:pPr>
      <w:r w:rsidRPr="0072678C">
        <w:rPr>
          <w:rFonts w:asciiTheme="minorHAnsi" w:hAnsiTheme="minorHAnsi" w:cstheme="minorHAnsi"/>
          <w:sz w:val="22"/>
          <w:szCs w:val="22"/>
        </w:rPr>
        <w:t xml:space="preserve">Para </w:t>
      </w:r>
      <w:r w:rsidR="00A32E99" w:rsidRPr="0072678C">
        <w:rPr>
          <w:rFonts w:asciiTheme="minorHAnsi" w:hAnsiTheme="minorHAnsi" w:cstheme="minorHAnsi"/>
          <w:sz w:val="22"/>
          <w:szCs w:val="22"/>
        </w:rPr>
        <w:t xml:space="preserve">melhoria do </w:t>
      </w:r>
      <w:r w:rsidRPr="0072678C">
        <w:rPr>
          <w:rFonts w:asciiTheme="minorHAnsi" w:hAnsiTheme="minorHAnsi" w:cstheme="minorHAnsi"/>
          <w:sz w:val="22"/>
          <w:szCs w:val="22"/>
        </w:rPr>
        <w:t xml:space="preserve">processo </w:t>
      </w:r>
      <w:r w:rsidR="00616559" w:rsidRPr="0072678C">
        <w:rPr>
          <w:rFonts w:asciiTheme="minorHAnsi" w:hAnsiTheme="minorHAnsi" w:cstheme="minorHAnsi"/>
          <w:b/>
          <w:bCs/>
          <w:i/>
          <w:iCs/>
          <w:sz w:val="22"/>
          <w:szCs w:val="22"/>
        </w:rPr>
        <w:t>propósito organizacional</w:t>
      </w:r>
      <w:r w:rsidR="00A32E99" w:rsidRPr="0072678C">
        <w:rPr>
          <w:rFonts w:asciiTheme="minorHAnsi" w:hAnsiTheme="minorHAnsi" w:cstheme="minorHAnsi"/>
          <w:sz w:val="22"/>
          <w:szCs w:val="22"/>
        </w:rPr>
        <w:t xml:space="preserve"> d</w:t>
      </w:r>
      <w:r w:rsidR="00214FA9" w:rsidRPr="0072678C">
        <w:rPr>
          <w:rFonts w:asciiTheme="minorHAnsi" w:hAnsiTheme="minorHAnsi" w:cstheme="minorHAnsi"/>
          <w:sz w:val="22"/>
          <w:szCs w:val="22"/>
        </w:rPr>
        <w:t xml:space="preserve">everá </w:t>
      </w:r>
      <w:r w:rsidRPr="0072678C">
        <w:rPr>
          <w:rFonts w:asciiTheme="minorHAnsi" w:hAnsiTheme="minorHAnsi" w:cstheme="minorHAnsi"/>
          <w:sz w:val="22"/>
          <w:szCs w:val="22"/>
        </w:rPr>
        <w:t xml:space="preserve">ampliar a divulgação </w:t>
      </w:r>
      <w:r w:rsidR="00616559" w:rsidRPr="0072678C">
        <w:rPr>
          <w:rFonts w:asciiTheme="minorHAnsi" w:hAnsiTheme="minorHAnsi" w:cstheme="minorHAnsi"/>
          <w:sz w:val="22"/>
          <w:szCs w:val="22"/>
        </w:rPr>
        <w:t>por meio de campanhas de sensibili</w:t>
      </w:r>
      <w:r w:rsidR="00214FA9" w:rsidRPr="0072678C">
        <w:rPr>
          <w:rFonts w:asciiTheme="minorHAnsi" w:hAnsiTheme="minorHAnsi" w:cstheme="minorHAnsi"/>
          <w:sz w:val="22"/>
          <w:szCs w:val="22"/>
        </w:rPr>
        <w:t xml:space="preserve">zação </w:t>
      </w:r>
      <w:r w:rsidR="00A32E99" w:rsidRPr="0072678C">
        <w:rPr>
          <w:rFonts w:asciiTheme="minorHAnsi" w:hAnsiTheme="minorHAnsi" w:cstheme="minorHAnsi"/>
          <w:sz w:val="22"/>
          <w:szCs w:val="22"/>
        </w:rPr>
        <w:t xml:space="preserve">da missão, da visão e dos valores organizacionais </w:t>
      </w:r>
      <w:r w:rsidR="00616559" w:rsidRPr="0072678C">
        <w:rPr>
          <w:rFonts w:asciiTheme="minorHAnsi" w:hAnsiTheme="minorHAnsi" w:cstheme="minorHAnsi"/>
          <w:sz w:val="22"/>
          <w:szCs w:val="22"/>
        </w:rPr>
        <w:t>para orientar e motivar os servidores</w:t>
      </w:r>
      <w:r w:rsidR="00A32E99"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e </w:t>
      </w:r>
      <w:r w:rsidR="00616559" w:rsidRPr="0072678C">
        <w:rPr>
          <w:rFonts w:asciiTheme="minorHAnsi" w:hAnsiTheme="minorHAnsi" w:cstheme="minorHAnsi"/>
          <w:sz w:val="22"/>
          <w:szCs w:val="22"/>
        </w:rPr>
        <w:t>sistematicamente divulga</w:t>
      </w:r>
      <w:r w:rsidRPr="0072678C">
        <w:rPr>
          <w:rFonts w:asciiTheme="minorHAnsi" w:hAnsiTheme="minorHAnsi" w:cstheme="minorHAnsi"/>
          <w:sz w:val="22"/>
          <w:szCs w:val="22"/>
        </w:rPr>
        <w:t xml:space="preserve">r </w:t>
      </w:r>
      <w:r w:rsidR="00616559" w:rsidRPr="0072678C">
        <w:rPr>
          <w:rFonts w:asciiTheme="minorHAnsi" w:hAnsiTheme="minorHAnsi" w:cstheme="minorHAnsi"/>
          <w:sz w:val="22"/>
          <w:szCs w:val="22"/>
        </w:rPr>
        <w:t>aos interessados e à sociedade (cidadãos, governo, organizações parceiras etc.)</w:t>
      </w:r>
      <w:r w:rsidR="00214FA9" w:rsidRPr="0072678C">
        <w:rPr>
          <w:rFonts w:asciiTheme="minorHAnsi" w:hAnsiTheme="minorHAnsi" w:cstheme="minorHAnsi"/>
          <w:sz w:val="22"/>
          <w:szCs w:val="22"/>
        </w:rPr>
        <w:t xml:space="preserve"> tendo como base </w:t>
      </w:r>
      <w:r w:rsidR="00616559" w:rsidRPr="0072678C">
        <w:rPr>
          <w:rFonts w:asciiTheme="minorHAnsi" w:hAnsiTheme="minorHAnsi" w:cstheme="minorHAnsi"/>
          <w:sz w:val="22"/>
          <w:szCs w:val="22"/>
        </w:rPr>
        <w:t>as estratégias de comunicação externa</w:t>
      </w:r>
      <w:r w:rsidR="00A32E99" w:rsidRPr="0072678C">
        <w:rPr>
          <w:rFonts w:asciiTheme="minorHAnsi" w:hAnsiTheme="minorHAnsi" w:cstheme="minorHAnsi"/>
          <w:sz w:val="22"/>
          <w:szCs w:val="22"/>
        </w:rPr>
        <w:t>.</w:t>
      </w:r>
    </w:p>
    <w:p w:rsidR="00616559" w:rsidRPr="0072678C" w:rsidRDefault="00616559"/>
    <w:p w:rsidR="00562B8D" w:rsidRPr="0072678C" w:rsidRDefault="00A32E99" w:rsidP="00562B8D">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00562B8D" w:rsidRPr="0072678C">
        <w:rPr>
          <w:rFonts w:asciiTheme="minorHAnsi" w:hAnsiTheme="minorHAnsi" w:cstheme="minorHAnsi"/>
          <w:sz w:val="22"/>
          <w:szCs w:val="22"/>
        </w:rPr>
        <w:t xml:space="preserve">processo </w:t>
      </w:r>
      <w:r w:rsidR="00562B8D" w:rsidRPr="0072678C">
        <w:rPr>
          <w:rFonts w:asciiTheme="minorHAnsi" w:hAnsiTheme="minorHAnsi" w:cstheme="minorHAnsi"/>
          <w:b/>
          <w:bCs/>
          <w:i/>
          <w:iCs/>
          <w:sz w:val="22"/>
          <w:szCs w:val="22"/>
        </w:rPr>
        <w:t>programação estratégica</w:t>
      </w:r>
      <w:r w:rsidR="00562B8D" w:rsidRPr="0072678C">
        <w:rPr>
          <w:rFonts w:asciiTheme="minorHAnsi" w:hAnsiTheme="minorHAnsi" w:cstheme="minorHAnsi"/>
          <w:sz w:val="22"/>
          <w:szCs w:val="22"/>
        </w:rPr>
        <w:t xml:space="preserve"> (objetivos, resultados, projetos, produtos, indicadores e metas)</w:t>
      </w:r>
      <w:r w:rsidRPr="0072678C">
        <w:rPr>
          <w:rFonts w:asciiTheme="minorHAnsi" w:hAnsiTheme="minorHAnsi" w:cstheme="minorHAnsi"/>
          <w:sz w:val="22"/>
          <w:szCs w:val="22"/>
        </w:rPr>
        <w:t xml:space="preserve"> requer que a SEFAZ/SP explique </w:t>
      </w:r>
      <w:r w:rsidR="00562B8D" w:rsidRPr="0072678C">
        <w:rPr>
          <w:rFonts w:asciiTheme="minorHAnsi" w:hAnsiTheme="minorHAnsi" w:cstheme="minorHAnsi"/>
          <w:sz w:val="22"/>
          <w:szCs w:val="22"/>
        </w:rPr>
        <w:t xml:space="preserve">a estratégia da organização (preferencialmente por meio de um mapa estratégico, </w:t>
      </w:r>
      <w:proofErr w:type="spellStart"/>
      <w:r w:rsidR="00562B8D" w:rsidRPr="0072678C">
        <w:rPr>
          <w:rFonts w:asciiTheme="minorHAnsi" w:hAnsiTheme="minorHAnsi" w:cstheme="minorHAnsi"/>
          <w:sz w:val="22"/>
          <w:szCs w:val="22"/>
        </w:rPr>
        <w:t>roadmap</w:t>
      </w:r>
      <w:proofErr w:type="spellEnd"/>
      <w:r w:rsidR="00562B8D" w:rsidRPr="0072678C">
        <w:rPr>
          <w:rFonts w:asciiTheme="minorHAnsi" w:hAnsiTheme="minorHAnsi" w:cstheme="minorHAnsi"/>
          <w:sz w:val="22"/>
          <w:szCs w:val="22"/>
        </w:rPr>
        <w:t xml:space="preserve"> ou outra forma gráfica) </w:t>
      </w:r>
      <w:r w:rsidR="00214FA9" w:rsidRPr="0072678C">
        <w:rPr>
          <w:rFonts w:asciiTheme="minorHAnsi" w:hAnsiTheme="minorHAnsi" w:cstheme="minorHAnsi"/>
          <w:sz w:val="22"/>
          <w:szCs w:val="22"/>
        </w:rPr>
        <w:t xml:space="preserve">expondo </w:t>
      </w:r>
      <w:r w:rsidR="00562B8D" w:rsidRPr="0072678C">
        <w:rPr>
          <w:rFonts w:asciiTheme="minorHAnsi" w:hAnsiTheme="minorHAnsi" w:cstheme="minorHAnsi"/>
          <w:sz w:val="22"/>
          <w:szCs w:val="22"/>
        </w:rPr>
        <w:t>as relações de causa e efeito entre seus elementos; apresent</w:t>
      </w:r>
      <w:r w:rsidR="00501397" w:rsidRPr="0072678C">
        <w:rPr>
          <w:rFonts w:asciiTheme="minorHAnsi" w:hAnsiTheme="minorHAnsi" w:cstheme="minorHAnsi"/>
          <w:sz w:val="22"/>
          <w:szCs w:val="22"/>
        </w:rPr>
        <w:t xml:space="preserve">e </w:t>
      </w:r>
      <w:r w:rsidR="00562B8D" w:rsidRPr="0072678C">
        <w:rPr>
          <w:rFonts w:asciiTheme="minorHAnsi" w:hAnsiTheme="minorHAnsi" w:cstheme="minorHAnsi"/>
          <w:sz w:val="22"/>
          <w:szCs w:val="22"/>
        </w:rPr>
        <w:t>um conjunto de indicadores e metas de eficiência (relação entre os produtos/serviços gerados com os insumos empregados), eficácia (quantidade e qualidade de produtos/serviços entregues ao usuário) e efetividade (impactos gerados pelos produtos/serviços, processos ou projetos) que buscam mensurar os elementos programáticos da estratégia (objetivos, projetos etc.); e e</w:t>
      </w:r>
      <w:r w:rsidR="00501397" w:rsidRPr="0072678C">
        <w:rPr>
          <w:rFonts w:asciiTheme="minorHAnsi" w:hAnsiTheme="minorHAnsi" w:cstheme="minorHAnsi"/>
          <w:sz w:val="22"/>
          <w:szCs w:val="22"/>
        </w:rPr>
        <w:t xml:space="preserve">stabeleça </w:t>
      </w:r>
      <w:r w:rsidR="00562B8D" w:rsidRPr="0072678C">
        <w:rPr>
          <w:rFonts w:asciiTheme="minorHAnsi" w:hAnsiTheme="minorHAnsi" w:cstheme="minorHAnsi"/>
          <w:sz w:val="22"/>
          <w:szCs w:val="22"/>
        </w:rPr>
        <w:t xml:space="preserve">metas realistas e desafiadoras que consideram a escala dos problemas, as demandas das partes interessadas e a disponibilidade de recursos (materiais, humanos, financeiros, </w:t>
      </w:r>
      <w:proofErr w:type="spellStart"/>
      <w:r w:rsidR="00562B8D" w:rsidRPr="0072678C">
        <w:rPr>
          <w:rFonts w:asciiTheme="minorHAnsi" w:hAnsiTheme="minorHAnsi" w:cstheme="minorHAnsi"/>
          <w:sz w:val="22"/>
          <w:szCs w:val="22"/>
        </w:rPr>
        <w:t>etc</w:t>
      </w:r>
      <w:proofErr w:type="spellEnd"/>
      <w:r w:rsidR="00562B8D" w:rsidRPr="0072678C">
        <w:rPr>
          <w:rFonts w:asciiTheme="minorHAnsi" w:hAnsiTheme="minorHAnsi" w:cstheme="minorHAnsi"/>
          <w:sz w:val="22"/>
          <w:szCs w:val="22"/>
        </w:rPr>
        <w:t>)</w:t>
      </w:r>
      <w:r w:rsidR="00501397" w:rsidRPr="0072678C">
        <w:rPr>
          <w:rFonts w:asciiTheme="minorHAnsi" w:hAnsiTheme="minorHAnsi" w:cstheme="minorHAnsi"/>
          <w:sz w:val="22"/>
          <w:szCs w:val="22"/>
        </w:rPr>
        <w:t>.</w:t>
      </w:r>
    </w:p>
    <w:p w:rsidR="00562B8D" w:rsidRPr="0072678C" w:rsidRDefault="00562B8D"/>
    <w:p w:rsidR="00562B8D" w:rsidRPr="0072678C" w:rsidRDefault="00562B8D" w:rsidP="00527777">
      <w:pPr>
        <w:jc w:val="both"/>
        <w:rPr>
          <w:rFonts w:asciiTheme="minorHAnsi" w:hAnsiTheme="minorHAnsi" w:cstheme="minorHAnsi"/>
          <w:sz w:val="22"/>
          <w:szCs w:val="22"/>
        </w:rPr>
      </w:pPr>
      <w:r w:rsidRPr="0072678C">
        <w:rPr>
          <w:rFonts w:asciiTheme="minorHAnsi" w:hAnsiTheme="minorHAnsi" w:cstheme="minorHAnsi"/>
          <w:sz w:val="22"/>
          <w:szCs w:val="22"/>
        </w:rPr>
        <w:t xml:space="preserve">Para o processo de </w:t>
      </w:r>
      <w:r w:rsidRPr="0072678C">
        <w:rPr>
          <w:rFonts w:asciiTheme="minorHAnsi" w:hAnsiTheme="minorHAnsi" w:cstheme="minorHAnsi"/>
          <w:b/>
          <w:bCs/>
          <w:i/>
          <w:iCs/>
          <w:sz w:val="22"/>
          <w:szCs w:val="22"/>
        </w:rPr>
        <w:t>desdobramento da estratégia</w:t>
      </w:r>
      <w:r w:rsidRPr="0072678C">
        <w:rPr>
          <w:rFonts w:asciiTheme="minorHAnsi" w:hAnsiTheme="minorHAnsi" w:cstheme="minorHAnsi"/>
          <w:sz w:val="22"/>
          <w:szCs w:val="22"/>
        </w:rPr>
        <w:t xml:space="preserve"> (horizontal e vertical): apresentar o cruzamento dos elementos da estratégia (objetivos, metas, indicadores, iniciativas e ações) com os elementos da estrutura implementadora (unidades organizacionais) por meio de uma matriz de contribuição; estabelecer, para cada elemento programático da agenda estratégica, o alinhamento das diversas unidades que as implementam e os meios de atuação integrada; e estabelecer, para cada unidade executora, o alinhamento de suas iniciativas (relacionadas a elementos programáticos da estratégia), bem como direciona</w:t>
      </w:r>
      <w:r w:rsidR="00214FA9" w:rsidRPr="0072678C">
        <w:rPr>
          <w:rFonts w:asciiTheme="minorHAnsi" w:hAnsiTheme="minorHAnsi" w:cstheme="minorHAnsi"/>
          <w:sz w:val="22"/>
          <w:szCs w:val="22"/>
        </w:rPr>
        <w:t>r</w:t>
      </w:r>
      <w:r w:rsidRPr="0072678C">
        <w:rPr>
          <w:rFonts w:asciiTheme="minorHAnsi" w:hAnsiTheme="minorHAnsi" w:cstheme="minorHAnsi"/>
          <w:sz w:val="22"/>
          <w:szCs w:val="22"/>
        </w:rPr>
        <w:t xml:space="preserve"> seus processos decisórios e sua alocação de recursos, proporcionando foco e priorização</w:t>
      </w:r>
    </w:p>
    <w:p w:rsidR="00562B8D" w:rsidRPr="0072678C" w:rsidRDefault="00562B8D"/>
    <w:p w:rsidR="00527777" w:rsidRPr="0072678C" w:rsidRDefault="00527777" w:rsidP="00CA2F7F">
      <w:pPr>
        <w:jc w:val="both"/>
        <w:rPr>
          <w:rFonts w:asciiTheme="minorHAnsi" w:hAnsiTheme="minorHAnsi" w:cstheme="minorHAnsi"/>
          <w:sz w:val="22"/>
          <w:szCs w:val="22"/>
        </w:rPr>
      </w:pPr>
      <w:r w:rsidRPr="0072678C">
        <w:rPr>
          <w:rFonts w:asciiTheme="minorHAnsi" w:hAnsiTheme="minorHAnsi" w:cstheme="minorHAnsi"/>
          <w:sz w:val="22"/>
          <w:szCs w:val="22"/>
        </w:rPr>
        <w:t xml:space="preserve">A SEFAZ/SP com relação ao processo </w:t>
      </w:r>
      <w:r w:rsidRPr="0072678C">
        <w:rPr>
          <w:rFonts w:asciiTheme="minorHAnsi" w:hAnsiTheme="minorHAnsi" w:cstheme="minorHAnsi"/>
          <w:b/>
          <w:bCs/>
          <w:i/>
          <w:iCs/>
          <w:sz w:val="22"/>
          <w:szCs w:val="22"/>
        </w:rPr>
        <w:t>pactuação interna de resultados</w:t>
      </w:r>
      <w:r w:rsidRPr="0072678C">
        <w:rPr>
          <w:rFonts w:asciiTheme="minorHAnsi" w:hAnsiTheme="minorHAnsi" w:cstheme="minorHAnsi"/>
          <w:sz w:val="22"/>
          <w:szCs w:val="22"/>
        </w:rPr>
        <w:t xml:space="preserve"> deverá estabelecer a </w:t>
      </w:r>
      <w:r w:rsidRPr="0072678C">
        <w:rPr>
          <w:rFonts w:asciiTheme="minorHAnsi" w:hAnsiTheme="minorHAnsi" w:cstheme="minorHAnsi"/>
          <w:b/>
          <w:bCs/>
          <w:sz w:val="22"/>
          <w:szCs w:val="22"/>
        </w:rPr>
        <w:t xml:space="preserve">pactuação vertical </w:t>
      </w:r>
      <w:r w:rsidRPr="0072678C">
        <w:rPr>
          <w:rFonts w:asciiTheme="minorHAnsi" w:hAnsiTheme="minorHAnsi" w:cstheme="minorHAnsi"/>
          <w:sz w:val="22"/>
          <w:szCs w:val="22"/>
        </w:rPr>
        <w:t xml:space="preserve">entre a </w:t>
      </w:r>
      <w:r w:rsidRPr="0072678C">
        <w:rPr>
          <w:rFonts w:asciiTheme="minorHAnsi" w:hAnsiTheme="minorHAnsi" w:cstheme="minorHAnsi"/>
          <w:b/>
          <w:bCs/>
          <w:sz w:val="22"/>
          <w:szCs w:val="22"/>
        </w:rPr>
        <w:t>liderança fazendária</w:t>
      </w:r>
      <w:r w:rsidRPr="0072678C">
        <w:rPr>
          <w:rFonts w:asciiTheme="minorHAnsi" w:hAnsiTheme="minorHAnsi" w:cstheme="minorHAnsi"/>
          <w:sz w:val="22"/>
          <w:szCs w:val="22"/>
        </w:rPr>
        <w:t xml:space="preserve"> (“contratante”) e as </w:t>
      </w:r>
      <w:r w:rsidRPr="0072678C">
        <w:rPr>
          <w:rFonts w:asciiTheme="minorHAnsi" w:hAnsiTheme="minorHAnsi" w:cstheme="minorHAnsi"/>
          <w:b/>
          <w:bCs/>
          <w:sz w:val="22"/>
          <w:szCs w:val="22"/>
        </w:rPr>
        <w:t>unidades responsáveis pelos projetos estratégicos</w:t>
      </w:r>
      <w:r w:rsidRPr="0072678C">
        <w:rPr>
          <w:rFonts w:asciiTheme="minorHAnsi" w:hAnsiTheme="minorHAnsi" w:cstheme="minorHAnsi"/>
          <w:sz w:val="22"/>
          <w:szCs w:val="22"/>
        </w:rPr>
        <w:t xml:space="preserve"> (“contratado”) em relação aos resultados dos respectivos projetos; assim como, a </w:t>
      </w:r>
      <w:r w:rsidRPr="0072678C">
        <w:rPr>
          <w:rFonts w:asciiTheme="minorHAnsi" w:hAnsiTheme="minorHAnsi" w:cstheme="minorHAnsi"/>
          <w:b/>
          <w:bCs/>
          <w:sz w:val="22"/>
          <w:szCs w:val="22"/>
        </w:rPr>
        <w:t>pactuação horizonta</w:t>
      </w:r>
      <w:r w:rsidRPr="0072678C">
        <w:rPr>
          <w:rFonts w:asciiTheme="minorHAnsi" w:hAnsiTheme="minorHAnsi" w:cstheme="minorHAnsi"/>
          <w:sz w:val="22"/>
          <w:szCs w:val="22"/>
        </w:rPr>
        <w:t>l entre a</w:t>
      </w:r>
      <w:r w:rsidRPr="0072678C">
        <w:rPr>
          <w:rFonts w:asciiTheme="minorHAnsi" w:hAnsiTheme="minorHAnsi" w:cstheme="minorHAnsi"/>
          <w:b/>
          <w:bCs/>
          <w:sz w:val="22"/>
          <w:szCs w:val="22"/>
        </w:rPr>
        <w:t xml:space="preserve"> liderança fazendária </w:t>
      </w:r>
      <w:r w:rsidRPr="0072678C">
        <w:rPr>
          <w:rFonts w:asciiTheme="minorHAnsi" w:hAnsiTheme="minorHAnsi" w:cstheme="minorHAnsi"/>
          <w:sz w:val="22"/>
          <w:szCs w:val="22"/>
        </w:rPr>
        <w:t xml:space="preserve">(“contratante”) e as </w:t>
      </w:r>
      <w:r w:rsidRPr="0072678C">
        <w:rPr>
          <w:rFonts w:asciiTheme="minorHAnsi" w:hAnsiTheme="minorHAnsi" w:cstheme="minorHAnsi"/>
          <w:b/>
          <w:bCs/>
          <w:sz w:val="22"/>
          <w:szCs w:val="22"/>
        </w:rPr>
        <w:t>unidades executoras</w:t>
      </w:r>
      <w:r w:rsidRPr="0072678C">
        <w:rPr>
          <w:rFonts w:asciiTheme="minorHAnsi" w:hAnsiTheme="minorHAnsi" w:cstheme="minorHAnsi"/>
          <w:sz w:val="22"/>
          <w:szCs w:val="22"/>
        </w:rPr>
        <w:t xml:space="preserve"> (“contratadas”) em relação as  suas </w:t>
      </w:r>
      <w:r w:rsidRPr="0072678C">
        <w:rPr>
          <w:rFonts w:asciiTheme="minorHAnsi" w:hAnsiTheme="minorHAnsi" w:cstheme="minorHAnsi"/>
          <w:b/>
          <w:bCs/>
          <w:sz w:val="22"/>
          <w:szCs w:val="22"/>
        </w:rPr>
        <w:t>contribuições</w:t>
      </w:r>
      <w:r w:rsidRPr="0072678C">
        <w:rPr>
          <w:rFonts w:asciiTheme="minorHAnsi" w:hAnsiTheme="minorHAnsi" w:cstheme="minorHAnsi"/>
          <w:sz w:val="22"/>
          <w:szCs w:val="22"/>
        </w:rPr>
        <w:t xml:space="preserve"> para o alcance de todos os projetos estratégicos da secretaria; </w:t>
      </w:r>
      <w:r w:rsidR="00C75728" w:rsidRPr="0072678C">
        <w:rPr>
          <w:rFonts w:asciiTheme="minorHAnsi" w:hAnsiTheme="minorHAnsi" w:cstheme="minorHAnsi"/>
          <w:sz w:val="22"/>
          <w:szCs w:val="22"/>
        </w:rPr>
        <w:t xml:space="preserve">deverá </w:t>
      </w:r>
      <w:r w:rsidRPr="0072678C">
        <w:rPr>
          <w:rFonts w:asciiTheme="minorHAnsi" w:hAnsiTheme="minorHAnsi" w:cstheme="minorHAnsi"/>
          <w:sz w:val="22"/>
          <w:szCs w:val="22"/>
        </w:rPr>
        <w:t xml:space="preserve">adotar mecanismos </w:t>
      </w:r>
      <w:proofErr w:type="spellStart"/>
      <w:r w:rsidRPr="0072678C">
        <w:rPr>
          <w:rFonts w:asciiTheme="minorHAnsi" w:hAnsiTheme="minorHAnsi" w:cstheme="minorHAnsi"/>
          <w:sz w:val="22"/>
          <w:szCs w:val="22"/>
        </w:rPr>
        <w:t>anti-</w:t>
      </w:r>
      <w:r w:rsidRPr="0072678C">
        <w:rPr>
          <w:rFonts w:asciiTheme="minorHAnsi" w:hAnsiTheme="minorHAnsi" w:cstheme="minorHAnsi"/>
          <w:i/>
          <w:iCs/>
          <w:sz w:val="22"/>
          <w:szCs w:val="22"/>
        </w:rPr>
        <w:t>gaming</w:t>
      </w:r>
      <w:proofErr w:type="spellEnd"/>
      <w:r w:rsidRPr="0072678C">
        <w:rPr>
          <w:rFonts w:asciiTheme="minorHAnsi" w:hAnsiTheme="minorHAnsi" w:cstheme="minorHAnsi"/>
          <w:sz w:val="22"/>
          <w:szCs w:val="22"/>
        </w:rPr>
        <w:t xml:space="preserve"> para redução do potencial de manipulação na pactuação (indicadores </w:t>
      </w:r>
      <w:proofErr w:type="spellStart"/>
      <w:r w:rsidRPr="0072678C">
        <w:rPr>
          <w:rFonts w:asciiTheme="minorHAnsi" w:hAnsiTheme="minorHAnsi" w:cstheme="minorHAnsi"/>
          <w:sz w:val="22"/>
          <w:szCs w:val="22"/>
        </w:rPr>
        <w:t>viezados</w:t>
      </w:r>
      <w:proofErr w:type="spellEnd"/>
      <w:r w:rsidRPr="0072678C">
        <w:rPr>
          <w:rFonts w:asciiTheme="minorHAnsi" w:hAnsiTheme="minorHAnsi" w:cstheme="minorHAnsi"/>
          <w:sz w:val="22"/>
          <w:szCs w:val="22"/>
        </w:rPr>
        <w:t xml:space="preserve">, subestimação de metas, adulteração de dados, </w:t>
      </w:r>
      <w:proofErr w:type="spellStart"/>
      <w:r w:rsidRPr="0072678C">
        <w:rPr>
          <w:rFonts w:asciiTheme="minorHAnsi" w:hAnsiTheme="minorHAnsi" w:cstheme="minorHAnsi"/>
          <w:sz w:val="22"/>
          <w:szCs w:val="22"/>
        </w:rPr>
        <w:t>etc</w:t>
      </w:r>
      <w:proofErr w:type="spellEnd"/>
      <w:r w:rsidRPr="0072678C">
        <w:rPr>
          <w:rFonts w:asciiTheme="minorHAnsi" w:hAnsiTheme="minorHAnsi" w:cstheme="minorHAnsi"/>
          <w:sz w:val="22"/>
          <w:szCs w:val="22"/>
        </w:rPr>
        <w:t>), seja na negociação ou verificação, e para redução da assimetria informacional (maior conhecimento do objeto pactuado por parte do contratado); dispor de uma unidade organizacional (escritório de contratos) que facilita a negociação e realiza o monitoramento e avaliação das pactuações, proporcionando direcionamento, controle, aprendizado, tr</w:t>
      </w:r>
      <w:r w:rsidR="00CA2F7F" w:rsidRPr="0072678C">
        <w:rPr>
          <w:rFonts w:asciiTheme="minorHAnsi" w:hAnsiTheme="minorHAnsi" w:cstheme="minorHAnsi"/>
          <w:sz w:val="22"/>
          <w:szCs w:val="22"/>
        </w:rPr>
        <w:t xml:space="preserve">ansparência e responsabilização; e definir </w:t>
      </w:r>
      <w:r w:rsidRPr="0072678C">
        <w:rPr>
          <w:rFonts w:asciiTheme="minorHAnsi" w:hAnsiTheme="minorHAnsi" w:cstheme="minorHAnsi"/>
          <w:sz w:val="22"/>
          <w:szCs w:val="22"/>
        </w:rPr>
        <w:t>incentivos meritórios (reconhecimento ou censura pública) e financeiros (ônus, bônus e remuneração variável) para o alcance das metas pactuadas</w:t>
      </w:r>
    </w:p>
    <w:p w:rsidR="00527777" w:rsidRPr="0072678C" w:rsidRDefault="00527777"/>
    <w:p w:rsidR="00CA2F7F" w:rsidRPr="0072678C" w:rsidRDefault="00214FA9" w:rsidP="00CA2F7F">
      <w:pPr>
        <w:jc w:val="both"/>
        <w:rPr>
          <w:rFonts w:asciiTheme="minorHAnsi" w:hAnsiTheme="minorHAnsi" w:cstheme="minorHAnsi"/>
          <w:sz w:val="22"/>
          <w:szCs w:val="22"/>
        </w:rPr>
      </w:pPr>
      <w:r w:rsidRPr="0072678C">
        <w:rPr>
          <w:rFonts w:asciiTheme="minorHAnsi" w:hAnsiTheme="minorHAnsi" w:cstheme="minorHAnsi"/>
          <w:sz w:val="22"/>
          <w:szCs w:val="22"/>
        </w:rPr>
        <w:t xml:space="preserve">No </w:t>
      </w:r>
      <w:r w:rsidR="00CA2F7F" w:rsidRPr="0072678C">
        <w:rPr>
          <w:rFonts w:asciiTheme="minorHAnsi" w:hAnsiTheme="minorHAnsi" w:cstheme="minorHAnsi"/>
          <w:sz w:val="22"/>
          <w:szCs w:val="22"/>
        </w:rPr>
        <w:t xml:space="preserve">que se refere a </w:t>
      </w:r>
      <w:r w:rsidR="00CA2F7F" w:rsidRPr="0072678C">
        <w:rPr>
          <w:rFonts w:asciiTheme="minorHAnsi" w:hAnsiTheme="minorHAnsi" w:cstheme="minorHAnsi"/>
          <w:b/>
          <w:bCs/>
          <w:i/>
          <w:iCs/>
          <w:sz w:val="22"/>
          <w:szCs w:val="22"/>
        </w:rPr>
        <w:t>pactuação externa de resultados</w:t>
      </w:r>
      <w:r w:rsidR="00CA2F7F" w:rsidRPr="0072678C">
        <w:rPr>
          <w:rFonts w:asciiTheme="minorHAnsi" w:hAnsiTheme="minorHAnsi" w:cstheme="minorHAnsi"/>
          <w:sz w:val="22"/>
          <w:szCs w:val="22"/>
        </w:rPr>
        <w:t xml:space="preserve"> </w:t>
      </w:r>
      <w:r w:rsidR="00D319F1" w:rsidRPr="0072678C">
        <w:rPr>
          <w:rFonts w:asciiTheme="minorHAnsi" w:hAnsiTheme="minorHAnsi" w:cstheme="minorHAnsi"/>
          <w:sz w:val="22"/>
          <w:szCs w:val="22"/>
        </w:rPr>
        <w:t xml:space="preserve">a SEFAZ/SP deverá </w:t>
      </w:r>
      <w:r w:rsidR="00CA2F7F" w:rsidRPr="0072678C">
        <w:rPr>
          <w:rFonts w:asciiTheme="minorHAnsi" w:hAnsiTheme="minorHAnsi" w:cstheme="minorHAnsi"/>
          <w:sz w:val="22"/>
          <w:szCs w:val="22"/>
        </w:rPr>
        <w:t xml:space="preserve">adotar mecanismos </w:t>
      </w:r>
      <w:proofErr w:type="spellStart"/>
      <w:r w:rsidR="00CA2F7F" w:rsidRPr="0072678C">
        <w:rPr>
          <w:rFonts w:asciiTheme="minorHAnsi" w:hAnsiTheme="minorHAnsi" w:cstheme="minorHAnsi"/>
          <w:sz w:val="22"/>
          <w:szCs w:val="22"/>
        </w:rPr>
        <w:t>anti-</w:t>
      </w:r>
      <w:r w:rsidR="00CA2F7F" w:rsidRPr="0072678C">
        <w:rPr>
          <w:rFonts w:asciiTheme="minorHAnsi" w:hAnsiTheme="minorHAnsi" w:cstheme="minorHAnsi"/>
          <w:i/>
          <w:iCs/>
          <w:sz w:val="22"/>
          <w:szCs w:val="22"/>
        </w:rPr>
        <w:t>gaming</w:t>
      </w:r>
      <w:proofErr w:type="spellEnd"/>
      <w:r w:rsidR="00CA2F7F" w:rsidRPr="0072678C">
        <w:rPr>
          <w:rFonts w:asciiTheme="minorHAnsi" w:hAnsiTheme="minorHAnsi" w:cstheme="minorHAnsi"/>
          <w:sz w:val="22"/>
          <w:szCs w:val="22"/>
        </w:rPr>
        <w:t xml:space="preserve"> para redução do potencial de manipulação na pactuação (indicadores </w:t>
      </w:r>
      <w:proofErr w:type="spellStart"/>
      <w:r w:rsidR="00CA2F7F" w:rsidRPr="0072678C">
        <w:rPr>
          <w:rFonts w:asciiTheme="minorHAnsi" w:hAnsiTheme="minorHAnsi" w:cstheme="minorHAnsi"/>
          <w:sz w:val="22"/>
          <w:szCs w:val="22"/>
        </w:rPr>
        <w:t>viezados</w:t>
      </w:r>
      <w:proofErr w:type="spellEnd"/>
      <w:r w:rsidR="00CA2F7F" w:rsidRPr="0072678C">
        <w:rPr>
          <w:rFonts w:asciiTheme="minorHAnsi" w:hAnsiTheme="minorHAnsi" w:cstheme="minorHAnsi"/>
          <w:sz w:val="22"/>
          <w:szCs w:val="22"/>
        </w:rPr>
        <w:t xml:space="preserve">, </w:t>
      </w:r>
      <w:r w:rsidR="00CA2F7F" w:rsidRPr="0072678C">
        <w:rPr>
          <w:rFonts w:asciiTheme="minorHAnsi" w:hAnsiTheme="minorHAnsi" w:cstheme="minorHAnsi"/>
          <w:sz w:val="22"/>
          <w:szCs w:val="22"/>
        </w:rPr>
        <w:lastRenderedPageBreak/>
        <w:t xml:space="preserve">subestimação de metas, adulteração de dados, </w:t>
      </w:r>
      <w:proofErr w:type="spellStart"/>
      <w:r w:rsidR="00CA2F7F" w:rsidRPr="0072678C">
        <w:rPr>
          <w:rFonts w:asciiTheme="minorHAnsi" w:hAnsiTheme="minorHAnsi" w:cstheme="minorHAnsi"/>
          <w:sz w:val="22"/>
          <w:szCs w:val="22"/>
        </w:rPr>
        <w:t>etc</w:t>
      </w:r>
      <w:proofErr w:type="spellEnd"/>
      <w:r w:rsidR="00CA2F7F" w:rsidRPr="0072678C">
        <w:rPr>
          <w:rFonts w:asciiTheme="minorHAnsi" w:hAnsiTheme="minorHAnsi" w:cstheme="minorHAnsi"/>
          <w:sz w:val="22"/>
          <w:szCs w:val="22"/>
        </w:rPr>
        <w:t>), seja na negociação ou verificação, e para redução da assimetria informacional (maior conhecimento do objeto pactuado por parte do contratado); e definir incentivos meritórios (reconhecimento ou censura pública) e financeiros (ônus, bônus e remuneração variável) para o alcance das metas pactuadas</w:t>
      </w:r>
    </w:p>
    <w:p w:rsidR="00CA2F7F" w:rsidRPr="0072678C" w:rsidRDefault="00CA2F7F"/>
    <w:p w:rsidR="00CA2F7F" w:rsidRPr="0072678C" w:rsidRDefault="00293D42" w:rsidP="00CA2F7F">
      <w:pPr>
        <w:jc w:val="both"/>
        <w:rPr>
          <w:rFonts w:asciiTheme="minorHAnsi" w:hAnsiTheme="minorHAnsi" w:cstheme="minorHAnsi"/>
          <w:sz w:val="22"/>
          <w:szCs w:val="22"/>
        </w:rPr>
      </w:pPr>
      <w:r w:rsidRPr="0072678C">
        <w:rPr>
          <w:rFonts w:asciiTheme="minorHAnsi" w:hAnsiTheme="minorHAnsi" w:cstheme="minorHAnsi"/>
          <w:sz w:val="22"/>
          <w:szCs w:val="22"/>
        </w:rPr>
        <w:t xml:space="preserve">Para as </w:t>
      </w:r>
      <w:r w:rsidR="00CA2F7F" w:rsidRPr="0072678C">
        <w:rPr>
          <w:rFonts w:asciiTheme="minorHAnsi" w:hAnsiTheme="minorHAnsi" w:cstheme="minorHAnsi"/>
          <w:b/>
          <w:bCs/>
          <w:i/>
          <w:iCs/>
          <w:sz w:val="22"/>
          <w:szCs w:val="22"/>
        </w:rPr>
        <w:t>iniciativas de alinhamento e otimização dos processos de trabalho</w:t>
      </w:r>
      <w:r w:rsidR="00CA2F7F" w:rsidRPr="0072678C">
        <w:rPr>
          <w:rFonts w:asciiTheme="minorHAnsi" w:hAnsiTheme="minorHAnsi" w:cstheme="minorHAnsi"/>
          <w:sz w:val="22"/>
          <w:szCs w:val="22"/>
        </w:rPr>
        <w:t xml:space="preserve"> </w:t>
      </w:r>
      <w:r w:rsidR="00D319F1" w:rsidRPr="0072678C">
        <w:rPr>
          <w:rFonts w:asciiTheme="minorHAnsi" w:hAnsiTheme="minorHAnsi" w:cstheme="minorHAnsi"/>
          <w:sz w:val="22"/>
          <w:szCs w:val="22"/>
        </w:rPr>
        <w:t xml:space="preserve">deverá </w:t>
      </w:r>
      <w:r w:rsidR="00CA2F7F" w:rsidRPr="0072678C">
        <w:rPr>
          <w:rFonts w:asciiTheme="minorHAnsi" w:hAnsiTheme="minorHAnsi" w:cstheme="minorHAnsi"/>
          <w:sz w:val="22"/>
          <w:szCs w:val="22"/>
        </w:rPr>
        <w:t xml:space="preserve">identificar, diagnosticar e priorizar os processos de trabalho com base no impacto destes para execução da agenda estratégica, alinhar e otimizar os processos que impactam fortemente a estratégia e </w:t>
      </w:r>
      <w:r w:rsidR="00D319F1" w:rsidRPr="0072678C">
        <w:rPr>
          <w:rFonts w:asciiTheme="minorHAnsi" w:hAnsiTheme="minorHAnsi" w:cstheme="minorHAnsi"/>
          <w:sz w:val="22"/>
          <w:szCs w:val="22"/>
        </w:rPr>
        <w:t xml:space="preserve">que </w:t>
      </w:r>
      <w:r w:rsidR="00CA2F7F" w:rsidRPr="0072678C">
        <w:rPr>
          <w:rFonts w:asciiTheme="minorHAnsi" w:hAnsiTheme="minorHAnsi" w:cstheme="minorHAnsi"/>
          <w:sz w:val="22"/>
          <w:szCs w:val="22"/>
        </w:rPr>
        <w:t xml:space="preserve">apresentam desempenho insatisfatório; e integrar à gestão de recursos humanos (dimensionamento de força de trabalho, gestão de competências, </w:t>
      </w:r>
      <w:proofErr w:type="spellStart"/>
      <w:r w:rsidR="00CA2F7F" w:rsidRPr="0072678C">
        <w:rPr>
          <w:rFonts w:asciiTheme="minorHAnsi" w:hAnsiTheme="minorHAnsi" w:cstheme="minorHAnsi"/>
          <w:sz w:val="22"/>
          <w:szCs w:val="22"/>
        </w:rPr>
        <w:t>etc</w:t>
      </w:r>
      <w:proofErr w:type="spellEnd"/>
      <w:r w:rsidR="00CA2F7F" w:rsidRPr="0072678C">
        <w:rPr>
          <w:rFonts w:asciiTheme="minorHAnsi" w:hAnsiTheme="minorHAnsi" w:cstheme="minorHAnsi"/>
          <w:sz w:val="22"/>
          <w:szCs w:val="22"/>
        </w:rPr>
        <w:t xml:space="preserve">) e à gestão de tecnologia da informação e de comunicações (automação, interoperabilidade, </w:t>
      </w:r>
      <w:proofErr w:type="spellStart"/>
      <w:r w:rsidR="00CA2F7F" w:rsidRPr="0072678C">
        <w:rPr>
          <w:rFonts w:asciiTheme="minorHAnsi" w:hAnsiTheme="minorHAnsi" w:cstheme="minorHAnsi"/>
          <w:sz w:val="22"/>
          <w:szCs w:val="22"/>
        </w:rPr>
        <w:t>etc</w:t>
      </w:r>
      <w:proofErr w:type="spellEnd"/>
      <w:r w:rsidR="00CA2F7F" w:rsidRPr="0072678C">
        <w:rPr>
          <w:rFonts w:asciiTheme="minorHAnsi" w:hAnsiTheme="minorHAnsi" w:cstheme="minorHAnsi"/>
          <w:sz w:val="22"/>
          <w:szCs w:val="22"/>
        </w:rPr>
        <w:t>)</w:t>
      </w:r>
    </w:p>
    <w:p w:rsidR="00CA2F7F" w:rsidRPr="0072678C" w:rsidRDefault="00CA2F7F"/>
    <w:p w:rsidR="00293D42" w:rsidRPr="0072678C" w:rsidRDefault="00293D42" w:rsidP="00293D42">
      <w:pPr>
        <w:jc w:val="both"/>
        <w:rPr>
          <w:rFonts w:asciiTheme="minorHAnsi" w:hAnsiTheme="minorHAnsi" w:cstheme="minorHAnsi"/>
          <w:sz w:val="22"/>
          <w:szCs w:val="22"/>
        </w:rPr>
      </w:pPr>
      <w:r w:rsidRPr="0072678C">
        <w:rPr>
          <w:rFonts w:asciiTheme="minorHAnsi" w:hAnsiTheme="minorHAnsi" w:cstheme="minorHAnsi"/>
          <w:sz w:val="22"/>
          <w:szCs w:val="22"/>
        </w:rPr>
        <w:t xml:space="preserve">Para as </w:t>
      </w:r>
      <w:r w:rsidRPr="0072678C">
        <w:rPr>
          <w:rFonts w:asciiTheme="minorHAnsi" w:hAnsiTheme="minorHAnsi" w:cstheme="minorHAnsi"/>
          <w:b/>
          <w:bCs/>
          <w:i/>
          <w:iCs/>
          <w:sz w:val="22"/>
          <w:szCs w:val="22"/>
        </w:rPr>
        <w:t>iniciativas de alinhamento e otimização da estrutura organizacional</w:t>
      </w:r>
      <w:r w:rsidRPr="0072678C">
        <w:rPr>
          <w:rFonts w:asciiTheme="minorHAnsi" w:hAnsiTheme="minorHAnsi" w:cstheme="minorHAnsi"/>
          <w:sz w:val="22"/>
          <w:szCs w:val="22"/>
        </w:rPr>
        <w:t xml:space="preserve"> </w:t>
      </w:r>
      <w:r w:rsidR="00D319F1" w:rsidRPr="0072678C">
        <w:rPr>
          <w:rFonts w:asciiTheme="minorHAnsi" w:hAnsiTheme="minorHAnsi" w:cstheme="minorHAnsi"/>
          <w:sz w:val="22"/>
          <w:szCs w:val="22"/>
        </w:rPr>
        <w:t xml:space="preserve">deverá </w:t>
      </w:r>
      <w:r w:rsidRPr="0072678C">
        <w:rPr>
          <w:rFonts w:asciiTheme="minorHAnsi" w:hAnsiTheme="minorHAnsi" w:cstheme="minorHAnsi"/>
          <w:sz w:val="22"/>
          <w:szCs w:val="22"/>
        </w:rPr>
        <w:t xml:space="preserve">realizar diagnósticos periódicos para avaliar o desenho organizacional, o grau de flexibilidade requerido e a incidência de disfunções; considerar a matriz de contribuição </w:t>
      </w:r>
      <w:r w:rsidR="00E57365" w:rsidRPr="0072678C">
        <w:rPr>
          <w:rFonts w:asciiTheme="minorHAnsi" w:hAnsiTheme="minorHAnsi" w:cstheme="minorHAnsi"/>
          <w:sz w:val="22"/>
          <w:szCs w:val="22"/>
        </w:rPr>
        <w:t xml:space="preserve">das unidades executoras </w:t>
      </w:r>
      <w:r w:rsidRPr="0072678C">
        <w:rPr>
          <w:rFonts w:asciiTheme="minorHAnsi" w:hAnsiTheme="minorHAnsi" w:cstheme="minorHAnsi"/>
          <w:sz w:val="22"/>
          <w:szCs w:val="22"/>
        </w:rPr>
        <w:t xml:space="preserve">e as competências essenciais (com parcerias ou contratações para competências acessórias), eliminando redundância, paralelismos, sobreposições e excessos; integrar à gestão de recursos humanos </w:t>
      </w:r>
      <w:r w:rsidR="00E57365" w:rsidRPr="0072678C">
        <w:rPr>
          <w:rFonts w:asciiTheme="minorHAnsi" w:hAnsiTheme="minorHAnsi" w:cstheme="minorHAnsi"/>
          <w:sz w:val="22"/>
          <w:szCs w:val="22"/>
        </w:rPr>
        <w:t xml:space="preserve">considerando o </w:t>
      </w:r>
      <w:r w:rsidRPr="0072678C">
        <w:rPr>
          <w:rFonts w:asciiTheme="minorHAnsi" w:hAnsiTheme="minorHAnsi" w:cstheme="minorHAnsi"/>
          <w:sz w:val="22"/>
          <w:szCs w:val="22"/>
        </w:rPr>
        <w:t>dimen</w:t>
      </w:r>
      <w:r w:rsidR="00E57365" w:rsidRPr="0072678C">
        <w:rPr>
          <w:rFonts w:asciiTheme="minorHAnsi" w:hAnsiTheme="minorHAnsi" w:cstheme="minorHAnsi"/>
          <w:sz w:val="22"/>
          <w:szCs w:val="22"/>
        </w:rPr>
        <w:t xml:space="preserve">sionamento de força de trabalho e a </w:t>
      </w:r>
      <w:r w:rsidRPr="0072678C">
        <w:rPr>
          <w:rFonts w:asciiTheme="minorHAnsi" w:hAnsiTheme="minorHAnsi" w:cstheme="minorHAnsi"/>
          <w:sz w:val="22"/>
          <w:szCs w:val="22"/>
        </w:rPr>
        <w:t>gestão de competências, à gestão de parcerias (pactuação externa) e à gestão das aquisições (terceirizações); e alinhar as unidades de suporte (administrativo, técnico e corporativo) às demandas das unidades finalísticas e, sobretudo, pautadas pela agenda estratégica</w:t>
      </w:r>
      <w:r w:rsidR="00E57365" w:rsidRPr="0072678C">
        <w:rPr>
          <w:rFonts w:asciiTheme="minorHAnsi" w:hAnsiTheme="minorHAnsi" w:cstheme="minorHAnsi"/>
          <w:sz w:val="22"/>
          <w:szCs w:val="22"/>
        </w:rPr>
        <w:t>.</w:t>
      </w:r>
    </w:p>
    <w:p w:rsidR="00293D42" w:rsidRPr="0072678C" w:rsidRDefault="00293D42"/>
    <w:p w:rsidR="00293D42" w:rsidRPr="0072678C" w:rsidRDefault="00293D42" w:rsidP="00293D42">
      <w:pPr>
        <w:jc w:val="both"/>
        <w:rPr>
          <w:rFonts w:asciiTheme="minorHAnsi" w:hAnsiTheme="minorHAnsi" w:cstheme="minorHAnsi"/>
          <w:sz w:val="22"/>
          <w:szCs w:val="22"/>
        </w:rPr>
      </w:pPr>
      <w:r w:rsidRPr="0072678C">
        <w:rPr>
          <w:rFonts w:asciiTheme="minorHAnsi" w:hAnsiTheme="minorHAnsi" w:cstheme="minorHAnsi"/>
          <w:sz w:val="22"/>
          <w:szCs w:val="22"/>
        </w:rPr>
        <w:t>Para as iniciativas de</w:t>
      </w:r>
      <w:r w:rsidRPr="0072678C">
        <w:rPr>
          <w:rFonts w:asciiTheme="minorHAnsi" w:hAnsiTheme="minorHAnsi" w:cstheme="minorHAnsi"/>
          <w:b/>
          <w:bCs/>
          <w:i/>
          <w:iCs/>
          <w:sz w:val="22"/>
          <w:szCs w:val="22"/>
        </w:rPr>
        <w:t xml:space="preserve"> orientação estratégica das pessoas</w:t>
      </w:r>
      <w:r w:rsidRPr="0072678C">
        <w:rPr>
          <w:rFonts w:asciiTheme="minorHAnsi" w:hAnsiTheme="minorHAnsi" w:cstheme="minorHAnsi"/>
          <w:sz w:val="22"/>
          <w:szCs w:val="22"/>
        </w:rPr>
        <w:t xml:space="preserve"> </w:t>
      </w:r>
      <w:r w:rsidR="00E57365" w:rsidRPr="0072678C">
        <w:rPr>
          <w:rFonts w:asciiTheme="minorHAnsi" w:hAnsiTheme="minorHAnsi" w:cstheme="minorHAnsi"/>
          <w:sz w:val="22"/>
          <w:szCs w:val="22"/>
        </w:rPr>
        <w:t xml:space="preserve">a seleção </w:t>
      </w:r>
      <w:r w:rsidRPr="0072678C">
        <w:rPr>
          <w:rFonts w:asciiTheme="minorHAnsi" w:hAnsiTheme="minorHAnsi" w:cstheme="minorHAnsi"/>
          <w:sz w:val="22"/>
          <w:szCs w:val="22"/>
        </w:rPr>
        <w:t xml:space="preserve">para o preenchimento de cargos comissionados e funções de confiança </w:t>
      </w:r>
      <w:r w:rsidR="00E57365" w:rsidRPr="0072678C">
        <w:rPr>
          <w:rFonts w:asciiTheme="minorHAnsi" w:hAnsiTheme="minorHAnsi" w:cstheme="minorHAnsi"/>
          <w:sz w:val="22"/>
          <w:szCs w:val="22"/>
        </w:rPr>
        <w:t xml:space="preserve">deverá considerar </w:t>
      </w:r>
      <w:r w:rsidRPr="0072678C">
        <w:rPr>
          <w:rFonts w:asciiTheme="minorHAnsi" w:hAnsiTheme="minorHAnsi" w:cstheme="minorHAnsi"/>
          <w:sz w:val="22"/>
          <w:szCs w:val="22"/>
        </w:rPr>
        <w:t xml:space="preserve">as estratégias, os objetivos e a missão da organização; </w:t>
      </w:r>
      <w:r w:rsidR="00E57365" w:rsidRPr="0072678C">
        <w:rPr>
          <w:rFonts w:asciiTheme="minorHAnsi" w:hAnsiTheme="minorHAnsi" w:cstheme="minorHAnsi"/>
          <w:sz w:val="22"/>
          <w:szCs w:val="22"/>
        </w:rPr>
        <w:t xml:space="preserve">deverá </w:t>
      </w:r>
      <w:r w:rsidRPr="0072678C">
        <w:rPr>
          <w:rFonts w:asciiTheme="minorHAnsi" w:hAnsiTheme="minorHAnsi" w:cstheme="minorHAnsi"/>
          <w:sz w:val="22"/>
          <w:szCs w:val="22"/>
        </w:rPr>
        <w:t>gerenciar o desempenho das pessoas e equipes de forma a estimular o alcance de metas, o aprendizado, a cultura de excelência e o desenvolvimento profissional, por meio dos sistemas de remuneração e de incentivos; alinhar o perfil de competências das pessoas, por meio da identificação dos conhecimentos, das habilidades e das atitudes requeridas para a execução das atividades e para a geração de resultados a partir dos processos e da agenda estratégica; dimensionar a força de trabalho (identificação, análise e quantificação) necessária para o cumprimento dos objetivos institucionais, tendo como parâmetros a agenda estratégica e os processos de trabalho; e otimizar a distribuição de pessoas a partir da relação entre processos, competências e estrutura</w:t>
      </w:r>
    </w:p>
    <w:p w:rsidR="00293D42" w:rsidRPr="0072678C" w:rsidRDefault="00293D42"/>
    <w:p w:rsidR="00293D42" w:rsidRPr="0072678C" w:rsidRDefault="00293D42" w:rsidP="00920825">
      <w:pPr>
        <w:jc w:val="both"/>
        <w:rPr>
          <w:rFonts w:asciiTheme="minorHAnsi" w:hAnsiTheme="minorHAnsi" w:cstheme="minorHAnsi"/>
          <w:sz w:val="22"/>
          <w:szCs w:val="22"/>
        </w:rPr>
      </w:pPr>
      <w:r w:rsidRPr="0072678C">
        <w:rPr>
          <w:rFonts w:asciiTheme="minorHAnsi" w:hAnsiTheme="minorHAnsi" w:cstheme="minorHAnsi"/>
          <w:sz w:val="22"/>
          <w:szCs w:val="22"/>
        </w:rPr>
        <w:t xml:space="preserve">No que se refere ao processo </w:t>
      </w:r>
      <w:r w:rsidRPr="0072678C">
        <w:rPr>
          <w:rFonts w:asciiTheme="minorHAnsi" w:hAnsiTheme="minorHAnsi" w:cstheme="minorHAnsi"/>
          <w:b/>
          <w:bCs/>
          <w:i/>
          <w:iCs/>
          <w:sz w:val="22"/>
          <w:szCs w:val="22"/>
        </w:rPr>
        <w:t>monitoramento e a avaliação das iniciativas e resultados</w:t>
      </w:r>
      <w:r w:rsidRPr="0072678C">
        <w:rPr>
          <w:rFonts w:asciiTheme="minorHAnsi" w:hAnsiTheme="minorHAnsi" w:cstheme="minorHAnsi"/>
          <w:sz w:val="22"/>
          <w:szCs w:val="22"/>
        </w:rPr>
        <w:t xml:space="preserve"> </w:t>
      </w:r>
      <w:r w:rsidR="00920825" w:rsidRPr="0072678C">
        <w:rPr>
          <w:rFonts w:asciiTheme="minorHAnsi" w:hAnsiTheme="minorHAnsi" w:cstheme="minorHAnsi"/>
          <w:sz w:val="22"/>
          <w:szCs w:val="22"/>
        </w:rPr>
        <w:t xml:space="preserve">deverá dispor de </w:t>
      </w:r>
      <w:r w:rsidRPr="0072678C">
        <w:rPr>
          <w:rFonts w:asciiTheme="minorHAnsi" w:hAnsiTheme="minorHAnsi" w:cstheme="minorHAnsi"/>
          <w:sz w:val="22"/>
          <w:szCs w:val="22"/>
        </w:rPr>
        <w:t>uma estrutura interna (unidade) para monitorar e avaliar o cumprimento dos esforços (iniciativas e ações) e dos resultados (objetivos e metas) que integra os escritórios de estratégia, projetos, processos e contratos</w:t>
      </w:r>
      <w:r w:rsidR="00920825" w:rsidRPr="0072678C">
        <w:rPr>
          <w:rFonts w:asciiTheme="minorHAnsi" w:hAnsiTheme="minorHAnsi" w:cstheme="minorHAnsi"/>
          <w:sz w:val="22"/>
          <w:szCs w:val="22"/>
        </w:rPr>
        <w:t xml:space="preserve">; definir </w:t>
      </w:r>
      <w:r w:rsidRPr="0072678C">
        <w:rPr>
          <w:rFonts w:asciiTheme="minorHAnsi" w:hAnsiTheme="minorHAnsi" w:cstheme="minorHAnsi"/>
          <w:sz w:val="22"/>
          <w:szCs w:val="22"/>
        </w:rPr>
        <w:t xml:space="preserve">claramente o seu processo e estabelece a forma e o </w:t>
      </w:r>
      <w:r w:rsidRPr="0072678C">
        <w:rPr>
          <w:rFonts w:asciiTheme="minorHAnsi" w:hAnsiTheme="minorHAnsi" w:cstheme="minorHAnsi"/>
          <w:i/>
          <w:iCs/>
          <w:sz w:val="22"/>
          <w:szCs w:val="22"/>
        </w:rPr>
        <w:t>timing</w:t>
      </w:r>
      <w:r w:rsidRPr="0072678C">
        <w:rPr>
          <w:rFonts w:asciiTheme="minorHAnsi" w:hAnsiTheme="minorHAnsi" w:cstheme="minorHAnsi"/>
          <w:sz w:val="22"/>
          <w:szCs w:val="22"/>
        </w:rPr>
        <w:t xml:space="preserve"> como os dados serão obtidos, tratados e disponibilizados</w:t>
      </w:r>
      <w:r w:rsidR="00920825" w:rsidRPr="0072678C">
        <w:rPr>
          <w:rFonts w:asciiTheme="minorHAnsi" w:hAnsiTheme="minorHAnsi" w:cstheme="minorHAnsi"/>
          <w:sz w:val="22"/>
          <w:szCs w:val="22"/>
        </w:rPr>
        <w:t>; definir s</w:t>
      </w:r>
      <w:r w:rsidRPr="0072678C">
        <w:rPr>
          <w:rFonts w:asciiTheme="minorHAnsi" w:hAnsiTheme="minorHAnsi" w:cstheme="minorHAnsi"/>
          <w:sz w:val="22"/>
          <w:szCs w:val="22"/>
        </w:rPr>
        <w:t>eu processo de comunicação com painéis de controle (</w:t>
      </w:r>
      <w:proofErr w:type="spellStart"/>
      <w:r w:rsidRPr="0072678C">
        <w:rPr>
          <w:rFonts w:asciiTheme="minorHAnsi" w:hAnsiTheme="minorHAnsi" w:cstheme="minorHAnsi"/>
          <w:sz w:val="22"/>
          <w:szCs w:val="22"/>
        </w:rPr>
        <w:t>webpages</w:t>
      </w:r>
      <w:proofErr w:type="spellEnd"/>
      <w:r w:rsidRPr="0072678C">
        <w:rPr>
          <w:rFonts w:asciiTheme="minorHAnsi" w:hAnsiTheme="minorHAnsi" w:cstheme="minorHAnsi"/>
          <w:sz w:val="22"/>
          <w:szCs w:val="22"/>
        </w:rPr>
        <w:t>, banners, monitores, displays, cartazes e/ou sistemas informatizados) que disponibilizam para as partes interessadas um conjunto de informações relevantes e necessárias sobre o desempenho</w:t>
      </w:r>
      <w:r w:rsidR="00920825" w:rsidRPr="0072678C">
        <w:rPr>
          <w:rFonts w:asciiTheme="minorHAnsi" w:hAnsiTheme="minorHAnsi" w:cstheme="minorHAnsi"/>
          <w:sz w:val="22"/>
          <w:szCs w:val="22"/>
        </w:rPr>
        <w:t xml:space="preserve">; definir </w:t>
      </w:r>
      <w:r w:rsidRPr="0072678C">
        <w:rPr>
          <w:rFonts w:asciiTheme="minorHAnsi" w:hAnsiTheme="minorHAnsi" w:cstheme="minorHAnsi"/>
          <w:sz w:val="22"/>
          <w:szCs w:val="22"/>
        </w:rPr>
        <w:t>critérios e procedimentos institucionalizados que são aplicados para analisar e corrigir o descumprimento dos esforços (iniciativas e ações) e dos resultados (objetivos e metas)</w:t>
      </w:r>
      <w:r w:rsidR="00920825" w:rsidRPr="0072678C">
        <w:rPr>
          <w:rFonts w:asciiTheme="minorHAnsi" w:hAnsiTheme="minorHAnsi" w:cstheme="minorHAnsi"/>
          <w:sz w:val="22"/>
          <w:szCs w:val="22"/>
        </w:rPr>
        <w:t>; utilizar a</w:t>
      </w:r>
      <w:r w:rsidRPr="0072678C">
        <w:rPr>
          <w:rFonts w:asciiTheme="minorHAnsi" w:hAnsiTheme="minorHAnsi" w:cstheme="minorHAnsi"/>
          <w:sz w:val="22"/>
          <w:szCs w:val="22"/>
        </w:rPr>
        <w:t>s avaliações para a tomada de decisão e para a reformulação dos programas estratégicos</w:t>
      </w:r>
      <w:r w:rsidR="00920825" w:rsidRPr="0072678C">
        <w:rPr>
          <w:rFonts w:asciiTheme="minorHAnsi" w:hAnsiTheme="minorHAnsi" w:cstheme="minorHAnsi"/>
          <w:sz w:val="22"/>
          <w:szCs w:val="22"/>
        </w:rPr>
        <w:t xml:space="preserve">; </w:t>
      </w:r>
      <w:r w:rsidR="00B11A01" w:rsidRPr="0072678C">
        <w:rPr>
          <w:rFonts w:asciiTheme="minorHAnsi" w:hAnsiTheme="minorHAnsi" w:cstheme="minorHAnsi"/>
          <w:sz w:val="22"/>
          <w:szCs w:val="22"/>
        </w:rPr>
        <w:t xml:space="preserve">e </w:t>
      </w:r>
      <w:r w:rsidR="00920825" w:rsidRPr="0072678C">
        <w:rPr>
          <w:rFonts w:asciiTheme="minorHAnsi" w:hAnsiTheme="minorHAnsi" w:cstheme="minorHAnsi"/>
          <w:sz w:val="22"/>
          <w:szCs w:val="22"/>
        </w:rPr>
        <w:t xml:space="preserve">disponibilizar </w:t>
      </w:r>
      <w:r w:rsidRPr="0072678C">
        <w:rPr>
          <w:rFonts w:asciiTheme="minorHAnsi" w:hAnsiTheme="minorHAnsi" w:cstheme="minorHAnsi"/>
          <w:sz w:val="22"/>
          <w:szCs w:val="22"/>
        </w:rPr>
        <w:t>para os cidadãos, na internet e em outros meios, as informações de monitoramento e os relatórios de avaliação dos objetivos e metas</w:t>
      </w:r>
      <w:r w:rsidR="00B11A01" w:rsidRPr="0072678C">
        <w:rPr>
          <w:rFonts w:asciiTheme="minorHAnsi" w:hAnsiTheme="minorHAnsi" w:cstheme="minorHAnsi"/>
          <w:sz w:val="22"/>
          <w:szCs w:val="22"/>
        </w:rPr>
        <w:t>.</w:t>
      </w:r>
    </w:p>
    <w:p w:rsidR="00B306B3" w:rsidRPr="0072678C" w:rsidRDefault="00B306B3" w:rsidP="00920825">
      <w:pPr>
        <w:jc w:val="both"/>
        <w:rPr>
          <w:rFonts w:asciiTheme="minorHAnsi" w:hAnsiTheme="minorHAnsi" w:cstheme="minorHAnsi"/>
          <w:sz w:val="22"/>
          <w:szCs w:val="22"/>
        </w:rPr>
      </w:pPr>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74"/>
        <w:gridCol w:w="1776"/>
        <w:gridCol w:w="884"/>
        <w:gridCol w:w="764"/>
        <w:gridCol w:w="521"/>
      </w:tblGrid>
      <w:tr w:rsidR="00AB2D0B" w:rsidRPr="0072678C" w:rsidTr="00B306B3">
        <w:trPr>
          <w:trHeight w:val="345"/>
          <w:jc w:val="center"/>
        </w:trPr>
        <w:tc>
          <w:tcPr>
            <w:tcW w:w="4974" w:type="dxa"/>
            <w:vMerge w:val="restart"/>
            <w:shd w:val="clear" w:color="auto" w:fill="C5E0B3" w:themeFill="accent6" w:themeFillTint="66"/>
            <w:noWrap/>
            <w:vAlign w:val="center"/>
            <w:hideMark/>
          </w:tcPr>
          <w:p w:rsidR="00AB2D0B" w:rsidRPr="0072678C" w:rsidRDefault="00AB2D0B" w:rsidP="00AB2D0B">
            <w:pPr>
              <w:jc w:val="both"/>
              <w:rPr>
                <w:rFonts w:asciiTheme="minorHAnsi" w:hAnsiTheme="minorHAnsi" w:cstheme="minorHAnsi"/>
                <w:b/>
                <w:bCs/>
              </w:rPr>
            </w:pPr>
            <w:r w:rsidRPr="0072678C">
              <w:rPr>
                <w:rFonts w:asciiTheme="minorHAnsi" w:hAnsiTheme="minorHAnsi" w:cstheme="minorHAnsi"/>
                <w:b/>
                <w:bCs/>
                <w:sz w:val="22"/>
                <w:szCs w:val="22"/>
              </w:rPr>
              <w:t xml:space="preserve">GF 3. GESTÃO DE PESSOAS: </w:t>
            </w:r>
            <w:r w:rsidRPr="0072678C">
              <w:rPr>
                <w:rFonts w:asciiTheme="minorHAnsi" w:hAnsiTheme="minorHAnsi" w:cstheme="minorHAnsi"/>
                <w:sz w:val="22"/>
                <w:szCs w:val="22"/>
              </w:rPr>
              <w:t xml:space="preserve">Estimula a qualificação dos recursos humanos e promove a melhoria do desempenho das competências, de acordo com </w:t>
            </w:r>
            <w:r w:rsidRPr="0072678C">
              <w:rPr>
                <w:rFonts w:asciiTheme="minorHAnsi" w:hAnsiTheme="minorHAnsi" w:cstheme="minorHAnsi"/>
                <w:sz w:val="22"/>
                <w:szCs w:val="22"/>
              </w:rPr>
              <w:lastRenderedPageBreak/>
              <w:t>padrões éticos, com adequada alocação e distribuição nas áreas organizacionais</w:t>
            </w:r>
            <w:r w:rsidRPr="0072678C">
              <w:rPr>
                <w:rFonts w:asciiTheme="minorHAnsi" w:hAnsiTheme="minorHAnsi" w:cstheme="minorHAnsi"/>
                <w:b/>
                <w:bCs/>
                <w:sz w:val="22"/>
                <w:szCs w:val="22"/>
              </w:rPr>
              <w:t>.</w:t>
            </w:r>
          </w:p>
        </w:tc>
        <w:tc>
          <w:tcPr>
            <w:tcW w:w="1776" w:type="dxa"/>
            <w:vMerge w:val="restart"/>
            <w:shd w:val="clear" w:color="auto" w:fill="C5E0B3" w:themeFill="accent6" w:themeFillTint="66"/>
            <w:noWrap/>
            <w:vAlign w:val="center"/>
            <w:hideMark/>
          </w:tcPr>
          <w:p w:rsidR="00AB2D0B" w:rsidRPr="0072678C" w:rsidRDefault="00AB2D0B" w:rsidP="00BC23AF">
            <w:pPr>
              <w:jc w:val="center"/>
              <w:rPr>
                <w:rFonts w:asciiTheme="minorHAnsi" w:hAnsiTheme="minorHAnsi" w:cstheme="minorHAnsi"/>
                <w:b/>
                <w:bCs/>
              </w:rPr>
            </w:pPr>
            <w:r w:rsidRPr="0072678C">
              <w:rPr>
                <w:rFonts w:asciiTheme="minorHAnsi" w:hAnsiTheme="minorHAnsi" w:cstheme="minorHAnsi"/>
                <w:b/>
                <w:bCs/>
                <w:sz w:val="22"/>
                <w:szCs w:val="22"/>
              </w:rPr>
              <w:lastRenderedPageBreak/>
              <w:t>Maturidade</w:t>
            </w:r>
          </w:p>
        </w:tc>
        <w:tc>
          <w:tcPr>
            <w:tcW w:w="2169" w:type="dxa"/>
            <w:gridSpan w:val="3"/>
            <w:shd w:val="clear" w:color="auto" w:fill="C5E0B3" w:themeFill="accent6" w:themeFillTint="66"/>
            <w:vAlign w:val="center"/>
          </w:tcPr>
          <w:p w:rsidR="00AB2D0B" w:rsidRPr="0072678C" w:rsidRDefault="00AB2D0B" w:rsidP="00BC23AF">
            <w:pPr>
              <w:jc w:val="center"/>
              <w:rPr>
                <w:rFonts w:asciiTheme="minorHAnsi" w:hAnsiTheme="minorHAnsi" w:cstheme="minorHAnsi"/>
                <w:b/>
              </w:rPr>
            </w:pPr>
            <w:r w:rsidRPr="0072678C">
              <w:rPr>
                <w:rFonts w:asciiTheme="minorHAnsi" w:hAnsiTheme="minorHAnsi" w:cstheme="minorHAnsi"/>
                <w:b/>
                <w:sz w:val="22"/>
                <w:szCs w:val="22"/>
              </w:rPr>
              <w:t xml:space="preserve">Pontuação </w:t>
            </w:r>
          </w:p>
        </w:tc>
      </w:tr>
      <w:tr w:rsidR="00AB2D0B" w:rsidRPr="0072678C" w:rsidTr="00B306B3">
        <w:trPr>
          <w:trHeight w:val="345"/>
          <w:jc w:val="center"/>
        </w:trPr>
        <w:tc>
          <w:tcPr>
            <w:tcW w:w="4974" w:type="dxa"/>
            <w:vMerge/>
            <w:shd w:val="clear" w:color="auto" w:fill="C5E0B3" w:themeFill="accent6" w:themeFillTint="66"/>
            <w:noWrap/>
            <w:vAlign w:val="bottom"/>
            <w:hideMark/>
          </w:tcPr>
          <w:p w:rsidR="00AB2D0B" w:rsidRPr="0072678C" w:rsidRDefault="00AB2D0B" w:rsidP="00BC23AF">
            <w:pPr>
              <w:rPr>
                <w:rFonts w:asciiTheme="minorHAnsi" w:hAnsiTheme="minorHAnsi" w:cstheme="minorHAnsi"/>
                <w:b/>
                <w:bCs/>
              </w:rPr>
            </w:pPr>
          </w:p>
        </w:tc>
        <w:tc>
          <w:tcPr>
            <w:tcW w:w="1776" w:type="dxa"/>
            <w:vMerge/>
            <w:shd w:val="clear" w:color="auto" w:fill="C5E0B3" w:themeFill="accent6" w:themeFillTint="66"/>
            <w:noWrap/>
            <w:vAlign w:val="bottom"/>
            <w:hideMark/>
          </w:tcPr>
          <w:p w:rsidR="00AB2D0B" w:rsidRPr="0072678C" w:rsidRDefault="00AB2D0B" w:rsidP="00BC23AF">
            <w:pPr>
              <w:jc w:val="center"/>
              <w:rPr>
                <w:rFonts w:asciiTheme="minorHAnsi" w:hAnsiTheme="minorHAnsi" w:cstheme="minorHAnsi"/>
                <w:b/>
                <w:bCs/>
              </w:rPr>
            </w:pPr>
          </w:p>
        </w:tc>
        <w:tc>
          <w:tcPr>
            <w:tcW w:w="884" w:type="dxa"/>
            <w:shd w:val="clear" w:color="auto" w:fill="C5E0B3" w:themeFill="accent6" w:themeFillTint="66"/>
            <w:vAlign w:val="center"/>
          </w:tcPr>
          <w:p w:rsidR="00AB2D0B" w:rsidRPr="0072678C" w:rsidRDefault="00AB2D0B" w:rsidP="00BC23AF">
            <w:pPr>
              <w:jc w:val="center"/>
              <w:rPr>
                <w:rFonts w:asciiTheme="minorHAnsi" w:hAnsiTheme="minorHAnsi" w:cstheme="minorHAnsi"/>
                <w:b/>
              </w:rPr>
            </w:pPr>
            <w:r w:rsidRPr="0072678C">
              <w:rPr>
                <w:rFonts w:asciiTheme="minorHAnsi" w:hAnsiTheme="minorHAnsi" w:cstheme="minorHAnsi"/>
                <w:b/>
                <w:sz w:val="22"/>
                <w:szCs w:val="22"/>
              </w:rPr>
              <w:t>Máxima</w:t>
            </w:r>
          </w:p>
        </w:tc>
        <w:tc>
          <w:tcPr>
            <w:tcW w:w="764" w:type="dxa"/>
            <w:shd w:val="clear" w:color="auto" w:fill="C5E0B3" w:themeFill="accent6" w:themeFillTint="66"/>
            <w:vAlign w:val="center"/>
          </w:tcPr>
          <w:p w:rsidR="00AB2D0B" w:rsidRPr="0072678C" w:rsidRDefault="00AB2D0B" w:rsidP="00BC23AF">
            <w:pPr>
              <w:jc w:val="center"/>
              <w:rPr>
                <w:rFonts w:asciiTheme="minorHAnsi" w:hAnsiTheme="minorHAnsi" w:cstheme="minorHAnsi"/>
                <w:b/>
              </w:rPr>
            </w:pPr>
            <w:r w:rsidRPr="0072678C">
              <w:rPr>
                <w:rFonts w:asciiTheme="minorHAnsi" w:hAnsiTheme="minorHAnsi" w:cstheme="minorHAnsi"/>
                <w:b/>
                <w:sz w:val="22"/>
                <w:szCs w:val="22"/>
              </w:rPr>
              <w:t>Obtida</w:t>
            </w:r>
          </w:p>
        </w:tc>
        <w:tc>
          <w:tcPr>
            <w:tcW w:w="521" w:type="dxa"/>
            <w:shd w:val="clear" w:color="auto" w:fill="C5E0B3" w:themeFill="accent6" w:themeFillTint="66"/>
            <w:vAlign w:val="center"/>
          </w:tcPr>
          <w:p w:rsidR="00AB2D0B" w:rsidRPr="0072678C" w:rsidRDefault="00AB2D0B" w:rsidP="00BC23AF">
            <w:pPr>
              <w:jc w:val="center"/>
              <w:rPr>
                <w:rFonts w:asciiTheme="minorHAnsi" w:hAnsiTheme="minorHAnsi" w:cstheme="minorHAnsi"/>
                <w:b/>
              </w:rPr>
            </w:pPr>
            <w:r w:rsidRPr="0072678C">
              <w:rPr>
                <w:rFonts w:asciiTheme="minorHAnsi" w:hAnsiTheme="minorHAnsi" w:cstheme="minorHAnsi"/>
                <w:b/>
                <w:sz w:val="22"/>
                <w:szCs w:val="22"/>
              </w:rPr>
              <w:t>%</w:t>
            </w:r>
          </w:p>
        </w:tc>
      </w:tr>
      <w:tr w:rsidR="00AB2D0B" w:rsidRPr="0072678C" w:rsidTr="00B306B3">
        <w:trPr>
          <w:trHeight w:val="345"/>
          <w:jc w:val="center"/>
        </w:trPr>
        <w:tc>
          <w:tcPr>
            <w:tcW w:w="4974" w:type="dxa"/>
            <w:vMerge/>
            <w:shd w:val="clear" w:color="auto" w:fill="auto"/>
            <w:noWrap/>
            <w:vAlign w:val="center"/>
            <w:hideMark/>
          </w:tcPr>
          <w:p w:rsidR="00AB2D0B" w:rsidRPr="0072678C" w:rsidRDefault="00AB2D0B" w:rsidP="00B16094">
            <w:pPr>
              <w:ind w:firstLineChars="200" w:firstLine="480"/>
              <w:jc w:val="center"/>
              <w:rPr>
                <w:rFonts w:ascii="Calibri" w:hAnsi="Calibri" w:cs="Calibri"/>
              </w:rPr>
            </w:pPr>
          </w:p>
        </w:tc>
        <w:tc>
          <w:tcPr>
            <w:tcW w:w="1776" w:type="dxa"/>
            <w:shd w:val="clear" w:color="auto" w:fill="auto"/>
            <w:noWrap/>
            <w:vAlign w:val="center"/>
            <w:hideMark/>
          </w:tcPr>
          <w:p w:rsidR="00AB2D0B" w:rsidRPr="0072678C" w:rsidRDefault="00AB2D0B" w:rsidP="00BC23AF">
            <w:pPr>
              <w:jc w:val="center"/>
              <w:rPr>
                <w:rFonts w:asciiTheme="minorHAnsi" w:hAnsiTheme="minorHAnsi" w:cstheme="minorHAnsi"/>
                <w:b/>
                <w:bCs/>
              </w:rPr>
            </w:pPr>
            <w:r w:rsidRPr="0072678C">
              <w:rPr>
                <w:rFonts w:asciiTheme="minorHAnsi" w:hAnsiTheme="minorHAnsi" w:cstheme="minorHAnsi"/>
                <w:b/>
                <w:sz w:val="22"/>
                <w:szCs w:val="22"/>
              </w:rPr>
              <w:t>INICIANTE (+)</w:t>
            </w:r>
          </w:p>
        </w:tc>
        <w:tc>
          <w:tcPr>
            <w:tcW w:w="884" w:type="dxa"/>
            <w:vAlign w:val="center"/>
          </w:tcPr>
          <w:p w:rsidR="00AB2D0B" w:rsidRPr="0072678C" w:rsidRDefault="00AB2D0B" w:rsidP="00BC23AF">
            <w:pPr>
              <w:jc w:val="center"/>
              <w:rPr>
                <w:rFonts w:ascii="Calibri" w:hAnsi="Calibri" w:cs="Calibri"/>
              </w:rPr>
            </w:pPr>
            <w:r w:rsidRPr="0072678C">
              <w:rPr>
                <w:rFonts w:ascii="Calibri" w:hAnsi="Calibri" w:cs="Calibri"/>
                <w:sz w:val="22"/>
                <w:szCs w:val="22"/>
              </w:rPr>
              <w:t>36</w:t>
            </w:r>
          </w:p>
        </w:tc>
        <w:tc>
          <w:tcPr>
            <w:tcW w:w="764" w:type="dxa"/>
            <w:vAlign w:val="center"/>
          </w:tcPr>
          <w:p w:rsidR="00AB2D0B" w:rsidRPr="0072678C" w:rsidRDefault="00AB2D0B" w:rsidP="00BC23AF">
            <w:pPr>
              <w:jc w:val="center"/>
              <w:rPr>
                <w:rFonts w:ascii="Calibri" w:hAnsi="Calibri" w:cs="Calibri"/>
              </w:rPr>
            </w:pPr>
            <w:r w:rsidRPr="0072678C">
              <w:rPr>
                <w:rFonts w:ascii="Calibri" w:hAnsi="Calibri" w:cs="Calibri"/>
                <w:sz w:val="22"/>
                <w:szCs w:val="22"/>
              </w:rPr>
              <w:t>15</w:t>
            </w:r>
          </w:p>
        </w:tc>
        <w:tc>
          <w:tcPr>
            <w:tcW w:w="521" w:type="dxa"/>
            <w:vAlign w:val="center"/>
          </w:tcPr>
          <w:p w:rsidR="00AB2D0B" w:rsidRPr="0072678C" w:rsidRDefault="00AB2D0B" w:rsidP="00BC23AF">
            <w:pPr>
              <w:jc w:val="center"/>
              <w:rPr>
                <w:rFonts w:ascii="Calibri" w:hAnsi="Calibri" w:cs="Calibri"/>
              </w:rPr>
            </w:pPr>
            <w:r w:rsidRPr="0072678C">
              <w:rPr>
                <w:rFonts w:ascii="Calibri" w:hAnsi="Calibri" w:cs="Calibri"/>
                <w:sz w:val="22"/>
                <w:szCs w:val="22"/>
              </w:rPr>
              <w:t>42%</w:t>
            </w:r>
          </w:p>
        </w:tc>
      </w:tr>
    </w:tbl>
    <w:p w:rsidR="00403E22" w:rsidRPr="0072678C" w:rsidRDefault="00403E22" w:rsidP="00517D28">
      <w:pPr>
        <w:jc w:val="both"/>
        <w:rPr>
          <w:rFonts w:asciiTheme="minorHAnsi" w:hAnsiTheme="minorHAnsi" w:cstheme="minorHAnsi"/>
          <w:sz w:val="22"/>
          <w:szCs w:val="22"/>
        </w:rPr>
      </w:pPr>
    </w:p>
    <w:p w:rsidR="00C5742C" w:rsidRPr="0072678C" w:rsidRDefault="00517D28" w:rsidP="00517D28">
      <w:pPr>
        <w:jc w:val="both"/>
        <w:rPr>
          <w:rFonts w:asciiTheme="minorHAnsi" w:hAnsiTheme="minorHAnsi" w:cstheme="minorHAnsi"/>
          <w:sz w:val="22"/>
          <w:szCs w:val="22"/>
        </w:rPr>
      </w:pPr>
      <w:r w:rsidRPr="0072678C">
        <w:rPr>
          <w:rFonts w:asciiTheme="minorHAnsi" w:hAnsiTheme="minorHAnsi" w:cstheme="minorHAnsi"/>
          <w:sz w:val="22"/>
          <w:szCs w:val="22"/>
        </w:rPr>
        <w:t xml:space="preserve">Com </w:t>
      </w:r>
      <w:r w:rsidR="00C5742C" w:rsidRPr="0072678C">
        <w:rPr>
          <w:rFonts w:asciiTheme="minorHAnsi" w:hAnsiTheme="minorHAnsi" w:cstheme="minorHAnsi"/>
          <w:sz w:val="22"/>
          <w:szCs w:val="22"/>
        </w:rPr>
        <w:t xml:space="preserve">relação ao processo </w:t>
      </w:r>
      <w:r w:rsidR="00C5742C" w:rsidRPr="0072678C">
        <w:rPr>
          <w:rFonts w:asciiTheme="minorHAnsi" w:hAnsiTheme="minorHAnsi" w:cstheme="minorHAnsi"/>
          <w:b/>
          <w:bCs/>
          <w:i/>
          <w:iCs/>
          <w:sz w:val="22"/>
          <w:szCs w:val="22"/>
        </w:rPr>
        <w:t>direcionamento estratégico da gestão de pessoas na administração fiscal</w:t>
      </w:r>
      <w:r w:rsidR="00C5742C" w:rsidRPr="0072678C">
        <w:rPr>
          <w:rFonts w:asciiTheme="minorHAnsi" w:hAnsiTheme="minorHAnsi" w:cstheme="minorHAnsi"/>
          <w:sz w:val="22"/>
          <w:szCs w:val="22"/>
        </w:rPr>
        <w:t xml:space="preserve"> a SEFAZ/SP deverá formalizar e divulga </w:t>
      </w:r>
      <w:r w:rsidR="00B11A01" w:rsidRPr="0072678C">
        <w:rPr>
          <w:rFonts w:asciiTheme="minorHAnsi" w:hAnsiTheme="minorHAnsi" w:cstheme="minorHAnsi"/>
          <w:sz w:val="22"/>
          <w:szCs w:val="22"/>
        </w:rPr>
        <w:t xml:space="preserve">os </w:t>
      </w:r>
      <w:r w:rsidR="00C5742C" w:rsidRPr="0072678C">
        <w:rPr>
          <w:rFonts w:asciiTheme="minorHAnsi" w:hAnsiTheme="minorHAnsi" w:cstheme="minorHAnsi"/>
          <w:sz w:val="22"/>
          <w:szCs w:val="22"/>
        </w:rPr>
        <w:t xml:space="preserve">direitos e deveres dos dirigentes e servidores; institui formalmente comitê estratégico, composto por representantes de áreas relevantes da organização, com atribuições e responsabilidades definidas; definir diretrizes para o planejamento e priorização </w:t>
      </w:r>
      <w:r w:rsidR="00B11A01" w:rsidRPr="0072678C">
        <w:rPr>
          <w:rFonts w:asciiTheme="minorHAnsi" w:hAnsiTheme="minorHAnsi" w:cstheme="minorHAnsi"/>
          <w:sz w:val="22"/>
          <w:szCs w:val="22"/>
        </w:rPr>
        <w:t xml:space="preserve">das ações de gestão de pessoas, </w:t>
      </w:r>
      <w:r w:rsidR="00C5742C" w:rsidRPr="0072678C">
        <w:rPr>
          <w:rFonts w:asciiTheme="minorHAnsi" w:hAnsiTheme="minorHAnsi" w:cstheme="minorHAnsi"/>
          <w:sz w:val="22"/>
          <w:szCs w:val="22"/>
        </w:rPr>
        <w:t>definição de metas e indicadores de desempenho</w:t>
      </w:r>
      <w:r w:rsidRPr="0072678C">
        <w:rPr>
          <w:rFonts w:asciiTheme="minorHAnsi" w:hAnsiTheme="minorHAnsi" w:cstheme="minorHAnsi"/>
          <w:sz w:val="22"/>
          <w:szCs w:val="22"/>
        </w:rPr>
        <w:t>;</w:t>
      </w:r>
      <w:r w:rsidR="00B11A01"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definir </w:t>
      </w:r>
      <w:r w:rsidR="00C5742C" w:rsidRPr="0072678C">
        <w:rPr>
          <w:rFonts w:asciiTheme="minorHAnsi" w:hAnsiTheme="minorHAnsi" w:cstheme="minorHAnsi"/>
          <w:sz w:val="22"/>
          <w:szCs w:val="22"/>
        </w:rPr>
        <w:t>diretrizes para a gestão das competências organizacionais e individuais</w:t>
      </w:r>
      <w:r w:rsidRPr="0072678C">
        <w:rPr>
          <w:rFonts w:asciiTheme="minorHAnsi" w:hAnsiTheme="minorHAnsi" w:cstheme="minorHAnsi"/>
          <w:sz w:val="22"/>
          <w:szCs w:val="22"/>
        </w:rPr>
        <w:t xml:space="preserve">; propor </w:t>
      </w:r>
      <w:r w:rsidR="00C5742C" w:rsidRPr="0072678C">
        <w:rPr>
          <w:rFonts w:asciiTheme="minorHAnsi" w:hAnsiTheme="minorHAnsi" w:cstheme="minorHAnsi"/>
          <w:sz w:val="22"/>
          <w:szCs w:val="22"/>
        </w:rPr>
        <w:t>plano de comunicação e adota</w:t>
      </w:r>
      <w:r w:rsidRPr="0072678C">
        <w:rPr>
          <w:rFonts w:asciiTheme="minorHAnsi" w:hAnsiTheme="minorHAnsi" w:cstheme="minorHAnsi"/>
          <w:sz w:val="22"/>
          <w:szCs w:val="22"/>
        </w:rPr>
        <w:t>r</w:t>
      </w:r>
      <w:r w:rsidR="00C5742C" w:rsidRPr="0072678C">
        <w:rPr>
          <w:rFonts w:asciiTheme="minorHAnsi" w:hAnsiTheme="minorHAnsi" w:cstheme="minorHAnsi"/>
          <w:sz w:val="22"/>
          <w:szCs w:val="22"/>
        </w:rPr>
        <w:t xml:space="preserve"> informativo para a gestão de pessoas</w:t>
      </w:r>
      <w:r w:rsidRPr="0072678C">
        <w:rPr>
          <w:rFonts w:asciiTheme="minorHAnsi" w:hAnsiTheme="minorHAnsi" w:cstheme="minorHAnsi"/>
          <w:sz w:val="22"/>
          <w:szCs w:val="22"/>
        </w:rPr>
        <w:t xml:space="preserve">; e definir </w:t>
      </w:r>
      <w:r w:rsidR="00C5742C" w:rsidRPr="0072678C">
        <w:rPr>
          <w:rFonts w:asciiTheme="minorHAnsi" w:hAnsiTheme="minorHAnsi" w:cstheme="minorHAnsi"/>
          <w:sz w:val="22"/>
          <w:szCs w:val="22"/>
        </w:rPr>
        <w:t>diretrizes para avaliação do desempenho dos serviços de gestão de pessoas</w:t>
      </w:r>
      <w:r w:rsidRPr="0072678C">
        <w:rPr>
          <w:rFonts w:asciiTheme="minorHAnsi" w:hAnsiTheme="minorHAnsi" w:cstheme="minorHAnsi"/>
          <w:sz w:val="22"/>
          <w:szCs w:val="22"/>
        </w:rPr>
        <w:t>.</w:t>
      </w:r>
    </w:p>
    <w:p w:rsidR="00C5742C" w:rsidRPr="0072678C" w:rsidRDefault="00C5742C" w:rsidP="00214FA9">
      <w:pPr>
        <w:rPr>
          <w:rFonts w:asciiTheme="minorHAnsi" w:hAnsiTheme="minorHAnsi" w:cstheme="minorHAnsi"/>
          <w:sz w:val="22"/>
          <w:szCs w:val="22"/>
        </w:rPr>
      </w:pPr>
    </w:p>
    <w:p w:rsidR="00700319" w:rsidRPr="0072678C" w:rsidRDefault="00700319" w:rsidP="00B16182">
      <w:pPr>
        <w:jc w:val="both"/>
        <w:rPr>
          <w:rFonts w:asciiTheme="minorHAnsi" w:hAnsiTheme="minorHAnsi" w:cstheme="minorHAnsi"/>
          <w:sz w:val="22"/>
          <w:szCs w:val="22"/>
        </w:rPr>
      </w:pPr>
      <w:r w:rsidRPr="0072678C">
        <w:rPr>
          <w:rFonts w:asciiTheme="minorHAnsi" w:hAnsiTheme="minorHAnsi" w:cstheme="minorHAnsi"/>
          <w:sz w:val="22"/>
          <w:szCs w:val="22"/>
        </w:rPr>
        <w:t xml:space="preserve">O processo </w:t>
      </w:r>
      <w:r w:rsidRPr="0072678C">
        <w:rPr>
          <w:rFonts w:asciiTheme="minorHAnsi" w:hAnsiTheme="minorHAnsi" w:cstheme="minorHAnsi"/>
          <w:b/>
          <w:bCs/>
          <w:sz w:val="22"/>
          <w:szCs w:val="22"/>
        </w:rPr>
        <w:t>relacionamento da gestão fiscal com as entidades representativas dos servidores</w:t>
      </w:r>
      <w:r w:rsidRPr="0072678C">
        <w:rPr>
          <w:rFonts w:asciiTheme="minorHAnsi" w:hAnsiTheme="minorHAnsi" w:cstheme="minorHAnsi"/>
          <w:sz w:val="22"/>
          <w:szCs w:val="22"/>
        </w:rPr>
        <w:t xml:space="preserve"> </w:t>
      </w:r>
      <w:r w:rsidR="00E55C66" w:rsidRPr="0072678C">
        <w:rPr>
          <w:rFonts w:asciiTheme="minorHAnsi" w:hAnsiTheme="minorHAnsi" w:cstheme="minorHAnsi"/>
          <w:sz w:val="22"/>
          <w:szCs w:val="22"/>
        </w:rPr>
        <w:t>deverá a</w:t>
      </w:r>
      <w:r w:rsidRPr="0072678C">
        <w:rPr>
          <w:rFonts w:asciiTheme="minorHAnsi" w:hAnsiTheme="minorHAnsi" w:cstheme="minorHAnsi"/>
          <w:sz w:val="22"/>
          <w:szCs w:val="22"/>
        </w:rPr>
        <w:t>dota</w:t>
      </w:r>
      <w:r w:rsidR="00E55C66" w:rsidRPr="0072678C">
        <w:rPr>
          <w:rFonts w:asciiTheme="minorHAnsi" w:hAnsiTheme="minorHAnsi" w:cstheme="minorHAnsi"/>
          <w:sz w:val="22"/>
          <w:szCs w:val="22"/>
        </w:rPr>
        <w:t>r</w:t>
      </w:r>
      <w:r w:rsidRPr="0072678C">
        <w:rPr>
          <w:rFonts w:asciiTheme="minorHAnsi" w:hAnsiTheme="minorHAnsi" w:cstheme="minorHAnsi"/>
          <w:sz w:val="22"/>
          <w:szCs w:val="22"/>
        </w:rPr>
        <w:t xml:space="preserve"> formalmente mesas permanentes de negociação</w:t>
      </w:r>
      <w:r w:rsidR="00E55C66" w:rsidRPr="0072678C">
        <w:rPr>
          <w:rFonts w:asciiTheme="minorHAnsi" w:hAnsiTheme="minorHAnsi" w:cstheme="minorHAnsi"/>
          <w:sz w:val="22"/>
          <w:szCs w:val="22"/>
        </w:rPr>
        <w:t xml:space="preserve">; e dispor de </w:t>
      </w:r>
      <w:r w:rsidRPr="0072678C">
        <w:rPr>
          <w:rFonts w:asciiTheme="minorHAnsi" w:hAnsiTheme="minorHAnsi" w:cstheme="minorHAnsi"/>
          <w:sz w:val="22"/>
          <w:szCs w:val="22"/>
        </w:rPr>
        <w:t>metodologia para análise e resolução de conflitos</w:t>
      </w:r>
      <w:r w:rsidR="00403E22" w:rsidRPr="0072678C">
        <w:rPr>
          <w:rFonts w:asciiTheme="minorHAnsi" w:hAnsiTheme="minorHAnsi" w:cstheme="minorHAnsi"/>
          <w:sz w:val="22"/>
          <w:szCs w:val="22"/>
        </w:rPr>
        <w:t>.</w:t>
      </w:r>
    </w:p>
    <w:p w:rsidR="00700319" w:rsidRPr="0072678C" w:rsidRDefault="00700319" w:rsidP="00214FA9">
      <w:pPr>
        <w:rPr>
          <w:rFonts w:asciiTheme="minorHAnsi" w:hAnsiTheme="minorHAnsi" w:cstheme="minorHAnsi"/>
          <w:sz w:val="22"/>
          <w:szCs w:val="22"/>
        </w:rPr>
      </w:pPr>
    </w:p>
    <w:p w:rsidR="00B16182" w:rsidRPr="0072678C" w:rsidRDefault="00D019DD" w:rsidP="0021653B">
      <w:pPr>
        <w:jc w:val="both"/>
        <w:rPr>
          <w:rFonts w:asciiTheme="minorHAnsi" w:hAnsiTheme="minorHAnsi" w:cstheme="minorHAnsi"/>
          <w:sz w:val="22"/>
          <w:szCs w:val="22"/>
        </w:rPr>
      </w:pPr>
      <w:r w:rsidRPr="0072678C">
        <w:rPr>
          <w:rFonts w:asciiTheme="minorHAnsi" w:hAnsiTheme="minorHAnsi" w:cstheme="minorHAnsi"/>
          <w:sz w:val="22"/>
          <w:szCs w:val="22"/>
        </w:rPr>
        <w:t xml:space="preserve">Com relação </w:t>
      </w:r>
      <w:r w:rsidR="00B16182" w:rsidRPr="0072678C">
        <w:rPr>
          <w:rFonts w:asciiTheme="minorHAnsi" w:hAnsiTheme="minorHAnsi" w:cstheme="minorHAnsi"/>
          <w:sz w:val="22"/>
          <w:szCs w:val="22"/>
        </w:rPr>
        <w:t xml:space="preserve">ao processo </w:t>
      </w:r>
      <w:r w:rsidR="00B16182" w:rsidRPr="0072678C">
        <w:rPr>
          <w:rFonts w:asciiTheme="minorHAnsi" w:hAnsiTheme="minorHAnsi" w:cstheme="minorHAnsi"/>
          <w:b/>
          <w:bCs/>
          <w:i/>
          <w:iCs/>
          <w:sz w:val="22"/>
          <w:szCs w:val="22"/>
        </w:rPr>
        <w:t xml:space="preserve">procedimentos básicos da gestão de pessoas </w:t>
      </w:r>
      <w:r w:rsidR="00B16182" w:rsidRPr="0072678C">
        <w:rPr>
          <w:rFonts w:asciiTheme="minorHAnsi" w:hAnsiTheme="minorHAnsi" w:cstheme="minorHAnsi"/>
          <w:sz w:val="22"/>
          <w:szCs w:val="22"/>
        </w:rPr>
        <w:t>a SEFAZ/SP deverá utilizar mecanismos de bem estar e qualidade de vida dos dirigentes e servidores baseados em análise de clima organizacional</w:t>
      </w:r>
      <w:r w:rsidR="0021653B" w:rsidRPr="0072678C">
        <w:rPr>
          <w:rFonts w:asciiTheme="minorHAnsi" w:hAnsiTheme="minorHAnsi" w:cstheme="minorHAnsi"/>
          <w:sz w:val="22"/>
          <w:szCs w:val="22"/>
        </w:rPr>
        <w:t>; adotar o</w:t>
      </w:r>
      <w:r w:rsidR="00B16182" w:rsidRPr="0072678C">
        <w:rPr>
          <w:rFonts w:asciiTheme="minorHAnsi" w:hAnsiTheme="minorHAnsi" w:cstheme="minorHAnsi"/>
          <w:sz w:val="22"/>
          <w:szCs w:val="22"/>
        </w:rPr>
        <w:t>s critérios de mérito e de dimensionamento da força de trabalho para o processo de seleção e alocação de pessoas</w:t>
      </w:r>
      <w:r w:rsidR="0021653B" w:rsidRPr="0072678C">
        <w:rPr>
          <w:rFonts w:asciiTheme="minorHAnsi" w:hAnsiTheme="minorHAnsi" w:cstheme="minorHAnsi"/>
          <w:sz w:val="22"/>
          <w:szCs w:val="22"/>
        </w:rPr>
        <w:t xml:space="preserve">; manter </w:t>
      </w:r>
      <w:r w:rsidR="00B16182" w:rsidRPr="0072678C">
        <w:rPr>
          <w:rFonts w:asciiTheme="minorHAnsi" w:hAnsiTheme="minorHAnsi" w:cstheme="minorHAnsi"/>
          <w:sz w:val="22"/>
          <w:szCs w:val="22"/>
        </w:rPr>
        <w:t>atualizado o inventário de competências</w:t>
      </w:r>
      <w:r w:rsidR="0021653B" w:rsidRPr="0072678C">
        <w:rPr>
          <w:rFonts w:asciiTheme="minorHAnsi" w:hAnsiTheme="minorHAnsi" w:cstheme="minorHAnsi"/>
          <w:sz w:val="22"/>
          <w:szCs w:val="22"/>
        </w:rPr>
        <w:t xml:space="preserve">; adotar </w:t>
      </w:r>
      <w:r w:rsidR="00B16182" w:rsidRPr="0072678C">
        <w:rPr>
          <w:rFonts w:asciiTheme="minorHAnsi" w:hAnsiTheme="minorHAnsi" w:cstheme="minorHAnsi"/>
          <w:sz w:val="22"/>
          <w:szCs w:val="22"/>
        </w:rPr>
        <w:t>os critérios de mérito e tempo de serviço para a realocação, remoção e promoção de pessoas</w:t>
      </w:r>
      <w:r w:rsidR="0021653B" w:rsidRPr="0072678C">
        <w:rPr>
          <w:rFonts w:asciiTheme="minorHAnsi" w:hAnsiTheme="minorHAnsi" w:cstheme="minorHAnsi"/>
          <w:sz w:val="22"/>
          <w:szCs w:val="22"/>
        </w:rPr>
        <w:t xml:space="preserve">; e adotar </w:t>
      </w:r>
      <w:r w:rsidR="00B16182" w:rsidRPr="0072678C">
        <w:rPr>
          <w:rFonts w:asciiTheme="minorHAnsi" w:hAnsiTheme="minorHAnsi" w:cstheme="minorHAnsi"/>
          <w:sz w:val="22"/>
          <w:szCs w:val="22"/>
        </w:rPr>
        <w:t>critérios de mérito e desempenho nos programas de benefício</w:t>
      </w:r>
      <w:r w:rsidRPr="0072678C">
        <w:rPr>
          <w:rFonts w:asciiTheme="minorHAnsi" w:hAnsiTheme="minorHAnsi" w:cstheme="minorHAnsi"/>
          <w:sz w:val="22"/>
          <w:szCs w:val="22"/>
        </w:rPr>
        <w:t>.</w:t>
      </w:r>
    </w:p>
    <w:p w:rsidR="00B16182" w:rsidRPr="0072678C" w:rsidRDefault="00B16182" w:rsidP="0021653B">
      <w:pPr>
        <w:jc w:val="both"/>
        <w:rPr>
          <w:rFonts w:asciiTheme="minorHAnsi" w:hAnsiTheme="minorHAnsi" w:cstheme="minorHAnsi"/>
          <w:sz w:val="22"/>
          <w:szCs w:val="22"/>
        </w:rPr>
      </w:pPr>
    </w:p>
    <w:p w:rsidR="00E6281B" w:rsidRPr="0072678C" w:rsidRDefault="00E6281B" w:rsidP="00E6281B">
      <w:pPr>
        <w:jc w:val="both"/>
        <w:rPr>
          <w:rFonts w:asciiTheme="minorHAnsi" w:hAnsiTheme="minorHAnsi" w:cstheme="minorHAnsi"/>
          <w:sz w:val="22"/>
          <w:szCs w:val="22"/>
        </w:rPr>
      </w:pPr>
      <w:r w:rsidRPr="0072678C">
        <w:rPr>
          <w:rFonts w:asciiTheme="minorHAnsi" w:hAnsiTheme="minorHAnsi" w:cstheme="minorHAnsi"/>
          <w:sz w:val="22"/>
          <w:szCs w:val="22"/>
        </w:rPr>
        <w:t xml:space="preserve">Para o processo de </w:t>
      </w:r>
      <w:r w:rsidRPr="0072678C">
        <w:rPr>
          <w:rFonts w:asciiTheme="minorHAnsi" w:hAnsiTheme="minorHAnsi" w:cstheme="minorHAnsi"/>
          <w:b/>
          <w:bCs/>
          <w:i/>
          <w:iCs/>
          <w:sz w:val="22"/>
          <w:szCs w:val="22"/>
        </w:rPr>
        <w:t>provimento, a alocação, a remoção e a avaliação dos servidores</w:t>
      </w:r>
      <w:r w:rsidRPr="0072678C">
        <w:rPr>
          <w:rFonts w:asciiTheme="minorHAnsi" w:hAnsiTheme="minorHAnsi" w:cstheme="minorHAnsi"/>
          <w:sz w:val="22"/>
          <w:szCs w:val="22"/>
        </w:rPr>
        <w:t xml:space="preserve"> da administração fiscal </w:t>
      </w:r>
      <w:r w:rsidR="00D13DA2" w:rsidRPr="0072678C">
        <w:rPr>
          <w:rFonts w:asciiTheme="minorHAnsi" w:hAnsiTheme="minorHAnsi" w:cstheme="minorHAnsi"/>
          <w:sz w:val="22"/>
          <w:szCs w:val="22"/>
        </w:rPr>
        <w:t>a SEFAZ</w:t>
      </w:r>
      <w:r w:rsidR="00D019DD" w:rsidRPr="0072678C">
        <w:rPr>
          <w:rFonts w:asciiTheme="minorHAnsi" w:hAnsiTheme="minorHAnsi" w:cstheme="minorHAnsi"/>
          <w:sz w:val="22"/>
          <w:szCs w:val="22"/>
        </w:rPr>
        <w:t xml:space="preserve">/SP deverá </w:t>
      </w:r>
      <w:r w:rsidRPr="0072678C">
        <w:rPr>
          <w:rFonts w:asciiTheme="minorHAnsi" w:hAnsiTheme="minorHAnsi" w:cstheme="minorHAnsi"/>
          <w:sz w:val="22"/>
          <w:szCs w:val="22"/>
        </w:rPr>
        <w:t>formalizar os processos de seleção, alocação, remoção e avaliação integrados com a estratégia organizacional; realizar o mapeamento e divulgar as competências comportamentais e técnicas necessárias para os cargos; aplicar metodologia para dimensionamento da força de trabalho; divulgar os processos de seleção, alocação e remoção e respectivos critérios de escolha; criar banco de talentos,  com mapeamento das competências comportamentais e técnicas individuais dos candidatos; e monitorar e avaliar continuadamente os processos de seleção, alocação, remoção e avaliação de desempenho para aperfeiçoamento e ajustes.</w:t>
      </w:r>
    </w:p>
    <w:p w:rsidR="002E0895" w:rsidRPr="0072678C" w:rsidRDefault="002E0895" w:rsidP="00E6281B">
      <w:pPr>
        <w:jc w:val="both"/>
        <w:rPr>
          <w:rFonts w:asciiTheme="minorHAnsi" w:hAnsiTheme="minorHAnsi" w:cstheme="minorHAnsi"/>
          <w:sz w:val="22"/>
          <w:szCs w:val="22"/>
        </w:rPr>
      </w:pPr>
    </w:p>
    <w:p w:rsidR="002E0895" w:rsidRPr="0072678C" w:rsidRDefault="00D019DD" w:rsidP="00EA7A97">
      <w:pPr>
        <w:jc w:val="both"/>
        <w:rPr>
          <w:rFonts w:asciiTheme="minorHAnsi" w:hAnsiTheme="minorHAnsi" w:cstheme="minorHAnsi"/>
          <w:sz w:val="22"/>
          <w:szCs w:val="22"/>
        </w:rPr>
      </w:pPr>
      <w:r w:rsidRPr="0072678C">
        <w:rPr>
          <w:rFonts w:asciiTheme="minorHAnsi" w:hAnsiTheme="minorHAnsi" w:cstheme="minorHAnsi"/>
          <w:sz w:val="22"/>
          <w:szCs w:val="22"/>
        </w:rPr>
        <w:t xml:space="preserve">Para melhoria do processo </w:t>
      </w:r>
      <w:r w:rsidR="002E0895" w:rsidRPr="0072678C">
        <w:rPr>
          <w:rFonts w:asciiTheme="minorHAnsi" w:hAnsiTheme="minorHAnsi" w:cstheme="minorHAnsi"/>
          <w:b/>
          <w:bCs/>
          <w:i/>
          <w:iCs/>
          <w:sz w:val="22"/>
          <w:szCs w:val="22"/>
        </w:rPr>
        <w:t xml:space="preserve">sistema de benefícios e premiação pelo desempenho para os servidores </w:t>
      </w:r>
      <w:r w:rsidR="002E0895" w:rsidRPr="0072678C">
        <w:rPr>
          <w:rFonts w:asciiTheme="minorHAnsi" w:hAnsiTheme="minorHAnsi" w:cstheme="minorHAnsi"/>
          <w:sz w:val="22"/>
          <w:szCs w:val="22"/>
        </w:rPr>
        <w:t>deverá definir as forma</w:t>
      </w:r>
      <w:r w:rsidRPr="0072678C">
        <w:rPr>
          <w:rFonts w:asciiTheme="minorHAnsi" w:hAnsiTheme="minorHAnsi" w:cstheme="minorHAnsi"/>
          <w:sz w:val="22"/>
          <w:szCs w:val="22"/>
        </w:rPr>
        <w:t xml:space="preserve">s de premiação pelo desempenho, </w:t>
      </w:r>
      <w:r w:rsidR="002E0895" w:rsidRPr="0072678C">
        <w:rPr>
          <w:rFonts w:asciiTheme="minorHAnsi" w:hAnsiTheme="minorHAnsi" w:cstheme="minorHAnsi"/>
          <w:sz w:val="22"/>
          <w:szCs w:val="22"/>
        </w:rPr>
        <w:t>pela inovação, pela produção e disseminação do conhecimento; e estabelecer benefícios e premiações não financeiras considerando o resultado do desempenho organizacional e individual.</w:t>
      </w:r>
    </w:p>
    <w:p w:rsidR="002E0895" w:rsidRPr="0072678C" w:rsidRDefault="002E0895" w:rsidP="00214FA9">
      <w:pPr>
        <w:rPr>
          <w:rFonts w:asciiTheme="minorHAnsi" w:hAnsiTheme="minorHAnsi" w:cstheme="minorHAnsi"/>
          <w:sz w:val="22"/>
          <w:szCs w:val="22"/>
        </w:rPr>
      </w:pPr>
    </w:p>
    <w:p w:rsidR="00416EA3" w:rsidRPr="0072678C" w:rsidRDefault="00416EA3" w:rsidP="008F153C">
      <w:pPr>
        <w:jc w:val="both"/>
        <w:rPr>
          <w:rFonts w:asciiTheme="minorHAnsi" w:hAnsiTheme="minorHAnsi" w:cstheme="minorHAnsi"/>
          <w:sz w:val="22"/>
          <w:szCs w:val="22"/>
        </w:rPr>
      </w:pPr>
      <w:r w:rsidRPr="0072678C">
        <w:rPr>
          <w:rFonts w:asciiTheme="minorHAnsi" w:hAnsiTheme="minorHAnsi" w:cstheme="minorHAnsi"/>
          <w:sz w:val="22"/>
          <w:szCs w:val="22"/>
        </w:rPr>
        <w:t xml:space="preserve">No que se refere ao processo de </w:t>
      </w:r>
      <w:r w:rsidRPr="0072678C">
        <w:rPr>
          <w:rFonts w:asciiTheme="minorHAnsi" w:hAnsiTheme="minorHAnsi" w:cstheme="minorHAnsi"/>
          <w:b/>
          <w:bCs/>
          <w:i/>
          <w:iCs/>
          <w:sz w:val="22"/>
          <w:szCs w:val="22"/>
        </w:rPr>
        <w:t>provimento e a avaliação dos cargos de direção</w:t>
      </w:r>
      <w:r w:rsidRPr="0072678C">
        <w:rPr>
          <w:rFonts w:asciiTheme="minorHAnsi" w:hAnsiTheme="minorHAnsi" w:cstheme="minorHAnsi"/>
          <w:sz w:val="22"/>
          <w:szCs w:val="22"/>
        </w:rPr>
        <w:t xml:space="preserve"> da administração fiscal </w:t>
      </w:r>
      <w:r w:rsidR="00D019DD" w:rsidRPr="0072678C">
        <w:rPr>
          <w:rFonts w:asciiTheme="minorHAnsi" w:hAnsiTheme="minorHAnsi" w:cstheme="minorHAnsi"/>
          <w:sz w:val="22"/>
          <w:szCs w:val="22"/>
        </w:rPr>
        <w:t xml:space="preserve">a SEFAZ/SP deverá </w:t>
      </w:r>
      <w:r w:rsidRPr="0072678C">
        <w:rPr>
          <w:rFonts w:asciiTheme="minorHAnsi" w:hAnsiTheme="minorHAnsi" w:cstheme="minorHAnsi"/>
          <w:sz w:val="22"/>
          <w:szCs w:val="22"/>
        </w:rPr>
        <w:t>definir e formalizar os processos de seleção e avaliação integrados com a estratégia organizacional; executar o mapeamento e a divulgação das competências comportamentais e técnicas, individuais e organizacionais, necessárias para os cargos</w:t>
      </w:r>
      <w:r w:rsidR="008F153C" w:rsidRPr="0072678C">
        <w:rPr>
          <w:rFonts w:asciiTheme="minorHAnsi" w:hAnsiTheme="minorHAnsi" w:cstheme="minorHAnsi"/>
          <w:sz w:val="22"/>
          <w:szCs w:val="22"/>
        </w:rPr>
        <w:t>; definir</w:t>
      </w:r>
      <w:r w:rsidRPr="0072678C">
        <w:rPr>
          <w:rFonts w:asciiTheme="minorHAnsi" w:hAnsiTheme="minorHAnsi" w:cstheme="minorHAnsi"/>
          <w:sz w:val="22"/>
          <w:szCs w:val="22"/>
        </w:rPr>
        <w:t>, formaliza</w:t>
      </w:r>
      <w:r w:rsidR="008F153C" w:rsidRPr="0072678C">
        <w:rPr>
          <w:rFonts w:asciiTheme="minorHAnsi" w:hAnsiTheme="minorHAnsi" w:cstheme="minorHAnsi"/>
          <w:sz w:val="22"/>
          <w:szCs w:val="22"/>
        </w:rPr>
        <w:t xml:space="preserve">r e divulgar </w:t>
      </w:r>
      <w:r w:rsidRPr="0072678C">
        <w:rPr>
          <w:rFonts w:asciiTheme="minorHAnsi" w:hAnsiTheme="minorHAnsi" w:cstheme="minorHAnsi"/>
          <w:sz w:val="22"/>
          <w:szCs w:val="22"/>
        </w:rPr>
        <w:t>os critérios de seleção e avaliação dos cargos</w:t>
      </w:r>
      <w:r w:rsidR="008F153C" w:rsidRPr="0072678C">
        <w:rPr>
          <w:rFonts w:asciiTheme="minorHAnsi" w:hAnsiTheme="minorHAnsi" w:cstheme="minorHAnsi"/>
          <w:sz w:val="22"/>
          <w:szCs w:val="22"/>
        </w:rPr>
        <w:t xml:space="preserve">; divulgar </w:t>
      </w:r>
      <w:r w:rsidRPr="0072678C">
        <w:rPr>
          <w:rFonts w:asciiTheme="minorHAnsi" w:hAnsiTheme="minorHAnsi" w:cstheme="minorHAnsi"/>
          <w:sz w:val="22"/>
          <w:szCs w:val="22"/>
        </w:rPr>
        <w:t>os processos de seleção e os critérios de escolha</w:t>
      </w:r>
      <w:r w:rsidR="008F153C" w:rsidRPr="0072678C">
        <w:rPr>
          <w:rFonts w:asciiTheme="minorHAnsi" w:hAnsiTheme="minorHAnsi" w:cstheme="minorHAnsi"/>
          <w:sz w:val="22"/>
          <w:szCs w:val="22"/>
        </w:rPr>
        <w:t xml:space="preserve">; criar o </w:t>
      </w:r>
      <w:r w:rsidRPr="0072678C">
        <w:rPr>
          <w:rFonts w:asciiTheme="minorHAnsi" w:hAnsiTheme="minorHAnsi" w:cstheme="minorHAnsi"/>
          <w:sz w:val="22"/>
          <w:szCs w:val="22"/>
        </w:rPr>
        <w:t>banco de talentos,  com mapeamento das competências comportamentais e técnicas individuais dos candidatos</w:t>
      </w:r>
      <w:r w:rsidR="008F153C" w:rsidRPr="0072678C">
        <w:rPr>
          <w:rFonts w:asciiTheme="minorHAnsi" w:hAnsiTheme="minorHAnsi" w:cstheme="minorHAnsi"/>
          <w:sz w:val="22"/>
          <w:szCs w:val="22"/>
        </w:rPr>
        <w:t xml:space="preserve">; utilizar </w:t>
      </w:r>
      <w:r w:rsidRPr="0072678C">
        <w:rPr>
          <w:rFonts w:asciiTheme="minorHAnsi" w:hAnsiTheme="minorHAnsi" w:cstheme="minorHAnsi"/>
          <w:sz w:val="22"/>
          <w:szCs w:val="22"/>
        </w:rPr>
        <w:t>metodologia de avaliação de desempenho de dirigentes formalizada e divulgada, contemplando a avaliação de competências</w:t>
      </w:r>
      <w:r w:rsidR="00FC2C94" w:rsidRPr="0072678C">
        <w:rPr>
          <w:rFonts w:asciiTheme="minorHAnsi" w:hAnsiTheme="minorHAnsi" w:cstheme="minorHAnsi"/>
          <w:sz w:val="22"/>
          <w:szCs w:val="22"/>
        </w:rPr>
        <w:t xml:space="preserve">, </w:t>
      </w:r>
      <w:r w:rsidRPr="0072678C">
        <w:rPr>
          <w:rFonts w:asciiTheme="minorHAnsi" w:hAnsiTheme="minorHAnsi" w:cstheme="minorHAnsi"/>
          <w:sz w:val="22"/>
          <w:szCs w:val="22"/>
        </w:rPr>
        <w:t>de resultados e</w:t>
      </w:r>
      <w:r w:rsidR="00FC2C94" w:rsidRPr="0072678C">
        <w:rPr>
          <w:rFonts w:asciiTheme="minorHAnsi" w:hAnsiTheme="minorHAnsi" w:cstheme="minorHAnsi"/>
          <w:sz w:val="22"/>
          <w:szCs w:val="22"/>
        </w:rPr>
        <w:t xml:space="preserve"> de </w:t>
      </w:r>
      <w:r w:rsidRPr="0072678C">
        <w:rPr>
          <w:rFonts w:asciiTheme="minorHAnsi" w:hAnsiTheme="minorHAnsi" w:cstheme="minorHAnsi"/>
          <w:sz w:val="22"/>
          <w:szCs w:val="22"/>
        </w:rPr>
        <w:t>responsabilidades</w:t>
      </w:r>
      <w:r w:rsidR="008F153C" w:rsidRPr="0072678C">
        <w:rPr>
          <w:rFonts w:asciiTheme="minorHAnsi" w:hAnsiTheme="minorHAnsi" w:cstheme="minorHAnsi"/>
          <w:sz w:val="22"/>
          <w:szCs w:val="22"/>
        </w:rPr>
        <w:t xml:space="preserve">; e realizar </w:t>
      </w:r>
      <w:r w:rsidRPr="0072678C">
        <w:rPr>
          <w:rFonts w:asciiTheme="minorHAnsi" w:hAnsiTheme="minorHAnsi" w:cstheme="minorHAnsi"/>
          <w:sz w:val="22"/>
          <w:szCs w:val="22"/>
        </w:rPr>
        <w:t>monitoramento e avaliação continuada dos processos de seleção e avaliação de desempenho para aperfeiçoamento e ajustes.</w:t>
      </w:r>
    </w:p>
    <w:p w:rsidR="00416EA3" w:rsidRPr="0072678C" w:rsidRDefault="00416EA3" w:rsidP="00214FA9">
      <w:pPr>
        <w:rPr>
          <w:rFonts w:asciiTheme="minorHAnsi" w:hAnsiTheme="minorHAnsi" w:cstheme="minorHAnsi"/>
          <w:sz w:val="22"/>
          <w:szCs w:val="22"/>
        </w:rPr>
      </w:pPr>
    </w:p>
    <w:p w:rsidR="008F153C" w:rsidRPr="0072678C" w:rsidRDefault="00AF661D" w:rsidP="00EA7A97">
      <w:pPr>
        <w:jc w:val="both"/>
        <w:rPr>
          <w:rFonts w:asciiTheme="minorHAnsi" w:hAnsiTheme="minorHAnsi" w:cstheme="minorHAnsi"/>
          <w:sz w:val="22"/>
          <w:szCs w:val="22"/>
        </w:rPr>
      </w:pPr>
      <w:r w:rsidRPr="0072678C">
        <w:rPr>
          <w:rFonts w:asciiTheme="minorHAnsi" w:hAnsiTheme="minorHAnsi" w:cstheme="minorHAnsi"/>
          <w:sz w:val="22"/>
          <w:szCs w:val="22"/>
        </w:rPr>
        <w:t xml:space="preserve">Para o processo </w:t>
      </w:r>
      <w:r w:rsidR="008F153C" w:rsidRPr="0072678C">
        <w:rPr>
          <w:rFonts w:asciiTheme="minorHAnsi" w:hAnsiTheme="minorHAnsi" w:cstheme="minorHAnsi"/>
          <w:b/>
          <w:bCs/>
          <w:i/>
          <w:iCs/>
          <w:sz w:val="22"/>
          <w:szCs w:val="22"/>
        </w:rPr>
        <w:t>sistema de incentivos ao desempenho para os dirigentes</w:t>
      </w:r>
      <w:r w:rsidR="00EA7A97" w:rsidRPr="0072678C">
        <w:rPr>
          <w:rFonts w:asciiTheme="minorHAnsi" w:hAnsiTheme="minorHAnsi" w:cstheme="minorHAnsi"/>
          <w:sz w:val="22"/>
          <w:szCs w:val="22"/>
        </w:rPr>
        <w:t xml:space="preserve"> </w:t>
      </w:r>
      <w:r w:rsidR="008F153C" w:rsidRPr="0072678C">
        <w:rPr>
          <w:rFonts w:asciiTheme="minorHAnsi" w:hAnsiTheme="minorHAnsi" w:cstheme="minorHAnsi"/>
          <w:sz w:val="22"/>
          <w:szCs w:val="22"/>
        </w:rPr>
        <w:t xml:space="preserve">a </w:t>
      </w:r>
      <w:r w:rsidR="00EA7A97" w:rsidRPr="0072678C">
        <w:rPr>
          <w:rFonts w:asciiTheme="minorHAnsi" w:hAnsiTheme="minorHAnsi" w:cstheme="minorHAnsi"/>
          <w:sz w:val="22"/>
          <w:szCs w:val="22"/>
        </w:rPr>
        <w:t xml:space="preserve">SEFAZ/SP deverá definir </w:t>
      </w:r>
      <w:r w:rsidR="008F153C" w:rsidRPr="0072678C">
        <w:rPr>
          <w:rFonts w:asciiTheme="minorHAnsi" w:hAnsiTheme="minorHAnsi" w:cstheme="minorHAnsi"/>
          <w:sz w:val="22"/>
          <w:szCs w:val="22"/>
        </w:rPr>
        <w:t>as formas de incentivo pelo desempenho</w:t>
      </w:r>
      <w:r w:rsidR="00EA7A97" w:rsidRPr="0072678C">
        <w:rPr>
          <w:rFonts w:asciiTheme="minorHAnsi" w:hAnsiTheme="minorHAnsi" w:cstheme="minorHAnsi"/>
          <w:sz w:val="22"/>
          <w:szCs w:val="22"/>
        </w:rPr>
        <w:t xml:space="preserve">; divulgar </w:t>
      </w:r>
      <w:r w:rsidR="008F153C" w:rsidRPr="0072678C">
        <w:rPr>
          <w:rFonts w:asciiTheme="minorHAnsi" w:hAnsiTheme="minorHAnsi" w:cstheme="minorHAnsi"/>
          <w:sz w:val="22"/>
          <w:szCs w:val="22"/>
        </w:rPr>
        <w:t>o programa de incentivos para dirigentes</w:t>
      </w:r>
      <w:r w:rsidR="00FC2C94" w:rsidRPr="0072678C">
        <w:rPr>
          <w:rFonts w:asciiTheme="minorHAnsi" w:hAnsiTheme="minorHAnsi" w:cstheme="minorHAnsi"/>
          <w:sz w:val="22"/>
          <w:szCs w:val="22"/>
        </w:rPr>
        <w:t xml:space="preserve"> financeiros e não financeiros</w:t>
      </w:r>
      <w:r w:rsidR="00EA7A97" w:rsidRPr="0072678C">
        <w:rPr>
          <w:rFonts w:asciiTheme="minorHAnsi" w:hAnsiTheme="minorHAnsi" w:cstheme="minorHAnsi"/>
          <w:sz w:val="22"/>
          <w:szCs w:val="22"/>
        </w:rPr>
        <w:t xml:space="preserve">; estabelecer </w:t>
      </w:r>
      <w:r w:rsidR="008F153C" w:rsidRPr="0072678C">
        <w:rPr>
          <w:rFonts w:asciiTheme="minorHAnsi" w:hAnsiTheme="minorHAnsi" w:cstheme="minorHAnsi"/>
          <w:sz w:val="22"/>
          <w:szCs w:val="22"/>
        </w:rPr>
        <w:t xml:space="preserve">prêmios financeiros </w:t>
      </w:r>
      <w:r w:rsidR="00FC2C94" w:rsidRPr="0072678C">
        <w:rPr>
          <w:rFonts w:asciiTheme="minorHAnsi" w:hAnsiTheme="minorHAnsi" w:cstheme="minorHAnsi"/>
          <w:sz w:val="22"/>
          <w:szCs w:val="22"/>
        </w:rPr>
        <w:t xml:space="preserve">e não financeiros </w:t>
      </w:r>
      <w:r w:rsidR="008F153C" w:rsidRPr="0072678C">
        <w:rPr>
          <w:rFonts w:asciiTheme="minorHAnsi" w:hAnsiTheme="minorHAnsi" w:cstheme="minorHAnsi"/>
          <w:sz w:val="22"/>
          <w:szCs w:val="22"/>
        </w:rPr>
        <w:lastRenderedPageBreak/>
        <w:t>considerando o resultado do desempenho organizacional e individual</w:t>
      </w:r>
      <w:r w:rsidR="00EA7A97" w:rsidRPr="0072678C">
        <w:rPr>
          <w:rFonts w:asciiTheme="minorHAnsi" w:hAnsiTheme="minorHAnsi" w:cstheme="minorHAnsi"/>
          <w:sz w:val="22"/>
          <w:szCs w:val="22"/>
        </w:rPr>
        <w:t xml:space="preserve">; e avaliar </w:t>
      </w:r>
      <w:r w:rsidR="008F153C" w:rsidRPr="0072678C">
        <w:rPr>
          <w:rFonts w:asciiTheme="minorHAnsi" w:hAnsiTheme="minorHAnsi" w:cstheme="minorHAnsi"/>
          <w:sz w:val="22"/>
          <w:szCs w:val="22"/>
        </w:rPr>
        <w:t>o sistema de incentivos promovendo os ajustes necessários</w:t>
      </w:r>
      <w:r w:rsidR="00FC2C94" w:rsidRPr="0072678C">
        <w:rPr>
          <w:rFonts w:asciiTheme="minorHAnsi" w:hAnsiTheme="minorHAnsi" w:cstheme="minorHAnsi"/>
          <w:sz w:val="22"/>
          <w:szCs w:val="22"/>
        </w:rPr>
        <w:t>.</w:t>
      </w:r>
    </w:p>
    <w:p w:rsidR="008F153C" w:rsidRPr="0072678C" w:rsidRDefault="008F153C" w:rsidP="00214FA9">
      <w:pPr>
        <w:rPr>
          <w:rFonts w:asciiTheme="minorHAnsi" w:hAnsiTheme="minorHAnsi" w:cstheme="minorHAnsi"/>
          <w:sz w:val="22"/>
          <w:szCs w:val="22"/>
        </w:rPr>
      </w:pPr>
    </w:p>
    <w:p w:rsidR="007D0988" w:rsidRPr="0072678C" w:rsidRDefault="007D0988" w:rsidP="007D0988">
      <w:pPr>
        <w:jc w:val="both"/>
        <w:rPr>
          <w:rFonts w:asciiTheme="minorHAnsi" w:hAnsiTheme="minorHAnsi" w:cstheme="minorHAnsi"/>
          <w:sz w:val="22"/>
          <w:szCs w:val="22"/>
        </w:rPr>
      </w:pPr>
      <w:r w:rsidRPr="0072678C">
        <w:rPr>
          <w:rFonts w:asciiTheme="minorHAnsi" w:hAnsiTheme="minorHAnsi" w:cstheme="minorHAnsi"/>
          <w:sz w:val="22"/>
          <w:szCs w:val="22"/>
        </w:rPr>
        <w:t xml:space="preserve">Para o processo </w:t>
      </w:r>
      <w:r w:rsidRPr="0072678C">
        <w:rPr>
          <w:rFonts w:asciiTheme="minorHAnsi" w:hAnsiTheme="minorHAnsi" w:cstheme="minorHAnsi"/>
          <w:b/>
          <w:bCs/>
          <w:i/>
          <w:iCs/>
          <w:sz w:val="22"/>
          <w:szCs w:val="22"/>
        </w:rPr>
        <w:t>planejamento da formação e capacitação de dirigentes e servidores</w:t>
      </w:r>
      <w:r w:rsidRPr="0072678C">
        <w:rPr>
          <w:rFonts w:asciiTheme="minorHAnsi" w:hAnsiTheme="minorHAnsi" w:cstheme="minorHAnsi"/>
          <w:sz w:val="22"/>
          <w:szCs w:val="22"/>
        </w:rPr>
        <w:t xml:space="preserve"> a SEFAZ/SP deverá definir</w:t>
      </w:r>
      <w:r w:rsidR="00DE6D3A"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formalizar </w:t>
      </w:r>
      <w:r w:rsidR="00DE6D3A" w:rsidRPr="0072678C">
        <w:rPr>
          <w:rFonts w:asciiTheme="minorHAnsi" w:hAnsiTheme="minorHAnsi" w:cstheme="minorHAnsi"/>
          <w:sz w:val="22"/>
          <w:szCs w:val="22"/>
        </w:rPr>
        <w:t xml:space="preserve">e integrar com </w:t>
      </w:r>
      <w:r w:rsidRPr="0072678C">
        <w:rPr>
          <w:rFonts w:asciiTheme="minorHAnsi" w:hAnsiTheme="minorHAnsi" w:cstheme="minorHAnsi"/>
          <w:sz w:val="22"/>
          <w:szCs w:val="22"/>
        </w:rPr>
        <w:t>a estratégia organizacional; definir as trilhas de capacitação com base nas competências organizacionais, comportamentais e técnicas mapeadas; estabelecer o plano de desenvolvimento de liderança, com base nas competências gerenciais e individuais mapeadas e nos resultados das avaliações de desempenho; e definir o plano de desenvolvimento do servidor, com base nas competências organizacionais e individuais mapeadas e nos resultados das avaliações de desempenho.</w:t>
      </w:r>
    </w:p>
    <w:p w:rsidR="007D0988" w:rsidRPr="0072678C" w:rsidRDefault="007D0988" w:rsidP="00214FA9">
      <w:pPr>
        <w:rPr>
          <w:rFonts w:asciiTheme="minorHAnsi" w:hAnsiTheme="minorHAnsi" w:cstheme="minorHAnsi"/>
          <w:sz w:val="22"/>
          <w:szCs w:val="22"/>
        </w:rPr>
      </w:pPr>
    </w:p>
    <w:p w:rsidR="007D0988" w:rsidRPr="0072678C" w:rsidRDefault="00DE6D3A" w:rsidP="005B0D82">
      <w:pPr>
        <w:jc w:val="both"/>
        <w:rPr>
          <w:rFonts w:asciiTheme="minorHAnsi" w:hAnsiTheme="minorHAnsi" w:cstheme="minorHAnsi"/>
          <w:sz w:val="22"/>
          <w:szCs w:val="22"/>
        </w:rPr>
      </w:pPr>
      <w:r w:rsidRPr="0072678C">
        <w:rPr>
          <w:rFonts w:asciiTheme="minorHAnsi" w:hAnsiTheme="minorHAnsi" w:cstheme="minorHAnsi"/>
          <w:sz w:val="22"/>
          <w:szCs w:val="22"/>
        </w:rPr>
        <w:t xml:space="preserve">Com relação a </w:t>
      </w:r>
      <w:r w:rsidR="007D0988" w:rsidRPr="0072678C">
        <w:rPr>
          <w:rFonts w:asciiTheme="minorHAnsi" w:hAnsiTheme="minorHAnsi" w:cstheme="minorHAnsi"/>
          <w:b/>
          <w:bCs/>
          <w:i/>
          <w:iCs/>
          <w:sz w:val="22"/>
          <w:szCs w:val="22"/>
        </w:rPr>
        <w:t xml:space="preserve">execução da formação e a capacitação de dirigentes e servidores </w:t>
      </w:r>
      <w:r w:rsidR="007D0988" w:rsidRPr="0072678C">
        <w:rPr>
          <w:rFonts w:asciiTheme="minorHAnsi" w:hAnsiTheme="minorHAnsi" w:cstheme="minorHAnsi"/>
          <w:sz w:val="22"/>
          <w:szCs w:val="22"/>
        </w:rPr>
        <w:t>a</w:t>
      </w:r>
      <w:r w:rsidR="005B0D82" w:rsidRPr="0072678C">
        <w:rPr>
          <w:rFonts w:asciiTheme="minorHAnsi" w:hAnsiTheme="minorHAnsi" w:cstheme="minorHAnsi"/>
          <w:sz w:val="22"/>
          <w:szCs w:val="22"/>
        </w:rPr>
        <w:t xml:space="preserve"> SEFAZ/SP deverá divulgar </w:t>
      </w:r>
      <w:r w:rsidR="007D0988" w:rsidRPr="0072678C">
        <w:rPr>
          <w:rFonts w:asciiTheme="minorHAnsi" w:hAnsiTheme="minorHAnsi" w:cstheme="minorHAnsi"/>
          <w:sz w:val="22"/>
          <w:szCs w:val="22"/>
        </w:rPr>
        <w:t>sistematicamente o calendário de formação e capacitação de dirigentes e servidores</w:t>
      </w:r>
      <w:r w:rsidRPr="0072678C">
        <w:rPr>
          <w:rFonts w:asciiTheme="minorHAnsi" w:hAnsiTheme="minorHAnsi" w:cstheme="minorHAnsi"/>
          <w:sz w:val="22"/>
          <w:szCs w:val="22"/>
        </w:rPr>
        <w:t xml:space="preserve"> alinhado com o plano de formação</w:t>
      </w:r>
      <w:r w:rsidR="005B0D82" w:rsidRPr="0072678C">
        <w:rPr>
          <w:rFonts w:asciiTheme="minorHAnsi" w:hAnsiTheme="minorHAnsi" w:cstheme="minorHAnsi"/>
          <w:sz w:val="22"/>
          <w:szCs w:val="22"/>
        </w:rPr>
        <w:t xml:space="preserve">; e adotar </w:t>
      </w:r>
      <w:r w:rsidR="007D0988" w:rsidRPr="0072678C">
        <w:rPr>
          <w:rFonts w:asciiTheme="minorHAnsi" w:hAnsiTheme="minorHAnsi" w:cstheme="minorHAnsi"/>
          <w:sz w:val="22"/>
          <w:szCs w:val="22"/>
        </w:rPr>
        <w:t>instrumentos de avaliação de desempenho dos cursos e dos participantes.</w:t>
      </w:r>
    </w:p>
    <w:p w:rsidR="007D0988" w:rsidRPr="0072678C" w:rsidRDefault="007D0988" w:rsidP="00214FA9">
      <w:pPr>
        <w:rPr>
          <w:rFonts w:asciiTheme="minorHAnsi" w:hAnsiTheme="minorHAnsi" w:cstheme="minorHAnsi"/>
          <w:sz w:val="22"/>
          <w:szCs w:val="22"/>
        </w:rPr>
      </w:pPr>
    </w:p>
    <w:p w:rsidR="006F43EF" w:rsidRPr="0072678C" w:rsidRDefault="00DE6D3A" w:rsidP="006F43EF">
      <w:pPr>
        <w:jc w:val="both"/>
        <w:rPr>
          <w:rFonts w:asciiTheme="minorHAnsi" w:hAnsiTheme="minorHAnsi" w:cstheme="minorHAnsi"/>
          <w:sz w:val="22"/>
          <w:szCs w:val="22"/>
        </w:rPr>
      </w:pPr>
      <w:r w:rsidRPr="0072678C">
        <w:rPr>
          <w:rFonts w:asciiTheme="minorHAnsi" w:hAnsiTheme="minorHAnsi" w:cstheme="minorHAnsi"/>
          <w:sz w:val="22"/>
          <w:szCs w:val="22"/>
        </w:rPr>
        <w:t xml:space="preserve">No que se refere ao </w:t>
      </w:r>
      <w:r w:rsidR="006F43EF" w:rsidRPr="0072678C">
        <w:rPr>
          <w:rFonts w:asciiTheme="minorHAnsi" w:hAnsiTheme="minorHAnsi" w:cstheme="minorHAnsi"/>
          <w:b/>
          <w:bCs/>
          <w:i/>
          <w:iCs/>
          <w:sz w:val="22"/>
          <w:szCs w:val="22"/>
        </w:rPr>
        <w:t xml:space="preserve">sistema de aposentadoria de servidores </w:t>
      </w:r>
      <w:r w:rsidR="006F43EF" w:rsidRPr="0072678C">
        <w:rPr>
          <w:rFonts w:asciiTheme="minorHAnsi" w:hAnsiTheme="minorHAnsi" w:cstheme="minorHAnsi"/>
          <w:sz w:val="22"/>
          <w:szCs w:val="22"/>
        </w:rPr>
        <w:t xml:space="preserve">da administração fiscal deverá ser considerado a elaboração de cenários de aposentadorias por tempo de serviço e por idade; e </w:t>
      </w:r>
      <w:r w:rsidRPr="0072678C">
        <w:rPr>
          <w:rFonts w:asciiTheme="minorHAnsi" w:hAnsiTheme="minorHAnsi" w:cstheme="minorHAnsi"/>
          <w:sz w:val="22"/>
          <w:szCs w:val="22"/>
        </w:rPr>
        <w:t xml:space="preserve">também </w:t>
      </w:r>
      <w:r w:rsidR="006F43EF" w:rsidRPr="0072678C">
        <w:rPr>
          <w:rFonts w:asciiTheme="minorHAnsi" w:hAnsiTheme="minorHAnsi" w:cstheme="minorHAnsi"/>
          <w:sz w:val="22"/>
          <w:szCs w:val="22"/>
        </w:rPr>
        <w:t>disponibilizar</w:t>
      </w:r>
      <w:r w:rsidRPr="0072678C">
        <w:rPr>
          <w:rFonts w:asciiTheme="minorHAnsi" w:hAnsiTheme="minorHAnsi" w:cstheme="minorHAnsi"/>
          <w:sz w:val="22"/>
          <w:szCs w:val="22"/>
        </w:rPr>
        <w:t xml:space="preserve"> para os servidores</w:t>
      </w:r>
      <w:r w:rsidR="006F43EF" w:rsidRPr="0072678C">
        <w:rPr>
          <w:rFonts w:asciiTheme="minorHAnsi" w:hAnsiTheme="minorHAnsi" w:cstheme="minorHAnsi"/>
          <w:sz w:val="22"/>
          <w:szCs w:val="22"/>
        </w:rPr>
        <w:t xml:space="preserve"> simuladores para apuração dos proventos.</w:t>
      </w:r>
    </w:p>
    <w:p w:rsidR="006F43EF" w:rsidRPr="0072678C" w:rsidRDefault="006F43EF" w:rsidP="006F43EF">
      <w:pPr>
        <w:jc w:val="both"/>
        <w:rPr>
          <w:rFonts w:asciiTheme="minorHAnsi" w:hAnsiTheme="minorHAnsi" w:cstheme="minorHAnsi"/>
          <w:sz w:val="22"/>
          <w:szCs w:val="22"/>
        </w:rPr>
      </w:pPr>
    </w:p>
    <w:p w:rsidR="00936611" w:rsidRPr="0072678C" w:rsidRDefault="00936611" w:rsidP="00936611">
      <w:pPr>
        <w:jc w:val="both"/>
        <w:rPr>
          <w:rFonts w:asciiTheme="minorHAnsi" w:hAnsiTheme="minorHAnsi" w:cstheme="minorHAnsi"/>
          <w:sz w:val="22"/>
          <w:szCs w:val="22"/>
        </w:rPr>
      </w:pPr>
      <w:r w:rsidRPr="0072678C">
        <w:rPr>
          <w:rFonts w:asciiTheme="minorHAnsi" w:hAnsiTheme="minorHAnsi" w:cstheme="minorHAnsi"/>
          <w:sz w:val="22"/>
          <w:szCs w:val="22"/>
        </w:rPr>
        <w:t xml:space="preserve">Com relação ao processo </w:t>
      </w:r>
      <w:r w:rsidRPr="0072678C">
        <w:rPr>
          <w:rFonts w:asciiTheme="minorHAnsi" w:hAnsiTheme="minorHAnsi" w:cstheme="minorHAnsi"/>
          <w:b/>
          <w:bCs/>
          <w:i/>
          <w:iCs/>
          <w:sz w:val="22"/>
          <w:szCs w:val="22"/>
        </w:rPr>
        <w:t xml:space="preserve">gestão da inovação e do conhecimento na administração fiscal </w:t>
      </w:r>
      <w:r w:rsidRPr="0072678C">
        <w:rPr>
          <w:rFonts w:asciiTheme="minorHAnsi" w:hAnsiTheme="minorHAnsi" w:cstheme="minorHAnsi"/>
          <w:sz w:val="22"/>
          <w:szCs w:val="22"/>
        </w:rPr>
        <w:t>a SEFAZ/SP deverá dispor de base de documentos sobre métodos, técnicas e ferramentas de estímulo a inovação na administração fiscal; disponibilizar o uso de ferramentas sociais para os servidores da administração fiscal tais como blogs, vídeos, tutoriais e fóruns; divulgar  o material produzido na web para servidores, escolas de governo e demais profissionais e cidadãos interessados em informações sobre o tema inovação e conhecimento; e oferecer benefícios ou premiações para servidores e gestores considerando a inovação e a produção do conhecimento.</w:t>
      </w:r>
    </w:p>
    <w:p w:rsidR="00936611" w:rsidRPr="0072678C" w:rsidRDefault="00936611" w:rsidP="00214FA9">
      <w:pPr>
        <w:rPr>
          <w:rFonts w:asciiTheme="minorHAnsi" w:hAnsiTheme="minorHAnsi" w:cstheme="minorHAnsi"/>
          <w:sz w:val="22"/>
          <w:szCs w:val="22"/>
        </w:rPr>
      </w:pPr>
    </w:p>
    <w:p w:rsidR="00936611" w:rsidRPr="0072678C" w:rsidRDefault="00936611" w:rsidP="00F13BBB">
      <w:pPr>
        <w:jc w:val="both"/>
        <w:rPr>
          <w:rFonts w:asciiTheme="minorHAnsi" w:hAnsiTheme="minorHAnsi" w:cstheme="minorHAnsi"/>
          <w:sz w:val="22"/>
          <w:szCs w:val="22"/>
        </w:rPr>
      </w:pPr>
      <w:r w:rsidRPr="0072678C">
        <w:rPr>
          <w:rFonts w:asciiTheme="minorHAnsi" w:hAnsiTheme="minorHAnsi" w:cstheme="minorHAnsi"/>
          <w:sz w:val="22"/>
          <w:szCs w:val="22"/>
        </w:rPr>
        <w:t xml:space="preserve">Com relação </w:t>
      </w:r>
      <w:r w:rsidRPr="0072678C">
        <w:rPr>
          <w:rFonts w:asciiTheme="minorHAnsi" w:hAnsiTheme="minorHAnsi" w:cstheme="minorHAnsi"/>
          <w:b/>
          <w:bCs/>
          <w:i/>
          <w:iCs/>
          <w:sz w:val="22"/>
          <w:szCs w:val="22"/>
        </w:rPr>
        <w:t xml:space="preserve">código de ética e conduta da administração fiscal </w:t>
      </w:r>
      <w:r w:rsidRPr="0072678C">
        <w:rPr>
          <w:rFonts w:asciiTheme="minorHAnsi" w:hAnsiTheme="minorHAnsi" w:cstheme="minorHAnsi"/>
          <w:sz w:val="22"/>
          <w:szCs w:val="22"/>
        </w:rPr>
        <w:t>a</w:t>
      </w:r>
      <w:r w:rsidR="00F13BBB" w:rsidRPr="0072678C">
        <w:rPr>
          <w:rFonts w:asciiTheme="minorHAnsi" w:hAnsiTheme="minorHAnsi" w:cstheme="minorHAnsi"/>
          <w:sz w:val="22"/>
          <w:szCs w:val="22"/>
        </w:rPr>
        <w:t xml:space="preserve"> SEFAZ/SP </w:t>
      </w:r>
      <w:r w:rsidR="00DE6D3A" w:rsidRPr="0072678C">
        <w:rPr>
          <w:rFonts w:asciiTheme="minorHAnsi" w:hAnsiTheme="minorHAnsi" w:cstheme="minorHAnsi"/>
          <w:sz w:val="22"/>
          <w:szCs w:val="22"/>
        </w:rPr>
        <w:t xml:space="preserve">ainda </w:t>
      </w:r>
      <w:r w:rsidR="00F13BBB" w:rsidRPr="0072678C">
        <w:rPr>
          <w:rFonts w:asciiTheme="minorHAnsi" w:hAnsiTheme="minorHAnsi" w:cstheme="minorHAnsi"/>
          <w:sz w:val="22"/>
          <w:szCs w:val="22"/>
        </w:rPr>
        <w:t>não e</w:t>
      </w:r>
      <w:r w:rsidRPr="0072678C">
        <w:rPr>
          <w:rFonts w:asciiTheme="minorHAnsi" w:hAnsiTheme="minorHAnsi" w:cstheme="minorHAnsi"/>
          <w:sz w:val="22"/>
          <w:szCs w:val="22"/>
        </w:rPr>
        <w:t>stabelece a obrigatoriedade de manifestação e registro, de forma explícita e transparente, de aspectos que possam conduzir a conflito de interesse</w:t>
      </w:r>
      <w:r w:rsidR="00F13BBB" w:rsidRPr="0072678C">
        <w:rPr>
          <w:rFonts w:asciiTheme="minorHAnsi" w:hAnsiTheme="minorHAnsi" w:cstheme="minorHAnsi"/>
          <w:sz w:val="22"/>
          <w:szCs w:val="22"/>
        </w:rPr>
        <w:t xml:space="preserve">; e não define </w:t>
      </w:r>
      <w:r w:rsidRPr="0072678C">
        <w:rPr>
          <w:rFonts w:asciiTheme="minorHAnsi" w:hAnsiTheme="minorHAnsi" w:cstheme="minorHAnsi"/>
          <w:sz w:val="22"/>
          <w:szCs w:val="22"/>
        </w:rPr>
        <w:t>papéis e responsabilidades dos envolvidos no monitoramento e na avaliação do comportamento de agentes públicos</w:t>
      </w:r>
      <w:r w:rsidR="00F13BBB" w:rsidRPr="0072678C">
        <w:rPr>
          <w:rFonts w:asciiTheme="minorHAnsi" w:hAnsiTheme="minorHAnsi" w:cstheme="minorHAnsi"/>
          <w:sz w:val="22"/>
          <w:szCs w:val="22"/>
        </w:rPr>
        <w:t>. Para melhorar a maturidade deste processo a SEFAZ/SP deverá avançar na implantação destes dois requisitos.</w:t>
      </w:r>
    </w:p>
    <w:p w:rsidR="00D4572E" w:rsidRPr="0072678C" w:rsidRDefault="00D4572E" w:rsidP="00F13BBB">
      <w:pPr>
        <w:jc w:val="both"/>
        <w:rPr>
          <w:rFonts w:asciiTheme="minorHAnsi" w:hAnsiTheme="minorHAnsi" w:cstheme="minorHAnsi"/>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1"/>
        <w:gridCol w:w="1974"/>
        <w:gridCol w:w="884"/>
        <w:gridCol w:w="764"/>
        <w:gridCol w:w="521"/>
      </w:tblGrid>
      <w:tr w:rsidR="00E211C2" w:rsidRPr="0072678C" w:rsidTr="00B306B3">
        <w:trPr>
          <w:trHeight w:val="345"/>
          <w:jc w:val="center"/>
        </w:trPr>
        <w:tc>
          <w:tcPr>
            <w:tcW w:w="4711" w:type="dxa"/>
            <w:vMerge w:val="restart"/>
            <w:shd w:val="clear" w:color="auto" w:fill="C5E0B3" w:themeFill="accent6" w:themeFillTint="66"/>
            <w:noWrap/>
            <w:vAlign w:val="center"/>
            <w:hideMark/>
          </w:tcPr>
          <w:p w:rsidR="00E211C2" w:rsidRPr="0072678C" w:rsidRDefault="00E211C2" w:rsidP="00AB2D0B">
            <w:pPr>
              <w:jc w:val="both"/>
              <w:rPr>
                <w:rFonts w:asciiTheme="minorHAnsi" w:hAnsiTheme="minorHAnsi" w:cstheme="minorHAnsi"/>
                <w:b/>
                <w:bCs/>
              </w:rPr>
            </w:pPr>
            <w:r w:rsidRPr="0072678C">
              <w:rPr>
                <w:rFonts w:asciiTheme="minorHAnsi" w:hAnsiTheme="minorHAnsi" w:cstheme="minorHAnsi"/>
                <w:b/>
                <w:bCs/>
                <w:sz w:val="22"/>
                <w:szCs w:val="22"/>
              </w:rPr>
              <w:t xml:space="preserve">GF 4. GESTÃO DA TECNOLOGIA DA INFORMAÇÃO: </w:t>
            </w:r>
            <w:r w:rsidRPr="0072678C">
              <w:rPr>
                <w:rFonts w:asciiTheme="minorHAnsi" w:hAnsiTheme="minorHAnsi" w:cstheme="minorHAnsi"/>
                <w:bCs/>
                <w:sz w:val="22"/>
                <w:szCs w:val="22"/>
              </w:rPr>
              <w:t>Utiliza as melhores tecnologias para produção de informações válidas, tempestivas e úteis, com riscos aceitáveis, agregando valor à administração fiscal.</w:t>
            </w:r>
          </w:p>
        </w:tc>
        <w:tc>
          <w:tcPr>
            <w:tcW w:w="1974" w:type="dxa"/>
            <w:vMerge w:val="restart"/>
            <w:shd w:val="clear" w:color="auto" w:fill="C5E0B3" w:themeFill="accent6" w:themeFillTint="66"/>
            <w:noWrap/>
            <w:vAlign w:val="center"/>
            <w:hideMark/>
          </w:tcPr>
          <w:p w:rsidR="00E211C2" w:rsidRPr="0072678C" w:rsidRDefault="00E211C2" w:rsidP="00BC23AF">
            <w:pPr>
              <w:jc w:val="center"/>
              <w:rPr>
                <w:rFonts w:asciiTheme="minorHAnsi" w:hAnsiTheme="minorHAnsi" w:cstheme="minorHAnsi"/>
                <w:b/>
                <w:bCs/>
              </w:rPr>
            </w:pPr>
            <w:r w:rsidRPr="0072678C">
              <w:rPr>
                <w:rFonts w:asciiTheme="minorHAnsi" w:hAnsiTheme="minorHAnsi" w:cstheme="minorHAnsi"/>
                <w:b/>
                <w:bCs/>
                <w:sz w:val="22"/>
                <w:szCs w:val="22"/>
              </w:rPr>
              <w:t>Maturidade</w:t>
            </w:r>
          </w:p>
        </w:tc>
        <w:tc>
          <w:tcPr>
            <w:tcW w:w="2169" w:type="dxa"/>
            <w:gridSpan w:val="3"/>
            <w:shd w:val="clear" w:color="auto" w:fill="C5E0B3" w:themeFill="accent6" w:themeFillTint="66"/>
            <w:vAlign w:val="center"/>
          </w:tcPr>
          <w:p w:rsidR="00E211C2" w:rsidRPr="0072678C" w:rsidRDefault="00E211C2" w:rsidP="00BC23AF">
            <w:pPr>
              <w:jc w:val="center"/>
              <w:rPr>
                <w:rFonts w:asciiTheme="minorHAnsi" w:hAnsiTheme="minorHAnsi" w:cstheme="minorHAnsi"/>
                <w:b/>
              </w:rPr>
            </w:pPr>
            <w:r w:rsidRPr="0072678C">
              <w:rPr>
                <w:rFonts w:asciiTheme="minorHAnsi" w:hAnsiTheme="minorHAnsi" w:cstheme="minorHAnsi"/>
                <w:b/>
                <w:sz w:val="22"/>
                <w:szCs w:val="22"/>
              </w:rPr>
              <w:t xml:space="preserve">Pontuação </w:t>
            </w:r>
          </w:p>
        </w:tc>
      </w:tr>
      <w:tr w:rsidR="00E211C2" w:rsidRPr="0072678C" w:rsidTr="00B306B3">
        <w:trPr>
          <w:trHeight w:val="345"/>
          <w:jc w:val="center"/>
        </w:trPr>
        <w:tc>
          <w:tcPr>
            <w:tcW w:w="4711" w:type="dxa"/>
            <w:vMerge/>
            <w:shd w:val="clear" w:color="auto" w:fill="C5E0B3" w:themeFill="accent6" w:themeFillTint="66"/>
            <w:noWrap/>
            <w:vAlign w:val="bottom"/>
            <w:hideMark/>
          </w:tcPr>
          <w:p w:rsidR="00E211C2" w:rsidRPr="0072678C" w:rsidRDefault="00E211C2" w:rsidP="00BC23AF">
            <w:pPr>
              <w:rPr>
                <w:rFonts w:asciiTheme="minorHAnsi" w:hAnsiTheme="minorHAnsi" w:cstheme="minorHAnsi"/>
                <w:b/>
                <w:bCs/>
              </w:rPr>
            </w:pPr>
          </w:p>
        </w:tc>
        <w:tc>
          <w:tcPr>
            <w:tcW w:w="1974" w:type="dxa"/>
            <w:vMerge/>
            <w:shd w:val="clear" w:color="auto" w:fill="C5E0B3" w:themeFill="accent6" w:themeFillTint="66"/>
            <w:noWrap/>
            <w:vAlign w:val="bottom"/>
            <w:hideMark/>
          </w:tcPr>
          <w:p w:rsidR="00E211C2" w:rsidRPr="0072678C" w:rsidRDefault="00E211C2" w:rsidP="00BC23AF">
            <w:pPr>
              <w:jc w:val="center"/>
              <w:rPr>
                <w:rFonts w:asciiTheme="minorHAnsi" w:hAnsiTheme="minorHAnsi" w:cstheme="minorHAnsi"/>
                <w:b/>
                <w:bCs/>
              </w:rPr>
            </w:pPr>
          </w:p>
        </w:tc>
        <w:tc>
          <w:tcPr>
            <w:tcW w:w="884" w:type="dxa"/>
            <w:shd w:val="clear" w:color="auto" w:fill="C5E0B3" w:themeFill="accent6" w:themeFillTint="66"/>
            <w:vAlign w:val="center"/>
          </w:tcPr>
          <w:p w:rsidR="00E211C2" w:rsidRPr="0072678C" w:rsidRDefault="00E211C2" w:rsidP="00BC23AF">
            <w:pPr>
              <w:jc w:val="center"/>
              <w:rPr>
                <w:rFonts w:asciiTheme="minorHAnsi" w:hAnsiTheme="minorHAnsi" w:cstheme="minorHAnsi"/>
                <w:b/>
              </w:rPr>
            </w:pPr>
            <w:r w:rsidRPr="0072678C">
              <w:rPr>
                <w:rFonts w:asciiTheme="minorHAnsi" w:hAnsiTheme="minorHAnsi" w:cstheme="minorHAnsi"/>
                <w:b/>
                <w:sz w:val="22"/>
                <w:szCs w:val="22"/>
              </w:rPr>
              <w:t>Máxima</w:t>
            </w:r>
          </w:p>
        </w:tc>
        <w:tc>
          <w:tcPr>
            <w:tcW w:w="764" w:type="dxa"/>
            <w:shd w:val="clear" w:color="auto" w:fill="C5E0B3" w:themeFill="accent6" w:themeFillTint="66"/>
            <w:vAlign w:val="center"/>
          </w:tcPr>
          <w:p w:rsidR="00E211C2" w:rsidRPr="0072678C" w:rsidRDefault="00E211C2" w:rsidP="00BC23AF">
            <w:pPr>
              <w:jc w:val="center"/>
              <w:rPr>
                <w:rFonts w:asciiTheme="minorHAnsi" w:hAnsiTheme="minorHAnsi" w:cstheme="minorHAnsi"/>
                <w:b/>
              </w:rPr>
            </w:pPr>
            <w:r w:rsidRPr="0072678C">
              <w:rPr>
                <w:rFonts w:asciiTheme="minorHAnsi" w:hAnsiTheme="minorHAnsi" w:cstheme="minorHAnsi"/>
                <w:b/>
                <w:sz w:val="22"/>
                <w:szCs w:val="22"/>
              </w:rPr>
              <w:t>Obtida</w:t>
            </w:r>
          </w:p>
        </w:tc>
        <w:tc>
          <w:tcPr>
            <w:tcW w:w="521" w:type="dxa"/>
            <w:shd w:val="clear" w:color="auto" w:fill="C5E0B3" w:themeFill="accent6" w:themeFillTint="66"/>
            <w:vAlign w:val="center"/>
          </w:tcPr>
          <w:p w:rsidR="00E211C2" w:rsidRPr="0072678C" w:rsidRDefault="00E211C2" w:rsidP="00BC23AF">
            <w:pPr>
              <w:jc w:val="center"/>
              <w:rPr>
                <w:rFonts w:asciiTheme="minorHAnsi" w:hAnsiTheme="minorHAnsi" w:cstheme="minorHAnsi"/>
                <w:b/>
              </w:rPr>
            </w:pPr>
            <w:r w:rsidRPr="0072678C">
              <w:rPr>
                <w:rFonts w:asciiTheme="minorHAnsi" w:hAnsiTheme="minorHAnsi" w:cstheme="minorHAnsi"/>
                <w:b/>
                <w:sz w:val="22"/>
                <w:szCs w:val="22"/>
              </w:rPr>
              <w:t>%</w:t>
            </w:r>
          </w:p>
        </w:tc>
      </w:tr>
      <w:tr w:rsidR="00E211C2" w:rsidRPr="0072678C" w:rsidTr="00B306B3">
        <w:trPr>
          <w:trHeight w:val="345"/>
          <w:jc w:val="center"/>
        </w:trPr>
        <w:tc>
          <w:tcPr>
            <w:tcW w:w="4711" w:type="dxa"/>
            <w:vMerge/>
            <w:shd w:val="clear" w:color="auto" w:fill="auto"/>
            <w:noWrap/>
            <w:vAlign w:val="center"/>
            <w:hideMark/>
          </w:tcPr>
          <w:p w:rsidR="00E211C2" w:rsidRPr="0072678C" w:rsidRDefault="00E211C2" w:rsidP="00B16094">
            <w:pPr>
              <w:ind w:firstLineChars="200" w:firstLine="480"/>
              <w:jc w:val="center"/>
              <w:rPr>
                <w:rFonts w:ascii="Calibri" w:hAnsi="Calibri" w:cs="Calibri"/>
              </w:rPr>
            </w:pPr>
          </w:p>
        </w:tc>
        <w:tc>
          <w:tcPr>
            <w:tcW w:w="1974" w:type="dxa"/>
            <w:shd w:val="clear" w:color="auto" w:fill="auto"/>
            <w:noWrap/>
            <w:vAlign w:val="center"/>
            <w:hideMark/>
          </w:tcPr>
          <w:p w:rsidR="00E211C2" w:rsidRPr="0072678C" w:rsidRDefault="00E211C2" w:rsidP="00D4572E">
            <w:pPr>
              <w:jc w:val="center"/>
              <w:rPr>
                <w:rFonts w:asciiTheme="minorHAnsi" w:hAnsiTheme="minorHAnsi" w:cstheme="minorHAnsi"/>
                <w:b/>
                <w:bCs/>
              </w:rPr>
            </w:pPr>
            <w:r w:rsidRPr="0072678C">
              <w:rPr>
                <w:rFonts w:asciiTheme="minorHAnsi" w:hAnsiTheme="minorHAnsi" w:cstheme="minorHAnsi"/>
                <w:b/>
                <w:bCs/>
                <w:sz w:val="22"/>
                <w:szCs w:val="22"/>
              </w:rPr>
              <w:t>INTERMEDIÁRIO (-)</w:t>
            </w:r>
          </w:p>
        </w:tc>
        <w:tc>
          <w:tcPr>
            <w:tcW w:w="884" w:type="dxa"/>
            <w:vAlign w:val="center"/>
          </w:tcPr>
          <w:p w:rsidR="00E211C2" w:rsidRPr="0072678C" w:rsidRDefault="00E211C2" w:rsidP="00D4572E">
            <w:pPr>
              <w:jc w:val="center"/>
              <w:rPr>
                <w:rFonts w:ascii="Calibri" w:hAnsi="Calibri" w:cs="Calibri"/>
              </w:rPr>
            </w:pPr>
            <w:r w:rsidRPr="0072678C">
              <w:rPr>
                <w:rFonts w:ascii="Calibri" w:hAnsi="Calibri" w:cs="Calibri"/>
                <w:sz w:val="22"/>
                <w:szCs w:val="22"/>
              </w:rPr>
              <w:t>18</w:t>
            </w:r>
          </w:p>
        </w:tc>
        <w:tc>
          <w:tcPr>
            <w:tcW w:w="764" w:type="dxa"/>
            <w:vAlign w:val="center"/>
          </w:tcPr>
          <w:p w:rsidR="00E211C2" w:rsidRPr="0072678C" w:rsidRDefault="00E211C2" w:rsidP="00D4572E">
            <w:pPr>
              <w:jc w:val="center"/>
              <w:rPr>
                <w:rFonts w:ascii="Calibri" w:hAnsi="Calibri" w:cs="Calibri"/>
              </w:rPr>
            </w:pPr>
            <w:r w:rsidRPr="0072678C">
              <w:rPr>
                <w:rFonts w:ascii="Calibri" w:hAnsi="Calibri" w:cs="Calibri"/>
                <w:sz w:val="22"/>
                <w:szCs w:val="22"/>
              </w:rPr>
              <w:t>13</w:t>
            </w:r>
          </w:p>
        </w:tc>
        <w:tc>
          <w:tcPr>
            <w:tcW w:w="521" w:type="dxa"/>
            <w:vAlign w:val="center"/>
          </w:tcPr>
          <w:p w:rsidR="00E211C2" w:rsidRPr="0072678C" w:rsidRDefault="00E211C2" w:rsidP="00D4572E">
            <w:pPr>
              <w:jc w:val="center"/>
              <w:rPr>
                <w:rFonts w:ascii="Calibri" w:hAnsi="Calibri" w:cs="Calibri"/>
              </w:rPr>
            </w:pPr>
            <w:r w:rsidRPr="0072678C">
              <w:rPr>
                <w:rFonts w:ascii="Calibri" w:hAnsi="Calibri" w:cs="Calibri"/>
                <w:sz w:val="22"/>
                <w:szCs w:val="22"/>
              </w:rPr>
              <w:t>72%</w:t>
            </w:r>
          </w:p>
        </w:tc>
      </w:tr>
    </w:tbl>
    <w:p w:rsidR="00D4572E" w:rsidRPr="0072678C" w:rsidRDefault="00D4572E" w:rsidP="00BC3BB5">
      <w:pPr>
        <w:jc w:val="both"/>
        <w:rPr>
          <w:rFonts w:asciiTheme="minorHAnsi" w:hAnsiTheme="minorHAnsi" w:cstheme="minorHAnsi"/>
          <w:sz w:val="22"/>
          <w:szCs w:val="22"/>
        </w:rPr>
      </w:pPr>
    </w:p>
    <w:p w:rsidR="00430D4B" w:rsidRPr="0072678C" w:rsidRDefault="00430D4B" w:rsidP="00BC3BB5">
      <w:pPr>
        <w:jc w:val="both"/>
        <w:rPr>
          <w:rFonts w:asciiTheme="minorHAnsi" w:hAnsiTheme="minorHAnsi" w:cstheme="minorHAnsi"/>
          <w:sz w:val="22"/>
          <w:szCs w:val="22"/>
        </w:rPr>
      </w:pPr>
      <w:r w:rsidRPr="0072678C">
        <w:rPr>
          <w:rFonts w:asciiTheme="minorHAnsi" w:hAnsiTheme="minorHAnsi" w:cstheme="minorHAnsi"/>
          <w:sz w:val="22"/>
          <w:szCs w:val="22"/>
        </w:rPr>
        <w:t xml:space="preserve">O processo de </w:t>
      </w:r>
      <w:r w:rsidRPr="0072678C">
        <w:rPr>
          <w:rFonts w:asciiTheme="minorHAnsi" w:hAnsiTheme="minorHAnsi" w:cstheme="minorHAnsi"/>
          <w:b/>
          <w:bCs/>
          <w:i/>
          <w:iCs/>
          <w:sz w:val="22"/>
          <w:szCs w:val="22"/>
        </w:rPr>
        <w:t>direcionamento estratégico da gestão de TI</w:t>
      </w:r>
      <w:r w:rsidRPr="0072678C">
        <w:rPr>
          <w:rFonts w:asciiTheme="minorHAnsi" w:hAnsiTheme="minorHAnsi" w:cstheme="minorHAnsi"/>
          <w:sz w:val="22"/>
          <w:szCs w:val="22"/>
        </w:rPr>
        <w:t xml:space="preserve"> na SEFAZ/SP ainda não adotar metodologia para avaliação do desempenho dos serviços de TI.</w:t>
      </w:r>
    </w:p>
    <w:p w:rsidR="00430D4B" w:rsidRPr="0072678C" w:rsidRDefault="00430D4B" w:rsidP="00DE6401">
      <w:pPr>
        <w:jc w:val="both"/>
        <w:rPr>
          <w:rFonts w:asciiTheme="minorHAnsi" w:hAnsiTheme="minorHAnsi" w:cstheme="minorHAnsi"/>
          <w:sz w:val="22"/>
          <w:szCs w:val="22"/>
        </w:rPr>
      </w:pPr>
    </w:p>
    <w:p w:rsidR="00430D4B" w:rsidRPr="0072678C" w:rsidRDefault="00430D4B" w:rsidP="00DE6401">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planejamento estratégico de TI</w:t>
      </w:r>
      <w:r w:rsidRPr="0072678C">
        <w:rPr>
          <w:rFonts w:asciiTheme="minorHAnsi" w:hAnsiTheme="minorHAnsi" w:cstheme="minorHAnsi"/>
          <w:sz w:val="22"/>
          <w:szCs w:val="22"/>
        </w:rPr>
        <w:t xml:space="preserve"> é considerado um dos principais processos desta dimensão e com</w:t>
      </w:r>
      <w:r w:rsidR="00D4572E" w:rsidRPr="0072678C">
        <w:rPr>
          <w:rFonts w:asciiTheme="minorHAnsi" w:hAnsiTheme="minorHAnsi" w:cstheme="minorHAnsi"/>
          <w:sz w:val="22"/>
          <w:szCs w:val="22"/>
        </w:rPr>
        <w:t>o</w:t>
      </w:r>
      <w:r w:rsidRPr="0072678C">
        <w:rPr>
          <w:rFonts w:asciiTheme="minorHAnsi" w:hAnsiTheme="minorHAnsi" w:cstheme="minorHAnsi"/>
          <w:sz w:val="22"/>
          <w:szCs w:val="22"/>
        </w:rPr>
        <w:t xml:space="preserve"> apresentou um nível muito baixo de maturidade será necessário instituir formalmente o planejamento e estabelecer periodicidade de sua revisão; contemplar a participação das áreas mais relevantes da organização e o apoio do comitê de TI; contemplar objetivos, indicadores e metas para a TI, alinhados aos objetivos do plano estratégico organizacional; definir a alocação de recursos orçamentários, humanos e materiais e a estratégia de execução indireta dos serviços, por meio de terceirização; definir as regras de acompanhamento do alcance das metas </w:t>
      </w:r>
      <w:r w:rsidRPr="0072678C">
        <w:rPr>
          <w:rFonts w:asciiTheme="minorHAnsi" w:hAnsiTheme="minorHAnsi" w:cstheme="minorHAnsi"/>
          <w:sz w:val="22"/>
          <w:szCs w:val="22"/>
        </w:rPr>
        <w:lastRenderedPageBreak/>
        <w:t>estabelecidas e de correção dos desvios; vincular as atividades e projetos a indicadores e metas do planejamento estratégico organizacional; e fundamentar a proposta orçamentária de TI.</w:t>
      </w:r>
    </w:p>
    <w:p w:rsidR="00A44E00" w:rsidRPr="0072678C" w:rsidRDefault="00A44E00" w:rsidP="00DE6401">
      <w:pPr>
        <w:jc w:val="both"/>
        <w:rPr>
          <w:rFonts w:asciiTheme="minorHAnsi" w:hAnsiTheme="minorHAnsi" w:cstheme="minorHAnsi"/>
          <w:sz w:val="22"/>
          <w:szCs w:val="22"/>
        </w:rPr>
      </w:pPr>
    </w:p>
    <w:p w:rsidR="00430D4B" w:rsidRPr="0072678C" w:rsidRDefault="00430D4B" w:rsidP="00DE6401">
      <w:pPr>
        <w:jc w:val="both"/>
        <w:rPr>
          <w:rFonts w:asciiTheme="minorHAnsi" w:hAnsiTheme="minorHAnsi" w:cstheme="minorHAnsi"/>
          <w:sz w:val="22"/>
          <w:szCs w:val="22"/>
        </w:rPr>
      </w:pPr>
      <w:r w:rsidRPr="0072678C">
        <w:rPr>
          <w:rFonts w:asciiTheme="minorHAnsi" w:hAnsiTheme="minorHAnsi" w:cstheme="minorHAnsi"/>
          <w:sz w:val="22"/>
          <w:szCs w:val="22"/>
        </w:rPr>
        <w:t xml:space="preserve">Com relação ao processo </w:t>
      </w:r>
      <w:r w:rsidRPr="0072678C">
        <w:rPr>
          <w:rFonts w:asciiTheme="minorHAnsi" w:hAnsiTheme="minorHAnsi" w:cstheme="minorHAnsi"/>
          <w:b/>
          <w:bCs/>
          <w:i/>
          <w:iCs/>
          <w:sz w:val="22"/>
          <w:szCs w:val="22"/>
        </w:rPr>
        <w:t>sistema de monitoramento e avaliação</w:t>
      </w:r>
      <w:r w:rsidRPr="0072678C">
        <w:rPr>
          <w:rFonts w:asciiTheme="minorHAnsi" w:hAnsiTheme="minorHAnsi" w:cstheme="minorHAnsi"/>
          <w:sz w:val="22"/>
          <w:szCs w:val="22"/>
        </w:rPr>
        <w:t xml:space="preserve"> da gestão de TI é </w:t>
      </w:r>
      <w:r w:rsidR="00A44E00" w:rsidRPr="0072678C">
        <w:rPr>
          <w:rFonts w:asciiTheme="minorHAnsi" w:hAnsiTheme="minorHAnsi" w:cstheme="minorHAnsi"/>
          <w:sz w:val="22"/>
          <w:szCs w:val="22"/>
        </w:rPr>
        <w:t>necessário</w:t>
      </w:r>
      <w:r w:rsidRPr="0072678C">
        <w:rPr>
          <w:rFonts w:asciiTheme="minorHAnsi" w:hAnsiTheme="minorHAnsi" w:cstheme="minorHAnsi"/>
          <w:sz w:val="22"/>
          <w:szCs w:val="22"/>
        </w:rPr>
        <w:t xml:space="preserve"> definir e formalizar diretrizes para avaliação da gestão de TI; e monitorar e avaliar periodicamente a gestão</w:t>
      </w:r>
      <w:r w:rsidR="00A44E00" w:rsidRPr="0072678C">
        <w:rPr>
          <w:rFonts w:asciiTheme="minorHAnsi" w:hAnsiTheme="minorHAnsi" w:cstheme="minorHAnsi"/>
          <w:sz w:val="22"/>
          <w:szCs w:val="22"/>
        </w:rPr>
        <w:t xml:space="preserve"> verificando o nível </w:t>
      </w:r>
      <w:r w:rsidRPr="0072678C">
        <w:rPr>
          <w:rFonts w:asciiTheme="minorHAnsi" w:hAnsiTheme="minorHAnsi" w:cstheme="minorHAnsi"/>
          <w:sz w:val="22"/>
          <w:szCs w:val="22"/>
        </w:rPr>
        <w:t xml:space="preserve">de alinhamento da TI com o negócio, a conformidade do uso da TI com as políticas corporativas e </w:t>
      </w:r>
      <w:r w:rsidR="00A44E00" w:rsidRPr="0072678C">
        <w:rPr>
          <w:rFonts w:asciiTheme="minorHAnsi" w:hAnsiTheme="minorHAnsi" w:cstheme="minorHAnsi"/>
          <w:sz w:val="22"/>
          <w:szCs w:val="22"/>
        </w:rPr>
        <w:t xml:space="preserve">se necessário </w:t>
      </w:r>
      <w:r w:rsidRPr="0072678C">
        <w:rPr>
          <w:rFonts w:asciiTheme="minorHAnsi" w:hAnsiTheme="minorHAnsi" w:cstheme="minorHAnsi"/>
          <w:sz w:val="22"/>
          <w:szCs w:val="22"/>
        </w:rPr>
        <w:t>corrig</w:t>
      </w:r>
      <w:r w:rsidR="00A44E00" w:rsidRPr="0072678C">
        <w:rPr>
          <w:rFonts w:asciiTheme="minorHAnsi" w:hAnsiTheme="minorHAnsi" w:cstheme="minorHAnsi"/>
          <w:sz w:val="22"/>
          <w:szCs w:val="22"/>
        </w:rPr>
        <w:t xml:space="preserve">ir </w:t>
      </w:r>
      <w:r w:rsidRPr="0072678C">
        <w:rPr>
          <w:rFonts w:asciiTheme="minorHAnsi" w:hAnsiTheme="minorHAnsi" w:cstheme="minorHAnsi"/>
          <w:sz w:val="22"/>
          <w:szCs w:val="22"/>
        </w:rPr>
        <w:t>rumos.</w:t>
      </w:r>
    </w:p>
    <w:p w:rsidR="00430D4B" w:rsidRPr="0072678C" w:rsidRDefault="00430D4B" w:rsidP="00430D4B">
      <w:pPr>
        <w:jc w:val="both"/>
        <w:rPr>
          <w:rFonts w:asciiTheme="minorHAnsi" w:hAnsiTheme="minorHAnsi" w:cstheme="minorHAnsi"/>
          <w:sz w:val="22"/>
          <w:szCs w:val="22"/>
        </w:rPr>
      </w:pPr>
    </w:p>
    <w:p w:rsidR="00430D4B" w:rsidRPr="0072678C" w:rsidRDefault="00430D4B" w:rsidP="00430D4B">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controle e a operação da área de TI</w:t>
      </w:r>
      <w:r w:rsidRPr="0072678C">
        <w:rPr>
          <w:rFonts w:asciiTheme="minorHAnsi" w:hAnsiTheme="minorHAnsi" w:cstheme="minorHAnsi"/>
          <w:sz w:val="22"/>
          <w:szCs w:val="22"/>
        </w:rPr>
        <w:t xml:space="preserve"> durante a avaliação este processo apresentou</w:t>
      </w:r>
      <w:r w:rsidR="00A44E00" w:rsidRPr="0072678C">
        <w:rPr>
          <w:rFonts w:asciiTheme="minorHAnsi" w:hAnsiTheme="minorHAnsi" w:cstheme="minorHAnsi"/>
          <w:sz w:val="22"/>
          <w:szCs w:val="22"/>
        </w:rPr>
        <w:t>-se</w:t>
      </w:r>
      <w:r w:rsidRPr="0072678C">
        <w:rPr>
          <w:rFonts w:asciiTheme="minorHAnsi" w:hAnsiTheme="minorHAnsi" w:cstheme="minorHAnsi"/>
          <w:sz w:val="22"/>
          <w:szCs w:val="22"/>
        </w:rPr>
        <w:t xml:space="preserve"> </w:t>
      </w:r>
      <w:r w:rsidR="00A44E00" w:rsidRPr="0072678C">
        <w:rPr>
          <w:rFonts w:asciiTheme="minorHAnsi" w:hAnsiTheme="minorHAnsi" w:cstheme="minorHAnsi"/>
          <w:sz w:val="22"/>
          <w:szCs w:val="22"/>
        </w:rPr>
        <w:t xml:space="preserve">como um doas mais críticos. Para tanto, </w:t>
      </w:r>
      <w:r w:rsidRPr="0072678C">
        <w:rPr>
          <w:rFonts w:asciiTheme="minorHAnsi" w:hAnsiTheme="minorHAnsi" w:cstheme="minorHAnsi"/>
          <w:sz w:val="22"/>
          <w:szCs w:val="22"/>
        </w:rPr>
        <w:t>a SEFAZ/SP deverá instituir formalmente o comitê e a política de segurança da informação e monitora</w:t>
      </w:r>
      <w:r w:rsidR="00A44E00" w:rsidRPr="0072678C">
        <w:rPr>
          <w:rFonts w:asciiTheme="minorHAnsi" w:hAnsiTheme="minorHAnsi" w:cstheme="minorHAnsi"/>
          <w:sz w:val="22"/>
          <w:szCs w:val="22"/>
        </w:rPr>
        <w:t>r</w:t>
      </w:r>
      <w:r w:rsidRPr="0072678C">
        <w:rPr>
          <w:rFonts w:asciiTheme="minorHAnsi" w:hAnsiTheme="minorHAnsi" w:cstheme="minorHAnsi"/>
          <w:sz w:val="22"/>
          <w:szCs w:val="22"/>
        </w:rPr>
        <w:t xml:space="preserve"> sua operação; disponibilizar equipamentos móveis e aplicativos considerando as últimas tendências de mercado; disponibilizar infraestrutura de nuvem privada com uso, gerenciamento e operação pela gestão fiscal, garantindo controle de localização e restrições de acesso; disponibilizar infraestrutura de nuvem pública para Software como Serviço (SaaS), cuja propriedade, gerenciamento e operação está fora da gestão fiscal; disponibilizar infraestrutura de nuvem pública para Plataforma como Serviço (PaaS), cuja propriedade, gerenciamento e operação está fora da gestão fiscal; disponibilizar infraestrutura de nuvem pública para Infraestrutura como Serviço (IaaS), cuja propriedade, gerenciamento e operação está fora da gestão fiscal; aplicar matriz para análise e monitoramento de riscos pela utilização de nuvem, serviços na nuvem e computação em nuvem; e utilizar as redes sociais para comunicação institucional e interação com público alvo. </w:t>
      </w:r>
    </w:p>
    <w:p w:rsidR="00430D4B" w:rsidRPr="0072678C" w:rsidRDefault="00430D4B" w:rsidP="00430D4B">
      <w:pPr>
        <w:jc w:val="both"/>
        <w:rPr>
          <w:rFonts w:asciiTheme="minorHAnsi" w:hAnsiTheme="minorHAnsi" w:cstheme="minorHAnsi"/>
          <w:sz w:val="22"/>
          <w:szCs w:val="22"/>
        </w:rPr>
      </w:pPr>
    </w:p>
    <w:p w:rsidR="00430D4B" w:rsidRPr="0072678C" w:rsidRDefault="00430D4B" w:rsidP="00430D4B">
      <w:pPr>
        <w:jc w:val="both"/>
        <w:rPr>
          <w:rFonts w:asciiTheme="minorHAnsi" w:hAnsiTheme="minorHAnsi" w:cstheme="minorHAnsi"/>
          <w:sz w:val="22"/>
          <w:szCs w:val="22"/>
        </w:rPr>
      </w:pPr>
      <w:r w:rsidRPr="0072678C">
        <w:rPr>
          <w:rFonts w:asciiTheme="minorHAnsi" w:hAnsiTheme="minorHAnsi" w:cstheme="minorHAnsi"/>
          <w:sz w:val="22"/>
          <w:szCs w:val="22"/>
        </w:rPr>
        <w:t xml:space="preserve">Para o processo de </w:t>
      </w:r>
      <w:r w:rsidRPr="0072678C">
        <w:rPr>
          <w:rFonts w:asciiTheme="minorHAnsi" w:hAnsiTheme="minorHAnsi" w:cstheme="minorHAnsi"/>
          <w:b/>
          <w:bCs/>
          <w:i/>
          <w:iCs/>
          <w:sz w:val="22"/>
          <w:szCs w:val="22"/>
        </w:rPr>
        <w:t>automação dos processos críticos da administração fiscal</w:t>
      </w:r>
      <w:r w:rsidRPr="0072678C">
        <w:rPr>
          <w:rFonts w:asciiTheme="minorHAnsi" w:hAnsiTheme="minorHAnsi" w:cstheme="minorHAnsi"/>
          <w:sz w:val="22"/>
          <w:szCs w:val="22"/>
        </w:rPr>
        <w:t xml:space="preserve"> é necessário apenas registrar e monitorar os contratos da dívida pública com avaliação de cenários.</w:t>
      </w:r>
    </w:p>
    <w:p w:rsidR="00F13BBB" w:rsidRPr="0072678C" w:rsidRDefault="00F13BBB" w:rsidP="003E2E2B">
      <w:pPr>
        <w:jc w:val="both"/>
        <w:rPr>
          <w:rFonts w:asciiTheme="minorHAnsi" w:hAnsiTheme="minorHAnsi" w:cstheme="minorHAnsi"/>
          <w:sz w:val="22"/>
          <w:szCs w:val="22"/>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93"/>
        <w:gridCol w:w="1776"/>
        <w:gridCol w:w="884"/>
        <w:gridCol w:w="764"/>
        <w:gridCol w:w="632"/>
      </w:tblGrid>
      <w:tr w:rsidR="00E211C2" w:rsidRPr="0072678C" w:rsidTr="00B306B3">
        <w:trPr>
          <w:trHeight w:val="345"/>
          <w:jc w:val="center"/>
        </w:trPr>
        <w:tc>
          <w:tcPr>
            <w:tcW w:w="4793" w:type="dxa"/>
            <w:vMerge w:val="restart"/>
            <w:shd w:val="clear" w:color="auto" w:fill="C5E0B3" w:themeFill="accent6" w:themeFillTint="66"/>
            <w:noWrap/>
            <w:vAlign w:val="center"/>
            <w:hideMark/>
          </w:tcPr>
          <w:p w:rsidR="00E211C2" w:rsidRPr="0072678C" w:rsidRDefault="00E211C2" w:rsidP="00E211C2">
            <w:pPr>
              <w:jc w:val="both"/>
              <w:rPr>
                <w:rFonts w:asciiTheme="minorHAnsi" w:hAnsiTheme="minorHAnsi" w:cstheme="minorHAnsi"/>
                <w:b/>
                <w:bCs/>
              </w:rPr>
            </w:pPr>
            <w:r w:rsidRPr="0072678C">
              <w:rPr>
                <w:rFonts w:asciiTheme="minorHAnsi" w:hAnsiTheme="minorHAnsi" w:cstheme="minorHAnsi"/>
                <w:b/>
                <w:bCs/>
                <w:sz w:val="22"/>
                <w:szCs w:val="22"/>
              </w:rPr>
              <w:t xml:space="preserve">GF 5. GESTÃO DE AQUISIÇÕES E MATERIAIS: </w:t>
            </w:r>
            <w:r w:rsidRPr="0072678C">
              <w:rPr>
                <w:rFonts w:asciiTheme="minorHAnsi" w:hAnsiTheme="minorHAnsi" w:cstheme="minorHAnsi"/>
                <w:bCs/>
                <w:sz w:val="22"/>
                <w:szCs w:val="22"/>
              </w:rPr>
              <w:t>Decide e promove ações relativas às aquisições, materiais de consumo e permanentes alinhadas às necessidades da organização, buscando contribuir para a economia dos recursos e para o alcance das metas.</w:t>
            </w:r>
          </w:p>
        </w:tc>
        <w:tc>
          <w:tcPr>
            <w:tcW w:w="1776" w:type="dxa"/>
            <w:vMerge w:val="restart"/>
            <w:shd w:val="clear" w:color="auto" w:fill="C5E0B3" w:themeFill="accent6" w:themeFillTint="66"/>
            <w:noWrap/>
            <w:vAlign w:val="center"/>
            <w:hideMark/>
          </w:tcPr>
          <w:p w:rsidR="00E211C2" w:rsidRPr="0072678C" w:rsidRDefault="00E211C2" w:rsidP="00BC23AF">
            <w:pPr>
              <w:jc w:val="center"/>
              <w:rPr>
                <w:rFonts w:asciiTheme="minorHAnsi" w:hAnsiTheme="minorHAnsi" w:cstheme="minorHAnsi"/>
                <w:b/>
                <w:bCs/>
              </w:rPr>
            </w:pPr>
            <w:r w:rsidRPr="0072678C">
              <w:rPr>
                <w:rFonts w:asciiTheme="minorHAnsi" w:hAnsiTheme="minorHAnsi" w:cstheme="minorHAnsi"/>
                <w:b/>
                <w:bCs/>
                <w:sz w:val="22"/>
                <w:szCs w:val="22"/>
              </w:rPr>
              <w:t>Maturidade</w:t>
            </w:r>
          </w:p>
        </w:tc>
        <w:tc>
          <w:tcPr>
            <w:tcW w:w="2280" w:type="dxa"/>
            <w:gridSpan w:val="3"/>
            <w:shd w:val="clear" w:color="auto" w:fill="C5E0B3" w:themeFill="accent6" w:themeFillTint="66"/>
            <w:vAlign w:val="center"/>
          </w:tcPr>
          <w:p w:rsidR="00E211C2" w:rsidRPr="0072678C" w:rsidRDefault="00E211C2" w:rsidP="00BC23AF">
            <w:pPr>
              <w:jc w:val="center"/>
              <w:rPr>
                <w:rFonts w:asciiTheme="minorHAnsi" w:hAnsiTheme="minorHAnsi" w:cstheme="minorHAnsi"/>
                <w:b/>
              </w:rPr>
            </w:pPr>
            <w:r w:rsidRPr="0072678C">
              <w:rPr>
                <w:rFonts w:asciiTheme="minorHAnsi" w:hAnsiTheme="minorHAnsi" w:cstheme="minorHAnsi"/>
                <w:b/>
                <w:sz w:val="22"/>
                <w:szCs w:val="22"/>
              </w:rPr>
              <w:t xml:space="preserve">Pontuação </w:t>
            </w:r>
          </w:p>
        </w:tc>
      </w:tr>
      <w:tr w:rsidR="00E211C2" w:rsidRPr="0072678C" w:rsidTr="00B306B3">
        <w:trPr>
          <w:trHeight w:val="345"/>
          <w:jc w:val="center"/>
        </w:trPr>
        <w:tc>
          <w:tcPr>
            <w:tcW w:w="4793" w:type="dxa"/>
            <w:vMerge/>
            <w:shd w:val="clear" w:color="auto" w:fill="C5E0B3" w:themeFill="accent6" w:themeFillTint="66"/>
            <w:noWrap/>
            <w:vAlign w:val="bottom"/>
            <w:hideMark/>
          </w:tcPr>
          <w:p w:rsidR="00E211C2" w:rsidRPr="0072678C" w:rsidRDefault="00E211C2" w:rsidP="00BC23AF">
            <w:pPr>
              <w:rPr>
                <w:rFonts w:asciiTheme="minorHAnsi" w:hAnsiTheme="minorHAnsi" w:cstheme="minorHAnsi"/>
                <w:b/>
                <w:bCs/>
              </w:rPr>
            </w:pPr>
          </w:p>
        </w:tc>
        <w:tc>
          <w:tcPr>
            <w:tcW w:w="1776" w:type="dxa"/>
            <w:vMerge/>
            <w:shd w:val="clear" w:color="auto" w:fill="C5E0B3" w:themeFill="accent6" w:themeFillTint="66"/>
            <w:noWrap/>
            <w:vAlign w:val="bottom"/>
            <w:hideMark/>
          </w:tcPr>
          <w:p w:rsidR="00E211C2" w:rsidRPr="0072678C" w:rsidRDefault="00E211C2" w:rsidP="00BC23AF">
            <w:pPr>
              <w:jc w:val="center"/>
              <w:rPr>
                <w:rFonts w:asciiTheme="minorHAnsi" w:hAnsiTheme="minorHAnsi" w:cstheme="minorHAnsi"/>
                <w:b/>
                <w:bCs/>
              </w:rPr>
            </w:pPr>
          </w:p>
        </w:tc>
        <w:tc>
          <w:tcPr>
            <w:tcW w:w="884" w:type="dxa"/>
            <w:shd w:val="clear" w:color="auto" w:fill="C5E0B3" w:themeFill="accent6" w:themeFillTint="66"/>
            <w:vAlign w:val="center"/>
          </w:tcPr>
          <w:p w:rsidR="00E211C2" w:rsidRPr="0072678C" w:rsidRDefault="00E211C2" w:rsidP="00BC23AF">
            <w:pPr>
              <w:jc w:val="center"/>
              <w:rPr>
                <w:rFonts w:asciiTheme="minorHAnsi" w:hAnsiTheme="minorHAnsi" w:cstheme="minorHAnsi"/>
                <w:b/>
              </w:rPr>
            </w:pPr>
            <w:r w:rsidRPr="0072678C">
              <w:rPr>
                <w:rFonts w:asciiTheme="minorHAnsi" w:hAnsiTheme="minorHAnsi" w:cstheme="minorHAnsi"/>
                <w:b/>
                <w:sz w:val="22"/>
                <w:szCs w:val="22"/>
              </w:rPr>
              <w:t>Máxima</w:t>
            </w:r>
          </w:p>
        </w:tc>
        <w:tc>
          <w:tcPr>
            <w:tcW w:w="764" w:type="dxa"/>
            <w:shd w:val="clear" w:color="auto" w:fill="C5E0B3" w:themeFill="accent6" w:themeFillTint="66"/>
            <w:vAlign w:val="center"/>
          </w:tcPr>
          <w:p w:rsidR="00E211C2" w:rsidRPr="0072678C" w:rsidRDefault="00E211C2" w:rsidP="00BC23AF">
            <w:pPr>
              <w:jc w:val="center"/>
              <w:rPr>
                <w:rFonts w:asciiTheme="minorHAnsi" w:hAnsiTheme="minorHAnsi" w:cstheme="minorHAnsi"/>
                <w:b/>
              </w:rPr>
            </w:pPr>
            <w:r w:rsidRPr="0072678C">
              <w:rPr>
                <w:rFonts w:asciiTheme="minorHAnsi" w:hAnsiTheme="minorHAnsi" w:cstheme="minorHAnsi"/>
                <w:b/>
                <w:sz w:val="22"/>
                <w:szCs w:val="22"/>
              </w:rPr>
              <w:t>Obtida</w:t>
            </w:r>
          </w:p>
        </w:tc>
        <w:tc>
          <w:tcPr>
            <w:tcW w:w="632" w:type="dxa"/>
            <w:shd w:val="clear" w:color="auto" w:fill="C5E0B3" w:themeFill="accent6" w:themeFillTint="66"/>
            <w:vAlign w:val="center"/>
          </w:tcPr>
          <w:p w:rsidR="00E211C2" w:rsidRPr="0072678C" w:rsidRDefault="00E211C2" w:rsidP="00BC23AF">
            <w:pPr>
              <w:jc w:val="center"/>
              <w:rPr>
                <w:rFonts w:asciiTheme="minorHAnsi" w:hAnsiTheme="minorHAnsi" w:cstheme="minorHAnsi"/>
                <w:b/>
              </w:rPr>
            </w:pPr>
            <w:r w:rsidRPr="0072678C">
              <w:rPr>
                <w:rFonts w:asciiTheme="minorHAnsi" w:hAnsiTheme="minorHAnsi" w:cstheme="minorHAnsi"/>
                <w:b/>
                <w:sz w:val="22"/>
                <w:szCs w:val="22"/>
              </w:rPr>
              <w:t>%</w:t>
            </w:r>
          </w:p>
        </w:tc>
      </w:tr>
      <w:tr w:rsidR="00E211C2" w:rsidRPr="0072678C" w:rsidTr="00B306B3">
        <w:trPr>
          <w:trHeight w:val="345"/>
          <w:jc w:val="center"/>
        </w:trPr>
        <w:tc>
          <w:tcPr>
            <w:tcW w:w="4793" w:type="dxa"/>
            <w:vMerge/>
            <w:shd w:val="clear" w:color="auto" w:fill="auto"/>
            <w:noWrap/>
            <w:vAlign w:val="center"/>
            <w:hideMark/>
          </w:tcPr>
          <w:p w:rsidR="00E211C2" w:rsidRPr="0072678C" w:rsidRDefault="00E211C2" w:rsidP="00B16094">
            <w:pPr>
              <w:ind w:firstLineChars="200" w:firstLine="480"/>
              <w:jc w:val="center"/>
              <w:rPr>
                <w:rFonts w:ascii="Calibri" w:hAnsi="Calibri" w:cs="Calibri"/>
              </w:rPr>
            </w:pPr>
          </w:p>
        </w:tc>
        <w:tc>
          <w:tcPr>
            <w:tcW w:w="1776" w:type="dxa"/>
            <w:shd w:val="clear" w:color="auto" w:fill="auto"/>
            <w:noWrap/>
            <w:vAlign w:val="center"/>
            <w:hideMark/>
          </w:tcPr>
          <w:p w:rsidR="00E211C2" w:rsidRPr="0072678C" w:rsidRDefault="00E211C2" w:rsidP="00B52A36">
            <w:pPr>
              <w:jc w:val="center"/>
              <w:rPr>
                <w:rFonts w:asciiTheme="minorHAnsi" w:hAnsiTheme="minorHAnsi" w:cstheme="minorHAnsi"/>
                <w:b/>
                <w:bCs/>
              </w:rPr>
            </w:pPr>
            <w:r w:rsidRPr="0072678C">
              <w:rPr>
                <w:rFonts w:asciiTheme="minorHAnsi" w:hAnsiTheme="minorHAnsi" w:cstheme="minorHAnsi"/>
                <w:b/>
                <w:sz w:val="22"/>
                <w:szCs w:val="22"/>
              </w:rPr>
              <w:t>AVANÇADO (+)</w:t>
            </w:r>
          </w:p>
        </w:tc>
        <w:tc>
          <w:tcPr>
            <w:tcW w:w="884" w:type="dxa"/>
            <w:vAlign w:val="center"/>
          </w:tcPr>
          <w:p w:rsidR="00E211C2" w:rsidRPr="0072678C" w:rsidRDefault="00E211C2" w:rsidP="00B52A36">
            <w:pPr>
              <w:jc w:val="center"/>
              <w:rPr>
                <w:rFonts w:ascii="Calibri" w:hAnsi="Calibri" w:cs="Calibri"/>
              </w:rPr>
            </w:pPr>
            <w:r w:rsidRPr="0072678C">
              <w:rPr>
                <w:rFonts w:ascii="Calibri" w:hAnsi="Calibri" w:cs="Calibri"/>
                <w:sz w:val="22"/>
                <w:szCs w:val="22"/>
              </w:rPr>
              <w:t>18</w:t>
            </w:r>
          </w:p>
        </w:tc>
        <w:tc>
          <w:tcPr>
            <w:tcW w:w="764" w:type="dxa"/>
            <w:vAlign w:val="center"/>
          </w:tcPr>
          <w:p w:rsidR="00E211C2" w:rsidRPr="0072678C" w:rsidRDefault="00E211C2" w:rsidP="00B52A36">
            <w:pPr>
              <w:jc w:val="center"/>
              <w:rPr>
                <w:rFonts w:ascii="Calibri" w:hAnsi="Calibri" w:cs="Calibri"/>
              </w:rPr>
            </w:pPr>
            <w:r w:rsidRPr="0072678C">
              <w:rPr>
                <w:rFonts w:ascii="Calibri" w:hAnsi="Calibri" w:cs="Calibri"/>
                <w:sz w:val="22"/>
                <w:szCs w:val="22"/>
              </w:rPr>
              <w:t>18</w:t>
            </w:r>
          </w:p>
        </w:tc>
        <w:tc>
          <w:tcPr>
            <w:tcW w:w="632" w:type="dxa"/>
            <w:vAlign w:val="center"/>
          </w:tcPr>
          <w:p w:rsidR="00E211C2" w:rsidRPr="0072678C" w:rsidRDefault="00E211C2" w:rsidP="00B52A36">
            <w:pPr>
              <w:jc w:val="center"/>
              <w:rPr>
                <w:rFonts w:ascii="Calibri" w:hAnsi="Calibri" w:cs="Calibri"/>
              </w:rPr>
            </w:pPr>
            <w:r w:rsidRPr="0072678C">
              <w:rPr>
                <w:rFonts w:ascii="Calibri" w:hAnsi="Calibri" w:cs="Calibri"/>
                <w:sz w:val="22"/>
                <w:szCs w:val="22"/>
              </w:rPr>
              <w:t>100%</w:t>
            </w:r>
          </w:p>
        </w:tc>
      </w:tr>
    </w:tbl>
    <w:p w:rsidR="00F62BC8" w:rsidRPr="0072678C" w:rsidRDefault="00F62BC8"/>
    <w:p w:rsidR="00B52A36" w:rsidRPr="0072678C" w:rsidRDefault="00B52A36" w:rsidP="00E6212C">
      <w:pPr>
        <w:jc w:val="both"/>
        <w:rPr>
          <w:rFonts w:asciiTheme="minorHAnsi" w:hAnsiTheme="minorHAnsi" w:cstheme="minorHAnsi"/>
          <w:sz w:val="22"/>
          <w:szCs w:val="22"/>
        </w:rPr>
      </w:pPr>
      <w:r w:rsidRPr="0072678C">
        <w:rPr>
          <w:rFonts w:asciiTheme="minorHAnsi" w:hAnsiTheme="minorHAnsi" w:cstheme="minorHAnsi"/>
          <w:sz w:val="22"/>
          <w:szCs w:val="22"/>
        </w:rPr>
        <w:t xml:space="preserve">Apesar do nível de maturidade avançado (+) ainda será necessário implantar alguns </w:t>
      </w:r>
      <w:r w:rsidR="00CF6E9F" w:rsidRPr="0072678C">
        <w:rPr>
          <w:rFonts w:asciiTheme="minorHAnsi" w:hAnsiTheme="minorHAnsi" w:cstheme="minorHAnsi"/>
          <w:sz w:val="22"/>
          <w:szCs w:val="22"/>
        </w:rPr>
        <w:t>requisitos</w:t>
      </w:r>
      <w:r w:rsidRPr="0072678C">
        <w:rPr>
          <w:rFonts w:asciiTheme="minorHAnsi" w:hAnsiTheme="minorHAnsi" w:cstheme="minorHAnsi"/>
          <w:sz w:val="22"/>
          <w:szCs w:val="22"/>
        </w:rPr>
        <w:t xml:space="preserve"> de boas práticas. </w:t>
      </w:r>
    </w:p>
    <w:p w:rsidR="00B52A36" w:rsidRPr="0072678C" w:rsidRDefault="00B52A36" w:rsidP="00E6212C">
      <w:pPr>
        <w:jc w:val="both"/>
        <w:rPr>
          <w:rFonts w:asciiTheme="minorHAnsi" w:hAnsiTheme="minorHAnsi" w:cstheme="minorHAnsi"/>
          <w:sz w:val="22"/>
          <w:szCs w:val="22"/>
        </w:rPr>
      </w:pPr>
    </w:p>
    <w:p w:rsidR="00E6212C" w:rsidRPr="0072678C" w:rsidRDefault="00E6212C" w:rsidP="00E6212C">
      <w:pPr>
        <w:jc w:val="both"/>
        <w:rPr>
          <w:rFonts w:asciiTheme="minorHAnsi" w:hAnsiTheme="minorHAnsi" w:cstheme="minorHAnsi"/>
          <w:sz w:val="22"/>
          <w:szCs w:val="22"/>
        </w:rPr>
      </w:pPr>
      <w:r w:rsidRPr="0072678C">
        <w:rPr>
          <w:rFonts w:asciiTheme="minorHAnsi" w:hAnsiTheme="minorHAnsi" w:cstheme="minorHAnsi"/>
          <w:sz w:val="22"/>
          <w:szCs w:val="22"/>
        </w:rPr>
        <w:t xml:space="preserve">Para o processo de </w:t>
      </w:r>
      <w:r w:rsidRPr="0072678C">
        <w:rPr>
          <w:rFonts w:asciiTheme="minorHAnsi" w:hAnsiTheme="minorHAnsi" w:cstheme="minorHAnsi"/>
          <w:b/>
          <w:bCs/>
          <w:i/>
          <w:iCs/>
          <w:sz w:val="22"/>
          <w:szCs w:val="22"/>
        </w:rPr>
        <w:t xml:space="preserve">direcionamento estratégico da gestão de aquisições e contratações </w:t>
      </w:r>
      <w:r w:rsidRPr="0072678C">
        <w:rPr>
          <w:rFonts w:asciiTheme="minorHAnsi" w:hAnsiTheme="minorHAnsi" w:cstheme="minorHAnsi"/>
          <w:sz w:val="22"/>
          <w:szCs w:val="22"/>
        </w:rPr>
        <w:t>será necessário definir e divulga a estratégia da gestão de suprimentos integrada à estratégia corporativa; e estabelecer os níveis de risco aceitáveis nos processos de aquisição, conforme metodologia de risco adotada.</w:t>
      </w:r>
    </w:p>
    <w:p w:rsidR="00E6212C" w:rsidRPr="0072678C" w:rsidRDefault="00E6212C" w:rsidP="00E6212C">
      <w:pPr>
        <w:jc w:val="both"/>
        <w:rPr>
          <w:rFonts w:asciiTheme="minorHAnsi" w:hAnsiTheme="minorHAnsi" w:cstheme="minorHAnsi"/>
        </w:rPr>
      </w:pPr>
    </w:p>
    <w:p w:rsidR="0052227A" w:rsidRPr="0072678C" w:rsidRDefault="0052227A" w:rsidP="00E6212C">
      <w:pPr>
        <w:jc w:val="both"/>
        <w:rPr>
          <w:rFonts w:asciiTheme="minorHAnsi" w:hAnsiTheme="minorHAnsi" w:cstheme="minorHAnsi"/>
          <w:sz w:val="22"/>
          <w:szCs w:val="22"/>
        </w:rPr>
      </w:pPr>
      <w:r w:rsidRPr="0072678C">
        <w:rPr>
          <w:rFonts w:asciiTheme="minorHAnsi" w:hAnsiTheme="minorHAnsi" w:cstheme="minorHAnsi"/>
          <w:sz w:val="22"/>
          <w:szCs w:val="22"/>
        </w:rPr>
        <w:t xml:space="preserve">Para o processo de </w:t>
      </w:r>
      <w:r w:rsidRPr="0072678C">
        <w:rPr>
          <w:rFonts w:asciiTheme="minorHAnsi" w:hAnsiTheme="minorHAnsi" w:cstheme="minorHAnsi"/>
          <w:b/>
          <w:bCs/>
          <w:i/>
          <w:iCs/>
          <w:sz w:val="22"/>
          <w:szCs w:val="22"/>
        </w:rPr>
        <w:t>planejamento das aquisições e contratações</w:t>
      </w:r>
      <w:r w:rsidRPr="0072678C">
        <w:rPr>
          <w:rFonts w:asciiTheme="minorHAnsi" w:hAnsiTheme="minorHAnsi" w:cstheme="minorHAnsi"/>
          <w:sz w:val="22"/>
          <w:szCs w:val="22"/>
        </w:rPr>
        <w:t xml:space="preserve"> a SEFAZ/SP deverá utilizar a base de dados da NF-e para fins de pesquisa de mercado; e avaliar a satisfação dos usuários com os serviços prestados pela área de compras.</w:t>
      </w:r>
    </w:p>
    <w:p w:rsidR="0052227A" w:rsidRPr="0072678C" w:rsidRDefault="0052227A" w:rsidP="00E6212C">
      <w:pPr>
        <w:jc w:val="both"/>
        <w:rPr>
          <w:rFonts w:asciiTheme="minorHAnsi" w:hAnsiTheme="minorHAnsi" w:cstheme="minorHAnsi"/>
        </w:rPr>
      </w:pPr>
    </w:p>
    <w:p w:rsidR="0052227A" w:rsidRPr="0072678C" w:rsidRDefault="0052227A" w:rsidP="00E6212C">
      <w:pPr>
        <w:jc w:val="both"/>
        <w:rPr>
          <w:rFonts w:asciiTheme="minorHAnsi" w:hAnsiTheme="minorHAnsi" w:cstheme="minorHAnsi"/>
          <w:sz w:val="22"/>
          <w:szCs w:val="22"/>
        </w:rPr>
      </w:pPr>
      <w:r w:rsidRPr="0072678C">
        <w:rPr>
          <w:rFonts w:asciiTheme="minorHAnsi" w:hAnsiTheme="minorHAnsi" w:cstheme="minorHAnsi"/>
          <w:sz w:val="22"/>
          <w:szCs w:val="22"/>
        </w:rPr>
        <w:t xml:space="preserve">No que se refere ao processo de </w:t>
      </w:r>
      <w:r w:rsidRPr="0072678C">
        <w:rPr>
          <w:rFonts w:asciiTheme="minorHAnsi" w:hAnsiTheme="minorHAnsi" w:cstheme="minorHAnsi"/>
          <w:b/>
          <w:bCs/>
          <w:i/>
          <w:iCs/>
          <w:sz w:val="22"/>
          <w:szCs w:val="22"/>
        </w:rPr>
        <w:t>execução das aquisições e contratações</w:t>
      </w:r>
      <w:r w:rsidRPr="0072678C">
        <w:rPr>
          <w:rFonts w:asciiTheme="minorHAnsi" w:hAnsiTheme="minorHAnsi" w:cstheme="minorHAnsi"/>
          <w:sz w:val="22"/>
          <w:szCs w:val="22"/>
        </w:rPr>
        <w:t xml:space="preserve"> apenas um </w:t>
      </w:r>
      <w:r w:rsidR="00CF6E9F" w:rsidRPr="0072678C">
        <w:rPr>
          <w:rFonts w:asciiTheme="minorHAnsi" w:hAnsiTheme="minorHAnsi" w:cstheme="minorHAnsi"/>
          <w:sz w:val="22"/>
          <w:szCs w:val="22"/>
        </w:rPr>
        <w:t>requisito</w:t>
      </w:r>
      <w:r w:rsidRPr="0072678C">
        <w:rPr>
          <w:rFonts w:asciiTheme="minorHAnsi" w:hAnsiTheme="minorHAnsi" w:cstheme="minorHAnsi"/>
          <w:sz w:val="22"/>
          <w:szCs w:val="22"/>
        </w:rPr>
        <w:t xml:space="preserve"> necessita ser implantado para melhorar a maturidade, ou seja, disponibilizar na Internet, pelo menos no mês subsequente à sua conclusão</w:t>
      </w:r>
      <w:r w:rsidR="00123BF6" w:rsidRPr="0072678C">
        <w:rPr>
          <w:rFonts w:asciiTheme="minorHAnsi" w:hAnsiTheme="minorHAnsi" w:cstheme="minorHAnsi"/>
          <w:sz w:val="22"/>
          <w:szCs w:val="22"/>
        </w:rPr>
        <w:t>,</w:t>
      </w:r>
      <w:r w:rsidRPr="0072678C">
        <w:rPr>
          <w:rFonts w:asciiTheme="minorHAnsi" w:hAnsiTheme="minorHAnsi" w:cstheme="minorHAnsi"/>
          <w:sz w:val="22"/>
          <w:szCs w:val="22"/>
        </w:rPr>
        <w:t xml:space="preserve"> os planos anuais de aquisições, cronogramas de aquisições, contratos adjudicados e resoluções de questionamentos.</w:t>
      </w:r>
    </w:p>
    <w:p w:rsidR="0052227A" w:rsidRPr="0072678C" w:rsidRDefault="0052227A" w:rsidP="00E6212C">
      <w:pPr>
        <w:jc w:val="both"/>
        <w:rPr>
          <w:rFonts w:asciiTheme="minorHAnsi" w:hAnsiTheme="minorHAnsi" w:cstheme="minorHAnsi"/>
          <w:sz w:val="22"/>
          <w:szCs w:val="22"/>
        </w:rPr>
      </w:pPr>
    </w:p>
    <w:p w:rsidR="00B061B8" w:rsidRPr="0072678C" w:rsidRDefault="00B061B8" w:rsidP="00E6212C">
      <w:pPr>
        <w:jc w:val="both"/>
        <w:rPr>
          <w:rFonts w:asciiTheme="minorHAnsi" w:hAnsiTheme="minorHAnsi" w:cstheme="minorHAnsi"/>
        </w:rPr>
      </w:pPr>
      <w:r w:rsidRPr="0072678C">
        <w:rPr>
          <w:rFonts w:asciiTheme="minorHAnsi" w:hAnsiTheme="minorHAnsi" w:cstheme="minorHAnsi"/>
          <w:sz w:val="22"/>
          <w:szCs w:val="22"/>
        </w:rPr>
        <w:t xml:space="preserve">O processo de </w:t>
      </w:r>
      <w:r w:rsidRPr="0072678C">
        <w:rPr>
          <w:rFonts w:asciiTheme="minorHAnsi" w:hAnsiTheme="minorHAnsi" w:cstheme="minorHAnsi"/>
          <w:b/>
          <w:bCs/>
          <w:i/>
          <w:iCs/>
          <w:sz w:val="22"/>
          <w:szCs w:val="22"/>
        </w:rPr>
        <w:t>gestão de material de consumo</w:t>
      </w:r>
      <w:r w:rsidRPr="0072678C">
        <w:rPr>
          <w:rFonts w:asciiTheme="minorHAnsi" w:hAnsiTheme="minorHAnsi" w:cstheme="minorHAnsi"/>
          <w:sz w:val="22"/>
          <w:szCs w:val="22"/>
        </w:rPr>
        <w:t xml:space="preserve"> necessita aplicar métodos de controle tais como o sistema de duas gavetas, sistema dos máximos-mínimos, sistema das reposições periódicas e </w:t>
      </w:r>
      <w:r w:rsidRPr="0072678C">
        <w:rPr>
          <w:rFonts w:asciiTheme="minorHAnsi" w:hAnsiTheme="minorHAnsi" w:cstheme="minorHAnsi"/>
          <w:sz w:val="22"/>
          <w:szCs w:val="22"/>
        </w:rPr>
        <w:lastRenderedPageBreak/>
        <w:t>planejamento das necessidades de materiais; e utilizar indicadores de estoque tais como giro ou rotação de estoques, cobertura de estoques e nível de serviço.</w:t>
      </w:r>
    </w:p>
    <w:p w:rsidR="00F13BBB" w:rsidRPr="0072678C" w:rsidRDefault="00F13BBB" w:rsidP="003E2E2B">
      <w:pPr>
        <w:jc w:val="both"/>
        <w:rPr>
          <w:rFonts w:asciiTheme="minorHAnsi" w:hAnsiTheme="minorHAnsi" w:cstheme="minorHAnsi"/>
          <w:sz w:val="22"/>
          <w:szCs w:val="22"/>
        </w:rPr>
      </w:pP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0"/>
        <w:gridCol w:w="1776"/>
        <w:gridCol w:w="884"/>
        <w:gridCol w:w="764"/>
        <w:gridCol w:w="521"/>
      </w:tblGrid>
      <w:tr w:rsidR="00E211C2" w:rsidRPr="0072678C" w:rsidTr="00B306B3">
        <w:trPr>
          <w:trHeight w:val="345"/>
          <w:jc w:val="center"/>
        </w:trPr>
        <w:tc>
          <w:tcPr>
            <w:tcW w:w="4860" w:type="dxa"/>
            <w:vMerge w:val="restart"/>
            <w:shd w:val="clear" w:color="auto" w:fill="C5E0B3" w:themeFill="accent6" w:themeFillTint="66"/>
            <w:noWrap/>
            <w:vAlign w:val="center"/>
            <w:hideMark/>
          </w:tcPr>
          <w:p w:rsidR="00E211C2" w:rsidRPr="0072678C" w:rsidRDefault="00E211C2" w:rsidP="00E211C2">
            <w:pPr>
              <w:jc w:val="both"/>
              <w:rPr>
                <w:rFonts w:asciiTheme="minorHAnsi" w:hAnsiTheme="minorHAnsi" w:cstheme="minorHAnsi"/>
                <w:b/>
                <w:bCs/>
              </w:rPr>
            </w:pPr>
            <w:r w:rsidRPr="0072678C">
              <w:rPr>
                <w:rFonts w:asciiTheme="minorHAnsi" w:hAnsiTheme="minorHAnsi" w:cstheme="minorHAnsi"/>
                <w:b/>
                <w:bCs/>
                <w:sz w:val="22"/>
                <w:szCs w:val="22"/>
              </w:rPr>
              <w:t xml:space="preserve">GF 6. TRANSPARÊNCIA E CIDADANIA FISCAL:  </w:t>
            </w:r>
            <w:r w:rsidRPr="0072678C">
              <w:rPr>
                <w:rFonts w:asciiTheme="minorHAnsi" w:hAnsiTheme="minorHAnsi" w:cstheme="minorHAnsi"/>
                <w:bCs/>
                <w:sz w:val="22"/>
                <w:szCs w:val="22"/>
              </w:rPr>
              <w:t xml:space="preserve">Garante ao cidadão o direito à transparência, </w:t>
            </w:r>
            <w:proofErr w:type="gramStart"/>
            <w:r w:rsidRPr="0072678C">
              <w:rPr>
                <w:rFonts w:asciiTheme="minorHAnsi" w:hAnsiTheme="minorHAnsi" w:cstheme="minorHAnsi"/>
                <w:bCs/>
                <w:sz w:val="22"/>
                <w:szCs w:val="22"/>
              </w:rPr>
              <w:t>mediante  a</w:t>
            </w:r>
            <w:proofErr w:type="gramEnd"/>
            <w:r w:rsidRPr="0072678C">
              <w:rPr>
                <w:rFonts w:asciiTheme="minorHAnsi" w:hAnsiTheme="minorHAnsi" w:cstheme="minorHAnsi"/>
                <w:bCs/>
                <w:sz w:val="22"/>
                <w:szCs w:val="22"/>
              </w:rPr>
              <w:t xml:space="preserve"> disponibilização de informações sobre a origem e aplicação dos recursos públicos, e ao exercício da cidadania, mediante a fiscalização do gasto e da receita pública, para produção de obras e serviços de qualidade</w:t>
            </w:r>
          </w:p>
        </w:tc>
        <w:tc>
          <w:tcPr>
            <w:tcW w:w="1776" w:type="dxa"/>
            <w:vMerge w:val="restart"/>
            <w:shd w:val="clear" w:color="auto" w:fill="C5E0B3" w:themeFill="accent6" w:themeFillTint="66"/>
            <w:noWrap/>
            <w:vAlign w:val="center"/>
            <w:hideMark/>
          </w:tcPr>
          <w:p w:rsidR="00E211C2" w:rsidRPr="0072678C" w:rsidRDefault="00E211C2" w:rsidP="00BC23AF">
            <w:pPr>
              <w:jc w:val="center"/>
              <w:rPr>
                <w:rFonts w:asciiTheme="minorHAnsi" w:hAnsiTheme="minorHAnsi" w:cstheme="minorHAnsi"/>
                <w:b/>
                <w:bCs/>
              </w:rPr>
            </w:pPr>
            <w:r w:rsidRPr="0072678C">
              <w:rPr>
                <w:rFonts w:asciiTheme="minorHAnsi" w:hAnsiTheme="minorHAnsi" w:cstheme="minorHAnsi"/>
                <w:b/>
                <w:bCs/>
                <w:sz w:val="22"/>
                <w:szCs w:val="22"/>
              </w:rPr>
              <w:t>Maturidade</w:t>
            </w:r>
          </w:p>
        </w:tc>
        <w:tc>
          <w:tcPr>
            <w:tcW w:w="2169" w:type="dxa"/>
            <w:gridSpan w:val="3"/>
            <w:shd w:val="clear" w:color="auto" w:fill="C5E0B3" w:themeFill="accent6" w:themeFillTint="66"/>
            <w:vAlign w:val="center"/>
          </w:tcPr>
          <w:p w:rsidR="00E211C2" w:rsidRPr="0072678C" w:rsidRDefault="00E211C2" w:rsidP="00BC23AF">
            <w:pPr>
              <w:jc w:val="center"/>
              <w:rPr>
                <w:rFonts w:asciiTheme="minorHAnsi" w:hAnsiTheme="minorHAnsi" w:cstheme="minorHAnsi"/>
                <w:b/>
              </w:rPr>
            </w:pPr>
            <w:r w:rsidRPr="0072678C">
              <w:rPr>
                <w:rFonts w:asciiTheme="minorHAnsi" w:hAnsiTheme="minorHAnsi" w:cstheme="minorHAnsi"/>
                <w:b/>
                <w:sz w:val="22"/>
                <w:szCs w:val="22"/>
              </w:rPr>
              <w:t xml:space="preserve">Pontuação </w:t>
            </w:r>
          </w:p>
        </w:tc>
      </w:tr>
      <w:tr w:rsidR="00E211C2" w:rsidRPr="0072678C" w:rsidTr="00B306B3">
        <w:trPr>
          <w:trHeight w:val="345"/>
          <w:jc w:val="center"/>
        </w:trPr>
        <w:tc>
          <w:tcPr>
            <w:tcW w:w="4860" w:type="dxa"/>
            <w:vMerge/>
            <w:shd w:val="clear" w:color="auto" w:fill="C5E0B3" w:themeFill="accent6" w:themeFillTint="66"/>
            <w:noWrap/>
            <w:vAlign w:val="bottom"/>
            <w:hideMark/>
          </w:tcPr>
          <w:p w:rsidR="00E211C2" w:rsidRPr="0072678C" w:rsidRDefault="00E211C2" w:rsidP="00BC23AF">
            <w:pPr>
              <w:rPr>
                <w:rFonts w:asciiTheme="minorHAnsi" w:hAnsiTheme="minorHAnsi" w:cstheme="minorHAnsi"/>
                <w:b/>
                <w:bCs/>
              </w:rPr>
            </w:pPr>
          </w:p>
        </w:tc>
        <w:tc>
          <w:tcPr>
            <w:tcW w:w="1776" w:type="dxa"/>
            <w:vMerge/>
            <w:shd w:val="clear" w:color="auto" w:fill="C5E0B3" w:themeFill="accent6" w:themeFillTint="66"/>
            <w:noWrap/>
            <w:vAlign w:val="bottom"/>
            <w:hideMark/>
          </w:tcPr>
          <w:p w:rsidR="00E211C2" w:rsidRPr="0072678C" w:rsidRDefault="00E211C2" w:rsidP="00BC23AF">
            <w:pPr>
              <w:jc w:val="center"/>
              <w:rPr>
                <w:rFonts w:asciiTheme="minorHAnsi" w:hAnsiTheme="minorHAnsi" w:cstheme="minorHAnsi"/>
                <w:b/>
                <w:bCs/>
              </w:rPr>
            </w:pPr>
          </w:p>
        </w:tc>
        <w:tc>
          <w:tcPr>
            <w:tcW w:w="884" w:type="dxa"/>
            <w:shd w:val="clear" w:color="auto" w:fill="C5E0B3" w:themeFill="accent6" w:themeFillTint="66"/>
            <w:vAlign w:val="center"/>
          </w:tcPr>
          <w:p w:rsidR="00E211C2" w:rsidRPr="0072678C" w:rsidRDefault="00E211C2" w:rsidP="00BC23AF">
            <w:pPr>
              <w:jc w:val="center"/>
              <w:rPr>
                <w:rFonts w:asciiTheme="minorHAnsi" w:hAnsiTheme="minorHAnsi" w:cstheme="minorHAnsi"/>
                <w:b/>
              </w:rPr>
            </w:pPr>
            <w:r w:rsidRPr="0072678C">
              <w:rPr>
                <w:rFonts w:asciiTheme="minorHAnsi" w:hAnsiTheme="minorHAnsi" w:cstheme="minorHAnsi"/>
                <w:b/>
                <w:sz w:val="22"/>
                <w:szCs w:val="22"/>
              </w:rPr>
              <w:t>Máxima</w:t>
            </w:r>
          </w:p>
        </w:tc>
        <w:tc>
          <w:tcPr>
            <w:tcW w:w="764" w:type="dxa"/>
            <w:shd w:val="clear" w:color="auto" w:fill="C5E0B3" w:themeFill="accent6" w:themeFillTint="66"/>
            <w:vAlign w:val="center"/>
          </w:tcPr>
          <w:p w:rsidR="00E211C2" w:rsidRPr="0072678C" w:rsidRDefault="00E211C2" w:rsidP="00BC23AF">
            <w:pPr>
              <w:jc w:val="center"/>
              <w:rPr>
                <w:rFonts w:asciiTheme="minorHAnsi" w:hAnsiTheme="minorHAnsi" w:cstheme="minorHAnsi"/>
                <w:b/>
              </w:rPr>
            </w:pPr>
            <w:r w:rsidRPr="0072678C">
              <w:rPr>
                <w:rFonts w:asciiTheme="minorHAnsi" w:hAnsiTheme="minorHAnsi" w:cstheme="minorHAnsi"/>
                <w:b/>
                <w:sz w:val="22"/>
                <w:szCs w:val="22"/>
              </w:rPr>
              <w:t>Obtida</w:t>
            </w:r>
          </w:p>
        </w:tc>
        <w:tc>
          <w:tcPr>
            <w:tcW w:w="521" w:type="dxa"/>
            <w:shd w:val="clear" w:color="auto" w:fill="C5E0B3" w:themeFill="accent6" w:themeFillTint="66"/>
            <w:vAlign w:val="center"/>
          </w:tcPr>
          <w:p w:rsidR="00E211C2" w:rsidRPr="0072678C" w:rsidRDefault="00E211C2" w:rsidP="00BC23AF">
            <w:pPr>
              <w:jc w:val="center"/>
              <w:rPr>
                <w:rFonts w:asciiTheme="minorHAnsi" w:hAnsiTheme="minorHAnsi" w:cstheme="minorHAnsi"/>
                <w:b/>
              </w:rPr>
            </w:pPr>
            <w:r w:rsidRPr="0072678C">
              <w:rPr>
                <w:rFonts w:asciiTheme="minorHAnsi" w:hAnsiTheme="minorHAnsi" w:cstheme="minorHAnsi"/>
                <w:b/>
                <w:sz w:val="22"/>
                <w:szCs w:val="22"/>
              </w:rPr>
              <w:t>%</w:t>
            </w:r>
          </w:p>
        </w:tc>
      </w:tr>
      <w:tr w:rsidR="00E211C2" w:rsidRPr="0072678C" w:rsidTr="00B306B3">
        <w:trPr>
          <w:trHeight w:val="345"/>
          <w:jc w:val="center"/>
        </w:trPr>
        <w:tc>
          <w:tcPr>
            <w:tcW w:w="4860" w:type="dxa"/>
            <w:vMerge/>
            <w:tcBorders>
              <w:bottom w:val="single" w:sz="4" w:space="0" w:color="auto"/>
            </w:tcBorders>
            <w:shd w:val="clear" w:color="auto" w:fill="auto"/>
            <w:noWrap/>
            <w:vAlign w:val="center"/>
            <w:hideMark/>
          </w:tcPr>
          <w:p w:rsidR="00E211C2" w:rsidRPr="0072678C" w:rsidRDefault="00E211C2" w:rsidP="00B16094">
            <w:pPr>
              <w:ind w:firstLineChars="200" w:firstLine="480"/>
              <w:jc w:val="center"/>
              <w:rPr>
                <w:rFonts w:ascii="Calibri" w:hAnsi="Calibri" w:cs="Calibri"/>
              </w:rPr>
            </w:pPr>
          </w:p>
        </w:tc>
        <w:tc>
          <w:tcPr>
            <w:tcW w:w="1776" w:type="dxa"/>
            <w:tcBorders>
              <w:top w:val="single" w:sz="4" w:space="0" w:color="auto"/>
              <w:bottom w:val="single" w:sz="4" w:space="0" w:color="auto"/>
              <w:right w:val="single" w:sz="4" w:space="0" w:color="auto"/>
            </w:tcBorders>
            <w:shd w:val="clear" w:color="auto" w:fill="auto"/>
            <w:noWrap/>
            <w:vAlign w:val="center"/>
            <w:hideMark/>
          </w:tcPr>
          <w:p w:rsidR="00E211C2" w:rsidRPr="0072678C" w:rsidRDefault="00E211C2" w:rsidP="00123BF6">
            <w:pPr>
              <w:jc w:val="center"/>
              <w:rPr>
                <w:rFonts w:asciiTheme="minorHAnsi" w:hAnsiTheme="minorHAnsi" w:cstheme="minorHAnsi"/>
                <w:b/>
                <w:bCs/>
              </w:rPr>
            </w:pPr>
            <w:r w:rsidRPr="0072678C">
              <w:rPr>
                <w:rFonts w:asciiTheme="minorHAnsi" w:hAnsiTheme="minorHAnsi" w:cstheme="minorHAnsi"/>
                <w:b/>
                <w:bCs/>
                <w:sz w:val="22"/>
                <w:szCs w:val="22"/>
              </w:rPr>
              <w:t>AVANÇADO (-)</w:t>
            </w:r>
          </w:p>
        </w:tc>
        <w:tc>
          <w:tcPr>
            <w:tcW w:w="884" w:type="dxa"/>
            <w:tcBorders>
              <w:top w:val="single" w:sz="4" w:space="0" w:color="auto"/>
              <w:left w:val="single" w:sz="4" w:space="0" w:color="auto"/>
              <w:bottom w:val="single" w:sz="4" w:space="0" w:color="auto"/>
              <w:right w:val="single" w:sz="4" w:space="0" w:color="auto"/>
            </w:tcBorders>
            <w:vAlign w:val="center"/>
          </w:tcPr>
          <w:p w:rsidR="00E211C2" w:rsidRPr="0072678C" w:rsidRDefault="00E211C2" w:rsidP="00123BF6">
            <w:pPr>
              <w:jc w:val="center"/>
              <w:rPr>
                <w:rFonts w:ascii="Calibri" w:hAnsi="Calibri" w:cs="Calibri"/>
              </w:rPr>
            </w:pPr>
            <w:r w:rsidRPr="0072678C">
              <w:rPr>
                <w:rFonts w:ascii="Calibri" w:hAnsi="Calibri" w:cs="Calibri"/>
                <w:sz w:val="22"/>
                <w:szCs w:val="22"/>
              </w:rPr>
              <w:t>21</w:t>
            </w:r>
          </w:p>
        </w:tc>
        <w:tc>
          <w:tcPr>
            <w:tcW w:w="764" w:type="dxa"/>
            <w:tcBorders>
              <w:top w:val="single" w:sz="4" w:space="0" w:color="auto"/>
              <w:left w:val="single" w:sz="4" w:space="0" w:color="auto"/>
              <w:bottom w:val="single" w:sz="4" w:space="0" w:color="auto"/>
              <w:right w:val="single" w:sz="4" w:space="0" w:color="auto"/>
            </w:tcBorders>
            <w:vAlign w:val="center"/>
          </w:tcPr>
          <w:p w:rsidR="00E211C2" w:rsidRPr="0072678C" w:rsidRDefault="00E211C2" w:rsidP="00123BF6">
            <w:pPr>
              <w:jc w:val="center"/>
              <w:rPr>
                <w:rFonts w:ascii="Calibri" w:hAnsi="Calibri" w:cs="Calibri"/>
              </w:rPr>
            </w:pPr>
            <w:r w:rsidRPr="0072678C">
              <w:rPr>
                <w:rFonts w:ascii="Calibri" w:hAnsi="Calibri" w:cs="Calibri"/>
                <w:sz w:val="22"/>
                <w:szCs w:val="22"/>
              </w:rPr>
              <w:t>17</w:t>
            </w:r>
          </w:p>
        </w:tc>
        <w:tc>
          <w:tcPr>
            <w:tcW w:w="521" w:type="dxa"/>
            <w:tcBorders>
              <w:top w:val="single" w:sz="4" w:space="0" w:color="auto"/>
              <w:left w:val="single" w:sz="4" w:space="0" w:color="auto"/>
              <w:bottom w:val="single" w:sz="4" w:space="0" w:color="auto"/>
              <w:right w:val="single" w:sz="4" w:space="0" w:color="auto"/>
            </w:tcBorders>
            <w:vAlign w:val="center"/>
          </w:tcPr>
          <w:p w:rsidR="00E211C2" w:rsidRPr="0072678C" w:rsidRDefault="00E211C2" w:rsidP="00123BF6">
            <w:pPr>
              <w:jc w:val="center"/>
              <w:rPr>
                <w:rFonts w:ascii="Calibri" w:hAnsi="Calibri" w:cs="Calibri"/>
              </w:rPr>
            </w:pPr>
            <w:r w:rsidRPr="0072678C">
              <w:rPr>
                <w:rFonts w:ascii="Calibri" w:hAnsi="Calibri" w:cs="Calibri"/>
                <w:sz w:val="22"/>
                <w:szCs w:val="22"/>
              </w:rPr>
              <w:t>81%</w:t>
            </w:r>
          </w:p>
        </w:tc>
      </w:tr>
    </w:tbl>
    <w:p w:rsidR="00B52A36" w:rsidRPr="0072678C" w:rsidRDefault="00B52A36"/>
    <w:p w:rsidR="002F20C8" w:rsidRPr="0072678C" w:rsidRDefault="002F20C8" w:rsidP="002F20C8">
      <w:pPr>
        <w:jc w:val="both"/>
        <w:rPr>
          <w:rFonts w:asciiTheme="minorHAnsi" w:hAnsiTheme="minorHAnsi" w:cstheme="minorHAnsi"/>
          <w:sz w:val="22"/>
          <w:szCs w:val="22"/>
        </w:rPr>
      </w:pPr>
      <w:r w:rsidRPr="0072678C">
        <w:rPr>
          <w:rFonts w:asciiTheme="minorHAnsi" w:hAnsiTheme="minorHAnsi" w:cstheme="minorHAnsi"/>
          <w:sz w:val="22"/>
          <w:szCs w:val="22"/>
        </w:rPr>
        <w:t xml:space="preserve">Também com nível de maturidade avançado (-) ainda será necessário implantar alguns </w:t>
      </w:r>
      <w:r w:rsidR="00CF6E9F" w:rsidRPr="0072678C">
        <w:rPr>
          <w:rFonts w:asciiTheme="minorHAnsi" w:hAnsiTheme="minorHAnsi" w:cstheme="minorHAnsi"/>
          <w:sz w:val="22"/>
          <w:szCs w:val="22"/>
        </w:rPr>
        <w:t>requisitos</w:t>
      </w:r>
      <w:r w:rsidRPr="0072678C">
        <w:rPr>
          <w:rFonts w:asciiTheme="minorHAnsi" w:hAnsiTheme="minorHAnsi" w:cstheme="minorHAnsi"/>
          <w:sz w:val="22"/>
          <w:szCs w:val="22"/>
        </w:rPr>
        <w:t xml:space="preserve"> de boas práticas em pelo menos 4 processo desta dimensão. </w:t>
      </w:r>
    </w:p>
    <w:p w:rsidR="002F20C8" w:rsidRPr="0072678C" w:rsidRDefault="002F20C8" w:rsidP="006B4984">
      <w:pPr>
        <w:jc w:val="both"/>
        <w:rPr>
          <w:rFonts w:asciiTheme="minorHAnsi" w:hAnsiTheme="minorHAnsi" w:cstheme="minorHAnsi"/>
          <w:sz w:val="22"/>
          <w:szCs w:val="22"/>
        </w:rPr>
      </w:pPr>
    </w:p>
    <w:p w:rsidR="006B4984" w:rsidRPr="0072678C" w:rsidRDefault="006B4984" w:rsidP="006B4984">
      <w:pPr>
        <w:jc w:val="both"/>
        <w:rPr>
          <w:rFonts w:asciiTheme="minorHAnsi" w:hAnsiTheme="minorHAnsi" w:cstheme="minorHAnsi"/>
          <w:sz w:val="22"/>
          <w:szCs w:val="22"/>
        </w:rPr>
      </w:pPr>
      <w:r w:rsidRPr="0072678C">
        <w:rPr>
          <w:rFonts w:asciiTheme="minorHAnsi" w:hAnsiTheme="minorHAnsi" w:cstheme="minorHAnsi"/>
          <w:sz w:val="22"/>
          <w:szCs w:val="22"/>
        </w:rPr>
        <w:t xml:space="preserve">No que se refere ao processo de </w:t>
      </w:r>
      <w:r w:rsidRPr="0072678C">
        <w:rPr>
          <w:rFonts w:asciiTheme="minorHAnsi" w:hAnsiTheme="minorHAnsi" w:cstheme="minorHAnsi"/>
          <w:b/>
          <w:bCs/>
          <w:i/>
          <w:iCs/>
          <w:sz w:val="22"/>
          <w:szCs w:val="22"/>
        </w:rPr>
        <w:t xml:space="preserve">acesso do público às informações essenciais </w:t>
      </w:r>
      <w:r w:rsidRPr="0072678C">
        <w:rPr>
          <w:rFonts w:asciiTheme="minorHAnsi" w:hAnsiTheme="minorHAnsi" w:cstheme="minorHAnsi"/>
          <w:sz w:val="22"/>
          <w:szCs w:val="22"/>
        </w:rPr>
        <w:t>a SEFAZ/SP deverá</w:t>
      </w:r>
      <w:r w:rsidRPr="0072678C">
        <w:rPr>
          <w:rFonts w:asciiTheme="minorHAnsi" w:hAnsiTheme="minorHAnsi" w:cstheme="minorHAnsi"/>
          <w:b/>
          <w:bCs/>
          <w:i/>
          <w:iCs/>
          <w:sz w:val="22"/>
          <w:szCs w:val="22"/>
        </w:rPr>
        <w:t xml:space="preserve"> </w:t>
      </w:r>
      <w:r w:rsidRPr="0072678C">
        <w:rPr>
          <w:rFonts w:asciiTheme="minorHAnsi" w:hAnsiTheme="minorHAnsi" w:cstheme="minorHAnsi"/>
          <w:sz w:val="22"/>
          <w:szCs w:val="22"/>
        </w:rPr>
        <w:t>publicar as informações relativas ao resultado de inspeções, auditorias, prestações e tomadas de contas realizadas pelos órgãos de controle interno e externo, incluindo prestações de contas relativas a exercícios anteriores; e publicar as informações relativas à implementação, acompanhamento e resultados dos programas, projetos e ações dos órgãos e entidades públicas, bem como metas e indicadores propostos.</w:t>
      </w:r>
    </w:p>
    <w:p w:rsidR="006B4984" w:rsidRPr="0072678C" w:rsidRDefault="006B4984" w:rsidP="00DA155E">
      <w:pPr>
        <w:rPr>
          <w:rFonts w:asciiTheme="minorHAnsi" w:hAnsiTheme="minorHAnsi" w:cstheme="minorHAnsi"/>
          <w:sz w:val="22"/>
          <w:szCs w:val="22"/>
        </w:rPr>
      </w:pPr>
    </w:p>
    <w:p w:rsidR="006B4984" w:rsidRPr="0072678C" w:rsidRDefault="006B4984" w:rsidP="00B749F6">
      <w:pPr>
        <w:jc w:val="both"/>
        <w:rPr>
          <w:rFonts w:asciiTheme="minorHAnsi" w:hAnsiTheme="minorHAnsi" w:cstheme="minorHAnsi"/>
          <w:sz w:val="22"/>
          <w:szCs w:val="22"/>
        </w:rPr>
      </w:pPr>
      <w:r w:rsidRPr="0072678C">
        <w:rPr>
          <w:rFonts w:asciiTheme="minorHAnsi" w:hAnsiTheme="minorHAnsi" w:cstheme="minorHAnsi"/>
          <w:sz w:val="22"/>
          <w:szCs w:val="22"/>
        </w:rPr>
        <w:t>Para melhoria do</w:t>
      </w:r>
      <w:r w:rsidR="002F20C8" w:rsidRPr="0072678C">
        <w:rPr>
          <w:rFonts w:asciiTheme="minorHAnsi" w:hAnsiTheme="minorHAnsi" w:cstheme="minorHAnsi"/>
          <w:sz w:val="22"/>
          <w:szCs w:val="22"/>
        </w:rPr>
        <w:t xml:space="preserve">s </w:t>
      </w:r>
      <w:r w:rsidRPr="0072678C">
        <w:rPr>
          <w:rFonts w:asciiTheme="minorHAnsi" w:hAnsiTheme="minorHAnsi" w:cstheme="minorHAnsi"/>
          <w:b/>
          <w:bCs/>
          <w:i/>
          <w:iCs/>
          <w:sz w:val="22"/>
          <w:szCs w:val="22"/>
        </w:rPr>
        <w:t xml:space="preserve">relatórios fiscais, </w:t>
      </w:r>
      <w:r w:rsidRPr="0072678C">
        <w:rPr>
          <w:rFonts w:asciiTheme="minorHAnsi" w:hAnsiTheme="minorHAnsi" w:cstheme="minorHAnsi"/>
          <w:sz w:val="22"/>
          <w:szCs w:val="22"/>
        </w:rPr>
        <w:t xml:space="preserve">que demonstrou ser um dos </w:t>
      </w:r>
      <w:r w:rsidR="00FE170B" w:rsidRPr="0072678C">
        <w:rPr>
          <w:rFonts w:asciiTheme="minorHAnsi" w:hAnsiTheme="minorHAnsi" w:cstheme="minorHAnsi"/>
          <w:sz w:val="22"/>
          <w:szCs w:val="22"/>
        </w:rPr>
        <w:t xml:space="preserve">processos com maior fragilidade </w:t>
      </w:r>
      <w:r w:rsidRPr="0072678C">
        <w:rPr>
          <w:rFonts w:asciiTheme="minorHAnsi" w:hAnsiTheme="minorHAnsi" w:cstheme="minorHAnsi"/>
          <w:sz w:val="22"/>
          <w:szCs w:val="22"/>
        </w:rPr>
        <w:t>nesta dimensão, será necessário contemplar todos os órgãos do Estado envolvidos em atividade fiscal e todos os saldos, ativos e passivos, e fluxos de receitas, despesas, financiamento e outros fluxos requeridos por um regime de competência</w:t>
      </w:r>
      <w:r w:rsidR="00B749F6" w:rsidRPr="0072678C">
        <w:rPr>
          <w:rFonts w:asciiTheme="minorHAnsi" w:hAnsiTheme="minorHAnsi" w:cstheme="minorHAnsi"/>
          <w:sz w:val="22"/>
          <w:szCs w:val="22"/>
        </w:rPr>
        <w:t>; contemplar a</w:t>
      </w:r>
      <w:r w:rsidRPr="0072678C">
        <w:rPr>
          <w:rFonts w:asciiTheme="minorHAnsi" w:hAnsiTheme="minorHAnsi" w:cstheme="minorHAnsi"/>
          <w:sz w:val="22"/>
          <w:szCs w:val="22"/>
        </w:rPr>
        <w:t xml:space="preserve"> renúncia fiscal estimada por imposto e setor, ou seja o gasto tributário</w:t>
      </w:r>
      <w:r w:rsidR="00B749F6" w:rsidRPr="0072678C">
        <w:rPr>
          <w:rFonts w:asciiTheme="minorHAnsi" w:hAnsiTheme="minorHAnsi" w:cstheme="minorHAnsi"/>
          <w:sz w:val="22"/>
          <w:szCs w:val="22"/>
        </w:rPr>
        <w:t xml:space="preserve">; demonstrar </w:t>
      </w:r>
      <w:r w:rsidRPr="0072678C">
        <w:rPr>
          <w:rFonts w:asciiTheme="minorHAnsi" w:hAnsiTheme="minorHAnsi" w:cstheme="minorHAnsi"/>
          <w:sz w:val="22"/>
          <w:szCs w:val="22"/>
        </w:rPr>
        <w:t>as reconciliações de qualquer discrepância dentro e entre os seus conteúdos</w:t>
      </w:r>
      <w:r w:rsidR="00B749F6" w:rsidRPr="0072678C">
        <w:rPr>
          <w:rFonts w:asciiTheme="minorHAnsi" w:hAnsiTheme="minorHAnsi" w:cstheme="minorHAnsi"/>
          <w:sz w:val="22"/>
          <w:szCs w:val="22"/>
        </w:rPr>
        <w:t xml:space="preserve">; apresentar </w:t>
      </w:r>
      <w:r w:rsidRPr="0072678C">
        <w:rPr>
          <w:rFonts w:asciiTheme="minorHAnsi" w:hAnsiTheme="minorHAnsi" w:cstheme="minorHAnsi"/>
          <w:sz w:val="22"/>
          <w:szCs w:val="22"/>
        </w:rPr>
        <w:t>revisões históricas das estatísticas fiscais evidenciando as mudanças metodológicas</w:t>
      </w:r>
      <w:r w:rsidR="00B749F6" w:rsidRPr="0072678C">
        <w:rPr>
          <w:rFonts w:asciiTheme="minorHAnsi" w:hAnsiTheme="minorHAnsi" w:cstheme="minorHAnsi"/>
          <w:sz w:val="22"/>
          <w:szCs w:val="22"/>
        </w:rPr>
        <w:t xml:space="preserve">; apresentar </w:t>
      </w:r>
      <w:r w:rsidRPr="0072678C">
        <w:rPr>
          <w:rFonts w:asciiTheme="minorHAnsi" w:hAnsiTheme="minorHAnsi" w:cstheme="minorHAnsi"/>
          <w:sz w:val="22"/>
          <w:szCs w:val="22"/>
        </w:rPr>
        <w:t>estatísticas fiscais de acordo com o Manual de Contabilidade Aplicada ao Setor Público (MCASP) e com as normas internacionais</w:t>
      </w:r>
      <w:r w:rsidR="00B749F6" w:rsidRPr="0072678C">
        <w:rPr>
          <w:rFonts w:asciiTheme="minorHAnsi" w:hAnsiTheme="minorHAnsi" w:cstheme="minorHAnsi"/>
          <w:sz w:val="22"/>
          <w:szCs w:val="22"/>
        </w:rPr>
        <w:t xml:space="preserve">; incluir </w:t>
      </w:r>
      <w:r w:rsidRPr="0072678C">
        <w:rPr>
          <w:rFonts w:asciiTheme="minorHAnsi" w:hAnsiTheme="minorHAnsi" w:cstheme="minorHAnsi"/>
          <w:sz w:val="22"/>
          <w:szCs w:val="22"/>
        </w:rPr>
        <w:t>demonstrativos elaborados por entidade independente, no caso das estatísticas fiscais, ou auditados por órgão independente de auditoria, no caso das contas</w:t>
      </w:r>
      <w:r w:rsidR="00B749F6" w:rsidRPr="0072678C">
        <w:rPr>
          <w:rFonts w:asciiTheme="minorHAnsi" w:hAnsiTheme="minorHAnsi" w:cstheme="minorHAnsi"/>
          <w:sz w:val="22"/>
          <w:szCs w:val="22"/>
        </w:rPr>
        <w:t>.</w:t>
      </w:r>
    </w:p>
    <w:p w:rsidR="00B749F6" w:rsidRPr="0072678C" w:rsidRDefault="00B749F6" w:rsidP="00DA155E">
      <w:pPr>
        <w:rPr>
          <w:rFonts w:asciiTheme="minorHAnsi" w:hAnsiTheme="minorHAnsi" w:cstheme="minorHAnsi"/>
          <w:sz w:val="22"/>
          <w:szCs w:val="22"/>
        </w:rPr>
      </w:pPr>
    </w:p>
    <w:p w:rsidR="00B749F6" w:rsidRPr="0072678C" w:rsidRDefault="002F20C8" w:rsidP="00D54902">
      <w:pPr>
        <w:jc w:val="both"/>
        <w:rPr>
          <w:rFonts w:asciiTheme="minorHAnsi" w:hAnsiTheme="minorHAnsi" w:cstheme="minorHAnsi"/>
        </w:rPr>
      </w:pPr>
      <w:r w:rsidRPr="0072678C">
        <w:rPr>
          <w:rFonts w:asciiTheme="minorHAnsi" w:hAnsiTheme="minorHAnsi" w:cstheme="minorHAnsi"/>
          <w:sz w:val="22"/>
          <w:szCs w:val="22"/>
        </w:rPr>
        <w:t xml:space="preserve">Com relação a educação fiscal, a </w:t>
      </w:r>
      <w:r w:rsidR="00B749F6" w:rsidRPr="0072678C">
        <w:rPr>
          <w:rFonts w:asciiTheme="minorHAnsi" w:hAnsiTheme="minorHAnsi" w:cstheme="minorHAnsi"/>
          <w:b/>
          <w:bCs/>
          <w:i/>
          <w:iCs/>
          <w:sz w:val="22"/>
          <w:szCs w:val="22"/>
        </w:rPr>
        <w:t xml:space="preserve">formalização, a sensibilização e a capacitação </w:t>
      </w:r>
      <w:r w:rsidRPr="0072678C">
        <w:rPr>
          <w:rFonts w:asciiTheme="minorHAnsi" w:hAnsiTheme="minorHAnsi" w:cstheme="minorHAnsi"/>
          <w:sz w:val="22"/>
          <w:szCs w:val="22"/>
        </w:rPr>
        <w:t xml:space="preserve">deveria </w:t>
      </w:r>
      <w:r w:rsidR="00D54902" w:rsidRPr="0072678C">
        <w:rPr>
          <w:rFonts w:asciiTheme="minorHAnsi" w:hAnsiTheme="minorHAnsi" w:cstheme="minorHAnsi"/>
          <w:sz w:val="22"/>
          <w:szCs w:val="22"/>
        </w:rPr>
        <w:t xml:space="preserve">constar no </w:t>
      </w:r>
      <w:r w:rsidR="00B749F6" w:rsidRPr="0072678C">
        <w:rPr>
          <w:rFonts w:asciiTheme="minorHAnsi" w:hAnsiTheme="minorHAnsi" w:cstheme="minorHAnsi"/>
          <w:sz w:val="22"/>
          <w:szCs w:val="22"/>
        </w:rPr>
        <w:t xml:space="preserve">Plano Estadual de Educação </w:t>
      </w:r>
    </w:p>
    <w:p w:rsidR="00D54902" w:rsidRPr="0072678C" w:rsidRDefault="00D54902" w:rsidP="00D54902">
      <w:pPr>
        <w:jc w:val="both"/>
        <w:rPr>
          <w:rFonts w:asciiTheme="minorHAnsi" w:hAnsiTheme="minorHAnsi" w:cstheme="minorHAnsi"/>
          <w:sz w:val="22"/>
          <w:szCs w:val="22"/>
        </w:rPr>
      </w:pPr>
    </w:p>
    <w:p w:rsidR="00B749F6" w:rsidRPr="0072678C" w:rsidRDefault="00B749F6" w:rsidP="00D54902">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 xml:space="preserve">programa de incentivo à emissão de documentos fiscais eletrônicos </w:t>
      </w:r>
      <w:r w:rsidR="00D54902" w:rsidRPr="0072678C">
        <w:rPr>
          <w:rFonts w:asciiTheme="minorHAnsi" w:hAnsiTheme="minorHAnsi" w:cstheme="minorHAnsi"/>
          <w:sz w:val="22"/>
          <w:szCs w:val="22"/>
        </w:rPr>
        <w:t xml:space="preserve">necessita dispor de </w:t>
      </w:r>
      <w:r w:rsidRPr="0072678C">
        <w:rPr>
          <w:rFonts w:asciiTheme="minorHAnsi" w:hAnsiTheme="minorHAnsi" w:cstheme="minorHAnsi"/>
          <w:sz w:val="22"/>
          <w:szCs w:val="22"/>
        </w:rPr>
        <w:t>sistema de controle integralmente automatizado com trilha de auditoria</w:t>
      </w:r>
      <w:r w:rsidR="00B03CD0" w:rsidRPr="0072678C">
        <w:rPr>
          <w:rFonts w:asciiTheme="minorHAnsi" w:hAnsiTheme="minorHAnsi" w:cstheme="minorHAnsi"/>
          <w:sz w:val="22"/>
          <w:szCs w:val="22"/>
        </w:rPr>
        <w:t>.</w:t>
      </w:r>
    </w:p>
    <w:p w:rsidR="00DA155E" w:rsidRPr="0072678C" w:rsidRDefault="00DA155E" w:rsidP="00D54902">
      <w:pPr>
        <w:jc w:val="both"/>
        <w:rPr>
          <w:rFonts w:asciiTheme="minorHAnsi" w:hAnsiTheme="minorHAnsi" w:cstheme="minorHAnsi"/>
          <w:sz w:val="22"/>
          <w:szCs w:val="22"/>
        </w:rPr>
      </w:pPr>
    </w:p>
    <w:p w:rsidR="008C6E71" w:rsidRPr="0072678C" w:rsidRDefault="00834293" w:rsidP="00A47804">
      <w:pPr>
        <w:pStyle w:val="Heading1"/>
        <w:rPr>
          <w:rFonts w:asciiTheme="minorHAnsi" w:hAnsiTheme="minorHAnsi" w:cstheme="minorHAnsi"/>
          <w:b/>
          <w:color w:val="auto"/>
          <w:sz w:val="24"/>
          <w:szCs w:val="24"/>
        </w:rPr>
      </w:pPr>
      <w:bookmarkStart w:id="12" w:name="_Toc518058451"/>
      <w:r w:rsidRPr="0072678C">
        <w:rPr>
          <w:rFonts w:asciiTheme="minorHAnsi" w:hAnsiTheme="minorHAnsi" w:cstheme="minorHAnsi"/>
          <w:b/>
          <w:color w:val="auto"/>
          <w:sz w:val="24"/>
          <w:szCs w:val="24"/>
        </w:rPr>
        <w:t xml:space="preserve">2 - </w:t>
      </w:r>
      <w:r w:rsidR="008C6E71" w:rsidRPr="0072678C">
        <w:rPr>
          <w:rFonts w:asciiTheme="minorHAnsi" w:hAnsiTheme="minorHAnsi" w:cstheme="minorHAnsi"/>
          <w:b/>
          <w:color w:val="auto"/>
          <w:sz w:val="24"/>
          <w:szCs w:val="24"/>
        </w:rPr>
        <w:t>Eixo II- Administração Tributária e Contencioso Fiscal</w:t>
      </w:r>
      <w:bookmarkEnd w:id="12"/>
    </w:p>
    <w:p w:rsidR="00A47804" w:rsidRPr="0072678C" w:rsidRDefault="00A47804" w:rsidP="00A47804">
      <w:pPr>
        <w:pStyle w:val="Heading1"/>
        <w:rPr>
          <w:rFonts w:asciiTheme="minorHAnsi" w:hAnsiTheme="minorHAnsi" w:cstheme="minorHAnsi"/>
          <w:b/>
          <w:color w:val="auto"/>
          <w:sz w:val="22"/>
          <w:szCs w:val="22"/>
        </w:rPr>
      </w:pPr>
      <w:bookmarkStart w:id="13" w:name="_Toc518058452"/>
      <w:r w:rsidRPr="0072678C">
        <w:rPr>
          <w:rFonts w:asciiTheme="minorHAnsi" w:hAnsiTheme="minorHAnsi" w:cstheme="minorHAnsi"/>
          <w:b/>
          <w:color w:val="auto"/>
          <w:sz w:val="22"/>
          <w:szCs w:val="22"/>
        </w:rPr>
        <w:t>2.1 - Visão Geral da Maturidade dos Processos</w:t>
      </w:r>
      <w:bookmarkEnd w:id="13"/>
    </w:p>
    <w:p w:rsidR="008C6E71" w:rsidRPr="0072678C" w:rsidRDefault="00C57554" w:rsidP="008C6E71">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 dimensão </w:t>
      </w:r>
      <w:r w:rsidRPr="0072678C">
        <w:rPr>
          <w:rFonts w:asciiTheme="minorHAnsi" w:hAnsiTheme="minorHAnsi" w:cstheme="minorHAnsi"/>
          <w:b/>
          <w:sz w:val="22"/>
          <w:szCs w:val="22"/>
        </w:rPr>
        <w:t xml:space="preserve">AT 2. </w:t>
      </w:r>
      <w:proofErr w:type="gramStart"/>
      <w:r w:rsidRPr="0072678C">
        <w:rPr>
          <w:rFonts w:asciiTheme="minorHAnsi" w:hAnsiTheme="minorHAnsi" w:cstheme="minorHAnsi"/>
          <w:b/>
          <w:sz w:val="22"/>
          <w:szCs w:val="22"/>
        </w:rPr>
        <w:t>Cadastro e Obrigação Tributária</w:t>
      </w:r>
      <w:proofErr w:type="gramEnd"/>
      <w:r w:rsidRPr="0072678C">
        <w:rPr>
          <w:rFonts w:asciiTheme="minorHAnsi" w:hAnsiTheme="minorHAnsi" w:cstheme="minorHAnsi"/>
          <w:sz w:val="22"/>
          <w:szCs w:val="22"/>
        </w:rPr>
        <w:t xml:space="preserve"> apresentou o maior nível de maturidade dentre as 6 dimensões pesquisadas, Avançado (+) obtendo 89% da pontuação máxima; seguidas das dimensões </w:t>
      </w:r>
      <w:r w:rsidRPr="0072678C">
        <w:rPr>
          <w:rFonts w:asciiTheme="minorHAnsi" w:hAnsiTheme="minorHAnsi" w:cstheme="minorHAnsi"/>
          <w:b/>
          <w:sz w:val="22"/>
          <w:szCs w:val="22"/>
        </w:rPr>
        <w:t xml:space="preserve">AT 5. Serviços ao Contribuinte; AT 3. </w:t>
      </w:r>
      <w:proofErr w:type="gramStart"/>
      <w:r w:rsidRPr="0072678C">
        <w:rPr>
          <w:rFonts w:asciiTheme="minorHAnsi" w:hAnsiTheme="minorHAnsi" w:cstheme="minorHAnsi"/>
          <w:b/>
          <w:sz w:val="22"/>
          <w:szCs w:val="22"/>
        </w:rPr>
        <w:t>Fiscalização e Inteligência Fiscal</w:t>
      </w:r>
      <w:proofErr w:type="gramEnd"/>
      <w:r w:rsidRPr="0072678C">
        <w:rPr>
          <w:rFonts w:asciiTheme="minorHAnsi" w:hAnsiTheme="minorHAnsi" w:cstheme="minorHAnsi"/>
          <w:b/>
          <w:sz w:val="22"/>
          <w:szCs w:val="22"/>
        </w:rPr>
        <w:t>; AT 6. Cobrança e Arrecadação; e AT 4. Contencioso Fiscal</w:t>
      </w:r>
      <w:r w:rsidRPr="0072678C">
        <w:rPr>
          <w:rFonts w:asciiTheme="minorHAnsi" w:hAnsiTheme="minorHAnsi" w:cstheme="minorHAnsi"/>
          <w:sz w:val="22"/>
          <w:szCs w:val="22"/>
        </w:rPr>
        <w:t xml:space="preserve">, que obtiveram nível de maturidade Intermediário (-) com </w:t>
      </w:r>
      <w:r w:rsidRPr="0072678C">
        <w:rPr>
          <w:rFonts w:asciiTheme="minorHAnsi" w:hAnsiTheme="minorHAnsi" w:cstheme="minorHAnsi"/>
          <w:b/>
          <w:sz w:val="22"/>
          <w:szCs w:val="22"/>
        </w:rPr>
        <w:t>72%, 61%, 56%, 56%, e 50%</w:t>
      </w:r>
      <w:r w:rsidRPr="0072678C">
        <w:rPr>
          <w:rFonts w:asciiTheme="minorHAnsi" w:hAnsiTheme="minorHAnsi" w:cstheme="minorHAnsi"/>
          <w:sz w:val="22"/>
          <w:szCs w:val="22"/>
        </w:rPr>
        <w:t xml:space="preserve"> da pontuação máxima respectivamente</w:t>
      </w:r>
      <w:r w:rsidR="008C6E71" w:rsidRPr="0072678C">
        <w:rPr>
          <w:rFonts w:asciiTheme="minorHAnsi" w:hAnsiTheme="minorHAnsi" w:cstheme="minorHAnsi"/>
          <w:sz w:val="22"/>
          <w:szCs w:val="22"/>
        </w:rPr>
        <w:t xml:space="preserve">, conforme apresentado no </w:t>
      </w:r>
      <w:r w:rsidR="008C6E71" w:rsidRPr="0072678C">
        <w:rPr>
          <w:rFonts w:asciiTheme="minorHAnsi" w:hAnsiTheme="minorHAnsi" w:cstheme="minorHAnsi"/>
          <w:b/>
          <w:sz w:val="22"/>
          <w:szCs w:val="22"/>
        </w:rPr>
        <w:t xml:space="preserve">Gráfico </w:t>
      </w:r>
      <w:r w:rsidR="00FB5C67" w:rsidRPr="0072678C">
        <w:rPr>
          <w:rFonts w:asciiTheme="minorHAnsi" w:hAnsiTheme="minorHAnsi" w:cstheme="minorHAnsi"/>
          <w:b/>
          <w:sz w:val="22"/>
          <w:szCs w:val="22"/>
        </w:rPr>
        <w:t>3</w:t>
      </w:r>
      <w:r w:rsidR="008C6E71" w:rsidRPr="0072678C">
        <w:rPr>
          <w:rFonts w:asciiTheme="minorHAnsi" w:hAnsiTheme="minorHAnsi" w:cstheme="minorHAnsi"/>
          <w:b/>
          <w:sz w:val="22"/>
          <w:szCs w:val="22"/>
        </w:rPr>
        <w:t>.</w:t>
      </w:r>
      <w:r w:rsidR="008C6E71" w:rsidRPr="0072678C">
        <w:rPr>
          <w:rFonts w:asciiTheme="minorHAnsi" w:hAnsiTheme="minorHAnsi" w:cstheme="minorHAnsi"/>
          <w:bCs/>
          <w:sz w:val="22"/>
          <w:szCs w:val="22"/>
        </w:rPr>
        <w:t xml:space="preserve"> </w:t>
      </w:r>
    </w:p>
    <w:p w:rsidR="008C6E71" w:rsidRPr="0072678C" w:rsidRDefault="003B190F" w:rsidP="008C6E71">
      <w:pPr>
        <w:spacing w:before="240" w:after="60"/>
        <w:ind w:left="142" w:right="-143"/>
        <w:jc w:val="center"/>
        <w:rPr>
          <w:rFonts w:asciiTheme="minorHAnsi" w:hAnsiTheme="minorHAnsi" w:cstheme="minorHAnsi"/>
          <w:sz w:val="22"/>
          <w:szCs w:val="22"/>
        </w:rPr>
      </w:pPr>
      <w:r w:rsidRPr="0072678C">
        <w:rPr>
          <w:rFonts w:asciiTheme="minorHAnsi" w:hAnsiTheme="minorHAnsi" w:cstheme="minorHAnsi"/>
          <w:b/>
          <w:sz w:val="22"/>
          <w:szCs w:val="22"/>
        </w:rPr>
        <w:t>Gráfico 3</w:t>
      </w:r>
      <w:r w:rsidR="008C6E71" w:rsidRPr="0072678C">
        <w:rPr>
          <w:rFonts w:asciiTheme="minorHAnsi" w:hAnsiTheme="minorHAnsi" w:cstheme="minorHAnsi"/>
          <w:b/>
          <w:sz w:val="22"/>
          <w:szCs w:val="22"/>
        </w:rPr>
        <w:t xml:space="preserve">: </w:t>
      </w:r>
      <w:r w:rsidR="008C6E71" w:rsidRPr="0072678C">
        <w:rPr>
          <w:rFonts w:asciiTheme="minorHAnsi" w:hAnsiTheme="minorHAnsi" w:cstheme="minorHAnsi"/>
          <w:sz w:val="22"/>
          <w:szCs w:val="22"/>
        </w:rPr>
        <w:t>Maturidade das Dimensões do Eixo II- Administração Tributária e Contencioso Fiscal</w:t>
      </w:r>
    </w:p>
    <w:p w:rsidR="008C6E71" w:rsidRPr="0072678C" w:rsidRDefault="00D976EA" w:rsidP="008C6E71">
      <w:pPr>
        <w:spacing w:before="240" w:after="240"/>
        <w:jc w:val="center"/>
        <w:rPr>
          <w:rFonts w:asciiTheme="minorHAnsi" w:hAnsiTheme="minorHAnsi" w:cstheme="minorHAnsi"/>
          <w:iCs/>
          <w:sz w:val="22"/>
          <w:szCs w:val="22"/>
        </w:rPr>
      </w:pPr>
      <w:r w:rsidRPr="0072678C">
        <w:rPr>
          <w:rFonts w:asciiTheme="minorHAnsi" w:hAnsiTheme="minorHAnsi" w:cstheme="minorHAnsi"/>
          <w:iCs/>
          <w:noProof/>
          <w:sz w:val="22"/>
          <w:szCs w:val="22"/>
        </w:rPr>
        <w:lastRenderedPageBreak/>
        <w:drawing>
          <wp:inline distT="0" distB="0" distL="0" distR="0">
            <wp:extent cx="5060950" cy="4375150"/>
            <wp:effectExtent l="19050" t="0" r="25400" b="6350"/>
            <wp:docPr id="8" name="Gráfico 3">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C6E71" w:rsidRPr="0072678C" w:rsidRDefault="008C6E71" w:rsidP="008C6E71">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No </w:t>
      </w:r>
      <w:r w:rsidRPr="0072678C">
        <w:rPr>
          <w:rFonts w:asciiTheme="minorHAnsi" w:hAnsiTheme="minorHAnsi" w:cstheme="minorHAnsi"/>
          <w:b/>
          <w:sz w:val="22"/>
          <w:szCs w:val="22"/>
        </w:rPr>
        <w:t xml:space="preserve">Gráfico </w:t>
      </w:r>
      <w:r w:rsidR="00FB5C67" w:rsidRPr="0072678C">
        <w:rPr>
          <w:rFonts w:asciiTheme="minorHAnsi" w:hAnsiTheme="minorHAnsi" w:cstheme="minorHAnsi"/>
          <w:b/>
          <w:sz w:val="22"/>
          <w:szCs w:val="22"/>
        </w:rPr>
        <w:t>3</w:t>
      </w:r>
      <w:r w:rsidRPr="0072678C">
        <w:rPr>
          <w:rFonts w:asciiTheme="minorHAnsi" w:hAnsiTheme="minorHAnsi" w:cstheme="minorHAnsi"/>
          <w:sz w:val="22"/>
          <w:szCs w:val="22"/>
        </w:rPr>
        <w:t xml:space="preserve">, os números de 1 a 6 correspondem respectivamente aos níveis de Maturidade: Iniciante (-), Iniciante (+), Intermediário (-), Intermediário (+), Avançado (-) </w:t>
      </w:r>
      <w:proofErr w:type="gramStart"/>
      <w:r w:rsidRPr="0072678C">
        <w:rPr>
          <w:rFonts w:asciiTheme="minorHAnsi" w:hAnsiTheme="minorHAnsi" w:cstheme="minorHAnsi"/>
          <w:sz w:val="22"/>
          <w:szCs w:val="22"/>
        </w:rPr>
        <w:t>e Avançado</w:t>
      </w:r>
      <w:proofErr w:type="gramEnd"/>
      <w:r w:rsidRPr="0072678C">
        <w:rPr>
          <w:rFonts w:asciiTheme="minorHAnsi" w:hAnsiTheme="minorHAnsi" w:cstheme="minorHAnsi"/>
          <w:sz w:val="22"/>
          <w:szCs w:val="22"/>
        </w:rPr>
        <w:t xml:space="preserve"> (+).</w:t>
      </w:r>
    </w:p>
    <w:p w:rsidR="00A47804" w:rsidRPr="0072678C" w:rsidRDefault="00A47804" w:rsidP="00A47804">
      <w:pPr>
        <w:pStyle w:val="Heading1"/>
        <w:rPr>
          <w:color w:val="auto"/>
          <w:sz w:val="22"/>
          <w:szCs w:val="22"/>
        </w:rPr>
      </w:pPr>
      <w:bookmarkStart w:id="14" w:name="_Toc518058453"/>
      <w:r w:rsidRPr="0072678C">
        <w:rPr>
          <w:rFonts w:asciiTheme="minorHAnsi" w:hAnsiTheme="minorHAnsi" w:cstheme="minorHAnsi"/>
          <w:b/>
          <w:color w:val="auto"/>
          <w:sz w:val="22"/>
          <w:szCs w:val="22"/>
        </w:rPr>
        <w:t>2.2 – Pontos de Melhoria dos Processos por Dimensão do Eixo II</w:t>
      </w:r>
      <w:bookmarkEnd w:id="14"/>
    </w:p>
    <w:p w:rsidR="00816DBC" w:rsidRPr="0072678C" w:rsidRDefault="00816DBC" w:rsidP="00816DBC">
      <w:pPr>
        <w:tabs>
          <w:tab w:val="left" w:pos="6350"/>
        </w:tabs>
        <w:jc w:val="both"/>
        <w:rPr>
          <w:rFonts w:asciiTheme="minorHAnsi" w:hAnsiTheme="minorHAnsi" w:cstheme="minorHAnsi"/>
          <w:sz w:val="22"/>
          <w:szCs w:val="22"/>
        </w:rPr>
      </w:pPr>
    </w:p>
    <w:p w:rsidR="00A47804" w:rsidRPr="0072678C" w:rsidRDefault="00A47804" w:rsidP="00A47804">
      <w:pPr>
        <w:jc w:val="both"/>
        <w:rPr>
          <w:rFonts w:asciiTheme="minorHAnsi" w:hAnsiTheme="minorHAnsi" w:cstheme="minorHAnsi"/>
          <w:sz w:val="22"/>
          <w:szCs w:val="22"/>
        </w:rPr>
      </w:pPr>
      <w:r w:rsidRPr="0072678C">
        <w:rPr>
          <w:rFonts w:asciiTheme="minorHAnsi" w:hAnsiTheme="minorHAnsi" w:cstheme="minorHAnsi"/>
          <w:sz w:val="22"/>
          <w:szCs w:val="22"/>
        </w:rPr>
        <w:t>Pontos de melhorias para maturidade dos processos das dimensões do Eixo II considerando as boas práticas da MD-G</w:t>
      </w:r>
      <w:r w:rsidR="00CF6E9F">
        <w:rPr>
          <w:rFonts w:asciiTheme="minorHAnsi" w:hAnsiTheme="minorHAnsi" w:cstheme="minorHAnsi"/>
          <w:sz w:val="22"/>
          <w:szCs w:val="22"/>
        </w:rPr>
        <w:t>E</w:t>
      </w:r>
      <w:r w:rsidRPr="0072678C">
        <w:rPr>
          <w:rFonts w:asciiTheme="minorHAnsi" w:hAnsiTheme="minorHAnsi" w:cstheme="minorHAnsi"/>
          <w:sz w:val="22"/>
          <w:szCs w:val="22"/>
        </w:rPr>
        <w:t>FIS:</w:t>
      </w:r>
    </w:p>
    <w:p w:rsidR="00A47804" w:rsidRPr="0072678C" w:rsidRDefault="00A47804" w:rsidP="00816DBC">
      <w:pPr>
        <w:tabs>
          <w:tab w:val="left" w:pos="6350"/>
        </w:tabs>
        <w:jc w:val="both"/>
        <w:rPr>
          <w:rFonts w:asciiTheme="minorHAnsi" w:hAnsiTheme="minorHAnsi" w:cstheme="minorHAnsi"/>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6"/>
        <w:gridCol w:w="2040"/>
        <w:gridCol w:w="884"/>
        <w:gridCol w:w="776"/>
        <w:gridCol w:w="553"/>
      </w:tblGrid>
      <w:tr w:rsidR="00410A0A" w:rsidRPr="0072678C" w:rsidTr="003C0D08">
        <w:trPr>
          <w:trHeight w:val="345"/>
        </w:trPr>
        <w:tc>
          <w:tcPr>
            <w:tcW w:w="4536" w:type="dxa"/>
            <w:vMerge w:val="restart"/>
            <w:shd w:val="clear" w:color="auto" w:fill="F7CAAC" w:themeFill="accent2" w:themeFillTint="66"/>
            <w:noWrap/>
            <w:vAlign w:val="center"/>
            <w:hideMark/>
          </w:tcPr>
          <w:p w:rsidR="00410A0A" w:rsidRPr="0072678C" w:rsidRDefault="00410A0A" w:rsidP="00410A0A">
            <w:pPr>
              <w:ind w:left="33" w:right="-1"/>
              <w:jc w:val="both"/>
              <w:rPr>
                <w:rFonts w:asciiTheme="minorHAnsi" w:hAnsiTheme="minorHAnsi" w:cstheme="minorHAnsi"/>
                <w:b/>
              </w:rPr>
            </w:pPr>
            <w:r w:rsidRPr="0072678C">
              <w:rPr>
                <w:rFonts w:asciiTheme="minorHAnsi" w:hAnsiTheme="minorHAnsi" w:cstheme="minorHAnsi"/>
                <w:b/>
                <w:bCs/>
                <w:sz w:val="22"/>
                <w:szCs w:val="22"/>
              </w:rPr>
              <w:t xml:space="preserve">AT 1. POLÍTICAS E GASTO TRIBUTÁRIO: </w:t>
            </w:r>
            <w:r w:rsidRPr="0072678C">
              <w:rPr>
                <w:rFonts w:asciiTheme="minorHAnsi" w:hAnsiTheme="minorHAnsi" w:cstheme="minorHAnsi"/>
                <w:sz w:val="22"/>
                <w:szCs w:val="22"/>
              </w:rPr>
              <w:t>Gera informação para definição e avaliação de políticas fiscais e da receita tributária, inclusive quanto às desonerações, ou seja, gasto tributário.</w:t>
            </w:r>
          </w:p>
        </w:tc>
        <w:tc>
          <w:tcPr>
            <w:tcW w:w="2040" w:type="dxa"/>
            <w:vMerge w:val="restart"/>
            <w:shd w:val="clear" w:color="auto" w:fill="F7CAAC" w:themeFill="accent2" w:themeFillTint="66"/>
            <w:noWrap/>
            <w:vAlign w:val="center"/>
            <w:hideMark/>
          </w:tcPr>
          <w:p w:rsidR="00410A0A" w:rsidRPr="0072678C" w:rsidRDefault="00410A0A" w:rsidP="00BC23AF">
            <w:pPr>
              <w:ind w:left="33" w:right="-1"/>
              <w:jc w:val="center"/>
              <w:rPr>
                <w:rFonts w:asciiTheme="minorHAnsi" w:hAnsiTheme="minorHAnsi" w:cstheme="minorHAnsi"/>
                <w:b/>
              </w:rPr>
            </w:pPr>
            <w:r w:rsidRPr="0072678C">
              <w:rPr>
                <w:rFonts w:asciiTheme="minorHAnsi" w:hAnsiTheme="minorHAnsi" w:cstheme="minorHAnsi"/>
                <w:b/>
                <w:sz w:val="22"/>
                <w:szCs w:val="22"/>
              </w:rPr>
              <w:t>Maturidade</w:t>
            </w:r>
          </w:p>
        </w:tc>
        <w:tc>
          <w:tcPr>
            <w:tcW w:w="2213" w:type="dxa"/>
            <w:gridSpan w:val="3"/>
            <w:shd w:val="clear" w:color="auto" w:fill="F7CAAC" w:themeFill="accent2" w:themeFillTint="66"/>
          </w:tcPr>
          <w:p w:rsidR="00410A0A" w:rsidRPr="0072678C" w:rsidRDefault="00410A0A" w:rsidP="00BC23AF">
            <w:pPr>
              <w:ind w:left="33" w:right="-1"/>
              <w:jc w:val="center"/>
              <w:rPr>
                <w:rFonts w:asciiTheme="minorHAnsi" w:hAnsiTheme="minorHAnsi" w:cstheme="minorHAnsi"/>
                <w:b/>
              </w:rPr>
            </w:pPr>
            <w:r w:rsidRPr="0072678C">
              <w:rPr>
                <w:rFonts w:asciiTheme="minorHAnsi" w:hAnsiTheme="minorHAnsi" w:cstheme="minorHAnsi"/>
                <w:b/>
                <w:sz w:val="22"/>
                <w:szCs w:val="22"/>
              </w:rPr>
              <w:t>Pontuação</w:t>
            </w:r>
          </w:p>
        </w:tc>
      </w:tr>
      <w:tr w:rsidR="00410A0A" w:rsidRPr="0072678C" w:rsidTr="003C0D08">
        <w:trPr>
          <w:trHeight w:val="345"/>
        </w:trPr>
        <w:tc>
          <w:tcPr>
            <w:tcW w:w="4536" w:type="dxa"/>
            <w:vMerge/>
            <w:shd w:val="clear" w:color="auto" w:fill="FFE599" w:themeFill="accent4" w:themeFillTint="66"/>
            <w:noWrap/>
            <w:vAlign w:val="center"/>
            <w:hideMark/>
          </w:tcPr>
          <w:p w:rsidR="00410A0A" w:rsidRPr="0072678C" w:rsidRDefault="00410A0A" w:rsidP="00BC23AF">
            <w:pPr>
              <w:ind w:left="33" w:right="-1"/>
              <w:jc w:val="center"/>
              <w:rPr>
                <w:rFonts w:asciiTheme="minorHAnsi" w:hAnsiTheme="minorHAnsi" w:cstheme="minorHAnsi"/>
                <w:b/>
              </w:rPr>
            </w:pPr>
          </w:p>
        </w:tc>
        <w:tc>
          <w:tcPr>
            <w:tcW w:w="2040" w:type="dxa"/>
            <w:vMerge/>
            <w:shd w:val="clear" w:color="auto" w:fill="FFE599" w:themeFill="accent4" w:themeFillTint="66"/>
            <w:noWrap/>
            <w:vAlign w:val="center"/>
            <w:hideMark/>
          </w:tcPr>
          <w:p w:rsidR="00410A0A" w:rsidRPr="0072678C" w:rsidRDefault="00410A0A" w:rsidP="00BC23AF">
            <w:pPr>
              <w:ind w:left="33" w:right="-1"/>
              <w:jc w:val="center"/>
              <w:rPr>
                <w:rFonts w:asciiTheme="minorHAnsi" w:hAnsiTheme="minorHAnsi" w:cstheme="minorHAnsi"/>
                <w:b/>
              </w:rPr>
            </w:pPr>
          </w:p>
        </w:tc>
        <w:tc>
          <w:tcPr>
            <w:tcW w:w="884" w:type="dxa"/>
            <w:shd w:val="clear" w:color="auto" w:fill="F7CAAC" w:themeFill="accent2" w:themeFillTint="66"/>
            <w:vAlign w:val="center"/>
          </w:tcPr>
          <w:p w:rsidR="00410A0A" w:rsidRPr="0072678C" w:rsidRDefault="00410A0A" w:rsidP="00BC23AF">
            <w:pPr>
              <w:jc w:val="center"/>
              <w:rPr>
                <w:rFonts w:asciiTheme="minorHAnsi" w:hAnsiTheme="minorHAnsi" w:cstheme="minorHAnsi"/>
                <w:b/>
              </w:rPr>
            </w:pPr>
            <w:r w:rsidRPr="0072678C">
              <w:rPr>
                <w:rFonts w:asciiTheme="minorHAnsi" w:hAnsiTheme="minorHAnsi" w:cstheme="minorHAnsi"/>
                <w:b/>
                <w:sz w:val="22"/>
                <w:szCs w:val="22"/>
              </w:rPr>
              <w:t>Máxima</w:t>
            </w:r>
          </w:p>
        </w:tc>
        <w:tc>
          <w:tcPr>
            <w:tcW w:w="776" w:type="dxa"/>
            <w:shd w:val="clear" w:color="auto" w:fill="F7CAAC" w:themeFill="accent2" w:themeFillTint="66"/>
            <w:vAlign w:val="center"/>
          </w:tcPr>
          <w:p w:rsidR="00410A0A" w:rsidRPr="0072678C" w:rsidRDefault="00410A0A" w:rsidP="00BC23AF">
            <w:pPr>
              <w:jc w:val="center"/>
              <w:rPr>
                <w:rFonts w:asciiTheme="minorHAnsi" w:hAnsiTheme="minorHAnsi" w:cstheme="minorHAnsi"/>
                <w:b/>
              </w:rPr>
            </w:pPr>
            <w:r w:rsidRPr="0072678C">
              <w:rPr>
                <w:rFonts w:asciiTheme="minorHAnsi" w:hAnsiTheme="minorHAnsi" w:cstheme="minorHAnsi"/>
                <w:b/>
                <w:sz w:val="22"/>
                <w:szCs w:val="22"/>
              </w:rPr>
              <w:t>Obtida</w:t>
            </w:r>
          </w:p>
        </w:tc>
        <w:tc>
          <w:tcPr>
            <w:tcW w:w="553" w:type="dxa"/>
            <w:shd w:val="clear" w:color="auto" w:fill="F7CAAC" w:themeFill="accent2" w:themeFillTint="66"/>
            <w:vAlign w:val="center"/>
          </w:tcPr>
          <w:p w:rsidR="00410A0A" w:rsidRPr="0072678C" w:rsidRDefault="00410A0A" w:rsidP="00BC23AF">
            <w:pPr>
              <w:jc w:val="center"/>
              <w:rPr>
                <w:rFonts w:asciiTheme="minorHAnsi" w:hAnsiTheme="minorHAnsi" w:cstheme="minorHAnsi"/>
                <w:b/>
              </w:rPr>
            </w:pPr>
            <w:r w:rsidRPr="0072678C">
              <w:rPr>
                <w:rFonts w:asciiTheme="minorHAnsi" w:hAnsiTheme="minorHAnsi" w:cstheme="minorHAnsi"/>
                <w:b/>
                <w:sz w:val="22"/>
                <w:szCs w:val="22"/>
              </w:rPr>
              <w:t>%</w:t>
            </w:r>
          </w:p>
        </w:tc>
      </w:tr>
      <w:tr w:rsidR="00410A0A" w:rsidRPr="0072678C" w:rsidTr="003C0D08">
        <w:trPr>
          <w:trHeight w:val="345"/>
        </w:trPr>
        <w:tc>
          <w:tcPr>
            <w:tcW w:w="4536" w:type="dxa"/>
            <w:vMerge/>
            <w:shd w:val="clear" w:color="auto" w:fill="auto"/>
            <w:noWrap/>
            <w:vAlign w:val="center"/>
            <w:hideMark/>
          </w:tcPr>
          <w:p w:rsidR="00410A0A" w:rsidRPr="0072678C" w:rsidRDefault="00410A0A" w:rsidP="00B16094">
            <w:pPr>
              <w:ind w:firstLineChars="200" w:firstLine="480"/>
              <w:jc w:val="center"/>
              <w:rPr>
                <w:rFonts w:ascii="Calibri" w:hAnsi="Calibri" w:cs="Calibri"/>
              </w:rPr>
            </w:pPr>
          </w:p>
        </w:tc>
        <w:tc>
          <w:tcPr>
            <w:tcW w:w="2040" w:type="dxa"/>
            <w:shd w:val="clear" w:color="auto" w:fill="auto"/>
            <w:noWrap/>
            <w:vAlign w:val="center"/>
            <w:hideMark/>
          </w:tcPr>
          <w:p w:rsidR="00410A0A" w:rsidRPr="0072678C" w:rsidRDefault="00410A0A" w:rsidP="00816DBC">
            <w:pPr>
              <w:jc w:val="center"/>
              <w:rPr>
                <w:rFonts w:ascii="Calibri" w:hAnsi="Calibri" w:cs="Calibri"/>
                <w:b/>
                <w:bCs/>
              </w:rPr>
            </w:pPr>
            <w:r w:rsidRPr="0072678C">
              <w:rPr>
                <w:rFonts w:ascii="Calibri" w:hAnsi="Calibri" w:cs="Calibri"/>
                <w:b/>
                <w:bCs/>
                <w:sz w:val="22"/>
                <w:szCs w:val="22"/>
              </w:rPr>
              <w:t>INTERMEDIÁRIO (-)</w:t>
            </w:r>
          </w:p>
        </w:tc>
        <w:tc>
          <w:tcPr>
            <w:tcW w:w="884" w:type="dxa"/>
            <w:vAlign w:val="center"/>
          </w:tcPr>
          <w:p w:rsidR="00410A0A" w:rsidRPr="0072678C" w:rsidRDefault="00410A0A" w:rsidP="00816DBC">
            <w:pPr>
              <w:jc w:val="center"/>
              <w:rPr>
                <w:rFonts w:ascii="Calibri" w:hAnsi="Calibri" w:cs="Calibri"/>
              </w:rPr>
            </w:pPr>
            <w:r w:rsidRPr="0072678C">
              <w:rPr>
                <w:rFonts w:ascii="Calibri" w:hAnsi="Calibri" w:cs="Calibri"/>
                <w:sz w:val="22"/>
                <w:szCs w:val="22"/>
              </w:rPr>
              <w:t>18</w:t>
            </w:r>
          </w:p>
        </w:tc>
        <w:tc>
          <w:tcPr>
            <w:tcW w:w="776" w:type="dxa"/>
            <w:vAlign w:val="center"/>
          </w:tcPr>
          <w:p w:rsidR="00410A0A" w:rsidRPr="0072678C" w:rsidRDefault="00410A0A" w:rsidP="00816DBC">
            <w:pPr>
              <w:jc w:val="center"/>
              <w:rPr>
                <w:rFonts w:ascii="Calibri" w:hAnsi="Calibri" w:cs="Calibri"/>
              </w:rPr>
            </w:pPr>
            <w:r w:rsidRPr="0072678C">
              <w:rPr>
                <w:rFonts w:ascii="Calibri" w:hAnsi="Calibri" w:cs="Calibri"/>
                <w:sz w:val="22"/>
                <w:szCs w:val="22"/>
              </w:rPr>
              <w:t>10</w:t>
            </w:r>
          </w:p>
        </w:tc>
        <w:tc>
          <w:tcPr>
            <w:tcW w:w="553" w:type="dxa"/>
            <w:vAlign w:val="center"/>
          </w:tcPr>
          <w:p w:rsidR="00410A0A" w:rsidRPr="0072678C" w:rsidRDefault="00410A0A" w:rsidP="00816DBC">
            <w:pPr>
              <w:jc w:val="center"/>
              <w:rPr>
                <w:rFonts w:ascii="Calibri" w:hAnsi="Calibri" w:cs="Calibri"/>
              </w:rPr>
            </w:pPr>
            <w:r w:rsidRPr="0072678C">
              <w:rPr>
                <w:rFonts w:ascii="Calibri" w:hAnsi="Calibri" w:cs="Calibri"/>
                <w:sz w:val="22"/>
                <w:szCs w:val="22"/>
              </w:rPr>
              <w:t>56%</w:t>
            </w:r>
          </w:p>
        </w:tc>
      </w:tr>
    </w:tbl>
    <w:p w:rsidR="00816DBC" w:rsidRPr="0072678C" w:rsidRDefault="00816DBC" w:rsidP="00816DBC">
      <w:pPr>
        <w:tabs>
          <w:tab w:val="left" w:pos="6350"/>
        </w:tabs>
        <w:jc w:val="both"/>
        <w:rPr>
          <w:rFonts w:asciiTheme="minorHAnsi" w:hAnsiTheme="minorHAnsi" w:cstheme="minorHAnsi"/>
          <w:sz w:val="22"/>
          <w:szCs w:val="22"/>
        </w:rPr>
      </w:pPr>
    </w:p>
    <w:p w:rsidR="008F4F14" w:rsidRPr="0072678C" w:rsidRDefault="008F4F14" w:rsidP="00816DBC">
      <w:pPr>
        <w:tabs>
          <w:tab w:val="left" w:pos="6350"/>
        </w:tabs>
        <w:jc w:val="both"/>
        <w:rPr>
          <w:rFonts w:asciiTheme="minorHAnsi" w:hAnsiTheme="minorHAnsi" w:cstheme="minorHAnsi"/>
          <w:sz w:val="22"/>
          <w:szCs w:val="22"/>
        </w:rPr>
      </w:pPr>
      <w:r w:rsidRPr="0072678C">
        <w:rPr>
          <w:rFonts w:asciiTheme="minorHAnsi" w:hAnsiTheme="minorHAnsi" w:cstheme="minorHAnsi"/>
          <w:sz w:val="22"/>
          <w:szCs w:val="22"/>
        </w:rPr>
        <w:t xml:space="preserve">Para o processo de </w:t>
      </w:r>
      <w:r w:rsidRPr="0072678C">
        <w:rPr>
          <w:rFonts w:asciiTheme="minorHAnsi" w:hAnsiTheme="minorHAnsi" w:cstheme="minorHAnsi"/>
          <w:b/>
          <w:bCs/>
          <w:i/>
          <w:iCs/>
          <w:sz w:val="22"/>
          <w:szCs w:val="22"/>
        </w:rPr>
        <w:t xml:space="preserve">formulação e a avaliação de políticas e normas fiscais na área tributária </w:t>
      </w:r>
      <w:r w:rsidRPr="0072678C">
        <w:rPr>
          <w:rFonts w:asciiTheme="minorHAnsi" w:hAnsiTheme="minorHAnsi" w:cstheme="minorHAnsi"/>
          <w:sz w:val="22"/>
          <w:szCs w:val="22"/>
        </w:rPr>
        <w:t>a SEFAZ/SP deverá formular as propostas de políticas e normas tributárias de acordo com as necessidades identificadas e os estudos realizados, contemplando os três principais impostos (ICMS, IPVA e ITCMD); definir indicadores que permitam a mensuração do desempenho consoante aos propósitos e resultados da política e norma formulada; e disponibilizar as informações sobre as políticas e normas e seus resultados de forma acessível, por meio eletrônico.</w:t>
      </w:r>
    </w:p>
    <w:p w:rsidR="008F4F14" w:rsidRPr="0072678C" w:rsidRDefault="008F4F14" w:rsidP="00AC7E91">
      <w:pPr>
        <w:tabs>
          <w:tab w:val="left" w:pos="6350"/>
        </w:tabs>
        <w:ind w:left="70"/>
        <w:rPr>
          <w:rFonts w:asciiTheme="minorHAnsi" w:hAnsiTheme="minorHAnsi" w:cstheme="minorHAnsi"/>
          <w:sz w:val="22"/>
          <w:szCs w:val="22"/>
        </w:rPr>
      </w:pPr>
    </w:p>
    <w:p w:rsidR="002851EC" w:rsidRPr="0072678C" w:rsidRDefault="00816DBC" w:rsidP="002851EC">
      <w:pPr>
        <w:jc w:val="both"/>
        <w:rPr>
          <w:rFonts w:asciiTheme="minorHAnsi" w:hAnsiTheme="minorHAnsi" w:cstheme="minorHAnsi"/>
          <w:sz w:val="22"/>
          <w:szCs w:val="22"/>
        </w:rPr>
      </w:pPr>
      <w:r w:rsidRPr="0072678C">
        <w:rPr>
          <w:rFonts w:asciiTheme="minorHAnsi" w:hAnsiTheme="minorHAnsi" w:cstheme="minorHAnsi"/>
          <w:sz w:val="22"/>
          <w:szCs w:val="22"/>
        </w:rPr>
        <w:t xml:space="preserve">A </w:t>
      </w:r>
      <w:r w:rsidR="002851EC" w:rsidRPr="0072678C">
        <w:rPr>
          <w:rFonts w:asciiTheme="minorHAnsi" w:hAnsiTheme="minorHAnsi" w:cstheme="minorHAnsi"/>
          <w:b/>
          <w:bCs/>
          <w:i/>
          <w:iCs/>
          <w:sz w:val="22"/>
          <w:szCs w:val="22"/>
        </w:rPr>
        <w:t xml:space="preserve">apuração da brecha tributária </w:t>
      </w:r>
      <w:r w:rsidR="002851EC" w:rsidRPr="0072678C">
        <w:rPr>
          <w:rFonts w:asciiTheme="minorHAnsi" w:hAnsiTheme="minorHAnsi" w:cstheme="minorHAnsi"/>
          <w:i/>
          <w:iCs/>
          <w:sz w:val="22"/>
          <w:szCs w:val="22"/>
        </w:rPr>
        <w:t>(gap tributário)</w:t>
      </w:r>
      <w:r w:rsidR="002851EC" w:rsidRPr="0072678C">
        <w:rPr>
          <w:rFonts w:asciiTheme="minorHAnsi" w:hAnsiTheme="minorHAnsi" w:cstheme="minorHAnsi"/>
          <w:sz w:val="22"/>
          <w:szCs w:val="22"/>
        </w:rPr>
        <w:t xml:space="preserve"> </w:t>
      </w:r>
      <w:r w:rsidR="002851EC" w:rsidRPr="0072678C">
        <w:rPr>
          <w:rFonts w:asciiTheme="minorHAnsi" w:hAnsiTheme="minorHAnsi" w:cstheme="minorHAnsi"/>
          <w:b/>
          <w:bCs/>
          <w:sz w:val="22"/>
          <w:szCs w:val="22"/>
        </w:rPr>
        <w:t>de cumprimento</w:t>
      </w:r>
      <w:r w:rsidR="002851EC" w:rsidRPr="0072678C">
        <w:rPr>
          <w:rFonts w:asciiTheme="minorHAnsi" w:hAnsiTheme="minorHAnsi" w:cstheme="minorHAnsi"/>
          <w:sz w:val="22"/>
          <w:szCs w:val="22"/>
        </w:rPr>
        <w:t xml:space="preserve"> </w:t>
      </w:r>
      <w:r w:rsidR="002851EC" w:rsidRPr="0072678C">
        <w:rPr>
          <w:rFonts w:asciiTheme="minorHAnsi" w:hAnsiTheme="minorHAnsi" w:cstheme="minorHAnsi"/>
          <w:b/>
          <w:bCs/>
          <w:sz w:val="22"/>
          <w:szCs w:val="22"/>
        </w:rPr>
        <w:t>administrativo</w:t>
      </w:r>
      <w:r w:rsidR="002851EC"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deverá </w:t>
      </w:r>
      <w:r w:rsidR="002851EC" w:rsidRPr="0072678C">
        <w:rPr>
          <w:rFonts w:asciiTheme="minorHAnsi" w:hAnsiTheme="minorHAnsi" w:cstheme="minorHAnsi"/>
          <w:sz w:val="22"/>
          <w:szCs w:val="22"/>
        </w:rPr>
        <w:t>aplicar e documentar uma metodologia para apuração da brecha de cumprimento administrativo do ICMS</w:t>
      </w:r>
      <w:r w:rsidR="001873C7" w:rsidRPr="0072678C">
        <w:rPr>
          <w:rFonts w:asciiTheme="minorHAnsi" w:hAnsiTheme="minorHAnsi" w:cstheme="minorHAnsi"/>
          <w:sz w:val="22"/>
          <w:szCs w:val="22"/>
        </w:rPr>
        <w:t xml:space="preserve">, </w:t>
      </w:r>
      <w:r w:rsidR="002851EC" w:rsidRPr="0072678C">
        <w:rPr>
          <w:rFonts w:asciiTheme="minorHAnsi" w:hAnsiTheme="minorHAnsi" w:cstheme="minorHAnsi"/>
          <w:sz w:val="22"/>
          <w:szCs w:val="22"/>
        </w:rPr>
        <w:lastRenderedPageBreak/>
        <w:t>do IPVA</w:t>
      </w:r>
      <w:r w:rsidR="00BC23AF" w:rsidRPr="0072678C">
        <w:rPr>
          <w:rFonts w:asciiTheme="minorHAnsi" w:hAnsiTheme="minorHAnsi" w:cstheme="minorHAnsi"/>
          <w:sz w:val="22"/>
          <w:szCs w:val="22"/>
        </w:rPr>
        <w:t xml:space="preserve"> e </w:t>
      </w:r>
      <w:r w:rsidR="002851EC" w:rsidRPr="0072678C">
        <w:rPr>
          <w:rFonts w:asciiTheme="minorHAnsi" w:hAnsiTheme="minorHAnsi" w:cstheme="minorHAnsi"/>
          <w:sz w:val="22"/>
          <w:szCs w:val="22"/>
        </w:rPr>
        <w:t xml:space="preserve">do ITCMD; e avaliar os resultados </w:t>
      </w:r>
      <w:proofErr w:type="gramStart"/>
      <w:r w:rsidR="002851EC" w:rsidRPr="0072678C">
        <w:rPr>
          <w:rFonts w:asciiTheme="minorHAnsi" w:hAnsiTheme="minorHAnsi" w:cstheme="minorHAnsi"/>
          <w:sz w:val="22"/>
          <w:szCs w:val="22"/>
        </w:rPr>
        <w:t>das  medidas</w:t>
      </w:r>
      <w:proofErr w:type="gramEnd"/>
      <w:r w:rsidR="002851EC" w:rsidRPr="0072678C">
        <w:rPr>
          <w:rFonts w:asciiTheme="minorHAnsi" w:hAnsiTheme="minorHAnsi" w:cstheme="minorHAnsi"/>
          <w:sz w:val="22"/>
          <w:szCs w:val="22"/>
        </w:rPr>
        <w:t xml:space="preserve"> de simplificação e divulgação nos diversos perfis identificados</w:t>
      </w:r>
      <w:r w:rsidR="001873C7" w:rsidRPr="0072678C">
        <w:rPr>
          <w:rFonts w:asciiTheme="minorHAnsi" w:hAnsiTheme="minorHAnsi" w:cstheme="minorHAnsi"/>
          <w:sz w:val="22"/>
          <w:szCs w:val="22"/>
        </w:rPr>
        <w:t>.</w:t>
      </w:r>
    </w:p>
    <w:p w:rsidR="001873C7" w:rsidRPr="0072678C" w:rsidRDefault="001873C7" w:rsidP="001873C7">
      <w:pPr>
        <w:jc w:val="both"/>
        <w:rPr>
          <w:rFonts w:asciiTheme="minorHAnsi" w:hAnsiTheme="minorHAnsi" w:cstheme="minorHAnsi"/>
          <w:sz w:val="22"/>
          <w:szCs w:val="22"/>
        </w:rPr>
      </w:pPr>
    </w:p>
    <w:p w:rsidR="001873C7" w:rsidRPr="0072678C" w:rsidRDefault="00BC23AF" w:rsidP="001873C7">
      <w:pPr>
        <w:jc w:val="both"/>
        <w:rPr>
          <w:rFonts w:asciiTheme="minorHAnsi" w:hAnsiTheme="minorHAnsi" w:cstheme="minorHAnsi"/>
          <w:sz w:val="22"/>
          <w:szCs w:val="22"/>
        </w:rPr>
      </w:pPr>
      <w:r w:rsidRPr="0072678C">
        <w:rPr>
          <w:rFonts w:asciiTheme="minorHAnsi" w:hAnsiTheme="minorHAnsi" w:cstheme="minorHAnsi"/>
          <w:sz w:val="22"/>
          <w:szCs w:val="22"/>
        </w:rPr>
        <w:t xml:space="preserve">No que se refere ao </w:t>
      </w:r>
      <w:r w:rsidR="001873C7" w:rsidRPr="0072678C">
        <w:rPr>
          <w:rFonts w:asciiTheme="minorHAnsi" w:hAnsiTheme="minorHAnsi" w:cstheme="minorHAnsi"/>
          <w:sz w:val="22"/>
          <w:szCs w:val="22"/>
        </w:rPr>
        <w:t xml:space="preserve">processo de </w:t>
      </w:r>
      <w:r w:rsidR="001873C7" w:rsidRPr="0072678C">
        <w:rPr>
          <w:rFonts w:asciiTheme="minorHAnsi" w:hAnsiTheme="minorHAnsi" w:cstheme="minorHAnsi"/>
          <w:b/>
          <w:bCs/>
          <w:i/>
          <w:iCs/>
          <w:sz w:val="22"/>
          <w:szCs w:val="22"/>
        </w:rPr>
        <w:t xml:space="preserve">controle e apuração da brecha de política tributária (gasto tributário) do ICMS </w:t>
      </w:r>
      <w:r w:rsidR="001873C7" w:rsidRPr="0072678C">
        <w:rPr>
          <w:rFonts w:asciiTheme="minorHAnsi" w:hAnsiTheme="minorHAnsi" w:cstheme="minorHAnsi"/>
          <w:sz w:val="22"/>
          <w:szCs w:val="22"/>
        </w:rPr>
        <w:t>será necessário avaliar o retorno do conjunto dos benefícios fiscais concedidos em relação aos resultados esperados.</w:t>
      </w:r>
    </w:p>
    <w:p w:rsidR="001873C7" w:rsidRPr="0072678C" w:rsidRDefault="001873C7" w:rsidP="003E2FA1">
      <w:pPr>
        <w:jc w:val="both"/>
        <w:rPr>
          <w:rFonts w:asciiTheme="minorHAnsi" w:hAnsiTheme="minorHAnsi" w:cstheme="minorHAnsi"/>
          <w:sz w:val="22"/>
          <w:szCs w:val="22"/>
        </w:rPr>
      </w:pPr>
    </w:p>
    <w:p w:rsidR="001873C7" w:rsidRPr="0072678C" w:rsidRDefault="00BC23AF" w:rsidP="003E2FA1">
      <w:pPr>
        <w:jc w:val="both"/>
        <w:rPr>
          <w:rFonts w:asciiTheme="minorHAnsi" w:hAnsiTheme="minorHAnsi" w:cstheme="minorHAnsi"/>
          <w:sz w:val="22"/>
          <w:szCs w:val="22"/>
        </w:rPr>
      </w:pPr>
      <w:r w:rsidRPr="0072678C">
        <w:rPr>
          <w:rFonts w:asciiTheme="minorHAnsi" w:hAnsiTheme="minorHAnsi" w:cstheme="minorHAnsi"/>
          <w:sz w:val="22"/>
          <w:szCs w:val="22"/>
        </w:rPr>
        <w:t>Já o</w:t>
      </w:r>
      <w:r w:rsidR="001873C7" w:rsidRPr="0072678C">
        <w:rPr>
          <w:rFonts w:asciiTheme="minorHAnsi" w:hAnsiTheme="minorHAnsi" w:cstheme="minorHAnsi"/>
          <w:sz w:val="22"/>
          <w:szCs w:val="22"/>
        </w:rPr>
        <w:t xml:space="preserve"> processo </w:t>
      </w:r>
      <w:r w:rsidRPr="0072678C">
        <w:rPr>
          <w:rFonts w:asciiTheme="minorHAnsi" w:hAnsiTheme="minorHAnsi" w:cstheme="minorHAnsi"/>
          <w:sz w:val="22"/>
          <w:szCs w:val="22"/>
        </w:rPr>
        <w:t xml:space="preserve">de </w:t>
      </w:r>
      <w:r w:rsidR="001873C7" w:rsidRPr="0072678C">
        <w:rPr>
          <w:rFonts w:asciiTheme="minorHAnsi" w:hAnsiTheme="minorHAnsi" w:cstheme="minorHAnsi"/>
          <w:b/>
          <w:bCs/>
          <w:i/>
          <w:iCs/>
          <w:sz w:val="22"/>
          <w:szCs w:val="22"/>
        </w:rPr>
        <w:t>controle e apuração da brecha de política tributária (gasto tributário) do ITCMD</w:t>
      </w:r>
      <w:r w:rsidR="001873C7" w:rsidRPr="0072678C">
        <w:rPr>
          <w:rFonts w:asciiTheme="minorHAnsi" w:hAnsiTheme="minorHAnsi" w:cstheme="minorHAnsi"/>
          <w:sz w:val="22"/>
          <w:szCs w:val="22"/>
        </w:rPr>
        <w:t xml:space="preserve"> apresentou grande fragilidade</w:t>
      </w:r>
      <w:r w:rsidRPr="0072678C">
        <w:rPr>
          <w:rFonts w:asciiTheme="minorHAnsi" w:hAnsiTheme="minorHAnsi" w:cstheme="minorHAnsi"/>
          <w:sz w:val="22"/>
          <w:szCs w:val="22"/>
        </w:rPr>
        <w:t xml:space="preserve">, </w:t>
      </w:r>
      <w:r w:rsidR="001873C7" w:rsidRPr="0072678C">
        <w:rPr>
          <w:rFonts w:asciiTheme="minorHAnsi" w:hAnsiTheme="minorHAnsi" w:cstheme="minorHAnsi"/>
          <w:sz w:val="22"/>
          <w:szCs w:val="22"/>
        </w:rPr>
        <w:t xml:space="preserve">e para melhorar a maturidade necessita utilizar sistema informatizado para controle dos benefícios concedidos e para </w:t>
      </w:r>
      <w:r w:rsidRPr="0072678C">
        <w:rPr>
          <w:rFonts w:asciiTheme="minorHAnsi" w:hAnsiTheme="minorHAnsi" w:cstheme="minorHAnsi"/>
          <w:sz w:val="22"/>
          <w:szCs w:val="22"/>
        </w:rPr>
        <w:t xml:space="preserve">subsidiar </w:t>
      </w:r>
      <w:r w:rsidR="001873C7" w:rsidRPr="0072678C">
        <w:rPr>
          <w:rFonts w:asciiTheme="minorHAnsi" w:hAnsiTheme="minorHAnsi" w:cstheme="minorHAnsi"/>
          <w:sz w:val="22"/>
          <w:szCs w:val="22"/>
        </w:rPr>
        <w:t xml:space="preserve">às auditorias dos beneficiários; calcular o impacto das isenções (exclusão da base tributária), dos subsídios (deduções da base tributária), das anistias fiscais, das remissões fiscais, e dos  </w:t>
      </w:r>
      <w:proofErr w:type="spellStart"/>
      <w:r w:rsidR="001873C7" w:rsidRPr="0072678C">
        <w:rPr>
          <w:rFonts w:asciiTheme="minorHAnsi" w:hAnsiTheme="minorHAnsi" w:cstheme="minorHAnsi"/>
          <w:sz w:val="22"/>
          <w:szCs w:val="22"/>
        </w:rPr>
        <w:t>desagravamentos</w:t>
      </w:r>
      <w:proofErr w:type="spellEnd"/>
      <w:r w:rsidR="001873C7" w:rsidRPr="0072678C">
        <w:rPr>
          <w:rFonts w:asciiTheme="minorHAnsi" w:hAnsiTheme="minorHAnsi" w:cstheme="minorHAnsi"/>
          <w:sz w:val="22"/>
          <w:szCs w:val="22"/>
        </w:rPr>
        <w:t xml:space="preserve"> (redução de alíquota).</w:t>
      </w:r>
    </w:p>
    <w:p w:rsidR="001873C7" w:rsidRPr="0072678C" w:rsidRDefault="001873C7" w:rsidP="003E2FA1">
      <w:pPr>
        <w:jc w:val="both"/>
        <w:rPr>
          <w:rFonts w:asciiTheme="minorHAnsi" w:hAnsiTheme="minorHAnsi" w:cstheme="minorHAnsi"/>
          <w:sz w:val="22"/>
          <w:szCs w:val="22"/>
        </w:rPr>
      </w:pPr>
    </w:p>
    <w:p w:rsidR="0039475B" w:rsidRPr="0072678C" w:rsidRDefault="0039475B" w:rsidP="0039475B">
      <w:pPr>
        <w:jc w:val="both"/>
        <w:rPr>
          <w:rFonts w:asciiTheme="minorHAnsi" w:hAnsiTheme="minorHAnsi" w:cstheme="minorHAnsi"/>
          <w:sz w:val="22"/>
          <w:szCs w:val="22"/>
        </w:rPr>
      </w:pPr>
      <w:r w:rsidRPr="0072678C">
        <w:rPr>
          <w:rFonts w:asciiTheme="minorHAnsi" w:hAnsiTheme="minorHAnsi" w:cstheme="minorHAnsi"/>
          <w:sz w:val="22"/>
          <w:szCs w:val="22"/>
        </w:rPr>
        <w:t xml:space="preserve">No que se refere ao processo </w:t>
      </w:r>
      <w:r w:rsidRPr="0072678C">
        <w:rPr>
          <w:rFonts w:asciiTheme="minorHAnsi" w:hAnsiTheme="minorHAnsi" w:cstheme="minorHAnsi"/>
          <w:b/>
          <w:bCs/>
          <w:i/>
          <w:iCs/>
          <w:sz w:val="22"/>
          <w:szCs w:val="22"/>
        </w:rPr>
        <w:t xml:space="preserve">consulta sobre interpretação da legislação tributária </w:t>
      </w:r>
      <w:r w:rsidR="00410A0A" w:rsidRPr="0072678C">
        <w:rPr>
          <w:rFonts w:asciiTheme="minorHAnsi" w:hAnsiTheme="minorHAnsi" w:cstheme="minorHAnsi"/>
          <w:sz w:val="22"/>
          <w:szCs w:val="22"/>
        </w:rPr>
        <w:t xml:space="preserve">a SEFAZ/SP deverá </w:t>
      </w:r>
      <w:r w:rsidRPr="0072678C">
        <w:rPr>
          <w:rFonts w:asciiTheme="minorHAnsi" w:hAnsiTheme="minorHAnsi" w:cstheme="minorHAnsi"/>
          <w:sz w:val="22"/>
          <w:szCs w:val="22"/>
        </w:rPr>
        <w:t xml:space="preserve">controlar as orientações proferidas para manter a consistência e evitar respostas contraditórias; e divulgar na WEB e oferecer acesso </w:t>
      </w:r>
      <w:r w:rsidR="00BC23AF" w:rsidRPr="0072678C">
        <w:rPr>
          <w:rFonts w:asciiTheme="minorHAnsi" w:hAnsiTheme="minorHAnsi" w:cstheme="minorHAnsi"/>
          <w:sz w:val="22"/>
          <w:szCs w:val="22"/>
        </w:rPr>
        <w:t xml:space="preserve">por meio de </w:t>
      </w:r>
      <w:r w:rsidRPr="0072678C">
        <w:rPr>
          <w:rFonts w:asciiTheme="minorHAnsi" w:hAnsiTheme="minorHAnsi" w:cstheme="minorHAnsi"/>
          <w:sz w:val="22"/>
          <w:szCs w:val="22"/>
        </w:rPr>
        <w:t xml:space="preserve">aplicativos para dispositivos móveis acerca das decisões proferidas em processos de consulta. </w:t>
      </w:r>
    </w:p>
    <w:p w:rsidR="00536AB6" w:rsidRPr="0072678C" w:rsidRDefault="00536AB6" w:rsidP="0039475B">
      <w:pPr>
        <w:jc w:val="both"/>
        <w:rPr>
          <w:rFonts w:asciiTheme="minorHAnsi" w:hAnsiTheme="minorHAnsi" w:cstheme="minorHAnsi"/>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8"/>
        <w:gridCol w:w="1898"/>
        <w:gridCol w:w="884"/>
        <w:gridCol w:w="776"/>
        <w:gridCol w:w="553"/>
      </w:tblGrid>
      <w:tr w:rsidR="00410A0A" w:rsidRPr="0072678C" w:rsidTr="00410A0A">
        <w:trPr>
          <w:trHeight w:val="345"/>
        </w:trPr>
        <w:tc>
          <w:tcPr>
            <w:tcW w:w="4678" w:type="dxa"/>
            <w:vMerge w:val="restart"/>
            <w:shd w:val="clear" w:color="auto" w:fill="F7CAAC" w:themeFill="accent2" w:themeFillTint="66"/>
            <w:noWrap/>
            <w:vAlign w:val="center"/>
            <w:hideMark/>
          </w:tcPr>
          <w:p w:rsidR="00410A0A" w:rsidRPr="0072678C" w:rsidRDefault="00410A0A" w:rsidP="00410A0A">
            <w:pPr>
              <w:ind w:left="33" w:right="-1"/>
              <w:jc w:val="both"/>
              <w:rPr>
                <w:rFonts w:asciiTheme="minorHAnsi" w:hAnsiTheme="minorHAnsi" w:cstheme="minorHAnsi"/>
                <w:b/>
              </w:rPr>
            </w:pPr>
            <w:r w:rsidRPr="0072678C">
              <w:rPr>
                <w:rFonts w:asciiTheme="minorHAnsi" w:hAnsiTheme="minorHAnsi" w:cstheme="minorHAnsi"/>
                <w:b/>
                <w:bCs/>
                <w:sz w:val="22"/>
                <w:szCs w:val="22"/>
              </w:rPr>
              <w:t>AT 2. CADASTRO E OBRIGAÇÃO TRIBUTÁRIA:</w:t>
            </w:r>
            <w:r w:rsidRPr="0072678C">
              <w:rPr>
                <w:rFonts w:asciiTheme="minorHAnsi" w:hAnsiTheme="minorHAnsi" w:cstheme="minorHAnsi"/>
                <w:sz w:val="22"/>
                <w:szCs w:val="22"/>
              </w:rPr>
              <w:t xml:space="preserve"> Mantém cadastros atualizados e segmentados por tipo de contribuinte e controla </w:t>
            </w:r>
            <w:r w:rsidR="005A7DB1" w:rsidRPr="0072678C">
              <w:rPr>
                <w:rFonts w:asciiTheme="minorHAnsi" w:hAnsiTheme="minorHAnsi" w:cstheme="minorHAnsi"/>
                <w:sz w:val="22"/>
                <w:szCs w:val="22"/>
              </w:rPr>
              <w:t>o cumprimento</w:t>
            </w:r>
            <w:r w:rsidRPr="0072678C">
              <w:rPr>
                <w:rFonts w:asciiTheme="minorHAnsi" w:hAnsiTheme="minorHAnsi" w:cstheme="minorHAnsi"/>
                <w:sz w:val="22"/>
                <w:szCs w:val="22"/>
              </w:rPr>
              <w:t xml:space="preserve"> das obrigações tributárias</w:t>
            </w:r>
          </w:p>
        </w:tc>
        <w:tc>
          <w:tcPr>
            <w:tcW w:w="1898" w:type="dxa"/>
            <w:vMerge w:val="restart"/>
            <w:shd w:val="clear" w:color="auto" w:fill="F7CAAC" w:themeFill="accent2" w:themeFillTint="66"/>
            <w:noWrap/>
            <w:vAlign w:val="center"/>
            <w:hideMark/>
          </w:tcPr>
          <w:p w:rsidR="00410A0A" w:rsidRPr="0072678C" w:rsidRDefault="00410A0A" w:rsidP="00BC23AF">
            <w:pPr>
              <w:ind w:left="33" w:right="-1"/>
              <w:jc w:val="center"/>
              <w:rPr>
                <w:rFonts w:asciiTheme="minorHAnsi" w:hAnsiTheme="minorHAnsi" w:cstheme="minorHAnsi"/>
                <w:b/>
              </w:rPr>
            </w:pPr>
            <w:r w:rsidRPr="0072678C">
              <w:rPr>
                <w:rFonts w:asciiTheme="minorHAnsi" w:hAnsiTheme="minorHAnsi" w:cstheme="minorHAnsi"/>
                <w:b/>
                <w:sz w:val="22"/>
                <w:szCs w:val="22"/>
              </w:rPr>
              <w:t>Maturidade</w:t>
            </w:r>
          </w:p>
        </w:tc>
        <w:tc>
          <w:tcPr>
            <w:tcW w:w="2213" w:type="dxa"/>
            <w:gridSpan w:val="3"/>
            <w:shd w:val="clear" w:color="auto" w:fill="F7CAAC" w:themeFill="accent2" w:themeFillTint="66"/>
          </w:tcPr>
          <w:p w:rsidR="00410A0A" w:rsidRPr="0072678C" w:rsidRDefault="00410A0A" w:rsidP="00BC23AF">
            <w:pPr>
              <w:ind w:left="33" w:right="-1"/>
              <w:jc w:val="center"/>
              <w:rPr>
                <w:rFonts w:asciiTheme="minorHAnsi" w:hAnsiTheme="minorHAnsi" w:cstheme="minorHAnsi"/>
                <w:b/>
              </w:rPr>
            </w:pPr>
            <w:r w:rsidRPr="0072678C">
              <w:rPr>
                <w:rFonts w:asciiTheme="minorHAnsi" w:hAnsiTheme="minorHAnsi" w:cstheme="minorHAnsi"/>
                <w:b/>
                <w:sz w:val="22"/>
                <w:szCs w:val="22"/>
              </w:rPr>
              <w:t>Pontuação</w:t>
            </w:r>
          </w:p>
        </w:tc>
      </w:tr>
      <w:tr w:rsidR="00410A0A" w:rsidRPr="0072678C" w:rsidTr="00410A0A">
        <w:trPr>
          <w:trHeight w:val="345"/>
        </w:trPr>
        <w:tc>
          <w:tcPr>
            <w:tcW w:w="4678" w:type="dxa"/>
            <w:vMerge/>
            <w:shd w:val="clear" w:color="auto" w:fill="F7CAAC" w:themeFill="accent2" w:themeFillTint="66"/>
            <w:noWrap/>
            <w:vAlign w:val="center"/>
            <w:hideMark/>
          </w:tcPr>
          <w:p w:rsidR="00410A0A" w:rsidRPr="0072678C" w:rsidRDefault="00410A0A" w:rsidP="00BC23AF">
            <w:pPr>
              <w:ind w:left="33" w:right="-1"/>
              <w:jc w:val="center"/>
              <w:rPr>
                <w:rFonts w:asciiTheme="minorHAnsi" w:hAnsiTheme="minorHAnsi" w:cstheme="minorHAnsi"/>
                <w:b/>
              </w:rPr>
            </w:pPr>
          </w:p>
        </w:tc>
        <w:tc>
          <w:tcPr>
            <w:tcW w:w="1898" w:type="dxa"/>
            <w:vMerge/>
            <w:shd w:val="clear" w:color="auto" w:fill="F7CAAC" w:themeFill="accent2" w:themeFillTint="66"/>
            <w:noWrap/>
            <w:vAlign w:val="center"/>
            <w:hideMark/>
          </w:tcPr>
          <w:p w:rsidR="00410A0A" w:rsidRPr="0072678C" w:rsidRDefault="00410A0A" w:rsidP="00BC23AF">
            <w:pPr>
              <w:ind w:left="33" w:right="-1"/>
              <w:jc w:val="center"/>
              <w:rPr>
                <w:rFonts w:asciiTheme="minorHAnsi" w:hAnsiTheme="minorHAnsi" w:cstheme="minorHAnsi"/>
                <w:b/>
              </w:rPr>
            </w:pPr>
          </w:p>
        </w:tc>
        <w:tc>
          <w:tcPr>
            <w:tcW w:w="884" w:type="dxa"/>
            <w:shd w:val="clear" w:color="auto" w:fill="F7CAAC" w:themeFill="accent2" w:themeFillTint="66"/>
            <w:vAlign w:val="center"/>
          </w:tcPr>
          <w:p w:rsidR="00410A0A" w:rsidRPr="0072678C" w:rsidRDefault="00410A0A" w:rsidP="00BC23AF">
            <w:pPr>
              <w:jc w:val="center"/>
              <w:rPr>
                <w:rFonts w:asciiTheme="minorHAnsi" w:hAnsiTheme="minorHAnsi" w:cstheme="minorHAnsi"/>
                <w:b/>
              </w:rPr>
            </w:pPr>
            <w:r w:rsidRPr="0072678C">
              <w:rPr>
                <w:rFonts w:asciiTheme="minorHAnsi" w:hAnsiTheme="minorHAnsi" w:cstheme="minorHAnsi"/>
                <w:b/>
                <w:sz w:val="22"/>
                <w:szCs w:val="22"/>
              </w:rPr>
              <w:t>Máxima</w:t>
            </w:r>
          </w:p>
        </w:tc>
        <w:tc>
          <w:tcPr>
            <w:tcW w:w="776" w:type="dxa"/>
            <w:shd w:val="clear" w:color="auto" w:fill="F7CAAC" w:themeFill="accent2" w:themeFillTint="66"/>
            <w:vAlign w:val="center"/>
          </w:tcPr>
          <w:p w:rsidR="00410A0A" w:rsidRPr="0072678C" w:rsidRDefault="00410A0A" w:rsidP="00BC23AF">
            <w:pPr>
              <w:jc w:val="center"/>
              <w:rPr>
                <w:rFonts w:asciiTheme="minorHAnsi" w:hAnsiTheme="minorHAnsi" w:cstheme="minorHAnsi"/>
                <w:b/>
              </w:rPr>
            </w:pPr>
            <w:r w:rsidRPr="0072678C">
              <w:rPr>
                <w:rFonts w:asciiTheme="minorHAnsi" w:hAnsiTheme="minorHAnsi" w:cstheme="minorHAnsi"/>
                <w:b/>
                <w:sz w:val="22"/>
                <w:szCs w:val="22"/>
              </w:rPr>
              <w:t>Obtida</w:t>
            </w:r>
          </w:p>
        </w:tc>
        <w:tc>
          <w:tcPr>
            <w:tcW w:w="553" w:type="dxa"/>
            <w:shd w:val="clear" w:color="auto" w:fill="F7CAAC" w:themeFill="accent2" w:themeFillTint="66"/>
            <w:vAlign w:val="center"/>
          </w:tcPr>
          <w:p w:rsidR="00410A0A" w:rsidRPr="0072678C" w:rsidRDefault="00410A0A" w:rsidP="00BC23AF">
            <w:pPr>
              <w:jc w:val="center"/>
              <w:rPr>
                <w:rFonts w:asciiTheme="minorHAnsi" w:hAnsiTheme="minorHAnsi" w:cstheme="minorHAnsi"/>
                <w:b/>
              </w:rPr>
            </w:pPr>
            <w:r w:rsidRPr="0072678C">
              <w:rPr>
                <w:rFonts w:asciiTheme="minorHAnsi" w:hAnsiTheme="minorHAnsi" w:cstheme="minorHAnsi"/>
                <w:b/>
                <w:sz w:val="22"/>
                <w:szCs w:val="22"/>
              </w:rPr>
              <w:t>%</w:t>
            </w:r>
          </w:p>
        </w:tc>
      </w:tr>
      <w:tr w:rsidR="00410A0A" w:rsidRPr="0072678C" w:rsidTr="00410A0A">
        <w:trPr>
          <w:trHeight w:val="345"/>
        </w:trPr>
        <w:tc>
          <w:tcPr>
            <w:tcW w:w="4678" w:type="dxa"/>
            <w:vMerge/>
            <w:shd w:val="clear" w:color="auto" w:fill="auto"/>
            <w:noWrap/>
            <w:vAlign w:val="center"/>
            <w:hideMark/>
          </w:tcPr>
          <w:p w:rsidR="00410A0A" w:rsidRPr="0072678C" w:rsidRDefault="00410A0A" w:rsidP="00B16094">
            <w:pPr>
              <w:ind w:firstLineChars="200" w:firstLine="480"/>
              <w:jc w:val="center"/>
              <w:rPr>
                <w:rFonts w:ascii="Calibri" w:hAnsi="Calibri" w:cs="Calibri"/>
              </w:rPr>
            </w:pPr>
          </w:p>
        </w:tc>
        <w:tc>
          <w:tcPr>
            <w:tcW w:w="1898" w:type="dxa"/>
            <w:shd w:val="clear" w:color="auto" w:fill="auto"/>
            <w:noWrap/>
            <w:vAlign w:val="center"/>
            <w:hideMark/>
          </w:tcPr>
          <w:p w:rsidR="00410A0A" w:rsidRPr="0072678C" w:rsidRDefault="002B198F" w:rsidP="002B198F">
            <w:pPr>
              <w:jc w:val="center"/>
              <w:rPr>
                <w:rFonts w:ascii="Calibri" w:hAnsi="Calibri" w:cs="Calibri"/>
                <w:b/>
                <w:bCs/>
              </w:rPr>
            </w:pPr>
            <w:r w:rsidRPr="0072678C">
              <w:rPr>
                <w:rFonts w:ascii="Calibri" w:hAnsi="Calibri" w:cs="Calibri"/>
                <w:b/>
                <w:bCs/>
                <w:sz w:val="22"/>
                <w:szCs w:val="22"/>
              </w:rPr>
              <w:t xml:space="preserve">INICIANTE </w:t>
            </w:r>
            <w:r w:rsidR="00410A0A" w:rsidRPr="0072678C">
              <w:rPr>
                <w:rFonts w:ascii="Calibri" w:hAnsi="Calibri" w:cs="Calibri"/>
                <w:b/>
                <w:bCs/>
                <w:sz w:val="22"/>
                <w:szCs w:val="22"/>
              </w:rPr>
              <w:t>(+)</w:t>
            </w:r>
          </w:p>
        </w:tc>
        <w:tc>
          <w:tcPr>
            <w:tcW w:w="884" w:type="dxa"/>
            <w:vAlign w:val="center"/>
          </w:tcPr>
          <w:p w:rsidR="00410A0A" w:rsidRPr="0072678C" w:rsidRDefault="00410A0A" w:rsidP="00BC23AF">
            <w:pPr>
              <w:jc w:val="center"/>
              <w:rPr>
                <w:rFonts w:ascii="Calibri" w:hAnsi="Calibri" w:cs="Calibri"/>
              </w:rPr>
            </w:pPr>
            <w:r w:rsidRPr="0072678C">
              <w:rPr>
                <w:rFonts w:ascii="Calibri" w:hAnsi="Calibri" w:cs="Calibri"/>
                <w:sz w:val="22"/>
                <w:szCs w:val="22"/>
              </w:rPr>
              <w:t>27</w:t>
            </w:r>
          </w:p>
        </w:tc>
        <w:tc>
          <w:tcPr>
            <w:tcW w:w="776" w:type="dxa"/>
            <w:vAlign w:val="center"/>
          </w:tcPr>
          <w:p w:rsidR="00410A0A" w:rsidRPr="0072678C" w:rsidRDefault="002B198F" w:rsidP="00BC23AF">
            <w:pPr>
              <w:jc w:val="center"/>
              <w:rPr>
                <w:rFonts w:ascii="Calibri" w:hAnsi="Calibri" w:cs="Calibri"/>
              </w:rPr>
            </w:pPr>
            <w:r w:rsidRPr="0072678C">
              <w:rPr>
                <w:rFonts w:ascii="Calibri" w:hAnsi="Calibri" w:cs="Calibri"/>
                <w:sz w:val="22"/>
                <w:szCs w:val="22"/>
              </w:rPr>
              <w:t>15</w:t>
            </w:r>
          </w:p>
        </w:tc>
        <w:tc>
          <w:tcPr>
            <w:tcW w:w="553" w:type="dxa"/>
            <w:vAlign w:val="center"/>
          </w:tcPr>
          <w:p w:rsidR="00410A0A" w:rsidRPr="0072678C" w:rsidRDefault="002B198F" w:rsidP="00BC23AF">
            <w:pPr>
              <w:jc w:val="center"/>
              <w:rPr>
                <w:rFonts w:ascii="Calibri" w:hAnsi="Calibri" w:cs="Calibri"/>
              </w:rPr>
            </w:pPr>
            <w:r w:rsidRPr="0072678C">
              <w:rPr>
                <w:rFonts w:ascii="Calibri" w:hAnsi="Calibri" w:cs="Calibri"/>
                <w:sz w:val="22"/>
                <w:szCs w:val="22"/>
              </w:rPr>
              <w:t>56</w:t>
            </w:r>
            <w:r w:rsidR="00410A0A" w:rsidRPr="0072678C">
              <w:rPr>
                <w:rFonts w:ascii="Calibri" w:hAnsi="Calibri" w:cs="Calibri"/>
                <w:sz w:val="22"/>
                <w:szCs w:val="22"/>
              </w:rPr>
              <w:t>%</w:t>
            </w:r>
          </w:p>
        </w:tc>
      </w:tr>
    </w:tbl>
    <w:p w:rsidR="002B198F" w:rsidRPr="0072678C" w:rsidRDefault="002B198F">
      <w:pPr>
        <w:rPr>
          <w:sz w:val="22"/>
          <w:szCs w:val="22"/>
        </w:rPr>
      </w:pPr>
    </w:p>
    <w:p w:rsidR="00536AB6" w:rsidRPr="0072678C" w:rsidRDefault="00536AB6" w:rsidP="00536AB6">
      <w:pPr>
        <w:jc w:val="both"/>
        <w:rPr>
          <w:rFonts w:asciiTheme="minorHAnsi" w:hAnsiTheme="minorHAnsi" w:cstheme="minorHAnsi"/>
          <w:sz w:val="22"/>
          <w:szCs w:val="22"/>
        </w:rPr>
      </w:pPr>
      <w:r w:rsidRPr="0072678C">
        <w:rPr>
          <w:rFonts w:asciiTheme="minorHAnsi" w:hAnsiTheme="minorHAnsi" w:cstheme="minorHAnsi"/>
          <w:sz w:val="22"/>
          <w:szCs w:val="22"/>
        </w:rPr>
        <w:t>Os processo</w:t>
      </w:r>
      <w:r w:rsidR="00276B77" w:rsidRPr="0072678C">
        <w:rPr>
          <w:rFonts w:asciiTheme="minorHAnsi" w:hAnsiTheme="minorHAnsi" w:cstheme="minorHAnsi"/>
          <w:sz w:val="22"/>
          <w:szCs w:val="22"/>
        </w:rPr>
        <w:t>s</w:t>
      </w:r>
      <w:r w:rsidRPr="0072678C">
        <w:rPr>
          <w:rFonts w:asciiTheme="minorHAnsi" w:hAnsiTheme="minorHAnsi" w:cstheme="minorHAnsi"/>
          <w:sz w:val="22"/>
          <w:szCs w:val="22"/>
        </w:rPr>
        <w:t xml:space="preserve"> desta dimensão são os processo</w:t>
      </w:r>
      <w:r w:rsidR="002E082B" w:rsidRPr="0072678C">
        <w:rPr>
          <w:rFonts w:asciiTheme="minorHAnsi" w:hAnsiTheme="minorHAnsi" w:cstheme="minorHAnsi"/>
          <w:sz w:val="22"/>
          <w:szCs w:val="22"/>
        </w:rPr>
        <w:t>s</w:t>
      </w:r>
      <w:r w:rsidR="002B198F" w:rsidRPr="0072678C">
        <w:rPr>
          <w:rFonts w:asciiTheme="minorHAnsi" w:hAnsiTheme="minorHAnsi" w:cstheme="minorHAnsi"/>
          <w:sz w:val="22"/>
          <w:szCs w:val="22"/>
        </w:rPr>
        <w:t xml:space="preserve"> com menor </w:t>
      </w:r>
      <w:r w:rsidRPr="0072678C">
        <w:rPr>
          <w:rFonts w:asciiTheme="minorHAnsi" w:hAnsiTheme="minorHAnsi" w:cstheme="minorHAnsi"/>
          <w:sz w:val="22"/>
          <w:szCs w:val="22"/>
        </w:rPr>
        <w:t xml:space="preserve">nível de maturidade no Eixo II Administração </w:t>
      </w:r>
      <w:r w:rsidR="00276B77" w:rsidRPr="0072678C">
        <w:rPr>
          <w:rFonts w:asciiTheme="minorHAnsi" w:hAnsiTheme="minorHAnsi" w:cstheme="minorHAnsi"/>
          <w:sz w:val="22"/>
          <w:szCs w:val="22"/>
        </w:rPr>
        <w:t>Tributária e Contencioso Fiscal, no entanto</w:t>
      </w:r>
      <w:r w:rsidR="007D1BB8" w:rsidRPr="0072678C">
        <w:rPr>
          <w:rFonts w:asciiTheme="minorHAnsi" w:hAnsiTheme="minorHAnsi" w:cstheme="minorHAnsi"/>
          <w:sz w:val="22"/>
          <w:szCs w:val="22"/>
        </w:rPr>
        <w:t>, apesar deste resultado, 3 dentre 9 processos alcançarão nível 3 de maturidade</w:t>
      </w:r>
      <w:r w:rsidR="002E082B" w:rsidRPr="0072678C">
        <w:rPr>
          <w:rFonts w:asciiTheme="minorHAnsi" w:hAnsiTheme="minorHAnsi" w:cstheme="minorHAnsi"/>
          <w:sz w:val="22"/>
          <w:szCs w:val="22"/>
        </w:rPr>
        <w:t>.</w:t>
      </w:r>
    </w:p>
    <w:p w:rsidR="00536AB6" w:rsidRPr="0072678C" w:rsidRDefault="00536AB6" w:rsidP="00536AB6">
      <w:pPr>
        <w:jc w:val="both"/>
        <w:rPr>
          <w:rFonts w:asciiTheme="minorHAnsi" w:hAnsiTheme="minorHAnsi" w:cstheme="minorHAnsi"/>
          <w:sz w:val="22"/>
          <w:szCs w:val="22"/>
        </w:rPr>
      </w:pPr>
    </w:p>
    <w:p w:rsidR="00276B77" w:rsidRPr="0072678C" w:rsidRDefault="00276B77" w:rsidP="00276B77">
      <w:pPr>
        <w:jc w:val="both"/>
        <w:rPr>
          <w:rFonts w:asciiTheme="minorHAnsi" w:hAnsiTheme="minorHAnsi" w:cstheme="minorHAnsi"/>
          <w:sz w:val="22"/>
          <w:szCs w:val="22"/>
        </w:rPr>
      </w:pPr>
      <w:r w:rsidRPr="0072678C">
        <w:rPr>
          <w:rFonts w:asciiTheme="minorHAnsi" w:hAnsiTheme="minorHAnsi" w:cstheme="minorHAnsi"/>
          <w:sz w:val="22"/>
          <w:szCs w:val="22"/>
        </w:rPr>
        <w:t xml:space="preserve">O processo </w:t>
      </w:r>
      <w:r w:rsidRPr="0072678C">
        <w:rPr>
          <w:rFonts w:asciiTheme="minorHAnsi" w:hAnsiTheme="minorHAnsi" w:cstheme="minorHAnsi"/>
          <w:b/>
          <w:bCs/>
          <w:i/>
          <w:iCs/>
          <w:sz w:val="22"/>
          <w:szCs w:val="22"/>
        </w:rPr>
        <w:t>cadastro dos contribuintes do ICMS</w:t>
      </w:r>
      <w:r w:rsidRPr="0072678C">
        <w:rPr>
          <w:rFonts w:asciiTheme="minorHAnsi" w:hAnsiTheme="minorHAnsi" w:cstheme="minorHAnsi"/>
          <w:sz w:val="22"/>
          <w:szCs w:val="22"/>
        </w:rPr>
        <w:t xml:space="preserve"> </w:t>
      </w:r>
      <w:r w:rsidR="002E082B" w:rsidRPr="0072678C">
        <w:rPr>
          <w:rFonts w:asciiTheme="minorHAnsi" w:hAnsiTheme="minorHAnsi" w:cstheme="minorHAnsi"/>
          <w:sz w:val="22"/>
          <w:szCs w:val="22"/>
        </w:rPr>
        <w:t>ainda não utiliza</w:t>
      </w:r>
      <w:r w:rsidRPr="0072678C">
        <w:rPr>
          <w:rFonts w:asciiTheme="minorHAnsi" w:hAnsiTheme="minorHAnsi" w:cstheme="minorHAnsi"/>
          <w:sz w:val="22"/>
          <w:szCs w:val="22"/>
        </w:rPr>
        <w:t xml:space="preserve"> informações integradas com os órgãos de licenciamento relacionados à atividade do contribuinte; e </w:t>
      </w:r>
      <w:r w:rsidR="0085792D" w:rsidRPr="0072678C">
        <w:rPr>
          <w:rFonts w:asciiTheme="minorHAnsi" w:hAnsiTheme="minorHAnsi" w:cstheme="minorHAnsi"/>
          <w:sz w:val="22"/>
          <w:szCs w:val="22"/>
        </w:rPr>
        <w:t xml:space="preserve">não </w:t>
      </w:r>
      <w:r w:rsidRPr="0072678C">
        <w:rPr>
          <w:rFonts w:asciiTheme="minorHAnsi" w:hAnsiTheme="minorHAnsi" w:cstheme="minorHAnsi"/>
          <w:sz w:val="22"/>
          <w:szCs w:val="22"/>
        </w:rPr>
        <w:t>disponibiliza informações segmentadas dos contribuintes por porte, por atividade econômica e por regime de tributação.</w:t>
      </w:r>
    </w:p>
    <w:p w:rsidR="00276B77" w:rsidRPr="0072678C" w:rsidRDefault="00276B77" w:rsidP="00536AB6">
      <w:pPr>
        <w:rPr>
          <w:rFonts w:asciiTheme="minorHAnsi" w:hAnsiTheme="minorHAnsi" w:cstheme="minorHAnsi"/>
          <w:sz w:val="22"/>
          <w:szCs w:val="22"/>
        </w:rPr>
      </w:pPr>
    </w:p>
    <w:p w:rsidR="00276B77" w:rsidRPr="0072678C" w:rsidRDefault="00276B77" w:rsidP="00536AB6">
      <w:pPr>
        <w:rPr>
          <w:rFonts w:asciiTheme="minorHAnsi" w:hAnsiTheme="minorHAnsi" w:cstheme="minorHAnsi"/>
          <w:sz w:val="22"/>
          <w:szCs w:val="22"/>
        </w:rPr>
      </w:pPr>
      <w:r w:rsidRPr="0072678C">
        <w:rPr>
          <w:rFonts w:asciiTheme="minorHAnsi" w:hAnsiTheme="minorHAnsi" w:cstheme="minorHAnsi"/>
          <w:sz w:val="22"/>
          <w:szCs w:val="22"/>
        </w:rPr>
        <w:t xml:space="preserve">Para o processo </w:t>
      </w:r>
      <w:r w:rsidRPr="0072678C">
        <w:rPr>
          <w:rFonts w:asciiTheme="minorHAnsi" w:hAnsiTheme="minorHAnsi" w:cstheme="minorHAnsi"/>
          <w:b/>
          <w:bCs/>
          <w:i/>
          <w:iCs/>
          <w:sz w:val="22"/>
          <w:szCs w:val="22"/>
        </w:rPr>
        <w:t>Documentos Fiscais eletrônicos (</w:t>
      </w:r>
      <w:proofErr w:type="spellStart"/>
      <w:r w:rsidRPr="0072678C">
        <w:rPr>
          <w:rFonts w:asciiTheme="minorHAnsi" w:hAnsiTheme="minorHAnsi" w:cstheme="minorHAnsi"/>
          <w:b/>
          <w:bCs/>
          <w:i/>
          <w:iCs/>
          <w:sz w:val="22"/>
          <w:szCs w:val="22"/>
        </w:rPr>
        <w:t>DF-e</w:t>
      </w:r>
      <w:proofErr w:type="spellEnd"/>
      <w:r w:rsidRPr="0072678C">
        <w:rPr>
          <w:rFonts w:asciiTheme="minorHAnsi" w:hAnsiTheme="minorHAnsi" w:cstheme="minorHAnsi"/>
          <w:b/>
          <w:bCs/>
          <w:i/>
          <w:iCs/>
          <w:sz w:val="22"/>
          <w:szCs w:val="22"/>
        </w:rPr>
        <w:t>)</w:t>
      </w:r>
      <w:r w:rsidR="00E1781C" w:rsidRPr="0072678C">
        <w:rPr>
          <w:rFonts w:asciiTheme="minorHAnsi" w:hAnsiTheme="minorHAnsi" w:cstheme="minorHAnsi"/>
          <w:b/>
          <w:bCs/>
          <w:i/>
          <w:iCs/>
          <w:sz w:val="22"/>
          <w:szCs w:val="22"/>
        </w:rPr>
        <w:t xml:space="preserve"> </w:t>
      </w:r>
      <w:r w:rsidR="00E1781C" w:rsidRPr="0072678C">
        <w:rPr>
          <w:rFonts w:asciiTheme="minorHAnsi" w:hAnsiTheme="minorHAnsi" w:cstheme="minorHAnsi"/>
          <w:sz w:val="22"/>
          <w:szCs w:val="22"/>
        </w:rPr>
        <w:t>a SEFAZ/SP ainda não disponibiliza a n</w:t>
      </w:r>
      <w:r w:rsidRPr="0072678C">
        <w:rPr>
          <w:rFonts w:asciiTheme="minorHAnsi" w:hAnsiTheme="minorHAnsi" w:cstheme="minorHAnsi"/>
          <w:sz w:val="22"/>
          <w:szCs w:val="22"/>
        </w:rPr>
        <w:t>ota fiscal avulsa eletrônica</w:t>
      </w:r>
      <w:r w:rsidR="00E1781C" w:rsidRPr="0072678C">
        <w:rPr>
          <w:rFonts w:asciiTheme="minorHAnsi" w:hAnsiTheme="minorHAnsi" w:cstheme="minorHAnsi"/>
          <w:sz w:val="22"/>
          <w:szCs w:val="22"/>
        </w:rPr>
        <w:t>.</w:t>
      </w:r>
    </w:p>
    <w:p w:rsidR="00E1781C" w:rsidRPr="0072678C" w:rsidRDefault="00E1781C" w:rsidP="00536AB6">
      <w:pPr>
        <w:rPr>
          <w:rFonts w:asciiTheme="minorHAnsi" w:hAnsiTheme="minorHAnsi" w:cstheme="minorHAnsi"/>
          <w:sz w:val="22"/>
          <w:szCs w:val="22"/>
        </w:rPr>
      </w:pPr>
    </w:p>
    <w:p w:rsidR="0025306F" w:rsidRPr="005A7DB1" w:rsidRDefault="001F19E4" w:rsidP="00935F10">
      <w:pPr>
        <w:jc w:val="both"/>
        <w:rPr>
          <w:rFonts w:asciiTheme="minorHAnsi" w:hAnsiTheme="minorHAnsi" w:cstheme="minorHAnsi"/>
          <w:sz w:val="22"/>
          <w:szCs w:val="22"/>
        </w:rPr>
      </w:pPr>
      <w:r w:rsidRPr="005A7DB1">
        <w:rPr>
          <w:rFonts w:asciiTheme="minorHAnsi" w:hAnsiTheme="minorHAnsi" w:cstheme="minorHAnsi"/>
          <w:sz w:val="22"/>
          <w:szCs w:val="22"/>
        </w:rPr>
        <w:t xml:space="preserve">No que se refere ao </w:t>
      </w:r>
      <w:r w:rsidR="0051501E" w:rsidRPr="005A7DB1">
        <w:rPr>
          <w:rFonts w:asciiTheme="minorHAnsi" w:hAnsiTheme="minorHAnsi" w:cstheme="minorHAnsi"/>
          <w:b/>
          <w:bCs/>
          <w:sz w:val="22"/>
          <w:szCs w:val="22"/>
        </w:rPr>
        <w:t>monitoramento dos grandes contribuinte</w:t>
      </w:r>
      <w:r w:rsidRPr="005A7DB1">
        <w:rPr>
          <w:rFonts w:asciiTheme="minorHAnsi" w:hAnsiTheme="minorHAnsi" w:cstheme="minorHAnsi"/>
          <w:b/>
          <w:bCs/>
          <w:sz w:val="22"/>
          <w:szCs w:val="22"/>
        </w:rPr>
        <w:t xml:space="preserve">s e dos contribuintes de médio porte </w:t>
      </w:r>
      <w:r w:rsidR="0051501E" w:rsidRPr="005A7DB1">
        <w:rPr>
          <w:rFonts w:asciiTheme="minorHAnsi" w:hAnsiTheme="minorHAnsi" w:cstheme="minorHAnsi"/>
          <w:b/>
          <w:bCs/>
          <w:i/>
          <w:iCs/>
          <w:sz w:val="22"/>
          <w:szCs w:val="22"/>
        </w:rPr>
        <w:t xml:space="preserve">do ICMS </w:t>
      </w:r>
      <w:r w:rsidRPr="005A7DB1">
        <w:rPr>
          <w:rFonts w:asciiTheme="minorHAnsi" w:hAnsiTheme="minorHAnsi" w:cstheme="minorHAnsi"/>
          <w:sz w:val="22"/>
          <w:szCs w:val="22"/>
        </w:rPr>
        <w:t xml:space="preserve">a </w:t>
      </w:r>
      <w:r w:rsidR="009F19ED" w:rsidRPr="005A7DB1">
        <w:rPr>
          <w:rFonts w:asciiTheme="minorHAnsi" w:hAnsiTheme="minorHAnsi" w:cstheme="minorHAnsi"/>
          <w:sz w:val="22"/>
          <w:szCs w:val="22"/>
        </w:rPr>
        <w:t>SEFAZ</w:t>
      </w:r>
      <w:r w:rsidRPr="005A7DB1">
        <w:rPr>
          <w:rFonts w:asciiTheme="minorHAnsi" w:hAnsiTheme="minorHAnsi" w:cstheme="minorHAnsi"/>
          <w:sz w:val="22"/>
          <w:szCs w:val="22"/>
        </w:rPr>
        <w:t xml:space="preserve">/SP deverá </w:t>
      </w:r>
      <w:r w:rsidR="0051501E" w:rsidRPr="005A7DB1">
        <w:rPr>
          <w:rFonts w:asciiTheme="minorHAnsi" w:hAnsiTheme="minorHAnsi" w:cstheme="minorHAnsi"/>
          <w:sz w:val="22"/>
          <w:szCs w:val="22"/>
        </w:rPr>
        <w:t>definir</w:t>
      </w:r>
      <w:r w:rsidRPr="005A7DB1">
        <w:rPr>
          <w:rFonts w:asciiTheme="minorHAnsi" w:hAnsiTheme="minorHAnsi" w:cstheme="minorHAnsi"/>
          <w:sz w:val="22"/>
          <w:szCs w:val="22"/>
        </w:rPr>
        <w:t xml:space="preserve"> quais são os </w:t>
      </w:r>
      <w:r w:rsidR="0051501E" w:rsidRPr="005A7DB1">
        <w:rPr>
          <w:rFonts w:asciiTheme="minorHAnsi" w:hAnsiTheme="minorHAnsi" w:cstheme="minorHAnsi"/>
          <w:sz w:val="22"/>
          <w:szCs w:val="22"/>
        </w:rPr>
        <w:t xml:space="preserve">critérios de enquadramento </w:t>
      </w:r>
      <w:r w:rsidR="0093121C" w:rsidRPr="005A7DB1">
        <w:rPr>
          <w:rFonts w:asciiTheme="minorHAnsi" w:hAnsiTheme="minorHAnsi" w:cstheme="minorHAnsi"/>
          <w:sz w:val="22"/>
          <w:szCs w:val="22"/>
        </w:rPr>
        <w:t xml:space="preserve">dos </w:t>
      </w:r>
      <w:r w:rsidR="0051501E" w:rsidRPr="005A7DB1">
        <w:rPr>
          <w:rFonts w:asciiTheme="minorHAnsi" w:hAnsiTheme="minorHAnsi" w:cstheme="minorHAnsi"/>
          <w:sz w:val="22"/>
          <w:szCs w:val="22"/>
        </w:rPr>
        <w:t>grande</w:t>
      </w:r>
      <w:r w:rsidRPr="005A7DB1">
        <w:rPr>
          <w:rFonts w:asciiTheme="minorHAnsi" w:hAnsiTheme="minorHAnsi" w:cstheme="minorHAnsi"/>
          <w:sz w:val="22"/>
          <w:szCs w:val="22"/>
        </w:rPr>
        <w:t xml:space="preserve">/ médio </w:t>
      </w:r>
      <w:r w:rsidR="0051501E" w:rsidRPr="005A7DB1">
        <w:rPr>
          <w:rFonts w:asciiTheme="minorHAnsi" w:hAnsiTheme="minorHAnsi" w:cstheme="minorHAnsi"/>
          <w:sz w:val="22"/>
          <w:szCs w:val="22"/>
        </w:rPr>
        <w:t xml:space="preserve">contribuinte; </w:t>
      </w:r>
      <w:r w:rsidR="0025306F" w:rsidRPr="005A7DB1">
        <w:rPr>
          <w:rFonts w:asciiTheme="minorHAnsi" w:hAnsiTheme="minorHAnsi" w:cstheme="minorHAnsi"/>
          <w:sz w:val="22"/>
          <w:szCs w:val="22"/>
        </w:rPr>
        <w:t xml:space="preserve">realizar monitoramento eletrônico com acesso aos </w:t>
      </w:r>
      <w:proofErr w:type="spellStart"/>
      <w:r w:rsidR="0025306F" w:rsidRPr="005A7DB1">
        <w:rPr>
          <w:rFonts w:asciiTheme="minorHAnsi" w:hAnsiTheme="minorHAnsi" w:cstheme="minorHAnsi"/>
          <w:sz w:val="22"/>
          <w:szCs w:val="22"/>
        </w:rPr>
        <w:t>DF-e</w:t>
      </w:r>
      <w:proofErr w:type="spellEnd"/>
      <w:r w:rsidR="0025306F" w:rsidRPr="005A7DB1">
        <w:rPr>
          <w:rFonts w:asciiTheme="minorHAnsi" w:hAnsiTheme="minorHAnsi" w:cstheme="minorHAnsi"/>
          <w:sz w:val="22"/>
          <w:szCs w:val="22"/>
        </w:rPr>
        <w:t xml:space="preserve"> emitidos; verificar a consistência das informações cadastrais e o cumprimento das obrigações tributárias principal e acessórias; solicitar auditoria fiscal quando identificar necessidade de verificação física de indícios de irregularidades; utilizar informações da arrecadação do ICMS, inclusive no comércio eletrônico</w:t>
      </w:r>
      <w:r w:rsidR="00935F10" w:rsidRPr="005A7DB1">
        <w:rPr>
          <w:rFonts w:asciiTheme="minorHAnsi" w:hAnsiTheme="minorHAnsi" w:cstheme="minorHAnsi"/>
          <w:sz w:val="22"/>
          <w:szCs w:val="22"/>
        </w:rPr>
        <w:t xml:space="preserve">, </w:t>
      </w:r>
      <w:r w:rsidR="0025306F" w:rsidRPr="005A7DB1">
        <w:rPr>
          <w:rFonts w:asciiTheme="minorHAnsi" w:hAnsiTheme="minorHAnsi" w:cstheme="minorHAnsi"/>
          <w:sz w:val="22"/>
          <w:szCs w:val="22"/>
        </w:rPr>
        <w:t xml:space="preserve">do faturamento da declaração do contribuinte e das bases de dados de </w:t>
      </w:r>
      <w:proofErr w:type="spellStart"/>
      <w:r w:rsidR="0025306F" w:rsidRPr="005A7DB1">
        <w:rPr>
          <w:rFonts w:asciiTheme="minorHAnsi" w:hAnsiTheme="minorHAnsi" w:cstheme="minorHAnsi"/>
          <w:sz w:val="22"/>
          <w:szCs w:val="22"/>
        </w:rPr>
        <w:t>DF-e</w:t>
      </w:r>
      <w:proofErr w:type="spellEnd"/>
      <w:r w:rsidR="00935F10" w:rsidRPr="005A7DB1">
        <w:rPr>
          <w:rFonts w:asciiTheme="minorHAnsi" w:hAnsiTheme="minorHAnsi" w:cstheme="minorHAnsi"/>
          <w:sz w:val="22"/>
          <w:szCs w:val="22"/>
        </w:rPr>
        <w:t xml:space="preserve">, </w:t>
      </w:r>
      <w:r w:rsidR="0025306F" w:rsidRPr="005A7DB1">
        <w:rPr>
          <w:rFonts w:asciiTheme="minorHAnsi" w:hAnsiTheme="minorHAnsi" w:cstheme="minorHAnsi"/>
          <w:sz w:val="22"/>
          <w:szCs w:val="22"/>
        </w:rPr>
        <w:t>das bases de dados da Escrituração Fiscal Digital (EFD)</w:t>
      </w:r>
      <w:r w:rsidR="00935F10" w:rsidRPr="005A7DB1">
        <w:rPr>
          <w:rFonts w:asciiTheme="minorHAnsi" w:hAnsiTheme="minorHAnsi" w:cstheme="minorHAnsi"/>
          <w:sz w:val="22"/>
          <w:szCs w:val="22"/>
        </w:rPr>
        <w:t xml:space="preserve"> e da </w:t>
      </w:r>
      <w:r w:rsidR="0025306F" w:rsidRPr="005A7DB1">
        <w:rPr>
          <w:rFonts w:asciiTheme="minorHAnsi" w:hAnsiTheme="minorHAnsi" w:cstheme="minorHAnsi"/>
          <w:sz w:val="22"/>
          <w:szCs w:val="22"/>
        </w:rPr>
        <w:t>Escrituração Contábil Digital (ECD)</w:t>
      </w:r>
      <w:r w:rsidR="00935F10" w:rsidRPr="005A7DB1">
        <w:rPr>
          <w:rFonts w:asciiTheme="minorHAnsi" w:hAnsiTheme="minorHAnsi" w:cstheme="minorHAnsi"/>
          <w:sz w:val="22"/>
          <w:szCs w:val="22"/>
        </w:rPr>
        <w:t xml:space="preserve">, </w:t>
      </w:r>
      <w:r w:rsidR="0025306F" w:rsidRPr="005A7DB1">
        <w:rPr>
          <w:rFonts w:asciiTheme="minorHAnsi" w:hAnsiTheme="minorHAnsi" w:cstheme="minorHAnsi"/>
          <w:sz w:val="22"/>
          <w:szCs w:val="22"/>
        </w:rPr>
        <w:t>e outras bases de dados relacionadas às despesas operacionais do contribuinte</w:t>
      </w:r>
      <w:r w:rsidR="00935F10" w:rsidRPr="005A7DB1">
        <w:rPr>
          <w:rFonts w:asciiTheme="minorHAnsi" w:hAnsiTheme="minorHAnsi" w:cstheme="minorHAnsi"/>
          <w:sz w:val="22"/>
          <w:szCs w:val="22"/>
        </w:rPr>
        <w:t xml:space="preserve">, </w:t>
      </w:r>
      <w:r w:rsidR="0025306F" w:rsidRPr="005A7DB1">
        <w:rPr>
          <w:rFonts w:asciiTheme="minorHAnsi" w:hAnsiTheme="minorHAnsi" w:cstheme="minorHAnsi"/>
          <w:sz w:val="22"/>
          <w:szCs w:val="22"/>
        </w:rPr>
        <w:t>informações do controle do trânsito de mercadorias</w:t>
      </w:r>
      <w:r w:rsidR="00935F10" w:rsidRPr="005A7DB1">
        <w:rPr>
          <w:rFonts w:asciiTheme="minorHAnsi" w:hAnsiTheme="minorHAnsi" w:cstheme="minorHAnsi"/>
          <w:sz w:val="22"/>
          <w:szCs w:val="22"/>
        </w:rPr>
        <w:t xml:space="preserve">, dos </w:t>
      </w:r>
      <w:r w:rsidR="0025306F" w:rsidRPr="005A7DB1">
        <w:rPr>
          <w:rFonts w:asciiTheme="minorHAnsi" w:hAnsiTheme="minorHAnsi" w:cstheme="minorHAnsi"/>
          <w:sz w:val="22"/>
          <w:szCs w:val="22"/>
        </w:rPr>
        <w:t>dados econômicos e compara</w:t>
      </w:r>
      <w:r w:rsidR="00935F10" w:rsidRPr="005A7DB1">
        <w:rPr>
          <w:rFonts w:asciiTheme="minorHAnsi" w:hAnsiTheme="minorHAnsi" w:cstheme="minorHAnsi"/>
          <w:sz w:val="22"/>
          <w:szCs w:val="22"/>
        </w:rPr>
        <w:t>r</w:t>
      </w:r>
      <w:r w:rsidR="0025306F" w:rsidRPr="005A7DB1">
        <w:rPr>
          <w:rFonts w:asciiTheme="minorHAnsi" w:hAnsiTheme="minorHAnsi" w:cstheme="minorHAnsi"/>
          <w:sz w:val="22"/>
          <w:szCs w:val="22"/>
        </w:rPr>
        <w:t xml:space="preserve"> com os demais contribuintes do mesmo segmento </w:t>
      </w:r>
    </w:p>
    <w:p w:rsidR="00EC2050" w:rsidRPr="0072678C" w:rsidRDefault="00EC2050" w:rsidP="0051501E">
      <w:pPr>
        <w:jc w:val="both"/>
        <w:rPr>
          <w:rFonts w:asciiTheme="minorHAnsi" w:hAnsiTheme="minorHAnsi" w:cstheme="minorHAnsi"/>
          <w:sz w:val="22"/>
          <w:szCs w:val="22"/>
        </w:rPr>
      </w:pPr>
    </w:p>
    <w:p w:rsidR="00BD3D5B" w:rsidRPr="0072678C" w:rsidRDefault="009F19ED" w:rsidP="00BD3D5B">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00BD3D5B" w:rsidRPr="0072678C">
        <w:rPr>
          <w:rFonts w:asciiTheme="minorHAnsi" w:hAnsiTheme="minorHAnsi" w:cstheme="minorHAnsi"/>
          <w:b/>
          <w:bCs/>
          <w:i/>
          <w:iCs/>
          <w:sz w:val="22"/>
          <w:szCs w:val="22"/>
        </w:rPr>
        <w:t>monitoramento do regime simplificado (SIMPLES e SIMEI)</w:t>
      </w:r>
      <w:r w:rsidR="00BD3D5B" w:rsidRPr="0072678C">
        <w:rPr>
          <w:rFonts w:asciiTheme="minorHAnsi" w:hAnsiTheme="minorHAnsi" w:cstheme="minorHAnsi"/>
          <w:sz w:val="22"/>
          <w:szCs w:val="22"/>
        </w:rPr>
        <w:t xml:space="preserve"> </w:t>
      </w:r>
      <w:r w:rsidR="0093121C" w:rsidRPr="0072678C">
        <w:rPr>
          <w:rFonts w:asciiTheme="minorHAnsi" w:hAnsiTheme="minorHAnsi" w:cstheme="minorHAnsi"/>
          <w:sz w:val="22"/>
          <w:szCs w:val="22"/>
        </w:rPr>
        <w:t xml:space="preserve">ainda </w:t>
      </w:r>
      <w:r w:rsidR="00BD3D5B" w:rsidRPr="0072678C">
        <w:rPr>
          <w:rFonts w:asciiTheme="minorHAnsi" w:hAnsiTheme="minorHAnsi" w:cstheme="minorHAnsi"/>
          <w:sz w:val="22"/>
          <w:szCs w:val="22"/>
        </w:rPr>
        <w:t>não utiliza informações de abertura e fechamento de empresas, por participação societária.</w:t>
      </w:r>
    </w:p>
    <w:p w:rsidR="00BD3D5B" w:rsidRPr="0072678C" w:rsidRDefault="00BD3D5B" w:rsidP="00BD3D5B">
      <w:pPr>
        <w:jc w:val="both"/>
        <w:rPr>
          <w:rFonts w:asciiTheme="minorHAnsi" w:hAnsiTheme="minorHAnsi" w:cstheme="minorHAnsi"/>
          <w:sz w:val="22"/>
          <w:szCs w:val="22"/>
        </w:rPr>
      </w:pPr>
    </w:p>
    <w:p w:rsidR="00BD3D5B" w:rsidRPr="0072678C" w:rsidRDefault="00BD3D5B" w:rsidP="00BD3D5B">
      <w:pPr>
        <w:jc w:val="both"/>
        <w:rPr>
          <w:rFonts w:asciiTheme="minorHAnsi" w:hAnsiTheme="minorHAnsi" w:cstheme="minorHAnsi"/>
          <w:sz w:val="22"/>
          <w:szCs w:val="22"/>
        </w:rPr>
      </w:pPr>
      <w:r w:rsidRPr="0072678C">
        <w:rPr>
          <w:rFonts w:asciiTheme="minorHAnsi" w:hAnsiTheme="minorHAnsi" w:cstheme="minorHAnsi"/>
          <w:sz w:val="22"/>
          <w:szCs w:val="22"/>
        </w:rPr>
        <w:t>O</w:t>
      </w:r>
      <w:r w:rsidR="001F19E4" w:rsidRPr="0072678C">
        <w:rPr>
          <w:rFonts w:asciiTheme="minorHAnsi" w:hAnsiTheme="minorHAnsi" w:cstheme="minorHAnsi"/>
          <w:sz w:val="22"/>
          <w:szCs w:val="22"/>
        </w:rPr>
        <w:t xml:space="preserve"> </w:t>
      </w:r>
      <w:r w:rsidR="009F19ED" w:rsidRPr="0072678C">
        <w:rPr>
          <w:rFonts w:asciiTheme="minorHAnsi" w:hAnsiTheme="minorHAnsi" w:cstheme="minorHAnsi"/>
          <w:sz w:val="22"/>
          <w:szCs w:val="22"/>
        </w:rPr>
        <w:t>p</w:t>
      </w:r>
      <w:r w:rsidRPr="0072678C">
        <w:rPr>
          <w:rFonts w:asciiTheme="minorHAnsi" w:hAnsiTheme="minorHAnsi" w:cstheme="minorHAnsi"/>
          <w:sz w:val="22"/>
          <w:szCs w:val="22"/>
        </w:rPr>
        <w:t xml:space="preserve">rocedimento de </w:t>
      </w:r>
      <w:r w:rsidRPr="0072678C">
        <w:rPr>
          <w:rFonts w:asciiTheme="minorHAnsi" w:hAnsiTheme="minorHAnsi" w:cstheme="minorHAnsi"/>
          <w:b/>
          <w:bCs/>
          <w:i/>
          <w:iCs/>
          <w:sz w:val="22"/>
          <w:szCs w:val="22"/>
        </w:rPr>
        <w:t xml:space="preserve">apuração do ITCD/ITCMD </w:t>
      </w:r>
      <w:r w:rsidRPr="0072678C">
        <w:rPr>
          <w:rFonts w:asciiTheme="minorHAnsi" w:hAnsiTheme="minorHAnsi" w:cstheme="minorHAnsi"/>
          <w:sz w:val="22"/>
          <w:szCs w:val="22"/>
        </w:rPr>
        <w:t xml:space="preserve">não disponibiliza a declaração de transferência e opção de pagamento por meio de cartório conveniado, com certificação digital; não utiliza tabelas </w:t>
      </w:r>
      <w:r w:rsidRPr="0072678C">
        <w:rPr>
          <w:rFonts w:asciiTheme="minorHAnsi" w:hAnsiTheme="minorHAnsi" w:cstheme="minorHAnsi"/>
          <w:sz w:val="22"/>
          <w:szCs w:val="22"/>
        </w:rPr>
        <w:lastRenderedPageBreak/>
        <w:t>especializadas sobre preço de mercado para o lançamento do imposto; e não disponibiliza certidão específica, com validação eletrônica de veracidade, via web.</w:t>
      </w:r>
    </w:p>
    <w:p w:rsidR="00BD3D5B" w:rsidRPr="0072678C" w:rsidRDefault="00BD3D5B" w:rsidP="00BD3D5B">
      <w:pPr>
        <w:jc w:val="both"/>
        <w:rPr>
          <w:rFonts w:asciiTheme="minorHAnsi" w:hAnsiTheme="minorHAnsi" w:cstheme="minorHAnsi"/>
          <w:sz w:val="22"/>
          <w:szCs w:val="22"/>
        </w:rPr>
      </w:pPr>
    </w:p>
    <w:p w:rsidR="00BD3D5B" w:rsidRPr="0072678C" w:rsidRDefault="00031A5D" w:rsidP="00BD3D5B">
      <w:pPr>
        <w:jc w:val="both"/>
        <w:rPr>
          <w:rFonts w:asciiTheme="minorHAnsi" w:hAnsiTheme="minorHAnsi" w:cstheme="minorHAnsi"/>
          <w:sz w:val="22"/>
          <w:szCs w:val="22"/>
        </w:rPr>
      </w:pPr>
      <w:r w:rsidRPr="0072678C">
        <w:rPr>
          <w:rFonts w:asciiTheme="minorHAnsi" w:hAnsiTheme="minorHAnsi" w:cstheme="minorHAnsi"/>
          <w:sz w:val="22"/>
          <w:szCs w:val="22"/>
        </w:rPr>
        <w:t xml:space="preserve">Com relação a </w:t>
      </w:r>
      <w:r w:rsidR="00BD3D5B" w:rsidRPr="0072678C">
        <w:rPr>
          <w:rFonts w:asciiTheme="minorHAnsi" w:hAnsiTheme="minorHAnsi" w:cstheme="minorHAnsi"/>
          <w:sz w:val="22"/>
          <w:szCs w:val="22"/>
        </w:rPr>
        <w:t>progressividade na aplicação de</w:t>
      </w:r>
      <w:r w:rsidR="00BD3D5B" w:rsidRPr="0072678C">
        <w:rPr>
          <w:rFonts w:asciiTheme="minorHAnsi" w:hAnsiTheme="minorHAnsi" w:cstheme="minorHAnsi"/>
          <w:b/>
          <w:bCs/>
          <w:i/>
          <w:iCs/>
          <w:sz w:val="22"/>
          <w:szCs w:val="22"/>
        </w:rPr>
        <w:t xml:space="preserve"> penalidades pelo descumprimento de obrigações </w:t>
      </w:r>
      <w:proofErr w:type="gramStart"/>
      <w:r w:rsidR="00BD3D5B" w:rsidRPr="0072678C">
        <w:rPr>
          <w:rFonts w:asciiTheme="minorHAnsi" w:hAnsiTheme="minorHAnsi" w:cstheme="minorHAnsi"/>
          <w:b/>
          <w:bCs/>
          <w:sz w:val="22"/>
          <w:szCs w:val="22"/>
        </w:rPr>
        <w:t>acessórias</w:t>
      </w:r>
      <w:proofErr w:type="gramEnd"/>
      <w:r w:rsidR="00BD3D5B"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os </w:t>
      </w:r>
      <w:r w:rsidR="00BD3D5B" w:rsidRPr="0072678C">
        <w:rPr>
          <w:rFonts w:asciiTheme="minorHAnsi" w:hAnsiTheme="minorHAnsi" w:cstheme="minorHAnsi"/>
          <w:sz w:val="22"/>
          <w:szCs w:val="22"/>
        </w:rPr>
        <w:t>benefícios fiscais concedidos</w:t>
      </w:r>
      <w:r w:rsidRPr="0072678C">
        <w:rPr>
          <w:rFonts w:asciiTheme="minorHAnsi" w:hAnsiTheme="minorHAnsi" w:cstheme="minorHAnsi"/>
          <w:sz w:val="22"/>
          <w:szCs w:val="22"/>
        </w:rPr>
        <w:t xml:space="preserve"> ainda não </w:t>
      </w:r>
      <w:r w:rsidR="00C753FE" w:rsidRPr="0072678C">
        <w:rPr>
          <w:rFonts w:asciiTheme="minorHAnsi" w:hAnsiTheme="minorHAnsi" w:cstheme="minorHAnsi"/>
          <w:sz w:val="22"/>
          <w:szCs w:val="22"/>
        </w:rPr>
        <w:t xml:space="preserve">são </w:t>
      </w:r>
      <w:r w:rsidRPr="0072678C">
        <w:rPr>
          <w:rFonts w:asciiTheme="minorHAnsi" w:hAnsiTheme="minorHAnsi" w:cstheme="minorHAnsi"/>
          <w:sz w:val="22"/>
          <w:szCs w:val="22"/>
        </w:rPr>
        <w:t>revistos apesar da aplicação das penalidades.</w:t>
      </w:r>
    </w:p>
    <w:p w:rsidR="00C753FE" w:rsidRPr="0072678C" w:rsidRDefault="00C753FE" w:rsidP="00BD3D5B">
      <w:pPr>
        <w:jc w:val="both"/>
        <w:rPr>
          <w:rFonts w:asciiTheme="minorHAnsi" w:hAnsiTheme="minorHAnsi" w:cstheme="minorHAnsi"/>
          <w:sz w:val="22"/>
          <w:szCs w:val="22"/>
        </w:rPr>
      </w:pPr>
    </w:p>
    <w:p w:rsidR="005D6727" w:rsidRPr="005A7DB1" w:rsidRDefault="005D6727" w:rsidP="005D6727">
      <w:pPr>
        <w:jc w:val="both"/>
        <w:rPr>
          <w:rFonts w:asciiTheme="minorHAnsi" w:hAnsiTheme="minorHAnsi" w:cstheme="minorHAnsi"/>
          <w:sz w:val="22"/>
          <w:szCs w:val="22"/>
        </w:rPr>
      </w:pPr>
      <w:r w:rsidRPr="005A7DB1">
        <w:rPr>
          <w:rFonts w:asciiTheme="minorHAnsi" w:hAnsiTheme="minorHAnsi" w:cstheme="minorHAnsi"/>
          <w:sz w:val="22"/>
          <w:szCs w:val="22"/>
        </w:rPr>
        <w:t xml:space="preserve">O procedimento de </w:t>
      </w:r>
      <w:r w:rsidRPr="005A7DB1">
        <w:rPr>
          <w:rFonts w:asciiTheme="minorHAnsi" w:hAnsiTheme="minorHAnsi" w:cstheme="minorHAnsi"/>
          <w:b/>
          <w:bCs/>
          <w:i/>
          <w:iCs/>
          <w:sz w:val="22"/>
          <w:szCs w:val="22"/>
        </w:rPr>
        <w:t xml:space="preserve">aferição do ICMS </w:t>
      </w:r>
      <w:r w:rsidRPr="005A7DB1">
        <w:rPr>
          <w:rFonts w:asciiTheme="minorHAnsi" w:hAnsiTheme="minorHAnsi" w:cstheme="minorHAnsi"/>
          <w:b/>
          <w:bCs/>
          <w:sz w:val="22"/>
          <w:szCs w:val="22"/>
        </w:rPr>
        <w:t>apurado pelos contribuintes</w:t>
      </w:r>
      <w:r w:rsidRPr="005A7DB1">
        <w:rPr>
          <w:rFonts w:asciiTheme="minorHAnsi" w:hAnsiTheme="minorHAnsi" w:cstheme="minorHAnsi"/>
          <w:sz w:val="22"/>
          <w:szCs w:val="22"/>
        </w:rPr>
        <w:t xml:space="preserve"> não atende a nenhum dos 6 requisitos da MD-GEFIS e obteve nível 0 (zero) de maturidade. Para tanto, a SEFAZ/SP desenvolve atualmente um projeto substituição da GIA que utilizará a EFD para gerar a Declaração de Imposto. Após a implantação do projeto, os contribuintes terão acesso às declarações geradas com base na EFD para poderem verificar os dados apurados.</w:t>
      </w:r>
    </w:p>
    <w:p w:rsidR="005D6727" w:rsidRPr="0072678C" w:rsidRDefault="005D6727" w:rsidP="00BD3D5B">
      <w:pPr>
        <w:jc w:val="both"/>
        <w:rPr>
          <w:rFonts w:asciiTheme="minorHAnsi" w:hAnsiTheme="minorHAnsi" w:cstheme="minorHAnsi"/>
          <w:sz w:val="22"/>
          <w:szCs w:val="22"/>
        </w:rPr>
      </w:pPr>
    </w:p>
    <w:p w:rsidR="00395293" w:rsidRPr="0072678C" w:rsidRDefault="00395293"/>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2040"/>
        <w:gridCol w:w="884"/>
        <w:gridCol w:w="771"/>
        <w:gridCol w:w="558"/>
      </w:tblGrid>
      <w:tr w:rsidR="00410A0A" w:rsidRPr="0072678C" w:rsidTr="00410A0A">
        <w:trPr>
          <w:trHeight w:val="345"/>
        </w:trPr>
        <w:tc>
          <w:tcPr>
            <w:tcW w:w="4536" w:type="dxa"/>
            <w:vMerge w:val="restart"/>
            <w:shd w:val="clear" w:color="auto" w:fill="F7CAAC" w:themeFill="accent2" w:themeFillTint="66"/>
            <w:noWrap/>
            <w:vAlign w:val="center"/>
            <w:hideMark/>
          </w:tcPr>
          <w:p w:rsidR="00410A0A" w:rsidRPr="0072678C" w:rsidRDefault="00410A0A" w:rsidP="00410A0A">
            <w:pPr>
              <w:ind w:left="33" w:right="-1"/>
              <w:jc w:val="both"/>
              <w:rPr>
                <w:rFonts w:asciiTheme="minorHAnsi" w:hAnsiTheme="minorHAnsi" w:cstheme="minorHAnsi"/>
                <w:b/>
              </w:rPr>
            </w:pPr>
            <w:r w:rsidRPr="0072678C">
              <w:rPr>
                <w:rFonts w:asciiTheme="minorHAnsi" w:hAnsiTheme="minorHAnsi" w:cstheme="minorHAnsi"/>
                <w:b/>
                <w:bCs/>
                <w:sz w:val="22"/>
                <w:szCs w:val="22"/>
              </w:rPr>
              <w:t xml:space="preserve">AT 3. FISCALIZAÇÃO E INTELIGÊNCIA FISCAL: </w:t>
            </w:r>
            <w:r w:rsidRPr="0072678C">
              <w:rPr>
                <w:rFonts w:asciiTheme="minorHAnsi" w:hAnsiTheme="minorHAnsi" w:cstheme="minorHAnsi"/>
                <w:sz w:val="22"/>
                <w:szCs w:val="22"/>
              </w:rPr>
              <w:t xml:space="preserve"> Planeja e executa a ação fiscal com base em análise de riscos fiscais e em indícios de irregularidades apurados em monitoramento e pesquisa fiscal</w:t>
            </w:r>
          </w:p>
        </w:tc>
        <w:tc>
          <w:tcPr>
            <w:tcW w:w="2040" w:type="dxa"/>
            <w:vMerge w:val="restart"/>
            <w:shd w:val="clear" w:color="auto" w:fill="F7CAAC" w:themeFill="accent2" w:themeFillTint="66"/>
            <w:noWrap/>
            <w:vAlign w:val="center"/>
            <w:hideMark/>
          </w:tcPr>
          <w:p w:rsidR="00410A0A" w:rsidRPr="0072678C" w:rsidRDefault="00410A0A" w:rsidP="00031A5D">
            <w:pPr>
              <w:ind w:left="33" w:right="-1"/>
              <w:jc w:val="center"/>
              <w:rPr>
                <w:rFonts w:asciiTheme="minorHAnsi" w:hAnsiTheme="minorHAnsi" w:cstheme="minorHAnsi"/>
                <w:b/>
              </w:rPr>
            </w:pPr>
            <w:r w:rsidRPr="0072678C">
              <w:rPr>
                <w:rFonts w:asciiTheme="minorHAnsi" w:hAnsiTheme="minorHAnsi" w:cstheme="minorHAnsi"/>
                <w:b/>
                <w:sz w:val="22"/>
                <w:szCs w:val="22"/>
              </w:rPr>
              <w:t>Maturidade</w:t>
            </w:r>
          </w:p>
        </w:tc>
        <w:tc>
          <w:tcPr>
            <w:tcW w:w="2213" w:type="dxa"/>
            <w:gridSpan w:val="3"/>
            <w:shd w:val="clear" w:color="auto" w:fill="F7CAAC" w:themeFill="accent2" w:themeFillTint="66"/>
          </w:tcPr>
          <w:p w:rsidR="00410A0A" w:rsidRPr="0072678C" w:rsidRDefault="00410A0A" w:rsidP="00031A5D">
            <w:pPr>
              <w:ind w:left="33" w:right="-1"/>
              <w:jc w:val="center"/>
              <w:rPr>
                <w:rFonts w:asciiTheme="minorHAnsi" w:hAnsiTheme="minorHAnsi" w:cstheme="minorHAnsi"/>
                <w:b/>
              </w:rPr>
            </w:pPr>
            <w:r w:rsidRPr="0072678C">
              <w:rPr>
                <w:rFonts w:asciiTheme="minorHAnsi" w:hAnsiTheme="minorHAnsi" w:cstheme="minorHAnsi"/>
                <w:b/>
                <w:sz w:val="22"/>
                <w:szCs w:val="22"/>
              </w:rPr>
              <w:t>Pontuação</w:t>
            </w:r>
          </w:p>
        </w:tc>
      </w:tr>
      <w:tr w:rsidR="00410A0A" w:rsidRPr="0072678C" w:rsidTr="00410A0A">
        <w:trPr>
          <w:trHeight w:val="345"/>
        </w:trPr>
        <w:tc>
          <w:tcPr>
            <w:tcW w:w="4536" w:type="dxa"/>
            <w:vMerge/>
            <w:shd w:val="clear" w:color="auto" w:fill="F7CAAC" w:themeFill="accent2" w:themeFillTint="66"/>
            <w:noWrap/>
            <w:vAlign w:val="center"/>
            <w:hideMark/>
          </w:tcPr>
          <w:p w:rsidR="00410A0A" w:rsidRPr="0072678C" w:rsidRDefault="00410A0A" w:rsidP="006B401B">
            <w:pPr>
              <w:ind w:left="33" w:right="-1"/>
              <w:jc w:val="center"/>
              <w:rPr>
                <w:rFonts w:asciiTheme="minorHAnsi" w:hAnsiTheme="minorHAnsi" w:cstheme="minorHAnsi"/>
                <w:b/>
              </w:rPr>
            </w:pPr>
          </w:p>
        </w:tc>
        <w:tc>
          <w:tcPr>
            <w:tcW w:w="2040" w:type="dxa"/>
            <w:vMerge/>
            <w:shd w:val="clear" w:color="auto" w:fill="F7CAAC" w:themeFill="accent2" w:themeFillTint="66"/>
            <w:noWrap/>
            <w:vAlign w:val="center"/>
            <w:hideMark/>
          </w:tcPr>
          <w:p w:rsidR="00410A0A" w:rsidRPr="0072678C" w:rsidRDefault="00410A0A" w:rsidP="006B401B">
            <w:pPr>
              <w:ind w:left="33" w:right="-1"/>
              <w:jc w:val="center"/>
              <w:rPr>
                <w:rFonts w:asciiTheme="minorHAnsi" w:hAnsiTheme="minorHAnsi" w:cstheme="minorHAnsi"/>
                <w:b/>
              </w:rPr>
            </w:pPr>
          </w:p>
        </w:tc>
        <w:tc>
          <w:tcPr>
            <w:tcW w:w="884" w:type="dxa"/>
            <w:shd w:val="clear" w:color="auto" w:fill="F7CAAC" w:themeFill="accent2" w:themeFillTint="66"/>
            <w:vAlign w:val="center"/>
          </w:tcPr>
          <w:p w:rsidR="00410A0A" w:rsidRPr="0072678C" w:rsidRDefault="00410A0A" w:rsidP="006B401B">
            <w:pPr>
              <w:jc w:val="center"/>
              <w:rPr>
                <w:rFonts w:asciiTheme="minorHAnsi" w:hAnsiTheme="minorHAnsi" w:cstheme="minorHAnsi"/>
                <w:b/>
              </w:rPr>
            </w:pPr>
            <w:r w:rsidRPr="0072678C">
              <w:rPr>
                <w:rFonts w:asciiTheme="minorHAnsi" w:hAnsiTheme="minorHAnsi" w:cstheme="minorHAnsi"/>
                <w:b/>
                <w:sz w:val="22"/>
                <w:szCs w:val="22"/>
              </w:rPr>
              <w:t>Máxima</w:t>
            </w:r>
          </w:p>
        </w:tc>
        <w:tc>
          <w:tcPr>
            <w:tcW w:w="771" w:type="dxa"/>
            <w:shd w:val="clear" w:color="auto" w:fill="F7CAAC" w:themeFill="accent2" w:themeFillTint="66"/>
            <w:vAlign w:val="center"/>
          </w:tcPr>
          <w:p w:rsidR="00410A0A" w:rsidRPr="0072678C" w:rsidRDefault="00410A0A" w:rsidP="006B401B">
            <w:pPr>
              <w:jc w:val="center"/>
              <w:rPr>
                <w:rFonts w:asciiTheme="minorHAnsi" w:hAnsiTheme="minorHAnsi" w:cstheme="minorHAnsi"/>
                <w:b/>
              </w:rPr>
            </w:pPr>
            <w:r w:rsidRPr="0072678C">
              <w:rPr>
                <w:rFonts w:asciiTheme="minorHAnsi" w:hAnsiTheme="minorHAnsi" w:cstheme="minorHAnsi"/>
                <w:b/>
                <w:sz w:val="22"/>
                <w:szCs w:val="22"/>
              </w:rPr>
              <w:t>Obtida</w:t>
            </w:r>
          </w:p>
        </w:tc>
        <w:tc>
          <w:tcPr>
            <w:tcW w:w="558" w:type="dxa"/>
            <w:shd w:val="clear" w:color="auto" w:fill="F7CAAC" w:themeFill="accent2" w:themeFillTint="66"/>
            <w:vAlign w:val="center"/>
          </w:tcPr>
          <w:p w:rsidR="00410A0A" w:rsidRPr="0072678C" w:rsidRDefault="00410A0A" w:rsidP="006B401B">
            <w:pPr>
              <w:jc w:val="center"/>
              <w:rPr>
                <w:rFonts w:asciiTheme="minorHAnsi" w:hAnsiTheme="minorHAnsi" w:cstheme="minorHAnsi"/>
                <w:b/>
              </w:rPr>
            </w:pPr>
            <w:r w:rsidRPr="0072678C">
              <w:rPr>
                <w:rFonts w:asciiTheme="minorHAnsi" w:hAnsiTheme="minorHAnsi" w:cstheme="minorHAnsi"/>
                <w:b/>
                <w:sz w:val="22"/>
                <w:szCs w:val="22"/>
              </w:rPr>
              <w:t>%</w:t>
            </w:r>
          </w:p>
        </w:tc>
      </w:tr>
      <w:tr w:rsidR="00410A0A" w:rsidRPr="0072678C" w:rsidTr="00410A0A">
        <w:trPr>
          <w:trHeight w:val="345"/>
        </w:trPr>
        <w:tc>
          <w:tcPr>
            <w:tcW w:w="4536" w:type="dxa"/>
            <w:vMerge/>
            <w:shd w:val="clear" w:color="auto" w:fill="auto"/>
            <w:noWrap/>
            <w:vAlign w:val="center"/>
            <w:hideMark/>
          </w:tcPr>
          <w:p w:rsidR="00410A0A" w:rsidRPr="0072678C" w:rsidRDefault="00410A0A" w:rsidP="00B16094">
            <w:pPr>
              <w:ind w:firstLineChars="200" w:firstLine="480"/>
              <w:jc w:val="center"/>
              <w:rPr>
                <w:rFonts w:ascii="Calibri" w:hAnsi="Calibri" w:cs="Calibri"/>
              </w:rPr>
            </w:pPr>
          </w:p>
        </w:tc>
        <w:tc>
          <w:tcPr>
            <w:tcW w:w="2040" w:type="dxa"/>
            <w:shd w:val="clear" w:color="auto" w:fill="auto"/>
            <w:noWrap/>
            <w:vAlign w:val="center"/>
            <w:hideMark/>
          </w:tcPr>
          <w:p w:rsidR="00410A0A" w:rsidRPr="0072678C" w:rsidRDefault="00410A0A" w:rsidP="00031A5D">
            <w:pPr>
              <w:jc w:val="center"/>
              <w:rPr>
                <w:rFonts w:ascii="Calibri" w:hAnsi="Calibri" w:cs="Calibri"/>
                <w:b/>
                <w:bCs/>
              </w:rPr>
            </w:pPr>
            <w:r w:rsidRPr="0072678C">
              <w:rPr>
                <w:rFonts w:ascii="Calibri" w:hAnsi="Calibri" w:cs="Calibri"/>
                <w:b/>
                <w:bCs/>
                <w:sz w:val="22"/>
                <w:szCs w:val="22"/>
              </w:rPr>
              <w:t>INTERMEDIÁRIO (-)</w:t>
            </w:r>
          </w:p>
        </w:tc>
        <w:tc>
          <w:tcPr>
            <w:tcW w:w="884" w:type="dxa"/>
            <w:vAlign w:val="center"/>
          </w:tcPr>
          <w:p w:rsidR="00410A0A" w:rsidRPr="0072678C" w:rsidRDefault="00410A0A" w:rsidP="00031A5D">
            <w:pPr>
              <w:jc w:val="center"/>
              <w:rPr>
                <w:rFonts w:ascii="Calibri" w:hAnsi="Calibri" w:cs="Calibri"/>
              </w:rPr>
            </w:pPr>
            <w:r w:rsidRPr="0072678C">
              <w:rPr>
                <w:rFonts w:ascii="Calibri" w:hAnsi="Calibri" w:cs="Calibri"/>
                <w:sz w:val="22"/>
                <w:szCs w:val="22"/>
              </w:rPr>
              <w:t>18</w:t>
            </w:r>
          </w:p>
        </w:tc>
        <w:tc>
          <w:tcPr>
            <w:tcW w:w="771" w:type="dxa"/>
            <w:vAlign w:val="center"/>
          </w:tcPr>
          <w:p w:rsidR="00410A0A" w:rsidRPr="0072678C" w:rsidRDefault="00410A0A" w:rsidP="00031A5D">
            <w:pPr>
              <w:jc w:val="center"/>
              <w:rPr>
                <w:rFonts w:ascii="Calibri" w:hAnsi="Calibri" w:cs="Calibri"/>
              </w:rPr>
            </w:pPr>
            <w:r w:rsidRPr="0072678C">
              <w:rPr>
                <w:rFonts w:ascii="Calibri" w:hAnsi="Calibri" w:cs="Calibri"/>
                <w:sz w:val="22"/>
                <w:szCs w:val="22"/>
              </w:rPr>
              <w:t>11</w:t>
            </w:r>
          </w:p>
        </w:tc>
        <w:tc>
          <w:tcPr>
            <w:tcW w:w="558" w:type="dxa"/>
            <w:vAlign w:val="center"/>
          </w:tcPr>
          <w:p w:rsidR="00410A0A" w:rsidRPr="0072678C" w:rsidRDefault="00410A0A" w:rsidP="00031A5D">
            <w:pPr>
              <w:jc w:val="center"/>
              <w:rPr>
                <w:rFonts w:ascii="Calibri" w:hAnsi="Calibri" w:cs="Calibri"/>
              </w:rPr>
            </w:pPr>
            <w:r w:rsidRPr="0072678C">
              <w:rPr>
                <w:rFonts w:ascii="Calibri" w:hAnsi="Calibri" w:cs="Calibri"/>
                <w:sz w:val="22"/>
                <w:szCs w:val="22"/>
              </w:rPr>
              <w:t>61%</w:t>
            </w:r>
          </w:p>
        </w:tc>
      </w:tr>
    </w:tbl>
    <w:p w:rsidR="00031A5D" w:rsidRPr="0072678C" w:rsidRDefault="00031A5D" w:rsidP="001B38ED">
      <w:pPr>
        <w:jc w:val="both"/>
        <w:rPr>
          <w:rFonts w:asciiTheme="minorHAnsi" w:hAnsiTheme="minorHAnsi" w:cstheme="minorHAnsi"/>
          <w:sz w:val="22"/>
          <w:szCs w:val="22"/>
        </w:rPr>
      </w:pPr>
    </w:p>
    <w:p w:rsidR="00DA26A8" w:rsidRPr="0072678C" w:rsidRDefault="00DA26A8" w:rsidP="001B38ED">
      <w:pPr>
        <w:jc w:val="both"/>
        <w:rPr>
          <w:rFonts w:asciiTheme="minorHAnsi" w:hAnsiTheme="minorHAnsi" w:cstheme="minorHAnsi"/>
          <w:sz w:val="22"/>
          <w:szCs w:val="22"/>
        </w:rPr>
      </w:pPr>
      <w:r w:rsidRPr="0072678C">
        <w:rPr>
          <w:rFonts w:asciiTheme="minorHAnsi" w:hAnsiTheme="minorHAnsi" w:cstheme="minorHAnsi"/>
          <w:sz w:val="22"/>
          <w:szCs w:val="22"/>
        </w:rPr>
        <w:t xml:space="preserve">Para a melhoria do processo de </w:t>
      </w:r>
      <w:r w:rsidRPr="0072678C">
        <w:rPr>
          <w:rFonts w:asciiTheme="minorHAnsi" w:hAnsiTheme="minorHAnsi" w:cstheme="minorHAnsi"/>
          <w:b/>
          <w:bCs/>
          <w:i/>
          <w:iCs/>
          <w:sz w:val="22"/>
          <w:szCs w:val="22"/>
        </w:rPr>
        <w:t>auditoria fiscal do ICMS</w:t>
      </w:r>
      <w:r w:rsidRPr="0072678C">
        <w:rPr>
          <w:rFonts w:asciiTheme="minorHAnsi" w:hAnsiTheme="minorHAnsi" w:cstheme="minorHAnsi"/>
          <w:sz w:val="22"/>
          <w:szCs w:val="22"/>
        </w:rPr>
        <w:t xml:space="preserve"> a SEFAZ/SP deverá planejar a sua atuação com base no potencial de arrecadação que inclui a brecha tributária apurada; adotar metodologia de análise de riscos para direcionar sua atuação; utilizar ferramenta automatizada para a execução da ação fiscal</w:t>
      </w:r>
      <w:r w:rsidR="001B38ED" w:rsidRPr="0072678C">
        <w:rPr>
          <w:rFonts w:asciiTheme="minorHAnsi" w:hAnsiTheme="minorHAnsi" w:cstheme="minorHAnsi"/>
          <w:sz w:val="22"/>
          <w:szCs w:val="22"/>
        </w:rPr>
        <w:t xml:space="preserve">; e utilizar </w:t>
      </w:r>
      <w:r w:rsidRPr="0072678C">
        <w:rPr>
          <w:rFonts w:asciiTheme="minorHAnsi" w:hAnsiTheme="minorHAnsi" w:cstheme="minorHAnsi"/>
          <w:sz w:val="22"/>
          <w:szCs w:val="22"/>
        </w:rPr>
        <w:t>metas de produtividade compatíveis com as novas ferramentas e tecnologias disponibilizadas para a ação fiscal</w:t>
      </w:r>
      <w:r w:rsidR="00212901" w:rsidRPr="0072678C">
        <w:rPr>
          <w:rFonts w:asciiTheme="minorHAnsi" w:hAnsiTheme="minorHAnsi" w:cstheme="minorHAnsi"/>
          <w:sz w:val="22"/>
          <w:szCs w:val="22"/>
        </w:rPr>
        <w:t>.</w:t>
      </w:r>
    </w:p>
    <w:p w:rsidR="00DA26A8" w:rsidRPr="0072678C" w:rsidRDefault="00DA26A8"/>
    <w:p w:rsidR="00061EAA" w:rsidRPr="0072678C" w:rsidRDefault="00031A5D" w:rsidP="00061EAA">
      <w:pPr>
        <w:jc w:val="both"/>
        <w:rPr>
          <w:rFonts w:asciiTheme="minorHAnsi" w:hAnsiTheme="minorHAnsi" w:cstheme="minorHAnsi"/>
          <w:sz w:val="22"/>
          <w:szCs w:val="22"/>
        </w:rPr>
      </w:pPr>
      <w:r w:rsidRPr="0072678C">
        <w:rPr>
          <w:rFonts w:asciiTheme="minorHAnsi" w:hAnsiTheme="minorHAnsi" w:cstheme="minorHAnsi"/>
          <w:sz w:val="22"/>
          <w:szCs w:val="22"/>
        </w:rPr>
        <w:t xml:space="preserve">Com relação aos </w:t>
      </w:r>
      <w:r w:rsidR="00061EAA" w:rsidRPr="0072678C">
        <w:rPr>
          <w:rFonts w:asciiTheme="minorHAnsi" w:hAnsiTheme="minorHAnsi" w:cstheme="minorHAnsi"/>
          <w:sz w:val="22"/>
          <w:szCs w:val="22"/>
        </w:rPr>
        <w:t xml:space="preserve">procedimentos da </w:t>
      </w:r>
      <w:r w:rsidR="00061EAA" w:rsidRPr="0072678C">
        <w:rPr>
          <w:rFonts w:asciiTheme="minorHAnsi" w:hAnsiTheme="minorHAnsi" w:cstheme="minorHAnsi"/>
          <w:b/>
          <w:bCs/>
          <w:i/>
          <w:iCs/>
          <w:sz w:val="22"/>
          <w:szCs w:val="22"/>
        </w:rPr>
        <w:t>malha fiscal do ICMS</w:t>
      </w:r>
      <w:r w:rsidR="00061EAA" w:rsidRPr="0072678C">
        <w:rPr>
          <w:rFonts w:asciiTheme="minorHAnsi" w:hAnsiTheme="minorHAnsi" w:cstheme="minorHAnsi"/>
          <w:sz w:val="22"/>
          <w:szCs w:val="22"/>
        </w:rPr>
        <w:t xml:space="preserve"> a SEFAZ/SP deverá definir e monitorar um plano de cruzamento de dados, considerando bases internas e externas e práticas de irregularidades tributárias; utilizar ferramentas para verificação da qualidade dos dados identificando omissões e incorreção de valores; permitir regularização </w:t>
      </w:r>
      <w:proofErr w:type="spellStart"/>
      <w:r w:rsidR="00061EAA" w:rsidRPr="0072678C">
        <w:rPr>
          <w:rFonts w:asciiTheme="minorHAnsi" w:hAnsiTheme="minorHAnsi" w:cstheme="minorHAnsi"/>
          <w:sz w:val="22"/>
          <w:szCs w:val="22"/>
        </w:rPr>
        <w:t>on</w:t>
      </w:r>
      <w:proofErr w:type="spellEnd"/>
      <w:r w:rsidR="00061EAA" w:rsidRPr="0072678C">
        <w:rPr>
          <w:rFonts w:asciiTheme="minorHAnsi" w:hAnsiTheme="minorHAnsi" w:cstheme="minorHAnsi"/>
          <w:sz w:val="22"/>
          <w:szCs w:val="22"/>
        </w:rPr>
        <w:t xml:space="preserve"> </w:t>
      </w:r>
      <w:proofErr w:type="spellStart"/>
      <w:r w:rsidR="00061EAA" w:rsidRPr="0072678C">
        <w:rPr>
          <w:rFonts w:asciiTheme="minorHAnsi" w:hAnsiTheme="minorHAnsi" w:cstheme="minorHAnsi"/>
          <w:sz w:val="22"/>
          <w:szCs w:val="22"/>
        </w:rPr>
        <w:t>line</w:t>
      </w:r>
      <w:proofErr w:type="spellEnd"/>
      <w:r w:rsidR="00061EAA" w:rsidRPr="0072678C">
        <w:rPr>
          <w:rFonts w:asciiTheme="minorHAnsi" w:hAnsiTheme="minorHAnsi" w:cstheme="minorHAnsi"/>
          <w:sz w:val="22"/>
          <w:szCs w:val="22"/>
        </w:rPr>
        <w:t xml:space="preserve"> via pagamento ou parcelamento</w:t>
      </w:r>
      <w:r w:rsidR="00212901" w:rsidRPr="0072678C">
        <w:rPr>
          <w:rFonts w:asciiTheme="minorHAnsi" w:hAnsiTheme="minorHAnsi" w:cstheme="minorHAnsi"/>
          <w:sz w:val="22"/>
          <w:szCs w:val="22"/>
        </w:rPr>
        <w:t xml:space="preserve">; </w:t>
      </w:r>
      <w:r w:rsidR="00061EAA" w:rsidRPr="0072678C">
        <w:rPr>
          <w:rFonts w:asciiTheme="minorHAnsi" w:hAnsiTheme="minorHAnsi" w:cstheme="minorHAnsi"/>
          <w:sz w:val="22"/>
          <w:szCs w:val="22"/>
        </w:rPr>
        <w:t>receber eletronicamente as justificativas e documentos comprobatórios da contestação; e gerar indícios para o lançamento e auditoria fiscal</w:t>
      </w:r>
      <w:r w:rsidR="00212901" w:rsidRPr="0072678C">
        <w:rPr>
          <w:rFonts w:asciiTheme="minorHAnsi" w:hAnsiTheme="minorHAnsi" w:cstheme="minorHAnsi"/>
          <w:sz w:val="22"/>
          <w:szCs w:val="22"/>
        </w:rPr>
        <w:t>.</w:t>
      </w:r>
    </w:p>
    <w:p w:rsidR="00061EAA" w:rsidRPr="0072678C" w:rsidRDefault="00061EAA" w:rsidP="00905A87">
      <w:pPr>
        <w:rPr>
          <w:rFonts w:asciiTheme="minorHAnsi" w:hAnsiTheme="minorHAnsi" w:cstheme="minorHAnsi"/>
          <w:sz w:val="22"/>
          <w:szCs w:val="22"/>
        </w:rPr>
      </w:pPr>
    </w:p>
    <w:p w:rsidR="00844ACB" w:rsidRPr="0072678C" w:rsidRDefault="003F2CD8" w:rsidP="00640C2B">
      <w:pPr>
        <w:jc w:val="both"/>
        <w:rPr>
          <w:rFonts w:asciiTheme="minorHAnsi" w:hAnsiTheme="minorHAnsi" w:cstheme="minorHAnsi"/>
        </w:rPr>
      </w:pPr>
      <w:r w:rsidRPr="0072678C">
        <w:rPr>
          <w:rFonts w:asciiTheme="minorHAnsi" w:hAnsiTheme="minorHAnsi" w:cstheme="minorHAnsi"/>
          <w:sz w:val="22"/>
          <w:szCs w:val="22"/>
        </w:rPr>
        <w:t>No que se refere ao p</w:t>
      </w:r>
      <w:r w:rsidR="00844ACB" w:rsidRPr="0072678C">
        <w:rPr>
          <w:rFonts w:asciiTheme="minorHAnsi" w:hAnsiTheme="minorHAnsi" w:cstheme="minorHAnsi"/>
          <w:sz w:val="22"/>
          <w:szCs w:val="22"/>
        </w:rPr>
        <w:t xml:space="preserve">rocesso </w:t>
      </w:r>
      <w:r w:rsidR="00844ACB" w:rsidRPr="0072678C">
        <w:rPr>
          <w:rFonts w:asciiTheme="minorHAnsi" w:hAnsiTheme="minorHAnsi" w:cstheme="minorHAnsi"/>
          <w:b/>
          <w:bCs/>
          <w:i/>
          <w:iCs/>
          <w:sz w:val="22"/>
          <w:szCs w:val="22"/>
        </w:rPr>
        <w:t>controle do trânsito de mercadorias</w:t>
      </w:r>
      <w:r w:rsidRPr="0072678C">
        <w:rPr>
          <w:rFonts w:asciiTheme="minorHAnsi" w:hAnsiTheme="minorHAnsi" w:cstheme="minorHAnsi"/>
          <w:b/>
          <w:bCs/>
          <w:i/>
          <w:iCs/>
          <w:sz w:val="22"/>
          <w:szCs w:val="22"/>
        </w:rPr>
        <w:t xml:space="preserve">, </w:t>
      </w:r>
      <w:r w:rsidRPr="0072678C">
        <w:rPr>
          <w:rFonts w:asciiTheme="minorHAnsi" w:hAnsiTheme="minorHAnsi" w:cstheme="minorHAnsi"/>
          <w:sz w:val="22"/>
          <w:szCs w:val="22"/>
        </w:rPr>
        <w:t xml:space="preserve">este processo </w:t>
      </w:r>
      <w:r w:rsidR="00844ACB" w:rsidRPr="0072678C">
        <w:rPr>
          <w:rFonts w:asciiTheme="minorHAnsi" w:hAnsiTheme="minorHAnsi" w:cstheme="minorHAnsi"/>
          <w:sz w:val="22"/>
          <w:szCs w:val="22"/>
        </w:rPr>
        <w:t xml:space="preserve">foi o </w:t>
      </w:r>
      <w:r w:rsidRPr="0072678C">
        <w:rPr>
          <w:rFonts w:asciiTheme="minorHAnsi" w:hAnsiTheme="minorHAnsi" w:cstheme="minorHAnsi"/>
          <w:sz w:val="22"/>
          <w:szCs w:val="22"/>
        </w:rPr>
        <w:t xml:space="preserve">que </w:t>
      </w:r>
      <w:r w:rsidR="00844ACB" w:rsidRPr="0072678C">
        <w:rPr>
          <w:rFonts w:asciiTheme="minorHAnsi" w:hAnsiTheme="minorHAnsi" w:cstheme="minorHAnsi"/>
          <w:sz w:val="22"/>
          <w:szCs w:val="22"/>
        </w:rPr>
        <w:t xml:space="preserve">apresentou maior fragilidade para atender os </w:t>
      </w:r>
      <w:r w:rsidR="005A7DB1" w:rsidRPr="0072678C">
        <w:rPr>
          <w:rFonts w:asciiTheme="minorHAnsi" w:hAnsiTheme="minorHAnsi" w:cstheme="minorHAnsi"/>
          <w:sz w:val="22"/>
          <w:szCs w:val="22"/>
        </w:rPr>
        <w:t>requisitos</w:t>
      </w:r>
      <w:r w:rsidR="00844ACB" w:rsidRPr="0072678C">
        <w:rPr>
          <w:rFonts w:asciiTheme="minorHAnsi" w:hAnsiTheme="minorHAnsi" w:cstheme="minorHAnsi"/>
          <w:sz w:val="22"/>
          <w:szCs w:val="22"/>
        </w:rPr>
        <w:t xml:space="preserve"> das boas práticas da MD-GEFIS. Para tanto, a SEFAZ/SP deverá realizar abordagens precisas e dentro de padrão e critério de seleção, inclusive baseada na análise de riscos e do comportamento do contribuinte</w:t>
      </w:r>
      <w:r w:rsidR="00640C2B" w:rsidRPr="0072678C">
        <w:rPr>
          <w:rFonts w:asciiTheme="minorHAnsi" w:hAnsiTheme="minorHAnsi" w:cstheme="minorHAnsi"/>
          <w:sz w:val="22"/>
          <w:szCs w:val="22"/>
        </w:rPr>
        <w:t xml:space="preserve">; dispor de </w:t>
      </w:r>
      <w:r w:rsidR="00844ACB" w:rsidRPr="0072678C">
        <w:rPr>
          <w:rFonts w:asciiTheme="minorHAnsi" w:hAnsiTheme="minorHAnsi" w:cstheme="minorHAnsi"/>
          <w:sz w:val="22"/>
          <w:szCs w:val="22"/>
        </w:rPr>
        <w:t>informações de suporte às ações e abordagens de fiscalização plenamente integradas e acessíveis aos auditores fiscais</w:t>
      </w:r>
      <w:r w:rsidR="00640C2B" w:rsidRPr="0072678C">
        <w:rPr>
          <w:rFonts w:asciiTheme="minorHAnsi" w:hAnsiTheme="minorHAnsi" w:cstheme="minorHAnsi"/>
          <w:sz w:val="22"/>
          <w:szCs w:val="22"/>
        </w:rPr>
        <w:t xml:space="preserve">; utilizar </w:t>
      </w:r>
      <w:r w:rsidR="00844ACB" w:rsidRPr="0072678C">
        <w:rPr>
          <w:rFonts w:asciiTheme="minorHAnsi" w:hAnsiTheme="minorHAnsi" w:cstheme="minorHAnsi"/>
          <w:sz w:val="22"/>
          <w:szCs w:val="22"/>
        </w:rPr>
        <w:t xml:space="preserve">central de controle </w:t>
      </w:r>
      <w:proofErr w:type="spellStart"/>
      <w:r w:rsidR="00844ACB" w:rsidRPr="0072678C">
        <w:rPr>
          <w:rFonts w:asciiTheme="minorHAnsi" w:hAnsiTheme="minorHAnsi" w:cstheme="minorHAnsi"/>
          <w:sz w:val="22"/>
          <w:szCs w:val="22"/>
        </w:rPr>
        <w:t>on</w:t>
      </w:r>
      <w:proofErr w:type="spellEnd"/>
      <w:r w:rsidR="00844ACB" w:rsidRPr="0072678C">
        <w:rPr>
          <w:rFonts w:asciiTheme="minorHAnsi" w:hAnsiTheme="minorHAnsi" w:cstheme="minorHAnsi"/>
          <w:sz w:val="22"/>
          <w:szCs w:val="22"/>
        </w:rPr>
        <w:t xml:space="preserve"> </w:t>
      </w:r>
      <w:proofErr w:type="spellStart"/>
      <w:r w:rsidR="00844ACB" w:rsidRPr="0072678C">
        <w:rPr>
          <w:rFonts w:asciiTheme="minorHAnsi" w:hAnsiTheme="minorHAnsi" w:cstheme="minorHAnsi"/>
          <w:sz w:val="22"/>
          <w:szCs w:val="22"/>
        </w:rPr>
        <w:t>line</w:t>
      </w:r>
      <w:proofErr w:type="spellEnd"/>
      <w:r w:rsidR="00844ACB" w:rsidRPr="0072678C">
        <w:rPr>
          <w:rFonts w:asciiTheme="minorHAnsi" w:hAnsiTheme="minorHAnsi" w:cstheme="minorHAnsi"/>
          <w:sz w:val="22"/>
          <w:szCs w:val="22"/>
        </w:rPr>
        <w:t xml:space="preserve"> do trânsito de mercadorias com captura de imagens em tempo real</w:t>
      </w:r>
      <w:r w:rsidR="00640C2B" w:rsidRPr="0072678C">
        <w:rPr>
          <w:rFonts w:asciiTheme="minorHAnsi" w:hAnsiTheme="minorHAnsi" w:cstheme="minorHAnsi"/>
          <w:sz w:val="22"/>
          <w:szCs w:val="22"/>
        </w:rPr>
        <w:t>; realizar v</w:t>
      </w:r>
      <w:r w:rsidR="00844ACB" w:rsidRPr="0072678C">
        <w:rPr>
          <w:rFonts w:asciiTheme="minorHAnsi" w:hAnsiTheme="minorHAnsi" w:cstheme="minorHAnsi"/>
          <w:sz w:val="22"/>
          <w:szCs w:val="22"/>
        </w:rPr>
        <w:t xml:space="preserve">erificações com veículos ainda em movimento a partir dos </w:t>
      </w:r>
      <w:proofErr w:type="spellStart"/>
      <w:r w:rsidR="00844ACB" w:rsidRPr="0072678C">
        <w:rPr>
          <w:rFonts w:asciiTheme="minorHAnsi" w:hAnsiTheme="minorHAnsi" w:cstheme="minorHAnsi"/>
          <w:sz w:val="22"/>
          <w:szCs w:val="22"/>
        </w:rPr>
        <w:t>DF-e</w:t>
      </w:r>
      <w:proofErr w:type="spellEnd"/>
      <w:r w:rsidR="00640C2B" w:rsidRPr="0072678C">
        <w:rPr>
          <w:rFonts w:asciiTheme="minorHAnsi" w:hAnsiTheme="minorHAnsi" w:cstheme="minorHAnsi"/>
          <w:sz w:val="22"/>
          <w:szCs w:val="22"/>
        </w:rPr>
        <w:t>; utilizar t</w:t>
      </w:r>
      <w:r w:rsidR="00844ACB" w:rsidRPr="0072678C">
        <w:rPr>
          <w:rFonts w:asciiTheme="minorHAnsi" w:hAnsiTheme="minorHAnsi" w:cstheme="minorHAnsi"/>
          <w:sz w:val="22"/>
          <w:szCs w:val="22"/>
        </w:rPr>
        <w:t>ecnologias de rastreamento de cargas e veículos para controle e registro eletrônico de passagem com verificação de placa, data, hora e coordenadas</w:t>
      </w:r>
      <w:r w:rsidR="00640C2B" w:rsidRPr="0072678C">
        <w:rPr>
          <w:rFonts w:asciiTheme="minorHAnsi" w:hAnsiTheme="minorHAnsi" w:cstheme="minorHAnsi"/>
          <w:sz w:val="22"/>
          <w:szCs w:val="22"/>
        </w:rPr>
        <w:t xml:space="preserve">; realizar </w:t>
      </w:r>
      <w:r w:rsidR="00844ACB" w:rsidRPr="0072678C">
        <w:rPr>
          <w:rFonts w:asciiTheme="minorHAnsi" w:hAnsiTheme="minorHAnsi" w:cstheme="minorHAnsi"/>
          <w:sz w:val="22"/>
          <w:szCs w:val="22"/>
        </w:rPr>
        <w:t>inspeção automatizada da carga</w:t>
      </w:r>
      <w:r w:rsidR="00640C2B" w:rsidRPr="0072678C">
        <w:rPr>
          <w:rFonts w:asciiTheme="minorHAnsi" w:hAnsiTheme="minorHAnsi" w:cstheme="minorHAnsi"/>
          <w:sz w:val="22"/>
          <w:szCs w:val="22"/>
        </w:rPr>
        <w:t xml:space="preserve">; dispor de </w:t>
      </w:r>
      <w:r w:rsidR="00844ACB" w:rsidRPr="0072678C">
        <w:rPr>
          <w:rFonts w:asciiTheme="minorHAnsi" w:hAnsiTheme="minorHAnsi" w:cstheme="minorHAnsi"/>
          <w:sz w:val="22"/>
          <w:szCs w:val="22"/>
        </w:rPr>
        <w:t>unidade móvel para apoio à verificação fixa em pontos distintos de acesso</w:t>
      </w:r>
      <w:r w:rsidR="00640C2B" w:rsidRPr="0072678C">
        <w:rPr>
          <w:rFonts w:asciiTheme="minorHAnsi" w:hAnsiTheme="minorHAnsi" w:cstheme="minorHAnsi"/>
          <w:sz w:val="22"/>
          <w:szCs w:val="22"/>
        </w:rPr>
        <w:t xml:space="preserve">; executar </w:t>
      </w:r>
      <w:r w:rsidR="00844ACB" w:rsidRPr="0072678C">
        <w:rPr>
          <w:rFonts w:asciiTheme="minorHAnsi" w:hAnsiTheme="minorHAnsi" w:cstheme="minorHAnsi"/>
          <w:sz w:val="22"/>
          <w:szCs w:val="22"/>
        </w:rPr>
        <w:t>procedimentos especiais de controle das transportadoras, com utilização de sistemática de livre trânsito</w:t>
      </w:r>
      <w:r w:rsidR="00640C2B" w:rsidRPr="0072678C">
        <w:rPr>
          <w:rFonts w:asciiTheme="minorHAnsi" w:hAnsiTheme="minorHAnsi" w:cstheme="minorHAnsi"/>
          <w:sz w:val="22"/>
          <w:szCs w:val="22"/>
        </w:rPr>
        <w:t>; e efetuar c</w:t>
      </w:r>
      <w:r w:rsidR="00844ACB" w:rsidRPr="0072678C">
        <w:rPr>
          <w:rFonts w:asciiTheme="minorHAnsi" w:hAnsiTheme="minorHAnsi" w:cstheme="minorHAnsi"/>
          <w:sz w:val="22"/>
          <w:szCs w:val="22"/>
        </w:rPr>
        <w:t>obrança tributária automatizada na divisa, mediante o registro de passagem da carga</w:t>
      </w:r>
      <w:r w:rsidR="00640C2B" w:rsidRPr="0072678C">
        <w:rPr>
          <w:rFonts w:asciiTheme="minorHAnsi" w:hAnsiTheme="minorHAnsi" w:cstheme="minorHAnsi"/>
          <w:sz w:val="22"/>
          <w:szCs w:val="22"/>
        </w:rPr>
        <w:t>.</w:t>
      </w:r>
    </w:p>
    <w:p w:rsidR="00844ACB" w:rsidRPr="0072678C" w:rsidRDefault="00844ACB"/>
    <w:p w:rsidR="002A6075" w:rsidRPr="0072678C" w:rsidRDefault="002A6075" w:rsidP="00647B95">
      <w:pPr>
        <w:jc w:val="both"/>
        <w:rPr>
          <w:rFonts w:asciiTheme="minorHAnsi" w:hAnsiTheme="minorHAnsi" w:cstheme="minorHAnsi"/>
        </w:rPr>
      </w:pPr>
      <w:r w:rsidRPr="0072678C">
        <w:rPr>
          <w:rFonts w:asciiTheme="minorHAnsi" w:hAnsiTheme="minorHAnsi" w:cstheme="minorHAnsi"/>
          <w:sz w:val="22"/>
          <w:szCs w:val="22"/>
        </w:rPr>
        <w:t xml:space="preserve">As </w:t>
      </w:r>
      <w:r w:rsidRPr="0072678C">
        <w:rPr>
          <w:rFonts w:asciiTheme="minorHAnsi" w:hAnsiTheme="minorHAnsi" w:cstheme="minorHAnsi"/>
          <w:b/>
          <w:bCs/>
          <w:i/>
          <w:iCs/>
          <w:sz w:val="22"/>
          <w:szCs w:val="22"/>
        </w:rPr>
        <w:t>funcionalidades da ferramenta de controle do trânsito de mercadorias</w:t>
      </w:r>
      <w:r w:rsidRPr="0072678C">
        <w:rPr>
          <w:rFonts w:asciiTheme="minorHAnsi" w:hAnsiTheme="minorHAnsi" w:cstheme="minorHAnsi"/>
          <w:sz w:val="22"/>
          <w:szCs w:val="22"/>
        </w:rPr>
        <w:t xml:space="preserve"> </w:t>
      </w:r>
      <w:r w:rsidR="003F2CD8" w:rsidRPr="0072678C">
        <w:rPr>
          <w:rFonts w:asciiTheme="minorHAnsi" w:hAnsiTheme="minorHAnsi" w:cstheme="minorHAnsi"/>
          <w:sz w:val="22"/>
          <w:szCs w:val="22"/>
        </w:rPr>
        <w:t xml:space="preserve">utilizada pela SEFAZ/SP </w:t>
      </w:r>
      <w:r w:rsidR="00647B95" w:rsidRPr="0072678C">
        <w:rPr>
          <w:rFonts w:asciiTheme="minorHAnsi" w:hAnsiTheme="minorHAnsi" w:cstheme="minorHAnsi"/>
          <w:sz w:val="22"/>
          <w:szCs w:val="22"/>
        </w:rPr>
        <w:t xml:space="preserve">deverá </w:t>
      </w:r>
      <w:r w:rsidRPr="0072678C">
        <w:rPr>
          <w:rFonts w:asciiTheme="minorHAnsi" w:hAnsiTheme="minorHAnsi" w:cstheme="minorHAnsi"/>
          <w:sz w:val="22"/>
          <w:szCs w:val="22"/>
        </w:rPr>
        <w:t xml:space="preserve">manter um cadastro dos dispositivos móveis; manter cadastro de regras que apontam padrões de irregularidade, que são automaticamente incluídos na lista de potenciais infratores; disponibilizar para os agentes fiscalizadores a posição </w:t>
      </w:r>
      <w:proofErr w:type="spellStart"/>
      <w:r w:rsidRPr="0072678C">
        <w:rPr>
          <w:rFonts w:asciiTheme="minorHAnsi" w:hAnsiTheme="minorHAnsi" w:cstheme="minorHAnsi"/>
          <w:sz w:val="22"/>
          <w:szCs w:val="22"/>
        </w:rPr>
        <w:t>georreferencial</w:t>
      </w:r>
      <w:proofErr w:type="spellEnd"/>
      <w:r w:rsidRPr="0072678C">
        <w:rPr>
          <w:rFonts w:asciiTheme="minorHAnsi" w:hAnsiTheme="minorHAnsi" w:cstheme="minorHAnsi"/>
          <w:sz w:val="22"/>
          <w:szCs w:val="22"/>
        </w:rPr>
        <w:t xml:space="preserve"> dos potenciais </w:t>
      </w:r>
      <w:r w:rsidRPr="0072678C">
        <w:rPr>
          <w:rFonts w:asciiTheme="minorHAnsi" w:hAnsiTheme="minorHAnsi" w:cstheme="minorHAnsi"/>
          <w:sz w:val="22"/>
          <w:szCs w:val="22"/>
        </w:rPr>
        <w:lastRenderedPageBreak/>
        <w:t xml:space="preserve">infratores; e permitir </w:t>
      </w:r>
      <w:r w:rsidR="00647B95" w:rsidRPr="0072678C">
        <w:rPr>
          <w:rFonts w:asciiTheme="minorHAnsi" w:hAnsiTheme="minorHAnsi" w:cstheme="minorHAnsi"/>
          <w:sz w:val="22"/>
          <w:szCs w:val="22"/>
        </w:rPr>
        <w:t>q</w:t>
      </w:r>
      <w:r w:rsidRPr="0072678C">
        <w:rPr>
          <w:rFonts w:asciiTheme="minorHAnsi" w:hAnsiTheme="minorHAnsi" w:cstheme="minorHAnsi"/>
          <w:sz w:val="22"/>
          <w:szCs w:val="22"/>
        </w:rPr>
        <w:t>ue o agente fiscalizador faça o registro de passagem dos documentos fiscais eletrônicos</w:t>
      </w:r>
      <w:r w:rsidR="00647B95" w:rsidRPr="0072678C">
        <w:rPr>
          <w:rFonts w:asciiTheme="minorHAnsi" w:hAnsiTheme="minorHAnsi" w:cstheme="minorHAnsi"/>
          <w:sz w:val="22"/>
          <w:szCs w:val="22"/>
        </w:rPr>
        <w:t>.</w:t>
      </w:r>
    </w:p>
    <w:p w:rsidR="002A6075" w:rsidRPr="0072678C" w:rsidRDefault="002A6075"/>
    <w:p w:rsidR="00647B95" w:rsidRPr="0072678C" w:rsidRDefault="003F2CD8" w:rsidP="00592C07">
      <w:pPr>
        <w:jc w:val="both"/>
        <w:rPr>
          <w:rFonts w:asciiTheme="minorHAnsi" w:hAnsiTheme="minorHAnsi" w:cstheme="minorHAnsi"/>
          <w:sz w:val="22"/>
          <w:szCs w:val="22"/>
        </w:rPr>
      </w:pPr>
      <w:r w:rsidRPr="0072678C">
        <w:rPr>
          <w:rFonts w:asciiTheme="minorHAnsi" w:hAnsiTheme="minorHAnsi" w:cstheme="minorHAnsi"/>
          <w:sz w:val="22"/>
          <w:szCs w:val="22"/>
        </w:rPr>
        <w:t xml:space="preserve">No que se refere ao </w:t>
      </w:r>
      <w:r w:rsidR="00647B95" w:rsidRPr="0072678C">
        <w:rPr>
          <w:rFonts w:asciiTheme="minorHAnsi" w:hAnsiTheme="minorHAnsi" w:cstheme="minorHAnsi"/>
          <w:sz w:val="22"/>
          <w:szCs w:val="22"/>
        </w:rPr>
        <w:t xml:space="preserve">processo </w:t>
      </w:r>
      <w:r w:rsidRPr="0072678C">
        <w:rPr>
          <w:rFonts w:asciiTheme="minorHAnsi" w:hAnsiTheme="minorHAnsi" w:cstheme="minorHAnsi"/>
          <w:sz w:val="22"/>
          <w:szCs w:val="22"/>
        </w:rPr>
        <w:t>de</w:t>
      </w:r>
      <w:r w:rsidRPr="0072678C">
        <w:rPr>
          <w:rFonts w:asciiTheme="minorHAnsi" w:hAnsiTheme="minorHAnsi" w:cstheme="minorHAnsi"/>
          <w:b/>
          <w:bCs/>
          <w:i/>
          <w:iCs/>
          <w:sz w:val="22"/>
          <w:szCs w:val="22"/>
        </w:rPr>
        <w:t xml:space="preserve"> </w:t>
      </w:r>
      <w:r w:rsidR="00647B95" w:rsidRPr="0072678C">
        <w:rPr>
          <w:rFonts w:asciiTheme="minorHAnsi" w:hAnsiTheme="minorHAnsi" w:cstheme="minorHAnsi"/>
          <w:b/>
          <w:bCs/>
          <w:i/>
          <w:iCs/>
          <w:sz w:val="22"/>
          <w:szCs w:val="22"/>
        </w:rPr>
        <w:t>tratamento e cruzamento de dados das bases de</w:t>
      </w:r>
      <w:r w:rsidR="00647B95" w:rsidRPr="0072678C">
        <w:rPr>
          <w:rFonts w:asciiTheme="minorHAnsi" w:hAnsiTheme="minorHAnsi" w:cstheme="minorHAnsi"/>
          <w:sz w:val="22"/>
          <w:szCs w:val="22"/>
        </w:rPr>
        <w:t xml:space="preserve"> </w:t>
      </w:r>
      <w:proofErr w:type="spellStart"/>
      <w:r w:rsidR="00647B95" w:rsidRPr="0072678C">
        <w:rPr>
          <w:rFonts w:asciiTheme="minorHAnsi" w:hAnsiTheme="minorHAnsi" w:cstheme="minorHAnsi"/>
          <w:b/>
          <w:bCs/>
          <w:i/>
          <w:iCs/>
          <w:sz w:val="22"/>
          <w:szCs w:val="22"/>
        </w:rPr>
        <w:t>DF-e</w:t>
      </w:r>
      <w:proofErr w:type="spellEnd"/>
      <w:r w:rsidR="00647B95" w:rsidRPr="0072678C">
        <w:rPr>
          <w:rFonts w:asciiTheme="minorHAnsi" w:hAnsiTheme="minorHAnsi" w:cstheme="minorHAnsi"/>
          <w:b/>
          <w:bCs/>
          <w:i/>
          <w:iCs/>
          <w:sz w:val="22"/>
          <w:szCs w:val="22"/>
        </w:rPr>
        <w:t xml:space="preserve"> </w:t>
      </w:r>
      <w:r w:rsidR="00647B95" w:rsidRPr="0072678C">
        <w:rPr>
          <w:rFonts w:asciiTheme="minorHAnsi" w:hAnsiTheme="minorHAnsi" w:cstheme="minorHAnsi"/>
          <w:sz w:val="22"/>
          <w:szCs w:val="22"/>
        </w:rPr>
        <w:t>a</w:t>
      </w:r>
      <w:r w:rsidR="00592C07" w:rsidRPr="0072678C">
        <w:rPr>
          <w:rFonts w:asciiTheme="minorHAnsi" w:hAnsiTheme="minorHAnsi" w:cstheme="minorHAnsi"/>
          <w:sz w:val="22"/>
          <w:szCs w:val="22"/>
        </w:rPr>
        <w:t xml:space="preserve"> SEFAZ/SP a</w:t>
      </w:r>
      <w:r w:rsidR="00647B95" w:rsidRPr="0072678C">
        <w:rPr>
          <w:rFonts w:asciiTheme="minorHAnsi" w:hAnsiTheme="minorHAnsi" w:cstheme="minorHAnsi"/>
          <w:sz w:val="22"/>
          <w:szCs w:val="22"/>
        </w:rPr>
        <w:t xml:space="preserve">inda </w:t>
      </w:r>
      <w:r w:rsidRPr="0072678C">
        <w:rPr>
          <w:rFonts w:asciiTheme="minorHAnsi" w:hAnsiTheme="minorHAnsi" w:cstheme="minorHAnsi"/>
          <w:sz w:val="22"/>
          <w:szCs w:val="22"/>
        </w:rPr>
        <w:t xml:space="preserve">utiliza </w:t>
      </w:r>
      <w:r w:rsidR="00647B95" w:rsidRPr="0072678C">
        <w:rPr>
          <w:rFonts w:asciiTheme="minorHAnsi" w:hAnsiTheme="minorHAnsi" w:cstheme="minorHAnsi"/>
          <w:sz w:val="22"/>
          <w:szCs w:val="22"/>
        </w:rPr>
        <w:t>motores de regras para implementar as regras tributárias nos sistemas informatizados.</w:t>
      </w:r>
    </w:p>
    <w:p w:rsidR="00647B95" w:rsidRPr="0072678C" w:rsidRDefault="00647B95"/>
    <w:p w:rsidR="00212901" w:rsidRPr="0072678C" w:rsidRDefault="00212901" w:rsidP="00212901">
      <w:pPr>
        <w:jc w:val="both"/>
        <w:rPr>
          <w:rFonts w:asciiTheme="minorHAnsi" w:hAnsiTheme="minorHAnsi" w:cstheme="minorHAnsi"/>
        </w:rPr>
      </w:pPr>
      <w:r w:rsidRPr="0072678C">
        <w:rPr>
          <w:rFonts w:asciiTheme="minorHAnsi" w:hAnsiTheme="minorHAnsi" w:cstheme="minorHAnsi"/>
          <w:b/>
          <w:bCs/>
          <w:sz w:val="22"/>
          <w:szCs w:val="22"/>
        </w:rPr>
        <w:t xml:space="preserve">O processo </w:t>
      </w:r>
      <w:r w:rsidR="00592C07" w:rsidRPr="0072678C">
        <w:rPr>
          <w:rFonts w:asciiTheme="minorHAnsi" w:hAnsiTheme="minorHAnsi" w:cstheme="minorHAnsi"/>
          <w:b/>
          <w:bCs/>
          <w:sz w:val="22"/>
          <w:szCs w:val="22"/>
        </w:rPr>
        <w:t xml:space="preserve">de </w:t>
      </w:r>
      <w:r w:rsidRPr="0072678C">
        <w:rPr>
          <w:rFonts w:asciiTheme="minorHAnsi" w:hAnsiTheme="minorHAnsi" w:cstheme="minorHAnsi"/>
          <w:b/>
          <w:bCs/>
          <w:i/>
          <w:iCs/>
          <w:sz w:val="22"/>
          <w:szCs w:val="22"/>
        </w:rPr>
        <w:t>inteligência fiscal</w:t>
      </w:r>
      <w:r w:rsidRPr="0072678C">
        <w:rPr>
          <w:rFonts w:asciiTheme="minorHAnsi" w:hAnsiTheme="minorHAnsi" w:cstheme="minorHAnsi"/>
          <w:b/>
          <w:bCs/>
          <w:sz w:val="22"/>
          <w:szCs w:val="22"/>
        </w:rPr>
        <w:t xml:space="preserve">, </w:t>
      </w:r>
      <w:r w:rsidRPr="0072678C">
        <w:rPr>
          <w:rFonts w:asciiTheme="minorHAnsi" w:hAnsiTheme="minorHAnsi" w:cstheme="minorHAnsi"/>
          <w:sz w:val="22"/>
          <w:szCs w:val="22"/>
        </w:rPr>
        <w:t>para combate às fraudes fiscais estruturadas, não utiliza plano de auditoria para investigação de fraudes baseado em critérios de riscos e suportado por indicadores de desempenho; não utiliza procedimentos e documentos padronizados e específicos para atuar em casos de fraudes fiscais estruturadas, buscando a recuperação dos tributos devidos ou a responsabilização civil e penal dos autores; não dispõe de programa internacional e/ou nacional de intercâmbio de informações para benchmarking de melhores práticas e capacitação continuada de servidores; não dispõe de portal para troca de informações de interesse da inteligência e contra inteligência com registro de controle de acesso; não utiliza ferramentas que permitem obter informações nas redes sociais; e não possui acesso integral às informações disponíveis nos sistemas internos.</w:t>
      </w:r>
    </w:p>
    <w:p w:rsidR="00AD4DB5" w:rsidRPr="0072678C" w:rsidRDefault="00AD4DB5"/>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2040"/>
        <w:gridCol w:w="884"/>
        <w:gridCol w:w="776"/>
        <w:gridCol w:w="695"/>
      </w:tblGrid>
      <w:tr w:rsidR="00410A0A" w:rsidRPr="0072678C" w:rsidTr="00410A0A">
        <w:trPr>
          <w:trHeight w:val="345"/>
        </w:trPr>
        <w:tc>
          <w:tcPr>
            <w:tcW w:w="4536" w:type="dxa"/>
            <w:vMerge w:val="restart"/>
            <w:shd w:val="clear" w:color="auto" w:fill="F7CAAC" w:themeFill="accent2" w:themeFillTint="66"/>
            <w:noWrap/>
            <w:vAlign w:val="center"/>
            <w:hideMark/>
          </w:tcPr>
          <w:p w:rsidR="00410A0A" w:rsidRPr="0072678C" w:rsidRDefault="00410A0A" w:rsidP="00410A0A">
            <w:pPr>
              <w:ind w:left="33" w:right="-1"/>
              <w:jc w:val="both"/>
              <w:rPr>
                <w:rFonts w:asciiTheme="minorHAnsi" w:hAnsiTheme="minorHAnsi" w:cstheme="minorHAnsi"/>
                <w:b/>
              </w:rPr>
            </w:pPr>
            <w:r w:rsidRPr="0072678C">
              <w:rPr>
                <w:rFonts w:asciiTheme="minorHAnsi" w:hAnsiTheme="minorHAnsi" w:cstheme="minorHAnsi"/>
                <w:b/>
                <w:bCs/>
                <w:sz w:val="22"/>
                <w:szCs w:val="22"/>
              </w:rPr>
              <w:t xml:space="preserve">AT 4. CONTENCIOSO FISCAL: </w:t>
            </w:r>
            <w:r w:rsidRPr="0072678C">
              <w:rPr>
                <w:rFonts w:asciiTheme="minorHAnsi" w:hAnsiTheme="minorHAnsi" w:cstheme="minorHAnsi"/>
                <w:sz w:val="22"/>
                <w:szCs w:val="22"/>
              </w:rPr>
              <w:t xml:space="preserve">Analisa as impugnações e recursos fiscais dos processos tributários com base em critérios objetivos e </w:t>
            </w:r>
            <w:r w:rsidR="006C4206" w:rsidRPr="0072678C">
              <w:rPr>
                <w:rFonts w:asciiTheme="minorHAnsi" w:hAnsiTheme="minorHAnsi" w:cstheme="minorHAnsi"/>
                <w:sz w:val="22"/>
                <w:szCs w:val="22"/>
              </w:rPr>
              <w:t>transparentes</w:t>
            </w:r>
            <w:r w:rsidRPr="0072678C">
              <w:rPr>
                <w:rFonts w:asciiTheme="minorHAnsi" w:hAnsiTheme="minorHAnsi" w:cstheme="minorHAnsi"/>
                <w:sz w:val="22"/>
                <w:szCs w:val="22"/>
              </w:rPr>
              <w:t>, julga de acordo com a legislação de forma criteriosa e imparcial e executa a cobrança da dívida ativa com base no perfil do devedor</w:t>
            </w:r>
          </w:p>
        </w:tc>
        <w:tc>
          <w:tcPr>
            <w:tcW w:w="2040" w:type="dxa"/>
            <w:vMerge w:val="restart"/>
            <w:shd w:val="clear" w:color="auto" w:fill="F7CAAC" w:themeFill="accent2" w:themeFillTint="66"/>
            <w:noWrap/>
            <w:vAlign w:val="center"/>
            <w:hideMark/>
          </w:tcPr>
          <w:p w:rsidR="00410A0A" w:rsidRPr="0072678C" w:rsidRDefault="00410A0A" w:rsidP="006B401B">
            <w:pPr>
              <w:ind w:left="33" w:right="-1"/>
              <w:jc w:val="center"/>
              <w:rPr>
                <w:rFonts w:asciiTheme="minorHAnsi" w:hAnsiTheme="minorHAnsi" w:cstheme="minorHAnsi"/>
                <w:b/>
              </w:rPr>
            </w:pPr>
            <w:r w:rsidRPr="0072678C">
              <w:rPr>
                <w:rFonts w:asciiTheme="minorHAnsi" w:hAnsiTheme="minorHAnsi" w:cstheme="minorHAnsi"/>
                <w:b/>
                <w:sz w:val="22"/>
                <w:szCs w:val="22"/>
              </w:rPr>
              <w:t>Maturidade</w:t>
            </w:r>
          </w:p>
        </w:tc>
        <w:tc>
          <w:tcPr>
            <w:tcW w:w="2355" w:type="dxa"/>
            <w:gridSpan w:val="3"/>
            <w:shd w:val="clear" w:color="auto" w:fill="F7CAAC" w:themeFill="accent2" w:themeFillTint="66"/>
          </w:tcPr>
          <w:p w:rsidR="00410A0A" w:rsidRPr="0072678C" w:rsidRDefault="00410A0A" w:rsidP="006B401B">
            <w:pPr>
              <w:ind w:left="33" w:right="-1"/>
              <w:jc w:val="center"/>
              <w:rPr>
                <w:rFonts w:asciiTheme="minorHAnsi" w:hAnsiTheme="minorHAnsi" w:cstheme="minorHAnsi"/>
                <w:b/>
              </w:rPr>
            </w:pPr>
            <w:r w:rsidRPr="0072678C">
              <w:rPr>
                <w:rFonts w:asciiTheme="minorHAnsi" w:hAnsiTheme="minorHAnsi" w:cstheme="minorHAnsi"/>
                <w:b/>
                <w:sz w:val="22"/>
                <w:szCs w:val="22"/>
              </w:rPr>
              <w:t>Pontuação</w:t>
            </w:r>
          </w:p>
        </w:tc>
      </w:tr>
      <w:tr w:rsidR="00410A0A" w:rsidRPr="0072678C" w:rsidTr="00410A0A">
        <w:trPr>
          <w:trHeight w:val="345"/>
        </w:trPr>
        <w:tc>
          <w:tcPr>
            <w:tcW w:w="4536" w:type="dxa"/>
            <w:vMerge/>
            <w:shd w:val="clear" w:color="auto" w:fill="F7CAAC" w:themeFill="accent2" w:themeFillTint="66"/>
            <w:noWrap/>
            <w:vAlign w:val="center"/>
            <w:hideMark/>
          </w:tcPr>
          <w:p w:rsidR="00410A0A" w:rsidRPr="0072678C" w:rsidRDefault="00410A0A" w:rsidP="006B401B">
            <w:pPr>
              <w:ind w:left="33" w:right="-1"/>
              <w:jc w:val="center"/>
              <w:rPr>
                <w:rFonts w:asciiTheme="minorHAnsi" w:hAnsiTheme="minorHAnsi" w:cstheme="minorHAnsi"/>
                <w:b/>
              </w:rPr>
            </w:pPr>
          </w:p>
        </w:tc>
        <w:tc>
          <w:tcPr>
            <w:tcW w:w="2040" w:type="dxa"/>
            <w:vMerge/>
            <w:shd w:val="clear" w:color="auto" w:fill="F7CAAC" w:themeFill="accent2" w:themeFillTint="66"/>
            <w:noWrap/>
            <w:vAlign w:val="center"/>
            <w:hideMark/>
          </w:tcPr>
          <w:p w:rsidR="00410A0A" w:rsidRPr="0072678C" w:rsidRDefault="00410A0A" w:rsidP="006B401B">
            <w:pPr>
              <w:ind w:left="33" w:right="-1"/>
              <w:jc w:val="center"/>
              <w:rPr>
                <w:rFonts w:asciiTheme="minorHAnsi" w:hAnsiTheme="minorHAnsi" w:cstheme="minorHAnsi"/>
                <w:b/>
              </w:rPr>
            </w:pPr>
          </w:p>
        </w:tc>
        <w:tc>
          <w:tcPr>
            <w:tcW w:w="884" w:type="dxa"/>
            <w:shd w:val="clear" w:color="auto" w:fill="F7CAAC" w:themeFill="accent2" w:themeFillTint="66"/>
            <w:vAlign w:val="center"/>
          </w:tcPr>
          <w:p w:rsidR="00410A0A" w:rsidRPr="0072678C" w:rsidRDefault="00410A0A" w:rsidP="006B401B">
            <w:pPr>
              <w:jc w:val="center"/>
              <w:rPr>
                <w:rFonts w:asciiTheme="minorHAnsi" w:hAnsiTheme="minorHAnsi" w:cstheme="minorHAnsi"/>
                <w:b/>
              </w:rPr>
            </w:pPr>
            <w:r w:rsidRPr="0072678C">
              <w:rPr>
                <w:rFonts w:asciiTheme="minorHAnsi" w:hAnsiTheme="minorHAnsi" w:cstheme="minorHAnsi"/>
                <w:b/>
                <w:sz w:val="22"/>
                <w:szCs w:val="22"/>
              </w:rPr>
              <w:t>Máxima</w:t>
            </w:r>
          </w:p>
        </w:tc>
        <w:tc>
          <w:tcPr>
            <w:tcW w:w="776" w:type="dxa"/>
            <w:shd w:val="clear" w:color="auto" w:fill="F7CAAC" w:themeFill="accent2" w:themeFillTint="66"/>
            <w:vAlign w:val="center"/>
          </w:tcPr>
          <w:p w:rsidR="00410A0A" w:rsidRPr="0072678C" w:rsidRDefault="00410A0A" w:rsidP="006B401B">
            <w:pPr>
              <w:jc w:val="center"/>
              <w:rPr>
                <w:rFonts w:asciiTheme="minorHAnsi" w:hAnsiTheme="minorHAnsi" w:cstheme="minorHAnsi"/>
                <w:b/>
              </w:rPr>
            </w:pPr>
            <w:r w:rsidRPr="0072678C">
              <w:rPr>
                <w:rFonts w:asciiTheme="minorHAnsi" w:hAnsiTheme="minorHAnsi" w:cstheme="minorHAnsi"/>
                <w:b/>
                <w:sz w:val="22"/>
                <w:szCs w:val="22"/>
              </w:rPr>
              <w:t>Obtida</w:t>
            </w:r>
          </w:p>
        </w:tc>
        <w:tc>
          <w:tcPr>
            <w:tcW w:w="695" w:type="dxa"/>
            <w:shd w:val="clear" w:color="auto" w:fill="F7CAAC" w:themeFill="accent2" w:themeFillTint="66"/>
            <w:vAlign w:val="center"/>
          </w:tcPr>
          <w:p w:rsidR="00410A0A" w:rsidRPr="0072678C" w:rsidRDefault="00410A0A" w:rsidP="006B401B">
            <w:pPr>
              <w:jc w:val="center"/>
              <w:rPr>
                <w:rFonts w:asciiTheme="minorHAnsi" w:hAnsiTheme="minorHAnsi" w:cstheme="minorHAnsi"/>
                <w:b/>
              </w:rPr>
            </w:pPr>
            <w:r w:rsidRPr="0072678C">
              <w:rPr>
                <w:rFonts w:asciiTheme="minorHAnsi" w:hAnsiTheme="minorHAnsi" w:cstheme="minorHAnsi"/>
                <w:b/>
                <w:sz w:val="22"/>
                <w:szCs w:val="22"/>
              </w:rPr>
              <w:t>%</w:t>
            </w:r>
          </w:p>
        </w:tc>
      </w:tr>
      <w:tr w:rsidR="00410A0A" w:rsidRPr="0072678C" w:rsidTr="00410A0A">
        <w:trPr>
          <w:trHeight w:val="345"/>
        </w:trPr>
        <w:tc>
          <w:tcPr>
            <w:tcW w:w="4536" w:type="dxa"/>
            <w:vMerge/>
            <w:shd w:val="clear" w:color="auto" w:fill="auto"/>
            <w:noWrap/>
            <w:vAlign w:val="center"/>
            <w:hideMark/>
          </w:tcPr>
          <w:p w:rsidR="00410A0A" w:rsidRPr="0072678C" w:rsidRDefault="00410A0A" w:rsidP="00B16094">
            <w:pPr>
              <w:ind w:firstLineChars="200" w:firstLine="480"/>
              <w:jc w:val="center"/>
              <w:rPr>
                <w:rFonts w:ascii="Calibri" w:hAnsi="Calibri" w:cs="Calibri"/>
              </w:rPr>
            </w:pPr>
          </w:p>
        </w:tc>
        <w:tc>
          <w:tcPr>
            <w:tcW w:w="2040" w:type="dxa"/>
            <w:shd w:val="clear" w:color="auto" w:fill="auto"/>
            <w:noWrap/>
            <w:vAlign w:val="center"/>
            <w:hideMark/>
          </w:tcPr>
          <w:p w:rsidR="00410A0A" w:rsidRPr="0072678C" w:rsidRDefault="00410A0A" w:rsidP="00592C07">
            <w:pPr>
              <w:jc w:val="center"/>
              <w:rPr>
                <w:rFonts w:ascii="Calibri" w:hAnsi="Calibri" w:cs="Calibri"/>
                <w:b/>
                <w:bCs/>
              </w:rPr>
            </w:pPr>
            <w:r w:rsidRPr="0072678C">
              <w:rPr>
                <w:rFonts w:ascii="Calibri" w:hAnsi="Calibri" w:cs="Calibri"/>
                <w:b/>
                <w:bCs/>
                <w:sz w:val="22"/>
                <w:szCs w:val="22"/>
              </w:rPr>
              <w:t>INTERMEDIÁRIO (-)</w:t>
            </w:r>
          </w:p>
        </w:tc>
        <w:tc>
          <w:tcPr>
            <w:tcW w:w="884" w:type="dxa"/>
            <w:vAlign w:val="center"/>
          </w:tcPr>
          <w:p w:rsidR="00410A0A" w:rsidRPr="0072678C" w:rsidRDefault="00410A0A" w:rsidP="00592C07">
            <w:pPr>
              <w:jc w:val="center"/>
              <w:rPr>
                <w:rFonts w:ascii="Calibri" w:hAnsi="Calibri" w:cs="Calibri"/>
              </w:rPr>
            </w:pPr>
            <w:r w:rsidRPr="0072678C">
              <w:rPr>
                <w:rFonts w:ascii="Calibri" w:hAnsi="Calibri" w:cs="Calibri"/>
                <w:sz w:val="22"/>
                <w:szCs w:val="22"/>
              </w:rPr>
              <w:t>18</w:t>
            </w:r>
          </w:p>
        </w:tc>
        <w:tc>
          <w:tcPr>
            <w:tcW w:w="776" w:type="dxa"/>
            <w:vAlign w:val="center"/>
          </w:tcPr>
          <w:p w:rsidR="00410A0A" w:rsidRPr="0072678C" w:rsidRDefault="00410A0A" w:rsidP="00592C07">
            <w:pPr>
              <w:jc w:val="center"/>
              <w:rPr>
                <w:rFonts w:ascii="Calibri" w:hAnsi="Calibri" w:cs="Calibri"/>
              </w:rPr>
            </w:pPr>
            <w:r w:rsidRPr="0072678C">
              <w:rPr>
                <w:rFonts w:ascii="Calibri" w:hAnsi="Calibri" w:cs="Calibri"/>
                <w:sz w:val="22"/>
                <w:szCs w:val="22"/>
              </w:rPr>
              <w:t>9</w:t>
            </w:r>
          </w:p>
        </w:tc>
        <w:tc>
          <w:tcPr>
            <w:tcW w:w="695" w:type="dxa"/>
            <w:vAlign w:val="center"/>
          </w:tcPr>
          <w:p w:rsidR="00410A0A" w:rsidRPr="0072678C" w:rsidRDefault="00410A0A" w:rsidP="00592C07">
            <w:pPr>
              <w:jc w:val="center"/>
              <w:rPr>
                <w:rFonts w:ascii="Calibri" w:hAnsi="Calibri" w:cs="Calibri"/>
              </w:rPr>
            </w:pPr>
            <w:r w:rsidRPr="0072678C">
              <w:rPr>
                <w:rFonts w:ascii="Calibri" w:hAnsi="Calibri" w:cs="Calibri"/>
                <w:sz w:val="22"/>
                <w:szCs w:val="22"/>
              </w:rPr>
              <w:t>50%</w:t>
            </w:r>
          </w:p>
        </w:tc>
      </w:tr>
    </w:tbl>
    <w:p w:rsidR="00592C07" w:rsidRPr="0072678C" w:rsidRDefault="00592C07">
      <w:pPr>
        <w:rPr>
          <w:rFonts w:asciiTheme="minorHAnsi" w:hAnsiTheme="minorHAnsi" w:cstheme="minorHAnsi"/>
          <w:sz w:val="22"/>
          <w:szCs w:val="22"/>
        </w:rPr>
      </w:pPr>
    </w:p>
    <w:p w:rsidR="003A3738" w:rsidRPr="0072678C" w:rsidRDefault="003A3738" w:rsidP="005935B8">
      <w:pPr>
        <w:jc w:val="both"/>
        <w:rPr>
          <w:rFonts w:asciiTheme="minorHAnsi" w:hAnsiTheme="minorHAnsi" w:cstheme="minorHAnsi"/>
          <w:sz w:val="22"/>
          <w:szCs w:val="22"/>
        </w:rPr>
      </w:pPr>
      <w:r w:rsidRPr="0072678C">
        <w:rPr>
          <w:rFonts w:asciiTheme="minorHAnsi" w:hAnsiTheme="minorHAnsi" w:cstheme="minorHAnsi"/>
          <w:sz w:val="22"/>
          <w:szCs w:val="22"/>
        </w:rPr>
        <w:t>Para o processo</w:t>
      </w:r>
      <w:r w:rsidRPr="0072678C">
        <w:rPr>
          <w:rFonts w:asciiTheme="minorHAnsi" w:hAnsiTheme="minorHAnsi" w:cstheme="minorHAnsi"/>
          <w:i/>
          <w:iCs/>
          <w:sz w:val="22"/>
          <w:szCs w:val="22"/>
        </w:rPr>
        <w:t xml:space="preserve"> </w:t>
      </w:r>
      <w:r w:rsidRPr="0072678C">
        <w:rPr>
          <w:rFonts w:asciiTheme="minorHAnsi" w:hAnsiTheme="minorHAnsi" w:cstheme="minorHAnsi"/>
          <w:b/>
          <w:bCs/>
          <w:i/>
          <w:iCs/>
          <w:sz w:val="22"/>
          <w:szCs w:val="22"/>
        </w:rPr>
        <w:t xml:space="preserve">gestão do contencioso administrativo fiscal </w:t>
      </w:r>
      <w:r w:rsidR="003E7A2A" w:rsidRPr="0072678C">
        <w:rPr>
          <w:rFonts w:asciiTheme="minorHAnsi" w:hAnsiTheme="minorHAnsi" w:cstheme="minorHAnsi"/>
          <w:sz w:val="22"/>
          <w:szCs w:val="22"/>
        </w:rPr>
        <w:t xml:space="preserve">se faz necessário </w:t>
      </w:r>
      <w:r w:rsidR="00C605AA" w:rsidRPr="0072678C">
        <w:rPr>
          <w:rFonts w:asciiTheme="minorHAnsi" w:hAnsiTheme="minorHAnsi" w:cstheme="minorHAnsi"/>
          <w:sz w:val="22"/>
          <w:szCs w:val="22"/>
        </w:rPr>
        <w:t xml:space="preserve">analisar </w:t>
      </w:r>
      <w:r w:rsidRPr="0072678C">
        <w:rPr>
          <w:rFonts w:asciiTheme="minorHAnsi" w:hAnsiTheme="minorHAnsi" w:cstheme="minorHAnsi"/>
          <w:sz w:val="22"/>
          <w:szCs w:val="22"/>
        </w:rPr>
        <w:t>o comportamento do contencioso e o perfil das decisões, subsidiando o planeja</w:t>
      </w:r>
      <w:r w:rsidR="00C605AA" w:rsidRPr="0072678C">
        <w:rPr>
          <w:rFonts w:asciiTheme="minorHAnsi" w:hAnsiTheme="minorHAnsi" w:cstheme="minorHAnsi"/>
          <w:sz w:val="22"/>
          <w:szCs w:val="22"/>
        </w:rPr>
        <w:t xml:space="preserve">mento e atuação da fiscalização; controlar </w:t>
      </w:r>
      <w:r w:rsidRPr="0072678C">
        <w:rPr>
          <w:rFonts w:asciiTheme="minorHAnsi" w:hAnsiTheme="minorHAnsi" w:cstheme="minorHAnsi"/>
          <w:sz w:val="22"/>
          <w:szCs w:val="22"/>
        </w:rPr>
        <w:t>automaticamente os estoques de processos, por valor e matéria, definindo ações para maior celeridade do julgamento</w:t>
      </w:r>
      <w:r w:rsidR="00C605AA" w:rsidRPr="0072678C">
        <w:rPr>
          <w:rFonts w:asciiTheme="minorHAnsi" w:hAnsiTheme="minorHAnsi" w:cstheme="minorHAnsi"/>
          <w:sz w:val="22"/>
          <w:szCs w:val="22"/>
        </w:rPr>
        <w:t>; e acompanhar a</w:t>
      </w:r>
      <w:r w:rsidRPr="0072678C">
        <w:rPr>
          <w:rFonts w:asciiTheme="minorHAnsi" w:hAnsiTheme="minorHAnsi" w:cstheme="minorHAnsi"/>
          <w:sz w:val="22"/>
          <w:szCs w:val="22"/>
        </w:rPr>
        <w:t>s decisões de matérias no âmbito judicial e pro</w:t>
      </w:r>
      <w:r w:rsidR="00714086" w:rsidRPr="0072678C">
        <w:rPr>
          <w:rFonts w:asciiTheme="minorHAnsi" w:hAnsiTheme="minorHAnsi" w:cstheme="minorHAnsi"/>
          <w:sz w:val="22"/>
          <w:szCs w:val="22"/>
        </w:rPr>
        <w:t xml:space="preserve">por </w:t>
      </w:r>
      <w:r w:rsidRPr="0072678C">
        <w:rPr>
          <w:rFonts w:asciiTheme="minorHAnsi" w:hAnsiTheme="minorHAnsi" w:cstheme="minorHAnsi"/>
          <w:sz w:val="22"/>
          <w:szCs w:val="22"/>
        </w:rPr>
        <w:t>critérios para efeitos vinculantes dessas decisões</w:t>
      </w:r>
    </w:p>
    <w:p w:rsidR="003A3738" w:rsidRPr="0072678C" w:rsidRDefault="003A3738"/>
    <w:p w:rsidR="005935B8" w:rsidRPr="0072678C" w:rsidRDefault="005935B8" w:rsidP="005935B8">
      <w:pPr>
        <w:jc w:val="both"/>
        <w:rPr>
          <w:rFonts w:asciiTheme="minorHAnsi" w:hAnsiTheme="minorHAnsi" w:cstheme="minorHAnsi"/>
          <w:sz w:val="22"/>
          <w:szCs w:val="22"/>
        </w:rPr>
      </w:pPr>
      <w:r w:rsidRPr="0072678C">
        <w:rPr>
          <w:rFonts w:asciiTheme="minorHAnsi" w:hAnsiTheme="minorHAnsi" w:cstheme="minorHAnsi"/>
          <w:sz w:val="22"/>
          <w:szCs w:val="22"/>
        </w:rPr>
        <w:t xml:space="preserve">Com relação aos </w:t>
      </w:r>
      <w:r w:rsidRPr="0072678C">
        <w:rPr>
          <w:rFonts w:asciiTheme="minorHAnsi" w:hAnsiTheme="minorHAnsi" w:cstheme="minorHAnsi"/>
          <w:b/>
          <w:bCs/>
          <w:sz w:val="22"/>
          <w:szCs w:val="22"/>
        </w:rPr>
        <w:t>procedimentos do contencioso do administrativo fiscal</w:t>
      </w:r>
      <w:r w:rsidRPr="0072678C">
        <w:rPr>
          <w:rFonts w:asciiTheme="minorHAnsi" w:hAnsiTheme="minorHAnsi" w:cstheme="minorHAnsi"/>
          <w:sz w:val="22"/>
          <w:szCs w:val="22"/>
        </w:rPr>
        <w:t xml:space="preserve"> deverá adotar critérios objetivos para julgamento em lote por matéria; e gravar os julgamentos </w:t>
      </w:r>
      <w:r w:rsidR="00714086" w:rsidRPr="0072678C">
        <w:rPr>
          <w:rFonts w:asciiTheme="minorHAnsi" w:hAnsiTheme="minorHAnsi" w:cstheme="minorHAnsi"/>
          <w:sz w:val="22"/>
          <w:szCs w:val="22"/>
        </w:rPr>
        <w:t xml:space="preserve">utilizando </w:t>
      </w:r>
      <w:r w:rsidRPr="0072678C">
        <w:rPr>
          <w:rFonts w:asciiTheme="minorHAnsi" w:hAnsiTheme="minorHAnsi" w:cstheme="minorHAnsi"/>
          <w:sz w:val="22"/>
          <w:szCs w:val="22"/>
        </w:rPr>
        <w:t>soluções tecnológicas que permitem a participação remota dos interessados.</w:t>
      </w:r>
    </w:p>
    <w:p w:rsidR="005935B8" w:rsidRPr="0072678C" w:rsidRDefault="005935B8"/>
    <w:p w:rsidR="0022289E" w:rsidRPr="0072678C" w:rsidRDefault="00714086" w:rsidP="0022289E">
      <w:pPr>
        <w:jc w:val="both"/>
        <w:rPr>
          <w:rFonts w:asciiTheme="minorHAnsi" w:hAnsiTheme="minorHAnsi" w:cstheme="minorHAnsi"/>
          <w:sz w:val="22"/>
          <w:szCs w:val="22"/>
        </w:rPr>
      </w:pPr>
      <w:r w:rsidRPr="0072678C">
        <w:rPr>
          <w:rFonts w:asciiTheme="minorHAnsi" w:hAnsiTheme="minorHAnsi" w:cstheme="minorHAnsi"/>
          <w:sz w:val="22"/>
          <w:szCs w:val="22"/>
        </w:rPr>
        <w:t xml:space="preserve">No que diz respeito ao </w:t>
      </w:r>
      <w:r w:rsidR="0022289E" w:rsidRPr="0072678C">
        <w:rPr>
          <w:rFonts w:asciiTheme="minorHAnsi" w:hAnsiTheme="minorHAnsi" w:cstheme="minorHAnsi"/>
          <w:b/>
          <w:bCs/>
          <w:i/>
          <w:iCs/>
          <w:sz w:val="22"/>
          <w:szCs w:val="22"/>
        </w:rPr>
        <w:t xml:space="preserve">processo administrativo fiscal eletrônico </w:t>
      </w:r>
      <w:r w:rsidR="0022289E" w:rsidRPr="0072678C">
        <w:rPr>
          <w:rFonts w:asciiTheme="minorHAnsi" w:hAnsiTheme="minorHAnsi" w:cstheme="minorHAnsi"/>
          <w:sz w:val="22"/>
          <w:szCs w:val="22"/>
        </w:rPr>
        <w:t>(e-processo tributário)</w:t>
      </w:r>
      <w:r w:rsidRPr="0072678C">
        <w:rPr>
          <w:rFonts w:asciiTheme="minorHAnsi" w:hAnsiTheme="minorHAnsi" w:cstheme="minorHAnsi"/>
          <w:sz w:val="22"/>
          <w:szCs w:val="22"/>
        </w:rPr>
        <w:t xml:space="preserve">, o mesmo </w:t>
      </w:r>
      <w:r w:rsidR="0022289E" w:rsidRPr="0072678C">
        <w:rPr>
          <w:rFonts w:asciiTheme="minorHAnsi" w:hAnsiTheme="minorHAnsi" w:cstheme="minorHAnsi"/>
          <w:sz w:val="22"/>
          <w:szCs w:val="22"/>
        </w:rPr>
        <w:t>não integra todas as suas fases, desde o lançamento até a decisão em última instância administrativa (1a e 2a instâncias); e não troca informações com o sistema informatizado do órgão responsável pelo contencioso judicial, no âmbito do Poder Executivo.</w:t>
      </w:r>
    </w:p>
    <w:p w:rsidR="0022289E" w:rsidRPr="0072678C" w:rsidRDefault="0022289E" w:rsidP="00AD4DB5">
      <w:pPr>
        <w:rPr>
          <w:rFonts w:asciiTheme="minorHAnsi" w:hAnsiTheme="minorHAnsi" w:cstheme="minorHAnsi"/>
        </w:rPr>
      </w:pPr>
    </w:p>
    <w:p w:rsidR="0022289E" w:rsidRPr="0072678C" w:rsidRDefault="00714086" w:rsidP="00441CD0">
      <w:pPr>
        <w:jc w:val="both"/>
        <w:rPr>
          <w:rFonts w:asciiTheme="minorHAnsi" w:hAnsiTheme="minorHAnsi" w:cstheme="minorHAnsi"/>
        </w:rPr>
      </w:pPr>
      <w:r w:rsidRPr="0072678C">
        <w:rPr>
          <w:rFonts w:asciiTheme="minorHAnsi" w:hAnsiTheme="minorHAnsi" w:cstheme="minorHAnsi"/>
          <w:sz w:val="22"/>
          <w:szCs w:val="22"/>
        </w:rPr>
        <w:t xml:space="preserve">A </w:t>
      </w:r>
      <w:r w:rsidR="0022289E" w:rsidRPr="0072678C">
        <w:rPr>
          <w:rFonts w:asciiTheme="minorHAnsi" w:hAnsiTheme="minorHAnsi" w:cstheme="minorHAnsi"/>
          <w:b/>
          <w:bCs/>
          <w:i/>
          <w:iCs/>
          <w:sz w:val="22"/>
          <w:szCs w:val="22"/>
        </w:rPr>
        <w:t>inscrição e cobrança da dívida ativa</w:t>
      </w:r>
      <w:r w:rsidR="00441CD0"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foi o processo que apresentou </w:t>
      </w:r>
      <w:r w:rsidR="00441CD0" w:rsidRPr="0072678C">
        <w:rPr>
          <w:rFonts w:asciiTheme="minorHAnsi" w:hAnsiTheme="minorHAnsi" w:cstheme="minorHAnsi"/>
          <w:sz w:val="22"/>
          <w:szCs w:val="22"/>
        </w:rPr>
        <w:t xml:space="preserve">grandes fragilidades e para melhorar a sua maturidade necessita utilizar </w:t>
      </w:r>
      <w:r w:rsidR="0022289E" w:rsidRPr="0072678C">
        <w:rPr>
          <w:rFonts w:asciiTheme="minorHAnsi" w:hAnsiTheme="minorHAnsi" w:cstheme="minorHAnsi"/>
          <w:sz w:val="22"/>
          <w:szCs w:val="22"/>
        </w:rPr>
        <w:t>as informações integradas e atualizadas do e-processo tributário</w:t>
      </w:r>
      <w:r w:rsidR="00441CD0" w:rsidRPr="0072678C">
        <w:rPr>
          <w:rFonts w:asciiTheme="minorHAnsi" w:hAnsiTheme="minorHAnsi" w:cstheme="minorHAnsi"/>
          <w:sz w:val="22"/>
          <w:szCs w:val="22"/>
        </w:rPr>
        <w:t>; utilizar i</w:t>
      </w:r>
      <w:r w:rsidR="0022289E" w:rsidRPr="0072678C">
        <w:rPr>
          <w:rFonts w:asciiTheme="minorHAnsi" w:hAnsiTheme="minorHAnsi" w:cstheme="minorHAnsi"/>
          <w:sz w:val="22"/>
          <w:szCs w:val="22"/>
        </w:rPr>
        <w:t>nformações dos órgãos do Poder Executivo relacionadas com créditos não  tributário, em meio eletrônico</w:t>
      </w:r>
      <w:r w:rsidR="00441CD0" w:rsidRPr="0072678C">
        <w:rPr>
          <w:rFonts w:asciiTheme="minorHAnsi" w:hAnsiTheme="minorHAnsi" w:cstheme="minorHAnsi"/>
          <w:sz w:val="22"/>
          <w:szCs w:val="22"/>
        </w:rPr>
        <w:t xml:space="preserve">; realizar </w:t>
      </w:r>
      <w:r w:rsidR="0022289E" w:rsidRPr="0072678C">
        <w:rPr>
          <w:rFonts w:asciiTheme="minorHAnsi" w:hAnsiTheme="minorHAnsi" w:cstheme="minorHAnsi"/>
          <w:sz w:val="22"/>
          <w:szCs w:val="22"/>
        </w:rPr>
        <w:t>o saneamento do processo antes da inscrição em dívida ativa</w:t>
      </w:r>
      <w:r w:rsidR="00441CD0" w:rsidRPr="0072678C">
        <w:rPr>
          <w:rFonts w:asciiTheme="minorHAnsi" w:hAnsiTheme="minorHAnsi" w:cstheme="minorHAnsi"/>
          <w:sz w:val="22"/>
          <w:szCs w:val="22"/>
        </w:rPr>
        <w:t>; segmentar o</w:t>
      </w:r>
      <w:r w:rsidR="0022289E" w:rsidRPr="0072678C">
        <w:rPr>
          <w:rFonts w:asciiTheme="minorHAnsi" w:hAnsiTheme="minorHAnsi" w:cstheme="minorHAnsi"/>
          <w:sz w:val="22"/>
          <w:szCs w:val="22"/>
        </w:rPr>
        <w:t>s processos por critérios de risco do contribuinte, valor, matéria, complexidade e crimes contra a ordem tributária</w:t>
      </w:r>
      <w:r w:rsidR="00441CD0" w:rsidRPr="0072678C">
        <w:rPr>
          <w:rFonts w:asciiTheme="minorHAnsi" w:hAnsiTheme="minorHAnsi" w:cstheme="minorHAnsi"/>
          <w:sz w:val="22"/>
          <w:szCs w:val="22"/>
        </w:rPr>
        <w:t xml:space="preserve">; dispor de </w:t>
      </w:r>
      <w:r w:rsidR="0022289E" w:rsidRPr="0072678C">
        <w:rPr>
          <w:rFonts w:asciiTheme="minorHAnsi" w:hAnsiTheme="minorHAnsi" w:cstheme="minorHAnsi"/>
          <w:sz w:val="22"/>
          <w:szCs w:val="22"/>
        </w:rPr>
        <w:t>sistema de gestão e controle dos procedimentos de inscrição e cobrança da dívida ativa, integrado com os órgãos responsáveis pelo contencioso administrativo e com o poder judiciário</w:t>
      </w:r>
      <w:r w:rsidR="00441CD0" w:rsidRPr="0072678C">
        <w:rPr>
          <w:rFonts w:asciiTheme="minorHAnsi" w:hAnsiTheme="minorHAnsi" w:cstheme="minorHAnsi"/>
          <w:sz w:val="22"/>
          <w:szCs w:val="22"/>
        </w:rPr>
        <w:t>; dispor de i</w:t>
      </w:r>
      <w:r w:rsidR="0022289E" w:rsidRPr="0072678C">
        <w:rPr>
          <w:rFonts w:asciiTheme="minorHAnsi" w:hAnsiTheme="minorHAnsi" w:cstheme="minorHAnsi"/>
          <w:sz w:val="22"/>
          <w:szCs w:val="22"/>
        </w:rPr>
        <w:t>nformações integradas com órgãos que tratam da propriedade de bens móveis e imóveis, permitindo a solicitação de penhora</w:t>
      </w:r>
      <w:r w:rsidR="00441CD0" w:rsidRPr="0072678C">
        <w:rPr>
          <w:rFonts w:asciiTheme="minorHAnsi" w:hAnsiTheme="minorHAnsi" w:cstheme="minorHAnsi"/>
          <w:sz w:val="22"/>
          <w:szCs w:val="22"/>
        </w:rPr>
        <w:t xml:space="preserve">; e dispor de </w:t>
      </w:r>
      <w:r w:rsidR="0022289E" w:rsidRPr="0072678C">
        <w:rPr>
          <w:rFonts w:asciiTheme="minorHAnsi" w:hAnsiTheme="minorHAnsi" w:cstheme="minorHAnsi"/>
          <w:sz w:val="22"/>
          <w:szCs w:val="22"/>
        </w:rPr>
        <w:t>acordo para atuação especializada da justiça estadual nos processos fiscais</w:t>
      </w:r>
    </w:p>
    <w:p w:rsidR="0022289E" w:rsidRPr="0072678C" w:rsidRDefault="0022289E"/>
    <w:p w:rsidR="00441CD0" w:rsidRPr="0072678C" w:rsidRDefault="00441CD0" w:rsidP="00A541D7">
      <w:pPr>
        <w:jc w:val="both"/>
        <w:rPr>
          <w:rFonts w:asciiTheme="minorHAnsi" w:hAnsiTheme="minorHAnsi" w:cstheme="minorHAnsi"/>
        </w:rPr>
      </w:pPr>
      <w:r w:rsidRPr="0072678C">
        <w:rPr>
          <w:rFonts w:asciiTheme="minorHAnsi" w:hAnsiTheme="minorHAnsi" w:cstheme="minorHAnsi"/>
          <w:sz w:val="22"/>
          <w:szCs w:val="22"/>
        </w:rPr>
        <w:t xml:space="preserve">No que se refere </w:t>
      </w:r>
      <w:r w:rsidR="00B16094" w:rsidRPr="0072678C">
        <w:rPr>
          <w:rFonts w:asciiTheme="minorHAnsi" w:hAnsiTheme="minorHAnsi" w:cstheme="minorHAnsi"/>
          <w:sz w:val="22"/>
          <w:szCs w:val="22"/>
        </w:rPr>
        <w:t xml:space="preserve">aos procedimentos de </w:t>
      </w:r>
      <w:r w:rsidRPr="0072678C">
        <w:rPr>
          <w:rFonts w:asciiTheme="minorHAnsi" w:hAnsiTheme="minorHAnsi" w:cstheme="minorHAnsi"/>
          <w:b/>
          <w:bCs/>
          <w:sz w:val="22"/>
          <w:szCs w:val="22"/>
        </w:rPr>
        <w:t>recuperação da dívida ativa</w:t>
      </w:r>
      <w:r w:rsidRPr="0072678C">
        <w:rPr>
          <w:rFonts w:asciiTheme="minorHAnsi" w:hAnsiTheme="minorHAnsi" w:cstheme="minorHAnsi"/>
          <w:sz w:val="22"/>
          <w:szCs w:val="22"/>
        </w:rPr>
        <w:t xml:space="preserve"> será necessário definir e divulgar critérios objetivos para utilização de mecanismos alternativos para solução de conflitos e indução do pagamento antes da cobrança judicial; definir </w:t>
      </w:r>
      <w:r w:rsidR="00A541D7" w:rsidRPr="0072678C">
        <w:rPr>
          <w:rFonts w:asciiTheme="minorHAnsi" w:hAnsiTheme="minorHAnsi" w:cstheme="minorHAnsi"/>
          <w:sz w:val="22"/>
          <w:szCs w:val="22"/>
        </w:rPr>
        <w:t xml:space="preserve">e </w:t>
      </w:r>
      <w:r w:rsidRPr="0072678C">
        <w:rPr>
          <w:rFonts w:asciiTheme="minorHAnsi" w:hAnsiTheme="minorHAnsi" w:cstheme="minorHAnsi"/>
          <w:sz w:val="22"/>
          <w:szCs w:val="22"/>
        </w:rPr>
        <w:t>agenda</w:t>
      </w:r>
      <w:r w:rsidR="00A541D7" w:rsidRPr="0072678C">
        <w:rPr>
          <w:rFonts w:asciiTheme="minorHAnsi" w:hAnsiTheme="minorHAnsi" w:cstheme="minorHAnsi"/>
          <w:sz w:val="22"/>
          <w:szCs w:val="22"/>
        </w:rPr>
        <w:t>r</w:t>
      </w:r>
      <w:r w:rsidRPr="0072678C">
        <w:rPr>
          <w:rFonts w:asciiTheme="minorHAnsi" w:hAnsiTheme="minorHAnsi" w:cstheme="minorHAnsi"/>
          <w:sz w:val="22"/>
          <w:szCs w:val="22"/>
        </w:rPr>
        <w:t xml:space="preserve"> audiências de conciliação</w:t>
      </w:r>
      <w:r w:rsidR="00A541D7" w:rsidRPr="0072678C">
        <w:rPr>
          <w:rFonts w:asciiTheme="minorHAnsi" w:hAnsiTheme="minorHAnsi" w:cstheme="minorHAnsi"/>
          <w:sz w:val="22"/>
          <w:szCs w:val="22"/>
        </w:rPr>
        <w:t xml:space="preserve">; analisar perfis </w:t>
      </w:r>
      <w:r w:rsidRPr="0072678C">
        <w:rPr>
          <w:rFonts w:asciiTheme="minorHAnsi" w:hAnsiTheme="minorHAnsi" w:cstheme="minorHAnsi"/>
          <w:sz w:val="22"/>
          <w:szCs w:val="22"/>
        </w:rPr>
        <w:t>de aquisições e demandas do Estado e identifica</w:t>
      </w:r>
      <w:r w:rsidR="00A541D7" w:rsidRPr="0072678C">
        <w:rPr>
          <w:rFonts w:asciiTheme="minorHAnsi" w:hAnsiTheme="minorHAnsi" w:cstheme="minorHAnsi"/>
          <w:sz w:val="22"/>
          <w:szCs w:val="22"/>
        </w:rPr>
        <w:t>r</w:t>
      </w:r>
      <w:r w:rsidRPr="0072678C">
        <w:rPr>
          <w:rFonts w:asciiTheme="minorHAnsi" w:hAnsiTheme="minorHAnsi" w:cstheme="minorHAnsi"/>
          <w:sz w:val="22"/>
          <w:szCs w:val="22"/>
        </w:rPr>
        <w:t xml:space="preserve"> oportunidades de transação e mediação</w:t>
      </w:r>
      <w:r w:rsidR="00A541D7" w:rsidRPr="0072678C">
        <w:rPr>
          <w:rFonts w:asciiTheme="minorHAnsi" w:hAnsiTheme="minorHAnsi" w:cstheme="minorHAnsi"/>
          <w:sz w:val="22"/>
          <w:szCs w:val="22"/>
        </w:rPr>
        <w:t xml:space="preserve">; disponibilizar </w:t>
      </w:r>
      <w:r w:rsidRPr="0072678C">
        <w:rPr>
          <w:rFonts w:asciiTheme="minorHAnsi" w:hAnsiTheme="minorHAnsi" w:cstheme="minorHAnsi"/>
          <w:sz w:val="22"/>
          <w:szCs w:val="22"/>
        </w:rPr>
        <w:t>alternativas de encontro de contas de precatórios e de outros créditos para quitação de débitos</w:t>
      </w:r>
      <w:r w:rsidR="00A541D7" w:rsidRPr="0072678C">
        <w:rPr>
          <w:rFonts w:asciiTheme="minorHAnsi" w:hAnsiTheme="minorHAnsi" w:cstheme="minorHAnsi"/>
          <w:sz w:val="22"/>
          <w:szCs w:val="22"/>
        </w:rPr>
        <w:t xml:space="preserve">; e aplicar </w:t>
      </w:r>
      <w:r w:rsidRPr="0072678C">
        <w:rPr>
          <w:rFonts w:asciiTheme="minorHAnsi" w:hAnsiTheme="minorHAnsi" w:cstheme="minorHAnsi"/>
          <w:sz w:val="22"/>
          <w:szCs w:val="22"/>
        </w:rPr>
        <w:t>medidas cautelar fiscal e solicita penhora de bens, inclusive de faturamento, para garantir os créditos tributários</w:t>
      </w:r>
    </w:p>
    <w:p w:rsidR="00441CD0" w:rsidRPr="0072678C" w:rsidRDefault="00441CD0"/>
    <w:p w:rsidR="00A541D7" w:rsidRPr="0072678C" w:rsidRDefault="00A541D7" w:rsidP="00AE2E0F">
      <w:pPr>
        <w:jc w:val="both"/>
        <w:rPr>
          <w:rFonts w:asciiTheme="minorHAnsi" w:hAnsiTheme="minorHAnsi" w:cstheme="minorHAnsi"/>
        </w:rPr>
      </w:pPr>
      <w:r w:rsidRPr="0072678C">
        <w:rPr>
          <w:rFonts w:asciiTheme="minorHAnsi" w:hAnsiTheme="minorHAnsi" w:cstheme="minorHAnsi"/>
          <w:sz w:val="22"/>
          <w:szCs w:val="22"/>
        </w:rPr>
        <w:t xml:space="preserve">Para o processo </w:t>
      </w:r>
      <w:r w:rsidRPr="0072678C">
        <w:rPr>
          <w:rFonts w:asciiTheme="minorHAnsi" w:hAnsiTheme="minorHAnsi" w:cstheme="minorHAnsi"/>
          <w:b/>
          <w:bCs/>
          <w:sz w:val="22"/>
          <w:szCs w:val="22"/>
        </w:rPr>
        <w:t>contencioso judicial</w:t>
      </w:r>
      <w:r w:rsidRPr="0072678C">
        <w:rPr>
          <w:rFonts w:asciiTheme="minorHAnsi" w:hAnsiTheme="minorHAnsi" w:cstheme="minorHAnsi"/>
          <w:sz w:val="22"/>
          <w:szCs w:val="22"/>
        </w:rPr>
        <w:t xml:space="preserve"> dispor de sistema de controle e gestão para análise do perfil do contencioso judicial, planejamento das atividades, verificação de prazos e emissão de alertas, evitando decadência e prescrição; solicitar manifestação de auditores especialistas e acompanhamento de perícia, quando for o caso</w:t>
      </w:r>
      <w:r w:rsidR="00AE2E0F" w:rsidRPr="0072678C">
        <w:rPr>
          <w:rFonts w:asciiTheme="minorHAnsi" w:hAnsiTheme="minorHAnsi" w:cstheme="minorHAnsi"/>
          <w:sz w:val="22"/>
          <w:szCs w:val="22"/>
        </w:rPr>
        <w:t xml:space="preserve">; e exigir e controlar </w:t>
      </w:r>
      <w:r w:rsidRPr="0072678C">
        <w:rPr>
          <w:rFonts w:asciiTheme="minorHAnsi" w:hAnsiTheme="minorHAnsi" w:cstheme="minorHAnsi"/>
          <w:sz w:val="22"/>
          <w:szCs w:val="22"/>
        </w:rPr>
        <w:t>prazos das garantias reais para emissão de Certidão Positiva com Efeito Negativo</w:t>
      </w:r>
      <w:r w:rsidR="00AE2E0F" w:rsidRPr="0072678C">
        <w:rPr>
          <w:rFonts w:asciiTheme="minorHAnsi" w:hAnsiTheme="minorHAnsi" w:cstheme="minorHAnsi"/>
          <w:sz w:val="22"/>
          <w:szCs w:val="22"/>
        </w:rPr>
        <w:t>.</w:t>
      </w:r>
    </w:p>
    <w:p w:rsidR="00784488" w:rsidRPr="0072678C" w:rsidRDefault="00784488" w:rsidP="00AE2E0F">
      <w:pPr>
        <w:rPr>
          <w:rFonts w:asciiTheme="minorHAnsi" w:hAnsiTheme="minorHAnsi" w:cstheme="minorHAnsi"/>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2040"/>
        <w:gridCol w:w="884"/>
        <w:gridCol w:w="771"/>
        <w:gridCol w:w="558"/>
      </w:tblGrid>
      <w:tr w:rsidR="009368A8" w:rsidRPr="0072678C" w:rsidTr="009368A8">
        <w:trPr>
          <w:trHeight w:val="345"/>
        </w:trPr>
        <w:tc>
          <w:tcPr>
            <w:tcW w:w="4536" w:type="dxa"/>
            <w:vMerge w:val="restart"/>
            <w:shd w:val="clear" w:color="auto" w:fill="F7CAAC" w:themeFill="accent2" w:themeFillTint="66"/>
            <w:noWrap/>
            <w:vAlign w:val="center"/>
            <w:hideMark/>
          </w:tcPr>
          <w:p w:rsidR="009368A8" w:rsidRPr="0072678C" w:rsidRDefault="009368A8" w:rsidP="009368A8">
            <w:pPr>
              <w:ind w:left="33" w:right="-1"/>
              <w:jc w:val="both"/>
              <w:rPr>
                <w:rFonts w:asciiTheme="minorHAnsi" w:hAnsiTheme="minorHAnsi" w:cstheme="minorHAnsi"/>
                <w:b/>
              </w:rPr>
            </w:pPr>
            <w:r w:rsidRPr="0072678C">
              <w:rPr>
                <w:rFonts w:asciiTheme="minorHAnsi" w:hAnsiTheme="minorHAnsi" w:cstheme="minorHAnsi"/>
                <w:b/>
                <w:bCs/>
                <w:sz w:val="22"/>
                <w:szCs w:val="22"/>
              </w:rPr>
              <w:t xml:space="preserve">AT 5. SERVIÇOS AO CONTRIBUINTE: </w:t>
            </w:r>
            <w:r w:rsidRPr="0072678C">
              <w:rPr>
                <w:rFonts w:asciiTheme="minorHAnsi" w:hAnsiTheme="minorHAnsi" w:cstheme="minorHAnsi"/>
                <w:sz w:val="22"/>
                <w:szCs w:val="22"/>
              </w:rPr>
              <w:t>Oferece serviços presenciais e virtuais acessíveis e resolutivos e prioriza o relacionamento fisco-contribuinte</w:t>
            </w:r>
          </w:p>
        </w:tc>
        <w:tc>
          <w:tcPr>
            <w:tcW w:w="2040" w:type="dxa"/>
            <w:vMerge w:val="restart"/>
            <w:shd w:val="clear" w:color="auto" w:fill="F7CAAC" w:themeFill="accent2" w:themeFillTint="66"/>
            <w:noWrap/>
            <w:vAlign w:val="center"/>
            <w:hideMark/>
          </w:tcPr>
          <w:p w:rsidR="009368A8" w:rsidRPr="0072678C" w:rsidRDefault="009368A8" w:rsidP="006B401B">
            <w:pPr>
              <w:ind w:left="33" w:right="-1"/>
              <w:jc w:val="center"/>
              <w:rPr>
                <w:rFonts w:asciiTheme="minorHAnsi" w:hAnsiTheme="minorHAnsi" w:cstheme="minorHAnsi"/>
                <w:b/>
              </w:rPr>
            </w:pPr>
            <w:r w:rsidRPr="0072678C">
              <w:rPr>
                <w:rFonts w:asciiTheme="minorHAnsi" w:hAnsiTheme="minorHAnsi" w:cstheme="minorHAnsi"/>
                <w:b/>
                <w:sz w:val="22"/>
                <w:szCs w:val="22"/>
              </w:rPr>
              <w:t>Maturidade</w:t>
            </w:r>
          </w:p>
        </w:tc>
        <w:tc>
          <w:tcPr>
            <w:tcW w:w="2213" w:type="dxa"/>
            <w:gridSpan w:val="3"/>
            <w:shd w:val="clear" w:color="auto" w:fill="F7CAAC" w:themeFill="accent2" w:themeFillTint="66"/>
          </w:tcPr>
          <w:p w:rsidR="009368A8" w:rsidRPr="0072678C" w:rsidRDefault="009368A8" w:rsidP="006B401B">
            <w:pPr>
              <w:ind w:left="33" w:right="-1"/>
              <w:jc w:val="center"/>
              <w:rPr>
                <w:rFonts w:asciiTheme="minorHAnsi" w:hAnsiTheme="minorHAnsi" w:cstheme="minorHAnsi"/>
                <w:b/>
              </w:rPr>
            </w:pPr>
            <w:r w:rsidRPr="0072678C">
              <w:rPr>
                <w:rFonts w:asciiTheme="minorHAnsi" w:hAnsiTheme="minorHAnsi" w:cstheme="minorHAnsi"/>
                <w:b/>
                <w:sz w:val="22"/>
                <w:szCs w:val="22"/>
              </w:rPr>
              <w:t>Pontuação</w:t>
            </w:r>
          </w:p>
        </w:tc>
      </w:tr>
      <w:tr w:rsidR="009368A8" w:rsidRPr="0072678C" w:rsidTr="009368A8">
        <w:trPr>
          <w:trHeight w:val="345"/>
        </w:trPr>
        <w:tc>
          <w:tcPr>
            <w:tcW w:w="4536" w:type="dxa"/>
            <w:vMerge/>
            <w:shd w:val="clear" w:color="auto" w:fill="F7CAAC" w:themeFill="accent2" w:themeFillTint="66"/>
            <w:noWrap/>
            <w:vAlign w:val="center"/>
            <w:hideMark/>
          </w:tcPr>
          <w:p w:rsidR="009368A8" w:rsidRPr="0072678C" w:rsidRDefault="009368A8" w:rsidP="006B401B">
            <w:pPr>
              <w:ind w:left="33" w:right="-1"/>
              <w:jc w:val="center"/>
              <w:rPr>
                <w:rFonts w:asciiTheme="minorHAnsi" w:hAnsiTheme="minorHAnsi" w:cstheme="minorHAnsi"/>
                <w:b/>
              </w:rPr>
            </w:pPr>
          </w:p>
        </w:tc>
        <w:tc>
          <w:tcPr>
            <w:tcW w:w="2040" w:type="dxa"/>
            <w:vMerge/>
            <w:shd w:val="clear" w:color="auto" w:fill="F7CAAC" w:themeFill="accent2" w:themeFillTint="66"/>
            <w:noWrap/>
            <w:vAlign w:val="center"/>
            <w:hideMark/>
          </w:tcPr>
          <w:p w:rsidR="009368A8" w:rsidRPr="0072678C" w:rsidRDefault="009368A8" w:rsidP="006B401B">
            <w:pPr>
              <w:ind w:left="33" w:right="-1"/>
              <w:jc w:val="center"/>
              <w:rPr>
                <w:rFonts w:asciiTheme="minorHAnsi" w:hAnsiTheme="minorHAnsi" w:cstheme="minorHAnsi"/>
                <w:b/>
              </w:rPr>
            </w:pPr>
          </w:p>
        </w:tc>
        <w:tc>
          <w:tcPr>
            <w:tcW w:w="884" w:type="dxa"/>
            <w:shd w:val="clear" w:color="auto" w:fill="F7CAAC" w:themeFill="accent2" w:themeFillTint="66"/>
            <w:vAlign w:val="center"/>
          </w:tcPr>
          <w:p w:rsidR="009368A8" w:rsidRPr="0072678C" w:rsidRDefault="009368A8" w:rsidP="006B401B">
            <w:pPr>
              <w:jc w:val="center"/>
              <w:rPr>
                <w:rFonts w:asciiTheme="minorHAnsi" w:hAnsiTheme="minorHAnsi" w:cstheme="minorHAnsi"/>
                <w:b/>
              </w:rPr>
            </w:pPr>
            <w:r w:rsidRPr="0072678C">
              <w:rPr>
                <w:rFonts w:asciiTheme="minorHAnsi" w:hAnsiTheme="minorHAnsi" w:cstheme="minorHAnsi"/>
                <w:b/>
                <w:sz w:val="22"/>
                <w:szCs w:val="22"/>
              </w:rPr>
              <w:t>Máxima</w:t>
            </w:r>
          </w:p>
        </w:tc>
        <w:tc>
          <w:tcPr>
            <w:tcW w:w="771" w:type="dxa"/>
            <w:shd w:val="clear" w:color="auto" w:fill="F7CAAC" w:themeFill="accent2" w:themeFillTint="66"/>
            <w:vAlign w:val="center"/>
          </w:tcPr>
          <w:p w:rsidR="009368A8" w:rsidRPr="0072678C" w:rsidRDefault="009368A8" w:rsidP="006B401B">
            <w:pPr>
              <w:jc w:val="center"/>
              <w:rPr>
                <w:rFonts w:asciiTheme="minorHAnsi" w:hAnsiTheme="minorHAnsi" w:cstheme="minorHAnsi"/>
                <w:b/>
              </w:rPr>
            </w:pPr>
            <w:r w:rsidRPr="0072678C">
              <w:rPr>
                <w:rFonts w:asciiTheme="minorHAnsi" w:hAnsiTheme="minorHAnsi" w:cstheme="minorHAnsi"/>
                <w:b/>
                <w:sz w:val="22"/>
                <w:szCs w:val="22"/>
              </w:rPr>
              <w:t>Obtida</w:t>
            </w:r>
          </w:p>
        </w:tc>
        <w:tc>
          <w:tcPr>
            <w:tcW w:w="558" w:type="dxa"/>
            <w:shd w:val="clear" w:color="auto" w:fill="F7CAAC" w:themeFill="accent2" w:themeFillTint="66"/>
            <w:vAlign w:val="center"/>
          </w:tcPr>
          <w:p w:rsidR="009368A8" w:rsidRPr="0072678C" w:rsidRDefault="009368A8" w:rsidP="006B401B">
            <w:pPr>
              <w:jc w:val="center"/>
              <w:rPr>
                <w:rFonts w:asciiTheme="minorHAnsi" w:hAnsiTheme="minorHAnsi" w:cstheme="minorHAnsi"/>
                <w:b/>
              </w:rPr>
            </w:pPr>
            <w:r w:rsidRPr="0072678C">
              <w:rPr>
                <w:rFonts w:asciiTheme="minorHAnsi" w:hAnsiTheme="minorHAnsi" w:cstheme="minorHAnsi"/>
                <w:b/>
                <w:sz w:val="22"/>
                <w:szCs w:val="22"/>
              </w:rPr>
              <w:t>%</w:t>
            </w:r>
          </w:p>
        </w:tc>
      </w:tr>
      <w:tr w:rsidR="009368A8" w:rsidRPr="0072678C" w:rsidTr="009368A8">
        <w:trPr>
          <w:trHeight w:val="345"/>
        </w:trPr>
        <w:tc>
          <w:tcPr>
            <w:tcW w:w="4536" w:type="dxa"/>
            <w:vMerge/>
            <w:shd w:val="clear" w:color="auto" w:fill="auto"/>
            <w:noWrap/>
            <w:vAlign w:val="center"/>
            <w:hideMark/>
          </w:tcPr>
          <w:p w:rsidR="009368A8" w:rsidRPr="0072678C" w:rsidRDefault="009368A8" w:rsidP="00B16094">
            <w:pPr>
              <w:ind w:firstLineChars="200" w:firstLine="480"/>
              <w:jc w:val="center"/>
              <w:rPr>
                <w:rFonts w:ascii="Calibri" w:hAnsi="Calibri" w:cs="Calibri"/>
              </w:rPr>
            </w:pPr>
          </w:p>
        </w:tc>
        <w:tc>
          <w:tcPr>
            <w:tcW w:w="2040" w:type="dxa"/>
            <w:shd w:val="clear" w:color="auto" w:fill="auto"/>
            <w:noWrap/>
            <w:vAlign w:val="center"/>
            <w:hideMark/>
          </w:tcPr>
          <w:p w:rsidR="009368A8" w:rsidRPr="0072678C" w:rsidRDefault="009368A8" w:rsidP="00D25C34">
            <w:pPr>
              <w:jc w:val="center"/>
              <w:rPr>
                <w:rFonts w:ascii="Calibri" w:hAnsi="Calibri" w:cs="Calibri"/>
                <w:b/>
                <w:bCs/>
              </w:rPr>
            </w:pPr>
            <w:r w:rsidRPr="0072678C">
              <w:rPr>
                <w:rFonts w:ascii="Calibri" w:hAnsi="Calibri" w:cs="Calibri"/>
                <w:b/>
                <w:bCs/>
                <w:sz w:val="22"/>
                <w:szCs w:val="22"/>
              </w:rPr>
              <w:t>INTERMEDIÁRIO (-)</w:t>
            </w:r>
          </w:p>
        </w:tc>
        <w:tc>
          <w:tcPr>
            <w:tcW w:w="884" w:type="dxa"/>
            <w:vAlign w:val="center"/>
          </w:tcPr>
          <w:p w:rsidR="009368A8" w:rsidRPr="0072678C" w:rsidRDefault="009368A8" w:rsidP="00D25C34">
            <w:pPr>
              <w:jc w:val="center"/>
              <w:rPr>
                <w:rFonts w:ascii="Calibri" w:hAnsi="Calibri" w:cs="Calibri"/>
              </w:rPr>
            </w:pPr>
            <w:r w:rsidRPr="0072678C">
              <w:rPr>
                <w:rFonts w:ascii="Calibri" w:hAnsi="Calibri" w:cs="Calibri"/>
                <w:sz w:val="22"/>
                <w:szCs w:val="22"/>
              </w:rPr>
              <w:t>18</w:t>
            </w:r>
          </w:p>
        </w:tc>
        <w:tc>
          <w:tcPr>
            <w:tcW w:w="771" w:type="dxa"/>
            <w:vAlign w:val="center"/>
          </w:tcPr>
          <w:p w:rsidR="009368A8" w:rsidRPr="0072678C" w:rsidRDefault="009368A8" w:rsidP="00D25C34">
            <w:pPr>
              <w:jc w:val="center"/>
              <w:rPr>
                <w:rFonts w:ascii="Calibri" w:hAnsi="Calibri" w:cs="Calibri"/>
              </w:rPr>
            </w:pPr>
            <w:r w:rsidRPr="0072678C">
              <w:rPr>
                <w:rFonts w:ascii="Calibri" w:hAnsi="Calibri" w:cs="Calibri"/>
                <w:sz w:val="22"/>
                <w:szCs w:val="22"/>
              </w:rPr>
              <w:t>13</w:t>
            </w:r>
          </w:p>
        </w:tc>
        <w:tc>
          <w:tcPr>
            <w:tcW w:w="558" w:type="dxa"/>
            <w:vAlign w:val="center"/>
          </w:tcPr>
          <w:p w:rsidR="009368A8" w:rsidRPr="0072678C" w:rsidRDefault="009368A8" w:rsidP="00D25C34">
            <w:pPr>
              <w:jc w:val="center"/>
              <w:rPr>
                <w:rFonts w:ascii="Calibri" w:hAnsi="Calibri" w:cs="Calibri"/>
              </w:rPr>
            </w:pPr>
            <w:r w:rsidRPr="0072678C">
              <w:rPr>
                <w:rFonts w:ascii="Calibri" w:hAnsi="Calibri" w:cs="Calibri"/>
                <w:sz w:val="22"/>
                <w:szCs w:val="22"/>
              </w:rPr>
              <w:t>72%</w:t>
            </w:r>
          </w:p>
        </w:tc>
      </w:tr>
    </w:tbl>
    <w:p w:rsidR="00D25C34" w:rsidRPr="0072678C" w:rsidRDefault="00D25C34" w:rsidP="00784488">
      <w:pPr>
        <w:jc w:val="both"/>
        <w:rPr>
          <w:rFonts w:asciiTheme="minorHAnsi" w:hAnsiTheme="minorHAnsi" w:cstheme="minorHAnsi"/>
          <w:sz w:val="22"/>
          <w:szCs w:val="22"/>
        </w:rPr>
      </w:pPr>
    </w:p>
    <w:p w:rsidR="00606207" w:rsidRPr="0072678C" w:rsidRDefault="00606207" w:rsidP="00784488">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003E5D52" w:rsidRPr="0072678C">
        <w:rPr>
          <w:rFonts w:asciiTheme="minorHAnsi" w:hAnsiTheme="minorHAnsi" w:cstheme="minorHAnsi"/>
          <w:sz w:val="22"/>
          <w:szCs w:val="22"/>
        </w:rPr>
        <w:t xml:space="preserve">processo de </w:t>
      </w:r>
      <w:r w:rsidRPr="0072678C">
        <w:rPr>
          <w:rFonts w:asciiTheme="minorHAnsi" w:hAnsiTheme="minorHAnsi" w:cstheme="minorHAnsi"/>
          <w:b/>
          <w:bCs/>
          <w:i/>
          <w:iCs/>
          <w:sz w:val="22"/>
          <w:szCs w:val="22"/>
        </w:rPr>
        <w:t>direcionamento estratégico dos serviços ao contribuinte</w:t>
      </w:r>
      <w:r w:rsidRPr="0072678C">
        <w:rPr>
          <w:rFonts w:asciiTheme="minorHAnsi" w:hAnsiTheme="minorHAnsi" w:cstheme="minorHAnsi"/>
          <w:sz w:val="22"/>
          <w:szCs w:val="22"/>
        </w:rPr>
        <w:t xml:space="preserve"> </w:t>
      </w:r>
      <w:r w:rsidR="003E5D52" w:rsidRPr="0072678C">
        <w:rPr>
          <w:rFonts w:asciiTheme="minorHAnsi" w:hAnsiTheme="minorHAnsi" w:cstheme="minorHAnsi"/>
          <w:sz w:val="22"/>
          <w:szCs w:val="22"/>
        </w:rPr>
        <w:t xml:space="preserve">deverá </w:t>
      </w:r>
      <w:r w:rsidR="00D25C34" w:rsidRPr="0072678C">
        <w:rPr>
          <w:rFonts w:asciiTheme="minorHAnsi" w:hAnsiTheme="minorHAnsi" w:cstheme="minorHAnsi"/>
          <w:sz w:val="22"/>
          <w:szCs w:val="22"/>
        </w:rPr>
        <w:t xml:space="preserve">avançar para oferece </w:t>
      </w:r>
      <w:r w:rsidRPr="0072678C">
        <w:rPr>
          <w:rFonts w:asciiTheme="minorHAnsi" w:hAnsiTheme="minorHAnsi" w:cstheme="minorHAnsi"/>
          <w:sz w:val="22"/>
          <w:szCs w:val="22"/>
        </w:rPr>
        <w:t>serviços em múltiplas plataformas</w:t>
      </w:r>
      <w:r w:rsidR="003E5D52" w:rsidRPr="0072678C">
        <w:rPr>
          <w:rFonts w:asciiTheme="minorHAnsi" w:hAnsiTheme="minorHAnsi" w:cstheme="minorHAnsi"/>
          <w:sz w:val="22"/>
          <w:szCs w:val="22"/>
        </w:rPr>
        <w:t>.</w:t>
      </w:r>
    </w:p>
    <w:p w:rsidR="003E5D52" w:rsidRPr="0072678C" w:rsidRDefault="003E5D52" w:rsidP="00784488">
      <w:pPr>
        <w:jc w:val="both"/>
        <w:rPr>
          <w:rFonts w:asciiTheme="minorHAnsi" w:hAnsiTheme="minorHAnsi" w:cstheme="minorHAnsi"/>
          <w:sz w:val="22"/>
          <w:szCs w:val="22"/>
        </w:rPr>
      </w:pPr>
    </w:p>
    <w:p w:rsidR="00606207" w:rsidRPr="0072678C" w:rsidRDefault="003E5D52" w:rsidP="00784488">
      <w:pPr>
        <w:jc w:val="both"/>
        <w:rPr>
          <w:rFonts w:asciiTheme="minorHAnsi" w:hAnsiTheme="minorHAnsi" w:cstheme="minorHAnsi"/>
          <w:sz w:val="22"/>
          <w:szCs w:val="22"/>
        </w:rPr>
      </w:pPr>
      <w:r w:rsidRPr="0072678C">
        <w:rPr>
          <w:rFonts w:asciiTheme="minorHAnsi" w:hAnsiTheme="minorHAnsi" w:cstheme="minorHAnsi"/>
          <w:sz w:val="22"/>
          <w:szCs w:val="22"/>
        </w:rPr>
        <w:t xml:space="preserve">Com relação ao processo de </w:t>
      </w:r>
      <w:r w:rsidR="00606207" w:rsidRPr="0072678C">
        <w:rPr>
          <w:rFonts w:asciiTheme="minorHAnsi" w:hAnsiTheme="minorHAnsi" w:cstheme="minorHAnsi"/>
          <w:b/>
          <w:bCs/>
          <w:i/>
          <w:iCs/>
          <w:sz w:val="22"/>
          <w:szCs w:val="22"/>
        </w:rPr>
        <w:t>estrutura de serviços de atendimento ao contribuinte</w:t>
      </w:r>
      <w:r w:rsidR="00606207"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a SEFAZ/SP deverá atualizar </w:t>
      </w:r>
      <w:r w:rsidR="00606207" w:rsidRPr="0072678C">
        <w:rPr>
          <w:rFonts w:asciiTheme="minorHAnsi" w:hAnsiTheme="minorHAnsi" w:cstheme="minorHAnsi"/>
          <w:sz w:val="22"/>
          <w:szCs w:val="22"/>
        </w:rPr>
        <w:t>periodicamente o parque tecnológico de suporte aos serviços de atendimento disponibilizados</w:t>
      </w:r>
      <w:r w:rsidRPr="0072678C">
        <w:rPr>
          <w:rFonts w:asciiTheme="minorHAnsi" w:hAnsiTheme="minorHAnsi" w:cstheme="minorHAnsi"/>
          <w:sz w:val="22"/>
          <w:szCs w:val="22"/>
        </w:rPr>
        <w:t>.</w:t>
      </w:r>
    </w:p>
    <w:p w:rsidR="00AE2E0F" w:rsidRPr="0072678C" w:rsidRDefault="00AE2E0F"/>
    <w:p w:rsidR="003E5D52" w:rsidRPr="0072678C" w:rsidRDefault="003E5D52" w:rsidP="00F444E7">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serviço de atendimento virtual</w:t>
      </w:r>
      <w:r w:rsidRPr="0072678C">
        <w:rPr>
          <w:rFonts w:asciiTheme="minorHAnsi" w:hAnsiTheme="minorHAnsi" w:cstheme="minorHAnsi"/>
          <w:sz w:val="22"/>
          <w:szCs w:val="22"/>
        </w:rPr>
        <w:t xml:space="preserve"> ao contribuinte </w:t>
      </w:r>
      <w:r w:rsidR="00F444E7" w:rsidRPr="0072678C">
        <w:rPr>
          <w:rFonts w:asciiTheme="minorHAnsi" w:hAnsiTheme="minorHAnsi" w:cstheme="minorHAnsi"/>
          <w:sz w:val="22"/>
          <w:szCs w:val="22"/>
        </w:rPr>
        <w:t xml:space="preserve">não oferece </w:t>
      </w:r>
      <w:r w:rsidRPr="0072678C">
        <w:rPr>
          <w:rFonts w:asciiTheme="minorHAnsi" w:hAnsiTheme="minorHAnsi" w:cstheme="minorHAnsi"/>
          <w:sz w:val="22"/>
          <w:szCs w:val="22"/>
        </w:rPr>
        <w:t xml:space="preserve">cobertura integral do processo (da petição até a resolução do problema - transação completa </w:t>
      </w:r>
      <w:proofErr w:type="spellStart"/>
      <w:r w:rsidRPr="0072678C">
        <w:rPr>
          <w:rFonts w:asciiTheme="minorHAnsi" w:hAnsiTheme="minorHAnsi" w:cstheme="minorHAnsi"/>
          <w:sz w:val="22"/>
          <w:szCs w:val="22"/>
        </w:rPr>
        <w:t>on</w:t>
      </w:r>
      <w:proofErr w:type="spellEnd"/>
      <w:r w:rsidRPr="0072678C">
        <w:rPr>
          <w:rFonts w:asciiTheme="minorHAnsi" w:hAnsiTheme="minorHAnsi" w:cstheme="minorHAnsi"/>
          <w:sz w:val="22"/>
          <w:szCs w:val="22"/>
        </w:rPr>
        <w:t xml:space="preserve"> </w:t>
      </w:r>
      <w:proofErr w:type="spellStart"/>
      <w:r w:rsidRPr="0072678C">
        <w:rPr>
          <w:rFonts w:asciiTheme="minorHAnsi" w:hAnsiTheme="minorHAnsi" w:cstheme="minorHAnsi"/>
          <w:sz w:val="22"/>
          <w:szCs w:val="22"/>
        </w:rPr>
        <w:t>line</w:t>
      </w:r>
      <w:proofErr w:type="spellEnd"/>
      <w:r w:rsidRPr="0072678C">
        <w:rPr>
          <w:rFonts w:asciiTheme="minorHAnsi" w:hAnsiTheme="minorHAnsi" w:cstheme="minorHAnsi"/>
          <w:sz w:val="22"/>
          <w:szCs w:val="22"/>
        </w:rPr>
        <w:t>)</w:t>
      </w:r>
      <w:r w:rsidR="00F444E7" w:rsidRPr="0072678C">
        <w:rPr>
          <w:rFonts w:asciiTheme="minorHAnsi" w:hAnsiTheme="minorHAnsi" w:cstheme="minorHAnsi"/>
          <w:sz w:val="22"/>
          <w:szCs w:val="22"/>
        </w:rPr>
        <w:t xml:space="preserve">; não permite </w:t>
      </w:r>
      <w:r w:rsidRPr="0072678C">
        <w:rPr>
          <w:rFonts w:asciiTheme="minorHAnsi" w:hAnsiTheme="minorHAnsi" w:cstheme="minorHAnsi"/>
          <w:sz w:val="22"/>
          <w:szCs w:val="22"/>
        </w:rPr>
        <w:t>o acompanhamento das etapas do processo, inclusive pendências</w:t>
      </w:r>
      <w:r w:rsidR="00F444E7" w:rsidRPr="0072678C">
        <w:rPr>
          <w:rFonts w:asciiTheme="minorHAnsi" w:hAnsiTheme="minorHAnsi" w:cstheme="minorHAnsi"/>
          <w:sz w:val="22"/>
          <w:szCs w:val="22"/>
        </w:rPr>
        <w:t>; e não d</w:t>
      </w:r>
      <w:r w:rsidRPr="0072678C">
        <w:rPr>
          <w:rFonts w:asciiTheme="minorHAnsi" w:hAnsiTheme="minorHAnsi" w:cstheme="minorHAnsi"/>
          <w:sz w:val="22"/>
          <w:szCs w:val="22"/>
        </w:rPr>
        <w:t>isponibiliza acesso em plataforma móvel</w:t>
      </w:r>
      <w:r w:rsidR="00F444E7" w:rsidRPr="0072678C">
        <w:rPr>
          <w:rFonts w:asciiTheme="minorHAnsi" w:hAnsiTheme="minorHAnsi" w:cstheme="minorHAnsi"/>
          <w:sz w:val="22"/>
          <w:szCs w:val="22"/>
        </w:rPr>
        <w:t>.</w:t>
      </w:r>
    </w:p>
    <w:p w:rsidR="003E5D52" w:rsidRPr="0072678C" w:rsidRDefault="003E5D52"/>
    <w:p w:rsidR="00F444E7" w:rsidRPr="0072678C" w:rsidRDefault="00D25C34" w:rsidP="00F444E7">
      <w:pPr>
        <w:jc w:val="both"/>
        <w:rPr>
          <w:rFonts w:asciiTheme="minorHAnsi" w:hAnsiTheme="minorHAnsi" w:cstheme="minorHAnsi"/>
        </w:rPr>
      </w:pPr>
      <w:r w:rsidRPr="0072678C">
        <w:rPr>
          <w:rFonts w:asciiTheme="minorHAnsi" w:hAnsiTheme="minorHAnsi" w:cstheme="minorHAnsi"/>
          <w:sz w:val="22"/>
          <w:szCs w:val="22"/>
        </w:rPr>
        <w:t xml:space="preserve">Com relação aos </w:t>
      </w:r>
      <w:r w:rsidR="00F444E7" w:rsidRPr="0072678C">
        <w:rPr>
          <w:rFonts w:asciiTheme="minorHAnsi" w:hAnsiTheme="minorHAnsi" w:cstheme="minorHAnsi"/>
          <w:sz w:val="22"/>
          <w:szCs w:val="22"/>
        </w:rPr>
        <w:t>mecanismos do</w:t>
      </w:r>
      <w:r w:rsidR="00F444E7" w:rsidRPr="0072678C">
        <w:rPr>
          <w:rFonts w:asciiTheme="minorHAnsi" w:hAnsiTheme="minorHAnsi" w:cstheme="minorHAnsi"/>
          <w:b/>
          <w:bCs/>
          <w:i/>
          <w:iCs/>
          <w:sz w:val="22"/>
          <w:szCs w:val="22"/>
        </w:rPr>
        <w:t xml:space="preserve"> relacionamento fisco-contribuinte</w:t>
      </w:r>
      <w:r w:rsidRPr="0072678C">
        <w:rPr>
          <w:rFonts w:asciiTheme="minorHAnsi" w:hAnsiTheme="minorHAnsi" w:cstheme="minorHAnsi"/>
          <w:b/>
          <w:bCs/>
          <w:i/>
          <w:iCs/>
          <w:sz w:val="22"/>
          <w:szCs w:val="22"/>
        </w:rPr>
        <w:t xml:space="preserve">, </w:t>
      </w:r>
      <w:r w:rsidRPr="0072678C">
        <w:rPr>
          <w:rFonts w:asciiTheme="minorHAnsi" w:hAnsiTheme="minorHAnsi" w:cstheme="minorHAnsi"/>
          <w:sz w:val="22"/>
          <w:szCs w:val="22"/>
        </w:rPr>
        <w:t xml:space="preserve">este processo </w:t>
      </w:r>
      <w:r w:rsidR="00F444E7" w:rsidRPr="0072678C">
        <w:rPr>
          <w:rFonts w:asciiTheme="minorHAnsi" w:hAnsiTheme="minorHAnsi" w:cstheme="minorHAnsi"/>
          <w:sz w:val="22"/>
          <w:szCs w:val="22"/>
        </w:rPr>
        <w:t xml:space="preserve">não realiza pesquisa periódica para avaliação da qualidade das normas editadas pela administração tributária e </w:t>
      </w:r>
      <w:r w:rsidRPr="0072678C">
        <w:rPr>
          <w:rFonts w:asciiTheme="minorHAnsi" w:hAnsiTheme="minorHAnsi" w:cstheme="minorHAnsi"/>
          <w:sz w:val="22"/>
          <w:szCs w:val="22"/>
        </w:rPr>
        <w:t xml:space="preserve">do </w:t>
      </w:r>
      <w:r w:rsidR="00F444E7" w:rsidRPr="0072678C">
        <w:rPr>
          <w:rFonts w:asciiTheme="minorHAnsi" w:hAnsiTheme="minorHAnsi" w:cstheme="minorHAnsi"/>
          <w:sz w:val="22"/>
          <w:szCs w:val="22"/>
        </w:rPr>
        <w:t>cumprimento dos prazos legais nem para saber sobre a facilidade de acesso e qualidade dos serviços prestados pela administração tributária; e não disponibiliza canal de conversação via Web (chat).</w:t>
      </w:r>
    </w:p>
    <w:p w:rsidR="00F444E7" w:rsidRPr="0072678C" w:rsidRDefault="00F444E7"/>
    <w:p w:rsidR="00F444E7" w:rsidRPr="0072678C" w:rsidRDefault="00F444E7" w:rsidP="00784488">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Domicílio Tributário Eletrônico</w:t>
      </w:r>
      <w:r w:rsidRPr="0072678C">
        <w:rPr>
          <w:rFonts w:asciiTheme="minorHAnsi" w:hAnsiTheme="minorHAnsi" w:cstheme="minorHAnsi"/>
          <w:sz w:val="22"/>
          <w:szCs w:val="22"/>
        </w:rPr>
        <w:t xml:space="preserve"> (</w:t>
      </w:r>
      <w:proofErr w:type="spellStart"/>
      <w:r w:rsidRPr="0072678C">
        <w:rPr>
          <w:rFonts w:asciiTheme="minorHAnsi" w:hAnsiTheme="minorHAnsi" w:cstheme="minorHAnsi"/>
          <w:sz w:val="22"/>
          <w:szCs w:val="22"/>
        </w:rPr>
        <w:t>DT-e</w:t>
      </w:r>
      <w:proofErr w:type="spellEnd"/>
      <w:r w:rsidRPr="0072678C">
        <w:rPr>
          <w:rFonts w:asciiTheme="minorHAnsi" w:hAnsiTheme="minorHAnsi" w:cstheme="minorHAnsi"/>
          <w:sz w:val="22"/>
          <w:szCs w:val="22"/>
        </w:rPr>
        <w:t>) necessita disponibilizar</w:t>
      </w:r>
      <w:r w:rsidR="00784488" w:rsidRPr="0072678C">
        <w:rPr>
          <w:rFonts w:asciiTheme="minorHAnsi" w:hAnsiTheme="minorHAnsi" w:cstheme="minorHAnsi"/>
          <w:sz w:val="22"/>
          <w:szCs w:val="22"/>
        </w:rPr>
        <w:t xml:space="preserve"> </w:t>
      </w:r>
      <w:r w:rsidRPr="0072678C">
        <w:rPr>
          <w:rFonts w:asciiTheme="minorHAnsi" w:hAnsiTheme="minorHAnsi" w:cstheme="minorHAnsi"/>
          <w:sz w:val="22"/>
          <w:szCs w:val="22"/>
        </w:rPr>
        <w:t>extrato consolidado de débitos para o contribuinte</w:t>
      </w:r>
      <w:r w:rsidR="00784488" w:rsidRPr="0072678C">
        <w:rPr>
          <w:rFonts w:asciiTheme="minorHAnsi" w:hAnsiTheme="minorHAnsi" w:cstheme="minorHAnsi"/>
          <w:sz w:val="22"/>
          <w:szCs w:val="22"/>
        </w:rPr>
        <w:t xml:space="preserve">; e permitir </w:t>
      </w:r>
      <w:r w:rsidRPr="0072678C">
        <w:rPr>
          <w:rFonts w:asciiTheme="minorHAnsi" w:hAnsiTheme="minorHAnsi" w:cstheme="minorHAnsi"/>
          <w:sz w:val="22"/>
          <w:szCs w:val="22"/>
        </w:rPr>
        <w:t xml:space="preserve">acesso </w:t>
      </w:r>
      <w:r w:rsidR="00784488" w:rsidRPr="0072678C">
        <w:rPr>
          <w:rFonts w:asciiTheme="minorHAnsi" w:hAnsiTheme="minorHAnsi" w:cstheme="minorHAnsi"/>
          <w:sz w:val="22"/>
          <w:szCs w:val="22"/>
        </w:rPr>
        <w:t xml:space="preserve">por meio de </w:t>
      </w:r>
      <w:r w:rsidRPr="0072678C">
        <w:rPr>
          <w:rFonts w:asciiTheme="minorHAnsi" w:hAnsiTheme="minorHAnsi" w:cstheme="minorHAnsi"/>
          <w:sz w:val="22"/>
          <w:szCs w:val="22"/>
        </w:rPr>
        <w:t>aplicativo em dispositivos móveis</w:t>
      </w:r>
      <w:r w:rsidR="00306134" w:rsidRPr="0072678C">
        <w:rPr>
          <w:rFonts w:asciiTheme="minorHAnsi" w:hAnsiTheme="minorHAnsi" w:cstheme="minorHAnsi"/>
          <w:sz w:val="22"/>
          <w:szCs w:val="22"/>
        </w:rPr>
        <w:t>.</w:t>
      </w:r>
    </w:p>
    <w:p w:rsidR="00410A0A" w:rsidRPr="0072678C" w:rsidRDefault="00410A0A" w:rsidP="00784488">
      <w:pPr>
        <w:jc w:val="both"/>
        <w:rPr>
          <w:rFonts w:asciiTheme="minorHAnsi" w:hAnsiTheme="minorHAnsi" w:cstheme="minorHAnsi"/>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2040"/>
        <w:gridCol w:w="884"/>
        <w:gridCol w:w="771"/>
        <w:gridCol w:w="558"/>
      </w:tblGrid>
      <w:tr w:rsidR="00D74ADC" w:rsidRPr="0072678C" w:rsidTr="00D74ADC">
        <w:trPr>
          <w:trHeight w:val="345"/>
        </w:trPr>
        <w:tc>
          <w:tcPr>
            <w:tcW w:w="4536" w:type="dxa"/>
            <w:vMerge w:val="restart"/>
            <w:shd w:val="clear" w:color="auto" w:fill="F7CAAC" w:themeFill="accent2" w:themeFillTint="66"/>
            <w:noWrap/>
            <w:vAlign w:val="center"/>
            <w:hideMark/>
          </w:tcPr>
          <w:p w:rsidR="00D74ADC" w:rsidRPr="0072678C" w:rsidRDefault="00D74ADC" w:rsidP="00D74ADC">
            <w:pPr>
              <w:ind w:left="33" w:right="-1"/>
              <w:jc w:val="both"/>
              <w:rPr>
                <w:rFonts w:asciiTheme="minorHAnsi" w:hAnsiTheme="minorHAnsi" w:cstheme="minorHAnsi"/>
                <w:b/>
              </w:rPr>
            </w:pPr>
            <w:r w:rsidRPr="0072678C">
              <w:rPr>
                <w:rFonts w:asciiTheme="minorHAnsi" w:hAnsiTheme="minorHAnsi" w:cstheme="minorHAnsi"/>
                <w:b/>
                <w:bCs/>
                <w:sz w:val="22"/>
                <w:szCs w:val="22"/>
              </w:rPr>
              <w:t xml:space="preserve">AT 6. COBRANÇA E ARRECADAÇÃO: </w:t>
            </w:r>
            <w:r w:rsidRPr="0072678C">
              <w:rPr>
                <w:rFonts w:asciiTheme="minorHAnsi" w:hAnsiTheme="minorHAnsi" w:cstheme="minorHAnsi"/>
                <w:bCs/>
                <w:sz w:val="22"/>
                <w:szCs w:val="22"/>
              </w:rPr>
              <w:t>Controla a arrecadação e a restituição com base em informações digitais e efetua a cobrança do crédito lançado e parcelado com base no perfil do devedor</w:t>
            </w:r>
          </w:p>
        </w:tc>
        <w:tc>
          <w:tcPr>
            <w:tcW w:w="2040" w:type="dxa"/>
            <w:vMerge w:val="restart"/>
            <w:shd w:val="clear" w:color="auto" w:fill="F7CAAC" w:themeFill="accent2" w:themeFillTint="66"/>
            <w:noWrap/>
            <w:vAlign w:val="center"/>
            <w:hideMark/>
          </w:tcPr>
          <w:p w:rsidR="00D74ADC" w:rsidRPr="0072678C" w:rsidRDefault="00D74ADC" w:rsidP="00410A0A">
            <w:pPr>
              <w:ind w:left="33" w:right="-1"/>
              <w:jc w:val="center"/>
              <w:rPr>
                <w:rFonts w:asciiTheme="minorHAnsi" w:hAnsiTheme="minorHAnsi" w:cstheme="minorHAnsi"/>
                <w:b/>
              </w:rPr>
            </w:pPr>
            <w:r w:rsidRPr="0072678C">
              <w:rPr>
                <w:rFonts w:asciiTheme="minorHAnsi" w:hAnsiTheme="minorHAnsi" w:cstheme="minorHAnsi"/>
                <w:b/>
                <w:sz w:val="22"/>
                <w:szCs w:val="22"/>
              </w:rPr>
              <w:t>Maturidade</w:t>
            </w:r>
          </w:p>
        </w:tc>
        <w:tc>
          <w:tcPr>
            <w:tcW w:w="2213" w:type="dxa"/>
            <w:gridSpan w:val="3"/>
            <w:shd w:val="clear" w:color="auto" w:fill="F7CAAC" w:themeFill="accent2" w:themeFillTint="66"/>
          </w:tcPr>
          <w:p w:rsidR="00D74ADC" w:rsidRPr="0072678C" w:rsidRDefault="00D74ADC" w:rsidP="00410A0A">
            <w:pPr>
              <w:ind w:left="33" w:right="-1"/>
              <w:jc w:val="center"/>
              <w:rPr>
                <w:rFonts w:asciiTheme="minorHAnsi" w:hAnsiTheme="minorHAnsi" w:cstheme="minorHAnsi"/>
                <w:b/>
              </w:rPr>
            </w:pPr>
            <w:r w:rsidRPr="0072678C">
              <w:rPr>
                <w:rFonts w:asciiTheme="minorHAnsi" w:hAnsiTheme="minorHAnsi" w:cstheme="minorHAnsi"/>
                <w:b/>
                <w:sz w:val="22"/>
                <w:szCs w:val="22"/>
              </w:rPr>
              <w:t>Pontuação</w:t>
            </w:r>
          </w:p>
        </w:tc>
      </w:tr>
      <w:tr w:rsidR="00D74ADC" w:rsidRPr="0072678C" w:rsidTr="00D74ADC">
        <w:trPr>
          <w:trHeight w:val="345"/>
        </w:trPr>
        <w:tc>
          <w:tcPr>
            <w:tcW w:w="4536" w:type="dxa"/>
            <w:vMerge/>
            <w:shd w:val="clear" w:color="auto" w:fill="F7CAAC" w:themeFill="accent2" w:themeFillTint="66"/>
            <w:noWrap/>
            <w:vAlign w:val="center"/>
            <w:hideMark/>
          </w:tcPr>
          <w:p w:rsidR="00D74ADC" w:rsidRPr="0072678C" w:rsidRDefault="00D74ADC" w:rsidP="00410A0A">
            <w:pPr>
              <w:ind w:left="33" w:right="-1"/>
              <w:jc w:val="center"/>
              <w:rPr>
                <w:rFonts w:asciiTheme="minorHAnsi" w:hAnsiTheme="minorHAnsi" w:cstheme="minorHAnsi"/>
                <w:b/>
              </w:rPr>
            </w:pPr>
          </w:p>
        </w:tc>
        <w:tc>
          <w:tcPr>
            <w:tcW w:w="2040" w:type="dxa"/>
            <w:vMerge/>
            <w:shd w:val="clear" w:color="auto" w:fill="F7CAAC" w:themeFill="accent2" w:themeFillTint="66"/>
            <w:noWrap/>
            <w:vAlign w:val="center"/>
            <w:hideMark/>
          </w:tcPr>
          <w:p w:rsidR="00D74ADC" w:rsidRPr="0072678C" w:rsidRDefault="00D74ADC" w:rsidP="00410A0A">
            <w:pPr>
              <w:ind w:left="33" w:right="-1"/>
              <w:jc w:val="center"/>
              <w:rPr>
                <w:rFonts w:asciiTheme="minorHAnsi" w:hAnsiTheme="minorHAnsi" w:cstheme="minorHAnsi"/>
                <w:b/>
              </w:rPr>
            </w:pPr>
          </w:p>
        </w:tc>
        <w:tc>
          <w:tcPr>
            <w:tcW w:w="884" w:type="dxa"/>
            <w:shd w:val="clear" w:color="auto" w:fill="F7CAAC" w:themeFill="accent2" w:themeFillTint="66"/>
            <w:vAlign w:val="center"/>
          </w:tcPr>
          <w:p w:rsidR="00D74ADC" w:rsidRPr="0072678C" w:rsidRDefault="00D74ADC" w:rsidP="00410A0A">
            <w:pPr>
              <w:jc w:val="center"/>
              <w:rPr>
                <w:rFonts w:asciiTheme="minorHAnsi" w:hAnsiTheme="minorHAnsi" w:cstheme="minorHAnsi"/>
                <w:b/>
              </w:rPr>
            </w:pPr>
            <w:r w:rsidRPr="0072678C">
              <w:rPr>
                <w:rFonts w:asciiTheme="minorHAnsi" w:hAnsiTheme="minorHAnsi" w:cstheme="minorHAnsi"/>
                <w:b/>
                <w:sz w:val="22"/>
                <w:szCs w:val="22"/>
              </w:rPr>
              <w:t>Máxima</w:t>
            </w:r>
          </w:p>
        </w:tc>
        <w:tc>
          <w:tcPr>
            <w:tcW w:w="771" w:type="dxa"/>
            <w:shd w:val="clear" w:color="auto" w:fill="F7CAAC" w:themeFill="accent2" w:themeFillTint="66"/>
            <w:vAlign w:val="center"/>
          </w:tcPr>
          <w:p w:rsidR="00D74ADC" w:rsidRPr="0072678C" w:rsidRDefault="00D74ADC" w:rsidP="00410A0A">
            <w:pPr>
              <w:jc w:val="center"/>
              <w:rPr>
                <w:rFonts w:asciiTheme="minorHAnsi" w:hAnsiTheme="minorHAnsi" w:cstheme="minorHAnsi"/>
                <w:b/>
              </w:rPr>
            </w:pPr>
            <w:r w:rsidRPr="0072678C">
              <w:rPr>
                <w:rFonts w:asciiTheme="minorHAnsi" w:hAnsiTheme="minorHAnsi" w:cstheme="minorHAnsi"/>
                <w:b/>
                <w:sz w:val="22"/>
                <w:szCs w:val="22"/>
              </w:rPr>
              <w:t>Obtida</w:t>
            </w:r>
          </w:p>
        </w:tc>
        <w:tc>
          <w:tcPr>
            <w:tcW w:w="558" w:type="dxa"/>
            <w:shd w:val="clear" w:color="auto" w:fill="F7CAAC" w:themeFill="accent2" w:themeFillTint="66"/>
            <w:vAlign w:val="center"/>
          </w:tcPr>
          <w:p w:rsidR="00D74ADC" w:rsidRPr="0072678C" w:rsidRDefault="00D74ADC" w:rsidP="00410A0A">
            <w:pPr>
              <w:jc w:val="center"/>
              <w:rPr>
                <w:rFonts w:asciiTheme="minorHAnsi" w:hAnsiTheme="minorHAnsi" w:cstheme="minorHAnsi"/>
                <w:b/>
              </w:rPr>
            </w:pPr>
            <w:r w:rsidRPr="0072678C">
              <w:rPr>
                <w:rFonts w:asciiTheme="minorHAnsi" w:hAnsiTheme="minorHAnsi" w:cstheme="minorHAnsi"/>
                <w:b/>
                <w:sz w:val="22"/>
                <w:szCs w:val="22"/>
              </w:rPr>
              <w:t>%</w:t>
            </w:r>
          </w:p>
        </w:tc>
      </w:tr>
      <w:tr w:rsidR="00D74ADC" w:rsidRPr="0072678C" w:rsidTr="00D74ADC">
        <w:trPr>
          <w:trHeight w:val="345"/>
        </w:trPr>
        <w:tc>
          <w:tcPr>
            <w:tcW w:w="4536" w:type="dxa"/>
            <w:vMerge/>
            <w:shd w:val="clear" w:color="auto" w:fill="auto"/>
            <w:noWrap/>
            <w:vAlign w:val="center"/>
            <w:hideMark/>
          </w:tcPr>
          <w:p w:rsidR="00D74ADC" w:rsidRPr="0072678C" w:rsidRDefault="00D74ADC" w:rsidP="00B16094">
            <w:pPr>
              <w:ind w:firstLineChars="200" w:firstLine="480"/>
              <w:jc w:val="center"/>
              <w:rPr>
                <w:rFonts w:ascii="Calibri" w:hAnsi="Calibri" w:cs="Calibri"/>
              </w:rPr>
            </w:pPr>
          </w:p>
        </w:tc>
        <w:tc>
          <w:tcPr>
            <w:tcW w:w="2040" w:type="dxa"/>
            <w:shd w:val="clear" w:color="auto" w:fill="auto"/>
            <w:noWrap/>
            <w:vAlign w:val="center"/>
            <w:hideMark/>
          </w:tcPr>
          <w:p w:rsidR="00D74ADC" w:rsidRPr="0072678C" w:rsidRDefault="00D74ADC" w:rsidP="00410A0A">
            <w:pPr>
              <w:jc w:val="center"/>
              <w:rPr>
                <w:rFonts w:ascii="Calibri" w:hAnsi="Calibri" w:cs="Calibri"/>
                <w:b/>
                <w:bCs/>
              </w:rPr>
            </w:pPr>
            <w:r w:rsidRPr="0072678C">
              <w:rPr>
                <w:rFonts w:ascii="Calibri" w:hAnsi="Calibri" w:cs="Calibri"/>
                <w:b/>
                <w:bCs/>
                <w:sz w:val="22"/>
                <w:szCs w:val="22"/>
              </w:rPr>
              <w:t>INTERMEDIÁRIO (-)</w:t>
            </w:r>
          </w:p>
        </w:tc>
        <w:tc>
          <w:tcPr>
            <w:tcW w:w="884" w:type="dxa"/>
            <w:vAlign w:val="center"/>
          </w:tcPr>
          <w:p w:rsidR="00D74ADC" w:rsidRPr="0072678C" w:rsidRDefault="00D74ADC" w:rsidP="00410A0A">
            <w:pPr>
              <w:jc w:val="center"/>
              <w:rPr>
                <w:rFonts w:ascii="Calibri" w:hAnsi="Calibri" w:cs="Calibri"/>
              </w:rPr>
            </w:pPr>
            <w:r w:rsidRPr="0072678C">
              <w:rPr>
                <w:rFonts w:ascii="Calibri" w:hAnsi="Calibri" w:cs="Calibri"/>
                <w:sz w:val="22"/>
                <w:szCs w:val="22"/>
              </w:rPr>
              <w:t>18</w:t>
            </w:r>
          </w:p>
        </w:tc>
        <w:tc>
          <w:tcPr>
            <w:tcW w:w="771" w:type="dxa"/>
            <w:vAlign w:val="center"/>
          </w:tcPr>
          <w:p w:rsidR="00D74ADC" w:rsidRPr="0072678C" w:rsidRDefault="00D74ADC" w:rsidP="00410A0A">
            <w:pPr>
              <w:jc w:val="center"/>
              <w:rPr>
                <w:rFonts w:ascii="Calibri" w:hAnsi="Calibri" w:cs="Calibri"/>
              </w:rPr>
            </w:pPr>
            <w:r w:rsidRPr="0072678C">
              <w:rPr>
                <w:rFonts w:ascii="Calibri" w:hAnsi="Calibri" w:cs="Calibri"/>
                <w:sz w:val="22"/>
                <w:szCs w:val="22"/>
              </w:rPr>
              <w:t>13</w:t>
            </w:r>
          </w:p>
        </w:tc>
        <w:tc>
          <w:tcPr>
            <w:tcW w:w="558" w:type="dxa"/>
            <w:vAlign w:val="center"/>
          </w:tcPr>
          <w:p w:rsidR="00D74ADC" w:rsidRPr="0072678C" w:rsidRDefault="00D74ADC" w:rsidP="00410A0A">
            <w:pPr>
              <w:jc w:val="center"/>
              <w:rPr>
                <w:rFonts w:ascii="Calibri" w:hAnsi="Calibri" w:cs="Calibri"/>
              </w:rPr>
            </w:pPr>
            <w:r w:rsidRPr="0072678C">
              <w:rPr>
                <w:rFonts w:ascii="Calibri" w:hAnsi="Calibri" w:cs="Calibri"/>
                <w:sz w:val="22"/>
                <w:szCs w:val="22"/>
              </w:rPr>
              <w:t>72%</w:t>
            </w:r>
          </w:p>
        </w:tc>
      </w:tr>
    </w:tbl>
    <w:p w:rsidR="00ED79BF" w:rsidRPr="0072678C" w:rsidRDefault="00ED79BF" w:rsidP="00ED79BF">
      <w:pPr>
        <w:jc w:val="both"/>
        <w:rPr>
          <w:rFonts w:asciiTheme="minorHAnsi" w:hAnsiTheme="minorHAnsi" w:cstheme="minorHAnsi"/>
          <w:sz w:val="22"/>
          <w:szCs w:val="22"/>
        </w:rPr>
      </w:pPr>
    </w:p>
    <w:p w:rsidR="00ED79BF" w:rsidRPr="0072678C" w:rsidRDefault="006C4206" w:rsidP="00ED79BF">
      <w:pPr>
        <w:jc w:val="both"/>
        <w:rPr>
          <w:rFonts w:asciiTheme="minorHAnsi" w:hAnsiTheme="minorHAnsi" w:cstheme="minorHAnsi"/>
          <w:sz w:val="22"/>
          <w:szCs w:val="22"/>
        </w:rPr>
      </w:pPr>
      <w:r w:rsidRPr="0072678C">
        <w:rPr>
          <w:rFonts w:asciiTheme="minorHAnsi" w:hAnsiTheme="minorHAnsi" w:cstheme="minorHAnsi"/>
          <w:sz w:val="22"/>
          <w:szCs w:val="22"/>
        </w:rPr>
        <w:t xml:space="preserve">Os procedimentos de </w:t>
      </w:r>
      <w:r w:rsidRPr="0072678C">
        <w:rPr>
          <w:rFonts w:asciiTheme="minorHAnsi" w:hAnsiTheme="minorHAnsi" w:cstheme="minorHAnsi"/>
          <w:b/>
          <w:bCs/>
          <w:i/>
          <w:iCs/>
          <w:sz w:val="22"/>
          <w:szCs w:val="22"/>
        </w:rPr>
        <w:t xml:space="preserve">arrecadação tributária </w:t>
      </w:r>
      <w:r w:rsidRPr="0072678C">
        <w:rPr>
          <w:rFonts w:asciiTheme="minorHAnsi" w:hAnsiTheme="minorHAnsi" w:cstheme="minorHAnsi"/>
          <w:bCs/>
          <w:iCs/>
          <w:sz w:val="22"/>
          <w:szCs w:val="22"/>
        </w:rPr>
        <w:t>não d</w:t>
      </w:r>
      <w:r w:rsidRPr="0072678C">
        <w:rPr>
          <w:rFonts w:asciiTheme="minorHAnsi" w:hAnsiTheme="minorHAnsi" w:cstheme="minorHAnsi"/>
          <w:sz w:val="22"/>
          <w:szCs w:val="22"/>
        </w:rPr>
        <w:t>isponibilizam</w:t>
      </w:r>
      <w:r w:rsidR="00ED79BF" w:rsidRPr="0072678C">
        <w:rPr>
          <w:rFonts w:asciiTheme="minorHAnsi" w:hAnsiTheme="minorHAnsi" w:cstheme="minorHAnsi"/>
          <w:sz w:val="22"/>
          <w:szCs w:val="22"/>
        </w:rPr>
        <w:t xml:space="preserve"> o serviço de pagamento na internet (da</w:t>
      </w:r>
      <w:r w:rsidR="004C5573" w:rsidRPr="0072678C">
        <w:rPr>
          <w:rFonts w:asciiTheme="minorHAnsi" w:hAnsiTheme="minorHAnsi" w:cstheme="minorHAnsi"/>
          <w:sz w:val="22"/>
          <w:szCs w:val="22"/>
        </w:rPr>
        <w:t xml:space="preserve"> identificação até a quitação);</w:t>
      </w:r>
      <w:r w:rsidR="00ED79BF" w:rsidRPr="0072678C">
        <w:rPr>
          <w:rFonts w:asciiTheme="minorHAnsi" w:hAnsiTheme="minorHAnsi" w:cstheme="minorHAnsi"/>
          <w:sz w:val="22"/>
          <w:szCs w:val="22"/>
        </w:rPr>
        <w:t xml:space="preserve"> e não dispõe de controle para evitar a duplicidade de pagamento</w:t>
      </w:r>
    </w:p>
    <w:p w:rsidR="00ED79BF" w:rsidRPr="0072678C" w:rsidRDefault="00ED79BF" w:rsidP="00ED79BF">
      <w:pPr>
        <w:jc w:val="both"/>
        <w:rPr>
          <w:rFonts w:asciiTheme="minorHAnsi" w:hAnsiTheme="minorHAnsi" w:cstheme="minorHAnsi"/>
          <w:sz w:val="22"/>
          <w:szCs w:val="22"/>
        </w:rPr>
      </w:pPr>
    </w:p>
    <w:p w:rsidR="00ED79BF" w:rsidRPr="0072678C" w:rsidRDefault="00ED79BF" w:rsidP="00ED79BF">
      <w:pPr>
        <w:jc w:val="both"/>
        <w:rPr>
          <w:rFonts w:asciiTheme="minorHAnsi" w:hAnsiTheme="minorHAnsi" w:cstheme="minorHAnsi"/>
          <w:sz w:val="22"/>
          <w:szCs w:val="22"/>
        </w:rPr>
      </w:pPr>
      <w:r w:rsidRPr="0072678C">
        <w:rPr>
          <w:rFonts w:asciiTheme="minorHAnsi" w:hAnsiTheme="minorHAnsi" w:cstheme="minorHAnsi"/>
          <w:sz w:val="22"/>
          <w:szCs w:val="22"/>
        </w:rPr>
        <w:lastRenderedPageBreak/>
        <w:t xml:space="preserve">Com relação </w:t>
      </w:r>
      <w:r w:rsidR="004C5573" w:rsidRPr="0072678C">
        <w:rPr>
          <w:rFonts w:asciiTheme="minorHAnsi" w:hAnsiTheme="minorHAnsi" w:cstheme="minorHAnsi"/>
          <w:sz w:val="22"/>
          <w:szCs w:val="22"/>
        </w:rPr>
        <w:t>à</w:t>
      </w:r>
      <w:r w:rsidRPr="0072678C">
        <w:rPr>
          <w:rFonts w:asciiTheme="minorHAnsi" w:hAnsiTheme="minorHAnsi" w:cstheme="minorHAnsi"/>
          <w:sz w:val="22"/>
          <w:szCs w:val="22"/>
        </w:rPr>
        <w:t xml:space="preserve"> </w:t>
      </w:r>
      <w:r w:rsidRPr="0072678C">
        <w:rPr>
          <w:rFonts w:asciiTheme="minorHAnsi" w:hAnsiTheme="minorHAnsi" w:cstheme="minorHAnsi"/>
          <w:b/>
          <w:bCs/>
          <w:i/>
          <w:iCs/>
          <w:sz w:val="22"/>
          <w:szCs w:val="22"/>
        </w:rPr>
        <w:t>restituição e compensação tributária</w:t>
      </w:r>
      <w:r w:rsidRPr="0072678C">
        <w:rPr>
          <w:rFonts w:asciiTheme="minorHAnsi" w:hAnsiTheme="minorHAnsi" w:cstheme="minorHAnsi"/>
          <w:sz w:val="22"/>
          <w:szCs w:val="22"/>
        </w:rPr>
        <w:t xml:space="preserve"> a SEFAZ/SP deverá disponibilizar requerimento eletrônicos; permitir o acompanhamento eletrônico do processo e dos prazos legais; emitir decisões eletrônicas; permitir a contestação e apresentação de comprovantes em meio eletrônico; e processar autorização eletrônica de compensação.</w:t>
      </w:r>
    </w:p>
    <w:p w:rsidR="00ED79BF" w:rsidRPr="0072678C" w:rsidRDefault="00ED79BF" w:rsidP="00ED79BF">
      <w:pPr>
        <w:jc w:val="both"/>
        <w:rPr>
          <w:rFonts w:asciiTheme="minorHAnsi" w:hAnsiTheme="minorHAnsi" w:cstheme="minorHAnsi"/>
          <w:sz w:val="22"/>
          <w:szCs w:val="22"/>
        </w:rPr>
      </w:pPr>
    </w:p>
    <w:p w:rsidR="00ED79BF" w:rsidRPr="0072678C" w:rsidRDefault="00ED79BF" w:rsidP="00ED79BF">
      <w:pPr>
        <w:jc w:val="both"/>
        <w:rPr>
          <w:rFonts w:asciiTheme="minorHAnsi" w:hAnsiTheme="minorHAnsi" w:cstheme="minorHAnsi"/>
          <w:sz w:val="22"/>
          <w:szCs w:val="22"/>
        </w:rPr>
      </w:pPr>
      <w:r w:rsidRPr="0072678C">
        <w:rPr>
          <w:rFonts w:asciiTheme="minorHAnsi" w:hAnsiTheme="minorHAnsi" w:cstheme="minorHAnsi"/>
          <w:sz w:val="22"/>
          <w:szCs w:val="22"/>
        </w:rPr>
        <w:t xml:space="preserve">O processo de </w:t>
      </w:r>
      <w:r w:rsidRPr="0072678C">
        <w:rPr>
          <w:rFonts w:asciiTheme="minorHAnsi" w:hAnsiTheme="minorHAnsi" w:cstheme="minorHAnsi"/>
          <w:b/>
          <w:bCs/>
          <w:i/>
          <w:sz w:val="22"/>
          <w:szCs w:val="22"/>
        </w:rPr>
        <w:t>recuperação do crédito tributário</w:t>
      </w:r>
      <w:r w:rsidR="004C5573" w:rsidRPr="0072678C">
        <w:rPr>
          <w:rFonts w:asciiTheme="minorHAnsi" w:hAnsiTheme="minorHAnsi" w:cstheme="minorHAnsi"/>
          <w:b/>
          <w:bCs/>
          <w:sz w:val="22"/>
          <w:szCs w:val="22"/>
        </w:rPr>
        <w:t xml:space="preserve"> </w:t>
      </w:r>
      <w:r w:rsidRPr="0072678C">
        <w:rPr>
          <w:rFonts w:asciiTheme="minorHAnsi" w:hAnsiTheme="minorHAnsi" w:cstheme="minorHAnsi"/>
          <w:sz w:val="22"/>
          <w:szCs w:val="22"/>
        </w:rPr>
        <w:t>não: realiza avaliação de riscos de descumprimento da obrigação tributária, define e gerencia seu plano de mitigação; segmenta os contribuintes por nível de risco e potencial de recuperação, com regras específicas para tratamento de devedores contumazes; segmenta a dívida por antiguidade, priorizando a cobrança de dívidas recentes</w:t>
      </w:r>
      <w:r w:rsidR="00676CC9" w:rsidRPr="0072678C">
        <w:rPr>
          <w:rFonts w:asciiTheme="minorHAnsi" w:hAnsiTheme="minorHAnsi" w:cstheme="minorHAnsi"/>
          <w:sz w:val="22"/>
          <w:szCs w:val="22"/>
        </w:rPr>
        <w:t>; d</w:t>
      </w:r>
      <w:r w:rsidRPr="0072678C">
        <w:rPr>
          <w:rFonts w:asciiTheme="minorHAnsi" w:hAnsiTheme="minorHAnsi" w:cstheme="minorHAnsi"/>
          <w:sz w:val="22"/>
          <w:szCs w:val="22"/>
        </w:rPr>
        <w:t xml:space="preserve">efine e </w:t>
      </w:r>
      <w:r w:rsidR="00676CC9" w:rsidRPr="0072678C">
        <w:rPr>
          <w:rFonts w:asciiTheme="minorHAnsi" w:hAnsiTheme="minorHAnsi" w:cstheme="minorHAnsi"/>
          <w:sz w:val="22"/>
          <w:szCs w:val="22"/>
        </w:rPr>
        <w:t xml:space="preserve">nem </w:t>
      </w:r>
      <w:r w:rsidRPr="0072678C">
        <w:rPr>
          <w:rFonts w:asciiTheme="minorHAnsi" w:hAnsiTheme="minorHAnsi" w:cstheme="minorHAnsi"/>
          <w:sz w:val="22"/>
          <w:szCs w:val="22"/>
        </w:rPr>
        <w:t>gerencia as réguas de cobrança, com registro dos eventos por contribuinte, suportado por sistema automatizado</w:t>
      </w:r>
      <w:r w:rsidR="00676CC9" w:rsidRPr="0072678C">
        <w:rPr>
          <w:rFonts w:asciiTheme="minorHAnsi" w:hAnsiTheme="minorHAnsi" w:cstheme="minorHAnsi"/>
          <w:sz w:val="22"/>
          <w:szCs w:val="22"/>
        </w:rPr>
        <w:t>; a</w:t>
      </w:r>
      <w:r w:rsidRPr="0072678C">
        <w:rPr>
          <w:rFonts w:asciiTheme="minorHAnsi" w:hAnsiTheme="minorHAnsi" w:cstheme="minorHAnsi"/>
          <w:sz w:val="22"/>
          <w:szCs w:val="22"/>
        </w:rPr>
        <w:t>dota a cobrança q</w:t>
      </w:r>
      <w:r w:rsidR="00676CC9" w:rsidRPr="0072678C">
        <w:rPr>
          <w:rFonts w:asciiTheme="minorHAnsi" w:hAnsiTheme="minorHAnsi" w:cstheme="minorHAnsi"/>
          <w:sz w:val="22"/>
          <w:szCs w:val="22"/>
        </w:rPr>
        <w:t xml:space="preserve">ualificada de grandes devedores de </w:t>
      </w:r>
      <w:r w:rsidRPr="0072678C">
        <w:rPr>
          <w:rFonts w:asciiTheme="minorHAnsi" w:hAnsiTheme="minorHAnsi" w:cstheme="minorHAnsi"/>
          <w:sz w:val="22"/>
          <w:szCs w:val="22"/>
        </w:rPr>
        <w:t>contribuintes de médio risco</w:t>
      </w:r>
      <w:r w:rsidR="00676CC9" w:rsidRPr="0072678C">
        <w:rPr>
          <w:rFonts w:asciiTheme="minorHAnsi" w:hAnsiTheme="minorHAnsi" w:cstheme="minorHAnsi"/>
          <w:sz w:val="22"/>
          <w:szCs w:val="22"/>
        </w:rPr>
        <w:t>; d</w:t>
      </w:r>
      <w:r w:rsidR="004C5573" w:rsidRPr="0072678C">
        <w:rPr>
          <w:rFonts w:asciiTheme="minorHAnsi" w:hAnsiTheme="minorHAnsi" w:cstheme="minorHAnsi"/>
          <w:sz w:val="22"/>
          <w:szCs w:val="22"/>
        </w:rPr>
        <w:t xml:space="preserve">ispõe de </w:t>
      </w:r>
      <w:proofErr w:type="spellStart"/>
      <w:r w:rsidR="004C5573" w:rsidRPr="0072678C">
        <w:rPr>
          <w:rFonts w:asciiTheme="minorHAnsi" w:hAnsiTheme="minorHAnsi" w:cstheme="minorHAnsi"/>
          <w:sz w:val="22"/>
          <w:szCs w:val="22"/>
        </w:rPr>
        <w:t>C</w:t>
      </w:r>
      <w:r w:rsidRPr="0072678C">
        <w:rPr>
          <w:rFonts w:asciiTheme="minorHAnsi" w:hAnsiTheme="minorHAnsi" w:cstheme="minorHAnsi"/>
          <w:sz w:val="22"/>
          <w:szCs w:val="22"/>
        </w:rPr>
        <w:t>all</w:t>
      </w:r>
      <w:proofErr w:type="spellEnd"/>
      <w:r w:rsidR="004C5573" w:rsidRPr="0072678C">
        <w:rPr>
          <w:rFonts w:asciiTheme="minorHAnsi" w:hAnsiTheme="minorHAnsi" w:cstheme="minorHAnsi"/>
          <w:sz w:val="22"/>
          <w:szCs w:val="22"/>
        </w:rPr>
        <w:t xml:space="preserve"> C</w:t>
      </w:r>
      <w:r w:rsidRPr="0072678C">
        <w:rPr>
          <w:rFonts w:asciiTheme="minorHAnsi" w:hAnsiTheme="minorHAnsi" w:cstheme="minorHAnsi"/>
          <w:sz w:val="22"/>
          <w:szCs w:val="22"/>
        </w:rPr>
        <w:t xml:space="preserve">enter profissionalizado e de equipe de cobrança com capacitação específica, com revisão </w:t>
      </w:r>
      <w:proofErr w:type="spellStart"/>
      <w:r w:rsidRPr="0072678C">
        <w:rPr>
          <w:rFonts w:asciiTheme="minorHAnsi" w:hAnsiTheme="minorHAnsi" w:cstheme="minorHAnsi"/>
          <w:sz w:val="22"/>
          <w:szCs w:val="22"/>
        </w:rPr>
        <w:t>períodica</w:t>
      </w:r>
      <w:proofErr w:type="spellEnd"/>
      <w:r w:rsidRPr="0072678C">
        <w:rPr>
          <w:rFonts w:asciiTheme="minorHAnsi" w:hAnsiTheme="minorHAnsi" w:cstheme="minorHAnsi"/>
          <w:sz w:val="22"/>
          <w:szCs w:val="22"/>
        </w:rPr>
        <w:t xml:space="preserve"> de </w:t>
      </w:r>
      <w:r w:rsidRPr="0072678C">
        <w:rPr>
          <w:rFonts w:asciiTheme="minorHAnsi" w:hAnsiTheme="minorHAnsi" w:cstheme="minorHAnsi"/>
          <w:i/>
          <w:iCs/>
          <w:sz w:val="22"/>
          <w:szCs w:val="22"/>
        </w:rPr>
        <w:t>scripts</w:t>
      </w:r>
      <w:r w:rsidR="00676CC9" w:rsidRPr="0072678C">
        <w:rPr>
          <w:rFonts w:asciiTheme="minorHAnsi" w:hAnsiTheme="minorHAnsi" w:cstheme="minorHAnsi"/>
          <w:i/>
          <w:iCs/>
          <w:sz w:val="22"/>
          <w:szCs w:val="22"/>
        </w:rPr>
        <w:t>; d</w:t>
      </w:r>
      <w:r w:rsidRPr="0072678C">
        <w:rPr>
          <w:rFonts w:asciiTheme="minorHAnsi" w:hAnsiTheme="minorHAnsi" w:cstheme="minorHAnsi"/>
          <w:sz w:val="22"/>
          <w:szCs w:val="22"/>
        </w:rPr>
        <w:t>ispõe de base de dados de contato dos contribuintes integrada e atualizada</w:t>
      </w:r>
      <w:r w:rsidR="00676CC9" w:rsidRPr="0072678C">
        <w:rPr>
          <w:rFonts w:asciiTheme="minorHAnsi" w:hAnsiTheme="minorHAnsi" w:cstheme="minorHAnsi"/>
          <w:sz w:val="22"/>
          <w:szCs w:val="22"/>
        </w:rPr>
        <w:t>; u</w:t>
      </w:r>
      <w:r w:rsidRPr="0072678C">
        <w:rPr>
          <w:rFonts w:asciiTheme="minorHAnsi" w:hAnsiTheme="minorHAnsi" w:cstheme="minorHAnsi"/>
          <w:sz w:val="22"/>
          <w:szCs w:val="22"/>
        </w:rPr>
        <w:t>tiliza critérios progressivos de penalidades para recuperação do crédito</w:t>
      </w:r>
      <w:r w:rsidR="00676CC9" w:rsidRPr="0072678C">
        <w:rPr>
          <w:rFonts w:asciiTheme="minorHAnsi" w:hAnsiTheme="minorHAnsi" w:cstheme="minorHAnsi"/>
          <w:sz w:val="22"/>
          <w:szCs w:val="22"/>
        </w:rPr>
        <w:t>; e</w:t>
      </w:r>
      <w:r w:rsidRPr="0072678C">
        <w:rPr>
          <w:rFonts w:asciiTheme="minorHAnsi" w:hAnsiTheme="minorHAnsi" w:cstheme="minorHAnsi"/>
          <w:sz w:val="22"/>
          <w:szCs w:val="22"/>
        </w:rPr>
        <w:t xml:space="preserve">stabelece e </w:t>
      </w:r>
      <w:r w:rsidR="00676CC9" w:rsidRPr="0072678C">
        <w:rPr>
          <w:rFonts w:asciiTheme="minorHAnsi" w:hAnsiTheme="minorHAnsi" w:cstheme="minorHAnsi"/>
          <w:sz w:val="22"/>
          <w:szCs w:val="22"/>
        </w:rPr>
        <w:t xml:space="preserve">nem </w:t>
      </w:r>
      <w:r w:rsidRPr="0072678C">
        <w:rPr>
          <w:rFonts w:asciiTheme="minorHAnsi" w:hAnsiTheme="minorHAnsi" w:cstheme="minorHAnsi"/>
          <w:sz w:val="22"/>
          <w:szCs w:val="22"/>
        </w:rPr>
        <w:t>monitora metas de recuperação do crédito tributário</w:t>
      </w:r>
      <w:r w:rsidR="00676CC9" w:rsidRPr="0072678C">
        <w:rPr>
          <w:rFonts w:asciiTheme="minorHAnsi" w:hAnsiTheme="minorHAnsi" w:cstheme="minorHAnsi"/>
          <w:sz w:val="22"/>
          <w:szCs w:val="22"/>
        </w:rPr>
        <w:t>.</w:t>
      </w:r>
    </w:p>
    <w:p w:rsidR="00676CC9" w:rsidRPr="0072678C" w:rsidRDefault="00676CC9" w:rsidP="00ED79BF">
      <w:pPr>
        <w:jc w:val="both"/>
        <w:rPr>
          <w:rFonts w:asciiTheme="minorHAnsi" w:hAnsiTheme="minorHAnsi" w:cstheme="minorHAnsi"/>
          <w:sz w:val="22"/>
          <w:szCs w:val="22"/>
        </w:rPr>
      </w:pPr>
    </w:p>
    <w:p w:rsidR="00ED79BF" w:rsidRPr="0072678C" w:rsidRDefault="00676CC9" w:rsidP="00ED79BF">
      <w:pPr>
        <w:jc w:val="both"/>
        <w:rPr>
          <w:rFonts w:asciiTheme="minorHAnsi" w:hAnsiTheme="minorHAnsi" w:cstheme="minorHAnsi"/>
          <w:sz w:val="22"/>
          <w:szCs w:val="22"/>
        </w:rPr>
      </w:pPr>
      <w:r w:rsidRPr="0072678C">
        <w:rPr>
          <w:rFonts w:asciiTheme="minorHAnsi" w:hAnsiTheme="minorHAnsi" w:cstheme="minorHAnsi"/>
          <w:sz w:val="22"/>
          <w:szCs w:val="22"/>
        </w:rPr>
        <w:t xml:space="preserve">Com relação a </w:t>
      </w:r>
      <w:r w:rsidR="00ED79BF" w:rsidRPr="0072678C">
        <w:rPr>
          <w:rFonts w:asciiTheme="minorHAnsi" w:hAnsiTheme="minorHAnsi" w:cstheme="minorHAnsi"/>
          <w:sz w:val="22"/>
          <w:szCs w:val="22"/>
        </w:rPr>
        <w:t>progressividade de</w:t>
      </w:r>
      <w:r w:rsidR="00ED79BF" w:rsidRPr="0072678C">
        <w:rPr>
          <w:rFonts w:asciiTheme="minorHAnsi" w:hAnsiTheme="minorHAnsi" w:cstheme="minorHAnsi"/>
          <w:b/>
          <w:bCs/>
          <w:sz w:val="22"/>
          <w:szCs w:val="22"/>
        </w:rPr>
        <w:t xml:space="preserve"> penalidades na recuperação do crédito</w:t>
      </w:r>
      <w:r w:rsidR="00ED79BF" w:rsidRPr="0072678C">
        <w:rPr>
          <w:rFonts w:asciiTheme="minorHAnsi" w:hAnsiTheme="minorHAnsi" w:cstheme="minorHAnsi"/>
          <w:sz w:val="22"/>
          <w:szCs w:val="22"/>
        </w:rPr>
        <w:t xml:space="preserve"> </w:t>
      </w:r>
      <w:proofErr w:type="gramStart"/>
      <w:r w:rsidR="004C5573" w:rsidRPr="0072678C">
        <w:rPr>
          <w:rFonts w:asciiTheme="minorHAnsi" w:hAnsiTheme="minorHAnsi" w:cstheme="minorHAnsi"/>
          <w:sz w:val="22"/>
          <w:szCs w:val="22"/>
        </w:rPr>
        <w:t>a</w:t>
      </w:r>
      <w:r w:rsidRPr="0072678C">
        <w:rPr>
          <w:rFonts w:asciiTheme="minorHAnsi" w:hAnsiTheme="minorHAnsi" w:cstheme="minorHAnsi"/>
          <w:sz w:val="22"/>
          <w:szCs w:val="22"/>
        </w:rPr>
        <w:t xml:space="preserve">  SEFAZ</w:t>
      </w:r>
      <w:proofErr w:type="gramEnd"/>
      <w:r w:rsidRPr="0072678C">
        <w:rPr>
          <w:rFonts w:asciiTheme="minorHAnsi" w:hAnsiTheme="minorHAnsi" w:cstheme="minorHAnsi"/>
          <w:sz w:val="22"/>
          <w:szCs w:val="22"/>
        </w:rPr>
        <w:t>/SP deverá a</w:t>
      </w:r>
      <w:r w:rsidR="00ED79BF" w:rsidRPr="0072678C">
        <w:rPr>
          <w:rFonts w:asciiTheme="minorHAnsi" w:hAnsiTheme="minorHAnsi" w:cstheme="minorHAnsi"/>
          <w:sz w:val="22"/>
          <w:szCs w:val="22"/>
        </w:rPr>
        <w:t>plica agravamento de multas</w:t>
      </w:r>
      <w:r w:rsidRPr="0072678C">
        <w:rPr>
          <w:rFonts w:asciiTheme="minorHAnsi" w:hAnsiTheme="minorHAnsi" w:cstheme="minorHAnsi"/>
          <w:sz w:val="22"/>
          <w:szCs w:val="22"/>
        </w:rPr>
        <w:t>; n</w:t>
      </w:r>
      <w:r w:rsidR="00ED79BF" w:rsidRPr="0072678C">
        <w:rPr>
          <w:rFonts w:asciiTheme="minorHAnsi" w:hAnsiTheme="minorHAnsi" w:cstheme="minorHAnsi"/>
          <w:sz w:val="22"/>
          <w:szCs w:val="22"/>
        </w:rPr>
        <w:t>otifica e efetua arrolamento de bens</w:t>
      </w:r>
      <w:r w:rsidRPr="0072678C">
        <w:rPr>
          <w:rFonts w:asciiTheme="minorHAnsi" w:hAnsiTheme="minorHAnsi" w:cstheme="minorHAnsi"/>
          <w:sz w:val="22"/>
          <w:szCs w:val="22"/>
        </w:rPr>
        <w:t>; i</w:t>
      </w:r>
      <w:r w:rsidR="00ED79BF" w:rsidRPr="0072678C">
        <w:rPr>
          <w:rFonts w:asciiTheme="minorHAnsi" w:hAnsiTheme="minorHAnsi" w:cstheme="minorHAnsi"/>
          <w:sz w:val="22"/>
          <w:szCs w:val="22"/>
        </w:rPr>
        <w:t>nscreve no cadastro de inadimplentes de empresas de informação creditícia</w:t>
      </w:r>
      <w:r w:rsidRPr="0072678C">
        <w:rPr>
          <w:rFonts w:asciiTheme="minorHAnsi" w:hAnsiTheme="minorHAnsi" w:cstheme="minorHAnsi"/>
          <w:sz w:val="22"/>
          <w:szCs w:val="22"/>
        </w:rPr>
        <w:t xml:space="preserve">; </w:t>
      </w:r>
      <w:r w:rsidR="00D74ADC" w:rsidRPr="0072678C">
        <w:rPr>
          <w:rFonts w:asciiTheme="minorHAnsi" w:hAnsiTheme="minorHAnsi" w:cstheme="minorHAnsi"/>
          <w:sz w:val="22"/>
          <w:szCs w:val="22"/>
        </w:rPr>
        <w:t xml:space="preserve"> e </w:t>
      </w:r>
      <w:r w:rsidRPr="0072678C">
        <w:rPr>
          <w:rFonts w:asciiTheme="minorHAnsi" w:hAnsiTheme="minorHAnsi" w:cstheme="minorHAnsi"/>
          <w:sz w:val="22"/>
          <w:szCs w:val="22"/>
        </w:rPr>
        <w:t>e</w:t>
      </w:r>
      <w:r w:rsidR="00ED79BF" w:rsidRPr="0072678C">
        <w:rPr>
          <w:rFonts w:asciiTheme="minorHAnsi" w:hAnsiTheme="minorHAnsi" w:cstheme="minorHAnsi"/>
          <w:sz w:val="22"/>
          <w:szCs w:val="22"/>
        </w:rPr>
        <w:t>fetua registro em cartório para protesto de título</w:t>
      </w:r>
      <w:r w:rsidRPr="0072678C">
        <w:rPr>
          <w:rFonts w:asciiTheme="minorHAnsi" w:hAnsiTheme="minorHAnsi" w:cstheme="minorHAnsi"/>
          <w:sz w:val="22"/>
          <w:szCs w:val="22"/>
        </w:rPr>
        <w:t xml:space="preserve">; propor </w:t>
      </w:r>
      <w:r w:rsidR="00ED79BF" w:rsidRPr="0072678C">
        <w:rPr>
          <w:rFonts w:asciiTheme="minorHAnsi" w:hAnsiTheme="minorHAnsi" w:cstheme="minorHAnsi"/>
          <w:sz w:val="22"/>
          <w:szCs w:val="22"/>
        </w:rPr>
        <w:t>penhora de faturamento em geral</w:t>
      </w:r>
      <w:r w:rsidRPr="0072678C">
        <w:rPr>
          <w:rFonts w:asciiTheme="minorHAnsi" w:hAnsiTheme="minorHAnsi" w:cstheme="minorHAnsi"/>
          <w:sz w:val="22"/>
          <w:szCs w:val="22"/>
        </w:rPr>
        <w:t xml:space="preserve"> e </w:t>
      </w:r>
      <w:r w:rsidR="00ED79BF" w:rsidRPr="0072678C">
        <w:rPr>
          <w:rFonts w:asciiTheme="minorHAnsi" w:hAnsiTheme="minorHAnsi" w:cstheme="minorHAnsi"/>
          <w:sz w:val="22"/>
          <w:szCs w:val="22"/>
        </w:rPr>
        <w:t xml:space="preserve"> valores ou créditos (recebidos ou recebíveis), devidos pelas operadoras de cartão de crédito</w:t>
      </w:r>
      <w:r w:rsidR="00D74ADC" w:rsidRPr="0072678C">
        <w:rPr>
          <w:rFonts w:asciiTheme="minorHAnsi" w:hAnsiTheme="minorHAnsi" w:cstheme="minorHAnsi"/>
          <w:sz w:val="22"/>
          <w:szCs w:val="22"/>
        </w:rPr>
        <w:t>.</w:t>
      </w:r>
    </w:p>
    <w:p w:rsidR="00ED79BF" w:rsidRPr="0072678C" w:rsidRDefault="00ED79BF" w:rsidP="00ED79BF">
      <w:pPr>
        <w:jc w:val="both"/>
        <w:rPr>
          <w:rFonts w:asciiTheme="minorHAnsi" w:hAnsiTheme="minorHAnsi" w:cstheme="minorHAnsi"/>
          <w:sz w:val="22"/>
          <w:szCs w:val="22"/>
        </w:rPr>
      </w:pPr>
    </w:p>
    <w:p w:rsidR="00ED79BF" w:rsidRPr="0072678C" w:rsidRDefault="00D74ADC" w:rsidP="00ED79BF">
      <w:pPr>
        <w:jc w:val="both"/>
        <w:rPr>
          <w:rFonts w:asciiTheme="minorHAnsi" w:hAnsiTheme="minorHAnsi" w:cstheme="minorHAnsi"/>
          <w:sz w:val="22"/>
          <w:szCs w:val="22"/>
        </w:rPr>
      </w:pPr>
      <w:r w:rsidRPr="0072678C">
        <w:rPr>
          <w:rFonts w:asciiTheme="minorHAnsi" w:hAnsiTheme="minorHAnsi" w:cstheme="minorHAnsi"/>
          <w:sz w:val="22"/>
          <w:szCs w:val="22"/>
        </w:rPr>
        <w:t xml:space="preserve">Com relação ao </w:t>
      </w:r>
      <w:r w:rsidR="00ED79BF" w:rsidRPr="0072678C">
        <w:rPr>
          <w:rFonts w:asciiTheme="minorHAnsi" w:hAnsiTheme="minorHAnsi" w:cstheme="minorHAnsi"/>
          <w:b/>
          <w:bCs/>
          <w:i/>
          <w:iCs/>
          <w:sz w:val="22"/>
          <w:szCs w:val="22"/>
        </w:rPr>
        <w:t>parcelamento do crédito tributário</w:t>
      </w:r>
      <w:r w:rsidR="00ED79BF" w:rsidRPr="0072678C">
        <w:rPr>
          <w:rFonts w:asciiTheme="minorHAnsi" w:hAnsiTheme="minorHAnsi" w:cstheme="minorHAnsi"/>
          <w:sz w:val="22"/>
          <w:szCs w:val="22"/>
        </w:rPr>
        <w:t xml:space="preserve"> </w:t>
      </w:r>
      <w:r w:rsidRPr="0072678C">
        <w:rPr>
          <w:rFonts w:asciiTheme="minorHAnsi" w:hAnsiTheme="minorHAnsi" w:cstheme="minorHAnsi"/>
          <w:sz w:val="22"/>
          <w:szCs w:val="22"/>
        </w:rPr>
        <w:t>a SEFAZ/SP deverá e</w:t>
      </w:r>
      <w:r w:rsidR="00ED79BF" w:rsidRPr="0072678C">
        <w:rPr>
          <w:rFonts w:asciiTheme="minorHAnsi" w:hAnsiTheme="minorHAnsi" w:cstheme="minorHAnsi"/>
          <w:sz w:val="22"/>
          <w:szCs w:val="22"/>
        </w:rPr>
        <w:t>stabelece critérios para concessão de parcelamento com base na segmentação e avaliação de riscos dos contribuintes</w:t>
      </w:r>
      <w:r w:rsidRPr="0072678C">
        <w:rPr>
          <w:rFonts w:asciiTheme="minorHAnsi" w:hAnsiTheme="minorHAnsi" w:cstheme="minorHAnsi"/>
          <w:sz w:val="22"/>
          <w:szCs w:val="22"/>
        </w:rPr>
        <w:t xml:space="preserve">; exigir </w:t>
      </w:r>
      <w:r w:rsidR="00ED79BF" w:rsidRPr="0072678C">
        <w:rPr>
          <w:rFonts w:asciiTheme="minorHAnsi" w:hAnsiTheme="minorHAnsi" w:cstheme="minorHAnsi"/>
          <w:sz w:val="22"/>
          <w:szCs w:val="22"/>
        </w:rPr>
        <w:t>garantias e fiança dos sócios</w:t>
      </w:r>
      <w:r w:rsidRPr="0072678C">
        <w:rPr>
          <w:rFonts w:asciiTheme="minorHAnsi" w:hAnsiTheme="minorHAnsi" w:cstheme="minorHAnsi"/>
          <w:sz w:val="22"/>
          <w:szCs w:val="22"/>
        </w:rPr>
        <w:t xml:space="preserve">; disponibilizar </w:t>
      </w:r>
      <w:r w:rsidR="00ED79BF" w:rsidRPr="0072678C">
        <w:rPr>
          <w:rFonts w:asciiTheme="minorHAnsi" w:hAnsiTheme="minorHAnsi" w:cstheme="minorHAnsi"/>
          <w:sz w:val="22"/>
          <w:szCs w:val="22"/>
        </w:rPr>
        <w:t>a adesão ao parcelamento na Internet com acompanhamento de todas as etapas</w:t>
      </w:r>
      <w:r w:rsidRPr="0072678C">
        <w:rPr>
          <w:rFonts w:asciiTheme="minorHAnsi" w:hAnsiTheme="minorHAnsi" w:cstheme="minorHAnsi"/>
          <w:sz w:val="22"/>
          <w:szCs w:val="22"/>
        </w:rPr>
        <w:t xml:space="preserve">; disponibilizar </w:t>
      </w:r>
      <w:r w:rsidR="00ED79BF" w:rsidRPr="0072678C">
        <w:rPr>
          <w:rFonts w:asciiTheme="minorHAnsi" w:hAnsiTheme="minorHAnsi" w:cstheme="minorHAnsi"/>
          <w:sz w:val="22"/>
          <w:szCs w:val="22"/>
        </w:rPr>
        <w:t>a opção de débito automático em conta bancária</w:t>
      </w:r>
      <w:r w:rsidRPr="0072678C">
        <w:rPr>
          <w:rFonts w:asciiTheme="minorHAnsi" w:hAnsiTheme="minorHAnsi" w:cstheme="minorHAnsi"/>
          <w:sz w:val="22"/>
          <w:szCs w:val="22"/>
        </w:rPr>
        <w:t xml:space="preserve">; emitir </w:t>
      </w:r>
      <w:r w:rsidR="00ED79BF" w:rsidRPr="0072678C">
        <w:rPr>
          <w:rFonts w:asciiTheme="minorHAnsi" w:hAnsiTheme="minorHAnsi" w:cstheme="minorHAnsi"/>
          <w:sz w:val="22"/>
          <w:szCs w:val="22"/>
        </w:rPr>
        <w:t>aviso automático em caso de atrasos e em caso de não regularização encaminha para inscrição na dívida ativa</w:t>
      </w:r>
      <w:r w:rsidRPr="0072678C">
        <w:rPr>
          <w:rFonts w:asciiTheme="minorHAnsi" w:hAnsiTheme="minorHAnsi" w:cstheme="minorHAnsi"/>
          <w:sz w:val="22"/>
          <w:szCs w:val="22"/>
        </w:rPr>
        <w:t>.</w:t>
      </w:r>
    </w:p>
    <w:p w:rsidR="00D74ADC" w:rsidRPr="0072678C" w:rsidRDefault="00D74ADC" w:rsidP="00ED79BF">
      <w:pPr>
        <w:jc w:val="both"/>
        <w:rPr>
          <w:rFonts w:asciiTheme="minorHAnsi" w:hAnsiTheme="minorHAnsi" w:cstheme="minorHAnsi"/>
          <w:sz w:val="22"/>
          <w:szCs w:val="22"/>
        </w:rPr>
      </w:pPr>
    </w:p>
    <w:p w:rsidR="008C6E71" w:rsidRPr="0072678C" w:rsidRDefault="00163688" w:rsidP="009368A8">
      <w:pPr>
        <w:pStyle w:val="Heading1"/>
        <w:rPr>
          <w:rFonts w:asciiTheme="minorHAnsi" w:hAnsiTheme="minorHAnsi" w:cstheme="minorHAnsi"/>
          <w:b/>
          <w:color w:val="auto"/>
          <w:sz w:val="24"/>
          <w:szCs w:val="24"/>
        </w:rPr>
      </w:pPr>
      <w:bookmarkStart w:id="15" w:name="_Toc518058454"/>
      <w:r w:rsidRPr="0072678C">
        <w:rPr>
          <w:rFonts w:asciiTheme="minorHAnsi" w:hAnsiTheme="minorHAnsi" w:cstheme="minorHAnsi"/>
          <w:b/>
          <w:color w:val="auto"/>
          <w:sz w:val="24"/>
          <w:szCs w:val="24"/>
        </w:rPr>
        <w:t xml:space="preserve">3 - </w:t>
      </w:r>
      <w:r w:rsidR="00AE65EA" w:rsidRPr="0072678C">
        <w:rPr>
          <w:rFonts w:asciiTheme="minorHAnsi" w:hAnsiTheme="minorHAnsi" w:cstheme="minorHAnsi"/>
          <w:b/>
          <w:color w:val="auto"/>
          <w:sz w:val="24"/>
          <w:szCs w:val="24"/>
        </w:rPr>
        <w:t>Eixo III- Administração Financeira e Gasto Público</w:t>
      </w:r>
      <w:bookmarkEnd w:id="15"/>
    </w:p>
    <w:p w:rsidR="009368A8" w:rsidRPr="0072678C" w:rsidRDefault="009368A8" w:rsidP="009368A8">
      <w:pPr>
        <w:pStyle w:val="Heading1"/>
        <w:rPr>
          <w:rFonts w:asciiTheme="minorHAnsi" w:hAnsiTheme="minorHAnsi" w:cstheme="minorHAnsi"/>
          <w:b/>
          <w:color w:val="auto"/>
          <w:sz w:val="22"/>
          <w:szCs w:val="22"/>
        </w:rPr>
      </w:pPr>
      <w:bookmarkStart w:id="16" w:name="_Toc515453855"/>
      <w:bookmarkStart w:id="17" w:name="_Toc518058455"/>
      <w:r w:rsidRPr="0072678C">
        <w:rPr>
          <w:rFonts w:asciiTheme="minorHAnsi" w:hAnsiTheme="minorHAnsi" w:cstheme="minorHAnsi"/>
          <w:b/>
          <w:color w:val="auto"/>
          <w:sz w:val="22"/>
          <w:szCs w:val="22"/>
        </w:rPr>
        <w:t>3.1 - Visão Geral da Maturidade dos Processos</w:t>
      </w:r>
      <w:bookmarkEnd w:id="16"/>
      <w:bookmarkEnd w:id="17"/>
    </w:p>
    <w:p w:rsidR="009368A8" w:rsidRPr="0072678C" w:rsidRDefault="009368A8" w:rsidP="00B61D4E">
      <w:pPr>
        <w:jc w:val="both"/>
        <w:rPr>
          <w:rFonts w:asciiTheme="minorHAnsi" w:hAnsiTheme="minorHAnsi" w:cstheme="minorHAnsi"/>
          <w:sz w:val="22"/>
          <w:szCs w:val="22"/>
        </w:rPr>
      </w:pPr>
    </w:p>
    <w:p w:rsidR="00AE65EA" w:rsidRPr="0072678C" w:rsidRDefault="00AE65EA" w:rsidP="00AE65EA">
      <w:pPr>
        <w:spacing w:after="60" w:line="259" w:lineRule="auto"/>
        <w:ind w:left="284" w:right="-285"/>
        <w:jc w:val="center"/>
        <w:rPr>
          <w:rFonts w:asciiTheme="minorHAnsi" w:hAnsiTheme="minorHAnsi" w:cstheme="minorHAnsi"/>
          <w:sz w:val="22"/>
          <w:szCs w:val="22"/>
        </w:rPr>
      </w:pPr>
      <w:r w:rsidRPr="0072678C">
        <w:rPr>
          <w:rFonts w:asciiTheme="minorHAnsi" w:hAnsiTheme="minorHAnsi" w:cstheme="minorHAnsi"/>
          <w:b/>
          <w:sz w:val="22"/>
          <w:szCs w:val="22"/>
        </w:rPr>
        <w:t xml:space="preserve">Gráfico </w:t>
      </w:r>
      <w:r w:rsidR="009A5DE8" w:rsidRPr="0072678C">
        <w:rPr>
          <w:rFonts w:asciiTheme="minorHAnsi" w:hAnsiTheme="minorHAnsi" w:cstheme="minorHAnsi"/>
          <w:b/>
          <w:sz w:val="22"/>
          <w:szCs w:val="22"/>
        </w:rPr>
        <w:t>4</w:t>
      </w:r>
      <w:r w:rsidRPr="0072678C">
        <w:rPr>
          <w:rFonts w:asciiTheme="minorHAnsi" w:hAnsiTheme="minorHAnsi" w:cstheme="minorHAnsi"/>
          <w:b/>
          <w:sz w:val="22"/>
          <w:szCs w:val="22"/>
        </w:rPr>
        <w:t>:</w:t>
      </w:r>
      <w:r w:rsidRPr="0072678C">
        <w:rPr>
          <w:rFonts w:asciiTheme="minorHAnsi" w:hAnsiTheme="minorHAnsi" w:cstheme="minorHAnsi"/>
          <w:sz w:val="22"/>
          <w:szCs w:val="22"/>
        </w:rPr>
        <w:t xml:space="preserve"> Maturidade das Dimensões do Eixo III- Administração Financeira e Gasto Público</w:t>
      </w:r>
    </w:p>
    <w:p w:rsidR="00AE65EA" w:rsidRPr="0072678C" w:rsidRDefault="00074441" w:rsidP="00AE65EA">
      <w:pPr>
        <w:spacing w:before="240" w:after="240"/>
        <w:ind w:left="567"/>
        <w:jc w:val="center"/>
        <w:rPr>
          <w:rFonts w:asciiTheme="minorHAnsi" w:hAnsiTheme="minorHAnsi" w:cstheme="minorHAnsi"/>
        </w:rPr>
      </w:pPr>
      <w:r w:rsidRPr="0072678C">
        <w:rPr>
          <w:rFonts w:asciiTheme="minorHAnsi" w:hAnsiTheme="minorHAnsi" w:cstheme="minorHAnsi"/>
          <w:noProof/>
        </w:rPr>
        <w:lastRenderedPageBreak/>
        <w:drawing>
          <wp:inline distT="0" distB="0" distL="0" distR="0">
            <wp:extent cx="5029200" cy="3556000"/>
            <wp:effectExtent l="19050" t="0" r="19050" b="6350"/>
            <wp:docPr id="9" name="Gráfico 4">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A14A2" w:rsidRPr="0072678C" w:rsidRDefault="00AE65EA" w:rsidP="001A14A2">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No </w:t>
      </w:r>
      <w:r w:rsidRPr="0072678C">
        <w:rPr>
          <w:rFonts w:asciiTheme="minorHAnsi" w:hAnsiTheme="minorHAnsi" w:cstheme="minorHAnsi"/>
          <w:b/>
          <w:sz w:val="22"/>
          <w:szCs w:val="22"/>
        </w:rPr>
        <w:t xml:space="preserve">Gráfico </w:t>
      </w:r>
      <w:r w:rsidR="009A5DE8" w:rsidRPr="0072678C">
        <w:rPr>
          <w:rFonts w:asciiTheme="minorHAnsi" w:hAnsiTheme="minorHAnsi" w:cstheme="minorHAnsi"/>
          <w:b/>
          <w:sz w:val="22"/>
          <w:szCs w:val="22"/>
        </w:rPr>
        <w:t>4</w:t>
      </w:r>
      <w:r w:rsidRPr="0072678C">
        <w:rPr>
          <w:rFonts w:asciiTheme="minorHAnsi" w:hAnsiTheme="minorHAnsi" w:cstheme="minorHAnsi"/>
          <w:sz w:val="22"/>
          <w:szCs w:val="22"/>
        </w:rPr>
        <w:t xml:space="preserve">, os números de 1 a 6 correspondem respectivamente aos níveis de Maturidade: Iniciante (-), Iniciante (+), Intermediário (-), Intermediário (+), Avançado (-) </w:t>
      </w:r>
      <w:proofErr w:type="gramStart"/>
      <w:r w:rsidRPr="0072678C">
        <w:rPr>
          <w:rFonts w:asciiTheme="minorHAnsi" w:hAnsiTheme="minorHAnsi" w:cstheme="minorHAnsi"/>
          <w:sz w:val="22"/>
          <w:szCs w:val="22"/>
        </w:rPr>
        <w:t>e Avançado</w:t>
      </w:r>
      <w:proofErr w:type="gramEnd"/>
      <w:r w:rsidRPr="0072678C">
        <w:rPr>
          <w:rFonts w:asciiTheme="minorHAnsi" w:hAnsiTheme="minorHAnsi" w:cstheme="minorHAnsi"/>
          <w:sz w:val="22"/>
          <w:szCs w:val="22"/>
        </w:rPr>
        <w:t xml:space="preserve"> (+).</w:t>
      </w:r>
      <w:bookmarkStart w:id="18" w:name="_Toc501360766"/>
    </w:p>
    <w:p w:rsidR="000C7BB6" w:rsidRPr="006C4206" w:rsidRDefault="000C7BB6" w:rsidP="000C7BB6">
      <w:pPr>
        <w:jc w:val="both"/>
        <w:rPr>
          <w:rFonts w:asciiTheme="minorHAnsi" w:hAnsiTheme="minorHAnsi" w:cstheme="minorHAnsi"/>
          <w:sz w:val="22"/>
          <w:szCs w:val="22"/>
        </w:rPr>
      </w:pPr>
      <w:r w:rsidRPr="006C4206">
        <w:rPr>
          <w:rFonts w:asciiTheme="minorHAnsi" w:hAnsiTheme="minorHAnsi" w:cstheme="minorHAnsi"/>
          <w:sz w:val="22"/>
          <w:szCs w:val="22"/>
        </w:rPr>
        <w:t xml:space="preserve">A apuração da Maturidade dos Processos das 6 Dimensões que compõem o Eixo III da gestão fiscal, qual seja, </w:t>
      </w:r>
      <w:r w:rsidRPr="006C4206">
        <w:rPr>
          <w:rFonts w:asciiTheme="minorHAnsi" w:hAnsiTheme="minorHAnsi" w:cstheme="minorHAnsi"/>
          <w:b/>
          <w:sz w:val="22"/>
          <w:szCs w:val="22"/>
        </w:rPr>
        <w:t xml:space="preserve">AF 2. </w:t>
      </w:r>
      <w:proofErr w:type="gramStart"/>
      <w:r w:rsidRPr="006C4206">
        <w:rPr>
          <w:rFonts w:asciiTheme="minorHAnsi" w:hAnsiTheme="minorHAnsi" w:cstheme="minorHAnsi"/>
          <w:b/>
          <w:sz w:val="22"/>
          <w:szCs w:val="22"/>
        </w:rPr>
        <w:t>Políticas, Programação e Execução Financeira</w:t>
      </w:r>
      <w:proofErr w:type="gramEnd"/>
      <w:r w:rsidRPr="006C4206">
        <w:rPr>
          <w:rFonts w:asciiTheme="minorHAnsi" w:hAnsiTheme="minorHAnsi" w:cstheme="minorHAnsi"/>
          <w:sz w:val="22"/>
          <w:szCs w:val="22"/>
        </w:rPr>
        <w:t xml:space="preserve"> apresentou o maior nível de maturidade dentre as 6 dimensões pesquisadas, Avançado (+) obtendo 94% da pontuação máxima; seguidas das dimensões </w:t>
      </w:r>
      <w:r w:rsidRPr="006C4206">
        <w:rPr>
          <w:rFonts w:asciiTheme="minorHAnsi" w:hAnsiTheme="minorHAnsi" w:cstheme="minorHAnsi"/>
          <w:b/>
          <w:sz w:val="22"/>
          <w:szCs w:val="22"/>
        </w:rPr>
        <w:t xml:space="preserve">AF 1. </w:t>
      </w:r>
      <w:proofErr w:type="gramStart"/>
      <w:r w:rsidRPr="006C4206">
        <w:rPr>
          <w:rFonts w:asciiTheme="minorHAnsi" w:hAnsiTheme="minorHAnsi" w:cstheme="minorHAnsi"/>
          <w:b/>
          <w:sz w:val="22"/>
          <w:szCs w:val="22"/>
        </w:rPr>
        <w:t>Planejamento e Execução Orçamentária</w:t>
      </w:r>
      <w:proofErr w:type="gramEnd"/>
      <w:r w:rsidRPr="006C4206">
        <w:rPr>
          <w:rFonts w:asciiTheme="minorHAnsi" w:hAnsiTheme="minorHAnsi" w:cstheme="minorHAnsi"/>
          <w:sz w:val="22"/>
          <w:szCs w:val="22"/>
        </w:rPr>
        <w:t xml:space="preserve"> (86%), Avançado (-). As dimensões </w:t>
      </w:r>
      <w:r w:rsidR="001953FA" w:rsidRPr="006C4206">
        <w:rPr>
          <w:rFonts w:asciiTheme="minorHAnsi" w:hAnsiTheme="minorHAnsi" w:cstheme="minorHAnsi"/>
          <w:b/>
          <w:sz w:val="22"/>
          <w:szCs w:val="22"/>
        </w:rPr>
        <w:t xml:space="preserve">AF 3. Gestão de Ativos e Passivos </w:t>
      </w:r>
      <w:r w:rsidR="001953FA" w:rsidRPr="006C4206">
        <w:rPr>
          <w:rFonts w:asciiTheme="minorHAnsi" w:hAnsiTheme="minorHAnsi" w:cstheme="minorHAnsi"/>
          <w:sz w:val="22"/>
          <w:szCs w:val="22"/>
        </w:rPr>
        <w:t>(44%),</w:t>
      </w:r>
      <w:r w:rsidR="001953FA" w:rsidRPr="006C4206">
        <w:rPr>
          <w:rFonts w:asciiTheme="minorHAnsi" w:hAnsiTheme="minorHAnsi" w:cstheme="minorHAnsi"/>
          <w:b/>
          <w:sz w:val="22"/>
          <w:szCs w:val="22"/>
        </w:rPr>
        <w:t xml:space="preserve"> </w:t>
      </w:r>
      <w:r w:rsidRPr="006C4206">
        <w:rPr>
          <w:rFonts w:asciiTheme="minorHAnsi" w:hAnsiTheme="minorHAnsi" w:cstheme="minorHAnsi"/>
          <w:b/>
          <w:sz w:val="22"/>
          <w:szCs w:val="22"/>
        </w:rPr>
        <w:t>AF 4. Gestão Contábil</w:t>
      </w:r>
      <w:r w:rsidRPr="006C4206">
        <w:rPr>
          <w:rFonts w:asciiTheme="minorHAnsi" w:hAnsiTheme="minorHAnsi" w:cstheme="minorHAnsi"/>
          <w:sz w:val="22"/>
          <w:szCs w:val="22"/>
        </w:rPr>
        <w:t xml:space="preserve"> (56%) e </w:t>
      </w:r>
      <w:r w:rsidRPr="006C4206">
        <w:rPr>
          <w:rFonts w:asciiTheme="minorHAnsi" w:hAnsiTheme="minorHAnsi" w:cstheme="minorHAnsi"/>
          <w:b/>
          <w:sz w:val="22"/>
          <w:szCs w:val="22"/>
        </w:rPr>
        <w:t>AF 5. Gestão da Dívida Pública</w:t>
      </w:r>
      <w:r w:rsidRPr="006C4206">
        <w:rPr>
          <w:rFonts w:asciiTheme="minorHAnsi" w:hAnsiTheme="minorHAnsi" w:cstheme="minorHAnsi"/>
          <w:sz w:val="22"/>
          <w:szCs w:val="22"/>
        </w:rPr>
        <w:t xml:space="preserve"> (53%) apresentaram nível de maturidade Intermediário (-). </w:t>
      </w:r>
      <w:r w:rsidR="001953FA" w:rsidRPr="006C4206">
        <w:rPr>
          <w:rFonts w:asciiTheme="minorHAnsi" w:hAnsiTheme="minorHAnsi" w:cstheme="minorHAnsi"/>
          <w:sz w:val="22"/>
          <w:szCs w:val="22"/>
        </w:rPr>
        <w:t xml:space="preserve">A </w:t>
      </w:r>
      <w:r w:rsidRPr="006C4206">
        <w:rPr>
          <w:rFonts w:asciiTheme="minorHAnsi" w:hAnsiTheme="minorHAnsi" w:cstheme="minorHAnsi"/>
          <w:sz w:val="22"/>
          <w:szCs w:val="22"/>
        </w:rPr>
        <w:t>dimens</w:t>
      </w:r>
      <w:r w:rsidR="001953FA" w:rsidRPr="006C4206">
        <w:rPr>
          <w:rFonts w:asciiTheme="minorHAnsi" w:hAnsiTheme="minorHAnsi" w:cstheme="minorHAnsi"/>
          <w:sz w:val="22"/>
          <w:szCs w:val="22"/>
        </w:rPr>
        <w:t xml:space="preserve">ão </w:t>
      </w:r>
      <w:r w:rsidRPr="006C4206">
        <w:rPr>
          <w:rFonts w:asciiTheme="minorHAnsi" w:hAnsiTheme="minorHAnsi" w:cstheme="minorHAnsi"/>
          <w:b/>
          <w:sz w:val="22"/>
          <w:szCs w:val="22"/>
        </w:rPr>
        <w:t>AF 6. Gestão de Custos e Gastos Públicos</w:t>
      </w:r>
      <w:r w:rsidRPr="006C4206">
        <w:rPr>
          <w:rFonts w:asciiTheme="minorHAnsi" w:hAnsiTheme="minorHAnsi" w:cstheme="minorHAnsi"/>
          <w:sz w:val="22"/>
          <w:szCs w:val="22"/>
        </w:rPr>
        <w:t xml:space="preserve"> apresent</w:t>
      </w:r>
      <w:r w:rsidR="001953FA" w:rsidRPr="006C4206">
        <w:rPr>
          <w:rFonts w:asciiTheme="minorHAnsi" w:hAnsiTheme="minorHAnsi" w:cstheme="minorHAnsi"/>
          <w:sz w:val="22"/>
          <w:szCs w:val="22"/>
        </w:rPr>
        <w:t xml:space="preserve">ou </w:t>
      </w:r>
      <w:r w:rsidRPr="006C4206">
        <w:rPr>
          <w:rFonts w:asciiTheme="minorHAnsi" w:hAnsiTheme="minorHAnsi" w:cstheme="minorHAnsi"/>
          <w:sz w:val="22"/>
          <w:szCs w:val="22"/>
        </w:rPr>
        <w:t>nível de maturidade Iniciante (</w:t>
      </w:r>
      <w:r w:rsidR="001953FA" w:rsidRPr="006C4206">
        <w:rPr>
          <w:rFonts w:asciiTheme="minorHAnsi" w:hAnsiTheme="minorHAnsi" w:cstheme="minorHAnsi"/>
          <w:sz w:val="22"/>
          <w:szCs w:val="22"/>
        </w:rPr>
        <w:t>-)</w:t>
      </w:r>
      <w:r w:rsidRPr="006C4206">
        <w:rPr>
          <w:rFonts w:asciiTheme="minorHAnsi" w:hAnsiTheme="minorHAnsi" w:cstheme="minorHAnsi"/>
          <w:sz w:val="22"/>
          <w:szCs w:val="22"/>
        </w:rPr>
        <w:t>.</w:t>
      </w:r>
    </w:p>
    <w:p w:rsidR="009368A8" w:rsidRPr="0072678C" w:rsidRDefault="009368A8" w:rsidP="009368A8">
      <w:pPr>
        <w:pStyle w:val="Heading1"/>
        <w:rPr>
          <w:color w:val="auto"/>
          <w:sz w:val="22"/>
          <w:szCs w:val="22"/>
        </w:rPr>
      </w:pPr>
      <w:bookmarkStart w:id="19" w:name="_Toc518058456"/>
      <w:r w:rsidRPr="0072678C">
        <w:rPr>
          <w:rFonts w:asciiTheme="minorHAnsi" w:hAnsiTheme="minorHAnsi" w:cstheme="minorHAnsi"/>
          <w:b/>
          <w:color w:val="auto"/>
          <w:sz w:val="22"/>
          <w:szCs w:val="22"/>
        </w:rPr>
        <w:t>3.2 – Pontos de Melhoria dos Processos por Dimensão do Eixo III</w:t>
      </w:r>
      <w:bookmarkEnd w:id="19"/>
    </w:p>
    <w:p w:rsidR="002E2572" w:rsidRPr="0072678C" w:rsidRDefault="002E2572" w:rsidP="009368A8">
      <w:pPr>
        <w:jc w:val="both"/>
        <w:rPr>
          <w:rFonts w:asciiTheme="minorHAnsi" w:hAnsiTheme="minorHAnsi" w:cstheme="minorHAnsi"/>
          <w:sz w:val="22"/>
          <w:szCs w:val="22"/>
        </w:rPr>
      </w:pPr>
    </w:p>
    <w:p w:rsidR="009368A8" w:rsidRPr="0072678C" w:rsidRDefault="009368A8" w:rsidP="009368A8">
      <w:pPr>
        <w:jc w:val="both"/>
        <w:rPr>
          <w:rFonts w:asciiTheme="minorHAnsi" w:hAnsiTheme="minorHAnsi" w:cstheme="minorHAnsi"/>
          <w:sz w:val="22"/>
          <w:szCs w:val="22"/>
        </w:rPr>
      </w:pPr>
      <w:r w:rsidRPr="0072678C">
        <w:rPr>
          <w:rFonts w:asciiTheme="minorHAnsi" w:hAnsiTheme="minorHAnsi" w:cstheme="minorHAnsi"/>
          <w:sz w:val="22"/>
          <w:szCs w:val="22"/>
        </w:rPr>
        <w:t>Pontos de melhorias para maturidade dos processos das dimensões do Eixo III considerando as boas práticas da MD-G</w:t>
      </w:r>
      <w:r w:rsidR="00001C6F" w:rsidRPr="0072678C">
        <w:rPr>
          <w:rFonts w:asciiTheme="minorHAnsi" w:hAnsiTheme="minorHAnsi" w:cstheme="minorHAnsi"/>
          <w:sz w:val="22"/>
          <w:szCs w:val="22"/>
        </w:rPr>
        <w:t>E</w:t>
      </w:r>
      <w:r w:rsidRPr="0072678C">
        <w:rPr>
          <w:rFonts w:asciiTheme="minorHAnsi" w:hAnsiTheme="minorHAnsi" w:cstheme="minorHAnsi"/>
          <w:sz w:val="22"/>
          <w:szCs w:val="22"/>
        </w:rPr>
        <w:t>FIS:</w:t>
      </w:r>
    </w:p>
    <w:p w:rsidR="009368A8" w:rsidRPr="0072678C" w:rsidRDefault="009368A8" w:rsidP="002E276E">
      <w:pPr>
        <w:jc w:val="both"/>
        <w:rPr>
          <w:rFonts w:asciiTheme="minorHAnsi" w:hAnsiTheme="minorHAnsi" w:cstheme="minorHAnsi"/>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5"/>
        <w:gridCol w:w="1984"/>
        <w:gridCol w:w="945"/>
        <w:gridCol w:w="803"/>
        <w:gridCol w:w="662"/>
      </w:tblGrid>
      <w:tr w:rsidR="009368A8" w:rsidRPr="0072678C" w:rsidTr="0056049A">
        <w:tc>
          <w:tcPr>
            <w:tcW w:w="4395" w:type="dxa"/>
            <w:vMerge w:val="restart"/>
            <w:shd w:val="clear" w:color="auto" w:fill="B4C6E7" w:themeFill="accent5" w:themeFillTint="66"/>
            <w:noWrap/>
            <w:vAlign w:val="bottom"/>
          </w:tcPr>
          <w:p w:rsidR="009368A8" w:rsidRPr="0072678C" w:rsidRDefault="009368A8" w:rsidP="009368A8">
            <w:pPr>
              <w:ind w:right="-1"/>
              <w:jc w:val="both"/>
              <w:rPr>
                <w:rFonts w:asciiTheme="minorHAnsi" w:hAnsiTheme="minorHAnsi" w:cstheme="minorHAnsi"/>
                <w:b/>
              </w:rPr>
            </w:pPr>
            <w:r w:rsidRPr="0072678C">
              <w:rPr>
                <w:rFonts w:asciiTheme="minorHAnsi" w:hAnsiTheme="minorHAnsi" w:cstheme="minorHAnsi"/>
                <w:b/>
                <w:bCs/>
                <w:sz w:val="22"/>
                <w:szCs w:val="22"/>
              </w:rPr>
              <w:t xml:space="preserve">AF 1. PLANEJAMENTO E EXECUÇÃO ORÇAMENTÁRIA: </w:t>
            </w:r>
            <w:r w:rsidRPr="0072678C">
              <w:rPr>
                <w:rFonts w:asciiTheme="minorHAnsi" w:hAnsiTheme="minorHAnsi" w:cstheme="minorHAnsi"/>
                <w:sz w:val="22"/>
                <w:szCs w:val="22"/>
              </w:rPr>
              <w:t>Planeja as ações governamentais e executa o orçamento de forma ordenada e previsível, com base em cenários macroeconômicos realistas, suportado por dispositivos de controle dos recursos públicos.</w:t>
            </w:r>
          </w:p>
        </w:tc>
        <w:tc>
          <w:tcPr>
            <w:tcW w:w="1984" w:type="dxa"/>
            <w:vMerge w:val="restart"/>
            <w:shd w:val="clear" w:color="auto" w:fill="B4C6E7" w:themeFill="accent5" w:themeFillTint="66"/>
            <w:noWrap/>
            <w:vAlign w:val="center"/>
          </w:tcPr>
          <w:p w:rsidR="009368A8" w:rsidRPr="0072678C" w:rsidRDefault="009368A8" w:rsidP="0056049A">
            <w:pPr>
              <w:ind w:right="-1"/>
              <w:jc w:val="center"/>
              <w:rPr>
                <w:rFonts w:asciiTheme="minorHAnsi" w:hAnsiTheme="minorHAnsi" w:cstheme="minorHAnsi"/>
                <w:b/>
              </w:rPr>
            </w:pPr>
            <w:r w:rsidRPr="0072678C">
              <w:rPr>
                <w:rFonts w:asciiTheme="minorHAnsi" w:hAnsiTheme="minorHAnsi" w:cstheme="minorHAnsi"/>
                <w:b/>
                <w:sz w:val="22"/>
                <w:szCs w:val="22"/>
              </w:rPr>
              <w:t>MATURIDADE</w:t>
            </w:r>
          </w:p>
        </w:tc>
        <w:tc>
          <w:tcPr>
            <w:tcW w:w="2410" w:type="dxa"/>
            <w:gridSpan w:val="3"/>
            <w:tcBorders>
              <w:bottom w:val="single" w:sz="4" w:space="0" w:color="auto"/>
            </w:tcBorders>
            <w:shd w:val="clear" w:color="auto" w:fill="B4C6E7" w:themeFill="accent5" w:themeFillTint="66"/>
          </w:tcPr>
          <w:p w:rsidR="009368A8" w:rsidRPr="0072678C" w:rsidRDefault="009368A8" w:rsidP="0056049A">
            <w:pPr>
              <w:ind w:right="-1"/>
              <w:jc w:val="center"/>
              <w:rPr>
                <w:rFonts w:asciiTheme="minorHAnsi" w:hAnsiTheme="minorHAnsi" w:cstheme="minorHAnsi"/>
                <w:b/>
              </w:rPr>
            </w:pPr>
            <w:r w:rsidRPr="0072678C">
              <w:rPr>
                <w:rFonts w:asciiTheme="minorHAnsi" w:hAnsiTheme="minorHAnsi" w:cstheme="minorHAnsi"/>
                <w:b/>
                <w:sz w:val="22"/>
                <w:szCs w:val="22"/>
              </w:rPr>
              <w:t>Pontuação</w:t>
            </w:r>
          </w:p>
        </w:tc>
      </w:tr>
      <w:tr w:rsidR="009368A8" w:rsidRPr="0072678C" w:rsidTr="002E2572">
        <w:tc>
          <w:tcPr>
            <w:tcW w:w="4395" w:type="dxa"/>
            <w:vMerge/>
            <w:shd w:val="clear" w:color="auto" w:fill="B4C6E7" w:themeFill="accent5" w:themeFillTint="66"/>
            <w:noWrap/>
            <w:vAlign w:val="bottom"/>
          </w:tcPr>
          <w:p w:rsidR="009368A8" w:rsidRPr="0072678C" w:rsidRDefault="009368A8" w:rsidP="0056049A">
            <w:pPr>
              <w:ind w:left="567" w:right="-1"/>
              <w:jc w:val="center"/>
              <w:rPr>
                <w:rFonts w:asciiTheme="minorHAnsi" w:hAnsiTheme="minorHAnsi" w:cstheme="minorHAnsi"/>
                <w:b/>
              </w:rPr>
            </w:pPr>
          </w:p>
        </w:tc>
        <w:tc>
          <w:tcPr>
            <w:tcW w:w="1984" w:type="dxa"/>
            <w:vMerge/>
            <w:tcBorders>
              <w:bottom w:val="single" w:sz="4" w:space="0" w:color="auto"/>
            </w:tcBorders>
            <w:shd w:val="clear" w:color="auto" w:fill="B4C6E7" w:themeFill="accent5" w:themeFillTint="66"/>
            <w:noWrap/>
            <w:vAlign w:val="bottom"/>
          </w:tcPr>
          <w:p w:rsidR="009368A8" w:rsidRPr="0072678C" w:rsidRDefault="009368A8" w:rsidP="0056049A">
            <w:pPr>
              <w:ind w:right="-1"/>
              <w:jc w:val="center"/>
              <w:rPr>
                <w:rFonts w:asciiTheme="minorHAnsi" w:hAnsiTheme="minorHAnsi" w:cstheme="minorHAnsi"/>
                <w:b/>
              </w:rPr>
            </w:pPr>
          </w:p>
        </w:tc>
        <w:tc>
          <w:tcPr>
            <w:tcW w:w="945" w:type="dxa"/>
            <w:tcBorders>
              <w:bottom w:val="single" w:sz="4" w:space="0" w:color="auto"/>
            </w:tcBorders>
            <w:shd w:val="clear" w:color="auto" w:fill="B4C6E7" w:themeFill="accent5" w:themeFillTint="66"/>
            <w:vAlign w:val="center"/>
          </w:tcPr>
          <w:p w:rsidR="009368A8" w:rsidRPr="0072678C" w:rsidRDefault="009368A8" w:rsidP="0056049A">
            <w:pPr>
              <w:jc w:val="center"/>
              <w:rPr>
                <w:rFonts w:asciiTheme="minorHAnsi" w:hAnsiTheme="minorHAnsi" w:cstheme="minorHAnsi"/>
                <w:b/>
              </w:rPr>
            </w:pPr>
            <w:r w:rsidRPr="0072678C">
              <w:rPr>
                <w:rFonts w:asciiTheme="minorHAnsi" w:hAnsiTheme="minorHAnsi" w:cstheme="minorHAnsi"/>
                <w:b/>
                <w:sz w:val="22"/>
                <w:szCs w:val="22"/>
              </w:rPr>
              <w:t>Máxima</w:t>
            </w:r>
          </w:p>
        </w:tc>
        <w:tc>
          <w:tcPr>
            <w:tcW w:w="803" w:type="dxa"/>
            <w:tcBorders>
              <w:bottom w:val="single" w:sz="4" w:space="0" w:color="auto"/>
            </w:tcBorders>
            <w:shd w:val="clear" w:color="auto" w:fill="B4C6E7" w:themeFill="accent5" w:themeFillTint="66"/>
            <w:vAlign w:val="center"/>
          </w:tcPr>
          <w:p w:rsidR="009368A8" w:rsidRPr="0072678C" w:rsidRDefault="009368A8" w:rsidP="0056049A">
            <w:pPr>
              <w:jc w:val="center"/>
              <w:rPr>
                <w:rFonts w:asciiTheme="minorHAnsi" w:hAnsiTheme="minorHAnsi" w:cstheme="minorHAnsi"/>
                <w:b/>
              </w:rPr>
            </w:pPr>
            <w:r w:rsidRPr="0072678C">
              <w:rPr>
                <w:rFonts w:asciiTheme="minorHAnsi" w:hAnsiTheme="minorHAnsi" w:cstheme="minorHAnsi"/>
                <w:b/>
                <w:sz w:val="22"/>
                <w:szCs w:val="22"/>
              </w:rPr>
              <w:t>Obtida</w:t>
            </w:r>
          </w:p>
        </w:tc>
        <w:tc>
          <w:tcPr>
            <w:tcW w:w="662" w:type="dxa"/>
            <w:tcBorders>
              <w:bottom w:val="single" w:sz="4" w:space="0" w:color="auto"/>
            </w:tcBorders>
            <w:shd w:val="clear" w:color="auto" w:fill="B4C6E7" w:themeFill="accent5" w:themeFillTint="66"/>
            <w:vAlign w:val="center"/>
          </w:tcPr>
          <w:p w:rsidR="009368A8" w:rsidRPr="0072678C" w:rsidRDefault="009368A8" w:rsidP="0056049A">
            <w:pPr>
              <w:jc w:val="center"/>
              <w:rPr>
                <w:rFonts w:asciiTheme="minorHAnsi" w:hAnsiTheme="minorHAnsi" w:cstheme="minorHAnsi"/>
                <w:b/>
              </w:rPr>
            </w:pPr>
            <w:r w:rsidRPr="0072678C">
              <w:rPr>
                <w:rFonts w:asciiTheme="minorHAnsi" w:hAnsiTheme="minorHAnsi" w:cstheme="minorHAnsi"/>
                <w:b/>
                <w:sz w:val="22"/>
                <w:szCs w:val="22"/>
              </w:rPr>
              <w:t>%</w:t>
            </w:r>
          </w:p>
        </w:tc>
      </w:tr>
      <w:tr w:rsidR="009368A8" w:rsidRPr="0072678C" w:rsidTr="00A6565C">
        <w:tc>
          <w:tcPr>
            <w:tcW w:w="4395" w:type="dxa"/>
            <w:vMerge/>
            <w:shd w:val="clear" w:color="auto" w:fill="auto"/>
            <w:noWrap/>
            <w:vAlign w:val="center"/>
            <w:hideMark/>
          </w:tcPr>
          <w:p w:rsidR="009368A8" w:rsidRPr="0072678C" w:rsidRDefault="009368A8" w:rsidP="00A6565C">
            <w:pPr>
              <w:jc w:val="center"/>
              <w:rPr>
                <w:rFonts w:ascii="Calibri" w:hAnsi="Calibri" w:cs="Calibri"/>
              </w:rPr>
            </w:pPr>
          </w:p>
        </w:tc>
        <w:tc>
          <w:tcPr>
            <w:tcW w:w="1984" w:type="dxa"/>
            <w:shd w:val="clear" w:color="auto" w:fill="auto"/>
            <w:noWrap/>
            <w:vAlign w:val="center"/>
            <w:hideMark/>
          </w:tcPr>
          <w:p w:rsidR="009368A8" w:rsidRPr="0072678C" w:rsidRDefault="009368A8" w:rsidP="00A6565C">
            <w:pPr>
              <w:jc w:val="center"/>
              <w:rPr>
                <w:rFonts w:ascii="Calibri" w:hAnsi="Calibri" w:cs="Calibri"/>
                <w:b/>
                <w:bCs/>
              </w:rPr>
            </w:pPr>
            <w:r w:rsidRPr="0072678C">
              <w:rPr>
                <w:rFonts w:ascii="Calibri" w:hAnsi="Calibri" w:cs="Calibri"/>
                <w:b/>
                <w:bCs/>
                <w:sz w:val="22"/>
                <w:szCs w:val="22"/>
              </w:rPr>
              <w:t>AVANÇADO (-)</w:t>
            </w:r>
          </w:p>
        </w:tc>
        <w:tc>
          <w:tcPr>
            <w:tcW w:w="945" w:type="dxa"/>
            <w:vAlign w:val="center"/>
          </w:tcPr>
          <w:p w:rsidR="009368A8" w:rsidRPr="0072678C" w:rsidRDefault="009368A8" w:rsidP="00A6565C">
            <w:pPr>
              <w:jc w:val="center"/>
              <w:rPr>
                <w:rFonts w:ascii="Calibri" w:hAnsi="Calibri" w:cs="Calibri"/>
              </w:rPr>
            </w:pPr>
            <w:r w:rsidRPr="0072678C">
              <w:rPr>
                <w:rFonts w:ascii="Calibri" w:hAnsi="Calibri" w:cs="Calibri"/>
                <w:sz w:val="22"/>
                <w:szCs w:val="22"/>
              </w:rPr>
              <w:t>21</w:t>
            </w:r>
          </w:p>
        </w:tc>
        <w:tc>
          <w:tcPr>
            <w:tcW w:w="803" w:type="dxa"/>
            <w:vAlign w:val="center"/>
          </w:tcPr>
          <w:p w:rsidR="009368A8" w:rsidRPr="0072678C" w:rsidRDefault="009368A8" w:rsidP="00A6565C">
            <w:pPr>
              <w:jc w:val="center"/>
              <w:rPr>
                <w:rFonts w:ascii="Calibri" w:hAnsi="Calibri" w:cs="Calibri"/>
              </w:rPr>
            </w:pPr>
            <w:r w:rsidRPr="0072678C">
              <w:rPr>
                <w:rFonts w:ascii="Calibri" w:hAnsi="Calibri" w:cs="Calibri"/>
                <w:sz w:val="22"/>
                <w:szCs w:val="22"/>
              </w:rPr>
              <w:t>18</w:t>
            </w:r>
          </w:p>
        </w:tc>
        <w:tc>
          <w:tcPr>
            <w:tcW w:w="662" w:type="dxa"/>
            <w:vAlign w:val="center"/>
          </w:tcPr>
          <w:p w:rsidR="009368A8" w:rsidRPr="0072678C" w:rsidRDefault="009368A8" w:rsidP="00A6565C">
            <w:pPr>
              <w:jc w:val="center"/>
              <w:rPr>
                <w:rFonts w:ascii="Calibri" w:hAnsi="Calibri" w:cs="Calibri"/>
              </w:rPr>
            </w:pPr>
            <w:r w:rsidRPr="0072678C">
              <w:rPr>
                <w:rFonts w:ascii="Calibri" w:hAnsi="Calibri" w:cs="Calibri"/>
                <w:sz w:val="22"/>
                <w:szCs w:val="22"/>
              </w:rPr>
              <w:t>86%</w:t>
            </w:r>
          </w:p>
        </w:tc>
      </w:tr>
    </w:tbl>
    <w:p w:rsidR="00C27CB7" w:rsidRPr="0072678C" w:rsidRDefault="00C27CB7" w:rsidP="002E276E">
      <w:pPr>
        <w:jc w:val="both"/>
        <w:rPr>
          <w:rFonts w:asciiTheme="minorHAnsi" w:hAnsiTheme="minorHAnsi" w:cstheme="minorHAnsi"/>
          <w:sz w:val="22"/>
          <w:szCs w:val="22"/>
        </w:rPr>
      </w:pPr>
    </w:p>
    <w:p w:rsidR="002E276E" w:rsidRPr="0072678C" w:rsidRDefault="002E276E" w:rsidP="002E276E">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 xml:space="preserve">planejamento </w:t>
      </w:r>
      <w:r w:rsidR="0056049A" w:rsidRPr="0072678C">
        <w:rPr>
          <w:rFonts w:asciiTheme="minorHAnsi" w:hAnsiTheme="minorHAnsi" w:cstheme="minorHAnsi"/>
          <w:b/>
          <w:bCs/>
          <w:i/>
          <w:iCs/>
          <w:sz w:val="22"/>
          <w:szCs w:val="22"/>
        </w:rPr>
        <w:t xml:space="preserve">e execução orçamentária </w:t>
      </w:r>
      <w:r w:rsidRPr="0072678C">
        <w:rPr>
          <w:rFonts w:asciiTheme="minorHAnsi" w:hAnsiTheme="minorHAnsi" w:cstheme="minorHAnsi"/>
          <w:b/>
          <w:bCs/>
          <w:i/>
          <w:iCs/>
          <w:sz w:val="22"/>
          <w:szCs w:val="22"/>
        </w:rPr>
        <w:t>da administração</w:t>
      </w:r>
      <w:r w:rsidR="0056049A" w:rsidRPr="0072678C">
        <w:rPr>
          <w:rFonts w:asciiTheme="minorHAnsi" w:hAnsiTheme="minorHAnsi" w:cstheme="minorHAnsi"/>
          <w:b/>
          <w:bCs/>
          <w:i/>
          <w:iCs/>
          <w:sz w:val="22"/>
          <w:szCs w:val="22"/>
        </w:rPr>
        <w:t xml:space="preserve"> </w:t>
      </w:r>
      <w:r w:rsidRPr="0072678C">
        <w:rPr>
          <w:rFonts w:asciiTheme="minorHAnsi" w:hAnsiTheme="minorHAnsi" w:cstheme="minorHAnsi"/>
          <w:b/>
          <w:bCs/>
          <w:i/>
          <w:iCs/>
          <w:sz w:val="22"/>
          <w:szCs w:val="22"/>
        </w:rPr>
        <w:t>pública estadual</w:t>
      </w:r>
      <w:r w:rsidRPr="0072678C">
        <w:rPr>
          <w:rFonts w:asciiTheme="minorHAnsi" w:hAnsiTheme="minorHAnsi" w:cstheme="minorHAnsi"/>
          <w:i/>
          <w:iCs/>
          <w:sz w:val="22"/>
          <w:szCs w:val="22"/>
        </w:rPr>
        <w:t xml:space="preserve"> ainda não e</w:t>
      </w:r>
      <w:r w:rsidRPr="0072678C">
        <w:rPr>
          <w:rFonts w:asciiTheme="minorHAnsi" w:hAnsiTheme="minorHAnsi" w:cstheme="minorHAnsi"/>
          <w:sz w:val="22"/>
          <w:szCs w:val="22"/>
        </w:rPr>
        <w:t xml:space="preserve">stá estruturado e orientado para resultados, </w:t>
      </w:r>
      <w:r w:rsidR="00942BE5" w:rsidRPr="0072678C">
        <w:rPr>
          <w:rFonts w:asciiTheme="minorHAnsi" w:hAnsiTheme="minorHAnsi" w:cstheme="minorHAnsi"/>
          <w:sz w:val="22"/>
          <w:szCs w:val="22"/>
        </w:rPr>
        <w:t xml:space="preserve">com </w:t>
      </w:r>
      <w:r w:rsidRPr="0072678C">
        <w:rPr>
          <w:rFonts w:asciiTheme="minorHAnsi" w:hAnsiTheme="minorHAnsi" w:cstheme="minorHAnsi"/>
          <w:sz w:val="22"/>
          <w:szCs w:val="22"/>
        </w:rPr>
        <w:t>objetivos, estratégias, indicadores, metas e prioridades de longo e médio prazos; e não elabora cenário fiscal prospectivo e</w:t>
      </w:r>
      <w:r w:rsidR="00942BE5" w:rsidRPr="0072678C">
        <w:rPr>
          <w:rFonts w:asciiTheme="minorHAnsi" w:hAnsiTheme="minorHAnsi" w:cstheme="minorHAnsi"/>
          <w:sz w:val="22"/>
          <w:szCs w:val="22"/>
        </w:rPr>
        <w:t xml:space="preserve"> nem </w:t>
      </w:r>
      <w:r w:rsidRPr="0072678C">
        <w:rPr>
          <w:rFonts w:asciiTheme="minorHAnsi" w:hAnsiTheme="minorHAnsi" w:cstheme="minorHAnsi"/>
          <w:sz w:val="22"/>
          <w:szCs w:val="22"/>
        </w:rPr>
        <w:t>indica como a estratégia de longo prazo se coaduna com os princípios da gestão fiscal responsável</w:t>
      </w:r>
      <w:r w:rsidR="00783316" w:rsidRPr="0072678C">
        <w:rPr>
          <w:rFonts w:asciiTheme="minorHAnsi" w:hAnsiTheme="minorHAnsi" w:cstheme="minorHAnsi"/>
          <w:sz w:val="22"/>
          <w:szCs w:val="22"/>
        </w:rPr>
        <w:t>.</w:t>
      </w:r>
    </w:p>
    <w:p w:rsidR="002E276E" w:rsidRPr="0072678C" w:rsidRDefault="002E276E" w:rsidP="002E276E">
      <w:pPr>
        <w:jc w:val="both"/>
        <w:rPr>
          <w:rFonts w:asciiTheme="minorHAnsi" w:hAnsiTheme="minorHAnsi" w:cstheme="minorHAnsi"/>
          <w:sz w:val="22"/>
          <w:szCs w:val="22"/>
        </w:rPr>
      </w:pPr>
    </w:p>
    <w:p w:rsidR="00783316" w:rsidRPr="0072678C" w:rsidRDefault="00783316" w:rsidP="002E276E">
      <w:pPr>
        <w:jc w:val="both"/>
        <w:rPr>
          <w:rFonts w:asciiTheme="minorHAnsi" w:hAnsiTheme="minorHAnsi" w:cstheme="minorHAnsi"/>
          <w:sz w:val="22"/>
          <w:szCs w:val="22"/>
        </w:rPr>
      </w:pPr>
      <w:r w:rsidRPr="0072678C">
        <w:rPr>
          <w:rFonts w:asciiTheme="minorHAnsi" w:hAnsiTheme="minorHAnsi" w:cstheme="minorHAnsi"/>
          <w:sz w:val="22"/>
          <w:szCs w:val="22"/>
        </w:rPr>
        <w:lastRenderedPageBreak/>
        <w:t xml:space="preserve">No que se refere ao processo </w:t>
      </w:r>
      <w:r w:rsidRPr="0072678C">
        <w:rPr>
          <w:rFonts w:asciiTheme="minorHAnsi" w:hAnsiTheme="minorHAnsi" w:cstheme="minorHAnsi"/>
          <w:b/>
          <w:bCs/>
          <w:i/>
          <w:iCs/>
          <w:sz w:val="22"/>
          <w:szCs w:val="22"/>
        </w:rPr>
        <w:t>gestão dos investimentos públicos</w:t>
      </w:r>
      <w:r w:rsidRPr="0072678C">
        <w:rPr>
          <w:rFonts w:asciiTheme="minorHAnsi" w:hAnsiTheme="minorHAnsi" w:cstheme="minorHAnsi"/>
          <w:b/>
          <w:bCs/>
          <w:sz w:val="22"/>
          <w:szCs w:val="22"/>
        </w:rPr>
        <w:t xml:space="preserve"> </w:t>
      </w:r>
      <w:r w:rsidRPr="0072678C">
        <w:rPr>
          <w:rFonts w:asciiTheme="minorHAnsi" w:hAnsiTheme="minorHAnsi" w:cstheme="minorHAnsi"/>
          <w:b/>
          <w:bCs/>
          <w:i/>
          <w:iCs/>
          <w:sz w:val="22"/>
          <w:szCs w:val="22"/>
        </w:rPr>
        <w:t>estaduais</w:t>
      </w:r>
      <w:r w:rsidRPr="0072678C">
        <w:rPr>
          <w:rFonts w:asciiTheme="minorHAnsi" w:hAnsiTheme="minorHAnsi" w:cstheme="minorHAnsi"/>
          <w:b/>
          <w:bCs/>
          <w:sz w:val="22"/>
          <w:szCs w:val="22"/>
        </w:rPr>
        <w:t xml:space="preserve"> </w:t>
      </w:r>
      <w:r w:rsidRPr="0072678C">
        <w:rPr>
          <w:rFonts w:asciiTheme="minorHAnsi" w:hAnsiTheme="minorHAnsi" w:cstheme="minorHAnsi"/>
          <w:sz w:val="22"/>
          <w:szCs w:val="22"/>
        </w:rPr>
        <w:t xml:space="preserve">a SEFAZ/SP deverá inclui em um banco de projetos as iniciativas aprovadas, com informações </w:t>
      </w:r>
      <w:proofErr w:type="spellStart"/>
      <w:r w:rsidRPr="0072678C">
        <w:rPr>
          <w:rFonts w:asciiTheme="minorHAnsi" w:hAnsiTheme="minorHAnsi" w:cstheme="minorHAnsi"/>
          <w:sz w:val="22"/>
          <w:szCs w:val="22"/>
        </w:rPr>
        <w:t>georeferenciadas</w:t>
      </w:r>
      <w:proofErr w:type="spellEnd"/>
      <w:r w:rsidRPr="0072678C">
        <w:rPr>
          <w:rFonts w:asciiTheme="minorHAnsi" w:hAnsiTheme="minorHAnsi" w:cstheme="minorHAnsi"/>
          <w:sz w:val="22"/>
          <w:szCs w:val="22"/>
        </w:rPr>
        <w:t xml:space="preserve">, cronograma físico-financeiro da execução, responsável e custo do investimento; garantir que os projetos de investimento inseridos no orçamento constem em um banco de projetos, oferecendo maior embasamento técnico à peça orçamentária; </w:t>
      </w:r>
      <w:r w:rsidR="00942BE5" w:rsidRPr="0072678C">
        <w:rPr>
          <w:rFonts w:asciiTheme="minorHAnsi" w:hAnsiTheme="minorHAnsi" w:cstheme="minorHAnsi"/>
          <w:sz w:val="22"/>
          <w:szCs w:val="22"/>
        </w:rPr>
        <w:t xml:space="preserve">também deverá </w:t>
      </w:r>
      <w:r w:rsidRPr="0072678C">
        <w:rPr>
          <w:rFonts w:asciiTheme="minorHAnsi" w:hAnsiTheme="minorHAnsi" w:cstheme="minorHAnsi"/>
          <w:sz w:val="22"/>
          <w:szCs w:val="22"/>
        </w:rPr>
        <w:t>disponibilizar o acesso público, em meio eletrônico, para fins de consulta, às informações registradas no banco de projetos.</w:t>
      </w:r>
    </w:p>
    <w:p w:rsidR="00783316" w:rsidRPr="0072678C" w:rsidRDefault="00783316" w:rsidP="002E276E">
      <w:pPr>
        <w:jc w:val="both"/>
        <w:rPr>
          <w:rFonts w:asciiTheme="minorHAnsi" w:hAnsiTheme="minorHAnsi" w:cstheme="minorHAnsi"/>
          <w:sz w:val="22"/>
          <w:szCs w:val="22"/>
        </w:rPr>
      </w:pPr>
    </w:p>
    <w:p w:rsidR="00783316" w:rsidRPr="0072678C" w:rsidRDefault="00783316" w:rsidP="002E276E">
      <w:pPr>
        <w:jc w:val="both"/>
        <w:rPr>
          <w:rFonts w:asciiTheme="minorHAnsi" w:hAnsiTheme="minorHAnsi" w:cstheme="minorHAnsi"/>
          <w:sz w:val="22"/>
          <w:szCs w:val="22"/>
        </w:rPr>
      </w:pPr>
      <w:r w:rsidRPr="0072678C">
        <w:rPr>
          <w:rFonts w:asciiTheme="minorHAnsi" w:hAnsiTheme="minorHAnsi" w:cstheme="minorHAnsi"/>
          <w:sz w:val="22"/>
          <w:szCs w:val="22"/>
        </w:rPr>
        <w:t xml:space="preserve">As </w:t>
      </w:r>
      <w:r w:rsidRPr="0072678C">
        <w:rPr>
          <w:rFonts w:asciiTheme="minorHAnsi" w:hAnsiTheme="minorHAnsi" w:cstheme="minorHAnsi"/>
          <w:b/>
          <w:bCs/>
          <w:i/>
          <w:iCs/>
          <w:sz w:val="22"/>
          <w:szCs w:val="22"/>
        </w:rPr>
        <w:t>previsões fiscais</w:t>
      </w:r>
      <w:r w:rsidRPr="0072678C">
        <w:rPr>
          <w:rFonts w:asciiTheme="minorHAnsi" w:hAnsiTheme="minorHAnsi" w:cstheme="minorHAnsi"/>
          <w:sz w:val="22"/>
          <w:szCs w:val="22"/>
        </w:rPr>
        <w:t xml:space="preserve"> deverão ser submetidas à avaliação por instituição de auditoria não vinculada a qualquer esfera do poder público.</w:t>
      </w:r>
    </w:p>
    <w:p w:rsidR="00783316" w:rsidRPr="0072678C" w:rsidRDefault="00783316" w:rsidP="002E276E">
      <w:pPr>
        <w:jc w:val="both"/>
        <w:rPr>
          <w:rFonts w:asciiTheme="minorHAnsi" w:hAnsiTheme="minorHAnsi" w:cstheme="minorHAnsi"/>
          <w:sz w:val="22"/>
          <w:szCs w:val="22"/>
        </w:rPr>
      </w:pPr>
      <w:r w:rsidRPr="0072678C">
        <w:rPr>
          <w:rFonts w:asciiTheme="minorHAnsi" w:hAnsiTheme="minorHAnsi" w:cstheme="minorHAnsi"/>
          <w:sz w:val="22"/>
          <w:szCs w:val="22"/>
        </w:rPr>
        <w:t xml:space="preserve"> </w:t>
      </w:r>
    </w:p>
    <w:p w:rsidR="00783316" w:rsidRPr="0072678C" w:rsidRDefault="00783316" w:rsidP="002E276E">
      <w:pPr>
        <w:jc w:val="both"/>
        <w:rPr>
          <w:rFonts w:asciiTheme="minorHAnsi" w:hAnsiTheme="minorHAnsi" w:cstheme="minorHAnsi"/>
          <w:sz w:val="22"/>
          <w:szCs w:val="22"/>
        </w:rPr>
      </w:pPr>
      <w:r w:rsidRPr="0072678C">
        <w:rPr>
          <w:rFonts w:asciiTheme="minorHAnsi" w:hAnsiTheme="minorHAnsi" w:cstheme="minorHAnsi"/>
          <w:sz w:val="22"/>
          <w:szCs w:val="22"/>
        </w:rPr>
        <w:t xml:space="preserve">As </w:t>
      </w:r>
      <w:r w:rsidRPr="0072678C">
        <w:rPr>
          <w:rFonts w:asciiTheme="minorHAnsi" w:hAnsiTheme="minorHAnsi" w:cstheme="minorHAnsi"/>
          <w:b/>
          <w:bCs/>
          <w:i/>
          <w:iCs/>
          <w:sz w:val="22"/>
          <w:szCs w:val="22"/>
        </w:rPr>
        <w:t>práticas orçamentárias</w:t>
      </w:r>
      <w:r w:rsidRPr="0072678C">
        <w:rPr>
          <w:rFonts w:asciiTheme="minorHAnsi" w:hAnsiTheme="minorHAnsi" w:cstheme="minorHAnsi"/>
          <w:sz w:val="22"/>
          <w:szCs w:val="22"/>
        </w:rPr>
        <w:t xml:space="preserve"> devem divulgar os programas de investimento do plano plurianual, com desagregação em nível de projeto e análises de custo-benefício.</w:t>
      </w:r>
    </w:p>
    <w:p w:rsidR="00B47E5F" w:rsidRPr="0072678C" w:rsidRDefault="00B47E5F" w:rsidP="002E276E">
      <w:pPr>
        <w:jc w:val="both"/>
        <w:rPr>
          <w:rFonts w:asciiTheme="minorHAnsi" w:hAnsiTheme="minorHAnsi" w:cstheme="minorHAnsi"/>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5"/>
        <w:gridCol w:w="1984"/>
        <w:gridCol w:w="945"/>
        <w:gridCol w:w="803"/>
        <w:gridCol w:w="662"/>
      </w:tblGrid>
      <w:tr w:rsidR="009368A8" w:rsidRPr="0072678C" w:rsidTr="0056049A">
        <w:tc>
          <w:tcPr>
            <w:tcW w:w="4395" w:type="dxa"/>
            <w:vMerge w:val="restart"/>
            <w:shd w:val="clear" w:color="auto" w:fill="B4C6E7" w:themeFill="accent5" w:themeFillTint="66"/>
            <w:noWrap/>
            <w:vAlign w:val="bottom"/>
          </w:tcPr>
          <w:p w:rsidR="009368A8" w:rsidRPr="0072678C" w:rsidRDefault="009368A8" w:rsidP="00F451B6">
            <w:pPr>
              <w:ind w:right="-1"/>
              <w:jc w:val="both"/>
              <w:rPr>
                <w:rFonts w:asciiTheme="minorHAnsi" w:hAnsiTheme="minorHAnsi" w:cstheme="minorHAnsi"/>
                <w:b/>
              </w:rPr>
            </w:pPr>
            <w:r w:rsidRPr="0072678C">
              <w:rPr>
                <w:rFonts w:asciiTheme="minorHAnsi" w:hAnsiTheme="minorHAnsi" w:cstheme="minorHAnsi"/>
                <w:b/>
                <w:bCs/>
                <w:sz w:val="22"/>
                <w:szCs w:val="22"/>
              </w:rPr>
              <w:t>AF 2. POLÍTICAS, PROGRAMAÇÃO E EXECUÇÃO FINANCEIRA</w:t>
            </w:r>
            <w:r w:rsidR="00F451B6" w:rsidRPr="0072678C">
              <w:rPr>
                <w:rFonts w:asciiTheme="minorHAnsi" w:hAnsiTheme="minorHAnsi" w:cstheme="minorHAnsi"/>
                <w:b/>
                <w:bCs/>
                <w:sz w:val="22"/>
                <w:szCs w:val="22"/>
              </w:rPr>
              <w:t xml:space="preserve">: </w:t>
            </w:r>
            <w:r w:rsidR="00F451B6" w:rsidRPr="0072678C">
              <w:rPr>
                <w:rFonts w:asciiTheme="minorHAnsi" w:hAnsiTheme="minorHAnsi" w:cstheme="minorHAnsi"/>
                <w:bCs/>
                <w:sz w:val="22"/>
                <w:szCs w:val="22"/>
              </w:rPr>
              <w:t>D</w:t>
            </w:r>
            <w:r w:rsidRPr="0072678C">
              <w:rPr>
                <w:rFonts w:asciiTheme="minorHAnsi" w:hAnsiTheme="minorHAnsi" w:cstheme="minorHAnsi"/>
                <w:sz w:val="22"/>
                <w:szCs w:val="22"/>
              </w:rPr>
              <w:t>efine e avalia políticas e executa os recursos financeiros com foco na eficiência</w:t>
            </w:r>
          </w:p>
        </w:tc>
        <w:tc>
          <w:tcPr>
            <w:tcW w:w="1984" w:type="dxa"/>
            <w:vMerge w:val="restart"/>
            <w:shd w:val="clear" w:color="auto" w:fill="B4C6E7" w:themeFill="accent5" w:themeFillTint="66"/>
            <w:noWrap/>
            <w:vAlign w:val="center"/>
          </w:tcPr>
          <w:p w:rsidR="009368A8" w:rsidRPr="0072678C" w:rsidRDefault="009368A8" w:rsidP="0056049A">
            <w:pPr>
              <w:ind w:right="-1"/>
              <w:jc w:val="center"/>
              <w:rPr>
                <w:rFonts w:asciiTheme="minorHAnsi" w:hAnsiTheme="minorHAnsi" w:cstheme="minorHAnsi"/>
                <w:b/>
              </w:rPr>
            </w:pPr>
            <w:r w:rsidRPr="0072678C">
              <w:rPr>
                <w:rFonts w:asciiTheme="minorHAnsi" w:hAnsiTheme="minorHAnsi" w:cstheme="minorHAnsi"/>
                <w:b/>
                <w:sz w:val="22"/>
                <w:szCs w:val="22"/>
              </w:rPr>
              <w:t>MATURIDADE</w:t>
            </w:r>
          </w:p>
        </w:tc>
        <w:tc>
          <w:tcPr>
            <w:tcW w:w="2410" w:type="dxa"/>
            <w:gridSpan w:val="3"/>
            <w:tcBorders>
              <w:bottom w:val="single" w:sz="4" w:space="0" w:color="auto"/>
            </w:tcBorders>
            <w:shd w:val="clear" w:color="auto" w:fill="B4C6E7" w:themeFill="accent5" w:themeFillTint="66"/>
          </w:tcPr>
          <w:p w:rsidR="009368A8" w:rsidRPr="0072678C" w:rsidRDefault="009368A8" w:rsidP="0056049A">
            <w:pPr>
              <w:ind w:right="-1"/>
              <w:jc w:val="center"/>
              <w:rPr>
                <w:rFonts w:asciiTheme="minorHAnsi" w:hAnsiTheme="minorHAnsi" w:cstheme="minorHAnsi"/>
                <w:b/>
              </w:rPr>
            </w:pPr>
            <w:r w:rsidRPr="0072678C">
              <w:rPr>
                <w:rFonts w:asciiTheme="minorHAnsi" w:hAnsiTheme="minorHAnsi" w:cstheme="minorHAnsi"/>
                <w:b/>
                <w:sz w:val="22"/>
                <w:szCs w:val="22"/>
              </w:rPr>
              <w:t>Pontuação</w:t>
            </w:r>
          </w:p>
        </w:tc>
      </w:tr>
      <w:tr w:rsidR="009368A8" w:rsidRPr="0072678C" w:rsidTr="002E2572">
        <w:tc>
          <w:tcPr>
            <w:tcW w:w="4395" w:type="dxa"/>
            <w:vMerge/>
            <w:shd w:val="clear" w:color="auto" w:fill="B4C6E7" w:themeFill="accent5" w:themeFillTint="66"/>
            <w:noWrap/>
            <w:vAlign w:val="bottom"/>
          </w:tcPr>
          <w:p w:rsidR="009368A8" w:rsidRPr="0072678C" w:rsidRDefault="009368A8" w:rsidP="0056049A">
            <w:pPr>
              <w:ind w:left="567" w:right="-1"/>
              <w:jc w:val="center"/>
              <w:rPr>
                <w:rFonts w:asciiTheme="minorHAnsi" w:hAnsiTheme="minorHAnsi" w:cstheme="minorHAnsi"/>
                <w:b/>
              </w:rPr>
            </w:pPr>
          </w:p>
        </w:tc>
        <w:tc>
          <w:tcPr>
            <w:tcW w:w="1984" w:type="dxa"/>
            <w:vMerge/>
            <w:tcBorders>
              <w:bottom w:val="single" w:sz="4" w:space="0" w:color="auto"/>
            </w:tcBorders>
            <w:shd w:val="clear" w:color="auto" w:fill="B4C6E7" w:themeFill="accent5" w:themeFillTint="66"/>
            <w:noWrap/>
            <w:vAlign w:val="bottom"/>
          </w:tcPr>
          <w:p w:rsidR="009368A8" w:rsidRPr="0072678C" w:rsidRDefault="009368A8" w:rsidP="0056049A">
            <w:pPr>
              <w:ind w:right="-1"/>
              <w:jc w:val="center"/>
              <w:rPr>
                <w:rFonts w:asciiTheme="minorHAnsi" w:hAnsiTheme="minorHAnsi" w:cstheme="minorHAnsi"/>
                <w:b/>
              </w:rPr>
            </w:pPr>
          </w:p>
        </w:tc>
        <w:tc>
          <w:tcPr>
            <w:tcW w:w="945" w:type="dxa"/>
            <w:tcBorders>
              <w:bottom w:val="single" w:sz="4" w:space="0" w:color="auto"/>
            </w:tcBorders>
            <w:shd w:val="clear" w:color="auto" w:fill="B4C6E7" w:themeFill="accent5" w:themeFillTint="66"/>
            <w:vAlign w:val="center"/>
          </w:tcPr>
          <w:p w:rsidR="009368A8" w:rsidRPr="0072678C" w:rsidRDefault="009368A8" w:rsidP="0056049A">
            <w:pPr>
              <w:jc w:val="center"/>
              <w:rPr>
                <w:rFonts w:asciiTheme="minorHAnsi" w:hAnsiTheme="minorHAnsi" w:cstheme="minorHAnsi"/>
                <w:b/>
              </w:rPr>
            </w:pPr>
            <w:r w:rsidRPr="0072678C">
              <w:rPr>
                <w:rFonts w:asciiTheme="minorHAnsi" w:hAnsiTheme="minorHAnsi" w:cstheme="minorHAnsi"/>
                <w:b/>
                <w:sz w:val="22"/>
                <w:szCs w:val="22"/>
              </w:rPr>
              <w:t>Máxima</w:t>
            </w:r>
          </w:p>
        </w:tc>
        <w:tc>
          <w:tcPr>
            <w:tcW w:w="803" w:type="dxa"/>
            <w:tcBorders>
              <w:bottom w:val="single" w:sz="4" w:space="0" w:color="auto"/>
            </w:tcBorders>
            <w:shd w:val="clear" w:color="auto" w:fill="B4C6E7" w:themeFill="accent5" w:themeFillTint="66"/>
            <w:vAlign w:val="center"/>
          </w:tcPr>
          <w:p w:rsidR="009368A8" w:rsidRPr="0072678C" w:rsidRDefault="009368A8" w:rsidP="0056049A">
            <w:pPr>
              <w:jc w:val="center"/>
              <w:rPr>
                <w:rFonts w:asciiTheme="minorHAnsi" w:hAnsiTheme="minorHAnsi" w:cstheme="minorHAnsi"/>
                <w:b/>
              </w:rPr>
            </w:pPr>
            <w:r w:rsidRPr="0072678C">
              <w:rPr>
                <w:rFonts w:asciiTheme="minorHAnsi" w:hAnsiTheme="minorHAnsi" w:cstheme="minorHAnsi"/>
                <w:b/>
                <w:sz w:val="22"/>
                <w:szCs w:val="22"/>
              </w:rPr>
              <w:t>Obtida</w:t>
            </w:r>
          </w:p>
        </w:tc>
        <w:tc>
          <w:tcPr>
            <w:tcW w:w="662" w:type="dxa"/>
            <w:tcBorders>
              <w:bottom w:val="single" w:sz="4" w:space="0" w:color="auto"/>
            </w:tcBorders>
            <w:shd w:val="clear" w:color="auto" w:fill="B4C6E7" w:themeFill="accent5" w:themeFillTint="66"/>
            <w:vAlign w:val="center"/>
          </w:tcPr>
          <w:p w:rsidR="009368A8" w:rsidRPr="0072678C" w:rsidRDefault="009368A8" w:rsidP="0056049A">
            <w:pPr>
              <w:jc w:val="center"/>
              <w:rPr>
                <w:rFonts w:asciiTheme="minorHAnsi" w:hAnsiTheme="minorHAnsi" w:cstheme="minorHAnsi"/>
                <w:b/>
              </w:rPr>
            </w:pPr>
            <w:r w:rsidRPr="0072678C">
              <w:rPr>
                <w:rFonts w:asciiTheme="minorHAnsi" w:hAnsiTheme="minorHAnsi" w:cstheme="minorHAnsi"/>
                <w:b/>
                <w:sz w:val="22"/>
                <w:szCs w:val="22"/>
              </w:rPr>
              <w:t>%</w:t>
            </w:r>
          </w:p>
        </w:tc>
      </w:tr>
      <w:tr w:rsidR="009368A8" w:rsidRPr="0072678C" w:rsidTr="00B47E5F">
        <w:tc>
          <w:tcPr>
            <w:tcW w:w="4395" w:type="dxa"/>
            <w:vMerge/>
            <w:shd w:val="clear" w:color="auto" w:fill="auto"/>
            <w:noWrap/>
            <w:vAlign w:val="center"/>
            <w:hideMark/>
          </w:tcPr>
          <w:p w:rsidR="009368A8" w:rsidRPr="0072678C" w:rsidRDefault="009368A8" w:rsidP="00B47E5F">
            <w:pPr>
              <w:jc w:val="center"/>
              <w:rPr>
                <w:rFonts w:ascii="Calibri" w:hAnsi="Calibri" w:cs="Calibri"/>
              </w:rPr>
            </w:pPr>
          </w:p>
        </w:tc>
        <w:tc>
          <w:tcPr>
            <w:tcW w:w="1984" w:type="dxa"/>
            <w:shd w:val="clear" w:color="auto" w:fill="auto"/>
            <w:noWrap/>
            <w:vAlign w:val="center"/>
            <w:hideMark/>
          </w:tcPr>
          <w:p w:rsidR="009368A8" w:rsidRPr="0072678C" w:rsidRDefault="009368A8" w:rsidP="00B47E5F">
            <w:pPr>
              <w:jc w:val="center"/>
              <w:rPr>
                <w:rFonts w:ascii="Calibri" w:hAnsi="Calibri" w:cs="Calibri"/>
                <w:b/>
                <w:bCs/>
              </w:rPr>
            </w:pPr>
            <w:r w:rsidRPr="0072678C">
              <w:rPr>
                <w:rFonts w:ascii="Calibri" w:hAnsi="Calibri" w:cs="Calibri"/>
                <w:b/>
                <w:bCs/>
                <w:sz w:val="22"/>
                <w:szCs w:val="22"/>
              </w:rPr>
              <w:t>AVANÇADO (+)</w:t>
            </w:r>
          </w:p>
        </w:tc>
        <w:tc>
          <w:tcPr>
            <w:tcW w:w="945" w:type="dxa"/>
            <w:vAlign w:val="center"/>
          </w:tcPr>
          <w:p w:rsidR="009368A8" w:rsidRPr="0072678C" w:rsidRDefault="009368A8" w:rsidP="00B47E5F">
            <w:pPr>
              <w:jc w:val="center"/>
              <w:rPr>
                <w:rFonts w:ascii="Calibri" w:hAnsi="Calibri" w:cs="Calibri"/>
              </w:rPr>
            </w:pPr>
            <w:r w:rsidRPr="0072678C">
              <w:rPr>
                <w:rFonts w:ascii="Calibri" w:hAnsi="Calibri" w:cs="Calibri"/>
                <w:sz w:val="22"/>
                <w:szCs w:val="22"/>
              </w:rPr>
              <w:t>18</w:t>
            </w:r>
          </w:p>
        </w:tc>
        <w:tc>
          <w:tcPr>
            <w:tcW w:w="803" w:type="dxa"/>
            <w:vAlign w:val="center"/>
          </w:tcPr>
          <w:p w:rsidR="009368A8" w:rsidRPr="0072678C" w:rsidRDefault="009368A8" w:rsidP="00B47E5F">
            <w:pPr>
              <w:jc w:val="center"/>
              <w:rPr>
                <w:rFonts w:ascii="Calibri" w:hAnsi="Calibri" w:cs="Calibri"/>
              </w:rPr>
            </w:pPr>
            <w:r w:rsidRPr="0072678C">
              <w:rPr>
                <w:rFonts w:ascii="Calibri" w:hAnsi="Calibri" w:cs="Calibri"/>
                <w:sz w:val="22"/>
                <w:szCs w:val="22"/>
              </w:rPr>
              <w:t>17</w:t>
            </w:r>
          </w:p>
        </w:tc>
        <w:tc>
          <w:tcPr>
            <w:tcW w:w="662" w:type="dxa"/>
            <w:vAlign w:val="center"/>
          </w:tcPr>
          <w:p w:rsidR="009368A8" w:rsidRPr="0072678C" w:rsidRDefault="009368A8" w:rsidP="00B47E5F">
            <w:pPr>
              <w:jc w:val="center"/>
              <w:rPr>
                <w:rFonts w:ascii="Calibri" w:hAnsi="Calibri" w:cs="Calibri"/>
              </w:rPr>
            </w:pPr>
            <w:r w:rsidRPr="0072678C">
              <w:rPr>
                <w:rFonts w:ascii="Calibri" w:hAnsi="Calibri" w:cs="Calibri"/>
                <w:sz w:val="22"/>
                <w:szCs w:val="22"/>
              </w:rPr>
              <w:t>94%</w:t>
            </w:r>
          </w:p>
        </w:tc>
      </w:tr>
    </w:tbl>
    <w:p w:rsidR="002E2572" w:rsidRPr="0072678C" w:rsidRDefault="002E2572" w:rsidP="002E2572">
      <w:pPr>
        <w:rPr>
          <w:rFonts w:asciiTheme="minorHAnsi" w:hAnsiTheme="minorHAnsi" w:cstheme="minorHAnsi"/>
          <w:b/>
          <w:sz w:val="22"/>
          <w:szCs w:val="22"/>
        </w:rPr>
      </w:pPr>
    </w:p>
    <w:p w:rsidR="0059698B" w:rsidRPr="0072678C" w:rsidRDefault="0059698B" w:rsidP="0059698B">
      <w:pPr>
        <w:jc w:val="both"/>
        <w:rPr>
          <w:rFonts w:asciiTheme="minorHAnsi" w:hAnsiTheme="minorHAnsi" w:cstheme="minorHAnsi"/>
          <w:sz w:val="22"/>
          <w:szCs w:val="22"/>
        </w:rPr>
      </w:pPr>
      <w:r w:rsidRPr="0072678C">
        <w:rPr>
          <w:rFonts w:asciiTheme="minorHAnsi" w:hAnsiTheme="minorHAnsi" w:cstheme="minorHAnsi"/>
          <w:sz w:val="22"/>
          <w:szCs w:val="22"/>
        </w:rPr>
        <w:t xml:space="preserve">O processo de </w:t>
      </w:r>
      <w:r w:rsidRPr="0072678C">
        <w:rPr>
          <w:rFonts w:asciiTheme="minorHAnsi" w:hAnsiTheme="minorHAnsi" w:cstheme="minorHAnsi"/>
          <w:b/>
          <w:bCs/>
          <w:i/>
          <w:iCs/>
          <w:sz w:val="22"/>
          <w:szCs w:val="22"/>
        </w:rPr>
        <w:t>formulação e a avaliação de políticas fiscais na área financeira</w:t>
      </w:r>
      <w:r w:rsidRPr="0072678C">
        <w:rPr>
          <w:rFonts w:asciiTheme="minorHAnsi" w:hAnsiTheme="minorHAnsi" w:cstheme="minorHAnsi"/>
          <w:b/>
          <w:bCs/>
          <w:sz w:val="22"/>
          <w:szCs w:val="22"/>
        </w:rPr>
        <w:t xml:space="preserve"> </w:t>
      </w:r>
      <w:r w:rsidRPr="0072678C">
        <w:rPr>
          <w:rFonts w:asciiTheme="minorHAnsi" w:hAnsiTheme="minorHAnsi" w:cstheme="minorHAnsi"/>
          <w:sz w:val="22"/>
          <w:szCs w:val="22"/>
        </w:rPr>
        <w:t xml:space="preserve">não realiza estudos econômico-financeiros e avaliações de impacto para subsidiar a formulação das políticas fiscais, considerando diferentes cenários. Não define indicadores que permitam a mensuração do desempenho consoante aos propósitos e resultados da política formulada; não coleta informações de desempenho que permitem comparações com padrões nacionais </w:t>
      </w:r>
      <w:proofErr w:type="gramStart"/>
      <w:r w:rsidRPr="0072678C">
        <w:rPr>
          <w:rFonts w:asciiTheme="minorHAnsi" w:hAnsiTheme="minorHAnsi" w:cstheme="minorHAnsi"/>
          <w:sz w:val="22"/>
          <w:szCs w:val="22"/>
        </w:rPr>
        <w:t>e  indicadores</w:t>
      </w:r>
      <w:proofErr w:type="gramEnd"/>
      <w:r w:rsidRPr="0072678C">
        <w:rPr>
          <w:rFonts w:asciiTheme="minorHAnsi" w:hAnsiTheme="minorHAnsi" w:cstheme="minorHAnsi"/>
          <w:sz w:val="22"/>
          <w:szCs w:val="22"/>
        </w:rPr>
        <w:t xml:space="preserve"> correlatos observados; e não disponibiliza as informações sobre as políticas e os seus resultados de forma acessível, quanto à terminologia utilizada, por meio eletrônico </w:t>
      </w:r>
    </w:p>
    <w:p w:rsidR="0059698B" w:rsidRPr="0072678C" w:rsidRDefault="0059698B" w:rsidP="002E2572">
      <w:pPr>
        <w:rPr>
          <w:rFonts w:asciiTheme="minorHAnsi" w:hAnsiTheme="minorHAnsi" w:cstheme="minorHAnsi"/>
          <w:b/>
          <w:sz w:val="22"/>
          <w:szCs w:val="22"/>
        </w:rPr>
      </w:pPr>
    </w:p>
    <w:p w:rsidR="0059698B" w:rsidRPr="0072678C" w:rsidRDefault="0059698B">
      <w:pPr>
        <w:rPr>
          <w:rFonts w:asciiTheme="minorHAnsi" w:hAnsiTheme="minorHAnsi" w:cstheme="minorHAnsi"/>
          <w:sz w:val="22"/>
          <w:szCs w:val="22"/>
        </w:rPr>
      </w:pPr>
      <w:r w:rsidRPr="0072678C">
        <w:rPr>
          <w:rFonts w:asciiTheme="minorHAnsi" w:hAnsiTheme="minorHAnsi" w:cstheme="minorHAnsi"/>
          <w:sz w:val="22"/>
          <w:szCs w:val="22"/>
        </w:rPr>
        <w:t xml:space="preserve">No que se refere a </w:t>
      </w:r>
      <w:r w:rsidRPr="0072678C">
        <w:rPr>
          <w:rFonts w:asciiTheme="minorHAnsi" w:hAnsiTheme="minorHAnsi" w:cstheme="minorHAnsi"/>
          <w:b/>
          <w:bCs/>
          <w:i/>
          <w:iCs/>
          <w:sz w:val="22"/>
          <w:szCs w:val="22"/>
        </w:rPr>
        <w:t xml:space="preserve">gestão dos recursos financeiros (fluxo de caixa) </w:t>
      </w:r>
      <w:r w:rsidRPr="0072678C">
        <w:rPr>
          <w:rFonts w:asciiTheme="minorHAnsi" w:hAnsiTheme="minorHAnsi" w:cstheme="minorHAnsi"/>
          <w:sz w:val="22"/>
          <w:szCs w:val="22"/>
        </w:rPr>
        <w:t>a</w:t>
      </w:r>
      <w:r w:rsidR="00F451B6" w:rsidRPr="0072678C">
        <w:rPr>
          <w:rFonts w:asciiTheme="minorHAnsi" w:hAnsiTheme="minorHAnsi" w:cstheme="minorHAnsi"/>
          <w:sz w:val="22"/>
          <w:szCs w:val="22"/>
        </w:rPr>
        <w:t xml:space="preserve"> SEFAZ/SP ainda não p</w:t>
      </w:r>
      <w:r w:rsidRPr="0072678C">
        <w:rPr>
          <w:rFonts w:asciiTheme="minorHAnsi" w:hAnsiTheme="minorHAnsi" w:cstheme="minorHAnsi"/>
          <w:sz w:val="22"/>
          <w:szCs w:val="22"/>
        </w:rPr>
        <w:t xml:space="preserve">repara mensalmente previsões dos fluxos de caixa, utilizando </w:t>
      </w:r>
      <w:r w:rsidRPr="0072678C">
        <w:rPr>
          <w:rFonts w:asciiTheme="minorHAnsi" w:hAnsiTheme="minorHAnsi" w:cstheme="minorHAnsi"/>
          <w:bCs/>
          <w:sz w:val="22"/>
          <w:szCs w:val="22"/>
        </w:rPr>
        <w:t>sistema automatizado</w:t>
      </w:r>
    </w:p>
    <w:p w:rsidR="0059698B" w:rsidRPr="0072678C" w:rsidRDefault="0059698B" w:rsidP="002E2572">
      <w:pPr>
        <w:rPr>
          <w:rFonts w:asciiTheme="minorHAnsi" w:hAnsiTheme="minorHAnsi" w:cstheme="minorHAnsi"/>
          <w:b/>
          <w:sz w:val="22"/>
          <w:szCs w:val="22"/>
        </w:rPr>
      </w:pPr>
    </w:p>
    <w:p w:rsidR="0059698B" w:rsidRPr="0072678C" w:rsidRDefault="00F451B6" w:rsidP="002E2572">
      <w:pPr>
        <w:rPr>
          <w:rFonts w:asciiTheme="minorHAnsi" w:hAnsiTheme="minorHAnsi" w:cstheme="minorHAnsi"/>
          <w:b/>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monitoramento do atraso do pagamento de despesas</w:t>
      </w:r>
      <w:r w:rsidRPr="0072678C">
        <w:rPr>
          <w:rFonts w:asciiTheme="minorHAnsi" w:hAnsiTheme="minorHAnsi" w:cstheme="minorHAnsi"/>
          <w:sz w:val="22"/>
          <w:szCs w:val="22"/>
        </w:rPr>
        <w:t xml:space="preserve"> deverá gera alertas automáticos sobre os atrasos para o gestor da despesa e para a área financeira.</w:t>
      </w:r>
    </w:p>
    <w:p w:rsidR="002E2572" w:rsidRPr="0072678C" w:rsidRDefault="002E2572" w:rsidP="002E2572">
      <w:pPr>
        <w:rPr>
          <w:rFonts w:asciiTheme="minorHAnsi" w:hAnsiTheme="minorHAnsi" w:cstheme="minorHAnsi"/>
          <w:b/>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5"/>
        <w:gridCol w:w="1984"/>
        <w:gridCol w:w="945"/>
        <w:gridCol w:w="803"/>
        <w:gridCol w:w="662"/>
      </w:tblGrid>
      <w:tr w:rsidR="009368A8" w:rsidRPr="0072678C" w:rsidTr="0056049A">
        <w:tc>
          <w:tcPr>
            <w:tcW w:w="4395" w:type="dxa"/>
            <w:vMerge w:val="restart"/>
            <w:shd w:val="clear" w:color="auto" w:fill="B4C6E7" w:themeFill="accent5" w:themeFillTint="66"/>
            <w:noWrap/>
            <w:vAlign w:val="bottom"/>
          </w:tcPr>
          <w:p w:rsidR="009368A8" w:rsidRPr="0072678C" w:rsidRDefault="009368A8" w:rsidP="002E2572">
            <w:pPr>
              <w:ind w:right="-1"/>
              <w:jc w:val="both"/>
              <w:rPr>
                <w:rFonts w:asciiTheme="minorHAnsi" w:hAnsiTheme="minorHAnsi" w:cstheme="minorHAnsi"/>
                <w:b/>
              </w:rPr>
            </w:pPr>
            <w:r w:rsidRPr="0072678C">
              <w:rPr>
                <w:rFonts w:asciiTheme="minorHAnsi" w:hAnsiTheme="minorHAnsi" w:cstheme="minorHAnsi"/>
                <w:b/>
                <w:bCs/>
                <w:sz w:val="22"/>
                <w:szCs w:val="22"/>
              </w:rPr>
              <w:t>AF 3. GESTÃO DE ATIVOS E PASSIVOS</w:t>
            </w:r>
            <w:r w:rsidR="002E2572" w:rsidRPr="0072678C">
              <w:rPr>
                <w:rFonts w:asciiTheme="minorHAnsi" w:hAnsiTheme="minorHAnsi" w:cstheme="minorHAnsi"/>
                <w:b/>
                <w:bCs/>
                <w:sz w:val="22"/>
                <w:szCs w:val="22"/>
              </w:rPr>
              <w:t>:</w:t>
            </w:r>
            <w:r w:rsidRPr="0072678C">
              <w:rPr>
                <w:rFonts w:asciiTheme="minorHAnsi" w:hAnsiTheme="minorHAnsi" w:cstheme="minorHAnsi"/>
                <w:sz w:val="22"/>
                <w:szCs w:val="22"/>
              </w:rPr>
              <w:t xml:space="preserve">  Executa a gestão dos ativos e passivos com base em análise de custo-benefício e de riscos fiscais</w:t>
            </w:r>
          </w:p>
        </w:tc>
        <w:tc>
          <w:tcPr>
            <w:tcW w:w="1984" w:type="dxa"/>
            <w:vMerge w:val="restart"/>
            <w:shd w:val="clear" w:color="auto" w:fill="B4C6E7" w:themeFill="accent5" w:themeFillTint="66"/>
            <w:noWrap/>
            <w:vAlign w:val="center"/>
          </w:tcPr>
          <w:p w:rsidR="009368A8" w:rsidRPr="0072678C" w:rsidRDefault="009368A8" w:rsidP="0056049A">
            <w:pPr>
              <w:ind w:right="-1"/>
              <w:jc w:val="center"/>
              <w:rPr>
                <w:rFonts w:asciiTheme="minorHAnsi" w:hAnsiTheme="minorHAnsi" w:cstheme="minorHAnsi"/>
                <w:b/>
              </w:rPr>
            </w:pPr>
            <w:r w:rsidRPr="0072678C">
              <w:rPr>
                <w:rFonts w:asciiTheme="minorHAnsi" w:hAnsiTheme="minorHAnsi" w:cstheme="minorHAnsi"/>
                <w:b/>
                <w:sz w:val="22"/>
                <w:szCs w:val="22"/>
              </w:rPr>
              <w:t>MATURIDADE</w:t>
            </w:r>
          </w:p>
        </w:tc>
        <w:tc>
          <w:tcPr>
            <w:tcW w:w="2410" w:type="dxa"/>
            <w:gridSpan w:val="3"/>
            <w:tcBorders>
              <w:bottom w:val="single" w:sz="4" w:space="0" w:color="auto"/>
            </w:tcBorders>
            <w:shd w:val="clear" w:color="auto" w:fill="B4C6E7" w:themeFill="accent5" w:themeFillTint="66"/>
          </w:tcPr>
          <w:p w:rsidR="009368A8" w:rsidRPr="0072678C" w:rsidRDefault="009368A8" w:rsidP="0056049A">
            <w:pPr>
              <w:ind w:right="-1"/>
              <w:jc w:val="center"/>
              <w:rPr>
                <w:rFonts w:asciiTheme="minorHAnsi" w:hAnsiTheme="minorHAnsi" w:cstheme="minorHAnsi"/>
                <w:b/>
              </w:rPr>
            </w:pPr>
            <w:r w:rsidRPr="0072678C">
              <w:rPr>
                <w:rFonts w:asciiTheme="minorHAnsi" w:hAnsiTheme="minorHAnsi" w:cstheme="minorHAnsi"/>
                <w:b/>
                <w:sz w:val="22"/>
                <w:szCs w:val="22"/>
              </w:rPr>
              <w:t>Pontuação</w:t>
            </w:r>
          </w:p>
        </w:tc>
      </w:tr>
      <w:tr w:rsidR="009368A8" w:rsidRPr="0072678C" w:rsidTr="002E2572">
        <w:tc>
          <w:tcPr>
            <w:tcW w:w="4395" w:type="dxa"/>
            <w:vMerge/>
            <w:shd w:val="clear" w:color="auto" w:fill="B4C6E7" w:themeFill="accent5" w:themeFillTint="66"/>
            <w:noWrap/>
            <w:vAlign w:val="bottom"/>
          </w:tcPr>
          <w:p w:rsidR="009368A8" w:rsidRPr="0072678C" w:rsidRDefault="009368A8" w:rsidP="0056049A">
            <w:pPr>
              <w:ind w:left="567" w:right="-1"/>
              <w:jc w:val="center"/>
              <w:rPr>
                <w:rFonts w:asciiTheme="minorHAnsi" w:hAnsiTheme="minorHAnsi" w:cstheme="minorHAnsi"/>
                <w:b/>
              </w:rPr>
            </w:pPr>
          </w:p>
        </w:tc>
        <w:tc>
          <w:tcPr>
            <w:tcW w:w="1984" w:type="dxa"/>
            <w:vMerge/>
            <w:tcBorders>
              <w:bottom w:val="single" w:sz="4" w:space="0" w:color="auto"/>
            </w:tcBorders>
            <w:shd w:val="clear" w:color="auto" w:fill="B4C6E7" w:themeFill="accent5" w:themeFillTint="66"/>
            <w:noWrap/>
            <w:vAlign w:val="bottom"/>
          </w:tcPr>
          <w:p w:rsidR="009368A8" w:rsidRPr="0072678C" w:rsidRDefault="009368A8" w:rsidP="0056049A">
            <w:pPr>
              <w:ind w:right="-1"/>
              <w:jc w:val="center"/>
              <w:rPr>
                <w:rFonts w:asciiTheme="minorHAnsi" w:hAnsiTheme="minorHAnsi" w:cstheme="minorHAnsi"/>
                <w:b/>
              </w:rPr>
            </w:pPr>
          </w:p>
        </w:tc>
        <w:tc>
          <w:tcPr>
            <w:tcW w:w="945" w:type="dxa"/>
            <w:tcBorders>
              <w:bottom w:val="single" w:sz="4" w:space="0" w:color="auto"/>
            </w:tcBorders>
            <w:shd w:val="clear" w:color="auto" w:fill="B4C6E7" w:themeFill="accent5" w:themeFillTint="66"/>
            <w:vAlign w:val="center"/>
          </w:tcPr>
          <w:p w:rsidR="009368A8" w:rsidRPr="0072678C" w:rsidRDefault="009368A8" w:rsidP="0056049A">
            <w:pPr>
              <w:jc w:val="center"/>
              <w:rPr>
                <w:rFonts w:asciiTheme="minorHAnsi" w:hAnsiTheme="minorHAnsi" w:cstheme="minorHAnsi"/>
                <w:b/>
              </w:rPr>
            </w:pPr>
            <w:r w:rsidRPr="0072678C">
              <w:rPr>
                <w:rFonts w:asciiTheme="minorHAnsi" w:hAnsiTheme="minorHAnsi" w:cstheme="minorHAnsi"/>
                <w:b/>
                <w:sz w:val="22"/>
                <w:szCs w:val="22"/>
              </w:rPr>
              <w:t>Máxima</w:t>
            </w:r>
          </w:p>
        </w:tc>
        <w:tc>
          <w:tcPr>
            <w:tcW w:w="803" w:type="dxa"/>
            <w:tcBorders>
              <w:bottom w:val="single" w:sz="4" w:space="0" w:color="auto"/>
            </w:tcBorders>
            <w:shd w:val="clear" w:color="auto" w:fill="B4C6E7" w:themeFill="accent5" w:themeFillTint="66"/>
            <w:vAlign w:val="center"/>
          </w:tcPr>
          <w:p w:rsidR="009368A8" w:rsidRPr="0072678C" w:rsidRDefault="009368A8" w:rsidP="0056049A">
            <w:pPr>
              <w:jc w:val="center"/>
              <w:rPr>
                <w:rFonts w:asciiTheme="minorHAnsi" w:hAnsiTheme="minorHAnsi" w:cstheme="minorHAnsi"/>
                <w:b/>
              </w:rPr>
            </w:pPr>
            <w:r w:rsidRPr="0072678C">
              <w:rPr>
                <w:rFonts w:asciiTheme="minorHAnsi" w:hAnsiTheme="minorHAnsi" w:cstheme="minorHAnsi"/>
                <w:b/>
                <w:sz w:val="22"/>
                <w:szCs w:val="22"/>
              </w:rPr>
              <w:t>Obtida</w:t>
            </w:r>
          </w:p>
        </w:tc>
        <w:tc>
          <w:tcPr>
            <w:tcW w:w="662" w:type="dxa"/>
            <w:tcBorders>
              <w:bottom w:val="single" w:sz="4" w:space="0" w:color="auto"/>
            </w:tcBorders>
            <w:shd w:val="clear" w:color="auto" w:fill="B4C6E7" w:themeFill="accent5" w:themeFillTint="66"/>
            <w:vAlign w:val="center"/>
          </w:tcPr>
          <w:p w:rsidR="009368A8" w:rsidRPr="0072678C" w:rsidRDefault="009368A8" w:rsidP="0056049A">
            <w:pPr>
              <w:jc w:val="center"/>
              <w:rPr>
                <w:rFonts w:asciiTheme="minorHAnsi" w:hAnsiTheme="minorHAnsi" w:cstheme="minorHAnsi"/>
                <w:b/>
              </w:rPr>
            </w:pPr>
            <w:r w:rsidRPr="0072678C">
              <w:rPr>
                <w:rFonts w:asciiTheme="minorHAnsi" w:hAnsiTheme="minorHAnsi" w:cstheme="minorHAnsi"/>
                <w:b/>
                <w:sz w:val="22"/>
                <w:szCs w:val="22"/>
              </w:rPr>
              <w:t>%</w:t>
            </w:r>
          </w:p>
        </w:tc>
      </w:tr>
      <w:tr w:rsidR="009368A8" w:rsidRPr="0072678C" w:rsidTr="002E2572">
        <w:tc>
          <w:tcPr>
            <w:tcW w:w="4395" w:type="dxa"/>
            <w:vMerge/>
            <w:shd w:val="clear" w:color="auto" w:fill="auto"/>
            <w:noWrap/>
            <w:vAlign w:val="bottom"/>
            <w:hideMark/>
          </w:tcPr>
          <w:p w:rsidR="009368A8" w:rsidRPr="0072678C" w:rsidRDefault="009368A8" w:rsidP="00B47E5F">
            <w:pPr>
              <w:jc w:val="center"/>
              <w:rPr>
                <w:rFonts w:ascii="Calibri" w:hAnsi="Calibri" w:cs="Calibri"/>
              </w:rPr>
            </w:pPr>
          </w:p>
        </w:tc>
        <w:tc>
          <w:tcPr>
            <w:tcW w:w="1984" w:type="dxa"/>
            <w:shd w:val="clear" w:color="auto" w:fill="auto"/>
            <w:noWrap/>
            <w:vAlign w:val="center"/>
            <w:hideMark/>
          </w:tcPr>
          <w:p w:rsidR="009368A8" w:rsidRPr="0072678C" w:rsidRDefault="009368A8" w:rsidP="006404A3">
            <w:pPr>
              <w:jc w:val="center"/>
              <w:rPr>
                <w:rFonts w:ascii="Calibri" w:hAnsi="Calibri" w:cs="Calibri"/>
                <w:b/>
                <w:bCs/>
              </w:rPr>
            </w:pPr>
            <w:r w:rsidRPr="0072678C">
              <w:rPr>
                <w:rFonts w:ascii="Calibri" w:hAnsi="Calibri" w:cs="Calibri"/>
                <w:b/>
                <w:bCs/>
                <w:sz w:val="22"/>
                <w:szCs w:val="22"/>
              </w:rPr>
              <w:t>I</w:t>
            </w:r>
            <w:r w:rsidR="006404A3" w:rsidRPr="0072678C">
              <w:rPr>
                <w:rFonts w:ascii="Calibri" w:hAnsi="Calibri" w:cs="Calibri"/>
                <w:b/>
                <w:bCs/>
                <w:sz w:val="22"/>
                <w:szCs w:val="22"/>
              </w:rPr>
              <w:t xml:space="preserve">NTERMEDIÁRIO (-) </w:t>
            </w:r>
          </w:p>
        </w:tc>
        <w:tc>
          <w:tcPr>
            <w:tcW w:w="945" w:type="dxa"/>
            <w:vAlign w:val="center"/>
          </w:tcPr>
          <w:p w:rsidR="009368A8" w:rsidRPr="0072678C" w:rsidRDefault="009368A8" w:rsidP="009368A8">
            <w:pPr>
              <w:jc w:val="center"/>
              <w:rPr>
                <w:rFonts w:ascii="Calibri" w:hAnsi="Calibri" w:cs="Calibri"/>
              </w:rPr>
            </w:pPr>
            <w:r w:rsidRPr="0072678C">
              <w:rPr>
                <w:rFonts w:ascii="Calibri" w:hAnsi="Calibri" w:cs="Calibri"/>
                <w:sz w:val="22"/>
                <w:szCs w:val="22"/>
              </w:rPr>
              <w:t>21</w:t>
            </w:r>
          </w:p>
        </w:tc>
        <w:tc>
          <w:tcPr>
            <w:tcW w:w="803" w:type="dxa"/>
            <w:vAlign w:val="center"/>
          </w:tcPr>
          <w:p w:rsidR="009368A8" w:rsidRPr="0072678C" w:rsidRDefault="003750D8" w:rsidP="009368A8">
            <w:pPr>
              <w:jc w:val="center"/>
              <w:rPr>
                <w:rFonts w:ascii="Calibri" w:hAnsi="Calibri" w:cs="Calibri"/>
              </w:rPr>
            </w:pPr>
            <w:r w:rsidRPr="0072678C">
              <w:rPr>
                <w:rFonts w:ascii="Calibri" w:hAnsi="Calibri" w:cs="Calibri"/>
                <w:sz w:val="22"/>
                <w:szCs w:val="22"/>
              </w:rPr>
              <w:t>11</w:t>
            </w:r>
          </w:p>
        </w:tc>
        <w:tc>
          <w:tcPr>
            <w:tcW w:w="662" w:type="dxa"/>
            <w:vAlign w:val="center"/>
          </w:tcPr>
          <w:p w:rsidR="009368A8" w:rsidRPr="0072678C" w:rsidRDefault="003750D8" w:rsidP="003750D8">
            <w:pPr>
              <w:jc w:val="center"/>
              <w:rPr>
                <w:rFonts w:ascii="Calibri" w:hAnsi="Calibri" w:cs="Calibri"/>
              </w:rPr>
            </w:pPr>
            <w:r w:rsidRPr="0072678C">
              <w:rPr>
                <w:rFonts w:ascii="Calibri" w:hAnsi="Calibri" w:cs="Calibri"/>
                <w:sz w:val="22"/>
                <w:szCs w:val="22"/>
              </w:rPr>
              <w:t>52</w:t>
            </w:r>
            <w:r w:rsidR="009368A8" w:rsidRPr="0072678C">
              <w:rPr>
                <w:rFonts w:ascii="Calibri" w:hAnsi="Calibri" w:cs="Calibri"/>
                <w:sz w:val="22"/>
                <w:szCs w:val="22"/>
              </w:rPr>
              <w:t>%</w:t>
            </w:r>
          </w:p>
        </w:tc>
      </w:tr>
    </w:tbl>
    <w:p w:rsidR="002E2572" w:rsidRPr="0072678C" w:rsidRDefault="002E2572" w:rsidP="002E2572">
      <w:pPr>
        <w:rPr>
          <w:rFonts w:asciiTheme="minorHAnsi" w:hAnsiTheme="minorHAnsi" w:cstheme="minorHAnsi"/>
          <w:b/>
          <w:sz w:val="22"/>
          <w:szCs w:val="22"/>
        </w:rPr>
      </w:pPr>
    </w:p>
    <w:p w:rsidR="00F451B6" w:rsidRPr="0072678C" w:rsidRDefault="00F451B6" w:rsidP="00F451B6">
      <w:pPr>
        <w:jc w:val="both"/>
        <w:rPr>
          <w:rFonts w:asciiTheme="minorHAnsi" w:hAnsiTheme="minorHAnsi" w:cstheme="minorHAnsi"/>
          <w:sz w:val="22"/>
          <w:szCs w:val="22"/>
        </w:rPr>
      </w:pPr>
      <w:r w:rsidRPr="0072678C">
        <w:rPr>
          <w:rFonts w:asciiTheme="minorHAnsi" w:hAnsiTheme="minorHAnsi" w:cstheme="minorHAnsi"/>
          <w:sz w:val="22"/>
          <w:szCs w:val="22"/>
        </w:rPr>
        <w:t xml:space="preserve">A </w:t>
      </w:r>
      <w:r w:rsidRPr="0072678C">
        <w:rPr>
          <w:rFonts w:asciiTheme="minorHAnsi" w:hAnsiTheme="minorHAnsi" w:cstheme="minorHAnsi"/>
          <w:b/>
          <w:bCs/>
          <w:i/>
          <w:iCs/>
          <w:sz w:val="22"/>
          <w:szCs w:val="22"/>
        </w:rPr>
        <w:t>gestão de haveres financeiros</w:t>
      </w:r>
      <w:r w:rsidRPr="0072678C">
        <w:rPr>
          <w:rFonts w:asciiTheme="minorHAnsi" w:hAnsiTheme="minorHAnsi" w:cstheme="minorHAnsi"/>
          <w:sz w:val="22"/>
          <w:szCs w:val="22"/>
        </w:rPr>
        <w:t xml:space="preserve"> </w:t>
      </w:r>
      <w:r w:rsidRPr="0072678C">
        <w:rPr>
          <w:rFonts w:asciiTheme="minorHAnsi" w:hAnsiTheme="minorHAnsi" w:cstheme="minorHAnsi"/>
          <w:b/>
          <w:bCs/>
          <w:sz w:val="22"/>
          <w:szCs w:val="22"/>
        </w:rPr>
        <w:t>estaduais</w:t>
      </w:r>
      <w:r w:rsidRPr="0072678C">
        <w:rPr>
          <w:rFonts w:asciiTheme="minorHAnsi" w:hAnsiTheme="minorHAnsi" w:cstheme="minorHAnsi"/>
          <w:sz w:val="22"/>
          <w:szCs w:val="22"/>
        </w:rPr>
        <w:t xml:space="preserve"> não registra e não monitora toda carteira de haveres financeiros; não provisiona recursos para créditos de liquidação duvidosa; não controla os créditos detidos pelas entidades públicas estaduais extintas e/ou dissolvidas transferidos ao Tesouro Estadual.</w:t>
      </w:r>
    </w:p>
    <w:p w:rsidR="00F451B6" w:rsidRPr="0072678C" w:rsidRDefault="00F451B6" w:rsidP="002E2572">
      <w:pPr>
        <w:rPr>
          <w:rFonts w:asciiTheme="minorHAnsi" w:hAnsiTheme="minorHAnsi" w:cstheme="minorHAnsi"/>
          <w:b/>
          <w:sz w:val="22"/>
          <w:szCs w:val="22"/>
        </w:rPr>
      </w:pPr>
    </w:p>
    <w:p w:rsidR="00F451B6" w:rsidRPr="0072678C" w:rsidRDefault="00F662E8" w:rsidP="00F662E8">
      <w:pPr>
        <w:jc w:val="both"/>
        <w:rPr>
          <w:rFonts w:asciiTheme="minorHAnsi" w:hAnsiTheme="minorHAnsi" w:cstheme="minorHAnsi"/>
          <w:sz w:val="22"/>
          <w:szCs w:val="22"/>
        </w:rPr>
      </w:pPr>
      <w:r w:rsidRPr="0072678C">
        <w:rPr>
          <w:rFonts w:asciiTheme="minorHAnsi" w:hAnsiTheme="minorHAnsi" w:cstheme="minorHAnsi"/>
          <w:sz w:val="22"/>
          <w:szCs w:val="22"/>
        </w:rPr>
        <w:t xml:space="preserve">Com relação a </w:t>
      </w:r>
      <w:r w:rsidR="00F451B6" w:rsidRPr="0072678C">
        <w:rPr>
          <w:rFonts w:asciiTheme="minorHAnsi" w:hAnsiTheme="minorHAnsi" w:cstheme="minorHAnsi"/>
          <w:b/>
          <w:bCs/>
          <w:i/>
          <w:iCs/>
          <w:sz w:val="22"/>
          <w:szCs w:val="22"/>
        </w:rPr>
        <w:t>gestão de passivos contingentes</w:t>
      </w:r>
      <w:r w:rsidR="00F451B6" w:rsidRPr="0072678C">
        <w:rPr>
          <w:rFonts w:asciiTheme="minorHAnsi" w:hAnsiTheme="minorHAnsi" w:cstheme="minorHAnsi"/>
          <w:sz w:val="22"/>
          <w:szCs w:val="22"/>
        </w:rPr>
        <w:t xml:space="preserve"> </w:t>
      </w:r>
      <w:r w:rsidR="00F451B6" w:rsidRPr="0072678C">
        <w:rPr>
          <w:rFonts w:asciiTheme="minorHAnsi" w:hAnsiTheme="minorHAnsi" w:cstheme="minorHAnsi"/>
          <w:b/>
          <w:bCs/>
          <w:sz w:val="22"/>
          <w:szCs w:val="22"/>
        </w:rPr>
        <w:t>estaduais</w:t>
      </w:r>
      <w:r w:rsidRPr="0072678C">
        <w:rPr>
          <w:rFonts w:asciiTheme="minorHAnsi" w:hAnsiTheme="minorHAnsi" w:cstheme="minorHAnsi"/>
          <w:sz w:val="22"/>
          <w:szCs w:val="22"/>
        </w:rPr>
        <w:t xml:space="preserve"> a SEFAZ/SP não </w:t>
      </w:r>
      <w:r w:rsidR="00F451B6" w:rsidRPr="0072678C">
        <w:rPr>
          <w:rFonts w:asciiTheme="minorHAnsi" w:hAnsiTheme="minorHAnsi" w:cstheme="minorHAnsi"/>
          <w:sz w:val="22"/>
          <w:szCs w:val="22"/>
        </w:rPr>
        <w:t xml:space="preserve">Identifica, </w:t>
      </w:r>
      <w:r w:rsidRPr="0072678C">
        <w:rPr>
          <w:rFonts w:asciiTheme="minorHAnsi" w:hAnsiTheme="minorHAnsi" w:cstheme="minorHAnsi"/>
          <w:sz w:val="22"/>
          <w:szCs w:val="22"/>
        </w:rPr>
        <w:t xml:space="preserve">não </w:t>
      </w:r>
      <w:r w:rsidR="00F451B6" w:rsidRPr="0072678C">
        <w:rPr>
          <w:rFonts w:asciiTheme="minorHAnsi" w:hAnsiTheme="minorHAnsi" w:cstheme="minorHAnsi"/>
          <w:sz w:val="22"/>
          <w:szCs w:val="22"/>
        </w:rPr>
        <w:t xml:space="preserve">registra e </w:t>
      </w:r>
      <w:r w:rsidRPr="0072678C">
        <w:rPr>
          <w:rFonts w:asciiTheme="minorHAnsi" w:hAnsiTheme="minorHAnsi" w:cstheme="minorHAnsi"/>
          <w:sz w:val="22"/>
          <w:szCs w:val="22"/>
        </w:rPr>
        <w:t xml:space="preserve">não </w:t>
      </w:r>
      <w:r w:rsidR="00F451B6" w:rsidRPr="0072678C">
        <w:rPr>
          <w:rFonts w:asciiTheme="minorHAnsi" w:hAnsiTheme="minorHAnsi" w:cstheme="minorHAnsi"/>
          <w:sz w:val="22"/>
          <w:szCs w:val="22"/>
        </w:rPr>
        <w:t>monitora os passivos contingentes decorrentes de lides vinculadas à administração de pessoal ou despesas previdenciárias</w:t>
      </w:r>
      <w:r w:rsidRPr="0072678C">
        <w:rPr>
          <w:rFonts w:asciiTheme="minorHAnsi" w:hAnsiTheme="minorHAnsi" w:cstheme="minorHAnsi"/>
          <w:sz w:val="22"/>
          <w:szCs w:val="22"/>
        </w:rPr>
        <w:t>;  não i</w:t>
      </w:r>
      <w:r w:rsidR="00F451B6" w:rsidRPr="0072678C">
        <w:rPr>
          <w:rFonts w:asciiTheme="minorHAnsi" w:hAnsiTheme="minorHAnsi" w:cstheme="minorHAnsi"/>
          <w:sz w:val="22"/>
          <w:szCs w:val="22"/>
        </w:rPr>
        <w:t xml:space="preserve">dentifica, </w:t>
      </w:r>
      <w:r w:rsidRPr="0072678C">
        <w:rPr>
          <w:rFonts w:asciiTheme="minorHAnsi" w:hAnsiTheme="minorHAnsi" w:cstheme="minorHAnsi"/>
          <w:sz w:val="22"/>
          <w:szCs w:val="22"/>
        </w:rPr>
        <w:t xml:space="preserve">não </w:t>
      </w:r>
      <w:r w:rsidR="00F451B6" w:rsidRPr="0072678C">
        <w:rPr>
          <w:rFonts w:asciiTheme="minorHAnsi" w:hAnsiTheme="minorHAnsi" w:cstheme="minorHAnsi"/>
          <w:sz w:val="22"/>
          <w:szCs w:val="22"/>
        </w:rPr>
        <w:t xml:space="preserve">registra e </w:t>
      </w:r>
      <w:r w:rsidRPr="0072678C">
        <w:rPr>
          <w:rFonts w:asciiTheme="minorHAnsi" w:hAnsiTheme="minorHAnsi" w:cstheme="minorHAnsi"/>
          <w:sz w:val="22"/>
          <w:szCs w:val="22"/>
        </w:rPr>
        <w:t xml:space="preserve">não </w:t>
      </w:r>
      <w:r w:rsidR="00F451B6" w:rsidRPr="0072678C">
        <w:rPr>
          <w:rFonts w:asciiTheme="minorHAnsi" w:hAnsiTheme="minorHAnsi" w:cstheme="minorHAnsi"/>
          <w:sz w:val="22"/>
          <w:szCs w:val="22"/>
        </w:rPr>
        <w:t>monitora as  dívidas passadas em processo de reconhecimento, vinculadas especialmente às privatizações, à extinção de órgãos e à liquidação de empresas</w:t>
      </w:r>
      <w:r w:rsidRPr="0072678C">
        <w:rPr>
          <w:rFonts w:asciiTheme="minorHAnsi" w:hAnsiTheme="minorHAnsi" w:cstheme="minorHAnsi"/>
          <w:sz w:val="22"/>
          <w:szCs w:val="22"/>
        </w:rPr>
        <w:t>; não c</w:t>
      </w:r>
      <w:r w:rsidR="00F451B6" w:rsidRPr="0072678C">
        <w:rPr>
          <w:rFonts w:asciiTheme="minorHAnsi" w:hAnsiTheme="minorHAnsi" w:cstheme="minorHAnsi"/>
          <w:sz w:val="22"/>
          <w:szCs w:val="22"/>
        </w:rPr>
        <w:t>ontrola informações dos passivos contingentes de toda a administração direta e indireta</w:t>
      </w:r>
      <w:r w:rsidRPr="0072678C">
        <w:rPr>
          <w:rFonts w:asciiTheme="minorHAnsi" w:hAnsiTheme="minorHAnsi" w:cstheme="minorHAnsi"/>
          <w:sz w:val="22"/>
          <w:szCs w:val="22"/>
        </w:rPr>
        <w:t>; não e</w:t>
      </w:r>
      <w:r w:rsidR="00F451B6" w:rsidRPr="0072678C">
        <w:rPr>
          <w:rFonts w:asciiTheme="minorHAnsi" w:hAnsiTheme="minorHAnsi" w:cstheme="minorHAnsi"/>
          <w:sz w:val="22"/>
          <w:szCs w:val="22"/>
        </w:rPr>
        <w:t>labora plano de mitigação dos maiores riscos relacionados aos passivos contingentes</w:t>
      </w:r>
      <w:r w:rsidRPr="0072678C">
        <w:rPr>
          <w:rFonts w:asciiTheme="minorHAnsi" w:hAnsiTheme="minorHAnsi" w:cstheme="minorHAnsi"/>
          <w:sz w:val="22"/>
          <w:szCs w:val="22"/>
        </w:rPr>
        <w:t xml:space="preserve">; e não provisiona </w:t>
      </w:r>
      <w:r w:rsidR="00F451B6" w:rsidRPr="0072678C">
        <w:rPr>
          <w:rFonts w:asciiTheme="minorHAnsi" w:hAnsiTheme="minorHAnsi" w:cstheme="minorHAnsi"/>
          <w:sz w:val="22"/>
          <w:szCs w:val="22"/>
        </w:rPr>
        <w:t>recursos para os passivos contingentes de maior potencial de ocorrência</w:t>
      </w:r>
      <w:r w:rsidR="003750D8" w:rsidRPr="0072678C">
        <w:rPr>
          <w:rFonts w:asciiTheme="minorHAnsi" w:hAnsiTheme="minorHAnsi" w:cstheme="minorHAnsi"/>
          <w:sz w:val="22"/>
          <w:szCs w:val="22"/>
        </w:rPr>
        <w:t>.</w:t>
      </w:r>
    </w:p>
    <w:p w:rsidR="003750D8" w:rsidRPr="0072678C" w:rsidRDefault="003750D8" w:rsidP="00F662E8">
      <w:pPr>
        <w:jc w:val="both"/>
        <w:rPr>
          <w:rFonts w:asciiTheme="minorHAnsi" w:hAnsiTheme="minorHAnsi" w:cstheme="minorHAnsi"/>
          <w:sz w:val="22"/>
          <w:szCs w:val="22"/>
        </w:rPr>
      </w:pPr>
    </w:p>
    <w:p w:rsidR="003750D8" w:rsidRPr="006C4206" w:rsidRDefault="003750D8" w:rsidP="003750D8">
      <w:pPr>
        <w:jc w:val="both"/>
        <w:rPr>
          <w:rFonts w:asciiTheme="minorHAnsi" w:hAnsiTheme="minorHAnsi" w:cstheme="minorHAnsi"/>
          <w:sz w:val="22"/>
          <w:szCs w:val="22"/>
          <w:u w:val="single"/>
        </w:rPr>
      </w:pPr>
      <w:r w:rsidRPr="006C4206">
        <w:rPr>
          <w:rFonts w:asciiTheme="minorHAnsi" w:hAnsiTheme="minorHAnsi" w:cstheme="minorHAnsi"/>
          <w:sz w:val="22"/>
          <w:szCs w:val="22"/>
        </w:rPr>
        <w:lastRenderedPageBreak/>
        <w:t xml:space="preserve">O processo </w:t>
      </w:r>
      <w:r w:rsidRPr="006C4206">
        <w:rPr>
          <w:rFonts w:asciiTheme="minorHAnsi" w:hAnsiTheme="minorHAnsi" w:cstheme="minorHAnsi"/>
          <w:b/>
          <w:bCs/>
          <w:i/>
          <w:iCs/>
          <w:sz w:val="22"/>
          <w:szCs w:val="22"/>
        </w:rPr>
        <w:t>gestão de precatórios</w:t>
      </w:r>
      <w:r w:rsidRPr="006C4206">
        <w:rPr>
          <w:rFonts w:asciiTheme="minorHAnsi" w:hAnsiTheme="minorHAnsi" w:cstheme="minorHAnsi"/>
          <w:sz w:val="22"/>
          <w:szCs w:val="22"/>
        </w:rPr>
        <w:t xml:space="preserve"> </w:t>
      </w:r>
      <w:r w:rsidRPr="006C4206">
        <w:rPr>
          <w:rFonts w:asciiTheme="minorHAnsi" w:hAnsiTheme="minorHAnsi" w:cstheme="minorHAnsi"/>
          <w:b/>
          <w:bCs/>
          <w:sz w:val="22"/>
          <w:szCs w:val="22"/>
        </w:rPr>
        <w:t xml:space="preserve">estaduais </w:t>
      </w:r>
      <w:r w:rsidRPr="006C4206">
        <w:rPr>
          <w:rFonts w:asciiTheme="minorHAnsi" w:hAnsiTheme="minorHAnsi" w:cstheme="minorHAnsi"/>
          <w:sz w:val="22"/>
          <w:szCs w:val="22"/>
        </w:rPr>
        <w:t>não utiliza as informações do Conselho Nacional de Justiça (CNJ) sobre o estoque e a movimentação dos processos; não efetua previsão do montante dos valores devidos; e não controla e nem efetua o registro contábil da sua utilização em transações. Os registros são realizados por ordem cronológica e acordos.</w:t>
      </w:r>
    </w:p>
    <w:p w:rsidR="003750D8" w:rsidRPr="006C4206" w:rsidRDefault="003750D8" w:rsidP="00F662E8">
      <w:pPr>
        <w:jc w:val="both"/>
        <w:rPr>
          <w:rFonts w:asciiTheme="minorHAnsi" w:hAnsiTheme="minorHAnsi" w:cstheme="minorHAnsi"/>
          <w:sz w:val="22"/>
          <w:szCs w:val="22"/>
        </w:rPr>
      </w:pPr>
    </w:p>
    <w:p w:rsidR="003750D8" w:rsidRPr="006C4206" w:rsidRDefault="003750D8" w:rsidP="003750D8">
      <w:pPr>
        <w:jc w:val="both"/>
      </w:pPr>
      <w:r w:rsidRPr="006C4206">
        <w:rPr>
          <w:rFonts w:asciiTheme="minorHAnsi" w:hAnsiTheme="minorHAnsi" w:cstheme="minorHAnsi"/>
          <w:sz w:val="22"/>
          <w:szCs w:val="22"/>
        </w:rPr>
        <w:t xml:space="preserve">O processo de </w:t>
      </w:r>
      <w:r w:rsidRPr="006C4206">
        <w:rPr>
          <w:rFonts w:asciiTheme="minorHAnsi" w:hAnsiTheme="minorHAnsi" w:cstheme="minorHAnsi"/>
          <w:b/>
          <w:bCs/>
          <w:i/>
          <w:iCs/>
          <w:sz w:val="22"/>
          <w:szCs w:val="22"/>
        </w:rPr>
        <w:t xml:space="preserve">gestão de Parcerias Público Privadas (PPP) </w:t>
      </w:r>
      <w:r w:rsidRPr="006C4206">
        <w:rPr>
          <w:rFonts w:asciiTheme="minorHAnsi" w:hAnsiTheme="minorHAnsi" w:cstheme="minorHAnsi"/>
          <w:sz w:val="22"/>
          <w:szCs w:val="22"/>
        </w:rPr>
        <w:t>não define, não formaliza e não dá transparência ao processo de contratação, apresentando um contrato previamente desenhado e oferecendo agilidade e simplicidade no processo jurídico. Para este requisito o Estado não dispõe de um contrato previamente desenhado. Cada projeto possui seu contrato específico, após análise e aprovação da Procuradoria todos os contratos são publicados, seja antes da contratação (consulta pública), seja na licitação, ou ainda, após a contratação.  No que se refere ao fundo garantidor, o Estado não dispõe de um fundo garantidor para os projetos contratados</w:t>
      </w:r>
      <w:r w:rsidRPr="006C4206">
        <w:t xml:space="preserve">. </w:t>
      </w:r>
      <w:r w:rsidRPr="006C4206">
        <w:rPr>
          <w:rFonts w:asciiTheme="minorHAnsi" w:hAnsiTheme="minorHAnsi" w:cstheme="minorHAnsi"/>
          <w:sz w:val="22"/>
          <w:szCs w:val="22"/>
        </w:rPr>
        <w:t xml:space="preserve">No entanto, de forma assemelhada aos fundos garantidores, e previsto na legislação conforme art. 8º da Lei 11.079 de 2004, a Companhia Paulista de Parceiras, empresa estatal não dependente, presta garantias às obrigações pecuniárias derivadas de </w:t>
      </w:r>
      <w:proofErr w:type="spellStart"/>
      <w:r w:rsidRPr="006C4206">
        <w:rPr>
          <w:rFonts w:asciiTheme="minorHAnsi" w:hAnsiTheme="minorHAnsi" w:cstheme="minorHAnsi"/>
          <w:sz w:val="22"/>
          <w:szCs w:val="22"/>
        </w:rPr>
        <w:t>PPPs</w:t>
      </w:r>
      <w:proofErr w:type="spellEnd"/>
      <w:r w:rsidRPr="006C4206">
        <w:rPr>
          <w:rFonts w:asciiTheme="minorHAnsi" w:hAnsiTheme="minorHAnsi" w:cstheme="minorHAnsi"/>
          <w:sz w:val="22"/>
          <w:szCs w:val="22"/>
        </w:rPr>
        <w:t>. Este processo não adota análises e previsões econômicas, financeiras e de riscos consistentes permitindo a definição de uma política tarifária e de custos de serviços públicos.</w:t>
      </w:r>
    </w:p>
    <w:p w:rsidR="003750D8" w:rsidRPr="006C4206" w:rsidRDefault="003750D8" w:rsidP="003750D8"/>
    <w:p w:rsidR="0038477B" w:rsidRPr="006C4206" w:rsidRDefault="0038477B" w:rsidP="0038477B">
      <w:pPr>
        <w:jc w:val="both"/>
        <w:rPr>
          <w:rFonts w:asciiTheme="minorHAnsi" w:hAnsiTheme="minorHAnsi" w:cstheme="minorHAnsi"/>
          <w:sz w:val="22"/>
          <w:szCs w:val="22"/>
        </w:rPr>
      </w:pPr>
      <w:r w:rsidRPr="006C4206">
        <w:rPr>
          <w:rFonts w:asciiTheme="minorHAnsi" w:hAnsiTheme="minorHAnsi" w:cstheme="minorHAnsi"/>
          <w:sz w:val="22"/>
          <w:szCs w:val="22"/>
        </w:rPr>
        <w:t xml:space="preserve">O processo de </w:t>
      </w:r>
      <w:r w:rsidRPr="006C4206">
        <w:rPr>
          <w:rFonts w:asciiTheme="minorHAnsi" w:hAnsiTheme="minorHAnsi" w:cstheme="minorHAnsi"/>
          <w:b/>
          <w:bCs/>
          <w:i/>
          <w:iCs/>
          <w:sz w:val="22"/>
          <w:szCs w:val="22"/>
        </w:rPr>
        <w:t>gestão de haveres financeiros</w:t>
      </w:r>
      <w:r w:rsidRPr="006C4206">
        <w:rPr>
          <w:rFonts w:asciiTheme="minorHAnsi" w:hAnsiTheme="minorHAnsi" w:cstheme="minorHAnsi"/>
          <w:sz w:val="22"/>
          <w:szCs w:val="22"/>
        </w:rPr>
        <w:t xml:space="preserve"> </w:t>
      </w:r>
      <w:r w:rsidRPr="006C4206">
        <w:rPr>
          <w:rFonts w:asciiTheme="minorHAnsi" w:hAnsiTheme="minorHAnsi" w:cstheme="minorHAnsi"/>
          <w:b/>
          <w:bCs/>
          <w:sz w:val="22"/>
          <w:szCs w:val="22"/>
        </w:rPr>
        <w:t>estaduais</w:t>
      </w:r>
      <w:r w:rsidRPr="006C4206">
        <w:rPr>
          <w:rFonts w:asciiTheme="minorHAnsi" w:hAnsiTheme="minorHAnsi" w:cstheme="minorHAnsi"/>
          <w:sz w:val="22"/>
          <w:szCs w:val="22"/>
        </w:rPr>
        <w:t xml:space="preserve"> não registra e não monitora toda carteira de haveres financeiros, não provisiona recursos para créditos de liquidação duvidosa; não controla os créditos detidos pelas entidades públicas estaduais extintas e/ou dissolvidas transferidos ao Tesouro Estadual; e não controla os ativos decorrentes do pagamento parcelado do preço de venda de participações do Estado em empresas estatais.</w:t>
      </w:r>
    </w:p>
    <w:p w:rsidR="003750D8" w:rsidRPr="006C4206" w:rsidRDefault="003750D8" w:rsidP="00F662E8">
      <w:pPr>
        <w:jc w:val="both"/>
        <w:rPr>
          <w:rFonts w:asciiTheme="minorHAnsi" w:hAnsiTheme="minorHAnsi" w:cstheme="minorHAnsi"/>
          <w:sz w:val="22"/>
          <w:szCs w:val="22"/>
        </w:rPr>
      </w:pPr>
    </w:p>
    <w:p w:rsidR="0038477B" w:rsidRPr="006C4206" w:rsidRDefault="0038477B" w:rsidP="0038477B">
      <w:pPr>
        <w:jc w:val="both"/>
        <w:rPr>
          <w:rFonts w:asciiTheme="minorHAnsi" w:hAnsiTheme="minorHAnsi" w:cstheme="minorHAnsi"/>
          <w:sz w:val="22"/>
          <w:szCs w:val="22"/>
        </w:rPr>
      </w:pPr>
      <w:r w:rsidRPr="006C4206">
        <w:rPr>
          <w:rFonts w:asciiTheme="minorHAnsi" w:hAnsiTheme="minorHAnsi" w:cstheme="minorHAnsi"/>
          <w:sz w:val="22"/>
          <w:szCs w:val="22"/>
        </w:rPr>
        <w:t xml:space="preserve">A </w:t>
      </w:r>
      <w:r w:rsidRPr="006C4206">
        <w:rPr>
          <w:rFonts w:asciiTheme="minorHAnsi" w:hAnsiTheme="minorHAnsi" w:cstheme="minorHAnsi"/>
          <w:b/>
          <w:bCs/>
          <w:i/>
          <w:iCs/>
          <w:sz w:val="22"/>
          <w:szCs w:val="22"/>
        </w:rPr>
        <w:t>gestão de passivos contingentes</w:t>
      </w:r>
      <w:r w:rsidRPr="006C4206">
        <w:rPr>
          <w:rFonts w:asciiTheme="minorHAnsi" w:hAnsiTheme="minorHAnsi" w:cstheme="minorHAnsi"/>
          <w:sz w:val="22"/>
          <w:szCs w:val="22"/>
        </w:rPr>
        <w:t xml:space="preserve"> </w:t>
      </w:r>
      <w:r w:rsidRPr="006C4206">
        <w:rPr>
          <w:rFonts w:asciiTheme="minorHAnsi" w:hAnsiTheme="minorHAnsi" w:cstheme="minorHAnsi"/>
          <w:b/>
          <w:bCs/>
          <w:sz w:val="22"/>
          <w:szCs w:val="22"/>
        </w:rPr>
        <w:t xml:space="preserve">estaduais </w:t>
      </w:r>
      <w:r w:rsidRPr="006C4206">
        <w:rPr>
          <w:rFonts w:asciiTheme="minorHAnsi" w:hAnsiTheme="minorHAnsi" w:cstheme="minorHAnsi"/>
          <w:sz w:val="22"/>
          <w:szCs w:val="22"/>
        </w:rPr>
        <w:t>não identifica, não registra e não monitora os passivos contingentes decorrentes de lides vinculadas à administração de pessoal ou despesas previdenciárias, assim como as  dívidas passadas em processo de reconhecimento, vinculadas especialmente às privatizações, à extinção de órgãos e à liquidação de empresas; não controla informações dos passivos contingentes de toda a administração direta e indireta; não elabora e não aprova plano de mitigação dos maiores riscos relacionados aos passivos contingentes; e não provisiona recursos para os passivos contingentes de maior potencial de ocorrência</w:t>
      </w:r>
      <w:r w:rsidRPr="006C4206">
        <w:rPr>
          <w:rFonts w:asciiTheme="minorHAnsi" w:hAnsiTheme="minorHAnsi" w:cstheme="minorHAnsi"/>
          <w:sz w:val="22"/>
          <w:szCs w:val="22"/>
        </w:rPr>
        <w:tab/>
        <w:t> </w:t>
      </w:r>
    </w:p>
    <w:p w:rsidR="0038477B" w:rsidRPr="006C4206" w:rsidRDefault="0038477B" w:rsidP="00F662E8">
      <w:pPr>
        <w:jc w:val="both"/>
        <w:rPr>
          <w:rFonts w:asciiTheme="minorHAnsi" w:hAnsiTheme="minorHAnsi" w:cstheme="minorHAnsi"/>
          <w:sz w:val="22"/>
          <w:szCs w:val="22"/>
        </w:rPr>
      </w:pPr>
    </w:p>
    <w:p w:rsidR="00F451B6" w:rsidRPr="0072678C" w:rsidRDefault="00F451B6" w:rsidP="002E2572">
      <w:pPr>
        <w:rPr>
          <w:rFonts w:asciiTheme="minorHAnsi" w:hAnsiTheme="minorHAnsi" w:cstheme="minorHAnsi"/>
          <w:b/>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5"/>
        <w:gridCol w:w="1984"/>
        <w:gridCol w:w="945"/>
        <w:gridCol w:w="803"/>
        <w:gridCol w:w="662"/>
      </w:tblGrid>
      <w:tr w:rsidR="002E2572" w:rsidRPr="0072678C" w:rsidTr="0056049A">
        <w:tc>
          <w:tcPr>
            <w:tcW w:w="4395" w:type="dxa"/>
            <w:vMerge w:val="restart"/>
            <w:shd w:val="clear" w:color="auto" w:fill="B4C6E7" w:themeFill="accent5" w:themeFillTint="66"/>
            <w:noWrap/>
            <w:vAlign w:val="bottom"/>
          </w:tcPr>
          <w:p w:rsidR="002E2572" w:rsidRPr="0072678C" w:rsidRDefault="002E2572" w:rsidP="002E2572">
            <w:pPr>
              <w:ind w:right="-1"/>
              <w:jc w:val="both"/>
              <w:rPr>
                <w:rFonts w:asciiTheme="minorHAnsi" w:hAnsiTheme="minorHAnsi" w:cstheme="minorHAnsi"/>
                <w:b/>
              </w:rPr>
            </w:pPr>
            <w:r w:rsidRPr="0072678C">
              <w:rPr>
                <w:rFonts w:asciiTheme="minorHAnsi" w:hAnsiTheme="minorHAnsi" w:cstheme="minorHAnsi"/>
                <w:b/>
                <w:bCs/>
                <w:sz w:val="22"/>
                <w:szCs w:val="22"/>
              </w:rPr>
              <w:t xml:space="preserve">AF 4. GESTÃO CONTÁBIL: </w:t>
            </w:r>
            <w:r w:rsidRPr="0072678C">
              <w:rPr>
                <w:rFonts w:asciiTheme="minorHAnsi" w:hAnsiTheme="minorHAnsi" w:cstheme="minorHAnsi"/>
                <w:sz w:val="22"/>
                <w:szCs w:val="22"/>
              </w:rPr>
              <w:t>Produz registros contábeis e informações atualizadas para atender aos propósitos do controle e da tomada de decisão gerencial</w:t>
            </w:r>
          </w:p>
        </w:tc>
        <w:tc>
          <w:tcPr>
            <w:tcW w:w="1984" w:type="dxa"/>
            <w:vMerge w:val="restart"/>
            <w:shd w:val="clear" w:color="auto" w:fill="B4C6E7" w:themeFill="accent5" w:themeFillTint="66"/>
            <w:noWrap/>
            <w:vAlign w:val="center"/>
          </w:tcPr>
          <w:p w:rsidR="002E2572" w:rsidRPr="0072678C" w:rsidRDefault="002E2572" w:rsidP="0056049A">
            <w:pPr>
              <w:ind w:right="-1"/>
              <w:jc w:val="center"/>
              <w:rPr>
                <w:rFonts w:asciiTheme="minorHAnsi" w:hAnsiTheme="minorHAnsi" w:cstheme="minorHAnsi"/>
                <w:b/>
              </w:rPr>
            </w:pPr>
            <w:r w:rsidRPr="0072678C">
              <w:rPr>
                <w:rFonts w:asciiTheme="minorHAnsi" w:hAnsiTheme="minorHAnsi" w:cstheme="minorHAnsi"/>
                <w:b/>
                <w:sz w:val="22"/>
                <w:szCs w:val="22"/>
              </w:rPr>
              <w:t>MATURIDADE</w:t>
            </w:r>
          </w:p>
        </w:tc>
        <w:tc>
          <w:tcPr>
            <w:tcW w:w="2410" w:type="dxa"/>
            <w:gridSpan w:val="3"/>
            <w:tcBorders>
              <w:bottom w:val="single" w:sz="4" w:space="0" w:color="auto"/>
            </w:tcBorders>
            <w:shd w:val="clear" w:color="auto" w:fill="B4C6E7" w:themeFill="accent5" w:themeFillTint="66"/>
          </w:tcPr>
          <w:p w:rsidR="002E2572" w:rsidRPr="0072678C" w:rsidRDefault="002E2572" w:rsidP="0056049A">
            <w:pPr>
              <w:ind w:right="-1"/>
              <w:jc w:val="center"/>
              <w:rPr>
                <w:rFonts w:asciiTheme="minorHAnsi" w:hAnsiTheme="minorHAnsi" w:cstheme="minorHAnsi"/>
                <w:b/>
              </w:rPr>
            </w:pPr>
            <w:r w:rsidRPr="0072678C">
              <w:rPr>
                <w:rFonts w:asciiTheme="minorHAnsi" w:hAnsiTheme="minorHAnsi" w:cstheme="minorHAnsi"/>
                <w:b/>
                <w:sz w:val="22"/>
                <w:szCs w:val="22"/>
              </w:rPr>
              <w:t>Pontuação</w:t>
            </w:r>
          </w:p>
        </w:tc>
      </w:tr>
      <w:tr w:rsidR="002E2572" w:rsidRPr="0072678C" w:rsidTr="002E2572">
        <w:tc>
          <w:tcPr>
            <w:tcW w:w="4395" w:type="dxa"/>
            <w:vMerge/>
            <w:shd w:val="clear" w:color="auto" w:fill="B4C6E7" w:themeFill="accent5" w:themeFillTint="66"/>
            <w:noWrap/>
            <w:vAlign w:val="bottom"/>
          </w:tcPr>
          <w:p w:rsidR="002E2572" w:rsidRPr="0072678C" w:rsidRDefault="002E2572" w:rsidP="0056049A">
            <w:pPr>
              <w:ind w:left="567" w:right="-1"/>
              <w:jc w:val="center"/>
              <w:rPr>
                <w:rFonts w:asciiTheme="minorHAnsi" w:hAnsiTheme="minorHAnsi" w:cstheme="minorHAnsi"/>
                <w:b/>
              </w:rPr>
            </w:pPr>
          </w:p>
        </w:tc>
        <w:tc>
          <w:tcPr>
            <w:tcW w:w="1984" w:type="dxa"/>
            <w:vMerge/>
            <w:tcBorders>
              <w:bottom w:val="single" w:sz="4" w:space="0" w:color="auto"/>
            </w:tcBorders>
            <w:shd w:val="clear" w:color="auto" w:fill="B4C6E7" w:themeFill="accent5" w:themeFillTint="66"/>
            <w:noWrap/>
            <w:vAlign w:val="bottom"/>
          </w:tcPr>
          <w:p w:rsidR="002E2572" w:rsidRPr="0072678C" w:rsidRDefault="002E2572" w:rsidP="0056049A">
            <w:pPr>
              <w:ind w:right="-1"/>
              <w:jc w:val="center"/>
              <w:rPr>
                <w:rFonts w:asciiTheme="minorHAnsi" w:hAnsiTheme="minorHAnsi" w:cstheme="minorHAnsi"/>
                <w:b/>
              </w:rPr>
            </w:pPr>
          </w:p>
        </w:tc>
        <w:tc>
          <w:tcPr>
            <w:tcW w:w="945" w:type="dxa"/>
            <w:tcBorders>
              <w:bottom w:val="single" w:sz="4" w:space="0" w:color="auto"/>
            </w:tcBorders>
            <w:shd w:val="clear" w:color="auto" w:fill="B4C6E7" w:themeFill="accent5" w:themeFillTint="66"/>
            <w:vAlign w:val="center"/>
          </w:tcPr>
          <w:p w:rsidR="002E2572" w:rsidRPr="0072678C" w:rsidRDefault="002E2572" w:rsidP="0056049A">
            <w:pPr>
              <w:jc w:val="center"/>
              <w:rPr>
                <w:rFonts w:asciiTheme="minorHAnsi" w:hAnsiTheme="minorHAnsi" w:cstheme="minorHAnsi"/>
                <w:b/>
              </w:rPr>
            </w:pPr>
            <w:r w:rsidRPr="0072678C">
              <w:rPr>
                <w:rFonts w:asciiTheme="minorHAnsi" w:hAnsiTheme="minorHAnsi" w:cstheme="minorHAnsi"/>
                <w:b/>
                <w:sz w:val="22"/>
                <w:szCs w:val="22"/>
              </w:rPr>
              <w:t>Máxima</w:t>
            </w:r>
          </w:p>
        </w:tc>
        <w:tc>
          <w:tcPr>
            <w:tcW w:w="803" w:type="dxa"/>
            <w:tcBorders>
              <w:bottom w:val="single" w:sz="4" w:space="0" w:color="auto"/>
            </w:tcBorders>
            <w:shd w:val="clear" w:color="auto" w:fill="B4C6E7" w:themeFill="accent5" w:themeFillTint="66"/>
            <w:vAlign w:val="center"/>
          </w:tcPr>
          <w:p w:rsidR="002E2572" w:rsidRPr="0072678C" w:rsidRDefault="002E2572" w:rsidP="0056049A">
            <w:pPr>
              <w:jc w:val="center"/>
              <w:rPr>
                <w:rFonts w:asciiTheme="minorHAnsi" w:hAnsiTheme="minorHAnsi" w:cstheme="minorHAnsi"/>
                <w:b/>
              </w:rPr>
            </w:pPr>
            <w:r w:rsidRPr="0072678C">
              <w:rPr>
                <w:rFonts w:asciiTheme="minorHAnsi" w:hAnsiTheme="minorHAnsi" w:cstheme="minorHAnsi"/>
                <w:b/>
                <w:sz w:val="22"/>
                <w:szCs w:val="22"/>
              </w:rPr>
              <w:t>Obtida</w:t>
            </w:r>
          </w:p>
        </w:tc>
        <w:tc>
          <w:tcPr>
            <w:tcW w:w="662" w:type="dxa"/>
            <w:tcBorders>
              <w:bottom w:val="single" w:sz="4" w:space="0" w:color="auto"/>
            </w:tcBorders>
            <w:shd w:val="clear" w:color="auto" w:fill="B4C6E7" w:themeFill="accent5" w:themeFillTint="66"/>
            <w:vAlign w:val="center"/>
          </w:tcPr>
          <w:p w:rsidR="002E2572" w:rsidRPr="0072678C" w:rsidRDefault="002E2572" w:rsidP="0056049A">
            <w:pPr>
              <w:jc w:val="center"/>
              <w:rPr>
                <w:rFonts w:asciiTheme="minorHAnsi" w:hAnsiTheme="minorHAnsi" w:cstheme="minorHAnsi"/>
                <w:b/>
              </w:rPr>
            </w:pPr>
            <w:r w:rsidRPr="0072678C">
              <w:rPr>
                <w:rFonts w:asciiTheme="minorHAnsi" w:hAnsiTheme="minorHAnsi" w:cstheme="minorHAnsi"/>
                <w:b/>
                <w:sz w:val="22"/>
                <w:szCs w:val="22"/>
              </w:rPr>
              <w:t>%</w:t>
            </w:r>
          </w:p>
        </w:tc>
      </w:tr>
      <w:tr w:rsidR="002E2572" w:rsidRPr="0072678C" w:rsidTr="002E2572">
        <w:tc>
          <w:tcPr>
            <w:tcW w:w="4395" w:type="dxa"/>
            <w:vMerge/>
            <w:shd w:val="clear" w:color="auto" w:fill="auto"/>
            <w:noWrap/>
            <w:vAlign w:val="bottom"/>
            <w:hideMark/>
          </w:tcPr>
          <w:p w:rsidR="002E2572" w:rsidRPr="0072678C" w:rsidRDefault="002E2572" w:rsidP="00B47E5F">
            <w:pPr>
              <w:jc w:val="center"/>
              <w:rPr>
                <w:rFonts w:ascii="Calibri" w:hAnsi="Calibri" w:cs="Calibri"/>
              </w:rPr>
            </w:pPr>
          </w:p>
        </w:tc>
        <w:tc>
          <w:tcPr>
            <w:tcW w:w="1984" w:type="dxa"/>
            <w:shd w:val="clear" w:color="auto" w:fill="auto"/>
            <w:noWrap/>
            <w:vAlign w:val="center"/>
            <w:hideMark/>
          </w:tcPr>
          <w:p w:rsidR="002E2572" w:rsidRPr="0072678C" w:rsidRDefault="002E2572" w:rsidP="002E2572">
            <w:pPr>
              <w:jc w:val="center"/>
              <w:rPr>
                <w:rFonts w:ascii="Calibri" w:hAnsi="Calibri" w:cs="Calibri"/>
                <w:b/>
                <w:bCs/>
              </w:rPr>
            </w:pPr>
            <w:r w:rsidRPr="0072678C">
              <w:rPr>
                <w:rFonts w:ascii="Calibri" w:hAnsi="Calibri" w:cs="Calibri"/>
                <w:b/>
                <w:bCs/>
                <w:sz w:val="22"/>
                <w:szCs w:val="22"/>
              </w:rPr>
              <w:t>INTERMEDIÁRIO (-)</w:t>
            </w:r>
          </w:p>
        </w:tc>
        <w:tc>
          <w:tcPr>
            <w:tcW w:w="945" w:type="dxa"/>
            <w:vAlign w:val="center"/>
          </w:tcPr>
          <w:p w:rsidR="002E2572" w:rsidRPr="0072678C" w:rsidRDefault="002E2572" w:rsidP="002E2572">
            <w:pPr>
              <w:jc w:val="center"/>
              <w:rPr>
                <w:rFonts w:ascii="Calibri" w:hAnsi="Calibri" w:cs="Calibri"/>
              </w:rPr>
            </w:pPr>
            <w:r w:rsidRPr="0072678C">
              <w:rPr>
                <w:rFonts w:ascii="Calibri" w:hAnsi="Calibri" w:cs="Calibri"/>
                <w:sz w:val="22"/>
                <w:szCs w:val="22"/>
              </w:rPr>
              <w:t>36</w:t>
            </w:r>
          </w:p>
        </w:tc>
        <w:tc>
          <w:tcPr>
            <w:tcW w:w="803" w:type="dxa"/>
            <w:vAlign w:val="center"/>
          </w:tcPr>
          <w:p w:rsidR="002E2572" w:rsidRPr="0072678C" w:rsidRDefault="002E2572" w:rsidP="002E2572">
            <w:pPr>
              <w:jc w:val="center"/>
              <w:rPr>
                <w:rFonts w:ascii="Calibri" w:hAnsi="Calibri" w:cs="Calibri"/>
              </w:rPr>
            </w:pPr>
            <w:r w:rsidRPr="0072678C">
              <w:rPr>
                <w:rFonts w:ascii="Calibri" w:hAnsi="Calibri" w:cs="Calibri"/>
                <w:sz w:val="22"/>
                <w:szCs w:val="22"/>
              </w:rPr>
              <w:t>2</w:t>
            </w:r>
            <w:r w:rsidR="0038477B" w:rsidRPr="0072678C">
              <w:rPr>
                <w:rFonts w:ascii="Calibri" w:hAnsi="Calibri" w:cs="Calibri"/>
                <w:sz w:val="22"/>
                <w:szCs w:val="22"/>
              </w:rPr>
              <w:t>1</w:t>
            </w:r>
          </w:p>
        </w:tc>
        <w:tc>
          <w:tcPr>
            <w:tcW w:w="662" w:type="dxa"/>
            <w:vAlign w:val="center"/>
          </w:tcPr>
          <w:p w:rsidR="002E2572" w:rsidRPr="0072678C" w:rsidRDefault="0038477B" w:rsidP="002E2572">
            <w:pPr>
              <w:jc w:val="center"/>
              <w:rPr>
                <w:rFonts w:ascii="Calibri" w:hAnsi="Calibri" w:cs="Calibri"/>
              </w:rPr>
            </w:pPr>
            <w:r w:rsidRPr="0072678C">
              <w:rPr>
                <w:rFonts w:ascii="Calibri" w:hAnsi="Calibri" w:cs="Calibri"/>
                <w:sz w:val="22"/>
                <w:szCs w:val="22"/>
              </w:rPr>
              <w:t>58</w:t>
            </w:r>
            <w:r w:rsidR="002E2572" w:rsidRPr="0072678C">
              <w:rPr>
                <w:rFonts w:ascii="Calibri" w:hAnsi="Calibri" w:cs="Calibri"/>
                <w:sz w:val="22"/>
                <w:szCs w:val="22"/>
              </w:rPr>
              <w:t>%</w:t>
            </w:r>
          </w:p>
        </w:tc>
      </w:tr>
    </w:tbl>
    <w:p w:rsidR="00C27CB7" w:rsidRPr="0072678C" w:rsidRDefault="00C27CB7" w:rsidP="00126D63">
      <w:pPr>
        <w:jc w:val="both"/>
        <w:rPr>
          <w:rFonts w:asciiTheme="minorHAnsi" w:hAnsiTheme="minorHAnsi" w:cstheme="minorHAnsi"/>
          <w:sz w:val="22"/>
          <w:szCs w:val="22"/>
        </w:rPr>
      </w:pPr>
    </w:p>
    <w:p w:rsidR="009475B9" w:rsidRPr="0072678C" w:rsidRDefault="009475B9" w:rsidP="00126D63">
      <w:pPr>
        <w:jc w:val="both"/>
        <w:rPr>
          <w:rFonts w:asciiTheme="minorHAnsi" w:hAnsiTheme="minorHAnsi" w:cstheme="minorHAnsi"/>
          <w:sz w:val="22"/>
          <w:szCs w:val="22"/>
        </w:rPr>
      </w:pPr>
      <w:r w:rsidRPr="0072678C">
        <w:rPr>
          <w:rFonts w:asciiTheme="minorHAnsi" w:hAnsiTheme="minorHAnsi" w:cstheme="minorHAnsi"/>
          <w:sz w:val="22"/>
          <w:szCs w:val="22"/>
        </w:rPr>
        <w:t xml:space="preserve">Nesta dimensão o processo </w:t>
      </w:r>
      <w:r w:rsidRPr="0072678C">
        <w:rPr>
          <w:rFonts w:asciiTheme="minorHAnsi" w:hAnsiTheme="minorHAnsi" w:cstheme="minorHAnsi"/>
          <w:b/>
          <w:bCs/>
          <w:i/>
          <w:iCs/>
          <w:sz w:val="22"/>
          <w:szCs w:val="22"/>
        </w:rPr>
        <w:t xml:space="preserve">procedimentos para a convergência contábil </w:t>
      </w:r>
      <w:r w:rsidRPr="0072678C">
        <w:rPr>
          <w:rFonts w:asciiTheme="minorHAnsi" w:hAnsiTheme="minorHAnsi" w:cstheme="minorHAnsi"/>
          <w:sz w:val="22"/>
          <w:szCs w:val="22"/>
        </w:rPr>
        <w:t xml:space="preserve">foi o que menos atendeu aos </w:t>
      </w:r>
      <w:r w:rsidR="006C4206" w:rsidRPr="0072678C">
        <w:rPr>
          <w:rFonts w:asciiTheme="minorHAnsi" w:hAnsiTheme="minorHAnsi" w:cstheme="minorHAnsi"/>
          <w:sz w:val="22"/>
          <w:szCs w:val="22"/>
        </w:rPr>
        <w:t>requisitos</w:t>
      </w:r>
      <w:r w:rsidRPr="0072678C">
        <w:rPr>
          <w:rFonts w:asciiTheme="minorHAnsi" w:hAnsiTheme="minorHAnsi" w:cstheme="minorHAnsi"/>
          <w:sz w:val="22"/>
          <w:szCs w:val="22"/>
        </w:rPr>
        <w:t xml:space="preserve"> </w:t>
      </w:r>
      <w:proofErr w:type="gramStart"/>
      <w:r w:rsidRPr="0072678C">
        <w:rPr>
          <w:rFonts w:asciiTheme="minorHAnsi" w:hAnsiTheme="minorHAnsi" w:cstheme="minorHAnsi"/>
          <w:sz w:val="22"/>
          <w:szCs w:val="22"/>
        </w:rPr>
        <w:t>da boas práticas</w:t>
      </w:r>
      <w:proofErr w:type="gramEnd"/>
      <w:r w:rsidRPr="0072678C">
        <w:rPr>
          <w:rFonts w:asciiTheme="minorHAnsi" w:hAnsiTheme="minorHAnsi" w:cstheme="minorHAnsi"/>
          <w:sz w:val="22"/>
          <w:szCs w:val="22"/>
        </w:rPr>
        <w:t xml:space="preserve"> da MD-GEFIS. Portanto, a SEFAZ/SP deverá cadastrar todo o patrimônio estadual informando a localização física, a descrição e definição de valores dos bens e o  gestor responsável; implantar ou adequar o sistemas de controle dos bens de almoxarifado, bens móveis e imóveis de todos os órgãos da administração; definir comissão de inventário para anualmente efetua o levantamento físico e financeiro dos bens móveis e imóveis para o registro contábil e o suporte documental; atualizar os valores dos bens conforme comportamento dos preços de mercado (reavaliação) e registra</w:t>
      </w:r>
      <w:r w:rsidR="00126D63" w:rsidRPr="0072678C">
        <w:rPr>
          <w:rFonts w:asciiTheme="minorHAnsi" w:hAnsiTheme="minorHAnsi" w:cstheme="minorHAnsi"/>
          <w:sz w:val="22"/>
          <w:szCs w:val="22"/>
        </w:rPr>
        <w:t xml:space="preserve">r as </w:t>
      </w:r>
      <w:r w:rsidRPr="0072678C">
        <w:rPr>
          <w:rFonts w:asciiTheme="minorHAnsi" w:hAnsiTheme="minorHAnsi" w:cstheme="minorHAnsi"/>
          <w:sz w:val="22"/>
          <w:szCs w:val="22"/>
        </w:rPr>
        <w:t>variações provenientes do desgaste por us</w:t>
      </w:r>
      <w:r w:rsidR="00126D63" w:rsidRPr="0072678C">
        <w:rPr>
          <w:rFonts w:asciiTheme="minorHAnsi" w:hAnsiTheme="minorHAnsi" w:cstheme="minorHAnsi"/>
          <w:sz w:val="22"/>
          <w:szCs w:val="22"/>
        </w:rPr>
        <w:t>o e obsolescência (depreciação); formalizar a</w:t>
      </w:r>
      <w:r w:rsidRPr="0072678C">
        <w:rPr>
          <w:rFonts w:asciiTheme="minorHAnsi" w:hAnsiTheme="minorHAnsi" w:cstheme="minorHAnsi"/>
          <w:sz w:val="22"/>
          <w:szCs w:val="22"/>
        </w:rPr>
        <w:t>s estruturas de contadorias na administração pública e atribu</w:t>
      </w:r>
      <w:r w:rsidR="00126D63" w:rsidRPr="0072678C">
        <w:rPr>
          <w:rFonts w:asciiTheme="minorHAnsi" w:hAnsiTheme="minorHAnsi" w:cstheme="minorHAnsi"/>
          <w:sz w:val="22"/>
          <w:szCs w:val="22"/>
        </w:rPr>
        <w:t xml:space="preserve">ir </w:t>
      </w:r>
      <w:r w:rsidRPr="0072678C">
        <w:rPr>
          <w:rFonts w:asciiTheme="minorHAnsi" w:hAnsiTheme="minorHAnsi" w:cstheme="minorHAnsi"/>
          <w:sz w:val="22"/>
          <w:szCs w:val="22"/>
        </w:rPr>
        <w:t>as competências normativas do órgão</w:t>
      </w:r>
      <w:r w:rsidR="00126D63" w:rsidRPr="0072678C">
        <w:rPr>
          <w:rFonts w:asciiTheme="minorHAnsi" w:hAnsiTheme="minorHAnsi" w:cstheme="minorHAnsi"/>
          <w:sz w:val="22"/>
          <w:szCs w:val="22"/>
        </w:rPr>
        <w:t xml:space="preserve">; integrar </w:t>
      </w:r>
      <w:r w:rsidRPr="0072678C">
        <w:rPr>
          <w:rFonts w:asciiTheme="minorHAnsi" w:hAnsiTheme="minorHAnsi" w:cstheme="minorHAnsi"/>
          <w:sz w:val="22"/>
          <w:szCs w:val="22"/>
        </w:rPr>
        <w:t>o sistema contábil ao sistema de arrecadação com registro dos créditos tributários a receber reavaliados</w:t>
      </w:r>
      <w:r w:rsidR="00126D63" w:rsidRPr="0072678C">
        <w:rPr>
          <w:rFonts w:asciiTheme="minorHAnsi" w:hAnsiTheme="minorHAnsi" w:cstheme="minorHAnsi"/>
          <w:sz w:val="22"/>
          <w:szCs w:val="22"/>
        </w:rPr>
        <w:t xml:space="preserve">; integrar </w:t>
      </w:r>
      <w:r w:rsidRPr="0072678C">
        <w:rPr>
          <w:rFonts w:asciiTheme="minorHAnsi" w:hAnsiTheme="minorHAnsi" w:cstheme="minorHAnsi"/>
          <w:sz w:val="22"/>
          <w:szCs w:val="22"/>
        </w:rPr>
        <w:t>o sistema contábil ao sistema de patrimônio com registro dos valores atualizados e ajustados dos bens imóveis</w:t>
      </w:r>
      <w:r w:rsidR="00126D63" w:rsidRPr="0072678C">
        <w:rPr>
          <w:rFonts w:asciiTheme="minorHAnsi" w:hAnsiTheme="minorHAnsi" w:cstheme="minorHAnsi"/>
          <w:sz w:val="22"/>
          <w:szCs w:val="22"/>
        </w:rPr>
        <w:t>; integrar o</w:t>
      </w:r>
      <w:r w:rsidRPr="0072678C">
        <w:rPr>
          <w:rFonts w:asciiTheme="minorHAnsi" w:hAnsiTheme="minorHAnsi" w:cstheme="minorHAnsi"/>
          <w:sz w:val="22"/>
          <w:szCs w:val="22"/>
        </w:rPr>
        <w:t xml:space="preserve"> sistema contábil ao sistema de pessoal com registro das provisões de 13º e </w:t>
      </w:r>
      <w:r w:rsidRPr="0072678C">
        <w:rPr>
          <w:rFonts w:asciiTheme="minorHAnsi" w:hAnsiTheme="minorHAnsi" w:cstheme="minorHAnsi"/>
          <w:sz w:val="22"/>
          <w:szCs w:val="22"/>
        </w:rPr>
        <w:lastRenderedPageBreak/>
        <w:t>férias, salários e encargos a pagar</w:t>
      </w:r>
      <w:r w:rsidR="00126D63" w:rsidRPr="0072678C">
        <w:rPr>
          <w:rFonts w:asciiTheme="minorHAnsi" w:hAnsiTheme="minorHAnsi" w:cstheme="minorHAnsi"/>
          <w:sz w:val="22"/>
          <w:szCs w:val="22"/>
        </w:rPr>
        <w:t xml:space="preserve">; integrar </w:t>
      </w:r>
      <w:r w:rsidRPr="0072678C">
        <w:rPr>
          <w:rFonts w:asciiTheme="minorHAnsi" w:hAnsiTheme="minorHAnsi" w:cstheme="minorHAnsi"/>
          <w:sz w:val="22"/>
          <w:szCs w:val="22"/>
        </w:rPr>
        <w:t>o sistema contábil ao sistema de estoque e material permanente com registro atualizado dos inventários dos  bens móveis</w:t>
      </w:r>
      <w:r w:rsidR="00126D63" w:rsidRPr="0072678C">
        <w:rPr>
          <w:rFonts w:asciiTheme="minorHAnsi" w:hAnsiTheme="minorHAnsi" w:cstheme="minorHAnsi"/>
          <w:sz w:val="22"/>
          <w:szCs w:val="22"/>
        </w:rPr>
        <w:t xml:space="preserve">; adotar </w:t>
      </w:r>
      <w:r w:rsidRPr="0072678C">
        <w:rPr>
          <w:rFonts w:asciiTheme="minorHAnsi" w:hAnsiTheme="minorHAnsi" w:cstheme="minorHAnsi"/>
          <w:sz w:val="22"/>
          <w:szCs w:val="22"/>
        </w:rPr>
        <w:t>sistema de controle interno para o monitoramento das ações governamentais, correção de eventuais irregularidades e orientação aos gestores sobre as obrigatori</w:t>
      </w:r>
      <w:r w:rsidR="00126D63" w:rsidRPr="0072678C">
        <w:rPr>
          <w:rFonts w:asciiTheme="minorHAnsi" w:hAnsiTheme="minorHAnsi" w:cstheme="minorHAnsi"/>
          <w:sz w:val="22"/>
          <w:szCs w:val="22"/>
        </w:rPr>
        <w:t>edades constitucionais e legais; e divulgar i</w:t>
      </w:r>
      <w:r w:rsidRPr="0072678C">
        <w:rPr>
          <w:rFonts w:asciiTheme="minorHAnsi" w:hAnsiTheme="minorHAnsi" w:cstheme="minorHAnsi"/>
          <w:sz w:val="22"/>
          <w:szCs w:val="22"/>
        </w:rPr>
        <w:t>nformações acerca dos gastos realizados com recursos públicos e viabiliza</w:t>
      </w:r>
      <w:r w:rsidR="00126D63" w:rsidRPr="0072678C">
        <w:rPr>
          <w:rFonts w:asciiTheme="minorHAnsi" w:hAnsiTheme="minorHAnsi" w:cstheme="minorHAnsi"/>
          <w:sz w:val="22"/>
          <w:szCs w:val="22"/>
        </w:rPr>
        <w:t>r</w:t>
      </w:r>
      <w:r w:rsidRPr="0072678C">
        <w:rPr>
          <w:rFonts w:asciiTheme="minorHAnsi" w:hAnsiTheme="minorHAnsi" w:cstheme="minorHAnsi"/>
          <w:sz w:val="22"/>
          <w:szCs w:val="22"/>
        </w:rPr>
        <w:t xml:space="preserve"> a transparência dos registros contábeis e orçamentários em linguagem clara e acessível para o  controle social</w:t>
      </w:r>
      <w:r w:rsidR="00126D63" w:rsidRPr="0072678C">
        <w:rPr>
          <w:rFonts w:asciiTheme="minorHAnsi" w:hAnsiTheme="minorHAnsi" w:cstheme="minorHAnsi"/>
          <w:sz w:val="22"/>
          <w:szCs w:val="22"/>
        </w:rPr>
        <w:t>.</w:t>
      </w:r>
    </w:p>
    <w:p w:rsidR="009475B9" w:rsidRPr="0072678C" w:rsidRDefault="009475B9"/>
    <w:p w:rsidR="006D4000" w:rsidRPr="0072678C" w:rsidRDefault="006D4000" w:rsidP="006D4000">
      <w:pPr>
        <w:jc w:val="both"/>
        <w:rPr>
          <w:rFonts w:asciiTheme="minorHAnsi" w:hAnsiTheme="minorHAnsi" w:cstheme="minorHAnsi"/>
          <w:sz w:val="22"/>
          <w:szCs w:val="22"/>
        </w:rPr>
      </w:pPr>
      <w:r w:rsidRPr="0072678C">
        <w:rPr>
          <w:rFonts w:asciiTheme="minorHAnsi" w:hAnsiTheme="minorHAnsi" w:cstheme="minorHAnsi"/>
          <w:sz w:val="22"/>
          <w:szCs w:val="22"/>
        </w:rPr>
        <w:t xml:space="preserve">A </w:t>
      </w:r>
      <w:r w:rsidRPr="0072678C">
        <w:rPr>
          <w:rFonts w:asciiTheme="minorHAnsi" w:hAnsiTheme="minorHAnsi" w:cstheme="minorHAnsi"/>
          <w:b/>
          <w:bCs/>
          <w:i/>
          <w:iCs/>
          <w:sz w:val="22"/>
          <w:szCs w:val="22"/>
        </w:rPr>
        <w:t>aplicação</w:t>
      </w:r>
      <w:r w:rsidRPr="0072678C">
        <w:rPr>
          <w:rFonts w:asciiTheme="minorHAnsi" w:hAnsiTheme="minorHAnsi" w:cstheme="minorHAnsi"/>
          <w:sz w:val="22"/>
          <w:szCs w:val="22"/>
        </w:rPr>
        <w:t xml:space="preserve"> das Normas Brasileiras de Contabilidade Aplicadas ao Setor Público </w:t>
      </w:r>
      <w:r w:rsidRPr="0072678C">
        <w:rPr>
          <w:rFonts w:asciiTheme="minorHAnsi" w:hAnsiTheme="minorHAnsi" w:cstheme="minorHAnsi"/>
          <w:b/>
          <w:bCs/>
          <w:i/>
          <w:iCs/>
          <w:sz w:val="22"/>
          <w:szCs w:val="22"/>
        </w:rPr>
        <w:t>(NBCASP)</w:t>
      </w:r>
      <w:r w:rsidRPr="0072678C">
        <w:rPr>
          <w:rFonts w:asciiTheme="minorHAnsi" w:hAnsiTheme="minorHAnsi" w:cstheme="minorHAnsi"/>
          <w:sz w:val="22"/>
          <w:szCs w:val="22"/>
        </w:rPr>
        <w:t xml:space="preserve"> e do Manual de Contabilidade Aplicada ao Setor Público </w:t>
      </w:r>
      <w:r w:rsidRPr="0072678C">
        <w:rPr>
          <w:rFonts w:asciiTheme="minorHAnsi" w:hAnsiTheme="minorHAnsi" w:cstheme="minorHAnsi"/>
          <w:b/>
          <w:bCs/>
          <w:i/>
          <w:iCs/>
          <w:sz w:val="22"/>
          <w:szCs w:val="22"/>
        </w:rPr>
        <w:t>(MCASP)</w:t>
      </w:r>
      <w:r w:rsidRPr="0072678C">
        <w:rPr>
          <w:rFonts w:asciiTheme="minorHAnsi" w:hAnsiTheme="minorHAnsi" w:cstheme="minorHAnsi"/>
          <w:sz w:val="22"/>
          <w:szCs w:val="22"/>
        </w:rPr>
        <w:t xml:space="preserve"> ainda não registra os bens, direitos e obrigações de modo a possibilitar a indicação dos elementos necessários à sua perfeita caracterização e identificação; não reconhece as transações no setor público e nem registra integralmente no momento em que ocorrerem; não realiza os registros contábeis e evidencia seus efeitos nas demonstrações contábeis do período com os quais se relacionam, reconhecidos, portanto, pelos respectivos fatos geradores, independentemente do momento da execução orçamentária; não efetua os registros contábeis das transações das entidades do setor público considerando as relações jurídicas, econômicas e patrimoniais, prevalecendo nos conflitos entre elas a essência sobre a forma; e não aplica métodos de mensuração ou avaliação dos ativos e dos passivos que possibilitem o reconhecimento dos ganhos e das perdas patrimoniais.</w:t>
      </w:r>
    </w:p>
    <w:p w:rsidR="006D4000" w:rsidRPr="0072678C" w:rsidRDefault="006D4000" w:rsidP="0043526C">
      <w:pPr>
        <w:rPr>
          <w:rFonts w:asciiTheme="minorHAnsi" w:hAnsiTheme="minorHAnsi" w:cstheme="minorHAnsi"/>
          <w:sz w:val="22"/>
          <w:szCs w:val="22"/>
        </w:rPr>
      </w:pPr>
    </w:p>
    <w:p w:rsidR="006D4000" w:rsidRPr="0072678C" w:rsidRDefault="008D4D6F" w:rsidP="006D4000">
      <w:pPr>
        <w:jc w:val="both"/>
        <w:rPr>
          <w:rFonts w:asciiTheme="minorHAnsi" w:hAnsiTheme="minorHAnsi" w:cstheme="minorHAnsi"/>
          <w:sz w:val="22"/>
          <w:szCs w:val="22"/>
        </w:rPr>
      </w:pPr>
      <w:r w:rsidRPr="0072678C">
        <w:rPr>
          <w:rFonts w:asciiTheme="minorHAnsi" w:hAnsiTheme="minorHAnsi" w:cstheme="minorHAnsi"/>
          <w:sz w:val="22"/>
          <w:szCs w:val="22"/>
        </w:rPr>
        <w:t xml:space="preserve">Com relação aos </w:t>
      </w:r>
      <w:r w:rsidR="006D4000" w:rsidRPr="0072678C">
        <w:rPr>
          <w:rFonts w:asciiTheme="minorHAnsi" w:hAnsiTheme="minorHAnsi" w:cstheme="minorHAnsi"/>
          <w:b/>
          <w:bCs/>
          <w:sz w:val="22"/>
          <w:szCs w:val="22"/>
        </w:rPr>
        <w:t>Procedimentos Contábeis Patrimoniais (PCP)</w:t>
      </w:r>
      <w:r w:rsidR="006D4000" w:rsidRPr="0072678C">
        <w:rPr>
          <w:rFonts w:asciiTheme="minorHAnsi" w:hAnsiTheme="minorHAnsi" w:cstheme="minorHAnsi"/>
          <w:sz w:val="22"/>
          <w:szCs w:val="22"/>
        </w:rPr>
        <w:t xml:space="preserve"> os mesmos não são utilizados para controle e registro do ativo intangível; para reavaliação, redução ao valor recuperável, depreciação, amortização e exaustão;</w:t>
      </w:r>
      <w:r w:rsidRPr="0072678C">
        <w:rPr>
          <w:rFonts w:asciiTheme="minorHAnsi" w:hAnsiTheme="minorHAnsi" w:cstheme="minorHAnsi"/>
          <w:sz w:val="22"/>
          <w:szCs w:val="22"/>
        </w:rPr>
        <w:t xml:space="preserve"> para </w:t>
      </w:r>
      <w:r w:rsidR="006D4000" w:rsidRPr="0072678C">
        <w:rPr>
          <w:rFonts w:asciiTheme="minorHAnsi" w:hAnsiTheme="minorHAnsi" w:cstheme="minorHAnsi"/>
          <w:sz w:val="22"/>
          <w:szCs w:val="22"/>
        </w:rPr>
        <w:t xml:space="preserve">registro das transações e eventos sem contraprestação; e </w:t>
      </w:r>
      <w:r w:rsidRPr="0072678C">
        <w:rPr>
          <w:rFonts w:asciiTheme="minorHAnsi" w:hAnsiTheme="minorHAnsi" w:cstheme="minorHAnsi"/>
          <w:sz w:val="22"/>
          <w:szCs w:val="22"/>
        </w:rPr>
        <w:t xml:space="preserve">não utilizados </w:t>
      </w:r>
      <w:r w:rsidR="006D4000" w:rsidRPr="0072678C">
        <w:rPr>
          <w:rFonts w:asciiTheme="minorHAnsi" w:hAnsiTheme="minorHAnsi" w:cstheme="minorHAnsi"/>
          <w:sz w:val="22"/>
          <w:szCs w:val="22"/>
        </w:rPr>
        <w:t>para controle e registro das provisões, dos ativos e passivos contingentes.</w:t>
      </w:r>
    </w:p>
    <w:p w:rsidR="006D4000" w:rsidRPr="0072678C" w:rsidRDefault="006D4000" w:rsidP="0043526C">
      <w:pPr>
        <w:rPr>
          <w:rFonts w:asciiTheme="minorHAnsi" w:hAnsiTheme="minorHAnsi" w:cstheme="minorHAnsi"/>
          <w:sz w:val="22"/>
          <w:szCs w:val="22"/>
        </w:rPr>
      </w:pPr>
    </w:p>
    <w:p w:rsidR="00A720C0" w:rsidRPr="0072678C" w:rsidRDefault="00A720C0" w:rsidP="002D2D44">
      <w:pPr>
        <w:jc w:val="both"/>
        <w:rPr>
          <w:rFonts w:asciiTheme="minorHAnsi" w:hAnsiTheme="minorHAnsi" w:cstheme="minorHAnsi"/>
          <w:sz w:val="22"/>
          <w:szCs w:val="22"/>
        </w:rPr>
      </w:pPr>
      <w:r w:rsidRPr="0072678C">
        <w:rPr>
          <w:rFonts w:asciiTheme="minorHAnsi" w:hAnsiTheme="minorHAnsi" w:cstheme="minorHAnsi"/>
          <w:sz w:val="22"/>
          <w:szCs w:val="22"/>
        </w:rPr>
        <w:t xml:space="preserve">Os </w:t>
      </w:r>
      <w:r w:rsidRPr="0072678C">
        <w:rPr>
          <w:rFonts w:asciiTheme="minorHAnsi" w:hAnsiTheme="minorHAnsi" w:cstheme="minorHAnsi"/>
          <w:b/>
          <w:bCs/>
          <w:sz w:val="22"/>
          <w:szCs w:val="22"/>
        </w:rPr>
        <w:t xml:space="preserve">Procedimentos Contábeis Específicos (PCE) </w:t>
      </w:r>
      <w:r w:rsidR="002D2D44" w:rsidRPr="0072678C">
        <w:rPr>
          <w:rFonts w:asciiTheme="minorHAnsi" w:hAnsiTheme="minorHAnsi" w:cstheme="minorHAnsi"/>
          <w:sz w:val="22"/>
          <w:szCs w:val="22"/>
        </w:rPr>
        <w:t xml:space="preserve">não são </w:t>
      </w:r>
      <w:r w:rsidRPr="0072678C">
        <w:rPr>
          <w:rFonts w:asciiTheme="minorHAnsi" w:hAnsiTheme="minorHAnsi" w:cstheme="minorHAnsi"/>
          <w:sz w:val="22"/>
          <w:szCs w:val="22"/>
        </w:rPr>
        <w:t xml:space="preserve">utilizados para contabilização do </w:t>
      </w:r>
      <w:proofErr w:type="spellStart"/>
      <w:r w:rsidRPr="0072678C">
        <w:rPr>
          <w:rFonts w:asciiTheme="minorHAnsi" w:hAnsiTheme="minorHAnsi" w:cstheme="minorHAnsi"/>
          <w:sz w:val="22"/>
          <w:szCs w:val="22"/>
        </w:rPr>
        <w:t>Fundeb</w:t>
      </w:r>
      <w:proofErr w:type="spellEnd"/>
      <w:r w:rsidR="002D2D44" w:rsidRPr="0072678C">
        <w:rPr>
          <w:rFonts w:asciiTheme="minorHAnsi" w:hAnsiTheme="minorHAnsi" w:cstheme="minorHAnsi"/>
          <w:sz w:val="22"/>
          <w:szCs w:val="22"/>
        </w:rPr>
        <w:t xml:space="preserve">; </w:t>
      </w:r>
      <w:r w:rsidRPr="0072678C">
        <w:rPr>
          <w:rFonts w:asciiTheme="minorHAnsi" w:hAnsiTheme="minorHAnsi" w:cstheme="minorHAnsi"/>
          <w:sz w:val="22"/>
          <w:szCs w:val="22"/>
        </w:rPr>
        <w:t>contabilização das Parcerias Público-Privadas (PPP</w:t>
      </w:r>
      <w:r w:rsidR="002D2D44" w:rsidRPr="0072678C">
        <w:rPr>
          <w:rFonts w:asciiTheme="minorHAnsi" w:hAnsiTheme="minorHAnsi" w:cstheme="minorHAnsi"/>
          <w:sz w:val="22"/>
          <w:szCs w:val="22"/>
        </w:rPr>
        <w:t xml:space="preserve">); e </w:t>
      </w:r>
      <w:r w:rsidRPr="0072678C">
        <w:rPr>
          <w:rFonts w:asciiTheme="minorHAnsi" w:hAnsiTheme="minorHAnsi" w:cstheme="minorHAnsi"/>
          <w:sz w:val="22"/>
          <w:szCs w:val="22"/>
        </w:rPr>
        <w:t>contabilização dos consórcios públicos</w:t>
      </w:r>
      <w:r w:rsidR="002D2D44" w:rsidRPr="0072678C">
        <w:rPr>
          <w:rFonts w:asciiTheme="minorHAnsi" w:hAnsiTheme="minorHAnsi" w:cstheme="minorHAnsi"/>
          <w:sz w:val="22"/>
          <w:szCs w:val="22"/>
        </w:rPr>
        <w:t>.</w:t>
      </w:r>
    </w:p>
    <w:p w:rsidR="002D2D44" w:rsidRPr="0072678C" w:rsidRDefault="002D2D44" w:rsidP="002D2D44">
      <w:pPr>
        <w:jc w:val="both"/>
        <w:rPr>
          <w:rFonts w:asciiTheme="minorHAnsi" w:hAnsiTheme="minorHAnsi" w:cstheme="minorHAnsi"/>
        </w:rPr>
      </w:pPr>
    </w:p>
    <w:p w:rsidR="002D2D44" w:rsidRPr="0072678C" w:rsidRDefault="002D2D44" w:rsidP="002D2D44">
      <w:pPr>
        <w:jc w:val="both"/>
        <w:rPr>
          <w:rFonts w:asciiTheme="minorHAnsi" w:hAnsiTheme="minorHAnsi" w:cstheme="minorHAnsi"/>
          <w:sz w:val="22"/>
          <w:szCs w:val="22"/>
        </w:rPr>
      </w:pPr>
      <w:r w:rsidRPr="0072678C">
        <w:rPr>
          <w:rFonts w:asciiTheme="minorHAnsi" w:hAnsiTheme="minorHAnsi" w:cstheme="minorHAnsi"/>
          <w:sz w:val="22"/>
          <w:szCs w:val="22"/>
        </w:rPr>
        <w:t xml:space="preserve">A </w:t>
      </w:r>
      <w:r w:rsidRPr="0072678C">
        <w:rPr>
          <w:rFonts w:asciiTheme="minorHAnsi" w:hAnsiTheme="minorHAnsi" w:cstheme="minorHAnsi"/>
          <w:b/>
          <w:bCs/>
          <w:sz w:val="22"/>
          <w:szCs w:val="22"/>
        </w:rPr>
        <w:t>contabilidade do setor público estadual</w:t>
      </w:r>
      <w:r w:rsidRPr="0072678C">
        <w:rPr>
          <w:rFonts w:asciiTheme="minorHAnsi" w:hAnsiTheme="minorHAnsi" w:cstheme="minorHAnsi"/>
          <w:sz w:val="22"/>
          <w:szCs w:val="22"/>
        </w:rPr>
        <w:t xml:space="preserve"> ainda não subsidia a geração de informação de custos, relativas a bens e serviços fornecidos à sociedade.</w:t>
      </w:r>
    </w:p>
    <w:p w:rsidR="002D2D44" w:rsidRPr="0072678C" w:rsidRDefault="002D2D44" w:rsidP="002D2D44">
      <w:pPr>
        <w:jc w:val="both"/>
        <w:rPr>
          <w:rFonts w:asciiTheme="minorHAnsi" w:hAnsiTheme="minorHAnsi" w:cstheme="minorHAnsi"/>
        </w:rPr>
      </w:pPr>
    </w:p>
    <w:p w:rsidR="002D2D44" w:rsidRPr="0072678C" w:rsidRDefault="002D2D44" w:rsidP="002D2D44">
      <w:pPr>
        <w:jc w:val="both"/>
        <w:rPr>
          <w:rFonts w:asciiTheme="minorHAnsi" w:hAnsiTheme="minorHAnsi" w:cstheme="minorHAnsi"/>
          <w:sz w:val="22"/>
          <w:szCs w:val="22"/>
        </w:rPr>
      </w:pPr>
      <w:r w:rsidRPr="0072678C">
        <w:rPr>
          <w:rFonts w:asciiTheme="minorHAnsi" w:hAnsiTheme="minorHAnsi" w:cstheme="minorHAnsi"/>
          <w:sz w:val="22"/>
          <w:szCs w:val="22"/>
        </w:rPr>
        <w:t xml:space="preserve">No que se refere ao </w:t>
      </w:r>
      <w:r w:rsidRPr="0072678C">
        <w:rPr>
          <w:rFonts w:asciiTheme="minorHAnsi" w:hAnsiTheme="minorHAnsi" w:cstheme="minorHAnsi"/>
          <w:b/>
          <w:bCs/>
          <w:sz w:val="22"/>
          <w:szCs w:val="22"/>
        </w:rPr>
        <w:t>sistema de conciliações bancárias</w:t>
      </w:r>
      <w:r w:rsidRPr="0072678C">
        <w:rPr>
          <w:rFonts w:asciiTheme="minorHAnsi" w:hAnsiTheme="minorHAnsi" w:cstheme="minorHAnsi"/>
          <w:sz w:val="22"/>
          <w:szCs w:val="22"/>
        </w:rPr>
        <w:t xml:space="preserve"> o mesmo não apura todas as contas públicas no mínimo mensalmente em níveis agregados e detalhados; não disponibiliza relatórios de informações financeiras em no máximo 4 semanas após o período de referência das contas; não estabelece um limite máximo para ajustes e saldos transferidos; não exige inclusão de justificativa nas inconsistências; e não utiliza sistema automatizado para conciliação bancária.</w:t>
      </w:r>
    </w:p>
    <w:p w:rsidR="002D2D44" w:rsidRPr="0072678C" w:rsidRDefault="002D2D44" w:rsidP="0043526C">
      <w:pPr>
        <w:rPr>
          <w:rFonts w:asciiTheme="minorHAnsi" w:hAnsiTheme="minorHAnsi" w:cstheme="minorHAnsi"/>
          <w:sz w:val="22"/>
          <w:szCs w:val="22"/>
        </w:rPr>
      </w:pPr>
    </w:p>
    <w:p w:rsidR="002D2D44" w:rsidRPr="0072678C" w:rsidRDefault="002D2D44" w:rsidP="007464C9">
      <w:pPr>
        <w:jc w:val="both"/>
        <w:rPr>
          <w:rFonts w:asciiTheme="minorHAnsi" w:hAnsiTheme="minorHAnsi" w:cstheme="minorHAnsi"/>
          <w:sz w:val="22"/>
          <w:szCs w:val="22"/>
        </w:rPr>
      </w:pPr>
      <w:r w:rsidRPr="0072678C">
        <w:rPr>
          <w:rFonts w:asciiTheme="minorHAnsi" w:hAnsiTheme="minorHAnsi" w:cstheme="minorHAnsi"/>
          <w:sz w:val="22"/>
          <w:szCs w:val="22"/>
        </w:rPr>
        <w:t xml:space="preserve">As </w:t>
      </w:r>
      <w:r w:rsidRPr="0072678C">
        <w:rPr>
          <w:rFonts w:asciiTheme="minorHAnsi" w:hAnsiTheme="minorHAnsi" w:cstheme="minorHAnsi"/>
          <w:b/>
          <w:bCs/>
          <w:sz w:val="22"/>
          <w:szCs w:val="22"/>
        </w:rPr>
        <w:t>demonstrações contábeis</w:t>
      </w:r>
      <w:r w:rsidRPr="0072678C">
        <w:rPr>
          <w:rFonts w:asciiTheme="minorHAnsi" w:hAnsiTheme="minorHAnsi" w:cstheme="minorHAnsi"/>
          <w:sz w:val="22"/>
          <w:szCs w:val="22"/>
        </w:rPr>
        <w:t xml:space="preserve"> aplicadas ao setor público não são registradas de forma automática com base nas integrações com o sistema de arrecadação e de execução financeira, sem lançamento manual.</w:t>
      </w:r>
    </w:p>
    <w:p w:rsidR="002D2D44" w:rsidRPr="0072678C" w:rsidRDefault="002D2D44" w:rsidP="0043526C">
      <w:pPr>
        <w:rPr>
          <w:rFonts w:asciiTheme="minorHAnsi" w:hAnsiTheme="minorHAnsi" w:cstheme="minorHAnsi"/>
        </w:rPr>
      </w:pPr>
    </w:p>
    <w:p w:rsidR="003C0D08" w:rsidRPr="0072678C" w:rsidRDefault="002D2D44" w:rsidP="0038477B">
      <w:pPr>
        <w:jc w:val="both"/>
        <w:rPr>
          <w:rFonts w:asciiTheme="minorHAnsi" w:hAnsiTheme="minorHAnsi" w:cstheme="minorHAnsi"/>
          <w:sz w:val="22"/>
          <w:szCs w:val="22"/>
        </w:rPr>
      </w:pPr>
      <w:r w:rsidRPr="0072678C">
        <w:rPr>
          <w:rFonts w:asciiTheme="minorHAnsi" w:hAnsiTheme="minorHAnsi" w:cstheme="minorHAnsi"/>
          <w:sz w:val="22"/>
          <w:szCs w:val="22"/>
        </w:rPr>
        <w:t>O</w:t>
      </w:r>
      <w:r w:rsidRPr="0072678C">
        <w:rPr>
          <w:rFonts w:asciiTheme="minorHAnsi" w:hAnsiTheme="minorHAnsi" w:cstheme="minorHAnsi"/>
          <w:b/>
          <w:bCs/>
          <w:sz w:val="22"/>
          <w:szCs w:val="22"/>
        </w:rPr>
        <w:t xml:space="preserve"> sistema de administração financeira</w:t>
      </w:r>
      <w:r w:rsidRPr="0072678C">
        <w:rPr>
          <w:rFonts w:asciiTheme="minorHAnsi" w:hAnsiTheme="minorHAnsi" w:cstheme="minorHAnsi"/>
          <w:sz w:val="22"/>
          <w:szCs w:val="22"/>
        </w:rPr>
        <w:t xml:space="preserve"> com relação aos </w:t>
      </w:r>
      <w:r w:rsidRPr="0072678C">
        <w:rPr>
          <w:rFonts w:asciiTheme="minorHAnsi" w:hAnsiTheme="minorHAnsi" w:cstheme="minorHAnsi"/>
          <w:b/>
          <w:bCs/>
          <w:sz w:val="22"/>
          <w:szCs w:val="22"/>
        </w:rPr>
        <w:t>padrões de qualidade</w:t>
      </w:r>
      <w:r w:rsidRPr="0072678C">
        <w:rPr>
          <w:rFonts w:asciiTheme="minorHAnsi" w:hAnsiTheme="minorHAnsi" w:cstheme="minorHAnsi"/>
          <w:sz w:val="22"/>
          <w:szCs w:val="22"/>
        </w:rPr>
        <w:t xml:space="preserve"> ainda não adota a arquitetura e-PING – Padrões de Interoperabilidade de Governo Eletrônico, assim como o Modelo de Acessibilidade de Governo Eletrônico (</w:t>
      </w:r>
      <w:proofErr w:type="spellStart"/>
      <w:r w:rsidRPr="0072678C">
        <w:rPr>
          <w:rFonts w:asciiTheme="minorHAnsi" w:hAnsiTheme="minorHAnsi" w:cstheme="minorHAnsi"/>
          <w:sz w:val="22"/>
          <w:szCs w:val="22"/>
        </w:rPr>
        <w:t>e-MAG</w:t>
      </w:r>
      <w:proofErr w:type="spellEnd"/>
      <w:r w:rsidRPr="0072678C">
        <w:rPr>
          <w:rFonts w:asciiTheme="minorHAnsi" w:hAnsiTheme="minorHAnsi" w:cstheme="minorHAnsi"/>
          <w:sz w:val="22"/>
          <w:szCs w:val="22"/>
        </w:rPr>
        <w:t>)</w:t>
      </w:r>
      <w:r w:rsidR="009E107A" w:rsidRPr="0072678C">
        <w:rPr>
          <w:rFonts w:asciiTheme="minorHAnsi" w:hAnsiTheme="minorHAnsi" w:cstheme="minorHAnsi"/>
          <w:sz w:val="22"/>
          <w:szCs w:val="22"/>
        </w:rPr>
        <w:t xml:space="preserve">. No que ser refere ao </w:t>
      </w:r>
      <w:r w:rsidR="009E107A" w:rsidRPr="0072678C">
        <w:rPr>
          <w:rFonts w:asciiTheme="minorHAnsi" w:hAnsiTheme="minorHAnsi" w:cstheme="minorHAnsi"/>
          <w:b/>
          <w:bCs/>
          <w:i/>
          <w:iCs/>
          <w:sz w:val="22"/>
          <w:szCs w:val="22"/>
        </w:rPr>
        <w:t xml:space="preserve">requisitos técnicos o sistema </w:t>
      </w:r>
      <w:r w:rsidR="009E107A" w:rsidRPr="0072678C">
        <w:rPr>
          <w:rFonts w:asciiTheme="minorHAnsi" w:hAnsiTheme="minorHAnsi" w:cstheme="minorHAnsi"/>
          <w:sz w:val="22"/>
          <w:szCs w:val="22"/>
        </w:rPr>
        <w:t>não: (i) gera as demonstrações contábeis, os relatórios e demonstrativos fiscais, o demonstrativo de estatística de finanças públicas e a consolidação das contas públicas; (</w:t>
      </w:r>
      <w:proofErr w:type="spellStart"/>
      <w:r w:rsidR="009E107A" w:rsidRPr="0072678C">
        <w:rPr>
          <w:rFonts w:asciiTheme="minorHAnsi" w:hAnsiTheme="minorHAnsi" w:cstheme="minorHAnsi"/>
          <w:sz w:val="22"/>
          <w:szCs w:val="22"/>
        </w:rPr>
        <w:t>ii</w:t>
      </w:r>
      <w:proofErr w:type="spellEnd"/>
      <w:r w:rsidR="009E107A" w:rsidRPr="0072678C">
        <w:rPr>
          <w:rFonts w:asciiTheme="minorHAnsi" w:hAnsiTheme="minorHAnsi" w:cstheme="minorHAnsi"/>
          <w:sz w:val="22"/>
          <w:szCs w:val="22"/>
        </w:rPr>
        <w:t>) fornece informações de natureza orçamentária, financeira, patrimonial e contábil para o sistema de informação de custos; (</w:t>
      </w:r>
      <w:proofErr w:type="spellStart"/>
      <w:r w:rsidR="009E107A" w:rsidRPr="0072678C">
        <w:rPr>
          <w:rFonts w:asciiTheme="minorHAnsi" w:hAnsiTheme="minorHAnsi" w:cstheme="minorHAnsi"/>
          <w:sz w:val="22"/>
          <w:szCs w:val="22"/>
        </w:rPr>
        <w:t>iii</w:t>
      </w:r>
      <w:proofErr w:type="spellEnd"/>
      <w:r w:rsidR="009E107A" w:rsidRPr="0072678C">
        <w:rPr>
          <w:rFonts w:asciiTheme="minorHAnsi" w:hAnsiTheme="minorHAnsi" w:cstheme="minorHAnsi"/>
          <w:sz w:val="22"/>
          <w:szCs w:val="22"/>
        </w:rPr>
        <w:t>) gera, automaticamente, informação para a consolidação das contas nacionais pela STN, inclusive para a matriz de saldos contábeis; (</w:t>
      </w:r>
      <w:proofErr w:type="spellStart"/>
      <w:r w:rsidR="009E107A" w:rsidRPr="0072678C">
        <w:rPr>
          <w:rFonts w:asciiTheme="minorHAnsi" w:hAnsiTheme="minorHAnsi" w:cstheme="minorHAnsi"/>
          <w:sz w:val="22"/>
          <w:szCs w:val="22"/>
        </w:rPr>
        <w:t>iv</w:t>
      </w:r>
      <w:proofErr w:type="spellEnd"/>
      <w:r w:rsidR="009E107A" w:rsidRPr="0072678C">
        <w:rPr>
          <w:rFonts w:asciiTheme="minorHAnsi" w:hAnsiTheme="minorHAnsi" w:cstheme="minorHAnsi"/>
          <w:sz w:val="22"/>
          <w:szCs w:val="22"/>
        </w:rPr>
        <w:t xml:space="preserve">) integra-se ao sistema de recursos humanos para a realização dos procedimentos contábeis patrimoniais previstos no MCASP, ao sistema de arrecadação para o reconhecimento da receita pelo regime de </w:t>
      </w:r>
      <w:r w:rsidR="009E107A" w:rsidRPr="0072678C">
        <w:rPr>
          <w:rFonts w:asciiTheme="minorHAnsi" w:hAnsiTheme="minorHAnsi" w:cstheme="minorHAnsi"/>
          <w:sz w:val="22"/>
          <w:szCs w:val="22"/>
        </w:rPr>
        <w:lastRenderedPageBreak/>
        <w:t>competência de acordo com o MCASP, ao sistema de controle de ativos de infraestrutura para o reconhecimento dos bens de infraestrutura de acordo com o MCASP, e ao sistema de controle de passivos contingentes para a realização dos procedimentos contábeis patrimoniais de acordo com o MCASP.</w:t>
      </w:r>
    </w:p>
    <w:p w:rsidR="0038477B" w:rsidRPr="0072678C" w:rsidRDefault="0038477B" w:rsidP="0038477B">
      <w:pPr>
        <w:jc w:val="both"/>
        <w:rPr>
          <w:rFonts w:asciiTheme="minorHAnsi" w:hAnsiTheme="minorHAnsi" w:cstheme="minorHAnsi"/>
          <w:color w:val="FF0000"/>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5"/>
        <w:gridCol w:w="1984"/>
        <w:gridCol w:w="945"/>
        <w:gridCol w:w="803"/>
        <w:gridCol w:w="662"/>
      </w:tblGrid>
      <w:tr w:rsidR="002E2572" w:rsidRPr="0072678C" w:rsidTr="0056049A">
        <w:tc>
          <w:tcPr>
            <w:tcW w:w="4395" w:type="dxa"/>
            <w:vMerge w:val="restart"/>
            <w:shd w:val="clear" w:color="auto" w:fill="B4C6E7" w:themeFill="accent5" w:themeFillTint="66"/>
            <w:noWrap/>
            <w:vAlign w:val="bottom"/>
          </w:tcPr>
          <w:p w:rsidR="002E2572" w:rsidRPr="0072678C" w:rsidRDefault="002E2572" w:rsidP="002E2572">
            <w:pPr>
              <w:ind w:right="-1"/>
              <w:jc w:val="both"/>
              <w:rPr>
                <w:rFonts w:asciiTheme="minorHAnsi" w:hAnsiTheme="minorHAnsi" w:cstheme="minorHAnsi"/>
                <w:b/>
              </w:rPr>
            </w:pPr>
            <w:r w:rsidRPr="0072678C">
              <w:rPr>
                <w:rFonts w:asciiTheme="minorHAnsi" w:hAnsiTheme="minorHAnsi" w:cstheme="minorHAnsi"/>
                <w:b/>
                <w:bCs/>
                <w:sz w:val="22"/>
                <w:szCs w:val="22"/>
              </w:rPr>
              <w:t xml:space="preserve">AF 5. GESTÃO DA DÍVIDA PÚBLICA: </w:t>
            </w:r>
            <w:r w:rsidRPr="0072678C">
              <w:rPr>
                <w:rFonts w:asciiTheme="minorHAnsi" w:hAnsiTheme="minorHAnsi" w:cstheme="minorHAnsi"/>
                <w:sz w:val="22"/>
                <w:szCs w:val="22"/>
              </w:rPr>
              <w:t>Supre de forma eficiente as informações sobre as necessidades de financiamento do governo estadual, ao menor custo no longo prazo, respeitando a manutenção de níveis prudentes de risco</w:t>
            </w:r>
          </w:p>
        </w:tc>
        <w:tc>
          <w:tcPr>
            <w:tcW w:w="1984" w:type="dxa"/>
            <w:vMerge w:val="restart"/>
            <w:shd w:val="clear" w:color="auto" w:fill="B4C6E7" w:themeFill="accent5" w:themeFillTint="66"/>
            <w:noWrap/>
            <w:vAlign w:val="center"/>
          </w:tcPr>
          <w:p w:rsidR="002E2572" w:rsidRPr="0072678C" w:rsidRDefault="002E2572" w:rsidP="0056049A">
            <w:pPr>
              <w:ind w:right="-1"/>
              <w:jc w:val="center"/>
              <w:rPr>
                <w:rFonts w:asciiTheme="minorHAnsi" w:hAnsiTheme="minorHAnsi" w:cstheme="minorHAnsi"/>
                <w:b/>
              </w:rPr>
            </w:pPr>
            <w:r w:rsidRPr="0072678C">
              <w:rPr>
                <w:rFonts w:asciiTheme="minorHAnsi" w:hAnsiTheme="minorHAnsi" w:cstheme="minorHAnsi"/>
                <w:b/>
                <w:sz w:val="22"/>
                <w:szCs w:val="22"/>
              </w:rPr>
              <w:t>MATURIDADE</w:t>
            </w:r>
          </w:p>
        </w:tc>
        <w:tc>
          <w:tcPr>
            <w:tcW w:w="2410" w:type="dxa"/>
            <w:gridSpan w:val="3"/>
            <w:tcBorders>
              <w:bottom w:val="single" w:sz="4" w:space="0" w:color="auto"/>
            </w:tcBorders>
            <w:shd w:val="clear" w:color="auto" w:fill="B4C6E7" w:themeFill="accent5" w:themeFillTint="66"/>
          </w:tcPr>
          <w:p w:rsidR="002E2572" w:rsidRPr="0072678C" w:rsidRDefault="002E2572" w:rsidP="0056049A">
            <w:pPr>
              <w:ind w:right="-1"/>
              <w:jc w:val="center"/>
              <w:rPr>
                <w:rFonts w:asciiTheme="minorHAnsi" w:hAnsiTheme="minorHAnsi" w:cstheme="minorHAnsi"/>
                <w:b/>
              </w:rPr>
            </w:pPr>
            <w:r w:rsidRPr="0072678C">
              <w:rPr>
                <w:rFonts w:asciiTheme="minorHAnsi" w:hAnsiTheme="minorHAnsi" w:cstheme="minorHAnsi"/>
                <w:b/>
                <w:sz w:val="22"/>
                <w:szCs w:val="22"/>
              </w:rPr>
              <w:t>Pontuação</w:t>
            </w:r>
          </w:p>
        </w:tc>
      </w:tr>
      <w:tr w:rsidR="002E2572" w:rsidRPr="0072678C" w:rsidTr="002E2572">
        <w:tc>
          <w:tcPr>
            <w:tcW w:w="4395" w:type="dxa"/>
            <w:vMerge/>
            <w:shd w:val="clear" w:color="auto" w:fill="B4C6E7" w:themeFill="accent5" w:themeFillTint="66"/>
            <w:noWrap/>
            <w:vAlign w:val="bottom"/>
          </w:tcPr>
          <w:p w:rsidR="002E2572" w:rsidRPr="0072678C" w:rsidRDefault="002E2572" w:rsidP="0056049A">
            <w:pPr>
              <w:ind w:left="567" w:right="-1"/>
              <w:jc w:val="center"/>
              <w:rPr>
                <w:rFonts w:asciiTheme="minorHAnsi" w:hAnsiTheme="minorHAnsi" w:cstheme="minorHAnsi"/>
                <w:b/>
              </w:rPr>
            </w:pPr>
          </w:p>
        </w:tc>
        <w:tc>
          <w:tcPr>
            <w:tcW w:w="1984" w:type="dxa"/>
            <w:vMerge/>
            <w:tcBorders>
              <w:bottom w:val="single" w:sz="4" w:space="0" w:color="auto"/>
            </w:tcBorders>
            <w:shd w:val="clear" w:color="auto" w:fill="B4C6E7" w:themeFill="accent5" w:themeFillTint="66"/>
            <w:noWrap/>
            <w:vAlign w:val="bottom"/>
          </w:tcPr>
          <w:p w:rsidR="002E2572" w:rsidRPr="0072678C" w:rsidRDefault="002E2572" w:rsidP="0056049A">
            <w:pPr>
              <w:ind w:right="-1"/>
              <w:jc w:val="center"/>
              <w:rPr>
                <w:rFonts w:asciiTheme="minorHAnsi" w:hAnsiTheme="minorHAnsi" w:cstheme="minorHAnsi"/>
                <w:b/>
              </w:rPr>
            </w:pPr>
          </w:p>
        </w:tc>
        <w:tc>
          <w:tcPr>
            <w:tcW w:w="945" w:type="dxa"/>
            <w:tcBorders>
              <w:bottom w:val="single" w:sz="4" w:space="0" w:color="auto"/>
            </w:tcBorders>
            <w:shd w:val="clear" w:color="auto" w:fill="B4C6E7" w:themeFill="accent5" w:themeFillTint="66"/>
            <w:vAlign w:val="center"/>
          </w:tcPr>
          <w:p w:rsidR="002E2572" w:rsidRPr="0072678C" w:rsidRDefault="002E2572" w:rsidP="0056049A">
            <w:pPr>
              <w:jc w:val="center"/>
              <w:rPr>
                <w:rFonts w:asciiTheme="minorHAnsi" w:hAnsiTheme="minorHAnsi" w:cstheme="minorHAnsi"/>
                <w:b/>
              </w:rPr>
            </w:pPr>
            <w:r w:rsidRPr="0072678C">
              <w:rPr>
                <w:rFonts w:asciiTheme="minorHAnsi" w:hAnsiTheme="minorHAnsi" w:cstheme="minorHAnsi"/>
                <w:b/>
                <w:sz w:val="22"/>
                <w:szCs w:val="22"/>
              </w:rPr>
              <w:t>Máxima</w:t>
            </w:r>
          </w:p>
        </w:tc>
        <w:tc>
          <w:tcPr>
            <w:tcW w:w="803" w:type="dxa"/>
            <w:tcBorders>
              <w:bottom w:val="single" w:sz="4" w:space="0" w:color="auto"/>
            </w:tcBorders>
            <w:shd w:val="clear" w:color="auto" w:fill="B4C6E7" w:themeFill="accent5" w:themeFillTint="66"/>
            <w:vAlign w:val="center"/>
          </w:tcPr>
          <w:p w:rsidR="002E2572" w:rsidRPr="0072678C" w:rsidRDefault="002E2572" w:rsidP="0056049A">
            <w:pPr>
              <w:jc w:val="center"/>
              <w:rPr>
                <w:rFonts w:asciiTheme="minorHAnsi" w:hAnsiTheme="minorHAnsi" w:cstheme="minorHAnsi"/>
                <w:b/>
              </w:rPr>
            </w:pPr>
            <w:r w:rsidRPr="0072678C">
              <w:rPr>
                <w:rFonts w:asciiTheme="minorHAnsi" w:hAnsiTheme="minorHAnsi" w:cstheme="minorHAnsi"/>
                <w:b/>
                <w:sz w:val="22"/>
                <w:szCs w:val="22"/>
              </w:rPr>
              <w:t>Obtida</w:t>
            </w:r>
          </w:p>
        </w:tc>
        <w:tc>
          <w:tcPr>
            <w:tcW w:w="662" w:type="dxa"/>
            <w:tcBorders>
              <w:bottom w:val="single" w:sz="4" w:space="0" w:color="auto"/>
            </w:tcBorders>
            <w:shd w:val="clear" w:color="auto" w:fill="B4C6E7" w:themeFill="accent5" w:themeFillTint="66"/>
            <w:vAlign w:val="center"/>
          </w:tcPr>
          <w:p w:rsidR="002E2572" w:rsidRPr="0072678C" w:rsidRDefault="002E2572" w:rsidP="0056049A">
            <w:pPr>
              <w:jc w:val="center"/>
              <w:rPr>
                <w:rFonts w:asciiTheme="minorHAnsi" w:hAnsiTheme="minorHAnsi" w:cstheme="minorHAnsi"/>
                <w:b/>
              </w:rPr>
            </w:pPr>
            <w:r w:rsidRPr="0072678C">
              <w:rPr>
                <w:rFonts w:asciiTheme="minorHAnsi" w:hAnsiTheme="minorHAnsi" w:cstheme="minorHAnsi"/>
                <w:b/>
                <w:sz w:val="22"/>
                <w:szCs w:val="22"/>
              </w:rPr>
              <w:t>%</w:t>
            </w:r>
          </w:p>
        </w:tc>
      </w:tr>
      <w:tr w:rsidR="002E2572" w:rsidRPr="0072678C" w:rsidTr="007464C9">
        <w:tc>
          <w:tcPr>
            <w:tcW w:w="4395" w:type="dxa"/>
            <w:vMerge/>
            <w:shd w:val="clear" w:color="auto" w:fill="auto"/>
            <w:noWrap/>
            <w:vAlign w:val="center"/>
            <w:hideMark/>
          </w:tcPr>
          <w:p w:rsidR="002E2572" w:rsidRPr="0072678C" w:rsidRDefault="002E2572" w:rsidP="007464C9">
            <w:pPr>
              <w:jc w:val="center"/>
              <w:rPr>
                <w:rFonts w:ascii="Calibri" w:hAnsi="Calibri" w:cs="Calibri"/>
              </w:rPr>
            </w:pPr>
          </w:p>
        </w:tc>
        <w:tc>
          <w:tcPr>
            <w:tcW w:w="1984" w:type="dxa"/>
            <w:shd w:val="clear" w:color="auto" w:fill="auto"/>
            <w:noWrap/>
            <w:vAlign w:val="center"/>
            <w:hideMark/>
          </w:tcPr>
          <w:p w:rsidR="002E2572" w:rsidRPr="0072678C" w:rsidRDefault="002E2572" w:rsidP="007464C9">
            <w:pPr>
              <w:jc w:val="center"/>
              <w:rPr>
                <w:rFonts w:ascii="Calibri" w:hAnsi="Calibri" w:cs="Calibri"/>
                <w:b/>
                <w:bCs/>
              </w:rPr>
            </w:pPr>
            <w:r w:rsidRPr="0072678C">
              <w:rPr>
                <w:rFonts w:ascii="Calibri" w:hAnsi="Calibri" w:cs="Calibri"/>
                <w:b/>
                <w:bCs/>
                <w:sz w:val="22"/>
                <w:szCs w:val="22"/>
              </w:rPr>
              <w:t>INTERMEDIÁRIO (-)</w:t>
            </w:r>
          </w:p>
        </w:tc>
        <w:tc>
          <w:tcPr>
            <w:tcW w:w="945" w:type="dxa"/>
            <w:vAlign w:val="center"/>
          </w:tcPr>
          <w:p w:rsidR="002E2572" w:rsidRPr="0072678C" w:rsidRDefault="002E2572" w:rsidP="007464C9">
            <w:pPr>
              <w:jc w:val="center"/>
              <w:rPr>
                <w:rFonts w:ascii="Calibri" w:hAnsi="Calibri" w:cs="Calibri"/>
              </w:rPr>
            </w:pPr>
            <w:r w:rsidRPr="0072678C">
              <w:rPr>
                <w:rFonts w:ascii="Calibri" w:hAnsi="Calibri" w:cs="Calibri"/>
                <w:sz w:val="22"/>
                <w:szCs w:val="22"/>
              </w:rPr>
              <w:t>15</w:t>
            </w:r>
          </w:p>
        </w:tc>
        <w:tc>
          <w:tcPr>
            <w:tcW w:w="803" w:type="dxa"/>
            <w:vAlign w:val="center"/>
          </w:tcPr>
          <w:p w:rsidR="002E2572" w:rsidRPr="0072678C" w:rsidRDefault="002E2572" w:rsidP="007464C9">
            <w:pPr>
              <w:jc w:val="center"/>
              <w:rPr>
                <w:rFonts w:ascii="Calibri" w:hAnsi="Calibri" w:cs="Calibri"/>
              </w:rPr>
            </w:pPr>
            <w:r w:rsidRPr="0072678C">
              <w:rPr>
                <w:rFonts w:ascii="Calibri" w:hAnsi="Calibri" w:cs="Calibri"/>
                <w:sz w:val="22"/>
                <w:szCs w:val="22"/>
              </w:rPr>
              <w:t>8</w:t>
            </w:r>
          </w:p>
        </w:tc>
        <w:tc>
          <w:tcPr>
            <w:tcW w:w="662" w:type="dxa"/>
            <w:vAlign w:val="center"/>
          </w:tcPr>
          <w:p w:rsidR="002E2572" w:rsidRPr="0072678C" w:rsidRDefault="002E2572" w:rsidP="007464C9">
            <w:pPr>
              <w:jc w:val="center"/>
              <w:rPr>
                <w:rFonts w:ascii="Calibri" w:hAnsi="Calibri" w:cs="Calibri"/>
              </w:rPr>
            </w:pPr>
            <w:r w:rsidRPr="0072678C">
              <w:rPr>
                <w:rFonts w:ascii="Calibri" w:hAnsi="Calibri" w:cs="Calibri"/>
                <w:sz w:val="22"/>
                <w:szCs w:val="22"/>
              </w:rPr>
              <w:t>53%</w:t>
            </w:r>
          </w:p>
        </w:tc>
      </w:tr>
    </w:tbl>
    <w:p w:rsidR="00C27CB7" w:rsidRPr="0072678C" w:rsidRDefault="00C27CB7" w:rsidP="00343759">
      <w:pPr>
        <w:jc w:val="both"/>
        <w:rPr>
          <w:rFonts w:asciiTheme="minorHAnsi" w:hAnsiTheme="minorHAnsi" w:cstheme="minorHAnsi"/>
          <w:sz w:val="22"/>
          <w:szCs w:val="22"/>
        </w:rPr>
      </w:pPr>
    </w:p>
    <w:p w:rsidR="00343759" w:rsidRPr="0072678C" w:rsidRDefault="00343759" w:rsidP="00343759">
      <w:pPr>
        <w:jc w:val="both"/>
        <w:rPr>
          <w:rFonts w:asciiTheme="minorHAnsi" w:hAnsiTheme="minorHAnsi" w:cstheme="minorHAnsi"/>
          <w:sz w:val="22"/>
          <w:szCs w:val="22"/>
        </w:rPr>
      </w:pPr>
      <w:r w:rsidRPr="0072678C">
        <w:rPr>
          <w:rFonts w:asciiTheme="minorHAnsi" w:hAnsiTheme="minorHAnsi" w:cstheme="minorHAnsi"/>
          <w:sz w:val="22"/>
          <w:szCs w:val="22"/>
        </w:rPr>
        <w:t xml:space="preserve">O processo </w:t>
      </w:r>
      <w:r w:rsidRPr="0072678C">
        <w:rPr>
          <w:rFonts w:asciiTheme="minorHAnsi" w:hAnsiTheme="minorHAnsi" w:cstheme="minorHAnsi"/>
          <w:b/>
          <w:bCs/>
          <w:i/>
          <w:iCs/>
          <w:sz w:val="22"/>
          <w:szCs w:val="22"/>
        </w:rPr>
        <w:t>direcionamento estratégico da gestão da dívida</w:t>
      </w:r>
      <w:r w:rsidRPr="0072678C">
        <w:rPr>
          <w:rFonts w:asciiTheme="minorHAnsi" w:hAnsiTheme="minorHAnsi" w:cstheme="minorHAnsi"/>
          <w:sz w:val="22"/>
          <w:szCs w:val="22"/>
        </w:rPr>
        <w:t xml:space="preserve"> deixou de atende a dois requisitos, ou seja, não avalia os resultados em relação aos objetivos de gestão; e não contempla auditorias externas das atividades, políticas e operações da dívida.</w:t>
      </w:r>
    </w:p>
    <w:p w:rsidR="00343759" w:rsidRPr="0072678C" w:rsidRDefault="00343759" w:rsidP="00343759">
      <w:pPr>
        <w:jc w:val="both"/>
        <w:rPr>
          <w:rFonts w:asciiTheme="minorHAnsi" w:hAnsiTheme="minorHAnsi" w:cstheme="minorHAnsi"/>
          <w:sz w:val="22"/>
          <w:szCs w:val="22"/>
        </w:rPr>
      </w:pPr>
    </w:p>
    <w:p w:rsidR="00343759" w:rsidRPr="0072678C" w:rsidRDefault="00343759" w:rsidP="00343759">
      <w:pPr>
        <w:jc w:val="both"/>
        <w:rPr>
          <w:rFonts w:asciiTheme="minorHAnsi" w:hAnsiTheme="minorHAnsi" w:cstheme="minorHAnsi"/>
          <w:sz w:val="22"/>
          <w:szCs w:val="22"/>
        </w:rPr>
      </w:pPr>
      <w:r w:rsidRPr="0072678C">
        <w:rPr>
          <w:rFonts w:asciiTheme="minorHAnsi" w:hAnsiTheme="minorHAnsi" w:cstheme="minorHAnsi"/>
          <w:sz w:val="22"/>
          <w:szCs w:val="22"/>
        </w:rPr>
        <w:t xml:space="preserve">No que se refere ao processo de </w:t>
      </w:r>
      <w:r w:rsidRPr="0072678C">
        <w:rPr>
          <w:rFonts w:asciiTheme="minorHAnsi" w:hAnsiTheme="minorHAnsi" w:cstheme="minorHAnsi"/>
          <w:b/>
          <w:bCs/>
          <w:i/>
          <w:iCs/>
          <w:sz w:val="22"/>
          <w:szCs w:val="22"/>
        </w:rPr>
        <w:t xml:space="preserve">coordenação da gestão da dívida com a política fiscal </w:t>
      </w:r>
      <w:r w:rsidRPr="0072678C">
        <w:rPr>
          <w:rFonts w:asciiTheme="minorHAnsi" w:hAnsiTheme="minorHAnsi" w:cstheme="minorHAnsi"/>
          <w:sz w:val="22"/>
          <w:szCs w:val="22"/>
        </w:rPr>
        <w:t>a SEFAZ/SP não elabora projeções da dívida com análise de cenários e nem considera o cenário mais pessimista; e não inclui nas previsões as análises de sensibilidade da linha de base para as flutuações na taxa de juros e na taxa cambial.</w:t>
      </w:r>
    </w:p>
    <w:p w:rsidR="00343759" w:rsidRPr="0072678C" w:rsidRDefault="00343759" w:rsidP="004C2134">
      <w:pPr>
        <w:rPr>
          <w:rFonts w:asciiTheme="minorHAnsi" w:hAnsiTheme="minorHAnsi" w:cstheme="minorHAnsi"/>
          <w:sz w:val="22"/>
          <w:szCs w:val="22"/>
        </w:rPr>
      </w:pPr>
    </w:p>
    <w:p w:rsidR="00343759" w:rsidRPr="0072678C" w:rsidRDefault="00343759" w:rsidP="00B4317B">
      <w:pPr>
        <w:jc w:val="both"/>
        <w:rPr>
          <w:rFonts w:asciiTheme="minorHAnsi" w:hAnsiTheme="minorHAnsi" w:cstheme="minorHAnsi"/>
          <w:sz w:val="22"/>
          <w:szCs w:val="22"/>
        </w:rPr>
      </w:pPr>
      <w:r w:rsidRPr="0072678C">
        <w:rPr>
          <w:rFonts w:asciiTheme="minorHAnsi" w:hAnsiTheme="minorHAnsi" w:cstheme="minorHAnsi"/>
          <w:sz w:val="22"/>
          <w:szCs w:val="22"/>
        </w:rPr>
        <w:t xml:space="preserve">O processo </w:t>
      </w:r>
      <w:r w:rsidRPr="0072678C">
        <w:rPr>
          <w:rFonts w:asciiTheme="minorHAnsi" w:hAnsiTheme="minorHAnsi" w:cstheme="minorHAnsi"/>
          <w:b/>
          <w:bCs/>
          <w:i/>
          <w:iCs/>
          <w:sz w:val="22"/>
          <w:szCs w:val="22"/>
        </w:rPr>
        <w:t>administração e controle da dívida</w:t>
      </w:r>
      <w:r w:rsidR="00B4317B" w:rsidRPr="0072678C">
        <w:rPr>
          <w:rFonts w:asciiTheme="minorHAnsi" w:hAnsiTheme="minorHAnsi" w:cstheme="minorHAnsi"/>
          <w:sz w:val="22"/>
          <w:szCs w:val="22"/>
        </w:rPr>
        <w:t xml:space="preserve"> não e</w:t>
      </w:r>
      <w:r w:rsidRPr="0072678C">
        <w:rPr>
          <w:rFonts w:asciiTheme="minorHAnsi" w:hAnsiTheme="minorHAnsi" w:cstheme="minorHAnsi"/>
          <w:sz w:val="22"/>
          <w:szCs w:val="22"/>
        </w:rPr>
        <w:t>labora relatórios mensais das</w:t>
      </w:r>
      <w:r w:rsidR="00B4317B" w:rsidRPr="0072678C">
        <w:rPr>
          <w:rFonts w:asciiTheme="minorHAnsi" w:hAnsiTheme="minorHAnsi" w:cstheme="minorHAnsi"/>
          <w:sz w:val="22"/>
          <w:szCs w:val="22"/>
        </w:rPr>
        <w:t xml:space="preserve"> operações de crédito estaduais nem </w:t>
      </w:r>
      <w:r w:rsidRPr="0072678C">
        <w:rPr>
          <w:rFonts w:asciiTheme="minorHAnsi" w:hAnsiTheme="minorHAnsi" w:cstheme="minorHAnsi"/>
          <w:sz w:val="22"/>
          <w:szCs w:val="22"/>
        </w:rPr>
        <w:t xml:space="preserve">relatório consolidado anual da </w:t>
      </w:r>
      <w:proofErr w:type="spellStart"/>
      <w:r w:rsidRPr="0072678C">
        <w:rPr>
          <w:rFonts w:asciiTheme="minorHAnsi" w:hAnsiTheme="minorHAnsi" w:cstheme="minorHAnsi"/>
          <w:sz w:val="22"/>
          <w:szCs w:val="22"/>
        </w:rPr>
        <w:t>divida</w:t>
      </w:r>
      <w:proofErr w:type="spellEnd"/>
      <w:r w:rsidRPr="0072678C">
        <w:rPr>
          <w:rFonts w:asciiTheme="minorHAnsi" w:hAnsiTheme="minorHAnsi" w:cstheme="minorHAnsi"/>
          <w:sz w:val="22"/>
          <w:szCs w:val="22"/>
        </w:rPr>
        <w:t xml:space="preserve"> pública</w:t>
      </w:r>
      <w:r w:rsidR="00B4317B" w:rsidRPr="0072678C">
        <w:rPr>
          <w:rFonts w:asciiTheme="minorHAnsi" w:hAnsiTheme="minorHAnsi" w:cstheme="minorHAnsi"/>
          <w:sz w:val="22"/>
          <w:szCs w:val="22"/>
        </w:rPr>
        <w:t>.</w:t>
      </w:r>
    </w:p>
    <w:p w:rsidR="00B4317B" w:rsidRPr="0072678C" w:rsidRDefault="00B4317B" w:rsidP="00B4317B">
      <w:pPr>
        <w:jc w:val="both"/>
        <w:rPr>
          <w:rFonts w:asciiTheme="minorHAnsi" w:hAnsiTheme="minorHAnsi" w:cstheme="minorHAnsi"/>
          <w:sz w:val="22"/>
          <w:szCs w:val="22"/>
        </w:rPr>
      </w:pPr>
    </w:p>
    <w:p w:rsidR="00B4317B" w:rsidRPr="0072678C" w:rsidRDefault="00B4317B" w:rsidP="00B4317B">
      <w:pPr>
        <w:jc w:val="both"/>
        <w:rPr>
          <w:rFonts w:asciiTheme="minorHAnsi" w:hAnsiTheme="minorHAnsi" w:cstheme="minorHAnsi"/>
          <w:sz w:val="22"/>
          <w:szCs w:val="22"/>
        </w:rPr>
      </w:pPr>
      <w:r w:rsidRPr="0072678C">
        <w:rPr>
          <w:rFonts w:asciiTheme="minorHAnsi" w:hAnsiTheme="minorHAnsi" w:cstheme="minorHAnsi"/>
          <w:sz w:val="22"/>
          <w:szCs w:val="22"/>
        </w:rPr>
        <w:t>A</w:t>
      </w:r>
      <w:r w:rsidRPr="0072678C">
        <w:rPr>
          <w:rFonts w:asciiTheme="minorHAnsi" w:hAnsiTheme="minorHAnsi" w:cstheme="minorHAnsi"/>
          <w:b/>
          <w:bCs/>
          <w:i/>
          <w:iCs/>
          <w:sz w:val="22"/>
          <w:szCs w:val="22"/>
        </w:rPr>
        <w:t xml:space="preserve"> auditoria interna e externa da dívida</w:t>
      </w:r>
      <w:r w:rsidRPr="0072678C">
        <w:rPr>
          <w:rFonts w:asciiTheme="minorHAnsi" w:hAnsiTheme="minorHAnsi" w:cstheme="minorHAnsi"/>
          <w:sz w:val="22"/>
          <w:szCs w:val="22"/>
        </w:rPr>
        <w:t xml:space="preserve"> não utiliza as normas e padrões internacionais.</w:t>
      </w:r>
    </w:p>
    <w:p w:rsidR="00B4317B" w:rsidRPr="0072678C" w:rsidRDefault="00B4317B" w:rsidP="00B4317B">
      <w:pPr>
        <w:jc w:val="both"/>
        <w:rPr>
          <w:rFonts w:asciiTheme="minorHAnsi" w:hAnsiTheme="minorHAnsi" w:cstheme="minorHAnsi"/>
          <w:sz w:val="22"/>
          <w:szCs w:val="22"/>
        </w:rPr>
      </w:pPr>
    </w:p>
    <w:p w:rsidR="00B4317B" w:rsidRPr="0072678C" w:rsidRDefault="00B4317B" w:rsidP="00B4317B">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sistema de gestão da dívida</w:t>
      </w:r>
      <w:r w:rsidRPr="0072678C">
        <w:rPr>
          <w:rFonts w:asciiTheme="minorHAnsi" w:hAnsiTheme="minorHAnsi" w:cstheme="minorHAnsi"/>
          <w:sz w:val="22"/>
          <w:szCs w:val="22"/>
        </w:rPr>
        <w:t xml:space="preserve"> não recepciona os dados atualizados que são conciliados pelo menos mensalmente garantindo sua integridade; não disponibiliza manual de procedimentos atualizado para o processamento do serviço da dívida; não prepara e nem emite eletronicamente as ordens internas de pagamento, nas datas de vencimento; não registra e nem identifica no sistema todos os acessos, o histórico das manutenções e responsáveis por meio de trilhas de auditoria; não realiza backup diário do sistema de documentação e administração da dívida armazenados em local seguro; não disponibiliza relatórios com informações sobre o serviço da dívida, estoque, operações e cumprimento dos requisitos contratuais; e não garante integração de dados deste sistema com outras bases para previsão da dívida.</w:t>
      </w:r>
    </w:p>
    <w:p w:rsidR="00B4317B" w:rsidRPr="0072678C" w:rsidRDefault="00B4317B" w:rsidP="004C2134">
      <w:pPr>
        <w:rPr>
          <w:rFonts w:asciiTheme="minorHAnsi" w:hAnsiTheme="minorHAnsi" w:cstheme="minorHAnsi"/>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5"/>
        <w:gridCol w:w="1984"/>
        <w:gridCol w:w="945"/>
        <w:gridCol w:w="803"/>
        <w:gridCol w:w="662"/>
      </w:tblGrid>
      <w:tr w:rsidR="002E2572" w:rsidRPr="0072678C" w:rsidTr="0056049A">
        <w:tc>
          <w:tcPr>
            <w:tcW w:w="4395" w:type="dxa"/>
            <w:vMerge w:val="restart"/>
            <w:shd w:val="clear" w:color="auto" w:fill="B4C6E7" w:themeFill="accent5" w:themeFillTint="66"/>
            <w:noWrap/>
            <w:vAlign w:val="bottom"/>
          </w:tcPr>
          <w:p w:rsidR="002E2572" w:rsidRPr="0072678C" w:rsidRDefault="002E2572" w:rsidP="002E2572">
            <w:pPr>
              <w:ind w:right="-1"/>
              <w:jc w:val="both"/>
              <w:rPr>
                <w:rFonts w:asciiTheme="minorHAnsi" w:hAnsiTheme="minorHAnsi" w:cstheme="minorHAnsi"/>
                <w:b/>
              </w:rPr>
            </w:pPr>
            <w:r w:rsidRPr="0072678C">
              <w:rPr>
                <w:rFonts w:asciiTheme="minorHAnsi" w:hAnsiTheme="minorHAnsi" w:cstheme="minorHAnsi"/>
                <w:b/>
                <w:bCs/>
                <w:sz w:val="22"/>
                <w:szCs w:val="22"/>
              </w:rPr>
              <w:t xml:space="preserve">AF 6. GESTÃO DE CUSTOS E GASTOS PÚBLICOS: </w:t>
            </w:r>
            <w:r w:rsidRPr="0072678C">
              <w:rPr>
                <w:rFonts w:asciiTheme="minorHAnsi" w:hAnsiTheme="minorHAnsi" w:cstheme="minorHAnsi"/>
                <w:sz w:val="22"/>
                <w:szCs w:val="22"/>
              </w:rPr>
              <w:t>Coleta e analisa as informações de custos com vistas à melhoria da qualidade do gasto público</w:t>
            </w:r>
          </w:p>
        </w:tc>
        <w:tc>
          <w:tcPr>
            <w:tcW w:w="1984" w:type="dxa"/>
            <w:vMerge w:val="restart"/>
            <w:shd w:val="clear" w:color="auto" w:fill="B4C6E7" w:themeFill="accent5" w:themeFillTint="66"/>
            <w:noWrap/>
            <w:vAlign w:val="center"/>
          </w:tcPr>
          <w:p w:rsidR="002E2572" w:rsidRPr="0072678C" w:rsidRDefault="002E2572" w:rsidP="0056049A">
            <w:pPr>
              <w:ind w:right="-1"/>
              <w:jc w:val="center"/>
              <w:rPr>
                <w:rFonts w:asciiTheme="minorHAnsi" w:hAnsiTheme="minorHAnsi" w:cstheme="minorHAnsi"/>
                <w:b/>
              </w:rPr>
            </w:pPr>
            <w:r w:rsidRPr="0072678C">
              <w:rPr>
                <w:rFonts w:asciiTheme="minorHAnsi" w:hAnsiTheme="minorHAnsi" w:cstheme="minorHAnsi"/>
                <w:b/>
                <w:sz w:val="22"/>
                <w:szCs w:val="22"/>
              </w:rPr>
              <w:t>MATURIDADE</w:t>
            </w:r>
          </w:p>
        </w:tc>
        <w:tc>
          <w:tcPr>
            <w:tcW w:w="2410" w:type="dxa"/>
            <w:gridSpan w:val="3"/>
            <w:tcBorders>
              <w:bottom w:val="single" w:sz="4" w:space="0" w:color="auto"/>
            </w:tcBorders>
            <w:shd w:val="clear" w:color="auto" w:fill="B4C6E7" w:themeFill="accent5" w:themeFillTint="66"/>
          </w:tcPr>
          <w:p w:rsidR="002E2572" w:rsidRPr="0072678C" w:rsidRDefault="002E2572" w:rsidP="0056049A">
            <w:pPr>
              <w:ind w:right="-1"/>
              <w:jc w:val="center"/>
              <w:rPr>
                <w:rFonts w:asciiTheme="minorHAnsi" w:hAnsiTheme="minorHAnsi" w:cstheme="minorHAnsi"/>
                <w:b/>
              </w:rPr>
            </w:pPr>
            <w:r w:rsidRPr="0072678C">
              <w:rPr>
                <w:rFonts w:asciiTheme="minorHAnsi" w:hAnsiTheme="minorHAnsi" w:cstheme="minorHAnsi"/>
                <w:b/>
                <w:sz w:val="22"/>
                <w:szCs w:val="22"/>
              </w:rPr>
              <w:t>Pontuação</w:t>
            </w:r>
          </w:p>
        </w:tc>
      </w:tr>
      <w:tr w:rsidR="002E2572" w:rsidRPr="0072678C" w:rsidTr="002E2572">
        <w:tc>
          <w:tcPr>
            <w:tcW w:w="4395" w:type="dxa"/>
            <w:vMerge/>
            <w:shd w:val="clear" w:color="auto" w:fill="B4C6E7" w:themeFill="accent5" w:themeFillTint="66"/>
            <w:noWrap/>
            <w:vAlign w:val="bottom"/>
          </w:tcPr>
          <w:p w:rsidR="002E2572" w:rsidRPr="0072678C" w:rsidRDefault="002E2572" w:rsidP="0056049A">
            <w:pPr>
              <w:ind w:left="567" w:right="-1"/>
              <w:jc w:val="center"/>
              <w:rPr>
                <w:rFonts w:asciiTheme="minorHAnsi" w:hAnsiTheme="minorHAnsi" w:cstheme="minorHAnsi"/>
                <w:b/>
              </w:rPr>
            </w:pPr>
          </w:p>
        </w:tc>
        <w:tc>
          <w:tcPr>
            <w:tcW w:w="1984" w:type="dxa"/>
            <w:vMerge/>
            <w:tcBorders>
              <w:bottom w:val="single" w:sz="4" w:space="0" w:color="auto"/>
            </w:tcBorders>
            <w:shd w:val="clear" w:color="auto" w:fill="B4C6E7" w:themeFill="accent5" w:themeFillTint="66"/>
            <w:noWrap/>
            <w:vAlign w:val="bottom"/>
          </w:tcPr>
          <w:p w:rsidR="002E2572" w:rsidRPr="0072678C" w:rsidRDefault="002E2572" w:rsidP="0056049A">
            <w:pPr>
              <w:ind w:right="-1"/>
              <w:jc w:val="center"/>
              <w:rPr>
                <w:rFonts w:asciiTheme="minorHAnsi" w:hAnsiTheme="minorHAnsi" w:cstheme="minorHAnsi"/>
                <w:b/>
              </w:rPr>
            </w:pPr>
          </w:p>
        </w:tc>
        <w:tc>
          <w:tcPr>
            <w:tcW w:w="945" w:type="dxa"/>
            <w:tcBorders>
              <w:bottom w:val="single" w:sz="4" w:space="0" w:color="auto"/>
            </w:tcBorders>
            <w:shd w:val="clear" w:color="auto" w:fill="B4C6E7" w:themeFill="accent5" w:themeFillTint="66"/>
            <w:vAlign w:val="center"/>
          </w:tcPr>
          <w:p w:rsidR="002E2572" w:rsidRPr="0072678C" w:rsidRDefault="002E2572" w:rsidP="0056049A">
            <w:pPr>
              <w:jc w:val="center"/>
              <w:rPr>
                <w:rFonts w:asciiTheme="minorHAnsi" w:hAnsiTheme="minorHAnsi" w:cstheme="minorHAnsi"/>
                <w:b/>
              </w:rPr>
            </w:pPr>
            <w:r w:rsidRPr="0072678C">
              <w:rPr>
                <w:rFonts w:asciiTheme="minorHAnsi" w:hAnsiTheme="minorHAnsi" w:cstheme="minorHAnsi"/>
                <w:b/>
                <w:sz w:val="22"/>
                <w:szCs w:val="22"/>
              </w:rPr>
              <w:t>Máxima</w:t>
            </w:r>
          </w:p>
        </w:tc>
        <w:tc>
          <w:tcPr>
            <w:tcW w:w="803" w:type="dxa"/>
            <w:tcBorders>
              <w:bottom w:val="single" w:sz="4" w:space="0" w:color="auto"/>
            </w:tcBorders>
            <w:shd w:val="clear" w:color="auto" w:fill="B4C6E7" w:themeFill="accent5" w:themeFillTint="66"/>
            <w:vAlign w:val="center"/>
          </w:tcPr>
          <w:p w:rsidR="002E2572" w:rsidRPr="0072678C" w:rsidRDefault="002E2572" w:rsidP="0056049A">
            <w:pPr>
              <w:jc w:val="center"/>
              <w:rPr>
                <w:rFonts w:asciiTheme="minorHAnsi" w:hAnsiTheme="minorHAnsi" w:cstheme="minorHAnsi"/>
                <w:b/>
              </w:rPr>
            </w:pPr>
            <w:r w:rsidRPr="0072678C">
              <w:rPr>
                <w:rFonts w:asciiTheme="minorHAnsi" w:hAnsiTheme="minorHAnsi" w:cstheme="minorHAnsi"/>
                <w:b/>
                <w:sz w:val="22"/>
                <w:szCs w:val="22"/>
              </w:rPr>
              <w:t>Obtida</w:t>
            </w:r>
          </w:p>
        </w:tc>
        <w:tc>
          <w:tcPr>
            <w:tcW w:w="662" w:type="dxa"/>
            <w:tcBorders>
              <w:bottom w:val="single" w:sz="4" w:space="0" w:color="auto"/>
            </w:tcBorders>
            <w:shd w:val="clear" w:color="auto" w:fill="B4C6E7" w:themeFill="accent5" w:themeFillTint="66"/>
            <w:vAlign w:val="center"/>
          </w:tcPr>
          <w:p w:rsidR="002E2572" w:rsidRPr="0072678C" w:rsidRDefault="002E2572" w:rsidP="0056049A">
            <w:pPr>
              <w:jc w:val="center"/>
              <w:rPr>
                <w:rFonts w:asciiTheme="minorHAnsi" w:hAnsiTheme="minorHAnsi" w:cstheme="minorHAnsi"/>
                <w:b/>
              </w:rPr>
            </w:pPr>
            <w:r w:rsidRPr="0072678C">
              <w:rPr>
                <w:rFonts w:asciiTheme="minorHAnsi" w:hAnsiTheme="minorHAnsi" w:cstheme="minorHAnsi"/>
                <w:b/>
                <w:sz w:val="22"/>
                <w:szCs w:val="22"/>
              </w:rPr>
              <w:t>%</w:t>
            </w:r>
          </w:p>
        </w:tc>
      </w:tr>
      <w:tr w:rsidR="002E2572" w:rsidRPr="0072678C" w:rsidTr="002E2572">
        <w:tc>
          <w:tcPr>
            <w:tcW w:w="4395" w:type="dxa"/>
            <w:vMerge/>
            <w:shd w:val="clear" w:color="auto" w:fill="auto"/>
            <w:noWrap/>
            <w:vAlign w:val="bottom"/>
            <w:hideMark/>
          </w:tcPr>
          <w:p w:rsidR="002E2572" w:rsidRPr="0072678C" w:rsidRDefault="002E2572" w:rsidP="00F8668E">
            <w:pPr>
              <w:jc w:val="center"/>
              <w:rPr>
                <w:rFonts w:ascii="Calibri" w:hAnsi="Calibri" w:cs="Calibri"/>
              </w:rPr>
            </w:pPr>
          </w:p>
        </w:tc>
        <w:tc>
          <w:tcPr>
            <w:tcW w:w="1984" w:type="dxa"/>
            <w:shd w:val="clear" w:color="auto" w:fill="auto"/>
            <w:noWrap/>
            <w:vAlign w:val="center"/>
            <w:hideMark/>
          </w:tcPr>
          <w:p w:rsidR="002E2572" w:rsidRPr="0072678C" w:rsidRDefault="002E2572" w:rsidP="002E2572">
            <w:pPr>
              <w:jc w:val="center"/>
              <w:rPr>
                <w:rFonts w:ascii="Calibri" w:hAnsi="Calibri" w:cs="Calibri"/>
                <w:b/>
                <w:bCs/>
              </w:rPr>
            </w:pPr>
            <w:r w:rsidRPr="0072678C">
              <w:rPr>
                <w:rFonts w:ascii="Calibri" w:hAnsi="Calibri" w:cs="Calibri"/>
                <w:b/>
                <w:bCs/>
                <w:sz w:val="22"/>
                <w:szCs w:val="22"/>
              </w:rPr>
              <w:t>INICIANTE (-)</w:t>
            </w:r>
          </w:p>
        </w:tc>
        <w:tc>
          <w:tcPr>
            <w:tcW w:w="945" w:type="dxa"/>
            <w:vAlign w:val="center"/>
          </w:tcPr>
          <w:p w:rsidR="002E2572" w:rsidRPr="0072678C" w:rsidRDefault="002E2572" w:rsidP="002E2572">
            <w:pPr>
              <w:jc w:val="center"/>
              <w:rPr>
                <w:rFonts w:ascii="Calibri" w:hAnsi="Calibri" w:cs="Calibri"/>
              </w:rPr>
            </w:pPr>
            <w:r w:rsidRPr="0072678C">
              <w:rPr>
                <w:rFonts w:ascii="Calibri" w:hAnsi="Calibri" w:cs="Calibri"/>
                <w:sz w:val="22"/>
                <w:szCs w:val="22"/>
              </w:rPr>
              <w:t>42</w:t>
            </w:r>
          </w:p>
        </w:tc>
        <w:tc>
          <w:tcPr>
            <w:tcW w:w="803" w:type="dxa"/>
            <w:vAlign w:val="center"/>
          </w:tcPr>
          <w:p w:rsidR="002E2572" w:rsidRPr="0072678C" w:rsidRDefault="002E2572" w:rsidP="002E2572">
            <w:pPr>
              <w:jc w:val="center"/>
              <w:rPr>
                <w:rFonts w:ascii="Calibri" w:hAnsi="Calibri" w:cs="Calibri"/>
              </w:rPr>
            </w:pPr>
            <w:r w:rsidRPr="0072678C">
              <w:rPr>
                <w:rFonts w:ascii="Calibri" w:hAnsi="Calibri" w:cs="Calibri"/>
                <w:sz w:val="22"/>
                <w:szCs w:val="22"/>
              </w:rPr>
              <w:t>14</w:t>
            </w:r>
          </w:p>
        </w:tc>
        <w:tc>
          <w:tcPr>
            <w:tcW w:w="662" w:type="dxa"/>
            <w:vAlign w:val="center"/>
          </w:tcPr>
          <w:p w:rsidR="002E2572" w:rsidRPr="0072678C" w:rsidRDefault="002E2572" w:rsidP="002E2572">
            <w:pPr>
              <w:jc w:val="center"/>
              <w:rPr>
                <w:rFonts w:ascii="Calibri" w:hAnsi="Calibri" w:cs="Calibri"/>
              </w:rPr>
            </w:pPr>
            <w:r w:rsidRPr="0072678C">
              <w:rPr>
                <w:rFonts w:ascii="Calibri" w:hAnsi="Calibri" w:cs="Calibri"/>
                <w:sz w:val="22"/>
                <w:szCs w:val="22"/>
              </w:rPr>
              <w:t>33%</w:t>
            </w:r>
          </w:p>
        </w:tc>
      </w:tr>
    </w:tbl>
    <w:p w:rsidR="002C433F" w:rsidRPr="0072678C" w:rsidRDefault="002C433F" w:rsidP="00761080">
      <w:pPr>
        <w:jc w:val="both"/>
        <w:rPr>
          <w:rFonts w:asciiTheme="minorHAnsi" w:hAnsiTheme="minorHAnsi" w:cstheme="minorHAnsi"/>
          <w:sz w:val="22"/>
          <w:szCs w:val="22"/>
        </w:rPr>
      </w:pPr>
    </w:p>
    <w:p w:rsidR="002C433F" w:rsidRPr="0072678C" w:rsidRDefault="002C433F" w:rsidP="00761080">
      <w:pPr>
        <w:jc w:val="both"/>
        <w:rPr>
          <w:rFonts w:asciiTheme="minorHAnsi" w:hAnsiTheme="minorHAnsi" w:cstheme="minorHAnsi"/>
          <w:sz w:val="22"/>
          <w:szCs w:val="22"/>
        </w:rPr>
      </w:pPr>
      <w:r w:rsidRPr="0072678C">
        <w:rPr>
          <w:rFonts w:asciiTheme="minorHAnsi" w:hAnsiTheme="minorHAnsi" w:cstheme="minorHAnsi"/>
          <w:sz w:val="22"/>
          <w:szCs w:val="22"/>
        </w:rPr>
        <w:t xml:space="preserve">Para </w:t>
      </w:r>
      <w:r w:rsidR="00027D43" w:rsidRPr="0072678C">
        <w:rPr>
          <w:rFonts w:asciiTheme="minorHAnsi" w:hAnsiTheme="minorHAnsi" w:cstheme="minorHAnsi"/>
          <w:sz w:val="22"/>
          <w:szCs w:val="22"/>
        </w:rPr>
        <w:t xml:space="preserve">a melhoria do </w:t>
      </w:r>
      <w:r w:rsidRPr="0072678C">
        <w:rPr>
          <w:rFonts w:asciiTheme="minorHAnsi" w:hAnsiTheme="minorHAnsi" w:cstheme="minorHAnsi"/>
          <w:sz w:val="22"/>
          <w:szCs w:val="22"/>
        </w:rPr>
        <w:t xml:space="preserve">processo </w:t>
      </w:r>
      <w:r w:rsidRPr="0072678C">
        <w:rPr>
          <w:rFonts w:asciiTheme="minorHAnsi" w:hAnsiTheme="minorHAnsi" w:cstheme="minorHAnsi"/>
          <w:b/>
          <w:bCs/>
          <w:i/>
          <w:iCs/>
          <w:sz w:val="22"/>
          <w:szCs w:val="22"/>
        </w:rPr>
        <w:t xml:space="preserve">direcionamento estratégico da gestão de custos </w:t>
      </w:r>
      <w:r w:rsidRPr="0072678C">
        <w:rPr>
          <w:rFonts w:asciiTheme="minorHAnsi" w:hAnsiTheme="minorHAnsi" w:cstheme="minorHAnsi"/>
          <w:sz w:val="22"/>
          <w:szCs w:val="22"/>
        </w:rPr>
        <w:t xml:space="preserve">a SEFAZ/SP deverá </w:t>
      </w:r>
      <w:r w:rsidR="00027D43" w:rsidRPr="0072678C">
        <w:rPr>
          <w:rFonts w:asciiTheme="minorHAnsi" w:hAnsiTheme="minorHAnsi" w:cstheme="minorHAnsi"/>
          <w:sz w:val="22"/>
          <w:szCs w:val="22"/>
        </w:rPr>
        <w:t xml:space="preserve">comparar </w:t>
      </w:r>
      <w:r w:rsidRPr="0072678C">
        <w:rPr>
          <w:rFonts w:asciiTheme="minorHAnsi" w:hAnsiTheme="minorHAnsi" w:cstheme="minorHAnsi"/>
          <w:sz w:val="22"/>
          <w:szCs w:val="22"/>
        </w:rPr>
        <w:t>os custos das políticas e programas, em relação aos resultados obtidos, na análise da eficiência das ações governamentais</w:t>
      </w:r>
      <w:r w:rsidR="00027D43" w:rsidRPr="0072678C">
        <w:rPr>
          <w:rFonts w:asciiTheme="minorHAnsi" w:hAnsiTheme="minorHAnsi" w:cstheme="minorHAnsi"/>
          <w:sz w:val="22"/>
          <w:szCs w:val="22"/>
        </w:rPr>
        <w:t xml:space="preserve">; analisar </w:t>
      </w:r>
      <w:r w:rsidRPr="0072678C">
        <w:rPr>
          <w:rFonts w:asciiTheme="minorHAnsi" w:hAnsiTheme="minorHAnsi" w:cstheme="minorHAnsi"/>
          <w:sz w:val="22"/>
          <w:szCs w:val="22"/>
        </w:rPr>
        <w:t>os custos públicos na verificação da eficiência alocativa dos recursos públicos</w:t>
      </w:r>
      <w:r w:rsidR="00027D43" w:rsidRPr="0072678C">
        <w:rPr>
          <w:rFonts w:asciiTheme="minorHAnsi" w:hAnsiTheme="minorHAnsi" w:cstheme="minorHAnsi"/>
          <w:sz w:val="22"/>
          <w:szCs w:val="22"/>
        </w:rPr>
        <w:t xml:space="preserve">; dispor de um </w:t>
      </w:r>
      <w:r w:rsidRPr="0072678C">
        <w:rPr>
          <w:rFonts w:asciiTheme="minorHAnsi" w:hAnsiTheme="minorHAnsi" w:cstheme="minorHAnsi"/>
          <w:sz w:val="22"/>
          <w:szCs w:val="22"/>
        </w:rPr>
        <w:t>conjunto de informações gerenciais relacionado com a eficiência, eficácia e efe</w:t>
      </w:r>
      <w:r w:rsidR="00027D43" w:rsidRPr="0072678C">
        <w:rPr>
          <w:rFonts w:asciiTheme="minorHAnsi" w:hAnsiTheme="minorHAnsi" w:cstheme="minorHAnsi"/>
          <w:sz w:val="22"/>
          <w:szCs w:val="22"/>
        </w:rPr>
        <w:t xml:space="preserve">tividade das políticas públicas; realizar </w:t>
      </w:r>
      <w:r w:rsidRPr="0072678C">
        <w:rPr>
          <w:rFonts w:asciiTheme="minorHAnsi" w:hAnsiTheme="minorHAnsi" w:cstheme="minorHAnsi"/>
          <w:sz w:val="22"/>
          <w:szCs w:val="22"/>
        </w:rPr>
        <w:t>comparaç</w:t>
      </w:r>
      <w:r w:rsidR="00027D43" w:rsidRPr="0072678C">
        <w:rPr>
          <w:rFonts w:asciiTheme="minorHAnsi" w:hAnsiTheme="minorHAnsi" w:cstheme="minorHAnsi"/>
          <w:sz w:val="22"/>
          <w:szCs w:val="22"/>
        </w:rPr>
        <w:t xml:space="preserve">ões </w:t>
      </w:r>
      <w:r w:rsidRPr="0072678C">
        <w:rPr>
          <w:rFonts w:asciiTheme="minorHAnsi" w:hAnsiTheme="minorHAnsi" w:cstheme="minorHAnsi"/>
          <w:sz w:val="22"/>
          <w:szCs w:val="22"/>
        </w:rPr>
        <w:t>entre os custos de atividades ou serviços iguais produzidos por unidades organizacionais diferentes</w:t>
      </w:r>
      <w:r w:rsidR="00027D43" w:rsidRPr="0072678C">
        <w:rPr>
          <w:rFonts w:asciiTheme="minorHAnsi" w:hAnsiTheme="minorHAnsi" w:cstheme="minorHAnsi"/>
          <w:sz w:val="22"/>
          <w:szCs w:val="22"/>
        </w:rPr>
        <w:t xml:space="preserve">; </w:t>
      </w:r>
      <w:r w:rsidR="00E43F35" w:rsidRPr="0072678C">
        <w:rPr>
          <w:rFonts w:asciiTheme="minorHAnsi" w:hAnsiTheme="minorHAnsi" w:cstheme="minorHAnsi"/>
          <w:sz w:val="22"/>
          <w:szCs w:val="22"/>
        </w:rPr>
        <w:t xml:space="preserve">formular o </w:t>
      </w:r>
      <w:r w:rsidRPr="0072678C">
        <w:rPr>
          <w:rFonts w:asciiTheme="minorHAnsi" w:hAnsiTheme="minorHAnsi" w:cstheme="minorHAnsi"/>
          <w:sz w:val="22"/>
          <w:szCs w:val="22"/>
        </w:rPr>
        <w:t>plano plurianual e a proposta orçamentária, a partir das informações sobre custos, associadas aos benefícios e valores gerados pela atuação da organização pública</w:t>
      </w:r>
      <w:r w:rsidR="00027D43" w:rsidRPr="0072678C">
        <w:rPr>
          <w:rFonts w:asciiTheme="minorHAnsi" w:hAnsiTheme="minorHAnsi" w:cstheme="minorHAnsi"/>
          <w:sz w:val="22"/>
          <w:szCs w:val="22"/>
        </w:rPr>
        <w:t xml:space="preserve">; e determinar  </w:t>
      </w:r>
      <w:r w:rsidRPr="0072678C">
        <w:rPr>
          <w:rFonts w:asciiTheme="minorHAnsi" w:hAnsiTheme="minorHAnsi" w:cstheme="minorHAnsi"/>
          <w:sz w:val="22"/>
          <w:szCs w:val="22"/>
        </w:rPr>
        <w:t>a utilização dos custos públicos como referência para as respostas às recomendações e às determinações dos órgãos de controle interno e externo</w:t>
      </w:r>
    </w:p>
    <w:p w:rsidR="00761080" w:rsidRPr="0072678C" w:rsidRDefault="00761080" w:rsidP="00761080">
      <w:pPr>
        <w:jc w:val="both"/>
        <w:rPr>
          <w:rFonts w:asciiTheme="minorHAnsi" w:hAnsiTheme="minorHAnsi" w:cstheme="minorHAnsi"/>
          <w:sz w:val="22"/>
          <w:szCs w:val="22"/>
        </w:rPr>
      </w:pPr>
    </w:p>
    <w:p w:rsidR="00761080" w:rsidRPr="0072678C" w:rsidRDefault="00761080" w:rsidP="00761080">
      <w:pPr>
        <w:jc w:val="both"/>
        <w:rPr>
          <w:rFonts w:asciiTheme="minorHAnsi" w:hAnsiTheme="minorHAnsi" w:cstheme="minorHAnsi"/>
          <w:sz w:val="22"/>
          <w:szCs w:val="22"/>
        </w:rPr>
      </w:pPr>
      <w:r w:rsidRPr="0072678C">
        <w:rPr>
          <w:rFonts w:asciiTheme="minorHAnsi" w:hAnsiTheme="minorHAnsi" w:cstheme="minorHAnsi"/>
          <w:sz w:val="22"/>
          <w:szCs w:val="22"/>
        </w:rPr>
        <w:t xml:space="preserve">O processo de </w:t>
      </w:r>
      <w:r w:rsidRPr="0072678C">
        <w:rPr>
          <w:rFonts w:asciiTheme="minorHAnsi" w:hAnsiTheme="minorHAnsi" w:cstheme="minorHAnsi"/>
          <w:b/>
          <w:bCs/>
          <w:i/>
          <w:iCs/>
          <w:sz w:val="22"/>
          <w:szCs w:val="22"/>
        </w:rPr>
        <w:t xml:space="preserve">apuração dos custos estaduais </w:t>
      </w:r>
      <w:r w:rsidRPr="0072678C">
        <w:rPr>
          <w:rFonts w:asciiTheme="minorHAnsi" w:hAnsiTheme="minorHAnsi" w:cstheme="minorHAnsi"/>
          <w:sz w:val="22"/>
          <w:szCs w:val="22"/>
        </w:rPr>
        <w:t xml:space="preserve">deverá adotar uma metodologia para trata e analisa os principais custos por programa/projeto/função/serviço/unidade; definir a sistemática para a apropriação dos custos por unidade e serviço de forma automatizada e para obtenção, validação e consistência dos dados de custos por programa/projeto/função/serviço/unidade; definir os atributos dos relatórios e consultas geradas, contemplando evolução dos custos no tempo e custos por programa/ projeto/serviço/unidade </w:t>
      </w:r>
    </w:p>
    <w:p w:rsidR="00761080" w:rsidRPr="0072678C" w:rsidRDefault="00761080" w:rsidP="00761080">
      <w:pPr>
        <w:jc w:val="both"/>
        <w:rPr>
          <w:rFonts w:asciiTheme="minorHAnsi" w:hAnsiTheme="minorHAnsi" w:cstheme="minorHAnsi"/>
          <w:sz w:val="22"/>
          <w:szCs w:val="22"/>
        </w:rPr>
      </w:pPr>
    </w:p>
    <w:p w:rsidR="00761080" w:rsidRPr="0072678C" w:rsidRDefault="00761080" w:rsidP="00761080">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 xml:space="preserve">sistema estadual de gestão de custos </w:t>
      </w:r>
      <w:r w:rsidRPr="0072678C">
        <w:rPr>
          <w:rFonts w:asciiTheme="minorHAnsi" w:hAnsiTheme="minorHAnsi" w:cstheme="minorHAnsi"/>
          <w:sz w:val="22"/>
          <w:szCs w:val="22"/>
        </w:rPr>
        <w:t>ainda não mensura, controla e avalia os custos dos programas / projetos / funções / serviços / unidades; não apoia o planejamento e avaliação do desempenho institucional; não orienta a definição de reembolsos e a fixação de preços e tarifas</w:t>
      </w:r>
      <w:r w:rsidR="002C433F" w:rsidRPr="0072678C">
        <w:rPr>
          <w:rFonts w:asciiTheme="minorHAnsi" w:hAnsiTheme="minorHAnsi" w:cstheme="minorHAnsi"/>
          <w:sz w:val="22"/>
          <w:szCs w:val="22"/>
        </w:rPr>
        <w:t>; não s</w:t>
      </w:r>
      <w:r w:rsidRPr="0072678C">
        <w:rPr>
          <w:rFonts w:asciiTheme="minorHAnsi" w:hAnsiTheme="minorHAnsi" w:cstheme="minorHAnsi"/>
          <w:sz w:val="22"/>
          <w:szCs w:val="22"/>
        </w:rPr>
        <w:t>ubsidia a avaliação das políticas públ</w:t>
      </w:r>
      <w:r w:rsidR="002C433F" w:rsidRPr="0072678C">
        <w:rPr>
          <w:rFonts w:asciiTheme="minorHAnsi" w:hAnsiTheme="minorHAnsi" w:cstheme="minorHAnsi"/>
          <w:sz w:val="22"/>
          <w:szCs w:val="22"/>
        </w:rPr>
        <w:t>icas e programas governamentais; e não d</w:t>
      </w:r>
      <w:r w:rsidRPr="0072678C">
        <w:rPr>
          <w:rFonts w:asciiTheme="minorHAnsi" w:hAnsiTheme="minorHAnsi" w:cstheme="minorHAnsi"/>
          <w:sz w:val="22"/>
          <w:szCs w:val="22"/>
        </w:rPr>
        <w:t>ireciona auditorias em fun</w:t>
      </w:r>
      <w:r w:rsidR="002C433F" w:rsidRPr="0072678C">
        <w:rPr>
          <w:rFonts w:asciiTheme="minorHAnsi" w:hAnsiTheme="minorHAnsi" w:cstheme="minorHAnsi"/>
          <w:sz w:val="22"/>
          <w:szCs w:val="22"/>
        </w:rPr>
        <w:t>ção de indícios de desperdícios.</w:t>
      </w:r>
    </w:p>
    <w:p w:rsidR="00761080" w:rsidRPr="0072678C" w:rsidRDefault="00761080" w:rsidP="00761080">
      <w:pPr>
        <w:jc w:val="both"/>
        <w:rPr>
          <w:rFonts w:asciiTheme="minorHAnsi" w:hAnsiTheme="minorHAnsi" w:cstheme="minorHAnsi"/>
          <w:sz w:val="22"/>
          <w:szCs w:val="22"/>
        </w:rPr>
      </w:pPr>
    </w:p>
    <w:p w:rsidR="002C433F" w:rsidRPr="0072678C" w:rsidRDefault="002C433F" w:rsidP="00761080">
      <w:pPr>
        <w:jc w:val="both"/>
        <w:rPr>
          <w:rFonts w:asciiTheme="minorHAnsi" w:hAnsiTheme="minorHAnsi" w:cstheme="minorHAnsi"/>
          <w:sz w:val="22"/>
          <w:szCs w:val="22"/>
        </w:rPr>
      </w:pPr>
      <w:r w:rsidRPr="0072678C">
        <w:rPr>
          <w:rFonts w:asciiTheme="minorHAnsi" w:hAnsiTheme="minorHAnsi" w:cstheme="minorHAnsi"/>
          <w:sz w:val="22"/>
          <w:szCs w:val="22"/>
        </w:rPr>
        <w:t xml:space="preserve">No que se refere aos </w:t>
      </w:r>
      <w:r w:rsidRPr="0072678C">
        <w:rPr>
          <w:rFonts w:asciiTheme="minorHAnsi" w:hAnsiTheme="minorHAnsi" w:cstheme="minorHAnsi"/>
          <w:b/>
          <w:bCs/>
          <w:i/>
          <w:iCs/>
          <w:sz w:val="22"/>
          <w:szCs w:val="22"/>
        </w:rPr>
        <w:t>relatórios de custos</w:t>
      </w:r>
      <w:r w:rsidRPr="0072678C">
        <w:rPr>
          <w:rFonts w:asciiTheme="minorHAnsi" w:hAnsiTheme="minorHAnsi" w:cstheme="minorHAnsi"/>
          <w:sz w:val="22"/>
          <w:szCs w:val="22"/>
        </w:rPr>
        <w:t>, os mesmos não apresentam comparações entre os custos de programas e serviços em diferentes unidades; não apresentam a correlação entre os custos, tempo de implantação e atingimento dos resultados planejados por programas e unidades; e não são disponibilizados para acesso pelo público externo,</w:t>
      </w:r>
    </w:p>
    <w:p w:rsidR="002C433F" w:rsidRPr="0072678C" w:rsidRDefault="002C433F" w:rsidP="00761080">
      <w:pPr>
        <w:jc w:val="both"/>
        <w:rPr>
          <w:rFonts w:asciiTheme="minorHAnsi" w:hAnsiTheme="minorHAnsi" w:cstheme="minorHAnsi"/>
          <w:sz w:val="22"/>
          <w:szCs w:val="22"/>
        </w:rPr>
      </w:pPr>
    </w:p>
    <w:p w:rsidR="00E43F35" w:rsidRPr="0072678C" w:rsidRDefault="00E43F35" w:rsidP="00761080">
      <w:pPr>
        <w:jc w:val="both"/>
        <w:rPr>
          <w:rFonts w:asciiTheme="minorHAnsi" w:hAnsiTheme="minorHAnsi" w:cstheme="minorHAnsi"/>
          <w:sz w:val="22"/>
          <w:szCs w:val="22"/>
        </w:rPr>
      </w:pPr>
      <w:r w:rsidRPr="0072678C">
        <w:rPr>
          <w:rFonts w:asciiTheme="minorHAnsi" w:hAnsiTheme="minorHAnsi" w:cstheme="minorHAnsi"/>
          <w:sz w:val="22"/>
          <w:szCs w:val="22"/>
        </w:rPr>
        <w:t xml:space="preserve">Para melhoria e </w:t>
      </w:r>
      <w:r w:rsidRPr="0072678C">
        <w:rPr>
          <w:rFonts w:asciiTheme="minorHAnsi" w:hAnsiTheme="minorHAnsi" w:cstheme="minorHAnsi"/>
          <w:b/>
          <w:bCs/>
          <w:i/>
          <w:iCs/>
          <w:sz w:val="22"/>
          <w:szCs w:val="22"/>
        </w:rPr>
        <w:t xml:space="preserve">racionalização do gasto com pessoal </w:t>
      </w:r>
      <w:r w:rsidRPr="0072678C">
        <w:rPr>
          <w:rFonts w:asciiTheme="minorHAnsi" w:hAnsiTheme="minorHAnsi" w:cstheme="minorHAnsi"/>
          <w:iCs/>
          <w:sz w:val="22"/>
          <w:szCs w:val="22"/>
        </w:rPr>
        <w:t>a SEFAZ/SP deverá u</w:t>
      </w:r>
      <w:r w:rsidRPr="0072678C">
        <w:rPr>
          <w:rFonts w:asciiTheme="minorHAnsi" w:hAnsiTheme="minorHAnsi" w:cstheme="minorHAnsi"/>
          <w:sz w:val="22"/>
          <w:szCs w:val="22"/>
        </w:rPr>
        <w:t>tilizar o dimensionamento da força de trabalho e seus parâmetros de reposição, baseados em avaliação da necessidade para a prestação do serviço considerando automação dos processos; dispor de cadastro atualizado de servidores que permita monitorar ressarcimento de cessões, afastamentos com substituição e o cruzamento de dados com outras bases federais, estaduais e municipais para eliminar duplicidade de vínculos; dispor de um sistema unificado de folha que permite o controle automático da legalidade e do volume dos pagamentos, o bloqueio de operações ilícitas ou não-autorizadas e a auditoria permanente; e deverá receber informações sistemáticas sobre o contencioso para controle da reposição de valores ao erário público de quantias indevidamente pagas ao servidor, por força de decisões judiciais, em especial de liminares que tenham sido posteriormente cassadas.</w:t>
      </w:r>
    </w:p>
    <w:p w:rsidR="00E43F35" w:rsidRPr="0072678C" w:rsidRDefault="00E43F35" w:rsidP="00761080">
      <w:pPr>
        <w:jc w:val="both"/>
        <w:rPr>
          <w:rFonts w:asciiTheme="minorHAnsi" w:hAnsiTheme="minorHAnsi" w:cstheme="minorHAnsi"/>
          <w:sz w:val="22"/>
          <w:szCs w:val="22"/>
        </w:rPr>
      </w:pPr>
    </w:p>
    <w:p w:rsidR="00C320F6" w:rsidRPr="0072678C" w:rsidRDefault="00E43F35" w:rsidP="00761080">
      <w:pPr>
        <w:jc w:val="both"/>
        <w:rPr>
          <w:rFonts w:asciiTheme="minorHAnsi" w:hAnsiTheme="minorHAnsi" w:cstheme="minorHAnsi"/>
          <w:sz w:val="22"/>
          <w:szCs w:val="22"/>
        </w:rPr>
      </w:pPr>
      <w:r w:rsidRPr="0072678C">
        <w:rPr>
          <w:rFonts w:asciiTheme="minorHAnsi" w:hAnsiTheme="minorHAnsi" w:cstheme="minorHAnsi"/>
          <w:sz w:val="22"/>
          <w:szCs w:val="22"/>
        </w:rPr>
        <w:t xml:space="preserve">Com relação a </w:t>
      </w:r>
      <w:r w:rsidRPr="0072678C">
        <w:rPr>
          <w:rFonts w:asciiTheme="minorHAnsi" w:hAnsiTheme="minorHAnsi" w:cstheme="minorHAnsi"/>
          <w:b/>
          <w:bCs/>
          <w:sz w:val="22"/>
          <w:szCs w:val="22"/>
        </w:rPr>
        <w:t>racionalização do gasto nas compras governamentais</w:t>
      </w:r>
      <w:r w:rsidRPr="0072678C">
        <w:rPr>
          <w:rFonts w:asciiTheme="minorHAnsi" w:hAnsiTheme="minorHAnsi" w:cstheme="minorHAnsi"/>
          <w:sz w:val="22"/>
          <w:szCs w:val="22"/>
        </w:rPr>
        <w:t xml:space="preserve"> a SEFAZ/SP deverá definir estratégia e escopo de racionalização com base nos relatórios de custos; adotar centralização, cadastro unificado de fornecedores</w:t>
      </w:r>
      <w:r w:rsidR="00C320F6" w:rsidRPr="0072678C">
        <w:rPr>
          <w:rFonts w:asciiTheme="minorHAnsi" w:hAnsiTheme="minorHAnsi" w:cstheme="minorHAnsi"/>
          <w:sz w:val="22"/>
          <w:szCs w:val="22"/>
        </w:rPr>
        <w:t xml:space="preserve"> </w:t>
      </w:r>
      <w:r w:rsidRPr="0072678C">
        <w:rPr>
          <w:rFonts w:asciiTheme="minorHAnsi" w:hAnsiTheme="minorHAnsi" w:cstheme="minorHAnsi"/>
          <w:sz w:val="22"/>
          <w:szCs w:val="22"/>
        </w:rPr>
        <w:t>e catálogo de materiais e serviços de uso comum para toda a administração direta</w:t>
      </w:r>
      <w:r w:rsidR="00C320F6" w:rsidRPr="0072678C">
        <w:rPr>
          <w:rFonts w:asciiTheme="minorHAnsi" w:hAnsiTheme="minorHAnsi" w:cstheme="minorHAnsi"/>
          <w:sz w:val="22"/>
          <w:szCs w:val="22"/>
        </w:rPr>
        <w:t>, d</w:t>
      </w:r>
      <w:r w:rsidRPr="0072678C">
        <w:rPr>
          <w:rFonts w:asciiTheme="minorHAnsi" w:hAnsiTheme="minorHAnsi" w:cstheme="minorHAnsi"/>
          <w:sz w:val="22"/>
          <w:szCs w:val="22"/>
        </w:rPr>
        <w:t xml:space="preserve">e </w:t>
      </w:r>
      <w:r w:rsidR="00C320F6" w:rsidRPr="0072678C">
        <w:rPr>
          <w:rFonts w:asciiTheme="minorHAnsi" w:hAnsiTheme="minorHAnsi" w:cstheme="minorHAnsi"/>
          <w:sz w:val="22"/>
          <w:szCs w:val="22"/>
        </w:rPr>
        <w:t xml:space="preserve">materiais e serviços específicos da saúde, de medicamentos, de </w:t>
      </w:r>
      <w:r w:rsidRPr="0072678C">
        <w:rPr>
          <w:rFonts w:asciiTheme="minorHAnsi" w:hAnsiTheme="minorHAnsi" w:cstheme="minorHAnsi"/>
          <w:sz w:val="22"/>
          <w:szCs w:val="22"/>
        </w:rPr>
        <w:t>materiais e s</w:t>
      </w:r>
      <w:r w:rsidR="00C320F6" w:rsidRPr="0072678C">
        <w:rPr>
          <w:rFonts w:asciiTheme="minorHAnsi" w:hAnsiTheme="minorHAnsi" w:cstheme="minorHAnsi"/>
          <w:sz w:val="22"/>
          <w:szCs w:val="22"/>
        </w:rPr>
        <w:t>erviços específicos da educação</w:t>
      </w:r>
      <w:r w:rsidRPr="0072678C">
        <w:rPr>
          <w:rFonts w:asciiTheme="minorHAnsi" w:hAnsiTheme="minorHAnsi" w:cstheme="minorHAnsi"/>
          <w:sz w:val="22"/>
          <w:szCs w:val="22"/>
        </w:rPr>
        <w:t xml:space="preserve">, </w:t>
      </w:r>
      <w:r w:rsidR="00C320F6" w:rsidRPr="0072678C">
        <w:rPr>
          <w:rFonts w:asciiTheme="minorHAnsi" w:hAnsiTheme="minorHAnsi" w:cstheme="minorHAnsi"/>
          <w:sz w:val="22"/>
          <w:szCs w:val="22"/>
        </w:rPr>
        <w:t xml:space="preserve">de </w:t>
      </w:r>
      <w:r w:rsidRPr="0072678C">
        <w:rPr>
          <w:rFonts w:asciiTheme="minorHAnsi" w:hAnsiTheme="minorHAnsi" w:cstheme="minorHAnsi"/>
          <w:sz w:val="22"/>
          <w:szCs w:val="22"/>
        </w:rPr>
        <w:t>uniforme e merenda esc</w:t>
      </w:r>
      <w:r w:rsidR="00C320F6" w:rsidRPr="0072678C">
        <w:rPr>
          <w:rFonts w:asciiTheme="minorHAnsi" w:hAnsiTheme="minorHAnsi" w:cstheme="minorHAnsi"/>
          <w:sz w:val="22"/>
          <w:szCs w:val="22"/>
        </w:rPr>
        <w:t xml:space="preserve">olar, </w:t>
      </w:r>
      <w:r w:rsidRPr="0072678C">
        <w:rPr>
          <w:rFonts w:asciiTheme="minorHAnsi" w:hAnsiTheme="minorHAnsi" w:cstheme="minorHAnsi"/>
          <w:sz w:val="22"/>
          <w:szCs w:val="22"/>
        </w:rPr>
        <w:t>de materiais e serviços específicos da segurança pública</w:t>
      </w:r>
      <w:r w:rsidR="00C320F6" w:rsidRPr="0072678C">
        <w:rPr>
          <w:rFonts w:asciiTheme="minorHAnsi" w:hAnsiTheme="minorHAnsi" w:cstheme="minorHAnsi"/>
          <w:sz w:val="22"/>
          <w:szCs w:val="22"/>
        </w:rPr>
        <w:t xml:space="preserve"> observando para todos os setores os </w:t>
      </w:r>
      <w:r w:rsidRPr="0072678C">
        <w:rPr>
          <w:rFonts w:asciiTheme="minorHAnsi" w:hAnsiTheme="minorHAnsi" w:cstheme="minorHAnsi"/>
          <w:sz w:val="22"/>
          <w:szCs w:val="22"/>
        </w:rPr>
        <w:t>preços praticados pelo mercado</w:t>
      </w:r>
      <w:r w:rsidR="00C320F6" w:rsidRPr="0072678C">
        <w:rPr>
          <w:rFonts w:asciiTheme="minorHAnsi" w:hAnsiTheme="minorHAnsi" w:cstheme="minorHAnsi"/>
          <w:sz w:val="22"/>
          <w:szCs w:val="22"/>
        </w:rPr>
        <w:t>.</w:t>
      </w:r>
    </w:p>
    <w:p w:rsidR="002C433F" w:rsidRPr="0072678C" w:rsidRDefault="002C433F" w:rsidP="00761080">
      <w:pPr>
        <w:jc w:val="both"/>
        <w:rPr>
          <w:rFonts w:asciiTheme="minorHAnsi" w:hAnsiTheme="minorHAnsi" w:cstheme="minorHAnsi"/>
          <w:sz w:val="22"/>
          <w:szCs w:val="22"/>
        </w:rPr>
      </w:pPr>
    </w:p>
    <w:p w:rsidR="002C433F" w:rsidRPr="0072678C" w:rsidRDefault="002C433F" w:rsidP="00761080">
      <w:pPr>
        <w:jc w:val="both"/>
        <w:rPr>
          <w:rFonts w:asciiTheme="minorHAnsi" w:hAnsiTheme="minorHAnsi" w:cstheme="minorHAnsi"/>
          <w:sz w:val="22"/>
          <w:szCs w:val="22"/>
        </w:rPr>
      </w:pPr>
      <w:r w:rsidRPr="0072678C">
        <w:rPr>
          <w:rFonts w:asciiTheme="minorHAnsi" w:hAnsiTheme="minorHAnsi" w:cstheme="minorHAnsi"/>
          <w:sz w:val="22"/>
          <w:szCs w:val="22"/>
        </w:rPr>
        <w:t xml:space="preserve">O processo de </w:t>
      </w:r>
      <w:r w:rsidRPr="0072678C">
        <w:rPr>
          <w:rFonts w:asciiTheme="minorHAnsi" w:hAnsiTheme="minorHAnsi" w:cstheme="minorHAnsi"/>
          <w:b/>
          <w:bCs/>
          <w:i/>
          <w:iCs/>
          <w:sz w:val="22"/>
          <w:szCs w:val="22"/>
        </w:rPr>
        <w:t xml:space="preserve">racionalização do gasto com outros serviços e custeios </w:t>
      </w:r>
      <w:r w:rsidRPr="0072678C">
        <w:rPr>
          <w:rFonts w:asciiTheme="minorHAnsi" w:hAnsiTheme="minorHAnsi" w:cstheme="minorHAnsi"/>
          <w:sz w:val="22"/>
          <w:szCs w:val="22"/>
        </w:rPr>
        <w:t>não define estratégia e escopo da racionalização com base nos relatórios de custos.</w:t>
      </w:r>
    </w:p>
    <w:p w:rsidR="002C433F" w:rsidRPr="0072678C" w:rsidRDefault="002C433F" w:rsidP="00761080">
      <w:pPr>
        <w:jc w:val="both"/>
        <w:rPr>
          <w:rFonts w:asciiTheme="minorHAnsi" w:hAnsiTheme="minorHAnsi" w:cstheme="minorHAnsi"/>
          <w:sz w:val="22"/>
          <w:szCs w:val="22"/>
        </w:rPr>
      </w:pPr>
    </w:p>
    <w:p w:rsidR="002C433F" w:rsidRPr="0072678C" w:rsidRDefault="002C433F" w:rsidP="00761080">
      <w:pPr>
        <w:jc w:val="both"/>
        <w:rPr>
          <w:rFonts w:asciiTheme="minorHAnsi" w:hAnsiTheme="minorHAnsi" w:cstheme="minorHAnsi"/>
          <w:sz w:val="22"/>
          <w:szCs w:val="22"/>
        </w:rPr>
      </w:pPr>
      <w:r w:rsidRPr="0072678C">
        <w:rPr>
          <w:rFonts w:asciiTheme="minorHAnsi" w:hAnsiTheme="minorHAnsi" w:cstheme="minorHAnsi"/>
          <w:sz w:val="22"/>
          <w:szCs w:val="22"/>
        </w:rPr>
        <w:t xml:space="preserve">O processo de </w:t>
      </w:r>
      <w:r w:rsidRPr="0072678C">
        <w:rPr>
          <w:rFonts w:asciiTheme="minorHAnsi" w:hAnsiTheme="minorHAnsi" w:cstheme="minorHAnsi"/>
          <w:b/>
          <w:bCs/>
          <w:i/>
          <w:iCs/>
          <w:sz w:val="22"/>
          <w:szCs w:val="22"/>
        </w:rPr>
        <w:t xml:space="preserve">avaliação do gasto dos programas setoriais </w:t>
      </w:r>
      <w:r w:rsidRPr="0072678C">
        <w:rPr>
          <w:rFonts w:asciiTheme="minorHAnsi" w:hAnsiTheme="minorHAnsi" w:cstheme="minorHAnsi"/>
          <w:sz w:val="22"/>
          <w:szCs w:val="22"/>
        </w:rPr>
        <w:t>não verifica se a sistemática do repasse de recursos está condicionada ao controle de custos, introduzindo o conceito de histórico de custos.</w:t>
      </w:r>
    </w:p>
    <w:bookmarkEnd w:id="18"/>
    <w:p w:rsidR="008C6E71" w:rsidRPr="0072678C" w:rsidRDefault="008C6E71" w:rsidP="00222819">
      <w:pPr>
        <w:rPr>
          <w:lang w:eastAsia="en-US"/>
        </w:rPr>
      </w:pPr>
    </w:p>
    <w:p w:rsidR="00222819" w:rsidRPr="0072678C" w:rsidRDefault="009B6560" w:rsidP="00DD6BC3">
      <w:pPr>
        <w:pStyle w:val="Heading1"/>
        <w:numPr>
          <w:ilvl w:val="0"/>
          <w:numId w:val="3"/>
        </w:numPr>
        <w:pBdr>
          <w:top w:val="single" w:sz="4" w:space="1" w:color="auto"/>
          <w:left w:val="single" w:sz="4" w:space="4" w:color="auto"/>
          <w:bottom w:val="single" w:sz="4" w:space="1" w:color="auto"/>
          <w:right w:val="single" w:sz="4" w:space="4" w:color="auto"/>
        </w:pBdr>
        <w:spacing w:after="240"/>
        <w:ind w:left="426" w:hanging="426"/>
        <w:rPr>
          <w:rFonts w:asciiTheme="minorHAnsi" w:hAnsiTheme="minorHAnsi" w:cstheme="minorHAnsi"/>
          <w:b/>
          <w:color w:val="auto"/>
          <w:sz w:val="24"/>
          <w:szCs w:val="22"/>
        </w:rPr>
      </w:pPr>
      <w:bookmarkStart w:id="20" w:name="_Toc518058457"/>
      <w:r w:rsidRPr="0072678C">
        <w:rPr>
          <w:rFonts w:asciiTheme="minorHAnsi" w:hAnsiTheme="minorHAnsi" w:cstheme="minorHAnsi"/>
          <w:b/>
          <w:color w:val="auto"/>
          <w:sz w:val="24"/>
          <w:szCs w:val="22"/>
        </w:rPr>
        <w:lastRenderedPageBreak/>
        <w:t xml:space="preserve">PARTE II – </w:t>
      </w:r>
      <w:r w:rsidR="0048036B" w:rsidRPr="0072678C">
        <w:rPr>
          <w:rFonts w:asciiTheme="minorHAnsi" w:hAnsiTheme="minorHAnsi" w:cstheme="minorHAnsi"/>
          <w:b/>
          <w:color w:val="auto"/>
          <w:sz w:val="24"/>
          <w:szCs w:val="22"/>
        </w:rPr>
        <w:t xml:space="preserve">DETALHAMENTO DA </w:t>
      </w:r>
      <w:r w:rsidR="00B44516" w:rsidRPr="0072678C">
        <w:rPr>
          <w:rFonts w:asciiTheme="minorHAnsi" w:hAnsiTheme="minorHAnsi" w:cstheme="minorHAnsi"/>
          <w:b/>
          <w:color w:val="auto"/>
          <w:sz w:val="24"/>
          <w:szCs w:val="22"/>
        </w:rPr>
        <w:t xml:space="preserve">AVALIAÇÃO DAS </w:t>
      </w:r>
      <w:r w:rsidR="0048036B" w:rsidRPr="0072678C">
        <w:rPr>
          <w:rFonts w:asciiTheme="minorHAnsi" w:hAnsiTheme="minorHAnsi" w:cstheme="minorHAnsi"/>
          <w:b/>
          <w:color w:val="auto"/>
          <w:sz w:val="24"/>
          <w:szCs w:val="22"/>
        </w:rPr>
        <w:t>DIMENSÕES POR EIXO</w:t>
      </w:r>
      <w:bookmarkEnd w:id="20"/>
      <w:r w:rsidR="00B44516" w:rsidRPr="0072678C">
        <w:rPr>
          <w:rFonts w:asciiTheme="minorHAnsi" w:hAnsiTheme="minorHAnsi" w:cstheme="minorHAnsi"/>
          <w:b/>
          <w:color w:val="auto"/>
          <w:sz w:val="24"/>
          <w:szCs w:val="22"/>
        </w:rPr>
        <w:t xml:space="preserve"> </w:t>
      </w:r>
    </w:p>
    <w:p w:rsidR="00B44516" w:rsidRPr="0072678C" w:rsidRDefault="00B44516" w:rsidP="00CC1899">
      <w:pPr>
        <w:pStyle w:val="Heading1"/>
        <w:numPr>
          <w:ilvl w:val="0"/>
          <w:numId w:val="42"/>
        </w:numPr>
        <w:rPr>
          <w:rFonts w:asciiTheme="minorHAnsi" w:hAnsiTheme="minorHAnsi" w:cstheme="minorHAnsi"/>
          <w:b/>
          <w:smallCaps/>
          <w:color w:val="auto"/>
          <w:sz w:val="24"/>
          <w:szCs w:val="22"/>
        </w:rPr>
      </w:pPr>
      <w:bookmarkStart w:id="21" w:name="_Toc518058458"/>
      <w:bookmarkStart w:id="22" w:name="_Hlk492321975"/>
      <w:bookmarkStart w:id="23" w:name="_Hlk493501910"/>
      <w:r w:rsidRPr="0072678C">
        <w:rPr>
          <w:rFonts w:asciiTheme="minorHAnsi" w:hAnsiTheme="minorHAnsi" w:cstheme="minorHAnsi"/>
          <w:b/>
          <w:smallCaps/>
          <w:color w:val="auto"/>
          <w:sz w:val="24"/>
          <w:szCs w:val="22"/>
        </w:rPr>
        <w:t>Eixo I. Gestão Fazendária e Transparência Fiscal (GF)</w:t>
      </w:r>
      <w:bookmarkEnd w:id="21"/>
    </w:p>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 nível de Maturidade de cada Dimensão é apurado a partir do nível de Maturidade do conjunto de seus Processos críticos. Por sua vez, o nível de Maturidade de cada Processo crítico pode variar </w:t>
      </w:r>
      <w:r w:rsidR="00D728E4" w:rsidRPr="0072678C">
        <w:rPr>
          <w:rFonts w:asciiTheme="minorHAnsi" w:hAnsiTheme="minorHAnsi" w:cstheme="minorHAnsi"/>
          <w:sz w:val="22"/>
          <w:szCs w:val="22"/>
        </w:rPr>
        <w:t xml:space="preserve">numa escala de </w:t>
      </w:r>
      <w:r w:rsidRPr="0072678C">
        <w:rPr>
          <w:rFonts w:asciiTheme="minorHAnsi" w:hAnsiTheme="minorHAnsi" w:cstheme="minorHAnsi"/>
          <w:sz w:val="22"/>
          <w:szCs w:val="22"/>
        </w:rPr>
        <w:t xml:space="preserve">0 a 3, a partir do atendimento aos Requisitos de melhores práticas descritos em cada Processo. O detalhamento do </w:t>
      </w:r>
      <w:r w:rsidRPr="0072678C">
        <w:rPr>
          <w:rFonts w:asciiTheme="minorHAnsi" w:hAnsiTheme="minorHAnsi" w:cstheme="minorHAnsi"/>
          <w:b/>
          <w:sz w:val="22"/>
          <w:szCs w:val="22"/>
        </w:rPr>
        <w:t>Eixo I- Gestão Fazendária e Transparência Fiscal</w:t>
      </w:r>
      <w:r w:rsidRPr="0072678C">
        <w:rPr>
          <w:rFonts w:asciiTheme="minorHAnsi" w:hAnsiTheme="minorHAnsi" w:cstheme="minorHAnsi"/>
          <w:sz w:val="22"/>
          <w:szCs w:val="22"/>
        </w:rPr>
        <w:t xml:space="preserve"> com as suas Dimensões e quantidades de Processos críticos e Requisitos de melhores práticas constam no </w:t>
      </w:r>
      <w:r w:rsidRPr="0072678C">
        <w:rPr>
          <w:rFonts w:asciiTheme="minorHAnsi" w:hAnsiTheme="minorHAnsi" w:cstheme="minorHAnsi"/>
          <w:b/>
          <w:sz w:val="22"/>
          <w:szCs w:val="22"/>
        </w:rPr>
        <w:t xml:space="preserve">Quadro </w:t>
      </w:r>
      <w:r w:rsidR="003B190F" w:rsidRPr="0072678C">
        <w:rPr>
          <w:rFonts w:asciiTheme="minorHAnsi" w:hAnsiTheme="minorHAnsi" w:cstheme="minorHAnsi"/>
          <w:b/>
          <w:sz w:val="22"/>
          <w:szCs w:val="22"/>
        </w:rPr>
        <w:t>2</w:t>
      </w:r>
      <w:r w:rsidRPr="0072678C">
        <w:rPr>
          <w:rFonts w:asciiTheme="minorHAnsi" w:hAnsiTheme="minorHAnsi" w:cstheme="minorHAnsi"/>
          <w:sz w:val="22"/>
          <w:szCs w:val="22"/>
        </w:rPr>
        <w:t xml:space="preserve">, a seguir: </w:t>
      </w:r>
    </w:p>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 Maturidade de cada Dimensão está apresentada no </w:t>
      </w:r>
      <w:r w:rsidRPr="0072678C">
        <w:rPr>
          <w:rFonts w:asciiTheme="minorHAnsi" w:hAnsiTheme="minorHAnsi" w:cstheme="minorHAnsi"/>
          <w:b/>
          <w:sz w:val="22"/>
          <w:szCs w:val="22"/>
        </w:rPr>
        <w:t xml:space="preserve">Quadro </w:t>
      </w:r>
      <w:r w:rsidR="003B190F" w:rsidRPr="0072678C">
        <w:rPr>
          <w:rFonts w:asciiTheme="minorHAnsi" w:hAnsiTheme="minorHAnsi" w:cstheme="minorHAnsi"/>
          <w:b/>
          <w:sz w:val="22"/>
          <w:szCs w:val="22"/>
        </w:rPr>
        <w:t>2</w:t>
      </w:r>
      <w:r w:rsidRPr="0072678C">
        <w:rPr>
          <w:rFonts w:asciiTheme="minorHAnsi" w:hAnsiTheme="minorHAnsi" w:cstheme="minorHAnsi"/>
          <w:sz w:val="22"/>
          <w:szCs w:val="22"/>
        </w:rPr>
        <w:t xml:space="preserve"> a seguir</w:t>
      </w:r>
      <w:r w:rsidR="0056049A" w:rsidRPr="0072678C">
        <w:rPr>
          <w:rFonts w:asciiTheme="minorHAnsi" w:hAnsiTheme="minorHAnsi" w:cstheme="minorHAnsi"/>
          <w:sz w:val="22"/>
          <w:szCs w:val="22"/>
        </w:rPr>
        <w:t xml:space="preserve"> em ordem decrescente da maior para a menor maturidade</w:t>
      </w:r>
      <w:r w:rsidRPr="0072678C">
        <w:rPr>
          <w:rFonts w:asciiTheme="minorHAnsi" w:hAnsiTheme="minorHAnsi" w:cstheme="minorHAnsi"/>
          <w:sz w:val="22"/>
          <w:szCs w:val="22"/>
        </w:rPr>
        <w:t>:</w:t>
      </w:r>
    </w:p>
    <w:tbl>
      <w:tblPr>
        <w:tblW w:w="8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7"/>
        <w:gridCol w:w="1776"/>
        <w:gridCol w:w="816"/>
        <w:gridCol w:w="708"/>
        <w:gridCol w:w="588"/>
      </w:tblGrid>
      <w:tr w:rsidR="00FF55A3" w:rsidRPr="0072678C" w:rsidTr="00BB1F8D">
        <w:trPr>
          <w:trHeight w:val="345"/>
          <w:jc w:val="center"/>
        </w:trPr>
        <w:tc>
          <w:tcPr>
            <w:tcW w:w="4937" w:type="dxa"/>
            <w:vMerge w:val="restart"/>
            <w:shd w:val="clear" w:color="000000" w:fill="92D050"/>
            <w:noWrap/>
            <w:vAlign w:val="center"/>
            <w:hideMark/>
          </w:tcPr>
          <w:p w:rsidR="00FF55A3" w:rsidRPr="0072678C" w:rsidRDefault="00FF55A3" w:rsidP="0048036B">
            <w:pPr>
              <w:jc w:val="center"/>
              <w:rPr>
                <w:rFonts w:asciiTheme="minorHAnsi" w:hAnsiTheme="minorHAnsi" w:cstheme="minorHAnsi"/>
                <w:b/>
                <w:bCs/>
                <w:sz w:val="20"/>
                <w:szCs w:val="20"/>
              </w:rPr>
            </w:pPr>
            <w:r w:rsidRPr="0072678C">
              <w:rPr>
                <w:rFonts w:asciiTheme="minorHAnsi" w:hAnsiTheme="minorHAnsi" w:cstheme="minorHAnsi"/>
                <w:b/>
                <w:bCs/>
                <w:sz w:val="20"/>
                <w:szCs w:val="20"/>
              </w:rPr>
              <w:t>EIXO I. GESTÃO FAZENDÁRIA E TRANSPARÊNCIA FISCAL (GF)</w:t>
            </w:r>
          </w:p>
        </w:tc>
        <w:tc>
          <w:tcPr>
            <w:tcW w:w="1776" w:type="dxa"/>
            <w:vMerge w:val="restart"/>
            <w:shd w:val="clear" w:color="000000" w:fill="92D050"/>
            <w:noWrap/>
            <w:vAlign w:val="center"/>
            <w:hideMark/>
          </w:tcPr>
          <w:p w:rsidR="00FF55A3" w:rsidRPr="0072678C" w:rsidRDefault="00FF55A3" w:rsidP="00FF55A3">
            <w:pPr>
              <w:jc w:val="center"/>
              <w:rPr>
                <w:rFonts w:asciiTheme="minorHAnsi" w:hAnsiTheme="minorHAnsi" w:cstheme="minorHAnsi"/>
                <w:b/>
                <w:bCs/>
                <w:sz w:val="20"/>
                <w:szCs w:val="20"/>
              </w:rPr>
            </w:pPr>
            <w:r w:rsidRPr="0072678C">
              <w:rPr>
                <w:rFonts w:asciiTheme="minorHAnsi" w:hAnsiTheme="minorHAnsi" w:cstheme="minorHAnsi"/>
                <w:b/>
                <w:bCs/>
                <w:sz w:val="20"/>
                <w:szCs w:val="20"/>
              </w:rPr>
              <w:t>Maturidade</w:t>
            </w:r>
          </w:p>
        </w:tc>
        <w:tc>
          <w:tcPr>
            <w:tcW w:w="2112" w:type="dxa"/>
            <w:gridSpan w:val="3"/>
            <w:shd w:val="clear" w:color="000000" w:fill="92D050"/>
            <w:vAlign w:val="center"/>
          </w:tcPr>
          <w:p w:rsidR="00FF55A3" w:rsidRPr="0072678C" w:rsidRDefault="00FF55A3" w:rsidP="00B44516">
            <w:pPr>
              <w:jc w:val="center"/>
              <w:rPr>
                <w:rFonts w:asciiTheme="minorHAnsi" w:hAnsiTheme="minorHAnsi" w:cstheme="minorHAnsi"/>
                <w:b/>
                <w:sz w:val="20"/>
                <w:szCs w:val="20"/>
              </w:rPr>
            </w:pPr>
            <w:r w:rsidRPr="0072678C">
              <w:rPr>
                <w:rFonts w:asciiTheme="minorHAnsi" w:hAnsiTheme="minorHAnsi" w:cstheme="minorHAnsi"/>
                <w:b/>
                <w:sz w:val="20"/>
                <w:szCs w:val="20"/>
              </w:rPr>
              <w:t xml:space="preserve">Pontuação </w:t>
            </w:r>
          </w:p>
        </w:tc>
      </w:tr>
      <w:tr w:rsidR="00FF55A3" w:rsidRPr="0072678C" w:rsidTr="00BB1F8D">
        <w:trPr>
          <w:trHeight w:val="345"/>
          <w:jc w:val="center"/>
        </w:trPr>
        <w:tc>
          <w:tcPr>
            <w:tcW w:w="4937" w:type="dxa"/>
            <w:vMerge/>
            <w:shd w:val="clear" w:color="000000" w:fill="92D050"/>
            <w:noWrap/>
            <w:vAlign w:val="bottom"/>
            <w:hideMark/>
          </w:tcPr>
          <w:p w:rsidR="00FF55A3" w:rsidRPr="0072678C" w:rsidRDefault="00FF55A3" w:rsidP="00B44516">
            <w:pPr>
              <w:rPr>
                <w:rFonts w:asciiTheme="minorHAnsi" w:hAnsiTheme="minorHAnsi" w:cstheme="minorHAnsi"/>
                <w:b/>
                <w:bCs/>
                <w:sz w:val="20"/>
                <w:szCs w:val="20"/>
              </w:rPr>
            </w:pPr>
          </w:p>
        </w:tc>
        <w:tc>
          <w:tcPr>
            <w:tcW w:w="1776" w:type="dxa"/>
            <w:vMerge/>
            <w:shd w:val="clear" w:color="000000" w:fill="92D050"/>
            <w:noWrap/>
            <w:vAlign w:val="bottom"/>
            <w:hideMark/>
          </w:tcPr>
          <w:p w:rsidR="00FF55A3" w:rsidRPr="0072678C" w:rsidRDefault="00FF55A3" w:rsidP="00B44516">
            <w:pPr>
              <w:jc w:val="center"/>
              <w:rPr>
                <w:rFonts w:asciiTheme="minorHAnsi" w:hAnsiTheme="minorHAnsi" w:cstheme="minorHAnsi"/>
                <w:b/>
                <w:bCs/>
                <w:sz w:val="20"/>
                <w:szCs w:val="20"/>
              </w:rPr>
            </w:pPr>
          </w:p>
        </w:tc>
        <w:tc>
          <w:tcPr>
            <w:tcW w:w="816" w:type="dxa"/>
            <w:shd w:val="clear" w:color="000000" w:fill="92D050"/>
            <w:vAlign w:val="center"/>
          </w:tcPr>
          <w:p w:rsidR="00FF55A3" w:rsidRPr="0072678C" w:rsidRDefault="00FF55A3" w:rsidP="00B44516">
            <w:pPr>
              <w:jc w:val="center"/>
              <w:rPr>
                <w:rFonts w:asciiTheme="minorHAnsi" w:hAnsiTheme="minorHAnsi" w:cstheme="minorHAnsi"/>
                <w:b/>
                <w:sz w:val="20"/>
                <w:szCs w:val="20"/>
              </w:rPr>
            </w:pPr>
            <w:r w:rsidRPr="0072678C">
              <w:rPr>
                <w:rFonts w:asciiTheme="minorHAnsi" w:hAnsiTheme="minorHAnsi" w:cstheme="minorHAnsi"/>
                <w:b/>
                <w:sz w:val="20"/>
                <w:szCs w:val="20"/>
              </w:rPr>
              <w:t>Máxima</w:t>
            </w:r>
          </w:p>
        </w:tc>
        <w:tc>
          <w:tcPr>
            <w:tcW w:w="708" w:type="dxa"/>
            <w:shd w:val="clear" w:color="000000" w:fill="92D050"/>
            <w:vAlign w:val="center"/>
          </w:tcPr>
          <w:p w:rsidR="00FF55A3" w:rsidRPr="0072678C" w:rsidRDefault="00FF55A3" w:rsidP="00B44516">
            <w:pPr>
              <w:jc w:val="center"/>
              <w:rPr>
                <w:rFonts w:asciiTheme="minorHAnsi" w:hAnsiTheme="minorHAnsi" w:cstheme="minorHAnsi"/>
                <w:b/>
                <w:sz w:val="20"/>
                <w:szCs w:val="20"/>
              </w:rPr>
            </w:pPr>
            <w:r w:rsidRPr="0072678C">
              <w:rPr>
                <w:rFonts w:asciiTheme="minorHAnsi" w:hAnsiTheme="minorHAnsi" w:cstheme="minorHAnsi"/>
                <w:b/>
                <w:sz w:val="20"/>
                <w:szCs w:val="20"/>
              </w:rPr>
              <w:t>Obtida</w:t>
            </w:r>
          </w:p>
        </w:tc>
        <w:tc>
          <w:tcPr>
            <w:tcW w:w="588" w:type="dxa"/>
            <w:shd w:val="clear" w:color="000000" w:fill="92D050"/>
            <w:vAlign w:val="center"/>
          </w:tcPr>
          <w:p w:rsidR="00FF55A3" w:rsidRPr="0072678C" w:rsidRDefault="00FF55A3" w:rsidP="00B44516">
            <w:pPr>
              <w:jc w:val="center"/>
              <w:rPr>
                <w:rFonts w:asciiTheme="minorHAnsi" w:hAnsiTheme="minorHAnsi" w:cstheme="minorHAnsi"/>
                <w:b/>
                <w:sz w:val="20"/>
                <w:szCs w:val="20"/>
              </w:rPr>
            </w:pPr>
            <w:r w:rsidRPr="0072678C">
              <w:rPr>
                <w:rFonts w:asciiTheme="minorHAnsi" w:hAnsiTheme="minorHAnsi" w:cstheme="minorHAnsi"/>
                <w:b/>
                <w:sz w:val="20"/>
                <w:szCs w:val="20"/>
              </w:rPr>
              <w:t>%</w:t>
            </w:r>
          </w:p>
        </w:tc>
      </w:tr>
      <w:tr w:rsidR="00EF4E15" w:rsidRPr="0072678C" w:rsidTr="00BB1F8D">
        <w:trPr>
          <w:trHeight w:val="345"/>
          <w:jc w:val="center"/>
        </w:trPr>
        <w:tc>
          <w:tcPr>
            <w:tcW w:w="4937" w:type="dxa"/>
            <w:shd w:val="clear" w:color="auto" w:fill="auto"/>
            <w:noWrap/>
            <w:vAlign w:val="bottom"/>
            <w:hideMark/>
          </w:tcPr>
          <w:p w:rsidR="00EF4E15" w:rsidRPr="0072678C" w:rsidRDefault="00EF4E15" w:rsidP="00EF4E15">
            <w:pPr>
              <w:ind w:firstLineChars="200" w:firstLine="400"/>
              <w:rPr>
                <w:rFonts w:ascii="Calibri" w:hAnsi="Calibri" w:cs="Calibri"/>
                <w:sz w:val="20"/>
                <w:szCs w:val="20"/>
              </w:rPr>
            </w:pPr>
            <w:r w:rsidRPr="0072678C">
              <w:rPr>
                <w:rFonts w:ascii="Calibri" w:hAnsi="Calibri" w:cs="Calibri"/>
                <w:sz w:val="20"/>
                <w:szCs w:val="20"/>
              </w:rPr>
              <w:t xml:space="preserve">GF 5. Gestão de Aquisições e Materiais </w:t>
            </w:r>
          </w:p>
        </w:tc>
        <w:tc>
          <w:tcPr>
            <w:tcW w:w="1776" w:type="dxa"/>
            <w:shd w:val="clear" w:color="auto" w:fill="auto"/>
            <w:noWrap/>
            <w:vAlign w:val="center"/>
            <w:hideMark/>
          </w:tcPr>
          <w:p w:rsidR="00EF4E15" w:rsidRPr="0072678C" w:rsidRDefault="00EF4E15" w:rsidP="00EF4E15">
            <w:pPr>
              <w:rPr>
                <w:rFonts w:asciiTheme="minorHAnsi" w:hAnsiTheme="minorHAnsi" w:cstheme="minorHAnsi"/>
                <w:b/>
                <w:bCs/>
                <w:sz w:val="20"/>
                <w:szCs w:val="20"/>
              </w:rPr>
            </w:pPr>
            <w:r w:rsidRPr="0072678C">
              <w:rPr>
                <w:rFonts w:asciiTheme="minorHAnsi" w:hAnsiTheme="minorHAnsi" w:cstheme="minorHAnsi"/>
                <w:b/>
                <w:sz w:val="20"/>
                <w:szCs w:val="20"/>
              </w:rPr>
              <w:t>AVANÇADO (+)</w:t>
            </w:r>
          </w:p>
        </w:tc>
        <w:tc>
          <w:tcPr>
            <w:tcW w:w="816" w:type="dxa"/>
            <w:vAlign w:val="bottom"/>
          </w:tcPr>
          <w:p w:rsidR="00EF4E15" w:rsidRPr="0072678C" w:rsidRDefault="00EF4E15" w:rsidP="00EF4E15">
            <w:pPr>
              <w:jc w:val="center"/>
              <w:rPr>
                <w:rFonts w:ascii="Calibri" w:hAnsi="Calibri" w:cs="Calibri"/>
                <w:sz w:val="20"/>
                <w:szCs w:val="20"/>
              </w:rPr>
            </w:pPr>
            <w:r w:rsidRPr="0072678C">
              <w:rPr>
                <w:rFonts w:ascii="Calibri" w:hAnsi="Calibri" w:cs="Calibri"/>
                <w:sz w:val="20"/>
                <w:szCs w:val="20"/>
              </w:rPr>
              <w:t>18</w:t>
            </w:r>
          </w:p>
        </w:tc>
        <w:tc>
          <w:tcPr>
            <w:tcW w:w="708" w:type="dxa"/>
            <w:vAlign w:val="bottom"/>
          </w:tcPr>
          <w:p w:rsidR="00EF4E15" w:rsidRPr="0072678C" w:rsidRDefault="00EF4E15" w:rsidP="00EF4E15">
            <w:pPr>
              <w:jc w:val="center"/>
              <w:rPr>
                <w:rFonts w:ascii="Calibri" w:hAnsi="Calibri" w:cs="Calibri"/>
                <w:sz w:val="20"/>
                <w:szCs w:val="20"/>
              </w:rPr>
            </w:pPr>
            <w:r w:rsidRPr="0072678C">
              <w:rPr>
                <w:rFonts w:ascii="Calibri" w:hAnsi="Calibri" w:cs="Calibri"/>
                <w:sz w:val="20"/>
                <w:szCs w:val="20"/>
              </w:rPr>
              <w:t>18</w:t>
            </w:r>
          </w:p>
        </w:tc>
        <w:tc>
          <w:tcPr>
            <w:tcW w:w="588" w:type="dxa"/>
            <w:vAlign w:val="bottom"/>
          </w:tcPr>
          <w:p w:rsidR="00EF4E15" w:rsidRPr="0072678C" w:rsidRDefault="00EF4E15" w:rsidP="00EF4E15">
            <w:pPr>
              <w:jc w:val="right"/>
              <w:rPr>
                <w:rFonts w:ascii="Calibri" w:hAnsi="Calibri" w:cs="Calibri"/>
                <w:sz w:val="20"/>
                <w:szCs w:val="20"/>
              </w:rPr>
            </w:pPr>
            <w:r w:rsidRPr="0072678C">
              <w:rPr>
                <w:rFonts w:ascii="Calibri" w:hAnsi="Calibri" w:cs="Calibri"/>
                <w:sz w:val="20"/>
                <w:szCs w:val="20"/>
              </w:rPr>
              <w:t>100%</w:t>
            </w:r>
          </w:p>
        </w:tc>
      </w:tr>
      <w:tr w:rsidR="00EF4E15" w:rsidRPr="0072678C" w:rsidTr="00BB1F8D">
        <w:trPr>
          <w:trHeight w:val="345"/>
          <w:jc w:val="center"/>
        </w:trPr>
        <w:tc>
          <w:tcPr>
            <w:tcW w:w="4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4E15" w:rsidRPr="0072678C" w:rsidRDefault="00EF4E15" w:rsidP="00EF4E15">
            <w:pPr>
              <w:ind w:firstLineChars="200" w:firstLine="400"/>
              <w:rPr>
                <w:rFonts w:ascii="Calibri" w:hAnsi="Calibri" w:cs="Calibri"/>
                <w:sz w:val="20"/>
                <w:szCs w:val="20"/>
              </w:rPr>
            </w:pPr>
            <w:r w:rsidRPr="0072678C">
              <w:rPr>
                <w:rFonts w:ascii="Calibri" w:hAnsi="Calibri" w:cs="Calibri"/>
                <w:sz w:val="20"/>
                <w:szCs w:val="20"/>
              </w:rPr>
              <w:t xml:space="preserve">GF 6. Transparência e Cidadania Fiscal </w:t>
            </w:r>
          </w:p>
        </w:tc>
        <w:tc>
          <w:tcPr>
            <w:tcW w:w="1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E15" w:rsidRPr="0072678C" w:rsidRDefault="00EF4E15" w:rsidP="00EF4E15">
            <w:pPr>
              <w:rPr>
                <w:rFonts w:asciiTheme="minorHAnsi" w:hAnsiTheme="minorHAnsi" w:cstheme="minorHAnsi"/>
                <w:b/>
                <w:bCs/>
                <w:sz w:val="20"/>
                <w:szCs w:val="20"/>
              </w:rPr>
            </w:pPr>
            <w:r w:rsidRPr="0072678C">
              <w:rPr>
                <w:rFonts w:asciiTheme="minorHAnsi" w:hAnsiTheme="minorHAnsi" w:cstheme="minorHAnsi"/>
                <w:b/>
                <w:bCs/>
                <w:sz w:val="20"/>
                <w:szCs w:val="20"/>
              </w:rPr>
              <w:t>AVANÇADO (-)</w:t>
            </w:r>
          </w:p>
        </w:tc>
        <w:tc>
          <w:tcPr>
            <w:tcW w:w="816" w:type="dxa"/>
            <w:tcBorders>
              <w:top w:val="single" w:sz="4" w:space="0" w:color="auto"/>
              <w:left w:val="single" w:sz="4" w:space="0" w:color="auto"/>
              <w:bottom w:val="single" w:sz="4" w:space="0" w:color="auto"/>
              <w:right w:val="single" w:sz="4" w:space="0" w:color="auto"/>
            </w:tcBorders>
            <w:vAlign w:val="bottom"/>
          </w:tcPr>
          <w:p w:rsidR="00EF4E15" w:rsidRPr="0072678C" w:rsidRDefault="00EF4E15" w:rsidP="00EF4E15">
            <w:pPr>
              <w:jc w:val="center"/>
              <w:rPr>
                <w:rFonts w:ascii="Calibri" w:hAnsi="Calibri" w:cs="Calibri"/>
                <w:sz w:val="20"/>
                <w:szCs w:val="20"/>
              </w:rPr>
            </w:pPr>
            <w:r w:rsidRPr="0072678C">
              <w:rPr>
                <w:rFonts w:ascii="Calibri" w:hAnsi="Calibri" w:cs="Calibri"/>
                <w:sz w:val="20"/>
                <w:szCs w:val="20"/>
              </w:rPr>
              <w:t>21</w:t>
            </w:r>
          </w:p>
        </w:tc>
        <w:tc>
          <w:tcPr>
            <w:tcW w:w="708" w:type="dxa"/>
            <w:tcBorders>
              <w:top w:val="single" w:sz="4" w:space="0" w:color="auto"/>
              <w:left w:val="single" w:sz="4" w:space="0" w:color="auto"/>
              <w:bottom w:val="single" w:sz="4" w:space="0" w:color="auto"/>
              <w:right w:val="single" w:sz="4" w:space="0" w:color="auto"/>
            </w:tcBorders>
            <w:vAlign w:val="bottom"/>
          </w:tcPr>
          <w:p w:rsidR="00EF4E15" w:rsidRPr="0072678C" w:rsidRDefault="00EF4E15" w:rsidP="00EF4E15">
            <w:pPr>
              <w:jc w:val="center"/>
              <w:rPr>
                <w:rFonts w:ascii="Calibri" w:hAnsi="Calibri" w:cs="Calibri"/>
                <w:sz w:val="20"/>
                <w:szCs w:val="20"/>
              </w:rPr>
            </w:pPr>
            <w:r w:rsidRPr="0072678C">
              <w:rPr>
                <w:rFonts w:ascii="Calibri" w:hAnsi="Calibri" w:cs="Calibri"/>
                <w:sz w:val="20"/>
                <w:szCs w:val="20"/>
              </w:rPr>
              <w:t>17</w:t>
            </w:r>
          </w:p>
        </w:tc>
        <w:tc>
          <w:tcPr>
            <w:tcW w:w="588" w:type="dxa"/>
            <w:tcBorders>
              <w:top w:val="single" w:sz="4" w:space="0" w:color="auto"/>
              <w:left w:val="single" w:sz="4" w:space="0" w:color="auto"/>
              <w:bottom w:val="single" w:sz="4" w:space="0" w:color="auto"/>
              <w:right w:val="single" w:sz="4" w:space="0" w:color="auto"/>
            </w:tcBorders>
            <w:vAlign w:val="bottom"/>
          </w:tcPr>
          <w:p w:rsidR="00EF4E15" w:rsidRPr="0072678C" w:rsidRDefault="00EF4E15" w:rsidP="00EF4E15">
            <w:pPr>
              <w:jc w:val="right"/>
              <w:rPr>
                <w:rFonts w:ascii="Calibri" w:hAnsi="Calibri" w:cs="Calibri"/>
                <w:sz w:val="20"/>
                <w:szCs w:val="20"/>
              </w:rPr>
            </w:pPr>
            <w:r w:rsidRPr="0072678C">
              <w:rPr>
                <w:rFonts w:ascii="Calibri" w:hAnsi="Calibri" w:cs="Calibri"/>
                <w:sz w:val="20"/>
                <w:szCs w:val="20"/>
              </w:rPr>
              <w:t>81%</w:t>
            </w:r>
          </w:p>
        </w:tc>
      </w:tr>
      <w:tr w:rsidR="00EF4E15" w:rsidRPr="0072678C" w:rsidTr="00BB1F8D">
        <w:trPr>
          <w:trHeight w:val="345"/>
          <w:jc w:val="center"/>
        </w:trPr>
        <w:tc>
          <w:tcPr>
            <w:tcW w:w="4937" w:type="dxa"/>
            <w:shd w:val="clear" w:color="auto" w:fill="auto"/>
            <w:noWrap/>
            <w:vAlign w:val="bottom"/>
            <w:hideMark/>
          </w:tcPr>
          <w:p w:rsidR="00EF4E15" w:rsidRPr="0072678C" w:rsidRDefault="00EF4E15" w:rsidP="00EF4E15">
            <w:pPr>
              <w:ind w:firstLineChars="200" w:firstLine="400"/>
              <w:rPr>
                <w:rFonts w:ascii="Calibri" w:hAnsi="Calibri" w:cs="Calibri"/>
                <w:sz w:val="20"/>
                <w:szCs w:val="20"/>
              </w:rPr>
            </w:pPr>
            <w:r w:rsidRPr="0072678C">
              <w:rPr>
                <w:rFonts w:ascii="Calibri" w:hAnsi="Calibri" w:cs="Calibri"/>
                <w:sz w:val="20"/>
                <w:szCs w:val="20"/>
              </w:rPr>
              <w:t>GF 4. Gestão da Tecnologia da Informação</w:t>
            </w:r>
          </w:p>
        </w:tc>
        <w:tc>
          <w:tcPr>
            <w:tcW w:w="1776" w:type="dxa"/>
            <w:shd w:val="clear" w:color="auto" w:fill="auto"/>
            <w:noWrap/>
            <w:vAlign w:val="center"/>
            <w:hideMark/>
          </w:tcPr>
          <w:p w:rsidR="00EF4E15" w:rsidRPr="0072678C" w:rsidRDefault="00EF4E15" w:rsidP="00EF4E15">
            <w:pPr>
              <w:rPr>
                <w:rFonts w:asciiTheme="minorHAnsi" w:hAnsiTheme="minorHAnsi" w:cstheme="minorHAnsi"/>
                <w:b/>
                <w:bCs/>
                <w:sz w:val="20"/>
                <w:szCs w:val="20"/>
              </w:rPr>
            </w:pPr>
            <w:r w:rsidRPr="0072678C">
              <w:rPr>
                <w:rFonts w:asciiTheme="minorHAnsi" w:hAnsiTheme="minorHAnsi" w:cstheme="minorHAnsi"/>
                <w:b/>
                <w:bCs/>
                <w:sz w:val="20"/>
                <w:szCs w:val="20"/>
              </w:rPr>
              <w:t>INTERMEDIÁRIO (-)</w:t>
            </w:r>
          </w:p>
        </w:tc>
        <w:tc>
          <w:tcPr>
            <w:tcW w:w="816" w:type="dxa"/>
            <w:vAlign w:val="bottom"/>
          </w:tcPr>
          <w:p w:rsidR="00EF4E15" w:rsidRPr="0072678C" w:rsidRDefault="00EF4E15" w:rsidP="00EF4E15">
            <w:pPr>
              <w:jc w:val="center"/>
              <w:rPr>
                <w:rFonts w:ascii="Calibri" w:hAnsi="Calibri" w:cs="Calibri"/>
                <w:sz w:val="20"/>
                <w:szCs w:val="20"/>
              </w:rPr>
            </w:pPr>
            <w:r w:rsidRPr="0072678C">
              <w:rPr>
                <w:rFonts w:ascii="Calibri" w:hAnsi="Calibri" w:cs="Calibri"/>
                <w:sz w:val="20"/>
                <w:szCs w:val="20"/>
              </w:rPr>
              <w:t>18</w:t>
            </w:r>
          </w:p>
        </w:tc>
        <w:tc>
          <w:tcPr>
            <w:tcW w:w="708" w:type="dxa"/>
            <w:vAlign w:val="bottom"/>
          </w:tcPr>
          <w:p w:rsidR="00EF4E15" w:rsidRPr="0072678C" w:rsidRDefault="00EF4E15" w:rsidP="00EF4E15">
            <w:pPr>
              <w:jc w:val="center"/>
              <w:rPr>
                <w:rFonts w:ascii="Calibri" w:hAnsi="Calibri" w:cs="Calibri"/>
                <w:sz w:val="20"/>
                <w:szCs w:val="20"/>
              </w:rPr>
            </w:pPr>
            <w:r w:rsidRPr="0072678C">
              <w:rPr>
                <w:rFonts w:ascii="Calibri" w:hAnsi="Calibri" w:cs="Calibri"/>
                <w:sz w:val="20"/>
                <w:szCs w:val="20"/>
              </w:rPr>
              <w:t>13</w:t>
            </w:r>
          </w:p>
        </w:tc>
        <w:tc>
          <w:tcPr>
            <w:tcW w:w="588" w:type="dxa"/>
            <w:vAlign w:val="bottom"/>
          </w:tcPr>
          <w:p w:rsidR="00EF4E15" w:rsidRPr="0072678C" w:rsidRDefault="00EF4E15" w:rsidP="00EF4E15">
            <w:pPr>
              <w:jc w:val="right"/>
              <w:rPr>
                <w:rFonts w:ascii="Calibri" w:hAnsi="Calibri" w:cs="Calibri"/>
                <w:sz w:val="20"/>
                <w:szCs w:val="20"/>
              </w:rPr>
            </w:pPr>
            <w:r w:rsidRPr="0072678C">
              <w:rPr>
                <w:rFonts w:ascii="Calibri" w:hAnsi="Calibri" w:cs="Calibri"/>
                <w:sz w:val="20"/>
                <w:szCs w:val="20"/>
              </w:rPr>
              <w:t>72%</w:t>
            </w:r>
          </w:p>
        </w:tc>
      </w:tr>
      <w:tr w:rsidR="00EF4E15" w:rsidRPr="0072678C" w:rsidTr="00BB1F8D">
        <w:trPr>
          <w:trHeight w:val="345"/>
          <w:jc w:val="center"/>
        </w:trPr>
        <w:tc>
          <w:tcPr>
            <w:tcW w:w="4937" w:type="dxa"/>
            <w:shd w:val="clear" w:color="auto" w:fill="auto"/>
            <w:noWrap/>
            <w:vAlign w:val="bottom"/>
            <w:hideMark/>
          </w:tcPr>
          <w:p w:rsidR="00165480" w:rsidRPr="0072678C" w:rsidRDefault="00165480" w:rsidP="00EF4E15">
            <w:pPr>
              <w:ind w:firstLineChars="200" w:firstLine="400"/>
              <w:rPr>
                <w:rFonts w:ascii="Calibri" w:hAnsi="Calibri" w:cs="Calibri"/>
                <w:sz w:val="20"/>
                <w:szCs w:val="20"/>
              </w:rPr>
            </w:pPr>
            <w:r w:rsidRPr="0072678C">
              <w:rPr>
                <w:rFonts w:ascii="Calibri" w:hAnsi="Calibri" w:cs="Calibri"/>
                <w:sz w:val="20"/>
                <w:szCs w:val="20"/>
              </w:rPr>
              <w:t xml:space="preserve">GF 1. Governança Pública </w:t>
            </w:r>
          </w:p>
        </w:tc>
        <w:tc>
          <w:tcPr>
            <w:tcW w:w="1776" w:type="dxa"/>
            <w:shd w:val="clear" w:color="auto" w:fill="auto"/>
            <w:noWrap/>
            <w:vAlign w:val="center"/>
            <w:hideMark/>
          </w:tcPr>
          <w:p w:rsidR="00165480" w:rsidRPr="0072678C" w:rsidRDefault="00165480" w:rsidP="00EF4E15">
            <w:pPr>
              <w:rPr>
                <w:rFonts w:asciiTheme="minorHAnsi" w:hAnsiTheme="minorHAnsi" w:cstheme="minorHAnsi"/>
                <w:b/>
                <w:bCs/>
                <w:sz w:val="20"/>
                <w:szCs w:val="20"/>
              </w:rPr>
            </w:pPr>
            <w:r w:rsidRPr="0072678C">
              <w:rPr>
                <w:rFonts w:asciiTheme="minorHAnsi" w:hAnsiTheme="minorHAnsi" w:cstheme="minorHAnsi"/>
                <w:b/>
                <w:bCs/>
                <w:sz w:val="20"/>
                <w:szCs w:val="20"/>
              </w:rPr>
              <w:t>INTERMEDIÁRIO (-)</w:t>
            </w:r>
          </w:p>
        </w:tc>
        <w:tc>
          <w:tcPr>
            <w:tcW w:w="816" w:type="dxa"/>
            <w:vAlign w:val="bottom"/>
          </w:tcPr>
          <w:p w:rsidR="00165480" w:rsidRPr="0072678C" w:rsidRDefault="00165480" w:rsidP="00EF4E15">
            <w:pPr>
              <w:jc w:val="center"/>
              <w:rPr>
                <w:rFonts w:ascii="Calibri" w:hAnsi="Calibri" w:cs="Calibri"/>
                <w:sz w:val="20"/>
                <w:szCs w:val="20"/>
              </w:rPr>
            </w:pPr>
            <w:r w:rsidRPr="0072678C">
              <w:rPr>
                <w:rFonts w:ascii="Calibri" w:hAnsi="Calibri" w:cs="Calibri"/>
                <w:sz w:val="20"/>
                <w:szCs w:val="20"/>
              </w:rPr>
              <w:t>33</w:t>
            </w:r>
          </w:p>
        </w:tc>
        <w:tc>
          <w:tcPr>
            <w:tcW w:w="708" w:type="dxa"/>
            <w:vAlign w:val="bottom"/>
          </w:tcPr>
          <w:p w:rsidR="00165480" w:rsidRPr="0072678C" w:rsidRDefault="00165480" w:rsidP="00EF4E15">
            <w:pPr>
              <w:jc w:val="center"/>
              <w:rPr>
                <w:rFonts w:ascii="Calibri" w:hAnsi="Calibri" w:cs="Calibri"/>
                <w:sz w:val="20"/>
                <w:szCs w:val="20"/>
              </w:rPr>
            </w:pPr>
            <w:r w:rsidRPr="0072678C">
              <w:rPr>
                <w:rFonts w:ascii="Calibri" w:hAnsi="Calibri" w:cs="Calibri"/>
                <w:sz w:val="20"/>
                <w:szCs w:val="20"/>
              </w:rPr>
              <w:t>21</w:t>
            </w:r>
          </w:p>
        </w:tc>
        <w:tc>
          <w:tcPr>
            <w:tcW w:w="588" w:type="dxa"/>
            <w:vAlign w:val="bottom"/>
          </w:tcPr>
          <w:p w:rsidR="00165480" w:rsidRPr="0072678C" w:rsidRDefault="00165480">
            <w:pPr>
              <w:jc w:val="right"/>
              <w:rPr>
                <w:rFonts w:ascii="Calibri" w:hAnsi="Calibri" w:cs="Calibri"/>
                <w:sz w:val="20"/>
                <w:szCs w:val="20"/>
              </w:rPr>
            </w:pPr>
            <w:r w:rsidRPr="0072678C">
              <w:rPr>
                <w:rFonts w:ascii="Calibri" w:hAnsi="Calibri" w:cs="Calibri"/>
                <w:sz w:val="20"/>
                <w:szCs w:val="20"/>
              </w:rPr>
              <w:t>64%</w:t>
            </w:r>
          </w:p>
        </w:tc>
      </w:tr>
      <w:tr w:rsidR="00165480" w:rsidRPr="0072678C" w:rsidTr="00BB1F8D">
        <w:trPr>
          <w:trHeight w:val="345"/>
          <w:jc w:val="center"/>
        </w:trPr>
        <w:tc>
          <w:tcPr>
            <w:tcW w:w="4937" w:type="dxa"/>
            <w:shd w:val="clear" w:color="auto" w:fill="auto"/>
            <w:noWrap/>
            <w:vAlign w:val="bottom"/>
            <w:hideMark/>
          </w:tcPr>
          <w:p w:rsidR="00165480" w:rsidRPr="0072678C" w:rsidRDefault="00165480" w:rsidP="008C4E60">
            <w:pPr>
              <w:ind w:firstLineChars="200" w:firstLine="400"/>
              <w:rPr>
                <w:rFonts w:ascii="Calibri" w:hAnsi="Calibri" w:cs="Calibri"/>
                <w:sz w:val="20"/>
                <w:szCs w:val="20"/>
              </w:rPr>
            </w:pPr>
            <w:r w:rsidRPr="0072678C">
              <w:rPr>
                <w:rFonts w:ascii="Calibri" w:hAnsi="Calibri" w:cs="Calibri"/>
                <w:sz w:val="20"/>
                <w:szCs w:val="20"/>
              </w:rPr>
              <w:t>GF 2. Gestão para Resultados</w:t>
            </w:r>
          </w:p>
        </w:tc>
        <w:tc>
          <w:tcPr>
            <w:tcW w:w="1776" w:type="dxa"/>
            <w:shd w:val="clear" w:color="auto" w:fill="auto"/>
            <w:noWrap/>
            <w:vAlign w:val="center"/>
            <w:hideMark/>
          </w:tcPr>
          <w:p w:rsidR="00165480" w:rsidRPr="0072678C" w:rsidRDefault="00165480" w:rsidP="00EF4E15">
            <w:pPr>
              <w:rPr>
                <w:rFonts w:asciiTheme="minorHAnsi" w:hAnsiTheme="minorHAnsi" w:cstheme="minorHAnsi"/>
                <w:b/>
                <w:bCs/>
                <w:sz w:val="20"/>
                <w:szCs w:val="20"/>
              </w:rPr>
            </w:pPr>
            <w:r w:rsidRPr="0072678C">
              <w:rPr>
                <w:rFonts w:asciiTheme="minorHAnsi" w:hAnsiTheme="minorHAnsi" w:cstheme="minorHAnsi"/>
                <w:b/>
                <w:bCs/>
                <w:sz w:val="20"/>
                <w:szCs w:val="20"/>
              </w:rPr>
              <w:t>INICIANTE (+)</w:t>
            </w:r>
          </w:p>
        </w:tc>
        <w:tc>
          <w:tcPr>
            <w:tcW w:w="816" w:type="dxa"/>
            <w:vAlign w:val="bottom"/>
          </w:tcPr>
          <w:p w:rsidR="00165480" w:rsidRPr="0072678C" w:rsidRDefault="00165480" w:rsidP="008C4E60">
            <w:pPr>
              <w:jc w:val="center"/>
              <w:rPr>
                <w:rFonts w:ascii="Calibri" w:hAnsi="Calibri" w:cs="Calibri"/>
                <w:sz w:val="20"/>
                <w:szCs w:val="20"/>
              </w:rPr>
            </w:pPr>
            <w:r w:rsidRPr="0072678C">
              <w:rPr>
                <w:rFonts w:ascii="Calibri" w:hAnsi="Calibri" w:cs="Calibri"/>
                <w:sz w:val="20"/>
                <w:szCs w:val="20"/>
              </w:rPr>
              <w:t>39</w:t>
            </w:r>
          </w:p>
        </w:tc>
        <w:tc>
          <w:tcPr>
            <w:tcW w:w="708" w:type="dxa"/>
            <w:vAlign w:val="bottom"/>
          </w:tcPr>
          <w:p w:rsidR="00165480" w:rsidRPr="0072678C" w:rsidRDefault="00165480" w:rsidP="008C4E60">
            <w:pPr>
              <w:jc w:val="center"/>
              <w:rPr>
                <w:rFonts w:ascii="Calibri" w:hAnsi="Calibri" w:cs="Calibri"/>
                <w:sz w:val="20"/>
                <w:szCs w:val="20"/>
              </w:rPr>
            </w:pPr>
            <w:r w:rsidRPr="0072678C">
              <w:rPr>
                <w:rFonts w:ascii="Calibri" w:hAnsi="Calibri" w:cs="Calibri"/>
                <w:sz w:val="20"/>
                <w:szCs w:val="20"/>
              </w:rPr>
              <w:t>17</w:t>
            </w:r>
          </w:p>
        </w:tc>
        <w:tc>
          <w:tcPr>
            <w:tcW w:w="588" w:type="dxa"/>
            <w:vAlign w:val="bottom"/>
          </w:tcPr>
          <w:p w:rsidR="00165480" w:rsidRPr="0072678C" w:rsidRDefault="00165480">
            <w:pPr>
              <w:jc w:val="right"/>
              <w:rPr>
                <w:rFonts w:ascii="Calibri" w:hAnsi="Calibri" w:cs="Calibri"/>
                <w:sz w:val="20"/>
                <w:szCs w:val="20"/>
              </w:rPr>
            </w:pPr>
            <w:r w:rsidRPr="0072678C">
              <w:rPr>
                <w:rFonts w:ascii="Calibri" w:hAnsi="Calibri" w:cs="Calibri"/>
                <w:sz w:val="20"/>
                <w:szCs w:val="20"/>
              </w:rPr>
              <w:t>44%</w:t>
            </w:r>
          </w:p>
        </w:tc>
      </w:tr>
      <w:tr w:rsidR="00EF4E15" w:rsidRPr="0072678C" w:rsidTr="00BB1F8D">
        <w:trPr>
          <w:trHeight w:val="345"/>
          <w:jc w:val="center"/>
        </w:trPr>
        <w:tc>
          <w:tcPr>
            <w:tcW w:w="4937" w:type="dxa"/>
            <w:shd w:val="clear" w:color="auto" w:fill="auto"/>
            <w:noWrap/>
            <w:vAlign w:val="bottom"/>
            <w:hideMark/>
          </w:tcPr>
          <w:p w:rsidR="00165480" w:rsidRPr="0072678C" w:rsidRDefault="00165480" w:rsidP="00EF4E15">
            <w:pPr>
              <w:ind w:firstLineChars="200" w:firstLine="400"/>
              <w:rPr>
                <w:rFonts w:ascii="Calibri" w:hAnsi="Calibri" w:cs="Calibri"/>
                <w:sz w:val="20"/>
                <w:szCs w:val="20"/>
              </w:rPr>
            </w:pPr>
            <w:r w:rsidRPr="0072678C">
              <w:rPr>
                <w:rFonts w:ascii="Calibri" w:hAnsi="Calibri" w:cs="Calibri"/>
                <w:sz w:val="20"/>
                <w:szCs w:val="20"/>
              </w:rPr>
              <w:t xml:space="preserve">GF 3. Gestão de Pessoas </w:t>
            </w:r>
          </w:p>
        </w:tc>
        <w:tc>
          <w:tcPr>
            <w:tcW w:w="1776" w:type="dxa"/>
            <w:shd w:val="clear" w:color="auto" w:fill="auto"/>
            <w:noWrap/>
            <w:vAlign w:val="center"/>
            <w:hideMark/>
          </w:tcPr>
          <w:p w:rsidR="00165480" w:rsidRPr="0072678C" w:rsidRDefault="00165480" w:rsidP="00EF4E15">
            <w:pPr>
              <w:rPr>
                <w:rFonts w:asciiTheme="minorHAnsi" w:hAnsiTheme="minorHAnsi" w:cstheme="minorHAnsi"/>
                <w:b/>
                <w:bCs/>
                <w:sz w:val="20"/>
                <w:szCs w:val="20"/>
              </w:rPr>
            </w:pPr>
            <w:r w:rsidRPr="0072678C">
              <w:rPr>
                <w:rFonts w:asciiTheme="minorHAnsi" w:hAnsiTheme="minorHAnsi" w:cstheme="minorHAnsi"/>
                <w:b/>
                <w:sz w:val="20"/>
                <w:szCs w:val="20"/>
              </w:rPr>
              <w:t>INICIANTE (+)</w:t>
            </w:r>
          </w:p>
        </w:tc>
        <w:tc>
          <w:tcPr>
            <w:tcW w:w="816" w:type="dxa"/>
            <w:vAlign w:val="bottom"/>
          </w:tcPr>
          <w:p w:rsidR="00165480" w:rsidRPr="0072678C" w:rsidRDefault="00165480" w:rsidP="00EF4E15">
            <w:pPr>
              <w:jc w:val="center"/>
              <w:rPr>
                <w:rFonts w:ascii="Calibri" w:hAnsi="Calibri" w:cs="Calibri"/>
                <w:sz w:val="20"/>
                <w:szCs w:val="20"/>
              </w:rPr>
            </w:pPr>
            <w:r w:rsidRPr="0072678C">
              <w:rPr>
                <w:rFonts w:ascii="Calibri" w:hAnsi="Calibri" w:cs="Calibri"/>
                <w:sz w:val="20"/>
                <w:szCs w:val="20"/>
              </w:rPr>
              <w:t>36</w:t>
            </w:r>
          </w:p>
        </w:tc>
        <w:tc>
          <w:tcPr>
            <w:tcW w:w="708" w:type="dxa"/>
            <w:vAlign w:val="bottom"/>
          </w:tcPr>
          <w:p w:rsidR="00165480" w:rsidRPr="0072678C" w:rsidRDefault="00165480" w:rsidP="00EF4E15">
            <w:pPr>
              <w:jc w:val="center"/>
              <w:rPr>
                <w:rFonts w:ascii="Calibri" w:hAnsi="Calibri" w:cs="Calibri"/>
                <w:sz w:val="20"/>
                <w:szCs w:val="20"/>
              </w:rPr>
            </w:pPr>
            <w:r w:rsidRPr="0072678C">
              <w:rPr>
                <w:rFonts w:ascii="Calibri" w:hAnsi="Calibri" w:cs="Calibri"/>
                <w:sz w:val="20"/>
                <w:szCs w:val="20"/>
              </w:rPr>
              <w:t>15</w:t>
            </w:r>
          </w:p>
        </w:tc>
        <w:tc>
          <w:tcPr>
            <w:tcW w:w="588" w:type="dxa"/>
            <w:vAlign w:val="bottom"/>
          </w:tcPr>
          <w:p w:rsidR="00165480" w:rsidRPr="0072678C" w:rsidRDefault="00165480">
            <w:pPr>
              <w:jc w:val="right"/>
              <w:rPr>
                <w:rFonts w:ascii="Calibri" w:hAnsi="Calibri" w:cs="Calibri"/>
                <w:sz w:val="20"/>
                <w:szCs w:val="20"/>
              </w:rPr>
            </w:pPr>
            <w:r w:rsidRPr="0072678C">
              <w:rPr>
                <w:rFonts w:ascii="Calibri" w:hAnsi="Calibri" w:cs="Calibri"/>
                <w:sz w:val="20"/>
                <w:szCs w:val="20"/>
              </w:rPr>
              <w:t>42%</w:t>
            </w:r>
          </w:p>
        </w:tc>
      </w:tr>
    </w:tbl>
    <w:p w:rsidR="00A31989" w:rsidRPr="0072678C" w:rsidRDefault="00A31989" w:rsidP="00B44516">
      <w:pPr>
        <w:jc w:val="both"/>
        <w:rPr>
          <w:rFonts w:asciiTheme="minorHAnsi" w:hAnsiTheme="minorHAnsi" w:cstheme="minorHAnsi"/>
          <w:sz w:val="22"/>
          <w:szCs w:val="22"/>
        </w:rPr>
      </w:pPr>
    </w:p>
    <w:p w:rsidR="00B44516" w:rsidRPr="0072678C" w:rsidRDefault="00B44516" w:rsidP="00B44516">
      <w:pPr>
        <w:jc w:val="both"/>
        <w:rPr>
          <w:rFonts w:asciiTheme="minorHAnsi" w:hAnsiTheme="minorHAnsi" w:cstheme="minorHAnsi"/>
          <w:sz w:val="22"/>
          <w:szCs w:val="22"/>
        </w:rPr>
      </w:pPr>
      <w:r w:rsidRPr="0072678C">
        <w:rPr>
          <w:rFonts w:asciiTheme="minorHAnsi" w:hAnsiTheme="minorHAnsi" w:cstheme="minorHAnsi"/>
          <w:sz w:val="22"/>
          <w:szCs w:val="22"/>
        </w:rPr>
        <w:t xml:space="preserve">A dimensão </w:t>
      </w:r>
      <w:r w:rsidR="00165480" w:rsidRPr="0072678C">
        <w:rPr>
          <w:rFonts w:asciiTheme="minorHAnsi" w:hAnsiTheme="minorHAnsi" w:cstheme="minorHAnsi"/>
          <w:sz w:val="22"/>
          <w:szCs w:val="22"/>
        </w:rPr>
        <w:t xml:space="preserve">GF 5. Gestão de Aquisições e Materiais </w:t>
      </w:r>
      <w:r w:rsidRPr="0072678C">
        <w:rPr>
          <w:rFonts w:asciiTheme="minorHAnsi" w:hAnsiTheme="minorHAnsi" w:cstheme="minorHAnsi"/>
          <w:sz w:val="22"/>
          <w:szCs w:val="22"/>
        </w:rPr>
        <w:t xml:space="preserve">apresentou o maior nível de maturidade dentre as 6 dimensões pesquisadas, </w:t>
      </w:r>
      <w:r w:rsidR="00165480" w:rsidRPr="0072678C">
        <w:rPr>
          <w:rFonts w:asciiTheme="minorHAnsi" w:hAnsiTheme="minorHAnsi" w:cstheme="minorHAnsi"/>
          <w:sz w:val="22"/>
          <w:szCs w:val="22"/>
        </w:rPr>
        <w:t>Avançado (+)</w:t>
      </w:r>
      <w:r w:rsidRPr="0072678C">
        <w:rPr>
          <w:rFonts w:asciiTheme="minorHAnsi" w:hAnsiTheme="minorHAnsi" w:cstheme="minorHAnsi"/>
          <w:sz w:val="22"/>
          <w:szCs w:val="22"/>
        </w:rPr>
        <w:t xml:space="preserve"> obtendo </w:t>
      </w:r>
      <w:r w:rsidR="00165480" w:rsidRPr="0072678C">
        <w:rPr>
          <w:rFonts w:asciiTheme="minorHAnsi" w:hAnsiTheme="minorHAnsi" w:cstheme="minorHAnsi"/>
          <w:sz w:val="22"/>
          <w:szCs w:val="22"/>
        </w:rPr>
        <w:t>100</w:t>
      </w:r>
      <w:r w:rsidRPr="0072678C">
        <w:rPr>
          <w:rFonts w:asciiTheme="minorHAnsi" w:hAnsiTheme="minorHAnsi" w:cstheme="minorHAnsi"/>
          <w:sz w:val="22"/>
          <w:szCs w:val="22"/>
        </w:rPr>
        <w:t xml:space="preserve">% da pontuação máxima; seguido das dimensões </w:t>
      </w:r>
      <w:r w:rsidR="00165480" w:rsidRPr="0072678C">
        <w:rPr>
          <w:rFonts w:asciiTheme="minorHAnsi" w:hAnsiTheme="minorHAnsi" w:cstheme="minorHAnsi"/>
          <w:sz w:val="22"/>
          <w:szCs w:val="22"/>
        </w:rPr>
        <w:t xml:space="preserve">GF 6. </w:t>
      </w:r>
      <w:proofErr w:type="gramStart"/>
      <w:r w:rsidR="00165480" w:rsidRPr="0072678C">
        <w:rPr>
          <w:rFonts w:asciiTheme="minorHAnsi" w:hAnsiTheme="minorHAnsi" w:cstheme="minorHAnsi"/>
          <w:sz w:val="22"/>
          <w:szCs w:val="22"/>
        </w:rPr>
        <w:t>Transparência e Cidadania Fiscal</w:t>
      </w:r>
      <w:proofErr w:type="gramEnd"/>
      <w:r w:rsidR="00165480" w:rsidRPr="0072678C">
        <w:rPr>
          <w:rFonts w:asciiTheme="minorHAnsi" w:hAnsiTheme="minorHAnsi" w:cstheme="minorHAnsi"/>
          <w:sz w:val="22"/>
          <w:szCs w:val="22"/>
        </w:rPr>
        <w:t xml:space="preserve"> </w:t>
      </w:r>
      <w:r w:rsidRPr="0072678C">
        <w:rPr>
          <w:rFonts w:asciiTheme="minorHAnsi" w:hAnsiTheme="minorHAnsi" w:cstheme="minorHAnsi"/>
          <w:sz w:val="22"/>
          <w:szCs w:val="22"/>
        </w:rPr>
        <w:t>(</w:t>
      </w:r>
      <w:r w:rsidR="00165480" w:rsidRPr="0072678C">
        <w:rPr>
          <w:rFonts w:asciiTheme="minorHAnsi" w:hAnsiTheme="minorHAnsi" w:cstheme="minorHAnsi"/>
          <w:sz w:val="22"/>
          <w:szCs w:val="22"/>
        </w:rPr>
        <w:t>81</w:t>
      </w:r>
      <w:r w:rsidRPr="0072678C">
        <w:rPr>
          <w:rFonts w:asciiTheme="minorHAnsi" w:hAnsiTheme="minorHAnsi" w:cstheme="minorHAnsi"/>
          <w:sz w:val="22"/>
          <w:szCs w:val="22"/>
        </w:rPr>
        <w:t>%); GF 4. Gestão da Tecnologia da Informação (</w:t>
      </w:r>
      <w:r w:rsidR="00EF4E15" w:rsidRPr="0072678C">
        <w:rPr>
          <w:rFonts w:asciiTheme="minorHAnsi" w:hAnsiTheme="minorHAnsi" w:cstheme="minorHAnsi"/>
          <w:sz w:val="22"/>
          <w:szCs w:val="22"/>
        </w:rPr>
        <w:t>72</w:t>
      </w:r>
      <w:r w:rsidRPr="0072678C">
        <w:rPr>
          <w:rFonts w:asciiTheme="minorHAnsi" w:hAnsiTheme="minorHAnsi" w:cstheme="minorHAnsi"/>
          <w:sz w:val="22"/>
          <w:szCs w:val="22"/>
        </w:rPr>
        <w:t xml:space="preserve">%); </w:t>
      </w:r>
      <w:r w:rsidR="00EF4E15" w:rsidRPr="0072678C">
        <w:rPr>
          <w:rFonts w:asciiTheme="minorHAnsi" w:hAnsiTheme="minorHAnsi" w:cstheme="minorHAnsi"/>
          <w:sz w:val="22"/>
          <w:szCs w:val="22"/>
        </w:rPr>
        <w:t>GF 2. Gestão para Resultados (44%); e GF 3. Gestão de Pessoas (42%). Gestão para resultados e Gestão de Pessoas são as dimensões com menor nível de maturidade neste eixo, ou seja, Iniciante (+) e Iniciante (-) respectivamente.</w:t>
      </w:r>
    </w:p>
    <w:p w:rsidR="00B44516" w:rsidRPr="0072678C" w:rsidRDefault="00B44516" w:rsidP="00B44516">
      <w:pPr>
        <w:tabs>
          <w:tab w:val="left" w:pos="567"/>
        </w:tabs>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Para efeito da análise da maturidade de cada Dimensão do Eixo, também são apresentadas</w:t>
      </w:r>
      <w:r w:rsidRPr="0072678C">
        <w:rPr>
          <w:rFonts w:asciiTheme="minorHAnsi" w:hAnsiTheme="minorHAnsi" w:cstheme="minorHAnsi"/>
          <w:b/>
          <w:sz w:val="22"/>
          <w:szCs w:val="22"/>
        </w:rPr>
        <w:t xml:space="preserve"> </w:t>
      </w:r>
      <w:r w:rsidRPr="0072678C">
        <w:rPr>
          <w:rFonts w:asciiTheme="minorHAnsi" w:hAnsiTheme="minorHAnsi" w:cstheme="minorHAnsi"/>
          <w:sz w:val="22"/>
          <w:szCs w:val="22"/>
        </w:rPr>
        <w:t>as</w:t>
      </w:r>
      <w:r w:rsidRPr="0072678C">
        <w:rPr>
          <w:rFonts w:asciiTheme="minorHAnsi" w:hAnsiTheme="minorHAnsi" w:cstheme="minorHAnsi"/>
          <w:b/>
          <w:sz w:val="22"/>
          <w:szCs w:val="22"/>
        </w:rPr>
        <w:t xml:space="preserve"> evidências</w:t>
      </w:r>
      <w:r w:rsidRPr="0072678C">
        <w:rPr>
          <w:rFonts w:asciiTheme="minorHAnsi" w:hAnsiTheme="minorHAnsi" w:cstheme="minorHAnsi"/>
          <w:sz w:val="22"/>
          <w:szCs w:val="22"/>
        </w:rPr>
        <w:t xml:space="preserve"> mais relevantes que confirmam o cumprimento dos requisitos exigido para cada processo crítico.</w:t>
      </w:r>
    </w:p>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Com vistas a medir o </w:t>
      </w:r>
      <w:r w:rsidRPr="0072678C">
        <w:rPr>
          <w:rFonts w:asciiTheme="minorHAnsi" w:hAnsiTheme="minorHAnsi" w:cstheme="minorHAnsi"/>
          <w:b/>
          <w:sz w:val="22"/>
          <w:szCs w:val="22"/>
        </w:rPr>
        <w:t>desempenho</w:t>
      </w:r>
      <w:r w:rsidRPr="0072678C">
        <w:rPr>
          <w:rFonts w:asciiTheme="minorHAnsi" w:hAnsiTheme="minorHAnsi" w:cstheme="minorHAnsi"/>
          <w:sz w:val="22"/>
          <w:szCs w:val="22"/>
        </w:rPr>
        <w:t xml:space="preserve"> do </w:t>
      </w:r>
      <w:r w:rsidRPr="0072678C">
        <w:rPr>
          <w:rFonts w:asciiTheme="minorHAnsi" w:hAnsiTheme="minorHAnsi" w:cstheme="minorHAnsi"/>
          <w:b/>
          <w:sz w:val="22"/>
          <w:szCs w:val="22"/>
        </w:rPr>
        <w:t>Eixo 1 - Gestão Fazendária e Transparência Fiscal</w:t>
      </w:r>
      <w:r w:rsidR="0067242A" w:rsidRPr="0072678C">
        <w:rPr>
          <w:rFonts w:asciiTheme="minorHAnsi" w:hAnsiTheme="minorHAnsi" w:cstheme="minorHAnsi"/>
          <w:sz w:val="22"/>
          <w:szCs w:val="22"/>
        </w:rPr>
        <w:t xml:space="preserve"> foi</w:t>
      </w:r>
      <w:r w:rsidRPr="0072678C">
        <w:rPr>
          <w:rFonts w:asciiTheme="minorHAnsi" w:hAnsiTheme="minorHAnsi" w:cstheme="minorHAnsi"/>
          <w:sz w:val="22"/>
          <w:szCs w:val="22"/>
        </w:rPr>
        <w:t xml:space="preserve"> definido um conjunto de 18 indicadores que serão analisados por Dimensão pesquisada, considerando os dados coletados.</w:t>
      </w:r>
    </w:p>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A seguir, analisa-se o resultado de cada Dimensão pesquisada.</w:t>
      </w:r>
    </w:p>
    <w:tbl>
      <w:tblPr>
        <w:tblStyle w:val="TableGrid"/>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C5E0B3" w:themeFill="accent6" w:themeFillTint="66"/>
        <w:tblLook w:val="04A0" w:firstRow="1" w:lastRow="0" w:firstColumn="1" w:lastColumn="0" w:noHBand="0" w:noVBand="1"/>
      </w:tblPr>
      <w:tblGrid>
        <w:gridCol w:w="6609"/>
        <w:gridCol w:w="2180"/>
      </w:tblGrid>
      <w:tr w:rsidR="00B44516" w:rsidRPr="0072678C" w:rsidTr="00B44516">
        <w:tc>
          <w:tcPr>
            <w:tcW w:w="6609" w:type="dxa"/>
            <w:shd w:val="clear" w:color="auto" w:fill="C5E0B3" w:themeFill="accent6" w:themeFillTint="66"/>
          </w:tcPr>
          <w:p w:rsidR="00B44516" w:rsidRPr="0072678C" w:rsidRDefault="00B44516" w:rsidP="00B44516">
            <w:pPr>
              <w:spacing w:before="120" w:after="120"/>
              <w:jc w:val="both"/>
              <w:rPr>
                <w:rFonts w:asciiTheme="minorHAnsi" w:hAnsiTheme="minorHAnsi" w:cstheme="minorHAnsi"/>
                <w:b/>
              </w:rPr>
            </w:pPr>
            <w:r w:rsidRPr="0072678C">
              <w:rPr>
                <w:rFonts w:asciiTheme="minorHAnsi" w:hAnsiTheme="minorHAnsi" w:cstheme="minorHAnsi"/>
                <w:b/>
              </w:rPr>
              <w:t>Dimensão GF 1. Governança Pública</w:t>
            </w:r>
          </w:p>
        </w:tc>
        <w:tc>
          <w:tcPr>
            <w:tcW w:w="2180" w:type="dxa"/>
            <w:shd w:val="clear" w:color="auto" w:fill="C5E0B3" w:themeFill="accent6" w:themeFillTint="66"/>
          </w:tcPr>
          <w:p w:rsidR="00B44516" w:rsidRPr="0072678C" w:rsidRDefault="007559EE" w:rsidP="00B44516">
            <w:pPr>
              <w:spacing w:before="120" w:after="120"/>
              <w:jc w:val="center"/>
              <w:rPr>
                <w:rFonts w:asciiTheme="minorHAnsi" w:hAnsiTheme="minorHAnsi" w:cstheme="minorHAnsi"/>
                <w:b/>
              </w:rPr>
            </w:pPr>
            <w:r w:rsidRPr="0072678C">
              <w:rPr>
                <w:rFonts w:asciiTheme="minorHAnsi" w:hAnsiTheme="minorHAnsi" w:cstheme="minorHAnsi"/>
                <w:b/>
                <w:bCs/>
              </w:rPr>
              <w:t>INTERMEDIÁRIO (-)</w:t>
            </w:r>
          </w:p>
        </w:tc>
      </w:tr>
    </w:tbl>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A visão de futuro desta dimensão é “promover a autonomia, o alinhamento, o direcionamento e o monitoramento da atuação da organização, com base em estrutura formal, que atenda aos princípios de transparência, equidade, prestação de contas e responsabilidade social”.</w:t>
      </w:r>
    </w:p>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 nível ou estágio de </w:t>
      </w:r>
      <w:r w:rsidRPr="0072678C">
        <w:rPr>
          <w:rFonts w:asciiTheme="minorHAnsi" w:hAnsiTheme="minorHAnsi" w:cstheme="minorHAnsi"/>
          <w:b/>
          <w:sz w:val="22"/>
          <w:szCs w:val="22"/>
        </w:rPr>
        <w:t>maturidade</w:t>
      </w:r>
      <w:r w:rsidRPr="0072678C">
        <w:rPr>
          <w:rFonts w:asciiTheme="minorHAnsi" w:hAnsiTheme="minorHAnsi" w:cstheme="minorHAnsi"/>
          <w:sz w:val="22"/>
          <w:szCs w:val="22"/>
        </w:rPr>
        <w:t xml:space="preserve"> do conjunto de processos críticos que compõem esta dimensão, e que foi apurado pela MD-GEFIS, é </w:t>
      </w:r>
      <w:r w:rsidR="007559EE" w:rsidRPr="0072678C">
        <w:rPr>
          <w:rFonts w:asciiTheme="minorHAnsi" w:hAnsiTheme="minorHAnsi" w:cstheme="minorHAnsi"/>
          <w:b/>
          <w:bCs/>
          <w:sz w:val="22"/>
          <w:szCs w:val="22"/>
        </w:rPr>
        <w:t>INTERMEDIÁRIO (-)</w:t>
      </w:r>
      <w:r w:rsidRPr="0072678C">
        <w:rPr>
          <w:rFonts w:asciiTheme="minorHAnsi" w:hAnsiTheme="minorHAnsi" w:cstheme="minorHAnsi"/>
          <w:sz w:val="22"/>
          <w:szCs w:val="22"/>
        </w:rPr>
        <w:t>.</w:t>
      </w:r>
    </w:p>
    <w:p w:rsidR="00353352" w:rsidRPr="0072678C" w:rsidRDefault="00B44516" w:rsidP="00353352">
      <w:pPr>
        <w:jc w:val="both"/>
        <w:rPr>
          <w:rFonts w:asciiTheme="minorHAnsi" w:hAnsiTheme="minorHAnsi" w:cstheme="minorHAnsi"/>
          <w:sz w:val="22"/>
          <w:szCs w:val="22"/>
        </w:rPr>
      </w:pPr>
      <w:r w:rsidRPr="0072678C">
        <w:rPr>
          <w:rFonts w:asciiTheme="minorHAnsi" w:hAnsiTheme="minorHAnsi" w:cstheme="minorHAnsi"/>
          <w:iCs/>
          <w:sz w:val="22"/>
          <w:szCs w:val="22"/>
        </w:rPr>
        <w:lastRenderedPageBreak/>
        <w:t>Este resultado decorre principalmente pel</w:t>
      </w:r>
      <w:r w:rsidR="00353352" w:rsidRPr="0072678C">
        <w:rPr>
          <w:rFonts w:asciiTheme="minorHAnsi" w:hAnsiTheme="minorHAnsi" w:cstheme="minorHAnsi"/>
          <w:iCs/>
          <w:sz w:val="22"/>
          <w:szCs w:val="22"/>
        </w:rPr>
        <w:t xml:space="preserve">o nível 3 de </w:t>
      </w:r>
      <w:r w:rsidRPr="0072678C">
        <w:rPr>
          <w:rFonts w:asciiTheme="minorHAnsi" w:hAnsiTheme="minorHAnsi" w:cstheme="minorHAnsi"/>
          <w:iCs/>
          <w:sz w:val="22"/>
          <w:szCs w:val="22"/>
        </w:rPr>
        <w:t xml:space="preserve">maturidade </w:t>
      </w:r>
      <w:r w:rsidR="00353352" w:rsidRPr="0072678C">
        <w:rPr>
          <w:rFonts w:asciiTheme="minorHAnsi" w:hAnsiTheme="minorHAnsi" w:cstheme="minorHAnsi"/>
          <w:iCs/>
          <w:sz w:val="22"/>
          <w:szCs w:val="22"/>
        </w:rPr>
        <w:t>d</w:t>
      </w:r>
      <w:r w:rsidRPr="0072678C">
        <w:rPr>
          <w:rFonts w:asciiTheme="minorHAnsi" w:hAnsiTheme="minorHAnsi" w:cstheme="minorHAnsi"/>
          <w:iCs/>
          <w:sz w:val="22"/>
          <w:szCs w:val="22"/>
        </w:rPr>
        <w:t xml:space="preserve">e </w:t>
      </w:r>
      <w:r w:rsidR="00353352" w:rsidRPr="0072678C">
        <w:rPr>
          <w:rFonts w:asciiTheme="minorHAnsi" w:hAnsiTheme="minorHAnsi" w:cstheme="minorHAnsi"/>
          <w:iCs/>
          <w:sz w:val="22"/>
          <w:szCs w:val="22"/>
        </w:rPr>
        <w:t>3</w:t>
      </w:r>
      <w:r w:rsidRPr="0072678C">
        <w:rPr>
          <w:rFonts w:asciiTheme="minorHAnsi" w:hAnsiTheme="minorHAnsi" w:cstheme="minorHAnsi"/>
          <w:iCs/>
          <w:sz w:val="22"/>
          <w:szCs w:val="22"/>
        </w:rPr>
        <w:t xml:space="preserve"> dentre os 11 processos analisados, ou seja, os que adotam um número </w:t>
      </w:r>
      <w:r w:rsidR="00353352" w:rsidRPr="0072678C">
        <w:rPr>
          <w:rFonts w:asciiTheme="minorHAnsi" w:hAnsiTheme="minorHAnsi" w:cstheme="minorHAnsi"/>
          <w:iCs/>
          <w:sz w:val="22"/>
          <w:szCs w:val="22"/>
        </w:rPr>
        <w:t xml:space="preserve">alto </w:t>
      </w:r>
      <w:r w:rsidRPr="0072678C">
        <w:rPr>
          <w:rFonts w:asciiTheme="minorHAnsi" w:hAnsiTheme="minorHAnsi" w:cstheme="minorHAnsi"/>
          <w:iCs/>
          <w:sz w:val="22"/>
          <w:szCs w:val="22"/>
        </w:rPr>
        <w:t>das boas práticas da MD-GEFIS</w:t>
      </w:r>
      <w:r w:rsidR="003353A4" w:rsidRPr="0072678C">
        <w:rPr>
          <w:rFonts w:asciiTheme="minorHAnsi" w:hAnsiTheme="minorHAnsi" w:cstheme="minorHAnsi"/>
          <w:iCs/>
          <w:sz w:val="22"/>
          <w:szCs w:val="22"/>
        </w:rPr>
        <w:t>, são eles</w:t>
      </w:r>
      <w:r w:rsidRPr="0072678C">
        <w:rPr>
          <w:rFonts w:asciiTheme="minorHAnsi" w:hAnsiTheme="minorHAnsi" w:cstheme="minorHAnsi"/>
          <w:iCs/>
          <w:sz w:val="22"/>
          <w:szCs w:val="22"/>
        </w:rPr>
        <w:t>:</w:t>
      </w:r>
      <w:r w:rsidR="0067242A" w:rsidRPr="0072678C">
        <w:rPr>
          <w:rFonts w:asciiTheme="minorHAnsi" w:hAnsiTheme="minorHAnsi" w:cstheme="minorHAnsi"/>
          <w:iCs/>
          <w:sz w:val="22"/>
          <w:szCs w:val="22"/>
        </w:rPr>
        <w:t xml:space="preserve"> </w:t>
      </w:r>
      <w:r w:rsidR="00353352" w:rsidRPr="0072678C">
        <w:rPr>
          <w:rFonts w:asciiTheme="minorHAnsi" w:hAnsiTheme="minorHAnsi" w:cstheme="minorHAnsi"/>
          <w:b/>
          <w:bCs/>
          <w:i/>
          <w:iCs/>
          <w:sz w:val="22"/>
          <w:szCs w:val="22"/>
        </w:rPr>
        <w:t>atribuições organizacional, administrativa e financeira da gestão fiscal; auditoria interna da gestão fiscal</w:t>
      </w:r>
      <w:r w:rsidR="00353352" w:rsidRPr="0072678C">
        <w:rPr>
          <w:rFonts w:asciiTheme="minorHAnsi" w:hAnsiTheme="minorHAnsi" w:cstheme="minorHAnsi"/>
          <w:sz w:val="22"/>
          <w:szCs w:val="22"/>
        </w:rPr>
        <w:t xml:space="preserve">; e o processo de </w:t>
      </w:r>
      <w:r w:rsidR="00353352" w:rsidRPr="0072678C">
        <w:rPr>
          <w:rFonts w:asciiTheme="minorHAnsi" w:hAnsiTheme="minorHAnsi" w:cstheme="minorHAnsi"/>
          <w:b/>
          <w:bCs/>
          <w:i/>
          <w:iCs/>
          <w:sz w:val="22"/>
          <w:szCs w:val="22"/>
        </w:rPr>
        <w:t>procedimentos de correição da administração fiscal.</w:t>
      </w:r>
    </w:p>
    <w:p w:rsidR="000002AA" w:rsidRPr="0072678C" w:rsidRDefault="00353352" w:rsidP="000002AA">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Também contribuíram para este resultado</w:t>
      </w:r>
      <w:r w:rsidR="000002AA" w:rsidRPr="0072678C">
        <w:rPr>
          <w:rFonts w:asciiTheme="minorHAnsi" w:hAnsiTheme="minorHAnsi" w:cstheme="minorHAnsi"/>
          <w:sz w:val="22"/>
          <w:szCs w:val="22"/>
        </w:rPr>
        <w:t xml:space="preserve"> 5 </w:t>
      </w:r>
      <w:r w:rsidR="006C4206" w:rsidRPr="0072678C">
        <w:rPr>
          <w:rFonts w:asciiTheme="minorHAnsi" w:hAnsiTheme="minorHAnsi" w:cstheme="minorHAnsi"/>
          <w:sz w:val="22"/>
          <w:szCs w:val="22"/>
        </w:rPr>
        <w:t>outros processos</w:t>
      </w:r>
      <w:r w:rsidR="000002AA" w:rsidRPr="0072678C">
        <w:rPr>
          <w:rFonts w:asciiTheme="minorHAnsi" w:hAnsiTheme="minorHAnsi" w:cstheme="minorHAnsi"/>
          <w:sz w:val="22"/>
          <w:szCs w:val="22"/>
        </w:rPr>
        <w:t xml:space="preserve"> que obtiveram nível 2 de maturidade nas boas práticas da MD-GEFIS, ou seja, atendem ao número mediano dos requisitos das boas práticas: Os processos de </w:t>
      </w:r>
      <w:r w:rsidR="000002AA" w:rsidRPr="0072678C">
        <w:rPr>
          <w:rFonts w:asciiTheme="minorHAnsi" w:hAnsiTheme="minorHAnsi" w:cstheme="minorHAnsi"/>
          <w:b/>
          <w:bCs/>
          <w:i/>
          <w:iCs/>
          <w:sz w:val="22"/>
          <w:szCs w:val="22"/>
        </w:rPr>
        <w:t>direcionamento estratégico da gestão fiscal; plano estratégico da gestão fiscal; avaliação e o monitoramento do plano estratégico; gestão de processos</w:t>
      </w:r>
      <w:r w:rsidR="000002AA" w:rsidRPr="0072678C">
        <w:rPr>
          <w:rFonts w:asciiTheme="minorHAnsi" w:hAnsiTheme="minorHAnsi" w:cstheme="minorHAnsi"/>
          <w:sz w:val="22"/>
          <w:szCs w:val="22"/>
        </w:rPr>
        <w:t xml:space="preserve">; e </w:t>
      </w:r>
      <w:r w:rsidR="000002AA" w:rsidRPr="0072678C">
        <w:rPr>
          <w:rFonts w:asciiTheme="minorHAnsi" w:hAnsiTheme="minorHAnsi" w:cstheme="minorHAnsi"/>
          <w:b/>
          <w:bCs/>
          <w:i/>
          <w:iCs/>
          <w:sz w:val="22"/>
          <w:szCs w:val="22"/>
        </w:rPr>
        <w:t xml:space="preserve">gerenciamento de riscos e o controle interno. </w:t>
      </w:r>
    </w:p>
    <w:p w:rsidR="00353352" w:rsidRPr="0072678C" w:rsidRDefault="00AB0692"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No entanto, os processos </w:t>
      </w:r>
      <w:r w:rsidRPr="0072678C">
        <w:rPr>
          <w:rFonts w:asciiTheme="minorHAnsi" w:hAnsiTheme="minorHAnsi" w:cstheme="minorHAnsi"/>
          <w:b/>
          <w:bCs/>
          <w:i/>
          <w:iCs/>
          <w:sz w:val="22"/>
          <w:szCs w:val="22"/>
        </w:rPr>
        <w:t>sistema de governança da gestão fiscal; gestão de projeto; e avaliação da qualidade dos produtos e serviços da gestão fiscal</w:t>
      </w:r>
      <w:r w:rsidRPr="0072678C">
        <w:rPr>
          <w:rFonts w:asciiTheme="minorHAnsi" w:hAnsiTheme="minorHAnsi" w:cstheme="minorHAnsi"/>
          <w:sz w:val="22"/>
          <w:szCs w:val="22"/>
        </w:rPr>
        <w:t xml:space="preserve"> apresentam nível 1, 1 e 0 (zero) de maturidade respectivamente, ou seja, atendem a pouquíssimos ou nenhum </w:t>
      </w:r>
      <w:r w:rsidR="006C4206" w:rsidRPr="0072678C">
        <w:rPr>
          <w:rFonts w:asciiTheme="minorHAnsi" w:hAnsiTheme="minorHAnsi" w:cstheme="minorHAnsi"/>
          <w:sz w:val="22"/>
          <w:szCs w:val="22"/>
        </w:rPr>
        <w:t>requisito</w:t>
      </w:r>
      <w:r w:rsidRPr="0072678C">
        <w:rPr>
          <w:rFonts w:asciiTheme="minorHAnsi" w:hAnsiTheme="minorHAnsi" w:cstheme="minorHAnsi"/>
          <w:sz w:val="22"/>
          <w:szCs w:val="22"/>
        </w:rPr>
        <w:t xml:space="preserve"> das boas práticas da MD-GEFIS.  </w:t>
      </w:r>
    </w:p>
    <w:p w:rsidR="00505369" w:rsidRPr="0072678C" w:rsidRDefault="00273739" w:rsidP="00505369">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 processo </w:t>
      </w:r>
      <w:r w:rsidR="00505369" w:rsidRPr="0072678C">
        <w:rPr>
          <w:rFonts w:asciiTheme="minorHAnsi" w:hAnsiTheme="minorHAnsi" w:cstheme="minorHAnsi"/>
          <w:b/>
          <w:bCs/>
          <w:i/>
          <w:iCs/>
          <w:sz w:val="22"/>
          <w:szCs w:val="22"/>
        </w:rPr>
        <w:t xml:space="preserve">atribuições organizacional, administrativa e financeira da gestão fiscal </w:t>
      </w:r>
      <w:r w:rsidR="00505369" w:rsidRPr="0072678C">
        <w:rPr>
          <w:rFonts w:asciiTheme="minorHAnsi" w:hAnsiTheme="minorHAnsi" w:cstheme="minorHAnsi"/>
          <w:sz w:val="22"/>
          <w:szCs w:val="22"/>
        </w:rPr>
        <w:t>obteve nível 3 de maturidade, ou seja, atende a todos os 6 requisitos das boas práticas da MD-GEFIS</w:t>
      </w:r>
      <w:r w:rsidR="00F3430C" w:rsidRPr="0072678C">
        <w:rPr>
          <w:rFonts w:asciiTheme="minorHAnsi" w:hAnsiTheme="minorHAnsi" w:cstheme="minorHAnsi"/>
          <w:sz w:val="22"/>
          <w:szCs w:val="22"/>
        </w:rPr>
        <w:t>. Um conjunto de Decretos e Leis foi apresentado pela SEFAZ/SP e comprovam que a mesma dispõe de uma estrutura organizacional</w:t>
      </w:r>
      <w:r w:rsidR="00F3430C" w:rsidRPr="0072678C">
        <w:rPr>
          <w:rStyle w:val="FootnoteReference"/>
          <w:rFonts w:asciiTheme="minorHAnsi" w:hAnsiTheme="minorHAnsi" w:cstheme="minorHAnsi"/>
          <w:sz w:val="22"/>
          <w:szCs w:val="22"/>
        </w:rPr>
        <w:footnoteReference w:id="2"/>
      </w:r>
      <w:r w:rsidR="00F3430C" w:rsidRPr="0072678C">
        <w:rPr>
          <w:rFonts w:asciiTheme="minorHAnsi" w:hAnsiTheme="minorHAnsi" w:cstheme="minorHAnsi"/>
          <w:sz w:val="22"/>
          <w:szCs w:val="22"/>
        </w:rPr>
        <w:t>; de um plano de cargos, carreiras e remuneração dos seus servidores</w:t>
      </w:r>
      <w:r w:rsidR="00F3430C" w:rsidRPr="0072678C">
        <w:rPr>
          <w:rStyle w:val="FootnoteReference"/>
          <w:rFonts w:asciiTheme="minorHAnsi" w:hAnsiTheme="minorHAnsi" w:cstheme="minorHAnsi"/>
          <w:sz w:val="22"/>
          <w:szCs w:val="22"/>
        </w:rPr>
        <w:footnoteReference w:id="3"/>
      </w:r>
      <w:r w:rsidR="00C35570" w:rsidRPr="0072678C">
        <w:rPr>
          <w:rFonts w:asciiTheme="minorHAnsi" w:hAnsiTheme="minorHAnsi" w:cstheme="minorHAnsi"/>
          <w:sz w:val="22"/>
          <w:szCs w:val="22"/>
        </w:rPr>
        <w:t>; por meio da Lei</w:t>
      </w:r>
      <w:r w:rsidR="00C35570" w:rsidRPr="0072678C">
        <w:rPr>
          <w:rStyle w:val="FootnoteReference"/>
          <w:rFonts w:asciiTheme="minorHAnsi" w:hAnsiTheme="minorHAnsi" w:cstheme="minorHAnsi"/>
          <w:sz w:val="22"/>
          <w:szCs w:val="22"/>
        </w:rPr>
        <w:footnoteReference w:id="4"/>
      </w:r>
      <w:r w:rsidR="00C35570" w:rsidRPr="0072678C">
        <w:rPr>
          <w:rFonts w:asciiTheme="minorHAnsi" w:hAnsiTheme="minorHAnsi" w:cstheme="minorHAnsi"/>
          <w:sz w:val="22"/>
          <w:szCs w:val="22"/>
        </w:rPr>
        <w:t xml:space="preserve"> 10.261, de 28 de outubro de 1968, propõe a contratação, cessão, demissão e exoneração de seus servidores; dimensiona e propõe seus gastos de custeio e investimentos</w:t>
      </w:r>
      <w:r w:rsidR="00C35570" w:rsidRPr="0072678C">
        <w:rPr>
          <w:rStyle w:val="FootnoteReference"/>
          <w:rFonts w:asciiTheme="minorHAnsi" w:hAnsiTheme="minorHAnsi" w:cstheme="minorHAnsi"/>
          <w:sz w:val="20"/>
          <w:szCs w:val="20"/>
        </w:rPr>
        <w:footnoteReference w:id="5"/>
      </w:r>
      <w:r w:rsidR="00C35570" w:rsidRPr="0072678C">
        <w:rPr>
          <w:rFonts w:asciiTheme="minorHAnsi" w:hAnsiTheme="minorHAnsi" w:cstheme="minorHAnsi"/>
          <w:sz w:val="20"/>
          <w:szCs w:val="20"/>
        </w:rPr>
        <w:t xml:space="preserve">; </w:t>
      </w:r>
      <w:r w:rsidR="00C35570" w:rsidRPr="0072678C">
        <w:rPr>
          <w:rFonts w:asciiTheme="minorHAnsi" w:hAnsiTheme="minorHAnsi" w:cstheme="minorHAnsi"/>
          <w:sz w:val="22"/>
          <w:szCs w:val="22"/>
        </w:rPr>
        <w:t xml:space="preserve">e ainda define padrões de desempenho organizacional </w:t>
      </w:r>
      <w:r w:rsidR="006E56B4" w:rsidRPr="0072678C">
        <w:rPr>
          <w:rFonts w:asciiTheme="minorHAnsi" w:hAnsiTheme="minorHAnsi" w:cstheme="minorHAnsi"/>
          <w:sz w:val="22"/>
          <w:szCs w:val="22"/>
        </w:rPr>
        <w:t>conforme resoluções</w:t>
      </w:r>
      <w:r w:rsidR="006E56B4" w:rsidRPr="0072678C">
        <w:rPr>
          <w:rStyle w:val="FootnoteReference"/>
          <w:rFonts w:asciiTheme="minorHAnsi" w:hAnsiTheme="minorHAnsi" w:cstheme="minorHAnsi"/>
          <w:sz w:val="20"/>
          <w:szCs w:val="20"/>
        </w:rPr>
        <w:footnoteReference w:id="6"/>
      </w:r>
      <w:r w:rsidR="005F6F71" w:rsidRPr="0072678C">
        <w:rPr>
          <w:rFonts w:asciiTheme="minorHAnsi" w:hAnsiTheme="minorHAnsi" w:cstheme="minorHAnsi"/>
          <w:sz w:val="20"/>
          <w:szCs w:val="20"/>
        </w:rPr>
        <w:t>.</w:t>
      </w:r>
      <w:r w:rsidR="00C35570" w:rsidRPr="0072678C">
        <w:rPr>
          <w:rFonts w:asciiTheme="minorHAnsi" w:hAnsiTheme="minorHAnsi" w:cstheme="minorHAnsi"/>
          <w:sz w:val="20"/>
          <w:szCs w:val="20"/>
        </w:rPr>
        <w:t xml:space="preserve"> </w:t>
      </w:r>
    </w:p>
    <w:p w:rsidR="007F124B" w:rsidRPr="0072678C" w:rsidRDefault="00505369" w:rsidP="00014541">
      <w:pPr>
        <w:spacing w:after="240"/>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006E56B4" w:rsidRPr="0072678C">
        <w:rPr>
          <w:rFonts w:asciiTheme="minorHAnsi" w:hAnsiTheme="minorHAnsi" w:cstheme="minorHAnsi"/>
          <w:sz w:val="22"/>
          <w:szCs w:val="22"/>
        </w:rPr>
        <w:t>processo de</w:t>
      </w:r>
      <w:r w:rsidR="006E56B4" w:rsidRPr="0072678C">
        <w:rPr>
          <w:rFonts w:asciiTheme="minorHAnsi" w:hAnsiTheme="minorHAnsi" w:cstheme="minorHAnsi"/>
          <w:b/>
          <w:bCs/>
          <w:i/>
          <w:iCs/>
          <w:sz w:val="22"/>
          <w:szCs w:val="22"/>
        </w:rPr>
        <w:t xml:space="preserve"> </w:t>
      </w:r>
      <w:r w:rsidRPr="0072678C">
        <w:rPr>
          <w:rFonts w:asciiTheme="minorHAnsi" w:hAnsiTheme="minorHAnsi" w:cstheme="minorHAnsi"/>
          <w:b/>
          <w:bCs/>
          <w:i/>
          <w:iCs/>
          <w:sz w:val="22"/>
          <w:szCs w:val="22"/>
        </w:rPr>
        <w:t xml:space="preserve">auditoria interna da gestão fiscal </w:t>
      </w:r>
      <w:r w:rsidRPr="0072678C">
        <w:rPr>
          <w:rFonts w:asciiTheme="minorHAnsi" w:hAnsiTheme="minorHAnsi" w:cstheme="minorHAnsi"/>
          <w:sz w:val="22"/>
          <w:szCs w:val="22"/>
        </w:rPr>
        <w:t xml:space="preserve">obteve nível 3 de maturidade, ou seja, atende a todos os 8 requisitos das boas práticas da MD-GEFIS: </w:t>
      </w:r>
      <w:r w:rsidR="002B6064" w:rsidRPr="0072678C">
        <w:rPr>
          <w:rFonts w:asciiTheme="minorHAnsi" w:hAnsiTheme="minorHAnsi" w:cstheme="minorHAnsi"/>
          <w:sz w:val="22"/>
          <w:szCs w:val="22"/>
        </w:rPr>
        <w:t>E</w:t>
      </w:r>
      <w:r w:rsidR="006E56B4" w:rsidRPr="0072678C">
        <w:rPr>
          <w:rFonts w:asciiTheme="minorHAnsi" w:hAnsiTheme="minorHAnsi" w:cstheme="minorHAnsi"/>
          <w:sz w:val="22"/>
          <w:szCs w:val="22"/>
        </w:rPr>
        <w:t>stá formalmente instituída, com inserção estratégica, independência profissional e livre acesso aos recursos organizacionais</w:t>
      </w:r>
      <w:r w:rsidR="00246EC4" w:rsidRPr="0072678C">
        <w:rPr>
          <w:rFonts w:asciiTheme="minorHAnsi" w:hAnsiTheme="minorHAnsi" w:cstheme="minorHAnsi"/>
          <w:sz w:val="22"/>
          <w:szCs w:val="22"/>
        </w:rPr>
        <w:t xml:space="preserve"> conforme dispõe o D</w:t>
      </w:r>
      <w:r w:rsidR="002B6064" w:rsidRPr="0072678C">
        <w:rPr>
          <w:rFonts w:asciiTheme="minorHAnsi" w:hAnsiTheme="minorHAnsi" w:cstheme="minorHAnsi"/>
          <w:sz w:val="22"/>
          <w:szCs w:val="22"/>
        </w:rPr>
        <w:t>ecreto</w:t>
      </w:r>
      <w:r w:rsidR="00246EC4" w:rsidRPr="0072678C">
        <w:rPr>
          <w:rStyle w:val="FootnoteReference"/>
          <w:rFonts w:asciiTheme="minorHAnsi" w:hAnsiTheme="minorHAnsi" w:cstheme="minorHAnsi"/>
          <w:sz w:val="22"/>
          <w:szCs w:val="22"/>
        </w:rPr>
        <w:footnoteReference w:id="7"/>
      </w:r>
      <w:r w:rsidR="002B6064" w:rsidRPr="0072678C">
        <w:rPr>
          <w:rFonts w:asciiTheme="minorHAnsi" w:hAnsiTheme="minorHAnsi" w:cstheme="minorHAnsi"/>
          <w:sz w:val="22"/>
          <w:szCs w:val="22"/>
        </w:rPr>
        <w:t xml:space="preserve"> Nº 60.812, de 30 de setembro de </w:t>
      </w:r>
      <w:r w:rsidR="00246EC4" w:rsidRPr="0072678C">
        <w:rPr>
          <w:rFonts w:asciiTheme="minorHAnsi" w:hAnsiTheme="minorHAnsi" w:cstheme="minorHAnsi"/>
          <w:sz w:val="22"/>
          <w:szCs w:val="22"/>
        </w:rPr>
        <w:t>2014 (art. 26 e 27); produz relatórios sistêmicos sobre confiabilidade e integridade de informações fiscais e operacionais, eficácia e eficiência de operações, proteção de ativos e cumprimentos de leis, regulamentos e contratos</w:t>
      </w:r>
      <w:r w:rsidR="00014541" w:rsidRPr="0072678C">
        <w:rPr>
          <w:rFonts w:asciiTheme="minorHAnsi" w:hAnsiTheme="minorHAnsi" w:cstheme="minorHAnsi"/>
          <w:sz w:val="22"/>
          <w:szCs w:val="22"/>
        </w:rPr>
        <w:t>; utiliza metodologias e ferramentas de auditoria reconhecidas internacionalmente (Manual COSO aplicado à</w:t>
      </w:r>
      <w:r w:rsidR="00014541" w:rsidRPr="0072678C">
        <w:rPr>
          <w:rFonts w:asciiTheme="minorHAnsi" w:hAnsiTheme="minorHAnsi" w:cstheme="minorHAnsi"/>
          <w:sz w:val="20"/>
          <w:szCs w:val="20"/>
        </w:rPr>
        <w:t xml:space="preserve"> </w:t>
      </w:r>
      <w:r w:rsidR="00014541" w:rsidRPr="0072678C">
        <w:rPr>
          <w:rFonts w:asciiTheme="minorHAnsi" w:hAnsiTheme="minorHAnsi" w:cstheme="minorHAnsi"/>
          <w:sz w:val="22"/>
          <w:szCs w:val="22"/>
        </w:rPr>
        <w:t>Administração Pública)</w:t>
      </w:r>
      <w:r w:rsidR="00F9779D" w:rsidRPr="0072678C">
        <w:rPr>
          <w:rFonts w:asciiTheme="minorHAnsi" w:hAnsiTheme="minorHAnsi" w:cstheme="minorHAnsi"/>
          <w:sz w:val="22"/>
          <w:szCs w:val="22"/>
        </w:rPr>
        <w:t>; u</w:t>
      </w:r>
      <w:r w:rsidR="00F9779D" w:rsidRPr="0072678C">
        <w:rPr>
          <w:rFonts w:asciiTheme="minorHAnsi" w:hAnsiTheme="minorHAnsi" w:cstheme="minorHAnsi"/>
          <w:sz w:val="20"/>
          <w:szCs w:val="20"/>
        </w:rPr>
        <w:t xml:space="preserve">tiliza plano de auditoria interna, baseado nos objetivos, riscos e </w:t>
      </w:r>
      <w:r w:rsidR="00F9779D" w:rsidRPr="0072678C">
        <w:rPr>
          <w:rFonts w:asciiTheme="minorHAnsi" w:hAnsiTheme="minorHAnsi" w:cstheme="minorHAnsi"/>
          <w:sz w:val="22"/>
          <w:szCs w:val="22"/>
        </w:rPr>
        <w:t xml:space="preserve">metas organizacionais conforme Book Plano Anual de Atividades de Auditoria Interna; emite relatórios conforme cronograma fixo e distribui para o órgão auditado e para os órgãos de </w:t>
      </w:r>
      <w:r w:rsidR="00F9779D" w:rsidRPr="0072678C">
        <w:rPr>
          <w:rFonts w:asciiTheme="minorHAnsi" w:hAnsiTheme="minorHAnsi" w:cstheme="minorHAnsi"/>
          <w:sz w:val="22"/>
          <w:szCs w:val="22"/>
        </w:rPr>
        <w:lastRenderedPageBreak/>
        <w:t xml:space="preserve">controle; emite recomendações que são utilizadas na melhoria dos processos de governança, de gerenciamento de riscos e de controles; realiza o acompanhamento das recomendações conforme Decreto n.º 49.527, de 6 de abril de 2005 </w:t>
      </w:r>
      <w:r w:rsidR="00F9210A" w:rsidRPr="0072678C">
        <w:rPr>
          <w:rFonts w:asciiTheme="minorHAnsi" w:hAnsiTheme="minorHAnsi" w:cstheme="minorHAnsi"/>
          <w:sz w:val="22"/>
          <w:szCs w:val="22"/>
        </w:rPr>
        <w:t xml:space="preserve">que </w:t>
      </w:r>
      <w:r w:rsidR="00F9779D" w:rsidRPr="0072678C">
        <w:rPr>
          <w:rFonts w:asciiTheme="minorHAnsi" w:hAnsiTheme="minorHAnsi" w:cstheme="minorHAnsi"/>
          <w:sz w:val="22"/>
          <w:szCs w:val="22"/>
        </w:rPr>
        <w:t>fixa prazo para a devolução de Relatórios de Auditoria e Avaliação</w:t>
      </w:r>
      <w:r w:rsidR="00F9210A" w:rsidRPr="0072678C">
        <w:rPr>
          <w:rFonts w:asciiTheme="minorHAnsi" w:hAnsiTheme="minorHAnsi" w:cstheme="minorHAnsi"/>
          <w:sz w:val="22"/>
          <w:szCs w:val="22"/>
        </w:rPr>
        <w:t>; e realiza o acompanhamento das recomendações do órgão de controle externo</w:t>
      </w:r>
      <w:r w:rsidR="00C275DC" w:rsidRPr="0072678C">
        <w:rPr>
          <w:rFonts w:asciiTheme="minorHAnsi" w:hAnsiTheme="minorHAnsi" w:cstheme="minorHAnsi"/>
          <w:sz w:val="22"/>
          <w:szCs w:val="22"/>
        </w:rPr>
        <w:t>.</w:t>
      </w:r>
    </w:p>
    <w:p w:rsidR="006C4CA3" w:rsidRPr="0072678C" w:rsidRDefault="00C275DC" w:rsidP="00014541">
      <w:pPr>
        <w:spacing w:after="240"/>
        <w:jc w:val="both"/>
        <w:rPr>
          <w:rFonts w:asciiTheme="minorHAnsi" w:hAnsiTheme="minorHAnsi" w:cstheme="minorHAnsi"/>
          <w:sz w:val="22"/>
          <w:szCs w:val="22"/>
        </w:rPr>
      </w:pPr>
      <w:r w:rsidRPr="0072678C">
        <w:rPr>
          <w:rFonts w:asciiTheme="minorHAnsi" w:hAnsiTheme="minorHAnsi" w:cstheme="minorHAnsi"/>
          <w:sz w:val="22"/>
          <w:szCs w:val="22"/>
        </w:rPr>
        <w:t xml:space="preserve">Apesar do nível 3 de maturidade, observa-se que </w:t>
      </w:r>
      <w:r w:rsidR="00CF03A2" w:rsidRPr="0072678C">
        <w:rPr>
          <w:rFonts w:asciiTheme="minorHAnsi" w:hAnsiTheme="minorHAnsi" w:cstheme="minorHAnsi"/>
          <w:sz w:val="22"/>
          <w:szCs w:val="22"/>
        </w:rPr>
        <w:t xml:space="preserve">o processo de </w:t>
      </w:r>
      <w:r w:rsidRPr="0072678C">
        <w:rPr>
          <w:rFonts w:asciiTheme="minorHAnsi" w:hAnsiTheme="minorHAnsi" w:cstheme="minorHAnsi"/>
          <w:sz w:val="22"/>
          <w:szCs w:val="22"/>
        </w:rPr>
        <w:t xml:space="preserve">auditorias </w:t>
      </w:r>
      <w:r w:rsidR="00CF03A2" w:rsidRPr="0072678C">
        <w:rPr>
          <w:rFonts w:asciiTheme="minorHAnsi" w:hAnsiTheme="minorHAnsi" w:cstheme="minorHAnsi"/>
          <w:sz w:val="22"/>
          <w:szCs w:val="22"/>
        </w:rPr>
        <w:t xml:space="preserve">interna da gestão fiscal tem como foco </w:t>
      </w:r>
      <w:r w:rsidRPr="0072678C">
        <w:rPr>
          <w:rFonts w:asciiTheme="minorHAnsi" w:hAnsiTheme="minorHAnsi" w:cstheme="minorHAnsi"/>
          <w:sz w:val="22"/>
          <w:szCs w:val="22"/>
        </w:rPr>
        <w:t xml:space="preserve">as </w:t>
      </w:r>
      <w:r w:rsidR="00B83EC3" w:rsidRPr="0072678C">
        <w:rPr>
          <w:rFonts w:asciiTheme="minorHAnsi" w:hAnsiTheme="minorHAnsi" w:cstheme="minorHAnsi"/>
          <w:sz w:val="22"/>
          <w:szCs w:val="22"/>
        </w:rPr>
        <w:t xml:space="preserve">análises individualizadas </w:t>
      </w:r>
      <w:r w:rsidR="00CF03A2" w:rsidRPr="0072678C">
        <w:rPr>
          <w:rFonts w:asciiTheme="minorHAnsi" w:hAnsiTheme="minorHAnsi" w:cstheme="minorHAnsi"/>
          <w:sz w:val="22"/>
          <w:szCs w:val="22"/>
        </w:rPr>
        <w:t xml:space="preserve">das </w:t>
      </w:r>
      <w:r w:rsidR="00B83EC3" w:rsidRPr="0072678C">
        <w:rPr>
          <w:rFonts w:asciiTheme="minorHAnsi" w:hAnsiTheme="minorHAnsi" w:cstheme="minorHAnsi"/>
          <w:sz w:val="22"/>
          <w:szCs w:val="22"/>
        </w:rPr>
        <w:t>Unidade</w:t>
      </w:r>
      <w:r w:rsidR="00B07FD7" w:rsidRPr="0072678C">
        <w:rPr>
          <w:rFonts w:asciiTheme="minorHAnsi" w:hAnsiTheme="minorHAnsi" w:cstheme="minorHAnsi"/>
          <w:sz w:val="22"/>
          <w:szCs w:val="22"/>
        </w:rPr>
        <w:t>s</w:t>
      </w:r>
      <w:r w:rsidR="00B83EC3" w:rsidRPr="0072678C">
        <w:rPr>
          <w:rFonts w:asciiTheme="minorHAnsi" w:hAnsiTheme="minorHAnsi" w:cstheme="minorHAnsi"/>
          <w:sz w:val="22"/>
          <w:szCs w:val="22"/>
        </w:rPr>
        <w:t xml:space="preserve"> de Gestão Estadual (UGE) com o objetivo de verificar a legalidade dos </w:t>
      </w:r>
      <w:r w:rsidR="006C4206" w:rsidRPr="0072678C">
        <w:rPr>
          <w:rFonts w:asciiTheme="minorHAnsi" w:hAnsiTheme="minorHAnsi" w:cstheme="minorHAnsi"/>
          <w:sz w:val="22"/>
          <w:szCs w:val="22"/>
        </w:rPr>
        <w:t>processos</w:t>
      </w:r>
      <w:r w:rsidR="00B83EC3" w:rsidRPr="0072678C">
        <w:rPr>
          <w:rFonts w:asciiTheme="minorHAnsi" w:hAnsiTheme="minorHAnsi" w:cstheme="minorHAnsi"/>
          <w:sz w:val="22"/>
          <w:szCs w:val="22"/>
        </w:rPr>
        <w:t xml:space="preserve"> </w:t>
      </w:r>
      <w:r w:rsidR="00CF03A2" w:rsidRPr="0072678C">
        <w:rPr>
          <w:rFonts w:asciiTheme="minorHAnsi" w:hAnsiTheme="minorHAnsi" w:cstheme="minorHAnsi"/>
          <w:sz w:val="22"/>
          <w:szCs w:val="22"/>
        </w:rPr>
        <w:t>e não os resultados alcançados conforme as políticas de gestão fiscal definidas</w:t>
      </w:r>
      <w:r w:rsidR="00B83EC3" w:rsidRPr="0072678C">
        <w:rPr>
          <w:rFonts w:asciiTheme="minorHAnsi" w:hAnsiTheme="minorHAnsi" w:cstheme="minorHAnsi"/>
          <w:sz w:val="22"/>
          <w:szCs w:val="22"/>
        </w:rPr>
        <w:t xml:space="preserve">. A falta de uma Matriz de Risco </w:t>
      </w:r>
      <w:r w:rsidR="006C4CA3" w:rsidRPr="0072678C">
        <w:rPr>
          <w:rFonts w:asciiTheme="minorHAnsi" w:hAnsiTheme="minorHAnsi" w:cstheme="minorHAnsi"/>
          <w:sz w:val="22"/>
          <w:szCs w:val="22"/>
        </w:rPr>
        <w:t xml:space="preserve">e o acesso restrito aos sistemas </w:t>
      </w:r>
      <w:r w:rsidR="00B83EC3" w:rsidRPr="0072678C">
        <w:rPr>
          <w:rFonts w:asciiTheme="minorHAnsi" w:hAnsiTheme="minorHAnsi" w:cstheme="minorHAnsi"/>
          <w:sz w:val="22"/>
          <w:szCs w:val="22"/>
        </w:rPr>
        <w:t>externos à SEFAZ/SP</w:t>
      </w:r>
      <w:r w:rsidR="006C4CA3" w:rsidRPr="0072678C">
        <w:rPr>
          <w:rFonts w:asciiTheme="minorHAnsi" w:hAnsiTheme="minorHAnsi" w:cstheme="minorHAnsi"/>
          <w:sz w:val="22"/>
          <w:szCs w:val="22"/>
        </w:rPr>
        <w:t xml:space="preserve"> limita o estabelecimento de trilhas de auditorias.</w:t>
      </w:r>
      <w:r w:rsidR="00B83EC3" w:rsidRPr="0072678C">
        <w:rPr>
          <w:rFonts w:asciiTheme="minorHAnsi" w:hAnsiTheme="minorHAnsi" w:cstheme="minorHAnsi"/>
          <w:sz w:val="22"/>
          <w:szCs w:val="22"/>
        </w:rPr>
        <w:t xml:space="preserve"> </w:t>
      </w:r>
    </w:p>
    <w:p w:rsidR="00505369" w:rsidRPr="0072678C" w:rsidRDefault="00505369" w:rsidP="00F9210A">
      <w:pPr>
        <w:spacing w:after="240"/>
        <w:jc w:val="both"/>
        <w:rPr>
          <w:rFonts w:asciiTheme="minorHAnsi" w:hAnsiTheme="minorHAnsi" w:cstheme="minorHAnsi"/>
          <w:sz w:val="22"/>
          <w:szCs w:val="22"/>
        </w:rPr>
      </w:pPr>
      <w:r w:rsidRPr="0072678C">
        <w:rPr>
          <w:rFonts w:asciiTheme="minorHAnsi" w:hAnsiTheme="minorHAnsi" w:cstheme="minorHAnsi"/>
          <w:sz w:val="22"/>
          <w:szCs w:val="22"/>
        </w:rPr>
        <w:t>O processo</w:t>
      </w:r>
      <w:r w:rsidRPr="0072678C">
        <w:rPr>
          <w:rFonts w:asciiTheme="minorHAnsi" w:hAnsiTheme="minorHAnsi" w:cstheme="minorHAnsi"/>
          <w:b/>
          <w:bCs/>
          <w:i/>
          <w:iCs/>
          <w:sz w:val="22"/>
          <w:szCs w:val="22"/>
        </w:rPr>
        <w:t xml:space="preserve"> procedimentos de correção da administração fiscal </w:t>
      </w:r>
      <w:r w:rsidRPr="0072678C">
        <w:rPr>
          <w:rFonts w:asciiTheme="minorHAnsi" w:hAnsiTheme="minorHAnsi" w:cstheme="minorHAnsi"/>
          <w:sz w:val="22"/>
          <w:szCs w:val="22"/>
        </w:rPr>
        <w:t>obteve nível 3 de maturidade, ou seja,</w:t>
      </w:r>
      <w:r w:rsidR="00321A53" w:rsidRPr="0072678C">
        <w:rPr>
          <w:rFonts w:asciiTheme="minorHAnsi" w:hAnsiTheme="minorHAnsi" w:cstheme="minorHAnsi"/>
          <w:sz w:val="22"/>
          <w:szCs w:val="22"/>
        </w:rPr>
        <w:t xml:space="preserve"> atende 9</w:t>
      </w:r>
      <w:r w:rsidRPr="0072678C">
        <w:rPr>
          <w:rFonts w:asciiTheme="minorHAnsi" w:hAnsiTheme="minorHAnsi" w:cstheme="minorHAnsi"/>
          <w:sz w:val="22"/>
          <w:szCs w:val="22"/>
        </w:rPr>
        <w:t xml:space="preserve"> de</w:t>
      </w:r>
      <w:r w:rsidR="00F9210A" w:rsidRPr="0072678C">
        <w:rPr>
          <w:rFonts w:asciiTheme="minorHAnsi" w:hAnsiTheme="minorHAnsi" w:cstheme="minorHAnsi"/>
          <w:sz w:val="22"/>
          <w:szCs w:val="22"/>
        </w:rPr>
        <w:t>ntre</w:t>
      </w:r>
      <w:r w:rsidRPr="0072678C">
        <w:rPr>
          <w:rFonts w:asciiTheme="minorHAnsi" w:hAnsiTheme="minorHAnsi" w:cstheme="minorHAnsi"/>
          <w:sz w:val="22"/>
          <w:szCs w:val="22"/>
        </w:rPr>
        <w:t xml:space="preserve"> 12 requisitos das boas práticas da MD-GEFIS</w:t>
      </w:r>
      <w:r w:rsidR="00F9210A"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 </w:t>
      </w:r>
      <w:r w:rsidR="00F9210A" w:rsidRPr="0072678C">
        <w:rPr>
          <w:rFonts w:asciiTheme="minorHAnsi" w:hAnsiTheme="minorHAnsi" w:cstheme="minorHAnsi"/>
          <w:sz w:val="22"/>
          <w:szCs w:val="22"/>
        </w:rPr>
        <w:t>Dispõe de um marco legal organizado em um código de processo administrativo disciplinar</w:t>
      </w:r>
      <w:r w:rsidR="00F9210A" w:rsidRPr="0072678C">
        <w:rPr>
          <w:rStyle w:val="FootnoteReference"/>
          <w:rFonts w:asciiTheme="minorHAnsi" w:hAnsiTheme="minorHAnsi" w:cstheme="minorHAnsi"/>
          <w:sz w:val="22"/>
          <w:szCs w:val="22"/>
        </w:rPr>
        <w:footnoteReference w:id="8"/>
      </w:r>
      <w:r w:rsidR="005C0D49" w:rsidRPr="0072678C">
        <w:rPr>
          <w:rFonts w:asciiTheme="minorHAnsi" w:hAnsiTheme="minorHAnsi" w:cstheme="minorHAnsi"/>
          <w:sz w:val="22"/>
          <w:szCs w:val="22"/>
        </w:rPr>
        <w:t>;</w:t>
      </w:r>
      <w:r w:rsidR="00A3433B" w:rsidRPr="0072678C">
        <w:rPr>
          <w:rFonts w:asciiTheme="minorHAnsi" w:hAnsiTheme="minorHAnsi" w:cstheme="minorHAnsi"/>
          <w:sz w:val="22"/>
          <w:szCs w:val="22"/>
        </w:rPr>
        <w:t xml:space="preserve"> </w:t>
      </w:r>
      <w:r w:rsidR="005C0D49" w:rsidRPr="0072678C">
        <w:rPr>
          <w:rFonts w:asciiTheme="minorHAnsi" w:hAnsiTheme="minorHAnsi" w:cstheme="minorHAnsi"/>
          <w:sz w:val="22"/>
          <w:szCs w:val="22"/>
        </w:rPr>
        <w:t>oferece garantias de independência na condução dos trabalhos desenvolvidos por servidores públicos efetivos</w:t>
      </w:r>
      <w:r w:rsidR="005C0D49" w:rsidRPr="0072678C">
        <w:rPr>
          <w:rStyle w:val="FootnoteReference"/>
          <w:rFonts w:asciiTheme="minorHAnsi" w:hAnsiTheme="minorHAnsi" w:cstheme="minorHAnsi"/>
          <w:sz w:val="22"/>
          <w:szCs w:val="22"/>
        </w:rPr>
        <w:footnoteReference w:id="9"/>
      </w:r>
      <w:r w:rsidR="005C0D49" w:rsidRPr="0072678C">
        <w:rPr>
          <w:rFonts w:asciiTheme="minorHAnsi" w:hAnsiTheme="minorHAnsi" w:cstheme="minorHAnsi"/>
          <w:sz w:val="22"/>
          <w:szCs w:val="22"/>
        </w:rPr>
        <w:t>;  adota critérios técnicos para seleção e oferece benefícios para o desempenho da atividade</w:t>
      </w:r>
      <w:r w:rsidR="005C0D49" w:rsidRPr="0072678C">
        <w:rPr>
          <w:rStyle w:val="FootnoteReference"/>
          <w:rFonts w:asciiTheme="minorHAnsi" w:hAnsiTheme="minorHAnsi" w:cstheme="minorHAnsi"/>
          <w:sz w:val="22"/>
          <w:szCs w:val="22"/>
        </w:rPr>
        <w:footnoteReference w:id="10"/>
      </w:r>
      <w:r w:rsidR="005C0D49" w:rsidRPr="0072678C">
        <w:rPr>
          <w:rFonts w:asciiTheme="minorHAnsi" w:hAnsiTheme="minorHAnsi" w:cstheme="minorHAnsi"/>
          <w:sz w:val="22"/>
          <w:szCs w:val="22"/>
        </w:rPr>
        <w:t>; utiliza como instrumentos a investigação preliminar, a sindicância investigativa, patrimonial, contraditória, processo administrativo disciplinar e a inspeção</w:t>
      </w:r>
      <w:r w:rsidR="000122F2" w:rsidRPr="0072678C">
        <w:rPr>
          <w:rStyle w:val="FootnoteReference"/>
          <w:rFonts w:asciiTheme="minorHAnsi" w:hAnsiTheme="minorHAnsi" w:cstheme="minorHAnsi"/>
          <w:sz w:val="22"/>
          <w:szCs w:val="22"/>
        </w:rPr>
        <w:footnoteReference w:id="11"/>
      </w:r>
      <w:r w:rsidR="000122F2" w:rsidRPr="0072678C">
        <w:rPr>
          <w:rFonts w:asciiTheme="minorHAnsi" w:hAnsiTheme="minorHAnsi" w:cstheme="minorHAnsi"/>
          <w:sz w:val="22"/>
          <w:szCs w:val="22"/>
        </w:rPr>
        <w:t>; utiliza como fontes de informações os bancos de dados internos e externos, sinais enriquecimento ilícito e evolução patrimonial dos servidores</w:t>
      </w:r>
      <w:r w:rsidR="000122F2" w:rsidRPr="0072678C">
        <w:rPr>
          <w:rStyle w:val="FootnoteReference"/>
          <w:rFonts w:asciiTheme="minorHAnsi" w:hAnsiTheme="minorHAnsi" w:cstheme="minorHAnsi"/>
          <w:sz w:val="22"/>
          <w:szCs w:val="22"/>
        </w:rPr>
        <w:footnoteReference w:id="12"/>
      </w:r>
      <w:r w:rsidR="000122F2" w:rsidRPr="0072678C">
        <w:rPr>
          <w:rFonts w:asciiTheme="minorHAnsi" w:hAnsiTheme="minorHAnsi" w:cstheme="minorHAnsi"/>
          <w:sz w:val="22"/>
          <w:szCs w:val="22"/>
        </w:rPr>
        <w:t>; aplica na apuração de irregularidades a investigação preliminar, as três espécies de sindicância e o processo administrativo disciplinar (excluindo a inspeção), em conformidade com a Lei Complementar 10.261/68 (EFP - Estatuto do funcionário Público) e Lei Complementar 1.281/2016</w:t>
      </w:r>
      <w:r w:rsidR="000122F2" w:rsidRPr="0072678C">
        <w:rPr>
          <w:rStyle w:val="FootnoteReference"/>
          <w:rFonts w:asciiTheme="minorHAnsi" w:hAnsiTheme="minorHAnsi" w:cstheme="minorHAnsi"/>
          <w:sz w:val="22"/>
          <w:szCs w:val="22"/>
        </w:rPr>
        <w:footnoteReference w:id="13"/>
      </w:r>
      <w:r w:rsidR="000122F2" w:rsidRPr="0072678C">
        <w:rPr>
          <w:rFonts w:asciiTheme="minorHAnsi" w:hAnsiTheme="minorHAnsi" w:cstheme="minorHAnsi"/>
          <w:sz w:val="22"/>
          <w:szCs w:val="22"/>
        </w:rPr>
        <w:t>; estabelece critérios para instalação do processo administrativo disciplinar e fixam prazos para conclusão e, quando for o caso, prorrogação dos trabalhos</w:t>
      </w:r>
      <w:r w:rsidR="00A3433B" w:rsidRPr="0072678C">
        <w:rPr>
          <w:rFonts w:asciiTheme="minorHAnsi" w:hAnsiTheme="minorHAnsi" w:cstheme="minorHAnsi"/>
          <w:sz w:val="22"/>
          <w:szCs w:val="22"/>
        </w:rPr>
        <w:t>; informa à autoridade competente para apuração e, se  for o caso, penalização dos contribuintes pessoas jurídicas envolvidos em ações de corrupção.</w:t>
      </w:r>
    </w:p>
    <w:p w:rsidR="00DA6FD6" w:rsidRPr="0072678C" w:rsidRDefault="00DA6FD6" w:rsidP="00DA6FD6">
      <w:pPr>
        <w:jc w:val="both"/>
        <w:rPr>
          <w:rFonts w:asciiTheme="minorHAnsi" w:hAnsiTheme="minorHAnsi" w:cstheme="minorHAnsi"/>
        </w:rPr>
      </w:pPr>
      <w:r w:rsidRPr="0072678C">
        <w:rPr>
          <w:rFonts w:asciiTheme="minorHAnsi" w:hAnsiTheme="minorHAnsi" w:cstheme="minorHAnsi"/>
          <w:sz w:val="22"/>
          <w:szCs w:val="22"/>
        </w:rPr>
        <w:t>O processo</w:t>
      </w:r>
      <w:r w:rsidRPr="0072678C">
        <w:rPr>
          <w:rFonts w:asciiTheme="minorHAnsi" w:hAnsiTheme="minorHAnsi" w:cstheme="minorHAnsi"/>
          <w:b/>
          <w:bCs/>
          <w:i/>
          <w:iCs/>
          <w:sz w:val="22"/>
          <w:szCs w:val="22"/>
        </w:rPr>
        <w:t xml:space="preserve"> direcionamento estratégico da gestão fiscal </w:t>
      </w:r>
      <w:r w:rsidRPr="0072678C">
        <w:rPr>
          <w:rFonts w:asciiTheme="minorHAnsi" w:hAnsiTheme="minorHAnsi" w:cstheme="minorHAnsi"/>
          <w:sz w:val="22"/>
          <w:szCs w:val="22"/>
        </w:rPr>
        <w:t>obteve nível 2 de maturidade, ou seja, atende 4 dentre 6 requisitos das boas práticas da MD-GEFIS: Para tanto, define de forma integrada políticas e diretrizes para a gestão fiscal, envolvendo as áreas tributária e financeira</w:t>
      </w:r>
      <w:r w:rsidRPr="0072678C">
        <w:rPr>
          <w:rStyle w:val="FootnoteReference"/>
          <w:rFonts w:asciiTheme="minorHAnsi" w:hAnsiTheme="minorHAnsi" w:cstheme="minorHAnsi"/>
          <w:sz w:val="22"/>
          <w:szCs w:val="22"/>
        </w:rPr>
        <w:footnoteReference w:id="14"/>
      </w:r>
      <w:r w:rsidRPr="0072678C">
        <w:rPr>
          <w:rFonts w:asciiTheme="minorHAnsi" w:hAnsiTheme="minorHAnsi" w:cstheme="minorHAnsi"/>
          <w:sz w:val="22"/>
          <w:szCs w:val="22"/>
        </w:rPr>
        <w:t>; define metas estratégicas a serem alcançadas pelas áreas tributária e financeira</w:t>
      </w:r>
      <w:r w:rsidRPr="0072678C">
        <w:rPr>
          <w:rStyle w:val="FootnoteReference"/>
          <w:rFonts w:asciiTheme="minorHAnsi" w:hAnsiTheme="minorHAnsi" w:cstheme="minorHAnsi"/>
          <w:sz w:val="22"/>
          <w:szCs w:val="22"/>
        </w:rPr>
        <w:footnoteReference w:id="15"/>
      </w:r>
      <w:r w:rsidRPr="0072678C">
        <w:rPr>
          <w:rFonts w:asciiTheme="minorHAnsi" w:hAnsiTheme="minorHAnsi" w:cstheme="minorHAnsi"/>
          <w:sz w:val="22"/>
          <w:szCs w:val="22"/>
        </w:rPr>
        <w:t xml:space="preserve">; define os </w:t>
      </w:r>
      <w:r w:rsidRPr="0072678C">
        <w:rPr>
          <w:rFonts w:asciiTheme="minorHAnsi" w:hAnsiTheme="minorHAnsi" w:cstheme="minorHAnsi"/>
          <w:sz w:val="22"/>
          <w:szCs w:val="22"/>
        </w:rPr>
        <w:lastRenderedPageBreak/>
        <w:t xml:space="preserve">controles internos para mitigar riscos decorrentes de atos praticados pelos agentes públicos, há exemplo, do Departamento de Tecnologia e Informação (DTI) que gerencia mais de 200 sistemas, em operação, da Secretaria da Fazenda. Deste total, 18 sistemas são classificados como serviços críticos e essenciais e recebem tratamento prioritário, pois quando apresentam algum tipo de problema podem causar significativos impactos negativos aos contribuintes, usuários em geral e ao próprio Estado. Esses serviços críticos e essenciais são monitorados por até 24 horas, todos os dias, em regime de acionamento em situações emergenciais, inclusive finais de semana e feriados. A SEFAZ atingiu altos índices de disponibilidade dos serviços críticos (entre 98,5% e 100%); e realiza reuniões periódicas de acompanhamento de resultados envolvendo as áreas tributária e financeira (reuniões de </w:t>
      </w:r>
      <w:proofErr w:type="spellStart"/>
      <w:r w:rsidRPr="0072678C">
        <w:rPr>
          <w:rFonts w:asciiTheme="minorHAnsi" w:hAnsiTheme="minorHAnsi" w:cstheme="minorHAnsi"/>
          <w:i/>
          <w:sz w:val="22"/>
          <w:szCs w:val="22"/>
        </w:rPr>
        <w:t>SPRINTs</w:t>
      </w:r>
      <w:proofErr w:type="spellEnd"/>
      <w:r w:rsidRPr="0072678C">
        <w:rPr>
          <w:rFonts w:asciiTheme="minorHAnsi" w:hAnsiTheme="minorHAnsi" w:cstheme="minorHAnsi"/>
          <w:sz w:val="22"/>
          <w:szCs w:val="22"/>
        </w:rPr>
        <w:t xml:space="preserve"> para </w:t>
      </w:r>
      <w:r w:rsidRPr="0072678C">
        <w:rPr>
          <w:rFonts w:asciiTheme="minorHAnsi" w:hAnsiTheme="minorHAnsi" w:cstheme="minorHAnsi"/>
          <w:bCs/>
          <w:sz w:val="22"/>
          <w:szCs w:val="22"/>
        </w:rPr>
        <w:t>Correção de Desvios</w:t>
      </w:r>
      <w:r w:rsidRPr="0072678C">
        <w:rPr>
          <w:rFonts w:asciiTheme="minorHAnsi" w:hAnsiTheme="minorHAnsi" w:cstheme="minorHAnsi"/>
          <w:sz w:val="22"/>
          <w:szCs w:val="22"/>
        </w:rPr>
        <w:t xml:space="preserve"> - metodologia </w:t>
      </w:r>
      <w:r w:rsidRPr="0072678C">
        <w:rPr>
          <w:rFonts w:asciiTheme="minorHAnsi" w:hAnsiTheme="minorHAnsi" w:cstheme="minorHAnsi"/>
          <w:i/>
          <w:sz w:val="22"/>
          <w:szCs w:val="22"/>
        </w:rPr>
        <w:t>SCRUM</w:t>
      </w:r>
      <w:r w:rsidRPr="0072678C">
        <w:rPr>
          <w:rFonts w:asciiTheme="minorHAnsi" w:hAnsiTheme="minorHAnsi" w:cstheme="minorHAnsi"/>
          <w:sz w:val="22"/>
          <w:szCs w:val="22"/>
        </w:rPr>
        <w:t>.</w:t>
      </w:r>
    </w:p>
    <w:p w:rsidR="00321A53" w:rsidRPr="0072678C" w:rsidRDefault="00321A53" w:rsidP="00321A53">
      <w:pPr>
        <w:spacing w:before="240" w:after="240"/>
        <w:jc w:val="both"/>
        <w:rPr>
          <w:rFonts w:asciiTheme="minorHAnsi" w:hAnsiTheme="minorHAnsi" w:cstheme="minorHAnsi"/>
          <w:sz w:val="22"/>
          <w:szCs w:val="22"/>
        </w:rPr>
      </w:pPr>
      <w:r w:rsidRPr="0072678C">
        <w:rPr>
          <w:rFonts w:asciiTheme="minorHAnsi" w:hAnsiTheme="minorHAnsi" w:cstheme="minorHAnsi"/>
          <w:b/>
          <w:bCs/>
          <w:i/>
          <w:iCs/>
          <w:sz w:val="22"/>
          <w:szCs w:val="22"/>
        </w:rPr>
        <w:t>O plano estratégico da gestão fiscal</w:t>
      </w:r>
      <w:r w:rsidRPr="0072678C">
        <w:rPr>
          <w:rFonts w:asciiTheme="minorHAnsi" w:hAnsiTheme="minorHAnsi" w:cstheme="minorHAnsi"/>
          <w:sz w:val="22"/>
          <w:szCs w:val="22"/>
        </w:rPr>
        <w:t xml:space="preserve"> obteve nível 2 de maturidade, ou seja, atende 5 de</w:t>
      </w:r>
      <w:r w:rsidR="007F124B" w:rsidRPr="0072678C">
        <w:rPr>
          <w:rFonts w:asciiTheme="minorHAnsi" w:hAnsiTheme="minorHAnsi" w:cstheme="minorHAnsi"/>
          <w:sz w:val="22"/>
          <w:szCs w:val="22"/>
        </w:rPr>
        <w:t>ntre</w:t>
      </w:r>
      <w:r w:rsidRPr="0072678C">
        <w:rPr>
          <w:rFonts w:asciiTheme="minorHAnsi" w:hAnsiTheme="minorHAnsi" w:cstheme="minorHAnsi"/>
          <w:sz w:val="22"/>
          <w:szCs w:val="22"/>
        </w:rPr>
        <w:t xml:space="preserve"> 8 requisitos das boas práticas da MD-GEFIS: </w:t>
      </w:r>
      <w:r w:rsidR="008208DF" w:rsidRPr="0072678C">
        <w:rPr>
          <w:rFonts w:asciiTheme="minorHAnsi" w:hAnsiTheme="minorHAnsi" w:cstheme="minorHAnsi"/>
          <w:sz w:val="22"/>
          <w:szCs w:val="22"/>
        </w:rPr>
        <w:t>Para tanto, Contempla as etapas de formulação, desdobramento, monitoramento e avaliação com a participação dos atores internos</w:t>
      </w:r>
      <w:r w:rsidR="008208DF" w:rsidRPr="0072678C">
        <w:rPr>
          <w:rStyle w:val="FootnoteReference"/>
          <w:rFonts w:asciiTheme="minorHAnsi" w:hAnsiTheme="minorHAnsi" w:cstheme="minorHAnsi"/>
          <w:sz w:val="22"/>
          <w:szCs w:val="22"/>
        </w:rPr>
        <w:footnoteReference w:id="16"/>
      </w:r>
      <w:r w:rsidR="007F124B" w:rsidRPr="0072678C">
        <w:rPr>
          <w:rFonts w:asciiTheme="minorHAnsi" w:hAnsiTheme="minorHAnsi" w:cstheme="minorHAnsi"/>
          <w:sz w:val="22"/>
          <w:szCs w:val="22"/>
        </w:rPr>
        <w:t xml:space="preserve"> ; e</w:t>
      </w:r>
      <w:r w:rsidR="008208DF" w:rsidRPr="0072678C">
        <w:rPr>
          <w:rFonts w:asciiTheme="minorHAnsi" w:hAnsiTheme="minorHAnsi" w:cstheme="minorHAnsi"/>
          <w:sz w:val="22"/>
          <w:szCs w:val="22"/>
        </w:rPr>
        <w:t>stá formalmente instituído e é de cumprimento obrigatório, é revisado no mínimo anualmente com participação de todas as áreas organizacionais conforme determina a Resolução SF 95, de 06-11-2017</w:t>
      </w:r>
      <w:r w:rsidR="00DA7D11" w:rsidRPr="0072678C">
        <w:rPr>
          <w:rFonts w:asciiTheme="minorHAnsi" w:hAnsiTheme="minorHAnsi" w:cstheme="minorHAnsi"/>
          <w:sz w:val="22"/>
          <w:szCs w:val="22"/>
        </w:rPr>
        <w:t xml:space="preserve">. </w:t>
      </w:r>
    </w:p>
    <w:p w:rsidR="008208DF" w:rsidRPr="0072678C" w:rsidRDefault="008208DF" w:rsidP="00321A53">
      <w:pPr>
        <w:spacing w:before="240" w:after="240"/>
        <w:jc w:val="both"/>
        <w:rPr>
          <w:rFonts w:asciiTheme="minorHAnsi" w:hAnsiTheme="minorHAnsi" w:cstheme="minorHAnsi"/>
          <w:sz w:val="22"/>
          <w:szCs w:val="22"/>
        </w:rPr>
      </w:pPr>
      <w:r w:rsidRPr="0072678C">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5" o:title=""/>
          </v:shape>
          <o:OLEObject Type="Embed" ProgID="AcroExch.Document.DC" ShapeID="_x0000_i1025" DrawAspect="Icon" ObjectID="_1591802650" r:id="rId16"/>
        </w:object>
      </w:r>
      <w:r w:rsidR="00DA7D11" w:rsidRPr="0072678C">
        <w:t xml:space="preserve"> </w:t>
      </w:r>
      <w:r w:rsidR="00DA7D11" w:rsidRPr="0072678C">
        <w:object w:dxaOrig="1534" w:dyaOrig="997">
          <v:shape id="_x0000_i1026" type="#_x0000_t75" style="width:76.2pt;height:49.8pt" o:ole="">
            <v:imagedata r:id="rId17" o:title=""/>
          </v:shape>
          <o:OLEObject Type="Embed" ProgID="AcroExch.Document.DC" ShapeID="_x0000_i1026" DrawAspect="Icon" ObjectID="_1591802651" r:id="rId18"/>
        </w:object>
      </w:r>
    </w:p>
    <w:p w:rsidR="000711A5" w:rsidRPr="0072678C" w:rsidRDefault="00321A53" w:rsidP="00321A53">
      <w:pPr>
        <w:spacing w:before="240" w:after="240"/>
        <w:jc w:val="both"/>
        <w:rPr>
          <w:rFonts w:asciiTheme="minorHAnsi" w:hAnsiTheme="minorHAnsi" w:cstheme="minorHAnsi"/>
          <w:sz w:val="22"/>
          <w:szCs w:val="22"/>
        </w:rPr>
      </w:pPr>
      <w:r w:rsidRPr="0072678C">
        <w:rPr>
          <w:rFonts w:asciiTheme="minorHAnsi" w:hAnsiTheme="minorHAnsi" w:cstheme="minorHAnsi"/>
          <w:b/>
          <w:bCs/>
          <w:i/>
          <w:iCs/>
          <w:sz w:val="22"/>
          <w:szCs w:val="22"/>
        </w:rPr>
        <w:t xml:space="preserve">O </w:t>
      </w:r>
      <w:r w:rsidR="000711A5" w:rsidRPr="0072678C">
        <w:rPr>
          <w:rFonts w:asciiTheme="minorHAnsi" w:hAnsiTheme="minorHAnsi" w:cstheme="minorHAnsi"/>
          <w:b/>
          <w:bCs/>
          <w:i/>
          <w:iCs/>
          <w:sz w:val="22"/>
          <w:szCs w:val="22"/>
        </w:rPr>
        <w:t xml:space="preserve">processo de </w:t>
      </w:r>
      <w:r w:rsidRPr="0072678C">
        <w:rPr>
          <w:rFonts w:asciiTheme="minorHAnsi" w:hAnsiTheme="minorHAnsi" w:cstheme="minorHAnsi"/>
          <w:b/>
          <w:bCs/>
          <w:i/>
          <w:iCs/>
          <w:sz w:val="22"/>
          <w:szCs w:val="22"/>
        </w:rPr>
        <w:t xml:space="preserve">avaliação e o monitoramento do plano estratégico </w:t>
      </w:r>
      <w:r w:rsidRPr="0072678C">
        <w:rPr>
          <w:rFonts w:asciiTheme="minorHAnsi" w:hAnsiTheme="minorHAnsi" w:cstheme="minorHAnsi"/>
          <w:sz w:val="22"/>
          <w:szCs w:val="22"/>
        </w:rPr>
        <w:t>obteve nível 2 de maturidade, ou seja, atende 4 d</w:t>
      </w:r>
      <w:r w:rsidR="007F124B" w:rsidRPr="0072678C">
        <w:rPr>
          <w:rFonts w:asciiTheme="minorHAnsi" w:hAnsiTheme="minorHAnsi" w:cstheme="minorHAnsi"/>
          <w:sz w:val="22"/>
          <w:szCs w:val="22"/>
        </w:rPr>
        <w:t xml:space="preserve">entre </w:t>
      </w:r>
      <w:r w:rsidRPr="0072678C">
        <w:rPr>
          <w:rFonts w:asciiTheme="minorHAnsi" w:hAnsiTheme="minorHAnsi" w:cstheme="minorHAnsi"/>
          <w:sz w:val="22"/>
          <w:szCs w:val="22"/>
        </w:rPr>
        <w:t xml:space="preserve">5 requisitos das boas práticas da MD-GEFIS: </w:t>
      </w:r>
      <w:r w:rsidR="000711A5" w:rsidRPr="0072678C">
        <w:rPr>
          <w:rFonts w:asciiTheme="minorHAnsi" w:hAnsiTheme="minorHAnsi" w:cstheme="minorHAnsi"/>
          <w:sz w:val="22"/>
          <w:szCs w:val="22"/>
        </w:rPr>
        <w:t xml:space="preserve">as avaliações são realizadas por meio das reuniões de </w:t>
      </w:r>
      <w:r w:rsidR="007F124B" w:rsidRPr="0072678C">
        <w:rPr>
          <w:rFonts w:asciiTheme="minorHAnsi" w:hAnsiTheme="minorHAnsi" w:cstheme="minorHAnsi"/>
          <w:i/>
          <w:sz w:val="22"/>
          <w:szCs w:val="22"/>
        </w:rPr>
        <w:t>“</w:t>
      </w:r>
      <w:r w:rsidR="000711A5" w:rsidRPr="0072678C">
        <w:rPr>
          <w:rFonts w:asciiTheme="minorHAnsi" w:hAnsiTheme="minorHAnsi" w:cstheme="minorHAnsi"/>
          <w:i/>
          <w:sz w:val="22"/>
          <w:szCs w:val="22"/>
        </w:rPr>
        <w:t>Sprint</w:t>
      </w:r>
      <w:r w:rsidR="007F124B" w:rsidRPr="0072678C">
        <w:rPr>
          <w:rFonts w:asciiTheme="minorHAnsi" w:hAnsiTheme="minorHAnsi" w:cstheme="minorHAnsi"/>
          <w:sz w:val="22"/>
          <w:szCs w:val="22"/>
        </w:rPr>
        <w:t>”</w:t>
      </w:r>
      <w:r w:rsidR="000711A5" w:rsidRPr="0072678C">
        <w:rPr>
          <w:rFonts w:asciiTheme="minorHAnsi" w:hAnsiTheme="minorHAnsi" w:cstheme="minorHAnsi"/>
          <w:sz w:val="22"/>
          <w:szCs w:val="22"/>
        </w:rPr>
        <w:t xml:space="preserve"> e com o "</w:t>
      </w:r>
      <w:r w:rsidR="000711A5" w:rsidRPr="0072678C">
        <w:rPr>
          <w:rFonts w:asciiTheme="minorHAnsi" w:hAnsiTheme="minorHAnsi" w:cstheme="minorHAnsi"/>
          <w:bCs/>
          <w:i/>
          <w:sz w:val="22"/>
          <w:szCs w:val="22"/>
        </w:rPr>
        <w:t xml:space="preserve">Status </w:t>
      </w:r>
      <w:proofErr w:type="spellStart"/>
      <w:r w:rsidR="000711A5" w:rsidRPr="0072678C">
        <w:rPr>
          <w:rFonts w:asciiTheme="minorHAnsi" w:hAnsiTheme="minorHAnsi" w:cstheme="minorHAnsi"/>
          <w:bCs/>
          <w:i/>
          <w:sz w:val="22"/>
          <w:szCs w:val="22"/>
        </w:rPr>
        <w:t>Report</w:t>
      </w:r>
      <w:proofErr w:type="spellEnd"/>
      <w:r w:rsidR="000711A5" w:rsidRPr="0072678C">
        <w:rPr>
          <w:rFonts w:asciiTheme="minorHAnsi" w:hAnsiTheme="minorHAnsi" w:cstheme="minorHAnsi"/>
          <w:bCs/>
          <w:sz w:val="22"/>
          <w:szCs w:val="22"/>
        </w:rPr>
        <w:t xml:space="preserve"> Trimestral</w:t>
      </w:r>
      <w:r w:rsidR="000711A5" w:rsidRPr="0072678C">
        <w:rPr>
          <w:rFonts w:asciiTheme="minorHAnsi" w:hAnsiTheme="minorHAnsi" w:cstheme="minorHAnsi"/>
          <w:sz w:val="22"/>
          <w:szCs w:val="22"/>
        </w:rPr>
        <w:t>" emitido pelo DGEP - Departamento de Gestão de Projetos - os dirigentes da Pasta acompanham o desenvolvimentos dos projetos e do plano estratégico, o qual também são debatidos junto a "Reunião d</w:t>
      </w:r>
      <w:r w:rsidR="000C0A55" w:rsidRPr="0072678C">
        <w:rPr>
          <w:rFonts w:asciiTheme="minorHAnsi" w:hAnsiTheme="minorHAnsi" w:cstheme="minorHAnsi"/>
          <w:sz w:val="22"/>
          <w:szCs w:val="22"/>
        </w:rPr>
        <w:t>e Acompanhamento</w:t>
      </w:r>
      <w:r w:rsidR="000711A5" w:rsidRPr="0072678C">
        <w:rPr>
          <w:rFonts w:asciiTheme="minorHAnsi" w:hAnsiTheme="minorHAnsi" w:cstheme="minorHAnsi"/>
          <w:sz w:val="22"/>
          <w:szCs w:val="22"/>
        </w:rPr>
        <w:t>", todas as segundas-feiras, com o Secretário da Fazenda</w:t>
      </w:r>
      <w:r w:rsidR="00BB6558" w:rsidRPr="0072678C">
        <w:rPr>
          <w:rFonts w:asciiTheme="minorHAnsi" w:hAnsiTheme="minorHAnsi" w:cstheme="minorHAnsi"/>
          <w:sz w:val="22"/>
          <w:szCs w:val="22"/>
        </w:rPr>
        <w:t>;  também utiliza uma Sistema de Gestão de Portfólio, Programas e Projetos - SGP, disponível na intranet da SEFAZ/SP; utiliza acompanhamento contínuo da execução, para identificação de desvios, em relação aos indicadores e metas definidos</w:t>
      </w:r>
      <w:r w:rsidR="00FD68AC" w:rsidRPr="0072678C">
        <w:rPr>
          <w:rFonts w:asciiTheme="minorHAnsi" w:hAnsiTheme="minorHAnsi" w:cstheme="minorHAnsi"/>
          <w:sz w:val="22"/>
          <w:szCs w:val="22"/>
        </w:rPr>
        <w:t xml:space="preserve"> durante as </w:t>
      </w:r>
      <w:r w:rsidR="00BB6558" w:rsidRPr="0072678C">
        <w:rPr>
          <w:rFonts w:asciiTheme="minorHAnsi" w:hAnsiTheme="minorHAnsi" w:cstheme="minorHAnsi"/>
          <w:sz w:val="22"/>
          <w:szCs w:val="22"/>
        </w:rPr>
        <w:t xml:space="preserve">reuniões de </w:t>
      </w:r>
      <w:proofErr w:type="spellStart"/>
      <w:r w:rsidR="00BB6558" w:rsidRPr="0072678C">
        <w:rPr>
          <w:rFonts w:asciiTheme="minorHAnsi" w:hAnsiTheme="minorHAnsi" w:cstheme="minorHAnsi"/>
          <w:i/>
          <w:sz w:val="22"/>
          <w:szCs w:val="22"/>
        </w:rPr>
        <w:t>SPRINTs</w:t>
      </w:r>
      <w:proofErr w:type="spellEnd"/>
      <w:r w:rsidR="00BB6558" w:rsidRPr="0072678C">
        <w:rPr>
          <w:rFonts w:asciiTheme="minorHAnsi" w:hAnsiTheme="minorHAnsi" w:cstheme="minorHAnsi"/>
          <w:sz w:val="22"/>
          <w:szCs w:val="22"/>
        </w:rPr>
        <w:t xml:space="preserve"> para </w:t>
      </w:r>
      <w:r w:rsidR="00BB6558" w:rsidRPr="0072678C">
        <w:rPr>
          <w:rFonts w:asciiTheme="minorHAnsi" w:hAnsiTheme="minorHAnsi" w:cstheme="minorHAnsi"/>
          <w:b/>
          <w:bCs/>
          <w:sz w:val="22"/>
          <w:szCs w:val="22"/>
        </w:rPr>
        <w:t>Correção de Desvios</w:t>
      </w:r>
      <w:r w:rsidR="00BB6558" w:rsidRPr="0072678C">
        <w:rPr>
          <w:rFonts w:asciiTheme="minorHAnsi" w:hAnsiTheme="minorHAnsi" w:cstheme="minorHAnsi"/>
          <w:sz w:val="22"/>
          <w:szCs w:val="22"/>
        </w:rPr>
        <w:t xml:space="preserve"> </w:t>
      </w:r>
      <w:r w:rsidR="000C0A55" w:rsidRPr="0072678C">
        <w:rPr>
          <w:rFonts w:asciiTheme="minorHAnsi" w:hAnsiTheme="minorHAnsi" w:cstheme="minorHAnsi"/>
          <w:sz w:val="22"/>
          <w:szCs w:val="22"/>
        </w:rPr>
        <w:t>–</w:t>
      </w:r>
      <w:r w:rsidR="00BB6558" w:rsidRPr="0072678C">
        <w:rPr>
          <w:rFonts w:asciiTheme="minorHAnsi" w:hAnsiTheme="minorHAnsi" w:cstheme="minorHAnsi"/>
          <w:sz w:val="22"/>
          <w:szCs w:val="22"/>
        </w:rPr>
        <w:t xml:space="preserve"> </w:t>
      </w:r>
      <w:r w:rsidR="000C0A55" w:rsidRPr="0072678C">
        <w:rPr>
          <w:rFonts w:asciiTheme="minorHAnsi" w:hAnsiTheme="minorHAnsi" w:cstheme="minorHAnsi"/>
          <w:sz w:val="22"/>
          <w:szCs w:val="22"/>
        </w:rPr>
        <w:t xml:space="preserve">utilizando a </w:t>
      </w:r>
      <w:r w:rsidR="00BB6558" w:rsidRPr="0072678C">
        <w:rPr>
          <w:rFonts w:asciiTheme="minorHAnsi" w:hAnsiTheme="minorHAnsi" w:cstheme="minorHAnsi"/>
          <w:sz w:val="22"/>
          <w:szCs w:val="22"/>
        </w:rPr>
        <w:t xml:space="preserve">metodologia </w:t>
      </w:r>
      <w:r w:rsidR="00BB6558" w:rsidRPr="0072678C">
        <w:rPr>
          <w:rFonts w:asciiTheme="minorHAnsi" w:hAnsiTheme="minorHAnsi" w:cstheme="minorHAnsi"/>
          <w:i/>
          <w:sz w:val="22"/>
          <w:szCs w:val="22"/>
        </w:rPr>
        <w:t>SCRUM</w:t>
      </w:r>
      <w:r w:rsidR="00BB6558" w:rsidRPr="0072678C">
        <w:rPr>
          <w:rFonts w:asciiTheme="minorHAnsi" w:hAnsiTheme="minorHAnsi" w:cstheme="minorHAnsi"/>
          <w:sz w:val="22"/>
          <w:szCs w:val="22"/>
        </w:rPr>
        <w:t xml:space="preserve"> </w:t>
      </w:r>
      <w:r w:rsidR="00FD68AC" w:rsidRPr="0072678C">
        <w:rPr>
          <w:rFonts w:asciiTheme="minorHAnsi" w:hAnsiTheme="minorHAnsi" w:cstheme="minorHAnsi"/>
          <w:sz w:val="22"/>
          <w:szCs w:val="22"/>
        </w:rPr>
        <w:t>.</w:t>
      </w:r>
    </w:p>
    <w:p w:rsidR="00597858" w:rsidRPr="0072678C" w:rsidRDefault="00AF3521" w:rsidP="00313B8A">
      <w:pPr>
        <w:spacing w:before="240" w:after="240"/>
        <w:jc w:val="both"/>
        <w:rPr>
          <w:rFonts w:asciiTheme="minorHAnsi" w:hAnsiTheme="minorHAnsi" w:cstheme="minorHAnsi"/>
          <w:sz w:val="22"/>
          <w:szCs w:val="22"/>
        </w:rPr>
      </w:pPr>
      <w:r w:rsidRPr="0072678C">
        <w:rPr>
          <w:rFonts w:asciiTheme="minorHAnsi" w:hAnsiTheme="minorHAnsi" w:cstheme="minorHAnsi"/>
          <w:b/>
          <w:bCs/>
          <w:i/>
          <w:iCs/>
          <w:sz w:val="22"/>
          <w:szCs w:val="22"/>
        </w:rPr>
        <w:t xml:space="preserve">A </w:t>
      </w:r>
      <w:r w:rsidR="00321A53" w:rsidRPr="0072678C">
        <w:rPr>
          <w:rFonts w:asciiTheme="minorHAnsi" w:hAnsiTheme="minorHAnsi" w:cstheme="minorHAnsi"/>
          <w:b/>
          <w:bCs/>
          <w:i/>
          <w:iCs/>
          <w:sz w:val="22"/>
          <w:szCs w:val="22"/>
        </w:rPr>
        <w:t>gestão de processos</w:t>
      </w:r>
      <w:r w:rsidR="00321A53" w:rsidRPr="0072678C">
        <w:rPr>
          <w:rFonts w:asciiTheme="minorHAnsi" w:hAnsiTheme="minorHAnsi" w:cstheme="minorHAnsi"/>
          <w:sz w:val="22"/>
          <w:szCs w:val="22"/>
        </w:rPr>
        <w:t xml:space="preserve"> obteve nível 2 de maturidade, ou seja, atende 6 de</w:t>
      </w:r>
      <w:r w:rsidR="000C0A55" w:rsidRPr="0072678C">
        <w:rPr>
          <w:rFonts w:asciiTheme="minorHAnsi" w:hAnsiTheme="minorHAnsi" w:cstheme="minorHAnsi"/>
          <w:sz w:val="22"/>
          <w:szCs w:val="22"/>
        </w:rPr>
        <w:t>nte</w:t>
      </w:r>
      <w:r w:rsidR="00321A53" w:rsidRPr="0072678C">
        <w:rPr>
          <w:rFonts w:asciiTheme="minorHAnsi" w:hAnsiTheme="minorHAnsi" w:cstheme="minorHAnsi"/>
          <w:sz w:val="22"/>
          <w:szCs w:val="22"/>
        </w:rPr>
        <w:t xml:space="preserve"> 8 requisitos das boas práticas da MD-GEFIS: </w:t>
      </w:r>
      <w:r w:rsidR="000C0A55" w:rsidRPr="0072678C">
        <w:rPr>
          <w:rFonts w:asciiTheme="minorHAnsi" w:hAnsiTheme="minorHAnsi" w:cstheme="minorHAnsi"/>
          <w:sz w:val="22"/>
          <w:szCs w:val="22"/>
        </w:rPr>
        <w:t>A</w:t>
      </w:r>
      <w:r w:rsidRPr="0072678C">
        <w:rPr>
          <w:rFonts w:asciiTheme="minorHAnsi" w:hAnsiTheme="minorHAnsi" w:cstheme="minorHAnsi"/>
          <w:sz w:val="22"/>
          <w:szCs w:val="22"/>
        </w:rPr>
        <w:t xml:space="preserve"> SEFAZ/SP dispõe de um Centro de Suporte à Gestão criado pelo</w:t>
      </w:r>
      <w:r w:rsidR="00313B8A" w:rsidRPr="0072678C">
        <w:rPr>
          <w:rFonts w:asciiTheme="minorHAnsi" w:hAnsiTheme="minorHAnsi" w:cstheme="minorHAnsi"/>
          <w:sz w:val="22"/>
          <w:szCs w:val="22"/>
        </w:rPr>
        <w:t xml:space="preserve"> Decreto</w:t>
      </w:r>
      <w:r w:rsidRPr="0072678C">
        <w:rPr>
          <w:rFonts w:asciiTheme="minorHAnsi" w:hAnsiTheme="minorHAnsi" w:cstheme="minorHAnsi"/>
          <w:sz w:val="22"/>
          <w:szCs w:val="22"/>
        </w:rPr>
        <w:t xml:space="preserve"> Nº 60.812, </w:t>
      </w:r>
      <w:r w:rsidR="00313B8A" w:rsidRPr="0072678C">
        <w:rPr>
          <w:rFonts w:asciiTheme="minorHAnsi" w:hAnsiTheme="minorHAnsi" w:cstheme="minorHAnsi"/>
          <w:sz w:val="22"/>
          <w:szCs w:val="22"/>
        </w:rPr>
        <w:t xml:space="preserve">de 30 </w:t>
      </w:r>
      <w:r w:rsidR="000C0A55" w:rsidRPr="0072678C">
        <w:rPr>
          <w:rFonts w:asciiTheme="minorHAnsi" w:hAnsiTheme="minorHAnsi" w:cstheme="minorHAnsi"/>
          <w:sz w:val="22"/>
          <w:szCs w:val="22"/>
        </w:rPr>
        <w:t xml:space="preserve">de </w:t>
      </w:r>
      <w:r w:rsidR="00313B8A" w:rsidRPr="0072678C">
        <w:rPr>
          <w:rFonts w:asciiTheme="minorHAnsi" w:hAnsiTheme="minorHAnsi" w:cstheme="minorHAnsi"/>
          <w:sz w:val="22"/>
          <w:szCs w:val="22"/>
        </w:rPr>
        <w:t>Setembro de 2</w:t>
      </w:r>
      <w:r w:rsidRPr="0072678C">
        <w:rPr>
          <w:rFonts w:asciiTheme="minorHAnsi" w:hAnsiTheme="minorHAnsi" w:cstheme="minorHAnsi"/>
          <w:sz w:val="22"/>
          <w:szCs w:val="22"/>
        </w:rPr>
        <w:t>014</w:t>
      </w:r>
      <w:r w:rsidRPr="0072678C">
        <w:rPr>
          <w:rStyle w:val="FootnoteReference"/>
          <w:rFonts w:asciiTheme="minorHAnsi" w:hAnsiTheme="minorHAnsi" w:cstheme="minorHAnsi"/>
          <w:sz w:val="22"/>
          <w:szCs w:val="22"/>
        </w:rPr>
        <w:footnoteReference w:id="17"/>
      </w:r>
      <w:r w:rsidRPr="0072678C">
        <w:rPr>
          <w:rFonts w:asciiTheme="minorHAnsi" w:hAnsiTheme="minorHAnsi" w:cstheme="minorHAnsi"/>
          <w:sz w:val="22"/>
          <w:szCs w:val="22"/>
        </w:rPr>
        <w:t xml:space="preserve"> com as seguintes atribuições:</w:t>
      </w:r>
      <w:r w:rsidR="00313B8A" w:rsidRPr="0072678C">
        <w:rPr>
          <w:rFonts w:asciiTheme="minorHAnsi" w:hAnsiTheme="minorHAnsi" w:cstheme="minorHAnsi"/>
          <w:sz w:val="22"/>
          <w:szCs w:val="22"/>
        </w:rPr>
        <w:t xml:space="preserve"> (i) </w:t>
      </w:r>
      <w:r w:rsidRPr="0072678C">
        <w:rPr>
          <w:rFonts w:asciiTheme="minorHAnsi" w:hAnsiTheme="minorHAnsi" w:cstheme="minorHAnsi"/>
          <w:sz w:val="22"/>
          <w:szCs w:val="22"/>
        </w:rPr>
        <w:t>dar suporte técnico às atividades de acompanhamento da estratégia da Secretaria;</w:t>
      </w:r>
      <w:r w:rsidR="00597858" w:rsidRPr="0072678C">
        <w:rPr>
          <w:rFonts w:asciiTheme="minorHAnsi" w:hAnsiTheme="minorHAnsi" w:cstheme="minorHAnsi"/>
          <w:sz w:val="22"/>
          <w:szCs w:val="22"/>
        </w:rPr>
        <w:t xml:space="preserve"> </w:t>
      </w:r>
      <w:r w:rsidR="00313B8A" w:rsidRPr="0072678C">
        <w:rPr>
          <w:rFonts w:asciiTheme="minorHAnsi" w:hAnsiTheme="minorHAnsi" w:cstheme="minorHAnsi"/>
          <w:sz w:val="22"/>
          <w:szCs w:val="22"/>
        </w:rPr>
        <w:t>(</w:t>
      </w:r>
      <w:proofErr w:type="spellStart"/>
      <w:r w:rsidR="00313B8A" w:rsidRPr="0072678C">
        <w:rPr>
          <w:rFonts w:asciiTheme="minorHAnsi" w:hAnsiTheme="minorHAnsi" w:cstheme="minorHAnsi"/>
          <w:sz w:val="22"/>
          <w:szCs w:val="22"/>
        </w:rPr>
        <w:t>ii</w:t>
      </w:r>
      <w:proofErr w:type="spellEnd"/>
      <w:r w:rsidR="00313B8A"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apoiar as coordenadorias e as demais unidades da Secretaria no alinhamento de seus </w:t>
      </w:r>
      <w:r w:rsidRPr="0072678C">
        <w:rPr>
          <w:rFonts w:asciiTheme="minorHAnsi" w:hAnsiTheme="minorHAnsi" w:cstheme="minorHAnsi"/>
          <w:b/>
          <w:bCs/>
          <w:sz w:val="22"/>
          <w:szCs w:val="22"/>
        </w:rPr>
        <w:t>processos</w:t>
      </w:r>
      <w:r w:rsidRPr="0072678C">
        <w:rPr>
          <w:rFonts w:asciiTheme="minorHAnsi" w:hAnsiTheme="minorHAnsi" w:cstheme="minorHAnsi"/>
          <w:sz w:val="22"/>
          <w:szCs w:val="22"/>
        </w:rPr>
        <w:t xml:space="preserve"> e iniciativas ao planejamento estratégico da pasta;</w:t>
      </w:r>
      <w:r w:rsidR="00313B8A" w:rsidRPr="0072678C">
        <w:rPr>
          <w:rFonts w:asciiTheme="minorHAnsi" w:hAnsiTheme="minorHAnsi" w:cstheme="minorHAnsi"/>
          <w:sz w:val="22"/>
          <w:szCs w:val="22"/>
        </w:rPr>
        <w:t xml:space="preserve"> (</w:t>
      </w:r>
      <w:proofErr w:type="spellStart"/>
      <w:r w:rsidR="00313B8A" w:rsidRPr="0072678C">
        <w:rPr>
          <w:rFonts w:asciiTheme="minorHAnsi" w:hAnsiTheme="minorHAnsi" w:cstheme="minorHAnsi"/>
          <w:sz w:val="22"/>
          <w:szCs w:val="22"/>
        </w:rPr>
        <w:t>iii</w:t>
      </w:r>
      <w:proofErr w:type="spellEnd"/>
      <w:r w:rsidR="00313B8A" w:rsidRPr="0072678C">
        <w:rPr>
          <w:rFonts w:asciiTheme="minorHAnsi" w:hAnsiTheme="minorHAnsi" w:cstheme="minorHAnsi"/>
          <w:sz w:val="22"/>
          <w:szCs w:val="22"/>
        </w:rPr>
        <w:t xml:space="preserve">) </w:t>
      </w:r>
      <w:r w:rsidRPr="0072678C">
        <w:rPr>
          <w:rFonts w:asciiTheme="minorHAnsi" w:hAnsiTheme="minorHAnsi" w:cstheme="minorHAnsi"/>
          <w:sz w:val="22"/>
          <w:szCs w:val="22"/>
        </w:rPr>
        <w:t>apoiar as atividades relativas à gestão estratégica de pessoas e competências, em colaboração com o Departamento de Recursos Humanos, da Coordenadoria Geral de Administração, e a FAZESP;</w:t>
      </w:r>
      <w:r w:rsidR="000D6FFB" w:rsidRPr="0072678C">
        <w:rPr>
          <w:rFonts w:asciiTheme="minorHAnsi" w:hAnsiTheme="minorHAnsi" w:cstheme="minorHAnsi"/>
          <w:sz w:val="22"/>
          <w:szCs w:val="22"/>
        </w:rPr>
        <w:t xml:space="preserve"> </w:t>
      </w:r>
      <w:r w:rsidR="00313B8A" w:rsidRPr="0072678C">
        <w:rPr>
          <w:rFonts w:asciiTheme="minorHAnsi" w:hAnsiTheme="minorHAnsi" w:cstheme="minorHAnsi"/>
          <w:sz w:val="22"/>
          <w:szCs w:val="22"/>
        </w:rPr>
        <w:t>(</w:t>
      </w:r>
      <w:proofErr w:type="spellStart"/>
      <w:r w:rsidR="00313B8A" w:rsidRPr="0072678C">
        <w:rPr>
          <w:rFonts w:asciiTheme="minorHAnsi" w:hAnsiTheme="minorHAnsi" w:cstheme="minorHAnsi"/>
          <w:sz w:val="22"/>
          <w:szCs w:val="22"/>
        </w:rPr>
        <w:t>iv</w:t>
      </w:r>
      <w:proofErr w:type="spellEnd"/>
      <w:r w:rsidR="00313B8A" w:rsidRPr="0072678C">
        <w:rPr>
          <w:rFonts w:asciiTheme="minorHAnsi" w:hAnsiTheme="minorHAnsi" w:cstheme="minorHAnsi"/>
          <w:sz w:val="22"/>
          <w:szCs w:val="22"/>
        </w:rPr>
        <w:t xml:space="preserve">) </w:t>
      </w:r>
      <w:r w:rsidRPr="0072678C">
        <w:rPr>
          <w:rFonts w:asciiTheme="minorHAnsi" w:hAnsiTheme="minorHAnsi" w:cstheme="minorHAnsi"/>
          <w:sz w:val="22"/>
          <w:szCs w:val="22"/>
        </w:rPr>
        <w:t>estimular, promover e integrar a gestão de processos na Secretaria;</w:t>
      </w:r>
      <w:r w:rsidR="000D6FFB" w:rsidRPr="0072678C">
        <w:rPr>
          <w:rFonts w:asciiTheme="minorHAnsi" w:hAnsiTheme="minorHAnsi" w:cstheme="minorHAnsi"/>
          <w:sz w:val="22"/>
          <w:szCs w:val="22"/>
        </w:rPr>
        <w:t xml:space="preserve"> </w:t>
      </w:r>
      <w:r w:rsidR="00313B8A" w:rsidRPr="0072678C">
        <w:rPr>
          <w:rFonts w:asciiTheme="minorHAnsi" w:hAnsiTheme="minorHAnsi" w:cstheme="minorHAnsi"/>
          <w:sz w:val="22"/>
          <w:szCs w:val="22"/>
        </w:rPr>
        <w:t xml:space="preserve">(v) </w:t>
      </w:r>
      <w:r w:rsidRPr="0072678C">
        <w:rPr>
          <w:rFonts w:asciiTheme="minorHAnsi" w:hAnsiTheme="minorHAnsi" w:cstheme="minorHAnsi"/>
          <w:sz w:val="22"/>
          <w:szCs w:val="22"/>
        </w:rPr>
        <w:t xml:space="preserve">desenvolver e implantar, no âmbito da Secretaria, diretrizes, normas, procedimentos, instrumentos, padrões e melhores práticas para, além de </w:t>
      </w:r>
      <w:r w:rsidR="000D6FFB" w:rsidRPr="0072678C">
        <w:rPr>
          <w:rFonts w:asciiTheme="minorHAnsi" w:hAnsiTheme="minorHAnsi" w:cstheme="minorHAnsi"/>
          <w:sz w:val="22"/>
          <w:szCs w:val="22"/>
        </w:rPr>
        <w:t xml:space="preserve">outras atividades afins como </w:t>
      </w:r>
      <w:r w:rsidRPr="0072678C">
        <w:rPr>
          <w:rFonts w:asciiTheme="minorHAnsi" w:hAnsiTheme="minorHAnsi" w:cstheme="minorHAnsi"/>
          <w:sz w:val="22"/>
          <w:szCs w:val="22"/>
        </w:rPr>
        <w:t>desenvolvimento organizacional</w:t>
      </w:r>
      <w:r w:rsidR="000D6FFB" w:rsidRPr="0072678C">
        <w:rPr>
          <w:rFonts w:asciiTheme="minorHAnsi" w:hAnsiTheme="minorHAnsi" w:cstheme="minorHAnsi"/>
          <w:sz w:val="22"/>
          <w:szCs w:val="22"/>
        </w:rPr>
        <w:t xml:space="preserve"> e </w:t>
      </w:r>
      <w:r w:rsidRPr="0072678C">
        <w:rPr>
          <w:rFonts w:asciiTheme="minorHAnsi" w:hAnsiTheme="minorHAnsi" w:cstheme="minorHAnsi"/>
          <w:sz w:val="22"/>
          <w:szCs w:val="22"/>
        </w:rPr>
        <w:t>gestão estratégica de pessoas</w:t>
      </w:r>
      <w:r w:rsidR="000C0A55" w:rsidRPr="0072678C">
        <w:rPr>
          <w:rFonts w:asciiTheme="minorHAnsi" w:hAnsiTheme="minorHAnsi" w:cstheme="minorHAnsi"/>
          <w:sz w:val="22"/>
          <w:szCs w:val="22"/>
        </w:rPr>
        <w:t xml:space="preserve">. A SEFAZ/SP </w:t>
      </w:r>
      <w:r w:rsidR="000D6FFB" w:rsidRPr="0072678C">
        <w:rPr>
          <w:rFonts w:asciiTheme="minorHAnsi" w:hAnsiTheme="minorHAnsi" w:cstheme="minorHAnsi"/>
          <w:sz w:val="22"/>
          <w:szCs w:val="22"/>
        </w:rPr>
        <w:t>d</w:t>
      </w:r>
      <w:r w:rsidRPr="0072678C">
        <w:rPr>
          <w:rFonts w:asciiTheme="minorHAnsi" w:hAnsiTheme="minorHAnsi" w:cstheme="minorHAnsi"/>
          <w:sz w:val="22"/>
          <w:szCs w:val="22"/>
        </w:rPr>
        <w:t xml:space="preserve">ispõe </w:t>
      </w:r>
      <w:r w:rsidR="000C0A55" w:rsidRPr="0072678C">
        <w:rPr>
          <w:rFonts w:asciiTheme="minorHAnsi" w:hAnsiTheme="minorHAnsi" w:cstheme="minorHAnsi"/>
          <w:sz w:val="22"/>
          <w:szCs w:val="22"/>
        </w:rPr>
        <w:t xml:space="preserve">ainda </w:t>
      </w:r>
      <w:r w:rsidRPr="0072678C">
        <w:rPr>
          <w:rFonts w:asciiTheme="minorHAnsi" w:hAnsiTheme="minorHAnsi" w:cstheme="minorHAnsi"/>
          <w:sz w:val="22"/>
          <w:szCs w:val="22"/>
        </w:rPr>
        <w:t>de inventário de processos</w:t>
      </w:r>
      <w:r w:rsidR="000D6FFB" w:rsidRPr="0072678C">
        <w:rPr>
          <w:rFonts w:asciiTheme="minorHAnsi" w:hAnsiTheme="minorHAnsi" w:cstheme="minorHAnsi"/>
          <w:sz w:val="22"/>
          <w:szCs w:val="22"/>
        </w:rPr>
        <w:t xml:space="preserve">, </w:t>
      </w:r>
      <w:r w:rsidR="000C0A55" w:rsidRPr="0072678C">
        <w:rPr>
          <w:rFonts w:asciiTheme="minorHAnsi" w:hAnsiTheme="minorHAnsi" w:cstheme="minorHAnsi"/>
          <w:sz w:val="22"/>
          <w:szCs w:val="22"/>
        </w:rPr>
        <w:t>controlado por sistema informatizado</w:t>
      </w:r>
      <w:r w:rsidRPr="0072678C">
        <w:rPr>
          <w:rFonts w:asciiTheme="minorHAnsi" w:hAnsiTheme="minorHAnsi" w:cstheme="minorHAnsi"/>
          <w:sz w:val="22"/>
          <w:szCs w:val="22"/>
        </w:rPr>
        <w:t xml:space="preserve">, disponível a todos os servidores pela intranet, </w:t>
      </w:r>
      <w:r w:rsidR="003A414E" w:rsidRPr="0072678C">
        <w:rPr>
          <w:rFonts w:asciiTheme="minorHAnsi" w:hAnsiTheme="minorHAnsi" w:cstheme="minorHAnsi"/>
          <w:sz w:val="22"/>
          <w:szCs w:val="22"/>
        </w:rPr>
        <w:t xml:space="preserve">onde ser concentra </w:t>
      </w:r>
      <w:r w:rsidRPr="0072678C">
        <w:rPr>
          <w:rFonts w:asciiTheme="minorHAnsi" w:hAnsiTheme="minorHAnsi" w:cstheme="minorHAnsi"/>
          <w:sz w:val="22"/>
          <w:szCs w:val="22"/>
        </w:rPr>
        <w:t xml:space="preserve">todos os </w:t>
      </w:r>
      <w:r w:rsidRPr="0072678C">
        <w:rPr>
          <w:rFonts w:asciiTheme="minorHAnsi" w:hAnsiTheme="minorHAnsi" w:cstheme="minorHAnsi"/>
          <w:sz w:val="22"/>
          <w:szCs w:val="22"/>
        </w:rPr>
        <w:lastRenderedPageBreak/>
        <w:t xml:space="preserve">processos mapeados (exceto os que possuem </w:t>
      </w:r>
      <w:r w:rsidR="009B231A" w:rsidRPr="0072678C">
        <w:rPr>
          <w:rFonts w:asciiTheme="minorHAnsi" w:hAnsiTheme="minorHAnsi" w:cstheme="minorHAnsi"/>
          <w:sz w:val="22"/>
          <w:szCs w:val="22"/>
        </w:rPr>
        <w:t>requisito</w:t>
      </w:r>
      <w:r w:rsidRPr="0072678C">
        <w:rPr>
          <w:rFonts w:asciiTheme="minorHAnsi" w:hAnsiTheme="minorHAnsi" w:cstheme="minorHAnsi"/>
          <w:sz w:val="22"/>
          <w:szCs w:val="22"/>
        </w:rPr>
        <w:t xml:space="preserve"> de sigilo)</w:t>
      </w:r>
      <w:r w:rsidR="003A414E"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No Gerenciador de Processos </w:t>
      </w:r>
      <w:r w:rsidR="000D6FFB" w:rsidRPr="0072678C">
        <w:rPr>
          <w:rFonts w:asciiTheme="minorHAnsi" w:hAnsiTheme="minorHAnsi" w:cstheme="minorHAnsi"/>
          <w:sz w:val="22"/>
          <w:szCs w:val="22"/>
        </w:rPr>
        <w:t xml:space="preserve">existe um </w:t>
      </w:r>
      <w:r w:rsidRPr="0072678C">
        <w:rPr>
          <w:rFonts w:asciiTheme="minorHAnsi" w:hAnsiTheme="minorHAnsi" w:cstheme="minorHAnsi"/>
          <w:sz w:val="22"/>
          <w:szCs w:val="22"/>
        </w:rPr>
        <w:t xml:space="preserve">descritivo da metodologia padronizada </w:t>
      </w:r>
      <w:r w:rsidR="00313B8A" w:rsidRPr="0072678C">
        <w:rPr>
          <w:rFonts w:asciiTheme="minorHAnsi" w:hAnsiTheme="minorHAnsi" w:cstheme="minorHAnsi"/>
          <w:sz w:val="22"/>
          <w:szCs w:val="22"/>
        </w:rPr>
        <w:t xml:space="preserve">que </w:t>
      </w:r>
      <w:r w:rsidRPr="0072678C">
        <w:rPr>
          <w:rFonts w:asciiTheme="minorHAnsi" w:hAnsiTheme="minorHAnsi" w:cstheme="minorHAnsi"/>
          <w:sz w:val="22"/>
          <w:szCs w:val="22"/>
        </w:rPr>
        <w:t>mantém atualizad</w:t>
      </w:r>
      <w:r w:rsidR="00313B8A" w:rsidRPr="0072678C">
        <w:rPr>
          <w:rFonts w:asciiTheme="minorHAnsi" w:hAnsiTheme="minorHAnsi" w:cstheme="minorHAnsi"/>
          <w:sz w:val="22"/>
          <w:szCs w:val="22"/>
        </w:rPr>
        <w:t>o</w:t>
      </w:r>
      <w:r w:rsidRPr="0072678C">
        <w:rPr>
          <w:rFonts w:asciiTheme="minorHAnsi" w:hAnsiTheme="minorHAnsi" w:cstheme="minorHAnsi"/>
          <w:sz w:val="22"/>
          <w:szCs w:val="22"/>
        </w:rPr>
        <w:t xml:space="preserve"> a gama de processos</w:t>
      </w:r>
      <w:r w:rsidR="000D6FFB" w:rsidRPr="0072678C">
        <w:rPr>
          <w:rFonts w:asciiTheme="minorHAnsi" w:hAnsiTheme="minorHAnsi" w:cstheme="minorHAnsi"/>
          <w:sz w:val="22"/>
          <w:szCs w:val="22"/>
        </w:rPr>
        <w:t xml:space="preserve">; </w:t>
      </w:r>
      <w:proofErr w:type="gramStart"/>
      <w:r w:rsidR="00313B8A" w:rsidRPr="0072678C">
        <w:rPr>
          <w:rFonts w:asciiTheme="minorHAnsi" w:hAnsiTheme="minorHAnsi" w:cstheme="minorHAnsi"/>
          <w:sz w:val="22"/>
          <w:szCs w:val="22"/>
        </w:rPr>
        <w:t xml:space="preserve">os </w:t>
      </w:r>
      <w:proofErr w:type="spellStart"/>
      <w:r w:rsidR="00313B8A" w:rsidRPr="0072678C">
        <w:rPr>
          <w:rFonts w:asciiTheme="minorHAnsi" w:hAnsiTheme="minorHAnsi" w:cstheme="minorHAnsi"/>
          <w:sz w:val="22"/>
          <w:szCs w:val="22"/>
        </w:rPr>
        <w:t>processo</w:t>
      </w:r>
      <w:proofErr w:type="spellEnd"/>
      <w:proofErr w:type="gramEnd"/>
      <w:r w:rsidR="00313B8A" w:rsidRPr="0072678C">
        <w:rPr>
          <w:rFonts w:asciiTheme="minorHAnsi" w:hAnsiTheme="minorHAnsi" w:cstheme="minorHAnsi"/>
          <w:sz w:val="22"/>
          <w:szCs w:val="22"/>
        </w:rPr>
        <w:t xml:space="preserve"> estão documentados e </w:t>
      </w:r>
      <w:r w:rsidR="00E04D4A" w:rsidRPr="0072678C">
        <w:rPr>
          <w:rFonts w:asciiTheme="minorHAnsi" w:hAnsiTheme="minorHAnsi" w:cstheme="minorHAnsi"/>
          <w:sz w:val="22"/>
          <w:szCs w:val="22"/>
        </w:rPr>
        <w:t>p</w:t>
      </w:r>
      <w:r w:rsidRPr="0072678C">
        <w:rPr>
          <w:rFonts w:asciiTheme="minorHAnsi" w:hAnsiTheme="minorHAnsi" w:cstheme="minorHAnsi"/>
          <w:sz w:val="22"/>
          <w:szCs w:val="22"/>
        </w:rPr>
        <w:t>adroniza</w:t>
      </w:r>
      <w:r w:rsidR="00313B8A" w:rsidRPr="0072678C">
        <w:rPr>
          <w:rFonts w:asciiTheme="minorHAnsi" w:hAnsiTheme="minorHAnsi" w:cstheme="minorHAnsi"/>
          <w:sz w:val="22"/>
          <w:szCs w:val="22"/>
        </w:rPr>
        <w:t>dos</w:t>
      </w:r>
      <w:r w:rsidRPr="0072678C">
        <w:rPr>
          <w:rFonts w:asciiTheme="minorHAnsi" w:hAnsiTheme="minorHAnsi" w:cstheme="minorHAnsi"/>
          <w:sz w:val="22"/>
          <w:szCs w:val="22"/>
        </w:rPr>
        <w:t xml:space="preserve"> </w:t>
      </w:r>
      <w:r w:rsidR="003A414E" w:rsidRPr="0072678C">
        <w:rPr>
          <w:rFonts w:asciiTheme="minorHAnsi" w:hAnsiTheme="minorHAnsi" w:cstheme="minorHAnsi"/>
          <w:sz w:val="22"/>
          <w:szCs w:val="22"/>
        </w:rPr>
        <w:t>para que seja mais fácil a transferência de tecnologia</w:t>
      </w:r>
      <w:r w:rsidR="00313B8A" w:rsidRPr="0072678C">
        <w:rPr>
          <w:rFonts w:asciiTheme="minorHAnsi" w:hAnsiTheme="minorHAnsi" w:cstheme="minorHAnsi"/>
          <w:sz w:val="22"/>
          <w:szCs w:val="22"/>
        </w:rPr>
        <w:t xml:space="preserve">; </w:t>
      </w:r>
      <w:r w:rsidR="003A414E" w:rsidRPr="0072678C">
        <w:rPr>
          <w:rFonts w:asciiTheme="minorHAnsi" w:hAnsiTheme="minorHAnsi" w:cstheme="minorHAnsi"/>
          <w:sz w:val="22"/>
          <w:szCs w:val="22"/>
        </w:rPr>
        <w:t xml:space="preserve">e </w:t>
      </w:r>
      <w:r w:rsidR="00313B8A" w:rsidRPr="0072678C">
        <w:rPr>
          <w:rFonts w:asciiTheme="minorHAnsi" w:hAnsiTheme="minorHAnsi" w:cstheme="minorHAnsi"/>
          <w:sz w:val="22"/>
          <w:szCs w:val="22"/>
        </w:rPr>
        <w:t>c</w:t>
      </w:r>
      <w:r w:rsidR="003A414E" w:rsidRPr="0072678C">
        <w:rPr>
          <w:rFonts w:asciiTheme="minorHAnsi" w:hAnsiTheme="minorHAnsi" w:cstheme="minorHAnsi"/>
          <w:sz w:val="22"/>
          <w:szCs w:val="22"/>
        </w:rPr>
        <w:t xml:space="preserve">ontrola e atualiza as versões dos </w:t>
      </w:r>
      <w:r w:rsidRPr="0072678C">
        <w:rPr>
          <w:rFonts w:asciiTheme="minorHAnsi" w:hAnsiTheme="minorHAnsi" w:cstheme="minorHAnsi"/>
          <w:sz w:val="22"/>
          <w:szCs w:val="22"/>
        </w:rPr>
        <w:t>document</w:t>
      </w:r>
      <w:r w:rsidR="003A414E" w:rsidRPr="0072678C">
        <w:rPr>
          <w:rFonts w:asciiTheme="minorHAnsi" w:hAnsiTheme="minorHAnsi" w:cstheme="minorHAnsi"/>
          <w:sz w:val="22"/>
          <w:szCs w:val="22"/>
        </w:rPr>
        <w:t xml:space="preserve">os por meio de sistema gerenciador de </w:t>
      </w:r>
      <w:proofErr w:type="spellStart"/>
      <w:r w:rsidR="003A414E" w:rsidRPr="0072678C">
        <w:rPr>
          <w:rFonts w:asciiTheme="minorHAnsi" w:hAnsiTheme="minorHAnsi" w:cstheme="minorHAnsi"/>
          <w:sz w:val="22"/>
          <w:szCs w:val="22"/>
        </w:rPr>
        <w:t>processo</w:t>
      </w:r>
      <w:proofErr w:type="spellEnd"/>
      <w:r w:rsidR="003A414E" w:rsidRPr="0072678C">
        <w:rPr>
          <w:rFonts w:asciiTheme="minorHAnsi" w:hAnsiTheme="minorHAnsi" w:cstheme="minorHAnsi"/>
          <w:sz w:val="22"/>
          <w:szCs w:val="22"/>
        </w:rPr>
        <w:t>.</w:t>
      </w:r>
    </w:p>
    <w:p w:rsidR="00BE2C96" w:rsidRPr="0072678C" w:rsidRDefault="00321A53" w:rsidP="00BE2C9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O</w:t>
      </w:r>
      <w:r w:rsidR="00825D4F" w:rsidRPr="0072678C">
        <w:rPr>
          <w:rFonts w:asciiTheme="minorHAnsi" w:hAnsiTheme="minorHAnsi" w:cstheme="minorHAnsi"/>
          <w:sz w:val="22"/>
          <w:szCs w:val="22"/>
        </w:rPr>
        <w:t xml:space="preserve"> processo de</w:t>
      </w:r>
      <w:r w:rsidR="00825D4F" w:rsidRPr="0072678C">
        <w:rPr>
          <w:rFonts w:asciiTheme="minorHAnsi" w:hAnsiTheme="minorHAnsi" w:cstheme="minorHAnsi"/>
          <w:b/>
          <w:bCs/>
          <w:i/>
          <w:iCs/>
          <w:sz w:val="22"/>
          <w:szCs w:val="22"/>
        </w:rPr>
        <w:t xml:space="preserve"> </w:t>
      </w:r>
      <w:r w:rsidRPr="0072678C">
        <w:rPr>
          <w:rFonts w:asciiTheme="minorHAnsi" w:hAnsiTheme="minorHAnsi" w:cstheme="minorHAnsi"/>
          <w:b/>
          <w:bCs/>
          <w:i/>
          <w:iCs/>
          <w:sz w:val="22"/>
          <w:szCs w:val="22"/>
        </w:rPr>
        <w:t>gerenciamento de riscos e o controle interno</w:t>
      </w:r>
      <w:r w:rsidRPr="0072678C">
        <w:rPr>
          <w:rFonts w:asciiTheme="minorHAnsi" w:hAnsiTheme="minorHAnsi" w:cstheme="minorHAnsi"/>
          <w:sz w:val="22"/>
          <w:szCs w:val="22"/>
        </w:rPr>
        <w:t xml:space="preserve"> obteve nível 2 de maturidade, ou seja, atende </w:t>
      </w:r>
      <w:r w:rsidR="00634C87" w:rsidRPr="0072678C">
        <w:rPr>
          <w:rFonts w:asciiTheme="minorHAnsi" w:hAnsiTheme="minorHAnsi" w:cstheme="minorHAnsi"/>
          <w:sz w:val="22"/>
          <w:szCs w:val="22"/>
        </w:rPr>
        <w:t>4</w:t>
      </w:r>
      <w:r w:rsidRPr="0072678C">
        <w:rPr>
          <w:rFonts w:asciiTheme="minorHAnsi" w:hAnsiTheme="minorHAnsi" w:cstheme="minorHAnsi"/>
          <w:sz w:val="22"/>
          <w:szCs w:val="22"/>
        </w:rPr>
        <w:t xml:space="preserve"> de</w:t>
      </w:r>
      <w:r w:rsidR="00825D4F" w:rsidRPr="0072678C">
        <w:rPr>
          <w:rFonts w:asciiTheme="minorHAnsi" w:hAnsiTheme="minorHAnsi" w:cstheme="minorHAnsi"/>
          <w:sz w:val="22"/>
          <w:szCs w:val="22"/>
        </w:rPr>
        <w:t>ntre</w:t>
      </w:r>
      <w:r w:rsidRPr="0072678C">
        <w:rPr>
          <w:rFonts w:asciiTheme="minorHAnsi" w:hAnsiTheme="minorHAnsi" w:cstheme="minorHAnsi"/>
          <w:sz w:val="22"/>
          <w:szCs w:val="22"/>
        </w:rPr>
        <w:t xml:space="preserve"> </w:t>
      </w:r>
      <w:r w:rsidR="00634C87" w:rsidRPr="0072678C">
        <w:rPr>
          <w:rFonts w:asciiTheme="minorHAnsi" w:hAnsiTheme="minorHAnsi" w:cstheme="minorHAnsi"/>
          <w:sz w:val="22"/>
          <w:szCs w:val="22"/>
        </w:rPr>
        <w:t>6</w:t>
      </w:r>
      <w:r w:rsidRPr="0072678C">
        <w:rPr>
          <w:rFonts w:asciiTheme="minorHAnsi" w:hAnsiTheme="minorHAnsi" w:cstheme="minorHAnsi"/>
          <w:sz w:val="22"/>
          <w:szCs w:val="22"/>
        </w:rPr>
        <w:t xml:space="preserve"> requisitos das boas práticas da MD-GEFIS: </w:t>
      </w:r>
      <w:r w:rsidR="007D69CA" w:rsidRPr="0072678C">
        <w:rPr>
          <w:rFonts w:asciiTheme="minorHAnsi" w:hAnsiTheme="minorHAnsi" w:cstheme="minorHAnsi"/>
          <w:sz w:val="22"/>
          <w:szCs w:val="22"/>
        </w:rPr>
        <w:t xml:space="preserve">Para tanto a SEFAZ/SP estabelece diretrizes para tolerância ao risco e critérios de classificação de riscos com </w:t>
      </w:r>
      <w:r w:rsidR="009B231A" w:rsidRPr="0072678C">
        <w:rPr>
          <w:rFonts w:asciiTheme="minorHAnsi" w:hAnsiTheme="minorHAnsi" w:cstheme="minorHAnsi"/>
          <w:sz w:val="22"/>
          <w:szCs w:val="22"/>
        </w:rPr>
        <w:t>as auditorias baseadas</w:t>
      </w:r>
      <w:r w:rsidR="007D69CA" w:rsidRPr="0072678C">
        <w:rPr>
          <w:rFonts w:asciiTheme="minorHAnsi" w:hAnsiTheme="minorHAnsi" w:cstheme="minorHAnsi"/>
          <w:sz w:val="22"/>
          <w:szCs w:val="22"/>
        </w:rPr>
        <w:t xml:space="preserve"> em risco</w:t>
      </w:r>
      <w:r w:rsidR="007D69CA" w:rsidRPr="0072678C">
        <w:rPr>
          <w:rStyle w:val="FootnoteReference"/>
          <w:rFonts w:asciiTheme="minorHAnsi" w:hAnsiTheme="minorHAnsi" w:cstheme="minorHAnsi"/>
          <w:sz w:val="22"/>
          <w:szCs w:val="22"/>
        </w:rPr>
        <w:footnoteReference w:id="18"/>
      </w:r>
      <w:r w:rsidR="007D69CA" w:rsidRPr="0072678C">
        <w:rPr>
          <w:rFonts w:asciiTheme="minorHAnsi" w:hAnsiTheme="minorHAnsi" w:cstheme="minorHAnsi"/>
          <w:sz w:val="22"/>
          <w:szCs w:val="22"/>
        </w:rPr>
        <w:t>;  define plano de continuidade relacionado aos elementos críticos</w:t>
      </w:r>
      <w:r w:rsidR="00825D4F" w:rsidRPr="0072678C">
        <w:rPr>
          <w:rFonts w:asciiTheme="minorHAnsi" w:hAnsiTheme="minorHAnsi" w:cstheme="minorHAnsi"/>
          <w:sz w:val="22"/>
          <w:szCs w:val="22"/>
        </w:rPr>
        <w:t xml:space="preserve">. Esta </w:t>
      </w:r>
      <w:r w:rsidR="007D69CA" w:rsidRPr="0072678C">
        <w:rPr>
          <w:rFonts w:asciiTheme="minorHAnsi" w:hAnsiTheme="minorHAnsi" w:cstheme="minorHAnsi"/>
          <w:sz w:val="22"/>
          <w:szCs w:val="22"/>
        </w:rPr>
        <w:t xml:space="preserve">Implantação se dá por conta das </w:t>
      </w:r>
      <w:r w:rsidR="00BE2C96" w:rsidRPr="0072678C">
        <w:rPr>
          <w:rFonts w:asciiTheme="minorHAnsi" w:hAnsiTheme="minorHAnsi" w:cstheme="minorHAnsi"/>
          <w:sz w:val="22"/>
          <w:szCs w:val="22"/>
        </w:rPr>
        <w:t xml:space="preserve">unidades </w:t>
      </w:r>
      <w:r w:rsidR="007D69CA" w:rsidRPr="0072678C">
        <w:rPr>
          <w:rFonts w:asciiTheme="minorHAnsi" w:hAnsiTheme="minorHAnsi" w:cstheme="minorHAnsi"/>
          <w:sz w:val="22"/>
          <w:szCs w:val="22"/>
        </w:rPr>
        <w:t>setoriais</w:t>
      </w:r>
      <w:r w:rsidR="00BE2C96" w:rsidRPr="0072678C">
        <w:rPr>
          <w:rFonts w:asciiTheme="minorHAnsi" w:hAnsiTheme="minorHAnsi" w:cstheme="minorHAnsi"/>
          <w:sz w:val="22"/>
          <w:szCs w:val="22"/>
        </w:rPr>
        <w:t xml:space="preserve"> com a utilização dos</w:t>
      </w:r>
      <w:r w:rsidR="007D69CA" w:rsidRPr="0072678C">
        <w:rPr>
          <w:rFonts w:asciiTheme="minorHAnsi" w:hAnsiTheme="minorHAnsi" w:cstheme="minorHAnsi"/>
          <w:sz w:val="22"/>
          <w:szCs w:val="22"/>
        </w:rPr>
        <w:t xml:space="preserve"> procedimentos do Manual COSO apli</w:t>
      </w:r>
      <w:r w:rsidR="00BE2C96" w:rsidRPr="0072678C">
        <w:rPr>
          <w:rFonts w:asciiTheme="minorHAnsi" w:hAnsiTheme="minorHAnsi" w:cstheme="minorHAnsi"/>
          <w:sz w:val="22"/>
          <w:szCs w:val="22"/>
        </w:rPr>
        <w:t xml:space="preserve">cado à Administração Pública; </w:t>
      </w:r>
      <w:r w:rsidR="00825D4F" w:rsidRPr="0072678C">
        <w:rPr>
          <w:rFonts w:asciiTheme="minorHAnsi" w:hAnsiTheme="minorHAnsi" w:cstheme="minorHAnsi"/>
          <w:sz w:val="22"/>
          <w:szCs w:val="22"/>
        </w:rPr>
        <w:t xml:space="preserve">o gerenciamento de risco </w:t>
      </w:r>
      <w:r w:rsidR="00BE2C96" w:rsidRPr="0072678C">
        <w:rPr>
          <w:rFonts w:asciiTheme="minorHAnsi" w:hAnsiTheme="minorHAnsi" w:cstheme="minorHAnsi"/>
          <w:sz w:val="22"/>
          <w:szCs w:val="22"/>
        </w:rPr>
        <w:t>utiliza a</w:t>
      </w:r>
      <w:r w:rsidR="007D69CA" w:rsidRPr="0072678C">
        <w:rPr>
          <w:rFonts w:asciiTheme="minorHAnsi" w:hAnsiTheme="minorHAnsi" w:cstheme="minorHAnsi"/>
          <w:sz w:val="22"/>
          <w:szCs w:val="22"/>
        </w:rPr>
        <w:t>s informações resultantes do processo de gestão de riscos nos processos decisórios</w:t>
      </w:r>
      <w:r w:rsidR="00BE2C96" w:rsidRPr="0072678C">
        <w:rPr>
          <w:rFonts w:asciiTheme="minorHAnsi" w:hAnsiTheme="minorHAnsi" w:cstheme="minorHAnsi"/>
          <w:sz w:val="22"/>
          <w:szCs w:val="22"/>
        </w:rPr>
        <w:t xml:space="preserve">; e monitora </w:t>
      </w:r>
      <w:r w:rsidR="007D69CA" w:rsidRPr="0072678C">
        <w:rPr>
          <w:rFonts w:asciiTheme="minorHAnsi" w:hAnsiTheme="minorHAnsi" w:cstheme="minorHAnsi"/>
          <w:sz w:val="22"/>
          <w:szCs w:val="22"/>
        </w:rPr>
        <w:t>e avalia os riscos considerando aspectos de conformidade legal, estratégia e desempenho organizacional</w:t>
      </w:r>
      <w:r w:rsidR="00BE2C96" w:rsidRPr="0072678C">
        <w:rPr>
          <w:rFonts w:asciiTheme="minorHAnsi" w:hAnsiTheme="minorHAnsi" w:cstheme="minorHAnsi"/>
          <w:sz w:val="22"/>
          <w:szCs w:val="22"/>
        </w:rPr>
        <w:t>.</w:t>
      </w:r>
    </w:p>
    <w:p w:rsidR="007D69CA" w:rsidRPr="0072678C" w:rsidRDefault="003D7456" w:rsidP="00597858">
      <w:pPr>
        <w:spacing w:before="240" w:after="240"/>
        <w:jc w:val="both"/>
        <w:rPr>
          <w:rFonts w:asciiTheme="minorHAnsi" w:hAnsiTheme="minorHAnsi" w:cstheme="minorHAnsi"/>
          <w:sz w:val="22"/>
          <w:szCs w:val="22"/>
        </w:rPr>
      </w:pPr>
      <w:r w:rsidRPr="0072678C">
        <w:rPr>
          <w:rFonts w:asciiTheme="minorHAnsi" w:hAnsiTheme="minorHAnsi" w:cstheme="minorHAnsi"/>
          <w:b/>
          <w:bCs/>
          <w:i/>
          <w:iCs/>
          <w:sz w:val="22"/>
          <w:szCs w:val="22"/>
        </w:rPr>
        <w:t xml:space="preserve">O sistema de governança da gestão fiscal </w:t>
      </w:r>
      <w:r w:rsidR="00634C87" w:rsidRPr="0072678C">
        <w:rPr>
          <w:rFonts w:asciiTheme="minorHAnsi" w:hAnsiTheme="minorHAnsi" w:cstheme="minorHAnsi"/>
          <w:sz w:val="22"/>
          <w:szCs w:val="22"/>
        </w:rPr>
        <w:t xml:space="preserve">obteve nível 1 de maturidade, ou seja, atende 2 de 6 requisitos das boas práticas da MD-GEFIS: </w:t>
      </w:r>
      <w:r w:rsidR="00597858" w:rsidRPr="0072678C">
        <w:rPr>
          <w:rFonts w:asciiTheme="minorHAnsi" w:hAnsiTheme="minorHAnsi" w:cstheme="minorHAnsi"/>
          <w:sz w:val="22"/>
          <w:szCs w:val="22"/>
        </w:rPr>
        <w:t>a SEFAZ/SP define e divulga estrutura de gestão com papéis, responsabilidades e níveis da governança conforme Decreto</w:t>
      </w:r>
      <w:r w:rsidR="00597858" w:rsidRPr="0072678C">
        <w:rPr>
          <w:rStyle w:val="FootnoteReference"/>
          <w:rFonts w:asciiTheme="minorHAnsi" w:hAnsiTheme="minorHAnsi" w:cstheme="minorHAnsi"/>
          <w:sz w:val="22"/>
          <w:szCs w:val="22"/>
        </w:rPr>
        <w:footnoteReference w:id="19"/>
      </w:r>
      <w:r w:rsidR="00597858" w:rsidRPr="0072678C">
        <w:rPr>
          <w:rFonts w:asciiTheme="minorHAnsi" w:hAnsiTheme="minorHAnsi" w:cstheme="minorHAnsi"/>
          <w:sz w:val="22"/>
          <w:szCs w:val="22"/>
        </w:rPr>
        <w:t xml:space="preserve"> Nº 60.812, de 30 de Setembro de 2014, que não apenas reestrutura a SEFAZ/SP, mas também dispõe das competências e atribuições; e formaliza e divulga estratégias, diretrizes, políticas e planos estratégicos conforme publicado no Diário Oficial</w:t>
      </w:r>
      <w:r w:rsidR="007D69CA" w:rsidRPr="0072678C">
        <w:rPr>
          <w:rStyle w:val="FootnoteReference"/>
          <w:rFonts w:asciiTheme="minorHAnsi" w:hAnsiTheme="minorHAnsi" w:cstheme="minorHAnsi"/>
          <w:sz w:val="22"/>
          <w:szCs w:val="22"/>
        </w:rPr>
        <w:footnoteReference w:id="20"/>
      </w:r>
      <w:r w:rsidR="006F0FAE" w:rsidRPr="0072678C">
        <w:rPr>
          <w:rFonts w:asciiTheme="minorHAnsi" w:hAnsiTheme="minorHAnsi" w:cstheme="minorHAnsi"/>
          <w:sz w:val="22"/>
          <w:szCs w:val="22"/>
        </w:rPr>
        <w:t>; e formaliza e divulga estratégias, diretrizes, políticas e planos estratégicos.</w:t>
      </w:r>
    </w:p>
    <w:p w:rsidR="00934F57" w:rsidRPr="0072678C" w:rsidRDefault="00634C87" w:rsidP="00250035">
      <w:pPr>
        <w:spacing w:before="240" w:after="240"/>
        <w:jc w:val="both"/>
        <w:rPr>
          <w:rFonts w:asciiTheme="minorHAnsi" w:hAnsiTheme="minorHAnsi" w:cstheme="minorHAnsi"/>
          <w:sz w:val="22"/>
          <w:szCs w:val="22"/>
        </w:rPr>
      </w:pPr>
      <w:r w:rsidRPr="0072678C">
        <w:rPr>
          <w:rFonts w:asciiTheme="minorHAnsi" w:hAnsiTheme="minorHAnsi" w:cstheme="minorHAnsi"/>
          <w:b/>
          <w:bCs/>
          <w:i/>
          <w:iCs/>
          <w:sz w:val="22"/>
          <w:szCs w:val="22"/>
        </w:rPr>
        <w:t>O gestão de projetos</w:t>
      </w:r>
      <w:r w:rsidRPr="0072678C">
        <w:rPr>
          <w:rFonts w:asciiTheme="minorHAnsi" w:hAnsiTheme="minorHAnsi" w:cstheme="minorHAnsi"/>
          <w:sz w:val="22"/>
          <w:szCs w:val="22"/>
        </w:rPr>
        <w:t xml:space="preserve"> obteve nível 1 de maturidade, ou seja, atende 3 d</w:t>
      </w:r>
      <w:r w:rsidR="00825D4F" w:rsidRPr="0072678C">
        <w:rPr>
          <w:rFonts w:asciiTheme="minorHAnsi" w:hAnsiTheme="minorHAnsi" w:cstheme="minorHAnsi"/>
          <w:sz w:val="22"/>
          <w:szCs w:val="22"/>
        </w:rPr>
        <w:t xml:space="preserve">entre </w:t>
      </w:r>
      <w:r w:rsidRPr="0072678C">
        <w:rPr>
          <w:rFonts w:asciiTheme="minorHAnsi" w:hAnsiTheme="minorHAnsi" w:cstheme="minorHAnsi"/>
          <w:sz w:val="22"/>
          <w:szCs w:val="22"/>
        </w:rPr>
        <w:t>9 requisitos das boas práticas da MD-GEFIS:</w:t>
      </w:r>
      <w:r w:rsidR="00934F57" w:rsidRPr="0072678C">
        <w:rPr>
          <w:rFonts w:asciiTheme="minorHAnsi" w:hAnsiTheme="minorHAnsi" w:cstheme="minorHAnsi"/>
          <w:sz w:val="22"/>
          <w:szCs w:val="22"/>
        </w:rPr>
        <w:t xml:space="preserve"> a SEFAZ/SP dispõe de um escritório de projetos forma</w:t>
      </w:r>
      <w:r w:rsidR="007F7BBD" w:rsidRPr="0072678C">
        <w:rPr>
          <w:rFonts w:asciiTheme="minorHAnsi" w:hAnsiTheme="minorHAnsi" w:cstheme="minorHAnsi"/>
          <w:sz w:val="22"/>
          <w:szCs w:val="22"/>
        </w:rPr>
        <w:t xml:space="preserve">lizado pelo Decreto nº 62.640, de 23 de junho de 2017, onde define </w:t>
      </w:r>
      <w:r w:rsidR="00934F57" w:rsidRPr="0072678C">
        <w:rPr>
          <w:rFonts w:asciiTheme="minorHAnsi" w:hAnsiTheme="minorHAnsi" w:cstheme="minorHAnsi"/>
          <w:sz w:val="22"/>
          <w:szCs w:val="22"/>
        </w:rPr>
        <w:t xml:space="preserve">a metodologia e ferramenta </w:t>
      </w:r>
      <w:r w:rsidR="007F7BBD" w:rsidRPr="0072678C">
        <w:rPr>
          <w:rFonts w:asciiTheme="minorHAnsi" w:hAnsiTheme="minorHAnsi" w:cstheme="minorHAnsi"/>
          <w:sz w:val="22"/>
          <w:szCs w:val="22"/>
        </w:rPr>
        <w:t xml:space="preserve">de gestão de projeto, financiada e desenvolvida no âmbito </w:t>
      </w:r>
      <w:r w:rsidR="00934F57" w:rsidRPr="0072678C">
        <w:rPr>
          <w:rFonts w:asciiTheme="minorHAnsi" w:hAnsiTheme="minorHAnsi" w:cstheme="minorHAnsi"/>
          <w:sz w:val="22"/>
          <w:szCs w:val="22"/>
        </w:rPr>
        <w:t>do Profisco I</w:t>
      </w:r>
      <w:r w:rsidR="007F7BBD" w:rsidRPr="0072678C">
        <w:rPr>
          <w:rFonts w:asciiTheme="minorHAnsi" w:hAnsiTheme="minorHAnsi" w:cstheme="minorHAnsi"/>
          <w:sz w:val="22"/>
          <w:szCs w:val="22"/>
        </w:rPr>
        <w:t xml:space="preserve">; </w:t>
      </w:r>
      <w:r w:rsidR="00934F57" w:rsidRPr="0072678C">
        <w:rPr>
          <w:rFonts w:asciiTheme="minorHAnsi" w:hAnsiTheme="minorHAnsi" w:cstheme="minorHAnsi"/>
          <w:sz w:val="22"/>
          <w:szCs w:val="22"/>
        </w:rPr>
        <w:t xml:space="preserve"> </w:t>
      </w:r>
      <w:r w:rsidR="007F7BBD" w:rsidRPr="0072678C">
        <w:rPr>
          <w:rFonts w:asciiTheme="minorHAnsi" w:hAnsiTheme="minorHAnsi" w:cstheme="minorHAnsi"/>
          <w:sz w:val="22"/>
          <w:szCs w:val="22"/>
        </w:rPr>
        <w:t>d</w:t>
      </w:r>
      <w:r w:rsidR="00934F57" w:rsidRPr="0072678C">
        <w:rPr>
          <w:rFonts w:asciiTheme="minorHAnsi" w:hAnsiTheme="minorHAnsi" w:cstheme="minorHAnsi"/>
          <w:sz w:val="22"/>
          <w:szCs w:val="22"/>
        </w:rPr>
        <w:t>efine níveis de autonomia na execução e responsabilização pelos resultados do projeto</w:t>
      </w:r>
      <w:r w:rsidR="007F7BBD" w:rsidRPr="0072678C">
        <w:rPr>
          <w:rFonts w:asciiTheme="minorHAnsi" w:hAnsiTheme="minorHAnsi" w:cstheme="minorHAnsi"/>
          <w:sz w:val="22"/>
          <w:szCs w:val="22"/>
        </w:rPr>
        <w:t xml:space="preserve"> </w:t>
      </w:r>
      <w:r w:rsidR="00250035" w:rsidRPr="0072678C">
        <w:rPr>
          <w:rFonts w:asciiTheme="minorHAnsi" w:hAnsiTheme="minorHAnsi" w:cstheme="minorHAnsi"/>
          <w:sz w:val="22"/>
          <w:szCs w:val="22"/>
        </w:rPr>
        <w:t>conforme metodologia implantada; e e</w:t>
      </w:r>
      <w:r w:rsidR="00934F57" w:rsidRPr="0072678C">
        <w:rPr>
          <w:rFonts w:asciiTheme="minorHAnsi" w:hAnsiTheme="minorHAnsi" w:cstheme="minorHAnsi"/>
          <w:sz w:val="22"/>
          <w:szCs w:val="22"/>
        </w:rPr>
        <w:t>stabelece ações para correção tempestiva de desvios</w:t>
      </w:r>
      <w:r w:rsidR="00934F57" w:rsidRPr="0072678C">
        <w:rPr>
          <w:rFonts w:asciiTheme="minorHAnsi" w:hAnsiTheme="minorHAnsi" w:cstheme="minorHAnsi"/>
          <w:sz w:val="22"/>
          <w:szCs w:val="22"/>
        </w:rPr>
        <w:tab/>
      </w:r>
      <w:r w:rsidR="00C27704" w:rsidRPr="0072678C">
        <w:rPr>
          <w:rFonts w:asciiTheme="minorHAnsi" w:hAnsiTheme="minorHAnsi" w:cstheme="minorHAnsi"/>
          <w:sz w:val="22"/>
          <w:szCs w:val="22"/>
        </w:rPr>
        <w:t xml:space="preserve">durante as </w:t>
      </w:r>
      <w:r w:rsidR="00934F57" w:rsidRPr="0072678C">
        <w:rPr>
          <w:rFonts w:asciiTheme="minorHAnsi" w:hAnsiTheme="minorHAnsi" w:cstheme="minorHAnsi"/>
          <w:sz w:val="22"/>
          <w:szCs w:val="22"/>
        </w:rPr>
        <w:t xml:space="preserve">reuniões de </w:t>
      </w:r>
      <w:proofErr w:type="spellStart"/>
      <w:r w:rsidR="00934F57" w:rsidRPr="0072678C">
        <w:rPr>
          <w:rFonts w:asciiTheme="minorHAnsi" w:hAnsiTheme="minorHAnsi" w:cstheme="minorHAnsi"/>
          <w:i/>
          <w:sz w:val="22"/>
          <w:szCs w:val="22"/>
        </w:rPr>
        <w:t>SPRINTs</w:t>
      </w:r>
      <w:proofErr w:type="spellEnd"/>
      <w:r w:rsidR="00934F57" w:rsidRPr="0072678C">
        <w:rPr>
          <w:rFonts w:asciiTheme="minorHAnsi" w:hAnsiTheme="minorHAnsi" w:cstheme="minorHAnsi"/>
          <w:i/>
          <w:sz w:val="22"/>
          <w:szCs w:val="22"/>
        </w:rPr>
        <w:t xml:space="preserve"> </w:t>
      </w:r>
      <w:r w:rsidR="00934F57" w:rsidRPr="0072678C">
        <w:rPr>
          <w:rFonts w:asciiTheme="minorHAnsi" w:hAnsiTheme="minorHAnsi" w:cstheme="minorHAnsi"/>
          <w:sz w:val="22"/>
          <w:szCs w:val="22"/>
        </w:rPr>
        <w:t xml:space="preserve">para </w:t>
      </w:r>
      <w:r w:rsidR="00C27704" w:rsidRPr="0072678C">
        <w:rPr>
          <w:rFonts w:asciiTheme="minorHAnsi" w:hAnsiTheme="minorHAnsi" w:cstheme="minorHAnsi"/>
          <w:sz w:val="22"/>
          <w:szCs w:val="22"/>
        </w:rPr>
        <w:t>c</w:t>
      </w:r>
      <w:r w:rsidR="00934F57" w:rsidRPr="0072678C">
        <w:rPr>
          <w:rFonts w:asciiTheme="minorHAnsi" w:hAnsiTheme="minorHAnsi" w:cstheme="minorHAnsi"/>
          <w:sz w:val="22"/>
          <w:szCs w:val="22"/>
        </w:rPr>
        <w:t xml:space="preserve">orreção de </w:t>
      </w:r>
      <w:r w:rsidR="00C27704" w:rsidRPr="0072678C">
        <w:rPr>
          <w:rFonts w:asciiTheme="minorHAnsi" w:hAnsiTheme="minorHAnsi" w:cstheme="minorHAnsi"/>
          <w:sz w:val="22"/>
          <w:szCs w:val="22"/>
        </w:rPr>
        <w:t>d</w:t>
      </w:r>
      <w:r w:rsidR="00934F57" w:rsidRPr="0072678C">
        <w:rPr>
          <w:rFonts w:asciiTheme="minorHAnsi" w:hAnsiTheme="minorHAnsi" w:cstheme="minorHAnsi"/>
          <w:sz w:val="22"/>
          <w:szCs w:val="22"/>
        </w:rPr>
        <w:t>esvios</w:t>
      </w:r>
      <w:r w:rsidR="00C27704" w:rsidRPr="0072678C">
        <w:rPr>
          <w:rFonts w:asciiTheme="minorHAnsi" w:hAnsiTheme="minorHAnsi" w:cstheme="minorHAnsi"/>
          <w:sz w:val="22"/>
          <w:szCs w:val="22"/>
        </w:rPr>
        <w:t>.</w:t>
      </w:r>
    </w:p>
    <w:p w:rsidR="00C27704" w:rsidRPr="0072678C" w:rsidRDefault="00634C87" w:rsidP="00C27704">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O</w:t>
      </w:r>
      <w:r w:rsidR="00C27704" w:rsidRPr="0072678C">
        <w:rPr>
          <w:rFonts w:asciiTheme="minorHAnsi" w:hAnsiTheme="minorHAnsi" w:cstheme="minorHAnsi"/>
          <w:sz w:val="22"/>
          <w:szCs w:val="22"/>
        </w:rPr>
        <w:t xml:space="preserve"> processo de</w:t>
      </w:r>
      <w:r w:rsidR="00C27704" w:rsidRPr="0072678C">
        <w:rPr>
          <w:rFonts w:asciiTheme="minorHAnsi" w:hAnsiTheme="minorHAnsi" w:cstheme="minorHAnsi"/>
          <w:b/>
          <w:bCs/>
          <w:i/>
          <w:iCs/>
          <w:sz w:val="22"/>
          <w:szCs w:val="22"/>
        </w:rPr>
        <w:t xml:space="preserve"> </w:t>
      </w:r>
      <w:r w:rsidRPr="0072678C">
        <w:rPr>
          <w:rFonts w:asciiTheme="minorHAnsi" w:hAnsiTheme="minorHAnsi" w:cstheme="minorHAnsi"/>
          <w:b/>
          <w:bCs/>
          <w:i/>
          <w:iCs/>
          <w:sz w:val="22"/>
          <w:szCs w:val="22"/>
        </w:rPr>
        <w:t>avaliação da qualidade dos produtos e serviços da gestão fiscal</w:t>
      </w:r>
      <w:r w:rsidRPr="0072678C">
        <w:rPr>
          <w:rFonts w:asciiTheme="minorHAnsi" w:hAnsiTheme="minorHAnsi" w:cstheme="minorHAnsi"/>
          <w:sz w:val="22"/>
          <w:szCs w:val="22"/>
        </w:rPr>
        <w:t xml:space="preserve"> obteve nível 0 (zero) de maturidade, ou seja, atende </w:t>
      </w:r>
      <w:r w:rsidR="00C27704" w:rsidRPr="0072678C">
        <w:rPr>
          <w:rFonts w:asciiTheme="minorHAnsi" w:hAnsiTheme="minorHAnsi" w:cstheme="minorHAnsi"/>
          <w:sz w:val="22"/>
          <w:szCs w:val="22"/>
        </w:rPr>
        <w:t xml:space="preserve">apenas </w:t>
      </w:r>
      <w:r w:rsidRPr="0072678C">
        <w:rPr>
          <w:rFonts w:asciiTheme="minorHAnsi" w:hAnsiTheme="minorHAnsi" w:cstheme="minorHAnsi"/>
          <w:sz w:val="22"/>
          <w:szCs w:val="22"/>
        </w:rPr>
        <w:t>1 d</w:t>
      </w:r>
      <w:r w:rsidR="00825D4F" w:rsidRPr="0072678C">
        <w:rPr>
          <w:rFonts w:asciiTheme="minorHAnsi" w:hAnsiTheme="minorHAnsi" w:cstheme="minorHAnsi"/>
          <w:sz w:val="22"/>
          <w:szCs w:val="22"/>
        </w:rPr>
        <w:t xml:space="preserve">entre </w:t>
      </w:r>
      <w:r w:rsidRPr="0072678C">
        <w:rPr>
          <w:rFonts w:asciiTheme="minorHAnsi" w:hAnsiTheme="minorHAnsi" w:cstheme="minorHAnsi"/>
          <w:sz w:val="22"/>
          <w:szCs w:val="22"/>
        </w:rPr>
        <w:t>5 requisito</w:t>
      </w:r>
      <w:r w:rsidR="00825D4F" w:rsidRPr="0072678C">
        <w:rPr>
          <w:rFonts w:asciiTheme="minorHAnsi" w:hAnsiTheme="minorHAnsi" w:cstheme="minorHAnsi"/>
          <w:sz w:val="22"/>
          <w:szCs w:val="22"/>
        </w:rPr>
        <w:t xml:space="preserve">s das boas práticas da MD-GEFIS, ou seja, </w:t>
      </w:r>
      <w:r w:rsidR="00C27704" w:rsidRPr="0072678C">
        <w:rPr>
          <w:rFonts w:asciiTheme="minorHAnsi" w:hAnsiTheme="minorHAnsi" w:cstheme="minorHAnsi"/>
          <w:sz w:val="22"/>
          <w:szCs w:val="22"/>
        </w:rPr>
        <w:t>realiza avaliação da satisfação dos interessados com as informações relativas à transparência e prestação de contas da governança e da gestão fiscal, por meio da pesquisa de satisfação ASU - instrumento indicador de qualidade dos serviços prestados. A pesquisa é realizada trimestralmente</w:t>
      </w:r>
      <w:r w:rsidR="00D36189" w:rsidRPr="0072678C">
        <w:rPr>
          <w:rStyle w:val="FootnoteReference"/>
          <w:rFonts w:asciiTheme="minorHAnsi" w:hAnsiTheme="minorHAnsi" w:cstheme="minorHAnsi"/>
          <w:sz w:val="22"/>
          <w:szCs w:val="22"/>
        </w:rPr>
        <w:footnoteReference w:id="21"/>
      </w:r>
      <w:r w:rsidR="00C27704" w:rsidRPr="0072678C">
        <w:rPr>
          <w:rFonts w:asciiTheme="minorHAnsi" w:hAnsiTheme="minorHAnsi" w:cstheme="minorHAnsi"/>
          <w:sz w:val="22"/>
          <w:szCs w:val="22"/>
        </w:rPr>
        <w:t xml:space="preserve"> conforme Resolução SF-24 </w:t>
      </w:r>
      <w:r w:rsidR="00D36189" w:rsidRPr="0072678C">
        <w:rPr>
          <w:rFonts w:asciiTheme="minorHAnsi" w:hAnsiTheme="minorHAnsi" w:cstheme="minorHAnsi"/>
          <w:sz w:val="22"/>
          <w:szCs w:val="22"/>
        </w:rPr>
        <w:t xml:space="preserve">e utiliza </w:t>
      </w:r>
      <w:r w:rsidR="00C27704" w:rsidRPr="0072678C">
        <w:rPr>
          <w:rFonts w:asciiTheme="minorHAnsi" w:hAnsiTheme="minorHAnsi" w:cstheme="minorHAnsi"/>
          <w:sz w:val="22"/>
          <w:szCs w:val="22"/>
        </w:rPr>
        <w:t>como índice de aprovação a somatória das qualificações "excelente e "bom".</w:t>
      </w:r>
    </w:p>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Do ponto de vista do </w:t>
      </w:r>
      <w:r w:rsidRPr="0072678C">
        <w:rPr>
          <w:rFonts w:asciiTheme="minorHAnsi" w:hAnsiTheme="minorHAnsi" w:cstheme="minorHAnsi"/>
          <w:b/>
          <w:sz w:val="22"/>
          <w:szCs w:val="22"/>
        </w:rPr>
        <w:t>Desempenho dos processos críticos,</w:t>
      </w:r>
      <w:r w:rsidRPr="0072678C">
        <w:rPr>
          <w:rFonts w:asciiTheme="minorHAnsi" w:hAnsiTheme="minorHAnsi" w:cstheme="minorHAnsi"/>
          <w:sz w:val="22"/>
          <w:szCs w:val="22"/>
        </w:rPr>
        <w:t xml:space="preserve"> a </w:t>
      </w:r>
      <w:r w:rsidRPr="0072678C">
        <w:rPr>
          <w:rFonts w:asciiTheme="minorHAnsi" w:hAnsiTheme="minorHAnsi" w:cstheme="minorHAnsi"/>
          <w:b/>
          <w:sz w:val="22"/>
          <w:szCs w:val="22"/>
        </w:rPr>
        <w:t>Dimensão GF1 Governança Pública</w:t>
      </w:r>
      <w:r w:rsidRPr="0072678C">
        <w:rPr>
          <w:rFonts w:asciiTheme="minorHAnsi" w:hAnsiTheme="minorHAnsi" w:cstheme="minorHAnsi"/>
          <w:sz w:val="22"/>
          <w:szCs w:val="22"/>
        </w:rPr>
        <w:t xml:space="preserve"> foram selecionados quatro indicadores que visam avaliar primordialmente a capacidade da </w:t>
      </w:r>
      <w:r w:rsidR="007C3074" w:rsidRPr="0072678C">
        <w:rPr>
          <w:rFonts w:asciiTheme="minorHAnsi" w:hAnsiTheme="minorHAnsi" w:cstheme="minorHAnsi"/>
          <w:sz w:val="22"/>
          <w:szCs w:val="22"/>
        </w:rPr>
        <w:t xml:space="preserve">SEFAZ/SP </w:t>
      </w:r>
      <w:r w:rsidRPr="0072678C">
        <w:rPr>
          <w:rFonts w:asciiTheme="minorHAnsi" w:hAnsiTheme="minorHAnsi" w:cstheme="minorHAnsi"/>
          <w:sz w:val="22"/>
          <w:szCs w:val="22"/>
        </w:rPr>
        <w:t xml:space="preserve">em planejamento e execução orçamentária e de cumprimento das metas pactuadas. </w:t>
      </w:r>
    </w:p>
    <w:p w:rsidR="00B44516" w:rsidRPr="0072678C" w:rsidRDefault="00B44516" w:rsidP="00B44516">
      <w:pPr>
        <w:spacing w:before="240" w:after="240"/>
        <w:jc w:val="both"/>
        <w:rPr>
          <w:rFonts w:asciiTheme="minorHAnsi" w:hAnsiTheme="minorHAnsi" w:cstheme="minorHAnsi"/>
          <w:iCs/>
          <w:sz w:val="22"/>
          <w:szCs w:val="22"/>
        </w:rPr>
      </w:pPr>
      <w:r w:rsidRPr="0072678C">
        <w:rPr>
          <w:rFonts w:asciiTheme="minorHAnsi" w:hAnsiTheme="minorHAnsi" w:cstheme="minorHAnsi"/>
          <w:iCs/>
          <w:sz w:val="22"/>
          <w:szCs w:val="22"/>
        </w:rPr>
        <w:t>Os indicadores de desempenho selecionados para esta Dimensão foram:</w:t>
      </w:r>
    </w:p>
    <w:p w:rsidR="00AA0C30" w:rsidRPr="0072678C" w:rsidRDefault="00AA0C30" w:rsidP="00B44516">
      <w:pPr>
        <w:spacing w:before="240" w:after="240"/>
        <w:jc w:val="both"/>
        <w:rPr>
          <w:rFonts w:asciiTheme="minorHAnsi" w:hAnsiTheme="minorHAnsi" w:cstheme="minorHAnsi"/>
          <w:iCs/>
          <w:sz w:val="22"/>
          <w:szCs w:val="22"/>
        </w:rPr>
      </w:pPr>
    </w:p>
    <w:tbl>
      <w:tblPr>
        <w:tblW w:w="865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3"/>
        <w:gridCol w:w="2951"/>
        <w:gridCol w:w="2951"/>
        <w:gridCol w:w="992"/>
      </w:tblGrid>
      <w:tr w:rsidR="00492062" w:rsidRPr="0072678C" w:rsidTr="00492062">
        <w:trPr>
          <w:trHeight w:val="538"/>
        </w:trPr>
        <w:tc>
          <w:tcPr>
            <w:tcW w:w="1763" w:type="dxa"/>
            <w:shd w:val="clear" w:color="auto" w:fill="E7E6E6" w:themeFill="background2"/>
            <w:vAlign w:val="center"/>
            <w:hideMark/>
          </w:tcPr>
          <w:p w:rsidR="00492062" w:rsidRPr="0072678C" w:rsidRDefault="00492062" w:rsidP="00DC15C5">
            <w:pPr>
              <w:jc w:val="center"/>
              <w:rPr>
                <w:rFonts w:ascii="Calibri" w:hAnsi="Calibri" w:cs="Calibri"/>
                <w:b/>
                <w:bCs/>
                <w:sz w:val="20"/>
                <w:szCs w:val="20"/>
              </w:rPr>
            </w:pPr>
            <w:r w:rsidRPr="0072678C">
              <w:rPr>
                <w:rFonts w:ascii="Calibri" w:hAnsi="Calibri" w:cs="Calibri"/>
                <w:b/>
                <w:bCs/>
                <w:sz w:val="20"/>
                <w:szCs w:val="20"/>
              </w:rPr>
              <w:lastRenderedPageBreak/>
              <w:t>Nome do Indicador</w:t>
            </w:r>
          </w:p>
        </w:tc>
        <w:tc>
          <w:tcPr>
            <w:tcW w:w="2951" w:type="dxa"/>
            <w:shd w:val="clear" w:color="auto" w:fill="E7E6E6" w:themeFill="background2"/>
            <w:vAlign w:val="center"/>
            <w:hideMark/>
          </w:tcPr>
          <w:p w:rsidR="00492062" w:rsidRPr="0072678C" w:rsidRDefault="00492062" w:rsidP="00DC15C5">
            <w:pPr>
              <w:jc w:val="center"/>
              <w:rPr>
                <w:rFonts w:ascii="Calibri" w:hAnsi="Calibri" w:cs="Calibri"/>
                <w:b/>
                <w:bCs/>
                <w:sz w:val="20"/>
                <w:szCs w:val="20"/>
              </w:rPr>
            </w:pPr>
            <w:r w:rsidRPr="0072678C">
              <w:rPr>
                <w:rFonts w:ascii="Calibri" w:hAnsi="Calibri" w:cs="Calibri"/>
                <w:b/>
                <w:bCs/>
                <w:sz w:val="20"/>
                <w:szCs w:val="20"/>
              </w:rPr>
              <w:t>Objetivo</w:t>
            </w:r>
          </w:p>
        </w:tc>
        <w:tc>
          <w:tcPr>
            <w:tcW w:w="2951" w:type="dxa"/>
            <w:shd w:val="clear" w:color="auto" w:fill="E7E6E6" w:themeFill="background2"/>
            <w:vAlign w:val="center"/>
            <w:hideMark/>
          </w:tcPr>
          <w:p w:rsidR="00492062" w:rsidRPr="0072678C" w:rsidRDefault="00492062" w:rsidP="00DC15C5">
            <w:pPr>
              <w:jc w:val="center"/>
              <w:rPr>
                <w:rFonts w:ascii="Calibri" w:hAnsi="Calibri" w:cs="Calibri"/>
                <w:b/>
                <w:bCs/>
                <w:sz w:val="20"/>
                <w:szCs w:val="20"/>
              </w:rPr>
            </w:pPr>
            <w:r w:rsidRPr="0072678C">
              <w:rPr>
                <w:rFonts w:ascii="Calibri" w:hAnsi="Calibri" w:cs="Calibri"/>
                <w:b/>
                <w:bCs/>
                <w:sz w:val="20"/>
                <w:szCs w:val="20"/>
              </w:rPr>
              <w:t>Fórmula de Cálculo</w:t>
            </w:r>
          </w:p>
        </w:tc>
        <w:tc>
          <w:tcPr>
            <w:tcW w:w="992" w:type="dxa"/>
            <w:shd w:val="clear" w:color="auto" w:fill="E7E6E6" w:themeFill="background2"/>
            <w:vAlign w:val="center"/>
            <w:hideMark/>
          </w:tcPr>
          <w:p w:rsidR="00492062" w:rsidRPr="00F83949" w:rsidRDefault="00492062" w:rsidP="00DC15C5">
            <w:pPr>
              <w:jc w:val="center"/>
              <w:rPr>
                <w:rFonts w:ascii="Calibri" w:hAnsi="Calibri" w:cs="Calibri"/>
                <w:b/>
                <w:bCs/>
                <w:sz w:val="20"/>
                <w:szCs w:val="20"/>
              </w:rPr>
            </w:pPr>
            <w:r w:rsidRPr="00F83949">
              <w:rPr>
                <w:rFonts w:ascii="Calibri" w:hAnsi="Calibri" w:cs="Calibri"/>
                <w:b/>
                <w:bCs/>
                <w:sz w:val="20"/>
                <w:szCs w:val="20"/>
              </w:rPr>
              <w:t>2017</w:t>
            </w:r>
          </w:p>
        </w:tc>
      </w:tr>
      <w:tr w:rsidR="00492062" w:rsidRPr="0072678C" w:rsidTr="00492062">
        <w:trPr>
          <w:trHeight w:val="945"/>
        </w:trPr>
        <w:tc>
          <w:tcPr>
            <w:tcW w:w="1763" w:type="dxa"/>
            <w:shd w:val="clear" w:color="auto" w:fill="auto"/>
            <w:vAlign w:val="center"/>
            <w:hideMark/>
          </w:tcPr>
          <w:p w:rsidR="00492062" w:rsidRPr="0072678C" w:rsidRDefault="00492062" w:rsidP="00AA0C30">
            <w:pPr>
              <w:jc w:val="center"/>
              <w:rPr>
                <w:rFonts w:ascii="Calibri" w:hAnsi="Calibri" w:cs="Calibri"/>
                <w:sz w:val="20"/>
                <w:szCs w:val="20"/>
              </w:rPr>
            </w:pPr>
            <w:r w:rsidRPr="0072678C">
              <w:rPr>
                <w:rFonts w:ascii="Calibri" w:hAnsi="Calibri" w:cs="Calibri"/>
                <w:sz w:val="20"/>
                <w:szCs w:val="20"/>
              </w:rPr>
              <w:t>Execução orçamentária da Gestão Fiscal</w:t>
            </w:r>
          </w:p>
        </w:tc>
        <w:tc>
          <w:tcPr>
            <w:tcW w:w="2951" w:type="dxa"/>
            <w:shd w:val="clear" w:color="auto" w:fill="auto"/>
            <w:vAlign w:val="center"/>
            <w:hideMark/>
          </w:tcPr>
          <w:p w:rsidR="00492062" w:rsidRPr="0072678C" w:rsidRDefault="00492062" w:rsidP="00AA0C30">
            <w:pPr>
              <w:jc w:val="center"/>
              <w:rPr>
                <w:rFonts w:ascii="Calibri" w:hAnsi="Calibri" w:cs="Calibri"/>
                <w:sz w:val="20"/>
                <w:szCs w:val="20"/>
              </w:rPr>
            </w:pPr>
            <w:r w:rsidRPr="0072678C">
              <w:rPr>
                <w:rFonts w:ascii="Calibri" w:hAnsi="Calibri" w:cs="Calibri"/>
                <w:sz w:val="20"/>
                <w:szCs w:val="20"/>
              </w:rPr>
              <w:t>Expressa a eficiência do planejamento orçamentário fiscal.</w:t>
            </w:r>
          </w:p>
        </w:tc>
        <w:tc>
          <w:tcPr>
            <w:tcW w:w="2951" w:type="dxa"/>
            <w:shd w:val="clear" w:color="auto" w:fill="auto"/>
            <w:vAlign w:val="center"/>
            <w:hideMark/>
          </w:tcPr>
          <w:p w:rsidR="00492062" w:rsidRPr="0072678C" w:rsidRDefault="00492062" w:rsidP="00AA0C30">
            <w:pPr>
              <w:jc w:val="center"/>
              <w:rPr>
                <w:rFonts w:ascii="Calibri" w:hAnsi="Calibri" w:cs="Calibri"/>
                <w:sz w:val="20"/>
                <w:szCs w:val="20"/>
              </w:rPr>
            </w:pPr>
            <w:r w:rsidRPr="0072678C">
              <w:rPr>
                <w:rFonts w:ascii="Calibri" w:hAnsi="Calibri" w:cs="Calibri"/>
                <w:sz w:val="20"/>
                <w:szCs w:val="20"/>
              </w:rPr>
              <w:t>Orçamento executado total / orçamento aprovado total</w:t>
            </w:r>
          </w:p>
        </w:tc>
        <w:tc>
          <w:tcPr>
            <w:tcW w:w="992" w:type="dxa"/>
            <w:shd w:val="clear" w:color="auto" w:fill="auto"/>
            <w:vAlign w:val="center"/>
            <w:hideMark/>
          </w:tcPr>
          <w:p w:rsidR="00492062" w:rsidRPr="0072678C" w:rsidRDefault="00492062" w:rsidP="00AA0C30">
            <w:pPr>
              <w:jc w:val="center"/>
              <w:rPr>
                <w:rFonts w:ascii="Calibri" w:hAnsi="Calibri" w:cs="Calibri"/>
                <w:sz w:val="20"/>
                <w:szCs w:val="20"/>
              </w:rPr>
            </w:pPr>
            <w:r w:rsidRPr="0072678C">
              <w:rPr>
                <w:rFonts w:ascii="Calibri" w:hAnsi="Calibri" w:cs="Calibri"/>
                <w:sz w:val="20"/>
                <w:szCs w:val="20"/>
              </w:rPr>
              <w:t>93,72</w:t>
            </w:r>
            <w:r>
              <w:rPr>
                <w:rFonts w:ascii="Calibri" w:hAnsi="Calibri" w:cs="Calibri"/>
                <w:sz w:val="20"/>
                <w:szCs w:val="20"/>
              </w:rPr>
              <w:t xml:space="preserve"> %</w:t>
            </w:r>
          </w:p>
        </w:tc>
      </w:tr>
      <w:tr w:rsidR="00492062" w:rsidRPr="0072678C" w:rsidTr="00492062">
        <w:trPr>
          <w:trHeight w:val="742"/>
        </w:trPr>
        <w:tc>
          <w:tcPr>
            <w:tcW w:w="1763" w:type="dxa"/>
            <w:shd w:val="clear" w:color="auto" w:fill="auto"/>
            <w:vAlign w:val="center"/>
            <w:hideMark/>
          </w:tcPr>
          <w:p w:rsidR="00492062" w:rsidRPr="0072678C" w:rsidRDefault="00492062" w:rsidP="00AA0C30">
            <w:pPr>
              <w:jc w:val="center"/>
              <w:rPr>
                <w:rFonts w:ascii="Calibri" w:hAnsi="Calibri" w:cs="Calibri"/>
                <w:sz w:val="20"/>
                <w:szCs w:val="20"/>
              </w:rPr>
            </w:pPr>
            <w:r w:rsidRPr="0072678C">
              <w:rPr>
                <w:rFonts w:ascii="Calibri" w:hAnsi="Calibri" w:cs="Calibri"/>
                <w:sz w:val="20"/>
                <w:szCs w:val="20"/>
              </w:rPr>
              <w:t>Execução do Plano de mitigação de riscos</w:t>
            </w:r>
          </w:p>
        </w:tc>
        <w:tc>
          <w:tcPr>
            <w:tcW w:w="2951" w:type="dxa"/>
            <w:shd w:val="clear" w:color="auto" w:fill="auto"/>
            <w:vAlign w:val="center"/>
            <w:hideMark/>
          </w:tcPr>
          <w:p w:rsidR="00492062" w:rsidRPr="0072678C" w:rsidRDefault="00492062" w:rsidP="00AA0C30">
            <w:pPr>
              <w:jc w:val="center"/>
              <w:rPr>
                <w:rFonts w:ascii="Calibri" w:hAnsi="Calibri" w:cs="Calibri"/>
                <w:sz w:val="20"/>
                <w:szCs w:val="20"/>
              </w:rPr>
            </w:pPr>
            <w:r w:rsidRPr="0072678C">
              <w:rPr>
                <w:rFonts w:ascii="Calibri" w:hAnsi="Calibri" w:cs="Calibri"/>
                <w:sz w:val="20"/>
                <w:szCs w:val="20"/>
              </w:rPr>
              <w:t xml:space="preserve">Expressar o esforço e comprometimento na execução do plano de </w:t>
            </w:r>
            <w:proofErr w:type="gramStart"/>
            <w:r w:rsidRPr="0072678C">
              <w:rPr>
                <w:rFonts w:ascii="Calibri" w:hAnsi="Calibri" w:cs="Calibri"/>
                <w:sz w:val="20"/>
                <w:szCs w:val="20"/>
              </w:rPr>
              <w:t>mitigação  dos</w:t>
            </w:r>
            <w:proofErr w:type="gramEnd"/>
            <w:r w:rsidRPr="0072678C">
              <w:rPr>
                <w:rFonts w:ascii="Calibri" w:hAnsi="Calibri" w:cs="Calibri"/>
                <w:sz w:val="20"/>
                <w:szCs w:val="20"/>
              </w:rPr>
              <w:t xml:space="preserve"> riscos institucionais identificados</w:t>
            </w:r>
          </w:p>
        </w:tc>
        <w:tc>
          <w:tcPr>
            <w:tcW w:w="2951" w:type="dxa"/>
            <w:shd w:val="clear" w:color="auto" w:fill="auto"/>
            <w:vAlign w:val="center"/>
            <w:hideMark/>
          </w:tcPr>
          <w:p w:rsidR="00492062" w:rsidRPr="0072678C" w:rsidRDefault="00492062" w:rsidP="00AA0C30">
            <w:pPr>
              <w:jc w:val="center"/>
              <w:rPr>
                <w:rFonts w:ascii="Calibri" w:hAnsi="Calibri" w:cs="Calibri"/>
                <w:sz w:val="20"/>
                <w:szCs w:val="20"/>
              </w:rPr>
            </w:pPr>
            <w:r w:rsidRPr="0072678C">
              <w:rPr>
                <w:rFonts w:ascii="Calibri" w:hAnsi="Calibri" w:cs="Calibri"/>
                <w:sz w:val="20"/>
                <w:szCs w:val="20"/>
              </w:rPr>
              <w:t xml:space="preserve">Ações de mitigação aplicadas / Riscos identificados </w:t>
            </w:r>
          </w:p>
        </w:tc>
        <w:tc>
          <w:tcPr>
            <w:tcW w:w="992" w:type="dxa"/>
            <w:shd w:val="clear" w:color="auto" w:fill="auto"/>
            <w:vAlign w:val="center"/>
            <w:hideMark/>
          </w:tcPr>
          <w:p w:rsidR="00492062" w:rsidRPr="0072678C" w:rsidRDefault="00492062" w:rsidP="00AA0C30">
            <w:pPr>
              <w:jc w:val="center"/>
              <w:rPr>
                <w:rFonts w:ascii="Calibri" w:hAnsi="Calibri" w:cs="Calibri"/>
                <w:sz w:val="20"/>
                <w:szCs w:val="20"/>
              </w:rPr>
            </w:pPr>
            <w:r w:rsidRPr="0072678C">
              <w:rPr>
                <w:rFonts w:ascii="Calibri" w:hAnsi="Calibri" w:cs="Calibri"/>
                <w:sz w:val="20"/>
                <w:szCs w:val="20"/>
              </w:rPr>
              <w:t> ND</w:t>
            </w:r>
          </w:p>
        </w:tc>
      </w:tr>
    </w:tbl>
    <w:p w:rsidR="00AA0C30" w:rsidRPr="0072678C" w:rsidRDefault="00AA0C30" w:rsidP="00B44516">
      <w:pPr>
        <w:spacing w:before="240" w:after="240"/>
        <w:jc w:val="both"/>
        <w:rPr>
          <w:rFonts w:asciiTheme="minorHAnsi" w:hAnsiTheme="minorHAnsi" w:cstheme="minorHAnsi"/>
          <w:sz w:val="22"/>
          <w:szCs w:val="22"/>
        </w:rPr>
      </w:pPr>
      <w:r w:rsidRPr="0072678C">
        <w:rPr>
          <w:rFonts w:asciiTheme="minorHAnsi" w:hAnsiTheme="minorHAnsi" w:cstheme="minorHAnsi"/>
          <w:iCs/>
          <w:sz w:val="22"/>
          <w:szCs w:val="22"/>
        </w:rPr>
        <w:t xml:space="preserve">Com relação ao indicador </w:t>
      </w:r>
      <w:r w:rsidRPr="0072678C">
        <w:rPr>
          <w:rFonts w:ascii="Calibri" w:hAnsi="Calibri" w:cs="Calibri"/>
          <w:sz w:val="22"/>
          <w:szCs w:val="22"/>
        </w:rPr>
        <w:t>Execução orçamentária da Gestão Fiscal, e</w:t>
      </w:r>
      <w:r w:rsidRPr="0072678C">
        <w:rPr>
          <w:rFonts w:asciiTheme="minorHAnsi" w:hAnsiTheme="minorHAnsi" w:cstheme="minorHAnsi"/>
          <w:sz w:val="22"/>
          <w:szCs w:val="22"/>
        </w:rPr>
        <w:t>m 2017 os resultados apurados apontam para uma alta eficiência do ponto de vista do Planejamento Orçamentário.</w:t>
      </w:r>
    </w:p>
    <w:tbl>
      <w:tblPr>
        <w:tblStyle w:val="TableGrid"/>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C5E0B3" w:themeFill="accent6" w:themeFillTint="66"/>
        <w:tblLook w:val="04A0" w:firstRow="1" w:lastRow="0" w:firstColumn="1" w:lastColumn="0" w:noHBand="0" w:noVBand="1"/>
      </w:tblPr>
      <w:tblGrid>
        <w:gridCol w:w="6609"/>
        <w:gridCol w:w="2180"/>
      </w:tblGrid>
      <w:tr w:rsidR="00B44516" w:rsidRPr="0072678C" w:rsidTr="00B44516">
        <w:tc>
          <w:tcPr>
            <w:tcW w:w="6609" w:type="dxa"/>
            <w:shd w:val="clear" w:color="auto" w:fill="C5E0B3" w:themeFill="accent6" w:themeFillTint="66"/>
          </w:tcPr>
          <w:bookmarkEnd w:id="22"/>
          <w:p w:rsidR="00B44516" w:rsidRPr="0072678C" w:rsidRDefault="00B44516" w:rsidP="00B44516">
            <w:pPr>
              <w:spacing w:before="120" w:after="120"/>
              <w:jc w:val="both"/>
              <w:rPr>
                <w:rFonts w:asciiTheme="minorHAnsi" w:hAnsiTheme="minorHAnsi" w:cstheme="minorHAnsi"/>
                <w:b/>
              </w:rPr>
            </w:pPr>
            <w:r w:rsidRPr="0072678C">
              <w:rPr>
                <w:rFonts w:asciiTheme="minorHAnsi" w:hAnsiTheme="minorHAnsi" w:cstheme="minorHAnsi"/>
                <w:b/>
              </w:rPr>
              <w:t>Dimensão GF 2. Gestão para Resultados</w:t>
            </w:r>
          </w:p>
        </w:tc>
        <w:tc>
          <w:tcPr>
            <w:tcW w:w="2180" w:type="dxa"/>
            <w:shd w:val="clear" w:color="auto" w:fill="C5E0B3" w:themeFill="accent6" w:themeFillTint="66"/>
          </w:tcPr>
          <w:p w:rsidR="00B44516" w:rsidRPr="0072678C" w:rsidRDefault="0063757F" w:rsidP="00B44516">
            <w:pPr>
              <w:spacing w:before="120" w:after="120"/>
              <w:jc w:val="center"/>
              <w:rPr>
                <w:rFonts w:asciiTheme="minorHAnsi" w:hAnsiTheme="minorHAnsi" w:cstheme="minorHAnsi"/>
                <w:b/>
              </w:rPr>
            </w:pPr>
            <w:r w:rsidRPr="0072678C">
              <w:rPr>
                <w:rFonts w:asciiTheme="minorHAnsi" w:hAnsiTheme="minorHAnsi" w:cstheme="minorHAnsi"/>
                <w:b/>
                <w:bCs/>
              </w:rPr>
              <w:t>INICIANTE (+)</w:t>
            </w:r>
          </w:p>
        </w:tc>
      </w:tr>
    </w:tbl>
    <w:p w:rsidR="00B44516" w:rsidRPr="0072678C" w:rsidRDefault="00B44516" w:rsidP="00B44516">
      <w:pPr>
        <w:spacing w:before="240" w:after="240"/>
        <w:jc w:val="both"/>
        <w:rPr>
          <w:rFonts w:asciiTheme="minorHAnsi" w:hAnsiTheme="minorHAnsi" w:cstheme="minorHAnsi"/>
          <w:b/>
          <w:sz w:val="22"/>
          <w:szCs w:val="22"/>
        </w:rPr>
      </w:pPr>
      <w:r w:rsidRPr="0072678C">
        <w:rPr>
          <w:rFonts w:asciiTheme="minorHAnsi" w:hAnsiTheme="minorHAnsi" w:cstheme="minorHAnsi"/>
          <w:sz w:val="22"/>
          <w:szCs w:val="22"/>
        </w:rPr>
        <w:t xml:space="preserve">A dimensão </w:t>
      </w:r>
      <w:r w:rsidRPr="0072678C">
        <w:rPr>
          <w:rFonts w:asciiTheme="minorHAnsi" w:hAnsiTheme="minorHAnsi" w:cstheme="minorHAnsi"/>
          <w:b/>
          <w:sz w:val="22"/>
          <w:szCs w:val="22"/>
        </w:rPr>
        <w:t>Gestão para Resultados</w:t>
      </w:r>
      <w:r w:rsidRPr="0072678C">
        <w:rPr>
          <w:rFonts w:asciiTheme="minorHAnsi" w:hAnsiTheme="minorHAnsi" w:cstheme="minorHAnsi"/>
          <w:sz w:val="22"/>
          <w:szCs w:val="22"/>
        </w:rPr>
        <w:t xml:space="preserve"> tem como visão de futuro “promover um modelo de gestão orientado para resultados, baseado em indicadores de desempenho, em busca do aumento da eficiência, efetividade e </w:t>
      </w:r>
      <w:r w:rsidRPr="0072678C">
        <w:rPr>
          <w:rFonts w:asciiTheme="minorHAnsi" w:hAnsiTheme="minorHAnsi" w:cstheme="minorHAnsi"/>
          <w:i/>
          <w:sz w:val="22"/>
          <w:szCs w:val="22"/>
        </w:rPr>
        <w:t>“</w:t>
      </w:r>
      <w:proofErr w:type="spellStart"/>
      <w:r w:rsidRPr="0072678C">
        <w:rPr>
          <w:rFonts w:asciiTheme="minorHAnsi" w:hAnsiTheme="minorHAnsi" w:cstheme="minorHAnsi"/>
          <w:i/>
          <w:sz w:val="22"/>
          <w:szCs w:val="22"/>
        </w:rPr>
        <w:t>accountability</w:t>
      </w:r>
      <w:proofErr w:type="spellEnd"/>
      <w:r w:rsidRPr="0072678C">
        <w:rPr>
          <w:rFonts w:asciiTheme="minorHAnsi" w:hAnsiTheme="minorHAnsi" w:cstheme="minorHAnsi"/>
          <w:i/>
          <w:sz w:val="22"/>
          <w:szCs w:val="22"/>
        </w:rPr>
        <w:t>”</w:t>
      </w:r>
      <w:r w:rsidRPr="0072678C">
        <w:rPr>
          <w:rFonts w:asciiTheme="minorHAnsi" w:hAnsiTheme="minorHAnsi" w:cstheme="minorHAnsi"/>
          <w:sz w:val="22"/>
          <w:szCs w:val="22"/>
        </w:rPr>
        <w:t xml:space="preserve"> da gestão, garantindo monitoramento e avaliação sistemática dos avanços e resultados pactuados”.</w:t>
      </w:r>
      <w:r w:rsidRPr="0072678C">
        <w:rPr>
          <w:rFonts w:asciiTheme="minorHAnsi" w:hAnsiTheme="minorHAnsi" w:cstheme="minorHAnsi"/>
          <w:b/>
          <w:sz w:val="22"/>
          <w:szCs w:val="22"/>
        </w:rPr>
        <w:t xml:space="preserve"> </w:t>
      </w:r>
    </w:p>
    <w:p w:rsidR="00B44516" w:rsidRPr="0072678C" w:rsidRDefault="00B44516" w:rsidP="00B44516">
      <w:pPr>
        <w:spacing w:before="240" w:after="240"/>
        <w:jc w:val="both"/>
        <w:rPr>
          <w:rFonts w:asciiTheme="minorHAnsi" w:hAnsiTheme="minorHAnsi" w:cstheme="minorHAnsi"/>
          <w:b/>
          <w:bCs/>
          <w:sz w:val="22"/>
          <w:szCs w:val="22"/>
        </w:rPr>
      </w:pPr>
      <w:r w:rsidRPr="0072678C">
        <w:rPr>
          <w:rFonts w:asciiTheme="minorHAnsi" w:hAnsiTheme="minorHAnsi" w:cstheme="minorHAnsi"/>
          <w:sz w:val="22"/>
          <w:szCs w:val="22"/>
        </w:rPr>
        <w:t>Pela apuração da MD-GEFIS, o conjunto de processos críticos que compõem esta dimensão é</w:t>
      </w:r>
      <w:r w:rsidRPr="0072678C">
        <w:rPr>
          <w:rFonts w:asciiTheme="minorHAnsi" w:hAnsiTheme="minorHAnsi" w:cstheme="minorHAnsi"/>
          <w:b/>
          <w:sz w:val="22"/>
          <w:szCs w:val="22"/>
        </w:rPr>
        <w:t xml:space="preserve"> </w:t>
      </w:r>
      <w:r w:rsidR="0063757F" w:rsidRPr="0072678C">
        <w:rPr>
          <w:rFonts w:asciiTheme="minorHAnsi" w:hAnsiTheme="minorHAnsi" w:cstheme="minorHAnsi"/>
          <w:b/>
          <w:bCs/>
          <w:sz w:val="22"/>
          <w:szCs w:val="22"/>
        </w:rPr>
        <w:t>INICIANTE (+)</w:t>
      </w:r>
    </w:p>
    <w:p w:rsidR="00735DC0" w:rsidRPr="0072678C" w:rsidRDefault="0063757F" w:rsidP="00042F7B">
      <w:pPr>
        <w:jc w:val="both"/>
        <w:rPr>
          <w:rFonts w:asciiTheme="minorHAnsi" w:hAnsiTheme="minorHAnsi" w:cstheme="minorHAnsi"/>
          <w:sz w:val="22"/>
          <w:szCs w:val="22"/>
        </w:rPr>
      </w:pPr>
      <w:r w:rsidRPr="0072678C">
        <w:rPr>
          <w:rFonts w:asciiTheme="minorHAnsi" w:hAnsiTheme="minorHAnsi" w:cstheme="minorHAnsi"/>
          <w:iCs/>
          <w:sz w:val="22"/>
          <w:szCs w:val="22"/>
        </w:rPr>
        <w:t>Este resultado decorre principalmente pelo nível 1 de maturidade alcançado por 3 de</w:t>
      </w:r>
      <w:r w:rsidR="00735DC0" w:rsidRPr="0072678C">
        <w:rPr>
          <w:rFonts w:asciiTheme="minorHAnsi" w:hAnsiTheme="minorHAnsi" w:cstheme="minorHAnsi"/>
          <w:iCs/>
          <w:sz w:val="22"/>
          <w:szCs w:val="22"/>
        </w:rPr>
        <w:t>ntre</w:t>
      </w:r>
      <w:r w:rsidRPr="0072678C">
        <w:rPr>
          <w:rFonts w:asciiTheme="minorHAnsi" w:hAnsiTheme="minorHAnsi" w:cstheme="minorHAnsi"/>
          <w:iCs/>
          <w:sz w:val="22"/>
          <w:szCs w:val="22"/>
        </w:rPr>
        <w:t xml:space="preserve"> 13 processos da Dimensão Gestão para Resultados e do nível </w:t>
      </w:r>
      <w:r w:rsidR="00735DC0" w:rsidRPr="0072678C">
        <w:rPr>
          <w:rFonts w:asciiTheme="minorHAnsi" w:hAnsiTheme="minorHAnsi" w:cstheme="minorHAnsi"/>
          <w:iCs/>
          <w:sz w:val="22"/>
          <w:szCs w:val="22"/>
        </w:rPr>
        <w:t xml:space="preserve">0 (zero) de maturidade de outros 4 processos, ou seja, 7 dentre 13 processos desta Dimensão apresentam nível de maturidade entre 0 (zero) e 1 e atendem a pouquíssimos ou nenhum dos </w:t>
      </w:r>
      <w:r w:rsidR="009B231A" w:rsidRPr="0072678C">
        <w:rPr>
          <w:rFonts w:asciiTheme="minorHAnsi" w:hAnsiTheme="minorHAnsi" w:cstheme="minorHAnsi"/>
          <w:iCs/>
          <w:sz w:val="22"/>
          <w:szCs w:val="22"/>
        </w:rPr>
        <w:t>requisitos</w:t>
      </w:r>
      <w:r w:rsidR="00735DC0" w:rsidRPr="0072678C">
        <w:rPr>
          <w:rFonts w:asciiTheme="minorHAnsi" w:hAnsiTheme="minorHAnsi" w:cstheme="minorHAnsi"/>
          <w:iCs/>
          <w:sz w:val="22"/>
          <w:szCs w:val="22"/>
        </w:rPr>
        <w:t xml:space="preserve"> das boas práticas da MD-GEFIS, são eles: </w:t>
      </w:r>
      <w:r w:rsidR="00735DC0" w:rsidRPr="0072678C">
        <w:rPr>
          <w:rFonts w:asciiTheme="minorHAnsi" w:hAnsiTheme="minorHAnsi" w:cstheme="minorHAnsi"/>
          <w:b/>
          <w:bCs/>
          <w:i/>
          <w:iCs/>
          <w:sz w:val="22"/>
          <w:szCs w:val="22"/>
        </w:rPr>
        <w:t>pactuação interna de resultados</w:t>
      </w:r>
      <w:r w:rsidR="00735DC0" w:rsidRPr="0072678C">
        <w:rPr>
          <w:rFonts w:asciiTheme="minorHAnsi" w:hAnsiTheme="minorHAnsi" w:cstheme="minorHAnsi"/>
          <w:sz w:val="22"/>
          <w:szCs w:val="22"/>
        </w:rPr>
        <w:t xml:space="preserve">; </w:t>
      </w:r>
      <w:r w:rsidR="00735DC0" w:rsidRPr="0072678C">
        <w:rPr>
          <w:rFonts w:asciiTheme="minorHAnsi" w:hAnsiTheme="minorHAnsi" w:cstheme="minorHAnsi"/>
          <w:b/>
          <w:bCs/>
          <w:i/>
          <w:iCs/>
          <w:sz w:val="22"/>
          <w:szCs w:val="22"/>
        </w:rPr>
        <w:t>iniciativas de alinhamento e otimização dos processos de trabalho</w:t>
      </w:r>
      <w:r w:rsidR="00735DC0" w:rsidRPr="0072678C">
        <w:rPr>
          <w:rFonts w:asciiTheme="minorHAnsi" w:hAnsiTheme="minorHAnsi" w:cstheme="minorHAnsi"/>
          <w:sz w:val="22"/>
          <w:szCs w:val="22"/>
        </w:rPr>
        <w:t>; iniciativas de</w:t>
      </w:r>
      <w:r w:rsidR="00735DC0" w:rsidRPr="0072678C">
        <w:rPr>
          <w:rFonts w:asciiTheme="minorHAnsi" w:hAnsiTheme="minorHAnsi" w:cstheme="minorHAnsi"/>
          <w:b/>
          <w:bCs/>
          <w:i/>
          <w:iCs/>
          <w:sz w:val="22"/>
          <w:szCs w:val="22"/>
        </w:rPr>
        <w:t xml:space="preserve"> orientação estratégica das pessoas</w:t>
      </w:r>
      <w:r w:rsidR="00735DC0" w:rsidRPr="0072678C">
        <w:rPr>
          <w:rFonts w:asciiTheme="minorHAnsi" w:hAnsiTheme="minorHAnsi" w:cstheme="minorHAnsi"/>
          <w:sz w:val="22"/>
          <w:szCs w:val="22"/>
        </w:rPr>
        <w:t xml:space="preserve">; </w:t>
      </w:r>
      <w:r w:rsidR="00735DC0" w:rsidRPr="0072678C">
        <w:rPr>
          <w:rFonts w:asciiTheme="minorHAnsi" w:hAnsiTheme="minorHAnsi" w:cstheme="minorHAnsi"/>
          <w:b/>
          <w:bCs/>
          <w:i/>
          <w:iCs/>
          <w:sz w:val="22"/>
          <w:szCs w:val="22"/>
        </w:rPr>
        <w:t>compreensão do ambiente institucional</w:t>
      </w:r>
      <w:r w:rsidR="00735DC0" w:rsidRPr="0072678C">
        <w:rPr>
          <w:rFonts w:asciiTheme="minorHAnsi" w:hAnsiTheme="minorHAnsi" w:cstheme="minorHAnsi"/>
          <w:sz w:val="22"/>
          <w:szCs w:val="22"/>
        </w:rPr>
        <w:t xml:space="preserve">; </w:t>
      </w:r>
      <w:r w:rsidR="00735DC0" w:rsidRPr="0072678C">
        <w:rPr>
          <w:rFonts w:asciiTheme="minorHAnsi" w:hAnsiTheme="minorHAnsi" w:cstheme="minorHAnsi"/>
          <w:b/>
          <w:bCs/>
          <w:i/>
          <w:iCs/>
          <w:sz w:val="22"/>
          <w:szCs w:val="22"/>
        </w:rPr>
        <w:t>desdobramento da estratégia</w:t>
      </w:r>
      <w:r w:rsidR="00735DC0" w:rsidRPr="0072678C">
        <w:rPr>
          <w:rFonts w:asciiTheme="minorHAnsi" w:hAnsiTheme="minorHAnsi" w:cstheme="minorHAnsi"/>
          <w:sz w:val="22"/>
          <w:szCs w:val="22"/>
        </w:rPr>
        <w:t xml:space="preserve"> (horizontal e vertical); </w:t>
      </w:r>
      <w:r w:rsidR="00735DC0" w:rsidRPr="0072678C">
        <w:rPr>
          <w:rFonts w:asciiTheme="minorHAnsi" w:hAnsiTheme="minorHAnsi" w:cstheme="minorHAnsi"/>
          <w:b/>
          <w:bCs/>
          <w:i/>
          <w:iCs/>
          <w:sz w:val="22"/>
          <w:szCs w:val="22"/>
        </w:rPr>
        <w:t>iniciativas de alinhamento e otimização da estrutura organizacional</w:t>
      </w:r>
      <w:r w:rsidR="00735DC0" w:rsidRPr="0072678C">
        <w:rPr>
          <w:rFonts w:asciiTheme="minorHAnsi" w:hAnsiTheme="minorHAnsi" w:cstheme="minorHAnsi"/>
          <w:sz w:val="22"/>
          <w:szCs w:val="22"/>
        </w:rPr>
        <w:t xml:space="preserve">; </w:t>
      </w:r>
      <w:r w:rsidR="00042F7B" w:rsidRPr="0072678C">
        <w:rPr>
          <w:rFonts w:asciiTheme="minorHAnsi" w:hAnsiTheme="minorHAnsi" w:cstheme="minorHAnsi"/>
          <w:sz w:val="22"/>
          <w:szCs w:val="22"/>
        </w:rPr>
        <w:t xml:space="preserve">e </w:t>
      </w:r>
      <w:r w:rsidR="00735DC0" w:rsidRPr="0072678C">
        <w:rPr>
          <w:rFonts w:asciiTheme="minorHAnsi" w:hAnsiTheme="minorHAnsi" w:cstheme="minorHAnsi"/>
          <w:b/>
          <w:bCs/>
          <w:i/>
          <w:iCs/>
          <w:sz w:val="22"/>
          <w:szCs w:val="22"/>
        </w:rPr>
        <w:t>monitoramento e a avaliação das iniciativas e resultados</w:t>
      </w:r>
      <w:r w:rsidR="00042F7B" w:rsidRPr="0072678C">
        <w:rPr>
          <w:rFonts w:asciiTheme="minorHAnsi" w:hAnsiTheme="minorHAnsi" w:cstheme="minorHAnsi"/>
          <w:sz w:val="22"/>
          <w:szCs w:val="22"/>
        </w:rPr>
        <w:t>.</w:t>
      </w:r>
    </w:p>
    <w:p w:rsidR="00577509" w:rsidRPr="0072678C" w:rsidRDefault="00577509" w:rsidP="0063757F">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Outros 2 processos apresentam nível 2 de maturidade e atende a uma quantidade mediana de requisitos das boas práticas da MD-GEFIS: </w:t>
      </w:r>
      <w:r w:rsidRPr="0072678C">
        <w:rPr>
          <w:rFonts w:asciiTheme="minorHAnsi" w:hAnsiTheme="minorHAnsi" w:cstheme="minorHAnsi"/>
          <w:b/>
          <w:bCs/>
          <w:i/>
          <w:iCs/>
          <w:sz w:val="22"/>
          <w:szCs w:val="22"/>
        </w:rPr>
        <w:t>propósito organizacional</w:t>
      </w:r>
      <w:r w:rsidRPr="0072678C">
        <w:rPr>
          <w:rFonts w:asciiTheme="minorHAnsi" w:hAnsiTheme="minorHAnsi" w:cstheme="minorHAnsi"/>
          <w:sz w:val="22"/>
          <w:szCs w:val="22"/>
        </w:rPr>
        <w:t xml:space="preserve"> (missão, visão e valores); e</w:t>
      </w:r>
      <w:r w:rsidRPr="0072678C">
        <w:rPr>
          <w:rFonts w:asciiTheme="minorHAnsi" w:hAnsiTheme="minorHAnsi" w:cstheme="minorHAnsi"/>
          <w:b/>
          <w:bCs/>
          <w:i/>
          <w:iCs/>
          <w:sz w:val="22"/>
          <w:szCs w:val="22"/>
        </w:rPr>
        <w:t xml:space="preserve"> pactuação externa de resultados.</w:t>
      </w:r>
    </w:p>
    <w:p w:rsidR="00735DC0" w:rsidRPr="0072678C" w:rsidRDefault="00577509" w:rsidP="0063757F">
      <w:pPr>
        <w:spacing w:before="240" w:after="240"/>
        <w:jc w:val="both"/>
        <w:rPr>
          <w:rFonts w:asciiTheme="minorHAnsi" w:hAnsiTheme="minorHAnsi" w:cstheme="minorHAnsi"/>
          <w:b/>
          <w:bCs/>
          <w:i/>
          <w:iCs/>
          <w:sz w:val="22"/>
          <w:szCs w:val="22"/>
        </w:rPr>
      </w:pPr>
      <w:r w:rsidRPr="0072678C">
        <w:rPr>
          <w:rFonts w:asciiTheme="minorHAnsi" w:hAnsiTheme="minorHAnsi" w:cstheme="minorHAnsi"/>
          <w:sz w:val="22"/>
          <w:szCs w:val="22"/>
        </w:rPr>
        <w:t xml:space="preserve">Por fim, </w:t>
      </w:r>
      <w:proofErr w:type="gramStart"/>
      <w:r w:rsidR="00042F7B" w:rsidRPr="0072678C">
        <w:rPr>
          <w:rFonts w:asciiTheme="minorHAnsi" w:hAnsiTheme="minorHAnsi" w:cstheme="minorHAnsi"/>
          <w:sz w:val="22"/>
          <w:szCs w:val="22"/>
        </w:rPr>
        <w:t>3 processo</w:t>
      </w:r>
      <w:proofErr w:type="gramEnd"/>
      <w:r w:rsidR="00042F7B" w:rsidRPr="0072678C">
        <w:rPr>
          <w:rFonts w:asciiTheme="minorHAnsi" w:hAnsiTheme="minorHAnsi" w:cstheme="minorHAnsi"/>
          <w:sz w:val="22"/>
          <w:szCs w:val="22"/>
        </w:rPr>
        <w:t xml:space="preserve"> obtiveram nível 3 de maturidade, ou seja, atendem um número alto de </w:t>
      </w:r>
      <w:r w:rsidR="009B231A" w:rsidRPr="0072678C">
        <w:rPr>
          <w:rFonts w:asciiTheme="minorHAnsi" w:hAnsiTheme="minorHAnsi" w:cstheme="minorHAnsi"/>
          <w:sz w:val="22"/>
          <w:szCs w:val="22"/>
        </w:rPr>
        <w:t>requisitos</w:t>
      </w:r>
      <w:r w:rsidR="00042F7B" w:rsidRPr="0072678C">
        <w:rPr>
          <w:rFonts w:asciiTheme="minorHAnsi" w:hAnsiTheme="minorHAnsi" w:cstheme="minorHAnsi"/>
          <w:sz w:val="22"/>
          <w:szCs w:val="22"/>
        </w:rPr>
        <w:t xml:space="preserve"> das boas práticas da MD-GEFIS: </w:t>
      </w:r>
      <w:r w:rsidR="00042F7B" w:rsidRPr="0072678C">
        <w:rPr>
          <w:rFonts w:asciiTheme="minorHAnsi" w:hAnsiTheme="minorHAnsi" w:cstheme="minorHAnsi"/>
          <w:b/>
          <w:bCs/>
          <w:i/>
          <w:iCs/>
          <w:sz w:val="22"/>
          <w:szCs w:val="22"/>
        </w:rPr>
        <w:t>iniciativas de alinhamento da TI; iniciativas de alinhamento do orçamento; e propostas de implementação da estratégia</w:t>
      </w:r>
    </w:p>
    <w:p w:rsidR="00B75060" w:rsidRPr="009B231A" w:rsidRDefault="00E61E32" w:rsidP="002A5A9F">
      <w:pPr>
        <w:jc w:val="both"/>
        <w:rPr>
          <w:rFonts w:asciiTheme="minorHAnsi" w:hAnsiTheme="minorHAnsi" w:cstheme="minorHAnsi"/>
          <w:sz w:val="22"/>
          <w:szCs w:val="22"/>
        </w:rPr>
      </w:pPr>
      <w:r w:rsidRPr="0072678C">
        <w:rPr>
          <w:rFonts w:asciiTheme="minorHAnsi" w:hAnsiTheme="minorHAnsi" w:cstheme="minorHAnsi"/>
          <w:sz w:val="22"/>
          <w:szCs w:val="22"/>
        </w:rPr>
        <w:t>O</w:t>
      </w:r>
      <w:r w:rsidR="00B83728" w:rsidRPr="0072678C">
        <w:rPr>
          <w:rFonts w:asciiTheme="minorHAnsi" w:hAnsiTheme="minorHAnsi" w:cstheme="minorHAnsi"/>
          <w:sz w:val="22"/>
          <w:szCs w:val="22"/>
        </w:rPr>
        <w:t xml:space="preserve"> processo</w:t>
      </w:r>
      <w:r w:rsidR="00B83728" w:rsidRPr="0072678C">
        <w:rPr>
          <w:rFonts w:asciiTheme="minorHAnsi" w:hAnsiTheme="minorHAnsi" w:cstheme="minorHAnsi"/>
          <w:b/>
          <w:bCs/>
          <w:i/>
          <w:iCs/>
          <w:sz w:val="22"/>
          <w:szCs w:val="22"/>
        </w:rPr>
        <w:t xml:space="preserve"> </w:t>
      </w:r>
      <w:r w:rsidRPr="0072678C">
        <w:rPr>
          <w:rFonts w:asciiTheme="minorHAnsi" w:hAnsiTheme="minorHAnsi" w:cstheme="minorHAnsi"/>
          <w:b/>
          <w:bCs/>
          <w:i/>
          <w:iCs/>
          <w:sz w:val="22"/>
          <w:szCs w:val="22"/>
        </w:rPr>
        <w:t>iniciativas de alinhamento da TI</w:t>
      </w:r>
      <w:r w:rsidRPr="0072678C">
        <w:rPr>
          <w:rFonts w:asciiTheme="minorHAnsi" w:hAnsiTheme="minorHAnsi" w:cstheme="minorHAnsi"/>
          <w:sz w:val="22"/>
          <w:szCs w:val="22"/>
        </w:rPr>
        <w:t xml:space="preserve"> obteve nível 3</w:t>
      </w:r>
      <w:r w:rsidR="0090778E" w:rsidRPr="0072678C">
        <w:rPr>
          <w:rFonts w:asciiTheme="minorHAnsi" w:hAnsiTheme="minorHAnsi" w:cstheme="minorHAnsi"/>
          <w:sz w:val="22"/>
          <w:szCs w:val="22"/>
        </w:rPr>
        <w:t xml:space="preserve"> </w:t>
      </w:r>
      <w:r w:rsidRPr="0072678C">
        <w:rPr>
          <w:rFonts w:asciiTheme="minorHAnsi" w:hAnsiTheme="minorHAnsi" w:cstheme="minorHAnsi"/>
          <w:sz w:val="22"/>
          <w:szCs w:val="22"/>
        </w:rPr>
        <w:t>de maturidade, ou seja, atende a</w:t>
      </w:r>
      <w:r w:rsidR="00B83728" w:rsidRPr="0072678C">
        <w:rPr>
          <w:rFonts w:asciiTheme="minorHAnsi" w:hAnsiTheme="minorHAnsi" w:cstheme="minorHAnsi"/>
          <w:sz w:val="22"/>
          <w:szCs w:val="22"/>
        </w:rPr>
        <w:t xml:space="preserve"> todos os 5</w:t>
      </w:r>
      <w:r w:rsidRPr="0072678C">
        <w:rPr>
          <w:rFonts w:asciiTheme="minorHAnsi" w:hAnsiTheme="minorHAnsi" w:cstheme="minorHAnsi"/>
          <w:sz w:val="22"/>
          <w:szCs w:val="22"/>
        </w:rPr>
        <w:t xml:space="preserve"> requisitos das boas práticas da MD-GEFIS: A SEFAZ/SP elabora o planejamento da tecnologia da informação alinhado com o plano estratégico </w:t>
      </w:r>
      <w:r w:rsidR="0090778E" w:rsidRPr="0072678C">
        <w:rPr>
          <w:rFonts w:asciiTheme="minorHAnsi" w:hAnsiTheme="minorHAnsi" w:cstheme="minorHAnsi"/>
          <w:sz w:val="22"/>
          <w:szCs w:val="22"/>
        </w:rPr>
        <w:t>organizacional</w:t>
      </w:r>
      <w:r w:rsidR="005C4E03" w:rsidRPr="0072678C">
        <w:rPr>
          <w:rFonts w:asciiTheme="minorHAnsi" w:hAnsiTheme="minorHAnsi" w:cstheme="minorHAnsi"/>
          <w:sz w:val="22"/>
          <w:szCs w:val="22"/>
          <w:vertAlign w:val="superscript"/>
        </w:rPr>
        <w:footnoteReference w:id="22"/>
      </w:r>
      <w:r w:rsidR="005C4E03" w:rsidRPr="0072678C">
        <w:rPr>
          <w:rFonts w:asciiTheme="minorHAnsi" w:hAnsiTheme="minorHAnsi" w:cstheme="minorHAnsi"/>
          <w:sz w:val="22"/>
          <w:szCs w:val="22"/>
        </w:rPr>
        <w:t xml:space="preserve">;  adéqua </w:t>
      </w:r>
      <w:r w:rsidRPr="0072678C">
        <w:rPr>
          <w:rFonts w:asciiTheme="minorHAnsi" w:hAnsiTheme="minorHAnsi" w:cstheme="minorHAnsi"/>
          <w:sz w:val="22"/>
          <w:szCs w:val="22"/>
        </w:rPr>
        <w:t xml:space="preserve">a arquitetura de tecnologia da informação à estratégia e direciona o fornecimento de informação </w:t>
      </w:r>
      <w:r w:rsidRPr="0072678C">
        <w:rPr>
          <w:rFonts w:asciiTheme="minorHAnsi" w:hAnsiTheme="minorHAnsi" w:cstheme="minorHAnsi"/>
          <w:sz w:val="22"/>
          <w:szCs w:val="22"/>
        </w:rPr>
        <w:lastRenderedPageBreak/>
        <w:t>para as necessidades d</w:t>
      </w:r>
      <w:r w:rsidR="005C4E03" w:rsidRPr="0072678C">
        <w:rPr>
          <w:rFonts w:asciiTheme="minorHAnsi" w:hAnsiTheme="minorHAnsi" w:cstheme="minorHAnsi"/>
          <w:sz w:val="22"/>
          <w:szCs w:val="22"/>
        </w:rPr>
        <w:t xml:space="preserve">os gestores, dos </w:t>
      </w:r>
      <w:r w:rsidRPr="0072678C">
        <w:rPr>
          <w:rFonts w:asciiTheme="minorHAnsi" w:hAnsiTheme="minorHAnsi" w:cstheme="minorHAnsi"/>
          <w:sz w:val="22"/>
          <w:szCs w:val="22"/>
        </w:rPr>
        <w:t>interessadas e objetivos estratégicos</w:t>
      </w:r>
      <w:r w:rsidR="005C4E03" w:rsidRPr="0072678C">
        <w:rPr>
          <w:rFonts w:asciiTheme="minorHAnsi" w:hAnsiTheme="minorHAnsi" w:cstheme="minorHAnsi"/>
          <w:sz w:val="22"/>
          <w:szCs w:val="22"/>
          <w:vertAlign w:val="superscript"/>
        </w:rPr>
        <w:footnoteReference w:id="23"/>
      </w:r>
      <w:r w:rsidR="005C4E03" w:rsidRPr="0072678C">
        <w:rPr>
          <w:rFonts w:asciiTheme="minorHAnsi" w:hAnsiTheme="minorHAnsi" w:cstheme="minorHAnsi"/>
          <w:sz w:val="22"/>
          <w:szCs w:val="22"/>
        </w:rPr>
        <w:t>; utiliza m</w:t>
      </w:r>
      <w:r w:rsidRPr="0072678C">
        <w:rPr>
          <w:rFonts w:asciiTheme="minorHAnsi" w:hAnsiTheme="minorHAnsi" w:cstheme="minorHAnsi"/>
          <w:sz w:val="22"/>
          <w:szCs w:val="22"/>
        </w:rPr>
        <w:t xml:space="preserve">ecanismos informacionais para coleta, tratamento e guarda de informações para apoiar as operações diárias, acompanha as estratégias e o progresso dos planos de ação e subsidia a tomada de decisão nos </w:t>
      </w:r>
      <w:r w:rsidRPr="009B231A">
        <w:rPr>
          <w:rFonts w:asciiTheme="minorHAnsi" w:hAnsiTheme="minorHAnsi" w:cstheme="minorHAnsi"/>
          <w:sz w:val="22"/>
          <w:szCs w:val="22"/>
        </w:rPr>
        <w:t>níveis estratégico, tático e operacional  da</w:t>
      </w:r>
      <w:r w:rsidRPr="009B231A">
        <w:rPr>
          <w:rFonts w:ascii="Segoe UI Light" w:hAnsi="Segoe UI Light" w:cs="Segoe UI Light"/>
          <w:sz w:val="22"/>
          <w:szCs w:val="22"/>
        </w:rPr>
        <w:t xml:space="preserve"> </w:t>
      </w:r>
      <w:r w:rsidRPr="009B231A">
        <w:rPr>
          <w:rFonts w:asciiTheme="minorHAnsi" w:hAnsiTheme="minorHAnsi" w:cstheme="minorHAnsi"/>
          <w:sz w:val="22"/>
          <w:szCs w:val="22"/>
        </w:rPr>
        <w:t>organização</w:t>
      </w:r>
      <w:r w:rsidR="002A5A9F" w:rsidRPr="009B231A">
        <w:rPr>
          <w:rFonts w:asciiTheme="minorHAnsi" w:hAnsiTheme="minorHAnsi" w:cstheme="minorHAnsi"/>
          <w:sz w:val="22"/>
          <w:szCs w:val="22"/>
        </w:rPr>
        <w:t xml:space="preserve"> (</w:t>
      </w:r>
      <w:r w:rsidRPr="009B231A">
        <w:rPr>
          <w:rFonts w:asciiTheme="minorHAnsi" w:hAnsiTheme="minorHAnsi" w:cstheme="minorHAnsi"/>
          <w:sz w:val="22"/>
          <w:szCs w:val="22"/>
        </w:rPr>
        <w:t xml:space="preserve">DW - </w:t>
      </w:r>
      <w:proofErr w:type="spellStart"/>
      <w:r w:rsidRPr="009B231A">
        <w:rPr>
          <w:rFonts w:asciiTheme="minorHAnsi" w:hAnsiTheme="minorHAnsi" w:cstheme="minorHAnsi"/>
          <w:sz w:val="22"/>
          <w:szCs w:val="22"/>
        </w:rPr>
        <w:t>Bussiness</w:t>
      </w:r>
      <w:proofErr w:type="spellEnd"/>
      <w:r w:rsidRPr="009B231A">
        <w:rPr>
          <w:rFonts w:asciiTheme="minorHAnsi" w:hAnsiTheme="minorHAnsi" w:cstheme="minorHAnsi"/>
          <w:sz w:val="22"/>
          <w:szCs w:val="22"/>
        </w:rPr>
        <w:t xml:space="preserve"> </w:t>
      </w:r>
      <w:proofErr w:type="spellStart"/>
      <w:r w:rsidRPr="009B231A">
        <w:rPr>
          <w:rFonts w:asciiTheme="minorHAnsi" w:hAnsiTheme="minorHAnsi" w:cstheme="minorHAnsi"/>
          <w:sz w:val="22"/>
          <w:szCs w:val="22"/>
        </w:rPr>
        <w:t>Intelligence</w:t>
      </w:r>
      <w:proofErr w:type="spellEnd"/>
      <w:r w:rsidR="002A5A9F" w:rsidRPr="009B231A">
        <w:rPr>
          <w:rFonts w:asciiTheme="minorHAnsi" w:hAnsiTheme="minorHAnsi" w:cstheme="minorHAnsi"/>
          <w:sz w:val="22"/>
          <w:szCs w:val="22"/>
        </w:rPr>
        <w:t xml:space="preserve">); comunica e provê </w:t>
      </w:r>
      <w:r w:rsidRPr="009B231A">
        <w:rPr>
          <w:rFonts w:asciiTheme="minorHAnsi" w:hAnsiTheme="minorHAnsi" w:cstheme="minorHAnsi"/>
          <w:sz w:val="22"/>
          <w:szCs w:val="22"/>
        </w:rPr>
        <w:t>serviços on-line aos servidores, cidadãos e partes interessadas</w:t>
      </w:r>
      <w:r w:rsidRPr="009B231A">
        <w:rPr>
          <w:rFonts w:asciiTheme="minorHAnsi" w:hAnsiTheme="minorHAnsi" w:cstheme="minorHAnsi"/>
          <w:sz w:val="22"/>
          <w:szCs w:val="22"/>
        </w:rPr>
        <w:tab/>
      </w:r>
      <w:r w:rsidR="002A5A9F" w:rsidRPr="009B231A">
        <w:rPr>
          <w:rFonts w:asciiTheme="minorHAnsi" w:hAnsiTheme="minorHAnsi" w:cstheme="minorHAnsi"/>
          <w:sz w:val="22"/>
          <w:szCs w:val="22"/>
        </w:rPr>
        <w:t>nos s</w:t>
      </w:r>
      <w:r w:rsidRPr="009B231A">
        <w:rPr>
          <w:rFonts w:asciiTheme="minorHAnsi" w:hAnsiTheme="minorHAnsi" w:cstheme="minorHAnsi"/>
          <w:sz w:val="22"/>
          <w:szCs w:val="22"/>
        </w:rPr>
        <w:t>erviços</w:t>
      </w:r>
      <w:r w:rsidR="002A5A9F" w:rsidRPr="009B231A">
        <w:rPr>
          <w:rStyle w:val="FootnoteReference"/>
          <w:rFonts w:asciiTheme="minorHAnsi" w:hAnsiTheme="minorHAnsi" w:cstheme="minorHAnsi"/>
          <w:sz w:val="22"/>
          <w:szCs w:val="22"/>
        </w:rPr>
        <w:footnoteReference w:id="24"/>
      </w:r>
      <w:r w:rsidR="002A5A9F" w:rsidRPr="009B231A">
        <w:rPr>
          <w:rFonts w:asciiTheme="minorHAnsi" w:hAnsiTheme="minorHAnsi" w:cstheme="minorHAnsi"/>
          <w:sz w:val="22"/>
          <w:szCs w:val="22"/>
        </w:rPr>
        <w:t xml:space="preserve">. No </w:t>
      </w:r>
      <w:r w:rsidRPr="009B231A">
        <w:rPr>
          <w:rFonts w:asciiTheme="minorHAnsi" w:hAnsiTheme="minorHAnsi" w:cstheme="minorHAnsi"/>
          <w:sz w:val="22"/>
          <w:szCs w:val="22"/>
        </w:rPr>
        <w:t xml:space="preserve">Portal da </w:t>
      </w:r>
      <w:r w:rsidR="002A5A9F" w:rsidRPr="009B231A">
        <w:rPr>
          <w:rFonts w:asciiTheme="minorHAnsi" w:hAnsiTheme="minorHAnsi" w:cstheme="minorHAnsi"/>
          <w:sz w:val="22"/>
          <w:szCs w:val="22"/>
        </w:rPr>
        <w:t xml:space="preserve">SEFAZ/SP </w:t>
      </w:r>
      <w:r w:rsidRPr="009B231A">
        <w:rPr>
          <w:rFonts w:asciiTheme="minorHAnsi" w:hAnsiTheme="minorHAnsi" w:cstheme="minorHAnsi"/>
          <w:sz w:val="22"/>
          <w:szCs w:val="22"/>
        </w:rPr>
        <w:t>os serviços estão disponíveis nos links "CIDADÃO" e "EMPRESA"</w:t>
      </w:r>
      <w:r w:rsidR="00B83728" w:rsidRPr="009B231A">
        <w:rPr>
          <w:rFonts w:asciiTheme="minorHAnsi" w:hAnsiTheme="minorHAnsi" w:cstheme="minorHAnsi"/>
          <w:sz w:val="22"/>
          <w:szCs w:val="22"/>
        </w:rPr>
        <w:t>. No link "ACESSO À INFORMAÇÃO"; e a</w:t>
      </w:r>
      <w:r w:rsidRPr="009B231A">
        <w:rPr>
          <w:rFonts w:asciiTheme="minorHAnsi" w:hAnsiTheme="minorHAnsi" w:cstheme="minorHAnsi"/>
          <w:sz w:val="22"/>
          <w:szCs w:val="22"/>
        </w:rPr>
        <w:t>nalisam o custo-benefício, retorno do investimento ou qualquer outra medida de valor para os projetos de tecnologia da informação</w:t>
      </w:r>
      <w:r w:rsidR="00B83728" w:rsidRPr="009B231A">
        <w:rPr>
          <w:rStyle w:val="FootnoteReference"/>
          <w:rFonts w:asciiTheme="minorHAnsi" w:hAnsiTheme="minorHAnsi" w:cstheme="minorHAnsi"/>
          <w:sz w:val="22"/>
          <w:szCs w:val="22"/>
        </w:rPr>
        <w:footnoteReference w:id="25"/>
      </w:r>
      <w:r w:rsidR="00B83728" w:rsidRPr="009B231A">
        <w:rPr>
          <w:rFonts w:asciiTheme="minorHAnsi" w:hAnsiTheme="minorHAnsi" w:cstheme="minorHAnsi"/>
          <w:sz w:val="22"/>
          <w:szCs w:val="22"/>
        </w:rPr>
        <w:t xml:space="preserve">. </w:t>
      </w:r>
      <w:r w:rsidRPr="009B231A">
        <w:rPr>
          <w:rFonts w:asciiTheme="minorHAnsi" w:hAnsiTheme="minorHAnsi" w:cstheme="minorHAnsi"/>
          <w:sz w:val="22"/>
          <w:szCs w:val="22"/>
        </w:rPr>
        <w:t xml:space="preserve">     </w:t>
      </w:r>
    </w:p>
    <w:p w:rsidR="00B75060" w:rsidRPr="009B231A" w:rsidRDefault="00B75060" w:rsidP="002A5A9F">
      <w:pPr>
        <w:jc w:val="both"/>
        <w:rPr>
          <w:rFonts w:asciiTheme="minorHAnsi" w:hAnsiTheme="minorHAnsi" w:cstheme="minorHAnsi"/>
          <w:sz w:val="22"/>
          <w:szCs w:val="22"/>
        </w:rPr>
      </w:pPr>
    </w:p>
    <w:p w:rsidR="002C4C46" w:rsidRPr="009B231A" w:rsidRDefault="00B75060" w:rsidP="00B75060">
      <w:pPr>
        <w:shd w:val="clear" w:color="auto" w:fill="FFFFFF" w:themeFill="background1"/>
        <w:jc w:val="both"/>
        <w:rPr>
          <w:rFonts w:asciiTheme="minorHAnsi" w:hAnsiTheme="minorHAnsi" w:cstheme="minorHAnsi"/>
          <w:sz w:val="22"/>
          <w:szCs w:val="22"/>
        </w:rPr>
      </w:pPr>
      <w:r w:rsidRPr="009B231A">
        <w:rPr>
          <w:rFonts w:asciiTheme="minorHAnsi" w:hAnsiTheme="minorHAnsi" w:cstheme="minorHAnsi"/>
          <w:sz w:val="22"/>
          <w:szCs w:val="22"/>
        </w:rPr>
        <w:t>Apesar do nível 3 de maturidade</w:t>
      </w:r>
      <w:r w:rsidR="002C4C46" w:rsidRPr="009B231A">
        <w:rPr>
          <w:rFonts w:asciiTheme="minorHAnsi" w:hAnsiTheme="minorHAnsi" w:cstheme="minorHAnsi"/>
          <w:sz w:val="22"/>
          <w:szCs w:val="22"/>
        </w:rPr>
        <w:t xml:space="preserve"> e dos investimentos constantes em TI</w:t>
      </w:r>
      <w:r w:rsidRPr="009B231A">
        <w:rPr>
          <w:rFonts w:asciiTheme="minorHAnsi" w:hAnsiTheme="minorHAnsi" w:cstheme="minorHAnsi"/>
          <w:sz w:val="22"/>
          <w:szCs w:val="22"/>
        </w:rPr>
        <w:t xml:space="preserve">, ainda, existem problemas relacionados com </w:t>
      </w:r>
      <w:r w:rsidR="002C4C46" w:rsidRPr="009B231A">
        <w:rPr>
          <w:rFonts w:asciiTheme="minorHAnsi" w:hAnsiTheme="minorHAnsi" w:cstheme="minorHAnsi"/>
          <w:sz w:val="22"/>
          <w:szCs w:val="22"/>
        </w:rPr>
        <w:t xml:space="preserve">a governança devido </w:t>
      </w:r>
      <w:r w:rsidR="009B231A" w:rsidRPr="009B231A">
        <w:rPr>
          <w:rFonts w:asciiTheme="minorHAnsi" w:hAnsiTheme="minorHAnsi" w:cstheme="minorHAnsi"/>
          <w:sz w:val="22"/>
          <w:szCs w:val="22"/>
        </w:rPr>
        <w:t>à</w:t>
      </w:r>
      <w:r w:rsidR="002C4C46" w:rsidRPr="009B231A">
        <w:rPr>
          <w:rFonts w:asciiTheme="minorHAnsi" w:hAnsiTheme="minorHAnsi" w:cstheme="minorHAnsi"/>
          <w:sz w:val="22"/>
          <w:szCs w:val="22"/>
        </w:rPr>
        <w:t xml:space="preserve"> baixa cultura de governança corporativa de TI e a falta de uma ferramenta que possa apoiar este processo.</w:t>
      </w:r>
    </w:p>
    <w:p w:rsidR="002C4C46" w:rsidRPr="0072678C" w:rsidRDefault="002C4C46" w:rsidP="00B917C9">
      <w:pPr>
        <w:jc w:val="both"/>
        <w:rPr>
          <w:rFonts w:asciiTheme="minorHAnsi" w:hAnsiTheme="minorHAnsi" w:cstheme="minorHAnsi"/>
          <w:sz w:val="22"/>
          <w:szCs w:val="22"/>
        </w:rPr>
      </w:pPr>
    </w:p>
    <w:p w:rsidR="006C0AB1" w:rsidRPr="0072678C" w:rsidRDefault="006C0AB1" w:rsidP="00B917C9">
      <w:pPr>
        <w:jc w:val="both"/>
        <w:rPr>
          <w:rFonts w:asciiTheme="minorHAnsi" w:hAnsiTheme="minorHAnsi" w:cstheme="minorHAnsi"/>
          <w:sz w:val="22"/>
          <w:szCs w:val="22"/>
        </w:rPr>
      </w:pPr>
      <w:proofErr w:type="gramStart"/>
      <w:r w:rsidRPr="0072678C">
        <w:rPr>
          <w:rFonts w:asciiTheme="minorHAnsi" w:hAnsiTheme="minorHAnsi" w:cstheme="minorHAnsi"/>
          <w:sz w:val="22"/>
          <w:szCs w:val="22"/>
        </w:rPr>
        <w:t xml:space="preserve">As </w:t>
      </w:r>
      <w:r w:rsidRPr="0072678C">
        <w:rPr>
          <w:rFonts w:asciiTheme="minorHAnsi" w:hAnsiTheme="minorHAnsi" w:cstheme="minorHAnsi"/>
          <w:b/>
          <w:bCs/>
          <w:i/>
          <w:iCs/>
          <w:sz w:val="22"/>
          <w:szCs w:val="22"/>
        </w:rPr>
        <w:t>iniciativas de alinhamento do orçamento</w:t>
      </w:r>
      <w:r w:rsidRPr="0072678C">
        <w:rPr>
          <w:rFonts w:asciiTheme="minorHAnsi" w:hAnsiTheme="minorHAnsi" w:cstheme="minorHAnsi"/>
          <w:sz w:val="22"/>
          <w:szCs w:val="22"/>
        </w:rPr>
        <w:t xml:space="preserve"> obteve</w:t>
      </w:r>
      <w:proofErr w:type="gramEnd"/>
      <w:r w:rsidRPr="0072678C">
        <w:rPr>
          <w:rFonts w:asciiTheme="minorHAnsi" w:hAnsiTheme="minorHAnsi" w:cstheme="minorHAnsi"/>
          <w:sz w:val="22"/>
          <w:szCs w:val="22"/>
        </w:rPr>
        <w:t xml:space="preserve"> nível 3 de maturidade, ou seja, atende a todos os 4 requisitos das boas práticas da MD-GEFIS: </w:t>
      </w:r>
      <w:r w:rsidR="00F840E1" w:rsidRPr="0072678C">
        <w:rPr>
          <w:rFonts w:asciiTheme="minorHAnsi" w:hAnsiTheme="minorHAnsi" w:cstheme="minorHAnsi"/>
          <w:sz w:val="22"/>
          <w:szCs w:val="22"/>
        </w:rPr>
        <w:t xml:space="preserve">Para tanto, a </w:t>
      </w:r>
      <w:r w:rsidRPr="0072678C">
        <w:rPr>
          <w:rFonts w:asciiTheme="minorHAnsi" w:hAnsiTheme="minorHAnsi" w:cstheme="minorHAnsi"/>
          <w:sz w:val="22"/>
          <w:szCs w:val="22"/>
        </w:rPr>
        <w:t>SEFAZ/SP apresenta proposta orçamentária alinhada e pautada pela estratégia organizacional. As propostas orçamentárias estão vinculadas ao PPA 2016-2019 do Estado, o Planejamento Estratégico 2020 da SEFAZ/SP têm seus Objetivos Estratégicos também em consonância com o mesmo Plano Plurianual</w:t>
      </w:r>
      <w:r w:rsidR="00F840E1" w:rsidRPr="0072678C">
        <w:rPr>
          <w:rFonts w:asciiTheme="minorHAnsi" w:hAnsiTheme="minorHAnsi" w:cstheme="minorHAnsi"/>
          <w:sz w:val="22"/>
          <w:szCs w:val="22"/>
          <w:vertAlign w:val="superscript"/>
        </w:rPr>
        <w:footnoteReference w:id="26"/>
      </w:r>
      <w:r w:rsidR="00F840E1" w:rsidRPr="0072678C">
        <w:rPr>
          <w:rFonts w:asciiTheme="minorHAnsi" w:hAnsiTheme="minorHAnsi" w:cstheme="minorHAnsi"/>
          <w:sz w:val="22"/>
          <w:szCs w:val="22"/>
        </w:rPr>
        <w:t xml:space="preserve">; </w:t>
      </w:r>
      <w:r w:rsidR="00B917C9" w:rsidRPr="0072678C">
        <w:rPr>
          <w:rFonts w:asciiTheme="minorHAnsi" w:hAnsiTheme="minorHAnsi" w:cstheme="minorHAnsi"/>
          <w:sz w:val="22"/>
          <w:szCs w:val="22"/>
        </w:rPr>
        <w:t xml:space="preserve">o </w:t>
      </w:r>
      <w:r w:rsidRPr="0072678C">
        <w:rPr>
          <w:rFonts w:asciiTheme="minorHAnsi" w:hAnsiTheme="minorHAnsi" w:cstheme="minorHAnsi"/>
          <w:sz w:val="22"/>
          <w:szCs w:val="22"/>
        </w:rPr>
        <w:t xml:space="preserve">gerenciamento e </w:t>
      </w:r>
      <w:r w:rsidR="002D1F8F" w:rsidRPr="0072678C">
        <w:rPr>
          <w:rFonts w:asciiTheme="minorHAnsi" w:hAnsiTheme="minorHAnsi" w:cstheme="minorHAnsi"/>
          <w:sz w:val="22"/>
          <w:szCs w:val="22"/>
        </w:rPr>
        <w:t xml:space="preserve">o </w:t>
      </w:r>
      <w:r w:rsidRPr="0072678C">
        <w:rPr>
          <w:rFonts w:asciiTheme="minorHAnsi" w:hAnsiTheme="minorHAnsi" w:cstheme="minorHAnsi"/>
          <w:sz w:val="22"/>
          <w:szCs w:val="22"/>
        </w:rPr>
        <w:t xml:space="preserve">monitoramento </w:t>
      </w:r>
      <w:r w:rsidR="00B917C9" w:rsidRPr="0072678C">
        <w:rPr>
          <w:rFonts w:asciiTheme="minorHAnsi" w:hAnsiTheme="minorHAnsi" w:cstheme="minorHAnsi"/>
          <w:sz w:val="22"/>
          <w:szCs w:val="22"/>
        </w:rPr>
        <w:t xml:space="preserve">orçamentários e financeiros </w:t>
      </w:r>
      <w:r w:rsidRPr="0072678C">
        <w:rPr>
          <w:rFonts w:asciiTheme="minorHAnsi" w:hAnsiTheme="minorHAnsi" w:cstheme="minorHAnsi"/>
          <w:sz w:val="22"/>
          <w:szCs w:val="22"/>
        </w:rPr>
        <w:t>são efetuados pelo COC - Centro de Orçamento e Custos, vinculado ao Departamento</w:t>
      </w:r>
      <w:r w:rsidR="002D1F8F" w:rsidRPr="0072678C">
        <w:rPr>
          <w:rFonts w:asciiTheme="minorHAnsi" w:hAnsiTheme="minorHAnsi" w:cstheme="minorHAnsi"/>
          <w:sz w:val="22"/>
          <w:szCs w:val="22"/>
        </w:rPr>
        <w:t xml:space="preserve"> </w:t>
      </w:r>
      <w:r w:rsidRPr="0072678C">
        <w:rPr>
          <w:rFonts w:asciiTheme="minorHAnsi" w:hAnsiTheme="minorHAnsi" w:cstheme="minorHAnsi"/>
          <w:sz w:val="22"/>
          <w:szCs w:val="22"/>
        </w:rPr>
        <w:t>de Orçamento e Finanças.</w:t>
      </w:r>
      <w:r w:rsidR="00F840E1"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O COC têm como atribuição, conforme o </w:t>
      </w:r>
      <w:proofErr w:type="spellStart"/>
      <w:r w:rsidRPr="0072678C">
        <w:rPr>
          <w:rFonts w:asciiTheme="minorHAnsi" w:hAnsiTheme="minorHAnsi" w:cstheme="minorHAnsi"/>
          <w:sz w:val="22"/>
          <w:szCs w:val="22"/>
        </w:rPr>
        <w:t>art</w:t>
      </w:r>
      <w:proofErr w:type="spellEnd"/>
      <w:r w:rsidRPr="0072678C">
        <w:rPr>
          <w:rFonts w:asciiTheme="minorHAnsi" w:hAnsiTheme="minorHAnsi" w:cstheme="minorHAnsi"/>
          <w:sz w:val="22"/>
          <w:szCs w:val="22"/>
        </w:rPr>
        <w:t xml:space="preserve"> 127 do D</w:t>
      </w:r>
      <w:r w:rsidR="00B917C9" w:rsidRPr="0072678C">
        <w:rPr>
          <w:rFonts w:asciiTheme="minorHAnsi" w:hAnsiTheme="minorHAnsi" w:cstheme="minorHAnsi"/>
          <w:sz w:val="22"/>
          <w:szCs w:val="22"/>
        </w:rPr>
        <w:t>ecreto</w:t>
      </w:r>
      <w:r w:rsidRPr="0072678C">
        <w:rPr>
          <w:rFonts w:asciiTheme="minorHAnsi" w:hAnsiTheme="minorHAnsi" w:cstheme="minorHAnsi"/>
          <w:sz w:val="22"/>
          <w:szCs w:val="22"/>
        </w:rPr>
        <w:t xml:space="preserve"> Nº </w:t>
      </w:r>
      <w:proofErr w:type="gramStart"/>
      <w:r w:rsidRPr="0072678C">
        <w:rPr>
          <w:rFonts w:asciiTheme="minorHAnsi" w:hAnsiTheme="minorHAnsi" w:cstheme="minorHAnsi"/>
          <w:sz w:val="22"/>
          <w:szCs w:val="22"/>
        </w:rPr>
        <w:t>60.812  acompanhar</w:t>
      </w:r>
      <w:proofErr w:type="gramEnd"/>
      <w:r w:rsidRPr="0072678C">
        <w:rPr>
          <w:rFonts w:asciiTheme="minorHAnsi" w:hAnsiTheme="minorHAnsi" w:cstheme="minorHAnsi"/>
          <w:sz w:val="22"/>
          <w:szCs w:val="22"/>
        </w:rPr>
        <w:t xml:space="preserve"> e avaliar a execução orçamentária</w:t>
      </w:r>
      <w:r w:rsidR="00294FD6" w:rsidRPr="0072678C">
        <w:rPr>
          <w:rFonts w:asciiTheme="minorHAnsi" w:hAnsiTheme="minorHAnsi" w:cstheme="minorHAnsi"/>
          <w:sz w:val="22"/>
          <w:szCs w:val="22"/>
        </w:rPr>
        <w:t xml:space="preserve">. A SEFAZ/SP também </w:t>
      </w:r>
      <w:r w:rsidR="00B917C9" w:rsidRPr="0072678C">
        <w:rPr>
          <w:rFonts w:asciiTheme="minorHAnsi" w:hAnsiTheme="minorHAnsi" w:cstheme="minorHAnsi"/>
          <w:sz w:val="22"/>
          <w:szCs w:val="22"/>
        </w:rPr>
        <w:t xml:space="preserve">realiza </w:t>
      </w:r>
      <w:r w:rsidRPr="0072678C">
        <w:rPr>
          <w:rFonts w:asciiTheme="minorHAnsi" w:hAnsiTheme="minorHAnsi" w:cstheme="minorHAnsi"/>
          <w:sz w:val="22"/>
          <w:szCs w:val="22"/>
        </w:rPr>
        <w:t>o monitoramento da execução orçamentária e financeira, prevendo o realinhamentos entre orçamento, estratégias e objetivos</w:t>
      </w:r>
      <w:r w:rsidR="00B917C9" w:rsidRPr="0072678C">
        <w:rPr>
          <w:rFonts w:asciiTheme="minorHAnsi" w:hAnsiTheme="minorHAnsi" w:cstheme="minorHAnsi"/>
          <w:sz w:val="22"/>
          <w:szCs w:val="22"/>
        </w:rPr>
        <w:t>; d</w:t>
      </w:r>
      <w:r w:rsidRPr="0072678C">
        <w:rPr>
          <w:rFonts w:asciiTheme="minorHAnsi" w:hAnsiTheme="minorHAnsi" w:cstheme="minorHAnsi"/>
          <w:sz w:val="22"/>
          <w:szCs w:val="22"/>
        </w:rPr>
        <w:t xml:space="preserve">ispõem </w:t>
      </w:r>
      <w:r w:rsidR="002D1F8F" w:rsidRPr="0072678C">
        <w:rPr>
          <w:rFonts w:asciiTheme="minorHAnsi" w:hAnsiTheme="minorHAnsi" w:cstheme="minorHAnsi"/>
          <w:sz w:val="22"/>
          <w:szCs w:val="22"/>
        </w:rPr>
        <w:t xml:space="preserve">ainda </w:t>
      </w:r>
      <w:r w:rsidRPr="0072678C">
        <w:rPr>
          <w:rFonts w:asciiTheme="minorHAnsi" w:hAnsiTheme="minorHAnsi" w:cstheme="minorHAnsi"/>
          <w:sz w:val="22"/>
          <w:szCs w:val="22"/>
        </w:rPr>
        <w:t>de flexibilidade para alocação e realocação dos recursos</w:t>
      </w:r>
      <w:r w:rsidR="002D1F8F" w:rsidRPr="0072678C">
        <w:rPr>
          <w:rFonts w:asciiTheme="minorHAnsi" w:hAnsiTheme="minorHAnsi" w:cstheme="minorHAnsi"/>
          <w:sz w:val="22"/>
          <w:szCs w:val="22"/>
        </w:rPr>
        <w:t xml:space="preserve">, que estão disciplinadas pelo Decreto </w:t>
      </w:r>
      <w:r w:rsidRPr="0072678C">
        <w:rPr>
          <w:rFonts w:asciiTheme="minorHAnsi" w:hAnsiTheme="minorHAnsi" w:cstheme="minorHAnsi"/>
          <w:sz w:val="22"/>
          <w:szCs w:val="22"/>
        </w:rPr>
        <w:t>de Execução Orçamentária (D</w:t>
      </w:r>
      <w:r w:rsidR="002D1F8F" w:rsidRPr="0072678C">
        <w:rPr>
          <w:rFonts w:asciiTheme="minorHAnsi" w:hAnsiTheme="minorHAnsi" w:cstheme="minorHAnsi"/>
          <w:sz w:val="22"/>
          <w:szCs w:val="22"/>
        </w:rPr>
        <w:t xml:space="preserve">ecreto </w:t>
      </w:r>
      <w:r w:rsidRPr="0072678C">
        <w:rPr>
          <w:rFonts w:asciiTheme="minorHAnsi" w:hAnsiTheme="minorHAnsi" w:cstheme="minorHAnsi"/>
          <w:sz w:val="22"/>
          <w:szCs w:val="22"/>
        </w:rPr>
        <w:t>Nº 63.152, art. 10) e p</w:t>
      </w:r>
      <w:r w:rsidR="005712FC" w:rsidRPr="0072678C">
        <w:rPr>
          <w:rFonts w:asciiTheme="minorHAnsi" w:hAnsiTheme="minorHAnsi" w:cstheme="minorHAnsi"/>
          <w:sz w:val="22"/>
          <w:szCs w:val="22"/>
        </w:rPr>
        <w:t xml:space="preserve">ela Portaria </w:t>
      </w:r>
      <w:r w:rsidRPr="0072678C">
        <w:rPr>
          <w:rFonts w:asciiTheme="minorHAnsi" w:hAnsiTheme="minorHAnsi" w:cstheme="minorHAnsi"/>
          <w:sz w:val="22"/>
          <w:szCs w:val="22"/>
        </w:rPr>
        <w:t xml:space="preserve">Conjunta </w:t>
      </w:r>
      <w:proofErr w:type="spellStart"/>
      <w:r w:rsidRPr="0072678C">
        <w:rPr>
          <w:rFonts w:asciiTheme="minorHAnsi" w:hAnsiTheme="minorHAnsi" w:cstheme="minorHAnsi"/>
          <w:sz w:val="22"/>
          <w:szCs w:val="22"/>
        </w:rPr>
        <w:t>Caf</w:t>
      </w:r>
      <w:proofErr w:type="spellEnd"/>
      <w:r w:rsidRPr="0072678C">
        <w:rPr>
          <w:rFonts w:asciiTheme="minorHAnsi" w:hAnsiTheme="minorHAnsi" w:cstheme="minorHAnsi"/>
          <w:sz w:val="22"/>
          <w:szCs w:val="22"/>
        </w:rPr>
        <w:t>-</w:t>
      </w:r>
      <w:proofErr w:type="spellStart"/>
      <w:r w:rsidRPr="0072678C">
        <w:rPr>
          <w:rFonts w:asciiTheme="minorHAnsi" w:hAnsiTheme="minorHAnsi" w:cstheme="minorHAnsi"/>
          <w:sz w:val="22"/>
          <w:szCs w:val="22"/>
        </w:rPr>
        <w:t>Co-Cpga</w:t>
      </w:r>
      <w:proofErr w:type="spellEnd"/>
      <w:r w:rsidRPr="0072678C">
        <w:rPr>
          <w:rFonts w:asciiTheme="minorHAnsi" w:hAnsiTheme="minorHAnsi" w:cstheme="minorHAnsi"/>
          <w:sz w:val="22"/>
          <w:szCs w:val="22"/>
        </w:rPr>
        <w:t xml:space="preserve"> 1, de 17</w:t>
      </w:r>
      <w:r w:rsidR="00294FD6" w:rsidRPr="0072678C">
        <w:rPr>
          <w:rFonts w:asciiTheme="minorHAnsi" w:hAnsiTheme="minorHAnsi" w:cstheme="minorHAnsi"/>
          <w:sz w:val="22"/>
          <w:szCs w:val="22"/>
        </w:rPr>
        <w:t xml:space="preserve"> de janeiro de </w:t>
      </w:r>
      <w:r w:rsidRPr="0072678C">
        <w:rPr>
          <w:rFonts w:asciiTheme="minorHAnsi" w:hAnsiTheme="minorHAnsi" w:cstheme="minorHAnsi"/>
          <w:sz w:val="22"/>
          <w:szCs w:val="22"/>
        </w:rPr>
        <w:t>2018</w:t>
      </w:r>
      <w:r w:rsidR="005712FC" w:rsidRPr="0072678C">
        <w:rPr>
          <w:rFonts w:asciiTheme="minorHAnsi" w:hAnsiTheme="minorHAnsi" w:cstheme="minorHAnsi"/>
          <w:sz w:val="22"/>
          <w:szCs w:val="22"/>
        </w:rPr>
        <w:t xml:space="preserve">, que estabelece </w:t>
      </w:r>
      <w:r w:rsidRPr="0072678C">
        <w:rPr>
          <w:rFonts w:asciiTheme="minorHAnsi" w:hAnsiTheme="minorHAnsi" w:cstheme="minorHAnsi"/>
          <w:sz w:val="22"/>
          <w:szCs w:val="22"/>
        </w:rPr>
        <w:t>procedimentos a serem observados na execução orçamentária e financeira do exercício de 2018</w:t>
      </w:r>
      <w:r w:rsidR="005712FC" w:rsidRPr="0072678C">
        <w:rPr>
          <w:rFonts w:asciiTheme="minorHAnsi" w:hAnsiTheme="minorHAnsi" w:cstheme="minorHAnsi"/>
          <w:sz w:val="22"/>
          <w:szCs w:val="22"/>
        </w:rPr>
        <w:t>.</w:t>
      </w:r>
    </w:p>
    <w:p w:rsidR="00AA48F3" w:rsidRPr="0072678C" w:rsidRDefault="00AA48F3"/>
    <w:p w:rsidR="005712FC" w:rsidRPr="0072678C" w:rsidRDefault="00FF19A0" w:rsidP="000D63E3">
      <w:pPr>
        <w:jc w:val="both"/>
        <w:rPr>
          <w:rFonts w:asciiTheme="minorHAnsi" w:hAnsiTheme="minorHAnsi" w:cstheme="minorHAnsi"/>
          <w:sz w:val="22"/>
          <w:szCs w:val="22"/>
        </w:rPr>
      </w:pPr>
      <w:r w:rsidRPr="0072678C">
        <w:rPr>
          <w:rFonts w:asciiTheme="minorHAnsi" w:hAnsiTheme="minorHAnsi" w:cstheme="minorHAnsi"/>
          <w:sz w:val="22"/>
          <w:szCs w:val="22"/>
        </w:rPr>
        <w:t xml:space="preserve">O processo </w:t>
      </w:r>
      <w:r w:rsidRPr="0072678C">
        <w:rPr>
          <w:rFonts w:asciiTheme="minorHAnsi" w:hAnsiTheme="minorHAnsi" w:cstheme="minorHAnsi"/>
          <w:b/>
          <w:bCs/>
          <w:i/>
          <w:iCs/>
          <w:sz w:val="22"/>
          <w:szCs w:val="22"/>
        </w:rPr>
        <w:t>propostas de implementação da estratégia</w:t>
      </w:r>
      <w:r w:rsidRPr="0072678C">
        <w:rPr>
          <w:rFonts w:asciiTheme="minorHAnsi" w:hAnsiTheme="minorHAnsi" w:cstheme="minorHAnsi"/>
          <w:sz w:val="22"/>
          <w:szCs w:val="22"/>
        </w:rPr>
        <w:t xml:space="preserve"> </w:t>
      </w:r>
      <w:r w:rsidR="005712FC" w:rsidRPr="0072678C">
        <w:rPr>
          <w:rFonts w:asciiTheme="minorHAnsi" w:hAnsiTheme="minorHAnsi" w:cstheme="minorHAnsi"/>
          <w:sz w:val="22"/>
          <w:szCs w:val="22"/>
        </w:rPr>
        <w:t>obteve nível 3 de maturidade, ou seja, atende a todos os 4 requisitos das boas práticas da MD-GEFIS</w:t>
      </w:r>
      <w:r w:rsidR="00294FD6" w:rsidRPr="0072678C">
        <w:rPr>
          <w:rFonts w:asciiTheme="minorHAnsi" w:hAnsiTheme="minorHAnsi" w:cstheme="minorHAnsi"/>
          <w:sz w:val="22"/>
          <w:szCs w:val="22"/>
        </w:rPr>
        <w:t>, ou seja, a</w:t>
      </w:r>
      <w:r w:rsidRPr="0072678C">
        <w:rPr>
          <w:rFonts w:asciiTheme="minorHAnsi" w:hAnsiTheme="minorHAnsi" w:cstheme="minorHAnsi"/>
          <w:sz w:val="22"/>
          <w:szCs w:val="22"/>
        </w:rPr>
        <w:t xml:space="preserve">presenta </w:t>
      </w:r>
      <w:r w:rsidR="005712FC" w:rsidRPr="0072678C">
        <w:rPr>
          <w:rFonts w:asciiTheme="minorHAnsi" w:hAnsiTheme="minorHAnsi" w:cstheme="minorHAnsi"/>
          <w:sz w:val="22"/>
          <w:szCs w:val="22"/>
        </w:rPr>
        <w:t>um conjunto de iniciativas estratégicas (processos, projetos e eventos) definidas para proporcionar o alcance das metas fixadas</w:t>
      </w:r>
      <w:r w:rsidRPr="0072678C">
        <w:rPr>
          <w:rFonts w:asciiTheme="minorHAnsi" w:hAnsiTheme="minorHAnsi" w:cstheme="minorHAnsi"/>
          <w:sz w:val="22"/>
          <w:szCs w:val="22"/>
        </w:rPr>
        <w:t xml:space="preserve">; detalha </w:t>
      </w:r>
      <w:r w:rsidR="005712FC" w:rsidRPr="0072678C">
        <w:rPr>
          <w:rFonts w:asciiTheme="minorHAnsi" w:hAnsiTheme="minorHAnsi" w:cstheme="minorHAnsi"/>
          <w:sz w:val="22"/>
          <w:szCs w:val="22"/>
        </w:rPr>
        <w:t>as iniciativas estratégicas em ações com prazos, responsáveis e marcos críticos</w:t>
      </w:r>
      <w:r w:rsidRPr="0072678C">
        <w:rPr>
          <w:rFonts w:asciiTheme="minorHAnsi" w:hAnsiTheme="minorHAnsi" w:cstheme="minorHAnsi"/>
          <w:sz w:val="22"/>
          <w:szCs w:val="22"/>
        </w:rPr>
        <w:t xml:space="preserve">; apresenta os mesmos níveis de detalhamento das iniciativas em termos de abrangência, cobrindo todas as metas; e apresenta os mesmos níveis de detalhamento das iniciativas em termos de profundidade, sem sub ou </w:t>
      </w:r>
      <w:proofErr w:type="spellStart"/>
      <w:r w:rsidRPr="0072678C">
        <w:rPr>
          <w:rFonts w:asciiTheme="minorHAnsi" w:hAnsiTheme="minorHAnsi" w:cstheme="minorHAnsi"/>
          <w:sz w:val="22"/>
          <w:szCs w:val="22"/>
        </w:rPr>
        <w:t>superespecificação</w:t>
      </w:r>
      <w:proofErr w:type="spellEnd"/>
      <w:r w:rsidR="000D63E3" w:rsidRPr="0072678C">
        <w:rPr>
          <w:rFonts w:asciiTheme="minorHAnsi" w:hAnsiTheme="minorHAnsi" w:cstheme="minorHAnsi"/>
          <w:sz w:val="22"/>
          <w:szCs w:val="22"/>
        </w:rPr>
        <w:t xml:space="preserve">. Quinzenalmente são realizadas </w:t>
      </w:r>
      <w:r w:rsidR="005712FC" w:rsidRPr="0072678C">
        <w:rPr>
          <w:rFonts w:asciiTheme="minorHAnsi" w:hAnsiTheme="minorHAnsi" w:cstheme="minorHAnsi"/>
          <w:sz w:val="22"/>
          <w:szCs w:val="22"/>
        </w:rPr>
        <w:t xml:space="preserve">reuniões de </w:t>
      </w:r>
      <w:r w:rsidR="005712FC" w:rsidRPr="0072678C">
        <w:rPr>
          <w:rFonts w:asciiTheme="minorHAnsi" w:hAnsiTheme="minorHAnsi" w:cstheme="minorHAnsi"/>
          <w:i/>
          <w:sz w:val="22"/>
          <w:szCs w:val="22"/>
        </w:rPr>
        <w:t>Sprint</w:t>
      </w:r>
      <w:r w:rsidR="005712FC" w:rsidRPr="0072678C">
        <w:rPr>
          <w:rFonts w:asciiTheme="minorHAnsi" w:hAnsiTheme="minorHAnsi" w:cstheme="minorHAnsi"/>
          <w:sz w:val="22"/>
          <w:szCs w:val="22"/>
        </w:rPr>
        <w:t xml:space="preserve"> dos projeto</w:t>
      </w:r>
      <w:r w:rsidR="000D63E3" w:rsidRPr="0072678C">
        <w:rPr>
          <w:rFonts w:asciiTheme="minorHAnsi" w:hAnsiTheme="minorHAnsi" w:cstheme="minorHAnsi"/>
          <w:sz w:val="22"/>
          <w:szCs w:val="22"/>
        </w:rPr>
        <w:t xml:space="preserve">s inspiradas no </w:t>
      </w:r>
      <w:r w:rsidR="000D63E3" w:rsidRPr="0072678C">
        <w:rPr>
          <w:rFonts w:asciiTheme="minorHAnsi" w:hAnsiTheme="minorHAnsi" w:cstheme="minorHAnsi"/>
          <w:i/>
          <w:sz w:val="22"/>
          <w:szCs w:val="22"/>
        </w:rPr>
        <w:t>framework Scrum</w:t>
      </w:r>
      <w:r w:rsidR="000D63E3" w:rsidRPr="0072678C">
        <w:rPr>
          <w:rFonts w:asciiTheme="minorHAnsi" w:hAnsiTheme="minorHAnsi" w:cstheme="minorHAnsi"/>
          <w:sz w:val="22"/>
          <w:szCs w:val="22"/>
        </w:rPr>
        <w:t xml:space="preserve">. </w:t>
      </w:r>
    </w:p>
    <w:p w:rsidR="00533DF5" w:rsidRPr="0072678C" w:rsidRDefault="00533DF5"/>
    <w:p w:rsidR="00533DF5" w:rsidRPr="0072678C" w:rsidRDefault="00147821" w:rsidP="00A332B8">
      <w:pPr>
        <w:jc w:val="both"/>
      </w:pPr>
      <w:r w:rsidRPr="0072678C">
        <w:rPr>
          <w:rFonts w:asciiTheme="minorHAnsi" w:hAnsiTheme="minorHAnsi" w:cstheme="minorHAnsi"/>
          <w:sz w:val="22"/>
          <w:szCs w:val="22"/>
        </w:rPr>
        <w:t>Com nível 2 de maturidade e atendendo a 3 d</w:t>
      </w:r>
      <w:r w:rsidR="00294FD6" w:rsidRPr="0072678C">
        <w:rPr>
          <w:rFonts w:asciiTheme="minorHAnsi" w:hAnsiTheme="minorHAnsi" w:cstheme="minorHAnsi"/>
          <w:sz w:val="22"/>
          <w:szCs w:val="22"/>
        </w:rPr>
        <w:t xml:space="preserve">entre </w:t>
      </w:r>
      <w:r w:rsidRPr="0072678C">
        <w:rPr>
          <w:rFonts w:asciiTheme="minorHAnsi" w:hAnsiTheme="minorHAnsi" w:cstheme="minorHAnsi"/>
          <w:sz w:val="22"/>
          <w:szCs w:val="22"/>
        </w:rPr>
        <w:t xml:space="preserve">5 dos </w:t>
      </w:r>
      <w:r w:rsidR="009B231A" w:rsidRPr="0072678C">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w:t>
      </w:r>
      <w:r w:rsidR="00533DF5" w:rsidRPr="0072678C">
        <w:rPr>
          <w:rFonts w:asciiTheme="minorHAnsi" w:hAnsiTheme="minorHAnsi" w:cstheme="minorHAnsi"/>
          <w:sz w:val="22"/>
          <w:szCs w:val="22"/>
        </w:rPr>
        <w:t>O</w:t>
      </w:r>
      <w:r w:rsidRPr="0072678C">
        <w:rPr>
          <w:rFonts w:asciiTheme="minorHAnsi" w:hAnsiTheme="minorHAnsi" w:cstheme="minorHAnsi"/>
          <w:sz w:val="22"/>
          <w:szCs w:val="22"/>
        </w:rPr>
        <w:t xml:space="preserve"> </w:t>
      </w:r>
      <w:r w:rsidR="00533DF5" w:rsidRPr="0072678C">
        <w:rPr>
          <w:rFonts w:asciiTheme="minorHAnsi" w:hAnsiTheme="minorHAnsi" w:cstheme="minorHAnsi"/>
          <w:b/>
          <w:i/>
          <w:sz w:val="22"/>
          <w:szCs w:val="22"/>
        </w:rPr>
        <w:t>propósito organizacional</w:t>
      </w:r>
      <w:r w:rsidR="00294FD6" w:rsidRPr="0072678C">
        <w:rPr>
          <w:rFonts w:asciiTheme="minorHAnsi" w:hAnsiTheme="minorHAnsi" w:cstheme="minorHAnsi"/>
          <w:b/>
          <w:i/>
          <w:sz w:val="22"/>
          <w:szCs w:val="22"/>
        </w:rPr>
        <w:t xml:space="preserve"> da SEFAZ/SP</w:t>
      </w:r>
      <w:r w:rsidR="00533DF5" w:rsidRPr="0072678C">
        <w:rPr>
          <w:rFonts w:asciiTheme="minorHAnsi" w:hAnsiTheme="minorHAnsi" w:cstheme="minorHAnsi"/>
          <w:sz w:val="22"/>
          <w:szCs w:val="22"/>
        </w:rPr>
        <w:t xml:space="preserve"> (missão, visão e valores)</w:t>
      </w:r>
      <w:r w:rsidRPr="0072678C">
        <w:rPr>
          <w:rFonts w:asciiTheme="minorHAnsi" w:hAnsiTheme="minorHAnsi" w:cstheme="minorHAnsi"/>
          <w:sz w:val="22"/>
          <w:szCs w:val="22"/>
        </w:rPr>
        <w:t xml:space="preserve"> está claramente definido e informa aos beneficiários a razão de ser da organização seus produtos e impactos conforme </w:t>
      </w:r>
      <w:r w:rsidR="00A332B8" w:rsidRPr="0072678C">
        <w:rPr>
          <w:rFonts w:asciiTheme="minorHAnsi" w:hAnsiTheme="minorHAnsi" w:cstheme="minorHAnsi"/>
          <w:sz w:val="22"/>
          <w:szCs w:val="22"/>
        </w:rPr>
        <w:t xml:space="preserve">divulgado na </w:t>
      </w:r>
      <w:r w:rsidR="00294FD6" w:rsidRPr="0072678C">
        <w:rPr>
          <w:rFonts w:asciiTheme="minorHAnsi" w:hAnsiTheme="minorHAnsi" w:cstheme="minorHAnsi"/>
          <w:sz w:val="22"/>
          <w:szCs w:val="22"/>
        </w:rPr>
        <w:t xml:space="preserve">Resolução SF 95, de 06 de novembro de </w:t>
      </w:r>
      <w:r w:rsidRPr="0072678C">
        <w:rPr>
          <w:rFonts w:asciiTheme="minorHAnsi" w:hAnsiTheme="minorHAnsi" w:cstheme="minorHAnsi"/>
          <w:sz w:val="22"/>
          <w:szCs w:val="22"/>
        </w:rPr>
        <w:t>2017</w:t>
      </w:r>
      <w:r w:rsidR="00A332B8" w:rsidRPr="0072678C">
        <w:rPr>
          <w:rFonts w:asciiTheme="minorHAnsi" w:hAnsiTheme="minorHAnsi" w:cstheme="minorHAnsi"/>
          <w:sz w:val="22"/>
          <w:szCs w:val="22"/>
        </w:rPr>
        <w:t xml:space="preserve"> e no s</w:t>
      </w:r>
      <w:r w:rsidRPr="0072678C">
        <w:rPr>
          <w:rFonts w:asciiTheme="minorHAnsi" w:hAnsiTheme="minorHAnsi" w:cstheme="minorHAnsi"/>
          <w:sz w:val="22"/>
          <w:szCs w:val="22"/>
        </w:rPr>
        <w:t>ite do Planejamento Estratégico</w:t>
      </w:r>
      <w:r w:rsidR="00A332B8" w:rsidRPr="0072678C">
        <w:rPr>
          <w:rFonts w:asciiTheme="minorHAnsi" w:hAnsiTheme="minorHAnsi" w:cstheme="minorHAnsi"/>
          <w:sz w:val="22"/>
          <w:szCs w:val="22"/>
        </w:rPr>
        <w:t>; p</w:t>
      </w:r>
      <w:r w:rsidRPr="0072678C">
        <w:rPr>
          <w:rFonts w:asciiTheme="minorHAnsi" w:hAnsiTheme="minorHAnsi" w:cstheme="minorHAnsi"/>
          <w:sz w:val="22"/>
          <w:szCs w:val="22"/>
        </w:rPr>
        <w:t xml:space="preserve">ossui </w:t>
      </w:r>
      <w:r w:rsidR="00A332B8" w:rsidRPr="0072678C">
        <w:rPr>
          <w:rFonts w:asciiTheme="minorHAnsi" w:hAnsiTheme="minorHAnsi" w:cstheme="minorHAnsi"/>
          <w:sz w:val="22"/>
          <w:szCs w:val="22"/>
        </w:rPr>
        <w:t xml:space="preserve">ainda uma </w:t>
      </w:r>
      <w:r w:rsidRPr="0072678C">
        <w:rPr>
          <w:rFonts w:asciiTheme="minorHAnsi" w:hAnsiTheme="minorHAnsi" w:cstheme="minorHAnsi"/>
          <w:sz w:val="22"/>
          <w:szCs w:val="22"/>
        </w:rPr>
        <w:t>agenda estratégica e estabelece uma visão de longo prazo a partir da construção de um ideal transformador do contexto</w:t>
      </w:r>
      <w:r w:rsidR="00A332B8" w:rsidRPr="0072678C">
        <w:rPr>
          <w:rFonts w:asciiTheme="minorHAnsi" w:hAnsiTheme="minorHAnsi" w:cstheme="minorHAnsi"/>
          <w:sz w:val="22"/>
          <w:szCs w:val="22"/>
        </w:rPr>
        <w:t>; e a</w:t>
      </w:r>
      <w:r w:rsidRPr="0072678C">
        <w:rPr>
          <w:rFonts w:asciiTheme="minorHAnsi" w:hAnsiTheme="minorHAnsi" w:cstheme="minorHAnsi"/>
          <w:sz w:val="22"/>
          <w:szCs w:val="22"/>
        </w:rPr>
        <w:t>presenta uma declaração de valores que serve de referência para a retórica</w:t>
      </w:r>
      <w:r w:rsidR="00294FD6" w:rsidRPr="0072678C">
        <w:rPr>
          <w:rFonts w:asciiTheme="minorHAnsi" w:hAnsiTheme="minorHAnsi" w:cstheme="minorHAnsi"/>
          <w:sz w:val="22"/>
          <w:szCs w:val="22"/>
        </w:rPr>
        <w:t xml:space="preserve"> no dia a dia da organização</w:t>
      </w:r>
      <w:r w:rsidR="00A332B8" w:rsidRPr="0072678C">
        <w:rPr>
          <w:rFonts w:asciiTheme="minorHAnsi" w:hAnsiTheme="minorHAnsi" w:cstheme="minorHAnsi"/>
          <w:sz w:val="22"/>
          <w:szCs w:val="22"/>
        </w:rPr>
        <w:t>.</w:t>
      </w:r>
    </w:p>
    <w:p w:rsidR="00E13A4E" w:rsidRPr="0072678C" w:rsidRDefault="00D76B3E" w:rsidP="00D76B3E">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 </w:t>
      </w:r>
      <w:r w:rsidRPr="0072678C">
        <w:rPr>
          <w:rFonts w:asciiTheme="minorHAnsi" w:hAnsiTheme="minorHAnsi" w:cstheme="minorHAnsi"/>
          <w:b/>
          <w:bCs/>
          <w:i/>
          <w:iCs/>
          <w:sz w:val="22"/>
          <w:szCs w:val="22"/>
        </w:rPr>
        <w:t>pactuação externa de resultados</w:t>
      </w:r>
      <w:r w:rsidRPr="0072678C">
        <w:rPr>
          <w:rFonts w:asciiTheme="minorHAnsi" w:hAnsiTheme="minorHAnsi" w:cstheme="minorHAnsi"/>
          <w:sz w:val="22"/>
          <w:szCs w:val="22"/>
        </w:rPr>
        <w:t xml:space="preserve"> obteve nível 2 de maturidade e atende a 5 </w:t>
      </w:r>
      <w:r w:rsidR="00294FD6" w:rsidRPr="0072678C">
        <w:rPr>
          <w:rFonts w:asciiTheme="minorHAnsi" w:hAnsiTheme="minorHAnsi" w:cstheme="minorHAnsi"/>
          <w:sz w:val="22"/>
          <w:szCs w:val="22"/>
        </w:rPr>
        <w:t>dentre</w:t>
      </w:r>
      <w:r w:rsidRPr="0072678C">
        <w:rPr>
          <w:rFonts w:asciiTheme="minorHAnsi" w:hAnsiTheme="minorHAnsi" w:cstheme="minorHAnsi"/>
          <w:sz w:val="22"/>
          <w:szCs w:val="22"/>
        </w:rPr>
        <w:t xml:space="preserve"> 7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propostos das boas práticas da MD-GEFIS. Para tanto, </w:t>
      </w:r>
      <w:r w:rsidR="00E13A4E" w:rsidRPr="0072678C">
        <w:rPr>
          <w:rFonts w:asciiTheme="minorHAnsi" w:hAnsiTheme="minorHAnsi" w:cstheme="minorHAnsi"/>
          <w:sz w:val="22"/>
          <w:szCs w:val="22"/>
        </w:rPr>
        <w:t xml:space="preserve">define </w:t>
      </w:r>
      <w:r w:rsidRPr="0072678C">
        <w:rPr>
          <w:rFonts w:asciiTheme="minorHAnsi" w:hAnsiTheme="minorHAnsi" w:cstheme="minorHAnsi"/>
          <w:sz w:val="22"/>
          <w:szCs w:val="22"/>
        </w:rPr>
        <w:t xml:space="preserve">claramente os resultados e esforços </w:t>
      </w:r>
      <w:r w:rsidRPr="0072678C">
        <w:rPr>
          <w:rFonts w:asciiTheme="minorHAnsi" w:hAnsiTheme="minorHAnsi" w:cstheme="minorHAnsi"/>
          <w:sz w:val="22"/>
          <w:szCs w:val="22"/>
        </w:rPr>
        <w:lastRenderedPageBreak/>
        <w:t>(contribuições) objetos da pactuação por meio de indicadores objetivos e respectivas metas desdobradas</w:t>
      </w:r>
      <w:r w:rsidR="00943453" w:rsidRPr="0072678C">
        <w:rPr>
          <w:rStyle w:val="FootnoteReference"/>
          <w:rFonts w:asciiTheme="minorHAnsi" w:hAnsiTheme="minorHAnsi" w:cstheme="minorHAnsi"/>
          <w:sz w:val="22"/>
          <w:szCs w:val="22"/>
        </w:rPr>
        <w:footnoteReference w:id="27"/>
      </w:r>
      <w:r w:rsidR="00E13A4E" w:rsidRPr="0072678C">
        <w:rPr>
          <w:rFonts w:asciiTheme="minorHAnsi" w:hAnsiTheme="minorHAnsi" w:cstheme="minorHAnsi"/>
          <w:sz w:val="22"/>
          <w:szCs w:val="22"/>
        </w:rPr>
        <w:t xml:space="preserve">; </w:t>
      </w:r>
      <w:r w:rsidRPr="0072678C">
        <w:rPr>
          <w:rFonts w:asciiTheme="minorHAnsi" w:hAnsiTheme="minorHAnsi" w:cstheme="minorHAnsi"/>
          <w:sz w:val="22"/>
          <w:szCs w:val="22"/>
        </w:rPr>
        <w:t>resultados e esforços (contribuições) objetos da pactuação consistentes e alinhados com a agenda estratégica</w:t>
      </w:r>
      <w:r w:rsidR="00E13A4E" w:rsidRPr="0072678C">
        <w:rPr>
          <w:rFonts w:asciiTheme="minorHAnsi" w:hAnsiTheme="minorHAnsi" w:cstheme="minorHAnsi"/>
          <w:sz w:val="22"/>
          <w:szCs w:val="22"/>
        </w:rPr>
        <w:t>; a</w:t>
      </w:r>
      <w:r w:rsidRPr="0072678C">
        <w:rPr>
          <w:rFonts w:asciiTheme="minorHAnsi" w:hAnsiTheme="minorHAnsi" w:cstheme="minorHAnsi"/>
          <w:sz w:val="22"/>
          <w:szCs w:val="22"/>
        </w:rPr>
        <w:t>ssegura os meios para o alcance dos resultados e realização das contribuições</w:t>
      </w:r>
      <w:r w:rsidR="00E13A4E" w:rsidRPr="0072678C">
        <w:rPr>
          <w:rFonts w:asciiTheme="minorHAnsi" w:hAnsiTheme="minorHAnsi" w:cstheme="minorHAnsi"/>
          <w:sz w:val="22"/>
          <w:szCs w:val="22"/>
        </w:rPr>
        <w:t>; b</w:t>
      </w:r>
      <w:r w:rsidRPr="0072678C">
        <w:rPr>
          <w:rFonts w:asciiTheme="minorHAnsi" w:hAnsiTheme="minorHAnsi" w:cstheme="minorHAnsi"/>
          <w:sz w:val="22"/>
          <w:szCs w:val="22"/>
        </w:rPr>
        <w:t>aseia a relação entre contratante e contratado na cobrança dos resultados pactuados na parceria e não em intervenções e ingerências</w:t>
      </w:r>
      <w:r w:rsidR="00E13A4E" w:rsidRPr="0072678C">
        <w:rPr>
          <w:rFonts w:asciiTheme="minorHAnsi" w:hAnsiTheme="minorHAnsi" w:cstheme="minorHAnsi"/>
          <w:sz w:val="22"/>
          <w:szCs w:val="22"/>
        </w:rPr>
        <w:t>; e d</w:t>
      </w:r>
      <w:r w:rsidRPr="0072678C">
        <w:rPr>
          <w:rFonts w:asciiTheme="minorHAnsi" w:hAnsiTheme="minorHAnsi" w:cstheme="minorHAnsi"/>
          <w:sz w:val="22"/>
          <w:szCs w:val="22"/>
        </w:rPr>
        <w:t>ispõe de unidade organizacional (escritório de contratos) que facilita a negociação e realiza o monitoramento e avaliação das pactuações, proporcionando direcionamento, controle, aprendizado, transparência e responsabilização</w:t>
      </w:r>
      <w:r w:rsidR="00C710C8" w:rsidRPr="0072678C">
        <w:rPr>
          <w:rFonts w:asciiTheme="minorHAnsi" w:hAnsiTheme="minorHAnsi" w:cstheme="minorHAnsi"/>
          <w:sz w:val="22"/>
          <w:szCs w:val="22"/>
        </w:rPr>
        <w:t xml:space="preserve">. Como exemplo, na </w:t>
      </w:r>
      <w:r w:rsidR="00943453" w:rsidRPr="0072678C">
        <w:rPr>
          <w:rFonts w:asciiTheme="minorHAnsi" w:hAnsiTheme="minorHAnsi" w:cstheme="minorHAnsi"/>
          <w:sz w:val="22"/>
          <w:szCs w:val="22"/>
        </w:rPr>
        <w:t>Secretaria da Saúde existe um contrato de Gestão Modelo para serviços hospitalares.</w:t>
      </w:r>
    </w:p>
    <w:p w:rsidR="0013668A" w:rsidRPr="0072678C" w:rsidRDefault="0013668A" w:rsidP="0013668A">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Os processos </w:t>
      </w:r>
      <w:r w:rsidRPr="0072678C">
        <w:rPr>
          <w:rFonts w:asciiTheme="minorHAnsi" w:hAnsiTheme="minorHAnsi" w:cstheme="minorHAnsi"/>
          <w:b/>
          <w:bCs/>
          <w:i/>
          <w:iCs/>
          <w:sz w:val="22"/>
          <w:szCs w:val="22"/>
        </w:rPr>
        <w:t>programação estratégica</w:t>
      </w:r>
      <w:r w:rsidRPr="0072678C">
        <w:rPr>
          <w:rFonts w:asciiTheme="minorHAnsi" w:hAnsiTheme="minorHAnsi" w:cstheme="minorHAnsi"/>
          <w:sz w:val="22"/>
          <w:szCs w:val="22"/>
        </w:rPr>
        <w:t xml:space="preserve"> (objetivos, resultados, projetos, produtos, indicadores e metas); </w:t>
      </w:r>
      <w:r w:rsidRPr="0072678C">
        <w:rPr>
          <w:rFonts w:asciiTheme="minorHAnsi" w:hAnsiTheme="minorHAnsi" w:cstheme="minorHAnsi"/>
          <w:b/>
          <w:bCs/>
          <w:i/>
          <w:iCs/>
          <w:sz w:val="22"/>
          <w:szCs w:val="22"/>
        </w:rPr>
        <w:t>pactuação interna de resultados; iniciativas de alinhamento e otimização dos processos de trabalho</w:t>
      </w:r>
      <w:r w:rsidRPr="0072678C">
        <w:rPr>
          <w:rFonts w:asciiTheme="minorHAnsi" w:hAnsiTheme="minorHAnsi" w:cstheme="minorHAnsi"/>
          <w:sz w:val="22"/>
          <w:szCs w:val="22"/>
        </w:rPr>
        <w:t>; e iniciativas de</w:t>
      </w:r>
      <w:r w:rsidRPr="0072678C">
        <w:rPr>
          <w:rFonts w:asciiTheme="minorHAnsi" w:hAnsiTheme="minorHAnsi" w:cstheme="minorHAnsi"/>
          <w:b/>
          <w:bCs/>
          <w:i/>
          <w:iCs/>
          <w:sz w:val="22"/>
          <w:szCs w:val="22"/>
        </w:rPr>
        <w:t xml:space="preserve"> orientação estratégica das pessoas</w:t>
      </w:r>
      <w:r w:rsidRPr="0072678C">
        <w:rPr>
          <w:rFonts w:asciiTheme="minorHAnsi" w:hAnsiTheme="minorHAnsi" w:cstheme="minorHAnsi"/>
          <w:sz w:val="22"/>
          <w:szCs w:val="22"/>
        </w:rPr>
        <w:t xml:space="preserve"> obtiveram nível 1 de maturidade, ou seja, atendem a pouquíssimos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w:t>
      </w:r>
    </w:p>
    <w:p w:rsidR="00C710C8" w:rsidRPr="0072678C" w:rsidRDefault="00533DF5" w:rsidP="00533DF5">
      <w:pPr>
        <w:jc w:val="both"/>
        <w:rPr>
          <w:rFonts w:asciiTheme="minorHAnsi" w:hAnsiTheme="minorHAnsi" w:cstheme="minorHAnsi"/>
          <w:sz w:val="22"/>
          <w:szCs w:val="22"/>
        </w:rPr>
      </w:pPr>
      <w:r w:rsidRPr="0072678C">
        <w:rPr>
          <w:rFonts w:asciiTheme="minorHAnsi" w:hAnsiTheme="minorHAnsi" w:cstheme="minorHAnsi"/>
          <w:sz w:val="22"/>
          <w:szCs w:val="22"/>
        </w:rPr>
        <w:t xml:space="preserve">Os processos: </w:t>
      </w:r>
      <w:r w:rsidRPr="0072678C">
        <w:rPr>
          <w:rFonts w:asciiTheme="minorHAnsi" w:hAnsiTheme="minorHAnsi" w:cstheme="minorHAnsi"/>
          <w:b/>
          <w:bCs/>
          <w:i/>
          <w:iCs/>
          <w:sz w:val="22"/>
          <w:szCs w:val="22"/>
        </w:rPr>
        <w:t>compreensão do ambiente institucional; desdobramento da estratégia</w:t>
      </w:r>
      <w:r w:rsidRPr="0072678C">
        <w:rPr>
          <w:rFonts w:asciiTheme="minorHAnsi" w:hAnsiTheme="minorHAnsi" w:cstheme="minorHAnsi"/>
          <w:sz w:val="22"/>
          <w:szCs w:val="22"/>
        </w:rPr>
        <w:t xml:space="preserve"> (horizontal e vertical); </w:t>
      </w:r>
      <w:r w:rsidRPr="0072678C">
        <w:rPr>
          <w:rFonts w:asciiTheme="minorHAnsi" w:hAnsiTheme="minorHAnsi" w:cstheme="minorHAnsi"/>
          <w:b/>
          <w:bCs/>
          <w:i/>
          <w:iCs/>
          <w:sz w:val="22"/>
          <w:szCs w:val="22"/>
        </w:rPr>
        <w:t>iniciativas de alinhamento e otimização da estrutura organizacional; e monitoramento e a avaliação das iniciativas e resultados</w:t>
      </w:r>
      <w:r w:rsidRPr="0072678C">
        <w:rPr>
          <w:rFonts w:asciiTheme="minorHAnsi" w:hAnsiTheme="minorHAnsi" w:cstheme="minorHAnsi"/>
          <w:sz w:val="22"/>
          <w:szCs w:val="22"/>
        </w:rPr>
        <w:t xml:space="preserve"> obtiveram nível 0 (zero) de maturidade, ou seja, não atendem a nenhum dos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w:t>
      </w:r>
    </w:p>
    <w:p w:rsidR="00C710C8" w:rsidRPr="0072678C" w:rsidRDefault="00C710C8" w:rsidP="00533DF5">
      <w:pPr>
        <w:jc w:val="both"/>
        <w:rPr>
          <w:rFonts w:asciiTheme="minorHAnsi" w:hAnsiTheme="minorHAnsi" w:cstheme="minorHAnsi"/>
          <w:sz w:val="22"/>
          <w:szCs w:val="22"/>
        </w:rPr>
      </w:pPr>
    </w:p>
    <w:p w:rsidR="00533DF5" w:rsidRPr="0072678C" w:rsidRDefault="00C710C8" w:rsidP="00533DF5">
      <w:pPr>
        <w:jc w:val="both"/>
        <w:rPr>
          <w:rFonts w:asciiTheme="minorHAnsi" w:hAnsiTheme="minorHAnsi" w:cstheme="minorHAnsi"/>
          <w:sz w:val="22"/>
          <w:szCs w:val="22"/>
        </w:rPr>
      </w:pPr>
      <w:r w:rsidRPr="0072678C">
        <w:rPr>
          <w:rFonts w:asciiTheme="minorHAnsi" w:hAnsiTheme="minorHAnsi" w:cstheme="minorHAnsi"/>
          <w:sz w:val="22"/>
          <w:szCs w:val="22"/>
        </w:rPr>
        <w:t xml:space="preserve">Estes grupos de processos com nível de maturidade 1 e 0 (zero) são pontos de atenção </w:t>
      </w:r>
      <w:proofErr w:type="gramStart"/>
      <w:r w:rsidRPr="0072678C">
        <w:rPr>
          <w:rFonts w:asciiTheme="minorHAnsi" w:hAnsiTheme="minorHAnsi" w:cstheme="minorHAnsi"/>
          <w:sz w:val="22"/>
          <w:szCs w:val="22"/>
        </w:rPr>
        <w:t xml:space="preserve">para </w:t>
      </w:r>
      <w:r w:rsidR="00533DF5" w:rsidRPr="0072678C">
        <w:rPr>
          <w:rFonts w:asciiTheme="minorHAnsi" w:hAnsiTheme="minorHAnsi" w:cstheme="minorHAnsi"/>
          <w:sz w:val="22"/>
          <w:szCs w:val="22"/>
        </w:rPr>
        <w:t xml:space="preserve"> </w:t>
      </w:r>
      <w:r w:rsidRPr="0072678C">
        <w:rPr>
          <w:rFonts w:asciiTheme="minorHAnsi" w:hAnsiTheme="minorHAnsi" w:cstheme="minorHAnsi"/>
          <w:sz w:val="22"/>
          <w:szCs w:val="22"/>
        </w:rPr>
        <w:t>focar</w:t>
      </w:r>
      <w:proofErr w:type="gramEnd"/>
      <w:r w:rsidRPr="0072678C">
        <w:rPr>
          <w:rFonts w:asciiTheme="minorHAnsi" w:hAnsiTheme="minorHAnsi" w:cstheme="minorHAnsi"/>
          <w:sz w:val="22"/>
          <w:szCs w:val="22"/>
        </w:rPr>
        <w:t xml:space="preserve"> em melhorias da gestão.</w:t>
      </w:r>
      <w:r w:rsidR="00533DF5" w:rsidRPr="0072678C">
        <w:rPr>
          <w:rFonts w:asciiTheme="minorHAnsi" w:hAnsiTheme="minorHAnsi" w:cstheme="minorHAnsi"/>
          <w:sz w:val="22"/>
          <w:szCs w:val="22"/>
        </w:rPr>
        <w:t xml:space="preserve"> </w:t>
      </w:r>
    </w:p>
    <w:p w:rsidR="00B44516" w:rsidRPr="0072678C" w:rsidRDefault="00B44516" w:rsidP="00B44516">
      <w:pPr>
        <w:jc w:val="both"/>
        <w:rPr>
          <w:rFonts w:asciiTheme="minorHAnsi" w:hAnsiTheme="minorHAnsi" w:cstheme="minorHAnsi"/>
          <w:sz w:val="22"/>
          <w:szCs w:val="22"/>
        </w:rPr>
      </w:pPr>
    </w:p>
    <w:p w:rsidR="00B44516" w:rsidRPr="0072678C" w:rsidRDefault="00B44516" w:rsidP="00B44516">
      <w:pPr>
        <w:jc w:val="both"/>
        <w:rPr>
          <w:rFonts w:asciiTheme="minorHAnsi" w:hAnsiTheme="minorHAnsi" w:cstheme="minorHAnsi"/>
          <w:sz w:val="22"/>
          <w:szCs w:val="22"/>
        </w:rPr>
      </w:pPr>
      <w:r w:rsidRPr="0072678C">
        <w:rPr>
          <w:rFonts w:asciiTheme="minorHAnsi" w:hAnsiTheme="minorHAnsi" w:cstheme="minorHAnsi"/>
          <w:sz w:val="22"/>
          <w:szCs w:val="22"/>
        </w:rPr>
        <w:t>O indicador de Desempenho selecionado pela MD-GEFIS para esta Dimensão é:</w:t>
      </w:r>
    </w:p>
    <w:p w:rsidR="00B44516" w:rsidRPr="0072678C" w:rsidRDefault="00B44516" w:rsidP="00B44516">
      <w:pPr>
        <w:jc w:val="both"/>
        <w:rPr>
          <w:rFonts w:asciiTheme="minorHAnsi" w:hAnsiTheme="minorHAnsi" w:cstheme="minorHAnsi"/>
          <w:sz w:val="22"/>
          <w:szCs w:val="22"/>
        </w:rPr>
      </w:pPr>
    </w:p>
    <w:tbl>
      <w:tblPr>
        <w:tblStyle w:val="TableGrid"/>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C5E0B3" w:themeFill="accent6" w:themeFillTint="66"/>
        <w:tblLook w:val="04A0" w:firstRow="1" w:lastRow="0" w:firstColumn="1" w:lastColumn="0" w:noHBand="0" w:noVBand="1"/>
      </w:tblPr>
      <w:tblGrid>
        <w:gridCol w:w="7088"/>
        <w:gridCol w:w="1701"/>
      </w:tblGrid>
      <w:tr w:rsidR="00B44516" w:rsidRPr="0072678C" w:rsidTr="00B44516">
        <w:tc>
          <w:tcPr>
            <w:tcW w:w="7088" w:type="dxa"/>
            <w:shd w:val="clear" w:color="auto" w:fill="E2EFD9" w:themeFill="accent6" w:themeFillTint="33"/>
          </w:tcPr>
          <w:p w:rsidR="00B44516" w:rsidRPr="0072678C" w:rsidRDefault="00B44516" w:rsidP="00B44516">
            <w:pPr>
              <w:rPr>
                <w:rFonts w:asciiTheme="minorHAnsi" w:hAnsiTheme="minorHAnsi" w:cstheme="minorHAnsi"/>
                <w:b/>
              </w:rPr>
            </w:pPr>
            <w:r w:rsidRPr="0072678C">
              <w:rPr>
                <w:rFonts w:asciiTheme="minorHAnsi" w:hAnsiTheme="minorHAnsi" w:cstheme="minorHAnsi"/>
                <w:b/>
              </w:rPr>
              <w:t xml:space="preserve">1) Índice de Maturidade na Gestão para Resultados (COGEF/CONFAZ/PRODEV) </w:t>
            </w:r>
            <w:r w:rsidRPr="0072678C">
              <w:rPr>
                <w:rFonts w:asciiTheme="minorHAnsi" w:hAnsiTheme="minorHAnsi" w:cstheme="minorHAnsi"/>
              </w:rPr>
              <w:t>Com as alterações de apuração introduzidas pela MD-GEFIS</w:t>
            </w:r>
            <w:r w:rsidRPr="0072678C">
              <w:rPr>
                <w:rFonts w:asciiTheme="minorHAnsi" w:hAnsiTheme="minorHAnsi" w:cstheme="minorHAnsi"/>
                <w:b/>
              </w:rPr>
              <w:t xml:space="preserve"> </w:t>
            </w:r>
          </w:p>
        </w:tc>
        <w:tc>
          <w:tcPr>
            <w:tcW w:w="1701" w:type="dxa"/>
            <w:shd w:val="clear" w:color="auto" w:fill="E2EFD9" w:themeFill="accent6" w:themeFillTint="33"/>
            <w:vAlign w:val="center"/>
          </w:tcPr>
          <w:p w:rsidR="00B44516" w:rsidRPr="0072678C" w:rsidRDefault="00893395" w:rsidP="00B44516">
            <w:pPr>
              <w:jc w:val="center"/>
              <w:rPr>
                <w:rFonts w:asciiTheme="minorHAnsi" w:hAnsiTheme="minorHAnsi" w:cstheme="minorHAnsi"/>
                <w:b/>
              </w:rPr>
            </w:pPr>
            <w:r w:rsidRPr="0072678C">
              <w:rPr>
                <w:rFonts w:asciiTheme="minorHAnsi" w:hAnsiTheme="minorHAnsi" w:cstheme="minorHAnsi"/>
                <w:b/>
                <w:bCs/>
              </w:rPr>
              <w:t>INICIANTE (+)</w:t>
            </w:r>
          </w:p>
        </w:tc>
      </w:tr>
    </w:tbl>
    <w:p w:rsidR="00B44516" w:rsidRPr="0072678C" w:rsidRDefault="00B44516" w:rsidP="00B44516">
      <w:pPr>
        <w:jc w:val="both"/>
        <w:rPr>
          <w:rFonts w:asciiTheme="minorHAnsi" w:hAnsiTheme="minorHAnsi" w:cstheme="minorHAnsi"/>
          <w:sz w:val="22"/>
          <w:szCs w:val="22"/>
        </w:rPr>
      </w:pPr>
    </w:p>
    <w:p w:rsidR="00B44516" w:rsidRPr="0072678C" w:rsidRDefault="00B44516" w:rsidP="00B44516">
      <w:pPr>
        <w:jc w:val="both"/>
        <w:rPr>
          <w:rFonts w:asciiTheme="minorHAnsi" w:hAnsiTheme="minorHAnsi" w:cstheme="minorHAnsi"/>
          <w:sz w:val="22"/>
          <w:szCs w:val="22"/>
        </w:rPr>
      </w:pPr>
      <w:r w:rsidRPr="0072678C">
        <w:rPr>
          <w:rFonts w:asciiTheme="minorHAnsi" w:hAnsiTheme="minorHAnsi" w:cstheme="minorHAnsi"/>
          <w:sz w:val="22"/>
          <w:szCs w:val="22"/>
        </w:rPr>
        <w:t xml:space="preserve">A maturidade e o desempenho desta </w:t>
      </w:r>
      <w:r w:rsidRPr="0072678C">
        <w:rPr>
          <w:rFonts w:asciiTheme="minorHAnsi" w:hAnsiTheme="minorHAnsi" w:cstheme="minorHAnsi"/>
          <w:b/>
          <w:sz w:val="22"/>
          <w:szCs w:val="22"/>
        </w:rPr>
        <w:t xml:space="preserve">Dimensão GF 2. Gestão para Resultados </w:t>
      </w:r>
      <w:r w:rsidRPr="0072678C">
        <w:rPr>
          <w:rFonts w:asciiTheme="minorHAnsi" w:hAnsiTheme="minorHAnsi" w:cstheme="minorHAnsi"/>
          <w:sz w:val="22"/>
          <w:szCs w:val="22"/>
        </w:rPr>
        <w:t>poderá ser aprimorada com a implantação de um Modelo de Gestão para resultados com foco na gestão por projetos</w:t>
      </w:r>
      <w:r w:rsidR="00B87412" w:rsidRPr="0072678C">
        <w:rPr>
          <w:rFonts w:asciiTheme="minorHAnsi" w:hAnsiTheme="minorHAnsi" w:cstheme="minorHAnsi"/>
          <w:sz w:val="22"/>
          <w:szCs w:val="22"/>
        </w:rPr>
        <w:t xml:space="preserve">, </w:t>
      </w:r>
      <w:r w:rsidRPr="0072678C">
        <w:rPr>
          <w:rFonts w:asciiTheme="minorHAnsi" w:hAnsiTheme="minorHAnsi" w:cstheme="minorHAnsi"/>
          <w:sz w:val="22"/>
          <w:szCs w:val="22"/>
        </w:rPr>
        <w:t>processos</w:t>
      </w:r>
      <w:r w:rsidR="001C11A6" w:rsidRPr="0072678C">
        <w:rPr>
          <w:rFonts w:asciiTheme="minorHAnsi" w:hAnsiTheme="minorHAnsi" w:cstheme="minorHAnsi"/>
          <w:sz w:val="22"/>
          <w:szCs w:val="22"/>
        </w:rPr>
        <w:t xml:space="preserve"> </w:t>
      </w:r>
      <w:r w:rsidR="00B87412" w:rsidRPr="0072678C">
        <w:rPr>
          <w:rFonts w:asciiTheme="minorHAnsi" w:hAnsiTheme="minorHAnsi" w:cstheme="minorHAnsi"/>
          <w:sz w:val="22"/>
          <w:szCs w:val="22"/>
        </w:rPr>
        <w:t xml:space="preserve">e avaliação de resultados </w:t>
      </w:r>
      <w:r w:rsidR="001C11A6" w:rsidRPr="0072678C">
        <w:rPr>
          <w:rFonts w:asciiTheme="minorHAnsi" w:hAnsiTheme="minorHAnsi" w:cstheme="minorHAnsi"/>
          <w:sz w:val="22"/>
          <w:szCs w:val="22"/>
        </w:rPr>
        <w:t xml:space="preserve">considerando que a SEFAZ/SP já dispõe de </w:t>
      </w:r>
      <w:r w:rsidR="00B87412" w:rsidRPr="0072678C">
        <w:rPr>
          <w:rFonts w:asciiTheme="minorHAnsi" w:hAnsiTheme="minorHAnsi" w:cstheme="minorHAnsi"/>
          <w:sz w:val="22"/>
          <w:szCs w:val="22"/>
        </w:rPr>
        <w:t>estrutura implantada de gestão de projetos e processo</w:t>
      </w:r>
      <w:r w:rsidRPr="0072678C">
        <w:rPr>
          <w:rFonts w:asciiTheme="minorHAnsi" w:hAnsiTheme="minorHAnsi" w:cstheme="minorHAnsi"/>
          <w:sz w:val="22"/>
          <w:szCs w:val="22"/>
        </w:rPr>
        <w:t>.</w:t>
      </w:r>
    </w:p>
    <w:p w:rsidR="00B44516" w:rsidRPr="0072678C" w:rsidRDefault="00B44516" w:rsidP="00B44516">
      <w:pPr>
        <w:jc w:val="both"/>
        <w:rPr>
          <w:rFonts w:asciiTheme="minorHAnsi" w:hAnsiTheme="minorHAnsi" w:cstheme="minorHAnsi"/>
          <w:sz w:val="22"/>
          <w:szCs w:val="22"/>
        </w:rPr>
      </w:pPr>
    </w:p>
    <w:p w:rsidR="00893395" w:rsidRPr="0072678C" w:rsidRDefault="00893395" w:rsidP="00B44516">
      <w:pPr>
        <w:jc w:val="both"/>
        <w:rPr>
          <w:rFonts w:asciiTheme="minorHAnsi" w:hAnsiTheme="minorHAnsi" w:cstheme="minorHAnsi"/>
          <w:sz w:val="22"/>
          <w:szCs w:val="22"/>
        </w:rPr>
      </w:pPr>
    </w:p>
    <w:tbl>
      <w:tblPr>
        <w:tblStyle w:val="TableGrid"/>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C5E0B3" w:themeFill="accent6" w:themeFillTint="66"/>
        <w:tblLook w:val="04A0" w:firstRow="1" w:lastRow="0" w:firstColumn="1" w:lastColumn="0" w:noHBand="0" w:noVBand="1"/>
      </w:tblPr>
      <w:tblGrid>
        <w:gridCol w:w="6608"/>
        <w:gridCol w:w="2181"/>
      </w:tblGrid>
      <w:tr w:rsidR="00B44516" w:rsidRPr="0072678C" w:rsidTr="00B44516">
        <w:tc>
          <w:tcPr>
            <w:tcW w:w="6608" w:type="dxa"/>
            <w:shd w:val="clear" w:color="auto" w:fill="C5E0B3" w:themeFill="accent6" w:themeFillTint="66"/>
          </w:tcPr>
          <w:p w:rsidR="00B44516" w:rsidRPr="0072678C" w:rsidRDefault="00B44516" w:rsidP="00B44516">
            <w:pPr>
              <w:spacing w:before="120" w:after="120"/>
              <w:jc w:val="both"/>
              <w:rPr>
                <w:rFonts w:asciiTheme="minorHAnsi" w:hAnsiTheme="minorHAnsi" w:cstheme="minorHAnsi"/>
                <w:b/>
              </w:rPr>
            </w:pPr>
            <w:r w:rsidRPr="0072678C">
              <w:rPr>
                <w:rFonts w:asciiTheme="minorHAnsi" w:hAnsiTheme="minorHAnsi" w:cstheme="minorHAnsi"/>
              </w:rPr>
              <w:br w:type="page"/>
            </w:r>
            <w:bookmarkStart w:id="24" w:name="_Hlk492476908"/>
            <w:r w:rsidRPr="0072678C">
              <w:rPr>
                <w:rFonts w:asciiTheme="minorHAnsi" w:hAnsiTheme="minorHAnsi" w:cstheme="minorHAnsi"/>
                <w:b/>
              </w:rPr>
              <w:t>Dimensão GF 3. Gestão de Pessoas</w:t>
            </w:r>
          </w:p>
        </w:tc>
        <w:tc>
          <w:tcPr>
            <w:tcW w:w="2181" w:type="dxa"/>
            <w:shd w:val="clear" w:color="auto" w:fill="C5E0B3" w:themeFill="accent6" w:themeFillTint="66"/>
          </w:tcPr>
          <w:p w:rsidR="00B44516" w:rsidRPr="0072678C" w:rsidRDefault="00AC7AE6" w:rsidP="00B44516">
            <w:pPr>
              <w:spacing w:before="120" w:after="120"/>
              <w:jc w:val="center"/>
              <w:rPr>
                <w:rFonts w:asciiTheme="minorHAnsi" w:hAnsiTheme="minorHAnsi" w:cstheme="minorHAnsi"/>
                <w:b/>
              </w:rPr>
            </w:pPr>
            <w:r w:rsidRPr="0072678C">
              <w:rPr>
                <w:rFonts w:asciiTheme="minorHAnsi" w:hAnsiTheme="minorHAnsi" w:cstheme="minorHAnsi"/>
                <w:b/>
              </w:rPr>
              <w:t>INICIANTE (+)</w:t>
            </w:r>
          </w:p>
        </w:tc>
      </w:tr>
    </w:tbl>
    <w:bookmarkEnd w:id="24"/>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 visão de futuro da dimensão </w:t>
      </w:r>
      <w:r w:rsidRPr="0072678C">
        <w:rPr>
          <w:rFonts w:asciiTheme="minorHAnsi" w:hAnsiTheme="minorHAnsi" w:cstheme="minorHAnsi"/>
          <w:b/>
          <w:sz w:val="22"/>
          <w:szCs w:val="22"/>
        </w:rPr>
        <w:t xml:space="preserve">Gestão de Pessoas </w:t>
      </w:r>
      <w:r w:rsidRPr="0072678C">
        <w:rPr>
          <w:rFonts w:asciiTheme="minorHAnsi" w:hAnsiTheme="minorHAnsi" w:cstheme="minorHAnsi"/>
          <w:sz w:val="22"/>
          <w:szCs w:val="22"/>
        </w:rPr>
        <w:t>é “estimular a qualificação dos recursos humanos e promover a melhoria do desempenho das competências, de acordo com padrões éticos, com adequada alocação e distribuição nas áreas organizacionais”.</w:t>
      </w:r>
    </w:p>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Esta dimensão contempla um conjunto de 12 processos críticos e pela apuração da MD-GEFIS alcança um estágio de maturidade </w:t>
      </w:r>
      <w:r w:rsidR="00162E42" w:rsidRPr="0072678C">
        <w:rPr>
          <w:rFonts w:asciiTheme="minorHAnsi" w:hAnsiTheme="minorHAnsi" w:cstheme="minorHAnsi"/>
          <w:sz w:val="22"/>
          <w:szCs w:val="22"/>
        </w:rPr>
        <w:t>INICIANTE (+).</w:t>
      </w:r>
    </w:p>
    <w:p w:rsidR="00907065" w:rsidRPr="0072678C" w:rsidRDefault="00B44516" w:rsidP="00907065">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O resultado obtido nesta dimensão decorre, principalmente pelo nível 0 (zero</w:t>
      </w:r>
      <w:r w:rsidR="00162E42" w:rsidRPr="0072678C">
        <w:rPr>
          <w:rFonts w:asciiTheme="minorHAnsi" w:hAnsiTheme="minorHAnsi" w:cstheme="minorHAnsi"/>
          <w:sz w:val="22"/>
          <w:szCs w:val="22"/>
        </w:rPr>
        <w:t xml:space="preserve">) de maturidade encontrado em 3 </w:t>
      </w:r>
      <w:r w:rsidRPr="0072678C">
        <w:rPr>
          <w:rFonts w:asciiTheme="minorHAnsi" w:hAnsiTheme="minorHAnsi" w:cstheme="minorHAnsi"/>
          <w:sz w:val="22"/>
          <w:szCs w:val="22"/>
        </w:rPr>
        <w:t>dentre os 12 processos críticos analisados que não atende a nenhum</w:t>
      </w:r>
      <w:r w:rsidR="00162E42" w:rsidRPr="0072678C">
        <w:rPr>
          <w:rFonts w:asciiTheme="minorHAnsi" w:hAnsiTheme="minorHAnsi" w:cstheme="minorHAnsi"/>
          <w:sz w:val="22"/>
          <w:szCs w:val="22"/>
        </w:rPr>
        <w:t xml:space="preserve"> </w:t>
      </w:r>
      <w:proofErr w:type="gramStart"/>
      <w:r w:rsidR="00162E42" w:rsidRPr="0072678C">
        <w:rPr>
          <w:rFonts w:asciiTheme="minorHAnsi" w:hAnsiTheme="minorHAnsi" w:cstheme="minorHAnsi"/>
          <w:sz w:val="22"/>
          <w:szCs w:val="22"/>
        </w:rPr>
        <w:t>ou  a</w:t>
      </w:r>
      <w:proofErr w:type="gramEnd"/>
      <w:r w:rsidR="00162E42" w:rsidRPr="0072678C">
        <w:rPr>
          <w:rFonts w:asciiTheme="minorHAnsi" w:hAnsiTheme="minorHAnsi" w:cstheme="minorHAnsi"/>
          <w:sz w:val="22"/>
          <w:szCs w:val="22"/>
        </w:rPr>
        <w:t xml:space="preserve"> </w:t>
      </w:r>
      <w:r w:rsidR="00907065" w:rsidRPr="0072678C">
        <w:rPr>
          <w:rFonts w:asciiTheme="minorHAnsi" w:hAnsiTheme="minorHAnsi" w:cstheme="minorHAnsi"/>
          <w:sz w:val="22"/>
          <w:szCs w:val="22"/>
        </w:rPr>
        <w:t>pouquíssimos</w:t>
      </w:r>
      <w:r w:rsidR="00162E42"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 d</w:t>
      </w:r>
      <w:r w:rsidR="0067242A" w:rsidRPr="0072678C">
        <w:rPr>
          <w:rFonts w:asciiTheme="minorHAnsi" w:hAnsiTheme="minorHAnsi" w:cstheme="minorHAnsi"/>
          <w:sz w:val="22"/>
          <w:szCs w:val="22"/>
        </w:rPr>
        <w:t xml:space="preserve">os </w:t>
      </w:r>
      <w:r w:rsidR="009B231A">
        <w:rPr>
          <w:rFonts w:asciiTheme="minorHAnsi" w:hAnsiTheme="minorHAnsi" w:cstheme="minorHAnsi"/>
          <w:sz w:val="22"/>
          <w:szCs w:val="22"/>
        </w:rPr>
        <w:t>requisitos</w:t>
      </w:r>
      <w:r w:rsidR="0067242A" w:rsidRPr="0072678C">
        <w:rPr>
          <w:rFonts w:asciiTheme="minorHAnsi" w:hAnsiTheme="minorHAnsi" w:cstheme="minorHAnsi"/>
          <w:sz w:val="22"/>
          <w:szCs w:val="22"/>
        </w:rPr>
        <w:t xml:space="preserve"> das práticas da MD-</w:t>
      </w:r>
      <w:r w:rsidRPr="0072678C">
        <w:rPr>
          <w:rFonts w:asciiTheme="minorHAnsi" w:hAnsiTheme="minorHAnsi" w:cstheme="minorHAnsi"/>
          <w:sz w:val="22"/>
          <w:szCs w:val="22"/>
        </w:rPr>
        <w:t xml:space="preserve">GEFIS: </w:t>
      </w:r>
      <w:r w:rsidR="00162E42" w:rsidRPr="0072678C">
        <w:rPr>
          <w:rFonts w:ascii="Calibri" w:hAnsi="Calibri" w:cs="Calibri"/>
          <w:b/>
          <w:i/>
          <w:sz w:val="22"/>
          <w:szCs w:val="22"/>
        </w:rPr>
        <w:t xml:space="preserve">direcionamento estratégico da gestão de </w:t>
      </w:r>
      <w:r w:rsidR="00907065" w:rsidRPr="0072678C">
        <w:rPr>
          <w:rFonts w:ascii="Calibri" w:hAnsi="Calibri" w:cs="Calibri"/>
          <w:b/>
          <w:i/>
          <w:sz w:val="22"/>
          <w:szCs w:val="22"/>
        </w:rPr>
        <w:t xml:space="preserve">pessoas na administração fiscal; </w:t>
      </w:r>
      <w:r w:rsidR="00162E42" w:rsidRPr="0072678C">
        <w:rPr>
          <w:rFonts w:ascii="Calibri" w:hAnsi="Calibri" w:cs="Calibri"/>
          <w:b/>
          <w:i/>
          <w:sz w:val="22"/>
          <w:szCs w:val="22"/>
        </w:rPr>
        <w:t xml:space="preserve">provimento e a avaliação dos cargos de </w:t>
      </w:r>
      <w:r w:rsidR="00907065" w:rsidRPr="0072678C">
        <w:rPr>
          <w:rFonts w:ascii="Calibri" w:hAnsi="Calibri" w:cs="Calibri"/>
          <w:b/>
          <w:i/>
          <w:sz w:val="22"/>
          <w:szCs w:val="22"/>
        </w:rPr>
        <w:t xml:space="preserve">direção da administração fiscal; </w:t>
      </w:r>
      <w:r w:rsidR="00162E42" w:rsidRPr="0072678C">
        <w:rPr>
          <w:rFonts w:ascii="Calibri" w:hAnsi="Calibri" w:cs="Calibri"/>
          <w:b/>
          <w:i/>
          <w:sz w:val="22"/>
          <w:szCs w:val="22"/>
        </w:rPr>
        <w:t xml:space="preserve">sistema de incentivos ao desempenho para os dirigentes da administração </w:t>
      </w:r>
      <w:r w:rsidR="00162E42" w:rsidRPr="0072678C">
        <w:rPr>
          <w:rFonts w:ascii="Calibri" w:hAnsi="Calibri" w:cs="Calibri"/>
          <w:b/>
          <w:i/>
          <w:sz w:val="22"/>
          <w:szCs w:val="22"/>
        </w:rPr>
        <w:lastRenderedPageBreak/>
        <w:t>fiscal</w:t>
      </w:r>
      <w:r w:rsidR="00907065" w:rsidRPr="0072678C">
        <w:rPr>
          <w:rFonts w:ascii="Calibri" w:hAnsi="Calibri" w:cs="Calibri"/>
          <w:b/>
          <w:i/>
          <w:sz w:val="22"/>
          <w:szCs w:val="22"/>
        </w:rPr>
        <w:t xml:space="preserve">. </w:t>
      </w:r>
      <w:r w:rsidR="00907065" w:rsidRPr="0072678C">
        <w:rPr>
          <w:rFonts w:asciiTheme="minorHAnsi" w:hAnsiTheme="minorHAnsi" w:cstheme="minorHAnsi"/>
          <w:sz w:val="22"/>
          <w:szCs w:val="22"/>
        </w:rPr>
        <w:t xml:space="preserve">Outros 4 processos, também contribuem fortemente para </w:t>
      </w:r>
      <w:proofErr w:type="spellStart"/>
      <w:proofErr w:type="gramStart"/>
      <w:r w:rsidR="00907065" w:rsidRPr="0072678C">
        <w:rPr>
          <w:rFonts w:asciiTheme="minorHAnsi" w:hAnsiTheme="minorHAnsi" w:cstheme="minorHAnsi"/>
          <w:sz w:val="22"/>
          <w:szCs w:val="22"/>
        </w:rPr>
        <w:t>esse</w:t>
      </w:r>
      <w:proofErr w:type="spellEnd"/>
      <w:r w:rsidR="00907065" w:rsidRPr="0072678C">
        <w:rPr>
          <w:rFonts w:asciiTheme="minorHAnsi" w:hAnsiTheme="minorHAnsi" w:cstheme="minorHAnsi"/>
          <w:sz w:val="22"/>
          <w:szCs w:val="22"/>
        </w:rPr>
        <w:t xml:space="preserve"> resultados</w:t>
      </w:r>
      <w:proofErr w:type="gramEnd"/>
      <w:r w:rsidR="00907065" w:rsidRPr="0072678C">
        <w:rPr>
          <w:rFonts w:asciiTheme="minorHAnsi" w:hAnsiTheme="minorHAnsi" w:cstheme="minorHAnsi"/>
          <w:sz w:val="22"/>
          <w:szCs w:val="22"/>
        </w:rPr>
        <w:t xml:space="preserve"> por terem apresentado nível 1 de maturidade: </w:t>
      </w:r>
      <w:r w:rsidR="00907065" w:rsidRPr="0072678C">
        <w:rPr>
          <w:rFonts w:ascii="Calibri" w:hAnsi="Calibri" w:cs="Calibri"/>
          <w:b/>
          <w:i/>
          <w:sz w:val="22"/>
          <w:szCs w:val="22"/>
        </w:rPr>
        <w:t xml:space="preserve">procedimentos básicos da gestão de pessoas; provimento, a alocação, a remoção e a avaliação dos servidores da administração fiscal; planejamento da formação e capacitação de dirigentes e servidores; e gestão da inovação e do conhecimento na administração fiscal. </w:t>
      </w:r>
      <w:r w:rsidR="00907065" w:rsidRPr="0072678C">
        <w:rPr>
          <w:rFonts w:asciiTheme="minorHAnsi" w:hAnsiTheme="minorHAnsi" w:cstheme="minorHAnsi"/>
          <w:sz w:val="22"/>
          <w:szCs w:val="22"/>
        </w:rPr>
        <w:t>Portanto 7 dentre 12 processo apresentam nível 0 e 1 de maturidade nas boas práticas da MD-GEFIS.</w:t>
      </w:r>
    </w:p>
    <w:p w:rsidR="00ED7675" w:rsidRPr="0072678C" w:rsidRDefault="00907065" w:rsidP="00ED7675">
      <w:pPr>
        <w:spacing w:before="240" w:after="240"/>
        <w:jc w:val="both"/>
        <w:rPr>
          <w:rFonts w:ascii="Calibri" w:hAnsi="Calibri" w:cs="Calibri"/>
          <w:b/>
          <w:i/>
          <w:sz w:val="22"/>
          <w:szCs w:val="22"/>
        </w:rPr>
      </w:pPr>
      <w:r w:rsidRPr="0072678C">
        <w:rPr>
          <w:rFonts w:asciiTheme="minorHAnsi" w:hAnsiTheme="minorHAnsi" w:cstheme="minorHAnsi"/>
          <w:sz w:val="22"/>
          <w:szCs w:val="22"/>
        </w:rPr>
        <w:t xml:space="preserve">Outros </w:t>
      </w:r>
      <w:r w:rsidR="00ED7675" w:rsidRPr="0072678C">
        <w:rPr>
          <w:rFonts w:asciiTheme="minorHAnsi" w:hAnsiTheme="minorHAnsi" w:cstheme="minorHAnsi"/>
          <w:sz w:val="22"/>
          <w:szCs w:val="22"/>
        </w:rPr>
        <w:t>4</w:t>
      </w:r>
      <w:r w:rsidRPr="0072678C">
        <w:rPr>
          <w:rFonts w:asciiTheme="minorHAnsi" w:hAnsiTheme="minorHAnsi" w:cstheme="minorHAnsi"/>
          <w:sz w:val="22"/>
          <w:szCs w:val="22"/>
        </w:rPr>
        <w:t xml:space="preserve"> </w:t>
      </w:r>
      <w:r w:rsidR="009B231A" w:rsidRPr="0072678C">
        <w:rPr>
          <w:rFonts w:asciiTheme="minorHAnsi" w:hAnsiTheme="minorHAnsi" w:cstheme="minorHAnsi"/>
          <w:sz w:val="22"/>
          <w:szCs w:val="22"/>
        </w:rPr>
        <w:t>processos</w:t>
      </w:r>
      <w:r w:rsidRPr="0072678C">
        <w:rPr>
          <w:rFonts w:asciiTheme="minorHAnsi" w:hAnsiTheme="minorHAnsi" w:cstheme="minorHAnsi"/>
          <w:sz w:val="22"/>
          <w:szCs w:val="22"/>
        </w:rPr>
        <w:t xml:space="preserve"> apresentam nível 2 de maturidade </w:t>
      </w:r>
      <w:r w:rsidR="00ED7675" w:rsidRPr="0072678C">
        <w:rPr>
          <w:rFonts w:asciiTheme="minorHAnsi" w:hAnsiTheme="minorHAnsi" w:cstheme="minorHAnsi"/>
          <w:sz w:val="22"/>
          <w:szCs w:val="22"/>
        </w:rPr>
        <w:t xml:space="preserve">e atendem a uma quantidade mediana de </w:t>
      </w:r>
      <w:r w:rsidR="009D2C25" w:rsidRPr="0072678C">
        <w:rPr>
          <w:rFonts w:asciiTheme="minorHAnsi" w:hAnsiTheme="minorHAnsi" w:cstheme="minorHAnsi"/>
          <w:sz w:val="22"/>
          <w:szCs w:val="22"/>
        </w:rPr>
        <w:t xml:space="preserve">requisitos </w:t>
      </w:r>
      <w:r w:rsidR="00ED7675" w:rsidRPr="0072678C">
        <w:rPr>
          <w:rFonts w:asciiTheme="minorHAnsi" w:hAnsiTheme="minorHAnsi" w:cstheme="minorHAnsi"/>
          <w:sz w:val="22"/>
          <w:szCs w:val="22"/>
        </w:rPr>
        <w:t xml:space="preserve">das boas práticas da MD-GEIS: </w:t>
      </w:r>
      <w:r w:rsidR="00ED7675" w:rsidRPr="0072678C">
        <w:rPr>
          <w:rFonts w:ascii="Calibri" w:hAnsi="Calibri" w:cs="Calibri"/>
          <w:b/>
          <w:i/>
          <w:sz w:val="22"/>
          <w:szCs w:val="22"/>
        </w:rPr>
        <w:t>Relacionamento da gestão fiscal com as entidades representativas dos servidores; sistema de benefícios e premiação pelo desempenho para os servidores da administração fiscal; execução da formação e a capacitação de dirigentes e servidores; e sistema de aposentadoria de servidores da administração fiscal.</w:t>
      </w:r>
    </w:p>
    <w:p w:rsidR="00912348" w:rsidRPr="0072678C" w:rsidRDefault="00ED7675" w:rsidP="00912348">
      <w:pPr>
        <w:spacing w:before="240" w:after="240"/>
        <w:jc w:val="both"/>
        <w:rPr>
          <w:rFonts w:ascii="Calibri" w:hAnsi="Calibri" w:cs="Calibri"/>
          <w:sz w:val="22"/>
          <w:szCs w:val="22"/>
        </w:rPr>
      </w:pPr>
      <w:r w:rsidRPr="0072678C">
        <w:rPr>
          <w:rFonts w:ascii="Calibri" w:hAnsi="Calibri" w:cs="Calibri"/>
          <w:sz w:val="22"/>
          <w:szCs w:val="22"/>
        </w:rPr>
        <w:t>Apenas o processo c</w:t>
      </w:r>
      <w:r w:rsidRPr="0072678C">
        <w:rPr>
          <w:rFonts w:ascii="Calibri" w:hAnsi="Calibri" w:cs="Calibri"/>
          <w:b/>
          <w:i/>
          <w:sz w:val="22"/>
          <w:szCs w:val="22"/>
        </w:rPr>
        <w:t>ódigo de ética e conduta da administração fiscal aplicável a dirigentes e servidores</w:t>
      </w:r>
      <w:r w:rsidRPr="0072678C">
        <w:rPr>
          <w:rFonts w:ascii="Calibri" w:hAnsi="Calibri" w:cs="Calibri"/>
          <w:sz w:val="22"/>
          <w:szCs w:val="22"/>
        </w:rPr>
        <w:t xml:space="preserve"> apresentou nível 3 de maturidade nas boas práticas da MD-GEFIS, ou seja, atende a</w:t>
      </w:r>
      <w:r w:rsidR="004B14FF" w:rsidRPr="0072678C">
        <w:rPr>
          <w:rFonts w:ascii="Calibri" w:hAnsi="Calibri" w:cs="Calibri"/>
          <w:sz w:val="22"/>
          <w:szCs w:val="22"/>
        </w:rPr>
        <w:t xml:space="preserve"> 6 dentre 8 </w:t>
      </w:r>
      <w:r w:rsidR="009B231A">
        <w:rPr>
          <w:rFonts w:ascii="Calibri" w:hAnsi="Calibri" w:cs="Calibri"/>
          <w:sz w:val="22"/>
          <w:szCs w:val="22"/>
        </w:rPr>
        <w:t>requisitos</w:t>
      </w:r>
      <w:r w:rsidRPr="0072678C">
        <w:rPr>
          <w:rFonts w:ascii="Calibri" w:hAnsi="Calibri" w:cs="Calibri"/>
          <w:sz w:val="22"/>
          <w:szCs w:val="22"/>
        </w:rPr>
        <w:t xml:space="preserve"> da</w:t>
      </w:r>
      <w:r w:rsidR="00C710C8" w:rsidRPr="0072678C">
        <w:rPr>
          <w:rFonts w:ascii="Calibri" w:hAnsi="Calibri" w:cs="Calibri"/>
          <w:sz w:val="22"/>
          <w:szCs w:val="22"/>
        </w:rPr>
        <w:t>s bo</w:t>
      </w:r>
      <w:r w:rsidR="0060196A" w:rsidRPr="0072678C">
        <w:rPr>
          <w:rFonts w:ascii="Calibri" w:hAnsi="Calibri" w:cs="Calibri"/>
          <w:sz w:val="22"/>
          <w:szCs w:val="22"/>
        </w:rPr>
        <w:t>a</w:t>
      </w:r>
      <w:r w:rsidR="00C710C8" w:rsidRPr="0072678C">
        <w:rPr>
          <w:rFonts w:ascii="Calibri" w:hAnsi="Calibri" w:cs="Calibri"/>
          <w:sz w:val="22"/>
          <w:szCs w:val="22"/>
        </w:rPr>
        <w:t xml:space="preserve">s práticas da </w:t>
      </w:r>
      <w:r w:rsidRPr="0072678C">
        <w:rPr>
          <w:rFonts w:ascii="Calibri" w:hAnsi="Calibri" w:cs="Calibri"/>
          <w:sz w:val="22"/>
          <w:szCs w:val="22"/>
        </w:rPr>
        <w:t>MD-GEFIS</w:t>
      </w:r>
      <w:r w:rsidR="0060196A" w:rsidRPr="0072678C">
        <w:rPr>
          <w:rFonts w:ascii="Calibri" w:hAnsi="Calibri" w:cs="Calibri"/>
          <w:sz w:val="22"/>
          <w:szCs w:val="22"/>
        </w:rPr>
        <w:t>. O código de ética d</w:t>
      </w:r>
      <w:r w:rsidR="00AE57C1" w:rsidRPr="0072678C">
        <w:rPr>
          <w:rFonts w:ascii="Calibri" w:hAnsi="Calibri" w:cs="Calibri"/>
          <w:sz w:val="22"/>
          <w:szCs w:val="22"/>
        </w:rPr>
        <w:t>etalha os valores, princípios e comportamentos esperados dos agentes públicos</w:t>
      </w:r>
      <w:r w:rsidR="00AE57C1" w:rsidRPr="0072678C">
        <w:rPr>
          <w:rStyle w:val="FootnoteReference"/>
          <w:rFonts w:ascii="Calibri" w:hAnsi="Calibri" w:cs="Calibri"/>
          <w:sz w:val="22"/>
          <w:szCs w:val="22"/>
        </w:rPr>
        <w:footnoteReference w:id="28"/>
      </w:r>
      <w:r w:rsidR="00AE57C1" w:rsidRPr="0072678C">
        <w:rPr>
          <w:rFonts w:ascii="Calibri" w:hAnsi="Calibri" w:cs="Calibri"/>
          <w:sz w:val="22"/>
          <w:szCs w:val="22"/>
        </w:rPr>
        <w:t xml:space="preserve">; </w:t>
      </w:r>
      <w:r w:rsidR="00DC0686" w:rsidRPr="0072678C">
        <w:rPr>
          <w:rFonts w:ascii="Calibri" w:hAnsi="Calibri" w:cs="Calibri"/>
          <w:sz w:val="22"/>
          <w:szCs w:val="22"/>
        </w:rPr>
        <w:t>d</w:t>
      </w:r>
      <w:r w:rsidR="00AE57C1" w:rsidRPr="0072678C">
        <w:rPr>
          <w:rFonts w:ascii="Calibri" w:hAnsi="Calibri" w:cs="Calibri"/>
          <w:sz w:val="22"/>
          <w:szCs w:val="22"/>
        </w:rPr>
        <w:t>efine tratamento de conflitos de interesses, de apuração de irregularidades, incluindo desconformidades com o código de ética e de conduta e com diretrizes de governança e de gestão</w:t>
      </w:r>
      <w:r w:rsidR="00DC0686" w:rsidRPr="0072678C">
        <w:rPr>
          <w:rFonts w:ascii="Calibri" w:hAnsi="Calibri" w:cs="Calibri"/>
          <w:sz w:val="22"/>
          <w:szCs w:val="22"/>
        </w:rPr>
        <w:t>; define procedimentos para acompanhamento da variação patrimonial</w:t>
      </w:r>
      <w:r w:rsidR="00DC0686" w:rsidRPr="0072678C">
        <w:rPr>
          <w:rStyle w:val="FootnoteReference"/>
          <w:rFonts w:ascii="Calibri" w:hAnsi="Calibri" w:cs="Calibri"/>
          <w:sz w:val="22"/>
          <w:szCs w:val="22"/>
        </w:rPr>
        <w:footnoteReference w:id="29"/>
      </w:r>
      <w:r w:rsidR="00AC3F74" w:rsidRPr="0072678C">
        <w:rPr>
          <w:rFonts w:ascii="Calibri" w:hAnsi="Calibri" w:cs="Calibri"/>
          <w:sz w:val="22"/>
          <w:szCs w:val="22"/>
        </w:rPr>
        <w:t>; proíbe o recebimento de benefícios que possam, de forma efetiva ou potencial, influenciar, ou parecer influenciar, suas ações; define sanções cabíveis em caso de seu descumprimento; e estabelece mecanismos de monitoramento e avaliação do seu cumprimento</w:t>
      </w:r>
      <w:r w:rsidR="00912348" w:rsidRPr="0072678C">
        <w:rPr>
          <w:rFonts w:ascii="Calibri" w:hAnsi="Calibri" w:cs="Calibri"/>
          <w:sz w:val="22"/>
          <w:szCs w:val="22"/>
        </w:rPr>
        <w:t xml:space="preserve">, conforme Decreto </w:t>
      </w:r>
      <w:r w:rsidR="00AC3F74" w:rsidRPr="0072678C">
        <w:rPr>
          <w:rFonts w:ascii="Calibri" w:hAnsi="Calibri" w:cs="Calibri"/>
          <w:sz w:val="22"/>
          <w:szCs w:val="22"/>
        </w:rPr>
        <w:t>Nº 50.656,</w:t>
      </w:r>
      <w:r w:rsidR="00912348" w:rsidRPr="0072678C">
        <w:rPr>
          <w:rFonts w:ascii="Calibri" w:hAnsi="Calibri" w:cs="Calibri"/>
          <w:sz w:val="22"/>
          <w:szCs w:val="22"/>
        </w:rPr>
        <w:t xml:space="preserve"> de 30 de março de 2016</w:t>
      </w:r>
      <w:r w:rsidR="00AC3F74" w:rsidRPr="0072678C">
        <w:rPr>
          <w:rFonts w:ascii="Calibri" w:hAnsi="Calibri" w:cs="Calibri"/>
          <w:sz w:val="22"/>
          <w:szCs w:val="22"/>
        </w:rPr>
        <w:t>, que institui e organiza o Sistema Informatizado da Rede de Ouvidorias do Estado de São Paulo, regulamenta o envio dos relatórios semestrais das ouvidorias e dá providências correlatas</w:t>
      </w:r>
      <w:r w:rsidR="00912348" w:rsidRPr="0072678C">
        <w:rPr>
          <w:rStyle w:val="FootnoteReference"/>
          <w:rFonts w:ascii="Calibri" w:hAnsi="Calibri" w:cs="Calibri"/>
          <w:sz w:val="22"/>
          <w:szCs w:val="22"/>
        </w:rPr>
        <w:footnoteReference w:id="30"/>
      </w:r>
      <w:r w:rsidR="004F30E6" w:rsidRPr="0072678C">
        <w:rPr>
          <w:rFonts w:ascii="Calibri" w:hAnsi="Calibri" w:cs="Calibri"/>
          <w:sz w:val="22"/>
          <w:szCs w:val="22"/>
        </w:rPr>
        <w:t xml:space="preserve">. </w:t>
      </w:r>
      <w:r w:rsidR="00AC3F74" w:rsidRPr="0072678C">
        <w:rPr>
          <w:rFonts w:ascii="Calibri" w:hAnsi="Calibri" w:cs="Calibri"/>
          <w:sz w:val="22"/>
          <w:szCs w:val="22"/>
        </w:rPr>
        <w:t>Em conjunto com este Decreto deve ser observada a Resolução SF - 61, de 1º -11-2007, que dispõe sobre os procedimentos que devem ser observados pelas unidades da Secretaria</w:t>
      </w:r>
      <w:r w:rsidR="004F30E6" w:rsidRPr="0072678C">
        <w:rPr>
          <w:rFonts w:ascii="Calibri" w:hAnsi="Calibri" w:cs="Calibri"/>
          <w:sz w:val="22"/>
          <w:szCs w:val="22"/>
        </w:rPr>
        <w:t xml:space="preserve"> </w:t>
      </w:r>
      <w:r w:rsidR="00AC3F74" w:rsidRPr="0072678C">
        <w:rPr>
          <w:rFonts w:ascii="Calibri" w:hAnsi="Calibri" w:cs="Calibri"/>
          <w:sz w:val="22"/>
          <w:szCs w:val="22"/>
        </w:rPr>
        <w:t>da Fazenda do Estado de São Paulo às solicit</w:t>
      </w:r>
      <w:r w:rsidR="00912348" w:rsidRPr="0072678C">
        <w:rPr>
          <w:rFonts w:ascii="Calibri" w:hAnsi="Calibri" w:cs="Calibri"/>
          <w:sz w:val="22"/>
          <w:szCs w:val="22"/>
        </w:rPr>
        <w:t xml:space="preserve">ações de sua Comissão de Ética, assim como, </w:t>
      </w:r>
      <w:r w:rsidR="00AC3F74" w:rsidRPr="0072678C">
        <w:rPr>
          <w:rFonts w:ascii="Calibri" w:hAnsi="Calibri" w:cs="Calibri"/>
          <w:sz w:val="22"/>
          <w:szCs w:val="22"/>
        </w:rPr>
        <w:t>o D</w:t>
      </w:r>
      <w:r w:rsidR="00912348" w:rsidRPr="0072678C">
        <w:rPr>
          <w:rFonts w:ascii="Calibri" w:hAnsi="Calibri" w:cs="Calibri"/>
          <w:sz w:val="22"/>
          <w:szCs w:val="22"/>
        </w:rPr>
        <w:t xml:space="preserve">ecreto </w:t>
      </w:r>
      <w:r w:rsidR="00AC3F74" w:rsidRPr="0072678C">
        <w:rPr>
          <w:rFonts w:ascii="Calibri" w:hAnsi="Calibri" w:cs="Calibri"/>
          <w:sz w:val="22"/>
          <w:szCs w:val="22"/>
        </w:rPr>
        <w:t xml:space="preserve">Nº 60.399, </w:t>
      </w:r>
      <w:r w:rsidR="00912348" w:rsidRPr="0072678C">
        <w:rPr>
          <w:rFonts w:ascii="Calibri" w:hAnsi="Calibri" w:cs="Calibri"/>
          <w:sz w:val="22"/>
          <w:szCs w:val="22"/>
        </w:rPr>
        <w:t xml:space="preserve">de 29 de abril de </w:t>
      </w:r>
      <w:r w:rsidR="00AC3F74" w:rsidRPr="0072678C">
        <w:rPr>
          <w:rFonts w:ascii="Calibri" w:hAnsi="Calibri" w:cs="Calibri"/>
          <w:sz w:val="22"/>
          <w:szCs w:val="22"/>
        </w:rPr>
        <w:t>2014, que dispõe sobre a atividade das Ouvidorias instituídas pela Lei nº 10.294, de 20 de abril de 1999</w:t>
      </w:r>
      <w:r w:rsidR="00912348" w:rsidRPr="0072678C">
        <w:rPr>
          <w:rFonts w:ascii="Calibri" w:hAnsi="Calibri" w:cs="Calibri"/>
          <w:sz w:val="22"/>
          <w:szCs w:val="22"/>
        </w:rPr>
        <w:t>.</w:t>
      </w:r>
    </w:p>
    <w:p w:rsidR="007E54E1" w:rsidRPr="0072678C" w:rsidRDefault="004F30E6" w:rsidP="007730C4">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O processo</w:t>
      </w:r>
      <w:r w:rsidRPr="0072678C">
        <w:rPr>
          <w:rFonts w:asciiTheme="minorHAnsi" w:hAnsiTheme="minorHAnsi" w:cstheme="minorHAnsi"/>
          <w:b/>
          <w:bCs/>
          <w:sz w:val="22"/>
          <w:szCs w:val="22"/>
        </w:rPr>
        <w:t xml:space="preserve"> </w:t>
      </w:r>
      <w:r w:rsidRPr="0072678C">
        <w:rPr>
          <w:rFonts w:ascii="Calibri" w:hAnsi="Calibri" w:cs="Calibri"/>
          <w:b/>
          <w:i/>
          <w:sz w:val="22"/>
          <w:szCs w:val="22"/>
        </w:rPr>
        <w:t>relacionamento da gestão fiscal com as entidades representativas dos servidores</w:t>
      </w:r>
      <w:r w:rsidRPr="0072678C">
        <w:rPr>
          <w:rFonts w:asciiTheme="minorHAnsi" w:hAnsiTheme="minorHAnsi" w:cstheme="minorHAnsi"/>
          <w:b/>
          <w:bCs/>
          <w:sz w:val="22"/>
          <w:szCs w:val="22"/>
        </w:rPr>
        <w:t xml:space="preserve"> </w:t>
      </w:r>
      <w:r w:rsidRPr="0072678C">
        <w:rPr>
          <w:rFonts w:asciiTheme="minorHAnsi" w:hAnsiTheme="minorHAnsi" w:cstheme="minorHAnsi"/>
          <w:sz w:val="22"/>
          <w:szCs w:val="22"/>
        </w:rPr>
        <w:t>obteve nível 2 de maturidade e atendeu a 4 dentre 6 requisitos de boas práticas da MD-GEFIS. A SEFAZ/SP</w:t>
      </w:r>
      <w:r w:rsidR="007730C4" w:rsidRPr="0072678C">
        <w:rPr>
          <w:rFonts w:asciiTheme="minorHAnsi" w:hAnsiTheme="minorHAnsi" w:cstheme="minorHAnsi"/>
          <w:sz w:val="22"/>
          <w:szCs w:val="22"/>
        </w:rPr>
        <w:t xml:space="preserve"> r</w:t>
      </w:r>
      <w:r w:rsidRPr="0072678C">
        <w:rPr>
          <w:rFonts w:asciiTheme="minorHAnsi" w:hAnsiTheme="minorHAnsi" w:cstheme="minorHAnsi"/>
          <w:sz w:val="22"/>
          <w:szCs w:val="22"/>
        </w:rPr>
        <w:t>econhece a liberdade de organização e associação em entidades de classe assegurad</w:t>
      </w:r>
      <w:r w:rsidR="00E053C0" w:rsidRPr="0072678C">
        <w:rPr>
          <w:rFonts w:asciiTheme="minorHAnsi" w:hAnsiTheme="minorHAnsi" w:cstheme="minorHAnsi"/>
          <w:sz w:val="22"/>
          <w:szCs w:val="22"/>
        </w:rPr>
        <w:t>a</w:t>
      </w:r>
      <w:r w:rsidR="007730C4" w:rsidRPr="0072678C">
        <w:rPr>
          <w:rFonts w:asciiTheme="minorHAnsi" w:hAnsiTheme="minorHAnsi" w:cstheme="minorHAnsi"/>
          <w:sz w:val="22"/>
          <w:szCs w:val="22"/>
        </w:rPr>
        <w:t xml:space="preserve"> </w:t>
      </w:r>
      <w:r w:rsidR="00875D71" w:rsidRPr="0072678C">
        <w:rPr>
          <w:rFonts w:asciiTheme="minorHAnsi" w:hAnsiTheme="minorHAnsi" w:cstheme="minorHAnsi"/>
          <w:sz w:val="22"/>
          <w:szCs w:val="22"/>
        </w:rPr>
        <w:t>pela Constituição do Estado</w:t>
      </w:r>
      <w:r w:rsidRPr="0072678C">
        <w:rPr>
          <w:rFonts w:asciiTheme="minorHAnsi" w:hAnsiTheme="minorHAnsi" w:cstheme="minorHAnsi"/>
          <w:sz w:val="22"/>
          <w:szCs w:val="22"/>
        </w:rPr>
        <w:t>, conforme art. 115, inciso</w:t>
      </w:r>
      <w:r w:rsidR="00361F1D" w:rsidRPr="0072678C">
        <w:rPr>
          <w:rFonts w:asciiTheme="minorHAnsi" w:hAnsiTheme="minorHAnsi" w:cstheme="minorHAnsi"/>
          <w:sz w:val="22"/>
          <w:szCs w:val="22"/>
        </w:rPr>
        <w:t xml:space="preserve"> </w:t>
      </w:r>
      <w:r w:rsidRPr="0072678C">
        <w:rPr>
          <w:rFonts w:asciiTheme="minorHAnsi" w:hAnsiTheme="minorHAnsi" w:cstheme="minorHAnsi"/>
          <w:sz w:val="22"/>
          <w:szCs w:val="22"/>
        </w:rPr>
        <w:t>VI</w:t>
      </w:r>
      <w:r w:rsidR="00875D71" w:rsidRPr="0072678C">
        <w:rPr>
          <w:rFonts w:asciiTheme="minorHAnsi" w:hAnsiTheme="minorHAnsi" w:cstheme="minorHAnsi"/>
          <w:sz w:val="22"/>
          <w:szCs w:val="22"/>
        </w:rPr>
        <w:t xml:space="preserve">, onde, </w:t>
      </w:r>
      <w:r w:rsidRPr="0072678C">
        <w:rPr>
          <w:rFonts w:asciiTheme="minorHAnsi" w:hAnsiTheme="minorHAnsi" w:cstheme="minorHAnsi"/>
          <w:sz w:val="22"/>
          <w:szCs w:val="22"/>
        </w:rPr>
        <w:t>é garantido ao servidor público civil o direito à livre associação sindical, obedecido o disposto no art. 8º da Constituição Federal</w:t>
      </w:r>
      <w:r w:rsidR="00361F1D" w:rsidRPr="0072678C">
        <w:rPr>
          <w:rFonts w:asciiTheme="minorHAnsi" w:hAnsiTheme="minorHAnsi" w:cstheme="minorHAnsi"/>
          <w:sz w:val="22"/>
          <w:szCs w:val="22"/>
        </w:rPr>
        <w:t xml:space="preserve">, e </w:t>
      </w:r>
      <w:r w:rsidR="00875D71" w:rsidRPr="0072678C">
        <w:rPr>
          <w:rFonts w:asciiTheme="minorHAnsi" w:hAnsiTheme="minorHAnsi" w:cstheme="minorHAnsi"/>
          <w:sz w:val="22"/>
          <w:szCs w:val="22"/>
        </w:rPr>
        <w:t xml:space="preserve">do </w:t>
      </w:r>
      <w:r w:rsidR="00361F1D" w:rsidRPr="0072678C">
        <w:rPr>
          <w:rFonts w:asciiTheme="minorHAnsi" w:hAnsiTheme="minorHAnsi" w:cstheme="minorHAnsi"/>
          <w:sz w:val="22"/>
          <w:szCs w:val="22"/>
        </w:rPr>
        <w:t xml:space="preserve">inciso </w:t>
      </w:r>
      <w:r w:rsidRPr="0072678C">
        <w:rPr>
          <w:rFonts w:asciiTheme="minorHAnsi" w:hAnsiTheme="minorHAnsi" w:cstheme="minorHAnsi"/>
          <w:sz w:val="22"/>
          <w:szCs w:val="22"/>
        </w:rPr>
        <w:t>VII</w:t>
      </w:r>
      <w:r w:rsidR="00875D71" w:rsidRPr="0072678C">
        <w:rPr>
          <w:rFonts w:asciiTheme="minorHAnsi" w:hAnsiTheme="minorHAnsi" w:cstheme="minorHAnsi"/>
          <w:sz w:val="22"/>
          <w:szCs w:val="22"/>
        </w:rPr>
        <w:t xml:space="preserve">, onde, </w:t>
      </w:r>
      <w:r w:rsidRPr="0072678C">
        <w:rPr>
          <w:rFonts w:asciiTheme="minorHAnsi" w:hAnsiTheme="minorHAnsi" w:cstheme="minorHAnsi"/>
          <w:sz w:val="22"/>
          <w:szCs w:val="22"/>
        </w:rPr>
        <w:t xml:space="preserve">o servidor e empregado público gozarão de estabilidade no cargo ou emprego desde o registro de sua candidatura para o exercício de cargo de representação sindical ou no caso previsto no inciso XXIII deste artigo, até um ano após o término do mandato, se eleito, salvo se cometer falta grave definida em </w:t>
      </w:r>
      <w:r w:rsidR="00E053C0" w:rsidRPr="0072678C">
        <w:rPr>
          <w:rFonts w:asciiTheme="minorHAnsi" w:hAnsiTheme="minorHAnsi" w:cstheme="minorHAnsi"/>
          <w:sz w:val="22"/>
          <w:szCs w:val="22"/>
        </w:rPr>
        <w:t>L</w:t>
      </w:r>
      <w:r w:rsidRPr="0072678C">
        <w:rPr>
          <w:rFonts w:asciiTheme="minorHAnsi" w:hAnsiTheme="minorHAnsi" w:cstheme="minorHAnsi"/>
          <w:sz w:val="22"/>
          <w:szCs w:val="22"/>
        </w:rPr>
        <w:t>ei</w:t>
      </w:r>
      <w:r w:rsidR="007730C4" w:rsidRPr="0072678C">
        <w:rPr>
          <w:rStyle w:val="FootnoteReference"/>
          <w:rFonts w:asciiTheme="minorHAnsi" w:hAnsiTheme="minorHAnsi" w:cstheme="minorHAnsi"/>
          <w:sz w:val="22"/>
          <w:szCs w:val="22"/>
        </w:rPr>
        <w:footnoteReference w:id="31"/>
      </w:r>
      <w:r w:rsidRPr="0072678C">
        <w:rPr>
          <w:rFonts w:asciiTheme="minorHAnsi" w:hAnsiTheme="minorHAnsi" w:cstheme="minorHAnsi"/>
          <w:sz w:val="22"/>
          <w:szCs w:val="22"/>
        </w:rPr>
        <w:t>;</w:t>
      </w:r>
      <w:r w:rsidR="00361F1D" w:rsidRPr="0072678C">
        <w:rPr>
          <w:rFonts w:asciiTheme="minorHAnsi" w:hAnsiTheme="minorHAnsi" w:cstheme="minorHAnsi"/>
          <w:sz w:val="22"/>
          <w:szCs w:val="22"/>
        </w:rPr>
        <w:t xml:space="preserve"> assegura</w:t>
      </w:r>
      <w:r w:rsidR="00875D71" w:rsidRPr="0072678C">
        <w:rPr>
          <w:rFonts w:asciiTheme="minorHAnsi" w:hAnsiTheme="minorHAnsi" w:cstheme="minorHAnsi"/>
          <w:sz w:val="22"/>
          <w:szCs w:val="22"/>
        </w:rPr>
        <w:t xml:space="preserve"> ainda, </w:t>
      </w:r>
      <w:r w:rsidR="00361F1D" w:rsidRPr="0072678C">
        <w:rPr>
          <w:rFonts w:asciiTheme="minorHAnsi" w:hAnsiTheme="minorHAnsi" w:cstheme="minorHAnsi"/>
          <w:sz w:val="22"/>
          <w:szCs w:val="22"/>
        </w:rPr>
        <w:t xml:space="preserve">mecanismos de participação das entidades na formulação de políticas de gestão de pessoas. A SEFAZ/SP realiza reuniões com as entidades de classe; define critérios para liberação de dirigentes e servidores para atuar nas entidades </w:t>
      </w:r>
      <w:r w:rsidR="007E54E1" w:rsidRPr="0072678C">
        <w:rPr>
          <w:rFonts w:asciiTheme="minorHAnsi" w:hAnsiTheme="minorHAnsi" w:cstheme="minorHAnsi"/>
          <w:sz w:val="22"/>
          <w:szCs w:val="22"/>
        </w:rPr>
        <w:t xml:space="preserve">conforme Lei Complementar nº 343, de 06/01/1984, que dispõe sobre o afastamento de funcionários e servidores do Estado para exercer mandato como dirigente de entidades de </w:t>
      </w:r>
      <w:r w:rsidR="007E54E1" w:rsidRPr="0072678C">
        <w:rPr>
          <w:rFonts w:asciiTheme="minorHAnsi" w:hAnsiTheme="minorHAnsi" w:cstheme="minorHAnsi"/>
          <w:sz w:val="22"/>
          <w:szCs w:val="22"/>
        </w:rPr>
        <w:lastRenderedPageBreak/>
        <w:t>classe, nas condições que especifica e dá providências correlatas</w:t>
      </w:r>
      <w:r w:rsidR="007E54E1" w:rsidRPr="0072678C">
        <w:rPr>
          <w:rStyle w:val="FootnoteReference"/>
          <w:rFonts w:asciiTheme="minorHAnsi" w:hAnsiTheme="minorHAnsi" w:cstheme="minorHAnsi"/>
          <w:sz w:val="22"/>
          <w:szCs w:val="22"/>
        </w:rPr>
        <w:footnoteReference w:id="32"/>
      </w:r>
      <w:r w:rsidR="007E54E1" w:rsidRPr="0072678C">
        <w:rPr>
          <w:rFonts w:asciiTheme="minorHAnsi" w:hAnsiTheme="minorHAnsi" w:cstheme="minorHAnsi"/>
          <w:sz w:val="22"/>
          <w:szCs w:val="22"/>
        </w:rPr>
        <w:t>; e disponibiliza base de dados com informações funcionais de dirigentes e servidores</w:t>
      </w:r>
      <w:r w:rsidR="007E54E1" w:rsidRPr="0072678C">
        <w:rPr>
          <w:rStyle w:val="FootnoteReference"/>
          <w:rFonts w:asciiTheme="minorHAnsi" w:hAnsiTheme="minorHAnsi" w:cstheme="minorHAnsi"/>
          <w:sz w:val="22"/>
          <w:szCs w:val="22"/>
        </w:rPr>
        <w:footnoteReference w:id="33"/>
      </w:r>
      <w:r w:rsidR="007E54E1" w:rsidRPr="0072678C">
        <w:rPr>
          <w:rFonts w:asciiTheme="minorHAnsi" w:hAnsiTheme="minorHAnsi" w:cstheme="minorHAnsi"/>
          <w:sz w:val="22"/>
          <w:szCs w:val="22"/>
        </w:rPr>
        <w:t>.</w:t>
      </w:r>
    </w:p>
    <w:p w:rsidR="008A643D" w:rsidRPr="0072678C" w:rsidRDefault="00875D71" w:rsidP="007730C4">
      <w:pPr>
        <w:spacing w:before="240" w:after="240"/>
        <w:jc w:val="both"/>
        <w:rPr>
          <w:rFonts w:ascii="Calibri" w:hAnsi="Calibri" w:cs="Calibri"/>
          <w:sz w:val="22"/>
          <w:szCs w:val="22"/>
        </w:rPr>
      </w:pPr>
      <w:r w:rsidRPr="0072678C">
        <w:rPr>
          <w:rFonts w:ascii="Calibri" w:hAnsi="Calibri" w:cs="Calibri"/>
          <w:sz w:val="22"/>
          <w:szCs w:val="22"/>
        </w:rPr>
        <w:t xml:space="preserve">O processo </w:t>
      </w:r>
      <w:r w:rsidRPr="0072678C">
        <w:rPr>
          <w:rFonts w:ascii="Calibri" w:hAnsi="Calibri" w:cs="Calibri"/>
          <w:b/>
          <w:i/>
          <w:sz w:val="22"/>
          <w:szCs w:val="22"/>
        </w:rPr>
        <w:t>sistema de benefícios e premiação pelo desempenho para os servidores da administração fiscal</w:t>
      </w:r>
      <w:r w:rsidRPr="0072678C">
        <w:rPr>
          <w:rFonts w:ascii="Calibri" w:hAnsi="Calibri" w:cs="Calibri"/>
          <w:sz w:val="22"/>
          <w:szCs w:val="22"/>
        </w:rPr>
        <w:t xml:space="preserve">, obteve nível 2 de maturidade e atende a 4 dentre 6 </w:t>
      </w:r>
      <w:r w:rsidR="009B231A">
        <w:rPr>
          <w:rFonts w:ascii="Calibri" w:hAnsi="Calibri" w:cs="Calibri"/>
          <w:sz w:val="22"/>
          <w:szCs w:val="22"/>
        </w:rPr>
        <w:t>requisitos</w:t>
      </w:r>
      <w:r w:rsidRPr="0072678C">
        <w:rPr>
          <w:rFonts w:ascii="Calibri" w:hAnsi="Calibri" w:cs="Calibri"/>
          <w:sz w:val="22"/>
          <w:szCs w:val="22"/>
        </w:rPr>
        <w:t xml:space="preserve"> das boas práticas </w:t>
      </w:r>
      <w:r w:rsidR="008A643D" w:rsidRPr="0072678C">
        <w:rPr>
          <w:rFonts w:ascii="Calibri" w:hAnsi="Calibri" w:cs="Calibri"/>
          <w:sz w:val="22"/>
          <w:szCs w:val="22"/>
        </w:rPr>
        <w:t>da MD-GEFIS. A Lei Complementar 1079/08 Institui Bonificação por Resultados - BR, no âmbito da Secretaria da Fazenda</w:t>
      </w:r>
      <w:r w:rsidR="008A643D" w:rsidRPr="0072678C">
        <w:rPr>
          <w:rStyle w:val="FootnoteReference"/>
          <w:rFonts w:ascii="Calibri" w:hAnsi="Calibri" w:cs="Calibri"/>
          <w:sz w:val="22"/>
          <w:szCs w:val="22"/>
        </w:rPr>
        <w:footnoteReference w:id="34"/>
      </w:r>
      <w:r w:rsidR="008A643D" w:rsidRPr="0072678C">
        <w:rPr>
          <w:rFonts w:ascii="Calibri" w:hAnsi="Calibri" w:cs="Calibri"/>
          <w:sz w:val="22"/>
          <w:szCs w:val="22"/>
        </w:rPr>
        <w:t xml:space="preserve">; </w:t>
      </w:r>
      <w:r w:rsidR="00D40606" w:rsidRPr="0072678C">
        <w:rPr>
          <w:rFonts w:ascii="Calibri" w:hAnsi="Calibri" w:cs="Calibri"/>
          <w:sz w:val="22"/>
          <w:szCs w:val="22"/>
        </w:rPr>
        <w:t xml:space="preserve">e </w:t>
      </w:r>
      <w:r w:rsidR="008A643D" w:rsidRPr="0072678C">
        <w:rPr>
          <w:rFonts w:ascii="Calibri" w:hAnsi="Calibri" w:cs="Calibri"/>
          <w:sz w:val="22"/>
          <w:szCs w:val="22"/>
        </w:rPr>
        <w:t xml:space="preserve">estabelece benefícios e premiações financeiras considerando o resultado do desempenho organizacional e individual; </w:t>
      </w:r>
      <w:r w:rsidR="00D40606" w:rsidRPr="0072678C">
        <w:rPr>
          <w:rFonts w:ascii="Calibri" w:hAnsi="Calibri" w:cs="Calibri"/>
          <w:sz w:val="22"/>
          <w:szCs w:val="22"/>
        </w:rPr>
        <w:t>a SEFA</w:t>
      </w:r>
      <w:r w:rsidR="00B26D03" w:rsidRPr="0072678C">
        <w:rPr>
          <w:rFonts w:ascii="Calibri" w:hAnsi="Calibri" w:cs="Calibri"/>
          <w:sz w:val="22"/>
          <w:szCs w:val="22"/>
        </w:rPr>
        <w:t>Z</w:t>
      </w:r>
      <w:r w:rsidR="00D40606" w:rsidRPr="0072678C">
        <w:rPr>
          <w:rFonts w:ascii="Calibri" w:hAnsi="Calibri" w:cs="Calibri"/>
          <w:sz w:val="22"/>
          <w:szCs w:val="22"/>
        </w:rPr>
        <w:t xml:space="preserve">/SP </w:t>
      </w:r>
      <w:r w:rsidR="008A643D" w:rsidRPr="0072678C">
        <w:rPr>
          <w:rFonts w:ascii="Calibri" w:hAnsi="Calibri" w:cs="Calibri"/>
          <w:sz w:val="22"/>
          <w:szCs w:val="22"/>
        </w:rPr>
        <w:t xml:space="preserve">divulga os benefícios e premiações, financeiros e não financeiros, concedidos; avalia o sistema de benefícios e premiação promovendo os ajustes </w:t>
      </w:r>
      <w:r w:rsidR="00D40606" w:rsidRPr="0072678C">
        <w:rPr>
          <w:rFonts w:ascii="Calibri" w:hAnsi="Calibri" w:cs="Calibri"/>
          <w:sz w:val="22"/>
          <w:szCs w:val="22"/>
        </w:rPr>
        <w:t xml:space="preserve">quando </w:t>
      </w:r>
      <w:r w:rsidR="008A643D" w:rsidRPr="0072678C">
        <w:rPr>
          <w:rFonts w:ascii="Calibri" w:hAnsi="Calibri" w:cs="Calibri"/>
          <w:sz w:val="22"/>
          <w:szCs w:val="22"/>
        </w:rPr>
        <w:t>necessários</w:t>
      </w:r>
      <w:r w:rsidR="00D40606" w:rsidRPr="0072678C">
        <w:rPr>
          <w:rFonts w:ascii="Calibri" w:hAnsi="Calibri" w:cs="Calibri"/>
          <w:sz w:val="22"/>
          <w:szCs w:val="22"/>
        </w:rPr>
        <w:t>. Os resultados são publicados no DOE, assim como as avaliações dos benefícios de PR e BR, como exemplo a Resolução SF 59/2017 e a Resolução SF 111/2017.</w:t>
      </w:r>
    </w:p>
    <w:p w:rsidR="00F666A3" w:rsidRPr="0072678C" w:rsidRDefault="00F666A3" w:rsidP="007730C4">
      <w:pPr>
        <w:spacing w:before="240" w:after="240"/>
        <w:jc w:val="both"/>
        <w:rPr>
          <w:rFonts w:ascii="Calibri" w:hAnsi="Calibri" w:cs="Calibri"/>
          <w:sz w:val="22"/>
          <w:szCs w:val="22"/>
        </w:rPr>
      </w:pPr>
      <w:r w:rsidRPr="0072678C">
        <w:rPr>
          <w:rFonts w:ascii="Calibri" w:hAnsi="Calibri" w:cs="Calibri"/>
          <w:sz w:val="22"/>
          <w:szCs w:val="22"/>
        </w:rPr>
        <w:t xml:space="preserve">O processo </w:t>
      </w:r>
      <w:r w:rsidRPr="0072678C">
        <w:rPr>
          <w:rFonts w:ascii="Calibri" w:hAnsi="Calibri" w:cs="Calibri"/>
          <w:b/>
          <w:i/>
          <w:sz w:val="22"/>
          <w:szCs w:val="22"/>
        </w:rPr>
        <w:t>execução da formação e a capacitação de dirigentes e servidores</w:t>
      </w:r>
      <w:r w:rsidRPr="0072678C">
        <w:rPr>
          <w:rFonts w:ascii="Calibri" w:hAnsi="Calibri" w:cs="Calibri"/>
          <w:sz w:val="22"/>
          <w:szCs w:val="22"/>
        </w:rPr>
        <w:t xml:space="preserve">, obteve nível 2 de maturidade e atende a 7 dentre 9 </w:t>
      </w:r>
      <w:r w:rsidR="009B231A">
        <w:rPr>
          <w:rFonts w:ascii="Calibri" w:hAnsi="Calibri" w:cs="Calibri"/>
          <w:sz w:val="22"/>
          <w:szCs w:val="22"/>
        </w:rPr>
        <w:t>requisitos</w:t>
      </w:r>
      <w:r w:rsidRPr="0072678C">
        <w:rPr>
          <w:rFonts w:ascii="Calibri" w:hAnsi="Calibri" w:cs="Calibri"/>
          <w:sz w:val="22"/>
          <w:szCs w:val="22"/>
        </w:rPr>
        <w:t xml:space="preserve"> das boas práticas da MD-GEFIS. A SEFAZ/SP dispõe de orçamento próprio para a execução do plano de ação de formação e capacitação, conforme Lei nº 16.646, de 11 de janeiro de 2018; utiliza banco de facilitadores e instrutores internos para ensino presencial e a distância; dispõe de mecanismos normativos e financeiros para remuneração de instrutores internos conforme Decreto N° 55.806, de 12/05/2010 que regulamenta o pagamento de horas-aula nos cursos da Escola Fazendária do Estado de São Paulo (FAZESP), da Secretaria da Fazenda, nas atividades especificadas, e dá providências correlatas</w:t>
      </w:r>
      <w:r w:rsidRPr="0072678C">
        <w:rPr>
          <w:rStyle w:val="FootnoteReference"/>
          <w:rFonts w:ascii="Calibri" w:hAnsi="Calibri" w:cs="Calibri"/>
          <w:sz w:val="22"/>
          <w:szCs w:val="22"/>
        </w:rPr>
        <w:footnoteReference w:id="35"/>
      </w:r>
      <w:r w:rsidRPr="0072678C">
        <w:rPr>
          <w:rFonts w:ascii="Calibri" w:hAnsi="Calibri" w:cs="Calibri"/>
          <w:sz w:val="22"/>
          <w:szCs w:val="22"/>
        </w:rPr>
        <w:t>; utiliza a Escola Fazendária</w:t>
      </w:r>
      <w:r w:rsidR="002D36FB" w:rsidRPr="0072678C">
        <w:rPr>
          <w:rFonts w:ascii="Calibri" w:hAnsi="Calibri" w:cs="Calibri"/>
          <w:sz w:val="22"/>
          <w:szCs w:val="22"/>
        </w:rPr>
        <w:t xml:space="preserve"> </w:t>
      </w:r>
      <w:r w:rsidRPr="0072678C">
        <w:rPr>
          <w:rFonts w:ascii="Calibri" w:hAnsi="Calibri" w:cs="Calibri"/>
          <w:sz w:val="22"/>
          <w:szCs w:val="22"/>
        </w:rPr>
        <w:t xml:space="preserve">para a execução direta da capacitação, conforme art. 95 do Decreto Nº 60.812, </w:t>
      </w:r>
      <w:r w:rsidR="007270BA" w:rsidRPr="0072678C">
        <w:rPr>
          <w:rFonts w:ascii="Calibri" w:hAnsi="Calibri" w:cs="Calibri"/>
          <w:sz w:val="22"/>
          <w:szCs w:val="22"/>
        </w:rPr>
        <w:t xml:space="preserve">de 30 de setembro de </w:t>
      </w:r>
      <w:r w:rsidRPr="0072678C">
        <w:rPr>
          <w:rFonts w:ascii="Calibri" w:hAnsi="Calibri" w:cs="Calibri"/>
          <w:sz w:val="22"/>
          <w:szCs w:val="22"/>
        </w:rPr>
        <w:t>2014</w:t>
      </w:r>
      <w:r w:rsidR="007270BA" w:rsidRPr="0072678C">
        <w:rPr>
          <w:rStyle w:val="FootnoteReference"/>
          <w:rFonts w:ascii="Calibri" w:hAnsi="Calibri" w:cs="Calibri"/>
          <w:sz w:val="22"/>
          <w:szCs w:val="22"/>
        </w:rPr>
        <w:footnoteReference w:id="36"/>
      </w:r>
      <w:r w:rsidR="007270BA" w:rsidRPr="0072678C">
        <w:rPr>
          <w:rFonts w:ascii="Calibri" w:hAnsi="Calibri" w:cs="Calibri"/>
          <w:sz w:val="22"/>
          <w:szCs w:val="22"/>
        </w:rPr>
        <w:t>; utiliza mecanismos de contratação externa, por meio de aquisição de vagas ou contratação de programas exclusivos</w:t>
      </w:r>
      <w:r w:rsidR="007270BA" w:rsidRPr="0072678C">
        <w:rPr>
          <w:rStyle w:val="FootnoteReference"/>
          <w:rFonts w:ascii="Calibri" w:hAnsi="Calibri" w:cs="Calibri"/>
          <w:sz w:val="22"/>
          <w:szCs w:val="22"/>
        </w:rPr>
        <w:footnoteReference w:id="37"/>
      </w:r>
      <w:r w:rsidR="007270BA" w:rsidRPr="0072678C">
        <w:rPr>
          <w:rFonts w:ascii="Calibri" w:hAnsi="Calibri" w:cs="Calibri"/>
          <w:sz w:val="22"/>
          <w:szCs w:val="22"/>
        </w:rPr>
        <w:t xml:space="preserve">; </w:t>
      </w:r>
      <w:r w:rsidR="002D36FB" w:rsidRPr="0072678C">
        <w:rPr>
          <w:rFonts w:ascii="Calibri" w:hAnsi="Calibri" w:cs="Calibri"/>
          <w:sz w:val="22"/>
          <w:szCs w:val="22"/>
        </w:rPr>
        <w:t>u</w:t>
      </w:r>
      <w:r w:rsidR="007270BA" w:rsidRPr="0072678C">
        <w:rPr>
          <w:rFonts w:ascii="Calibri" w:hAnsi="Calibri" w:cs="Calibri"/>
          <w:sz w:val="22"/>
          <w:szCs w:val="22"/>
        </w:rPr>
        <w:t>tiliza o ensino a distância, com implantação de estrutura tecnológica, desenvolvimento de equipes e programas de formação</w:t>
      </w:r>
      <w:r w:rsidR="007270BA" w:rsidRPr="0072678C">
        <w:rPr>
          <w:rStyle w:val="FootnoteReference"/>
          <w:rFonts w:ascii="Calibri" w:hAnsi="Calibri" w:cs="Calibri"/>
          <w:sz w:val="22"/>
          <w:szCs w:val="22"/>
        </w:rPr>
        <w:footnoteReference w:id="38"/>
      </w:r>
      <w:r w:rsidR="007270BA" w:rsidRPr="0072678C">
        <w:rPr>
          <w:rFonts w:ascii="Calibri" w:hAnsi="Calibri" w:cs="Calibri"/>
          <w:sz w:val="22"/>
          <w:szCs w:val="22"/>
        </w:rPr>
        <w:t>; e para o ensino presencial utiliza</w:t>
      </w:r>
      <w:r w:rsidR="00DF2F92" w:rsidRPr="0072678C">
        <w:rPr>
          <w:rFonts w:ascii="Calibri" w:hAnsi="Calibri" w:cs="Calibri"/>
          <w:sz w:val="22"/>
          <w:szCs w:val="22"/>
        </w:rPr>
        <w:t xml:space="preserve"> </w:t>
      </w:r>
      <w:r w:rsidR="007270BA" w:rsidRPr="0072678C">
        <w:rPr>
          <w:rFonts w:ascii="Calibri" w:hAnsi="Calibri" w:cs="Calibri"/>
          <w:sz w:val="22"/>
          <w:szCs w:val="22"/>
        </w:rPr>
        <w:t>ambiente multifuncional com estrutura tecnológica avançada</w:t>
      </w:r>
      <w:r w:rsidR="00DF2F92" w:rsidRPr="0072678C">
        <w:rPr>
          <w:rFonts w:ascii="Calibri" w:hAnsi="Calibri" w:cs="Calibri"/>
          <w:sz w:val="22"/>
          <w:szCs w:val="22"/>
        </w:rPr>
        <w:t xml:space="preserve"> (salas presenciais da</w:t>
      </w:r>
      <w:r w:rsidR="002D36FB" w:rsidRPr="0072678C">
        <w:rPr>
          <w:rFonts w:ascii="Calibri" w:hAnsi="Calibri" w:cs="Calibri"/>
          <w:sz w:val="22"/>
          <w:szCs w:val="22"/>
        </w:rPr>
        <w:t xml:space="preserve"> Escola Fazendária).</w:t>
      </w:r>
    </w:p>
    <w:p w:rsidR="008566A1" w:rsidRPr="0072678C" w:rsidRDefault="00DE2D0B" w:rsidP="00DE2D0B">
      <w:pPr>
        <w:jc w:val="both"/>
        <w:rPr>
          <w:rFonts w:ascii="Calibri" w:hAnsi="Calibri" w:cs="Calibri"/>
          <w:sz w:val="22"/>
          <w:szCs w:val="22"/>
        </w:rPr>
      </w:pPr>
      <w:r w:rsidRPr="0072678C">
        <w:rPr>
          <w:rFonts w:asciiTheme="minorHAnsi" w:hAnsiTheme="minorHAnsi" w:cstheme="minorHAnsi"/>
          <w:bCs/>
          <w:iCs/>
          <w:sz w:val="22"/>
          <w:szCs w:val="22"/>
        </w:rPr>
        <w:t xml:space="preserve">O processo </w:t>
      </w:r>
      <w:r w:rsidRPr="0072678C">
        <w:rPr>
          <w:rFonts w:ascii="Calibri" w:hAnsi="Calibri" w:cs="Calibri"/>
          <w:b/>
          <w:i/>
          <w:sz w:val="22"/>
          <w:szCs w:val="22"/>
        </w:rPr>
        <w:t>sistema de aposentadoria de servidores</w:t>
      </w:r>
      <w:r w:rsidRPr="0072678C">
        <w:rPr>
          <w:rFonts w:asciiTheme="minorHAnsi" w:hAnsiTheme="minorHAnsi" w:cstheme="minorHAnsi"/>
          <w:bCs/>
          <w:iCs/>
          <w:sz w:val="22"/>
          <w:szCs w:val="22"/>
        </w:rPr>
        <w:t xml:space="preserve"> </w:t>
      </w:r>
      <w:r w:rsidRPr="0072678C">
        <w:rPr>
          <w:rFonts w:asciiTheme="minorHAnsi" w:hAnsiTheme="minorHAnsi" w:cstheme="minorHAnsi"/>
          <w:sz w:val="22"/>
          <w:szCs w:val="22"/>
        </w:rPr>
        <w:t xml:space="preserve">obteve nível 2 de maturidade e atende a </w:t>
      </w:r>
      <w:r w:rsidR="006F7331" w:rsidRPr="0072678C">
        <w:rPr>
          <w:rFonts w:asciiTheme="minorHAnsi" w:hAnsiTheme="minorHAnsi" w:cstheme="minorHAnsi"/>
          <w:sz w:val="22"/>
          <w:szCs w:val="22"/>
        </w:rPr>
        <w:t>4</w:t>
      </w:r>
      <w:r w:rsidRPr="0072678C">
        <w:rPr>
          <w:rFonts w:asciiTheme="minorHAnsi" w:hAnsiTheme="minorHAnsi" w:cstheme="minorHAnsi"/>
          <w:sz w:val="22"/>
          <w:szCs w:val="22"/>
        </w:rPr>
        <w:t xml:space="preserve"> de</w:t>
      </w:r>
      <w:r w:rsidR="002D36FB" w:rsidRPr="0072678C">
        <w:rPr>
          <w:rFonts w:asciiTheme="minorHAnsi" w:hAnsiTheme="minorHAnsi" w:cstheme="minorHAnsi"/>
          <w:sz w:val="22"/>
          <w:szCs w:val="22"/>
        </w:rPr>
        <w:t>ntre</w:t>
      </w:r>
      <w:r w:rsidRPr="0072678C">
        <w:rPr>
          <w:rFonts w:asciiTheme="minorHAnsi" w:hAnsiTheme="minorHAnsi" w:cstheme="minorHAnsi"/>
          <w:sz w:val="22"/>
          <w:szCs w:val="22"/>
        </w:rPr>
        <w:t xml:space="preserve"> 6 requisitos de boas práticas da MD-GEFIS. </w:t>
      </w:r>
      <w:r w:rsidR="00173090" w:rsidRPr="0072678C">
        <w:rPr>
          <w:rFonts w:asciiTheme="minorHAnsi" w:hAnsiTheme="minorHAnsi" w:cstheme="minorHAnsi"/>
          <w:sz w:val="22"/>
          <w:szCs w:val="22"/>
        </w:rPr>
        <w:t>Para tanto, d</w:t>
      </w:r>
      <w:r w:rsidR="00173090" w:rsidRPr="0072678C">
        <w:rPr>
          <w:rFonts w:ascii="Calibri" w:hAnsi="Calibri" w:cs="Calibri"/>
          <w:sz w:val="22"/>
          <w:szCs w:val="22"/>
        </w:rPr>
        <w:t>ispõe de fundo próprio de previdência estadual</w:t>
      </w:r>
      <w:r w:rsidR="00173090" w:rsidRPr="0072678C">
        <w:rPr>
          <w:rStyle w:val="FootnoteReference"/>
          <w:rFonts w:ascii="Calibri" w:hAnsi="Calibri" w:cs="Calibri"/>
          <w:sz w:val="22"/>
          <w:szCs w:val="22"/>
        </w:rPr>
        <w:footnoteReference w:id="39"/>
      </w:r>
      <w:r w:rsidR="00173090" w:rsidRPr="0072678C">
        <w:rPr>
          <w:rFonts w:ascii="Calibri" w:hAnsi="Calibri" w:cs="Calibri"/>
          <w:sz w:val="22"/>
          <w:szCs w:val="22"/>
        </w:rPr>
        <w:t xml:space="preserve">; oferece previdência complementar e fixa limite máximo para as aposentadorias e pensões de acordo com o teto estabelecido para os benefícios do Regime Geral de Previdência Social (RGPS); dispõe de programa de preparação do servidor para a aposentadoria denominado </w:t>
      </w:r>
      <w:proofErr w:type="spellStart"/>
      <w:r w:rsidR="00173090" w:rsidRPr="0072678C">
        <w:rPr>
          <w:rFonts w:ascii="Calibri" w:hAnsi="Calibri" w:cs="Calibri"/>
          <w:sz w:val="22"/>
          <w:szCs w:val="22"/>
        </w:rPr>
        <w:t>Futuração</w:t>
      </w:r>
      <w:proofErr w:type="spellEnd"/>
      <w:r w:rsidR="006453F1" w:rsidRPr="0072678C">
        <w:rPr>
          <w:rFonts w:ascii="Calibri" w:hAnsi="Calibri" w:cs="Calibri"/>
          <w:sz w:val="22"/>
          <w:szCs w:val="22"/>
        </w:rPr>
        <w:t xml:space="preserve">, que é </w:t>
      </w:r>
      <w:r w:rsidR="00173090" w:rsidRPr="0072678C">
        <w:rPr>
          <w:rFonts w:ascii="Calibri" w:hAnsi="Calibri" w:cs="Calibri"/>
          <w:sz w:val="22"/>
          <w:szCs w:val="22"/>
        </w:rPr>
        <w:t xml:space="preserve">executado pela equipe </w:t>
      </w:r>
      <w:proofErr w:type="spellStart"/>
      <w:r w:rsidR="00173090" w:rsidRPr="0072678C">
        <w:rPr>
          <w:rFonts w:ascii="Calibri" w:hAnsi="Calibri" w:cs="Calibri"/>
          <w:sz w:val="22"/>
          <w:szCs w:val="22"/>
        </w:rPr>
        <w:t>Qualivida</w:t>
      </w:r>
      <w:proofErr w:type="spellEnd"/>
      <w:r w:rsidR="00173090" w:rsidRPr="0072678C">
        <w:rPr>
          <w:rFonts w:ascii="Calibri" w:hAnsi="Calibri" w:cs="Calibri"/>
          <w:sz w:val="22"/>
          <w:szCs w:val="22"/>
        </w:rPr>
        <w:t xml:space="preserve"> da </w:t>
      </w:r>
      <w:r w:rsidR="002D36FB" w:rsidRPr="0072678C">
        <w:rPr>
          <w:rFonts w:ascii="Calibri" w:hAnsi="Calibri" w:cs="Calibri"/>
          <w:sz w:val="22"/>
          <w:szCs w:val="22"/>
        </w:rPr>
        <w:t>SEFAZ/SP</w:t>
      </w:r>
      <w:r w:rsidR="006453F1" w:rsidRPr="0072678C">
        <w:rPr>
          <w:rFonts w:ascii="Calibri" w:hAnsi="Calibri" w:cs="Calibri"/>
          <w:sz w:val="22"/>
          <w:szCs w:val="22"/>
        </w:rPr>
        <w:t>; e utiliza ambiente apropriado, inclusive com facilidade de acesso, para atendimento do aposentado</w:t>
      </w:r>
      <w:r w:rsidR="006453F1" w:rsidRPr="0072678C">
        <w:rPr>
          <w:rStyle w:val="FootnoteReference"/>
          <w:rFonts w:ascii="Calibri" w:hAnsi="Calibri" w:cs="Calibri"/>
          <w:sz w:val="22"/>
          <w:szCs w:val="22"/>
        </w:rPr>
        <w:footnoteReference w:id="40"/>
      </w:r>
      <w:r w:rsidR="006453F1" w:rsidRPr="0072678C">
        <w:rPr>
          <w:rFonts w:ascii="Calibri" w:hAnsi="Calibri" w:cs="Calibri"/>
          <w:sz w:val="22"/>
          <w:szCs w:val="22"/>
        </w:rPr>
        <w:t>.</w:t>
      </w:r>
    </w:p>
    <w:p w:rsidR="006453F1" w:rsidRPr="0072678C" w:rsidRDefault="006453F1" w:rsidP="00DE2D0B">
      <w:pPr>
        <w:jc w:val="both"/>
        <w:rPr>
          <w:rFonts w:asciiTheme="minorHAnsi" w:hAnsiTheme="minorHAnsi" w:cstheme="minorHAnsi"/>
          <w:sz w:val="22"/>
          <w:szCs w:val="22"/>
        </w:rPr>
      </w:pPr>
    </w:p>
    <w:p w:rsidR="00B44516" w:rsidRPr="0072678C" w:rsidRDefault="00B44516" w:rsidP="00B44516">
      <w:pPr>
        <w:jc w:val="both"/>
        <w:rPr>
          <w:rFonts w:asciiTheme="minorHAnsi" w:hAnsiTheme="minorHAnsi" w:cstheme="minorHAnsi"/>
          <w:sz w:val="22"/>
          <w:szCs w:val="22"/>
        </w:rPr>
      </w:pPr>
      <w:r w:rsidRPr="0072678C">
        <w:rPr>
          <w:rFonts w:asciiTheme="minorHAnsi" w:hAnsiTheme="minorHAnsi" w:cstheme="minorHAnsi"/>
          <w:sz w:val="22"/>
          <w:szCs w:val="22"/>
        </w:rPr>
        <w:t>Os dados para apuração dos indicadores que medem o desempenho da Dimensão GF3 - Gestão de Pessoas, Iniciante (</w:t>
      </w:r>
      <w:r w:rsidR="00ED7AA5" w:rsidRPr="0072678C">
        <w:rPr>
          <w:rFonts w:asciiTheme="minorHAnsi" w:hAnsiTheme="minorHAnsi" w:cstheme="minorHAnsi"/>
          <w:sz w:val="22"/>
          <w:szCs w:val="22"/>
        </w:rPr>
        <w:t>+</w:t>
      </w:r>
      <w:r w:rsidRPr="0072678C">
        <w:rPr>
          <w:rFonts w:asciiTheme="minorHAnsi" w:hAnsiTheme="minorHAnsi" w:cstheme="minorHAnsi"/>
          <w:sz w:val="22"/>
          <w:szCs w:val="22"/>
        </w:rPr>
        <w:t xml:space="preserve">). </w:t>
      </w:r>
    </w:p>
    <w:p w:rsidR="00B44516" w:rsidRPr="0072678C" w:rsidRDefault="00B44516" w:rsidP="00B44516">
      <w:pPr>
        <w:jc w:val="both"/>
        <w:rPr>
          <w:rFonts w:asciiTheme="minorHAnsi" w:hAnsiTheme="minorHAnsi" w:cstheme="minorHAnsi"/>
          <w:sz w:val="22"/>
          <w:szCs w:val="22"/>
        </w:rPr>
      </w:pPr>
    </w:p>
    <w:tbl>
      <w:tblPr>
        <w:tblStyle w:val="TableGrid"/>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C5E0B3" w:themeFill="accent6" w:themeFillTint="66"/>
        <w:tblLook w:val="04A0" w:firstRow="1" w:lastRow="0" w:firstColumn="1" w:lastColumn="0" w:noHBand="0" w:noVBand="1"/>
      </w:tblPr>
      <w:tblGrid>
        <w:gridCol w:w="7513"/>
        <w:gridCol w:w="1276"/>
      </w:tblGrid>
      <w:tr w:rsidR="00B44516" w:rsidRPr="0072678C" w:rsidTr="00B44516">
        <w:tc>
          <w:tcPr>
            <w:tcW w:w="7513" w:type="dxa"/>
            <w:shd w:val="clear" w:color="auto" w:fill="E2EFD9" w:themeFill="accent6" w:themeFillTint="33"/>
          </w:tcPr>
          <w:p w:rsidR="00B44516" w:rsidRPr="0072678C" w:rsidRDefault="00B44516" w:rsidP="00B44516">
            <w:pPr>
              <w:rPr>
                <w:rFonts w:asciiTheme="minorHAnsi" w:hAnsiTheme="minorHAnsi" w:cstheme="minorHAnsi"/>
                <w:b/>
                <w:sz w:val="20"/>
                <w:szCs w:val="20"/>
              </w:rPr>
            </w:pPr>
            <w:r w:rsidRPr="0072678C">
              <w:rPr>
                <w:rFonts w:asciiTheme="minorHAnsi" w:hAnsiTheme="minorHAnsi" w:cstheme="minorHAnsi"/>
                <w:b/>
                <w:sz w:val="20"/>
                <w:szCs w:val="20"/>
              </w:rPr>
              <w:lastRenderedPageBreak/>
              <w:t>Indicadores de Desempenho da Dimensão GF 3. Gestão de Pessoas</w:t>
            </w:r>
          </w:p>
        </w:tc>
        <w:tc>
          <w:tcPr>
            <w:tcW w:w="1276" w:type="dxa"/>
            <w:shd w:val="clear" w:color="auto" w:fill="E2EFD9" w:themeFill="accent6" w:themeFillTint="33"/>
            <w:vAlign w:val="center"/>
          </w:tcPr>
          <w:p w:rsidR="00B44516" w:rsidRPr="0072678C" w:rsidRDefault="00B44516" w:rsidP="00B44516">
            <w:pPr>
              <w:jc w:val="center"/>
              <w:rPr>
                <w:rFonts w:asciiTheme="minorHAnsi" w:hAnsiTheme="minorHAnsi" w:cstheme="minorHAnsi"/>
                <w:sz w:val="20"/>
                <w:szCs w:val="20"/>
              </w:rPr>
            </w:pPr>
            <w:r w:rsidRPr="0072678C">
              <w:rPr>
                <w:rFonts w:asciiTheme="minorHAnsi" w:hAnsiTheme="minorHAnsi" w:cstheme="minorHAnsi"/>
                <w:sz w:val="20"/>
                <w:szCs w:val="20"/>
              </w:rPr>
              <w:t>2017</w:t>
            </w:r>
          </w:p>
        </w:tc>
      </w:tr>
      <w:tr w:rsidR="00B44516" w:rsidRPr="0072678C" w:rsidTr="00B44516">
        <w:tc>
          <w:tcPr>
            <w:tcW w:w="7513" w:type="dxa"/>
            <w:shd w:val="clear" w:color="auto" w:fill="E2EFD9" w:themeFill="accent6" w:themeFillTint="33"/>
          </w:tcPr>
          <w:p w:rsidR="00B44516" w:rsidRPr="0072678C" w:rsidRDefault="00B44516" w:rsidP="00B44516">
            <w:pPr>
              <w:rPr>
                <w:rFonts w:asciiTheme="minorHAnsi" w:hAnsiTheme="minorHAnsi" w:cstheme="minorHAnsi"/>
                <w:sz w:val="20"/>
                <w:szCs w:val="20"/>
              </w:rPr>
            </w:pPr>
            <w:r w:rsidRPr="0072678C">
              <w:rPr>
                <w:rFonts w:asciiTheme="minorHAnsi" w:hAnsiTheme="minorHAnsi" w:cstheme="minorHAnsi"/>
                <w:b/>
                <w:sz w:val="20"/>
                <w:szCs w:val="20"/>
              </w:rPr>
              <w:t>1) Investimento em capacitação:</w:t>
            </w:r>
            <w:r w:rsidRPr="0072678C">
              <w:rPr>
                <w:rFonts w:asciiTheme="minorHAnsi" w:hAnsiTheme="minorHAnsi" w:cstheme="minorHAnsi"/>
                <w:sz w:val="20"/>
                <w:szCs w:val="20"/>
              </w:rPr>
              <w:t xml:space="preserve"> </w:t>
            </w:r>
          </w:p>
          <w:p w:rsidR="00B44516" w:rsidRPr="0072678C" w:rsidRDefault="00B44516" w:rsidP="00B44516">
            <w:pPr>
              <w:rPr>
                <w:rFonts w:asciiTheme="minorHAnsi" w:hAnsiTheme="minorHAnsi" w:cstheme="minorHAnsi"/>
                <w:sz w:val="20"/>
                <w:szCs w:val="20"/>
              </w:rPr>
            </w:pPr>
            <w:r w:rsidRPr="0072678C">
              <w:rPr>
                <w:rFonts w:asciiTheme="minorHAnsi" w:hAnsiTheme="minorHAnsi" w:cstheme="minorHAnsi"/>
                <w:sz w:val="20"/>
                <w:szCs w:val="20"/>
              </w:rPr>
              <w:t>Orçamento de capacitação executado / orçamento total executado</w:t>
            </w:r>
          </w:p>
        </w:tc>
        <w:tc>
          <w:tcPr>
            <w:tcW w:w="1276" w:type="dxa"/>
            <w:shd w:val="clear" w:color="auto" w:fill="E2EFD9" w:themeFill="accent6" w:themeFillTint="33"/>
            <w:vAlign w:val="center"/>
          </w:tcPr>
          <w:p w:rsidR="00B44516" w:rsidRPr="0072678C" w:rsidRDefault="00B44516" w:rsidP="00B44516">
            <w:pPr>
              <w:jc w:val="center"/>
              <w:rPr>
                <w:rFonts w:asciiTheme="minorHAnsi" w:hAnsiTheme="minorHAnsi" w:cstheme="minorHAnsi"/>
                <w:sz w:val="20"/>
                <w:szCs w:val="20"/>
              </w:rPr>
            </w:pPr>
            <w:r w:rsidRPr="0072678C">
              <w:rPr>
                <w:rFonts w:asciiTheme="minorHAnsi" w:hAnsiTheme="minorHAnsi" w:cstheme="minorHAnsi"/>
                <w:sz w:val="20"/>
                <w:szCs w:val="20"/>
              </w:rPr>
              <w:t>ND</w:t>
            </w:r>
            <w:r w:rsidR="00EA2A93" w:rsidRPr="0072678C">
              <w:rPr>
                <w:rFonts w:asciiTheme="minorHAnsi" w:hAnsiTheme="minorHAnsi" w:cstheme="minorHAnsi"/>
                <w:sz w:val="20"/>
                <w:szCs w:val="20"/>
              </w:rPr>
              <w:t xml:space="preserve"> (*)</w:t>
            </w:r>
          </w:p>
        </w:tc>
      </w:tr>
      <w:tr w:rsidR="00B44516" w:rsidRPr="0072678C" w:rsidTr="00B44516">
        <w:tc>
          <w:tcPr>
            <w:tcW w:w="7513" w:type="dxa"/>
            <w:shd w:val="clear" w:color="auto" w:fill="E2EFD9" w:themeFill="accent6" w:themeFillTint="33"/>
          </w:tcPr>
          <w:p w:rsidR="00B44516" w:rsidRPr="0072678C" w:rsidRDefault="00B44516" w:rsidP="00B44516">
            <w:pPr>
              <w:rPr>
                <w:rFonts w:asciiTheme="minorHAnsi" w:hAnsiTheme="minorHAnsi" w:cstheme="minorHAnsi"/>
                <w:sz w:val="20"/>
                <w:szCs w:val="20"/>
              </w:rPr>
            </w:pPr>
            <w:r w:rsidRPr="0072678C">
              <w:rPr>
                <w:rFonts w:asciiTheme="minorHAnsi" w:hAnsiTheme="minorHAnsi" w:cstheme="minorHAnsi"/>
                <w:b/>
                <w:sz w:val="20"/>
                <w:szCs w:val="20"/>
              </w:rPr>
              <w:t>2) Aplicação de sanções previstas no código de ética:</w:t>
            </w:r>
            <w:r w:rsidRPr="0072678C">
              <w:rPr>
                <w:rFonts w:asciiTheme="minorHAnsi" w:hAnsiTheme="minorHAnsi" w:cstheme="minorHAnsi"/>
                <w:sz w:val="20"/>
                <w:szCs w:val="20"/>
              </w:rPr>
              <w:t xml:space="preserve"> </w:t>
            </w:r>
          </w:p>
          <w:p w:rsidR="00B44516" w:rsidRPr="0072678C" w:rsidRDefault="00B44516" w:rsidP="00B44516">
            <w:pPr>
              <w:rPr>
                <w:rFonts w:asciiTheme="minorHAnsi" w:hAnsiTheme="minorHAnsi" w:cstheme="minorHAnsi"/>
                <w:sz w:val="20"/>
                <w:szCs w:val="20"/>
              </w:rPr>
            </w:pPr>
            <w:r w:rsidRPr="0072678C">
              <w:rPr>
                <w:rFonts w:asciiTheme="minorHAnsi" w:hAnsiTheme="minorHAnsi" w:cstheme="minorHAnsi"/>
                <w:sz w:val="20"/>
                <w:szCs w:val="20"/>
              </w:rPr>
              <w:t>Sanções aplicadas / total de casos investigados</w:t>
            </w:r>
          </w:p>
        </w:tc>
        <w:tc>
          <w:tcPr>
            <w:tcW w:w="1276" w:type="dxa"/>
            <w:shd w:val="clear" w:color="auto" w:fill="E2EFD9" w:themeFill="accent6" w:themeFillTint="33"/>
            <w:vAlign w:val="center"/>
          </w:tcPr>
          <w:p w:rsidR="00B44516" w:rsidRPr="0072678C" w:rsidRDefault="00EA2A93" w:rsidP="00B44516">
            <w:pPr>
              <w:jc w:val="center"/>
              <w:rPr>
                <w:rFonts w:asciiTheme="minorHAnsi" w:hAnsiTheme="minorHAnsi" w:cstheme="minorHAnsi"/>
                <w:sz w:val="20"/>
                <w:szCs w:val="20"/>
              </w:rPr>
            </w:pPr>
            <w:r w:rsidRPr="0072678C">
              <w:rPr>
                <w:rFonts w:asciiTheme="minorHAnsi" w:hAnsiTheme="minorHAnsi" w:cstheme="minorHAnsi"/>
                <w:sz w:val="20"/>
                <w:szCs w:val="20"/>
              </w:rPr>
              <w:t>0%</w:t>
            </w:r>
          </w:p>
        </w:tc>
      </w:tr>
      <w:tr w:rsidR="00B44516" w:rsidRPr="0072678C" w:rsidTr="00B44516">
        <w:tc>
          <w:tcPr>
            <w:tcW w:w="7513" w:type="dxa"/>
            <w:shd w:val="clear" w:color="auto" w:fill="E2EFD9" w:themeFill="accent6" w:themeFillTint="33"/>
          </w:tcPr>
          <w:p w:rsidR="00B44516" w:rsidRPr="0072678C" w:rsidRDefault="00B44516" w:rsidP="00B44516">
            <w:pPr>
              <w:rPr>
                <w:rFonts w:asciiTheme="minorHAnsi" w:hAnsiTheme="minorHAnsi" w:cstheme="minorHAnsi"/>
                <w:sz w:val="20"/>
                <w:szCs w:val="20"/>
              </w:rPr>
            </w:pPr>
            <w:r w:rsidRPr="0072678C">
              <w:rPr>
                <w:rFonts w:asciiTheme="minorHAnsi" w:hAnsiTheme="minorHAnsi" w:cstheme="minorHAnsi"/>
                <w:b/>
                <w:sz w:val="20"/>
                <w:szCs w:val="20"/>
              </w:rPr>
              <w:t>3) Avaliação de desempenho:</w:t>
            </w:r>
            <w:r w:rsidRPr="0072678C">
              <w:rPr>
                <w:rFonts w:asciiTheme="minorHAnsi" w:hAnsiTheme="minorHAnsi" w:cstheme="minorHAnsi"/>
                <w:sz w:val="20"/>
                <w:szCs w:val="20"/>
              </w:rPr>
              <w:t xml:space="preserve"> </w:t>
            </w:r>
          </w:p>
          <w:p w:rsidR="00B44516" w:rsidRPr="0072678C" w:rsidRDefault="00B44516" w:rsidP="00B44516">
            <w:pPr>
              <w:rPr>
                <w:rFonts w:asciiTheme="minorHAnsi" w:hAnsiTheme="minorHAnsi" w:cstheme="minorHAnsi"/>
                <w:sz w:val="20"/>
                <w:szCs w:val="20"/>
              </w:rPr>
            </w:pPr>
            <w:proofErr w:type="spellStart"/>
            <w:r w:rsidRPr="0072678C">
              <w:rPr>
                <w:rFonts w:asciiTheme="minorHAnsi" w:hAnsiTheme="minorHAnsi" w:cstheme="minorHAnsi"/>
                <w:sz w:val="20"/>
                <w:szCs w:val="20"/>
              </w:rPr>
              <w:t>Qtd</w:t>
            </w:r>
            <w:proofErr w:type="spellEnd"/>
            <w:r w:rsidRPr="0072678C">
              <w:rPr>
                <w:rFonts w:asciiTheme="minorHAnsi" w:hAnsiTheme="minorHAnsi" w:cstheme="minorHAnsi"/>
                <w:sz w:val="20"/>
                <w:szCs w:val="20"/>
              </w:rPr>
              <w:t>. servidores avaliados por competência / total de servidores</w:t>
            </w:r>
          </w:p>
        </w:tc>
        <w:tc>
          <w:tcPr>
            <w:tcW w:w="1276" w:type="dxa"/>
            <w:shd w:val="clear" w:color="auto" w:fill="E2EFD9" w:themeFill="accent6" w:themeFillTint="33"/>
            <w:vAlign w:val="center"/>
          </w:tcPr>
          <w:p w:rsidR="00B44516" w:rsidRPr="0072678C" w:rsidRDefault="00EA2A93" w:rsidP="00B44516">
            <w:pPr>
              <w:jc w:val="center"/>
              <w:rPr>
                <w:rFonts w:asciiTheme="minorHAnsi" w:hAnsiTheme="minorHAnsi" w:cstheme="minorHAnsi"/>
                <w:sz w:val="20"/>
                <w:szCs w:val="20"/>
              </w:rPr>
            </w:pPr>
            <w:r w:rsidRPr="0072678C">
              <w:rPr>
                <w:rFonts w:asciiTheme="minorHAnsi" w:hAnsiTheme="minorHAnsi" w:cstheme="minorHAnsi"/>
                <w:sz w:val="20"/>
                <w:szCs w:val="20"/>
              </w:rPr>
              <w:t>0%</w:t>
            </w:r>
          </w:p>
        </w:tc>
      </w:tr>
    </w:tbl>
    <w:p w:rsidR="00B44516" w:rsidRPr="0072678C" w:rsidRDefault="00B44516" w:rsidP="00B44516">
      <w:pPr>
        <w:jc w:val="both"/>
        <w:rPr>
          <w:rFonts w:asciiTheme="minorHAnsi" w:hAnsiTheme="minorHAnsi" w:cstheme="minorHAnsi"/>
          <w:sz w:val="22"/>
          <w:szCs w:val="22"/>
        </w:rPr>
      </w:pPr>
    </w:p>
    <w:p w:rsidR="00DF6FDB" w:rsidRPr="0072678C" w:rsidRDefault="00EA2A93" w:rsidP="00B44516">
      <w:pPr>
        <w:jc w:val="both"/>
        <w:rPr>
          <w:rFonts w:asciiTheme="minorHAnsi" w:hAnsiTheme="minorHAnsi" w:cstheme="minorHAnsi"/>
          <w:sz w:val="22"/>
          <w:szCs w:val="22"/>
        </w:rPr>
      </w:pPr>
      <w:r w:rsidRPr="0072678C">
        <w:rPr>
          <w:rFonts w:asciiTheme="minorHAnsi" w:hAnsiTheme="minorHAnsi" w:cstheme="minorHAnsi"/>
          <w:sz w:val="22"/>
          <w:szCs w:val="22"/>
        </w:rPr>
        <w:t xml:space="preserve">(*) </w:t>
      </w:r>
      <w:r w:rsidR="00DF6FDB" w:rsidRPr="0072678C">
        <w:rPr>
          <w:rFonts w:asciiTheme="minorHAnsi" w:hAnsiTheme="minorHAnsi" w:cstheme="minorHAnsi"/>
          <w:sz w:val="22"/>
          <w:szCs w:val="22"/>
        </w:rPr>
        <w:t>N</w:t>
      </w:r>
      <w:r w:rsidRPr="0072678C">
        <w:rPr>
          <w:rFonts w:asciiTheme="minorHAnsi" w:hAnsiTheme="minorHAnsi" w:cstheme="minorHAnsi"/>
          <w:sz w:val="22"/>
          <w:szCs w:val="22"/>
        </w:rPr>
        <w:t>ão foi disponibilizado o</w:t>
      </w:r>
      <w:r w:rsidR="00DF6FDB" w:rsidRPr="0072678C">
        <w:rPr>
          <w:rFonts w:asciiTheme="minorHAnsi" w:hAnsiTheme="minorHAnsi" w:cstheme="minorHAnsi"/>
          <w:sz w:val="22"/>
          <w:szCs w:val="22"/>
        </w:rPr>
        <w:t xml:space="preserve"> valor do orçamento de capacitação executado, portanto, não é possível calcular o indicador Investimento em Capacitação. </w:t>
      </w:r>
    </w:p>
    <w:p w:rsidR="00EA2A93" w:rsidRPr="0072678C" w:rsidRDefault="00DF6FDB" w:rsidP="00B44516">
      <w:pPr>
        <w:jc w:val="both"/>
        <w:rPr>
          <w:rFonts w:asciiTheme="minorHAnsi" w:hAnsiTheme="minorHAnsi" w:cstheme="minorHAnsi"/>
          <w:sz w:val="22"/>
          <w:szCs w:val="22"/>
        </w:rPr>
      </w:pPr>
      <w:r w:rsidRPr="0072678C">
        <w:rPr>
          <w:rFonts w:asciiTheme="minorHAnsi" w:hAnsiTheme="minorHAnsi" w:cstheme="minorHAnsi"/>
          <w:sz w:val="22"/>
          <w:szCs w:val="22"/>
        </w:rPr>
        <w:t>Valor do orçamento da SEFAZ/SP Em foi de 2017 R$ 3.120.875.460,95.</w:t>
      </w:r>
    </w:p>
    <w:p w:rsidR="00DC15C5" w:rsidRPr="0072678C" w:rsidRDefault="00DC15C5"/>
    <w:tbl>
      <w:tblPr>
        <w:tblStyle w:val="TableGrid"/>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C5E0B3" w:themeFill="accent6" w:themeFillTint="66"/>
        <w:tblLook w:val="04A0" w:firstRow="1" w:lastRow="0" w:firstColumn="1" w:lastColumn="0" w:noHBand="0" w:noVBand="1"/>
      </w:tblPr>
      <w:tblGrid>
        <w:gridCol w:w="6605"/>
        <w:gridCol w:w="2184"/>
      </w:tblGrid>
      <w:tr w:rsidR="00B44516" w:rsidRPr="0072678C" w:rsidTr="00B44516">
        <w:tc>
          <w:tcPr>
            <w:tcW w:w="6605" w:type="dxa"/>
            <w:shd w:val="clear" w:color="auto" w:fill="C5E0B3" w:themeFill="accent6" w:themeFillTint="66"/>
          </w:tcPr>
          <w:p w:rsidR="00B44516" w:rsidRPr="0072678C" w:rsidRDefault="00B44516" w:rsidP="00B44516">
            <w:pPr>
              <w:spacing w:before="120" w:after="120"/>
              <w:jc w:val="both"/>
              <w:rPr>
                <w:rFonts w:asciiTheme="minorHAnsi" w:hAnsiTheme="minorHAnsi" w:cstheme="minorHAnsi"/>
                <w:b/>
              </w:rPr>
            </w:pPr>
            <w:r w:rsidRPr="0072678C">
              <w:rPr>
                <w:rFonts w:asciiTheme="minorHAnsi" w:hAnsiTheme="minorHAnsi" w:cstheme="minorHAnsi"/>
                <w:b/>
              </w:rPr>
              <w:t>Dimensão GF 4. Gestão da Tecnologia da Informação</w:t>
            </w:r>
          </w:p>
        </w:tc>
        <w:tc>
          <w:tcPr>
            <w:tcW w:w="2184" w:type="dxa"/>
            <w:shd w:val="clear" w:color="auto" w:fill="C5E0B3" w:themeFill="accent6" w:themeFillTint="66"/>
          </w:tcPr>
          <w:p w:rsidR="00B44516" w:rsidRPr="0072678C" w:rsidRDefault="00460885" w:rsidP="00B44516">
            <w:pPr>
              <w:spacing w:before="120" w:after="120"/>
              <w:jc w:val="center"/>
              <w:rPr>
                <w:rFonts w:asciiTheme="minorHAnsi" w:hAnsiTheme="minorHAnsi" w:cstheme="minorHAnsi"/>
                <w:b/>
              </w:rPr>
            </w:pPr>
            <w:r w:rsidRPr="0072678C">
              <w:rPr>
                <w:rFonts w:asciiTheme="minorHAnsi" w:hAnsiTheme="minorHAnsi" w:cstheme="minorHAnsi"/>
                <w:b/>
                <w:bCs/>
              </w:rPr>
              <w:t>INTERMEDIÁRIO (-)</w:t>
            </w:r>
          </w:p>
        </w:tc>
      </w:tr>
    </w:tbl>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A visão de futuro desta dimensão é o “uso das melhores tecnologias para produção de informações válidas, tempestivas e úteis, com riscos aceitáveis, agregando valor à administração fiscal”</w:t>
      </w:r>
      <w:r w:rsidR="0067242A" w:rsidRPr="0072678C">
        <w:rPr>
          <w:rFonts w:asciiTheme="minorHAnsi" w:hAnsiTheme="minorHAnsi" w:cstheme="minorHAnsi"/>
          <w:sz w:val="22"/>
          <w:szCs w:val="22"/>
        </w:rPr>
        <w:t>. Pela apuração realizada na MD-</w:t>
      </w:r>
      <w:r w:rsidRPr="0072678C">
        <w:rPr>
          <w:rFonts w:asciiTheme="minorHAnsi" w:hAnsiTheme="minorHAnsi" w:cstheme="minorHAnsi"/>
          <w:sz w:val="22"/>
          <w:szCs w:val="22"/>
        </w:rPr>
        <w:t xml:space="preserve">GEFIS, a dimensão </w:t>
      </w:r>
      <w:r w:rsidRPr="0072678C">
        <w:rPr>
          <w:rFonts w:asciiTheme="minorHAnsi" w:hAnsiTheme="minorHAnsi" w:cstheme="minorHAnsi"/>
          <w:b/>
          <w:sz w:val="22"/>
          <w:szCs w:val="22"/>
        </w:rPr>
        <w:t>gestão da tecnologia da informação</w:t>
      </w:r>
      <w:r w:rsidRPr="0072678C">
        <w:rPr>
          <w:rFonts w:asciiTheme="minorHAnsi" w:hAnsiTheme="minorHAnsi" w:cstheme="minorHAnsi"/>
          <w:sz w:val="22"/>
          <w:szCs w:val="22"/>
        </w:rPr>
        <w:t xml:space="preserve"> se localiza no nível de maturidade </w:t>
      </w:r>
      <w:r w:rsidR="00460885" w:rsidRPr="0072678C">
        <w:rPr>
          <w:rFonts w:asciiTheme="minorHAnsi" w:hAnsiTheme="minorHAnsi" w:cstheme="minorHAnsi"/>
          <w:b/>
          <w:bCs/>
          <w:sz w:val="22"/>
          <w:szCs w:val="22"/>
        </w:rPr>
        <w:t>INTERMEDIÁRIO (-).</w:t>
      </w:r>
    </w:p>
    <w:p w:rsidR="00460885" w:rsidRPr="0072678C" w:rsidRDefault="00B44516" w:rsidP="00460885">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Este resultado decorre, especialmente pelo nível </w:t>
      </w:r>
      <w:r w:rsidR="00460885" w:rsidRPr="0072678C">
        <w:rPr>
          <w:rFonts w:asciiTheme="minorHAnsi" w:hAnsiTheme="minorHAnsi" w:cstheme="minorHAnsi"/>
          <w:sz w:val="22"/>
          <w:szCs w:val="22"/>
        </w:rPr>
        <w:t xml:space="preserve">3 </w:t>
      </w:r>
      <w:r w:rsidRPr="0072678C">
        <w:rPr>
          <w:rFonts w:asciiTheme="minorHAnsi" w:hAnsiTheme="minorHAnsi" w:cstheme="minorHAnsi"/>
          <w:sz w:val="22"/>
          <w:szCs w:val="22"/>
        </w:rPr>
        <w:t xml:space="preserve">de maturidade de </w:t>
      </w:r>
      <w:r w:rsidR="00460885" w:rsidRPr="0072678C">
        <w:rPr>
          <w:rFonts w:asciiTheme="minorHAnsi" w:hAnsiTheme="minorHAnsi" w:cstheme="minorHAnsi"/>
          <w:sz w:val="22"/>
          <w:szCs w:val="22"/>
        </w:rPr>
        <w:t>3</w:t>
      </w:r>
      <w:r w:rsidRPr="0072678C">
        <w:rPr>
          <w:rFonts w:asciiTheme="minorHAnsi" w:hAnsiTheme="minorHAnsi" w:cstheme="minorHAnsi"/>
          <w:sz w:val="22"/>
          <w:szCs w:val="22"/>
        </w:rPr>
        <w:t xml:space="preserve"> dentre os 6 processos críticos analisados, ou seja, estes processos </w:t>
      </w:r>
      <w:r w:rsidR="00460885" w:rsidRPr="0072678C">
        <w:rPr>
          <w:rFonts w:asciiTheme="minorHAnsi" w:hAnsiTheme="minorHAnsi" w:cstheme="minorHAnsi"/>
          <w:sz w:val="22"/>
          <w:szCs w:val="22"/>
        </w:rPr>
        <w:t xml:space="preserve">atendem a uma quantidade alta de </w:t>
      </w:r>
      <w:r w:rsidRPr="0072678C">
        <w:rPr>
          <w:rFonts w:asciiTheme="minorHAnsi" w:hAnsiTheme="minorHAnsi" w:cstheme="minorHAnsi"/>
          <w:sz w:val="22"/>
          <w:szCs w:val="22"/>
        </w:rPr>
        <w:t>re</w:t>
      </w:r>
      <w:r w:rsidR="0067242A" w:rsidRPr="0072678C">
        <w:rPr>
          <w:rFonts w:asciiTheme="minorHAnsi" w:hAnsiTheme="minorHAnsi" w:cstheme="minorHAnsi"/>
          <w:sz w:val="22"/>
          <w:szCs w:val="22"/>
        </w:rPr>
        <w:t>quisitos de boas práticas da MD-</w:t>
      </w:r>
      <w:r w:rsidRPr="0072678C">
        <w:rPr>
          <w:rFonts w:asciiTheme="minorHAnsi" w:hAnsiTheme="minorHAnsi" w:cstheme="minorHAnsi"/>
          <w:sz w:val="22"/>
          <w:szCs w:val="22"/>
        </w:rPr>
        <w:t>GEFIS:</w:t>
      </w:r>
      <w:r w:rsidR="00460885" w:rsidRPr="0072678C">
        <w:rPr>
          <w:rFonts w:asciiTheme="minorHAnsi" w:hAnsiTheme="minorHAnsi" w:cstheme="minorHAnsi"/>
          <w:sz w:val="22"/>
          <w:szCs w:val="22"/>
        </w:rPr>
        <w:t xml:space="preserve"> </w:t>
      </w:r>
      <w:r w:rsidR="00460885" w:rsidRPr="0072678C">
        <w:rPr>
          <w:rFonts w:asciiTheme="minorHAnsi" w:hAnsiTheme="minorHAnsi" w:cstheme="minorHAnsi"/>
          <w:b/>
          <w:bCs/>
          <w:i/>
          <w:iCs/>
          <w:sz w:val="22"/>
          <w:szCs w:val="22"/>
        </w:rPr>
        <w:t>direcionamento estratégico da gestão de TI</w:t>
      </w:r>
      <w:r w:rsidR="00460885" w:rsidRPr="0072678C">
        <w:rPr>
          <w:rFonts w:asciiTheme="minorHAnsi" w:hAnsiTheme="minorHAnsi" w:cstheme="minorHAnsi"/>
          <w:sz w:val="22"/>
          <w:szCs w:val="22"/>
        </w:rPr>
        <w:t xml:space="preserve">; </w:t>
      </w:r>
      <w:r w:rsidR="00460885" w:rsidRPr="0072678C">
        <w:rPr>
          <w:rFonts w:asciiTheme="minorHAnsi" w:hAnsiTheme="minorHAnsi" w:cstheme="minorHAnsi"/>
          <w:b/>
          <w:bCs/>
          <w:i/>
          <w:iCs/>
          <w:sz w:val="22"/>
          <w:szCs w:val="22"/>
        </w:rPr>
        <w:t>automação dos processos críticos da administração fiscal</w:t>
      </w:r>
      <w:r w:rsidR="00460885" w:rsidRPr="0072678C">
        <w:rPr>
          <w:rFonts w:asciiTheme="minorHAnsi" w:hAnsiTheme="minorHAnsi" w:cstheme="minorHAnsi"/>
          <w:sz w:val="22"/>
          <w:szCs w:val="22"/>
        </w:rPr>
        <w:t xml:space="preserve">; e </w:t>
      </w:r>
      <w:r w:rsidR="00460885" w:rsidRPr="0072678C">
        <w:rPr>
          <w:rFonts w:asciiTheme="minorHAnsi" w:hAnsiTheme="minorHAnsi" w:cstheme="minorHAnsi"/>
          <w:b/>
          <w:bCs/>
          <w:i/>
          <w:iCs/>
          <w:sz w:val="22"/>
          <w:szCs w:val="22"/>
        </w:rPr>
        <w:t>contratações de TI</w:t>
      </w:r>
      <w:r w:rsidR="00460885" w:rsidRPr="0072678C">
        <w:rPr>
          <w:rFonts w:asciiTheme="minorHAnsi" w:hAnsiTheme="minorHAnsi" w:cstheme="minorHAnsi"/>
          <w:sz w:val="22"/>
          <w:szCs w:val="22"/>
        </w:rPr>
        <w:t xml:space="preserve"> </w:t>
      </w:r>
    </w:p>
    <w:p w:rsidR="001A0984" w:rsidRPr="0072678C" w:rsidRDefault="00460885" w:rsidP="001A0984">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Outros 2 processos apresentam nível 2 de maturidade</w:t>
      </w:r>
      <w:r w:rsidR="001A0984" w:rsidRPr="0072678C">
        <w:rPr>
          <w:rFonts w:asciiTheme="minorHAnsi" w:hAnsiTheme="minorHAnsi" w:cstheme="minorHAnsi"/>
          <w:sz w:val="22"/>
          <w:szCs w:val="22"/>
        </w:rPr>
        <w:t xml:space="preserve">, </w:t>
      </w:r>
      <w:r w:rsidR="001A0984" w:rsidRPr="0072678C">
        <w:rPr>
          <w:rFonts w:asciiTheme="minorHAnsi" w:hAnsiTheme="minorHAnsi" w:cstheme="minorHAnsi"/>
          <w:b/>
          <w:bCs/>
          <w:i/>
          <w:iCs/>
          <w:sz w:val="22"/>
          <w:szCs w:val="22"/>
        </w:rPr>
        <w:t>sistema de monitoramento e avaliação</w:t>
      </w:r>
      <w:r w:rsidR="001A0984" w:rsidRPr="0072678C">
        <w:rPr>
          <w:rFonts w:asciiTheme="minorHAnsi" w:hAnsiTheme="minorHAnsi" w:cstheme="minorHAnsi"/>
          <w:sz w:val="22"/>
          <w:szCs w:val="22"/>
        </w:rPr>
        <w:t xml:space="preserve"> da gestão de TI; e </w:t>
      </w:r>
      <w:r w:rsidR="001A0984" w:rsidRPr="0072678C">
        <w:rPr>
          <w:rFonts w:asciiTheme="minorHAnsi" w:hAnsiTheme="minorHAnsi" w:cstheme="minorHAnsi"/>
          <w:b/>
          <w:bCs/>
          <w:i/>
          <w:iCs/>
          <w:sz w:val="22"/>
          <w:szCs w:val="22"/>
        </w:rPr>
        <w:t xml:space="preserve">controle e a operação da área de TI </w:t>
      </w:r>
      <w:r w:rsidR="001A0984" w:rsidRPr="0072678C">
        <w:rPr>
          <w:rFonts w:asciiTheme="minorHAnsi" w:hAnsiTheme="minorHAnsi" w:cstheme="minorHAnsi"/>
          <w:sz w:val="22"/>
          <w:szCs w:val="22"/>
        </w:rPr>
        <w:t>e atendem a uma quantidade média de requisitos das boas práticas da MD-GEFIS.</w:t>
      </w:r>
    </w:p>
    <w:p w:rsidR="00460885" w:rsidRPr="0072678C" w:rsidRDefault="001A0984"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Apenas o processo </w:t>
      </w:r>
      <w:r w:rsidRPr="0072678C">
        <w:rPr>
          <w:rFonts w:asciiTheme="minorHAnsi" w:hAnsiTheme="minorHAnsi" w:cstheme="minorHAnsi"/>
          <w:b/>
          <w:bCs/>
          <w:i/>
          <w:iCs/>
          <w:sz w:val="22"/>
          <w:szCs w:val="22"/>
        </w:rPr>
        <w:t>planejamento estratégico de TI</w:t>
      </w:r>
      <w:r w:rsidRPr="0072678C">
        <w:rPr>
          <w:rFonts w:asciiTheme="minorHAnsi" w:hAnsiTheme="minorHAnsi" w:cstheme="minorHAnsi"/>
          <w:sz w:val="22"/>
          <w:szCs w:val="22"/>
        </w:rPr>
        <w:t xml:space="preserve"> obteve nível 0 (zero) de maturidade, ou seja, não atende a nenhum dos  6 requisitos das boas práticas da MD-GEFIS.</w:t>
      </w:r>
    </w:p>
    <w:p w:rsidR="00AC0E9A" w:rsidRPr="009B231A" w:rsidRDefault="00AC0E9A" w:rsidP="009B3471">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 processo </w:t>
      </w:r>
      <w:r w:rsidRPr="0072678C">
        <w:rPr>
          <w:rFonts w:asciiTheme="minorHAnsi" w:hAnsiTheme="minorHAnsi" w:cstheme="minorHAnsi"/>
          <w:b/>
          <w:bCs/>
          <w:i/>
          <w:iCs/>
          <w:sz w:val="22"/>
          <w:szCs w:val="22"/>
        </w:rPr>
        <w:t>direcionamento estratégico da gestão de TI</w:t>
      </w:r>
      <w:r w:rsidRPr="0072678C">
        <w:rPr>
          <w:rFonts w:asciiTheme="minorHAnsi" w:hAnsiTheme="minorHAnsi" w:cstheme="minorHAnsi"/>
          <w:sz w:val="22"/>
          <w:szCs w:val="22"/>
        </w:rPr>
        <w:t xml:space="preserve"> atende a 6 </w:t>
      </w:r>
      <w:r w:rsidR="00B26D03" w:rsidRPr="0072678C">
        <w:rPr>
          <w:rFonts w:asciiTheme="minorHAnsi" w:hAnsiTheme="minorHAnsi" w:cstheme="minorHAnsi"/>
          <w:sz w:val="22"/>
          <w:szCs w:val="22"/>
        </w:rPr>
        <w:t>dentre</w:t>
      </w:r>
      <w:r w:rsidRPr="0072678C">
        <w:rPr>
          <w:rFonts w:asciiTheme="minorHAnsi" w:hAnsiTheme="minorHAnsi" w:cstheme="minorHAnsi"/>
          <w:sz w:val="22"/>
          <w:szCs w:val="22"/>
        </w:rPr>
        <w:t xml:space="preserve"> 7 requisitos das boas práticas da MD-GEFIS e obteve nível de maturidade 3</w:t>
      </w:r>
      <w:r w:rsidR="00D8081F" w:rsidRPr="0072678C">
        <w:rPr>
          <w:rFonts w:asciiTheme="minorHAnsi" w:hAnsiTheme="minorHAnsi" w:cstheme="minorHAnsi"/>
          <w:sz w:val="22"/>
          <w:szCs w:val="22"/>
        </w:rPr>
        <w:t xml:space="preserve">. </w:t>
      </w:r>
      <w:r w:rsidR="009B3471" w:rsidRPr="0072678C">
        <w:rPr>
          <w:rFonts w:asciiTheme="minorHAnsi" w:hAnsiTheme="minorHAnsi" w:cstheme="minorHAnsi"/>
          <w:sz w:val="22"/>
          <w:szCs w:val="22"/>
        </w:rPr>
        <w:t>Para tanto, institui</w:t>
      </w:r>
      <w:r w:rsidR="00D8081F" w:rsidRPr="0072678C">
        <w:rPr>
          <w:rFonts w:asciiTheme="minorHAnsi" w:hAnsiTheme="minorHAnsi" w:cstheme="minorHAnsi"/>
          <w:sz w:val="22"/>
          <w:szCs w:val="22"/>
        </w:rPr>
        <w:t>u</w:t>
      </w:r>
      <w:r w:rsidR="009B3471" w:rsidRPr="0072678C">
        <w:rPr>
          <w:rFonts w:asciiTheme="minorHAnsi" w:hAnsiTheme="minorHAnsi" w:cstheme="minorHAnsi"/>
          <w:sz w:val="22"/>
          <w:szCs w:val="22"/>
        </w:rPr>
        <w:t xml:space="preserve"> formalmente </w:t>
      </w:r>
      <w:r w:rsidR="00D8081F" w:rsidRPr="0072678C">
        <w:rPr>
          <w:rFonts w:asciiTheme="minorHAnsi" w:hAnsiTheme="minorHAnsi" w:cstheme="minorHAnsi"/>
          <w:sz w:val="22"/>
          <w:szCs w:val="22"/>
        </w:rPr>
        <w:t xml:space="preserve">o </w:t>
      </w:r>
      <w:r w:rsidR="009B3471" w:rsidRPr="0072678C">
        <w:rPr>
          <w:rFonts w:asciiTheme="minorHAnsi" w:hAnsiTheme="minorHAnsi" w:cstheme="minorHAnsi"/>
          <w:sz w:val="22"/>
          <w:szCs w:val="22"/>
        </w:rPr>
        <w:t xml:space="preserve">comitê de TI, composto por representantes de áreas relevantes da organização, com atribuições e responsabilidades definidas conforme resolução SF 51-2017; define diretrizes para o planejamento e priorização das ações de TI, com metas e indicadores de resultados </w:t>
      </w:r>
      <w:r w:rsidR="00B26D03" w:rsidRPr="0072678C">
        <w:rPr>
          <w:rFonts w:asciiTheme="minorHAnsi" w:hAnsiTheme="minorHAnsi" w:cstheme="minorHAnsi"/>
          <w:sz w:val="22"/>
          <w:szCs w:val="22"/>
        </w:rPr>
        <w:t>conforme relatórios técnicos apresentados</w:t>
      </w:r>
      <w:r w:rsidR="009B3471" w:rsidRPr="0072678C">
        <w:rPr>
          <w:rFonts w:asciiTheme="minorHAnsi" w:hAnsiTheme="minorHAnsi" w:cstheme="minorHAnsi"/>
          <w:sz w:val="22"/>
          <w:szCs w:val="22"/>
        </w:rPr>
        <w:t xml:space="preserve">; define diretrizes para a terceirização de serviços e administração de terceirizados, conforme resolução Conjunta SGGE SEP SF PGE n° 1 1999 10 08; define diretrizes para gestão do portfólio de projetos e serviços de TI e adota critérios de </w:t>
      </w:r>
      <w:r w:rsidR="009B3471" w:rsidRPr="009B231A">
        <w:rPr>
          <w:rFonts w:asciiTheme="minorHAnsi" w:hAnsiTheme="minorHAnsi" w:cstheme="minorHAnsi"/>
          <w:sz w:val="22"/>
          <w:szCs w:val="22"/>
        </w:rPr>
        <w:t xml:space="preserve">priorização na alocação orçamentária; </w:t>
      </w:r>
      <w:r w:rsidR="00D8081F" w:rsidRPr="009B231A">
        <w:rPr>
          <w:rFonts w:asciiTheme="minorHAnsi" w:hAnsiTheme="minorHAnsi" w:cstheme="minorHAnsi"/>
          <w:sz w:val="22"/>
          <w:szCs w:val="22"/>
        </w:rPr>
        <w:t>d</w:t>
      </w:r>
      <w:r w:rsidR="009B3471" w:rsidRPr="009B231A">
        <w:rPr>
          <w:rFonts w:asciiTheme="minorHAnsi" w:hAnsiTheme="minorHAnsi" w:cstheme="minorHAnsi"/>
          <w:sz w:val="22"/>
          <w:szCs w:val="22"/>
        </w:rPr>
        <w:t>efine diretrizes para contratação de bens e serviços de TI</w:t>
      </w:r>
      <w:r w:rsidR="009B3471" w:rsidRPr="009B231A">
        <w:rPr>
          <w:rStyle w:val="FootnoteReference"/>
          <w:rFonts w:asciiTheme="minorHAnsi" w:hAnsiTheme="minorHAnsi" w:cstheme="minorHAnsi"/>
          <w:sz w:val="22"/>
          <w:szCs w:val="22"/>
        </w:rPr>
        <w:footnoteReference w:id="41"/>
      </w:r>
      <w:r w:rsidR="009B3471" w:rsidRPr="009B231A">
        <w:rPr>
          <w:rFonts w:asciiTheme="minorHAnsi" w:hAnsiTheme="minorHAnsi" w:cstheme="minorHAnsi"/>
          <w:sz w:val="22"/>
          <w:szCs w:val="22"/>
        </w:rPr>
        <w:t>;</w:t>
      </w:r>
      <w:r w:rsidR="00D8081F" w:rsidRPr="009B231A">
        <w:rPr>
          <w:rFonts w:asciiTheme="minorHAnsi" w:hAnsiTheme="minorHAnsi" w:cstheme="minorHAnsi"/>
          <w:sz w:val="22"/>
          <w:szCs w:val="22"/>
        </w:rPr>
        <w:t xml:space="preserve"> e Estabelece formalmente os níveis de risco de TI aceitáveis</w:t>
      </w:r>
      <w:r w:rsidR="00DB0BF8" w:rsidRPr="009B231A">
        <w:rPr>
          <w:rFonts w:asciiTheme="minorHAnsi" w:hAnsiTheme="minorHAnsi" w:cstheme="minorHAnsi"/>
          <w:sz w:val="22"/>
          <w:szCs w:val="22"/>
        </w:rPr>
        <w:t>.</w:t>
      </w:r>
    </w:p>
    <w:p w:rsidR="004B14FF" w:rsidRPr="009B231A" w:rsidRDefault="004B14FF" w:rsidP="009B3471">
      <w:pPr>
        <w:spacing w:before="240" w:after="240"/>
        <w:jc w:val="both"/>
      </w:pPr>
      <w:r w:rsidRPr="009B231A">
        <w:rPr>
          <w:rFonts w:asciiTheme="minorHAnsi" w:hAnsiTheme="minorHAnsi" w:cstheme="minorHAnsi"/>
          <w:sz w:val="22"/>
          <w:szCs w:val="22"/>
        </w:rPr>
        <w:t xml:space="preserve">Apesar do nível 3 de maturidade </w:t>
      </w:r>
      <w:r w:rsidR="00FE3005" w:rsidRPr="009B231A">
        <w:rPr>
          <w:rFonts w:asciiTheme="minorHAnsi" w:hAnsiTheme="minorHAnsi" w:cstheme="minorHAnsi"/>
          <w:sz w:val="22"/>
          <w:szCs w:val="22"/>
        </w:rPr>
        <w:t>observa-se que ainda existe uma baixa cultura para adoção de práticas de Governança Corporativa TI, necessárias para o fortalecimento d</w:t>
      </w:r>
      <w:r w:rsidR="006357D3" w:rsidRPr="009B231A">
        <w:rPr>
          <w:rFonts w:asciiTheme="minorHAnsi" w:hAnsiTheme="minorHAnsi" w:cstheme="minorHAnsi"/>
          <w:sz w:val="22"/>
          <w:szCs w:val="22"/>
        </w:rPr>
        <w:t xml:space="preserve">o processo de </w:t>
      </w:r>
      <w:r w:rsidRPr="009B231A">
        <w:rPr>
          <w:rFonts w:asciiTheme="minorHAnsi" w:hAnsiTheme="minorHAnsi" w:cstheme="minorHAnsi"/>
          <w:sz w:val="22"/>
          <w:szCs w:val="22"/>
        </w:rPr>
        <w:t>direcionamento estra</w:t>
      </w:r>
      <w:r w:rsidR="006357D3" w:rsidRPr="009B231A">
        <w:rPr>
          <w:rFonts w:asciiTheme="minorHAnsi" w:hAnsiTheme="minorHAnsi" w:cstheme="minorHAnsi"/>
          <w:sz w:val="22"/>
          <w:szCs w:val="22"/>
        </w:rPr>
        <w:t xml:space="preserve">tégico </w:t>
      </w:r>
      <w:r w:rsidRPr="009B231A">
        <w:rPr>
          <w:rFonts w:asciiTheme="minorHAnsi" w:hAnsiTheme="minorHAnsi" w:cstheme="minorHAnsi"/>
          <w:sz w:val="22"/>
          <w:szCs w:val="22"/>
        </w:rPr>
        <w:t>de TI</w:t>
      </w:r>
      <w:r w:rsidR="00FE3005" w:rsidRPr="009B231A">
        <w:rPr>
          <w:rFonts w:asciiTheme="minorHAnsi" w:hAnsiTheme="minorHAnsi" w:cstheme="minorHAnsi"/>
          <w:sz w:val="22"/>
          <w:szCs w:val="22"/>
        </w:rPr>
        <w:t>. Observa-se ainda que a SEFAZ/SP não A</w:t>
      </w:r>
      <w:r w:rsidR="006357D3" w:rsidRPr="009B231A">
        <w:rPr>
          <w:rFonts w:asciiTheme="minorHAnsi" w:hAnsiTheme="minorHAnsi" w:cstheme="minorHAnsi"/>
          <w:sz w:val="22"/>
          <w:szCs w:val="22"/>
        </w:rPr>
        <w:t xml:space="preserve">dota uma metodologia que possa avaliar o desempenho dos serviços de TI devido </w:t>
      </w:r>
      <w:r w:rsidR="00FE3005" w:rsidRPr="009B231A">
        <w:rPr>
          <w:rFonts w:asciiTheme="minorHAnsi" w:hAnsiTheme="minorHAnsi" w:cstheme="minorHAnsi"/>
          <w:sz w:val="22"/>
          <w:szCs w:val="22"/>
        </w:rPr>
        <w:t>à</w:t>
      </w:r>
      <w:r w:rsidR="006357D3" w:rsidRPr="009B231A">
        <w:rPr>
          <w:rFonts w:asciiTheme="minorHAnsi" w:hAnsiTheme="minorHAnsi" w:cstheme="minorHAnsi"/>
          <w:sz w:val="22"/>
          <w:szCs w:val="22"/>
        </w:rPr>
        <w:t xml:space="preserve"> falta de uma ferramenta de Governança de TI</w:t>
      </w:r>
      <w:r w:rsidR="00FE3005" w:rsidRPr="009B231A">
        <w:rPr>
          <w:rFonts w:asciiTheme="minorHAnsi" w:hAnsiTheme="minorHAnsi" w:cstheme="minorHAnsi"/>
          <w:sz w:val="22"/>
          <w:szCs w:val="22"/>
        </w:rPr>
        <w:t>.</w:t>
      </w:r>
    </w:p>
    <w:p w:rsidR="00162B12" w:rsidRPr="0072678C" w:rsidRDefault="00D8081F" w:rsidP="00162B12">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lastRenderedPageBreak/>
        <w:t xml:space="preserve">A </w:t>
      </w:r>
      <w:r w:rsidRPr="0072678C">
        <w:rPr>
          <w:rFonts w:asciiTheme="minorHAnsi" w:hAnsiTheme="minorHAnsi" w:cstheme="minorHAnsi"/>
          <w:b/>
          <w:i/>
          <w:sz w:val="22"/>
          <w:szCs w:val="22"/>
        </w:rPr>
        <w:t>automação dos processos críticos da administração fiscal</w:t>
      </w:r>
      <w:r w:rsidRPr="0072678C">
        <w:rPr>
          <w:rFonts w:asciiTheme="minorHAnsi" w:hAnsiTheme="minorHAnsi" w:cstheme="minorHAnsi"/>
          <w:sz w:val="22"/>
          <w:szCs w:val="22"/>
        </w:rPr>
        <w:t xml:space="preserve"> obteve nível </w:t>
      </w:r>
      <w:r w:rsidR="00EC487D" w:rsidRPr="0072678C">
        <w:rPr>
          <w:rFonts w:asciiTheme="minorHAnsi" w:hAnsiTheme="minorHAnsi" w:cstheme="minorHAnsi"/>
          <w:sz w:val="22"/>
          <w:szCs w:val="22"/>
        </w:rPr>
        <w:t>3</w:t>
      </w:r>
      <w:r w:rsidRPr="0072678C">
        <w:rPr>
          <w:rFonts w:asciiTheme="minorHAnsi" w:hAnsiTheme="minorHAnsi" w:cstheme="minorHAnsi"/>
          <w:sz w:val="22"/>
          <w:szCs w:val="22"/>
        </w:rPr>
        <w:t xml:space="preserve"> de maturidade e atende apenas </w:t>
      </w:r>
      <w:r w:rsidR="00EC487D" w:rsidRPr="0072678C">
        <w:rPr>
          <w:rFonts w:asciiTheme="minorHAnsi" w:hAnsiTheme="minorHAnsi" w:cstheme="minorHAnsi"/>
          <w:sz w:val="22"/>
          <w:szCs w:val="22"/>
        </w:rPr>
        <w:t>8</w:t>
      </w:r>
      <w:r w:rsidRPr="0072678C">
        <w:rPr>
          <w:rFonts w:asciiTheme="minorHAnsi" w:hAnsiTheme="minorHAnsi" w:cstheme="minorHAnsi"/>
          <w:sz w:val="22"/>
          <w:szCs w:val="22"/>
        </w:rPr>
        <w:t xml:space="preserve"> </w:t>
      </w:r>
      <w:r w:rsidR="00DB0BF8" w:rsidRPr="0072678C">
        <w:rPr>
          <w:rFonts w:asciiTheme="minorHAnsi" w:hAnsiTheme="minorHAnsi" w:cstheme="minorHAnsi"/>
          <w:sz w:val="22"/>
          <w:szCs w:val="22"/>
        </w:rPr>
        <w:t>dentre</w:t>
      </w:r>
      <w:r w:rsidRPr="0072678C">
        <w:rPr>
          <w:rFonts w:asciiTheme="minorHAnsi" w:hAnsiTheme="minorHAnsi" w:cstheme="minorHAnsi"/>
          <w:sz w:val="22"/>
          <w:szCs w:val="22"/>
        </w:rPr>
        <w:t xml:space="preserve"> 9 requisitos das boas práticas da MD-GEFIS. </w:t>
      </w:r>
      <w:r w:rsidR="00EC487D" w:rsidRPr="0072678C">
        <w:rPr>
          <w:rFonts w:asciiTheme="minorHAnsi" w:hAnsiTheme="minorHAnsi" w:cstheme="minorHAnsi"/>
          <w:sz w:val="22"/>
          <w:szCs w:val="22"/>
        </w:rPr>
        <w:t>A gestão de TI disponibiliza grande parte dos serviços de forma eletrônica aos contribuintes conforme listagem de serviços</w:t>
      </w:r>
      <w:r w:rsidR="00EC487D" w:rsidRPr="0072678C">
        <w:rPr>
          <w:rStyle w:val="FootnoteReference"/>
          <w:rFonts w:asciiTheme="minorHAnsi" w:hAnsiTheme="minorHAnsi" w:cstheme="minorHAnsi"/>
          <w:sz w:val="22"/>
          <w:szCs w:val="22"/>
        </w:rPr>
        <w:footnoteReference w:id="42"/>
      </w:r>
      <w:r w:rsidR="00EC487D" w:rsidRPr="0072678C">
        <w:rPr>
          <w:rFonts w:asciiTheme="minorHAnsi" w:hAnsiTheme="minorHAnsi" w:cstheme="minorHAnsi"/>
          <w:sz w:val="22"/>
          <w:szCs w:val="22"/>
        </w:rPr>
        <w:t>; executa e controla a arrecadação de todos os tributos estaduais, por meio de sistemas de Arrecadação (DHDD) e</w:t>
      </w:r>
      <w:r w:rsidR="0034475D" w:rsidRPr="0072678C">
        <w:rPr>
          <w:rFonts w:asciiTheme="minorHAnsi" w:hAnsiTheme="minorHAnsi" w:cstheme="minorHAnsi"/>
          <w:sz w:val="22"/>
          <w:szCs w:val="22"/>
        </w:rPr>
        <w:t xml:space="preserve"> do </w:t>
      </w:r>
      <w:r w:rsidR="00EC487D" w:rsidRPr="0072678C">
        <w:rPr>
          <w:rFonts w:asciiTheme="minorHAnsi" w:hAnsiTheme="minorHAnsi" w:cstheme="minorHAnsi"/>
          <w:sz w:val="22"/>
          <w:szCs w:val="22"/>
        </w:rPr>
        <w:t xml:space="preserve">Ambiente de Pagamentos onde são controlados a execução e </w:t>
      </w:r>
      <w:r w:rsidR="00DB0BF8" w:rsidRPr="0072678C">
        <w:rPr>
          <w:rFonts w:asciiTheme="minorHAnsi" w:hAnsiTheme="minorHAnsi" w:cstheme="minorHAnsi"/>
          <w:sz w:val="22"/>
          <w:szCs w:val="22"/>
        </w:rPr>
        <w:t xml:space="preserve">a </w:t>
      </w:r>
      <w:r w:rsidR="00EC487D" w:rsidRPr="0072678C">
        <w:rPr>
          <w:rFonts w:asciiTheme="minorHAnsi" w:hAnsiTheme="minorHAnsi" w:cstheme="minorHAnsi"/>
          <w:sz w:val="22"/>
          <w:szCs w:val="22"/>
        </w:rPr>
        <w:t>arrecadação dos trib</w:t>
      </w:r>
      <w:r w:rsidR="00903E4C" w:rsidRPr="0072678C">
        <w:rPr>
          <w:rFonts w:asciiTheme="minorHAnsi" w:hAnsiTheme="minorHAnsi" w:cstheme="minorHAnsi"/>
          <w:sz w:val="22"/>
          <w:szCs w:val="22"/>
        </w:rPr>
        <w:t>utos: ICMS, IPVA, ITCMD e TAXAS; utiliza as informações do SPED (NF-e, EFD e ECD) na execução das ações fiscais</w:t>
      </w:r>
      <w:r w:rsidR="00903E4C" w:rsidRPr="0072678C">
        <w:rPr>
          <w:rStyle w:val="FootnoteReference"/>
          <w:rFonts w:asciiTheme="minorHAnsi" w:hAnsiTheme="minorHAnsi" w:cstheme="minorHAnsi"/>
          <w:sz w:val="22"/>
          <w:szCs w:val="22"/>
        </w:rPr>
        <w:footnoteReference w:id="43"/>
      </w:r>
      <w:r w:rsidR="00903E4C" w:rsidRPr="0072678C">
        <w:rPr>
          <w:rFonts w:asciiTheme="minorHAnsi" w:hAnsiTheme="minorHAnsi" w:cstheme="minorHAnsi"/>
          <w:sz w:val="22"/>
          <w:szCs w:val="22"/>
        </w:rPr>
        <w:t xml:space="preserve">; </w:t>
      </w:r>
      <w:r w:rsidR="00DB0BF8" w:rsidRPr="0072678C">
        <w:rPr>
          <w:rFonts w:asciiTheme="minorHAnsi" w:hAnsiTheme="minorHAnsi" w:cstheme="minorHAnsi"/>
          <w:sz w:val="22"/>
          <w:szCs w:val="22"/>
        </w:rPr>
        <w:t xml:space="preserve">realiza </w:t>
      </w:r>
      <w:r w:rsidR="00903E4C" w:rsidRPr="0072678C">
        <w:rPr>
          <w:rFonts w:asciiTheme="minorHAnsi" w:hAnsiTheme="minorHAnsi" w:cstheme="minorHAnsi"/>
          <w:sz w:val="22"/>
          <w:szCs w:val="22"/>
        </w:rPr>
        <w:t xml:space="preserve">o controle da cobrança do crédito tributário </w:t>
      </w:r>
      <w:r w:rsidR="00DB0BF8" w:rsidRPr="0072678C">
        <w:rPr>
          <w:rFonts w:asciiTheme="minorHAnsi" w:hAnsiTheme="minorHAnsi" w:cstheme="minorHAnsi"/>
          <w:sz w:val="22"/>
          <w:szCs w:val="22"/>
        </w:rPr>
        <w:t xml:space="preserve">que </w:t>
      </w:r>
      <w:r w:rsidR="00903E4C" w:rsidRPr="0072678C">
        <w:rPr>
          <w:rFonts w:asciiTheme="minorHAnsi" w:hAnsiTheme="minorHAnsi" w:cstheme="minorHAnsi"/>
          <w:sz w:val="22"/>
          <w:szCs w:val="22"/>
        </w:rPr>
        <w:t xml:space="preserve">é feito por meio dos sistemas de Contas Fiscais, além dos sistemas de Notificação e Inscrição em </w:t>
      </w:r>
      <w:r w:rsidR="00DB0BF8" w:rsidRPr="0072678C">
        <w:rPr>
          <w:rFonts w:asciiTheme="minorHAnsi" w:hAnsiTheme="minorHAnsi" w:cstheme="minorHAnsi"/>
          <w:sz w:val="22"/>
          <w:szCs w:val="22"/>
        </w:rPr>
        <w:t>Dívida Ativa (o</w:t>
      </w:r>
      <w:r w:rsidR="0034475D" w:rsidRPr="0072678C">
        <w:rPr>
          <w:rFonts w:asciiTheme="minorHAnsi" w:hAnsiTheme="minorHAnsi" w:cstheme="minorHAnsi"/>
          <w:sz w:val="22"/>
          <w:szCs w:val="22"/>
        </w:rPr>
        <w:t xml:space="preserve"> p</w:t>
      </w:r>
      <w:r w:rsidR="00903E4C" w:rsidRPr="0072678C">
        <w:rPr>
          <w:rFonts w:asciiTheme="minorHAnsi" w:hAnsiTheme="minorHAnsi" w:cstheme="minorHAnsi"/>
          <w:sz w:val="22"/>
          <w:szCs w:val="22"/>
        </w:rPr>
        <w:t xml:space="preserve">arcelamento ICMS e ITCMD são controlados </w:t>
      </w:r>
      <w:r w:rsidR="00162B12" w:rsidRPr="0072678C">
        <w:rPr>
          <w:rFonts w:asciiTheme="minorHAnsi" w:hAnsiTheme="minorHAnsi" w:cstheme="minorHAnsi"/>
          <w:sz w:val="22"/>
          <w:szCs w:val="22"/>
        </w:rPr>
        <w:t>por meio de sistemas específicos</w:t>
      </w:r>
      <w:r w:rsidR="00DB0BF8" w:rsidRPr="0072678C">
        <w:rPr>
          <w:rFonts w:asciiTheme="minorHAnsi" w:hAnsiTheme="minorHAnsi" w:cstheme="minorHAnsi"/>
          <w:sz w:val="22"/>
          <w:szCs w:val="22"/>
        </w:rPr>
        <w:t>)</w:t>
      </w:r>
      <w:r w:rsidR="00162B12" w:rsidRPr="0072678C">
        <w:rPr>
          <w:rFonts w:asciiTheme="minorHAnsi" w:hAnsiTheme="minorHAnsi" w:cstheme="minorHAnsi"/>
          <w:sz w:val="22"/>
          <w:szCs w:val="22"/>
        </w:rPr>
        <w:t>; o controle dos processos do contencioso administrativo são feitos por meio do Processo Eletrônico Tributário (e</w:t>
      </w:r>
      <w:r w:rsidR="00DB0BF8" w:rsidRPr="0072678C">
        <w:rPr>
          <w:rFonts w:asciiTheme="minorHAnsi" w:hAnsiTheme="minorHAnsi" w:cstheme="minorHAnsi"/>
          <w:sz w:val="22"/>
          <w:szCs w:val="22"/>
        </w:rPr>
        <w:t>-</w:t>
      </w:r>
      <w:r w:rsidR="00162B12" w:rsidRPr="0072678C">
        <w:rPr>
          <w:rFonts w:asciiTheme="minorHAnsi" w:hAnsiTheme="minorHAnsi" w:cstheme="minorHAnsi"/>
          <w:sz w:val="22"/>
          <w:szCs w:val="22"/>
        </w:rPr>
        <w:t>PAT)</w:t>
      </w:r>
      <w:r w:rsidR="00162B12" w:rsidRPr="0072678C">
        <w:rPr>
          <w:rStyle w:val="FootnoteReference"/>
          <w:rFonts w:asciiTheme="minorHAnsi" w:hAnsiTheme="minorHAnsi" w:cstheme="minorHAnsi"/>
          <w:sz w:val="22"/>
          <w:szCs w:val="22"/>
        </w:rPr>
        <w:footnoteReference w:id="44"/>
      </w:r>
      <w:r w:rsidR="00162B12" w:rsidRPr="0072678C">
        <w:rPr>
          <w:rFonts w:asciiTheme="minorHAnsi" w:hAnsiTheme="minorHAnsi" w:cstheme="minorHAnsi"/>
          <w:sz w:val="22"/>
          <w:szCs w:val="22"/>
        </w:rPr>
        <w:t>; o PGE.net (sistema informatizado de gerenciamento dos processos judiciais na PGE), controla os processos do contencioso judicial</w:t>
      </w:r>
      <w:r w:rsidR="00162B12" w:rsidRPr="0072678C">
        <w:rPr>
          <w:rStyle w:val="FootnoteReference"/>
          <w:rFonts w:asciiTheme="minorHAnsi" w:hAnsiTheme="minorHAnsi" w:cstheme="minorHAnsi"/>
          <w:sz w:val="22"/>
          <w:szCs w:val="22"/>
        </w:rPr>
        <w:footnoteReference w:id="45"/>
      </w:r>
      <w:r w:rsidR="00162B12" w:rsidRPr="0072678C">
        <w:rPr>
          <w:rFonts w:asciiTheme="minorHAnsi" w:hAnsiTheme="minorHAnsi" w:cstheme="minorHAnsi"/>
          <w:sz w:val="22"/>
          <w:szCs w:val="22"/>
        </w:rPr>
        <w:t xml:space="preserve">; </w:t>
      </w:r>
      <w:r w:rsidR="006156A6" w:rsidRPr="0072678C">
        <w:rPr>
          <w:rFonts w:asciiTheme="minorHAnsi" w:hAnsiTheme="minorHAnsi" w:cstheme="minorHAnsi"/>
          <w:sz w:val="22"/>
          <w:szCs w:val="22"/>
        </w:rPr>
        <w:t xml:space="preserve">a gestão de TI, ainda, </w:t>
      </w:r>
      <w:r w:rsidR="00162B12" w:rsidRPr="0072678C">
        <w:rPr>
          <w:rFonts w:asciiTheme="minorHAnsi" w:hAnsiTheme="minorHAnsi" w:cstheme="minorHAnsi"/>
          <w:sz w:val="22"/>
          <w:szCs w:val="22"/>
        </w:rPr>
        <w:t>executa e controla as transações orçamentárias e financeiras e os registros contábeis</w:t>
      </w:r>
      <w:r w:rsidR="00162B12" w:rsidRPr="0072678C">
        <w:rPr>
          <w:rStyle w:val="FootnoteReference"/>
          <w:rFonts w:asciiTheme="minorHAnsi" w:hAnsiTheme="minorHAnsi" w:cstheme="minorHAnsi"/>
          <w:sz w:val="22"/>
          <w:szCs w:val="22"/>
        </w:rPr>
        <w:footnoteReference w:id="46"/>
      </w:r>
      <w:r w:rsidR="0034475D" w:rsidRPr="0072678C">
        <w:rPr>
          <w:rFonts w:asciiTheme="minorHAnsi" w:hAnsiTheme="minorHAnsi" w:cstheme="minorHAnsi"/>
          <w:sz w:val="22"/>
          <w:szCs w:val="22"/>
        </w:rPr>
        <w:t>; por fim apura e apropria custos públicos por função</w:t>
      </w:r>
      <w:r w:rsidR="006156A6" w:rsidRPr="0072678C">
        <w:rPr>
          <w:rFonts w:asciiTheme="minorHAnsi" w:hAnsiTheme="minorHAnsi" w:cstheme="minorHAnsi"/>
          <w:sz w:val="22"/>
          <w:szCs w:val="22"/>
        </w:rPr>
        <w:t>. E</w:t>
      </w:r>
      <w:r w:rsidR="0034475D" w:rsidRPr="0072678C">
        <w:rPr>
          <w:rFonts w:asciiTheme="minorHAnsi" w:hAnsiTheme="minorHAnsi" w:cstheme="minorHAnsi"/>
          <w:sz w:val="22"/>
          <w:szCs w:val="22"/>
        </w:rPr>
        <w:t>stes dados são extraídos do sistema SIAFEM/SP e atualizados diariamente.</w:t>
      </w:r>
    </w:p>
    <w:p w:rsidR="006156A6" w:rsidRPr="0072678C" w:rsidRDefault="006156A6" w:rsidP="006156A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Com nível 3 de maturidade, o processo </w:t>
      </w:r>
      <w:r w:rsidRPr="0072678C">
        <w:rPr>
          <w:rFonts w:asciiTheme="minorHAnsi" w:hAnsiTheme="minorHAnsi" w:cstheme="minorHAnsi"/>
          <w:b/>
          <w:i/>
          <w:sz w:val="22"/>
          <w:szCs w:val="22"/>
        </w:rPr>
        <w:t>contratações de TI</w:t>
      </w:r>
      <w:r w:rsidRPr="0072678C">
        <w:rPr>
          <w:rFonts w:asciiTheme="minorHAnsi" w:hAnsiTheme="minorHAnsi" w:cstheme="minorHAnsi"/>
          <w:sz w:val="22"/>
          <w:szCs w:val="22"/>
        </w:rPr>
        <w:t xml:space="preserve"> atende a todos os 8 requisito</w:t>
      </w:r>
      <w:r w:rsidR="009A323D" w:rsidRPr="0072678C">
        <w:rPr>
          <w:rFonts w:asciiTheme="minorHAnsi" w:hAnsiTheme="minorHAnsi" w:cstheme="minorHAnsi"/>
          <w:sz w:val="22"/>
          <w:szCs w:val="22"/>
        </w:rPr>
        <w:t>s das boas práticas da MD-GEFIS, ou seja</w:t>
      </w:r>
      <w:r w:rsidRPr="0072678C">
        <w:rPr>
          <w:rFonts w:asciiTheme="minorHAnsi" w:hAnsiTheme="minorHAnsi" w:cstheme="minorHAnsi"/>
          <w:sz w:val="22"/>
          <w:szCs w:val="22"/>
        </w:rPr>
        <w:t xml:space="preserve">: </w:t>
      </w:r>
      <w:r w:rsidR="006B690F" w:rsidRPr="0072678C">
        <w:rPr>
          <w:rFonts w:asciiTheme="minorHAnsi" w:hAnsiTheme="minorHAnsi" w:cstheme="minorHAnsi"/>
          <w:sz w:val="22"/>
          <w:szCs w:val="22"/>
        </w:rPr>
        <w:t>define atividades padronizadas, indicadores quantitativos e metas no planejamento das contratações</w:t>
      </w:r>
      <w:r w:rsidR="006B690F" w:rsidRPr="0072678C">
        <w:rPr>
          <w:rStyle w:val="FootnoteReference"/>
          <w:rFonts w:asciiTheme="minorHAnsi" w:hAnsiTheme="minorHAnsi" w:cstheme="minorHAnsi"/>
          <w:sz w:val="22"/>
          <w:szCs w:val="22"/>
        </w:rPr>
        <w:footnoteReference w:id="47"/>
      </w:r>
      <w:r w:rsidR="006B690F" w:rsidRPr="0072678C">
        <w:rPr>
          <w:rFonts w:asciiTheme="minorHAnsi" w:hAnsiTheme="minorHAnsi" w:cstheme="minorHAnsi"/>
          <w:sz w:val="22"/>
          <w:szCs w:val="22"/>
        </w:rPr>
        <w:t>; verifica os aspectos de custo-benefício, segurança, autonomia e disponibilidade nas contratações de infraestrutura, avaliando e precificando as alternativas de nuvens</w:t>
      </w:r>
      <w:r w:rsidR="00201BC2" w:rsidRPr="0072678C">
        <w:rPr>
          <w:rStyle w:val="FootnoteReference"/>
          <w:rFonts w:asciiTheme="minorHAnsi" w:hAnsiTheme="minorHAnsi" w:cstheme="minorHAnsi"/>
          <w:sz w:val="22"/>
          <w:szCs w:val="22"/>
        </w:rPr>
        <w:footnoteReference w:id="48"/>
      </w:r>
      <w:r w:rsidR="00201BC2" w:rsidRPr="0072678C">
        <w:rPr>
          <w:rFonts w:asciiTheme="minorHAnsi" w:hAnsiTheme="minorHAnsi" w:cstheme="minorHAnsi"/>
          <w:sz w:val="22"/>
          <w:szCs w:val="22"/>
        </w:rPr>
        <w:t xml:space="preserve">; </w:t>
      </w:r>
      <w:r w:rsidR="00657F80" w:rsidRPr="0072678C">
        <w:rPr>
          <w:rFonts w:asciiTheme="minorHAnsi" w:hAnsiTheme="minorHAnsi" w:cstheme="minorHAnsi"/>
          <w:sz w:val="22"/>
          <w:szCs w:val="22"/>
        </w:rPr>
        <w:t>inclui</w:t>
      </w:r>
      <w:r w:rsidR="00201BC2" w:rsidRPr="0072678C">
        <w:rPr>
          <w:rFonts w:asciiTheme="minorHAnsi" w:hAnsiTheme="minorHAnsi" w:cstheme="minorHAnsi"/>
          <w:sz w:val="22"/>
          <w:szCs w:val="22"/>
        </w:rPr>
        <w:t xml:space="preserve"> estudos de viabilidade técnica, indicadores de resultados e vinculação entre a contratação e os planos estratégicos</w:t>
      </w:r>
      <w:r w:rsidR="00657F80" w:rsidRPr="0072678C">
        <w:rPr>
          <w:rStyle w:val="FootnoteReference"/>
          <w:rFonts w:asciiTheme="minorHAnsi" w:hAnsiTheme="minorHAnsi" w:cstheme="minorHAnsi"/>
          <w:sz w:val="22"/>
          <w:szCs w:val="22"/>
        </w:rPr>
        <w:footnoteReference w:id="49"/>
      </w:r>
      <w:r w:rsidR="00657F80" w:rsidRPr="0072678C">
        <w:rPr>
          <w:rFonts w:asciiTheme="minorHAnsi" w:hAnsiTheme="minorHAnsi" w:cstheme="minorHAnsi"/>
          <w:sz w:val="22"/>
          <w:szCs w:val="22"/>
        </w:rPr>
        <w:t xml:space="preserve">; realiza análise dos riscos que podem comprometer o sucesso da contratação desde a elaboração da proposta de projeto; define </w:t>
      </w:r>
      <w:r w:rsidR="00657F80" w:rsidRPr="0072678C">
        <w:rPr>
          <w:rFonts w:asciiTheme="minorHAnsi" w:hAnsiTheme="minorHAnsi" w:cstheme="minorHAnsi"/>
          <w:sz w:val="22"/>
          <w:szCs w:val="22"/>
        </w:rPr>
        <w:lastRenderedPageBreak/>
        <w:t>indicadores quantitativos e metas de processo e de resultados no gerenciamento dos contratos</w:t>
      </w:r>
      <w:r w:rsidR="000A131F" w:rsidRPr="0072678C">
        <w:rPr>
          <w:rFonts w:asciiTheme="minorHAnsi" w:hAnsiTheme="minorHAnsi" w:cstheme="minorHAnsi"/>
          <w:sz w:val="22"/>
          <w:szCs w:val="22"/>
        </w:rPr>
        <w:t xml:space="preserve"> (existe </w:t>
      </w:r>
      <w:r w:rsidR="003C4067" w:rsidRPr="0072678C">
        <w:rPr>
          <w:rFonts w:asciiTheme="minorHAnsi" w:hAnsiTheme="minorHAnsi" w:cstheme="minorHAnsi"/>
          <w:sz w:val="22"/>
          <w:szCs w:val="22"/>
        </w:rPr>
        <w:t xml:space="preserve">neste caso </w:t>
      </w:r>
      <w:r w:rsidR="000A131F" w:rsidRPr="0072678C">
        <w:rPr>
          <w:rFonts w:asciiTheme="minorHAnsi" w:hAnsiTheme="minorHAnsi" w:cstheme="minorHAnsi"/>
          <w:sz w:val="22"/>
          <w:szCs w:val="22"/>
        </w:rPr>
        <w:t xml:space="preserve">um fluxo </w:t>
      </w:r>
      <w:r w:rsidR="009A323D" w:rsidRPr="0072678C">
        <w:rPr>
          <w:rFonts w:asciiTheme="minorHAnsi" w:hAnsiTheme="minorHAnsi" w:cstheme="minorHAnsi"/>
          <w:sz w:val="22"/>
          <w:szCs w:val="22"/>
        </w:rPr>
        <w:t xml:space="preserve">mapeado para </w:t>
      </w:r>
      <w:r w:rsidR="000A131F" w:rsidRPr="0072678C">
        <w:rPr>
          <w:rFonts w:asciiTheme="minorHAnsi" w:hAnsiTheme="minorHAnsi" w:cstheme="minorHAnsi"/>
          <w:sz w:val="22"/>
          <w:szCs w:val="22"/>
        </w:rPr>
        <w:t>esta atividade: Fluxo-Processo CGC" e "Fluxo - Processo CGC - Prorrogação"); mensura os resultados para autorizar os pagamentos e prorrogações dos contratos</w:t>
      </w:r>
      <w:r w:rsidR="009A323D" w:rsidRPr="0072678C">
        <w:rPr>
          <w:rFonts w:asciiTheme="minorHAnsi" w:hAnsiTheme="minorHAnsi" w:cstheme="minorHAnsi"/>
          <w:sz w:val="22"/>
          <w:szCs w:val="22"/>
        </w:rPr>
        <w:t xml:space="preserve"> (o monitoramento e avaliação quanto à qualidade dos serviços/produtos fornecidos cabe ao Gestor do contrato e o ateste das notas fiscais é o documento que ratifica que a qualidade atingiu o que foi descrito no Memorial Descritivo); define e formaliza os papéis e as atividades do gestor e do fiscal dos contratos conforme </w:t>
      </w:r>
      <w:r w:rsidR="003C4067" w:rsidRPr="0072678C">
        <w:rPr>
          <w:rFonts w:asciiTheme="minorHAnsi" w:hAnsiTheme="minorHAnsi" w:cstheme="minorHAnsi"/>
          <w:sz w:val="22"/>
          <w:szCs w:val="22"/>
        </w:rPr>
        <w:t xml:space="preserve">Resolução SF 50, de 29 de julho de </w:t>
      </w:r>
      <w:r w:rsidR="009A323D" w:rsidRPr="0072678C">
        <w:rPr>
          <w:rFonts w:asciiTheme="minorHAnsi" w:hAnsiTheme="minorHAnsi" w:cstheme="minorHAnsi"/>
          <w:sz w:val="22"/>
          <w:szCs w:val="22"/>
        </w:rPr>
        <w:t>2014; e</w:t>
      </w:r>
      <w:r w:rsidR="003C4067" w:rsidRPr="0072678C">
        <w:rPr>
          <w:rFonts w:asciiTheme="minorHAnsi" w:hAnsiTheme="minorHAnsi" w:cstheme="minorHAnsi"/>
          <w:sz w:val="22"/>
          <w:szCs w:val="22"/>
        </w:rPr>
        <w:t>, por fim,</w:t>
      </w:r>
      <w:r w:rsidR="009A323D" w:rsidRPr="0072678C">
        <w:rPr>
          <w:rFonts w:asciiTheme="minorHAnsi" w:hAnsiTheme="minorHAnsi" w:cstheme="minorHAnsi"/>
          <w:sz w:val="22"/>
          <w:szCs w:val="22"/>
        </w:rPr>
        <w:t xml:space="preserve"> avalia e revisa o processo de gestão dos contratos.</w:t>
      </w:r>
    </w:p>
    <w:p w:rsidR="009A323D" w:rsidRPr="0072678C" w:rsidRDefault="00D2673B" w:rsidP="00025B9B">
      <w:pPr>
        <w:jc w:val="both"/>
      </w:pPr>
      <w:r w:rsidRPr="0072678C">
        <w:rPr>
          <w:rFonts w:asciiTheme="minorHAnsi" w:hAnsiTheme="minorHAnsi" w:cstheme="minorHAnsi"/>
          <w:sz w:val="22"/>
          <w:szCs w:val="22"/>
        </w:rPr>
        <w:t xml:space="preserve">Com nível 2 de maturidade, o processo </w:t>
      </w:r>
      <w:r w:rsidRPr="0072678C">
        <w:rPr>
          <w:rFonts w:asciiTheme="minorHAnsi" w:hAnsiTheme="minorHAnsi" w:cstheme="minorHAnsi"/>
          <w:b/>
          <w:bCs/>
          <w:i/>
          <w:iCs/>
          <w:sz w:val="22"/>
          <w:szCs w:val="22"/>
        </w:rPr>
        <w:t>sistema de monitoramento e avaliação</w:t>
      </w:r>
      <w:r w:rsidRPr="0072678C">
        <w:rPr>
          <w:rFonts w:asciiTheme="minorHAnsi" w:hAnsiTheme="minorHAnsi" w:cstheme="minorHAnsi"/>
          <w:sz w:val="22"/>
          <w:szCs w:val="22"/>
        </w:rPr>
        <w:t xml:space="preserve"> da gestão de TI atende a 4 </w:t>
      </w:r>
      <w:r w:rsidR="003C4067" w:rsidRPr="0072678C">
        <w:rPr>
          <w:rFonts w:asciiTheme="minorHAnsi" w:hAnsiTheme="minorHAnsi" w:cstheme="minorHAnsi"/>
          <w:sz w:val="22"/>
          <w:szCs w:val="22"/>
        </w:rPr>
        <w:t>dentre</w:t>
      </w:r>
      <w:r w:rsidRPr="0072678C">
        <w:rPr>
          <w:rFonts w:asciiTheme="minorHAnsi" w:hAnsiTheme="minorHAnsi" w:cstheme="minorHAnsi"/>
          <w:sz w:val="22"/>
          <w:szCs w:val="22"/>
        </w:rPr>
        <w:t xml:space="preserve"> 6 requisitos das boas práticas da MD-GEFIS, ou seja, avalia periodicamente o funcionamento dos sistemas de informação</w:t>
      </w:r>
      <w:r w:rsidRPr="0072678C">
        <w:rPr>
          <w:rStyle w:val="FootnoteReference"/>
          <w:rFonts w:asciiTheme="minorHAnsi" w:hAnsiTheme="minorHAnsi" w:cstheme="minorHAnsi"/>
          <w:sz w:val="22"/>
          <w:szCs w:val="22"/>
        </w:rPr>
        <w:footnoteReference w:id="50"/>
      </w:r>
      <w:r w:rsidR="003E59A7" w:rsidRPr="0072678C">
        <w:rPr>
          <w:rFonts w:asciiTheme="minorHAnsi" w:hAnsiTheme="minorHAnsi" w:cstheme="minorHAnsi"/>
          <w:sz w:val="22"/>
          <w:szCs w:val="22"/>
        </w:rPr>
        <w:t>; monitora e avalia periodicamente a satisfação dos usuários de TI</w:t>
      </w:r>
      <w:r w:rsidR="003E59A7" w:rsidRPr="0072678C">
        <w:rPr>
          <w:rStyle w:val="FootnoteReference"/>
          <w:rFonts w:asciiTheme="minorHAnsi" w:hAnsiTheme="minorHAnsi" w:cstheme="minorHAnsi"/>
          <w:sz w:val="22"/>
          <w:szCs w:val="22"/>
        </w:rPr>
        <w:footnoteReference w:id="51"/>
      </w:r>
      <w:r w:rsidR="003E59A7" w:rsidRPr="0072678C">
        <w:rPr>
          <w:rFonts w:asciiTheme="minorHAnsi" w:hAnsiTheme="minorHAnsi" w:cstheme="minorHAnsi"/>
          <w:sz w:val="22"/>
          <w:szCs w:val="22"/>
        </w:rPr>
        <w:t>; monitora e avalia periodicamente os contratos de TI. A CGC semanalmente monitora os contratos de TI de prorrogação, e processos de aquisição, quanto aos prazos por fase</w:t>
      </w:r>
      <w:r w:rsidR="003C4067" w:rsidRPr="0072678C">
        <w:rPr>
          <w:rFonts w:asciiTheme="minorHAnsi" w:hAnsiTheme="minorHAnsi" w:cstheme="minorHAnsi"/>
          <w:sz w:val="22"/>
          <w:szCs w:val="22"/>
        </w:rPr>
        <w:t>. O</w:t>
      </w:r>
      <w:r w:rsidR="003E59A7" w:rsidRPr="0072678C">
        <w:rPr>
          <w:rFonts w:asciiTheme="minorHAnsi" w:hAnsiTheme="minorHAnsi" w:cstheme="minorHAnsi"/>
          <w:sz w:val="22"/>
          <w:szCs w:val="22"/>
        </w:rPr>
        <w:t xml:space="preserve"> sistema de controle é feito por meio de listas no </w:t>
      </w:r>
      <w:proofErr w:type="spellStart"/>
      <w:r w:rsidR="003E59A7" w:rsidRPr="0072678C">
        <w:rPr>
          <w:rFonts w:asciiTheme="minorHAnsi" w:hAnsiTheme="minorHAnsi" w:cstheme="minorHAnsi"/>
          <w:sz w:val="22"/>
          <w:szCs w:val="22"/>
        </w:rPr>
        <w:t>sharepoint</w:t>
      </w:r>
      <w:proofErr w:type="spellEnd"/>
      <w:r w:rsidR="003E59A7" w:rsidRPr="0072678C">
        <w:rPr>
          <w:rFonts w:asciiTheme="minorHAnsi" w:hAnsiTheme="minorHAnsi" w:cstheme="minorHAnsi"/>
          <w:sz w:val="22"/>
          <w:szCs w:val="22"/>
        </w:rPr>
        <w:t>, o monitoramento e avaliação quanto à qualidade dos serviços/produtos cabe ao Gestor do contrato</w:t>
      </w:r>
      <w:r w:rsidR="00454882" w:rsidRPr="0072678C">
        <w:rPr>
          <w:rFonts w:asciiTheme="minorHAnsi" w:hAnsiTheme="minorHAnsi" w:cstheme="minorHAnsi"/>
          <w:sz w:val="22"/>
          <w:szCs w:val="22"/>
        </w:rPr>
        <w:t xml:space="preserve">, assim como, </w:t>
      </w:r>
      <w:r w:rsidR="003E59A7" w:rsidRPr="0072678C">
        <w:rPr>
          <w:rFonts w:asciiTheme="minorHAnsi" w:hAnsiTheme="minorHAnsi" w:cstheme="minorHAnsi"/>
          <w:sz w:val="22"/>
          <w:szCs w:val="22"/>
        </w:rPr>
        <w:t>o ateste das notas fiscais é o documento que ratifica que a qualidade atingiu o que foi descrito no Memorial Descritivo.</w:t>
      </w:r>
    </w:p>
    <w:p w:rsidR="00454882" w:rsidRPr="0072678C" w:rsidRDefault="00454882"/>
    <w:p w:rsidR="008E757E" w:rsidRPr="0072678C" w:rsidRDefault="000F6970" w:rsidP="008E757E">
      <w:pPr>
        <w:jc w:val="both"/>
        <w:rPr>
          <w:rFonts w:asciiTheme="minorHAnsi" w:hAnsiTheme="minorHAnsi" w:cstheme="minorHAnsi"/>
          <w:sz w:val="22"/>
          <w:szCs w:val="22"/>
        </w:rPr>
      </w:pPr>
      <w:r w:rsidRPr="0072678C">
        <w:rPr>
          <w:rFonts w:asciiTheme="minorHAnsi" w:hAnsiTheme="minorHAnsi" w:cstheme="minorHAnsi"/>
          <w:sz w:val="22"/>
          <w:szCs w:val="22"/>
        </w:rPr>
        <w:t xml:space="preserve">Com nível 2 de maturidade, o processo </w:t>
      </w:r>
      <w:r w:rsidRPr="0072678C">
        <w:rPr>
          <w:rFonts w:asciiTheme="minorHAnsi" w:hAnsiTheme="minorHAnsi" w:cstheme="minorHAnsi"/>
          <w:b/>
          <w:bCs/>
          <w:i/>
          <w:iCs/>
          <w:sz w:val="22"/>
          <w:szCs w:val="22"/>
        </w:rPr>
        <w:t>controle e a operação da área de TI</w:t>
      </w:r>
      <w:r w:rsidRPr="0072678C">
        <w:rPr>
          <w:rFonts w:asciiTheme="minorHAnsi" w:hAnsiTheme="minorHAnsi" w:cstheme="minorHAnsi"/>
          <w:sz w:val="22"/>
          <w:szCs w:val="22"/>
        </w:rPr>
        <w:t xml:space="preserve"> atende a 12 </w:t>
      </w:r>
      <w:r w:rsidR="003C4067" w:rsidRPr="0072678C">
        <w:rPr>
          <w:rFonts w:asciiTheme="minorHAnsi" w:hAnsiTheme="minorHAnsi" w:cstheme="minorHAnsi"/>
          <w:sz w:val="22"/>
          <w:szCs w:val="22"/>
        </w:rPr>
        <w:t>dentre</w:t>
      </w:r>
      <w:r w:rsidRPr="0072678C">
        <w:rPr>
          <w:rFonts w:asciiTheme="minorHAnsi" w:hAnsiTheme="minorHAnsi" w:cstheme="minorHAnsi"/>
          <w:sz w:val="22"/>
          <w:szCs w:val="22"/>
        </w:rPr>
        <w:t xml:space="preserve"> 20 requisitos das boas práticas da MD-GEFIS</w:t>
      </w:r>
      <w:r w:rsidR="003C4067" w:rsidRPr="0072678C">
        <w:rPr>
          <w:rFonts w:asciiTheme="minorHAnsi" w:hAnsiTheme="minorHAnsi" w:cstheme="minorHAnsi"/>
          <w:sz w:val="22"/>
          <w:szCs w:val="22"/>
        </w:rPr>
        <w:t xml:space="preserve"> e obteve nível </w:t>
      </w:r>
      <w:r w:rsidR="00BB242A" w:rsidRPr="0072678C">
        <w:rPr>
          <w:rFonts w:asciiTheme="minorHAnsi" w:hAnsiTheme="minorHAnsi" w:cstheme="minorHAnsi"/>
          <w:sz w:val="22"/>
          <w:szCs w:val="22"/>
        </w:rPr>
        <w:t xml:space="preserve">2 </w:t>
      </w:r>
      <w:r w:rsidR="003C4067" w:rsidRPr="0072678C">
        <w:rPr>
          <w:rFonts w:asciiTheme="minorHAnsi" w:hAnsiTheme="minorHAnsi" w:cstheme="minorHAnsi"/>
          <w:sz w:val="22"/>
          <w:szCs w:val="22"/>
        </w:rPr>
        <w:t xml:space="preserve">de maturidade </w:t>
      </w:r>
      <w:r w:rsidRPr="0072678C">
        <w:rPr>
          <w:rFonts w:asciiTheme="minorHAnsi" w:hAnsiTheme="minorHAnsi" w:cstheme="minorHAnsi"/>
          <w:sz w:val="22"/>
          <w:szCs w:val="22"/>
        </w:rPr>
        <w:t>, ou seja, a gestão de TI utiliza as disciplinas da biblioteca ITIL no gerenciamento dos serviços de TI</w:t>
      </w:r>
      <w:r w:rsidR="00762E07" w:rsidRPr="0072678C">
        <w:rPr>
          <w:rFonts w:asciiTheme="minorHAnsi" w:hAnsiTheme="minorHAnsi" w:cstheme="minorHAnsi"/>
          <w:sz w:val="22"/>
          <w:szCs w:val="22"/>
        </w:rPr>
        <w:t>, o DTI possui atualmente oito processos de gerenciamento de serviços de TI baseado em ITIL oficialmente implantados</w:t>
      </w:r>
      <w:r w:rsidR="00762E07" w:rsidRPr="0072678C">
        <w:rPr>
          <w:rStyle w:val="FootnoteReference"/>
          <w:rFonts w:asciiTheme="minorHAnsi" w:hAnsiTheme="minorHAnsi" w:cstheme="minorHAnsi"/>
          <w:sz w:val="22"/>
          <w:szCs w:val="22"/>
        </w:rPr>
        <w:footnoteReference w:id="52"/>
      </w:r>
      <w:r w:rsidR="00762E07" w:rsidRPr="0072678C">
        <w:rPr>
          <w:rFonts w:asciiTheme="minorHAnsi" w:hAnsiTheme="minorHAnsi" w:cstheme="minorHAnsi"/>
          <w:sz w:val="22"/>
          <w:szCs w:val="22"/>
        </w:rPr>
        <w:t>; consequentemente atualiza os principais processos d</w:t>
      </w:r>
      <w:r w:rsidR="008E757E" w:rsidRPr="0072678C">
        <w:rPr>
          <w:rFonts w:asciiTheme="minorHAnsi" w:hAnsiTheme="minorHAnsi" w:cstheme="minorHAnsi"/>
          <w:sz w:val="22"/>
          <w:szCs w:val="22"/>
        </w:rPr>
        <w:t>e</w:t>
      </w:r>
      <w:r w:rsidR="00762E07" w:rsidRPr="0072678C">
        <w:rPr>
          <w:rFonts w:asciiTheme="minorHAnsi" w:hAnsiTheme="minorHAnsi" w:cstheme="minorHAnsi"/>
          <w:sz w:val="22"/>
          <w:szCs w:val="22"/>
        </w:rPr>
        <w:t xml:space="preserve"> gestão de T</w:t>
      </w:r>
      <w:r w:rsidR="008E757E" w:rsidRPr="0072678C">
        <w:rPr>
          <w:rFonts w:asciiTheme="minorHAnsi" w:hAnsiTheme="minorHAnsi" w:cstheme="minorHAnsi"/>
          <w:sz w:val="22"/>
          <w:szCs w:val="22"/>
        </w:rPr>
        <w:t>I</w:t>
      </w:r>
      <w:r w:rsidR="00762E07" w:rsidRPr="0072678C">
        <w:rPr>
          <w:rFonts w:asciiTheme="minorHAnsi" w:hAnsiTheme="minorHAnsi" w:cstheme="minorHAnsi"/>
          <w:sz w:val="22"/>
          <w:szCs w:val="22"/>
        </w:rPr>
        <w:t>, por meio da Central de Serviços TI</w:t>
      </w:r>
      <w:r w:rsidR="00762E07" w:rsidRPr="0072678C">
        <w:rPr>
          <w:rStyle w:val="FootnoteReference"/>
          <w:rFonts w:asciiTheme="minorHAnsi" w:hAnsiTheme="minorHAnsi" w:cstheme="minorHAnsi"/>
          <w:sz w:val="22"/>
          <w:szCs w:val="22"/>
        </w:rPr>
        <w:footnoteReference w:id="53"/>
      </w:r>
      <w:r w:rsidR="008E757E" w:rsidRPr="0072678C">
        <w:rPr>
          <w:rFonts w:asciiTheme="minorHAnsi" w:hAnsiTheme="minorHAnsi" w:cstheme="minorHAnsi"/>
          <w:sz w:val="22"/>
          <w:szCs w:val="22"/>
        </w:rPr>
        <w:t>; disponibiliza catálogo atualizado dos serviços implantados, com os níveis de serviço acordados com as áreas organizacionais</w:t>
      </w:r>
      <w:r w:rsidR="008E757E" w:rsidRPr="0072678C">
        <w:rPr>
          <w:rStyle w:val="FootnoteReference"/>
          <w:rFonts w:asciiTheme="minorHAnsi" w:hAnsiTheme="minorHAnsi" w:cstheme="minorHAnsi"/>
          <w:sz w:val="22"/>
          <w:szCs w:val="22"/>
        </w:rPr>
        <w:footnoteReference w:id="54"/>
      </w:r>
      <w:r w:rsidR="008E757E" w:rsidRPr="0072678C">
        <w:rPr>
          <w:rFonts w:asciiTheme="minorHAnsi" w:hAnsiTheme="minorHAnsi" w:cstheme="minorHAnsi"/>
          <w:sz w:val="22"/>
          <w:szCs w:val="22"/>
        </w:rPr>
        <w:t>; gerencia os riscos de TI, considerando a integridade das bases de dados, a descontinuidade de soluções tecnológicas, incêndios, redundância, entre outros. O Centro de Operação e Infraestrutura é responsável pelo controle e operação da área de TI, e é organizado em núcleos com funções distintas e complementares, cada núcleo sendo responsável pelo gerenciamento dos risco</w:t>
      </w:r>
      <w:r w:rsidR="00E34257" w:rsidRPr="0072678C">
        <w:rPr>
          <w:rFonts w:asciiTheme="minorHAnsi" w:hAnsiTheme="minorHAnsi" w:cstheme="minorHAnsi"/>
          <w:sz w:val="22"/>
          <w:szCs w:val="22"/>
        </w:rPr>
        <w:t>s dentro de sua área de atuação; adota, implementa e atualiza a  metodologia de desenvolvimento de software. Para garantir a qualidade do software desenvolvido, os profissionais do Centro de Desenvolvimento de Sistemas do Departamento de Tecnologia da Informação da SEFAZ</w:t>
      </w:r>
      <w:r w:rsidR="00BB242A" w:rsidRPr="0072678C">
        <w:rPr>
          <w:rFonts w:asciiTheme="minorHAnsi" w:hAnsiTheme="minorHAnsi" w:cstheme="minorHAnsi"/>
          <w:sz w:val="22"/>
          <w:szCs w:val="22"/>
        </w:rPr>
        <w:t>/SP</w:t>
      </w:r>
      <w:r w:rsidR="00E34257" w:rsidRPr="0072678C">
        <w:rPr>
          <w:rFonts w:asciiTheme="minorHAnsi" w:hAnsiTheme="minorHAnsi" w:cstheme="minorHAnsi"/>
          <w:sz w:val="22"/>
          <w:szCs w:val="22"/>
        </w:rPr>
        <w:t>, prepararam uma série de documentos e guias que possibilitam a adoção de um padrão de desenvolvimento de software, de forma que todos os profissionais envolvidos nessa ati</w:t>
      </w:r>
      <w:r w:rsidR="00BB242A" w:rsidRPr="0072678C">
        <w:rPr>
          <w:rFonts w:asciiTheme="minorHAnsi" w:hAnsiTheme="minorHAnsi" w:cstheme="minorHAnsi"/>
          <w:sz w:val="22"/>
          <w:szCs w:val="22"/>
        </w:rPr>
        <w:t xml:space="preserve">vidade tenham à sua disposição </w:t>
      </w:r>
      <w:r w:rsidR="00E34257" w:rsidRPr="0072678C">
        <w:rPr>
          <w:rFonts w:asciiTheme="minorHAnsi" w:hAnsiTheme="minorHAnsi" w:cstheme="minorHAnsi"/>
          <w:sz w:val="22"/>
          <w:szCs w:val="22"/>
        </w:rPr>
        <w:t xml:space="preserve">a documentação necessária para a realização de suas tarefas; utiliza dispositivos para proteção das informações, sistemas, recursos e serviços contra erros, manipulação não autorizada e desastres para garantir a redução do impacto e diminuir a probabilidade de incidentes de segurança; utiliza plataforma de </w:t>
      </w:r>
      <w:r w:rsidR="00E34257" w:rsidRPr="0072678C">
        <w:rPr>
          <w:rFonts w:asciiTheme="minorHAnsi" w:hAnsiTheme="minorHAnsi" w:cstheme="minorHAnsi"/>
          <w:sz w:val="22"/>
          <w:szCs w:val="22"/>
        </w:rPr>
        <w:lastRenderedPageBreak/>
        <w:t>segurança de rede atendendo aos padrões internacionais em segurança da informação</w:t>
      </w:r>
      <w:r w:rsidR="006C50E9" w:rsidRPr="0072678C">
        <w:rPr>
          <w:rFonts w:asciiTheme="minorHAnsi" w:hAnsiTheme="minorHAnsi" w:cstheme="minorHAnsi"/>
          <w:sz w:val="22"/>
          <w:szCs w:val="22"/>
        </w:rPr>
        <w:t>; disponibiliza ferramentas que permitem transformar dados dos sistemas em Informação qualitativa e importante para a tomada de decisão</w:t>
      </w:r>
      <w:r w:rsidR="006C50E9" w:rsidRPr="0072678C">
        <w:rPr>
          <w:rStyle w:val="FootnoteReference"/>
          <w:rFonts w:asciiTheme="minorHAnsi" w:hAnsiTheme="minorHAnsi" w:cstheme="minorHAnsi"/>
          <w:sz w:val="22"/>
          <w:szCs w:val="22"/>
        </w:rPr>
        <w:footnoteReference w:id="55"/>
      </w:r>
      <w:r w:rsidR="00251AC0" w:rsidRPr="0072678C">
        <w:rPr>
          <w:rFonts w:asciiTheme="minorHAnsi" w:hAnsiTheme="minorHAnsi" w:cstheme="minorHAnsi"/>
          <w:sz w:val="22"/>
          <w:szCs w:val="22"/>
        </w:rPr>
        <w:t>; utiliza ferramentas de mineração (data mining) para explorar grandes quantidades de dados à procura de padrões consistentes, como regras de associação ou sequências temporais, para detectar relacionamentos sistemáticos entre variáveis, identificando novos subconjuntos de dados</w:t>
      </w:r>
      <w:r w:rsidR="00B372D9" w:rsidRPr="0072678C">
        <w:rPr>
          <w:rFonts w:asciiTheme="minorHAnsi" w:hAnsiTheme="minorHAnsi" w:cstheme="minorHAnsi"/>
          <w:sz w:val="22"/>
          <w:szCs w:val="22"/>
        </w:rPr>
        <w:t>; utiliza ferramentas para tratar grandes volumes de dados</w:t>
      </w:r>
      <w:r w:rsidR="00B372D9" w:rsidRPr="0072678C">
        <w:rPr>
          <w:rStyle w:val="FootnoteReference"/>
          <w:rFonts w:asciiTheme="minorHAnsi" w:hAnsiTheme="minorHAnsi" w:cstheme="minorHAnsi"/>
          <w:sz w:val="22"/>
          <w:szCs w:val="22"/>
        </w:rPr>
        <w:footnoteReference w:id="56"/>
      </w:r>
      <w:r w:rsidR="00B372D9" w:rsidRPr="0072678C">
        <w:rPr>
          <w:rFonts w:asciiTheme="minorHAnsi" w:hAnsiTheme="minorHAnsi" w:cstheme="minorHAnsi"/>
          <w:sz w:val="22"/>
          <w:szCs w:val="22"/>
        </w:rPr>
        <w:t xml:space="preserve">, estruturados, </w:t>
      </w:r>
      <w:proofErr w:type="spellStart"/>
      <w:r w:rsidR="00B372D9" w:rsidRPr="0072678C">
        <w:rPr>
          <w:rFonts w:asciiTheme="minorHAnsi" w:hAnsiTheme="minorHAnsi" w:cstheme="minorHAnsi"/>
          <w:sz w:val="22"/>
          <w:szCs w:val="22"/>
        </w:rPr>
        <w:t>semi</w:t>
      </w:r>
      <w:proofErr w:type="spellEnd"/>
      <w:r w:rsidR="00B372D9" w:rsidRPr="0072678C">
        <w:rPr>
          <w:rFonts w:asciiTheme="minorHAnsi" w:hAnsiTheme="minorHAnsi" w:cstheme="minorHAnsi"/>
          <w:sz w:val="22"/>
          <w:szCs w:val="22"/>
        </w:rPr>
        <w:t xml:space="preserve"> estruturados e não estruturados, que permitem fazer a predição e descoberta de fatores relevantes em grande escala usando inteligência computacional; dispõem de parque tecnológico atualizado considerando as últimas tendências de mercado para armazenamento e processamento de dados</w:t>
      </w:r>
      <w:r w:rsidR="00A422BC" w:rsidRPr="0072678C">
        <w:rPr>
          <w:rFonts w:asciiTheme="minorHAnsi" w:hAnsiTheme="minorHAnsi" w:cstheme="minorHAnsi"/>
          <w:sz w:val="22"/>
          <w:szCs w:val="22"/>
        </w:rPr>
        <w:t>; e gerenciam os projetos de TI por meio de indicadores quantitativos e controlam os processos essenciais e respectivos prazos estabelecidos para o sucesso do projeto</w:t>
      </w:r>
      <w:r w:rsidR="00801C2D" w:rsidRPr="0072678C">
        <w:rPr>
          <w:rFonts w:asciiTheme="minorHAnsi" w:hAnsiTheme="minorHAnsi" w:cstheme="minorHAnsi"/>
          <w:sz w:val="22"/>
          <w:szCs w:val="22"/>
        </w:rPr>
        <w:t>.</w:t>
      </w:r>
    </w:p>
    <w:p w:rsidR="00B44516" w:rsidRPr="0072678C" w:rsidRDefault="00B44516" w:rsidP="00B44516">
      <w:pPr>
        <w:spacing w:before="240" w:after="240"/>
        <w:jc w:val="both"/>
        <w:rPr>
          <w:rFonts w:asciiTheme="minorHAnsi" w:hAnsiTheme="minorHAnsi" w:cstheme="minorHAnsi"/>
          <w:iCs/>
          <w:sz w:val="22"/>
          <w:szCs w:val="22"/>
        </w:rPr>
      </w:pPr>
      <w:r w:rsidRPr="0072678C">
        <w:rPr>
          <w:rFonts w:asciiTheme="minorHAnsi" w:hAnsiTheme="minorHAnsi" w:cstheme="minorHAnsi"/>
          <w:iCs/>
          <w:sz w:val="22"/>
          <w:szCs w:val="22"/>
        </w:rPr>
        <w:t xml:space="preserve">Os indicadores de desempenho selecionados para </w:t>
      </w:r>
      <w:r w:rsidR="00DE1A5C" w:rsidRPr="0072678C">
        <w:rPr>
          <w:rFonts w:asciiTheme="minorHAnsi" w:hAnsiTheme="minorHAnsi" w:cstheme="minorHAnsi"/>
          <w:b/>
        </w:rPr>
        <w:t>Dimensão GF 4. Gestão da Tecnologia da Informação</w:t>
      </w:r>
      <w:r w:rsidR="00DE1A5C" w:rsidRPr="0072678C">
        <w:rPr>
          <w:rFonts w:asciiTheme="minorHAnsi" w:hAnsiTheme="minorHAnsi" w:cstheme="minorHAnsi"/>
          <w:iCs/>
          <w:sz w:val="22"/>
          <w:szCs w:val="22"/>
        </w:rPr>
        <w:t xml:space="preserve"> com nível de maturidade Intermediário (-) </w:t>
      </w:r>
      <w:r w:rsidR="00A7769D" w:rsidRPr="0072678C">
        <w:rPr>
          <w:rFonts w:asciiTheme="minorHAnsi" w:hAnsiTheme="minorHAnsi" w:cstheme="minorHAnsi"/>
          <w:iCs/>
          <w:sz w:val="22"/>
          <w:szCs w:val="22"/>
        </w:rPr>
        <w:t>foram:</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2"/>
        <w:gridCol w:w="1418"/>
        <w:gridCol w:w="1701"/>
        <w:gridCol w:w="2268"/>
      </w:tblGrid>
      <w:tr w:rsidR="00AD70B1" w:rsidRPr="0072678C" w:rsidTr="00BB1F8D">
        <w:trPr>
          <w:trHeight w:val="660"/>
        </w:trPr>
        <w:tc>
          <w:tcPr>
            <w:tcW w:w="3402" w:type="dxa"/>
            <w:shd w:val="clear" w:color="auto" w:fill="D9D9D9" w:themeFill="background1" w:themeFillShade="D9"/>
            <w:tcMar>
              <w:top w:w="0" w:type="dxa"/>
              <w:left w:w="70" w:type="dxa"/>
              <w:bottom w:w="0" w:type="dxa"/>
              <w:right w:w="70" w:type="dxa"/>
            </w:tcMar>
            <w:vAlign w:val="center"/>
            <w:hideMark/>
          </w:tcPr>
          <w:p w:rsidR="00AD70B1" w:rsidRPr="0072678C" w:rsidRDefault="00AD70B1" w:rsidP="00BB1F8D">
            <w:pPr>
              <w:jc w:val="center"/>
              <w:rPr>
                <w:rFonts w:asciiTheme="minorHAnsi" w:eastAsiaTheme="minorHAnsi" w:hAnsiTheme="minorHAnsi" w:cstheme="minorHAnsi"/>
                <w:sz w:val="20"/>
                <w:szCs w:val="20"/>
                <w:lang w:eastAsia="en-US"/>
              </w:rPr>
            </w:pPr>
            <w:bookmarkStart w:id="25" w:name="_Hlk504162342"/>
            <w:r w:rsidRPr="0072678C">
              <w:rPr>
                <w:rFonts w:asciiTheme="minorHAnsi" w:hAnsiTheme="minorHAnsi" w:cstheme="minorHAnsi"/>
                <w:b/>
                <w:bCs/>
                <w:sz w:val="20"/>
                <w:szCs w:val="20"/>
              </w:rPr>
              <w:t>Indicadores de Desempenho</w:t>
            </w:r>
          </w:p>
        </w:tc>
        <w:tc>
          <w:tcPr>
            <w:tcW w:w="1418" w:type="dxa"/>
            <w:shd w:val="clear" w:color="auto" w:fill="D9D9D9" w:themeFill="background1" w:themeFillShade="D9"/>
            <w:tcMar>
              <w:top w:w="0" w:type="dxa"/>
              <w:left w:w="70" w:type="dxa"/>
              <w:bottom w:w="0" w:type="dxa"/>
              <w:right w:w="70" w:type="dxa"/>
            </w:tcMar>
            <w:vAlign w:val="center"/>
            <w:hideMark/>
          </w:tcPr>
          <w:p w:rsidR="00DE1A5C" w:rsidRPr="0072678C" w:rsidRDefault="00AD70B1" w:rsidP="00BB1F8D">
            <w:pPr>
              <w:jc w:val="cente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Apuração</w:t>
            </w:r>
            <w:r w:rsidR="00BB1F8D" w:rsidRPr="0072678C">
              <w:rPr>
                <w:rFonts w:asciiTheme="minorHAnsi" w:hAnsiTheme="minorHAnsi" w:cstheme="minorHAnsi"/>
                <w:b/>
                <w:bCs/>
                <w:sz w:val="20"/>
                <w:szCs w:val="20"/>
              </w:rPr>
              <w:t xml:space="preserve"> </w:t>
            </w:r>
            <w:r w:rsidR="00DE1A5C" w:rsidRPr="0072678C">
              <w:rPr>
                <w:rFonts w:asciiTheme="minorHAnsi" w:hAnsiTheme="minorHAnsi" w:cstheme="minorHAnsi"/>
                <w:b/>
                <w:bCs/>
                <w:sz w:val="20"/>
                <w:szCs w:val="20"/>
              </w:rPr>
              <w:t>2017</w:t>
            </w:r>
          </w:p>
        </w:tc>
        <w:tc>
          <w:tcPr>
            <w:tcW w:w="1701" w:type="dxa"/>
            <w:shd w:val="clear" w:color="auto" w:fill="D9D9D9" w:themeFill="background1" w:themeFillShade="D9"/>
            <w:tcMar>
              <w:top w:w="0" w:type="dxa"/>
              <w:left w:w="70" w:type="dxa"/>
              <w:bottom w:w="0" w:type="dxa"/>
              <w:right w:w="70" w:type="dxa"/>
            </w:tcMar>
            <w:vAlign w:val="center"/>
            <w:hideMark/>
          </w:tcPr>
          <w:p w:rsidR="00AD70B1" w:rsidRPr="0072678C" w:rsidRDefault="00AD70B1" w:rsidP="00BB1F8D">
            <w:pPr>
              <w:jc w:val="cente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Fontes</w:t>
            </w:r>
          </w:p>
        </w:tc>
        <w:tc>
          <w:tcPr>
            <w:tcW w:w="2268" w:type="dxa"/>
            <w:shd w:val="clear" w:color="auto" w:fill="D9D9D9" w:themeFill="background1" w:themeFillShade="D9"/>
            <w:noWrap/>
            <w:tcMar>
              <w:top w:w="0" w:type="dxa"/>
              <w:left w:w="70" w:type="dxa"/>
              <w:bottom w:w="0" w:type="dxa"/>
              <w:right w:w="70" w:type="dxa"/>
            </w:tcMar>
            <w:vAlign w:val="center"/>
            <w:hideMark/>
          </w:tcPr>
          <w:p w:rsidR="00AD70B1" w:rsidRPr="0072678C" w:rsidRDefault="00AD70B1" w:rsidP="00BB1F8D">
            <w:pPr>
              <w:jc w:val="cente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Esclarecendo o indicador</w:t>
            </w:r>
          </w:p>
        </w:tc>
      </w:tr>
      <w:tr w:rsidR="00AD70B1" w:rsidRPr="0072678C" w:rsidTr="00BB1F8D">
        <w:trPr>
          <w:trHeight w:val="64"/>
        </w:trPr>
        <w:tc>
          <w:tcPr>
            <w:tcW w:w="3402" w:type="dxa"/>
            <w:tcMar>
              <w:top w:w="0" w:type="dxa"/>
              <w:left w:w="70" w:type="dxa"/>
              <w:bottom w:w="0" w:type="dxa"/>
              <w:right w:w="70" w:type="dxa"/>
            </w:tcMar>
            <w:vAlign w:val="center"/>
            <w:hideMark/>
          </w:tcPr>
          <w:p w:rsidR="00AD70B1" w:rsidRPr="0072678C" w:rsidRDefault="00AD70B1">
            <w:pP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Execução do orçamento de CUSTEIO de TI (excluindo despesas com pessoal):</w:t>
            </w:r>
            <w:r w:rsidRPr="0072678C">
              <w:rPr>
                <w:rFonts w:asciiTheme="minorHAnsi" w:hAnsiTheme="minorHAnsi" w:cstheme="minorHAnsi"/>
                <w:sz w:val="20"/>
                <w:szCs w:val="20"/>
              </w:rPr>
              <w:br/>
              <w:t>Orçamento de CUSTEIO de TI executado / orçamento de CUSTEIO total da administração fiscal</w:t>
            </w:r>
          </w:p>
        </w:tc>
        <w:tc>
          <w:tcPr>
            <w:tcW w:w="1418" w:type="dxa"/>
            <w:noWrap/>
            <w:tcMar>
              <w:top w:w="0" w:type="dxa"/>
              <w:left w:w="70" w:type="dxa"/>
              <w:bottom w:w="0" w:type="dxa"/>
              <w:right w:w="70" w:type="dxa"/>
            </w:tcMar>
            <w:vAlign w:val="center"/>
            <w:hideMark/>
          </w:tcPr>
          <w:p w:rsidR="00AD70B1" w:rsidRPr="0072678C" w:rsidRDefault="00AD70B1">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19,86%</w:t>
            </w:r>
          </w:p>
        </w:tc>
        <w:tc>
          <w:tcPr>
            <w:tcW w:w="1701" w:type="dxa"/>
            <w:shd w:val="clear" w:color="auto" w:fill="auto"/>
            <w:tcMar>
              <w:top w:w="0" w:type="dxa"/>
              <w:left w:w="70" w:type="dxa"/>
              <w:bottom w:w="0" w:type="dxa"/>
              <w:right w:w="70" w:type="dxa"/>
            </w:tcMar>
            <w:vAlign w:val="center"/>
            <w:hideMark/>
          </w:tcPr>
          <w:p w:rsidR="00AD70B1" w:rsidRPr="0072678C" w:rsidRDefault="00AD70B1">
            <w:pP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 xml:space="preserve">SIAFEM: </w:t>
            </w:r>
            <w:hyperlink r:id="rId19" w:history="1">
              <w:r w:rsidRPr="0072678C">
                <w:rPr>
                  <w:rStyle w:val="Hyperlink"/>
                  <w:rFonts w:asciiTheme="minorHAnsi" w:eastAsiaTheme="majorEastAsia" w:hAnsiTheme="minorHAnsi" w:cstheme="minorHAnsi"/>
                  <w:color w:val="auto"/>
                  <w:sz w:val="20"/>
                  <w:szCs w:val="20"/>
                </w:rPr>
                <w:t>https://www.fazenda.sp.gov.br/SigeoLei131/Paginas/FlexConsDespesa.aspx</w:t>
              </w:r>
            </w:hyperlink>
          </w:p>
        </w:tc>
        <w:tc>
          <w:tcPr>
            <w:tcW w:w="2268" w:type="dxa"/>
            <w:tcMar>
              <w:top w:w="0" w:type="dxa"/>
              <w:left w:w="70" w:type="dxa"/>
              <w:bottom w:w="0" w:type="dxa"/>
              <w:right w:w="70" w:type="dxa"/>
            </w:tcMar>
            <w:vAlign w:val="center"/>
            <w:hideMark/>
          </w:tcPr>
          <w:p w:rsidR="00AD70B1" w:rsidRPr="0072678C" w:rsidRDefault="00961209">
            <w:pP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Considera-se "A</w:t>
            </w:r>
            <w:r w:rsidR="00AD70B1" w:rsidRPr="0072678C">
              <w:rPr>
                <w:rFonts w:asciiTheme="minorHAnsi" w:hAnsiTheme="minorHAnsi" w:cstheme="minorHAnsi"/>
                <w:sz w:val="20"/>
                <w:szCs w:val="20"/>
              </w:rPr>
              <w:t>dministração fiscal" toda a Sefaz/SP, com orçamento de CUSTEIO total da administração fiscal em R$ 664.174.218,33</w:t>
            </w:r>
          </w:p>
        </w:tc>
      </w:tr>
      <w:tr w:rsidR="00AD70B1" w:rsidRPr="0072678C" w:rsidTr="00BB1F8D">
        <w:trPr>
          <w:trHeight w:val="990"/>
        </w:trPr>
        <w:tc>
          <w:tcPr>
            <w:tcW w:w="3402" w:type="dxa"/>
            <w:tcMar>
              <w:top w:w="0" w:type="dxa"/>
              <w:left w:w="70" w:type="dxa"/>
              <w:bottom w:w="0" w:type="dxa"/>
              <w:right w:w="70" w:type="dxa"/>
            </w:tcMar>
            <w:vAlign w:val="center"/>
            <w:hideMark/>
          </w:tcPr>
          <w:p w:rsidR="00AD70B1" w:rsidRPr="0072678C" w:rsidRDefault="00AD70B1">
            <w:pP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Execução do orçamento de INVESTIMENTO de TI:</w:t>
            </w:r>
            <w:r w:rsidRPr="0072678C">
              <w:rPr>
                <w:rFonts w:asciiTheme="minorHAnsi" w:hAnsiTheme="minorHAnsi" w:cstheme="minorHAnsi"/>
                <w:sz w:val="20"/>
                <w:szCs w:val="20"/>
              </w:rPr>
              <w:br/>
              <w:t>Orçamento de INVESTIMENTO de TI executado / orçamento de INVESTIMENTO total da administração fiscal</w:t>
            </w:r>
          </w:p>
        </w:tc>
        <w:tc>
          <w:tcPr>
            <w:tcW w:w="1418" w:type="dxa"/>
            <w:noWrap/>
            <w:tcMar>
              <w:top w:w="0" w:type="dxa"/>
              <w:left w:w="70" w:type="dxa"/>
              <w:bottom w:w="0" w:type="dxa"/>
              <w:right w:w="70" w:type="dxa"/>
            </w:tcMar>
            <w:vAlign w:val="center"/>
            <w:hideMark/>
          </w:tcPr>
          <w:p w:rsidR="00AD70B1" w:rsidRPr="0072678C" w:rsidRDefault="00AD70B1">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3,25%</w:t>
            </w:r>
          </w:p>
        </w:tc>
        <w:tc>
          <w:tcPr>
            <w:tcW w:w="1701" w:type="dxa"/>
            <w:shd w:val="clear" w:color="auto" w:fill="auto"/>
            <w:tcMar>
              <w:top w:w="0" w:type="dxa"/>
              <w:left w:w="70" w:type="dxa"/>
              <w:bottom w:w="0" w:type="dxa"/>
              <w:right w:w="70" w:type="dxa"/>
            </w:tcMar>
            <w:vAlign w:val="center"/>
            <w:hideMark/>
          </w:tcPr>
          <w:p w:rsidR="00AD70B1" w:rsidRPr="0072678C" w:rsidRDefault="00AD70B1">
            <w:pP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 xml:space="preserve">SIAFEM: </w:t>
            </w:r>
            <w:hyperlink r:id="rId20" w:history="1">
              <w:r w:rsidRPr="0072678C">
                <w:rPr>
                  <w:rStyle w:val="Hyperlink"/>
                  <w:rFonts w:asciiTheme="minorHAnsi" w:eastAsiaTheme="majorEastAsia" w:hAnsiTheme="minorHAnsi" w:cstheme="minorHAnsi"/>
                  <w:color w:val="auto"/>
                  <w:sz w:val="20"/>
                  <w:szCs w:val="20"/>
                </w:rPr>
                <w:t>https://www.fazenda.sp.gov.br/SigeoLei131/Paginas/FlexConsDespesa.aspx</w:t>
              </w:r>
            </w:hyperlink>
          </w:p>
        </w:tc>
        <w:tc>
          <w:tcPr>
            <w:tcW w:w="2268" w:type="dxa"/>
            <w:tcMar>
              <w:top w:w="0" w:type="dxa"/>
              <w:left w:w="70" w:type="dxa"/>
              <w:bottom w:w="0" w:type="dxa"/>
              <w:right w:w="70" w:type="dxa"/>
            </w:tcMar>
            <w:vAlign w:val="center"/>
            <w:hideMark/>
          </w:tcPr>
          <w:p w:rsidR="00AD70B1" w:rsidRPr="0072678C" w:rsidRDefault="00A7769D">
            <w:pP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Considera-se "A</w:t>
            </w:r>
            <w:r w:rsidR="00AD70B1" w:rsidRPr="0072678C">
              <w:rPr>
                <w:rFonts w:asciiTheme="minorHAnsi" w:hAnsiTheme="minorHAnsi" w:cstheme="minorHAnsi"/>
                <w:sz w:val="20"/>
                <w:szCs w:val="20"/>
              </w:rPr>
              <w:t>dministração fiscal" toda a Sefaz/SP, com orçamento de INVESTIMENTO total da administração fiscal em R$ 120.805.593,33</w:t>
            </w:r>
          </w:p>
        </w:tc>
      </w:tr>
      <w:tr w:rsidR="00AD70B1" w:rsidRPr="0072678C" w:rsidTr="00BB1F8D">
        <w:trPr>
          <w:trHeight w:val="660"/>
        </w:trPr>
        <w:tc>
          <w:tcPr>
            <w:tcW w:w="3402" w:type="dxa"/>
            <w:tcMar>
              <w:top w:w="0" w:type="dxa"/>
              <w:left w:w="70" w:type="dxa"/>
              <w:bottom w:w="0" w:type="dxa"/>
              <w:right w:w="70" w:type="dxa"/>
            </w:tcMar>
            <w:vAlign w:val="center"/>
            <w:hideMark/>
          </w:tcPr>
          <w:p w:rsidR="00AD70B1" w:rsidRPr="0072678C" w:rsidRDefault="00AD70B1">
            <w:pP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 xml:space="preserve">Eficiência na gestão do </w:t>
            </w:r>
            <w:r w:rsidRPr="0072678C">
              <w:rPr>
                <w:rFonts w:asciiTheme="minorHAnsi" w:hAnsiTheme="minorHAnsi" w:cstheme="minorHAnsi"/>
                <w:i/>
                <w:iCs/>
                <w:sz w:val="20"/>
                <w:szCs w:val="20"/>
              </w:rPr>
              <w:t>portfólio:</w:t>
            </w:r>
            <w:r w:rsidRPr="0072678C">
              <w:rPr>
                <w:rFonts w:asciiTheme="minorHAnsi" w:hAnsiTheme="minorHAnsi" w:cstheme="minorHAnsi"/>
                <w:i/>
                <w:iCs/>
                <w:sz w:val="20"/>
                <w:szCs w:val="20"/>
              </w:rPr>
              <w:br/>
            </w:r>
            <w:r w:rsidRPr="0072678C">
              <w:rPr>
                <w:rFonts w:asciiTheme="minorHAnsi" w:hAnsiTheme="minorHAnsi" w:cstheme="minorHAnsi"/>
                <w:sz w:val="20"/>
                <w:szCs w:val="20"/>
              </w:rPr>
              <w:t>Projetos de TI implantados / total de projetos de TI planejados</w:t>
            </w:r>
          </w:p>
        </w:tc>
        <w:tc>
          <w:tcPr>
            <w:tcW w:w="1418" w:type="dxa"/>
            <w:noWrap/>
            <w:tcMar>
              <w:top w:w="0" w:type="dxa"/>
              <w:left w:w="70" w:type="dxa"/>
              <w:bottom w:w="0" w:type="dxa"/>
              <w:right w:w="70" w:type="dxa"/>
            </w:tcMar>
            <w:vAlign w:val="center"/>
            <w:hideMark/>
          </w:tcPr>
          <w:p w:rsidR="00AD70B1" w:rsidRPr="0072678C" w:rsidRDefault="00AD70B1">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16,41%</w:t>
            </w:r>
          </w:p>
        </w:tc>
        <w:tc>
          <w:tcPr>
            <w:tcW w:w="1701" w:type="dxa"/>
            <w:shd w:val="clear" w:color="auto" w:fill="auto"/>
            <w:tcMar>
              <w:top w:w="0" w:type="dxa"/>
              <w:left w:w="70" w:type="dxa"/>
              <w:bottom w:w="0" w:type="dxa"/>
              <w:right w:w="70" w:type="dxa"/>
            </w:tcMar>
            <w:vAlign w:val="center"/>
            <w:hideMark/>
          </w:tcPr>
          <w:p w:rsidR="00AD70B1" w:rsidRPr="0072678C" w:rsidRDefault="00AD70B1">
            <w:pP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 </w:t>
            </w:r>
          </w:p>
        </w:tc>
        <w:tc>
          <w:tcPr>
            <w:tcW w:w="2268" w:type="dxa"/>
            <w:tcMar>
              <w:top w:w="0" w:type="dxa"/>
              <w:left w:w="70" w:type="dxa"/>
              <w:bottom w:w="0" w:type="dxa"/>
              <w:right w:w="70" w:type="dxa"/>
            </w:tcMar>
            <w:vAlign w:val="center"/>
            <w:hideMark/>
          </w:tcPr>
          <w:p w:rsidR="00AD70B1" w:rsidRPr="0072678C" w:rsidRDefault="00AD70B1">
            <w:pP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 </w:t>
            </w:r>
          </w:p>
        </w:tc>
      </w:tr>
    </w:tbl>
    <w:p w:rsidR="00AD70B1" w:rsidRPr="0072678C" w:rsidRDefault="00AD70B1"/>
    <w:p w:rsidR="00961209" w:rsidRPr="0072678C" w:rsidRDefault="00961209" w:rsidP="00961209">
      <w:pPr>
        <w:jc w:val="both"/>
        <w:rPr>
          <w:rFonts w:asciiTheme="minorHAnsi" w:hAnsiTheme="minorHAnsi" w:cstheme="minorHAnsi"/>
          <w:sz w:val="22"/>
          <w:szCs w:val="22"/>
        </w:rPr>
      </w:pPr>
      <w:r w:rsidRPr="0072678C">
        <w:rPr>
          <w:rFonts w:asciiTheme="minorHAnsi" w:hAnsiTheme="minorHAnsi" w:cstheme="minorHAnsi"/>
          <w:sz w:val="22"/>
          <w:szCs w:val="22"/>
        </w:rPr>
        <w:t xml:space="preserve">Pode-se concluir que os resultados apurados nos dois primeiros indicadores contribuem para confirmar o nível intermediário da Gestão de Tecnologia da Informação, assim como, o indicador Eficiência na gestão do portfólio que consideramos ter sido baixo devido </w:t>
      </w:r>
      <w:r w:rsidR="00480EE9" w:rsidRPr="0072678C">
        <w:rPr>
          <w:rFonts w:asciiTheme="minorHAnsi" w:hAnsiTheme="minorHAnsi" w:cstheme="minorHAnsi"/>
          <w:sz w:val="22"/>
          <w:szCs w:val="22"/>
        </w:rPr>
        <w:t>à</w:t>
      </w:r>
      <w:r w:rsidRPr="0072678C">
        <w:rPr>
          <w:rFonts w:asciiTheme="minorHAnsi" w:hAnsiTheme="minorHAnsi" w:cstheme="minorHAnsi"/>
          <w:sz w:val="22"/>
          <w:szCs w:val="22"/>
        </w:rPr>
        <w:t xml:space="preserve"> importância da área de tecnologia da informação na gestão fiscal.</w:t>
      </w:r>
    </w:p>
    <w:bookmarkEnd w:id="25"/>
    <w:p w:rsidR="0038477B" w:rsidRPr="0072678C" w:rsidRDefault="0038477B" w:rsidP="00B44516">
      <w:pPr>
        <w:jc w:val="both"/>
        <w:rPr>
          <w:rFonts w:asciiTheme="minorHAnsi" w:hAnsiTheme="minorHAnsi" w:cstheme="minorHAnsi"/>
          <w:sz w:val="22"/>
          <w:szCs w:val="22"/>
        </w:rPr>
      </w:pPr>
    </w:p>
    <w:tbl>
      <w:tblPr>
        <w:tblStyle w:val="TableGrid"/>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C5E0B3" w:themeFill="accent6" w:themeFillTint="66"/>
        <w:tblLook w:val="04A0" w:firstRow="1" w:lastRow="0" w:firstColumn="1" w:lastColumn="0" w:noHBand="0" w:noVBand="1"/>
      </w:tblPr>
      <w:tblGrid>
        <w:gridCol w:w="6592"/>
        <w:gridCol w:w="2197"/>
      </w:tblGrid>
      <w:tr w:rsidR="00B44516" w:rsidRPr="0072678C" w:rsidTr="00B44516">
        <w:tc>
          <w:tcPr>
            <w:tcW w:w="6592" w:type="dxa"/>
            <w:shd w:val="clear" w:color="auto" w:fill="C5E0B3" w:themeFill="accent6" w:themeFillTint="66"/>
          </w:tcPr>
          <w:p w:rsidR="00B44516" w:rsidRPr="0072678C" w:rsidRDefault="00B44516" w:rsidP="00B44516">
            <w:pPr>
              <w:spacing w:before="120" w:after="120"/>
              <w:jc w:val="both"/>
              <w:rPr>
                <w:rFonts w:asciiTheme="minorHAnsi" w:hAnsiTheme="minorHAnsi" w:cstheme="minorHAnsi"/>
                <w:b/>
              </w:rPr>
            </w:pPr>
            <w:r w:rsidRPr="0072678C">
              <w:rPr>
                <w:rFonts w:asciiTheme="minorHAnsi" w:hAnsiTheme="minorHAnsi" w:cstheme="minorHAnsi"/>
                <w:b/>
              </w:rPr>
              <w:t>Dimensão GF 5. Gestão de Aquisições e Materiais</w:t>
            </w:r>
          </w:p>
        </w:tc>
        <w:tc>
          <w:tcPr>
            <w:tcW w:w="2197" w:type="dxa"/>
            <w:shd w:val="clear" w:color="auto" w:fill="C5E0B3" w:themeFill="accent6" w:themeFillTint="66"/>
          </w:tcPr>
          <w:p w:rsidR="00B44516" w:rsidRPr="0072678C" w:rsidRDefault="00237E19" w:rsidP="00B44516">
            <w:pPr>
              <w:spacing w:before="120" w:after="120"/>
              <w:jc w:val="center"/>
              <w:rPr>
                <w:rFonts w:asciiTheme="minorHAnsi" w:hAnsiTheme="minorHAnsi" w:cstheme="minorHAnsi"/>
                <w:b/>
              </w:rPr>
            </w:pPr>
            <w:r w:rsidRPr="0072678C">
              <w:rPr>
                <w:rFonts w:asciiTheme="minorHAnsi" w:hAnsiTheme="minorHAnsi" w:cstheme="minorHAnsi"/>
                <w:b/>
              </w:rPr>
              <w:t>AVANÇADO (+)</w:t>
            </w:r>
          </w:p>
        </w:tc>
      </w:tr>
    </w:tbl>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 dimensão </w:t>
      </w:r>
      <w:r w:rsidRPr="0072678C">
        <w:rPr>
          <w:rFonts w:asciiTheme="minorHAnsi" w:hAnsiTheme="minorHAnsi" w:cstheme="minorHAnsi"/>
          <w:b/>
          <w:sz w:val="22"/>
          <w:szCs w:val="22"/>
        </w:rPr>
        <w:t>Gestão de Aquisições e Materiais</w:t>
      </w:r>
      <w:r w:rsidRPr="0072678C">
        <w:rPr>
          <w:rFonts w:asciiTheme="minorHAnsi" w:hAnsiTheme="minorHAnsi" w:cstheme="minorHAnsi"/>
          <w:sz w:val="22"/>
          <w:szCs w:val="22"/>
        </w:rPr>
        <w:t xml:space="preserve"> tem como visão de futuro “decidir e promover ações relativas às aquisições, materiais de consumo e permanentes alinhadas às necessidades da organização, buscando contribuir para a economia dos recursos e para o alcance das metas”.</w:t>
      </w:r>
    </w:p>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lastRenderedPageBreak/>
        <w:t xml:space="preserve">Esta dimensão contempla um conjunto de 6 processos críticos e encontra-se no nível de maturidade </w:t>
      </w:r>
      <w:r w:rsidR="00237E19" w:rsidRPr="0072678C">
        <w:rPr>
          <w:rFonts w:asciiTheme="minorHAnsi" w:hAnsiTheme="minorHAnsi" w:cstheme="minorHAnsi"/>
          <w:b/>
        </w:rPr>
        <w:t>AVANÇADO (+)</w:t>
      </w:r>
      <w:r w:rsidRPr="0072678C">
        <w:rPr>
          <w:rFonts w:asciiTheme="minorHAnsi" w:hAnsiTheme="minorHAnsi" w:cstheme="minorHAnsi"/>
          <w:b/>
          <w:sz w:val="22"/>
          <w:szCs w:val="22"/>
        </w:rPr>
        <w:t>,</w:t>
      </w:r>
      <w:r w:rsidRPr="0072678C">
        <w:rPr>
          <w:rFonts w:asciiTheme="minorHAnsi" w:hAnsiTheme="minorHAnsi" w:cstheme="minorHAnsi"/>
          <w:sz w:val="22"/>
          <w:szCs w:val="22"/>
        </w:rPr>
        <w:t xml:space="preserve"> de acordo c</w:t>
      </w:r>
      <w:r w:rsidR="0067242A" w:rsidRPr="0072678C">
        <w:rPr>
          <w:rFonts w:asciiTheme="minorHAnsi" w:hAnsiTheme="minorHAnsi" w:cstheme="minorHAnsi"/>
          <w:sz w:val="22"/>
          <w:szCs w:val="22"/>
        </w:rPr>
        <w:t>om a apuração realizada pela MD-</w:t>
      </w:r>
      <w:r w:rsidRPr="0072678C">
        <w:rPr>
          <w:rFonts w:asciiTheme="minorHAnsi" w:hAnsiTheme="minorHAnsi" w:cstheme="minorHAnsi"/>
          <w:sz w:val="22"/>
          <w:szCs w:val="22"/>
        </w:rPr>
        <w:t>GEFIS.</w:t>
      </w:r>
    </w:p>
    <w:p w:rsidR="00237E19" w:rsidRPr="0072678C" w:rsidRDefault="00B44516" w:rsidP="0065381B">
      <w:pPr>
        <w:spacing w:before="240" w:after="240"/>
        <w:jc w:val="both"/>
        <w:rPr>
          <w:rFonts w:asciiTheme="minorHAnsi" w:hAnsiTheme="minorHAnsi" w:cstheme="minorHAnsi"/>
          <w:b/>
          <w:bCs/>
          <w:i/>
          <w:iCs/>
          <w:sz w:val="22"/>
          <w:szCs w:val="22"/>
        </w:rPr>
      </w:pPr>
      <w:r w:rsidRPr="0072678C">
        <w:rPr>
          <w:rFonts w:asciiTheme="minorHAnsi" w:hAnsiTheme="minorHAnsi" w:cstheme="minorHAnsi"/>
          <w:sz w:val="22"/>
          <w:szCs w:val="22"/>
        </w:rPr>
        <w:t xml:space="preserve">Este resultado decorre principalmente pelo nível </w:t>
      </w:r>
      <w:r w:rsidR="00237E19" w:rsidRPr="0072678C">
        <w:rPr>
          <w:rFonts w:asciiTheme="minorHAnsi" w:hAnsiTheme="minorHAnsi" w:cstheme="minorHAnsi"/>
          <w:sz w:val="22"/>
          <w:szCs w:val="22"/>
        </w:rPr>
        <w:t>3</w:t>
      </w:r>
      <w:r w:rsidRPr="0072678C">
        <w:rPr>
          <w:rFonts w:asciiTheme="minorHAnsi" w:hAnsiTheme="minorHAnsi" w:cstheme="minorHAnsi"/>
          <w:sz w:val="22"/>
          <w:szCs w:val="22"/>
        </w:rPr>
        <w:t xml:space="preserve"> de maturidade de </w:t>
      </w:r>
      <w:r w:rsidR="00237E19" w:rsidRPr="0072678C">
        <w:rPr>
          <w:rFonts w:asciiTheme="minorHAnsi" w:hAnsiTheme="minorHAnsi" w:cstheme="minorHAnsi"/>
          <w:sz w:val="22"/>
          <w:szCs w:val="22"/>
        </w:rPr>
        <w:t>6</w:t>
      </w:r>
      <w:r w:rsidRPr="0072678C">
        <w:rPr>
          <w:rFonts w:asciiTheme="minorHAnsi" w:hAnsiTheme="minorHAnsi" w:cstheme="minorHAnsi"/>
          <w:sz w:val="22"/>
          <w:szCs w:val="22"/>
        </w:rPr>
        <w:t xml:space="preserve"> dentre o</w:t>
      </w:r>
      <w:r w:rsidR="0067242A" w:rsidRPr="0072678C">
        <w:rPr>
          <w:rFonts w:asciiTheme="minorHAnsi" w:hAnsiTheme="minorHAnsi" w:cstheme="minorHAnsi"/>
          <w:sz w:val="22"/>
          <w:szCs w:val="22"/>
        </w:rPr>
        <w:t>s 6 processos avaliados pela MD-</w:t>
      </w:r>
      <w:r w:rsidRPr="0072678C">
        <w:rPr>
          <w:rFonts w:asciiTheme="minorHAnsi" w:hAnsiTheme="minorHAnsi" w:cstheme="minorHAnsi"/>
          <w:sz w:val="22"/>
          <w:szCs w:val="22"/>
        </w:rPr>
        <w:t xml:space="preserve">GEFIS, são eles: </w:t>
      </w:r>
      <w:r w:rsidR="00237E19" w:rsidRPr="0072678C">
        <w:rPr>
          <w:rFonts w:asciiTheme="minorHAnsi" w:hAnsiTheme="minorHAnsi" w:cstheme="minorHAnsi"/>
          <w:b/>
          <w:bCs/>
          <w:i/>
          <w:iCs/>
          <w:sz w:val="22"/>
          <w:szCs w:val="22"/>
        </w:rPr>
        <w:t>direcionamento estratégico da gestão de aquisições e contratações; planejamento das aquisições e contratações</w:t>
      </w:r>
      <w:r w:rsidR="0065381B" w:rsidRPr="0072678C">
        <w:rPr>
          <w:rFonts w:asciiTheme="minorHAnsi" w:hAnsiTheme="minorHAnsi" w:cstheme="minorHAnsi"/>
          <w:b/>
          <w:bCs/>
          <w:i/>
          <w:iCs/>
          <w:sz w:val="22"/>
          <w:szCs w:val="22"/>
        </w:rPr>
        <w:t>;</w:t>
      </w:r>
      <w:r w:rsidR="009B231A">
        <w:rPr>
          <w:rFonts w:asciiTheme="minorHAnsi" w:hAnsiTheme="minorHAnsi" w:cstheme="minorHAnsi"/>
          <w:b/>
          <w:bCs/>
          <w:i/>
          <w:iCs/>
          <w:sz w:val="22"/>
          <w:szCs w:val="22"/>
        </w:rPr>
        <w:t xml:space="preserve"> </w:t>
      </w:r>
      <w:r w:rsidR="00237E19" w:rsidRPr="0072678C">
        <w:rPr>
          <w:rFonts w:asciiTheme="minorHAnsi" w:hAnsiTheme="minorHAnsi" w:cstheme="minorHAnsi"/>
          <w:b/>
          <w:bCs/>
          <w:i/>
          <w:iCs/>
          <w:sz w:val="22"/>
          <w:szCs w:val="22"/>
        </w:rPr>
        <w:t>execução das aquisições e contratações</w:t>
      </w:r>
      <w:r w:rsidR="0065381B" w:rsidRPr="0072678C">
        <w:rPr>
          <w:rFonts w:asciiTheme="minorHAnsi" w:hAnsiTheme="minorHAnsi" w:cstheme="minorHAnsi"/>
          <w:sz w:val="22"/>
          <w:szCs w:val="22"/>
        </w:rPr>
        <w:t xml:space="preserve">; </w:t>
      </w:r>
      <w:r w:rsidR="00237E19" w:rsidRPr="0072678C">
        <w:rPr>
          <w:rFonts w:asciiTheme="minorHAnsi" w:hAnsiTheme="minorHAnsi" w:cstheme="minorHAnsi"/>
          <w:b/>
          <w:bCs/>
          <w:i/>
          <w:iCs/>
          <w:sz w:val="22"/>
          <w:szCs w:val="22"/>
        </w:rPr>
        <w:t>controle e a auditoria das aquisições e contratações</w:t>
      </w:r>
      <w:r w:rsidR="0065381B" w:rsidRPr="0072678C">
        <w:rPr>
          <w:rFonts w:asciiTheme="minorHAnsi" w:hAnsiTheme="minorHAnsi" w:cstheme="minorHAnsi"/>
          <w:b/>
          <w:bCs/>
          <w:i/>
          <w:iCs/>
          <w:sz w:val="22"/>
          <w:szCs w:val="22"/>
        </w:rPr>
        <w:t xml:space="preserve">; </w:t>
      </w:r>
      <w:r w:rsidR="00237E19" w:rsidRPr="0072678C">
        <w:rPr>
          <w:rFonts w:asciiTheme="minorHAnsi" w:hAnsiTheme="minorHAnsi" w:cstheme="minorHAnsi"/>
          <w:b/>
          <w:bCs/>
          <w:i/>
          <w:iCs/>
          <w:sz w:val="22"/>
          <w:szCs w:val="22"/>
        </w:rPr>
        <w:t>gestão de material de consumo</w:t>
      </w:r>
      <w:r w:rsidR="0065381B" w:rsidRPr="0072678C">
        <w:rPr>
          <w:rFonts w:asciiTheme="minorHAnsi" w:hAnsiTheme="minorHAnsi" w:cstheme="minorHAnsi"/>
          <w:sz w:val="22"/>
          <w:szCs w:val="22"/>
        </w:rPr>
        <w:t xml:space="preserve">; e </w:t>
      </w:r>
      <w:r w:rsidR="00237E19" w:rsidRPr="0072678C">
        <w:rPr>
          <w:rFonts w:asciiTheme="minorHAnsi" w:hAnsiTheme="minorHAnsi" w:cstheme="minorHAnsi"/>
          <w:b/>
          <w:bCs/>
          <w:i/>
          <w:iCs/>
          <w:sz w:val="22"/>
          <w:szCs w:val="22"/>
        </w:rPr>
        <w:t>gestão de material permanente.</w:t>
      </w:r>
    </w:p>
    <w:p w:rsidR="00244643" w:rsidRPr="0072678C" w:rsidRDefault="00244643" w:rsidP="00244643">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 Processo de </w:t>
      </w:r>
      <w:r w:rsidRPr="0072678C">
        <w:rPr>
          <w:rFonts w:asciiTheme="minorHAnsi" w:hAnsiTheme="minorHAnsi" w:cstheme="minorHAnsi"/>
          <w:b/>
          <w:bCs/>
          <w:i/>
          <w:iCs/>
          <w:sz w:val="22"/>
          <w:szCs w:val="22"/>
        </w:rPr>
        <w:t>direcionamento estratégico da gestão de aquisições e contratações</w:t>
      </w:r>
      <w:r w:rsidRPr="0072678C">
        <w:rPr>
          <w:rFonts w:asciiTheme="minorHAnsi" w:hAnsiTheme="minorHAnsi" w:cstheme="minorHAnsi"/>
          <w:sz w:val="22"/>
          <w:szCs w:val="22"/>
        </w:rPr>
        <w:t xml:space="preserve"> obteve nível 3 de maturidade e atende a 6 </w:t>
      </w:r>
      <w:r w:rsidR="00613D4D" w:rsidRPr="0072678C">
        <w:rPr>
          <w:rFonts w:asciiTheme="minorHAnsi" w:hAnsiTheme="minorHAnsi" w:cstheme="minorHAnsi"/>
          <w:sz w:val="22"/>
          <w:szCs w:val="22"/>
        </w:rPr>
        <w:t>dentre</w:t>
      </w:r>
      <w:r w:rsidRPr="0072678C">
        <w:rPr>
          <w:rFonts w:asciiTheme="minorHAnsi" w:hAnsiTheme="minorHAnsi" w:cstheme="minorHAnsi"/>
          <w:sz w:val="22"/>
          <w:szCs w:val="22"/>
        </w:rPr>
        <w:t xml:space="preserve"> 8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Para tanto, envolve nas decisões estratégicas o dirigente máximo com apoio de colegiado, composto por integrantes dos diversos setores</w:t>
      </w:r>
      <w:r w:rsidR="00FC4B9B" w:rsidRPr="0072678C">
        <w:rPr>
          <w:rStyle w:val="FootnoteReference"/>
          <w:rFonts w:asciiTheme="minorHAnsi" w:hAnsiTheme="minorHAnsi" w:cstheme="minorHAnsi"/>
          <w:sz w:val="22"/>
          <w:szCs w:val="22"/>
        </w:rPr>
        <w:footnoteReference w:id="57"/>
      </w:r>
      <w:r w:rsidRPr="0072678C">
        <w:rPr>
          <w:rFonts w:asciiTheme="minorHAnsi" w:hAnsiTheme="minorHAnsi" w:cstheme="minorHAnsi"/>
          <w:sz w:val="22"/>
          <w:szCs w:val="22"/>
        </w:rPr>
        <w:t>; utiliza a comissão de licitação formalmente constituída, composta por servidores do quadro permanente do serviço público, com atribuições e responsabilidades definidas</w:t>
      </w:r>
      <w:r w:rsidR="00FC4B9B" w:rsidRPr="0072678C">
        <w:rPr>
          <w:rStyle w:val="FootnoteReference"/>
          <w:rFonts w:asciiTheme="minorHAnsi" w:hAnsiTheme="minorHAnsi" w:cstheme="minorHAnsi"/>
          <w:sz w:val="22"/>
          <w:szCs w:val="22"/>
        </w:rPr>
        <w:footnoteReference w:id="58"/>
      </w:r>
      <w:r w:rsidRPr="0072678C">
        <w:rPr>
          <w:rFonts w:asciiTheme="minorHAnsi" w:hAnsiTheme="minorHAnsi" w:cstheme="minorHAnsi"/>
          <w:sz w:val="22"/>
          <w:szCs w:val="22"/>
        </w:rPr>
        <w:t>; define diretrizes, objetivos, estratégias e prioridades para gerenciamento das aquisições</w:t>
      </w:r>
      <w:r w:rsidR="009B49E1" w:rsidRPr="0072678C">
        <w:rPr>
          <w:rStyle w:val="FootnoteReference"/>
          <w:rFonts w:asciiTheme="minorHAnsi" w:hAnsiTheme="minorHAnsi" w:cstheme="minorHAnsi"/>
          <w:sz w:val="22"/>
          <w:szCs w:val="22"/>
        </w:rPr>
        <w:footnoteReference w:id="59"/>
      </w:r>
      <w:r w:rsidRPr="0072678C">
        <w:rPr>
          <w:rFonts w:asciiTheme="minorHAnsi" w:hAnsiTheme="minorHAnsi" w:cstheme="minorHAnsi"/>
          <w:sz w:val="22"/>
          <w:szCs w:val="22"/>
        </w:rPr>
        <w:t>; define critérios de priorização e alocação orçamentária; define diretrizes e estratégia de execução das aquisições para terceirização, compras conjuntas, estoques e sustentabilidade</w:t>
      </w:r>
      <w:r w:rsidR="009B49E1" w:rsidRPr="0072678C">
        <w:rPr>
          <w:rStyle w:val="FootnoteReference"/>
          <w:rFonts w:asciiTheme="minorHAnsi" w:hAnsiTheme="minorHAnsi" w:cstheme="minorHAnsi"/>
          <w:sz w:val="22"/>
          <w:szCs w:val="22"/>
        </w:rPr>
        <w:footnoteReference w:id="60"/>
      </w:r>
      <w:r w:rsidRPr="0072678C">
        <w:rPr>
          <w:rFonts w:asciiTheme="minorHAnsi" w:hAnsiTheme="minorHAnsi" w:cstheme="minorHAnsi"/>
          <w:sz w:val="22"/>
          <w:szCs w:val="22"/>
        </w:rPr>
        <w:t>; e define diretrizes para avaliação do desempenho dos serviços de aquisições</w:t>
      </w:r>
      <w:r w:rsidR="00134F58" w:rsidRPr="0072678C">
        <w:rPr>
          <w:rStyle w:val="FootnoteReference"/>
          <w:rFonts w:asciiTheme="minorHAnsi" w:hAnsiTheme="minorHAnsi" w:cstheme="minorHAnsi"/>
          <w:sz w:val="22"/>
          <w:szCs w:val="22"/>
        </w:rPr>
        <w:footnoteReference w:id="61"/>
      </w:r>
      <w:r w:rsidRPr="0072678C">
        <w:rPr>
          <w:rFonts w:asciiTheme="minorHAnsi" w:hAnsiTheme="minorHAnsi" w:cstheme="minorHAnsi"/>
          <w:sz w:val="22"/>
          <w:szCs w:val="22"/>
        </w:rPr>
        <w:t>.</w:t>
      </w:r>
    </w:p>
    <w:p w:rsidR="000C55D7" w:rsidRPr="0072678C" w:rsidRDefault="000C55D7" w:rsidP="00D323EE">
      <w:pPr>
        <w:jc w:val="both"/>
        <w:rPr>
          <w:rFonts w:asciiTheme="minorHAnsi" w:hAnsiTheme="minorHAnsi" w:cstheme="minorHAnsi"/>
          <w:sz w:val="22"/>
          <w:szCs w:val="22"/>
        </w:rPr>
      </w:pPr>
      <w:r w:rsidRPr="0072678C">
        <w:rPr>
          <w:rFonts w:asciiTheme="minorHAnsi" w:hAnsiTheme="minorHAnsi" w:cstheme="minorHAnsi"/>
          <w:sz w:val="22"/>
          <w:szCs w:val="22"/>
        </w:rPr>
        <w:t xml:space="preserve">O processo de </w:t>
      </w:r>
      <w:r w:rsidRPr="0072678C">
        <w:rPr>
          <w:rFonts w:asciiTheme="minorHAnsi" w:hAnsiTheme="minorHAnsi" w:cstheme="minorHAnsi"/>
          <w:b/>
          <w:bCs/>
          <w:i/>
          <w:iCs/>
          <w:sz w:val="22"/>
          <w:szCs w:val="22"/>
        </w:rPr>
        <w:t>planejamento das aquisições e contratações</w:t>
      </w:r>
      <w:r w:rsidRPr="0072678C">
        <w:rPr>
          <w:rFonts w:asciiTheme="minorHAnsi" w:hAnsiTheme="minorHAnsi" w:cstheme="minorHAnsi"/>
          <w:sz w:val="22"/>
          <w:szCs w:val="22"/>
        </w:rPr>
        <w:t xml:space="preserve"> obteve nível 3 de maturidade e atende a 8 </w:t>
      </w:r>
      <w:r w:rsidR="00613D4D" w:rsidRPr="0072678C">
        <w:rPr>
          <w:rFonts w:asciiTheme="minorHAnsi" w:hAnsiTheme="minorHAnsi" w:cstheme="minorHAnsi"/>
          <w:sz w:val="22"/>
          <w:szCs w:val="22"/>
        </w:rPr>
        <w:t>dentre</w:t>
      </w:r>
      <w:r w:rsidRPr="0072678C">
        <w:rPr>
          <w:rFonts w:asciiTheme="minorHAnsi" w:hAnsiTheme="minorHAnsi" w:cstheme="minorHAnsi"/>
          <w:sz w:val="22"/>
          <w:szCs w:val="22"/>
        </w:rPr>
        <w:t xml:space="preserve"> 10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Para tanto, </w:t>
      </w:r>
      <w:r w:rsidR="00613D4D" w:rsidRPr="0072678C">
        <w:rPr>
          <w:rFonts w:asciiTheme="minorHAnsi" w:hAnsiTheme="minorHAnsi" w:cstheme="minorHAnsi"/>
          <w:sz w:val="22"/>
          <w:szCs w:val="22"/>
        </w:rPr>
        <w:t xml:space="preserve">o </w:t>
      </w:r>
      <w:r w:rsidRPr="0072678C">
        <w:rPr>
          <w:rFonts w:asciiTheme="minorHAnsi" w:hAnsiTheme="minorHAnsi" w:cstheme="minorHAnsi"/>
          <w:sz w:val="22"/>
          <w:szCs w:val="22"/>
        </w:rPr>
        <w:t>planejamento de compras obedece a padrões de quantidade e qualidade, considerando sempre os menores preços. Disponível no Sistema de Administração de Materiais</w:t>
      </w:r>
      <w:r w:rsidR="00613D4D" w:rsidRPr="0072678C">
        <w:rPr>
          <w:rStyle w:val="FootnoteReference"/>
          <w:rFonts w:asciiTheme="minorHAnsi" w:hAnsiTheme="minorHAnsi" w:cstheme="minorHAnsi"/>
          <w:sz w:val="22"/>
          <w:szCs w:val="22"/>
        </w:rPr>
        <w:footnoteReference w:id="62"/>
      </w:r>
      <w:r w:rsidRPr="0072678C">
        <w:rPr>
          <w:rFonts w:asciiTheme="minorHAnsi" w:hAnsiTheme="minorHAnsi" w:cstheme="minorHAnsi"/>
          <w:sz w:val="22"/>
          <w:szCs w:val="22"/>
        </w:rPr>
        <w:t>; elabora plano anual de compras, baseado nos objetivos e metas e demandas das áreas organizacionais. O estoque é definido de acordo com a população e a informação do consumo médio disponível no Sistema de Administração de Materiais; define Plano de Gestão de Logística Sustentável PLS (a SEFAZ/SP adota medidas para redução do consumo de água, energia elétrica, Impressão Corporativa), estabelecendo práticas de sustentabilidade e racionalização de gastos e processos</w:t>
      </w:r>
      <w:r w:rsidR="00D323EE" w:rsidRPr="0072678C">
        <w:rPr>
          <w:rFonts w:asciiTheme="minorHAnsi" w:hAnsiTheme="minorHAnsi" w:cstheme="minorHAnsi"/>
          <w:sz w:val="22"/>
          <w:szCs w:val="22"/>
        </w:rPr>
        <w:t>; u</w:t>
      </w:r>
      <w:r w:rsidRPr="0072678C">
        <w:rPr>
          <w:rFonts w:asciiTheme="minorHAnsi" w:hAnsiTheme="minorHAnsi" w:cstheme="minorHAnsi"/>
          <w:sz w:val="22"/>
          <w:szCs w:val="22"/>
        </w:rPr>
        <w:t>tiliza e divulga na organização catálogos de materiais e serviços, atas de registro de preços e banco de preços de referência</w:t>
      </w:r>
      <w:r w:rsidRPr="0072678C">
        <w:rPr>
          <w:rStyle w:val="FootnoteReference"/>
          <w:rFonts w:asciiTheme="minorHAnsi" w:hAnsiTheme="minorHAnsi" w:cstheme="minorHAnsi"/>
          <w:sz w:val="22"/>
          <w:szCs w:val="22"/>
        </w:rPr>
        <w:footnoteReference w:id="63"/>
      </w:r>
      <w:r w:rsidR="00D323EE" w:rsidRPr="0072678C">
        <w:rPr>
          <w:rFonts w:asciiTheme="minorHAnsi" w:hAnsiTheme="minorHAnsi" w:cstheme="minorHAnsi"/>
          <w:sz w:val="22"/>
          <w:szCs w:val="22"/>
        </w:rPr>
        <w:t>; e</w:t>
      </w:r>
      <w:r w:rsidRPr="0072678C">
        <w:rPr>
          <w:rFonts w:asciiTheme="minorHAnsi" w:hAnsiTheme="minorHAnsi" w:cstheme="minorHAnsi"/>
          <w:sz w:val="22"/>
          <w:szCs w:val="22"/>
        </w:rPr>
        <w:t>labora plano anual de registro de preços</w:t>
      </w:r>
      <w:r w:rsidR="00D323EE" w:rsidRPr="0072678C">
        <w:rPr>
          <w:rFonts w:asciiTheme="minorHAnsi" w:hAnsiTheme="minorHAnsi" w:cstheme="minorHAnsi"/>
          <w:sz w:val="22"/>
          <w:szCs w:val="22"/>
        </w:rPr>
        <w:t>; d</w:t>
      </w:r>
      <w:r w:rsidRPr="0072678C">
        <w:rPr>
          <w:rFonts w:asciiTheme="minorHAnsi" w:hAnsiTheme="minorHAnsi" w:cstheme="minorHAnsi"/>
          <w:sz w:val="22"/>
          <w:szCs w:val="22"/>
        </w:rPr>
        <w:t>ispõe de banco de dados constituído pelos preços finais obtidos em procedimentos licitatórios estaduais</w:t>
      </w:r>
      <w:r w:rsidRPr="0072678C">
        <w:rPr>
          <w:rStyle w:val="FootnoteReference"/>
          <w:rFonts w:asciiTheme="minorHAnsi" w:hAnsiTheme="minorHAnsi" w:cstheme="minorHAnsi"/>
          <w:sz w:val="22"/>
          <w:szCs w:val="22"/>
        </w:rPr>
        <w:footnoteReference w:id="64"/>
      </w:r>
      <w:r w:rsidR="00D323EE" w:rsidRPr="0072678C">
        <w:rPr>
          <w:rFonts w:asciiTheme="minorHAnsi" w:hAnsiTheme="minorHAnsi" w:cstheme="minorHAnsi"/>
          <w:sz w:val="22"/>
          <w:szCs w:val="22"/>
        </w:rPr>
        <w:t>; a</w:t>
      </w:r>
      <w:r w:rsidRPr="0072678C">
        <w:rPr>
          <w:rFonts w:asciiTheme="minorHAnsi" w:hAnsiTheme="minorHAnsi" w:cstheme="minorHAnsi"/>
          <w:sz w:val="22"/>
          <w:szCs w:val="22"/>
        </w:rPr>
        <w:t>dota preço máximo referencial para itens de materiais, em especial para os consumíveis não constantes do planejamento do registro de preços. A SEFAZ/SP adota sempre o preço médio, onde é apurado o preço de pelo menos 3 fornecedores distintos, conforme D</w:t>
      </w:r>
      <w:r w:rsidR="00224CE6" w:rsidRPr="0072678C">
        <w:rPr>
          <w:rFonts w:asciiTheme="minorHAnsi" w:hAnsiTheme="minorHAnsi" w:cstheme="minorHAnsi"/>
          <w:sz w:val="22"/>
          <w:szCs w:val="22"/>
        </w:rPr>
        <w:t>ecreto</w:t>
      </w:r>
      <w:r w:rsidRPr="0072678C">
        <w:rPr>
          <w:rFonts w:asciiTheme="minorHAnsi" w:hAnsiTheme="minorHAnsi" w:cstheme="minorHAnsi"/>
          <w:sz w:val="22"/>
          <w:szCs w:val="22"/>
        </w:rPr>
        <w:t xml:space="preserve"> nº 34.350/1991, que dispõe sobre pesquisa de preços para orientação das compras no serviço </w:t>
      </w:r>
      <w:proofErr w:type="gramStart"/>
      <w:r w:rsidRPr="0072678C">
        <w:rPr>
          <w:rFonts w:asciiTheme="minorHAnsi" w:hAnsiTheme="minorHAnsi" w:cstheme="minorHAnsi"/>
          <w:sz w:val="22"/>
          <w:szCs w:val="22"/>
        </w:rPr>
        <w:t>público Estadual</w:t>
      </w:r>
      <w:proofErr w:type="gramEnd"/>
      <w:r w:rsidRPr="0072678C">
        <w:rPr>
          <w:rStyle w:val="FootnoteReference"/>
          <w:rFonts w:asciiTheme="minorHAnsi" w:hAnsiTheme="minorHAnsi" w:cstheme="minorHAnsi"/>
          <w:sz w:val="22"/>
          <w:szCs w:val="22"/>
        </w:rPr>
        <w:footnoteReference w:id="65"/>
      </w:r>
      <w:r w:rsidR="00D323EE" w:rsidRPr="0072678C">
        <w:rPr>
          <w:rFonts w:asciiTheme="minorHAnsi" w:hAnsiTheme="minorHAnsi" w:cstheme="minorHAnsi"/>
          <w:sz w:val="22"/>
          <w:szCs w:val="22"/>
        </w:rPr>
        <w:t xml:space="preserve">; </w:t>
      </w:r>
      <w:r w:rsidR="00224CE6" w:rsidRPr="0072678C">
        <w:rPr>
          <w:rFonts w:asciiTheme="minorHAnsi" w:hAnsiTheme="minorHAnsi" w:cstheme="minorHAnsi"/>
          <w:sz w:val="22"/>
          <w:szCs w:val="22"/>
        </w:rPr>
        <w:t xml:space="preserve">e </w:t>
      </w:r>
      <w:r w:rsidR="00D323EE" w:rsidRPr="0072678C">
        <w:rPr>
          <w:rFonts w:asciiTheme="minorHAnsi" w:hAnsiTheme="minorHAnsi" w:cstheme="minorHAnsi"/>
          <w:sz w:val="22"/>
          <w:szCs w:val="22"/>
        </w:rPr>
        <w:t>p</w:t>
      </w:r>
      <w:r w:rsidRPr="0072678C">
        <w:rPr>
          <w:rFonts w:asciiTheme="minorHAnsi" w:hAnsiTheme="minorHAnsi" w:cstheme="minorHAnsi"/>
          <w:sz w:val="22"/>
          <w:szCs w:val="22"/>
        </w:rPr>
        <w:t>ublica manual de gestão de compras na administração fiscal</w:t>
      </w:r>
      <w:r w:rsidRPr="0072678C">
        <w:rPr>
          <w:rStyle w:val="FootnoteReference"/>
          <w:rFonts w:asciiTheme="minorHAnsi" w:hAnsiTheme="minorHAnsi" w:cstheme="minorHAnsi"/>
          <w:sz w:val="22"/>
          <w:szCs w:val="22"/>
        </w:rPr>
        <w:footnoteReference w:id="66"/>
      </w:r>
      <w:r w:rsidR="00D323EE" w:rsidRPr="0072678C">
        <w:rPr>
          <w:rFonts w:asciiTheme="minorHAnsi" w:hAnsiTheme="minorHAnsi" w:cstheme="minorHAnsi"/>
          <w:sz w:val="22"/>
          <w:szCs w:val="22"/>
        </w:rPr>
        <w:t>.</w:t>
      </w:r>
    </w:p>
    <w:p w:rsidR="009855D1" w:rsidRPr="0072678C" w:rsidRDefault="009855D1" w:rsidP="00D323EE">
      <w:pPr>
        <w:jc w:val="both"/>
        <w:rPr>
          <w:rFonts w:asciiTheme="minorHAnsi" w:hAnsiTheme="minorHAnsi" w:cstheme="minorHAnsi"/>
          <w:color w:val="FF0000"/>
          <w:sz w:val="22"/>
          <w:szCs w:val="22"/>
        </w:rPr>
      </w:pPr>
    </w:p>
    <w:p w:rsidR="00E87B00" w:rsidRPr="009B231A" w:rsidRDefault="009855D1" w:rsidP="00D323EE">
      <w:pPr>
        <w:jc w:val="both"/>
        <w:rPr>
          <w:rFonts w:asciiTheme="minorHAnsi" w:hAnsiTheme="minorHAnsi" w:cstheme="minorHAnsi"/>
          <w:sz w:val="22"/>
          <w:szCs w:val="22"/>
        </w:rPr>
      </w:pPr>
      <w:r w:rsidRPr="009B231A">
        <w:rPr>
          <w:rFonts w:asciiTheme="minorHAnsi" w:hAnsiTheme="minorHAnsi" w:cstheme="minorHAnsi"/>
          <w:sz w:val="22"/>
          <w:szCs w:val="22"/>
        </w:rPr>
        <w:t xml:space="preserve">No que se refere às compras estaduais, diferentemente da gestão fiscal o processo de planejamento e aquisições de materiais não </w:t>
      </w:r>
      <w:r w:rsidR="00E87B00" w:rsidRPr="009B231A">
        <w:rPr>
          <w:rFonts w:asciiTheme="minorHAnsi" w:hAnsiTheme="minorHAnsi" w:cstheme="minorHAnsi"/>
          <w:sz w:val="22"/>
          <w:szCs w:val="22"/>
        </w:rPr>
        <w:t>desenvolve uma sistemática de planejamento</w:t>
      </w:r>
      <w:r w:rsidR="00FE0468" w:rsidRPr="009B231A">
        <w:rPr>
          <w:rFonts w:asciiTheme="minorHAnsi" w:hAnsiTheme="minorHAnsi" w:cstheme="minorHAnsi"/>
          <w:sz w:val="22"/>
          <w:szCs w:val="22"/>
        </w:rPr>
        <w:t xml:space="preserve"> de compras </w:t>
      </w:r>
      <w:r w:rsidR="00E87B00" w:rsidRPr="009B231A">
        <w:rPr>
          <w:rFonts w:asciiTheme="minorHAnsi" w:hAnsiTheme="minorHAnsi" w:cstheme="minorHAnsi"/>
          <w:sz w:val="22"/>
          <w:szCs w:val="22"/>
        </w:rPr>
        <w:t xml:space="preserve">integrado ao ciclo de suprimentos e não promove ação que fomente a participação de novos licitantes. Por fim, </w:t>
      </w:r>
      <w:r w:rsidR="00FE0468" w:rsidRPr="009B231A">
        <w:rPr>
          <w:rFonts w:asciiTheme="minorHAnsi" w:hAnsiTheme="minorHAnsi" w:cstheme="minorHAnsi"/>
          <w:sz w:val="22"/>
          <w:szCs w:val="22"/>
        </w:rPr>
        <w:t>a</w:t>
      </w:r>
      <w:r w:rsidR="00E87B00" w:rsidRPr="009B231A">
        <w:rPr>
          <w:rFonts w:asciiTheme="minorHAnsi" w:hAnsiTheme="minorHAnsi" w:cstheme="minorHAnsi"/>
          <w:sz w:val="22"/>
          <w:szCs w:val="22"/>
        </w:rPr>
        <w:t xml:space="preserve"> Bolsa Eletrônica de Compras </w:t>
      </w:r>
      <w:r w:rsidR="00FE0468" w:rsidRPr="009B231A">
        <w:rPr>
          <w:rFonts w:asciiTheme="minorHAnsi" w:hAnsiTheme="minorHAnsi" w:cstheme="minorHAnsi"/>
          <w:sz w:val="22"/>
          <w:szCs w:val="22"/>
        </w:rPr>
        <w:t xml:space="preserve">(BEC) </w:t>
      </w:r>
      <w:r w:rsidR="00E87B00" w:rsidRPr="009B231A">
        <w:rPr>
          <w:rFonts w:asciiTheme="minorHAnsi" w:hAnsiTheme="minorHAnsi" w:cstheme="minorHAnsi"/>
          <w:sz w:val="22"/>
          <w:szCs w:val="22"/>
        </w:rPr>
        <w:t xml:space="preserve">somente </w:t>
      </w:r>
      <w:r w:rsidR="00076052" w:rsidRPr="009B231A">
        <w:rPr>
          <w:rFonts w:asciiTheme="minorHAnsi" w:hAnsiTheme="minorHAnsi" w:cstheme="minorHAnsi"/>
          <w:sz w:val="22"/>
          <w:szCs w:val="22"/>
        </w:rPr>
        <w:t xml:space="preserve">executa </w:t>
      </w:r>
      <w:r w:rsidR="00FE0468" w:rsidRPr="009B231A">
        <w:rPr>
          <w:rFonts w:asciiTheme="minorHAnsi" w:hAnsiTheme="minorHAnsi" w:cstheme="minorHAnsi"/>
          <w:sz w:val="22"/>
          <w:szCs w:val="22"/>
        </w:rPr>
        <w:t>processo</w:t>
      </w:r>
      <w:r w:rsidR="00076052" w:rsidRPr="009B231A">
        <w:rPr>
          <w:rFonts w:asciiTheme="minorHAnsi" w:hAnsiTheme="minorHAnsi" w:cstheme="minorHAnsi"/>
          <w:sz w:val="22"/>
          <w:szCs w:val="22"/>
        </w:rPr>
        <w:t>s</w:t>
      </w:r>
      <w:r w:rsidR="00FE0468" w:rsidRPr="009B231A">
        <w:rPr>
          <w:rFonts w:asciiTheme="minorHAnsi" w:hAnsiTheme="minorHAnsi" w:cstheme="minorHAnsi"/>
          <w:sz w:val="22"/>
          <w:szCs w:val="22"/>
        </w:rPr>
        <w:t xml:space="preserve"> </w:t>
      </w:r>
      <w:r w:rsidR="00E87B00" w:rsidRPr="009B231A">
        <w:rPr>
          <w:rFonts w:asciiTheme="minorHAnsi" w:hAnsiTheme="minorHAnsi" w:cstheme="minorHAnsi"/>
          <w:sz w:val="22"/>
          <w:szCs w:val="22"/>
        </w:rPr>
        <w:t>aquisições do tipo meno</w:t>
      </w:r>
      <w:r w:rsidR="00FE0468" w:rsidRPr="009B231A">
        <w:rPr>
          <w:rFonts w:asciiTheme="minorHAnsi" w:hAnsiTheme="minorHAnsi" w:cstheme="minorHAnsi"/>
          <w:sz w:val="22"/>
          <w:szCs w:val="22"/>
        </w:rPr>
        <w:t xml:space="preserve">r </w:t>
      </w:r>
      <w:r w:rsidR="00E87B00" w:rsidRPr="009B231A">
        <w:rPr>
          <w:rFonts w:asciiTheme="minorHAnsi" w:hAnsiTheme="minorHAnsi" w:cstheme="minorHAnsi"/>
          <w:sz w:val="22"/>
          <w:szCs w:val="22"/>
        </w:rPr>
        <w:t>preço.</w:t>
      </w:r>
    </w:p>
    <w:p w:rsidR="009855D1" w:rsidRPr="009B231A" w:rsidRDefault="00E87B00" w:rsidP="00D323EE">
      <w:pPr>
        <w:jc w:val="both"/>
        <w:rPr>
          <w:rFonts w:asciiTheme="minorHAnsi" w:hAnsiTheme="minorHAnsi" w:cstheme="minorHAnsi"/>
          <w:sz w:val="22"/>
          <w:szCs w:val="22"/>
        </w:rPr>
      </w:pPr>
      <w:r w:rsidRPr="009B231A">
        <w:rPr>
          <w:rFonts w:asciiTheme="minorHAnsi" w:hAnsiTheme="minorHAnsi" w:cstheme="minorHAnsi"/>
          <w:sz w:val="22"/>
          <w:szCs w:val="22"/>
        </w:rPr>
        <w:t xml:space="preserve"> </w:t>
      </w:r>
      <w:r w:rsidR="009855D1" w:rsidRPr="009B231A">
        <w:rPr>
          <w:rFonts w:asciiTheme="minorHAnsi" w:hAnsiTheme="minorHAnsi" w:cstheme="minorHAnsi"/>
          <w:sz w:val="22"/>
          <w:szCs w:val="22"/>
        </w:rPr>
        <w:t xml:space="preserve">  </w:t>
      </w:r>
    </w:p>
    <w:p w:rsidR="005178BF" w:rsidRPr="0072678C" w:rsidRDefault="000C55D7" w:rsidP="007C443E">
      <w:pPr>
        <w:jc w:val="both"/>
        <w:rPr>
          <w:rFonts w:asciiTheme="minorHAnsi" w:hAnsiTheme="minorHAnsi" w:cstheme="minorHAnsi"/>
          <w:sz w:val="22"/>
          <w:szCs w:val="22"/>
        </w:rPr>
      </w:pPr>
      <w:r w:rsidRPr="0072678C">
        <w:rPr>
          <w:rFonts w:asciiTheme="minorHAnsi" w:hAnsiTheme="minorHAnsi" w:cstheme="minorHAnsi"/>
          <w:sz w:val="22"/>
          <w:szCs w:val="22"/>
        </w:rPr>
        <w:t> </w:t>
      </w:r>
      <w:r w:rsidR="005178BF" w:rsidRPr="0072678C">
        <w:rPr>
          <w:rFonts w:asciiTheme="minorHAnsi" w:hAnsiTheme="minorHAnsi" w:cstheme="minorHAnsi"/>
          <w:sz w:val="22"/>
          <w:szCs w:val="22"/>
        </w:rPr>
        <w:t xml:space="preserve">O processo de </w:t>
      </w:r>
      <w:r w:rsidR="005178BF" w:rsidRPr="0072678C">
        <w:rPr>
          <w:rFonts w:asciiTheme="minorHAnsi" w:hAnsiTheme="minorHAnsi" w:cstheme="minorHAnsi"/>
          <w:b/>
          <w:bCs/>
          <w:i/>
          <w:iCs/>
          <w:sz w:val="22"/>
          <w:szCs w:val="22"/>
        </w:rPr>
        <w:t>execução das aquisições e contratações</w:t>
      </w:r>
      <w:r w:rsidR="005178BF" w:rsidRPr="0072678C">
        <w:rPr>
          <w:rFonts w:asciiTheme="minorHAnsi" w:hAnsiTheme="minorHAnsi" w:cstheme="minorHAnsi"/>
          <w:sz w:val="22"/>
          <w:szCs w:val="22"/>
        </w:rPr>
        <w:t xml:space="preserve"> obteve nível 3 de maturidade e atende a 8</w:t>
      </w:r>
      <w:r w:rsidR="00224CE6" w:rsidRPr="0072678C">
        <w:rPr>
          <w:rFonts w:asciiTheme="minorHAnsi" w:hAnsiTheme="minorHAnsi" w:cstheme="minorHAnsi"/>
          <w:sz w:val="22"/>
          <w:szCs w:val="22"/>
        </w:rPr>
        <w:t xml:space="preserve"> dentre</w:t>
      </w:r>
      <w:r w:rsidR="005178BF" w:rsidRPr="0072678C">
        <w:rPr>
          <w:rFonts w:asciiTheme="minorHAnsi" w:hAnsiTheme="minorHAnsi" w:cstheme="minorHAnsi"/>
          <w:sz w:val="22"/>
          <w:szCs w:val="22"/>
        </w:rPr>
        <w:t xml:space="preserve"> 9 </w:t>
      </w:r>
      <w:r w:rsidR="009B231A">
        <w:rPr>
          <w:rFonts w:asciiTheme="minorHAnsi" w:hAnsiTheme="minorHAnsi" w:cstheme="minorHAnsi"/>
          <w:sz w:val="22"/>
          <w:szCs w:val="22"/>
        </w:rPr>
        <w:t>requisitos</w:t>
      </w:r>
      <w:r w:rsidR="005178BF" w:rsidRPr="0072678C">
        <w:rPr>
          <w:rFonts w:asciiTheme="minorHAnsi" w:hAnsiTheme="minorHAnsi" w:cstheme="minorHAnsi"/>
          <w:sz w:val="22"/>
          <w:szCs w:val="22"/>
        </w:rPr>
        <w:t xml:space="preserve"> das boas práticas da MD-GEFIS. A SEFAZ/SP adota especificações técnicas e minutas de editais padronizados</w:t>
      </w:r>
      <w:r w:rsidR="005178BF" w:rsidRPr="0072678C">
        <w:rPr>
          <w:rStyle w:val="FootnoteReference"/>
          <w:rFonts w:asciiTheme="minorHAnsi" w:hAnsiTheme="minorHAnsi" w:cstheme="minorHAnsi"/>
          <w:sz w:val="22"/>
          <w:szCs w:val="22"/>
        </w:rPr>
        <w:footnoteReference w:id="67"/>
      </w:r>
      <w:r w:rsidR="005178BF" w:rsidRPr="0072678C">
        <w:rPr>
          <w:rFonts w:asciiTheme="minorHAnsi" w:hAnsiTheme="minorHAnsi" w:cstheme="minorHAnsi"/>
          <w:sz w:val="22"/>
          <w:szCs w:val="22"/>
        </w:rPr>
        <w:t>; utiliza lista de verificação elaborada e padronizada pela área jurídica</w:t>
      </w:r>
      <w:r w:rsidR="005178BF" w:rsidRPr="0072678C">
        <w:rPr>
          <w:rStyle w:val="FootnoteReference"/>
          <w:rFonts w:asciiTheme="minorHAnsi" w:hAnsiTheme="minorHAnsi" w:cstheme="minorHAnsi"/>
          <w:sz w:val="22"/>
          <w:szCs w:val="22"/>
        </w:rPr>
        <w:footnoteReference w:id="68"/>
      </w:r>
      <w:r w:rsidR="005178BF" w:rsidRPr="0072678C">
        <w:rPr>
          <w:rFonts w:asciiTheme="minorHAnsi" w:hAnsiTheme="minorHAnsi" w:cstheme="minorHAnsi"/>
          <w:sz w:val="22"/>
          <w:szCs w:val="22"/>
        </w:rPr>
        <w:t>; padroniza procedimentos para elaboração do orçamento anual e gestão dos contratos; veda a participação da auditoria interna na execução de atividades conflitantes tais como a emissão de pareceres em processos de aquisição, participação em comissões de recebimento de objetos contratados. Embora não prevista em regimento. A auditoria não atua na execução de aquisições e contratações de nenhum</w:t>
      </w:r>
      <w:r w:rsidR="007C443E" w:rsidRPr="0072678C">
        <w:rPr>
          <w:rFonts w:asciiTheme="minorHAnsi" w:hAnsiTheme="minorHAnsi" w:cstheme="minorHAnsi"/>
          <w:sz w:val="22"/>
          <w:szCs w:val="22"/>
        </w:rPr>
        <w:t>a</w:t>
      </w:r>
      <w:r w:rsidR="005178BF" w:rsidRPr="0072678C">
        <w:rPr>
          <w:rFonts w:asciiTheme="minorHAnsi" w:hAnsiTheme="minorHAnsi" w:cstheme="minorHAnsi"/>
          <w:sz w:val="22"/>
          <w:szCs w:val="22"/>
        </w:rPr>
        <w:t xml:space="preserve"> pasta. Os únicos casos de participação do DCA são em algumas aquisições e contratações para o próprio DCA (c</w:t>
      </w:r>
      <w:r w:rsidR="00224CE6" w:rsidRPr="0072678C">
        <w:rPr>
          <w:rFonts w:asciiTheme="minorHAnsi" w:hAnsiTheme="minorHAnsi" w:cstheme="minorHAnsi"/>
          <w:sz w:val="22"/>
          <w:szCs w:val="22"/>
        </w:rPr>
        <w:t>omo no caso do P</w:t>
      </w:r>
      <w:r w:rsidR="005178BF" w:rsidRPr="0072678C">
        <w:rPr>
          <w:rFonts w:asciiTheme="minorHAnsi" w:hAnsiTheme="minorHAnsi" w:cstheme="minorHAnsi"/>
          <w:sz w:val="22"/>
          <w:szCs w:val="22"/>
        </w:rPr>
        <w:t xml:space="preserve">rofisco </w:t>
      </w:r>
      <w:r w:rsidR="00224CE6" w:rsidRPr="0072678C">
        <w:rPr>
          <w:rFonts w:asciiTheme="minorHAnsi" w:hAnsiTheme="minorHAnsi" w:cstheme="minorHAnsi"/>
          <w:sz w:val="22"/>
          <w:szCs w:val="22"/>
        </w:rPr>
        <w:t>I</w:t>
      </w:r>
      <w:r w:rsidR="005178BF" w:rsidRPr="0072678C">
        <w:rPr>
          <w:rFonts w:asciiTheme="minorHAnsi" w:hAnsiTheme="minorHAnsi" w:cstheme="minorHAnsi"/>
          <w:sz w:val="22"/>
          <w:szCs w:val="22"/>
        </w:rPr>
        <w:t xml:space="preserve">). </w:t>
      </w:r>
      <w:r w:rsidR="007C443E" w:rsidRPr="0072678C">
        <w:rPr>
          <w:rFonts w:asciiTheme="minorHAnsi" w:hAnsiTheme="minorHAnsi" w:cstheme="minorHAnsi"/>
          <w:sz w:val="22"/>
          <w:szCs w:val="22"/>
        </w:rPr>
        <w:t>C</w:t>
      </w:r>
      <w:r w:rsidR="005178BF" w:rsidRPr="0072678C">
        <w:rPr>
          <w:rFonts w:asciiTheme="minorHAnsi" w:hAnsiTheme="minorHAnsi" w:cstheme="minorHAnsi"/>
          <w:sz w:val="22"/>
          <w:szCs w:val="22"/>
        </w:rPr>
        <w:t>ontrola todo o ciclo dos materiais, serviços e obras, desde a sua solicitação até a distribuição dos materiais de consumo, a baixa dos bens permanentes do patrimônio e a realização dos serviços e obras, por meio de sistemas informatizados; utiliza sistemas de informação para aquisições com assinatura digital, alcançando o planejamento das aquisições, a seleção do fornecedor, a divulgação de preços de referência, a execução do pregão eletrônico e a gestão dos contratos</w:t>
      </w:r>
      <w:r w:rsidR="007C443E" w:rsidRPr="0072678C">
        <w:rPr>
          <w:rFonts w:asciiTheme="minorHAnsi" w:hAnsiTheme="minorHAnsi" w:cstheme="minorHAnsi"/>
          <w:sz w:val="22"/>
          <w:szCs w:val="22"/>
        </w:rPr>
        <w:t xml:space="preserve"> </w:t>
      </w:r>
      <w:r w:rsidR="005178BF" w:rsidRPr="0072678C">
        <w:rPr>
          <w:rFonts w:asciiTheme="minorHAnsi" w:hAnsiTheme="minorHAnsi" w:cstheme="minorHAnsi"/>
          <w:sz w:val="22"/>
          <w:szCs w:val="22"/>
        </w:rPr>
        <w:t>(a SEFAZ/SP considera o e-</w:t>
      </w:r>
      <w:proofErr w:type="spellStart"/>
      <w:r w:rsidR="005178BF" w:rsidRPr="0072678C">
        <w:rPr>
          <w:rFonts w:asciiTheme="minorHAnsi" w:hAnsiTheme="minorHAnsi" w:cstheme="minorHAnsi"/>
          <w:sz w:val="22"/>
          <w:szCs w:val="22"/>
        </w:rPr>
        <w:t>cpf</w:t>
      </w:r>
      <w:proofErr w:type="spellEnd"/>
      <w:r w:rsidR="005178BF" w:rsidRPr="0072678C">
        <w:rPr>
          <w:rFonts w:asciiTheme="minorHAnsi" w:hAnsiTheme="minorHAnsi" w:cstheme="minorHAnsi"/>
          <w:sz w:val="22"/>
          <w:szCs w:val="22"/>
        </w:rPr>
        <w:t xml:space="preserve"> para toda a cadeia</w:t>
      </w:r>
      <w:r w:rsidR="007C443E" w:rsidRPr="0072678C">
        <w:rPr>
          <w:rFonts w:asciiTheme="minorHAnsi" w:hAnsiTheme="minorHAnsi" w:cstheme="minorHAnsi"/>
          <w:sz w:val="22"/>
          <w:szCs w:val="22"/>
        </w:rPr>
        <w:t xml:space="preserve"> de aquisições</w:t>
      </w:r>
      <w:r w:rsidR="005178BF" w:rsidRPr="0072678C">
        <w:rPr>
          <w:rFonts w:asciiTheme="minorHAnsi" w:hAnsiTheme="minorHAnsi" w:cstheme="minorHAnsi"/>
          <w:sz w:val="22"/>
          <w:szCs w:val="22"/>
        </w:rPr>
        <w:t>)</w:t>
      </w:r>
      <w:r w:rsidR="007C443E" w:rsidRPr="0072678C">
        <w:rPr>
          <w:rFonts w:asciiTheme="minorHAnsi" w:hAnsiTheme="minorHAnsi" w:cstheme="minorHAnsi"/>
          <w:sz w:val="22"/>
          <w:szCs w:val="22"/>
        </w:rPr>
        <w:t>; m</w:t>
      </w:r>
      <w:r w:rsidR="005178BF" w:rsidRPr="0072678C">
        <w:rPr>
          <w:rFonts w:asciiTheme="minorHAnsi" w:hAnsiTheme="minorHAnsi" w:cstheme="minorHAnsi"/>
          <w:sz w:val="22"/>
          <w:szCs w:val="22"/>
        </w:rPr>
        <w:t>onitora e avalia continuamente a execução das aquisições</w:t>
      </w:r>
      <w:r w:rsidR="00FD168C" w:rsidRPr="0072678C">
        <w:rPr>
          <w:rFonts w:asciiTheme="minorHAnsi" w:hAnsiTheme="minorHAnsi" w:cstheme="minorHAnsi"/>
          <w:sz w:val="22"/>
          <w:szCs w:val="22"/>
        </w:rPr>
        <w:t xml:space="preserve">; </w:t>
      </w:r>
      <w:r w:rsidR="007C443E" w:rsidRPr="0072678C">
        <w:rPr>
          <w:rFonts w:asciiTheme="minorHAnsi" w:hAnsiTheme="minorHAnsi" w:cstheme="minorHAnsi"/>
          <w:sz w:val="22"/>
          <w:szCs w:val="22"/>
        </w:rPr>
        <w:t>e d</w:t>
      </w:r>
      <w:r w:rsidR="005178BF" w:rsidRPr="0072678C">
        <w:rPr>
          <w:rFonts w:asciiTheme="minorHAnsi" w:hAnsiTheme="minorHAnsi" w:cstheme="minorHAnsi"/>
          <w:sz w:val="22"/>
          <w:szCs w:val="22"/>
        </w:rPr>
        <w:t>isponibiliza na Internet consultas aos processos publicados ou concluídos, por produto</w:t>
      </w:r>
      <w:r w:rsidR="005178BF" w:rsidRPr="0072678C">
        <w:rPr>
          <w:rStyle w:val="FootnoteReference"/>
          <w:rFonts w:asciiTheme="minorHAnsi" w:hAnsiTheme="minorHAnsi" w:cstheme="minorHAnsi"/>
          <w:sz w:val="22"/>
          <w:szCs w:val="22"/>
        </w:rPr>
        <w:footnoteReference w:id="69"/>
      </w:r>
      <w:r w:rsidR="007C443E" w:rsidRPr="0072678C">
        <w:rPr>
          <w:rFonts w:asciiTheme="minorHAnsi" w:hAnsiTheme="minorHAnsi" w:cstheme="minorHAnsi"/>
          <w:sz w:val="22"/>
          <w:szCs w:val="22"/>
        </w:rPr>
        <w:t xml:space="preserve">. </w:t>
      </w:r>
    </w:p>
    <w:p w:rsidR="007C443E" w:rsidRPr="0072678C" w:rsidRDefault="007C443E" w:rsidP="007C443E">
      <w:pPr>
        <w:jc w:val="both"/>
        <w:rPr>
          <w:rFonts w:asciiTheme="minorHAnsi" w:hAnsiTheme="minorHAnsi" w:cstheme="minorHAnsi"/>
          <w:sz w:val="22"/>
          <w:szCs w:val="22"/>
        </w:rPr>
      </w:pPr>
    </w:p>
    <w:p w:rsidR="00403638" w:rsidRPr="0072678C" w:rsidRDefault="00403638" w:rsidP="00403638">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 xml:space="preserve">controle e a auditoria das aquisições e contratações </w:t>
      </w:r>
      <w:proofErr w:type="gramStart"/>
      <w:r w:rsidRPr="0072678C">
        <w:rPr>
          <w:rFonts w:asciiTheme="minorHAnsi" w:hAnsiTheme="minorHAnsi" w:cstheme="minorHAnsi"/>
          <w:sz w:val="22"/>
          <w:szCs w:val="22"/>
        </w:rPr>
        <w:t>obteve</w:t>
      </w:r>
      <w:proofErr w:type="gramEnd"/>
      <w:r w:rsidRPr="0072678C">
        <w:rPr>
          <w:rFonts w:asciiTheme="minorHAnsi" w:hAnsiTheme="minorHAnsi" w:cstheme="minorHAnsi"/>
          <w:sz w:val="22"/>
          <w:szCs w:val="22"/>
        </w:rPr>
        <w:t xml:space="preserve"> nível 3 de maturidade e atende a todos os 7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Para tanto, efetua verificações anuais da função de aquisição (o DCA em uma de suas trilhas verifica contratações e aquisições realizadas pelas unidades do Estado. Procedimento 04 – Aquisições e Contratações, Plano Anual de Atividades de Auditoria Interna); verifica a implementação das recomendações dos órgãos de controle; contempla a avaliação de conformidade e efetividade dos controles internos implementados pelos gestores</w:t>
      </w:r>
      <w:r w:rsidR="009836FA" w:rsidRPr="0072678C">
        <w:rPr>
          <w:rFonts w:asciiTheme="minorHAnsi" w:hAnsiTheme="minorHAnsi" w:cstheme="minorHAnsi"/>
          <w:sz w:val="22"/>
          <w:szCs w:val="22"/>
        </w:rPr>
        <w:t>, c</w:t>
      </w:r>
      <w:r w:rsidRPr="0072678C">
        <w:rPr>
          <w:rFonts w:asciiTheme="minorHAnsi" w:hAnsiTheme="minorHAnsi" w:cstheme="minorHAnsi"/>
          <w:sz w:val="22"/>
          <w:szCs w:val="22"/>
        </w:rPr>
        <w:t xml:space="preserve">onforme Manual COSO aplicado à Administração Pública (COSO </w:t>
      </w:r>
      <w:proofErr w:type="spellStart"/>
      <w:r w:rsidRPr="0072678C">
        <w:rPr>
          <w:rFonts w:asciiTheme="minorHAnsi" w:hAnsiTheme="minorHAnsi" w:cstheme="minorHAnsi"/>
          <w:sz w:val="22"/>
          <w:szCs w:val="22"/>
        </w:rPr>
        <w:t>Public</w:t>
      </w:r>
      <w:proofErr w:type="spellEnd"/>
      <w:r w:rsidRPr="0072678C">
        <w:rPr>
          <w:rFonts w:asciiTheme="minorHAnsi" w:hAnsiTheme="minorHAnsi" w:cstheme="minorHAnsi"/>
          <w:sz w:val="22"/>
          <w:szCs w:val="22"/>
        </w:rPr>
        <w:t xml:space="preserve"> SP), </w:t>
      </w:r>
      <w:r w:rsidR="00FD168C" w:rsidRPr="0072678C">
        <w:rPr>
          <w:rFonts w:asciiTheme="minorHAnsi" w:hAnsiTheme="minorHAnsi" w:cstheme="minorHAnsi"/>
          <w:sz w:val="22"/>
          <w:szCs w:val="22"/>
        </w:rPr>
        <w:t xml:space="preserve">onde, </w:t>
      </w:r>
      <w:r w:rsidRPr="0072678C">
        <w:rPr>
          <w:rFonts w:asciiTheme="minorHAnsi" w:hAnsiTheme="minorHAnsi" w:cstheme="minorHAnsi"/>
          <w:sz w:val="22"/>
          <w:szCs w:val="22"/>
        </w:rPr>
        <w:t>o papel da Auditoria Interna no gerenciamento de riscos e na manutenção do ambiente de Controles Internos</w:t>
      </w:r>
      <w:r w:rsidR="009836FA" w:rsidRPr="0072678C">
        <w:rPr>
          <w:rFonts w:asciiTheme="minorHAnsi" w:hAnsiTheme="minorHAnsi" w:cstheme="minorHAnsi"/>
          <w:sz w:val="22"/>
          <w:szCs w:val="22"/>
        </w:rPr>
        <w:t xml:space="preserve"> é avaliar </w:t>
      </w:r>
      <w:r w:rsidRPr="0072678C">
        <w:rPr>
          <w:rFonts w:asciiTheme="minorHAnsi" w:hAnsiTheme="minorHAnsi" w:cstheme="minorHAnsi"/>
          <w:sz w:val="22"/>
          <w:szCs w:val="22"/>
        </w:rPr>
        <w:t xml:space="preserve">o nível de implementação dos planos de ações em consenso com os gestores, para a melhoria dos processos e correção das deficiências identificadas. </w:t>
      </w:r>
      <w:r w:rsidR="009836FA" w:rsidRPr="0072678C">
        <w:rPr>
          <w:rFonts w:asciiTheme="minorHAnsi" w:hAnsiTheme="minorHAnsi" w:cstheme="minorHAnsi"/>
          <w:sz w:val="22"/>
          <w:szCs w:val="22"/>
        </w:rPr>
        <w:t>A auditoria c</w:t>
      </w:r>
      <w:r w:rsidRPr="0072678C">
        <w:rPr>
          <w:rFonts w:asciiTheme="minorHAnsi" w:hAnsiTheme="minorHAnsi" w:cstheme="minorHAnsi"/>
          <w:sz w:val="22"/>
          <w:szCs w:val="22"/>
        </w:rPr>
        <w:t xml:space="preserve">ontempla </w:t>
      </w:r>
      <w:r w:rsidR="009836FA" w:rsidRPr="0072678C">
        <w:rPr>
          <w:rFonts w:asciiTheme="minorHAnsi" w:hAnsiTheme="minorHAnsi" w:cstheme="minorHAnsi"/>
          <w:sz w:val="22"/>
          <w:szCs w:val="22"/>
        </w:rPr>
        <w:t xml:space="preserve">ainda, </w:t>
      </w:r>
      <w:r w:rsidRPr="0072678C">
        <w:rPr>
          <w:rFonts w:asciiTheme="minorHAnsi" w:hAnsiTheme="minorHAnsi" w:cstheme="minorHAnsi"/>
          <w:sz w:val="22"/>
          <w:szCs w:val="22"/>
        </w:rPr>
        <w:t>a avaliação de resultados dos processos de aquisição</w:t>
      </w:r>
      <w:r w:rsidRPr="0072678C">
        <w:rPr>
          <w:rStyle w:val="FootnoteReference"/>
          <w:rFonts w:asciiTheme="minorHAnsi" w:hAnsiTheme="minorHAnsi" w:cstheme="minorHAnsi"/>
          <w:sz w:val="22"/>
          <w:szCs w:val="22"/>
        </w:rPr>
        <w:footnoteReference w:id="70"/>
      </w:r>
      <w:r w:rsidRPr="0072678C">
        <w:rPr>
          <w:rFonts w:asciiTheme="minorHAnsi" w:hAnsiTheme="minorHAnsi" w:cstheme="minorHAnsi"/>
          <w:sz w:val="22"/>
          <w:szCs w:val="22"/>
        </w:rPr>
        <w:t>; está baseada na avaliação de riscos das aquisições</w:t>
      </w:r>
      <w:r w:rsidRPr="0072678C">
        <w:rPr>
          <w:rStyle w:val="FootnoteReference"/>
          <w:rFonts w:asciiTheme="minorHAnsi" w:hAnsiTheme="minorHAnsi" w:cstheme="minorHAnsi"/>
          <w:sz w:val="22"/>
          <w:szCs w:val="22"/>
        </w:rPr>
        <w:footnoteReference w:id="71"/>
      </w:r>
      <w:r w:rsidRPr="0072678C">
        <w:rPr>
          <w:rFonts w:asciiTheme="minorHAnsi" w:hAnsiTheme="minorHAnsi" w:cstheme="minorHAnsi"/>
          <w:sz w:val="22"/>
          <w:szCs w:val="22"/>
        </w:rPr>
        <w:t xml:space="preserve">; </w:t>
      </w:r>
      <w:r w:rsidR="00FD168C" w:rsidRPr="0072678C">
        <w:rPr>
          <w:rFonts w:asciiTheme="minorHAnsi" w:hAnsiTheme="minorHAnsi" w:cstheme="minorHAnsi"/>
          <w:sz w:val="22"/>
          <w:szCs w:val="22"/>
        </w:rPr>
        <w:t xml:space="preserve">e </w:t>
      </w:r>
      <w:r w:rsidRPr="0072678C">
        <w:rPr>
          <w:rFonts w:asciiTheme="minorHAnsi" w:hAnsiTheme="minorHAnsi" w:cstheme="minorHAnsi"/>
          <w:sz w:val="22"/>
          <w:szCs w:val="22"/>
        </w:rPr>
        <w:t>verifica os processos de maior valor (executado a critério da amostra do auditor); e verifica os processos alvo de questionamentos</w:t>
      </w:r>
      <w:r w:rsidR="009836FA" w:rsidRPr="0072678C">
        <w:rPr>
          <w:rFonts w:asciiTheme="minorHAnsi" w:hAnsiTheme="minorHAnsi" w:cstheme="minorHAnsi"/>
          <w:sz w:val="22"/>
          <w:szCs w:val="22"/>
        </w:rPr>
        <w:t>.</w:t>
      </w:r>
    </w:p>
    <w:p w:rsidR="00FD168C" w:rsidRPr="0072678C" w:rsidRDefault="00FD168C" w:rsidP="00ED3835">
      <w:pPr>
        <w:jc w:val="both"/>
        <w:rPr>
          <w:rFonts w:asciiTheme="minorHAnsi" w:hAnsiTheme="minorHAnsi" w:cstheme="minorHAnsi"/>
          <w:sz w:val="22"/>
          <w:szCs w:val="22"/>
        </w:rPr>
      </w:pPr>
    </w:p>
    <w:p w:rsidR="00ED3835" w:rsidRPr="0072678C" w:rsidRDefault="00ED3835" w:rsidP="00ED3835">
      <w:pPr>
        <w:jc w:val="both"/>
        <w:rPr>
          <w:rFonts w:asciiTheme="minorHAnsi" w:hAnsiTheme="minorHAnsi" w:cstheme="minorHAnsi"/>
          <w:sz w:val="22"/>
          <w:szCs w:val="22"/>
        </w:rPr>
      </w:pPr>
      <w:r w:rsidRPr="0072678C">
        <w:rPr>
          <w:rFonts w:asciiTheme="minorHAnsi" w:hAnsiTheme="minorHAnsi" w:cstheme="minorHAnsi"/>
          <w:sz w:val="22"/>
          <w:szCs w:val="22"/>
        </w:rPr>
        <w:t xml:space="preserve">A </w:t>
      </w:r>
      <w:r w:rsidRPr="0072678C">
        <w:rPr>
          <w:rFonts w:asciiTheme="minorHAnsi" w:hAnsiTheme="minorHAnsi" w:cstheme="minorHAnsi"/>
          <w:b/>
          <w:bCs/>
          <w:i/>
          <w:iCs/>
          <w:sz w:val="22"/>
          <w:szCs w:val="22"/>
        </w:rPr>
        <w:t>gestão de material de consumo</w:t>
      </w:r>
      <w:r w:rsidRPr="0072678C">
        <w:rPr>
          <w:rFonts w:asciiTheme="minorHAnsi" w:hAnsiTheme="minorHAnsi" w:cstheme="minorHAnsi"/>
          <w:sz w:val="22"/>
          <w:szCs w:val="22"/>
        </w:rPr>
        <w:t xml:space="preserve"> atende a</w:t>
      </w:r>
      <w:r w:rsidR="00FD168C" w:rsidRPr="0072678C">
        <w:rPr>
          <w:rFonts w:asciiTheme="minorHAnsi" w:hAnsiTheme="minorHAnsi" w:cstheme="minorHAnsi"/>
          <w:sz w:val="22"/>
          <w:szCs w:val="22"/>
        </w:rPr>
        <w:t xml:space="preserve"> 6 dentre</w:t>
      </w:r>
      <w:r w:rsidRPr="0072678C">
        <w:rPr>
          <w:rFonts w:asciiTheme="minorHAnsi" w:hAnsiTheme="minorHAnsi" w:cstheme="minorHAnsi"/>
          <w:sz w:val="22"/>
          <w:szCs w:val="22"/>
        </w:rPr>
        <w:t xml:space="preserve"> 8 requisitos das boas práticas da MD-GEFIS</w:t>
      </w:r>
      <w:r w:rsidR="00FD168C" w:rsidRPr="0072678C">
        <w:rPr>
          <w:rFonts w:asciiTheme="minorHAnsi" w:hAnsiTheme="minorHAnsi" w:cstheme="minorHAnsi"/>
          <w:sz w:val="22"/>
          <w:szCs w:val="22"/>
        </w:rPr>
        <w:t xml:space="preserve"> e obteve nível </w:t>
      </w:r>
      <w:r w:rsidRPr="0072678C">
        <w:rPr>
          <w:rFonts w:asciiTheme="minorHAnsi" w:hAnsiTheme="minorHAnsi" w:cstheme="minorHAnsi"/>
          <w:sz w:val="22"/>
          <w:szCs w:val="22"/>
        </w:rPr>
        <w:t>3 de maturidade. A SEFA</w:t>
      </w:r>
      <w:r w:rsidR="00FD168C" w:rsidRPr="0072678C">
        <w:rPr>
          <w:rFonts w:asciiTheme="minorHAnsi" w:hAnsiTheme="minorHAnsi" w:cstheme="minorHAnsi"/>
          <w:sz w:val="22"/>
          <w:szCs w:val="22"/>
        </w:rPr>
        <w:t>Z</w:t>
      </w:r>
      <w:r w:rsidRPr="0072678C">
        <w:rPr>
          <w:rFonts w:asciiTheme="minorHAnsi" w:hAnsiTheme="minorHAnsi" w:cstheme="minorHAnsi"/>
          <w:sz w:val="22"/>
          <w:szCs w:val="22"/>
        </w:rPr>
        <w:t xml:space="preserve">/SP realiza </w:t>
      </w:r>
      <w:r w:rsidR="00FD168C" w:rsidRPr="0072678C">
        <w:rPr>
          <w:rFonts w:asciiTheme="minorHAnsi" w:hAnsiTheme="minorHAnsi" w:cstheme="minorHAnsi"/>
          <w:sz w:val="22"/>
          <w:szCs w:val="22"/>
        </w:rPr>
        <w:t xml:space="preserve">as </w:t>
      </w:r>
      <w:r w:rsidRPr="0072678C">
        <w:rPr>
          <w:rFonts w:asciiTheme="minorHAnsi" w:hAnsiTheme="minorHAnsi" w:cstheme="minorHAnsi"/>
          <w:sz w:val="22"/>
          <w:szCs w:val="22"/>
        </w:rPr>
        <w:t>previs</w:t>
      </w:r>
      <w:r w:rsidR="00FD168C" w:rsidRPr="0072678C">
        <w:rPr>
          <w:rFonts w:asciiTheme="minorHAnsi" w:hAnsiTheme="minorHAnsi" w:cstheme="minorHAnsi"/>
          <w:sz w:val="22"/>
          <w:szCs w:val="22"/>
        </w:rPr>
        <w:t xml:space="preserve">ões de </w:t>
      </w:r>
      <w:r w:rsidRPr="0072678C">
        <w:rPr>
          <w:rFonts w:asciiTheme="minorHAnsi" w:hAnsiTheme="minorHAnsi" w:cstheme="minorHAnsi"/>
          <w:sz w:val="22"/>
          <w:szCs w:val="22"/>
        </w:rPr>
        <w:t xml:space="preserve">demandas, evitando aumento dos custos de estoque e/ou custos da falta de estoque (O Sistema de Administração de Materiais, no que se refere ao controle de estoque, limita-se apenas às informações de estoque mínimo/máximo e consumo médio. O efetivo controle, a gestão do estoque, previsão de demandas, planejamento de aquisições e ponto de reposição é feita manualmente </w:t>
      </w:r>
      <w:r w:rsidR="00FD168C" w:rsidRPr="0072678C">
        <w:rPr>
          <w:rFonts w:asciiTheme="minorHAnsi" w:hAnsiTheme="minorHAnsi" w:cstheme="minorHAnsi"/>
          <w:sz w:val="22"/>
          <w:szCs w:val="22"/>
        </w:rPr>
        <w:t xml:space="preserve">por meio de </w:t>
      </w:r>
      <w:r w:rsidRPr="0072678C">
        <w:rPr>
          <w:rFonts w:asciiTheme="minorHAnsi" w:hAnsiTheme="minorHAnsi" w:cstheme="minorHAnsi"/>
          <w:sz w:val="22"/>
          <w:szCs w:val="22"/>
        </w:rPr>
        <w:lastRenderedPageBreak/>
        <w:t>planilha); identifica padrões de demanda tais como tendência, sazonalidade, variação aleatória e ciclo; utiliza métodos de previsão tais como o do último período e da média móvel ponderada. Neste caso, é utilizado o método da média móvel ou aritmética, considerando-se n=12, o período dos últimos 12 meses. Adota procedimentos de catalogação, simplificação da especificação, normalização, padronização e codificação</w:t>
      </w:r>
      <w:r w:rsidRPr="0072678C">
        <w:rPr>
          <w:rStyle w:val="FootnoteReference"/>
          <w:rFonts w:asciiTheme="minorHAnsi" w:hAnsiTheme="minorHAnsi" w:cstheme="minorHAnsi"/>
          <w:sz w:val="22"/>
          <w:szCs w:val="22"/>
        </w:rPr>
        <w:footnoteReference w:id="72"/>
      </w:r>
      <w:r w:rsidRPr="0072678C">
        <w:rPr>
          <w:rFonts w:asciiTheme="minorHAnsi" w:hAnsiTheme="minorHAnsi" w:cstheme="minorHAnsi"/>
          <w:sz w:val="22"/>
          <w:szCs w:val="22"/>
        </w:rPr>
        <w:t>; utiliza métodos de classificação de estoques tais como antecipação, flutuação ou segurança, tamanho do lote ou ciclo e ABC</w:t>
      </w:r>
      <w:r w:rsidRPr="0072678C">
        <w:rPr>
          <w:rStyle w:val="FootnoteReference"/>
          <w:rFonts w:asciiTheme="minorHAnsi" w:hAnsiTheme="minorHAnsi" w:cstheme="minorHAnsi"/>
          <w:sz w:val="22"/>
          <w:szCs w:val="22"/>
        </w:rPr>
        <w:footnoteReference w:id="73"/>
      </w:r>
      <w:r w:rsidRPr="0072678C">
        <w:rPr>
          <w:rFonts w:asciiTheme="minorHAnsi" w:hAnsiTheme="minorHAnsi" w:cstheme="minorHAnsi"/>
          <w:sz w:val="22"/>
          <w:szCs w:val="22"/>
        </w:rPr>
        <w:t>; e aplica métodos de avaliação de estoques tais como custo médio,</w:t>
      </w:r>
      <w:r w:rsidR="00480EE9" w:rsidRPr="0072678C">
        <w:rPr>
          <w:rFonts w:asciiTheme="minorHAnsi" w:hAnsiTheme="minorHAnsi" w:cstheme="minorHAnsi"/>
          <w:sz w:val="22"/>
          <w:szCs w:val="22"/>
        </w:rPr>
        <w:t xml:space="preserve"> </w:t>
      </w:r>
      <w:r w:rsidRPr="0072678C">
        <w:rPr>
          <w:rFonts w:asciiTheme="minorHAnsi" w:hAnsiTheme="minorHAnsi" w:cstheme="minorHAnsi"/>
          <w:sz w:val="22"/>
          <w:szCs w:val="22"/>
        </w:rPr>
        <w:t>Primeiro que entra Primeiro que Sai (PEPS), Último que entra Primeiro que Sai (UEPS) e custo de reposição</w:t>
      </w:r>
      <w:r w:rsidRPr="0072678C">
        <w:rPr>
          <w:rStyle w:val="FootnoteReference"/>
          <w:rFonts w:asciiTheme="minorHAnsi" w:hAnsiTheme="minorHAnsi" w:cstheme="minorHAnsi"/>
          <w:sz w:val="22"/>
          <w:szCs w:val="22"/>
        </w:rPr>
        <w:footnoteReference w:id="74"/>
      </w:r>
      <w:r w:rsidRPr="0072678C">
        <w:rPr>
          <w:rFonts w:asciiTheme="minorHAnsi" w:hAnsiTheme="minorHAnsi" w:cstheme="minorHAnsi"/>
          <w:sz w:val="22"/>
          <w:szCs w:val="22"/>
        </w:rPr>
        <w:t>.</w:t>
      </w:r>
    </w:p>
    <w:p w:rsidR="00094F82" w:rsidRPr="0072678C" w:rsidRDefault="00094F82" w:rsidP="00ED3835">
      <w:pPr>
        <w:jc w:val="both"/>
        <w:rPr>
          <w:rFonts w:asciiTheme="minorHAnsi" w:hAnsiTheme="minorHAnsi" w:cstheme="minorHAnsi"/>
          <w:sz w:val="16"/>
          <w:szCs w:val="16"/>
        </w:rPr>
      </w:pPr>
    </w:p>
    <w:p w:rsidR="00591DBB" w:rsidRPr="0072678C" w:rsidRDefault="00591DBB" w:rsidP="00591DBB">
      <w:pPr>
        <w:jc w:val="both"/>
        <w:rPr>
          <w:rFonts w:asciiTheme="minorHAnsi" w:hAnsiTheme="minorHAnsi" w:cstheme="minorHAnsi"/>
          <w:sz w:val="22"/>
          <w:szCs w:val="22"/>
        </w:rPr>
      </w:pPr>
      <w:r w:rsidRPr="0072678C">
        <w:rPr>
          <w:rFonts w:asciiTheme="minorHAnsi" w:hAnsiTheme="minorHAnsi" w:cstheme="minorHAnsi"/>
          <w:sz w:val="22"/>
          <w:szCs w:val="22"/>
        </w:rPr>
        <w:t xml:space="preserve">A </w:t>
      </w:r>
      <w:r w:rsidRPr="0072678C">
        <w:rPr>
          <w:rFonts w:asciiTheme="minorHAnsi" w:hAnsiTheme="minorHAnsi" w:cstheme="minorHAnsi"/>
          <w:b/>
          <w:bCs/>
          <w:i/>
          <w:iCs/>
          <w:sz w:val="22"/>
          <w:szCs w:val="22"/>
        </w:rPr>
        <w:t xml:space="preserve">gestão de material permanente </w:t>
      </w:r>
      <w:r w:rsidRPr="0072678C">
        <w:rPr>
          <w:rFonts w:asciiTheme="minorHAnsi" w:hAnsiTheme="minorHAnsi" w:cstheme="minorHAnsi"/>
          <w:sz w:val="22"/>
          <w:szCs w:val="22"/>
        </w:rPr>
        <w:t xml:space="preserve">obteve nível 3 de maturidade e atende a todos os 5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Para tanto, registra os bens permanentes com </w:t>
      </w:r>
      <w:r w:rsidR="00722922" w:rsidRPr="0072678C">
        <w:rPr>
          <w:rFonts w:asciiTheme="minorHAnsi" w:hAnsiTheme="minorHAnsi" w:cstheme="minorHAnsi"/>
          <w:sz w:val="22"/>
          <w:szCs w:val="22"/>
        </w:rPr>
        <w:t>a</w:t>
      </w:r>
      <w:r w:rsidRPr="0072678C">
        <w:rPr>
          <w:rFonts w:asciiTheme="minorHAnsi" w:hAnsiTheme="minorHAnsi" w:cstheme="minorHAnsi"/>
          <w:sz w:val="22"/>
          <w:szCs w:val="22"/>
        </w:rPr>
        <w:t xml:space="preserve"> descrição do item, valor de aquisição, número de nota fiscal e da nota de empenho, prazo de garantia, características físicas e características técnicas, conforme procedimento de registro no Manual de administração de materiais; associa um número único de patrimônio ou tombamento para identificação, mediante fixação de plaqueta, gravação, etiqueta ou qualquer outro método adequado às suas características físicas logo após a incorporação</w:t>
      </w:r>
      <w:r w:rsidRPr="0072678C">
        <w:rPr>
          <w:rStyle w:val="FootnoteReference"/>
          <w:rFonts w:asciiTheme="minorHAnsi" w:hAnsiTheme="minorHAnsi" w:cstheme="minorHAnsi"/>
          <w:sz w:val="22"/>
          <w:szCs w:val="22"/>
        </w:rPr>
        <w:footnoteReference w:id="75"/>
      </w:r>
      <w:r w:rsidRPr="0072678C">
        <w:rPr>
          <w:rFonts w:asciiTheme="minorHAnsi" w:hAnsiTheme="minorHAnsi" w:cstheme="minorHAnsi"/>
          <w:sz w:val="22"/>
          <w:szCs w:val="22"/>
        </w:rPr>
        <w:t>; utiliza código de barras para o controle do material permanente; controla as distintas hipóteses de movimentação de bens tais como recolhimento, redistribuição, remanejamento, alienação, cessão, renúncia ao direito de propriedade e desfazimento conforme procedimento de movimentação definido no Manual de Administração de Materiais; e utiliza manutenções em momentos distintos e com finalidades específicas tais como preventiva, corretiva, preditiva</w:t>
      </w:r>
      <w:r w:rsidR="00722922" w:rsidRPr="0072678C">
        <w:rPr>
          <w:rFonts w:asciiTheme="minorHAnsi" w:hAnsiTheme="minorHAnsi" w:cstheme="minorHAnsi"/>
          <w:sz w:val="22"/>
          <w:szCs w:val="22"/>
        </w:rPr>
        <w:t xml:space="preserve"> </w:t>
      </w:r>
      <w:r w:rsidRPr="0072678C">
        <w:rPr>
          <w:rFonts w:asciiTheme="minorHAnsi" w:hAnsiTheme="minorHAnsi" w:cstheme="minorHAnsi"/>
          <w:sz w:val="22"/>
          <w:szCs w:val="22"/>
        </w:rPr>
        <w:t>por meio do Núcleo de Manutenção, observado o disposto no artigo 134, inciso II e § 1º, do Decreto nº 60.812, de 30/9/2014</w:t>
      </w:r>
      <w:r w:rsidRPr="0072678C">
        <w:rPr>
          <w:rStyle w:val="FootnoteReference"/>
          <w:rFonts w:asciiTheme="minorHAnsi" w:hAnsiTheme="minorHAnsi" w:cstheme="minorHAnsi"/>
          <w:sz w:val="22"/>
          <w:szCs w:val="22"/>
        </w:rPr>
        <w:footnoteReference w:id="76"/>
      </w:r>
      <w:r w:rsidRPr="0072678C">
        <w:rPr>
          <w:rFonts w:asciiTheme="minorHAnsi" w:hAnsiTheme="minorHAnsi" w:cstheme="minorHAnsi"/>
          <w:sz w:val="22"/>
          <w:szCs w:val="22"/>
        </w:rPr>
        <w:t>.</w:t>
      </w:r>
    </w:p>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 desempenho da </w:t>
      </w:r>
      <w:r w:rsidRPr="0072678C">
        <w:rPr>
          <w:rFonts w:asciiTheme="minorHAnsi" w:hAnsiTheme="minorHAnsi" w:cstheme="minorHAnsi"/>
          <w:b/>
          <w:sz w:val="22"/>
          <w:szCs w:val="22"/>
        </w:rPr>
        <w:t>Dimensão G5 - Gestão de Compras e Materiais</w:t>
      </w:r>
      <w:r w:rsidRPr="0072678C">
        <w:rPr>
          <w:rFonts w:asciiTheme="minorHAnsi" w:hAnsiTheme="minorHAnsi" w:cstheme="minorHAnsi"/>
          <w:sz w:val="22"/>
          <w:szCs w:val="22"/>
        </w:rPr>
        <w:t xml:space="preserve"> foi analisado pela apuração dos seguintes indicadores, a partir dos dados fornecidos pela SE</w:t>
      </w:r>
      <w:r w:rsidR="00210034" w:rsidRPr="0072678C">
        <w:rPr>
          <w:rFonts w:asciiTheme="minorHAnsi" w:hAnsiTheme="minorHAnsi" w:cstheme="minorHAnsi"/>
          <w:sz w:val="22"/>
          <w:szCs w:val="22"/>
        </w:rPr>
        <w:t>FAZ/SP</w:t>
      </w:r>
      <w:r w:rsidRPr="0072678C">
        <w:rPr>
          <w:rFonts w:asciiTheme="minorHAnsi" w:hAnsiTheme="minorHAnsi" w:cstheme="minorHAnsi"/>
          <w:sz w:val="22"/>
          <w:szCs w:val="22"/>
        </w:rPr>
        <w:t>:</w:t>
      </w:r>
    </w:p>
    <w:tbl>
      <w:tblPr>
        <w:tblStyle w:val="TableGrid"/>
        <w:tblW w:w="0" w:type="auto"/>
        <w:tblInd w:w="108" w:type="dxa"/>
        <w:shd w:val="clear" w:color="auto" w:fill="C5E0B3" w:themeFill="accent6" w:themeFillTint="66"/>
        <w:tblLook w:val="04A0" w:firstRow="1" w:lastRow="0" w:firstColumn="1" w:lastColumn="0" w:noHBand="0" w:noVBand="1"/>
      </w:tblPr>
      <w:tblGrid>
        <w:gridCol w:w="4394"/>
        <w:gridCol w:w="4395"/>
      </w:tblGrid>
      <w:tr w:rsidR="00CB1E6C" w:rsidRPr="0072678C" w:rsidTr="00BB1F8D">
        <w:tc>
          <w:tcPr>
            <w:tcW w:w="4394" w:type="dxa"/>
            <w:shd w:val="clear" w:color="auto" w:fill="E2EFD9" w:themeFill="accent6" w:themeFillTint="33"/>
            <w:vAlign w:val="center"/>
          </w:tcPr>
          <w:p w:rsidR="00CB1E6C" w:rsidRPr="0072678C" w:rsidRDefault="00CB1E6C" w:rsidP="00BB1F8D">
            <w:pPr>
              <w:jc w:val="center"/>
              <w:rPr>
                <w:rFonts w:asciiTheme="minorHAnsi" w:hAnsiTheme="minorHAnsi" w:cstheme="minorHAnsi"/>
                <w:b/>
                <w:sz w:val="20"/>
                <w:szCs w:val="20"/>
              </w:rPr>
            </w:pPr>
            <w:r w:rsidRPr="0072678C">
              <w:rPr>
                <w:rFonts w:asciiTheme="minorHAnsi" w:hAnsiTheme="minorHAnsi" w:cstheme="minorHAnsi"/>
                <w:b/>
                <w:sz w:val="20"/>
                <w:szCs w:val="20"/>
              </w:rPr>
              <w:t>Indicadores</w:t>
            </w:r>
            <w:r w:rsidR="00BB1F8D" w:rsidRPr="0072678C">
              <w:rPr>
                <w:rFonts w:asciiTheme="minorHAnsi" w:hAnsiTheme="minorHAnsi" w:cstheme="minorHAnsi"/>
                <w:b/>
                <w:sz w:val="20"/>
                <w:szCs w:val="20"/>
              </w:rPr>
              <w:t xml:space="preserve"> de Desempenho</w:t>
            </w:r>
          </w:p>
        </w:tc>
        <w:tc>
          <w:tcPr>
            <w:tcW w:w="4395" w:type="dxa"/>
            <w:shd w:val="clear" w:color="auto" w:fill="E2EFD9" w:themeFill="accent6" w:themeFillTint="33"/>
            <w:vAlign w:val="center"/>
          </w:tcPr>
          <w:p w:rsidR="00CB1E6C" w:rsidRPr="0072678C" w:rsidRDefault="00CB1E6C" w:rsidP="00BB1F8D">
            <w:pPr>
              <w:jc w:val="center"/>
              <w:rPr>
                <w:rFonts w:asciiTheme="minorHAnsi" w:hAnsiTheme="minorHAnsi" w:cstheme="minorHAnsi"/>
                <w:b/>
                <w:sz w:val="20"/>
                <w:szCs w:val="20"/>
              </w:rPr>
            </w:pPr>
            <w:r w:rsidRPr="0072678C">
              <w:rPr>
                <w:rFonts w:asciiTheme="minorHAnsi" w:hAnsiTheme="minorHAnsi" w:cstheme="minorHAnsi"/>
                <w:b/>
                <w:sz w:val="20"/>
                <w:szCs w:val="20"/>
              </w:rPr>
              <w:t>Ano 2017</w:t>
            </w:r>
          </w:p>
        </w:tc>
      </w:tr>
      <w:tr w:rsidR="00B44516" w:rsidRPr="0072678C" w:rsidTr="00BB1F8D">
        <w:tc>
          <w:tcPr>
            <w:tcW w:w="4394" w:type="dxa"/>
            <w:shd w:val="clear" w:color="auto" w:fill="auto"/>
            <w:vAlign w:val="center"/>
          </w:tcPr>
          <w:p w:rsidR="00B44516" w:rsidRPr="0072678C" w:rsidRDefault="00B44516" w:rsidP="00B44516">
            <w:pPr>
              <w:rPr>
                <w:rFonts w:asciiTheme="minorHAnsi" w:hAnsiTheme="minorHAnsi" w:cstheme="minorHAnsi"/>
                <w:sz w:val="20"/>
                <w:szCs w:val="20"/>
              </w:rPr>
            </w:pPr>
            <w:r w:rsidRPr="0072678C">
              <w:rPr>
                <w:rFonts w:asciiTheme="minorHAnsi" w:hAnsiTheme="minorHAnsi" w:cstheme="minorHAnsi"/>
                <w:sz w:val="20"/>
                <w:szCs w:val="20"/>
              </w:rPr>
              <w:t xml:space="preserve">1) Eficiência do planejamento das aquisições: </w:t>
            </w:r>
          </w:p>
          <w:p w:rsidR="00B44516" w:rsidRPr="0072678C" w:rsidRDefault="00B44516" w:rsidP="00B44516">
            <w:pPr>
              <w:rPr>
                <w:rFonts w:asciiTheme="minorHAnsi" w:hAnsiTheme="minorHAnsi" w:cstheme="minorHAnsi"/>
                <w:sz w:val="20"/>
                <w:szCs w:val="20"/>
              </w:rPr>
            </w:pPr>
            <w:r w:rsidRPr="0072678C">
              <w:rPr>
                <w:rFonts w:asciiTheme="minorHAnsi" w:hAnsiTheme="minorHAnsi" w:cstheme="minorHAnsi"/>
                <w:sz w:val="20"/>
                <w:szCs w:val="20"/>
              </w:rPr>
              <w:t>número de objetos contratados / número de objetos planejados</w:t>
            </w:r>
          </w:p>
        </w:tc>
        <w:tc>
          <w:tcPr>
            <w:tcW w:w="4395" w:type="dxa"/>
            <w:shd w:val="clear" w:color="auto" w:fill="auto"/>
            <w:vAlign w:val="center"/>
          </w:tcPr>
          <w:p w:rsidR="00B44516" w:rsidRPr="0072678C" w:rsidRDefault="00210034" w:rsidP="00517A15">
            <w:pPr>
              <w:jc w:val="both"/>
              <w:rPr>
                <w:rFonts w:asciiTheme="minorHAnsi" w:hAnsiTheme="minorHAnsi" w:cstheme="minorHAnsi"/>
                <w:sz w:val="20"/>
                <w:szCs w:val="20"/>
              </w:rPr>
            </w:pPr>
            <w:r w:rsidRPr="0072678C">
              <w:rPr>
                <w:rFonts w:asciiTheme="minorHAnsi" w:hAnsiTheme="minorHAnsi" w:cstheme="minorHAnsi"/>
                <w:sz w:val="20"/>
                <w:szCs w:val="20"/>
              </w:rPr>
              <w:t xml:space="preserve">Apesar do nível 3 de maturidade do processo planejamento das aquisições e contratações, a SEFAZ/SP  não disponibilizou para o </w:t>
            </w:r>
            <w:proofErr w:type="spellStart"/>
            <w:r w:rsidRPr="0072678C">
              <w:rPr>
                <w:rFonts w:asciiTheme="minorHAnsi" w:hAnsiTheme="minorHAnsi" w:cstheme="minorHAnsi"/>
                <w:sz w:val="20"/>
                <w:szCs w:val="20"/>
              </w:rPr>
              <w:t>calculo</w:t>
            </w:r>
            <w:proofErr w:type="spellEnd"/>
            <w:r w:rsidRPr="0072678C">
              <w:rPr>
                <w:rFonts w:asciiTheme="minorHAnsi" w:hAnsiTheme="minorHAnsi" w:cstheme="minorHAnsi"/>
                <w:sz w:val="20"/>
                <w:szCs w:val="20"/>
              </w:rPr>
              <w:t xml:space="preserve"> do indicador o número de objetos </w:t>
            </w:r>
            <w:r w:rsidR="004969A1" w:rsidRPr="0072678C">
              <w:rPr>
                <w:rFonts w:asciiTheme="minorHAnsi" w:hAnsiTheme="minorHAnsi" w:cstheme="minorHAnsi"/>
                <w:sz w:val="20"/>
                <w:szCs w:val="20"/>
              </w:rPr>
              <w:t>planejados para o ano de 2017.</w:t>
            </w:r>
            <w:r w:rsidR="00517A15" w:rsidRPr="0072678C">
              <w:rPr>
                <w:rFonts w:asciiTheme="minorHAnsi" w:hAnsiTheme="minorHAnsi" w:cstheme="minorHAnsi"/>
                <w:sz w:val="20"/>
                <w:szCs w:val="20"/>
              </w:rPr>
              <w:t xml:space="preserve"> </w:t>
            </w:r>
            <w:r w:rsidR="004969A1" w:rsidRPr="0072678C">
              <w:rPr>
                <w:rFonts w:asciiTheme="minorHAnsi" w:hAnsiTheme="minorHAnsi" w:cstheme="minorHAnsi"/>
                <w:sz w:val="20"/>
                <w:szCs w:val="20"/>
              </w:rPr>
              <w:t>Em 2017 foram contratado 300 objetos.</w:t>
            </w:r>
          </w:p>
        </w:tc>
      </w:tr>
      <w:tr w:rsidR="00B44516" w:rsidRPr="0072678C" w:rsidTr="00BB1F8D">
        <w:tc>
          <w:tcPr>
            <w:tcW w:w="4394" w:type="dxa"/>
            <w:shd w:val="clear" w:color="auto" w:fill="auto"/>
            <w:vAlign w:val="center"/>
          </w:tcPr>
          <w:p w:rsidR="00B44516" w:rsidRPr="0072678C" w:rsidRDefault="00B44516" w:rsidP="00B44516">
            <w:pPr>
              <w:rPr>
                <w:rFonts w:asciiTheme="minorHAnsi" w:hAnsiTheme="minorHAnsi" w:cstheme="minorHAnsi"/>
                <w:sz w:val="20"/>
                <w:szCs w:val="20"/>
              </w:rPr>
            </w:pPr>
            <w:r w:rsidRPr="0072678C">
              <w:rPr>
                <w:rFonts w:asciiTheme="minorHAnsi" w:hAnsiTheme="minorHAnsi" w:cstheme="minorHAnsi"/>
                <w:sz w:val="20"/>
                <w:szCs w:val="20"/>
              </w:rPr>
              <w:t xml:space="preserve">2) Eficiência dos processos de aquisição (processos contratados): </w:t>
            </w:r>
          </w:p>
          <w:p w:rsidR="00B44516" w:rsidRPr="0072678C" w:rsidRDefault="00B44516" w:rsidP="00B44516">
            <w:pPr>
              <w:rPr>
                <w:rFonts w:asciiTheme="minorHAnsi" w:hAnsiTheme="minorHAnsi" w:cstheme="minorHAnsi"/>
                <w:sz w:val="20"/>
                <w:szCs w:val="20"/>
              </w:rPr>
            </w:pPr>
            <w:r w:rsidRPr="0072678C">
              <w:rPr>
                <w:rFonts w:asciiTheme="minorHAnsi" w:hAnsiTheme="minorHAnsi" w:cstheme="minorHAnsi"/>
                <w:sz w:val="20"/>
                <w:szCs w:val="20"/>
              </w:rPr>
              <w:t xml:space="preserve">Valor contratado / valor orçado </w:t>
            </w:r>
          </w:p>
        </w:tc>
        <w:tc>
          <w:tcPr>
            <w:tcW w:w="4395" w:type="dxa"/>
            <w:shd w:val="clear" w:color="auto" w:fill="auto"/>
            <w:vAlign w:val="center"/>
          </w:tcPr>
          <w:p w:rsidR="00B44516" w:rsidRPr="0072678C" w:rsidRDefault="0038477B" w:rsidP="00B44516">
            <w:pPr>
              <w:jc w:val="center"/>
              <w:rPr>
                <w:rFonts w:asciiTheme="minorHAnsi" w:hAnsiTheme="minorHAnsi" w:cstheme="minorHAnsi"/>
                <w:sz w:val="20"/>
                <w:szCs w:val="20"/>
              </w:rPr>
            </w:pPr>
            <w:r w:rsidRPr="0072678C">
              <w:rPr>
                <w:rFonts w:asciiTheme="minorHAnsi" w:hAnsiTheme="minorHAnsi" w:cstheme="minorHAnsi"/>
                <w:sz w:val="20"/>
                <w:szCs w:val="20"/>
              </w:rPr>
              <w:t>ND</w:t>
            </w:r>
          </w:p>
        </w:tc>
      </w:tr>
      <w:tr w:rsidR="00B44516" w:rsidRPr="0072678C" w:rsidTr="00BB1F8D">
        <w:tc>
          <w:tcPr>
            <w:tcW w:w="4394" w:type="dxa"/>
            <w:shd w:val="clear" w:color="auto" w:fill="auto"/>
            <w:vAlign w:val="center"/>
          </w:tcPr>
          <w:p w:rsidR="00B44516" w:rsidRPr="0072678C" w:rsidRDefault="00B44516" w:rsidP="00B44516">
            <w:pPr>
              <w:rPr>
                <w:rFonts w:asciiTheme="minorHAnsi" w:hAnsiTheme="minorHAnsi" w:cstheme="minorHAnsi"/>
                <w:sz w:val="20"/>
                <w:szCs w:val="20"/>
              </w:rPr>
            </w:pPr>
            <w:r w:rsidRPr="0072678C">
              <w:rPr>
                <w:rFonts w:asciiTheme="minorHAnsi" w:hAnsiTheme="minorHAnsi" w:cstheme="minorHAnsi"/>
                <w:sz w:val="20"/>
                <w:szCs w:val="20"/>
              </w:rPr>
              <w:t>3) Tempo médio de execução dos processos de aquisição por meio de pregão eletrônico</w:t>
            </w:r>
          </w:p>
        </w:tc>
        <w:tc>
          <w:tcPr>
            <w:tcW w:w="4395" w:type="dxa"/>
            <w:shd w:val="clear" w:color="auto" w:fill="auto"/>
            <w:vAlign w:val="center"/>
          </w:tcPr>
          <w:p w:rsidR="00B44516" w:rsidRPr="0072678C" w:rsidRDefault="004969A1" w:rsidP="00B44516">
            <w:pPr>
              <w:jc w:val="center"/>
              <w:rPr>
                <w:rFonts w:asciiTheme="minorHAnsi" w:hAnsiTheme="minorHAnsi" w:cstheme="minorHAnsi"/>
                <w:sz w:val="20"/>
                <w:szCs w:val="20"/>
              </w:rPr>
            </w:pPr>
            <w:r w:rsidRPr="0072678C">
              <w:rPr>
                <w:rFonts w:asciiTheme="minorHAnsi" w:hAnsiTheme="minorHAnsi" w:cstheme="minorHAnsi"/>
                <w:sz w:val="20"/>
                <w:szCs w:val="20"/>
              </w:rPr>
              <w:t>60 dias</w:t>
            </w:r>
          </w:p>
        </w:tc>
      </w:tr>
    </w:tbl>
    <w:p w:rsidR="000064B7"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Considerando que o indicador Eficiência dos processos de aquisição expressa </w:t>
      </w:r>
      <w:r w:rsidR="0067242A" w:rsidRPr="0072678C">
        <w:rPr>
          <w:rFonts w:asciiTheme="minorHAnsi" w:hAnsiTheme="minorHAnsi" w:cstheme="minorHAnsi"/>
          <w:sz w:val="22"/>
          <w:szCs w:val="22"/>
        </w:rPr>
        <w:t>à</w:t>
      </w:r>
      <w:r w:rsidRPr="0072678C">
        <w:rPr>
          <w:rFonts w:asciiTheme="minorHAnsi" w:hAnsiTheme="minorHAnsi" w:cstheme="minorHAnsi"/>
          <w:sz w:val="22"/>
          <w:szCs w:val="22"/>
        </w:rPr>
        <w:t xml:space="preserve"> eficiência no planejamento dos custos e economia na execução das aquisições (financeira), e que o seu resultado quanto menor for será melhor para a administração, pode-se afirmar </w:t>
      </w:r>
      <w:r w:rsidR="000064B7" w:rsidRPr="0072678C">
        <w:rPr>
          <w:rFonts w:asciiTheme="minorHAnsi" w:hAnsiTheme="minorHAnsi" w:cstheme="minorHAnsi"/>
          <w:sz w:val="22"/>
          <w:szCs w:val="22"/>
        </w:rPr>
        <w:t xml:space="preserve">uma diferença de 25,66% de economia com relação ao valor orçado é bem expressiva e comprova o nível de maturidade desta Dimensão que </w:t>
      </w:r>
      <w:proofErr w:type="gramStart"/>
      <w:r w:rsidR="000064B7" w:rsidRPr="0072678C">
        <w:rPr>
          <w:rFonts w:asciiTheme="minorHAnsi" w:hAnsiTheme="minorHAnsi" w:cstheme="minorHAnsi"/>
          <w:sz w:val="22"/>
          <w:szCs w:val="22"/>
        </w:rPr>
        <w:t>é Avançado</w:t>
      </w:r>
      <w:proofErr w:type="gramEnd"/>
      <w:r w:rsidR="000064B7" w:rsidRPr="0072678C">
        <w:rPr>
          <w:rFonts w:asciiTheme="minorHAnsi" w:hAnsiTheme="minorHAnsi" w:cstheme="minorHAnsi"/>
          <w:sz w:val="22"/>
          <w:szCs w:val="22"/>
        </w:rPr>
        <w:t xml:space="preserve"> (+) </w:t>
      </w:r>
    </w:p>
    <w:p w:rsidR="00B44516" w:rsidRPr="0072678C" w:rsidRDefault="00B44516" w:rsidP="00B44516">
      <w:pPr>
        <w:jc w:val="both"/>
        <w:rPr>
          <w:rFonts w:asciiTheme="minorHAnsi" w:hAnsiTheme="minorHAnsi" w:cstheme="minorHAnsi"/>
          <w:sz w:val="22"/>
          <w:szCs w:val="22"/>
        </w:rPr>
      </w:pPr>
    </w:p>
    <w:tbl>
      <w:tblPr>
        <w:tblStyle w:val="TableGrid"/>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C5E0B3" w:themeFill="accent6" w:themeFillTint="66"/>
        <w:tblLook w:val="04A0" w:firstRow="1" w:lastRow="0" w:firstColumn="1" w:lastColumn="0" w:noHBand="0" w:noVBand="1"/>
      </w:tblPr>
      <w:tblGrid>
        <w:gridCol w:w="6593"/>
        <w:gridCol w:w="2196"/>
      </w:tblGrid>
      <w:tr w:rsidR="00B44516" w:rsidRPr="0072678C" w:rsidTr="00B44516">
        <w:tc>
          <w:tcPr>
            <w:tcW w:w="6593" w:type="dxa"/>
            <w:shd w:val="clear" w:color="auto" w:fill="C5E0B3" w:themeFill="accent6" w:themeFillTint="66"/>
          </w:tcPr>
          <w:p w:rsidR="00B44516" w:rsidRPr="0072678C" w:rsidRDefault="00B44516" w:rsidP="00B44516">
            <w:pPr>
              <w:spacing w:before="120" w:after="120"/>
              <w:jc w:val="both"/>
              <w:rPr>
                <w:rFonts w:asciiTheme="minorHAnsi" w:hAnsiTheme="minorHAnsi" w:cstheme="minorHAnsi"/>
                <w:b/>
              </w:rPr>
            </w:pPr>
            <w:r w:rsidRPr="0072678C">
              <w:rPr>
                <w:rFonts w:asciiTheme="minorHAnsi" w:hAnsiTheme="minorHAnsi" w:cstheme="minorHAnsi"/>
                <w:b/>
              </w:rPr>
              <w:lastRenderedPageBreak/>
              <w:t>Dimensão GF 6. Transparência e Cidadania Fiscal</w:t>
            </w:r>
          </w:p>
        </w:tc>
        <w:tc>
          <w:tcPr>
            <w:tcW w:w="2196" w:type="dxa"/>
            <w:shd w:val="clear" w:color="auto" w:fill="C5E0B3" w:themeFill="accent6" w:themeFillTint="66"/>
          </w:tcPr>
          <w:p w:rsidR="00B44516" w:rsidRPr="0072678C" w:rsidRDefault="00D921CE" w:rsidP="00B44516">
            <w:pPr>
              <w:spacing w:before="120" w:after="120"/>
              <w:jc w:val="center"/>
              <w:rPr>
                <w:rFonts w:asciiTheme="minorHAnsi" w:hAnsiTheme="minorHAnsi" w:cstheme="minorHAnsi"/>
                <w:b/>
              </w:rPr>
            </w:pPr>
            <w:r w:rsidRPr="0072678C">
              <w:rPr>
                <w:rFonts w:asciiTheme="minorHAnsi" w:hAnsiTheme="minorHAnsi" w:cstheme="minorHAnsi"/>
                <w:b/>
                <w:bCs/>
              </w:rPr>
              <w:t>AVANÇADO (-)</w:t>
            </w:r>
          </w:p>
        </w:tc>
      </w:tr>
    </w:tbl>
    <w:p w:rsidR="00B44516" w:rsidRPr="0072678C" w:rsidRDefault="0067242A"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 dimensão </w:t>
      </w:r>
      <w:r w:rsidRPr="0072678C">
        <w:rPr>
          <w:rFonts w:asciiTheme="minorHAnsi" w:hAnsiTheme="minorHAnsi" w:cstheme="minorHAnsi"/>
          <w:b/>
          <w:sz w:val="22"/>
          <w:szCs w:val="22"/>
        </w:rPr>
        <w:t>Transparência e Cidadania Fiscal</w:t>
      </w:r>
      <w:r w:rsidRPr="0072678C">
        <w:rPr>
          <w:rFonts w:asciiTheme="minorHAnsi" w:hAnsiTheme="minorHAnsi" w:cstheme="minorHAnsi"/>
          <w:sz w:val="22"/>
          <w:szCs w:val="22"/>
        </w:rPr>
        <w:t xml:space="preserve"> têm</w:t>
      </w:r>
      <w:r w:rsidR="00B44516" w:rsidRPr="0072678C">
        <w:rPr>
          <w:rFonts w:asciiTheme="minorHAnsi" w:hAnsiTheme="minorHAnsi" w:cstheme="minorHAnsi"/>
          <w:sz w:val="22"/>
          <w:szCs w:val="22"/>
        </w:rPr>
        <w:t xml:space="preserve"> como visão de futuro “garantir ao cidadão o direito à transparência, mediante a disponibilização de informações sobre a origem e aplicação dos recursos públicos, e ao exercício da cidadania, mediante a fiscalização do gasto e da receita pública, para produção de obras e serviços de qualidade”. </w:t>
      </w:r>
    </w:p>
    <w:p w:rsidR="00B44516" w:rsidRPr="0072678C" w:rsidRDefault="00B44516" w:rsidP="00B44516">
      <w:pPr>
        <w:jc w:val="both"/>
        <w:rPr>
          <w:rFonts w:asciiTheme="minorHAnsi" w:hAnsiTheme="minorHAnsi" w:cstheme="minorHAnsi"/>
          <w:sz w:val="22"/>
          <w:szCs w:val="22"/>
        </w:rPr>
      </w:pPr>
      <w:r w:rsidRPr="0072678C">
        <w:rPr>
          <w:rFonts w:asciiTheme="minorHAnsi" w:hAnsiTheme="minorHAnsi" w:cstheme="minorHAnsi"/>
          <w:sz w:val="22"/>
          <w:szCs w:val="22"/>
        </w:rPr>
        <w:t xml:space="preserve">A dimensão Transparência e Cidadania Fiscal contempla um conjunto de 7 processos críticos e seu nível de maturidade é </w:t>
      </w:r>
      <w:r w:rsidR="00D921CE" w:rsidRPr="0072678C">
        <w:rPr>
          <w:rFonts w:asciiTheme="minorHAnsi" w:hAnsiTheme="minorHAnsi" w:cstheme="minorHAnsi"/>
          <w:b/>
          <w:bCs/>
          <w:sz w:val="22"/>
          <w:szCs w:val="22"/>
        </w:rPr>
        <w:t>AVANÇADO (-)</w:t>
      </w:r>
      <w:r w:rsidRPr="0072678C">
        <w:rPr>
          <w:rFonts w:asciiTheme="minorHAnsi" w:hAnsiTheme="minorHAnsi" w:cstheme="minorHAnsi"/>
          <w:b/>
          <w:sz w:val="22"/>
          <w:szCs w:val="22"/>
        </w:rPr>
        <w:t>,</w:t>
      </w:r>
      <w:r w:rsidRPr="0072678C">
        <w:rPr>
          <w:rFonts w:asciiTheme="minorHAnsi" w:hAnsiTheme="minorHAnsi" w:cstheme="minorHAnsi"/>
          <w:sz w:val="22"/>
          <w:szCs w:val="22"/>
        </w:rPr>
        <w:t xml:space="preserve"> de acordo com a apuração real</w:t>
      </w:r>
      <w:r w:rsidR="0067242A" w:rsidRPr="0072678C">
        <w:rPr>
          <w:rFonts w:asciiTheme="minorHAnsi" w:hAnsiTheme="minorHAnsi" w:cstheme="minorHAnsi"/>
          <w:sz w:val="22"/>
          <w:szCs w:val="22"/>
        </w:rPr>
        <w:t>izada pela MD-</w:t>
      </w:r>
      <w:r w:rsidRPr="0072678C">
        <w:rPr>
          <w:rFonts w:asciiTheme="minorHAnsi" w:hAnsiTheme="minorHAnsi" w:cstheme="minorHAnsi"/>
          <w:sz w:val="22"/>
          <w:szCs w:val="22"/>
        </w:rPr>
        <w:t xml:space="preserve">GEFIS. Os processos críticos: </w:t>
      </w:r>
      <w:r w:rsidR="00D921CE" w:rsidRPr="0072678C">
        <w:rPr>
          <w:rFonts w:asciiTheme="minorHAnsi" w:hAnsiTheme="minorHAnsi" w:cstheme="minorHAnsi"/>
          <w:b/>
          <w:i/>
          <w:sz w:val="22"/>
          <w:szCs w:val="22"/>
        </w:rPr>
        <w:t xml:space="preserve">mecanismos de participação e controle social; canais de comunicação e a participação social; formalização, a sensibilização e a capacitação em educação fiscal; e ouvidoria fazendária </w:t>
      </w:r>
      <w:r w:rsidRPr="0072678C">
        <w:rPr>
          <w:rFonts w:asciiTheme="minorHAnsi" w:hAnsiTheme="minorHAnsi" w:cstheme="minorHAnsi"/>
          <w:sz w:val="22"/>
          <w:szCs w:val="22"/>
        </w:rPr>
        <w:t>alcançaram nível</w:t>
      </w:r>
      <w:r w:rsidR="00D921CE" w:rsidRPr="0072678C">
        <w:rPr>
          <w:rFonts w:asciiTheme="minorHAnsi" w:hAnsiTheme="minorHAnsi" w:cstheme="minorHAnsi"/>
          <w:sz w:val="22"/>
          <w:szCs w:val="22"/>
        </w:rPr>
        <w:t xml:space="preserve"> 3</w:t>
      </w:r>
      <w:r w:rsidRPr="0072678C">
        <w:rPr>
          <w:rFonts w:asciiTheme="minorHAnsi" w:hAnsiTheme="minorHAnsi" w:cstheme="minorHAnsi"/>
          <w:sz w:val="22"/>
          <w:szCs w:val="22"/>
        </w:rPr>
        <w:t xml:space="preserve"> de maturidade, ou seja, atendem a um número </w:t>
      </w:r>
      <w:r w:rsidR="00D921CE" w:rsidRPr="0072678C">
        <w:rPr>
          <w:rFonts w:asciiTheme="minorHAnsi" w:hAnsiTheme="minorHAnsi" w:cstheme="minorHAnsi"/>
          <w:sz w:val="22"/>
          <w:szCs w:val="22"/>
        </w:rPr>
        <w:t xml:space="preserve">alto de </w:t>
      </w:r>
      <w:r w:rsidRPr="0072678C">
        <w:rPr>
          <w:rFonts w:asciiTheme="minorHAnsi" w:hAnsiTheme="minorHAnsi" w:cstheme="minorHAnsi"/>
          <w:sz w:val="22"/>
          <w:szCs w:val="22"/>
        </w:rPr>
        <w:t xml:space="preserve">requisitos das boas práticas da MD-GEFIS. </w:t>
      </w:r>
    </w:p>
    <w:p w:rsidR="00B44516" w:rsidRPr="0072678C" w:rsidRDefault="00B44516" w:rsidP="00B44516">
      <w:pPr>
        <w:jc w:val="both"/>
        <w:rPr>
          <w:rFonts w:asciiTheme="minorHAnsi" w:hAnsiTheme="minorHAnsi" w:cstheme="minorHAnsi"/>
          <w:sz w:val="22"/>
          <w:szCs w:val="22"/>
        </w:rPr>
      </w:pPr>
    </w:p>
    <w:p w:rsidR="00EB4DCA" w:rsidRPr="0072678C" w:rsidRDefault="00B44516" w:rsidP="00B44516">
      <w:pPr>
        <w:jc w:val="both"/>
        <w:rPr>
          <w:rFonts w:asciiTheme="minorHAnsi" w:hAnsiTheme="minorHAnsi" w:cstheme="minorHAnsi"/>
          <w:sz w:val="22"/>
          <w:szCs w:val="22"/>
        </w:rPr>
      </w:pPr>
      <w:r w:rsidRPr="0072678C">
        <w:rPr>
          <w:rFonts w:asciiTheme="minorHAnsi" w:hAnsiTheme="minorHAnsi" w:cstheme="minorHAnsi"/>
          <w:sz w:val="22"/>
          <w:szCs w:val="22"/>
        </w:rPr>
        <w:t>O</w:t>
      </w:r>
      <w:r w:rsidR="00EB4DCA" w:rsidRPr="0072678C">
        <w:rPr>
          <w:rFonts w:asciiTheme="minorHAnsi" w:hAnsiTheme="minorHAnsi" w:cstheme="minorHAnsi"/>
          <w:sz w:val="22"/>
          <w:szCs w:val="22"/>
        </w:rPr>
        <w:t>s</w:t>
      </w:r>
      <w:r w:rsidRPr="0072678C">
        <w:rPr>
          <w:rFonts w:asciiTheme="minorHAnsi" w:hAnsiTheme="minorHAnsi" w:cstheme="minorHAnsi"/>
          <w:sz w:val="22"/>
          <w:szCs w:val="22"/>
        </w:rPr>
        <w:t xml:space="preserve"> processo</w:t>
      </w:r>
      <w:r w:rsidR="00EB4DCA" w:rsidRPr="0072678C">
        <w:rPr>
          <w:rFonts w:asciiTheme="minorHAnsi" w:hAnsiTheme="minorHAnsi" w:cstheme="minorHAnsi"/>
          <w:sz w:val="22"/>
          <w:szCs w:val="22"/>
        </w:rPr>
        <w:t>s</w:t>
      </w:r>
      <w:r w:rsidRPr="0072678C">
        <w:rPr>
          <w:rFonts w:asciiTheme="minorHAnsi" w:hAnsiTheme="minorHAnsi" w:cstheme="minorHAnsi"/>
          <w:b/>
          <w:bCs/>
          <w:i/>
          <w:iCs/>
          <w:sz w:val="22"/>
          <w:szCs w:val="22"/>
        </w:rPr>
        <w:t xml:space="preserve"> </w:t>
      </w:r>
      <w:r w:rsidR="00EB4DCA" w:rsidRPr="0072678C">
        <w:rPr>
          <w:rFonts w:asciiTheme="minorHAnsi" w:hAnsiTheme="minorHAnsi" w:cstheme="minorHAnsi"/>
          <w:b/>
          <w:bCs/>
          <w:i/>
          <w:iCs/>
          <w:sz w:val="22"/>
          <w:szCs w:val="22"/>
        </w:rPr>
        <w:t xml:space="preserve">acesso do público às informações essenciais; e programa de incentivo à emissão de documentos fiscais eletrônicos apresentam </w:t>
      </w:r>
      <w:r w:rsidRPr="0072678C">
        <w:rPr>
          <w:rFonts w:asciiTheme="minorHAnsi" w:hAnsiTheme="minorHAnsi" w:cstheme="minorHAnsi"/>
          <w:sz w:val="22"/>
          <w:szCs w:val="22"/>
        </w:rPr>
        <w:t xml:space="preserve">nível </w:t>
      </w:r>
      <w:r w:rsidR="00EB4DCA" w:rsidRPr="0072678C">
        <w:rPr>
          <w:rFonts w:asciiTheme="minorHAnsi" w:hAnsiTheme="minorHAnsi" w:cstheme="minorHAnsi"/>
          <w:sz w:val="22"/>
          <w:szCs w:val="22"/>
        </w:rPr>
        <w:t xml:space="preserve">2 </w:t>
      </w:r>
      <w:r w:rsidRPr="0072678C">
        <w:rPr>
          <w:rFonts w:asciiTheme="minorHAnsi" w:hAnsiTheme="minorHAnsi" w:cstheme="minorHAnsi"/>
          <w:sz w:val="22"/>
          <w:szCs w:val="22"/>
        </w:rPr>
        <w:t>de maturidade</w:t>
      </w:r>
      <w:r w:rsidR="00EB4DCA" w:rsidRPr="0072678C">
        <w:rPr>
          <w:rFonts w:asciiTheme="minorHAnsi" w:hAnsiTheme="minorHAnsi" w:cstheme="minorHAnsi"/>
          <w:sz w:val="22"/>
          <w:szCs w:val="22"/>
        </w:rPr>
        <w:t xml:space="preserve"> e atende um número médio de requisitos das boas práticas da MD-GEFIS.</w:t>
      </w:r>
    </w:p>
    <w:p w:rsidR="00EB4DCA" w:rsidRPr="0072678C" w:rsidRDefault="00EB4DCA" w:rsidP="00B44516">
      <w:pPr>
        <w:jc w:val="both"/>
        <w:rPr>
          <w:rFonts w:asciiTheme="minorHAnsi" w:hAnsiTheme="minorHAnsi" w:cstheme="minorHAnsi"/>
          <w:sz w:val="22"/>
          <w:szCs w:val="22"/>
        </w:rPr>
      </w:pPr>
    </w:p>
    <w:p w:rsidR="00B44516" w:rsidRPr="0072678C" w:rsidRDefault="00EB4DCA" w:rsidP="00B44516">
      <w:pPr>
        <w:jc w:val="both"/>
        <w:rPr>
          <w:rFonts w:asciiTheme="minorHAnsi" w:hAnsiTheme="minorHAnsi" w:cstheme="minorHAnsi"/>
          <w:sz w:val="22"/>
          <w:szCs w:val="22"/>
        </w:rPr>
      </w:pPr>
      <w:r w:rsidRPr="0072678C">
        <w:rPr>
          <w:rFonts w:asciiTheme="minorHAnsi" w:hAnsiTheme="minorHAnsi" w:cstheme="minorHAnsi"/>
          <w:sz w:val="22"/>
          <w:szCs w:val="22"/>
        </w:rPr>
        <w:t xml:space="preserve">Apenas o processo </w:t>
      </w:r>
      <w:r w:rsidRPr="0072678C">
        <w:rPr>
          <w:rFonts w:asciiTheme="minorHAnsi" w:hAnsiTheme="minorHAnsi" w:cstheme="minorHAnsi"/>
          <w:b/>
          <w:i/>
          <w:sz w:val="22"/>
          <w:szCs w:val="22"/>
        </w:rPr>
        <w:t>relatórios fiscais</w:t>
      </w:r>
      <w:r w:rsidRPr="0072678C">
        <w:rPr>
          <w:rFonts w:asciiTheme="minorHAnsi" w:hAnsiTheme="minorHAnsi" w:cstheme="minorHAnsi"/>
          <w:sz w:val="22"/>
          <w:szCs w:val="22"/>
        </w:rPr>
        <w:t xml:space="preserve"> alcançou o nível 1 de maturidade, portanto atende a pouquíssimos </w:t>
      </w:r>
      <w:r w:rsidR="00B44516" w:rsidRPr="0072678C">
        <w:rPr>
          <w:rFonts w:asciiTheme="minorHAnsi" w:hAnsiTheme="minorHAnsi" w:cstheme="minorHAnsi"/>
          <w:sz w:val="22"/>
          <w:szCs w:val="22"/>
        </w:rPr>
        <w:t xml:space="preserve">requisitos das boas práticas da MD-GEFIS. </w:t>
      </w:r>
    </w:p>
    <w:p w:rsidR="00B44516" w:rsidRPr="0072678C" w:rsidRDefault="00B44516" w:rsidP="00B44516">
      <w:pPr>
        <w:jc w:val="both"/>
        <w:rPr>
          <w:rFonts w:asciiTheme="minorHAnsi" w:hAnsiTheme="minorHAnsi" w:cstheme="minorHAnsi"/>
          <w:sz w:val="22"/>
          <w:szCs w:val="22"/>
        </w:rPr>
      </w:pPr>
    </w:p>
    <w:p w:rsidR="00A90ACE" w:rsidRPr="0072678C" w:rsidRDefault="00A90ACE" w:rsidP="00722922">
      <w:pPr>
        <w:jc w:val="both"/>
        <w:rPr>
          <w:rFonts w:asciiTheme="minorHAnsi" w:hAnsiTheme="minorHAnsi" w:cstheme="minorHAnsi"/>
          <w:sz w:val="22"/>
          <w:szCs w:val="22"/>
        </w:rPr>
      </w:pPr>
      <w:r w:rsidRPr="0072678C">
        <w:rPr>
          <w:rFonts w:asciiTheme="minorHAnsi" w:hAnsiTheme="minorHAnsi" w:cstheme="minorHAnsi"/>
          <w:sz w:val="22"/>
          <w:szCs w:val="22"/>
        </w:rPr>
        <w:t xml:space="preserve">Os </w:t>
      </w:r>
      <w:r w:rsidRPr="0072678C">
        <w:rPr>
          <w:rFonts w:asciiTheme="minorHAnsi" w:hAnsiTheme="minorHAnsi" w:cstheme="minorHAnsi"/>
          <w:b/>
          <w:bCs/>
          <w:i/>
          <w:iCs/>
          <w:sz w:val="22"/>
          <w:szCs w:val="22"/>
        </w:rPr>
        <w:t xml:space="preserve">mecanismos de participação e controle social </w:t>
      </w:r>
      <w:r w:rsidRPr="0072678C">
        <w:rPr>
          <w:rFonts w:asciiTheme="minorHAnsi" w:hAnsiTheme="minorHAnsi" w:cstheme="minorHAnsi"/>
          <w:sz w:val="22"/>
          <w:szCs w:val="22"/>
        </w:rPr>
        <w:t>apresenta nível 3 de maturidade nas boas prática da MD-GEFIS e atende a todos os 4 requisitos. A SEFAZ/SP dispõe de um fórum de integração do fisco com a sociedade</w:t>
      </w:r>
      <w:r w:rsidRPr="0072678C">
        <w:rPr>
          <w:rStyle w:val="FootnoteReference"/>
          <w:rFonts w:asciiTheme="minorHAnsi" w:hAnsiTheme="minorHAnsi" w:cstheme="minorHAnsi"/>
          <w:sz w:val="22"/>
          <w:szCs w:val="22"/>
        </w:rPr>
        <w:footnoteReference w:id="77"/>
      </w:r>
      <w:r w:rsidRPr="0072678C">
        <w:rPr>
          <w:rFonts w:asciiTheme="minorHAnsi" w:hAnsiTheme="minorHAnsi" w:cstheme="minorHAnsi"/>
          <w:sz w:val="22"/>
          <w:szCs w:val="22"/>
        </w:rPr>
        <w:t>; um observatório social para interlocução com a sociedade denominado Observatório Social do Brasil – São Paulo (OSB-SP</w:t>
      </w:r>
      <w:r w:rsidR="00480EE9" w:rsidRPr="0072678C">
        <w:rPr>
          <w:rFonts w:asciiTheme="minorHAnsi" w:hAnsiTheme="minorHAnsi" w:cstheme="minorHAnsi"/>
          <w:sz w:val="22"/>
          <w:szCs w:val="22"/>
        </w:rPr>
        <w:t xml:space="preserve">) </w:t>
      </w:r>
      <w:r w:rsidRPr="0072678C">
        <w:rPr>
          <w:rStyle w:val="FootnoteReference"/>
          <w:rFonts w:asciiTheme="minorHAnsi" w:hAnsiTheme="minorHAnsi" w:cstheme="minorHAnsi"/>
          <w:sz w:val="22"/>
          <w:szCs w:val="22"/>
        </w:rPr>
        <w:footnoteReference w:id="78"/>
      </w:r>
      <w:r w:rsidRPr="0072678C">
        <w:rPr>
          <w:rFonts w:asciiTheme="minorHAnsi" w:hAnsiTheme="minorHAnsi" w:cstheme="minorHAnsi"/>
          <w:sz w:val="22"/>
          <w:szCs w:val="22"/>
        </w:rPr>
        <w:t>; promove ciclos de p</w:t>
      </w:r>
      <w:r w:rsidR="009127C9" w:rsidRPr="0072678C">
        <w:rPr>
          <w:rFonts w:asciiTheme="minorHAnsi" w:hAnsiTheme="minorHAnsi" w:cstheme="minorHAnsi"/>
          <w:sz w:val="22"/>
          <w:szCs w:val="22"/>
        </w:rPr>
        <w:t xml:space="preserve">alestras e </w:t>
      </w:r>
      <w:r w:rsidRPr="0072678C">
        <w:rPr>
          <w:rFonts w:asciiTheme="minorHAnsi" w:hAnsiTheme="minorHAnsi" w:cstheme="minorHAnsi"/>
          <w:sz w:val="22"/>
          <w:szCs w:val="22"/>
        </w:rPr>
        <w:t>seminários</w:t>
      </w:r>
      <w:r w:rsidR="00722922" w:rsidRPr="0072678C">
        <w:rPr>
          <w:rFonts w:asciiTheme="minorHAnsi" w:hAnsiTheme="minorHAnsi" w:cstheme="minorHAnsi"/>
          <w:sz w:val="22"/>
          <w:szCs w:val="22"/>
        </w:rPr>
        <w:t xml:space="preserve">; e </w:t>
      </w:r>
      <w:r w:rsidRPr="0072678C">
        <w:rPr>
          <w:rFonts w:asciiTheme="minorHAnsi" w:hAnsiTheme="minorHAnsi" w:cstheme="minorHAnsi"/>
          <w:sz w:val="22"/>
          <w:szCs w:val="22"/>
        </w:rPr>
        <w:t>evento</w:t>
      </w:r>
      <w:r w:rsidR="00722922" w:rsidRPr="0072678C">
        <w:rPr>
          <w:rFonts w:asciiTheme="minorHAnsi" w:hAnsiTheme="minorHAnsi" w:cstheme="minorHAnsi"/>
          <w:sz w:val="22"/>
          <w:szCs w:val="22"/>
        </w:rPr>
        <w:t xml:space="preserve">s anuais </w:t>
      </w:r>
      <w:r w:rsidRPr="0072678C">
        <w:rPr>
          <w:rFonts w:asciiTheme="minorHAnsi" w:hAnsiTheme="minorHAnsi" w:cstheme="minorHAnsi"/>
          <w:sz w:val="22"/>
          <w:szCs w:val="22"/>
        </w:rPr>
        <w:t xml:space="preserve">de disseminação da Educação </w:t>
      </w:r>
      <w:r w:rsidR="00480EE9" w:rsidRPr="0072678C">
        <w:rPr>
          <w:rFonts w:asciiTheme="minorHAnsi" w:hAnsiTheme="minorHAnsi" w:cstheme="minorHAnsi"/>
          <w:sz w:val="22"/>
          <w:szCs w:val="22"/>
        </w:rPr>
        <w:t>Fiscal.</w:t>
      </w:r>
    </w:p>
    <w:p w:rsidR="00722922" w:rsidRPr="0072678C" w:rsidRDefault="00722922" w:rsidP="00722922">
      <w:pPr>
        <w:tabs>
          <w:tab w:val="left" w:pos="1849"/>
        </w:tabs>
        <w:jc w:val="both"/>
        <w:rPr>
          <w:rFonts w:asciiTheme="minorHAnsi" w:hAnsiTheme="minorHAnsi" w:cstheme="minorHAnsi"/>
          <w:sz w:val="22"/>
          <w:szCs w:val="22"/>
        </w:rPr>
      </w:pPr>
    </w:p>
    <w:p w:rsidR="009127C9" w:rsidRPr="0072678C" w:rsidRDefault="009127C9" w:rsidP="00722922">
      <w:pPr>
        <w:tabs>
          <w:tab w:val="left" w:pos="1849"/>
        </w:tabs>
        <w:jc w:val="both"/>
        <w:rPr>
          <w:rFonts w:asciiTheme="minorHAnsi" w:hAnsiTheme="minorHAnsi" w:cstheme="minorHAnsi"/>
          <w:sz w:val="22"/>
          <w:szCs w:val="22"/>
        </w:rPr>
      </w:pPr>
      <w:r w:rsidRPr="0072678C">
        <w:rPr>
          <w:rFonts w:asciiTheme="minorHAnsi" w:hAnsiTheme="minorHAnsi" w:cstheme="minorHAnsi"/>
          <w:sz w:val="22"/>
          <w:szCs w:val="22"/>
        </w:rPr>
        <w:t xml:space="preserve">Os </w:t>
      </w:r>
      <w:r w:rsidRPr="0072678C">
        <w:rPr>
          <w:rFonts w:asciiTheme="minorHAnsi" w:hAnsiTheme="minorHAnsi" w:cstheme="minorHAnsi"/>
          <w:b/>
          <w:bCs/>
          <w:i/>
          <w:iCs/>
          <w:sz w:val="22"/>
          <w:szCs w:val="22"/>
        </w:rPr>
        <w:t xml:space="preserve">canais de comunicação e a participação social </w:t>
      </w:r>
      <w:r w:rsidRPr="0072678C">
        <w:rPr>
          <w:rFonts w:asciiTheme="minorHAnsi" w:hAnsiTheme="minorHAnsi" w:cstheme="minorHAnsi"/>
          <w:sz w:val="22"/>
          <w:szCs w:val="22"/>
        </w:rPr>
        <w:t xml:space="preserve">atendem a todos os 5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e obteve nível 3 de maturidade. A SEFA</w:t>
      </w:r>
      <w:r w:rsidR="00F51BE0" w:rsidRPr="0072678C">
        <w:rPr>
          <w:rFonts w:asciiTheme="minorHAnsi" w:hAnsiTheme="minorHAnsi" w:cstheme="minorHAnsi"/>
          <w:sz w:val="22"/>
          <w:szCs w:val="22"/>
        </w:rPr>
        <w:t>Z</w:t>
      </w:r>
      <w:r w:rsidRPr="0072678C">
        <w:rPr>
          <w:rFonts w:asciiTheme="minorHAnsi" w:hAnsiTheme="minorHAnsi" w:cstheme="minorHAnsi"/>
          <w:sz w:val="22"/>
          <w:szCs w:val="22"/>
        </w:rPr>
        <w:t>/SP adota mecanismos de participação social do tipo audiência pública</w:t>
      </w:r>
      <w:r w:rsidR="00F51BE0" w:rsidRPr="0072678C">
        <w:rPr>
          <w:rFonts w:asciiTheme="minorHAnsi" w:hAnsiTheme="minorHAnsi" w:cstheme="minorHAnsi"/>
          <w:sz w:val="22"/>
          <w:szCs w:val="22"/>
        </w:rPr>
        <w:t>,</w:t>
      </w:r>
      <w:r w:rsidRPr="0072678C">
        <w:rPr>
          <w:rFonts w:asciiTheme="minorHAnsi" w:hAnsiTheme="minorHAnsi" w:cstheme="minorHAnsi"/>
          <w:sz w:val="22"/>
          <w:szCs w:val="22"/>
        </w:rPr>
        <w:t xml:space="preserve"> </w:t>
      </w:r>
      <w:r w:rsidR="0016673B" w:rsidRPr="0072678C">
        <w:rPr>
          <w:rFonts w:asciiTheme="minorHAnsi" w:hAnsiTheme="minorHAnsi" w:cstheme="minorHAnsi"/>
          <w:sz w:val="22"/>
          <w:szCs w:val="22"/>
        </w:rPr>
        <w:t>como por exemplo</w:t>
      </w:r>
      <w:r w:rsidR="00F51BE0" w:rsidRPr="0072678C">
        <w:rPr>
          <w:rFonts w:asciiTheme="minorHAnsi" w:hAnsiTheme="minorHAnsi" w:cstheme="minorHAnsi"/>
          <w:sz w:val="22"/>
          <w:szCs w:val="22"/>
        </w:rPr>
        <w:t xml:space="preserve"> - </w:t>
      </w:r>
      <w:r w:rsidR="0016673B" w:rsidRPr="0072678C">
        <w:rPr>
          <w:rFonts w:asciiTheme="minorHAnsi" w:hAnsiTheme="minorHAnsi" w:cstheme="minorHAnsi"/>
          <w:sz w:val="22"/>
          <w:szCs w:val="22"/>
        </w:rPr>
        <w:t xml:space="preserve">discussão </w:t>
      </w:r>
      <w:r w:rsidRPr="0072678C">
        <w:rPr>
          <w:rFonts w:asciiTheme="minorHAnsi" w:hAnsiTheme="minorHAnsi" w:cstheme="minorHAnsi"/>
          <w:sz w:val="22"/>
          <w:szCs w:val="22"/>
        </w:rPr>
        <w:t>sobre processo de privatização da CESP</w:t>
      </w:r>
      <w:r w:rsidR="0016673B" w:rsidRPr="0072678C">
        <w:rPr>
          <w:rFonts w:asciiTheme="minorHAnsi" w:hAnsiTheme="minorHAnsi" w:cstheme="minorHAnsi"/>
          <w:sz w:val="22"/>
          <w:szCs w:val="22"/>
        </w:rPr>
        <w:t>, c</w:t>
      </w:r>
      <w:r w:rsidRPr="0072678C">
        <w:rPr>
          <w:rFonts w:asciiTheme="minorHAnsi" w:hAnsiTheme="minorHAnsi" w:cstheme="minorHAnsi"/>
          <w:sz w:val="22"/>
          <w:szCs w:val="22"/>
        </w:rPr>
        <w:t>hamadas públicas para propostas de contratação</w:t>
      </w:r>
      <w:r w:rsidR="0016673B" w:rsidRPr="0072678C">
        <w:rPr>
          <w:rFonts w:asciiTheme="minorHAnsi" w:hAnsiTheme="minorHAnsi" w:cstheme="minorHAnsi"/>
          <w:sz w:val="22"/>
          <w:szCs w:val="22"/>
        </w:rPr>
        <w:t xml:space="preserve"> de operação de crédito, e</w:t>
      </w:r>
      <w:r w:rsidRPr="0072678C">
        <w:rPr>
          <w:rFonts w:asciiTheme="minorHAnsi" w:hAnsiTheme="minorHAnsi" w:cstheme="minorHAnsi"/>
          <w:sz w:val="22"/>
          <w:szCs w:val="22"/>
        </w:rPr>
        <w:t>ncontros para discutir boas práticas de gestão em governança</w:t>
      </w:r>
      <w:r w:rsidR="0016673B" w:rsidRPr="0072678C">
        <w:rPr>
          <w:rFonts w:asciiTheme="minorHAnsi" w:hAnsiTheme="minorHAnsi" w:cstheme="minorHAnsi"/>
          <w:sz w:val="22"/>
          <w:szCs w:val="22"/>
        </w:rPr>
        <w:t>, p</w:t>
      </w:r>
      <w:r w:rsidRPr="0072678C">
        <w:rPr>
          <w:rFonts w:asciiTheme="minorHAnsi" w:hAnsiTheme="minorHAnsi" w:cstheme="minorHAnsi"/>
          <w:sz w:val="22"/>
          <w:szCs w:val="22"/>
        </w:rPr>
        <w:t>rograma d</w:t>
      </w:r>
      <w:r w:rsidR="0016673B" w:rsidRPr="0072678C">
        <w:rPr>
          <w:rFonts w:asciiTheme="minorHAnsi" w:hAnsiTheme="minorHAnsi" w:cstheme="minorHAnsi"/>
          <w:sz w:val="22"/>
          <w:szCs w:val="22"/>
        </w:rPr>
        <w:t>e relacionamento com servidores</w:t>
      </w:r>
      <w:r w:rsidR="00F51BE0" w:rsidRPr="0072678C">
        <w:rPr>
          <w:rFonts w:asciiTheme="minorHAnsi" w:hAnsiTheme="minorHAnsi" w:cstheme="minorHAnsi"/>
          <w:sz w:val="22"/>
          <w:szCs w:val="22"/>
        </w:rPr>
        <w:t>; i</w:t>
      </w:r>
      <w:r w:rsidR="0016673B" w:rsidRPr="0072678C">
        <w:rPr>
          <w:rFonts w:asciiTheme="minorHAnsi" w:hAnsiTheme="minorHAnsi" w:cstheme="minorHAnsi"/>
          <w:sz w:val="22"/>
          <w:szCs w:val="22"/>
        </w:rPr>
        <w:t xml:space="preserve">dentifica </w:t>
      </w:r>
      <w:r w:rsidRPr="0072678C">
        <w:rPr>
          <w:rFonts w:asciiTheme="minorHAnsi" w:hAnsiTheme="minorHAnsi" w:cstheme="minorHAnsi"/>
          <w:sz w:val="22"/>
          <w:szCs w:val="22"/>
        </w:rPr>
        <w:t>os interessados, com definição de canais específicos de participação</w:t>
      </w:r>
      <w:r w:rsidR="00F51BE0" w:rsidRPr="0072678C">
        <w:rPr>
          <w:rFonts w:asciiTheme="minorHAnsi" w:hAnsiTheme="minorHAnsi" w:cstheme="minorHAnsi"/>
          <w:sz w:val="22"/>
          <w:szCs w:val="22"/>
        </w:rPr>
        <w:t xml:space="preserve">. Para este público a </w:t>
      </w:r>
      <w:r w:rsidRPr="0072678C">
        <w:rPr>
          <w:rFonts w:asciiTheme="minorHAnsi" w:hAnsiTheme="minorHAnsi" w:cstheme="minorHAnsi"/>
          <w:sz w:val="22"/>
          <w:szCs w:val="22"/>
        </w:rPr>
        <w:t xml:space="preserve">divulgação de informação </w:t>
      </w:r>
      <w:r w:rsidR="00F51BE0" w:rsidRPr="0072678C">
        <w:rPr>
          <w:rFonts w:asciiTheme="minorHAnsi" w:hAnsiTheme="minorHAnsi" w:cstheme="minorHAnsi"/>
          <w:sz w:val="22"/>
          <w:szCs w:val="22"/>
        </w:rPr>
        <w:t xml:space="preserve">é realizada </w:t>
      </w:r>
      <w:r w:rsidRPr="0072678C">
        <w:rPr>
          <w:rFonts w:asciiTheme="minorHAnsi" w:hAnsiTheme="minorHAnsi" w:cstheme="minorHAnsi"/>
          <w:sz w:val="22"/>
          <w:szCs w:val="22"/>
        </w:rPr>
        <w:t>pela ASCOM.</w:t>
      </w:r>
      <w:r w:rsidR="00F51BE0" w:rsidRPr="0072678C">
        <w:rPr>
          <w:rFonts w:asciiTheme="minorHAnsi" w:hAnsiTheme="minorHAnsi" w:cstheme="minorHAnsi"/>
          <w:sz w:val="22"/>
          <w:szCs w:val="22"/>
        </w:rPr>
        <w:t xml:space="preserve"> </w:t>
      </w:r>
      <w:r w:rsidRPr="0072678C">
        <w:rPr>
          <w:rFonts w:asciiTheme="minorHAnsi" w:hAnsiTheme="minorHAnsi" w:cstheme="minorHAnsi"/>
          <w:sz w:val="22"/>
          <w:szCs w:val="22"/>
        </w:rPr>
        <w:t>Uma ferramenta no Portal da Fazenda classifica os interessados como Cidadão, Empresa ou Servidor Público</w:t>
      </w:r>
      <w:r w:rsidR="0016673B" w:rsidRPr="0072678C">
        <w:rPr>
          <w:rFonts w:asciiTheme="minorHAnsi" w:hAnsiTheme="minorHAnsi" w:cstheme="minorHAnsi"/>
          <w:sz w:val="22"/>
          <w:szCs w:val="22"/>
        </w:rPr>
        <w:t xml:space="preserve">. </w:t>
      </w:r>
      <w:r w:rsidR="00F51BE0" w:rsidRPr="0072678C">
        <w:rPr>
          <w:rFonts w:asciiTheme="minorHAnsi" w:hAnsiTheme="minorHAnsi" w:cstheme="minorHAnsi"/>
          <w:sz w:val="22"/>
          <w:szCs w:val="22"/>
        </w:rPr>
        <w:t>A SEFAZ/SP d</w:t>
      </w:r>
      <w:r w:rsidR="0016673B" w:rsidRPr="0072678C">
        <w:rPr>
          <w:rFonts w:asciiTheme="minorHAnsi" w:hAnsiTheme="minorHAnsi" w:cstheme="minorHAnsi"/>
          <w:sz w:val="22"/>
          <w:szCs w:val="22"/>
        </w:rPr>
        <w:t xml:space="preserve">isponibiliza </w:t>
      </w:r>
      <w:r w:rsidRPr="0072678C">
        <w:rPr>
          <w:rFonts w:asciiTheme="minorHAnsi" w:hAnsiTheme="minorHAnsi" w:cstheme="minorHAnsi"/>
          <w:sz w:val="22"/>
          <w:szCs w:val="22"/>
        </w:rPr>
        <w:t xml:space="preserve">canais de comunicação para acesso, solicitação e encaminhamento de informações, com divulgação </w:t>
      </w:r>
      <w:r w:rsidR="0016673B" w:rsidRPr="0072678C">
        <w:rPr>
          <w:rFonts w:asciiTheme="minorHAnsi" w:hAnsiTheme="minorHAnsi" w:cstheme="minorHAnsi"/>
          <w:sz w:val="22"/>
          <w:szCs w:val="22"/>
        </w:rPr>
        <w:t>periódica</w:t>
      </w:r>
      <w:r w:rsidR="0016673B" w:rsidRPr="0072678C">
        <w:rPr>
          <w:rStyle w:val="FootnoteReference"/>
          <w:rFonts w:asciiTheme="minorHAnsi" w:hAnsiTheme="minorHAnsi" w:cstheme="minorHAnsi"/>
          <w:sz w:val="22"/>
          <w:szCs w:val="22"/>
        </w:rPr>
        <w:footnoteReference w:id="79"/>
      </w:r>
      <w:r w:rsidR="0016673B" w:rsidRPr="0072678C">
        <w:rPr>
          <w:rFonts w:asciiTheme="minorHAnsi" w:hAnsiTheme="minorHAnsi" w:cstheme="minorHAnsi"/>
          <w:sz w:val="22"/>
          <w:szCs w:val="22"/>
        </w:rPr>
        <w:t xml:space="preserve">; utiliza </w:t>
      </w:r>
      <w:r w:rsidRPr="0072678C">
        <w:rPr>
          <w:rFonts w:asciiTheme="minorHAnsi" w:hAnsiTheme="minorHAnsi" w:cstheme="minorHAnsi"/>
          <w:sz w:val="22"/>
          <w:szCs w:val="22"/>
        </w:rPr>
        <w:t>mecanismos para tratar informações recebidas</w:t>
      </w:r>
      <w:r w:rsidR="0016673B" w:rsidRPr="0072678C">
        <w:rPr>
          <w:rFonts w:asciiTheme="minorHAnsi" w:hAnsiTheme="minorHAnsi" w:cstheme="minorHAnsi"/>
          <w:sz w:val="22"/>
          <w:szCs w:val="22"/>
        </w:rPr>
        <w:t xml:space="preserve"> (t</w:t>
      </w:r>
      <w:r w:rsidRPr="0072678C">
        <w:rPr>
          <w:rFonts w:asciiTheme="minorHAnsi" w:hAnsiTheme="minorHAnsi" w:cstheme="minorHAnsi"/>
          <w:sz w:val="22"/>
          <w:szCs w:val="22"/>
        </w:rPr>
        <w:t>oda</w:t>
      </w:r>
      <w:r w:rsidR="001227CC" w:rsidRPr="0072678C">
        <w:rPr>
          <w:rFonts w:asciiTheme="minorHAnsi" w:hAnsiTheme="minorHAnsi" w:cstheme="minorHAnsi"/>
          <w:sz w:val="22"/>
          <w:szCs w:val="22"/>
        </w:rPr>
        <w:t xml:space="preserve"> </w:t>
      </w:r>
      <w:r w:rsidRPr="0072678C">
        <w:rPr>
          <w:rFonts w:asciiTheme="minorHAnsi" w:hAnsiTheme="minorHAnsi" w:cstheme="minorHAnsi"/>
          <w:sz w:val="22"/>
          <w:szCs w:val="22"/>
        </w:rPr>
        <w:t>informação recebida pela Assessoria de Comunicação é classificada de acordo com o nível de prioridade e recebe o tratamento adequado antes de sua divulgação, seja para o público interno ou externo. Essa análise é realizada em conjunto com as diversas áreas de negócios da Secretaria da Fazenda</w:t>
      </w:r>
      <w:r w:rsidR="0016673B" w:rsidRPr="0072678C">
        <w:rPr>
          <w:rFonts w:asciiTheme="minorHAnsi" w:hAnsiTheme="minorHAnsi" w:cstheme="minorHAnsi"/>
          <w:sz w:val="22"/>
          <w:szCs w:val="22"/>
        </w:rPr>
        <w:t>);</w:t>
      </w:r>
      <w:r w:rsidR="004A134C" w:rsidRPr="0072678C">
        <w:rPr>
          <w:rFonts w:asciiTheme="minorHAnsi" w:hAnsiTheme="minorHAnsi" w:cstheme="minorHAnsi"/>
          <w:sz w:val="22"/>
          <w:szCs w:val="22"/>
        </w:rPr>
        <w:t xml:space="preserve"> também </w:t>
      </w:r>
      <w:r w:rsidR="0016673B" w:rsidRPr="0072678C">
        <w:rPr>
          <w:rFonts w:asciiTheme="minorHAnsi" w:hAnsiTheme="minorHAnsi" w:cstheme="minorHAnsi"/>
          <w:sz w:val="22"/>
          <w:szCs w:val="22"/>
        </w:rPr>
        <w:t>monitora e avalia</w:t>
      </w:r>
      <w:r w:rsidRPr="0072678C">
        <w:rPr>
          <w:rFonts w:asciiTheme="minorHAnsi" w:hAnsiTheme="minorHAnsi" w:cstheme="minorHAnsi"/>
          <w:sz w:val="22"/>
          <w:szCs w:val="22"/>
        </w:rPr>
        <w:t xml:space="preserve"> o desempenho, a disponibilidade e a adequação dos canais de comunicação</w:t>
      </w:r>
      <w:r w:rsidR="00F51BE0" w:rsidRPr="0072678C">
        <w:rPr>
          <w:rFonts w:asciiTheme="minorHAnsi" w:hAnsiTheme="minorHAnsi" w:cstheme="minorHAnsi"/>
          <w:sz w:val="22"/>
          <w:szCs w:val="22"/>
        </w:rPr>
        <w:t xml:space="preserve"> (mensalmente a Secretaria recebe </w:t>
      </w:r>
      <w:r w:rsidRPr="0072678C">
        <w:rPr>
          <w:rFonts w:asciiTheme="minorHAnsi" w:hAnsiTheme="minorHAnsi" w:cstheme="minorHAnsi"/>
          <w:sz w:val="22"/>
          <w:szCs w:val="22"/>
        </w:rPr>
        <w:t>relatório da empresa que realiza o clipping de notícias para a Assessoria de Comunicação (</w:t>
      </w:r>
      <w:proofErr w:type="spellStart"/>
      <w:r w:rsidRPr="0072678C">
        <w:rPr>
          <w:rFonts w:asciiTheme="minorHAnsi" w:hAnsiTheme="minorHAnsi" w:cstheme="minorHAnsi"/>
          <w:sz w:val="22"/>
          <w:szCs w:val="22"/>
        </w:rPr>
        <w:t>BoxNet</w:t>
      </w:r>
      <w:proofErr w:type="spellEnd"/>
      <w:r w:rsidRPr="0072678C">
        <w:rPr>
          <w:rFonts w:asciiTheme="minorHAnsi" w:hAnsiTheme="minorHAnsi" w:cstheme="minorHAnsi"/>
          <w:sz w:val="22"/>
          <w:szCs w:val="22"/>
        </w:rPr>
        <w:t>). As matérias veiculadas são classificadas como positivas ou negativas, nos segmentos de internet, rádio, TV ou impresso. Com base no relatório a ASCOM traça as estratégias adequadas de divulgação para os assuntos de interesse da Casa.</w:t>
      </w:r>
    </w:p>
    <w:p w:rsidR="009127C9" w:rsidRPr="0072678C" w:rsidRDefault="009127C9" w:rsidP="00927DB2">
      <w:pPr>
        <w:tabs>
          <w:tab w:val="left" w:pos="1849"/>
        </w:tabs>
        <w:ind w:left="70"/>
        <w:rPr>
          <w:rFonts w:asciiTheme="minorHAnsi" w:hAnsiTheme="minorHAnsi" w:cstheme="minorHAnsi"/>
          <w:sz w:val="22"/>
          <w:szCs w:val="22"/>
        </w:rPr>
      </w:pPr>
      <w:r w:rsidRPr="0072678C">
        <w:rPr>
          <w:rFonts w:asciiTheme="minorHAnsi" w:hAnsiTheme="minorHAnsi" w:cstheme="minorHAnsi"/>
          <w:sz w:val="22"/>
          <w:szCs w:val="22"/>
        </w:rPr>
        <w:lastRenderedPageBreak/>
        <w:t> </w:t>
      </w:r>
      <w:r w:rsidRPr="0072678C">
        <w:rPr>
          <w:rFonts w:asciiTheme="minorHAnsi" w:hAnsiTheme="minorHAnsi" w:cstheme="minorHAnsi"/>
          <w:sz w:val="22"/>
          <w:szCs w:val="22"/>
        </w:rPr>
        <w:tab/>
      </w:r>
    </w:p>
    <w:p w:rsidR="00927DB2" w:rsidRPr="0058526B" w:rsidRDefault="004A134C" w:rsidP="001227CC">
      <w:pPr>
        <w:tabs>
          <w:tab w:val="left" w:pos="1849"/>
        </w:tabs>
        <w:jc w:val="both"/>
        <w:rPr>
          <w:rFonts w:asciiTheme="minorHAnsi" w:hAnsiTheme="minorHAnsi" w:cstheme="minorHAnsi"/>
          <w:sz w:val="22"/>
          <w:szCs w:val="22"/>
        </w:rPr>
      </w:pPr>
      <w:r w:rsidRPr="0072678C">
        <w:rPr>
          <w:rFonts w:asciiTheme="minorHAnsi" w:hAnsiTheme="minorHAnsi" w:cstheme="minorHAnsi"/>
          <w:sz w:val="22"/>
          <w:szCs w:val="22"/>
        </w:rPr>
        <w:t xml:space="preserve">A </w:t>
      </w:r>
      <w:r w:rsidRPr="0072678C">
        <w:rPr>
          <w:rFonts w:asciiTheme="minorHAnsi" w:hAnsiTheme="minorHAnsi" w:cstheme="minorHAnsi"/>
          <w:b/>
          <w:bCs/>
          <w:i/>
          <w:iCs/>
          <w:sz w:val="22"/>
          <w:szCs w:val="22"/>
        </w:rPr>
        <w:t>formalização, a sensibilização e a capacitação em educação fiscal</w:t>
      </w:r>
      <w:r w:rsidRPr="0072678C">
        <w:rPr>
          <w:rFonts w:asciiTheme="minorHAnsi" w:hAnsiTheme="minorHAnsi" w:cstheme="minorHAnsi"/>
          <w:sz w:val="22"/>
          <w:szCs w:val="22"/>
        </w:rPr>
        <w:t xml:space="preserve"> obteve nível</w:t>
      </w:r>
      <w:r w:rsidR="001227CC" w:rsidRPr="0072678C">
        <w:rPr>
          <w:rFonts w:asciiTheme="minorHAnsi" w:hAnsiTheme="minorHAnsi" w:cstheme="minorHAnsi"/>
          <w:sz w:val="22"/>
          <w:szCs w:val="22"/>
        </w:rPr>
        <w:t xml:space="preserve"> 3 de  maturidade e atende a 9 dentre</w:t>
      </w:r>
      <w:r w:rsidRPr="0072678C">
        <w:rPr>
          <w:rFonts w:asciiTheme="minorHAnsi" w:hAnsiTheme="minorHAnsi" w:cstheme="minorHAnsi"/>
          <w:sz w:val="22"/>
          <w:szCs w:val="22"/>
        </w:rPr>
        <w:t xml:space="preserve"> 10 requisitos das boas práticas da MD-GEFIS. A SEFAZ/SP dispõe de instrumento legal de criação do Programa de Educação Fiscal e do seu grupo de trabalho conforme D</w:t>
      </w:r>
      <w:r w:rsidR="008E1FFF" w:rsidRPr="0072678C">
        <w:rPr>
          <w:rFonts w:asciiTheme="minorHAnsi" w:hAnsiTheme="minorHAnsi" w:cstheme="minorHAnsi"/>
          <w:sz w:val="22"/>
          <w:szCs w:val="22"/>
        </w:rPr>
        <w:t xml:space="preserve">ecreto </w:t>
      </w:r>
      <w:r w:rsidR="00927DB2" w:rsidRPr="0072678C">
        <w:rPr>
          <w:rFonts w:asciiTheme="minorHAnsi" w:hAnsiTheme="minorHAnsi" w:cstheme="minorHAnsi"/>
          <w:sz w:val="22"/>
          <w:szCs w:val="22"/>
        </w:rPr>
        <w:t xml:space="preserve">60.812 </w:t>
      </w:r>
      <w:r w:rsidRPr="0072678C">
        <w:rPr>
          <w:rFonts w:asciiTheme="minorHAnsi" w:hAnsiTheme="minorHAnsi" w:cstheme="minorHAnsi"/>
          <w:sz w:val="22"/>
          <w:szCs w:val="22"/>
        </w:rPr>
        <w:t>de R</w:t>
      </w:r>
      <w:r w:rsidR="008E1FFF" w:rsidRPr="0072678C">
        <w:rPr>
          <w:rFonts w:asciiTheme="minorHAnsi" w:hAnsiTheme="minorHAnsi" w:cstheme="minorHAnsi"/>
          <w:sz w:val="22"/>
          <w:szCs w:val="22"/>
        </w:rPr>
        <w:t xml:space="preserve">eorganização da </w:t>
      </w:r>
      <w:r w:rsidRPr="0072678C">
        <w:rPr>
          <w:rFonts w:asciiTheme="minorHAnsi" w:hAnsiTheme="minorHAnsi" w:cstheme="minorHAnsi"/>
          <w:sz w:val="22"/>
          <w:szCs w:val="22"/>
        </w:rPr>
        <w:t>SEFAZ</w:t>
      </w:r>
      <w:r w:rsidR="001227CC" w:rsidRPr="0072678C">
        <w:rPr>
          <w:rFonts w:asciiTheme="minorHAnsi" w:hAnsiTheme="minorHAnsi" w:cstheme="minorHAnsi"/>
          <w:sz w:val="22"/>
          <w:szCs w:val="22"/>
        </w:rPr>
        <w:t>/SP</w:t>
      </w:r>
      <w:r w:rsidRPr="0072678C">
        <w:rPr>
          <w:rFonts w:asciiTheme="minorHAnsi" w:hAnsiTheme="minorHAnsi" w:cstheme="minorHAnsi"/>
          <w:sz w:val="22"/>
          <w:szCs w:val="22"/>
        </w:rPr>
        <w:t xml:space="preserve"> </w:t>
      </w:r>
      <w:r w:rsidR="008E1FFF" w:rsidRPr="0072678C">
        <w:rPr>
          <w:rFonts w:asciiTheme="minorHAnsi" w:hAnsiTheme="minorHAnsi" w:cstheme="minorHAnsi"/>
          <w:sz w:val="22"/>
          <w:szCs w:val="22"/>
        </w:rPr>
        <w:t xml:space="preserve">que </w:t>
      </w:r>
      <w:r w:rsidRPr="0072678C">
        <w:rPr>
          <w:rFonts w:asciiTheme="minorHAnsi" w:hAnsiTheme="minorHAnsi" w:cstheme="minorHAnsi"/>
          <w:sz w:val="22"/>
          <w:szCs w:val="22"/>
        </w:rPr>
        <w:t>formaliza a criação do Centro de Educação Fisca</w:t>
      </w:r>
      <w:r w:rsidR="008E1FFF" w:rsidRPr="0072678C">
        <w:rPr>
          <w:rFonts w:asciiTheme="minorHAnsi" w:hAnsiTheme="minorHAnsi" w:cstheme="minorHAnsi"/>
          <w:sz w:val="22"/>
          <w:szCs w:val="22"/>
        </w:rPr>
        <w:t>l</w:t>
      </w:r>
      <w:r w:rsidRPr="0072678C">
        <w:rPr>
          <w:rFonts w:asciiTheme="minorHAnsi" w:hAnsiTheme="minorHAnsi" w:cstheme="minorHAnsi"/>
          <w:sz w:val="22"/>
          <w:szCs w:val="22"/>
        </w:rPr>
        <w:t xml:space="preserve"> e </w:t>
      </w:r>
      <w:r w:rsidR="008E1FFF" w:rsidRPr="0072678C">
        <w:rPr>
          <w:rFonts w:asciiTheme="minorHAnsi" w:hAnsiTheme="minorHAnsi" w:cstheme="minorHAnsi"/>
          <w:sz w:val="22"/>
          <w:szCs w:val="22"/>
        </w:rPr>
        <w:t xml:space="preserve">do </w:t>
      </w:r>
      <w:r w:rsidRPr="0072678C">
        <w:rPr>
          <w:rFonts w:asciiTheme="minorHAnsi" w:hAnsiTheme="minorHAnsi" w:cstheme="minorHAnsi"/>
          <w:sz w:val="22"/>
          <w:szCs w:val="22"/>
        </w:rPr>
        <w:t xml:space="preserve">Decreto 57.362/2011, </w:t>
      </w:r>
      <w:r w:rsidR="008E1FFF" w:rsidRPr="0072678C">
        <w:rPr>
          <w:rFonts w:asciiTheme="minorHAnsi" w:hAnsiTheme="minorHAnsi" w:cstheme="minorHAnsi"/>
          <w:sz w:val="22"/>
          <w:szCs w:val="22"/>
        </w:rPr>
        <w:t xml:space="preserve">que </w:t>
      </w:r>
      <w:r w:rsidRPr="0072678C">
        <w:rPr>
          <w:rFonts w:asciiTheme="minorHAnsi" w:hAnsiTheme="minorHAnsi" w:cstheme="minorHAnsi"/>
          <w:sz w:val="22"/>
          <w:szCs w:val="22"/>
        </w:rPr>
        <w:t>institui o G</w:t>
      </w:r>
      <w:r w:rsidR="008E1FFF" w:rsidRPr="0072678C">
        <w:rPr>
          <w:rFonts w:asciiTheme="minorHAnsi" w:hAnsiTheme="minorHAnsi" w:cstheme="minorHAnsi"/>
          <w:sz w:val="22"/>
          <w:szCs w:val="22"/>
        </w:rPr>
        <w:t xml:space="preserve">rupo de Educação fiscal de São Paulo - </w:t>
      </w:r>
      <w:r w:rsidRPr="0072678C">
        <w:rPr>
          <w:rFonts w:asciiTheme="minorHAnsi" w:hAnsiTheme="minorHAnsi" w:cstheme="minorHAnsi"/>
          <w:sz w:val="22"/>
          <w:szCs w:val="22"/>
        </w:rPr>
        <w:t>GEFE-SP</w:t>
      </w:r>
      <w:r w:rsidR="008E1FFF" w:rsidRPr="0072678C">
        <w:rPr>
          <w:rFonts w:asciiTheme="minorHAnsi" w:hAnsiTheme="minorHAnsi" w:cstheme="minorHAnsi"/>
          <w:sz w:val="22"/>
          <w:szCs w:val="22"/>
        </w:rPr>
        <w:t xml:space="preserve">; dispõe de </w:t>
      </w:r>
      <w:r w:rsidRPr="0072678C">
        <w:rPr>
          <w:rFonts w:asciiTheme="minorHAnsi" w:hAnsiTheme="minorHAnsi" w:cstheme="minorHAnsi"/>
          <w:sz w:val="22"/>
          <w:szCs w:val="22"/>
        </w:rPr>
        <w:t>parcerias com a secretaria estadual de educação</w:t>
      </w:r>
      <w:r w:rsidR="008E1FFF" w:rsidRPr="0072678C">
        <w:rPr>
          <w:rStyle w:val="FootnoteReference"/>
          <w:rFonts w:asciiTheme="minorHAnsi" w:hAnsiTheme="minorHAnsi" w:cstheme="minorHAnsi"/>
          <w:sz w:val="22"/>
          <w:szCs w:val="22"/>
        </w:rPr>
        <w:footnoteReference w:id="80"/>
      </w:r>
      <w:r w:rsidR="008E1FFF" w:rsidRPr="0072678C">
        <w:rPr>
          <w:rFonts w:asciiTheme="minorHAnsi" w:hAnsiTheme="minorHAnsi" w:cstheme="minorHAnsi"/>
          <w:sz w:val="22"/>
          <w:szCs w:val="22"/>
        </w:rPr>
        <w:t xml:space="preserve">; dispõe </w:t>
      </w:r>
      <w:r w:rsidRPr="0072678C">
        <w:rPr>
          <w:rFonts w:asciiTheme="minorHAnsi" w:hAnsiTheme="minorHAnsi" w:cstheme="minorHAnsi"/>
          <w:sz w:val="22"/>
          <w:szCs w:val="22"/>
        </w:rPr>
        <w:t>de parcerias com os municípios</w:t>
      </w:r>
      <w:r w:rsidR="001B7A37" w:rsidRPr="0072678C">
        <w:rPr>
          <w:rFonts w:asciiTheme="minorHAnsi" w:hAnsiTheme="minorHAnsi" w:cstheme="minorHAnsi"/>
          <w:sz w:val="22"/>
          <w:szCs w:val="22"/>
        </w:rPr>
        <w:t xml:space="preserve"> (a </w:t>
      </w:r>
      <w:r w:rsidRPr="0072678C">
        <w:rPr>
          <w:rFonts w:asciiTheme="minorHAnsi" w:hAnsiTheme="minorHAnsi" w:cstheme="minorHAnsi"/>
          <w:sz w:val="22"/>
          <w:szCs w:val="22"/>
        </w:rPr>
        <w:t>parceria com municípios está prevista no Artigo 2º do Decreto 57.362/2011:</w:t>
      </w:r>
      <w:r w:rsidRPr="0072678C">
        <w:rPr>
          <w:rFonts w:asciiTheme="minorHAnsi" w:hAnsiTheme="minorHAnsi" w:cstheme="minorHAnsi"/>
          <w:sz w:val="22"/>
          <w:szCs w:val="22"/>
        </w:rPr>
        <w:br/>
        <w:t xml:space="preserve">Artigo 2º - O Grupo de Educação Fiscal Estadual de São Paulo - GEFE/SP instituído pelo artigo 1º deste decreto, </w:t>
      </w:r>
      <w:r w:rsidR="00927DB2" w:rsidRPr="0072678C">
        <w:rPr>
          <w:rFonts w:asciiTheme="minorHAnsi" w:hAnsiTheme="minorHAnsi" w:cstheme="minorHAnsi"/>
          <w:sz w:val="22"/>
          <w:szCs w:val="22"/>
        </w:rPr>
        <w:t>que tem o seguinte objetivo</w:t>
      </w:r>
      <w:r w:rsidRPr="0072678C">
        <w:rPr>
          <w:rFonts w:asciiTheme="minorHAnsi" w:hAnsiTheme="minorHAnsi" w:cstheme="minorHAnsi"/>
          <w:sz w:val="22"/>
          <w:szCs w:val="22"/>
        </w:rPr>
        <w:t>:</w:t>
      </w:r>
      <w:r w:rsidR="001B7A37"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estimular a implantação do PNEF </w:t>
      </w:r>
      <w:r w:rsidRPr="0072678C">
        <w:rPr>
          <w:rFonts w:asciiTheme="minorHAnsi" w:hAnsiTheme="minorHAnsi" w:cstheme="minorHAnsi"/>
          <w:bCs/>
          <w:sz w:val="22"/>
          <w:szCs w:val="22"/>
        </w:rPr>
        <w:t>no âmbito dos municípios</w:t>
      </w:r>
      <w:r w:rsidRPr="0072678C">
        <w:rPr>
          <w:rFonts w:asciiTheme="minorHAnsi" w:hAnsiTheme="minorHAnsi" w:cstheme="minorHAnsi"/>
          <w:sz w:val="22"/>
          <w:szCs w:val="22"/>
        </w:rPr>
        <w:t xml:space="preserve">, subsidiando </w:t>
      </w:r>
      <w:r w:rsidR="001B7A37" w:rsidRPr="0072678C">
        <w:rPr>
          <w:rFonts w:asciiTheme="minorHAnsi" w:hAnsiTheme="minorHAnsi" w:cstheme="minorHAnsi"/>
          <w:sz w:val="22"/>
          <w:szCs w:val="22"/>
        </w:rPr>
        <w:t>tecnicamente</w:t>
      </w:r>
      <w:r w:rsidRPr="0072678C">
        <w:rPr>
          <w:rFonts w:asciiTheme="minorHAnsi" w:hAnsiTheme="minorHAnsi" w:cstheme="minorHAnsi"/>
          <w:sz w:val="22"/>
          <w:szCs w:val="22"/>
        </w:rPr>
        <w:t xml:space="preserve"> e socializando experiências bem sucedidas</w:t>
      </w:r>
      <w:r w:rsidR="001B7A37" w:rsidRPr="0072678C">
        <w:rPr>
          <w:rFonts w:asciiTheme="minorHAnsi" w:hAnsiTheme="minorHAnsi" w:cstheme="minorHAnsi"/>
          <w:sz w:val="22"/>
          <w:szCs w:val="22"/>
        </w:rPr>
        <w:t xml:space="preserve">); dispõe </w:t>
      </w:r>
      <w:r w:rsidRPr="0072678C">
        <w:rPr>
          <w:rFonts w:asciiTheme="minorHAnsi" w:hAnsiTheme="minorHAnsi" w:cstheme="minorHAnsi"/>
          <w:sz w:val="22"/>
          <w:szCs w:val="22"/>
        </w:rPr>
        <w:t>de parcerias com a União</w:t>
      </w:r>
      <w:r w:rsidRPr="0072678C">
        <w:rPr>
          <w:rFonts w:asciiTheme="minorHAnsi" w:hAnsiTheme="minorHAnsi" w:cstheme="minorHAnsi"/>
          <w:sz w:val="22"/>
          <w:szCs w:val="22"/>
        </w:rPr>
        <w:tab/>
      </w:r>
      <w:r w:rsidR="00480EE9" w:rsidRPr="0072678C">
        <w:rPr>
          <w:rFonts w:asciiTheme="minorHAnsi" w:hAnsiTheme="minorHAnsi" w:cstheme="minorHAnsi"/>
          <w:sz w:val="22"/>
          <w:szCs w:val="22"/>
        </w:rPr>
        <w:t xml:space="preserve"> (</w:t>
      </w:r>
      <w:r w:rsidR="001B7A37" w:rsidRPr="0072678C">
        <w:rPr>
          <w:rFonts w:asciiTheme="minorHAnsi" w:hAnsiTheme="minorHAnsi" w:cstheme="minorHAnsi"/>
          <w:sz w:val="22"/>
          <w:szCs w:val="22"/>
        </w:rPr>
        <w:t>a</w:t>
      </w:r>
      <w:r w:rsidRPr="0072678C">
        <w:rPr>
          <w:rFonts w:asciiTheme="minorHAnsi" w:hAnsiTheme="minorHAnsi" w:cstheme="minorHAnsi"/>
          <w:sz w:val="22"/>
          <w:szCs w:val="22"/>
        </w:rPr>
        <w:t xml:space="preserve">lgumas ações do Centro de Educação Fiscal visam o trabalho de integração com outros órgãos públicos, como o </w:t>
      </w:r>
      <w:r w:rsidRPr="0072678C">
        <w:rPr>
          <w:rFonts w:asciiTheme="minorHAnsi" w:hAnsiTheme="minorHAnsi" w:cstheme="minorHAnsi"/>
          <w:bCs/>
          <w:sz w:val="22"/>
          <w:szCs w:val="22"/>
        </w:rPr>
        <w:t>P</w:t>
      </w:r>
      <w:r w:rsidR="002A4D83" w:rsidRPr="0072678C">
        <w:rPr>
          <w:rFonts w:asciiTheme="minorHAnsi" w:hAnsiTheme="minorHAnsi" w:cstheme="minorHAnsi"/>
          <w:bCs/>
          <w:sz w:val="22"/>
          <w:szCs w:val="22"/>
        </w:rPr>
        <w:t xml:space="preserve">rotocolo de Cooperação </w:t>
      </w:r>
      <w:r w:rsidRPr="0072678C">
        <w:rPr>
          <w:rFonts w:asciiTheme="minorHAnsi" w:hAnsiTheme="minorHAnsi" w:cstheme="minorHAnsi"/>
          <w:bCs/>
          <w:sz w:val="22"/>
          <w:szCs w:val="22"/>
        </w:rPr>
        <w:t>nº 05/2015 – X</w:t>
      </w:r>
      <w:r w:rsidRPr="0072678C">
        <w:rPr>
          <w:rFonts w:asciiTheme="minorHAnsi" w:hAnsiTheme="minorHAnsi" w:cstheme="minorHAnsi"/>
          <w:sz w:val="22"/>
          <w:szCs w:val="22"/>
        </w:rPr>
        <w:t xml:space="preserve"> ENAT, celebrado entre a União os Estados e o Distrito Federal objetivando o fortalecimento do Programa Nac</w:t>
      </w:r>
      <w:r w:rsidR="001B7A37" w:rsidRPr="0072678C">
        <w:rPr>
          <w:rFonts w:asciiTheme="minorHAnsi" w:hAnsiTheme="minorHAnsi" w:cstheme="minorHAnsi"/>
          <w:sz w:val="22"/>
          <w:szCs w:val="22"/>
        </w:rPr>
        <w:t>ional de Educação Fiscal – PNEF</w:t>
      </w:r>
      <w:r w:rsidR="00480EE9" w:rsidRPr="0072678C">
        <w:rPr>
          <w:rFonts w:asciiTheme="minorHAnsi" w:hAnsiTheme="minorHAnsi" w:cstheme="minorHAnsi"/>
          <w:sz w:val="22"/>
          <w:szCs w:val="22"/>
        </w:rPr>
        <w:t xml:space="preserve">) </w:t>
      </w:r>
      <w:r w:rsidR="001B7A37" w:rsidRPr="0072678C">
        <w:rPr>
          <w:rStyle w:val="FootnoteReference"/>
          <w:rFonts w:asciiTheme="minorHAnsi" w:hAnsiTheme="minorHAnsi" w:cstheme="minorHAnsi"/>
          <w:sz w:val="22"/>
          <w:szCs w:val="22"/>
        </w:rPr>
        <w:footnoteReference w:id="81"/>
      </w:r>
      <w:r w:rsidR="002A4D83" w:rsidRPr="0072678C">
        <w:rPr>
          <w:rFonts w:asciiTheme="minorHAnsi" w:hAnsiTheme="minorHAnsi" w:cstheme="minorHAnsi"/>
          <w:sz w:val="22"/>
          <w:szCs w:val="22"/>
        </w:rPr>
        <w:t xml:space="preserve">; </w:t>
      </w:r>
      <w:r w:rsidR="001B7A37" w:rsidRPr="0072678C">
        <w:rPr>
          <w:rFonts w:asciiTheme="minorHAnsi" w:hAnsiTheme="minorHAnsi" w:cstheme="minorHAnsi"/>
          <w:sz w:val="22"/>
          <w:szCs w:val="22"/>
        </w:rPr>
        <w:t>consta no currículo</w:t>
      </w:r>
      <w:r w:rsidRPr="0072678C">
        <w:rPr>
          <w:rFonts w:asciiTheme="minorHAnsi" w:hAnsiTheme="minorHAnsi" w:cstheme="minorHAnsi"/>
          <w:sz w:val="22"/>
          <w:szCs w:val="22"/>
        </w:rPr>
        <w:t xml:space="preserve"> de pelo menos uma escola técnica e/ou instituição de ensino superior</w:t>
      </w:r>
      <w:r w:rsidR="001B7A37" w:rsidRPr="0072678C">
        <w:rPr>
          <w:rStyle w:val="FootnoteReference"/>
          <w:rFonts w:asciiTheme="minorHAnsi" w:hAnsiTheme="minorHAnsi" w:cstheme="minorHAnsi"/>
          <w:sz w:val="22"/>
          <w:szCs w:val="22"/>
        </w:rPr>
        <w:footnoteReference w:id="82"/>
      </w:r>
      <w:r w:rsidR="001B7A37" w:rsidRPr="0072678C">
        <w:rPr>
          <w:rFonts w:asciiTheme="minorHAnsi" w:hAnsiTheme="minorHAnsi" w:cstheme="minorHAnsi"/>
          <w:sz w:val="22"/>
          <w:szCs w:val="22"/>
        </w:rPr>
        <w:t>; d</w:t>
      </w:r>
      <w:r w:rsidRPr="0072678C">
        <w:rPr>
          <w:rFonts w:asciiTheme="minorHAnsi" w:hAnsiTheme="minorHAnsi" w:cstheme="minorHAnsi"/>
          <w:sz w:val="22"/>
          <w:szCs w:val="22"/>
        </w:rPr>
        <w:t>ispõe de programas regulares de capacitação de professores e servidores públicos</w:t>
      </w:r>
      <w:r w:rsidR="00927DB2" w:rsidRPr="0072678C">
        <w:rPr>
          <w:rStyle w:val="FootnoteReference"/>
          <w:rFonts w:asciiTheme="minorHAnsi" w:hAnsiTheme="minorHAnsi" w:cstheme="minorHAnsi"/>
          <w:sz w:val="22"/>
          <w:szCs w:val="22"/>
        </w:rPr>
        <w:footnoteReference w:id="83"/>
      </w:r>
      <w:r w:rsidR="00927DB2" w:rsidRPr="0072678C">
        <w:rPr>
          <w:rFonts w:asciiTheme="minorHAnsi" w:hAnsiTheme="minorHAnsi" w:cstheme="minorHAnsi"/>
          <w:sz w:val="22"/>
          <w:szCs w:val="22"/>
        </w:rPr>
        <w:t>; d</w:t>
      </w:r>
      <w:r w:rsidRPr="0072678C">
        <w:rPr>
          <w:rFonts w:asciiTheme="minorHAnsi" w:hAnsiTheme="minorHAnsi" w:cstheme="minorHAnsi"/>
          <w:sz w:val="22"/>
          <w:szCs w:val="22"/>
        </w:rPr>
        <w:t>ispõe de produção própria de programas e materia</w:t>
      </w:r>
      <w:r w:rsidR="00927DB2" w:rsidRPr="0072678C">
        <w:rPr>
          <w:rFonts w:asciiTheme="minorHAnsi" w:hAnsiTheme="minorHAnsi" w:cstheme="minorHAnsi"/>
          <w:sz w:val="22"/>
          <w:szCs w:val="22"/>
        </w:rPr>
        <w:t>i</w:t>
      </w:r>
      <w:r w:rsidRPr="0072678C">
        <w:rPr>
          <w:rFonts w:asciiTheme="minorHAnsi" w:hAnsiTheme="minorHAnsi" w:cstheme="minorHAnsi"/>
          <w:sz w:val="22"/>
          <w:szCs w:val="22"/>
        </w:rPr>
        <w:t>s de Educação Fiscal</w:t>
      </w:r>
      <w:r w:rsidR="00927DB2" w:rsidRPr="0072678C">
        <w:rPr>
          <w:rFonts w:asciiTheme="minorHAnsi" w:hAnsiTheme="minorHAnsi" w:cstheme="minorHAnsi"/>
          <w:sz w:val="22"/>
          <w:szCs w:val="22"/>
        </w:rPr>
        <w:t xml:space="preserve"> (F</w:t>
      </w:r>
      <w:r w:rsidRPr="0072678C">
        <w:rPr>
          <w:rFonts w:asciiTheme="minorHAnsi" w:hAnsiTheme="minorHAnsi" w:cstheme="minorHAnsi"/>
          <w:sz w:val="22"/>
          <w:szCs w:val="22"/>
        </w:rPr>
        <w:t>azenda Aberta, Programa Fazenda Vai à Escola</w:t>
      </w:r>
      <w:r w:rsidR="00480EE9" w:rsidRPr="0072678C">
        <w:rPr>
          <w:rFonts w:asciiTheme="minorHAnsi" w:hAnsiTheme="minorHAnsi" w:cstheme="minorHAnsi"/>
          <w:sz w:val="22"/>
          <w:szCs w:val="22"/>
        </w:rPr>
        <w:t xml:space="preserve">) </w:t>
      </w:r>
      <w:r w:rsidR="00927DB2" w:rsidRPr="0072678C">
        <w:rPr>
          <w:rStyle w:val="FootnoteReference"/>
          <w:rFonts w:asciiTheme="minorHAnsi" w:hAnsiTheme="minorHAnsi" w:cstheme="minorHAnsi"/>
          <w:sz w:val="22"/>
          <w:szCs w:val="22"/>
        </w:rPr>
        <w:footnoteReference w:id="84"/>
      </w:r>
      <w:r w:rsidR="00927DB2" w:rsidRPr="0072678C">
        <w:rPr>
          <w:rFonts w:asciiTheme="minorHAnsi" w:hAnsiTheme="minorHAnsi" w:cstheme="minorHAnsi"/>
          <w:sz w:val="22"/>
          <w:szCs w:val="22"/>
        </w:rPr>
        <w:t xml:space="preserve">; </w:t>
      </w:r>
      <w:r w:rsidR="002A4D83" w:rsidRPr="0072678C">
        <w:rPr>
          <w:rFonts w:asciiTheme="minorHAnsi" w:hAnsiTheme="minorHAnsi" w:cstheme="minorHAnsi"/>
          <w:sz w:val="22"/>
          <w:szCs w:val="22"/>
        </w:rPr>
        <w:t xml:space="preserve">e </w:t>
      </w:r>
      <w:r w:rsidRPr="0072678C">
        <w:rPr>
          <w:rFonts w:asciiTheme="minorHAnsi" w:hAnsiTheme="minorHAnsi" w:cstheme="minorHAnsi"/>
          <w:sz w:val="22"/>
          <w:szCs w:val="22"/>
        </w:rPr>
        <w:t xml:space="preserve">de programas regulares de capacitação para instituições de ensino </w:t>
      </w:r>
      <w:r w:rsidRPr="0058526B">
        <w:rPr>
          <w:rFonts w:asciiTheme="minorHAnsi" w:hAnsiTheme="minorHAnsi" w:cstheme="minorHAnsi"/>
          <w:sz w:val="22"/>
          <w:szCs w:val="22"/>
        </w:rPr>
        <w:t>privado</w:t>
      </w:r>
      <w:r w:rsidR="00927DB2" w:rsidRPr="0058526B">
        <w:rPr>
          <w:rStyle w:val="FootnoteReference"/>
          <w:rFonts w:asciiTheme="minorHAnsi" w:hAnsiTheme="minorHAnsi" w:cstheme="minorHAnsi"/>
          <w:sz w:val="22"/>
          <w:szCs w:val="22"/>
        </w:rPr>
        <w:footnoteReference w:id="85"/>
      </w:r>
      <w:r w:rsidR="00927DB2" w:rsidRPr="0058526B">
        <w:rPr>
          <w:rFonts w:asciiTheme="minorHAnsi" w:hAnsiTheme="minorHAnsi" w:cstheme="minorHAnsi"/>
          <w:sz w:val="22"/>
          <w:szCs w:val="22"/>
        </w:rPr>
        <w:t xml:space="preserve">. </w:t>
      </w:r>
    </w:p>
    <w:p w:rsidR="000879A0" w:rsidRPr="0058526B" w:rsidRDefault="000879A0" w:rsidP="001227CC">
      <w:pPr>
        <w:tabs>
          <w:tab w:val="left" w:pos="1849"/>
        </w:tabs>
        <w:jc w:val="both"/>
        <w:rPr>
          <w:rFonts w:asciiTheme="minorHAnsi" w:hAnsiTheme="minorHAnsi" w:cstheme="minorHAnsi"/>
          <w:sz w:val="22"/>
          <w:szCs w:val="22"/>
        </w:rPr>
      </w:pPr>
    </w:p>
    <w:p w:rsidR="00C2415D" w:rsidRPr="0058526B" w:rsidRDefault="000879A0" w:rsidP="001227CC">
      <w:pPr>
        <w:tabs>
          <w:tab w:val="left" w:pos="1849"/>
        </w:tabs>
        <w:jc w:val="both"/>
        <w:rPr>
          <w:rFonts w:asciiTheme="minorHAnsi" w:hAnsiTheme="minorHAnsi" w:cstheme="minorHAnsi"/>
          <w:sz w:val="22"/>
          <w:szCs w:val="22"/>
        </w:rPr>
      </w:pPr>
      <w:r w:rsidRPr="0058526B">
        <w:rPr>
          <w:rFonts w:asciiTheme="minorHAnsi" w:hAnsiTheme="minorHAnsi" w:cstheme="minorHAnsi"/>
          <w:sz w:val="22"/>
          <w:szCs w:val="22"/>
        </w:rPr>
        <w:t xml:space="preserve">No entanto, apesar da estrutura do programa de educação fiscal, o mesmo ainda necessita ampliar a sua capilaridade a partir da </w:t>
      </w:r>
      <w:r w:rsidR="00C2415D" w:rsidRPr="0058526B">
        <w:rPr>
          <w:rFonts w:asciiTheme="minorHAnsi" w:hAnsiTheme="minorHAnsi" w:cstheme="minorHAnsi"/>
          <w:sz w:val="22"/>
          <w:szCs w:val="22"/>
        </w:rPr>
        <w:t xml:space="preserve">formação de mais multiplicadores. </w:t>
      </w:r>
    </w:p>
    <w:p w:rsidR="00C2415D" w:rsidRPr="0058526B" w:rsidRDefault="00C2415D" w:rsidP="001227CC">
      <w:pPr>
        <w:tabs>
          <w:tab w:val="left" w:pos="1849"/>
        </w:tabs>
        <w:jc w:val="both"/>
        <w:rPr>
          <w:rFonts w:asciiTheme="minorHAnsi" w:hAnsiTheme="minorHAnsi" w:cstheme="minorHAnsi"/>
          <w:sz w:val="22"/>
          <w:szCs w:val="22"/>
        </w:rPr>
      </w:pPr>
    </w:p>
    <w:p w:rsidR="00C77A26" w:rsidRPr="0072678C" w:rsidRDefault="00C77A26" w:rsidP="00C77A26">
      <w:pPr>
        <w:jc w:val="both"/>
        <w:rPr>
          <w:rFonts w:asciiTheme="minorHAnsi" w:hAnsiTheme="minorHAnsi" w:cstheme="minorHAnsi"/>
          <w:sz w:val="22"/>
          <w:szCs w:val="22"/>
        </w:rPr>
      </w:pPr>
      <w:r w:rsidRPr="0058526B">
        <w:rPr>
          <w:rFonts w:asciiTheme="minorHAnsi" w:hAnsiTheme="minorHAnsi" w:cstheme="minorHAnsi"/>
          <w:sz w:val="22"/>
          <w:szCs w:val="22"/>
        </w:rPr>
        <w:t xml:space="preserve">A </w:t>
      </w:r>
      <w:r w:rsidRPr="0058526B">
        <w:rPr>
          <w:rFonts w:asciiTheme="minorHAnsi" w:hAnsiTheme="minorHAnsi" w:cstheme="minorHAnsi"/>
          <w:b/>
          <w:i/>
          <w:sz w:val="22"/>
          <w:szCs w:val="22"/>
        </w:rPr>
        <w:t>ouvidoria fazendária</w:t>
      </w:r>
      <w:r w:rsidRPr="0058526B">
        <w:rPr>
          <w:rFonts w:asciiTheme="minorHAnsi" w:hAnsiTheme="minorHAnsi" w:cstheme="minorHAnsi"/>
          <w:sz w:val="22"/>
          <w:szCs w:val="22"/>
        </w:rPr>
        <w:t xml:space="preserve"> atende a todos os 7 requisitos</w:t>
      </w:r>
      <w:r w:rsidRPr="0072678C">
        <w:rPr>
          <w:rFonts w:asciiTheme="minorHAnsi" w:hAnsiTheme="minorHAnsi" w:cstheme="minorHAnsi"/>
          <w:sz w:val="22"/>
          <w:szCs w:val="22"/>
        </w:rPr>
        <w:t xml:space="preserve"> das boas práticas da MD-GEFIS e obteve nível 3 de maturidade. Para tanto, define procedimentos e fluxos para o recebimento e atendimento de reclamações, sugestões e respectivos documentos</w:t>
      </w:r>
      <w:r w:rsidRPr="0072678C">
        <w:rPr>
          <w:rStyle w:val="FootnoteReference"/>
          <w:rFonts w:asciiTheme="minorHAnsi" w:hAnsiTheme="minorHAnsi" w:cstheme="minorHAnsi"/>
          <w:sz w:val="22"/>
          <w:szCs w:val="22"/>
        </w:rPr>
        <w:footnoteReference w:id="86"/>
      </w:r>
      <w:r w:rsidRPr="0072678C">
        <w:rPr>
          <w:rFonts w:asciiTheme="minorHAnsi" w:hAnsiTheme="minorHAnsi" w:cstheme="minorHAnsi"/>
          <w:sz w:val="22"/>
          <w:szCs w:val="22"/>
        </w:rPr>
        <w:t>; analisa o teor e a completude dos dados da manifestação e encaminha para a unidade responsável, garantido o sigilo dos dados do cidadão, quando for o caso</w:t>
      </w:r>
      <w:r w:rsidRPr="0072678C">
        <w:rPr>
          <w:rStyle w:val="FootnoteReference"/>
          <w:rFonts w:asciiTheme="minorHAnsi" w:hAnsiTheme="minorHAnsi" w:cstheme="minorHAnsi"/>
          <w:sz w:val="22"/>
          <w:szCs w:val="22"/>
        </w:rPr>
        <w:footnoteReference w:id="87"/>
      </w:r>
      <w:r w:rsidRPr="0072678C">
        <w:rPr>
          <w:rFonts w:asciiTheme="minorHAnsi" w:hAnsiTheme="minorHAnsi" w:cstheme="minorHAnsi"/>
          <w:sz w:val="22"/>
          <w:szCs w:val="22"/>
        </w:rPr>
        <w:t>; informa ao cidadão sobre o encaminhamento de sua demanda</w:t>
      </w:r>
      <w:r w:rsidRPr="0072678C">
        <w:rPr>
          <w:rStyle w:val="FootnoteReference"/>
          <w:rFonts w:asciiTheme="minorHAnsi" w:hAnsiTheme="minorHAnsi" w:cstheme="minorHAnsi"/>
          <w:sz w:val="22"/>
          <w:szCs w:val="22"/>
        </w:rPr>
        <w:footnoteReference w:id="88"/>
      </w:r>
      <w:r w:rsidRPr="0072678C">
        <w:rPr>
          <w:rFonts w:asciiTheme="minorHAnsi" w:hAnsiTheme="minorHAnsi" w:cstheme="minorHAnsi"/>
          <w:sz w:val="22"/>
          <w:szCs w:val="22"/>
        </w:rPr>
        <w:t>; acompanha todo o trâmite da manifestação, zelando para que as respostas ao cidadão sejam objetivas, imparciais e céleres; reitera o pedido de resposta para a unidade responsável, elencando expressamente os pontos que devem ser esclarecidos, quando necessário; encerra o procedimento mediante uma resposta satisfatória que não significa atendimento ao pleito do cidadão, mas sim uma resposta esclarecedora e completa</w:t>
      </w:r>
      <w:r w:rsidRPr="0072678C">
        <w:rPr>
          <w:rStyle w:val="FootnoteReference"/>
          <w:rFonts w:asciiTheme="minorHAnsi" w:hAnsiTheme="minorHAnsi" w:cstheme="minorHAnsi"/>
          <w:sz w:val="22"/>
          <w:szCs w:val="22"/>
        </w:rPr>
        <w:footnoteReference w:id="89"/>
      </w:r>
      <w:r w:rsidRPr="0072678C">
        <w:rPr>
          <w:rFonts w:asciiTheme="minorHAnsi" w:hAnsiTheme="minorHAnsi" w:cstheme="minorHAnsi"/>
          <w:sz w:val="22"/>
          <w:szCs w:val="22"/>
        </w:rPr>
        <w:t>; e elabora recomendações para as unidades responsáveis e consolida relatório para o dirigente máximo</w:t>
      </w:r>
      <w:r w:rsidR="00870AED" w:rsidRPr="0072678C">
        <w:rPr>
          <w:rFonts w:asciiTheme="minorHAnsi" w:hAnsiTheme="minorHAnsi" w:cstheme="minorHAnsi"/>
          <w:sz w:val="22"/>
          <w:szCs w:val="22"/>
        </w:rPr>
        <w:t>.</w:t>
      </w:r>
    </w:p>
    <w:p w:rsidR="00C77A26" w:rsidRPr="0072678C" w:rsidRDefault="00C77A26" w:rsidP="002D36FB">
      <w:pPr>
        <w:rPr>
          <w:rFonts w:asciiTheme="minorHAnsi" w:hAnsiTheme="minorHAnsi" w:cstheme="minorHAnsi"/>
          <w:sz w:val="22"/>
          <w:szCs w:val="22"/>
        </w:rPr>
      </w:pPr>
    </w:p>
    <w:p w:rsidR="008023D2" w:rsidRPr="0072678C" w:rsidRDefault="008023D2" w:rsidP="007E2EAD">
      <w:pPr>
        <w:jc w:val="both"/>
        <w:rPr>
          <w:rFonts w:asciiTheme="minorHAnsi" w:hAnsiTheme="minorHAnsi" w:cstheme="minorHAnsi"/>
          <w:sz w:val="22"/>
          <w:szCs w:val="22"/>
        </w:rPr>
      </w:pPr>
      <w:r w:rsidRPr="0072678C">
        <w:rPr>
          <w:rFonts w:asciiTheme="minorHAnsi" w:hAnsiTheme="minorHAnsi" w:cstheme="minorHAnsi"/>
          <w:sz w:val="22"/>
          <w:szCs w:val="22"/>
        </w:rPr>
        <w:lastRenderedPageBreak/>
        <w:t xml:space="preserve">Com nível 2 de maturidade, o processo </w:t>
      </w:r>
      <w:r w:rsidR="007E2EAD" w:rsidRPr="0072678C">
        <w:rPr>
          <w:rFonts w:asciiTheme="minorHAnsi" w:hAnsiTheme="minorHAnsi" w:cstheme="minorHAnsi"/>
          <w:sz w:val="22"/>
          <w:szCs w:val="22"/>
        </w:rPr>
        <w:t xml:space="preserve">de </w:t>
      </w:r>
      <w:r w:rsidRPr="0072678C">
        <w:rPr>
          <w:rFonts w:asciiTheme="minorHAnsi" w:hAnsiTheme="minorHAnsi" w:cstheme="minorHAnsi"/>
          <w:b/>
          <w:bCs/>
          <w:i/>
          <w:iCs/>
          <w:sz w:val="22"/>
          <w:szCs w:val="22"/>
        </w:rPr>
        <w:t xml:space="preserve">acesso do público às informações essenciais </w:t>
      </w:r>
      <w:r w:rsidRPr="0072678C">
        <w:rPr>
          <w:rFonts w:asciiTheme="minorHAnsi" w:hAnsiTheme="minorHAnsi" w:cstheme="minorHAnsi"/>
          <w:sz w:val="22"/>
          <w:szCs w:val="22"/>
        </w:rPr>
        <w:t>atende a 4 dentre os 7 requisitos das boas práticas da MD-GEFIS. Disponibiliza um conjunto completo dos documentos orçamentários no mesmo momento do envio ao poder legislativo</w:t>
      </w:r>
      <w:r w:rsidRPr="0072678C">
        <w:rPr>
          <w:rStyle w:val="FootnoteReference"/>
          <w:rFonts w:asciiTheme="minorHAnsi" w:hAnsiTheme="minorHAnsi" w:cstheme="minorHAnsi"/>
          <w:sz w:val="22"/>
          <w:szCs w:val="22"/>
        </w:rPr>
        <w:footnoteReference w:id="90"/>
      </w:r>
      <w:r w:rsidRPr="0072678C">
        <w:rPr>
          <w:rFonts w:asciiTheme="minorHAnsi" w:hAnsiTheme="minorHAnsi" w:cstheme="minorHAnsi"/>
          <w:sz w:val="22"/>
          <w:szCs w:val="22"/>
        </w:rPr>
        <w:t>; disponibiliza os relatórios da execução orçamentária durante o exercício</w:t>
      </w:r>
      <w:r w:rsidRPr="0072678C">
        <w:rPr>
          <w:rStyle w:val="FootnoteReference"/>
          <w:rFonts w:asciiTheme="minorHAnsi" w:hAnsiTheme="minorHAnsi" w:cstheme="minorHAnsi"/>
          <w:sz w:val="22"/>
          <w:szCs w:val="22"/>
        </w:rPr>
        <w:footnoteReference w:id="91"/>
      </w:r>
      <w:r w:rsidRPr="0072678C">
        <w:rPr>
          <w:rFonts w:asciiTheme="minorHAnsi" w:hAnsiTheme="minorHAnsi" w:cstheme="minorHAnsi"/>
          <w:sz w:val="22"/>
          <w:szCs w:val="22"/>
        </w:rPr>
        <w:t xml:space="preserve">; disponibiliza </w:t>
      </w:r>
      <w:r w:rsidR="007E2EAD" w:rsidRPr="0072678C">
        <w:rPr>
          <w:rFonts w:asciiTheme="minorHAnsi" w:hAnsiTheme="minorHAnsi" w:cstheme="minorHAnsi"/>
          <w:sz w:val="22"/>
          <w:szCs w:val="22"/>
        </w:rPr>
        <w:t>a</w:t>
      </w:r>
      <w:r w:rsidRPr="0072678C">
        <w:rPr>
          <w:rFonts w:asciiTheme="minorHAnsi" w:hAnsiTheme="minorHAnsi" w:cstheme="minorHAnsi"/>
          <w:sz w:val="22"/>
          <w:szCs w:val="22"/>
        </w:rPr>
        <w:t>s demonstrações financeiras de final de exercício</w:t>
      </w:r>
      <w:r w:rsidR="007E2EAD" w:rsidRPr="0072678C">
        <w:rPr>
          <w:rFonts w:asciiTheme="minorHAnsi" w:hAnsiTheme="minorHAnsi" w:cstheme="minorHAnsi"/>
          <w:sz w:val="22"/>
          <w:szCs w:val="22"/>
        </w:rPr>
        <w:t>; publica, pelo menos trimestralmente, o extrato da adjudicação de contratos com valor superior a US$ 100.000; e Publica informações relativas aos registros de quaisquer repasses ou transferências de recursos financeiros e registros das despesas</w:t>
      </w:r>
      <w:r w:rsidR="007E2EAD" w:rsidRPr="0072678C">
        <w:rPr>
          <w:rStyle w:val="FootnoteReference"/>
          <w:rFonts w:asciiTheme="minorHAnsi" w:hAnsiTheme="minorHAnsi" w:cstheme="minorHAnsi"/>
          <w:sz w:val="22"/>
          <w:szCs w:val="22"/>
        </w:rPr>
        <w:footnoteReference w:id="92"/>
      </w:r>
      <w:r w:rsidR="007E2EAD" w:rsidRPr="0072678C">
        <w:rPr>
          <w:rFonts w:asciiTheme="minorHAnsi" w:hAnsiTheme="minorHAnsi" w:cstheme="minorHAnsi"/>
          <w:sz w:val="22"/>
          <w:szCs w:val="22"/>
        </w:rPr>
        <w:t>.</w:t>
      </w:r>
    </w:p>
    <w:p w:rsidR="008023D2" w:rsidRPr="0072678C" w:rsidRDefault="008023D2" w:rsidP="007E2EAD">
      <w:pPr>
        <w:jc w:val="both"/>
        <w:rPr>
          <w:rFonts w:asciiTheme="minorHAnsi" w:hAnsiTheme="minorHAnsi" w:cstheme="minorHAnsi"/>
          <w:sz w:val="22"/>
          <w:szCs w:val="22"/>
        </w:rPr>
      </w:pPr>
    </w:p>
    <w:p w:rsidR="00490AFE" w:rsidRPr="0072678C" w:rsidRDefault="00FA1A57" w:rsidP="00490AFE">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 xml:space="preserve">programa de incentivo à emissão de documentos fiscais eletrônicos </w:t>
      </w:r>
      <w:r w:rsidRPr="0072678C">
        <w:rPr>
          <w:rFonts w:asciiTheme="minorHAnsi" w:hAnsiTheme="minorHAnsi" w:cstheme="minorHAnsi"/>
          <w:sz w:val="22"/>
          <w:szCs w:val="22"/>
        </w:rPr>
        <w:t xml:space="preserve">atende a 4 dentre 5 requisitos das </w:t>
      </w:r>
      <w:r w:rsidR="00490AFE" w:rsidRPr="0072678C">
        <w:rPr>
          <w:rFonts w:asciiTheme="minorHAnsi" w:hAnsiTheme="minorHAnsi" w:cstheme="minorHAnsi"/>
          <w:sz w:val="22"/>
          <w:szCs w:val="22"/>
        </w:rPr>
        <w:t>boas</w:t>
      </w:r>
      <w:r w:rsidRPr="0072678C">
        <w:rPr>
          <w:rFonts w:asciiTheme="minorHAnsi" w:hAnsiTheme="minorHAnsi" w:cstheme="minorHAnsi"/>
          <w:sz w:val="22"/>
          <w:szCs w:val="22"/>
        </w:rPr>
        <w:t xml:space="preserve"> práticas da MD-GEFIS e obteve nível </w:t>
      </w:r>
      <w:r w:rsidR="00BE6ED2" w:rsidRPr="0072678C">
        <w:rPr>
          <w:rFonts w:asciiTheme="minorHAnsi" w:hAnsiTheme="minorHAnsi" w:cstheme="minorHAnsi"/>
          <w:sz w:val="22"/>
          <w:szCs w:val="22"/>
        </w:rPr>
        <w:t xml:space="preserve">3 </w:t>
      </w:r>
      <w:r w:rsidRPr="0072678C">
        <w:rPr>
          <w:rFonts w:asciiTheme="minorHAnsi" w:hAnsiTheme="minorHAnsi" w:cstheme="minorHAnsi"/>
          <w:sz w:val="22"/>
          <w:szCs w:val="22"/>
        </w:rPr>
        <w:t xml:space="preserve">de maturidade. </w:t>
      </w:r>
      <w:r w:rsidR="0091400F" w:rsidRPr="0072678C">
        <w:rPr>
          <w:rFonts w:asciiTheme="minorHAnsi" w:hAnsiTheme="minorHAnsi" w:cstheme="minorHAnsi"/>
          <w:sz w:val="22"/>
          <w:szCs w:val="22"/>
        </w:rPr>
        <w:t>A SEFAZ/SP define claramente os benefícios para o cidadão por meio de instrumento de comunicação, inclusive eletrônico</w:t>
      </w:r>
      <w:r w:rsidR="0091400F" w:rsidRPr="0072678C">
        <w:rPr>
          <w:rStyle w:val="FootnoteReference"/>
          <w:rFonts w:asciiTheme="minorHAnsi" w:hAnsiTheme="minorHAnsi" w:cstheme="minorHAnsi"/>
          <w:sz w:val="22"/>
          <w:szCs w:val="22"/>
        </w:rPr>
        <w:footnoteReference w:id="93"/>
      </w:r>
      <w:r w:rsidR="00490AFE" w:rsidRPr="0072678C">
        <w:rPr>
          <w:rFonts w:asciiTheme="minorHAnsi" w:hAnsiTheme="minorHAnsi" w:cstheme="minorHAnsi"/>
          <w:sz w:val="22"/>
          <w:szCs w:val="22"/>
        </w:rPr>
        <w:t>; define as obrigações do fornecedor por meio de manual do programa para o contribuinte; disponibiliza site amigável e de fácil acesso, com consulta rápida aos créditos do consumidor e central de atendimento aos usuários</w:t>
      </w:r>
      <w:r w:rsidR="00490AFE" w:rsidRPr="0072678C">
        <w:rPr>
          <w:rStyle w:val="FootnoteReference"/>
          <w:rFonts w:asciiTheme="minorHAnsi" w:hAnsiTheme="minorHAnsi" w:cstheme="minorHAnsi"/>
          <w:sz w:val="22"/>
          <w:szCs w:val="22"/>
        </w:rPr>
        <w:footnoteReference w:id="94"/>
      </w:r>
      <w:r w:rsidR="00490AFE" w:rsidRPr="0072678C">
        <w:rPr>
          <w:rFonts w:asciiTheme="minorHAnsi" w:hAnsiTheme="minorHAnsi" w:cstheme="minorHAnsi"/>
          <w:sz w:val="22"/>
          <w:szCs w:val="22"/>
        </w:rPr>
        <w:t>; utiliza para fins fiscais as informações recepcionadas, inclusive por meio de canal de denúncias existente no link RECLAMAÇÕES do site da Nota Fiscal Paulista. As Reclamações procedentes são utilizadas para fins fiscais.</w:t>
      </w:r>
    </w:p>
    <w:p w:rsidR="00490AFE" w:rsidRPr="0072678C" w:rsidRDefault="00490AFE" w:rsidP="00490AFE">
      <w:pPr>
        <w:rPr>
          <w:rFonts w:asciiTheme="minorHAnsi" w:hAnsiTheme="minorHAnsi" w:cstheme="minorHAnsi"/>
          <w:sz w:val="22"/>
          <w:szCs w:val="22"/>
        </w:rPr>
      </w:pPr>
    </w:p>
    <w:p w:rsidR="00B95508" w:rsidRPr="0072678C" w:rsidRDefault="00490AFE" w:rsidP="00B95508">
      <w:pPr>
        <w:jc w:val="both"/>
        <w:rPr>
          <w:rFonts w:asciiTheme="minorHAnsi" w:hAnsiTheme="minorHAnsi" w:cstheme="minorHAnsi"/>
          <w:sz w:val="22"/>
          <w:szCs w:val="22"/>
        </w:rPr>
      </w:pPr>
      <w:r w:rsidRPr="0072678C">
        <w:rPr>
          <w:rFonts w:asciiTheme="minorHAnsi" w:hAnsiTheme="minorHAnsi" w:cstheme="minorHAnsi"/>
          <w:sz w:val="22"/>
          <w:szCs w:val="22"/>
        </w:rPr>
        <w:t>O</w:t>
      </w:r>
      <w:r w:rsidRPr="0072678C">
        <w:rPr>
          <w:rFonts w:asciiTheme="minorHAnsi" w:hAnsiTheme="minorHAnsi" w:cstheme="minorHAnsi"/>
          <w:b/>
          <w:bCs/>
          <w:i/>
          <w:iCs/>
          <w:sz w:val="22"/>
          <w:szCs w:val="22"/>
        </w:rPr>
        <w:t xml:space="preserve">s relatórios fiscais </w:t>
      </w:r>
      <w:r w:rsidRPr="0072678C">
        <w:rPr>
          <w:rFonts w:asciiTheme="minorHAnsi" w:hAnsiTheme="minorHAnsi" w:cstheme="minorHAnsi"/>
          <w:sz w:val="22"/>
          <w:szCs w:val="22"/>
        </w:rPr>
        <w:t>atendem a 4 dentre 10 requisitos das boas práticas da MD-GEFIS</w:t>
      </w:r>
      <w:r w:rsidR="00B95508" w:rsidRPr="0072678C">
        <w:rPr>
          <w:rFonts w:asciiTheme="minorHAnsi" w:hAnsiTheme="minorHAnsi" w:cstheme="minorHAnsi"/>
          <w:sz w:val="22"/>
          <w:szCs w:val="22"/>
        </w:rPr>
        <w:t xml:space="preserve"> e obteve nível 1 de maturidade. Para tanto, c</w:t>
      </w:r>
      <w:r w:rsidR="00530589" w:rsidRPr="0072678C">
        <w:rPr>
          <w:rFonts w:asciiTheme="minorHAnsi" w:hAnsiTheme="minorHAnsi" w:cstheme="minorHAnsi"/>
          <w:sz w:val="22"/>
          <w:szCs w:val="22"/>
        </w:rPr>
        <w:t>umprem as exigências formais e os prazos legais</w:t>
      </w:r>
      <w:r w:rsidR="00B95508" w:rsidRPr="0072678C">
        <w:rPr>
          <w:rStyle w:val="FootnoteReference"/>
          <w:rFonts w:asciiTheme="minorHAnsi" w:hAnsiTheme="minorHAnsi" w:cstheme="minorHAnsi"/>
          <w:sz w:val="22"/>
          <w:szCs w:val="22"/>
        </w:rPr>
        <w:footnoteReference w:id="95"/>
      </w:r>
      <w:r w:rsidR="00B95508" w:rsidRPr="0072678C">
        <w:rPr>
          <w:rFonts w:asciiTheme="minorHAnsi" w:hAnsiTheme="minorHAnsi" w:cstheme="minorHAnsi"/>
          <w:sz w:val="22"/>
          <w:szCs w:val="22"/>
        </w:rPr>
        <w:t>; c</w:t>
      </w:r>
      <w:r w:rsidR="00530589" w:rsidRPr="0072678C">
        <w:rPr>
          <w:rFonts w:asciiTheme="minorHAnsi" w:hAnsiTheme="minorHAnsi" w:cstheme="minorHAnsi"/>
          <w:sz w:val="22"/>
          <w:szCs w:val="22"/>
        </w:rPr>
        <w:t>umprem o prazo legal para a divulgação das demonstrações financeiras anuais auditadas e definitivas, após a análise do Poder Legislativo</w:t>
      </w:r>
      <w:r w:rsidR="00B95508" w:rsidRPr="0072678C">
        <w:rPr>
          <w:rStyle w:val="FootnoteReference"/>
          <w:rFonts w:asciiTheme="minorHAnsi" w:hAnsiTheme="minorHAnsi" w:cstheme="minorHAnsi"/>
          <w:sz w:val="22"/>
          <w:szCs w:val="22"/>
        </w:rPr>
        <w:footnoteReference w:id="96"/>
      </w:r>
      <w:r w:rsidR="00B95508" w:rsidRPr="0072678C">
        <w:rPr>
          <w:rFonts w:asciiTheme="minorHAnsi" w:hAnsiTheme="minorHAnsi" w:cstheme="minorHAnsi"/>
          <w:sz w:val="22"/>
          <w:szCs w:val="22"/>
        </w:rPr>
        <w:t>; utiliza a</w:t>
      </w:r>
      <w:r w:rsidR="00530589" w:rsidRPr="0072678C">
        <w:rPr>
          <w:rFonts w:asciiTheme="minorHAnsi" w:hAnsiTheme="minorHAnsi" w:cstheme="minorHAnsi"/>
          <w:sz w:val="22"/>
          <w:szCs w:val="22"/>
        </w:rPr>
        <w:t xml:space="preserve"> classificação estabelecida nas Normas Brasileiras de Contabilidade Aplicadas ao Setor Público (NBCASP) e nas normas internacionais</w:t>
      </w:r>
      <w:r w:rsidR="00B95508" w:rsidRPr="0072678C">
        <w:rPr>
          <w:rStyle w:val="FootnoteReference"/>
          <w:rFonts w:asciiTheme="minorHAnsi" w:hAnsiTheme="minorHAnsi" w:cstheme="minorHAnsi"/>
          <w:sz w:val="22"/>
          <w:szCs w:val="22"/>
        </w:rPr>
        <w:footnoteReference w:id="97"/>
      </w:r>
      <w:r w:rsidR="00B95508" w:rsidRPr="0072678C">
        <w:rPr>
          <w:rFonts w:asciiTheme="minorHAnsi" w:hAnsiTheme="minorHAnsi" w:cstheme="minorHAnsi"/>
          <w:sz w:val="22"/>
          <w:szCs w:val="22"/>
        </w:rPr>
        <w:t xml:space="preserve">; e possibilita </w:t>
      </w:r>
      <w:r w:rsidR="00530589" w:rsidRPr="0072678C">
        <w:rPr>
          <w:rFonts w:asciiTheme="minorHAnsi" w:hAnsiTheme="minorHAnsi" w:cstheme="minorHAnsi"/>
          <w:sz w:val="22"/>
          <w:szCs w:val="22"/>
        </w:rPr>
        <w:t>a comparação dos dados fiscais, observando a consistência direta entre os números no formato aprovado pelo poder legislativo e a apresentação das contas anuais</w:t>
      </w:r>
      <w:r w:rsidR="00B95508" w:rsidRPr="0072678C">
        <w:rPr>
          <w:rStyle w:val="FootnoteReference"/>
          <w:rFonts w:asciiTheme="minorHAnsi" w:hAnsiTheme="minorHAnsi" w:cstheme="minorHAnsi"/>
          <w:sz w:val="22"/>
          <w:szCs w:val="22"/>
        </w:rPr>
        <w:footnoteReference w:id="98"/>
      </w:r>
      <w:r w:rsidR="00B95508" w:rsidRPr="0072678C">
        <w:rPr>
          <w:rFonts w:asciiTheme="minorHAnsi" w:hAnsiTheme="minorHAnsi" w:cstheme="minorHAnsi"/>
          <w:sz w:val="22"/>
          <w:szCs w:val="22"/>
        </w:rPr>
        <w:t>.</w:t>
      </w:r>
    </w:p>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 desempenho desta dimensão foi avaliado por meio dos seguintes indicadores:  </w:t>
      </w:r>
    </w:p>
    <w:tbl>
      <w:tblPr>
        <w:tblStyle w:val="TableGrid"/>
        <w:tblW w:w="0" w:type="auto"/>
        <w:tblInd w:w="108" w:type="dxa"/>
        <w:shd w:val="clear" w:color="auto" w:fill="C5E0B3" w:themeFill="accent6" w:themeFillTint="66"/>
        <w:tblLook w:val="04A0" w:firstRow="1" w:lastRow="0" w:firstColumn="1" w:lastColumn="0" w:noHBand="0" w:noVBand="1"/>
      </w:tblPr>
      <w:tblGrid>
        <w:gridCol w:w="6663"/>
        <w:gridCol w:w="2233"/>
      </w:tblGrid>
      <w:tr w:rsidR="002D1983" w:rsidRPr="0072678C" w:rsidTr="00BB1F8D">
        <w:tc>
          <w:tcPr>
            <w:tcW w:w="6663" w:type="dxa"/>
            <w:shd w:val="clear" w:color="auto" w:fill="E2EFD9" w:themeFill="accent6" w:themeFillTint="33"/>
          </w:tcPr>
          <w:p w:rsidR="002D1983" w:rsidRPr="0072678C" w:rsidRDefault="002D1983" w:rsidP="00BB1F8D">
            <w:pPr>
              <w:jc w:val="center"/>
              <w:rPr>
                <w:rFonts w:asciiTheme="minorHAnsi" w:hAnsiTheme="minorHAnsi" w:cstheme="minorHAnsi"/>
                <w:b/>
                <w:sz w:val="20"/>
                <w:szCs w:val="20"/>
              </w:rPr>
            </w:pPr>
            <w:r w:rsidRPr="0072678C">
              <w:rPr>
                <w:rFonts w:asciiTheme="minorHAnsi" w:hAnsiTheme="minorHAnsi" w:cstheme="minorHAnsi"/>
                <w:b/>
                <w:sz w:val="20"/>
                <w:szCs w:val="20"/>
              </w:rPr>
              <w:t>Indicadores</w:t>
            </w:r>
            <w:r w:rsidR="00BB1F8D" w:rsidRPr="0072678C">
              <w:rPr>
                <w:rFonts w:asciiTheme="minorHAnsi" w:hAnsiTheme="minorHAnsi" w:cstheme="minorHAnsi"/>
                <w:b/>
                <w:sz w:val="20"/>
                <w:szCs w:val="20"/>
              </w:rPr>
              <w:t xml:space="preserve"> de Desempenho </w:t>
            </w:r>
          </w:p>
        </w:tc>
        <w:tc>
          <w:tcPr>
            <w:tcW w:w="2233" w:type="dxa"/>
            <w:shd w:val="clear" w:color="auto" w:fill="E2EFD9" w:themeFill="accent6" w:themeFillTint="33"/>
            <w:vAlign w:val="center"/>
          </w:tcPr>
          <w:p w:rsidR="002D1983" w:rsidRPr="0072678C" w:rsidRDefault="002D1983" w:rsidP="00BB1F8D">
            <w:pPr>
              <w:jc w:val="center"/>
              <w:rPr>
                <w:rFonts w:asciiTheme="minorHAnsi" w:hAnsiTheme="minorHAnsi" w:cstheme="minorHAnsi"/>
                <w:b/>
                <w:sz w:val="20"/>
                <w:szCs w:val="20"/>
              </w:rPr>
            </w:pPr>
            <w:r w:rsidRPr="0072678C">
              <w:rPr>
                <w:rFonts w:asciiTheme="minorHAnsi" w:hAnsiTheme="minorHAnsi" w:cstheme="minorHAnsi"/>
                <w:b/>
                <w:sz w:val="20"/>
                <w:szCs w:val="20"/>
              </w:rPr>
              <w:t>Ano 2017</w:t>
            </w:r>
          </w:p>
        </w:tc>
      </w:tr>
      <w:tr w:rsidR="00B44516" w:rsidRPr="0072678C" w:rsidTr="00C320F6">
        <w:tc>
          <w:tcPr>
            <w:tcW w:w="6663" w:type="dxa"/>
            <w:shd w:val="clear" w:color="auto" w:fill="auto"/>
          </w:tcPr>
          <w:p w:rsidR="00B44516" w:rsidRPr="0072678C" w:rsidRDefault="00B44516" w:rsidP="00B44516">
            <w:pPr>
              <w:rPr>
                <w:rFonts w:asciiTheme="minorHAnsi" w:hAnsiTheme="minorHAnsi" w:cstheme="minorHAnsi"/>
                <w:sz w:val="20"/>
                <w:szCs w:val="20"/>
              </w:rPr>
            </w:pPr>
            <w:r w:rsidRPr="0072678C">
              <w:rPr>
                <w:rFonts w:asciiTheme="minorHAnsi" w:hAnsiTheme="minorHAnsi" w:cstheme="minorHAnsi"/>
                <w:b/>
                <w:sz w:val="20"/>
                <w:szCs w:val="20"/>
              </w:rPr>
              <w:t>1) Índice de Transparência e Cidadania Fiscal (ITCF):</w:t>
            </w:r>
            <w:r w:rsidRPr="0072678C">
              <w:rPr>
                <w:rFonts w:asciiTheme="minorHAnsi" w:hAnsiTheme="minorHAnsi" w:cstheme="minorHAnsi"/>
                <w:sz w:val="20"/>
                <w:szCs w:val="20"/>
              </w:rPr>
              <w:t xml:space="preserve"> coordenado pela Comissão de Gestão Fazendária (COGEF), vinculada ao Conselho Nacional de Política Fazendária (CONFAZ), cujo objetivo é definir critérios objetivos para mensurar a capacidade dos sítios dos fiscos estaduais de expor informações relevantes sobre receita e gasto públicos de modo compreensível para o cidadão</w:t>
            </w:r>
          </w:p>
        </w:tc>
        <w:tc>
          <w:tcPr>
            <w:tcW w:w="2233" w:type="dxa"/>
            <w:shd w:val="clear" w:color="auto" w:fill="auto"/>
            <w:vAlign w:val="center"/>
          </w:tcPr>
          <w:p w:rsidR="00B44516" w:rsidRPr="0072678C" w:rsidRDefault="00712019" w:rsidP="00B44516">
            <w:pPr>
              <w:jc w:val="center"/>
              <w:rPr>
                <w:rFonts w:asciiTheme="minorHAnsi" w:hAnsiTheme="minorHAnsi" w:cstheme="minorHAnsi"/>
                <w:sz w:val="20"/>
                <w:szCs w:val="20"/>
              </w:rPr>
            </w:pPr>
            <w:r w:rsidRPr="0072678C">
              <w:rPr>
                <w:rFonts w:asciiTheme="minorHAnsi" w:hAnsiTheme="minorHAnsi" w:cstheme="minorHAnsi"/>
                <w:sz w:val="20"/>
                <w:szCs w:val="20"/>
              </w:rPr>
              <w:t>A</w:t>
            </w:r>
          </w:p>
        </w:tc>
      </w:tr>
      <w:tr w:rsidR="00B44516" w:rsidRPr="0072678C" w:rsidTr="00C320F6">
        <w:tc>
          <w:tcPr>
            <w:tcW w:w="6663" w:type="dxa"/>
            <w:shd w:val="clear" w:color="auto" w:fill="auto"/>
          </w:tcPr>
          <w:p w:rsidR="00B44516" w:rsidRPr="0072678C" w:rsidRDefault="00B44516" w:rsidP="00B44516">
            <w:pPr>
              <w:rPr>
                <w:rFonts w:asciiTheme="minorHAnsi" w:hAnsiTheme="minorHAnsi" w:cstheme="minorHAnsi"/>
                <w:sz w:val="20"/>
                <w:szCs w:val="20"/>
              </w:rPr>
            </w:pPr>
            <w:r w:rsidRPr="0072678C">
              <w:rPr>
                <w:rFonts w:asciiTheme="minorHAnsi" w:hAnsiTheme="minorHAnsi" w:cstheme="minorHAnsi"/>
                <w:b/>
                <w:sz w:val="20"/>
                <w:szCs w:val="20"/>
              </w:rPr>
              <w:t>2) Índice de percepção das empresas e dos cidadãos sobre a integridade da administração fiscal</w:t>
            </w:r>
          </w:p>
        </w:tc>
        <w:tc>
          <w:tcPr>
            <w:tcW w:w="2233" w:type="dxa"/>
            <w:shd w:val="clear" w:color="auto" w:fill="auto"/>
            <w:vAlign w:val="center"/>
          </w:tcPr>
          <w:p w:rsidR="00DD4A03" w:rsidRPr="0072678C" w:rsidRDefault="00DD4A03" w:rsidP="00042D6B">
            <w:pPr>
              <w:jc w:val="center"/>
              <w:rPr>
                <w:rFonts w:asciiTheme="minorHAnsi" w:hAnsiTheme="minorHAnsi" w:cstheme="minorHAnsi"/>
                <w:sz w:val="20"/>
                <w:szCs w:val="20"/>
              </w:rPr>
            </w:pPr>
            <w:r w:rsidRPr="0072678C">
              <w:rPr>
                <w:rFonts w:asciiTheme="minorHAnsi" w:hAnsiTheme="minorHAnsi" w:cstheme="minorHAnsi"/>
                <w:sz w:val="20"/>
                <w:szCs w:val="20"/>
              </w:rPr>
              <w:t>67,7% - ruins e muito ruins</w:t>
            </w:r>
            <w:r w:rsidR="00042D6B" w:rsidRPr="0072678C">
              <w:rPr>
                <w:rStyle w:val="FootnoteReference"/>
                <w:rFonts w:asciiTheme="minorHAnsi" w:hAnsiTheme="minorHAnsi" w:cstheme="minorHAnsi"/>
                <w:sz w:val="20"/>
                <w:szCs w:val="20"/>
              </w:rPr>
              <w:footnoteReference w:id="99"/>
            </w:r>
          </w:p>
        </w:tc>
      </w:tr>
      <w:tr w:rsidR="00B44516" w:rsidRPr="0072678C" w:rsidTr="00C320F6">
        <w:tc>
          <w:tcPr>
            <w:tcW w:w="6663" w:type="dxa"/>
            <w:shd w:val="clear" w:color="auto" w:fill="auto"/>
          </w:tcPr>
          <w:p w:rsidR="00B44516" w:rsidRPr="0072678C" w:rsidRDefault="00B44516" w:rsidP="00B44516">
            <w:pPr>
              <w:rPr>
                <w:rFonts w:asciiTheme="minorHAnsi" w:hAnsiTheme="minorHAnsi" w:cstheme="minorHAnsi"/>
                <w:sz w:val="20"/>
                <w:szCs w:val="20"/>
              </w:rPr>
            </w:pPr>
            <w:r w:rsidRPr="0072678C">
              <w:rPr>
                <w:rFonts w:asciiTheme="minorHAnsi" w:hAnsiTheme="minorHAnsi" w:cstheme="minorHAnsi"/>
                <w:b/>
                <w:sz w:val="20"/>
                <w:szCs w:val="20"/>
              </w:rPr>
              <w:t>3) Parcerias estratégicas do PEF:</w:t>
            </w:r>
            <w:r w:rsidRPr="0072678C">
              <w:rPr>
                <w:rFonts w:asciiTheme="minorHAnsi" w:hAnsiTheme="minorHAnsi" w:cstheme="minorHAnsi"/>
                <w:sz w:val="20"/>
                <w:szCs w:val="20"/>
              </w:rPr>
              <w:t xml:space="preserve"> </w:t>
            </w:r>
          </w:p>
          <w:p w:rsidR="00B44516" w:rsidRPr="0072678C" w:rsidRDefault="00B44516" w:rsidP="00B44516">
            <w:pPr>
              <w:rPr>
                <w:rFonts w:asciiTheme="minorHAnsi" w:hAnsiTheme="minorHAnsi" w:cstheme="minorHAnsi"/>
                <w:sz w:val="20"/>
                <w:szCs w:val="20"/>
              </w:rPr>
            </w:pPr>
            <w:r w:rsidRPr="0072678C">
              <w:rPr>
                <w:rFonts w:asciiTheme="minorHAnsi" w:hAnsiTheme="minorHAnsi" w:cstheme="minorHAnsi"/>
                <w:sz w:val="20"/>
                <w:szCs w:val="20"/>
              </w:rPr>
              <w:t>Municí</w:t>
            </w:r>
            <w:r w:rsidR="00517A15" w:rsidRPr="0072678C">
              <w:rPr>
                <w:rFonts w:asciiTheme="minorHAnsi" w:hAnsiTheme="minorHAnsi" w:cstheme="minorHAnsi"/>
                <w:sz w:val="20"/>
                <w:szCs w:val="20"/>
              </w:rPr>
              <w:t>pios parceiros / Municípios do E</w:t>
            </w:r>
            <w:r w:rsidRPr="0072678C">
              <w:rPr>
                <w:rFonts w:asciiTheme="minorHAnsi" w:hAnsiTheme="minorHAnsi" w:cstheme="minorHAnsi"/>
                <w:sz w:val="20"/>
                <w:szCs w:val="20"/>
              </w:rPr>
              <w:t>stado</w:t>
            </w:r>
          </w:p>
        </w:tc>
        <w:tc>
          <w:tcPr>
            <w:tcW w:w="2233" w:type="dxa"/>
            <w:shd w:val="clear" w:color="auto" w:fill="auto"/>
            <w:vAlign w:val="center"/>
          </w:tcPr>
          <w:p w:rsidR="00B44516" w:rsidRPr="0072678C" w:rsidRDefault="00DD4A03" w:rsidP="00DD4A03">
            <w:pPr>
              <w:jc w:val="center"/>
              <w:rPr>
                <w:rFonts w:ascii="Calibri" w:hAnsi="Calibri" w:cs="Calibri"/>
                <w:b/>
                <w:bCs/>
                <w:sz w:val="20"/>
                <w:szCs w:val="20"/>
              </w:rPr>
            </w:pPr>
            <w:r w:rsidRPr="0072678C">
              <w:rPr>
                <w:rFonts w:ascii="Calibri" w:hAnsi="Calibri" w:cs="Calibri"/>
                <w:b/>
                <w:bCs/>
                <w:sz w:val="20"/>
                <w:szCs w:val="20"/>
              </w:rPr>
              <w:t>3,60%</w:t>
            </w:r>
          </w:p>
        </w:tc>
      </w:tr>
      <w:tr w:rsidR="00B44516" w:rsidRPr="0072678C" w:rsidTr="00C320F6">
        <w:tc>
          <w:tcPr>
            <w:tcW w:w="6663" w:type="dxa"/>
            <w:shd w:val="clear" w:color="auto" w:fill="auto"/>
          </w:tcPr>
          <w:p w:rsidR="00B44516" w:rsidRPr="0072678C" w:rsidRDefault="00B44516" w:rsidP="00B44516">
            <w:pPr>
              <w:rPr>
                <w:rFonts w:asciiTheme="minorHAnsi" w:hAnsiTheme="minorHAnsi" w:cstheme="minorHAnsi"/>
                <w:b/>
                <w:sz w:val="20"/>
                <w:szCs w:val="20"/>
              </w:rPr>
            </w:pPr>
            <w:r w:rsidRPr="0072678C">
              <w:rPr>
                <w:rFonts w:asciiTheme="minorHAnsi" w:hAnsiTheme="minorHAnsi" w:cstheme="minorHAnsi"/>
                <w:b/>
                <w:sz w:val="20"/>
                <w:szCs w:val="20"/>
              </w:rPr>
              <w:t>4) Tempo de resposta da Ouvidoria:</w:t>
            </w:r>
          </w:p>
          <w:p w:rsidR="00B44516" w:rsidRPr="0072678C" w:rsidRDefault="00B44516" w:rsidP="00B44516">
            <w:pPr>
              <w:rPr>
                <w:rFonts w:asciiTheme="minorHAnsi" w:hAnsiTheme="minorHAnsi" w:cstheme="minorHAnsi"/>
                <w:sz w:val="20"/>
                <w:szCs w:val="20"/>
              </w:rPr>
            </w:pPr>
            <w:r w:rsidRPr="0072678C">
              <w:rPr>
                <w:rFonts w:asciiTheme="minorHAnsi" w:hAnsiTheme="minorHAnsi" w:cstheme="minorHAnsi"/>
                <w:sz w:val="20"/>
                <w:szCs w:val="20"/>
              </w:rPr>
              <w:lastRenderedPageBreak/>
              <w:t>Somatório de dias corridos gastos nas respostas enviadas/total de respostas enviadas</w:t>
            </w:r>
          </w:p>
        </w:tc>
        <w:tc>
          <w:tcPr>
            <w:tcW w:w="2233" w:type="dxa"/>
            <w:shd w:val="clear" w:color="auto" w:fill="auto"/>
            <w:vAlign w:val="center"/>
          </w:tcPr>
          <w:p w:rsidR="00B44516" w:rsidRPr="0072678C" w:rsidRDefault="00DD4A03" w:rsidP="00B44516">
            <w:pPr>
              <w:jc w:val="center"/>
              <w:rPr>
                <w:rFonts w:asciiTheme="minorHAnsi" w:hAnsiTheme="minorHAnsi" w:cstheme="minorHAnsi"/>
                <w:sz w:val="20"/>
                <w:szCs w:val="20"/>
              </w:rPr>
            </w:pPr>
            <w:r w:rsidRPr="0072678C">
              <w:rPr>
                <w:rFonts w:asciiTheme="minorHAnsi" w:hAnsiTheme="minorHAnsi" w:cstheme="minorHAnsi"/>
                <w:sz w:val="20"/>
                <w:szCs w:val="20"/>
              </w:rPr>
              <w:lastRenderedPageBreak/>
              <w:t>4,46 dias</w:t>
            </w:r>
            <w:r w:rsidR="00042D6B" w:rsidRPr="0072678C">
              <w:rPr>
                <w:rStyle w:val="FootnoteReference"/>
                <w:rFonts w:asciiTheme="minorHAnsi" w:hAnsiTheme="minorHAnsi" w:cstheme="minorHAnsi"/>
                <w:sz w:val="20"/>
                <w:szCs w:val="20"/>
              </w:rPr>
              <w:footnoteReference w:id="100"/>
            </w:r>
          </w:p>
        </w:tc>
      </w:tr>
    </w:tbl>
    <w:p w:rsidR="00712019" w:rsidRPr="0072678C" w:rsidRDefault="00712019" w:rsidP="00712019">
      <w:pPr>
        <w:autoSpaceDE w:val="0"/>
        <w:autoSpaceDN w:val="0"/>
        <w:adjustRightInd w:val="0"/>
        <w:rPr>
          <w:rFonts w:ascii="Nyala" w:eastAsiaTheme="minorHAnsi" w:hAnsi="Nyala" w:cs="Nyala"/>
          <w:sz w:val="21"/>
          <w:szCs w:val="21"/>
          <w:lang w:eastAsia="en-US"/>
        </w:rPr>
      </w:pPr>
    </w:p>
    <w:p w:rsidR="002D1983" w:rsidRPr="0072678C" w:rsidRDefault="00B44516" w:rsidP="00712019">
      <w:pPr>
        <w:autoSpaceDE w:val="0"/>
        <w:autoSpaceDN w:val="0"/>
        <w:adjustRightInd w:val="0"/>
        <w:jc w:val="both"/>
        <w:rPr>
          <w:rFonts w:asciiTheme="minorHAnsi" w:hAnsiTheme="minorHAnsi" w:cstheme="minorHAnsi"/>
          <w:iCs/>
          <w:sz w:val="22"/>
          <w:szCs w:val="22"/>
        </w:rPr>
      </w:pPr>
      <w:r w:rsidRPr="0072678C">
        <w:rPr>
          <w:rFonts w:asciiTheme="minorHAnsi" w:hAnsiTheme="minorHAnsi" w:cstheme="minorHAnsi"/>
          <w:iCs/>
          <w:sz w:val="22"/>
          <w:szCs w:val="22"/>
        </w:rPr>
        <w:t xml:space="preserve">O ITCF é o principal indicador desta Dimensão, tendo sido apurado em pesquisa nacional realizada pela COGEF e publicado em junho de 2015. </w:t>
      </w:r>
      <w:r w:rsidR="00712019" w:rsidRPr="0072678C">
        <w:rPr>
          <w:rFonts w:asciiTheme="minorHAnsi" w:hAnsiTheme="minorHAnsi" w:cstheme="minorHAnsi"/>
          <w:iCs/>
          <w:sz w:val="22"/>
          <w:szCs w:val="22"/>
        </w:rPr>
        <w:t xml:space="preserve">O estado de São Paulo apresenta nota máxima no Eixo 2 - Despesas, e sua consistência na pontuação positiva nos demais eixos o garante com 92,12% de conformidade com o ITCF. O Estado apresenta um ótimo desempenho, com menos de 4 pontos de diferença do primeiro colocado nacional </w:t>
      </w:r>
      <w:r w:rsidR="002C040E" w:rsidRPr="0072678C">
        <w:rPr>
          <w:rFonts w:asciiTheme="minorHAnsi" w:hAnsiTheme="minorHAnsi" w:cstheme="minorHAnsi"/>
          <w:iCs/>
          <w:sz w:val="22"/>
          <w:szCs w:val="22"/>
        </w:rPr>
        <w:t xml:space="preserve">que reflete no seu posicionamento na categoria </w:t>
      </w:r>
      <w:r w:rsidR="00712019" w:rsidRPr="0072678C">
        <w:rPr>
          <w:rFonts w:asciiTheme="minorHAnsi" w:hAnsiTheme="minorHAnsi" w:cstheme="minorHAnsi"/>
          <w:iCs/>
          <w:sz w:val="22"/>
          <w:szCs w:val="22"/>
        </w:rPr>
        <w:t>A</w:t>
      </w:r>
      <w:r w:rsidR="002C040E" w:rsidRPr="0072678C">
        <w:rPr>
          <w:rFonts w:asciiTheme="minorHAnsi" w:hAnsiTheme="minorHAnsi" w:cstheme="minorHAnsi"/>
          <w:iCs/>
          <w:sz w:val="22"/>
          <w:szCs w:val="22"/>
        </w:rPr>
        <w:t>.</w:t>
      </w:r>
    </w:p>
    <w:p w:rsidR="00B44516" w:rsidRPr="0072678C" w:rsidRDefault="00B44516" w:rsidP="00CC1899">
      <w:pPr>
        <w:pStyle w:val="Heading1"/>
        <w:numPr>
          <w:ilvl w:val="0"/>
          <w:numId w:val="42"/>
        </w:numPr>
        <w:rPr>
          <w:rFonts w:asciiTheme="minorHAnsi" w:hAnsiTheme="minorHAnsi" w:cstheme="minorHAnsi"/>
          <w:b/>
          <w:smallCaps/>
          <w:color w:val="auto"/>
          <w:sz w:val="24"/>
          <w:szCs w:val="22"/>
        </w:rPr>
      </w:pPr>
      <w:bookmarkStart w:id="26" w:name="_Toc492718548"/>
      <w:bookmarkStart w:id="27" w:name="_Toc518058459"/>
      <w:r w:rsidRPr="0072678C">
        <w:rPr>
          <w:rFonts w:asciiTheme="minorHAnsi" w:hAnsiTheme="minorHAnsi" w:cstheme="minorHAnsi"/>
          <w:b/>
          <w:smallCaps/>
          <w:color w:val="auto"/>
          <w:sz w:val="24"/>
          <w:szCs w:val="22"/>
        </w:rPr>
        <w:t>Eixo II. Administração Tributária e Contencioso Fiscal (AT)</w:t>
      </w:r>
      <w:bookmarkEnd w:id="26"/>
      <w:bookmarkEnd w:id="27"/>
    </w:p>
    <w:p w:rsidR="00B44516" w:rsidRPr="0058526B"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 detalhamento do </w:t>
      </w:r>
      <w:r w:rsidRPr="0072678C">
        <w:rPr>
          <w:rFonts w:asciiTheme="minorHAnsi" w:hAnsiTheme="minorHAnsi" w:cstheme="minorHAnsi"/>
          <w:b/>
          <w:sz w:val="22"/>
          <w:szCs w:val="22"/>
        </w:rPr>
        <w:t>Eixo 2 - Administração Tributária e Contencioso Fiscal</w:t>
      </w:r>
      <w:r w:rsidRPr="0072678C">
        <w:rPr>
          <w:rFonts w:asciiTheme="minorHAnsi" w:hAnsiTheme="minorHAnsi" w:cstheme="minorHAnsi"/>
          <w:sz w:val="22"/>
          <w:szCs w:val="22"/>
        </w:rPr>
        <w:t xml:space="preserve"> com as suas dimensões e </w:t>
      </w:r>
      <w:r w:rsidR="000A0B2F" w:rsidRPr="0072678C">
        <w:rPr>
          <w:rFonts w:asciiTheme="minorHAnsi" w:hAnsiTheme="minorHAnsi" w:cstheme="minorHAnsi"/>
          <w:sz w:val="22"/>
          <w:szCs w:val="22"/>
        </w:rPr>
        <w:t xml:space="preserve">resultados da maturidade dos </w:t>
      </w:r>
      <w:r w:rsidRPr="0072678C">
        <w:rPr>
          <w:rFonts w:asciiTheme="minorHAnsi" w:hAnsiTheme="minorHAnsi" w:cstheme="minorHAnsi"/>
          <w:sz w:val="22"/>
          <w:szCs w:val="22"/>
        </w:rPr>
        <w:t>processos críticos</w:t>
      </w:r>
      <w:r w:rsidR="000A0B2F" w:rsidRPr="0072678C">
        <w:rPr>
          <w:rFonts w:asciiTheme="minorHAnsi" w:hAnsiTheme="minorHAnsi" w:cstheme="minorHAnsi"/>
          <w:sz w:val="22"/>
          <w:szCs w:val="22"/>
        </w:rPr>
        <w:t xml:space="preserve"> e a pontuação </w:t>
      </w:r>
      <w:r w:rsidRPr="0072678C">
        <w:rPr>
          <w:rFonts w:asciiTheme="minorHAnsi" w:hAnsiTheme="minorHAnsi" w:cstheme="minorHAnsi"/>
          <w:sz w:val="22"/>
          <w:szCs w:val="22"/>
        </w:rPr>
        <w:t xml:space="preserve">por Dimensão constam do </w:t>
      </w:r>
      <w:r w:rsidRPr="0072678C">
        <w:rPr>
          <w:rFonts w:asciiTheme="minorHAnsi" w:hAnsiTheme="minorHAnsi" w:cstheme="minorHAnsi"/>
          <w:b/>
          <w:sz w:val="22"/>
          <w:szCs w:val="22"/>
        </w:rPr>
        <w:t xml:space="preserve">Quadro </w:t>
      </w:r>
      <w:proofErr w:type="gramStart"/>
      <w:r w:rsidR="003B190F" w:rsidRPr="0072678C">
        <w:rPr>
          <w:rFonts w:asciiTheme="minorHAnsi" w:hAnsiTheme="minorHAnsi" w:cstheme="minorHAnsi"/>
          <w:b/>
          <w:sz w:val="22"/>
          <w:szCs w:val="22"/>
        </w:rPr>
        <w:t>3</w:t>
      </w:r>
      <w:r w:rsidR="000A0B2F" w:rsidRPr="0072678C">
        <w:rPr>
          <w:rFonts w:asciiTheme="minorHAnsi" w:hAnsiTheme="minorHAnsi" w:cstheme="minorHAnsi"/>
          <w:b/>
          <w:sz w:val="22"/>
          <w:szCs w:val="22"/>
        </w:rPr>
        <w:t xml:space="preserve">  </w:t>
      </w:r>
      <w:r w:rsidRPr="0072678C">
        <w:rPr>
          <w:rFonts w:asciiTheme="minorHAnsi" w:hAnsiTheme="minorHAnsi" w:cstheme="minorHAnsi"/>
          <w:sz w:val="22"/>
          <w:szCs w:val="22"/>
        </w:rPr>
        <w:t>a</w:t>
      </w:r>
      <w:proofErr w:type="gramEnd"/>
      <w:r w:rsidRPr="0072678C">
        <w:rPr>
          <w:rFonts w:asciiTheme="minorHAnsi" w:hAnsiTheme="minorHAnsi" w:cstheme="minorHAnsi"/>
          <w:sz w:val="22"/>
          <w:szCs w:val="22"/>
        </w:rPr>
        <w:t xml:space="preserve"> seguir: </w:t>
      </w:r>
    </w:p>
    <w:p w:rsidR="00B44516" w:rsidRPr="0058526B" w:rsidRDefault="00B44516" w:rsidP="000218F1">
      <w:pPr>
        <w:spacing w:after="60" w:line="259" w:lineRule="auto"/>
        <w:ind w:left="425"/>
        <w:jc w:val="center"/>
        <w:rPr>
          <w:rFonts w:asciiTheme="minorHAnsi" w:hAnsiTheme="minorHAnsi" w:cstheme="minorHAnsi"/>
          <w:sz w:val="22"/>
          <w:szCs w:val="22"/>
        </w:rPr>
      </w:pPr>
      <w:r w:rsidRPr="0058526B">
        <w:rPr>
          <w:rFonts w:asciiTheme="minorHAnsi" w:hAnsiTheme="minorHAnsi" w:cstheme="minorHAnsi"/>
          <w:sz w:val="22"/>
          <w:szCs w:val="22"/>
        </w:rPr>
        <w:t xml:space="preserve">A Maturidade de cada Dimensão está apresentada no </w:t>
      </w:r>
      <w:r w:rsidRPr="0058526B">
        <w:rPr>
          <w:rFonts w:asciiTheme="minorHAnsi" w:hAnsiTheme="minorHAnsi" w:cstheme="minorHAnsi"/>
          <w:b/>
          <w:sz w:val="22"/>
          <w:szCs w:val="22"/>
        </w:rPr>
        <w:t xml:space="preserve">Quadro </w:t>
      </w:r>
      <w:r w:rsidR="003B190F" w:rsidRPr="0058526B">
        <w:rPr>
          <w:rFonts w:asciiTheme="minorHAnsi" w:hAnsiTheme="minorHAnsi" w:cstheme="minorHAnsi"/>
          <w:b/>
          <w:sz w:val="22"/>
          <w:szCs w:val="22"/>
        </w:rPr>
        <w:t>3</w:t>
      </w:r>
      <w:r w:rsidRPr="0058526B">
        <w:rPr>
          <w:rFonts w:asciiTheme="minorHAnsi" w:hAnsiTheme="minorHAnsi" w:cstheme="minorHAnsi"/>
          <w:b/>
          <w:sz w:val="22"/>
          <w:szCs w:val="22"/>
        </w:rPr>
        <w:t xml:space="preserve">, </w:t>
      </w:r>
      <w:r w:rsidRPr="0058526B">
        <w:rPr>
          <w:rFonts w:asciiTheme="minorHAnsi" w:hAnsiTheme="minorHAnsi" w:cstheme="minorHAnsi"/>
          <w:sz w:val="22"/>
          <w:szCs w:val="22"/>
        </w:rPr>
        <w:t>a seguir:</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78"/>
        <w:gridCol w:w="1898"/>
        <w:gridCol w:w="816"/>
        <w:gridCol w:w="830"/>
        <w:gridCol w:w="567"/>
      </w:tblGrid>
      <w:tr w:rsidR="00D31269" w:rsidRPr="0058526B" w:rsidTr="00157F95">
        <w:trPr>
          <w:trHeight w:val="345"/>
        </w:trPr>
        <w:tc>
          <w:tcPr>
            <w:tcW w:w="4678" w:type="dxa"/>
            <w:vMerge w:val="restart"/>
            <w:shd w:val="clear" w:color="auto" w:fill="FFE599" w:themeFill="accent4" w:themeFillTint="66"/>
            <w:noWrap/>
            <w:vAlign w:val="center"/>
            <w:hideMark/>
          </w:tcPr>
          <w:p w:rsidR="00D31269" w:rsidRPr="0058526B" w:rsidRDefault="00D31269" w:rsidP="00F47F0C">
            <w:pPr>
              <w:ind w:left="33" w:right="-1"/>
              <w:jc w:val="center"/>
              <w:rPr>
                <w:rFonts w:asciiTheme="minorHAnsi" w:hAnsiTheme="minorHAnsi" w:cstheme="minorHAnsi"/>
                <w:b/>
                <w:sz w:val="20"/>
                <w:szCs w:val="20"/>
              </w:rPr>
            </w:pPr>
            <w:r w:rsidRPr="0058526B">
              <w:rPr>
                <w:rFonts w:asciiTheme="minorHAnsi" w:hAnsiTheme="minorHAnsi" w:cstheme="minorHAnsi"/>
                <w:b/>
                <w:sz w:val="20"/>
                <w:szCs w:val="20"/>
              </w:rPr>
              <w:t>EIXO II. ADMINISTRAÇÃO TRIBUTÁRIA E CONTENCIOSO FISCAL (AT)</w:t>
            </w:r>
          </w:p>
        </w:tc>
        <w:tc>
          <w:tcPr>
            <w:tcW w:w="1898" w:type="dxa"/>
            <w:vMerge w:val="restart"/>
            <w:shd w:val="clear" w:color="auto" w:fill="FFE599" w:themeFill="accent4" w:themeFillTint="66"/>
            <w:noWrap/>
            <w:vAlign w:val="center"/>
            <w:hideMark/>
          </w:tcPr>
          <w:p w:rsidR="00D31269" w:rsidRPr="0058526B" w:rsidRDefault="00D31269" w:rsidP="00F47F0C">
            <w:pPr>
              <w:ind w:left="33" w:right="-1"/>
              <w:jc w:val="center"/>
              <w:rPr>
                <w:rFonts w:asciiTheme="minorHAnsi" w:hAnsiTheme="minorHAnsi" w:cstheme="minorHAnsi"/>
                <w:b/>
                <w:sz w:val="20"/>
                <w:szCs w:val="20"/>
              </w:rPr>
            </w:pPr>
            <w:r w:rsidRPr="0058526B">
              <w:rPr>
                <w:rFonts w:asciiTheme="minorHAnsi" w:hAnsiTheme="minorHAnsi" w:cstheme="minorHAnsi"/>
                <w:b/>
                <w:sz w:val="20"/>
                <w:szCs w:val="20"/>
              </w:rPr>
              <w:t>Maturidade</w:t>
            </w:r>
          </w:p>
        </w:tc>
        <w:tc>
          <w:tcPr>
            <w:tcW w:w="2213" w:type="dxa"/>
            <w:gridSpan w:val="3"/>
            <w:shd w:val="clear" w:color="auto" w:fill="FFE599" w:themeFill="accent4" w:themeFillTint="66"/>
          </w:tcPr>
          <w:p w:rsidR="00D31269" w:rsidRPr="0058526B" w:rsidRDefault="00D31269" w:rsidP="00F47F0C">
            <w:pPr>
              <w:ind w:left="33" w:right="-1"/>
              <w:jc w:val="center"/>
              <w:rPr>
                <w:rFonts w:asciiTheme="minorHAnsi" w:hAnsiTheme="minorHAnsi" w:cstheme="minorHAnsi"/>
                <w:b/>
                <w:sz w:val="20"/>
                <w:szCs w:val="20"/>
              </w:rPr>
            </w:pPr>
            <w:r w:rsidRPr="0058526B">
              <w:rPr>
                <w:rFonts w:asciiTheme="minorHAnsi" w:hAnsiTheme="minorHAnsi" w:cstheme="minorHAnsi"/>
                <w:b/>
                <w:sz w:val="20"/>
                <w:szCs w:val="20"/>
              </w:rPr>
              <w:t>Pontuação</w:t>
            </w:r>
          </w:p>
        </w:tc>
      </w:tr>
      <w:tr w:rsidR="00D31269" w:rsidRPr="0058526B" w:rsidTr="00157F95">
        <w:trPr>
          <w:trHeight w:val="345"/>
        </w:trPr>
        <w:tc>
          <w:tcPr>
            <w:tcW w:w="4678" w:type="dxa"/>
            <w:vMerge/>
            <w:shd w:val="clear" w:color="auto" w:fill="FFE599" w:themeFill="accent4" w:themeFillTint="66"/>
            <w:noWrap/>
            <w:vAlign w:val="center"/>
            <w:hideMark/>
          </w:tcPr>
          <w:p w:rsidR="00D31269" w:rsidRPr="0058526B" w:rsidRDefault="00D31269" w:rsidP="00F47F0C">
            <w:pPr>
              <w:ind w:left="33" w:right="-1"/>
              <w:jc w:val="center"/>
              <w:rPr>
                <w:rFonts w:asciiTheme="minorHAnsi" w:hAnsiTheme="minorHAnsi" w:cstheme="minorHAnsi"/>
                <w:b/>
                <w:sz w:val="20"/>
                <w:szCs w:val="20"/>
              </w:rPr>
            </w:pPr>
          </w:p>
        </w:tc>
        <w:tc>
          <w:tcPr>
            <w:tcW w:w="1898" w:type="dxa"/>
            <w:vMerge/>
            <w:shd w:val="clear" w:color="auto" w:fill="FFE599" w:themeFill="accent4" w:themeFillTint="66"/>
            <w:noWrap/>
            <w:vAlign w:val="center"/>
            <w:hideMark/>
          </w:tcPr>
          <w:p w:rsidR="00D31269" w:rsidRPr="0058526B" w:rsidRDefault="00D31269" w:rsidP="00F47F0C">
            <w:pPr>
              <w:ind w:left="33" w:right="-1"/>
              <w:jc w:val="center"/>
              <w:rPr>
                <w:rFonts w:asciiTheme="minorHAnsi" w:hAnsiTheme="minorHAnsi" w:cstheme="minorHAnsi"/>
                <w:b/>
                <w:sz w:val="20"/>
                <w:szCs w:val="20"/>
              </w:rPr>
            </w:pPr>
          </w:p>
        </w:tc>
        <w:tc>
          <w:tcPr>
            <w:tcW w:w="816" w:type="dxa"/>
            <w:shd w:val="clear" w:color="auto" w:fill="FFE599" w:themeFill="accent4" w:themeFillTint="66"/>
            <w:vAlign w:val="center"/>
          </w:tcPr>
          <w:p w:rsidR="00D31269" w:rsidRPr="0058526B" w:rsidRDefault="00D31269" w:rsidP="00F47F0C">
            <w:pPr>
              <w:jc w:val="center"/>
              <w:rPr>
                <w:rFonts w:asciiTheme="minorHAnsi" w:hAnsiTheme="minorHAnsi" w:cstheme="minorHAnsi"/>
                <w:b/>
                <w:sz w:val="20"/>
                <w:szCs w:val="20"/>
              </w:rPr>
            </w:pPr>
            <w:r w:rsidRPr="0058526B">
              <w:rPr>
                <w:rFonts w:asciiTheme="minorHAnsi" w:hAnsiTheme="minorHAnsi" w:cstheme="minorHAnsi"/>
                <w:b/>
                <w:sz w:val="20"/>
                <w:szCs w:val="20"/>
              </w:rPr>
              <w:t>Máxima</w:t>
            </w:r>
          </w:p>
        </w:tc>
        <w:tc>
          <w:tcPr>
            <w:tcW w:w="830" w:type="dxa"/>
            <w:shd w:val="clear" w:color="auto" w:fill="FFE599" w:themeFill="accent4" w:themeFillTint="66"/>
            <w:vAlign w:val="center"/>
          </w:tcPr>
          <w:p w:rsidR="00D31269" w:rsidRPr="0058526B" w:rsidRDefault="00D31269" w:rsidP="00F47F0C">
            <w:pPr>
              <w:jc w:val="center"/>
              <w:rPr>
                <w:rFonts w:asciiTheme="minorHAnsi" w:hAnsiTheme="minorHAnsi" w:cstheme="minorHAnsi"/>
                <w:b/>
                <w:sz w:val="20"/>
                <w:szCs w:val="20"/>
              </w:rPr>
            </w:pPr>
            <w:r w:rsidRPr="0058526B">
              <w:rPr>
                <w:rFonts w:asciiTheme="minorHAnsi" w:hAnsiTheme="minorHAnsi" w:cstheme="minorHAnsi"/>
                <w:b/>
                <w:sz w:val="20"/>
                <w:szCs w:val="20"/>
              </w:rPr>
              <w:t>Obtida</w:t>
            </w:r>
          </w:p>
        </w:tc>
        <w:tc>
          <w:tcPr>
            <w:tcW w:w="567" w:type="dxa"/>
            <w:shd w:val="clear" w:color="auto" w:fill="FFE599" w:themeFill="accent4" w:themeFillTint="66"/>
            <w:vAlign w:val="center"/>
          </w:tcPr>
          <w:p w:rsidR="00D31269" w:rsidRPr="0058526B" w:rsidRDefault="00D31269" w:rsidP="00F47F0C">
            <w:pPr>
              <w:jc w:val="center"/>
              <w:rPr>
                <w:rFonts w:asciiTheme="minorHAnsi" w:hAnsiTheme="minorHAnsi" w:cstheme="minorHAnsi"/>
                <w:b/>
                <w:sz w:val="20"/>
                <w:szCs w:val="20"/>
              </w:rPr>
            </w:pPr>
            <w:r w:rsidRPr="0058526B">
              <w:rPr>
                <w:rFonts w:asciiTheme="minorHAnsi" w:hAnsiTheme="minorHAnsi" w:cstheme="minorHAnsi"/>
                <w:b/>
                <w:sz w:val="20"/>
                <w:szCs w:val="20"/>
              </w:rPr>
              <w:t>%</w:t>
            </w:r>
          </w:p>
        </w:tc>
      </w:tr>
      <w:tr w:rsidR="009C1254" w:rsidRPr="0058526B" w:rsidTr="00157F95">
        <w:trPr>
          <w:trHeight w:val="345"/>
        </w:trPr>
        <w:tc>
          <w:tcPr>
            <w:tcW w:w="4678" w:type="dxa"/>
            <w:shd w:val="clear" w:color="auto" w:fill="auto"/>
            <w:noWrap/>
            <w:vAlign w:val="bottom"/>
            <w:hideMark/>
          </w:tcPr>
          <w:p w:rsidR="009C1254" w:rsidRPr="0058526B" w:rsidRDefault="009C1254" w:rsidP="00D31269">
            <w:pPr>
              <w:ind w:firstLineChars="100" w:firstLine="200"/>
              <w:rPr>
                <w:rFonts w:asciiTheme="minorHAnsi" w:hAnsiTheme="minorHAnsi" w:cstheme="minorHAnsi"/>
                <w:bCs/>
                <w:sz w:val="20"/>
                <w:szCs w:val="20"/>
              </w:rPr>
            </w:pPr>
            <w:r w:rsidRPr="0058526B">
              <w:rPr>
                <w:rFonts w:asciiTheme="minorHAnsi" w:hAnsiTheme="minorHAnsi" w:cstheme="minorHAnsi"/>
                <w:bCs/>
                <w:sz w:val="20"/>
                <w:szCs w:val="20"/>
              </w:rPr>
              <w:t xml:space="preserve">AT 1. </w:t>
            </w:r>
            <w:proofErr w:type="gramStart"/>
            <w:r w:rsidRPr="0058526B">
              <w:rPr>
                <w:rFonts w:asciiTheme="minorHAnsi" w:hAnsiTheme="minorHAnsi" w:cstheme="minorHAnsi"/>
                <w:bCs/>
                <w:sz w:val="20"/>
                <w:szCs w:val="20"/>
              </w:rPr>
              <w:t>Políticas e Gasto Tributário</w:t>
            </w:r>
            <w:proofErr w:type="gramEnd"/>
          </w:p>
        </w:tc>
        <w:tc>
          <w:tcPr>
            <w:tcW w:w="1898" w:type="dxa"/>
            <w:shd w:val="clear" w:color="auto" w:fill="auto"/>
            <w:noWrap/>
            <w:vAlign w:val="center"/>
            <w:hideMark/>
          </w:tcPr>
          <w:p w:rsidR="009C1254" w:rsidRPr="0058526B" w:rsidRDefault="009C1254" w:rsidP="00747A81">
            <w:pPr>
              <w:rPr>
                <w:rFonts w:asciiTheme="minorHAnsi" w:hAnsiTheme="minorHAnsi" w:cstheme="minorHAnsi"/>
                <w:b/>
                <w:bCs/>
                <w:sz w:val="20"/>
                <w:szCs w:val="20"/>
              </w:rPr>
            </w:pPr>
            <w:r w:rsidRPr="0058526B">
              <w:rPr>
                <w:rFonts w:asciiTheme="minorHAnsi" w:hAnsiTheme="minorHAnsi" w:cstheme="minorHAnsi"/>
                <w:b/>
                <w:bCs/>
                <w:sz w:val="20"/>
                <w:szCs w:val="20"/>
              </w:rPr>
              <w:t>INTERMEDIÁRIO (-)</w:t>
            </w:r>
          </w:p>
        </w:tc>
        <w:tc>
          <w:tcPr>
            <w:tcW w:w="816" w:type="dxa"/>
            <w:vAlign w:val="center"/>
          </w:tcPr>
          <w:p w:rsidR="009C1254" w:rsidRPr="0058526B" w:rsidRDefault="009C1254" w:rsidP="00D31269">
            <w:pPr>
              <w:jc w:val="center"/>
              <w:rPr>
                <w:rFonts w:asciiTheme="minorHAnsi" w:hAnsiTheme="minorHAnsi" w:cstheme="minorHAnsi"/>
                <w:sz w:val="20"/>
                <w:szCs w:val="20"/>
              </w:rPr>
            </w:pPr>
            <w:r w:rsidRPr="0058526B">
              <w:rPr>
                <w:rFonts w:asciiTheme="minorHAnsi" w:hAnsiTheme="minorHAnsi" w:cstheme="minorHAnsi"/>
                <w:sz w:val="20"/>
                <w:szCs w:val="20"/>
              </w:rPr>
              <w:t>18</w:t>
            </w:r>
          </w:p>
        </w:tc>
        <w:tc>
          <w:tcPr>
            <w:tcW w:w="830" w:type="dxa"/>
            <w:shd w:val="clear" w:color="auto" w:fill="auto"/>
            <w:noWrap/>
            <w:vAlign w:val="center"/>
            <w:hideMark/>
          </w:tcPr>
          <w:p w:rsidR="009C1254" w:rsidRPr="0058526B" w:rsidRDefault="009C1254" w:rsidP="00D31269">
            <w:pPr>
              <w:jc w:val="center"/>
              <w:rPr>
                <w:rFonts w:asciiTheme="minorHAnsi" w:hAnsiTheme="minorHAnsi" w:cstheme="minorHAnsi"/>
                <w:bCs/>
                <w:sz w:val="20"/>
                <w:szCs w:val="20"/>
              </w:rPr>
            </w:pPr>
            <w:r w:rsidRPr="0058526B">
              <w:rPr>
                <w:rFonts w:asciiTheme="minorHAnsi" w:hAnsiTheme="minorHAnsi" w:cstheme="minorHAnsi"/>
                <w:bCs/>
                <w:sz w:val="20"/>
                <w:szCs w:val="20"/>
              </w:rPr>
              <w:t>10</w:t>
            </w:r>
          </w:p>
        </w:tc>
        <w:tc>
          <w:tcPr>
            <w:tcW w:w="567" w:type="dxa"/>
            <w:shd w:val="clear" w:color="auto" w:fill="auto"/>
            <w:noWrap/>
            <w:vAlign w:val="center"/>
            <w:hideMark/>
          </w:tcPr>
          <w:p w:rsidR="009C1254" w:rsidRPr="0058526B" w:rsidRDefault="009C1254" w:rsidP="00D31269">
            <w:pPr>
              <w:jc w:val="center"/>
              <w:rPr>
                <w:rFonts w:asciiTheme="minorHAnsi" w:hAnsiTheme="minorHAnsi" w:cstheme="minorHAnsi"/>
                <w:sz w:val="20"/>
                <w:szCs w:val="20"/>
              </w:rPr>
            </w:pPr>
            <w:r w:rsidRPr="0058526B">
              <w:rPr>
                <w:rFonts w:asciiTheme="minorHAnsi" w:hAnsiTheme="minorHAnsi" w:cstheme="minorHAnsi"/>
                <w:sz w:val="20"/>
                <w:szCs w:val="20"/>
              </w:rPr>
              <w:t>56%</w:t>
            </w:r>
          </w:p>
        </w:tc>
      </w:tr>
      <w:tr w:rsidR="009C1254" w:rsidRPr="0058526B" w:rsidTr="00157F95">
        <w:trPr>
          <w:trHeight w:val="345"/>
        </w:trPr>
        <w:tc>
          <w:tcPr>
            <w:tcW w:w="4678" w:type="dxa"/>
            <w:shd w:val="clear" w:color="auto" w:fill="auto"/>
            <w:noWrap/>
            <w:vAlign w:val="bottom"/>
            <w:hideMark/>
          </w:tcPr>
          <w:p w:rsidR="009C1254" w:rsidRPr="0058526B" w:rsidRDefault="009C1254" w:rsidP="00D31269">
            <w:pPr>
              <w:ind w:firstLineChars="100" w:firstLine="200"/>
              <w:rPr>
                <w:rFonts w:asciiTheme="minorHAnsi" w:hAnsiTheme="minorHAnsi" w:cstheme="minorHAnsi"/>
                <w:bCs/>
                <w:sz w:val="20"/>
                <w:szCs w:val="20"/>
              </w:rPr>
            </w:pPr>
            <w:r w:rsidRPr="0058526B">
              <w:rPr>
                <w:rFonts w:asciiTheme="minorHAnsi" w:hAnsiTheme="minorHAnsi" w:cstheme="minorHAnsi"/>
                <w:bCs/>
                <w:sz w:val="20"/>
                <w:szCs w:val="20"/>
              </w:rPr>
              <w:t xml:space="preserve">AT 2. </w:t>
            </w:r>
            <w:proofErr w:type="gramStart"/>
            <w:r w:rsidRPr="0058526B">
              <w:rPr>
                <w:rFonts w:asciiTheme="minorHAnsi" w:hAnsiTheme="minorHAnsi" w:cstheme="minorHAnsi"/>
                <w:bCs/>
                <w:sz w:val="20"/>
                <w:szCs w:val="20"/>
              </w:rPr>
              <w:t>Cadastro e Obrigação Tributária</w:t>
            </w:r>
            <w:proofErr w:type="gramEnd"/>
          </w:p>
        </w:tc>
        <w:tc>
          <w:tcPr>
            <w:tcW w:w="1898" w:type="dxa"/>
            <w:shd w:val="clear" w:color="auto" w:fill="auto"/>
            <w:noWrap/>
            <w:vAlign w:val="center"/>
            <w:hideMark/>
          </w:tcPr>
          <w:p w:rsidR="009C1254" w:rsidRPr="0058526B" w:rsidRDefault="009C1254" w:rsidP="00747A81">
            <w:pPr>
              <w:rPr>
                <w:rFonts w:asciiTheme="minorHAnsi" w:hAnsiTheme="minorHAnsi" w:cstheme="minorHAnsi"/>
                <w:b/>
                <w:bCs/>
                <w:sz w:val="20"/>
                <w:szCs w:val="20"/>
              </w:rPr>
            </w:pPr>
            <w:r w:rsidRPr="0058526B">
              <w:rPr>
                <w:rFonts w:asciiTheme="minorHAnsi" w:hAnsiTheme="minorHAnsi" w:cstheme="minorHAnsi"/>
                <w:b/>
                <w:bCs/>
                <w:sz w:val="20"/>
                <w:szCs w:val="20"/>
              </w:rPr>
              <w:t>INICIANTE (+)</w:t>
            </w:r>
          </w:p>
        </w:tc>
        <w:tc>
          <w:tcPr>
            <w:tcW w:w="816" w:type="dxa"/>
            <w:vAlign w:val="center"/>
          </w:tcPr>
          <w:p w:rsidR="009C1254" w:rsidRPr="0058526B" w:rsidRDefault="009C1254" w:rsidP="00D31269">
            <w:pPr>
              <w:jc w:val="center"/>
              <w:rPr>
                <w:rFonts w:asciiTheme="minorHAnsi" w:hAnsiTheme="minorHAnsi" w:cstheme="minorHAnsi"/>
                <w:sz w:val="20"/>
                <w:szCs w:val="20"/>
              </w:rPr>
            </w:pPr>
            <w:r w:rsidRPr="0058526B">
              <w:rPr>
                <w:rFonts w:asciiTheme="minorHAnsi" w:hAnsiTheme="minorHAnsi" w:cstheme="minorHAnsi"/>
                <w:sz w:val="20"/>
                <w:szCs w:val="20"/>
              </w:rPr>
              <w:t>27</w:t>
            </w:r>
          </w:p>
        </w:tc>
        <w:tc>
          <w:tcPr>
            <w:tcW w:w="830" w:type="dxa"/>
            <w:shd w:val="clear" w:color="auto" w:fill="auto"/>
            <w:noWrap/>
            <w:vAlign w:val="center"/>
            <w:hideMark/>
          </w:tcPr>
          <w:p w:rsidR="009C1254" w:rsidRPr="0058526B" w:rsidRDefault="009C1254" w:rsidP="00D31269">
            <w:pPr>
              <w:jc w:val="center"/>
              <w:rPr>
                <w:rFonts w:asciiTheme="minorHAnsi" w:hAnsiTheme="minorHAnsi" w:cstheme="minorHAnsi"/>
                <w:bCs/>
                <w:sz w:val="20"/>
                <w:szCs w:val="20"/>
              </w:rPr>
            </w:pPr>
            <w:r w:rsidRPr="0058526B">
              <w:rPr>
                <w:rFonts w:asciiTheme="minorHAnsi" w:hAnsiTheme="minorHAnsi" w:cstheme="minorHAnsi"/>
                <w:bCs/>
                <w:sz w:val="20"/>
                <w:szCs w:val="20"/>
              </w:rPr>
              <w:t>18</w:t>
            </w:r>
          </w:p>
        </w:tc>
        <w:tc>
          <w:tcPr>
            <w:tcW w:w="567" w:type="dxa"/>
            <w:shd w:val="clear" w:color="auto" w:fill="auto"/>
            <w:noWrap/>
            <w:vAlign w:val="center"/>
            <w:hideMark/>
          </w:tcPr>
          <w:p w:rsidR="009C1254" w:rsidRPr="0058526B" w:rsidRDefault="009C1254" w:rsidP="00D31269">
            <w:pPr>
              <w:jc w:val="center"/>
              <w:rPr>
                <w:rFonts w:asciiTheme="minorHAnsi" w:hAnsiTheme="minorHAnsi" w:cstheme="minorHAnsi"/>
                <w:sz w:val="20"/>
                <w:szCs w:val="20"/>
              </w:rPr>
            </w:pPr>
            <w:r w:rsidRPr="0058526B">
              <w:rPr>
                <w:rFonts w:asciiTheme="minorHAnsi" w:hAnsiTheme="minorHAnsi" w:cstheme="minorHAnsi"/>
                <w:sz w:val="20"/>
                <w:szCs w:val="20"/>
              </w:rPr>
              <w:t>67%</w:t>
            </w:r>
          </w:p>
        </w:tc>
      </w:tr>
      <w:tr w:rsidR="009C1254" w:rsidRPr="0058526B" w:rsidTr="00157F95">
        <w:trPr>
          <w:trHeight w:val="345"/>
        </w:trPr>
        <w:tc>
          <w:tcPr>
            <w:tcW w:w="4678" w:type="dxa"/>
            <w:shd w:val="clear" w:color="auto" w:fill="auto"/>
            <w:noWrap/>
            <w:vAlign w:val="bottom"/>
            <w:hideMark/>
          </w:tcPr>
          <w:p w:rsidR="009C1254" w:rsidRPr="0058526B" w:rsidRDefault="009C1254" w:rsidP="00D31269">
            <w:pPr>
              <w:ind w:firstLineChars="100" w:firstLine="200"/>
              <w:rPr>
                <w:rFonts w:asciiTheme="minorHAnsi" w:hAnsiTheme="minorHAnsi" w:cstheme="minorHAnsi"/>
                <w:bCs/>
                <w:sz w:val="20"/>
                <w:szCs w:val="20"/>
              </w:rPr>
            </w:pPr>
            <w:r w:rsidRPr="0058526B">
              <w:rPr>
                <w:rFonts w:asciiTheme="minorHAnsi" w:hAnsiTheme="minorHAnsi" w:cstheme="minorHAnsi"/>
                <w:bCs/>
                <w:sz w:val="20"/>
                <w:szCs w:val="20"/>
              </w:rPr>
              <w:t xml:space="preserve">AT 3. </w:t>
            </w:r>
            <w:proofErr w:type="gramStart"/>
            <w:r w:rsidRPr="0058526B">
              <w:rPr>
                <w:rFonts w:asciiTheme="minorHAnsi" w:hAnsiTheme="minorHAnsi" w:cstheme="minorHAnsi"/>
                <w:bCs/>
                <w:sz w:val="20"/>
                <w:szCs w:val="20"/>
              </w:rPr>
              <w:t>Fiscalização e Inteligência Fiscal</w:t>
            </w:r>
            <w:proofErr w:type="gramEnd"/>
            <w:r w:rsidRPr="0058526B">
              <w:rPr>
                <w:rFonts w:asciiTheme="minorHAnsi" w:hAnsiTheme="minorHAnsi" w:cstheme="minorHAnsi"/>
                <w:bCs/>
                <w:sz w:val="20"/>
                <w:szCs w:val="20"/>
              </w:rPr>
              <w:t xml:space="preserve"> </w:t>
            </w:r>
          </w:p>
        </w:tc>
        <w:tc>
          <w:tcPr>
            <w:tcW w:w="1898" w:type="dxa"/>
            <w:shd w:val="clear" w:color="auto" w:fill="auto"/>
            <w:noWrap/>
            <w:vAlign w:val="center"/>
            <w:hideMark/>
          </w:tcPr>
          <w:p w:rsidR="009C1254" w:rsidRPr="0058526B" w:rsidRDefault="009C1254" w:rsidP="00747A81">
            <w:pPr>
              <w:rPr>
                <w:rFonts w:asciiTheme="minorHAnsi" w:hAnsiTheme="minorHAnsi" w:cstheme="minorHAnsi"/>
                <w:b/>
                <w:bCs/>
                <w:sz w:val="20"/>
                <w:szCs w:val="20"/>
              </w:rPr>
            </w:pPr>
            <w:r w:rsidRPr="0058526B">
              <w:rPr>
                <w:rFonts w:asciiTheme="minorHAnsi" w:hAnsiTheme="minorHAnsi" w:cstheme="minorHAnsi"/>
                <w:b/>
                <w:bCs/>
                <w:sz w:val="20"/>
                <w:szCs w:val="20"/>
              </w:rPr>
              <w:t>INTERMEDIÁRIO (+)</w:t>
            </w:r>
          </w:p>
        </w:tc>
        <w:tc>
          <w:tcPr>
            <w:tcW w:w="816" w:type="dxa"/>
            <w:vAlign w:val="center"/>
          </w:tcPr>
          <w:p w:rsidR="009C1254" w:rsidRPr="0058526B" w:rsidRDefault="009C1254" w:rsidP="00D31269">
            <w:pPr>
              <w:jc w:val="center"/>
              <w:rPr>
                <w:rFonts w:asciiTheme="minorHAnsi" w:hAnsiTheme="minorHAnsi" w:cstheme="minorHAnsi"/>
                <w:sz w:val="20"/>
                <w:szCs w:val="20"/>
              </w:rPr>
            </w:pPr>
            <w:r w:rsidRPr="0058526B">
              <w:rPr>
                <w:rFonts w:asciiTheme="minorHAnsi" w:hAnsiTheme="minorHAnsi" w:cstheme="minorHAnsi"/>
                <w:sz w:val="20"/>
                <w:szCs w:val="20"/>
              </w:rPr>
              <w:t>18</w:t>
            </w:r>
          </w:p>
        </w:tc>
        <w:tc>
          <w:tcPr>
            <w:tcW w:w="830" w:type="dxa"/>
            <w:shd w:val="clear" w:color="auto" w:fill="auto"/>
            <w:noWrap/>
            <w:vAlign w:val="center"/>
            <w:hideMark/>
          </w:tcPr>
          <w:p w:rsidR="009C1254" w:rsidRPr="0058526B" w:rsidRDefault="009C1254" w:rsidP="00D31269">
            <w:pPr>
              <w:jc w:val="center"/>
              <w:rPr>
                <w:rFonts w:asciiTheme="minorHAnsi" w:hAnsiTheme="minorHAnsi" w:cstheme="minorHAnsi"/>
                <w:bCs/>
                <w:sz w:val="20"/>
                <w:szCs w:val="20"/>
              </w:rPr>
            </w:pPr>
            <w:r w:rsidRPr="0058526B">
              <w:rPr>
                <w:rFonts w:asciiTheme="minorHAnsi" w:hAnsiTheme="minorHAnsi" w:cstheme="minorHAnsi"/>
                <w:bCs/>
                <w:sz w:val="20"/>
                <w:szCs w:val="20"/>
              </w:rPr>
              <w:t>11</w:t>
            </w:r>
          </w:p>
        </w:tc>
        <w:tc>
          <w:tcPr>
            <w:tcW w:w="567" w:type="dxa"/>
            <w:shd w:val="clear" w:color="auto" w:fill="auto"/>
            <w:noWrap/>
            <w:vAlign w:val="center"/>
            <w:hideMark/>
          </w:tcPr>
          <w:p w:rsidR="009C1254" w:rsidRPr="0058526B" w:rsidRDefault="009C1254" w:rsidP="00D31269">
            <w:pPr>
              <w:jc w:val="center"/>
              <w:rPr>
                <w:rFonts w:asciiTheme="minorHAnsi" w:hAnsiTheme="minorHAnsi" w:cstheme="minorHAnsi"/>
                <w:sz w:val="20"/>
                <w:szCs w:val="20"/>
              </w:rPr>
            </w:pPr>
            <w:r w:rsidRPr="0058526B">
              <w:rPr>
                <w:rFonts w:asciiTheme="minorHAnsi" w:hAnsiTheme="minorHAnsi" w:cstheme="minorHAnsi"/>
                <w:sz w:val="20"/>
                <w:szCs w:val="20"/>
              </w:rPr>
              <w:t>61%</w:t>
            </w:r>
          </w:p>
        </w:tc>
      </w:tr>
      <w:tr w:rsidR="009C1254" w:rsidRPr="0058526B" w:rsidTr="00157F95">
        <w:trPr>
          <w:trHeight w:val="345"/>
        </w:trPr>
        <w:tc>
          <w:tcPr>
            <w:tcW w:w="4678" w:type="dxa"/>
            <w:shd w:val="clear" w:color="auto" w:fill="auto"/>
            <w:noWrap/>
            <w:vAlign w:val="bottom"/>
            <w:hideMark/>
          </w:tcPr>
          <w:p w:rsidR="009C1254" w:rsidRPr="0058526B" w:rsidRDefault="009C1254" w:rsidP="00D31269">
            <w:pPr>
              <w:ind w:firstLineChars="100" w:firstLine="200"/>
              <w:rPr>
                <w:rFonts w:asciiTheme="minorHAnsi" w:hAnsiTheme="minorHAnsi" w:cstheme="minorHAnsi"/>
                <w:bCs/>
                <w:sz w:val="20"/>
                <w:szCs w:val="20"/>
              </w:rPr>
            </w:pPr>
            <w:r w:rsidRPr="0058526B">
              <w:rPr>
                <w:rFonts w:asciiTheme="minorHAnsi" w:hAnsiTheme="minorHAnsi" w:cstheme="minorHAnsi"/>
                <w:bCs/>
                <w:sz w:val="20"/>
                <w:szCs w:val="20"/>
              </w:rPr>
              <w:t>AT 4. Contencioso Fiscal</w:t>
            </w:r>
          </w:p>
        </w:tc>
        <w:tc>
          <w:tcPr>
            <w:tcW w:w="1898" w:type="dxa"/>
            <w:shd w:val="clear" w:color="auto" w:fill="auto"/>
            <w:noWrap/>
            <w:vAlign w:val="center"/>
            <w:hideMark/>
          </w:tcPr>
          <w:p w:rsidR="009C1254" w:rsidRPr="0058526B" w:rsidRDefault="009C1254" w:rsidP="00747A81">
            <w:pPr>
              <w:rPr>
                <w:rFonts w:asciiTheme="minorHAnsi" w:hAnsiTheme="minorHAnsi" w:cstheme="minorHAnsi"/>
                <w:b/>
                <w:bCs/>
                <w:sz w:val="20"/>
                <w:szCs w:val="20"/>
              </w:rPr>
            </w:pPr>
            <w:r w:rsidRPr="0058526B">
              <w:rPr>
                <w:rFonts w:asciiTheme="minorHAnsi" w:hAnsiTheme="minorHAnsi" w:cstheme="minorHAnsi"/>
                <w:b/>
                <w:bCs/>
                <w:sz w:val="20"/>
                <w:szCs w:val="20"/>
              </w:rPr>
              <w:t>INTERMEDIÁRIO (-)</w:t>
            </w:r>
          </w:p>
        </w:tc>
        <w:tc>
          <w:tcPr>
            <w:tcW w:w="816" w:type="dxa"/>
            <w:vAlign w:val="center"/>
          </w:tcPr>
          <w:p w:rsidR="009C1254" w:rsidRPr="0058526B" w:rsidRDefault="009C1254" w:rsidP="00D31269">
            <w:pPr>
              <w:jc w:val="center"/>
              <w:rPr>
                <w:rFonts w:asciiTheme="minorHAnsi" w:hAnsiTheme="minorHAnsi" w:cstheme="minorHAnsi"/>
                <w:sz w:val="20"/>
                <w:szCs w:val="20"/>
              </w:rPr>
            </w:pPr>
            <w:r w:rsidRPr="0058526B">
              <w:rPr>
                <w:rFonts w:asciiTheme="minorHAnsi" w:hAnsiTheme="minorHAnsi" w:cstheme="minorHAnsi"/>
                <w:sz w:val="20"/>
                <w:szCs w:val="20"/>
              </w:rPr>
              <w:t>18</w:t>
            </w:r>
          </w:p>
        </w:tc>
        <w:tc>
          <w:tcPr>
            <w:tcW w:w="830" w:type="dxa"/>
            <w:shd w:val="clear" w:color="auto" w:fill="auto"/>
            <w:noWrap/>
            <w:vAlign w:val="center"/>
            <w:hideMark/>
          </w:tcPr>
          <w:p w:rsidR="009C1254" w:rsidRPr="0058526B" w:rsidRDefault="009C1254" w:rsidP="00D31269">
            <w:pPr>
              <w:jc w:val="center"/>
              <w:rPr>
                <w:rFonts w:asciiTheme="minorHAnsi" w:hAnsiTheme="minorHAnsi" w:cstheme="minorHAnsi"/>
                <w:bCs/>
                <w:sz w:val="20"/>
                <w:szCs w:val="20"/>
              </w:rPr>
            </w:pPr>
            <w:r w:rsidRPr="0058526B">
              <w:rPr>
                <w:rFonts w:asciiTheme="minorHAnsi" w:hAnsiTheme="minorHAnsi" w:cstheme="minorHAnsi"/>
                <w:bCs/>
                <w:sz w:val="20"/>
                <w:szCs w:val="20"/>
              </w:rPr>
              <w:t>9</w:t>
            </w:r>
          </w:p>
        </w:tc>
        <w:tc>
          <w:tcPr>
            <w:tcW w:w="567" w:type="dxa"/>
            <w:shd w:val="clear" w:color="auto" w:fill="auto"/>
            <w:noWrap/>
            <w:vAlign w:val="center"/>
            <w:hideMark/>
          </w:tcPr>
          <w:p w:rsidR="009C1254" w:rsidRPr="0058526B" w:rsidRDefault="009C1254" w:rsidP="00D31269">
            <w:pPr>
              <w:jc w:val="center"/>
              <w:rPr>
                <w:rFonts w:asciiTheme="minorHAnsi" w:hAnsiTheme="minorHAnsi" w:cstheme="minorHAnsi"/>
                <w:sz w:val="20"/>
                <w:szCs w:val="20"/>
              </w:rPr>
            </w:pPr>
            <w:r w:rsidRPr="0058526B">
              <w:rPr>
                <w:rFonts w:asciiTheme="minorHAnsi" w:hAnsiTheme="minorHAnsi" w:cstheme="minorHAnsi"/>
                <w:sz w:val="20"/>
                <w:szCs w:val="20"/>
              </w:rPr>
              <w:t>50%</w:t>
            </w:r>
          </w:p>
        </w:tc>
      </w:tr>
      <w:tr w:rsidR="009C1254" w:rsidRPr="0058526B" w:rsidTr="00157F95">
        <w:trPr>
          <w:trHeight w:val="345"/>
        </w:trPr>
        <w:tc>
          <w:tcPr>
            <w:tcW w:w="4678" w:type="dxa"/>
            <w:shd w:val="clear" w:color="auto" w:fill="auto"/>
            <w:noWrap/>
            <w:vAlign w:val="bottom"/>
            <w:hideMark/>
          </w:tcPr>
          <w:p w:rsidR="009C1254" w:rsidRPr="0058526B" w:rsidRDefault="009C1254" w:rsidP="00D31269">
            <w:pPr>
              <w:ind w:firstLineChars="100" w:firstLine="200"/>
              <w:rPr>
                <w:rFonts w:asciiTheme="minorHAnsi" w:hAnsiTheme="minorHAnsi" w:cstheme="minorHAnsi"/>
                <w:bCs/>
                <w:sz w:val="20"/>
                <w:szCs w:val="20"/>
              </w:rPr>
            </w:pPr>
            <w:r w:rsidRPr="0058526B">
              <w:rPr>
                <w:rFonts w:asciiTheme="minorHAnsi" w:hAnsiTheme="minorHAnsi" w:cstheme="minorHAnsi"/>
                <w:bCs/>
                <w:sz w:val="20"/>
                <w:szCs w:val="20"/>
              </w:rPr>
              <w:t>AT 5. Serviços ao Contribuinte</w:t>
            </w:r>
          </w:p>
        </w:tc>
        <w:tc>
          <w:tcPr>
            <w:tcW w:w="1898" w:type="dxa"/>
            <w:shd w:val="clear" w:color="auto" w:fill="auto"/>
            <w:noWrap/>
            <w:vAlign w:val="center"/>
            <w:hideMark/>
          </w:tcPr>
          <w:p w:rsidR="009C1254" w:rsidRPr="0058526B" w:rsidRDefault="009C1254" w:rsidP="00747A81">
            <w:pPr>
              <w:rPr>
                <w:rFonts w:asciiTheme="minorHAnsi" w:hAnsiTheme="minorHAnsi" w:cstheme="minorHAnsi"/>
                <w:b/>
                <w:bCs/>
                <w:sz w:val="20"/>
                <w:szCs w:val="20"/>
              </w:rPr>
            </w:pPr>
            <w:r w:rsidRPr="0058526B">
              <w:rPr>
                <w:rFonts w:asciiTheme="minorHAnsi" w:hAnsiTheme="minorHAnsi" w:cstheme="minorHAnsi"/>
                <w:b/>
                <w:bCs/>
                <w:sz w:val="20"/>
                <w:szCs w:val="20"/>
              </w:rPr>
              <w:t>INTERMEDIÁRIO (-)</w:t>
            </w:r>
          </w:p>
        </w:tc>
        <w:tc>
          <w:tcPr>
            <w:tcW w:w="816" w:type="dxa"/>
            <w:vAlign w:val="center"/>
          </w:tcPr>
          <w:p w:rsidR="009C1254" w:rsidRPr="0058526B" w:rsidRDefault="009C1254" w:rsidP="00D31269">
            <w:pPr>
              <w:jc w:val="center"/>
              <w:rPr>
                <w:rFonts w:asciiTheme="minorHAnsi" w:hAnsiTheme="minorHAnsi" w:cstheme="minorHAnsi"/>
                <w:sz w:val="20"/>
                <w:szCs w:val="20"/>
              </w:rPr>
            </w:pPr>
            <w:r w:rsidRPr="0058526B">
              <w:rPr>
                <w:rFonts w:asciiTheme="minorHAnsi" w:hAnsiTheme="minorHAnsi" w:cstheme="minorHAnsi"/>
                <w:sz w:val="20"/>
                <w:szCs w:val="20"/>
              </w:rPr>
              <w:t>18</w:t>
            </w:r>
          </w:p>
        </w:tc>
        <w:tc>
          <w:tcPr>
            <w:tcW w:w="830" w:type="dxa"/>
            <w:shd w:val="clear" w:color="auto" w:fill="auto"/>
            <w:noWrap/>
            <w:vAlign w:val="center"/>
            <w:hideMark/>
          </w:tcPr>
          <w:p w:rsidR="009C1254" w:rsidRPr="0058526B" w:rsidRDefault="009C1254" w:rsidP="00D31269">
            <w:pPr>
              <w:jc w:val="center"/>
              <w:rPr>
                <w:rFonts w:asciiTheme="minorHAnsi" w:hAnsiTheme="minorHAnsi" w:cstheme="minorHAnsi"/>
                <w:bCs/>
                <w:sz w:val="20"/>
                <w:szCs w:val="20"/>
              </w:rPr>
            </w:pPr>
            <w:r w:rsidRPr="0058526B">
              <w:rPr>
                <w:rFonts w:asciiTheme="minorHAnsi" w:hAnsiTheme="minorHAnsi" w:cstheme="minorHAnsi"/>
                <w:bCs/>
                <w:sz w:val="20"/>
                <w:szCs w:val="20"/>
              </w:rPr>
              <w:t>13</w:t>
            </w:r>
          </w:p>
        </w:tc>
        <w:tc>
          <w:tcPr>
            <w:tcW w:w="567" w:type="dxa"/>
            <w:shd w:val="clear" w:color="auto" w:fill="auto"/>
            <w:noWrap/>
            <w:vAlign w:val="center"/>
            <w:hideMark/>
          </w:tcPr>
          <w:p w:rsidR="009C1254" w:rsidRPr="0058526B" w:rsidRDefault="009C1254" w:rsidP="00D31269">
            <w:pPr>
              <w:jc w:val="center"/>
              <w:rPr>
                <w:rFonts w:asciiTheme="minorHAnsi" w:hAnsiTheme="minorHAnsi" w:cstheme="minorHAnsi"/>
                <w:sz w:val="20"/>
                <w:szCs w:val="20"/>
              </w:rPr>
            </w:pPr>
            <w:r w:rsidRPr="0058526B">
              <w:rPr>
                <w:rFonts w:asciiTheme="minorHAnsi" w:hAnsiTheme="minorHAnsi" w:cstheme="minorHAnsi"/>
                <w:sz w:val="20"/>
                <w:szCs w:val="20"/>
              </w:rPr>
              <w:t>72%</w:t>
            </w:r>
          </w:p>
        </w:tc>
      </w:tr>
      <w:tr w:rsidR="009C1254" w:rsidRPr="0058526B" w:rsidTr="00157F95">
        <w:trPr>
          <w:trHeight w:val="345"/>
        </w:trPr>
        <w:tc>
          <w:tcPr>
            <w:tcW w:w="4678" w:type="dxa"/>
            <w:shd w:val="clear" w:color="auto" w:fill="auto"/>
            <w:noWrap/>
            <w:vAlign w:val="bottom"/>
            <w:hideMark/>
          </w:tcPr>
          <w:p w:rsidR="009C1254" w:rsidRPr="0058526B" w:rsidRDefault="009C1254" w:rsidP="00D31269">
            <w:pPr>
              <w:ind w:firstLineChars="100" w:firstLine="200"/>
              <w:rPr>
                <w:rFonts w:asciiTheme="minorHAnsi" w:hAnsiTheme="minorHAnsi" w:cstheme="minorHAnsi"/>
                <w:bCs/>
                <w:sz w:val="20"/>
                <w:szCs w:val="20"/>
              </w:rPr>
            </w:pPr>
            <w:r w:rsidRPr="0058526B">
              <w:rPr>
                <w:rFonts w:asciiTheme="minorHAnsi" w:hAnsiTheme="minorHAnsi" w:cstheme="minorHAnsi"/>
                <w:bCs/>
                <w:sz w:val="20"/>
                <w:szCs w:val="20"/>
              </w:rPr>
              <w:t>AT 6. Cobrança e Arrecadação</w:t>
            </w:r>
          </w:p>
        </w:tc>
        <w:tc>
          <w:tcPr>
            <w:tcW w:w="1898" w:type="dxa"/>
            <w:shd w:val="clear" w:color="auto" w:fill="auto"/>
            <w:noWrap/>
            <w:vAlign w:val="center"/>
            <w:hideMark/>
          </w:tcPr>
          <w:p w:rsidR="009C1254" w:rsidRPr="0058526B" w:rsidRDefault="009C1254" w:rsidP="00747A81">
            <w:pPr>
              <w:rPr>
                <w:rFonts w:asciiTheme="minorHAnsi" w:hAnsiTheme="minorHAnsi" w:cstheme="minorHAnsi"/>
                <w:b/>
                <w:bCs/>
                <w:sz w:val="20"/>
                <w:szCs w:val="20"/>
              </w:rPr>
            </w:pPr>
            <w:r w:rsidRPr="0058526B">
              <w:rPr>
                <w:rFonts w:asciiTheme="minorHAnsi" w:hAnsiTheme="minorHAnsi" w:cstheme="minorHAnsi"/>
                <w:b/>
                <w:bCs/>
                <w:sz w:val="20"/>
                <w:szCs w:val="20"/>
              </w:rPr>
              <w:t>INTERMEDIÁRIO (-)</w:t>
            </w:r>
          </w:p>
        </w:tc>
        <w:tc>
          <w:tcPr>
            <w:tcW w:w="816" w:type="dxa"/>
            <w:vAlign w:val="center"/>
          </w:tcPr>
          <w:p w:rsidR="009C1254" w:rsidRPr="0058526B" w:rsidRDefault="009C1254" w:rsidP="00D31269">
            <w:pPr>
              <w:jc w:val="center"/>
              <w:rPr>
                <w:rFonts w:asciiTheme="minorHAnsi" w:hAnsiTheme="minorHAnsi" w:cstheme="minorHAnsi"/>
                <w:sz w:val="20"/>
                <w:szCs w:val="20"/>
              </w:rPr>
            </w:pPr>
            <w:r w:rsidRPr="0058526B">
              <w:rPr>
                <w:rFonts w:asciiTheme="minorHAnsi" w:hAnsiTheme="minorHAnsi" w:cstheme="minorHAnsi"/>
                <w:sz w:val="20"/>
                <w:szCs w:val="20"/>
              </w:rPr>
              <w:t>18</w:t>
            </w:r>
          </w:p>
        </w:tc>
        <w:tc>
          <w:tcPr>
            <w:tcW w:w="830" w:type="dxa"/>
            <w:shd w:val="clear" w:color="auto" w:fill="auto"/>
            <w:noWrap/>
            <w:vAlign w:val="center"/>
            <w:hideMark/>
          </w:tcPr>
          <w:p w:rsidR="009C1254" w:rsidRPr="0058526B" w:rsidRDefault="009C1254" w:rsidP="00D31269">
            <w:pPr>
              <w:jc w:val="center"/>
              <w:rPr>
                <w:rFonts w:asciiTheme="minorHAnsi" w:hAnsiTheme="minorHAnsi" w:cstheme="minorHAnsi"/>
                <w:bCs/>
                <w:sz w:val="20"/>
                <w:szCs w:val="20"/>
              </w:rPr>
            </w:pPr>
            <w:r w:rsidRPr="0058526B">
              <w:rPr>
                <w:rFonts w:asciiTheme="minorHAnsi" w:hAnsiTheme="minorHAnsi" w:cstheme="minorHAnsi"/>
                <w:bCs/>
                <w:sz w:val="20"/>
                <w:szCs w:val="20"/>
              </w:rPr>
              <w:t>10</w:t>
            </w:r>
          </w:p>
        </w:tc>
        <w:tc>
          <w:tcPr>
            <w:tcW w:w="567" w:type="dxa"/>
            <w:shd w:val="clear" w:color="auto" w:fill="auto"/>
            <w:noWrap/>
            <w:vAlign w:val="center"/>
            <w:hideMark/>
          </w:tcPr>
          <w:p w:rsidR="009C1254" w:rsidRPr="0058526B" w:rsidRDefault="009C1254" w:rsidP="00D31269">
            <w:pPr>
              <w:jc w:val="center"/>
              <w:rPr>
                <w:rFonts w:asciiTheme="minorHAnsi" w:hAnsiTheme="minorHAnsi" w:cstheme="minorHAnsi"/>
                <w:sz w:val="20"/>
                <w:szCs w:val="20"/>
              </w:rPr>
            </w:pPr>
            <w:r w:rsidRPr="0058526B">
              <w:rPr>
                <w:rFonts w:asciiTheme="minorHAnsi" w:hAnsiTheme="minorHAnsi" w:cstheme="minorHAnsi"/>
                <w:sz w:val="20"/>
                <w:szCs w:val="20"/>
              </w:rPr>
              <w:t>56%</w:t>
            </w:r>
          </w:p>
        </w:tc>
      </w:tr>
    </w:tbl>
    <w:p w:rsidR="00B44516" w:rsidRPr="0058526B" w:rsidRDefault="00B44516" w:rsidP="00B44516">
      <w:pPr>
        <w:spacing w:before="240" w:after="240"/>
        <w:jc w:val="both"/>
        <w:rPr>
          <w:rFonts w:asciiTheme="minorHAnsi" w:hAnsiTheme="minorHAnsi" w:cstheme="minorHAnsi"/>
          <w:sz w:val="22"/>
          <w:szCs w:val="22"/>
        </w:rPr>
      </w:pPr>
      <w:r w:rsidRPr="0058526B">
        <w:rPr>
          <w:rFonts w:asciiTheme="minorHAnsi" w:hAnsiTheme="minorHAnsi" w:cstheme="minorHAnsi"/>
          <w:sz w:val="22"/>
          <w:szCs w:val="22"/>
        </w:rPr>
        <w:t xml:space="preserve">A dimensão </w:t>
      </w:r>
      <w:r w:rsidR="00C415C1" w:rsidRPr="0058526B">
        <w:rPr>
          <w:rFonts w:asciiTheme="minorHAnsi" w:hAnsiTheme="minorHAnsi" w:cstheme="minorHAnsi"/>
          <w:b/>
          <w:sz w:val="22"/>
          <w:szCs w:val="22"/>
        </w:rPr>
        <w:t xml:space="preserve">AT 2. </w:t>
      </w:r>
      <w:proofErr w:type="gramStart"/>
      <w:r w:rsidR="00C415C1" w:rsidRPr="0058526B">
        <w:rPr>
          <w:rFonts w:asciiTheme="minorHAnsi" w:hAnsiTheme="minorHAnsi" w:cstheme="minorHAnsi"/>
          <w:b/>
          <w:sz w:val="22"/>
          <w:szCs w:val="22"/>
        </w:rPr>
        <w:t>Cadastro e Obrigação Tributária</w:t>
      </w:r>
      <w:proofErr w:type="gramEnd"/>
      <w:r w:rsidR="00C415C1" w:rsidRPr="0058526B">
        <w:rPr>
          <w:rFonts w:asciiTheme="minorHAnsi" w:hAnsiTheme="minorHAnsi" w:cstheme="minorHAnsi"/>
          <w:sz w:val="22"/>
          <w:szCs w:val="22"/>
        </w:rPr>
        <w:t xml:space="preserve"> </w:t>
      </w:r>
      <w:r w:rsidRPr="0058526B">
        <w:rPr>
          <w:rFonts w:asciiTheme="minorHAnsi" w:hAnsiTheme="minorHAnsi" w:cstheme="minorHAnsi"/>
          <w:sz w:val="22"/>
          <w:szCs w:val="22"/>
        </w:rPr>
        <w:t xml:space="preserve">apresentou o </w:t>
      </w:r>
      <w:r w:rsidR="00D17743" w:rsidRPr="0058526B">
        <w:rPr>
          <w:rFonts w:asciiTheme="minorHAnsi" w:hAnsiTheme="minorHAnsi" w:cstheme="minorHAnsi"/>
          <w:sz w:val="22"/>
          <w:szCs w:val="22"/>
        </w:rPr>
        <w:t xml:space="preserve">menor </w:t>
      </w:r>
      <w:r w:rsidRPr="0058526B">
        <w:rPr>
          <w:rFonts w:asciiTheme="minorHAnsi" w:hAnsiTheme="minorHAnsi" w:cstheme="minorHAnsi"/>
          <w:sz w:val="22"/>
          <w:szCs w:val="22"/>
        </w:rPr>
        <w:t xml:space="preserve">nível de maturidade dentre as 6 dimensões pesquisadas, </w:t>
      </w:r>
      <w:r w:rsidR="00D17743" w:rsidRPr="0058526B">
        <w:rPr>
          <w:rFonts w:asciiTheme="minorHAnsi" w:hAnsiTheme="minorHAnsi" w:cstheme="minorHAnsi"/>
          <w:sz w:val="22"/>
          <w:szCs w:val="22"/>
        </w:rPr>
        <w:t xml:space="preserve">Iniciante </w:t>
      </w:r>
      <w:r w:rsidR="00C415C1" w:rsidRPr="0058526B">
        <w:rPr>
          <w:rFonts w:asciiTheme="minorHAnsi" w:hAnsiTheme="minorHAnsi" w:cstheme="minorHAnsi"/>
          <w:sz w:val="22"/>
          <w:szCs w:val="22"/>
        </w:rPr>
        <w:t xml:space="preserve">(+) </w:t>
      </w:r>
      <w:r w:rsidRPr="0058526B">
        <w:rPr>
          <w:rFonts w:asciiTheme="minorHAnsi" w:hAnsiTheme="minorHAnsi" w:cstheme="minorHAnsi"/>
          <w:sz w:val="22"/>
          <w:szCs w:val="22"/>
        </w:rPr>
        <w:t>obten</w:t>
      </w:r>
      <w:r w:rsidR="00C415C1" w:rsidRPr="0058526B">
        <w:rPr>
          <w:rFonts w:asciiTheme="minorHAnsi" w:hAnsiTheme="minorHAnsi" w:cstheme="minorHAnsi"/>
          <w:sz w:val="22"/>
          <w:szCs w:val="22"/>
        </w:rPr>
        <w:t xml:space="preserve">do </w:t>
      </w:r>
      <w:r w:rsidR="00D17743" w:rsidRPr="0058526B">
        <w:rPr>
          <w:rFonts w:asciiTheme="minorHAnsi" w:hAnsiTheme="minorHAnsi" w:cstheme="minorHAnsi"/>
          <w:sz w:val="22"/>
          <w:szCs w:val="22"/>
        </w:rPr>
        <w:t>67</w:t>
      </w:r>
      <w:r w:rsidRPr="0058526B">
        <w:rPr>
          <w:rFonts w:asciiTheme="minorHAnsi" w:hAnsiTheme="minorHAnsi" w:cstheme="minorHAnsi"/>
          <w:sz w:val="22"/>
          <w:szCs w:val="22"/>
        </w:rPr>
        <w:t>% da pontuação máxima</w:t>
      </w:r>
      <w:r w:rsidR="00D17743" w:rsidRPr="0058526B">
        <w:rPr>
          <w:rFonts w:asciiTheme="minorHAnsi" w:hAnsiTheme="minorHAnsi" w:cstheme="minorHAnsi"/>
          <w:sz w:val="22"/>
          <w:szCs w:val="22"/>
        </w:rPr>
        <w:t xml:space="preserve">. A </w:t>
      </w:r>
      <w:proofErr w:type="gramStart"/>
      <w:r w:rsidR="00D17743" w:rsidRPr="0058526B">
        <w:rPr>
          <w:rFonts w:asciiTheme="minorHAnsi" w:hAnsiTheme="minorHAnsi" w:cstheme="minorHAnsi"/>
          <w:sz w:val="22"/>
          <w:szCs w:val="22"/>
        </w:rPr>
        <w:t xml:space="preserve">dimensão  </w:t>
      </w:r>
      <w:r w:rsidR="00D17743" w:rsidRPr="0058526B">
        <w:rPr>
          <w:rFonts w:asciiTheme="minorHAnsi" w:hAnsiTheme="minorHAnsi" w:cstheme="minorHAnsi"/>
          <w:b/>
          <w:sz w:val="22"/>
          <w:szCs w:val="22"/>
        </w:rPr>
        <w:t>AT</w:t>
      </w:r>
      <w:proofErr w:type="gramEnd"/>
      <w:r w:rsidR="00D17743" w:rsidRPr="0058526B">
        <w:rPr>
          <w:rFonts w:asciiTheme="minorHAnsi" w:hAnsiTheme="minorHAnsi" w:cstheme="minorHAnsi"/>
          <w:b/>
          <w:sz w:val="22"/>
          <w:szCs w:val="22"/>
        </w:rPr>
        <w:t xml:space="preserve"> 3. </w:t>
      </w:r>
      <w:proofErr w:type="gramStart"/>
      <w:r w:rsidR="00D17743" w:rsidRPr="0058526B">
        <w:rPr>
          <w:rFonts w:asciiTheme="minorHAnsi" w:hAnsiTheme="minorHAnsi" w:cstheme="minorHAnsi"/>
          <w:b/>
          <w:sz w:val="22"/>
          <w:szCs w:val="22"/>
        </w:rPr>
        <w:t>Fiscalização e Inteligência Fiscal</w:t>
      </w:r>
      <w:proofErr w:type="gramEnd"/>
      <w:r w:rsidR="00D17743" w:rsidRPr="0058526B">
        <w:rPr>
          <w:rFonts w:asciiTheme="minorHAnsi" w:hAnsiTheme="minorHAnsi" w:cstheme="minorHAnsi"/>
          <w:b/>
          <w:sz w:val="22"/>
          <w:szCs w:val="22"/>
        </w:rPr>
        <w:t xml:space="preserve"> </w:t>
      </w:r>
      <w:r w:rsidR="007358BF" w:rsidRPr="0058526B">
        <w:rPr>
          <w:rFonts w:asciiTheme="minorHAnsi" w:hAnsiTheme="minorHAnsi" w:cstheme="minorHAnsi"/>
          <w:sz w:val="22"/>
          <w:szCs w:val="22"/>
        </w:rPr>
        <w:t xml:space="preserve">alcançou 61% da pontuação máxima e obteve nível de maturidade </w:t>
      </w:r>
      <w:r w:rsidR="00D17743" w:rsidRPr="0058526B">
        <w:rPr>
          <w:rFonts w:asciiTheme="minorHAnsi" w:hAnsiTheme="minorHAnsi" w:cstheme="minorHAnsi"/>
          <w:sz w:val="22"/>
          <w:szCs w:val="22"/>
        </w:rPr>
        <w:t>Intermediário (+)</w:t>
      </w:r>
      <w:r w:rsidR="007358BF" w:rsidRPr="0058526B">
        <w:rPr>
          <w:rFonts w:asciiTheme="minorHAnsi" w:hAnsiTheme="minorHAnsi" w:cstheme="minorHAnsi"/>
          <w:sz w:val="22"/>
          <w:szCs w:val="22"/>
        </w:rPr>
        <w:t xml:space="preserve">, seguido das dimensões </w:t>
      </w:r>
      <w:r w:rsidR="00C415C1" w:rsidRPr="0058526B">
        <w:rPr>
          <w:rFonts w:asciiTheme="minorHAnsi" w:hAnsiTheme="minorHAnsi" w:cstheme="minorHAnsi"/>
          <w:b/>
          <w:sz w:val="22"/>
          <w:szCs w:val="22"/>
        </w:rPr>
        <w:t>AT 5. Serviços ao Contribuinte</w:t>
      </w:r>
      <w:r w:rsidR="00D31269" w:rsidRPr="0058526B">
        <w:rPr>
          <w:rFonts w:asciiTheme="minorHAnsi" w:hAnsiTheme="minorHAnsi" w:cstheme="minorHAnsi"/>
          <w:b/>
          <w:sz w:val="22"/>
          <w:szCs w:val="22"/>
        </w:rPr>
        <w:t xml:space="preserve"> (72%)</w:t>
      </w:r>
      <w:r w:rsidRPr="0058526B">
        <w:rPr>
          <w:rFonts w:asciiTheme="minorHAnsi" w:hAnsiTheme="minorHAnsi" w:cstheme="minorHAnsi"/>
          <w:b/>
          <w:sz w:val="22"/>
          <w:szCs w:val="22"/>
        </w:rPr>
        <w:t>;</w:t>
      </w:r>
      <w:r w:rsidR="007358BF" w:rsidRPr="0058526B">
        <w:rPr>
          <w:rFonts w:asciiTheme="minorHAnsi" w:hAnsiTheme="minorHAnsi" w:cstheme="minorHAnsi"/>
          <w:b/>
          <w:sz w:val="22"/>
          <w:szCs w:val="22"/>
        </w:rPr>
        <w:t xml:space="preserve"> </w:t>
      </w:r>
      <w:r w:rsidR="00C415C1" w:rsidRPr="0058526B">
        <w:rPr>
          <w:rFonts w:asciiTheme="minorHAnsi" w:hAnsiTheme="minorHAnsi" w:cstheme="minorHAnsi"/>
          <w:b/>
          <w:sz w:val="22"/>
          <w:szCs w:val="22"/>
        </w:rPr>
        <w:t>AT 6. Cobrança e Arrecadação</w:t>
      </w:r>
      <w:r w:rsidR="00D31269" w:rsidRPr="0058526B">
        <w:rPr>
          <w:rFonts w:asciiTheme="minorHAnsi" w:hAnsiTheme="minorHAnsi" w:cstheme="minorHAnsi"/>
          <w:b/>
          <w:sz w:val="22"/>
          <w:szCs w:val="22"/>
        </w:rPr>
        <w:t xml:space="preserve"> (56%)</w:t>
      </w:r>
      <w:r w:rsidR="00C415C1" w:rsidRPr="0058526B">
        <w:rPr>
          <w:rFonts w:asciiTheme="minorHAnsi" w:hAnsiTheme="minorHAnsi" w:cstheme="minorHAnsi"/>
          <w:b/>
          <w:sz w:val="22"/>
          <w:szCs w:val="22"/>
        </w:rPr>
        <w:t xml:space="preserve">; </w:t>
      </w:r>
      <w:r w:rsidR="00157F95" w:rsidRPr="0058526B">
        <w:rPr>
          <w:rFonts w:asciiTheme="minorHAnsi" w:hAnsiTheme="minorHAnsi" w:cstheme="minorHAnsi"/>
          <w:b/>
          <w:sz w:val="22"/>
          <w:szCs w:val="22"/>
        </w:rPr>
        <w:t xml:space="preserve">AT 1. Políticas e </w:t>
      </w:r>
      <w:proofErr w:type="spellStart"/>
      <w:r w:rsidR="00157F95" w:rsidRPr="0058526B">
        <w:rPr>
          <w:rFonts w:asciiTheme="minorHAnsi" w:hAnsiTheme="minorHAnsi" w:cstheme="minorHAnsi"/>
          <w:b/>
          <w:sz w:val="22"/>
          <w:szCs w:val="22"/>
        </w:rPr>
        <w:t>Gastro</w:t>
      </w:r>
      <w:proofErr w:type="spellEnd"/>
      <w:r w:rsidR="00157F95" w:rsidRPr="0058526B">
        <w:rPr>
          <w:rFonts w:asciiTheme="minorHAnsi" w:hAnsiTheme="minorHAnsi" w:cstheme="minorHAnsi"/>
          <w:b/>
          <w:sz w:val="22"/>
          <w:szCs w:val="22"/>
        </w:rPr>
        <w:t xml:space="preserve"> Tributário (56%); </w:t>
      </w:r>
      <w:r w:rsidR="00C415C1" w:rsidRPr="0058526B">
        <w:rPr>
          <w:rFonts w:asciiTheme="minorHAnsi" w:hAnsiTheme="minorHAnsi" w:cstheme="minorHAnsi"/>
          <w:b/>
          <w:sz w:val="22"/>
          <w:szCs w:val="22"/>
        </w:rPr>
        <w:t>e AT 4. Contencioso Fiscal</w:t>
      </w:r>
      <w:r w:rsidR="00157F95" w:rsidRPr="0058526B">
        <w:rPr>
          <w:rFonts w:asciiTheme="minorHAnsi" w:hAnsiTheme="minorHAnsi" w:cstheme="minorHAnsi"/>
          <w:b/>
          <w:sz w:val="22"/>
          <w:szCs w:val="22"/>
        </w:rPr>
        <w:t xml:space="preserve"> (50%)</w:t>
      </w:r>
      <w:r w:rsidRPr="0058526B">
        <w:rPr>
          <w:rFonts w:asciiTheme="minorHAnsi" w:hAnsiTheme="minorHAnsi" w:cstheme="minorHAnsi"/>
          <w:sz w:val="22"/>
          <w:szCs w:val="22"/>
        </w:rPr>
        <w:t>, que obtiveram nível de maturidade In</w:t>
      </w:r>
      <w:r w:rsidR="00C415C1" w:rsidRPr="0058526B">
        <w:rPr>
          <w:rFonts w:asciiTheme="minorHAnsi" w:hAnsiTheme="minorHAnsi" w:cstheme="minorHAnsi"/>
          <w:sz w:val="22"/>
          <w:szCs w:val="22"/>
        </w:rPr>
        <w:t xml:space="preserve">termediário (-) </w:t>
      </w:r>
      <w:r w:rsidRPr="0058526B">
        <w:rPr>
          <w:rFonts w:asciiTheme="minorHAnsi" w:hAnsiTheme="minorHAnsi" w:cstheme="minorHAnsi"/>
          <w:sz w:val="22"/>
          <w:szCs w:val="22"/>
        </w:rPr>
        <w:t xml:space="preserve">com </w:t>
      </w:r>
      <w:r w:rsidR="00C415C1" w:rsidRPr="0058526B">
        <w:rPr>
          <w:rFonts w:asciiTheme="minorHAnsi" w:hAnsiTheme="minorHAnsi" w:cstheme="minorHAnsi"/>
          <w:b/>
          <w:sz w:val="22"/>
          <w:szCs w:val="22"/>
        </w:rPr>
        <w:t>72</w:t>
      </w:r>
      <w:r w:rsidRPr="0058526B">
        <w:rPr>
          <w:rFonts w:asciiTheme="minorHAnsi" w:hAnsiTheme="minorHAnsi" w:cstheme="minorHAnsi"/>
          <w:b/>
          <w:sz w:val="22"/>
          <w:szCs w:val="22"/>
        </w:rPr>
        <w:t xml:space="preserve">%, </w:t>
      </w:r>
      <w:r w:rsidR="00157F95" w:rsidRPr="0058526B">
        <w:rPr>
          <w:rFonts w:asciiTheme="minorHAnsi" w:hAnsiTheme="minorHAnsi" w:cstheme="minorHAnsi"/>
          <w:b/>
          <w:sz w:val="22"/>
          <w:szCs w:val="22"/>
        </w:rPr>
        <w:t>56</w:t>
      </w:r>
      <w:r w:rsidR="00C415C1" w:rsidRPr="0058526B">
        <w:rPr>
          <w:rFonts w:asciiTheme="minorHAnsi" w:hAnsiTheme="minorHAnsi" w:cstheme="minorHAnsi"/>
          <w:b/>
          <w:sz w:val="22"/>
          <w:szCs w:val="22"/>
        </w:rPr>
        <w:t xml:space="preserve">%, 56%, </w:t>
      </w:r>
      <w:r w:rsidR="00157F95" w:rsidRPr="0058526B">
        <w:rPr>
          <w:rFonts w:asciiTheme="minorHAnsi" w:hAnsiTheme="minorHAnsi" w:cstheme="minorHAnsi"/>
          <w:b/>
          <w:sz w:val="22"/>
          <w:szCs w:val="22"/>
        </w:rPr>
        <w:t>e 56%</w:t>
      </w:r>
      <w:r w:rsidR="00C415C1" w:rsidRPr="0058526B">
        <w:rPr>
          <w:rFonts w:asciiTheme="minorHAnsi" w:hAnsiTheme="minorHAnsi" w:cstheme="minorHAnsi"/>
          <w:sz w:val="22"/>
          <w:szCs w:val="22"/>
        </w:rPr>
        <w:t xml:space="preserve"> </w:t>
      </w:r>
      <w:r w:rsidRPr="0058526B">
        <w:rPr>
          <w:rFonts w:asciiTheme="minorHAnsi" w:hAnsiTheme="minorHAnsi" w:cstheme="minorHAnsi"/>
          <w:sz w:val="22"/>
          <w:szCs w:val="22"/>
        </w:rPr>
        <w:t xml:space="preserve">da pontuação máxima respectivamente. </w:t>
      </w:r>
    </w:p>
    <w:p w:rsidR="00B44516" w:rsidRPr="0072678C" w:rsidRDefault="00B44516" w:rsidP="00B44516">
      <w:pPr>
        <w:spacing w:before="240"/>
        <w:jc w:val="both"/>
        <w:rPr>
          <w:rFonts w:asciiTheme="minorHAnsi" w:hAnsiTheme="minorHAnsi" w:cstheme="minorHAnsi"/>
          <w:sz w:val="22"/>
          <w:szCs w:val="22"/>
        </w:rPr>
      </w:pPr>
      <w:r w:rsidRPr="0072678C">
        <w:rPr>
          <w:rFonts w:asciiTheme="minorHAnsi" w:hAnsiTheme="minorHAnsi" w:cstheme="minorHAnsi"/>
          <w:sz w:val="22"/>
          <w:szCs w:val="22"/>
        </w:rPr>
        <w:t>A seguir, analisa-se o resultado de cada dimensão consolidada.</w:t>
      </w:r>
    </w:p>
    <w:p w:rsidR="00404C94" w:rsidRPr="0072678C" w:rsidRDefault="00404C94" w:rsidP="00B44516">
      <w:pPr>
        <w:spacing w:before="240"/>
        <w:jc w:val="both"/>
        <w:rPr>
          <w:rFonts w:asciiTheme="minorHAnsi" w:hAnsiTheme="minorHAnsi" w:cstheme="minorHAnsi"/>
          <w:sz w:val="22"/>
          <w:szCs w:val="22"/>
        </w:rPr>
      </w:pPr>
    </w:p>
    <w:p w:rsidR="00404C94" w:rsidRPr="0072678C" w:rsidRDefault="00404C94" w:rsidP="00B44516">
      <w:pPr>
        <w:spacing w:before="240"/>
        <w:jc w:val="both"/>
        <w:rPr>
          <w:rFonts w:asciiTheme="minorHAnsi" w:hAnsiTheme="minorHAnsi" w:cstheme="minorHAnsi"/>
          <w:sz w:val="22"/>
          <w:szCs w:val="22"/>
        </w:rPr>
      </w:pPr>
    </w:p>
    <w:p w:rsidR="00404C94" w:rsidRPr="0072678C" w:rsidRDefault="00404C94" w:rsidP="00B44516">
      <w:pPr>
        <w:spacing w:before="240"/>
        <w:jc w:val="both"/>
        <w:rPr>
          <w:rFonts w:asciiTheme="minorHAnsi" w:hAnsiTheme="minorHAnsi" w:cstheme="minorHAnsi"/>
          <w:sz w:val="22"/>
          <w:szCs w:val="22"/>
        </w:rPr>
      </w:pPr>
    </w:p>
    <w:tbl>
      <w:tblPr>
        <w:tblStyle w:val="TableGrid"/>
        <w:tblW w:w="8789" w:type="dxa"/>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E599" w:themeFill="accent4" w:themeFillTint="66"/>
        <w:tblLook w:val="04A0" w:firstRow="1" w:lastRow="0" w:firstColumn="1" w:lastColumn="0" w:noHBand="0" w:noVBand="1"/>
      </w:tblPr>
      <w:tblGrid>
        <w:gridCol w:w="6592"/>
        <w:gridCol w:w="2197"/>
      </w:tblGrid>
      <w:tr w:rsidR="00B44516" w:rsidRPr="0072678C" w:rsidTr="00B44516">
        <w:tc>
          <w:tcPr>
            <w:tcW w:w="6592" w:type="dxa"/>
            <w:shd w:val="clear" w:color="auto" w:fill="FFE599" w:themeFill="accent4" w:themeFillTint="66"/>
          </w:tcPr>
          <w:p w:rsidR="00B44516" w:rsidRPr="0072678C" w:rsidRDefault="00B44516" w:rsidP="00B44516">
            <w:pPr>
              <w:spacing w:before="120" w:after="120"/>
              <w:jc w:val="both"/>
              <w:rPr>
                <w:rFonts w:asciiTheme="minorHAnsi" w:hAnsiTheme="minorHAnsi" w:cstheme="minorHAnsi"/>
                <w:b/>
              </w:rPr>
            </w:pPr>
            <w:r w:rsidRPr="0072678C">
              <w:rPr>
                <w:rFonts w:asciiTheme="minorHAnsi" w:hAnsiTheme="minorHAnsi" w:cstheme="minorHAnsi"/>
              </w:rPr>
              <w:lastRenderedPageBreak/>
              <w:br w:type="page"/>
            </w:r>
            <w:r w:rsidRPr="0072678C">
              <w:rPr>
                <w:rFonts w:asciiTheme="minorHAnsi" w:hAnsiTheme="minorHAnsi" w:cstheme="minorHAnsi"/>
                <w:b/>
              </w:rPr>
              <w:t>Dimensão AT 1. Políticas e Gasto Tributário</w:t>
            </w:r>
          </w:p>
        </w:tc>
        <w:tc>
          <w:tcPr>
            <w:tcW w:w="2197" w:type="dxa"/>
            <w:shd w:val="clear" w:color="auto" w:fill="FFE599" w:themeFill="accent4" w:themeFillTint="66"/>
          </w:tcPr>
          <w:p w:rsidR="00B44516" w:rsidRPr="0072678C" w:rsidRDefault="002109CA" w:rsidP="00B44516">
            <w:pPr>
              <w:spacing w:before="120" w:after="120"/>
              <w:jc w:val="center"/>
              <w:rPr>
                <w:rFonts w:asciiTheme="minorHAnsi" w:hAnsiTheme="minorHAnsi" w:cstheme="minorHAnsi"/>
                <w:b/>
              </w:rPr>
            </w:pPr>
            <w:r w:rsidRPr="0072678C">
              <w:rPr>
                <w:rFonts w:asciiTheme="minorHAnsi" w:hAnsiTheme="minorHAnsi" w:cstheme="minorHAnsi"/>
                <w:b/>
                <w:bCs/>
              </w:rPr>
              <w:t>INTERMEDIÁRIO (-)</w:t>
            </w:r>
          </w:p>
        </w:tc>
      </w:tr>
    </w:tbl>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 dimensão </w:t>
      </w:r>
      <w:r w:rsidRPr="0072678C">
        <w:rPr>
          <w:rFonts w:asciiTheme="minorHAnsi" w:hAnsiTheme="minorHAnsi" w:cstheme="minorHAnsi"/>
          <w:b/>
          <w:sz w:val="22"/>
          <w:szCs w:val="22"/>
        </w:rPr>
        <w:t xml:space="preserve">Políticas e Gasto Público </w:t>
      </w:r>
      <w:r w:rsidRPr="0072678C">
        <w:rPr>
          <w:rFonts w:asciiTheme="minorHAnsi" w:hAnsiTheme="minorHAnsi" w:cstheme="minorHAnsi"/>
          <w:sz w:val="22"/>
          <w:szCs w:val="22"/>
        </w:rPr>
        <w:t>tem como visão de futuro “gerar informação para definição e avaliação de políticas fiscais e da receita tributária, inclusive quanto às desonerações, ou seja, gasto tributário”.</w:t>
      </w:r>
    </w:p>
    <w:p w:rsidR="00B44516" w:rsidRPr="0072678C" w:rsidRDefault="00B44516" w:rsidP="00B44516">
      <w:pPr>
        <w:spacing w:before="240" w:after="240"/>
        <w:jc w:val="both"/>
        <w:rPr>
          <w:rFonts w:asciiTheme="minorHAnsi" w:hAnsiTheme="minorHAnsi" w:cstheme="minorHAnsi"/>
          <w:b/>
          <w:bCs/>
          <w:sz w:val="22"/>
          <w:szCs w:val="22"/>
        </w:rPr>
      </w:pPr>
      <w:r w:rsidRPr="0072678C">
        <w:rPr>
          <w:rFonts w:asciiTheme="minorHAnsi" w:hAnsiTheme="minorHAnsi" w:cstheme="minorHAnsi"/>
          <w:sz w:val="22"/>
          <w:szCs w:val="22"/>
        </w:rPr>
        <w:t xml:space="preserve">O nível ou estágio de maturidade do conjunto de processos que compõem esta dimensão, apurado pela MD-GEFIS, é </w:t>
      </w:r>
      <w:r w:rsidR="002109CA" w:rsidRPr="0072678C">
        <w:rPr>
          <w:rFonts w:asciiTheme="minorHAnsi" w:hAnsiTheme="minorHAnsi" w:cstheme="minorHAnsi"/>
          <w:b/>
          <w:bCs/>
          <w:sz w:val="22"/>
          <w:szCs w:val="22"/>
        </w:rPr>
        <w:t>INTERMEDIÁRIO (-).</w:t>
      </w:r>
    </w:p>
    <w:p w:rsidR="00914F69" w:rsidRPr="0072678C" w:rsidRDefault="00914F69" w:rsidP="00914F69">
      <w:pPr>
        <w:jc w:val="both"/>
        <w:rPr>
          <w:rFonts w:asciiTheme="minorHAnsi" w:hAnsiTheme="minorHAnsi" w:cstheme="minorHAnsi"/>
          <w:sz w:val="22"/>
          <w:szCs w:val="22"/>
        </w:rPr>
      </w:pPr>
      <w:r w:rsidRPr="0072678C">
        <w:rPr>
          <w:rFonts w:asciiTheme="minorHAnsi" w:hAnsiTheme="minorHAnsi" w:cstheme="minorHAnsi"/>
          <w:sz w:val="22"/>
          <w:szCs w:val="22"/>
        </w:rPr>
        <w:t xml:space="preserve">O alto nível ou estágio de maturidade do conjunto de processos críticos que compõe esta dimensão é decorrente da concentração de 3 dos 6 processos críticos com nível 3 de maturidade, conforme apurado pela MD-GEFIS: </w:t>
      </w:r>
      <w:r w:rsidRPr="0072678C">
        <w:rPr>
          <w:rFonts w:asciiTheme="minorHAnsi" w:hAnsiTheme="minorHAnsi" w:cstheme="minorHAnsi"/>
          <w:b/>
          <w:bCs/>
          <w:i/>
          <w:iCs/>
          <w:sz w:val="22"/>
          <w:szCs w:val="22"/>
        </w:rPr>
        <w:t>formulação e a avaliação de políticas e normas fiscais na área tributária;  controle e apuração da brecha de política tributária (gasto tributário) do ICMS; e controle e apuração da brecha de política tributária (gasto tributário) do IPVA</w:t>
      </w:r>
      <w:r w:rsidRPr="0072678C">
        <w:rPr>
          <w:rFonts w:asciiTheme="minorHAnsi" w:hAnsiTheme="minorHAnsi" w:cstheme="minorHAnsi"/>
          <w:sz w:val="22"/>
          <w:szCs w:val="22"/>
        </w:rPr>
        <w:t xml:space="preserve"> </w:t>
      </w:r>
    </w:p>
    <w:p w:rsidR="00914F69" w:rsidRPr="0072678C" w:rsidRDefault="00914F69" w:rsidP="00914F69">
      <w:pPr>
        <w:jc w:val="both"/>
        <w:rPr>
          <w:rFonts w:asciiTheme="minorHAnsi" w:hAnsiTheme="minorHAnsi" w:cstheme="minorHAnsi"/>
          <w:sz w:val="22"/>
          <w:szCs w:val="22"/>
        </w:rPr>
      </w:pPr>
    </w:p>
    <w:p w:rsidR="00914F69" w:rsidRPr="0072678C" w:rsidRDefault="00914F69" w:rsidP="00914F69">
      <w:pPr>
        <w:jc w:val="both"/>
        <w:rPr>
          <w:rFonts w:asciiTheme="minorHAnsi" w:hAnsiTheme="minorHAnsi" w:cstheme="minorHAnsi"/>
          <w:sz w:val="22"/>
          <w:szCs w:val="22"/>
        </w:rPr>
      </w:pPr>
      <w:r w:rsidRPr="0072678C">
        <w:rPr>
          <w:rFonts w:asciiTheme="minorHAnsi" w:hAnsiTheme="minorHAnsi" w:cstheme="minorHAnsi"/>
          <w:sz w:val="22"/>
          <w:szCs w:val="22"/>
        </w:rPr>
        <w:t>Os processos críticos</w:t>
      </w:r>
      <w:r w:rsidRPr="0072678C">
        <w:rPr>
          <w:rFonts w:ascii="Calibri" w:hAnsi="Calibri" w:cs="Calibri"/>
          <w:b/>
          <w:bCs/>
          <w:i/>
          <w:iCs/>
          <w:sz w:val="22"/>
          <w:szCs w:val="22"/>
        </w:rPr>
        <w:t xml:space="preserve">, </w:t>
      </w:r>
      <w:r w:rsidRPr="0072678C">
        <w:rPr>
          <w:rFonts w:asciiTheme="minorHAnsi" w:hAnsiTheme="minorHAnsi" w:cstheme="minorHAnsi"/>
          <w:b/>
          <w:bCs/>
          <w:i/>
          <w:iCs/>
          <w:sz w:val="22"/>
          <w:szCs w:val="22"/>
        </w:rPr>
        <w:t xml:space="preserve">apuração da brecha tributária </w:t>
      </w:r>
      <w:r w:rsidRPr="0072678C">
        <w:rPr>
          <w:rFonts w:asciiTheme="minorHAnsi" w:hAnsiTheme="minorHAnsi" w:cstheme="minorHAnsi"/>
          <w:i/>
          <w:iCs/>
          <w:sz w:val="22"/>
          <w:szCs w:val="22"/>
        </w:rPr>
        <w:t>(gap tributário)</w:t>
      </w:r>
      <w:r w:rsidRPr="0072678C">
        <w:rPr>
          <w:rFonts w:asciiTheme="minorHAnsi" w:hAnsiTheme="minorHAnsi" w:cstheme="minorHAnsi"/>
          <w:sz w:val="22"/>
          <w:szCs w:val="22"/>
        </w:rPr>
        <w:t xml:space="preserve"> </w:t>
      </w:r>
      <w:r w:rsidRPr="0072678C">
        <w:rPr>
          <w:rFonts w:asciiTheme="minorHAnsi" w:hAnsiTheme="minorHAnsi" w:cstheme="minorHAnsi"/>
          <w:b/>
          <w:bCs/>
          <w:sz w:val="22"/>
          <w:szCs w:val="22"/>
        </w:rPr>
        <w:t>de cumprimento</w:t>
      </w:r>
      <w:r w:rsidRPr="0072678C">
        <w:rPr>
          <w:rFonts w:asciiTheme="minorHAnsi" w:hAnsiTheme="minorHAnsi" w:cstheme="minorHAnsi"/>
          <w:sz w:val="22"/>
          <w:szCs w:val="22"/>
        </w:rPr>
        <w:t xml:space="preserve"> </w:t>
      </w:r>
      <w:r w:rsidRPr="0072678C">
        <w:rPr>
          <w:rFonts w:asciiTheme="minorHAnsi" w:hAnsiTheme="minorHAnsi" w:cstheme="minorHAnsi"/>
          <w:b/>
          <w:bCs/>
          <w:sz w:val="22"/>
          <w:szCs w:val="22"/>
        </w:rPr>
        <w:t xml:space="preserve">administrativo; e </w:t>
      </w:r>
      <w:r w:rsidRPr="0072678C">
        <w:rPr>
          <w:rFonts w:asciiTheme="minorHAnsi" w:hAnsiTheme="minorHAnsi" w:cstheme="minorHAnsi"/>
          <w:b/>
          <w:bCs/>
          <w:i/>
          <w:iCs/>
          <w:sz w:val="22"/>
          <w:szCs w:val="22"/>
        </w:rPr>
        <w:t>consulta sobre interpretação da legislação tributária</w:t>
      </w:r>
      <w:r w:rsidRPr="0072678C">
        <w:rPr>
          <w:rFonts w:asciiTheme="minorHAnsi" w:hAnsiTheme="minorHAnsi" w:cstheme="minorHAnsi"/>
          <w:sz w:val="22"/>
          <w:szCs w:val="22"/>
        </w:rPr>
        <w:t xml:space="preserve"> apresentam nível 2 de maturidade, retratando, assim, média adoção das boas práticas apresentadas pela MD-GEFIS. </w:t>
      </w:r>
    </w:p>
    <w:p w:rsidR="00914F69" w:rsidRPr="0072678C" w:rsidRDefault="00914F69" w:rsidP="00914F69">
      <w:pPr>
        <w:jc w:val="both"/>
        <w:rPr>
          <w:rFonts w:asciiTheme="minorHAnsi" w:hAnsiTheme="minorHAnsi" w:cstheme="minorHAnsi"/>
          <w:sz w:val="22"/>
          <w:szCs w:val="22"/>
        </w:rPr>
      </w:pPr>
    </w:p>
    <w:p w:rsidR="00914F69" w:rsidRPr="0072678C" w:rsidRDefault="00914F69" w:rsidP="00914F69">
      <w:pPr>
        <w:jc w:val="both"/>
        <w:rPr>
          <w:rFonts w:asciiTheme="minorHAnsi" w:hAnsiTheme="minorHAnsi" w:cstheme="minorHAnsi"/>
          <w:sz w:val="22"/>
          <w:szCs w:val="22"/>
        </w:rPr>
      </w:pPr>
      <w:r w:rsidRPr="0072678C">
        <w:rPr>
          <w:rFonts w:asciiTheme="minorHAnsi" w:hAnsiTheme="minorHAnsi" w:cstheme="minorHAnsi"/>
          <w:sz w:val="22"/>
          <w:szCs w:val="22"/>
        </w:rPr>
        <w:t xml:space="preserve">Apenas o processo </w:t>
      </w:r>
      <w:r w:rsidRPr="0072678C">
        <w:rPr>
          <w:rFonts w:asciiTheme="minorHAnsi" w:hAnsiTheme="minorHAnsi" w:cstheme="minorHAnsi"/>
          <w:b/>
          <w:bCs/>
          <w:i/>
          <w:iCs/>
          <w:sz w:val="22"/>
          <w:szCs w:val="22"/>
        </w:rPr>
        <w:t>controle e apuração da brecha de política tributária (gasto tributário) do ITCMD</w:t>
      </w:r>
      <w:r w:rsidR="00480EE9"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obteve nível 0 (zero) de maturidade, ou seja, não atende a nenhum dos 6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w:t>
      </w:r>
    </w:p>
    <w:p w:rsidR="00ED5BCF" w:rsidRPr="0072678C" w:rsidRDefault="00ED5BCF"/>
    <w:p w:rsidR="00CC713F" w:rsidRPr="0072678C" w:rsidRDefault="00ED5BCF" w:rsidP="00CC713F">
      <w:pPr>
        <w:jc w:val="both"/>
        <w:rPr>
          <w:rFonts w:asciiTheme="minorHAnsi" w:hAnsiTheme="minorHAnsi" w:cstheme="minorHAnsi"/>
          <w:sz w:val="22"/>
          <w:szCs w:val="22"/>
        </w:rPr>
      </w:pPr>
      <w:r w:rsidRPr="0072678C">
        <w:rPr>
          <w:rFonts w:asciiTheme="minorHAnsi" w:hAnsiTheme="minorHAnsi" w:cstheme="minorHAnsi"/>
          <w:sz w:val="22"/>
          <w:szCs w:val="22"/>
        </w:rPr>
        <w:t>A</w:t>
      </w:r>
      <w:r w:rsidRPr="0072678C">
        <w:rPr>
          <w:rFonts w:asciiTheme="minorHAnsi" w:hAnsiTheme="minorHAnsi" w:cstheme="minorHAnsi"/>
          <w:b/>
          <w:bCs/>
          <w:sz w:val="22"/>
          <w:szCs w:val="22"/>
        </w:rPr>
        <w:t xml:space="preserve"> </w:t>
      </w:r>
      <w:r w:rsidRPr="0072678C">
        <w:rPr>
          <w:rFonts w:asciiTheme="minorHAnsi" w:hAnsiTheme="minorHAnsi" w:cstheme="minorHAnsi"/>
          <w:b/>
          <w:bCs/>
          <w:i/>
          <w:iCs/>
          <w:sz w:val="22"/>
          <w:szCs w:val="22"/>
        </w:rPr>
        <w:t xml:space="preserve">formulação e a avaliação de políticas e normas fiscais na área tributária </w:t>
      </w:r>
      <w:proofErr w:type="gramStart"/>
      <w:r w:rsidRPr="0072678C">
        <w:rPr>
          <w:rFonts w:asciiTheme="minorHAnsi" w:hAnsiTheme="minorHAnsi" w:cstheme="minorHAnsi"/>
          <w:sz w:val="22"/>
          <w:szCs w:val="22"/>
        </w:rPr>
        <w:t>obteve</w:t>
      </w:r>
      <w:proofErr w:type="gramEnd"/>
      <w:r w:rsidRPr="0072678C">
        <w:rPr>
          <w:rFonts w:asciiTheme="minorHAnsi" w:hAnsiTheme="minorHAnsi" w:cstheme="minorHAnsi"/>
          <w:sz w:val="22"/>
          <w:szCs w:val="22"/>
        </w:rPr>
        <w:t xml:space="preserve"> nível 3 de maturidade e atende a 5 dentre 7 </w:t>
      </w:r>
      <w:r w:rsidR="009B231A">
        <w:rPr>
          <w:rFonts w:asciiTheme="minorHAnsi" w:hAnsiTheme="minorHAnsi" w:cstheme="minorHAnsi"/>
          <w:sz w:val="22"/>
          <w:szCs w:val="22"/>
        </w:rPr>
        <w:t>requisitos</w:t>
      </w:r>
      <w:r w:rsidR="00283FD5" w:rsidRPr="0072678C">
        <w:rPr>
          <w:rFonts w:asciiTheme="minorHAnsi" w:hAnsiTheme="minorHAnsi" w:cstheme="minorHAnsi"/>
          <w:sz w:val="22"/>
          <w:szCs w:val="22"/>
        </w:rPr>
        <w:t xml:space="preserve"> das boas práticas da MD-GEFIS. </w:t>
      </w:r>
      <w:r w:rsidRPr="0072678C">
        <w:rPr>
          <w:rFonts w:asciiTheme="minorHAnsi" w:hAnsiTheme="minorHAnsi" w:cstheme="minorHAnsi"/>
          <w:sz w:val="22"/>
          <w:szCs w:val="22"/>
        </w:rPr>
        <w:t xml:space="preserve"> </w:t>
      </w:r>
      <w:r w:rsidR="00CC713F" w:rsidRPr="0072678C">
        <w:rPr>
          <w:rFonts w:asciiTheme="minorHAnsi" w:hAnsiTheme="minorHAnsi" w:cstheme="minorHAnsi"/>
          <w:sz w:val="22"/>
          <w:szCs w:val="22"/>
        </w:rPr>
        <w:t>Neste processo a SEFAZ/SP i</w:t>
      </w:r>
      <w:r w:rsidR="00283FD5" w:rsidRPr="0072678C">
        <w:rPr>
          <w:rFonts w:asciiTheme="minorHAnsi" w:hAnsiTheme="minorHAnsi" w:cstheme="minorHAnsi"/>
          <w:sz w:val="22"/>
          <w:szCs w:val="22"/>
        </w:rPr>
        <w:t>dentifica as demandas internas e externas de formulação ou reformulação da política e da norma tributária e propõem alternativas de solução</w:t>
      </w:r>
      <w:r w:rsidR="00CC713F" w:rsidRPr="0072678C">
        <w:rPr>
          <w:rFonts w:asciiTheme="minorHAnsi" w:hAnsiTheme="minorHAnsi" w:cstheme="minorHAnsi"/>
          <w:sz w:val="22"/>
          <w:szCs w:val="22"/>
        </w:rPr>
        <w:t xml:space="preserve">; realiza estudos econômicos, tributários e financeiros e avaliações de impacto para subsidiar a formulação das políticas e normas fiscais, considerando diferentes cenários; adota metodologia para monitoramento e avaliação dos resultados e impactos econômicos da implementação das políticas e identifica necessidade de ajustes por meio da </w:t>
      </w:r>
      <w:r w:rsidR="00283FD5" w:rsidRPr="0072678C">
        <w:rPr>
          <w:rFonts w:asciiTheme="minorHAnsi" w:hAnsiTheme="minorHAnsi" w:cstheme="minorHAnsi"/>
          <w:sz w:val="22"/>
          <w:szCs w:val="22"/>
        </w:rPr>
        <w:t>Diretoria de Estudos T</w:t>
      </w:r>
      <w:r w:rsidR="00CC713F" w:rsidRPr="0072678C">
        <w:rPr>
          <w:rFonts w:asciiTheme="minorHAnsi" w:hAnsiTheme="minorHAnsi" w:cstheme="minorHAnsi"/>
          <w:sz w:val="22"/>
          <w:szCs w:val="22"/>
        </w:rPr>
        <w:t xml:space="preserve">ributários e Econômicos – DETEC, que tem conforme </w:t>
      </w:r>
      <w:r w:rsidR="00283FD5" w:rsidRPr="0072678C">
        <w:rPr>
          <w:rFonts w:asciiTheme="minorHAnsi" w:hAnsiTheme="minorHAnsi" w:cstheme="minorHAnsi"/>
          <w:sz w:val="22"/>
          <w:szCs w:val="22"/>
        </w:rPr>
        <w:t>art. 46, do Decreto 60.812, de 30/09/2014</w:t>
      </w:r>
      <w:r w:rsidR="004C04C7" w:rsidRPr="0072678C">
        <w:rPr>
          <w:rFonts w:asciiTheme="minorHAnsi" w:hAnsiTheme="minorHAnsi" w:cstheme="minorHAnsi"/>
          <w:sz w:val="22"/>
          <w:szCs w:val="22"/>
        </w:rPr>
        <w:t xml:space="preserve"> as seguintes atribuições</w:t>
      </w:r>
      <w:r w:rsidR="00283FD5" w:rsidRPr="0072678C">
        <w:rPr>
          <w:rFonts w:asciiTheme="minorHAnsi" w:hAnsiTheme="minorHAnsi" w:cstheme="minorHAnsi"/>
          <w:sz w:val="22"/>
          <w:szCs w:val="22"/>
        </w:rPr>
        <w:t>: (i) realizar estudos, propostas e análises para subsidiar o planejamento e a formulação da política tributária</w:t>
      </w:r>
      <w:r w:rsidR="009A5B22" w:rsidRPr="0072678C">
        <w:rPr>
          <w:rFonts w:asciiTheme="minorHAnsi" w:hAnsiTheme="minorHAnsi" w:cstheme="minorHAnsi"/>
          <w:sz w:val="22"/>
          <w:szCs w:val="22"/>
        </w:rPr>
        <w:t>,</w:t>
      </w:r>
      <w:r w:rsidR="00283FD5" w:rsidRPr="0072678C">
        <w:rPr>
          <w:rFonts w:asciiTheme="minorHAnsi" w:hAnsiTheme="minorHAnsi" w:cstheme="minorHAnsi"/>
          <w:sz w:val="22"/>
          <w:szCs w:val="22"/>
        </w:rPr>
        <w:t xml:space="preserve"> (</w:t>
      </w:r>
      <w:proofErr w:type="spellStart"/>
      <w:r w:rsidR="00283FD5" w:rsidRPr="0072678C">
        <w:rPr>
          <w:rFonts w:asciiTheme="minorHAnsi" w:hAnsiTheme="minorHAnsi" w:cstheme="minorHAnsi"/>
          <w:sz w:val="22"/>
          <w:szCs w:val="22"/>
        </w:rPr>
        <w:t>ii</w:t>
      </w:r>
      <w:proofErr w:type="spellEnd"/>
      <w:r w:rsidR="00283FD5" w:rsidRPr="0072678C">
        <w:rPr>
          <w:rFonts w:asciiTheme="minorHAnsi" w:hAnsiTheme="minorHAnsi" w:cstheme="minorHAnsi"/>
          <w:sz w:val="22"/>
          <w:szCs w:val="22"/>
        </w:rPr>
        <w:t>) efetuar a previsão e a análise da arrecadação</w:t>
      </w:r>
      <w:r w:rsidR="009A5B22" w:rsidRPr="0072678C">
        <w:rPr>
          <w:rFonts w:asciiTheme="minorHAnsi" w:hAnsiTheme="minorHAnsi" w:cstheme="minorHAnsi"/>
          <w:sz w:val="22"/>
          <w:szCs w:val="22"/>
        </w:rPr>
        <w:t>,</w:t>
      </w:r>
      <w:r w:rsidR="00CC713F" w:rsidRPr="0072678C">
        <w:rPr>
          <w:rFonts w:asciiTheme="minorHAnsi" w:hAnsiTheme="minorHAnsi" w:cstheme="minorHAnsi"/>
          <w:sz w:val="22"/>
          <w:szCs w:val="22"/>
        </w:rPr>
        <w:t xml:space="preserve"> (</w:t>
      </w:r>
      <w:proofErr w:type="spellStart"/>
      <w:r w:rsidR="00CC713F" w:rsidRPr="0072678C">
        <w:rPr>
          <w:rFonts w:asciiTheme="minorHAnsi" w:hAnsiTheme="minorHAnsi" w:cstheme="minorHAnsi"/>
          <w:sz w:val="22"/>
          <w:szCs w:val="22"/>
        </w:rPr>
        <w:t>iii</w:t>
      </w:r>
      <w:proofErr w:type="spellEnd"/>
      <w:r w:rsidR="00CC713F" w:rsidRPr="0072678C">
        <w:rPr>
          <w:rFonts w:asciiTheme="minorHAnsi" w:hAnsiTheme="minorHAnsi" w:cstheme="minorHAnsi"/>
          <w:sz w:val="22"/>
          <w:szCs w:val="22"/>
        </w:rPr>
        <w:t xml:space="preserve">) </w:t>
      </w:r>
      <w:r w:rsidR="00283FD5" w:rsidRPr="0072678C">
        <w:rPr>
          <w:rFonts w:asciiTheme="minorHAnsi" w:hAnsiTheme="minorHAnsi" w:cstheme="minorHAnsi"/>
          <w:sz w:val="22"/>
          <w:szCs w:val="22"/>
        </w:rPr>
        <w:t>quantificar renúncias decorrentes de benefícios fiscais</w:t>
      </w:r>
      <w:r w:rsidR="009A5B22" w:rsidRPr="0072678C">
        <w:rPr>
          <w:rFonts w:asciiTheme="minorHAnsi" w:hAnsiTheme="minorHAnsi" w:cstheme="minorHAnsi"/>
          <w:sz w:val="22"/>
          <w:szCs w:val="22"/>
        </w:rPr>
        <w:t>,</w:t>
      </w:r>
      <w:r w:rsidR="00CC713F" w:rsidRPr="0072678C">
        <w:rPr>
          <w:rFonts w:asciiTheme="minorHAnsi" w:hAnsiTheme="minorHAnsi" w:cstheme="minorHAnsi"/>
          <w:sz w:val="22"/>
          <w:szCs w:val="22"/>
        </w:rPr>
        <w:t xml:space="preserve"> (</w:t>
      </w:r>
      <w:proofErr w:type="spellStart"/>
      <w:r w:rsidR="00CC713F" w:rsidRPr="0072678C">
        <w:rPr>
          <w:rFonts w:asciiTheme="minorHAnsi" w:hAnsiTheme="minorHAnsi" w:cstheme="minorHAnsi"/>
          <w:sz w:val="22"/>
          <w:szCs w:val="22"/>
        </w:rPr>
        <w:t>iv</w:t>
      </w:r>
      <w:proofErr w:type="spellEnd"/>
      <w:r w:rsidR="00CC713F" w:rsidRPr="0072678C">
        <w:rPr>
          <w:rFonts w:asciiTheme="minorHAnsi" w:hAnsiTheme="minorHAnsi" w:cstheme="minorHAnsi"/>
          <w:sz w:val="22"/>
          <w:szCs w:val="22"/>
        </w:rPr>
        <w:t xml:space="preserve">) </w:t>
      </w:r>
      <w:r w:rsidR="00283FD5" w:rsidRPr="0072678C">
        <w:rPr>
          <w:rFonts w:asciiTheme="minorHAnsi" w:hAnsiTheme="minorHAnsi" w:cstheme="minorHAnsi"/>
          <w:sz w:val="22"/>
          <w:szCs w:val="22"/>
        </w:rPr>
        <w:t>promover a difusão dos resultados dos estudos, análises, propostas e boas práticas geradas interna e externamente à CAT, mediante publicações e outras formas de divulgação</w:t>
      </w:r>
      <w:r w:rsidR="009A5B22" w:rsidRPr="0072678C">
        <w:rPr>
          <w:rFonts w:asciiTheme="minorHAnsi" w:hAnsiTheme="minorHAnsi" w:cstheme="minorHAnsi"/>
          <w:sz w:val="22"/>
          <w:szCs w:val="22"/>
        </w:rPr>
        <w:t>,</w:t>
      </w:r>
      <w:r w:rsidR="00CC713F" w:rsidRPr="0072678C">
        <w:rPr>
          <w:rFonts w:asciiTheme="minorHAnsi" w:hAnsiTheme="minorHAnsi" w:cstheme="minorHAnsi"/>
          <w:sz w:val="22"/>
          <w:szCs w:val="22"/>
        </w:rPr>
        <w:t xml:space="preserve"> (v) </w:t>
      </w:r>
      <w:r w:rsidR="00283FD5" w:rsidRPr="0072678C">
        <w:rPr>
          <w:rFonts w:asciiTheme="minorHAnsi" w:hAnsiTheme="minorHAnsi" w:cstheme="minorHAnsi"/>
          <w:sz w:val="22"/>
          <w:szCs w:val="22"/>
        </w:rPr>
        <w:t xml:space="preserve">avaliar a utilização gerencial das informações nos sistemas de interesse da CAT. </w:t>
      </w:r>
      <w:r w:rsidR="004C04C7" w:rsidRPr="0072678C">
        <w:rPr>
          <w:rFonts w:asciiTheme="minorHAnsi" w:hAnsiTheme="minorHAnsi" w:cstheme="minorHAnsi"/>
          <w:sz w:val="22"/>
          <w:szCs w:val="22"/>
        </w:rPr>
        <w:t>A SEFAZ/SP, r</w:t>
      </w:r>
      <w:r w:rsidR="00CC713F" w:rsidRPr="0072678C">
        <w:rPr>
          <w:rFonts w:asciiTheme="minorHAnsi" w:hAnsiTheme="minorHAnsi" w:cstheme="minorHAnsi"/>
          <w:sz w:val="22"/>
          <w:szCs w:val="22"/>
        </w:rPr>
        <w:t xml:space="preserve">ealiza ainda, pesquisa periódica para avaliação dos impactos do Sistema Público de Escrituração Digital (SPED) e dos </w:t>
      </w:r>
      <w:proofErr w:type="spellStart"/>
      <w:r w:rsidR="00CC713F" w:rsidRPr="0072678C">
        <w:rPr>
          <w:rFonts w:asciiTheme="minorHAnsi" w:hAnsiTheme="minorHAnsi" w:cstheme="minorHAnsi"/>
          <w:sz w:val="22"/>
          <w:szCs w:val="22"/>
        </w:rPr>
        <w:t>DF-e</w:t>
      </w:r>
      <w:proofErr w:type="spellEnd"/>
      <w:r w:rsidR="004C04C7" w:rsidRPr="0072678C">
        <w:rPr>
          <w:rFonts w:asciiTheme="minorHAnsi" w:hAnsiTheme="minorHAnsi" w:cstheme="minorHAnsi"/>
          <w:sz w:val="22"/>
          <w:szCs w:val="22"/>
        </w:rPr>
        <w:t>,</w:t>
      </w:r>
      <w:r w:rsidR="0063671A" w:rsidRPr="0072678C">
        <w:rPr>
          <w:rFonts w:asciiTheme="minorHAnsi" w:hAnsiTheme="minorHAnsi" w:cstheme="minorHAnsi"/>
          <w:sz w:val="22"/>
          <w:szCs w:val="22"/>
        </w:rPr>
        <w:t xml:space="preserve"> para tanto, </w:t>
      </w:r>
      <w:r w:rsidR="004C04C7" w:rsidRPr="0072678C">
        <w:rPr>
          <w:rFonts w:asciiTheme="minorHAnsi" w:hAnsiTheme="minorHAnsi" w:cstheme="minorHAnsi"/>
          <w:sz w:val="22"/>
          <w:szCs w:val="22"/>
        </w:rPr>
        <w:t>foi  criada uma supervisão focada no estudo de Simplificação de Obrigações acessórias. Disponibiliza as informações sobre as políticas e normas e seus resultados de forma acessível, por meio eletrônico</w:t>
      </w:r>
      <w:r w:rsidR="004C04C7" w:rsidRPr="0072678C">
        <w:rPr>
          <w:rStyle w:val="FootnoteReference"/>
          <w:rFonts w:asciiTheme="minorHAnsi" w:hAnsiTheme="minorHAnsi" w:cstheme="minorHAnsi"/>
          <w:sz w:val="22"/>
          <w:szCs w:val="22"/>
        </w:rPr>
        <w:footnoteReference w:id="101"/>
      </w:r>
      <w:r w:rsidR="004C04C7" w:rsidRPr="0072678C">
        <w:rPr>
          <w:rFonts w:asciiTheme="minorHAnsi" w:hAnsiTheme="minorHAnsi" w:cstheme="minorHAnsi"/>
          <w:sz w:val="22"/>
          <w:szCs w:val="22"/>
        </w:rPr>
        <w:t>.</w:t>
      </w:r>
    </w:p>
    <w:p w:rsidR="0063671A" w:rsidRPr="0072678C" w:rsidRDefault="00283FD5" w:rsidP="00AE6F8E">
      <w:pPr>
        <w:jc w:val="both"/>
        <w:rPr>
          <w:rFonts w:asciiTheme="minorHAnsi" w:hAnsiTheme="minorHAnsi" w:cstheme="minorHAnsi"/>
          <w:sz w:val="22"/>
          <w:szCs w:val="22"/>
        </w:rPr>
      </w:pPr>
      <w:r w:rsidRPr="0072678C">
        <w:rPr>
          <w:rFonts w:asciiTheme="minorHAnsi" w:hAnsiTheme="minorHAnsi" w:cstheme="minorHAnsi"/>
          <w:sz w:val="22"/>
          <w:szCs w:val="22"/>
        </w:rPr>
        <w:br/>
      </w:r>
      <w:r w:rsidR="0063671A" w:rsidRPr="0072678C">
        <w:rPr>
          <w:rFonts w:asciiTheme="minorHAnsi" w:hAnsiTheme="minorHAnsi" w:cstheme="minorHAnsi"/>
          <w:sz w:val="22"/>
          <w:szCs w:val="22"/>
        </w:rPr>
        <w:t>Também com nível 3 de maturidade o</w:t>
      </w:r>
      <w:r w:rsidR="0063671A" w:rsidRPr="0072678C">
        <w:rPr>
          <w:rFonts w:asciiTheme="minorHAnsi" w:hAnsiTheme="minorHAnsi" w:cstheme="minorHAnsi"/>
          <w:b/>
          <w:bCs/>
          <w:i/>
          <w:iCs/>
          <w:sz w:val="22"/>
          <w:szCs w:val="22"/>
        </w:rPr>
        <w:t xml:space="preserve"> controle e apuração da brecha de política tributária (gasto tributário) do ICMS </w:t>
      </w:r>
      <w:r w:rsidR="0063671A" w:rsidRPr="0072678C">
        <w:rPr>
          <w:rFonts w:asciiTheme="minorHAnsi" w:hAnsiTheme="minorHAnsi" w:cstheme="minorHAnsi"/>
          <w:sz w:val="22"/>
          <w:szCs w:val="22"/>
        </w:rPr>
        <w:t xml:space="preserve">atende a 8 dentre os 9 </w:t>
      </w:r>
      <w:r w:rsidR="009B231A">
        <w:rPr>
          <w:rFonts w:asciiTheme="minorHAnsi" w:hAnsiTheme="minorHAnsi" w:cstheme="minorHAnsi"/>
          <w:sz w:val="22"/>
          <w:szCs w:val="22"/>
        </w:rPr>
        <w:t>requisitos</w:t>
      </w:r>
      <w:r w:rsidR="0063671A" w:rsidRPr="0072678C">
        <w:rPr>
          <w:rFonts w:asciiTheme="minorHAnsi" w:hAnsiTheme="minorHAnsi" w:cstheme="minorHAnsi"/>
          <w:sz w:val="22"/>
          <w:szCs w:val="22"/>
        </w:rPr>
        <w:t xml:space="preserve"> das boas práticas da MD-GEFIS. </w:t>
      </w:r>
      <w:r w:rsidR="00AE6F8E" w:rsidRPr="0072678C">
        <w:rPr>
          <w:rFonts w:asciiTheme="minorHAnsi" w:hAnsiTheme="minorHAnsi" w:cstheme="minorHAnsi"/>
          <w:sz w:val="22"/>
          <w:szCs w:val="22"/>
        </w:rPr>
        <w:t>A SEFAZ/SP u</w:t>
      </w:r>
      <w:r w:rsidR="0063671A" w:rsidRPr="0072678C">
        <w:rPr>
          <w:rFonts w:asciiTheme="minorHAnsi" w:hAnsiTheme="minorHAnsi" w:cstheme="minorHAnsi"/>
          <w:sz w:val="22"/>
          <w:szCs w:val="22"/>
        </w:rPr>
        <w:t xml:space="preserve">tiliza sistema informatizado para controle dos benefícios concedidos e para subsídio às </w:t>
      </w:r>
      <w:r w:rsidR="0063671A" w:rsidRPr="0072678C">
        <w:rPr>
          <w:rFonts w:asciiTheme="minorHAnsi" w:hAnsiTheme="minorHAnsi" w:cstheme="minorHAnsi"/>
          <w:sz w:val="22"/>
          <w:szCs w:val="22"/>
        </w:rPr>
        <w:lastRenderedPageBreak/>
        <w:t xml:space="preserve">auditorias dos beneficiários. Neste </w:t>
      </w:r>
      <w:r w:rsidR="0058526B" w:rsidRPr="0072678C">
        <w:rPr>
          <w:rFonts w:asciiTheme="minorHAnsi" w:hAnsiTheme="minorHAnsi" w:cstheme="minorHAnsi"/>
          <w:sz w:val="22"/>
          <w:szCs w:val="22"/>
        </w:rPr>
        <w:t>requisito</w:t>
      </w:r>
      <w:r w:rsidR="0063671A" w:rsidRPr="0072678C">
        <w:rPr>
          <w:rFonts w:asciiTheme="minorHAnsi" w:hAnsiTheme="minorHAnsi" w:cstheme="minorHAnsi"/>
          <w:sz w:val="22"/>
          <w:szCs w:val="22"/>
        </w:rPr>
        <w:t xml:space="preserve"> o Sistema de Incentivo a Projetos PAC/PIE possibilita ao contribuinte do ICMS participar do Programa de Ação Cultural (PAC) e do Programa de Incentivo ao Esporte (PIE).</w:t>
      </w:r>
      <w:r w:rsidR="00AE6F8E" w:rsidRPr="0072678C">
        <w:rPr>
          <w:rFonts w:asciiTheme="minorHAnsi" w:hAnsiTheme="minorHAnsi" w:cstheme="minorHAnsi"/>
          <w:sz w:val="22"/>
          <w:szCs w:val="22"/>
        </w:rPr>
        <w:t xml:space="preserve"> </w:t>
      </w:r>
      <w:r w:rsidR="0063671A" w:rsidRPr="0072678C">
        <w:rPr>
          <w:rFonts w:asciiTheme="minorHAnsi" w:hAnsiTheme="minorHAnsi" w:cstheme="minorHAnsi"/>
          <w:sz w:val="22"/>
          <w:szCs w:val="22"/>
        </w:rPr>
        <w:t>O benefício fiscal permite que o contribuinte patrocinador se credite de 100% do valor destinado ao patrocínio de projetos culturais ou esportivos credenciados, respectivamente, pela Secretaria da Cultura ou pela Secretaria de Esporte, Lazer e Juventude.</w:t>
      </w:r>
      <w:r w:rsidR="00AE6F8E" w:rsidRPr="0072678C">
        <w:rPr>
          <w:rFonts w:asciiTheme="minorHAnsi" w:hAnsiTheme="minorHAnsi" w:cstheme="minorHAnsi"/>
          <w:sz w:val="22"/>
          <w:szCs w:val="22"/>
        </w:rPr>
        <w:t xml:space="preserve"> </w:t>
      </w:r>
      <w:r w:rsidR="0063671A" w:rsidRPr="0072678C">
        <w:rPr>
          <w:rFonts w:asciiTheme="minorHAnsi" w:hAnsiTheme="minorHAnsi" w:cstheme="minorHAnsi"/>
          <w:sz w:val="22"/>
          <w:szCs w:val="22"/>
        </w:rPr>
        <w:t>O sistema de apoio da Secretaria da Fazenda facilita a participação dos interessados, dando transparência ao processo</w:t>
      </w:r>
      <w:r w:rsidR="00AE6F8E" w:rsidRPr="0072678C">
        <w:rPr>
          <w:rStyle w:val="FootnoteReference"/>
          <w:rFonts w:asciiTheme="minorHAnsi" w:hAnsiTheme="minorHAnsi" w:cstheme="minorHAnsi"/>
          <w:sz w:val="22"/>
          <w:szCs w:val="22"/>
        </w:rPr>
        <w:footnoteReference w:id="102"/>
      </w:r>
      <w:r w:rsidR="0063671A" w:rsidRPr="0072678C">
        <w:rPr>
          <w:rFonts w:asciiTheme="minorHAnsi" w:hAnsiTheme="minorHAnsi" w:cstheme="minorHAnsi"/>
          <w:sz w:val="22"/>
          <w:szCs w:val="22"/>
        </w:rPr>
        <w:t>.</w:t>
      </w:r>
      <w:r w:rsidR="008F127D" w:rsidRPr="0072678C">
        <w:rPr>
          <w:rFonts w:asciiTheme="minorHAnsi" w:hAnsiTheme="minorHAnsi" w:cstheme="minorHAnsi"/>
          <w:sz w:val="22"/>
          <w:szCs w:val="22"/>
        </w:rPr>
        <w:t xml:space="preserve"> Ainda, c</w:t>
      </w:r>
      <w:r w:rsidR="00AE6F8E" w:rsidRPr="0072678C">
        <w:rPr>
          <w:rFonts w:asciiTheme="minorHAnsi" w:hAnsiTheme="minorHAnsi" w:cstheme="minorHAnsi"/>
          <w:sz w:val="22"/>
          <w:szCs w:val="22"/>
        </w:rPr>
        <w:t>alcula o impacto das isenções</w:t>
      </w:r>
      <w:r w:rsidR="00D90D1D" w:rsidRPr="0072678C">
        <w:rPr>
          <w:rFonts w:asciiTheme="minorHAnsi" w:hAnsiTheme="minorHAnsi" w:cstheme="minorHAnsi"/>
          <w:sz w:val="22"/>
          <w:szCs w:val="22"/>
        </w:rPr>
        <w:t xml:space="preserve"> (</w:t>
      </w:r>
      <w:r w:rsidR="00AE6F8E" w:rsidRPr="0072678C">
        <w:rPr>
          <w:rFonts w:asciiTheme="minorHAnsi" w:hAnsiTheme="minorHAnsi" w:cstheme="minorHAnsi"/>
          <w:sz w:val="22"/>
          <w:szCs w:val="22"/>
        </w:rPr>
        <w:t>exclusão da base tributária</w:t>
      </w:r>
      <w:r w:rsidR="00D90D1D" w:rsidRPr="0072678C">
        <w:rPr>
          <w:rFonts w:asciiTheme="minorHAnsi" w:hAnsiTheme="minorHAnsi" w:cstheme="minorHAnsi"/>
          <w:sz w:val="22"/>
          <w:szCs w:val="22"/>
        </w:rPr>
        <w:t>)</w:t>
      </w:r>
      <w:r w:rsidR="00AE6F8E" w:rsidRPr="0072678C">
        <w:rPr>
          <w:rFonts w:asciiTheme="minorHAnsi" w:hAnsiTheme="minorHAnsi" w:cstheme="minorHAnsi"/>
          <w:sz w:val="22"/>
          <w:szCs w:val="22"/>
        </w:rPr>
        <w:t>, dos subsídios, dos créditos concedidos</w:t>
      </w:r>
      <w:r w:rsidR="00D90D1D" w:rsidRPr="0072678C">
        <w:rPr>
          <w:rFonts w:asciiTheme="minorHAnsi" w:hAnsiTheme="minorHAnsi" w:cstheme="minorHAnsi"/>
          <w:sz w:val="22"/>
          <w:szCs w:val="22"/>
        </w:rPr>
        <w:t xml:space="preserve"> (</w:t>
      </w:r>
      <w:r w:rsidR="00AE6F8E" w:rsidRPr="0072678C">
        <w:rPr>
          <w:rFonts w:asciiTheme="minorHAnsi" w:hAnsiTheme="minorHAnsi" w:cstheme="minorHAnsi"/>
          <w:sz w:val="22"/>
          <w:szCs w:val="22"/>
        </w:rPr>
        <w:t>deduções do passivo</w:t>
      </w:r>
      <w:r w:rsidR="00D90D1D" w:rsidRPr="0072678C">
        <w:rPr>
          <w:rFonts w:asciiTheme="minorHAnsi" w:hAnsiTheme="minorHAnsi" w:cstheme="minorHAnsi"/>
          <w:sz w:val="22"/>
          <w:szCs w:val="22"/>
        </w:rPr>
        <w:t>)</w:t>
      </w:r>
      <w:r w:rsidR="00AE6F8E" w:rsidRPr="0072678C">
        <w:rPr>
          <w:rFonts w:asciiTheme="minorHAnsi" w:hAnsiTheme="minorHAnsi" w:cstheme="minorHAnsi"/>
          <w:sz w:val="22"/>
          <w:szCs w:val="22"/>
        </w:rPr>
        <w:t xml:space="preserve">, das anistias fiscais, das remissões fiscais, dos </w:t>
      </w:r>
      <w:proofErr w:type="spellStart"/>
      <w:r w:rsidR="00AE6F8E" w:rsidRPr="0072678C">
        <w:rPr>
          <w:rFonts w:asciiTheme="minorHAnsi" w:hAnsiTheme="minorHAnsi" w:cstheme="minorHAnsi"/>
          <w:sz w:val="22"/>
          <w:szCs w:val="22"/>
        </w:rPr>
        <w:t>desagravamentos</w:t>
      </w:r>
      <w:proofErr w:type="spellEnd"/>
      <w:r w:rsidR="00D90D1D" w:rsidRPr="0072678C">
        <w:rPr>
          <w:rFonts w:asciiTheme="minorHAnsi" w:hAnsiTheme="minorHAnsi" w:cstheme="minorHAnsi"/>
          <w:sz w:val="22"/>
          <w:szCs w:val="22"/>
        </w:rPr>
        <w:t xml:space="preserve"> (</w:t>
      </w:r>
      <w:r w:rsidR="00AE6F8E" w:rsidRPr="0072678C">
        <w:rPr>
          <w:rFonts w:asciiTheme="minorHAnsi" w:hAnsiTheme="minorHAnsi" w:cstheme="minorHAnsi"/>
          <w:sz w:val="22"/>
          <w:szCs w:val="22"/>
        </w:rPr>
        <w:t>redução de alíquota</w:t>
      </w:r>
      <w:r w:rsidR="00D90D1D" w:rsidRPr="0072678C">
        <w:rPr>
          <w:rFonts w:asciiTheme="minorHAnsi" w:hAnsiTheme="minorHAnsi" w:cstheme="minorHAnsi"/>
          <w:sz w:val="22"/>
          <w:szCs w:val="22"/>
        </w:rPr>
        <w:t>)</w:t>
      </w:r>
      <w:r w:rsidR="00F35F4F" w:rsidRPr="0072678C">
        <w:rPr>
          <w:rFonts w:asciiTheme="minorHAnsi" w:hAnsiTheme="minorHAnsi" w:cstheme="minorHAnsi"/>
          <w:sz w:val="22"/>
          <w:szCs w:val="22"/>
        </w:rPr>
        <w:t>, e o impacto dos diferimentos</w:t>
      </w:r>
      <w:r w:rsidR="00D90D1D" w:rsidRPr="0072678C">
        <w:rPr>
          <w:rFonts w:asciiTheme="minorHAnsi" w:hAnsiTheme="minorHAnsi" w:cstheme="minorHAnsi"/>
          <w:sz w:val="22"/>
          <w:szCs w:val="22"/>
        </w:rPr>
        <w:t xml:space="preserve"> (</w:t>
      </w:r>
      <w:r w:rsidR="00F35F4F" w:rsidRPr="0072678C">
        <w:rPr>
          <w:rFonts w:asciiTheme="minorHAnsi" w:hAnsiTheme="minorHAnsi" w:cstheme="minorHAnsi"/>
          <w:sz w:val="22"/>
          <w:szCs w:val="22"/>
        </w:rPr>
        <w:t>adiamento de pagamento</w:t>
      </w:r>
      <w:r w:rsidR="00D90D1D" w:rsidRPr="0072678C">
        <w:rPr>
          <w:rFonts w:asciiTheme="minorHAnsi" w:hAnsiTheme="minorHAnsi" w:cstheme="minorHAnsi"/>
          <w:sz w:val="22"/>
          <w:szCs w:val="22"/>
        </w:rPr>
        <w:t>)</w:t>
      </w:r>
      <w:r w:rsidR="00AE6F8E" w:rsidRPr="0072678C">
        <w:rPr>
          <w:rFonts w:asciiTheme="minorHAnsi" w:hAnsiTheme="minorHAnsi" w:cstheme="minorHAnsi"/>
          <w:sz w:val="22"/>
          <w:szCs w:val="22"/>
        </w:rPr>
        <w:t>.</w:t>
      </w:r>
    </w:p>
    <w:p w:rsidR="00F35F4F" w:rsidRPr="0072678C" w:rsidRDefault="0063671A" w:rsidP="00ED0C8D">
      <w:pPr>
        <w:tabs>
          <w:tab w:val="left" w:pos="4465"/>
        </w:tabs>
        <w:ind w:left="65"/>
        <w:jc w:val="both"/>
        <w:rPr>
          <w:rFonts w:asciiTheme="minorHAnsi" w:hAnsiTheme="minorHAnsi" w:cstheme="minorHAnsi"/>
          <w:sz w:val="22"/>
          <w:szCs w:val="22"/>
        </w:rPr>
      </w:pPr>
      <w:r w:rsidRPr="0072678C">
        <w:rPr>
          <w:rFonts w:asciiTheme="minorHAnsi" w:hAnsiTheme="minorHAnsi" w:cstheme="minorHAnsi"/>
          <w:sz w:val="22"/>
          <w:szCs w:val="22"/>
        </w:rPr>
        <w:br/>
      </w:r>
      <w:r w:rsidR="00F35F4F" w:rsidRPr="0072678C">
        <w:rPr>
          <w:rFonts w:asciiTheme="minorHAnsi" w:hAnsiTheme="minorHAnsi" w:cstheme="minorHAnsi"/>
          <w:sz w:val="22"/>
          <w:szCs w:val="22"/>
        </w:rPr>
        <w:t xml:space="preserve">O </w:t>
      </w:r>
      <w:r w:rsidR="00F35F4F" w:rsidRPr="0072678C">
        <w:rPr>
          <w:rFonts w:asciiTheme="minorHAnsi" w:hAnsiTheme="minorHAnsi" w:cstheme="minorHAnsi"/>
          <w:b/>
          <w:bCs/>
          <w:i/>
          <w:iCs/>
          <w:sz w:val="22"/>
          <w:szCs w:val="22"/>
        </w:rPr>
        <w:t xml:space="preserve">controle e apuração da brecha de política tributária (gasto tributário) do IPVA </w:t>
      </w:r>
      <w:r w:rsidR="00F35F4F" w:rsidRPr="0072678C">
        <w:rPr>
          <w:rFonts w:asciiTheme="minorHAnsi" w:hAnsiTheme="minorHAnsi" w:cstheme="minorHAnsi"/>
          <w:sz w:val="22"/>
          <w:szCs w:val="22"/>
        </w:rPr>
        <w:t xml:space="preserve">obteve nível 3 de maturidade e atende a todos os 5 requisitos das boas práticas da MD-GEFIS. </w:t>
      </w:r>
      <w:r w:rsidR="00ED0C8D" w:rsidRPr="0072678C">
        <w:rPr>
          <w:rFonts w:asciiTheme="minorHAnsi" w:hAnsiTheme="minorHAnsi" w:cstheme="minorHAnsi"/>
          <w:sz w:val="22"/>
          <w:szCs w:val="22"/>
        </w:rPr>
        <w:t>A SEFAZ/SP utiliza sistema informatizado para controle dos benefícios concedidos e para subsídio às auditorias dos beneficiários por meio do Sistema de Controle de Pedidos de Benefícios Fiscais para Veículos Automotores – SIVEI</w:t>
      </w:r>
      <w:r w:rsidR="00ED0C8D" w:rsidRPr="0072678C">
        <w:rPr>
          <w:vertAlign w:val="superscript"/>
        </w:rPr>
        <w:footnoteReference w:id="103"/>
      </w:r>
      <w:r w:rsidR="00ED0C8D" w:rsidRPr="0072678C">
        <w:rPr>
          <w:rFonts w:asciiTheme="minorHAnsi" w:hAnsiTheme="minorHAnsi" w:cstheme="minorHAnsi"/>
          <w:sz w:val="22"/>
          <w:szCs w:val="22"/>
        </w:rPr>
        <w:t>; calcula o impacto das isenções</w:t>
      </w:r>
      <w:r w:rsidR="00D90D1D" w:rsidRPr="0072678C">
        <w:rPr>
          <w:rFonts w:asciiTheme="minorHAnsi" w:hAnsiTheme="minorHAnsi" w:cstheme="minorHAnsi"/>
          <w:sz w:val="22"/>
          <w:szCs w:val="22"/>
        </w:rPr>
        <w:t xml:space="preserve"> (</w:t>
      </w:r>
      <w:r w:rsidR="00ED0C8D" w:rsidRPr="0072678C">
        <w:rPr>
          <w:rFonts w:asciiTheme="minorHAnsi" w:hAnsiTheme="minorHAnsi" w:cstheme="minorHAnsi"/>
          <w:sz w:val="22"/>
          <w:szCs w:val="22"/>
        </w:rPr>
        <w:t>exclusão da base tributária</w:t>
      </w:r>
      <w:r w:rsidR="00D90D1D" w:rsidRPr="0072678C">
        <w:rPr>
          <w:rFonts w:asciiTheme="minorHAnsi" w:hAnsiTheme="minorHAnsi" w:cstheme="minorHAnsi"/>
          <w:sz w:val="22"/>
          <w:szCs w:val="22"/>
        </w:rPr>
        <w:t>)</w:t>
      </w:r>
      <w:r w:rsidR="00ED0C8D" w:rsidRPr="0072678C">
        <w:rPr>
          <w:rFonts w:asciiTheme="minorHAnsi" w:hAnsiTheme="minorHAnsi" w:cstheme="minorHAnsi"/>
          <w:sz w:val="22"/>
          <w:szCs w:val="22"/>
        </w:rPr>
        <w:t>; dos subsídios</w:t>
      </w:r>
      <w:r w:rsidR="00D90D1D" w:rsidRPr="0072678C">
        <w:rPr>
          <w:rFonts w:asciiTheme="minorHAnsi" w:hAnsiTheme="minorHAnsi" w:cstheme="minorHAnsi"/>
          <w:sz w:val="22"/>
          <w:szCs w:val="22"/>
        </w:rPr>
        <w:t xml:space="preserve"> (r</w:t>
      </w:r>
      <w:r w:rsidR="00ED0C8D" w:rsidRPr="0072678C">
        <w:rPr>
          <w:rFonts w:asciiTheme="minorHAnsi" w:hAnsiTheme="minorHAnsi" w:cstheme="minorHAnsi"/>
          <w:sz w:val="22"/>
          <w:szCs w:val="22"/>
        </w:rPr>
        <w:t>eduções da base tributária</w:t>
      </w:r>
      <w:r w:rsidR="00D90D1D" w:rsidRPr="0072678C">
        <w:rPr>
          <w:rFonts w:asciiTheme="minorHAnsi" w:hAnsiTheme="minorHAnsi" w:cstheme="minorHAnsi"/>
          <w:sz w:val="22"/>
          <w:szCs w:val="22"/>
        </w:rPr>
        <w:t>)</w:t>
      </w:r>
      <w:r w:rsidR="00ED0C8D" w:rsidRPr="0072678C">
        <w:rPr>
          <w:rFonts w:asciiTheme="minorHAnsi" w:hAnsiTheme="minorHAnsi" w:cstheme="minorHAnsi"/>
          <w:sz w:val="22"/>
          <w:szCs w:val="22"/>
        </w:rPr>
        <w:t xml:space="preserve">; das anistias fiscais; dos </w:t>
      </w:r>
      <w:proofErr w:type="spellStart"/>
      <w:r w:rsidR="00ED0C8D" w:rsidRPr="0072678C">
        <w:rPr>
          <w:rFonts w:asciiTheme="minorHAnsi" w:hAnsiTheme="minorHAnsi" w:cstheme="minorHAnsi"/>
          <w:sz w:val="22"/>
          <w:szCs w:val="22"/>
        </w:rPr>
        <w:t>desagravamentos</w:t>
      </w:r>
      <w:proofErr w:type="spellEnd"/>
      <w:r w:rsidR="00D90D1D" w:rsidRPr="0072678C">
        <w:rPr>
          <w:rFonts w:asciiTheme="minorHAnsi" w:hAnsiTheme="minorHAnsi" w:cstheme="minorHAnsi"/>
          <w:sz w:val="22"/>
          <w:szCs w:val="22"/>
        </w:rPr>
        <w:t xml:space="preserve"> (</w:t>
      </w:r>
      <w:r w:rsidR="00ED0C8D" w:rsidRPr="0072678C">
        <w:rPr>
          <w:rFonts w:asciiTheme="minorHAnsi" w:hAnsiTheme="minorHAnsi" w:cstheme="minorHAnsi"/>
          <w:sz w:val="22"/>
          <w:szCs w:val="22"/>
        </w:rPr>
        <w:t>redução de alíquota</w:t>
      </w:r>
      <w:r w:rsidR="00D90D1D" w:rsidRPr="0072678C">
        <w:rPr>
          <w:rFonts w:asciiTheme="minorHAnsi" w:hAnsiTheme="minorHAnsi" w:cstheme="minorHAnsi"/>
          <w:sz w:val="22"/>
          <w:szCs w:val="22"/>
        </w:rPr>
        <w:t>)</w:t>
      </w:r>
      <w:r w:rsidR="00ED0C8D" w:rsidRPr="0072678C">
        <w:rPr>
          <w:rFonts w:asciiTheme="minorHAnsi" w:hAnsiTheme="minorHAnsi" w:cstheme="minorHAnsi"/>
          <w:sz w:val="22"/>
          <w:szCs w:val="22"/>
        </w:rPr>
        <w:t>.</w:t>
      </w:r>
    </w:p>
    <w:p w:rsidR="00ED0C8D" w:rsidRPr="0072678C" w:rsidRDefault="00ED0C8D">
      <w:pPr>
        <w:rPr>
          <w:rFonts w:asciiTheme="minorHAnsi" w:hAnsiTheme="minorHAnsi" w:cstheme="minorHAnsi"/>
          <w:sz w:val="22"/>
          <w:szCs w:val="22"/>
        </w:rPr>
      </w:pPr>
    </w:p>
    <w:p w:rsidR="00BC6A64" w:rsidRPr="0072678C" w:rsidRDefault="00ED0C8D">
      <w:pPr>
        <w:rPr>
          <w:rFonts w:asciiTheme="minorHAnsi" w:hAnsiTheme="minorHAnsi" w:cstheme="minorHAnsi"/>
          <w:sz w:val="22"/>
          <w:szCs w:val="22"/>
        </w:rPr>
      </w:pPr>
      <w:r w:rsidRPr="0072678C">
        <w:rPr>
          <w:rFonts w:asciiTheme="minorHAnsi" w:hAnsiTheme="minorHAnsi" w:cstheme="minorHAnsi"/>
          <w:sz w:val="22"/>
          <w:szCs w:val="22"/>
        </w:rPr>
        <w:t xml:space="preserve">A </w:t>
      </w:r>
      <w:r w:rsidRPr="0072678C">
        <w:rPr>
          <w:rFonts w:asciiTheme="minorHAnsi" w:hAnsiTheme="minorHAnsi" w:cstheme="minorHAnsi"/>
          <w:b/>
          <w:bCs/>
          <w:i/>
          <w:iCs/>
          <w:sz w:val="22"/>
          <w:szCs w:val="22"/>
        </w:rPr>
        <w:t xml:space="preserve">apuração da brecha tributária </w:t>
      </w:r>
      <w:r w:rsidRPr="0072678C">
        <w:rPr>
          <w:rFonts w:asciiTheme="minorHAnsi" w:hAnsiTheme="minorHAnsi" w:cstheme="minorHAnsi"/>
          <w:i/>
          <w:iCs/>
          <w:sz w:val="22"/>
          <w:szCs w:val="22"/>
        </w:rPr>
        <w:t>(gap tributário)</w:t>
      </w:r>
      <w:r w:rsidRPr="0072678C">
        <w:rPr>
          <w:rFonts w:asciiTheme="minorHAnsi" w:hAnsiTheme="minorHAnsi" w:cstheme="minorHAnsi"/>
          <w:sz w:val="22"/>
          <w:szCs w:val="22"/>
        </w:rPr>
        <w:t xml:space="preserve"> </w:t>
      </w:r>
      <w:r w:rsidRPr="0072678C">
        <w:rPr>
          <w:rFonts w:asciiTheme="minorHAnsi" w:hAnsiTheme="minorHAnsi" w:cstheme="minorHAnsi"/>
          <w:b/>
          <w:bCs/>
          <w:sz w:val="22"/>
          <w:szCs w:val="22"/>
        </w:rPr>
        <w:t>de cumprimento</w:t>
      </w:r>
      <w:r w:rsidRPr="0072678C">
        <w:rPr>
          <w:rFonts w:asciiTheme="minorHAnsi" w:hAnsiTheme="minorHAnsi" w:cstheme="minorHAnsi"/>
          <w:sz w:val="22"/>
          <w:szCs w:val="22"/>
        </w:rPr>
        <w:t xml:space="preserve"> </w:t>
      </w:r>
      <w:r w:rsidRPr="0072678C">
        <w:rPr>
          <w:rFonts w:asciiTheme="minorHAnsi" w:hAnsiTheme="minorHAnsi" w:cstheme="minorHAnsi"/>
          <w:b/>
          <w:bCs/>
          <w:sz w:val="22"/>
          <w:szCs w:val="22"/>
        </w:rPr>
        <w:t xml:space="preserve">administrativo </w:t>
      </w:r>
      <w:r w:rsidRPr="0072678C">
        <w:rPr>
          <w:rFonts w:asciiTheme="minorHAnsi" w:hAnsiTheme="minorHAnsi" w:cstheme="minorHAnsi"/>
          <w:sz w:val="22"/>
          <w:szCs w:val="22"/>
        </w:rPr>
        <w:t>obteve nível 1 de maturidade e atende a</w:t>
      </w:r>
      <w:r w:rsidR="00BC6A64" w:rsidRPr="0072678C">
        <w:rPr>
          <w:rFonts w:asciiTheme="minorHAnsi" w:hAnsiTheme="minorHAnsi" w:cstheme="minorHAnsi"/>
          <w:sz w:val="22"/>
          <w:szCs w:val="22"/>
        </w:rPr>
        <w:t xml:space="preserve">penas 2 dentre 6 </w:t>
      </w:r>
      <w:r w:rsidR="009B231A">
        <w:rPr>
          <w:rFonts w:asciiTheme="minorHAnsi" w:hAnsiTheme="minorHAnsi" w:cstheme="minorHAnsi"/>
          <w:sz w:val="22"/>
          <w:szCs w:val="22"/>
        </w:rPr>
        <w:t>requisitos</w:t>
      </w:r>
      <w:r w:rsidR="00BC6A64" w:rsidRPr="0072678C">
        <w:rPr>
          <w:rFonts w:asciiTheme="minorHAnsi" w:hAnsiTheme="minorHAnsi" w:cstheme="minorHAnsi"/>
          <w:sz w:val="22"/>
          <w:szCs w:val="22"/>
        </w:rPr>
        <w:t xml:space="preserve"> das boas práticas da MD-GEFIS</w:t>
      </w:r>
      <w:r w:rsidR="00BC6A64" w:rsidRPr="0072678C">
        <w:rPr>
          <w:rFonts w:asciiTheme="minorHAnsi" w:hAnsiTheme="minorHAnsi" w:cstheme="minorHAnsi"/>
          <w:b/>
          <w:bCs/>
          <w:sz w:val="22"/>
          <w:szCs w:val="22"/>
        </w:rPr>
        <w:t xml:space="preserve">: </w:t>
      </w:r>
      <w:r w:rsidRPr="0072678C">
        <w:rPr>
          <w:rFonts w:asciiTheme="minorHAnsi" w:hAnsiTheme="minorHAnsi" w:cstheme="minorHAnsi"/>
          <w:b/>
          <w:bCs/>
          <w:sz w:val="22"/>
          <w:szCs w:val="22"/>
        </w:rPr>
        <w:t xml:space="preserve"> </w:t>
      </w:r>
      <w:r w:rsidR="00BC6A64" w:rsidRPr="0072678C">
        <w:rPr>
          <w:rFonts w:asciiTheme="minorHAnsi" w:hAnsiTheme="minorHAnsi" w:cstheme="minorHAnsi"/>
          <w:sz w:val="22"/>
          <w:szCs w:val="22"/>
        </w:rPr>
        <w:t xml:space="preserve">Analisa os diferentes perfis e comportamentos do descumprimento legal, e os resultados </w:t>
      </w:r>
      <w:r w:rsidR="0058526B" w:rsidRPr="0072678C">
        <w:rPr>
          <w:rFonts w:asciiTheme="minorHAnsi" w:hAnsiTheme="minorHAnsi" w:cstheme="minorHAnsi"/>
          <w:sz w:val="22"/>
          <w:szCs w:val="22"/>
        </w:rPr>
        <w:t>das medidas</w:t>
      </w:r>
      <w:r w:rsidR="00BC6A64" w:rsidRPr="0072678C">
        <w:rPr>
          <w:rFonts w:asciiTheme="minorHAnsi" w:hAnsiTheme="minorHAnsi" w:cstheme="minorHAnsi"/>
          <w:sz w:val="22"/>
          <w:szCs w:val="22"/>
        </w:rPr>
        <w:t xml:space="preserve"> coercitivas aplicadas</w:t>
      </w:r>
      <w:r w:rsidR="00BC6A64" w:rsidRPr="0072678C">
        <w:rPr>
          <w:rStyle w:val="FootnoteReference"/>
          <w:rFonts w:asciiTheme="minorHAnsi" w:hAnsiTheme="minorHAnsi" w:cstheme="minorHAnsi"/>
          <w:sz w:val="22"/>
          <w:szCs w:val="22"/>
        </w:rPr>
        <w:footnoteReference w:id="104"/>
      </w:r>
      <w:r w:rsidR="00BC6A64" w:rsidRPr="0072678C">
        <w:rPr>
          <w:rFonts w:asciiTheme="minorHAnsi" w:hAnsiTheme="minorHAnsi" w:cstheme="minorHAnsi"/>
          <w:sz w:val="22"/>
          <w:szCs w:val="22"/>
        </w:rPr>
        <w:t xml:space="preserve"> .</w:t>
      </w:r>
    </w:p>
    <w:p w:rsidR="002B0F40" w:rsidRPr="0072678C" w:rsidRDefault="002B0F40">
      <w:pPr>
        <w:rPr>
          <w:rFonts w:asciiTheme="minorHAnsi" w:hAnsiTheme="minorHAnsi" w:cstheme="minorHAnsi"/>
          <w:sz w:val="22"/>
          <w:szCs w:val="22"/>
        </w:rPr>
      </w:pPr>
    </w:p>
    <w:p w:rsidR="00BC6A64" w:rsidRPr="0072678C" w:rsidRDefault="00BC6A64" w:rsidP="002B0F40">
      <w:pPr>
        <w:jc w:val="both"/>
        <w:rPr>
          <w:rFonts w:asciiTheme="minorHAnsi" w:hAnsiTheme="minorHAnsi" w:cstheme="minorHAnsi"/>
          <w:b/>
          <w:bCs/>
          <w:i/>
          <w:iCs/>
          <w:sz w:val="22"/>
          <w:szCs w:val="22"/>
        </w:rPr>
      </w:pPr>
      <w:r w:rsidRPr="0072678C">
        <w:rPr>
          <w:rFonts w:asciiTheme="minorHAnsi" w:hAnsiTheme="minorHAnsi" w:cstheme="minorHAnsi"/>
          <w:sz w:val="22"/>
          <w:szCs w:val="22"/>
        </w:rPr>
        <w:t xml:space="preserve">A </w:t>
      </w:r>
      <w:r w:rsidRPr="0072678C">
        <w:rPr>
          <w:rFonts w:asciiTheme="minorHAnsi" w:hAnsiTheme="minorHAnsi" w:cstheme="minorHAnsi"/>
          <w:b/>
          <w:bCs/>
          <w:i/>
          <w:iCs/>
          <w:sz w:val="22"/>
          <w:szCs w:val="22"/>
        </w:rPr>
        <w:t xml:space="preserve">consulta sobre interpretação da legislação tributária também </w:t>
      </w:r>
      <w:r w:rsidRPr="0072678C">
        <w:rPr>
          <w:rFonts w:asciiTheme="minorHAnsi" w:hAnsiTheme="minorHAnsi" w:cstheme="minorHAnsi"/>
          <w:sz w:val="22"/>
          <w:szCs w:val="22"/>
        </w:rPr>
        <w:t xml:space="preserve">obteve nível 1 de maturidade e atende 3 dentre os 6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w:t>
      </w:r>
      <w:r w:rsidR="00071F1B" w:rsidRPr="0072678C">
        <w:rPr>
          <w:rFonts w:asciiTheme="minorHAnsi" w:hAnsiTheme="minorHAnsi" w:cstheme="minorHAnsi"/>
          <w:sz w:val="22"/>
          <w:szCs w:val="22"/>
        </w:rPr>
        <w:t xml:space="preserve">. Para tanto, permite fácil acesso de solicitação e resposta para os contribuintes </w:t>
      </w:r>
      <w:r w:rsidR="002B0F40" w:rsidRPr="0072678C">
        <w:rPr>
          <w:rFonts w:asciiTheme="minorHAnsi" w:hAnsiTheme="minorHAnsi" w:cstheme="minorHAnsi"/>
          <w:sz w:val="22"/>
          <w:szCs w:val="22"/>
        </w:rPr>
        <w:t xml:space="preserve">conforme </w:t>
      </w:r>
      <w:r w:rsidR="00071F1B" w:rsidRPr="0072678C">
        <w:rPr>
          <w:rFonts w:asciiTheme="minorHAnsi" w:hAnsiTheme="minorHAnsi" w:cstheme="minorHAnsi"/>
          <w:sz w:val="22"/>
          <w:szCs w:val="22"/>
        </w:rPr>
        <w:t>Decreto Nº 60.392, de 24 de abril de 2014 e pelos Sistema de Consulta Tributária para formulação de questionamentos</w:t>
      </w:r>
      <w:r w:rsidR="00071F1B" w:rsidRPr="0072678C">
        <w:rPr>
          <w:rStyle w:val="FootnoteReference"/>
          <w:rFonts w:asciiTheme="minorHAnsi" w:hAnsiTheme="minorHAnsi" w:cstheme="minorHAnsi"/>
          <w:sz w:val="22"/>
          <w:szCs w:val="22"/>
        </w:rPr>
        <w:footnoteReference w:id="105"/>
      </w:r>
      <w:r w:rsidR="00071F1B" w:rsidRPr="0072678C">
        <w:rPr>
          <w:rFonts w:asciiTheme="minorHAnsi" w:hAnsiTheme="minorHAnsi" w:cstheme="minorHAnsi"/>
          <w:sz w:val="22"/>
          <w:szCs w:val="22"/>
        </w:rPr>
        <w:t>;</w:t>
      </w:r>
      <w:r w:rsidR="002B0F40" w:rsidRPr="0072678C">
        <w:rPr>
          <w:rFonts w:asciiTheme="minorHAnsi" w:hAnsiTheme="minorHAnsi" w:cstheme="minorHAnsi"/>
          <w:sz w:val="22"/>
          <w:szCs w:val="22"/>
        </w:rPr>
        <w:t xml:space="preserve"> </w:t>
      </w:r>
      <w:r w:rsidR="00071F1B" w:rsidRPr="0072678C">
        <w:rPr>
          <w:rFonts w:asciiTheme="minorHAnsi" w:hAnsiTheme="minorHAnsi" w:cstheme="minorHAnsi"/>
          <w:sz w:val="22"/>
          <w:szCs w:val="22"/>
        </w:rPr>
        <w:t>apresenta fundamentação legal nas decisões proferidas</w:t>
      </w:r>
      <w:r w:rsidR="00071F1B" w:rsidRPr="0072678C">
        <w:rPr>
          <w:rStyle w:val="FootnoteReference"/>
          <w:rFonts w:asciiTheme="minorHAnsi" w:hAnsiTheme="minorHAnsi" w:cstheme="minorHAnsi"/>
          <w:sz w:val="22"/>
          <w:szCs w:val="22"/>
        </w:rPr>
        <w:footnoteReference w:id="106"/>
      </w:r>
      <w:r w:rsidR="00071F1B" w:rsidRPr="0072678C">
        <w:rPr>
          <w:rFonts w:asciiTheme="minorHAnsi" w:hAnsiTheme="minorHAnsi" w:cstheme="minorHAnsi"/>
          <w:sz w:val="22"/>
          <w:szCs w:val="22"/>
        </w:rPr>
        <w:t xml:space="preserve">; e </w:t>
      </w:r>
      <w:r w:rsidR="002B0F40" w:rsidRPr="0072678C">
        <w:rPr>
          <w:rFonts w:asciiTheme="minorHAnsi" w:hAnsiTheme="minorHAnsi" w:cstheme="minorHAnsi"/>
          <w:sz w:val="22"/>
          <w:szCs w:val="22"/>
        </w:rPr>
        <w:t>cumpre os prazos legais para atendimento às solicitações</w:t>
      </w:r>
      <w:r w:rsidR="002B0F40" w:rsidRPr="0072678C">
        <w:rPr>
          <w:rStyle w:val="FootnoteReference"/>
          <w:rFonts w:asciiTheme="minorHAnsi" w:hAnsiTheme="minorHAnsi" w:cstheme="minorHAnsi"/>
          <w:sz w:val="22"/>
          <w:szCs w:val="22"/>
        </w:rPr>
        <w:footnoteReference w:id="107"/>
      </w:r>
    </w:p>
    <w:p w:rsidR="00BC6A64" w:rsidRPr="0072678C" w:rsidRDefault="00BC6A64">
      <w:pPr>
        <w:rPr>
          <w:rFonts w:asciiTheme="minorHAnsi" w:hAnsiTheme="minorHAnsi" w:cstheme="minorHAnsi"/>
          <w:b/>
          <w:bCs/>
          <w:i/>
          <w:iCs/>
          <w:sz w:val="22"/>
          <w:szCs w:val="22"/>
        </w:rPr>
      </w:pPr>
    </w:p>
    <w:p w:rsidR="00DE683C" w:rsidRPr="0072678C" w:rsidRDefault="002B0F40" w:rsidP="002B0F40">
      <w:pPr>
        <w:jc w:val="both"/>
        <w:rPr>
          <w:rFonts w:asciiTheme="minorHAnsi" w:hAnsiTheme="minorHAnsi" w:cstheme="minorHAnsi"/>
          <w:sz w:val="22"/>
          <w:szCs w:val="22"/>
        </w:rPr>
      </w:pPr>
      <w:r w:rsidRPr="0072678C">
        <w:rPr>
          <w:rFonts w:asciiTheme="minorHAnsi" w:hAnsiTheme="minorHAnsi" w:cstheme="minorHAnsi"/>
          <w:sz w:val="22"/>
          <w:szCs w:val="22"/>
        </w:rPr>
        <w:t xml:space="preserve">No que se refere ao processo de </w:t>
      </w:r>
      <w:r w:rsidRPr="0072678C">
        <w:rPr>
          <w:rFonts w:asciiTheme="minorHAnsi" w:hAnsiTheme="minorHAnsi" w:cstheme="minorHAnsi"/>
          <w:b/>
          <w:bCs/>
          <w:i/>
          <w:iCs/>
          <w:sz w:val="22"/>
          <w:szCs w:val="22"/>
        </w:rPr>
        <w:t xml:space="preserve">controle e apuração da brecha de política tributária (gasto tributário) do ITCMD, </w:t>
      </w:r>
      <w:r w:rsidRPr="0072678C">
        <w:rPr>
          <w:rFonts w:asciiTheme="minorHAnsi" w:hAnsiTheme="minorHAnsi" w:cstheme="minorHAnsi"/>
          <w:sz w:val="22"/>
          <w:szCs w:val="22"/>
        </w:rPr>
        <w:t xml:space="preserve">o nível de maturidade apresentado foi </w:t>
      </w:r>
      <w:r w:rsidR="00EF70E1" w:rsidRPr="0072678C">
        <w:rPr>
          <w:rFonts w:asciiTheme="minorHAnsi" w:hAnsiTheme="minorHAnsi" w:cstheme="minorHAnsi"/>
          <w:sz w:val="22"/>
          <w:szCs w:val="22"/>
        </w:rPr>
        <w:t>0</w:t>
      </w:r>
      <w:r w:rsidRPr="0072678C">
        <w:rPr>
          <w:rFonts w:asciiTheme="minorHAnsi" w:hAnsiTheme="minorHAnsi" w:cstheme="minorHAnsi"/>
          <w:sz w:val="22"/>
          <w:szCs w:val="22"/>
        </w:rPr>
        <w:t xml:space="preserve"> (zero), </w:t>
      </w:r>
      <w:r w:rsidR="0058526B" w:rsidRPr="0072678C">
        <w:rPr>
          <w:rFonts w:asciiTheme="minorHAnsi" w:hAnsiTheme="minorHAnsi" w:cstheme="minorHAnsi"/>
          <w:sz w:val="22"/>
          <w:szCs w:val="22"/>
        </w:rPr>
        <w:t>ou seja,</w:t>
      </w:r>
      <w:r w:rsidRPr="0072678C">
        <w:rPr>
          <w:rFonts w:asciiTheme="minorHAnsi" w:hAnsiTheme="minorHAnsi" w:cstheme="minorHAnsi"/>
          <w:sz w:val="22"/>
          <w:szCs w:val="22"/>
        </w:rPr>
        <w:t xml:space="preserve"> não atende a nenhum dos 6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w:t>
      </w:r>
      <w:r w:rsidRPr="0072678C">
        <w:rPr>
          <w:rFonts w:asciiTheme="minorHAnsi" w:hAnsiTheme="minorHAnsi" w:cstheme="minorHAnsi"/>
          <w:b/>
          <w:bCs/>
          <w:i/>
          <w:iCs/>
          <w:sz w:val="22"/>
          <w:szCs w:val="22"/>
        </w:rPr>
        <w:t xml:space="preserve"> </w:t>
      </w:r>
    </w:p>
    <w:p w:rsidR="00B44516" w:rsidRPr="0072678C" w:rsidRDefault="00B44516" w:rsidP="002B0F40">
      <w:pPr>
        <w:jc w:val="both"/>
        <w:rPr>
          <w:rFonts w:asciiTheme="minorHAnsi" w:hAnsiTheme="minorHAnsi" w:cstheme="minorHAnsi"/>
          <w:sz w:val="22"/>
          <w:szCs w:val="22"/>
        </w:rPr>
      </w:pPr>
    </w:p>
    <w:p w:rsidR="00B44516" w:rsidRPr="0072678C" w:rsidRDefault="00B44516" w:rsidP="00B44516">
      <w:pPr>
        <w:jc w:val="both"/>
        <w:rPr>
          <w:rFonts w:asciiTheme="minorHAnsi" w:hAnsiTheme="minorHAnsi" w:cstheme="minorHAnsi"/>
          <w:sz w:val="22"/>
          <w:szCs w:val="22"/>
        </w:rPr>
      </w:pPr>
      <w:r w:rsidRPr="0072678C">
        <w:rPr>
          <w:rFonts w:asciiTheme="minorHAnsi" w:hAnsiTheme="minorHAnsi" w:cstheme="minorHAnsi"/>
          <w:sz w:val="22"/>
          <w:szCs w:val="22"/>
        </w:rPr>
        <w:t>Os indicadores que medem esta Dimensão foram parcialmente disponibilizados pela SE</w:t>
      </w:r>
      <w:r w:rsidR="008104F7" w:rsidRPr="0072678C">
        <w:rPr>
          <w:rFonts w:asciiTheme="minorHAnsi" w:hAnsiTheme="minorHAnsi" w:cstheme="minorHAnsi"/>
          <w:sz w:val="22"/>
          <w:szCs w:val="22"/>
        </w:rPr>
        <w:t>FAZ/SP</w:t>
      </w:r>
      <w:r w:rsidRPr="0072678C">
        <w:rPr>
          <w:rFonts w:asciiTheme="minorHAnsi" w:hAnsiTheme="minorHAnsi" w:cstheme="minorHAnsi"/>
          <w:sz w:val="22"/>
          <w:szCs w:val="22"/>
        </w:rPr>
        <w:t xml:space="preserve"> </w:t>
      </w:r>
    </w:p>
    <w:p w:rsidR="00B44516" w:rsidRPr="0072678C" w:rsidRDefault="00B44516" w:rsidP="00B44516">
      <w:pPr>
        <w:jc w:val="both"/>
        <w:rPr>
          <w:rFonts w:asciiTheme="minorHAnsi" w:hAnsiTheme="minorHAnsi" w:cstheme="minorHAnsi"/>
          <w:sz w:val="22"/>
          <w:szCs w:val="22"/>
        </w:rPr>
      </w:pPr>
    </w:p>
    <w:tbl>
      <w:tblPr>
        <w:tblW w:w="87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04"/>
        <w:gridCol w:w="1986"/>
      </w:tblGrid>
      <w:tr w:rsidR="003A736E" w:rsidRPr="0072678C" w:rsidTr="00BB1F8D">
        <w:trPr>
          <w:trHeight w:val="405"/>
        </w:trPr>
        <w:tc>
          <w:tcPr>
            <w:tcW w:w="6804" w:type="dxa"/>
            <w:shd w:val="clear" w:color="auto" w:fill="FFD966" w:themeFill="accent4" w:themeFillTint="99"/>
            <w:tcMar>
              <w:top w:w="0" w:type="dxa"/>
              <w:left w:w="70" w:type="dxa"/>
              <w:bottom w:w="0" w:type="dxa"/>
              <w:right w:w="70" w:type="dxa"/>
            </w:tcMar>
            <w:vAlign w:val="center"/>
            <w:hideMark/>
          </w:tcPr>
          <w:p w:rsidR="003A736E" w:rsidRPr="0072678C" w:rsidRDefault="003A736E" w:rsidP="00881B86">
            <w:pPr>
              <w:jc w:val="cente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Indicadores de Desempenho</w:t>
            </w:r>
          </w:p>
        </w:tc>
        <w:tc>
          <w:tcPr>
            <w:tcW w:w="1986" w:type="dxa"/>
            <w:shd w:val="clear" w:color="auto" w:fill="FFD966" w:themeFill="accent4" w:themeFillTint="99"/>
            <w:tcMar>
              <w:top w:w="0" w:type="dxa"/>
              <w:left w:w="70" w:type="dxa"/>
              <w:bottom w:w="0" w:type="dxa"/>
              <w:right w:w="70" w:type="dxa"/>
            </w:tcMar>
            <w:vAlign w:val="center"/>
            <w:hideMark/>
          </w:tcPr>
          <w:p w:rsidR="003A736E" w:rsidRPr="0072678C" w:rsidRDefault="003A736E" w:rsidP="003A736E">
            <w:pPr>
              <w:jc w:val="cente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Apuração 2017</w:t>
            </w:r>
          </w:p>
        </w:tc>
      </w:tr>
      <w:tr w:rsidR="003A736E" w:rsidRPr="0072678C" w:rsidTr="00BB1F8D">
        <w:trPr>
          <w:trHeight w:val="553"/>
        </w:trPr>
        <w:tc>
          <w:tcPr>
            <w:tcW w:w="6804" w:type="dxa"/>
            <w:shd w:val="clear" w:color="auto" w:fill="FFE599" w:themeFill="accent4" w:themeFillTint="66"/>
            <w:tcMar>
              <w:top w:w="0" w:type="dxa"/>
              <w:left w:w="70" w:type="dxa"/>
              <w:bottom w:w="0" w:type="dxa"/>
              <w:right w:w="70" w:type="dxa"/>
            </w:tcMar>
            <w:vAlign w:val="center"/>
            <w:hideMark/>
          </w:tcPr>
          <w:p w:rsidR="003A736E" w:rsidRPr="0072678C" w:rsidRDefault="003A736E" w:rsidP="008104F7">
            <w:pPr>
              <w:pStyle w:val="ListParagraph"/>
              <w:numPr>
                <w:ilvl w:val="0"/>
                <w:numId w:val="45"/>
              </w:numPr>
              <w:rPr>
                <w:rFonts w:asciiTheme="minorHAnsi" w:eastAsiaTheme="minorHAnsi" w:hAnsiTheme="minorHAnsi" w:cstheme="minorHAnsi"/>
                <w:sz w:val="20"/>
                <w:szCs w:val="20"/>
              </w:rPr>
            </w:pPr>
            <w:r w:rsidRPr="0072678C">
              <w:rPr>
                <w:rFonts w:asciiTheme="minorHAnsi" w:hAnsiTheme="minorHAnsi" w:cstheme="minorHAnsi"/>
                <w:b/>
                <w:bCs/>
                <w:sz w:val="20"/>
                <w:szCs w:val="20"/>
              </w:rPr>
              <w:t xml:space="preserve">Taxa de Receita do ICMS (VAT </w:t>
            </w:r>
            <w:proofErr w:type="spellStart"/>
            <w:r w:rsidRPr="0072678C">
              <w:rPr>
                <w:rFonts w:asciiTheme="minorHAnsi" w:hAnsiTheme="minorHAnsi" w:cstheme="minorHAnsi"/>
                <w:b/>
                <w:bCs/>
                <w:sz w:val="20"/>
                <w:szCs w:val="20"/>
              </w:rPr>
              <w:t>Revenue</w:t>
            </w:r>
            <w:proofErr w:type="spellEnd"/>
            <w:r w:rsidRPr="0072678C">
              <w:rPr>
                <w:rFonts w:asciiTheme="minorHAnsi" w:hAnsiTheme="minorHAnsi" w:cstheme="minorHAnsi"/>
                <w:b/>
                <w:bCs/>
                <w:sz w:val="20"/>
                <w:szCs w:val="20"/>
              </w:rPr>
              <w:t xml:space="preserve"> </w:t>
            </w:r>
            <w:proofErr w:type="spellStart"/>
            <w:r w:rsidRPr="0072678C">
              <w:rPr>
                <w:rFonts w:asciiTheme="minorHAnsi" w:hAnsiTheme="minorHAnsi" w:cstheme="minorHAnsi"/>
                <w:b/>
                <w:bCs/>
                <w:sz w:val="20"/>
                <w:szCs w:val="20"/>
              </w:rPr>
              <w:t>Ratio</w:t>
            </w:r>
            <w:proofErr w:type="spellEnd"/>
            <w:r w:rsidRPr="0072678C">
              <w:rPr>
                <w:rFonts w:asciiTheme="minorHAnsi" w:hAnsiTheme="minorHAnsi" w:cstheme="minorHAnsi"/>
                <w:b/>
                <w:bCs/>
                <w:sz w:val="20"/>
                <w:szCs w:val="20"/>
              </w:rPr>
              <w:t xml:space="preserve"> – VRR)</w:t>
            </w:r>
            <w:r w:rsidRPr="0072678C">
              <w:rPr>
                <w:rFonts w:asciiTheme="minorHAnsi" w:hAnsiTheme="minorHAnsi" w:cstheme="minorHAnsi"/>
                <w:sz w:val="20"/>
                <w:szCs w:val="20"/>
              </w:rPr>
              <w:t>: (Receita do ICMS / (Valor adicionado - Receita ICMS)) x Alíquota padrão do ICMS Estadual.</w:t>
            </w:r>
          </w:p>
        </w:tc>
        <w:tc>
          <w:tcPr>
            <w:tcW w:w="1986" w:type="dxa"/>
            <w:shd w:val="clear" w:color="auto" w:fill="FFE599" w:themeFill="accent4" w:themeFillTint="66"/>
            <w:noWrap/>
            <w:tcMar>
              <w:top w:w="0" w:type="dxa"/>
              <w:left w:w="70" w:type="dxa"/>
              <w:bottom w:w="0" w:type="dxa"/>
              <w:right w:w="70" w:type="dxa"/>
            </w:tcMar>
            <w:vAlign w:val="center"/>
            <w:hideMark/>
          </w:tcPr>
          <w:p w:rsidR="003A736E" w:rsidRPr="0072678C" w:rsidRDefault="003A736E">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N/D</w:t>
            </w:r>
            <w:r w:rsidRPr="0072678C">
              <w:rPr>
                <w:rStyle w:val="FootnoteReference"/>
                <w:rFonts w:asciiTheme="minorHAnsi" w:hAnsiTheme="minorHAnsi" w:cstheme="minorHAnsi"/>
                <w:sz w:val="20"/>
                <w:szCs w:val="20"/>
              </w:rPr>
              <w:footnoteReference w:id="108"/>
            </w:r>
          </w:p>
        </w:tc>
      </w:tr>
      <w:tr w:rsidR="003A736E" w:rsidRPr="0072678C" w:rsidTr="00BB1F8D">
        <w:trPr>
          <w:trHeight w:val="277"/>
        </w:trPr>
        <w:tc>
          <w:tcPr>
            <w:tcW w:w="6804" w:type="dxa"/>
            <w:shd w:val="clear" w:color="auto" w:fill="FFE599" w:themeFill="accent4" w:themeFillTint="66"/>
            <w:tcMar>
              <w:top w:w="0" w:type="dxa"/>
              <w:left w:w="70" w:type="dxa"/>
              <w:bottom w:w="0" w:type="dxa"/>
              <w:right w:w="70" w:type="dxa"/>
            </w:tcMar>
            <w:vAlign w:val="center"/>
            <w:hideMark/>
          </w:tcPr>
          <w:p w:rsidR="003A736E" w:rsidRPr="0072678C" w:rsidRDefault="003A736E" w:rsidP="008104F7">
            <w:pPr>
              <w:pStyle w:val="ListParagraph"/>
              <w:numPr>
                <w:ilvl w:val="0"/>
                <w:numId w:val="45"/>
              </w:numPr>
              <w:rPr>
                <w:rFonts w:asciiTheme="minorHAnsi" w:eastAsiaTheme="minorHAnsi" w:hAnsiTheme="minorHAnsi" w:cstheme="minorHAnsi"/>
                <w:sz w:val="20"/>
                <w:szCs w:val="20"/>
              </w:rPr>
            </w:pPr>
            <w:r w:rsidRPr="0072678C">
              <w:rPr>
                <w:rFonts w:asciiTheme="minorHAnsi" w:hAnsiTheme="minorHAnsi" w:cstheme="minorHAnsi"/>
                <w:b/>
                <w:bCs/>
                <w:sz w:val="20"/>
                <w:szCs w:val="20"/>
              </w:rPr>
              <w:t>Brecha tributária por descumprimento administrativo</w:t>
            </w:r>
            <w:r w:rsidRPr="0072678C">
              <w:rPr>
                <w:rFonts w:asciiTheme="minorHAnsi" w:hAnsiTheme="minorHAnsi" w:cstheme="minorHAnsi"/>
                <w:sz w:val="20"/>
                <w:szCs w:val="20"/>
              </w:rPr>
              <w:t xml:space="preserve"> (ICMS,  IPVA e ITCMD)</w:t>
            </w:r>
          </w:p>
        </w:tc>
        <w:tc>
          <w:tcPr>
            <w:tcW w:w="1986" w:type="dxa"/>
            <w:shd w:val="clear" w:color="auto" w:fill="FFE599" w:themeFill="accent4" w:themeFillTint="66"/>
            <w:noWrap/>
            <w:tcMar>
              <w:top w:w="0" w:type="dxa"/>
              <w:left w:w="70" w:type="dxa"/>
              <w:bottom w:w="0" w:type="dxa"/>
              <w:right w:w="70" w:type="dxa"/>
            </w:tcMar>
            <w:vAlign w:val="center"/>
            <w:hideMark/>
          </w:tcPr>
          <w:p w:rsidR="003A736E" w:rsidRPr="0072678C" w:rsidRDefault="003A736E">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N/D</w:t>
            </w:r>
          </w:p>
        </w:tc>
      </w:tr>
      <w:tr w:rsidR="003A736E" w:rsidRPr="0072678C" w:rsidTr="00BB1F8D">
        <w:trPr>
          <w:trHeight w:val="409"/>
        </w:trPr>
        <w:tc>
          <w:tcPr>
            <w:tcW w:w="6804" w:type="dxa"/>
            <w:shd w:val="clear" w:color="auto" w:fill="auto"/>
            <w:tcMar>
              <w:top w:w="0" w:type="dxa"/>
              <w:left w:w="70" w:type="dxa"/>
              <w:bottom w:w="0" w:type="dxa"/>
              <w:right w:w="70" w:type="dxa"/>
            </w:tcMar>
            <w:vAlign w:val="center"/>
            <w:hideMark/>
          </w:tcPr>
          <w:p w:rsidR="003A736E" w:rsidRPr="0072678C" w:rsidRDefault="008104F7" w:rsidP="00532735">
            <w:pP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lastRenderedPageBreak/>
              <w:t xml:space="preserve">2.1 </w:t>
            </w:r>
            <w:r w:rsidR="003A736E" w:rsidRPr="0072678C">
              <w:rPr>
                <w:rFonts w:asciiTheme="minorHAnsi" w:hAnsiTheme="minorHAnsi" w:cstheme="minorHAnsi"/>
                <w:b/>
                <w:bCs/>
                <w:sz w:val="20"/>
                <w:szCs w:val="20"/>
              </w:rPr>
              <w:t xml:space="preserve">Brecha de Arrecadação </w:t>
            </w:r>
            <w:r w:rsidR="003A736E" w:rsidRPr="0072678C">
              <w:rPr>
                <w:rFonts w:asciiTheme="minorHAnsi" w:hAnsiTheme="minorHAnsi" w:cstheme="minorHAnsi"/>
                <w:b/>
                <w:bCs/>
                <w:iCs/>
                <w:sz w:val="20"/>
                <w:szCs w:val="20"/>
              </w:rPr>
              <w:t>(</w:t>
            </w:r>
            <w:proofErr w:type="spellStart"/>
            <w:r w:rsidR="003A736E" w:rsidRPr="0072678C">
              <w:rPr>
                <w:rFonts w:asciiTheme="minorHAnsi" w:hAnsiTheme="minorHAnsi" w:cstheme="minorHAnsi"/>
                <w:b/>
                <w:bCs/>
                <w:iCs/>
                <w:sz w:val="20"/>
                <w:szCs w:val="20"/>
              </w:rPr>
              <w:t>collection</w:t>
            </w:r>
            <w:proofErr w:type="spellEnd"/>
            <w:r w:rsidR="003A736E" w:rsidRPr="0072678C">
              <w:rPr>
                <w:rFonts w:asciiTheme="minorHAnsi" w:hAnsiTheme="minorHAnsi" w:cstheme="minorHAnsi"/>
                <w:b/>
                <w:bCs/>
                <w:iCs/>
                <w:sz w:val="20"/>
                <w:szCs w:val="20"/>
              </w:rPr>
              <w:t>)</w:t>
            </w:r>
            <w:r w:rsidR="003A736E" w:rsidRPr="0072678C">
              <w:rPr>
                <w:rFonts w:asciiTheme="minorHAnsi" w:hAnsiTheme="minorHAnsi" w:cstheme="minorHAnsi"/>
                <w:iCs/>
                <w:sz w:val="20"/>
                <w:szCs w:val="20"/>
              </w:rPr>
              <w:t>:</w:t>
            </w:r>
            <w:r w:rsidR="003A736E" w:rsidRPr="0072678C">
              <w:rPr>
                <w:rFonts w:asciiTheme="minorHAnsi" w:hAnsiTheme="minorHAnsi" w:cstheme="minorHAnsi"/>
                <w:sz w:val="20"/>
                <w:szCs w:val="20"/>
              </w:rPr>
              <w:t xml:space="preserve"> diferença entre a arrecadação real e o valor total declarado ou lançado</w:t>
            </w:r>
          </w:p>
        </w:tc>
        <w:tc>
          <w:tcPr>
            <w:tcW w:w="1986" w:type="dxa"/>
            <w:shd w:val="clear" w:color="auto" w:fill="FFE599" w:themeFill="accent4" w:themeFillTint="66"/>
            <w:noWrap/>
            <w:tcMar>
              <w:top w:w="0" w:type="dxa"/>
              <w:left w:w="70" w:type="dxa"/>
              <w:bottom w:w="0" w:type="dxa"/>
              <w:right w:w="70" w:type="dxa"/>
            </w:tcMar>
            <w:vAlign w:val="bottom"/>
            <w:hideMark/>
          </w:tcPr>
          <w:p w:rsidR="003A736E" w:rsidRPr="0072678C" w:rsidRDefault="003A736E">
            <w:pP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 </w:t>
            </w:r>
          </w:p>
        </w:tc>
      </w:tr>
      <w:tr w:rsidR="003A736E" w:rsidRPr="0072678C" w:rsidTr="00BB1F8D">
        <w:trPr>
          <w:trHeight w:val="204"/>
        </w:trPr>
        <w:tc>
          <w:tcPr>
            <w:tcW w:w="6804" w:type="dxa"/>
            <w:shd w:val="clear" w:color="auto" w:fill="auto"/>
            <w:tcMar>
              <w:top w:w="0" w:type="dxa"/>
              <w:left w:w="70" w:type="dxa"/>
              <w:bottom w:w="0" w:type="dxa"/>
              <w:right w:w="70" w:type="dxa"/>
            </w:tcMar>
            <w:vAlign w:val="center"/>
            <w:hideMark/>
          </w:tcPr>
          <w:p w:rsidR="003A736E" w:rsidRPr="0072678C" w:rsidRDefault="003A736E" w:rsidP="00532735">
            <w:pPr>
              <w:rPr>
                <w:rFonts w:asciiTheme="minorHAnsi" w:eastAsiaTheme="minorHAnsi" w:hAnsiTheme="minorHAnsi" w:cstheme="minorHAnsi"/>
                <w:sz w:val="20"/>
                <w:szCs w:val="20"/>
                <w:lang w:eastAsia="en-US"/>
              </w:rPr>
            </w:pPr>
            <w:r w:rsidRPr="0072678C">
              <w:rPr>
                <w:rFonts w:asciiTheme="minorHAnsi" w:hAnsiTheme="minorHAnsi" w:cstheme="minorHAnsi"/>
                <w:iCs/>
                <w:sz w:val="20"/>
                <w:szCs w:val="20"/>
              </w:rPr>
              <w:t>ICMS: (Valor declarado - Valor arrecadado) / Valor declarado</w:t>
            </w:r>
          </w:p>
        </w:tc>
        <w:tc>
          <w:tcPr>
            <w:tcW w:w="1986" w:type="dxa"/>
            <w:shd w:val="clear" w:color="auto" w:fill="auto"/>
            <w:noWrap/>
            <w:tcMar>
              <w:top w:w="0" w:type="dxa"/>
              <w:left w:w="70" w:type="dxa"/>
              <w:bottom w:w="0" w:type="dxa"/>
              <w:right w:w="70" w:type="dxa"/>
            </w:tcMar>
            <w:vAlign w:val="center"/>
            <w:hideMark/>
          </w:tcPr>
          <w:p w:rsidR="003A736E" w:rsidRPr="0072678C" w:rsidRDefault="003A736E">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1,04%</w:t>
            </w:r>
          </w:p>
        </w:tc>
      </w:tr>
      <w:tr w:rsidR="003A736E" w:rsidRPr="0072678C" w:rsidTr="00BB1F8D">
        <w:trPr>
          <w:trHeight w:val="330"/>
        </w:trPr>
        <w:tc>
          <w:tcPr>
            <w:tcW w:w="6804" w:type="dxa"/>
            <w:shd w:val="clear" w:color="auto" w:fill="auto"/>
            <w:tcMar>
              <w:top w:w="0" w:type="dxa"/>
              <w:left w:w="70" w:type="dxa"/>
              <w:bottom w:w="0" w:type="dxa"/>
              <w:right w:w="70" w:type="dxa"/>
            </w:tcMar>
            <w:vAlign w:val="center"/>
            <w:hideMark/>
          </w:tcPr>
          <w:p w:rsidR="003A736E" w:rsidRPr="0072678C" w:rsidRDefault="003A736E" w:rsidP="00532735">
            <w:pPr>
              <w:rPr>
                <w:rFonts w:asciiTheme="minorHAnsi" w:eastAsiaTheme="minorHAnsi" w:hAnsiTheme="minorHAnsi" w:cstheme="minorHAnsi"/>
                <w:sz w:val="20"/>
                <w:szCs w:val="20"/>
                <w:lang w:eastAsia="en-US"/>
              </w:rPr>
            </w:pPr>
            <w:r w:rsidRPr="0072678C">
              <w:rPr>
                <w:rFonts w:asciiTheme="minorHAnsi" w:hAnsiTheme="minorHAnsi" w:cstheme="minorHAnsi"/>
                <w:iCs/>
                <w:sz w:val="20"/>
                <w:szCs w:val="20"/>
              </w:rPr>
              <w:t>IPVA: (Valor lançado - Valor arrecadado) / Valor lançado</w:t>
            </w:r>
          </w:p>
        </w:tc>
        <w:tc>
          <w:tcPr>
            <w:tcW w:w="1986" w:type="dxa"/>
            <w:shd w:val="clear" w:color="auto" w:fill="auto"/>
            <w:noWrap/>
            <w:tcMar>
              <w:top w:w="0" w:type="dxa"/>
              <w:left w:w="70" w:type="dxa"/>
              <w:bottom w:w="0" w:type="dxa"/>
              <w:right w:w="70" w:type="dxa"/>
            </w:tcMar>
            <w:vAlign w:val="center"/>
            <w:hideMark/>
          </w:tcPr>
          <w:p w:rsidR="003A736E" w:rsidRPr="0072678C" w:rsidRDefault="003A736E">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3,48%</w:t>
            </w:r>
          </w:p>
        </w:tc>
      </w:tr>
      <w:tr w:rsidR="003A736E" w:rsidRPr="0072678C" w:rsidTr="00BB1F8D">
        <w:trPr>
          <w:trHeight w:val="330"/>
        </w:trPr>
        <w:tc>
          <w:tcPr>
            <w:tcW w:w="6804" w:type="dxa"/>
            <w:shd w:val="clear" w:color="auto" w:fill="auto"/>
            <w:tcMar>
              <w:top w:w="0" w:type="dxa"/>
              <w:left w:w="70" w:type="dxa"/>
              <w:bottom w:w="0" w:type="dxa"/>
              <w:right w:w="70" w:type="dxa"/>
            </w:tcMar>
            <w:vAlign w:val="center"/>
            <w:hideMark/>
          </w:tcPr>
          <w:p w:rsidR="003A736E" w:rsidRPr="0072678C" w:rsidRDefault="003A736E" w:rsidP="00532735">
            <w:pPr>
              <w:rPr>
                <w:rFonts w:asciiTheme="minorHAnsi" w:eastAsiaTheme="minorHAnsi" w:hAnsiTheme="minorHAnsi" w:cstheme="minorHAnsi"/>
                <w:sz w:val="20"/>
                <w:szCs w:val="20"/>
                <w:lang w:eastAsia="en-US"/>
              </w:rPr>
            </w:pPr>
            <w:r w:rsidRPr="0072678C">
              <w:rPr>
                <w:rFonts w:asciiTheme="minorHAnsi" w:hAnsiTheme="minorHAnsi" w:cstheme="minorHAnsi"/>
                <w:iCs/>
                <w:sz w:val="20"/>
                <w:szCs w:val="20"/>
              </w:rPr>
              <w:t>ITCMD: (Valor lançado - Valor arrecadado) / Valor lançado</w:t>
            </w:r>
          </w:p>
        </w:tc>
        <w:tc>
          <w:tcPr>
            <w:tcW w:w="1986" w:type="dxa"/>
            <w:shd w:val="clear" w:color="auto" w:fill="auto"/>
            <w:noWrap/>
            <w:tcMar>
              <w:top w:w="0" w:type="dxa"/>
              <w:left w:w="70" w:type="dxa"/>
              <w:bottom w:w="0" w:type="dxa"/>
              <w:right w:w="70" w:type="dxa"/>
            </w:tcMar>
            <w:vAlign w:val="center"/>
            <w:hideMark/>
          </w:tcPr>
          <w:p w:rsidR="003A736E" w:rsidRPr="0072678C" w:rsidRDefault="003A736E">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9,88%</w:t>
            </w:r>
          </w:p>
        </w:tc>
      </w:tr>
      <w:tr w:rsidR="003A736E" w:rsidRPr="0072678C" w:rsidTr="00BB1F8D">
        <w:trPr>
          <w:trHeight w:val="260"/>
        </w:trPr>
        <w:tc>
          <w:tcPr>
            <w:tcW w:w="6804" w:type="dxa"/>
            <w:shd w:val="clear" w:color="auto" w:fill="auto"/>
            <w:tcMar>
              <w:top w:w="0" w:type="dxa"/>
              <w:left w:w="70" w:type="dxa"/>
              <w:bottom w:w="0" w:type="dxa"/>
              <w:right w:w="70" w:type="dxa"/>
            </w:tcMar>
            <w:vAlign w:val="center"/>
            <w:hideMark/>
          </w:tcPr>
          <w:p w:rsidR="003A736E" w:rsidRPr="0072678C" w:rsidRDefault="008104F7" w:rsidP="00532735">
            <w:pP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 xml:space="preserve">2.2 </w:t>
            </w:r>
            <w:r w:rsidR="003A736E" w:rsidRPr="0072678C">
              <w:rPr>
                <w:rFonts w:asciiTheme="minorHAnsi" w:hAnsiTheme="minorHAnsi" w:cstheme="minorHAnsi"/>
                <w:b/>
                <w:bCs/>
                <w:sz w:val="20"/>
                <w:szCs w:val="20"/>
              </w:rPr>
              <w:t xml:space="preserve">Brecha de Lançamento </w:t>
            </w:r>
            <w:r w:rsidR="003A736E" w:rsidRPr="0072678C">
              <w:rPr>
                <w:rFonts w:asciiTheme="minorHAnsi" w:hAnsiTheme="minorHAnsi" w:cstheme="minorHAnsi"/>
                <w:b/>
                <w:bCs/>
                <w:iCs/>
                <w:sz w:val="20"/>
                <w:szCs w:val="20"/>
              </w:rPr>
              <w:t>(assessment)</w:t>
            </w:r>
            <w:r w:rsidR="003A736E" w:rsidRPr="0072678C">
              <w:rPr>
                <w:rFonts w:asciiTheme="minorHAnsi" w:hAnsiTheme="minorHAnsi" w:cstheme="minorHAnsi"/>
                <w:iCs/>
                <w:sz w:val="20"/>
                <w:szCs w:val="20"/>
              </w:rPr>
              <w:t>:</w:t>
            </w:r>
            <w:r w:rsidR="003A736E" w:rsidRPr="0072678C">
              <w:rPr>
                <w:rFonts w:asciiTheme="minorHAnsi" w:hAnsiTheme="minorHAnsi" w:cstheme="minorHAnsi"/>
                <w:sz w:val="20"/>
                <w:szCs w:val="20"/>
              </w:rPr>
              <w:t xml:space="preserve"> expressa a diferença entre o valor declarado ou lançado e a arrecadação potencial</w:t>
            </w:r>
          </w:p>
        </w:tc>
        <w:tc>
          <w:tcPr>
            <w:tcW w:w="1986" w:type="dxa"/>
            <w:shd w:val="clear" w:color="auto" w:fill="FFE599" w:themeFill="accent4" w:themeFillTint="66"/>
            <w:tcMar>
              <w:top w:w="0" w:type="dxa"/>
              <w:left w:w="70" w:type="dxa"/>
              <w:bottom w:w="0" w:type="dxa"/>
              <w:right w:w="70" w:type="dxa"/>
            </w:tcMar>
            <w:vAlign w:val="center"/>
            <w:hideMark/>
          </w:tcPr>
          <w:p w:rsidR="003A736E" w:rsidRPr="0072678C" w:rsidRDefault="003A736E">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N/D</w:t>
            </w:r>
          </w:p>
        </w:tc>
      </w:tr>
      <w:tr w:rsidR="003A736E" w:rsidRPr="0072678C" w:rsidTr="00BB1F8D">
        <w:trPr>
          <w:trHeight w:val="181"/>
        </w:trPr>
        <w:tc>
          <w:tcPr>
            <w:tcW w:w="6804" w:type="dxa"/>
            <w:shd w:val="clear" w:color="auto" w:fill="auto"/>
            <w:tcMar>
              <w:top w:w="0" w:type="dxa"/>
              <w:left w:w="70" w:type="dxa"/>
              <w:bottom w:w="0" w:type="dxa"/>
              <w:right w:w="70" w:type="dxa"/>
            </w:tcMar>
            <w:vAlign w:val="center"/>
            <w:hideMark/>
          </w:tcPr>
          <w:p w:rsidR="003A736E" w:rsidRPr="0072678C" w:rsidRDefault="003A736E" w:rsidP="00532735">
            <w:pPr>
              <w:rPr>
                <w:rFonts w:asciiTheme="minorHAnsi" w:eastAsiaTheme="minorHAnsi" w:hAnsiTheme="minorHAnsi" w:cstheme="minorHAnsi"/>
                <w:sz w:val="20"/>
                <w:szCs w:val="20"/>
                <w:lang w:eastAsia="en-US"/>
              </w:rPr>
            </w:pPr>
            <w:r w:rsidRPr="0072678C">
              <w:rPr>
                <w:rFonts w:asciiTheme="minorHAnsi" w:hAnsiTheme="minorHAnsi" w:cstheme="minorHAnsi"/>
                <w:iCs/>
                <w:sz w:val="20"/>
                <w:szCs w:val="20"/>
              </w:rPr>
              <w:t>ICMS:</w:t>
            </w:r>
            <w:r w:rsidRPr="0072678C">
              <w:rPr>
                <w:rFonts w:asciiTheme="minorHAnsi" w:hAnsiTheme="minorHAnsi" w:cstheme="minorHAnsi"/>
                <w:b/>
                <w:bCs/>
                <w:iCs/>
                <w:sz w:val="20"/>
                <w:szCs w:val="20"/>
              </w:rPr>
              <w:t xml:space="preserve"> </w:t>
            </w:r>
            <w:r w:rsidRPr="0072678C">
              <w:rPr>
                <w:rFonts w:asciiTheme="minorHAnsi" w:hAnsiTheme="minorHAnsi" w:cstheme="minorHAnsi"/>
                <w:iCs/>
                <w:sz w:val="20"/>
                <w:szCs w:val="20"/>
              </w:rPr>
              <w:t>(Valor da Receita Potencial - Valor declarado) / Valor da Receita Potencial</w:t>
            </w:r>
          </w:p>
        </w:tc>
        <w:tc>
          <w:tcPr>
            <w:tcW w:w="1986" w:type="dxa"/>
            <w:tcMar>
              <w:top w:w="0" w:type="dxa"/>
              <w:left w:w="70" w:type="dxa"/>
              <w:bottom w:w="0" w:type="dxa"/>
              <w:right w:w="70" w:type="dxa"/>
            </w:tcMar>
            <w:vAlign w:val="center"/>
            <w:hideMark/>
          </w:tcPr>
          <w:p w:rsidR="003A736E" w:rsidRPr="0072678C" w:rsidRDefault="003A736E">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N/D</w:t>
            </w:r>
          </w:p>
        </w:tc>
      </w:tr>
      <w:tr w:rsidR="003A736E" w:rsidRPr="0072678C" w:rsidTr="00BB1F8D">
        <w:trPr>
          <w:trHeight w:val="214"/>
        </w:trPr>
        <w:tc>
          <w:tcPr>
            <w:tcW w:w="6804" w:type="dxa"/>
            <w:tcMar>
              <w:top w:w="0" w:type="dxa"/>
              <w:left w:w="70" w:type="dxa"/>
              <w:bottom w:w="0" w:type="dxa"/>
              <w:right w:w="70" w:type="dxa"/>
            </w:tcMar>
            <w:vAlign w:val="center"/>
            <w:hideMark/>
          </w:tcPr>
          <w:p w:rsidR="003A736E" w:rsidRPr="0072678C" w:rsidRDefault="003A736E" w:rsidP="00532735">
            <w:pPr>
              <w:rPr>
                <w:rFonts w:asciiTheme="minorHAnsi" w:eastAsiaTheme="minorHAnsi" w:hAnsiTheme="minorHAnsi" w:cstheme="minorHAnsi"/>
                <w:sz w:val="20"/>
                <w:szCs w:val="20"/>
                <w:lang w:eastAsia="en-US"/>
              </w:rPr>
            </w:pPr>
            <w:r w:rsidRPr="0072678C">
              <w:rPr>
                <w:rFonts w:asciiTheme="minorHAnsi" w:hAnsiTheme="minorHAnsi" w:cstheme="minorHAnsi"/>
                <w:iCs/>
                <w:sz w:val="20"/>
                <w:szCs w:val="20"/>
              </w:rPr>
              <w:t>Receita Potencial (RP) = Valor Adicionado Fiscal (VAF) x Alíquota do ICMS</w:t>
            </w:r>
          </w:p>
        </w:tc>
        <w:tc>
          <w:tcPr>
            <w:tcW w:w="1986" w:type="dxa"/>
            <w:tcMar>
              <w:top w:w="0" w:type="dxa"/>
              <w:left w:w="70" w:type="dxa"/>
              <w:bottom w:w="0" w:type="dxa"/>
              <w:right w:w="70" w:type="dxa"/>
            </w:tcMar>
            <w:vAlign w:val="center"/>
            <w:hideMark/>
          </w:tcPr>
          <w:p w:rsidR="003A736E" w:rsidRPr="0072678C" w:rsidRDefault="003A736E">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N/D</w:t>
            </w:r>
          </w:p>
        </w:tc>
      </w:tr>
      <w:tr w:rsidR="003A736E" w:rsidRPr="0072678C" w:rsidTr="00BB1F8D">
        <w:trPr>
          <w:trHeight w:val="245"/>
        </w:trPr>
        <w:tc>
          <w:tcPr>
            <w:tcW w:w="6804" w:type="dxa"/>
            <w:shd w:val="clear" w:color="auto" w:fill="FFE599" w:themeFill="accent4" w:themeFillTint="66"/>
            <w:tcMar>
              <w:top w:w="0" w:type="dxa"/>
              <w:left w:w="70" w:type="dxa"/>
              <w:bottom w:w="0" w:type="dxa"/>
              <w:right w:w="70" w:type="dxa"/>
            </w:tcMar>
            <w:vAlign w:val="center"/>
            <w:hideMark/>
          </w:tcPr>
          <w:p w:rsidR="003A736E" w:rsidRPr="0072678C" w:rsidRDefault="003A736E" w:rsidP="008104F7">
            <w:pPr>
              <w:pStyle w:val="ListParagraph"/>
              <w:numPr>
                <w:ilvl w:val="0"/>
                <w:numId w:val="45"/>
              </w:numPr>
              <w:rPr>
                <w:rFonts w:asciiTheme="minorHAnsi" w:eastAsiaTheme="minorHAnsi" w:hAnsiTheme="minorHAnsi" w:cstheme="minorHAnsi"/>
                <w:sz w:val="20"/>
                <w:szCs w:val="20"/>
              </w:rPr>
            </w:pPr>
            <w:r w:rsidRPr="0072678C">
              <w:rPr>
                <w:rFonts w:asciiTheme="minorHAnsi" w:hAnsiTheme="minorHAnsi" w:cstheme="minorHAnsi"/>
                <w:b/>
                <w:bCs/>
                <w:sz w:val="20"/>
                <w:szCs w:val="20"/>
              </w:rPr>
              <w:t xml:space="preserve">Brecha tributária por política </w:t>
            </w:r>
            <w:r w:rsidRPr="0072678C">
              <w:rPr>
                <w:rFonts w:asciiTheme="minorHAnsi" w:hAnsiTheme="minorHAnsi" w:cstheme="minorHAnsi"/>
                <w:sz w:val="20"/>
                <w:szCs w:val="20"/>
              </w:rPr>
              <w:t xml:space="preserve">(gasto tributário ou </w:t>
            </w:r>
            <w:proofErr w:type="spellStart"/>
            <w:r w:rsidRPr="0072678C">
              <w:rPr>
                <w:rFonts w:asciiTheme="minorHAnsi" w:hAnsiTheme="minorHAnsi" w:cstheme="minorHAnsi"/>
                <w:iCs/>
                <w:sz w:val="20"/>
                <w:szCs w:val="20"/>
              </w:rPr>
              <w:t>tax</w:t>
            </w:r>
            <w:proofErr w:type="spellEnd"/>
            <w:r w:rsidRPr="0072678C">
              <w:rPr>
                <w:rFonts w:asciiTheme="minorHAnsi" w:hAnsiTheme="minorHAnsi" w:cstheme="minorHAnsi"/>
                <w:iCs/>
                <w:sz w:val="20"/>
                <w:szCs w:val="20"/>
              </w:rPr>
              <w:t xml:space="preserve"> </w:t>
            </w:r>
            <w:proofErr w:type="spellStart"/>
            <w:r w:rsidRPr="0072678C">
              <w:rPr>
                <w:rFonts w:asciiTheme="minorHAnsi" w:hAnsiTheme="minorHAnsi" w:cstheme="minorHAnsi"/>
                <w:iCs/>
                <w:sz w:val="20"/>
                <w:szCs w:val="20"/>
              </w:rPr>
              <w:t>expenditure</w:t>
            </w:r>
            <w:proofErr w:type="spellEnd"/>
            <w:r w:rsidRPr="0072678C">
              <w:rPr>
                <w:rFonts w:asciiTheme="minorHAnsi" w:hAnsiTheme="minorHAnsi" w:cstheme="minorHAnsi"/>
                <w:sz w:val="20"/>
                <w:szCs w:val="20"/>
              </w:rPr>
              <w:t>) (ICMS, IPVA e ITCMD)</w:t>
            </w:r>
          </w:p>
        </w:tc>
        <w:tc>
          <w:tcPr>
            <w:tcW w:w="1986" w:type="dxa"/>
            <w:shd w:val="clear" w:color="auto" w:fill="FFE599" w:themeFill="accent4" w:themeFillTint="66"/>
            <w:tcMar>
              <w:top w:w="0" w:type="dxa"/>
              <w:left w:w="70" w:type="dxa"/>
              <w:bottom w:w="0" w:type="dxa"/>
              <w:right w:w="70" w:type="dxa"/>
            </w:tcMar>
            <w:vAlign w:val="center"/>
            <w:hideMark/>
          </w:tcPr>
          <w:p w:rsidR="003A736E" w:rsidRPr="0072678C" w:rsidRDefault="003A736E">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R$ 15.673</w:t>
            </w:r>
            <w:r w:rsidRPr="0072678C">
              <w:rPr>
                <w:rStyle w:val="FootnoteReference"/>
                <w:rFonts w:asciiTheme="minorHAnsi" w:hAnsiTheme="minorHAnsi" w:cstheme="minorHAnsi"/>
                <w:sz w:val="20"/>
                <w:szCs w:val="20"/>
              </w:rPr>
              <w:footnoteReference w:id="109"/>
            </w:r>
            <w:r w:rsidRPr="0072678C">
              <w:rPr>
                <w:rFonts w:asciiTheme="minorHAnsi" w:hAnsiTheme="minorHAnsi" w:cstheme="minorHAnsi"/>
                <w:sz w:val="20"/>
                <w:szCs w:val="20"/>
              </w:rPr>
              <w:t xml:space="preserve"> milhões</w:t>
            </w:r>
          </w:p>
        </w:tc>
      </w:tr>
      <w:tr w:rsidR="003A736E" w:rsidRPr="0072678C" w:rsidTr="00BB1F8D">
        <w:trPr>
          <w:trHeight w:val="510"/>
        </w:trPr>
        <w:tc>
          <w:tcPr>
            <w:tcW w:w="6804" w:type="dxa"/>
            <w:shd w:val="clear" w:color="auto" w:fill="FFFFFF"/>
            <w:tcMar>
              <w:top w:w="0" w:type="dxa"/>
              <w:left w:w="70" w:type="dxa"/>
              <w:bottom w:w="0" w:type="dxa"/>
              <w:right w:w="70" w:type="dxa"/>
            </w:tcMar>
            <w:vAlign w:val="center"/>
            <w:hideMark/>
          </w:tcPr>
          <w:p w:rsidR="003A736E" w:rsidRPr="0072678C" w:rsidRDefault="003A736E">
            <w:pPr>
              <w:ind w:firstLine="220"/>
              <w:rPr>
                <w:rFonts w:asciiTheme="minorHAnsi" w:eastAsiaTheme="minorHAnsi" w:hAnsiTheme="minorHAnsi" w:cstheme="minorHAnsi"/>
                <w:sz w:val="20"/>
                <w:szCs w:val="20"/>
                <w:lang w:eastAsia="en-US"/>
              </w:rPr>
            </w:pPr>
            <w:r w:rsidRPr="0072678C">
              <w:rPr>
                <w:rFonts w:asciiTheme="minorHAnsi" w:hAnsiTheme="minorHAnsi" w:cstheme="minorHAnsi"/>
                <w:iCs/>
                <w:sz w:val="20"/>
                <w:szCs w:val="20"/>
              </w:rPr>
              <w:t>ICMS</w:t>
            </w:r>
          </w:p>
        </w:tc>
        <w:tc>
          <w:tcPr>
            <w:tcW w:w="1986" w:type="dxa"/>
            <w:tcMar>
              <w:top w:w="0" w:type="dxa"/>
              <w:left w:w="70" w:type="dxa"/>
              <w:bottom w:w="0" w:type="dxa"/>
              <w:right w:w="70" w:type="dxa"/>
            </w:tcMar>
            <w:vAlign w:val="center"/>
            <w:hideMark/>
          </w:tcPr>
          <w:p w:rsidR="003A736E" w:rsidRPr="0072678C" w:rsidRDefault="003A736E">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R$ 14.612 milhões</w:t>
            </w:r>
          </w:p>
        </w:tc>
      </w:tr>
      <w:tr w:rsidR="003A736E" w:rsidRPr="0072678C" w:rsidTr="00BB1F8D">
        <w:trPr>
          <w:trHeight w:val="330"/>
        </w:trPr>
        <w:tc>
          <w:tcPr>
            <w:tcW w:w="6804" w:type="dxa"/>
            <w:shd w:val="clear" w:color="auto" w:fill="FFFFFF"/>
            <w:tcMar>
              <w:top w:w="0" w:type="dxa"/>
              <w:left w:w="70" w:type="dxa"/>
              <w:bottom w:w="0" w:type="dxa"/>
              <w:right w:w="70" w:type="dxa"/>
            </w:tcMar>
            <w:vAlign w:val="center"/>
            <w:hideMark/>
          </w:tcPr>
          <w:p w:rsidR="003A736E" w:rsidRPr="0072678C" w:rsidRDefault="003A736E">
            <w:pPr>
              <w:ind w:firstLine="220"/>
              <w:rPr>
                <w:rFonts w:asciiTheme="minorHAnsi" w:eastAsiaTheme="minorHAnsi" w:hAnsiTheme="minorHAnsi" w:cstheme="minorHAnsi"/>
                <w:sz w:val="20"/>
                <w:szCs w:val="20"/>
                <w:lang w:eastAsia="en-US"/>
              </w:rPr>
            </w:pPr>
            <w:r w:rsidRPr="0072678C">
              <w:rPr>
                <w:rFonts w:asciiTheme="minorHAnsi" w:hAnsiTheme="minorHAnsi" w:cstheme="minorHAnsi"/>
                <w:iCs/>
                <w:sz w:val="20"/>
                <w:szCs w:val="20"/>
              </w:rPr>
              <w:t xml:space="preserve">IPVA </w:t>
            </w:r>
          </w:p>
        </w:tc>
        <w:tc>
          <w:tcPr>
            <w:tcW w:w="1986" w:type="dxa"/>
            <w:tcMar>
              <w:top w:w="0" w:type="dxa"/>
              <w:left w:w="70" w:type="dxa"/>
              <w:bottom w:w="0" w:type="dxa"/>
              <w:right w:w="70" w:type="dxa"/>
            </w:tcMar>
            <w:vAlign w:val="center"/>
            <w:hideMark/>
          </w:tcPr>
          <w:p w:rsidR="003A736E" w:rsidRPr="0072678C" w:rsidRDefault="003A736E">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R$ 1.061 milhões</w:t>
            </w:r>
          </w:p>
        </w:tc>
      </w:tr>
      <w:tr w:rsidR="003A736E" w:rsidRPr="0072678C" w:rsidTr="00BB1F8D">
        <w:trPr>
          <w:trHeight w:val="330"/>
        </w:trPr>
        <w:tc>
          <w:tcPr>
            <w:tcW w:w="6804" w:type="dxa"/>
            <w:shd w:val="clear" w:color="auto" w:fill="FFFFFF"/>
            <w:tcMar>
              <w:top w:w="0" w:type="dxa"/>
              <w:left w:w="70" w:type="dxa"/>
              <w:bottom w:w="0" w:type="dxa"/>
              <w:right w:w="70" w:type="dxa"/>
            </w:tcMar>
            <w:vAlign w:val="center"/>
            <w:hideMark/>
          </w:tcPr>
          <w:p w:rsidR="003A736E" w:rsidRPr="0072678C" w:rsidRDefault="003A736E">
            <w:pPr>
              <w:ind w:firstLine="220"/>
              <w:rPr>
                <w:rFonts w:asciiTheme="minorHAnsi" w:eastAsiaTheme="minorHAnsi" w:hAnsiTheme="minorHAnsi" w:cstheme="minorHAnsi"/>
                <w:sz w:val="20"/>
                <w:szCs w:val="20"/>
                <w:lang w:eastAsia="en-US"/>
              </w:rPr>
            </w:pPr>
            <w:r w:rsidRPr="0072678C">
              <w:rPr>
                <w:rFonts w:asciiTheme="minorHAnsi" w:hAnsiTheme="minorHAnsi" w:cstheme="minorHAnsi"/>
                <w:iCs/>
                <w:sz w:val="20"/>
                <w:szCs w:val="20"/>
              </w:rPr>
              <w:t xml:space="preserve">ITCMD </w:t>
            </w:r>
          </w:p>
        </w:tc>
        <w:tc>
          <w:tcPr>
            <w:tcW w:w="1986" w:type="dxa"/>
            <w:tcMar>
              <w:top w:w="0" w:type="dxa"/>
              <w:left w:w="70" w:type="dxa"/>
              <w:bottom w:w="0" w:type="dxa"/>
              <w:right w:w="70" w:type="dxa"/>
            </w:tcMar>
            <w:vAlign w:val="center"/>
            <w:hideMark/>
          </w:tcPr>
          <w:p w:rsidR="003A736E" w:rsidRPr="0072678C" w:rsidRDefault="003A736E">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N/D</w:t>
            </w:r>
          </w:p>
        </w:tc>
      </w:tr>
      <w:tr w:rsidR="003A736E" w:rsidRPr="0072678C" w:rsidTr="00BB1F8D">
        <w:trPr>
          <w:trHeight w:val="322"/>
        </w:trPr>
        <w:tc>
          <w:tcPr>
            <w:tcW w:w="6804" w:type="dxa"/>
            <w:shd w:val="clear" w:color="auto" w:fill="FFE599" w:themeFill="accent4" w:themeFillTint="66"/>
            <w:tcMar>
              <w:top w:w="0" w:type="dxa"/>
              <w:left w:w="70" w:type="dxa"/>
              <w:bottom w:w="0" w:type="dxa"/>
              <w:right w:w="70" w:type="dxa"/>
            </w:tcMar>
            <w:vAlign w:val="center"/>
            <w:hideMark/>
          </w:tcPr>
          <w:p w:rsidR="003A736E" w:rsidRPr="0072678C" w:rsidRDefault="003A736E" w:rsidP="008104F7">
            <w:pPr>
              <w:pStyle w:val="ListParagraph"/>
              <w:numPr>
                <w:ilvl w:val="0"/>
                <w:numId w:val="45"/>
              </w:numPr>
              <w:rPr>
                <w:rFonts w:asciiTheme="minorHAnsi" w:eastAsiaTheme="minorHAnsi" w:hAnsiTheme="minorHAnsi" w:cstheme="minorHAnsi"/>
                <w:sz w:val="20"/>
                <w:szCs w:val="20"/>
              </w:rPr>
            </w:pPr>
            <w:r w:rsidRPr="0072678C">
              <w:rPr>
                <w:rFonts w:asciiTheme="minorHAnsi" w:hAnsiTheme="minorHAnsi" w:cstheme="minorHAnsi"/>
                <w:b/>
                <w:bCs/>
                <w:sz w:val="20"/>
                <w:szCs w:val="20"/>
              </w:rPr>
              <w:t>Cumprimento dos prazos em processos de consulta</w:t>
            </w:r>
            <w:r w:rsidRPr="0072678C">
              <w:rPr>
                <w:rFonts w:asciiTheme="minorHAnsi" w:hAnsiTheme="minorHAnsi" w:cstheme="minorHAnsi"/>
                <w:sz w:val="20"/>
                <w:szCs w:val="20"/>
              </w:rPr>
              <w:t xml:space="preserve">: Consultas respondidas (total  e dentro do prazo legal) / Total de consultas recebidas </w:t>
            </w:r>
          </w:p>
        </w:tc>
        <w:tc>
          <w:tcPr>
            <w:tcW w:w="1986" w:type="dxa"/>
            <w:shd w:val="clear" w:color="auto" w:fill="FFE599" w:themeFill="accent4" w:themeFillTint="66"/>
            <w:tcMar>
              <w:top w:w="0" w:type="dxa"/>
              <w:left w:w="70" w:type="dxa"/>
              <w:bottom w:w="0" w:type="dxa"/>
              <w:right w:w="70" w:type="dxa"/>
            </w:tcMar>
            <w:vAlign w:val="center"/>
            <w:hideMark/>
          </w:tcPr>
          <w:p w:rsidR="003A736E" w:rsidRPr="0072678C" w:rsidRDefault="003A736E" w:rsidP="003A736E">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N/D</w:t>
            </w:r>
            <w:r w:rsidRPr="0072678C">
              <w:rPr>
                <w:rStyle w:val="FootnoteReference"/>
                <w:rFonts w:asciiTheme="minorHAnsi" w:hAnsiTheme="minorHAnsi" w:cstheme="minorHAnsi"/>
                <w:sz w:val="20"/>
                <w:szCs w:val="20"/>
              </w:rPr>
              <w:footnoteReference w:id="110"/>
            </w:r>
          </w:p>
        </w:tc>
      </w:tr>
    </w:tbl>
    <w:p w:rsidR="00914F69" w:rsidRPr="0072678C" w:rsidRDefault="00914F69"/>
    <w:p w:rsidR="005F5A35" w:rsidRPr="0072678C" w:rsidRDefault="005F5A35"/>
    <w:tbl>
      <w:tblPr>
        <w:tblStyle w:val="TableGrid"/>
        <w:tblW w:w="0" w:type="auto"/>
        <w:tblInd w:w="108" w:type="dxa"/>
        <w:tblLook w:val="04A0" w:firstRow="1" w:lastRow="0" w:firstColumn="1" w:lastColumn="0" w:noHBand="0" w:noVBand="1"/>
      </w:tblPr>
      <w:tblGrid>
        <w:gridCol w:w="6592"/>
        <w:gridCol w:w="2197"/>
      </w:tblGrid>
      <w:tr w:rsidR="00B44516" w:rsidRPr="0072678C" w:rsidTr="00B44516">
        <w:tc>
          <w:tcPr>
            <w:tcW w:w="6592" w:type="dxa"/>
            <w:shd w:val="clear" w:color="auto" w:fill="FFE599" w:themeFill="accent4" w:themeFillTint="66"/>
          </w:tcPr>
          <w:p w:rsidR="00B44516" w:rsidRPr="0072678C" w:rsidRDefault="00B44516" w:rsidP="00B44516">
            <w:pPr>
              <w:spacing w:before="120" w:after="120"/>
              <w:jc w:val="both"/>
              <w:rPr>
                <w:rFonts w:asciiTheme="minorHAnsi" w:hAnsiTheme="minorHAnsi" w:cstheme="minorHAnsi"/>
                <w:b/>
              </w:rPr>
            </w:pPr>
            <w:r w:rsidRPr="0072678C">
              <w:rPr>
                <w:rFonts w:asciiTheme="minorHAnsi" w:hAnsiTheme="minorHAnsi" w:cstheme="minorHAnsi"/>
                <w:b/>
              </w:rPr>
              <w:t>Dimensão AT 2. Cadastro e Obrigação Tributária</w:t>
            </w:r>
          </w:p>
        </w:tc>
        <w:tc>
          <w:tcPr>
            <w:tcW w:w="2197" w:type="dxa"/>
            <w:shd w:val="clear" w:color="auto" w:fill="FFE599" w:themeFill="accent4" w:themeFillTint="66"/>
          </w:tcPr>
          <w:p w:rsidR="00B44516" w:rsidRPr="0072678C" w:rsidRDefault="00FF1E32" w:rsidP="009A5B22">
            <w:pPr>
              <w:spacing w:before="120" w:after="120"/>
              <w:jc w:val="center"/>
              <w:rPr>
                <w:rFonts w:asciiTheme="minorHAnsi" w:hAnsiTheme="minorHAnsi" w:cstheme="minorHAnsi"/>
                <w:b/>
                <w:color w:val="FF0000"/>
              </w:rPr>
            </w:pPr>
            <w:r w:rsidRPr="0072678C">
              <w:rPr>
                <w:rFonts w:asciiTheme="minorHAnsi" w:hAnsiTheme="minorHAnsi" w:cstheme="minorHAnsi"/>
                <w:b/>
                <w:bCs/>
                <w:color w:val="FF0000"/>
              </w:rPr>
              <w:t xml:space="preserve">INICIANTE (+) </w:t>
            </w:r>
          </w:p>
        </w:tc>
      </w:tr>
    </w:tbl>
    <w:p w:rsidR="0028408F" w:rsidRPr="009D1337" w:rsidRDefault="0028408F" w:rsidP="0028408F">
      <w:r w:rsidRPr="0072678C">
        <w:t>AT 2 – Processo 6</w:t>
      </w:r>
    </w:p>
    <w:p w:rsidR="00B44516" w:rsidRPr="0058526B"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 visão de futuro da </w:t>
      </w:r>
      <w:r w:rsidRPr="0058526B">
        <w:rPr>
          <w:rFonts w:asciiTheme="minorHAnsi" w:hAnsiTheme="minorHAnsi" w:cstheme="minorHAnsi"/>
          <w:sz w:val="22"/>
          <w:szCs w:val="22"/>
        </w:rPr>
        <w:t xml:space="preserve">dimensão </w:t>
      </w:r>
      <w:r w:rsidRPr="0058526B">
        <w:rPr>
          <w:rFonts w:asciiTheme="minorHAnsi" w:hAnsiTheme="minorHAnsi" w:cstheme="minorHAnsi"/>
          <w:b/>
          <w:sz w:val="22"/>
          <w:szCs w:val="22"/>
        </w:rPr>
        <w:t>Cadastro e Obrigação Tributária</w:t>
      </w:r>
      <w:r w:rsidR="00FF1E32" w:rsidRPr="0058526B">
        <w:rPr>
          <w:rFonts w:asciiTheme="minorHAnsi" w:hAnsiTheme="minorHAnsi" w:cstheme="minorHAnsi"/>
          <w:b/>
          <w:sz w:val="22"/>
          <w:szCs w:val="22"/>
        </w:rPr>
        <w:t xml:space="preserve"> </w:t>
      </w:r>
      <w:r w:rsidRPr="0058526B">
        <w:rPr>
          <w:rFonts w:asciiTheme="minorHAnsi" w:hAnsiTheme="minorHAnsi" w:cstheme="minorHAnsi"/>
          <w:sz w:val="22"/>
          <w:szCs w:val="22"/>
        </w:rPr>
        <w:t>é “manter cadastros atualizados e segmentados por tipo de contribuinte e controlar o cumprimento das obrigações tributárias”.</w:t>
      </w:r>
    </w:p>
    <w:p w:rsidR="00B44516" w:rsidRPr="0058526B" w:rsidRDefault="00B44516" w:rsidP="00B44516">
      <w:pPr>
        <w:spacing w:before="240" w:after="240"/>
        <w:jc w:val="both"/>
        <w:rPr>
          <w:rFonts w:asciiTheme="minorHAnsi" w:hAnsiTheme="minorHAnsi" w:cstheme="minorHAnsi"/>
          <w:b/>
          <w:bCs/>
          <w:sz w:val="22"/>
          <w:szCs w:val="22"/>
        </w:rPr>
      </w:pPr>
      <w:r w:rsidRPr="0058526B">
        <w:rPr>
          <w:rFonts w:asciiTheme="minorHAnsi" w:hAnsiTheme="minorHAnsi" w:cstheme="minorHAnsi"/>
          <w:sz w:val="22"/>
          <w:szCs w:val="22"/>
        </w:rPr>
        <w:t xml:space="preserve"> O nível ou estágio de maturidade do conjunto de processos que compõem</w:t>
      </w:r>
      <w:r w:rsidR="00D418BB" w:rsidRPr="0058526B">
        <w:rPr>
          <w:rFonts w:asciiTheme="minorHAnsi" w:hAnsiTheme="minorHAnsi" w:cstheme="minorHAnsi"/>
          <w:sz w:val="22"/>
          <w:szCs w:val="22"/>
        </w:rPr>
        <w:t xml:space="preserve"> esta dimensão, apurado pela MD-</w:t>
      </w:r>
      <w:r w:rsidRPr="0058526B">
        <w:rPr>
          <w:rFonts w:asciiTheme="minorHAnsi" w:hAnsiTheme="minorHAnsi" w:cstheme="minorHAnsi"/>
          <w:sz w:val="22"/>
          <w:szCs w:val="22"/>
        </w:rPr>
        <w:t xml:space="preserve">GEFIS, é </w:t>
      </w:r>
      <w:r w:rsidR="00FF1E32" w:rsidRPr="0058526B">
        <w:rPr>
          <w:rFonts w:asciiTheme="minorHAnsi" w:hAnsiTheme="minorHAnsi" w:cstheme="minorHAnsi"/>
          <w:b/>
          <w:sz w:val="22"/>
          <w:szCs w:val="22"/>
        </w:rPr>
        <w:t>INICIANNTE (+)</w:t>
      </w:r>
      <w:r w:rsidR="009A5B22" w:rsidRPr="0058526B">
        <w:rPr>
          <w:rFonts w:asciiTheme="minorHAnsi" w:hAnsiTheme="minorHAnsi" w:cstheme="minorHAnsi"/>
          <w:sz w:val="22"/>
          <w:szCs w:val="22"/>
        </w:rPr>
        <w:t>.</w:t>
      </w:r>
    </w:p>
    <w:p w:rsidR="00EA30EF" w:rsidRPr="0058526B" w:rsidRDefault="00602F65" w:rsidP="00602F65">
      <w:pPr>
        <w:jc w:val="both"/>
        <w:rPr>
          <w:rFonts w:asciiTheme="minorHAnsi" w:hAnsiTheme="minorHAnsi" w:cstheme="minorHAnsi"/>
          <w:b/>
          <w:bCs/>
          <w:i/>
          <w:iCs/>
          <w:sz w:val="22"/>
          <w:szCs w:val="22"/>
        </w:rPr>
      </w:pPr>
      <w:r w:rsidRPr="0058526B">
        <w:rPr>
          <w:rFonts w:asciiTheme="minorHAnsi" w:hAnsiTheme="minorHAnsi" w:cstheme="minorHAnsi"/>
          <w:sz w:val="22"/>
          <w:szCs w:val="22"/>
        </w:rPr>
        <w:t xml:space="preserve">Esta dimensão possui </w:t>
      </w:r>
      <w:r w:rsidR="00121C90" w:rsidRPr="0058526B">
        <w:rPr>
          <w:rFonts w:asciiTheme="minorHAnsi" w:hAnsiTheme="minorHAnsi" w:cstheme="minorHAnsi"/>
          <w:sz w:val="22"/>
          <w:szCs w:val="22"/>
        </w:rPr>
        <w:t xml:space="preserve">9 processos, onde </w:t>
      </w:r>
      <w:r w:rsidR="00B670C0" w:rsidRPr="0058526B">
        <w:rPr>
          <w:rFonts w:asciiTheme="minorHAnsi" w:hAnsiTheme="minorHAnsi" w:cstheme="minorHAnsi"/>
          <w:sz w:val="22"/>
          <w:szCs w:val="22"/>
        </w:rPr>
        <w:t>3</w:t>
      </w:r>
      <w:r w:rsidRPr="0058526B">
        <w:rPr>
          <w:rFonts w:asciiTheme="minorHAnsi" w:hAnsiTheme="minorHAnsi" w:cstheme="minorHAnsi"/>
          <w:sz w:val="22"/>
          <w:szCs w:val="22"/>
        </w:rPr>
        <w:t xml:space="preserve"> </w:t>
      </w:r>
      <w:r w:rsidR="00121C90" w:rsidRPr="0058526B">
        <w:rPr>
          <w:rFonts w:asciiTheme="minorHAnsi" w:hAnsiTheme="minorHAnsi" w:cstheme="minorHAnsi"/>
          <w:sz w:val="22"/>
          <w:szCs w:val="22"/>
        </w:rPr>
        <w:t>deles apresentam nível 3 de maturidade</w:t>
      </w:r>
      <w:r w:rsidR="00EA30EF" w:rsidRPr="0058526B">
        <w:rPr>
          <w:rFonts w:asciiTheme="minorHAnsi" w:hAnsiTheme="minorHAnsi" w:cstheme="minorHAnsi"/>
          <w:sz w:val="22"/>
          <w:szCs w:val="22"/>
        </w:rPr>
        <w:t xml:space="preserve">, </w:t>
      </w:r>
      <w:r w:rsidR="0058526B" w:rsidRPr="0058526B">
        <w:rPr>
          <w:rFonts w:asciiTheme="minorHAnsi" w:hAnsiTheme="minorHAnsi" w:cstheme="minorHAnsi"/>
          <w:sz w:val="22"/>
          <w:szCs w:val="22"/>
        </w:rPr>
        <w:t>ou seja,</w:t>
      </w:r>
      <w:r w:rsidR="00EA30EF" w:rsidRPr="0058526B">
        <w:rPr>
          <w:rFonts w:asciiTheme="minorHAnsi" w:hAnsiTheme="minorHAnsi" w:cstheme="minorHAnsi"/>
          <w:sz w:val="22"/>
          <w:szCs w:val="22"/>
        </w:rPr>
        <w:t xml:space="preserve"> atendem a um número alto de </w:t>
      </w:r>
      <w:r w:rsidR="009B231A" w:rsidRPr="0058526B">
        <w:rPr>
          <w:rFonts w:asciiTheme="minorHAnsi" w:hAnsiTheme="minorHAnsi" w:cstheme="minorHAnsi"/>
          <w:sz w:val="22"/>
          <w:szCs w:val="22"/>
        </w:rPr>
        <w:t>requisitos</w:t>
      </w:r>
      <w:r w:rsidR="00EA30EF" w:rsidRPr="0058526B">
        <w:rPr>
          <w:rFonts w:asciiTheme="minorHAnsi" w:hAnsiTheme="minorHAnsi" w:cstheme="minorHAnsi"/>
          <w:sz w:val="22"/>
          <w:szCs w:val="22"/>
        </w:rPr>
        <w:t xml:space="preserve"> das boas práticas da MD-GEFIS: </w:t>
      </w:r>
      <w:r w:rsidR="00007557" w:rsidRPr="0058526B">
        <w:rPr>
          <w:rFonts w:asciiTheme="minorHAnsi" w:hAnsiTheme="minorHAnsi" w:cstheme="minorHAnsi"/>
          <w:sz w:val="22"/>
          <w:szCs w:val="22"/>
        </w:rPr>
        <w:t>D</w:t>
      </w:r>
      <w:r w:rsidR="00EA30EF" w:rsidRPr="0058526B">
        <w:rPr>
          <w:rFonts w:asciiTheme="minorHAnsi" w:hAnsiTheme="minorHAnsi" w:cstheme="minorHAnsi"/>
          <w:b/>
          <w:bCs/>
          <w:i/>
          <w:iCs/>
          <w:sz w:val="22"/>
          <w:szCs w:val="22"/>
        </w:rPr>
        <w:t>ocumentos Fiscais eletrônicos (</w:t>
      </w:r>
      <w:proofErr w:type="spellStart"/>
      <w:r w:rsidR="00EA30EF" w:rsidRPr="0058526B">
        <w:rPr>
          <w:rFonts w:asciiTheme="minorHAnsi" w:hAnsiTheme="minorHAnsi" w:cstheme="minorHAnsi"/>
          <w:b/>
          <w:bCs/>
          <w:i/>
          <w:iCs/>
          <w:sz w:val="22"/>
          <w:szCs w:val="22"/>
        </w:rPr>
        <w:t>DF-e</w:t>
      </w:r>
      <w:proofErr w:type="spellEnd"/>
      <w:r w:rsidR="00007557" w:rsidRPr="0058526B">
        <w:rPr>
          <w:rFonts w:asciiTheme="minorHAnsi" w:hAnsiTheme="minorHAnsi" w:cstheme="minorHAnsi"/>
          <w:b/>
          <w:bCs/>
          <w:i/>
          <w:iCs/>
          <w:sz w:val="22"/>
          <w:szCs w:val="22"/>
        </w:rPr>
        <w:t xml:space="preserve">); </w:t>
      </w:r>
      <w:r w:rsidR="00EA30EF" w:rsidRPr="0058526B">
        <w:rPr>
          <w:rFonts w:asciiTheme="minorHAnsi" w:hAnsiTheme="minorHAnsi" w:cstheme="minorHAnsi"/>
          <w:b/>
          <w:bCs/>
          <w:i/>
          <w:iCs/>
          <w:sz w:val="22"/>
          <w:szCs w:val="22"/>
        </w:rPr>
        <w:t>monitoramento do regime simplificado (SIMPLES e SIMEI)</w:t>
      </w:r>
      <w:r w:rsidR="00EA30EF" w:rsidRPr="0058526B">
        <w:rPr>
          <w:rFonts w:asciiTheme="minorHAnsi" w:hAnsiTheme="minorHAnsi" w:cstheme="minorHAnsi"/>
          <w:sz w:val="22"/>
          <w:szCs w:val="22"/>
        </w:rPr>
        <w:t xml:space="preserve"> para fins de enquadramento legal</w:t>
      </w:r>
      <w:r w:rsidR="00007557" w:rsidRPr="0058526B">
        <w:rPr>
          <w:rFonts w:asciiTheme="minorHAnsi" w:hAnsiTheme="minorHAnsi" w:cstheme="minorHAnsi"/>
          <w:sz w:val="22"/>
          <w:szCs w:val="22"/>
        </w:rPr>
        <w:t xml:space="preserve">; e </w:t>
      </w:r>
      <w:r w:rsidR="00EA30EF" w:rsidRPr="0058526B">
        <w:rPr>
          <w:rFonts w:asciiTheme="minorHAnsi" w:hAnsiTheme="minorHAnsi" w:cstheme="minorHAnsi"/>
          <w:sz w:val="22"/>
          <w:szCs w:val="22"/>
        </w:rPr>
        <w:t xml:space="preserve">procedimentos de </w:t>
      </w:r>
      <w:r w:rsidR="00EA30EF" w:rsidRPr="0058526B">
        <w:rPr>
          <w:rFonts w:asciiTheme="minorHAnsi" w:hAnsiTheme="minorHAnsi" w:cstheme="minorHAnsi"/>
          <w:b/>
          <w:bCs/>
          <w:sz w:val="22"/>
          <w:szCs w:val="22"/>
        </w:rPr>
        <w:t>cadastro</w:t>
      </w:r>
      <w:r w:rsidR="00EA30EF" w:rsidRPr="0058526B">
        <w:rPr>
          <w:rFonts w:asciiTheme="minorHAnsi" w:hAnsiTheme="minorHAnsi" w:cstheme="minorHAnsi"/>
          <w:sz w:val="22"/>
          <w:szCs w:val="22"/>
        </w:rPr>
        <w:t xml:space="preserve"> e </w:t>
      </w:r>
      <w:r w:rsidR="00EA30EF" w:rsidRPr="0058526B">
        <w:rPr>
          <w:rFonts w:asciiTheme="minorHAnsi" w:hAnsiTheme="minorHAnsi" w:cstheme="minorHAnsi"/>
          <w:b/>
          <w:bCs/>
          <w:i/>
          <w:iCs/>
          <w:sz w:val="22"/>
          <w:szCs w:val="22"/>
        </w:rPr>
        <w:t>apuração do IPVA</w:t>
      </w:r>
      <w:r w:rsidR="00007557" w:rsidRPr="0058526B">
        <w:rPr>
          <w:rFonts w:asciiTheme="minorHAnsi" w:hAnsiTheme="minorHAnsi" w:cstheme="minorHAnsi"/>
          <w:b/>
          <w:bCs/>
          <w:i/>
          <w:iCs/>
          <w:sz w:val="22"/>
          <w:szCs w:val="22"/>
        </w:rPr>
        <w:t>.</w:t>
      </w:r>
    </w:p>
    <w:p w:rsidR="005F5A35" w:rsidRPr="0058526B" w:rsidRDefault="005F5A35" w:rsidP="00602F65">
      <w:pPr>
        <w:jc w:val="both"/>
        <w:rPr>
          <w:rFonts w:asciiTheme="minorHAnsi" w:hAnsiTheme="minorHAnsi" w:cstheme="minorHAnsi"/>
          <w:b/>
          <w:bCs/>
          <w:sz w:val="22"/>
          <w:szCs w:val="22"/>
        </w:rPr>
      </w:pPr>
    </w:p>
    <w:p w:rsidR="00602F65" w:rsidRPr="0058526B" w:rsidRDefault="0058526B" w:rsidP="00007557">
      <w:pPr>
        <w:jc w:val="both"/>
        <w:rPr>
          <w:rFonts w:asciiTheme="minorHAnsi" w:hAnsiTheme="minorHAnsi" w:cstheme="minorHAnsi"/>
          <w:b/>
          <w:bCs/>
          <w:sz w:val="22"/>
          <w:szCs w:val="22"/>
        </w:rPr>
      </w:pPr>
      <w:r w:rsidRPr="0058526B">
        <w:rPr>
          <w:rFonts w:asciiTheme="minorHAnsi" w:hAnsiTheme="minorHAnsi" w:cstheme="minorHAnsi"/>
          <w:sz w:val="22"/>
          <w:szCs w:val="22"/>
        </w:rPr>
        <w:t>Outros 3 processos apresentam</w:t>
      </w:r>
      <w:r w:rsidR="00EA30EF" w:rsidRPr="0058526B">
        <w:rPr>
          <w:rFonts w:asciiTheme="minorHAnsi" w:hAnsiTheme="minorHAnsi" w:cstheme="minorHAnsi"/>
          <w:sz w:val="22"/>
          <w:szCs w:val="22"/>
        </w:rPr>
        <w:t xml:space="preserve"> </w:t>
      </w:r>
      <w:r w:rsidR="00121C90" w:rsidRPr="0058526B">
        <w:rPr>
          <w:rFonts w:asciiTheme="minorHAnsi" w:hAnsiTheme="minorHAnsi" w:cstheme="minorHAnsi"/>
          <w:sz w:val="22"/>
          <w:szCs w:val="22"/>
        </w:rPr>
        <w:t>nível 2</w:t>
      </w:r>
      <w:r w:rsidR="00EA30EF" w:rsidRPr="0058526B">
        <w:rPr>
          <w:rFonts w:asciiTheme="minorHAnsi" w:hAnsiTheme="minorHAnsi" w:cstheme="minorHAnsi"/>
          <w:sz w:val="22"/>
          <w:szCs w:val="22"/>
        </w:rPr>
        <w:t xml:space="preserve"> de maturidade e atendem um número mediano de </w:t>
      </w:r>
      <w:r w:rsidR="009B231A" w:rsidRPr="0058526B">
        <w:rPr>
          <w:rFonts w:asciiTheme="minorHAnsi" w:hAnsiTheme="minorHAnsi" w:cstheme="minorHAnsi"/>
          <w:sz w:val="22"/>
          <w:szCs w:val="22"/>
        </w:rPr>
        <w:t>requisitos</w:t>
      </w:r>
      <w:r w:rsidR="00EA30EF" w:rsidRPr="0058526B">
        <w:rPr>
          <w:rFonts w:asciiTheme="minorHAnsi" w:hAnsiTheme="minorHAnsi" w:cstheme="minorHAnsi"/>
          <w:sz w:val="22"/>
          <w:szCs w:val="22"/>
        </w:rPr>
        <w:t xml:space="preserve"> das boas práticas da MD-GEFIS: </w:t>
      </w:r>
      <w:r w:rsidR="00007557" w:rsidRPr="0058526B">
        <w:rPr>
          <w:rFonts w:asciiTheme="minorHAnsi" w:hAnsiTheme="minorHAnsi" w:cstheme="minorHAnsi"/>
          <w:b/>
          <w:bCs/>
          <w:i/>
          <w:iCs/>
          <w:sz w:val="22"/>
          <w:szCs w:val="22"/>
        </w:rPr>
        <w:t xml:space="preserve">cadastro dos contribuintes do ICMS; </w:t>
      </w:r>
      <w:r w:rsidR="00007557" w:rsidRPr="0058526B">
        <w:rPr>
          <w:rFonts w:asciiTheme="minorHAnsi" w:hAnsiTheme="minorHAnsi" w:cstheme="minorHAnsi"/>
          <w:sz w:val="22"/>
          <w:szCs w:val="22"/>
        </w:rPr>
        <w:t xml:space="preserve">procedimentos de </w:t>
      </w:r>
      <w:r w:rsidR="00007557" w:rsidRPr="0058526B">
        <w:rPr>
          <w:rFonts w:asciiTheme="minorHAnsi" w:hAnsiTheme="minorHAnsi" w:cstheme="minorHAnsi"/>
          <w:b/>
          <w:bCs/>
          <w:i/>
          <w:iCs/>
          <w:sz w:val="22"/>
          <w:szCs w:val="22"/>
        </w:rPr>
        <w:t xml:space="preserve">apuração do ITCD/ITCMD; e </w:t>
      </w:r>
      <w:r w:rsidR="00007557" w:rsidRPr="0058526B">
        <w:rPr>
          <w:rFonts w:asciiTheme="minorHAnsi" w:hAnsiTheme="minorHAnsi" w:cstheme="minorHAnsi"/>
          <w:sz w:val="22"/>
          <w:szCs w:val="22"/>
        </w:rPr>
        <w:t>progressividade na aplicação de</w:t>
      </w:r>
      <w:r w:rsidR="00007557" w:rsidRPr="0058526B">
        <w:rPr>
          <w:rFonts w:asciiTheme="minorHAnsi" w:hAnsiTheme="minorHAnsi" w:cstheme="minorHAnsi"/>
          <w:b/>
          <w:bCs/>
          <w:i/>
          <w:iCs/>
          <w:sz w:val="22"/>
          <w:szCs w:val="22"/>
        </w:rPr>
        <w:t xml:space="preserve"> penalidades pelo descumprimento de obrigações </w:t>
      </w:r>
      <w:proofErr w:type="gramStart"/>
      <w:r w:rsidR="00007557" w:rsidRPr="0058526B">
        <w:rPr>
          <w:rFonts w:asciiTheme="minorHAnsi" w:hAnsiTheme="minorHAnsi" w:cstheme="minorHAnsi"/>
          <w:b/>
          <w:bCs/>
          <w:sz w:val="22"/>
          <w:szCs w:val="22"/>
        </w:rPr>
        <w:t>acessórias</w:t>
      </w:r>
      <w:proofErr w:type="gramEnd"/>
      <w:r w:rsidR="00007557" w:rsidRPr="0058526B">
        <w:rPr>
          <w:rFonts w:asciiTheme="minorHAnsi" w:hAnsiTheme="minorHAnsi" w:cstheme="minorHAnsi"/>
          <w:b/>
          <w:bCs/>
          <w:sz w:val="22"/>
          <w:szCs w:val="22"/>
        </w:rPr>
        <w:t>.</w:t>
      </w:r>
    </w:p>
    <w:p w:rsidR="005F5A35" w:rsidRPr="0058526B" w:rsidRDefault="005F5A35" w:rsidP="00007557">
      <w:pPr>
        <w:jc w:val="both"/>
        <w:rPr>
          <w:rFonts w:asciiTheme="minorHAnsi" w:hAnsiTheme="minorHAnsi" w:cstheme="minorHAnsi"/>
          <w:b/>
          <w:bCs/>
          <w:sz w:val="22"/>
          <w:szCs w:val="22"/>
        </w:rPr>
      </w:pPr>
    </w:p>
    <w:p w:rsidR="003E216D" w:rsidRPr="0058526B" w:rsidRDefault="005F5A35" w:rsidP="00007557">
      <w:pPr>
        <w:jc w:val="both"/>
        <w:rPr>
          <w:rFonts w:asciiTheme="minorHAnsi" w:hAnsiTheme="minorHAnsi" w:cstheme="minorHAnsi"/>
          <w:b/>
          <w:bCs/>
          <w:sz w:val="22"/>
          <w:szCs w:val="22"/>
        </w:rPr>
      </w:pPr>
      <w:r w:rsidRPr="0058526B">
        <w:rPr>
          <w:rFonts w:asciiTheme="minorHAnsi" w:hAnsiTheme="minorHAnsi" w:cstheme="minorHAnsi"/>
          <w:sz w:val="22"/>
          <w:szCs w:val="22"/>
        </w:rPr>
        <w:t>Os processos</w:t>
      </w:r>
      <w:r w:rsidRPr="0058526B">
        <w:rPr>
          <w:rFonts w:asciiTheme="minorHAnsi" w:hAnsiTheme="minorHAnsi" w:cstheme="minorHAnsi"/>
          <w:b/>
          <w:bCs/>
          <w:sz w:val="22"/>
          <w:szCs w:val="22"/>
        </w:rPr>
        <w:t xml:space="preserve"> monitoramento dos grandes contribuintes</w:t>
      </w:r>
      <w:r w:rsidRPr="0058526B">
        <w:rPr>
          <w:rFonts w:asciiTheme="minorHAnsi" w:hAnsiTheme="minorHAnsi" w:cstheme="minorHAnsi"/>
          <w:sz w:val="22"/>
          <w:szCs w:val="22"/>
        </w:rPr>
        <w:t xml:space="preserve"> </w:t>
      </w:r>
      <w:r w:rsidRPr="0058526B">
        <w:rPr>
          <w:rFonts w:asciiTheme="minorHAnsi" w:hAnsiTheme="minorHAnsi" w:cstheme="minorHAnsi"/>
          <w:b/>
          <w:bCs/>
          <w:i/>
          <w:iCs/>
          <w:sz w:val="22"/>
          <w:szCs w:val="22"/>
        </w:rPr>
        <w:t>do ICMS; monitoramento dos contribuintes de médio porte</w:t>
      </w:r>
      <w:r w:rsidR="00B670C0" w:rsidRPr="0058526B">
        <w:rPr>
          <w:rFonts w:asciiTheme="minorHAnsi" w:hAnsiTheme="minorHAnsi" w:cstheme="minorHAnsi"/>
          <w:b/>
          <w:bCs/>
          <w:i/>
          <w:iCs/>
          <w:sz w:val="22"/>
          <w:szCs w:val="22"/>
        </w:rPr>
        <w:t xml:space="preserve">; e </w:t>
      </w:r>
      <w:r w:rsidR="00B670C0" w:rsidRPr="0058526B">
        <w:rPr>
          <w:rFonts w:asciiTheme="minorHAnsi" w:hAnsiTheme="minorHAnsi" w:cstheme="minorHAnsi"/>
          <w:sz w:val="22"/>
          <w:szCs w:val="22"/>
        </w:rPr>
        <w:t xml:space="preserve">procedimento de </w:t>
      </w:r>
      <w:r w:rsidR="00B670C0" w:rsidRPr="0058526B">
        <w:rPr>
          <w:rFonts w:asciiTheme="minorHAnsi" w:hAnsiTheme="minorHAnsi" w:cstheme="minorHAnsi"/>
          <w:b/>
          <w:bCs/>
          <w:i/>
          <w:iCs/>
          <w:sz w:val="22"/>
          <w:szCs w:val="22"/>
        </w:rPr>
        <w:t xml:space="preserve">aferição do ICMS </w:t>
      </w:r>
      <w:r w:rsidR="00B670C0" w:rsidRPr="0058526B">
        <w:rPr>
          <w:rFonts w:asciiTheme="minorHAnsi" w:hAnsiTheme="minorHAnsi" w:cstheme="minorHAnsi"/>
          <w:b/>
          <w:bCs/>
          <w:sz w:val="22"/>
          <w:szCs w:val="22"/>
        </w:rPr>
        <w:t xml:space="preserve">apurado pelos </w:t>
      </w:r>
      <w:r w:rsidR="0058526B" w:rsidRPr="0058526B">
        <w:rPr>
          <w:rFonts w:asciiTheme="minorHAnsi" w:hAnsiTheme="minorHAnsi" w:cstheme="minorHAnsi"/>
          <w:b/>
          <w:bCs/>
          <w:sz w:val="22"/>
          <w:szCs w:val="22"/>
        </w:rPr>
        <w:t>contribuintes</w:t>
      </w:r>
      <w:r w:rsidR="0058526B" w:rsidRPr="0058526B">
        <w:rPr>
          <w:rFonts w:asciiTheme="minorHAnsi" w:hAnsiTheme="minorHAnsi" w:cstheme="minorHAnsi"/>
          <w:sz w:val="22"/>
          <w:szCs w:val="22"/>
        </w:rPr>
        <w:t xml:space="preserve">; </w:t>
      </w:r>
      <w:r w:rsidR="0058526B" w:rsidRPr="0058526B">
        <w:rPr>
          <w:rFonts w:asciiTheme="minorHAnsi" w:hAnsiTheme="minorHAnsi" w:cstheme="minorHAnsi"/>
          <w:b/>
          <w:bCs/>
          <w:i/>
          <w:iCs/>
          <w:sz w:val="22"/>
          <w:szCs w:val="22"/>
        </w:rPr>
        <w:t>obtiveram</w:t>
      </w:r>
      <w:r w:rsidRPr="0058526B">
        <w:rPr>
          <w:rFonts w:asciiTheme="minorHAnsi" w:hAnsiTheme="minorHAnsi" w:cstheme="minorHAnsi"/>
          <w:sz w:val="22"/>
          <w:szCs w:val="22"/>
        </w:rPr>
        <w:t xml:space="preserve"> </w:t>
      </w:r>
      <w:r w:rsidR="003E216D" w:rsidRPr="0058526B">
        <w:rPr>
          <w:rFonts w:asciiTheme="minorHAnsi" w:hAnsiTheme="minorHAnsi" w:cstheme="minorHAnsi"/>
          <w:sz w:val="22"/>
          <w:szCs w:val="22"/>
        </w:rPr>
        <w:t xml:space="preserve">nível 0 (zero) de </w:t>
      </w:r>
      <w:r w:rsidRPr="0058526B">
        <w:rPr>
          <w:rFonts w:asciiTheme="minorHAnsi" w:hAnsiTheme="minorHAnsi" w:cstheme="minorHAnsi"/>
          <w:sz w:val="22"/>
          <w:szCs w:val="22"/>
        </w:rPr>
        <w:t xml:space="preserve">maturidade </w:t>
      </w:r>
      <w:r w:rsidR="003E216D" w:rsidRPr="0058526B">
        <w:rPr>
          <w:rFonts w:asciiTheme="minorHAnsi" w:hAnsiTheme="minorHAnsi" w:cstheme="minorHAnsi"/>
          <w:sz w:val="22"/>
          <w:szCs w:val="22"/>
        </w:rPr>
        <w:t xml:space="preserve">e não atende a nenhum dos </w:t>
      </w:r>
      <w:r w:rsidR="009B231A" w:rsidRPr="0058526B">
        <w:rPr>
          <w:rFonts w:asciiTheme="minorHAnsi" w:hAnsiTheme="minorHAnsi" w:cstheme="minorHAnsi"/>
          <w:sz w:val="22"/>
          <w:szCs w:val="22"/>
        </w:rPr>
        <w:t>requisitos</w:t>
      </w:r>
      <w:r w:rsidR="003E216D" w:rsidRPr="0058526B">
        <w:rPr>
          <w:rFonts w:asciiTheme="minorHAnsi" w:hAnsiTheme="minorHAnsi" w:cstheme="minorHAnsi"/>
          <w:sz w:val="22"/>
          <w:szCs w:val="22"/>
        </w:rPr>
        <w:t xml:space="preserve"> das boas práticas da MD-GEFIS</w:t>
      </w:r>
    </w:p>
    <w:p w:rsidR="00007557" w:rsidRPr="0058526B" w:rsidRDefault="00007557" w:rsidP="00007557">
      <w:pPr>
        <w:jc w:val="both"/>
        <w:rPr>
          <w:rFonts w:asciiTheme="minorHAnsi" w:hAnsiTheme="minorHAnsi" w:cstheme="minorHAnsi"/>
          <w:b/>
          <w:sz w:val="22"/>
          <w:szCs w:val="22"/>
        </w:rPr>
      </w:pPr>
    </w:p>
    <w:p w:rsidR="008B52A9" w:rsidRPr="0072678C" w:rsidRDefault="008B52A9" w:rsidP="008B52A9">
      <w:pPr>
        <w:jc w:val="both"/>
        <w:rPr>
          <w:rFonts w:asciiTheme="minorHAnsi" w:hAnsiTheme="minorHAnsi" w:cstheme="minorHAnsi"/>
          <w:b/>
          <w:bCs/>
          <w:sz w:val="22"/>
          <w:szCs w:val="22"/>
        </w:rPr>
      </w:pPr>
      <w:r w:rsidRPr="0058526B">
        <w:rPr>
          <w:rFonts w:asciiTheme="minorHAnsi" w:hAnsiTheme="minorHAnsi" w:cstheme="minorHAnsi"/>
          <w:sz w:val="22"/>
          <w:szCs w:val="22"/>
        </w:rPr>
        <w:t xml:space="preserve">Com nível 3 de maturidade os </w:t>
      </w:r>
      <w:r w:rsidRPr="0058526B">
        <w:rPr>
          <w:rFonts w:asciiTheme="minorHAnsi" w:hAnsiTheme="minorHAnsi" w:cstheme="minorHAnsi"/>
          <w:b/>
          <w:bCs/>
          <w:i/>
          <w:iCs/>
          <w:sz w:val="22"/>
          <w:szCs w:val="22"/>
        </w:rPr>
        <w:t>Documentos Fiscais eletrônicos (</w:t>
      </w:r>
      <w:proofErr w:type="spellStart"/>
      <w:r w:rsidRPr="0058526B">
        <w:rPr>
          <w:rFonts w:asciiTheme="minorHAnsi" w:hAnsiTheme="minorHAnsi" w:cstheme="minorHAnsi"/>
          <w:b/>
          <w:bCs/>
          <w:i/>
          <w:iCs/>
          <w:sz w:val="22"/>
          <w:szCs w:val="22"/>
        </w:rPr>
        <w:t>DF-e</w:t>
      </w:r>
      <w:proofErr w:type="spellEnd"/>
      <w:r w:rsidRPr="0058526B">
        <w:rPr>
          <w:rFonts w:asciiTheme="minorHAnsi" w:hAnsiTheme="minorHAnsi" w:cstheme="minorHAnsi"/>
          <w:b/>
          <w:bCs/>
          <w:i/>
          <w:iCs/>
          <w:sz w:val="22"/>
          <w:szCs w:val="22"/>
        </w:rPr>
        <w:t xml:space="preserve">) </w:t>
      </w:r>
      <w:r w:rsidRPr="0058526B">
        <w:rPr>
          <w:rFonts w:asciiTheme="minorHAnsi" w:hAnsiTheme="minorHAnsi" w:cstheme="minorHAnsi"/>
          <w:sz w:val="22"/>
          <w:szCs w:val="22"/>
        </w:rPr>
        <w:t>atendem a 13 dentre 14 requisitos das boas práticas da MD-GEFIS</w:t>
      </w:r>
      <w:r w:rsidRPr="0072678C">
        <w:rPr>
          <w:rFonts w:asciiTheme="minorHAnsi" w:hAnsiTheme="minorHAnsi" w:cstheme="minorHAnsi"/>
          <w:sz w:val="22"/>
          <w:szCs w:val="22"/>
        </w:rPr>
        <w:t>. Nota fiscal eletrônica (NF-e) conforme Portaria CAT 162/2008; Conhecimento de Transporte eletrônico (CT-e) conforme Portaria CAT 55/2009</w:t>
      </w:r>
      <w:r w:rsidRPr="0072678C">
        <w:rPr>
          <w:rStyle w:val="FootnoteReference"/>
          <w:rFonts w:asciiTheme="minorHAnsi" w:hAnsiTheme="minorHAnsi" w:cstheme="minorHAnsi"/>
          <w:sz w:val="22"/>
          <w:szCs w:val="22"/>
        </w:rPr>
        <w:footnoteReference w:id="111"/>
      </w:r>
      <w:r w:rsidRPr="0072678C">
        <w:rPr>
          <w:rFonts w:asciiTheme="minorHAnsi" w:hAnsiTheme="minorHAnsi" w:cstheme="minorHAnsi"/>
          <w:sz w:val="22"/>
          <w:szCs w:val="22"/>
        </w:rPr>
        <w:t xml:space="preserve">; </w:t>
      </w:r>
      <w:r w:rsidRPr="0072678C">
        <w:rPr>
          <w:rFonts w:asciiTheme="minorHAnsi" w:hAnsiTheme="minorHAnsi" w:cstheme="minorHAnsi"/>
          <w:sz w:val="22"/>
          <w:szCs w:val="22"/>
        </w:rPr>
        <w:lastRenderedPageBreak/>
        <w:t>Manifesto Eletrônico de Documentos Fiscais (MDF-e) conforme Portaria CAT 102/2013</w:t>
      </w:r>
      <w:r w:rsidRPr="0072678C">
        <w:rPr>
          <w:rStyle w:val="FootnoteReference"/>
          <w:rFonts w:asciiTheme="minorHAnsi" w:hAnsiTheme="minorHAnsi" w:cstheme="minorHAnsi"/>
          <w:sz w:val="22"/>
          <w:szCs w:val="22"/>
        </w:rPr>
        <w:footnoteReference w:id="112"/>
      </w:r>
      <w:r w:rsidRPr="0072678C">
        <w:rPr>
          <w:rFonts w:asciiTheme="minorHAnsi" w:hAnsiTheme="minorHAnsi" w:cstheme="minorHAnsi"/>
          <w:sz w:val="22"/>
          <w:szCs w:val="22"/>
        </w:rPr>
        <w:t>; Nota fiscal do Consumidor eletrônica (NFC-e) conforme Portaria CAT 12/2015</w:t>
      </w:r>
      <w:r w:rsidRPr="0072678C">
        <w:rPr>
          <w:rStyle w:val="FootnoteReference"/>
          <w:rFonts w:asciiTheme="minorHAnsi" w:hAnsiTheme="minorHAnsi" w:cstheme="minorHAnsi"/>
          <w:sz w:val="22"/>
          <w:szCs w:val="22"/>
        </w:rPr>
        <w:footnoteReference w:id="113"/>
      </w:r>
      <w:r w:rsidRPr="0072678C">
        <w:rPr>
          <w:rFonts w:asciiTheme="minorHAnsi" w:hAnsiTheme="minorHAnsi" w:cstheme="minorHAnsi"/>
          <w:sz w:val="22"/>
          <w:szCs w:val="22"/>
        </w:rPr>
        <w:t>; Cupom Fiscal eletrônico (</w:t>
      </w:r>
      <w:proofErr w:type="spellStart"/>
      <w:r w:rsidRPr="0072678C">
        <w:rPr>
          <w:rFonts w:asciiTheme="minorHAnsi" w:hAnsiTheme="minorHAnsi" w:cstheme="minorHAnsi"/>
          <w:sz w:val="22"/>
          <w:szCs w:val="22"/>
        </w:rPr>
        <w:t>CF-e</w:t>
      </w:r>
      <w:proofErr w:type="spellEnd"/>
      <w:r w:rsidRPr="0072678C">
        <w:rPr>
          <w:rFonts w:asciiTheme="minorHAnsi" w:hAnsiTheme="minorHAnsi" w:cstheme="minorHAnsi"/>
          <w:sz w:val="22"/>
          <w:szCs w:val="22"/>
        </w:rPr>
        <w:t xml:space="preserve">) conforme </w:t>
      </w:r>
      <w:r w:rsidRPr="0072678C">
        <w:rPr>
          <w:rFonts w:asciiTheme="minorHAnsi" w:hAnsiTheme="minorHAnsi" w:cstheme="minorHAnsi"/>
          <w:b/>
          <w:bCs/>
          <w:sz w:val="22"/>
          <w:szCs w:val="22"/>
        </w:rPr>
        <w:t> </w:t>
      </w:r>
      <w:r w:rsidRPr="0072678C">
        <w:rPr>
          <w:rFonts w:asciiTheme="minorHAnsi" w:hAnsiTheme="minorHAnsi" w:cstheme="minorHAnsi"/>
          <w:sz w:val="22"/>
          <w:szCs w:val="22"/>
        </w:rPr>
        <w:t>Portaria CAT 147/12</w:t>
      </w:r>
      <w:r w:rsidRPr="0072678C">
        <w:rPr>
          <w:rStyle w:val="FootnoteReference"/>
          <w:rFonts w:asciiTheme="minorHAnsi" w:hAnsiTheme="minorHAnsi" w:cstheme="minorHAnsi"/>
          <w:sz w:val="22"/>
          <w:szCs w:val="22"/>
        </w:rPr>
        <w:footnoteReference w:id="114"/>
      </w:r>
      <w:r w:rsidRPr="0072678C">
        <w:rPr>
          <w:rFonts w:asciiTheme="minorHAnsi" w:hAnsiTheme="minorHAnsi" w:cstheme="minorHAnsi"/>
          <w:sz w:val="22"/>
          <w:szCs w:val="22"/>
        </w:rPr>
        <w:t>; Nota fiscal do comércio exterior eletrônica</w:t>
      </w:r>
      <w:r w:rsidRPr="0072678C">
        <w:rPr>
          <w:rStyle w:val="FootnoteReference"/>
          <w:rFonts w:asciiTheme="minorHAnsi" w:hAnsiTheme="minorHAnsi" w:cstheme="minorHAnsi"/>
          <w:sz w:val="22"/>
          <w:szCs w:val="22"/>
        </w:rPr>
        <w:footnoteReference w:id="115"/>
      </w:r>
      <w:r w:rsidRPr="0072678C">
        <w:rPr>
          <w:rFonts w:asciiTheme="minorHAnsi" w:hAnsiTheme="minorHAnsi" w:cstheme="minorHAnsi"/>
          <w:sz w:val="22"/>
          <w:szCs w:val="22"/>
        </w:rPr>
        <w:t>; Nota Fiscal de Produtor rural (avulsa)</w:t>
      </w:r>
      <w:r w:rsidRPr="0072678C">
        <w:rPr>
          <w:rStyle w:val="FootnoteReference"/>
          <w:rFonts w:asciiTheme="minorHAnsi" w:hAnsiTheme="minorHAnsi" w:cstheme="minorHAnsi"/>
          <w:sz w:val="22"/>
          <w:szCs w:val="22"/>
        </w:rPr>
        <w:footnoteReference w:id="116"/>
      </w:r>
      <w:r w:rsidRPr="0072678C">
        <w:rPr>
          <w:rFonts w:asciiTheme="minorHAnsi" w:hAnsiTheme="minorHAnsi" w:cstheme="minorHAnsi"/>
          <w:sz w:val="22"/>
          <w:szCs w:val="22"/>
        </w:rPr>
        <w:t>; Escrituração Fiscal digital (EFD); Escrituração Contábil digital (ECD)</w:t>
      </w:r>
      <w:r w:rsidRPr="0072678C">
        <w:rPr>
          <w:rStyle w:val="FootnoteReference"/>
          <w:rFonts w:asciiTheme="minorHAnsi" w:hAnsiTheme="minorHAnsi" w:cstheme="minorHAnsi"/>
          <w:sz w:val="22"/>
          <w:szCs w:val="22"/>
        </w:rPr>
        <w:footnoteReference w:id="117"/>
      </w:r>
      <w:r w:rsidRPr="0072678C">
        <w:rPr>
          <w:rFonts w:asciiTheme="minorHAnsi" w:hAnsiTheme="minorHAnsi" w:cstheme="minorHAnsi"/>
          <w:sz w:val="22"/>
          <w:szCs w:val="22"/>
        </w:rPr>
        <w:t>; Nota Fiscal eletrônica para transporte de valores conforme Portaria CAT 55/2009</w:t>
      </w:r>
      <w:r w:rsidRPr="0072678C">
        <w:rPr>
          <w:rStyle w:val="FootnoteReference"/>
          <w:rFonts w:asciiTheme="minorHAnsi" w:hAnsiTheme="minorHAnsi" w:cstheme="minorHAnsi"/>
          <w:sz w:val="22"/>
          <w:szCs w:val="22"/>
        </w:rPr>
        <w:footnoteReference w:id="118"/>
      </w:r>
      <w:r w:rsidRPr="0072678C">
        <w:rPr>
          <w:rFonts w:asciiTheme="minorHAnsi" w:hAnsiTheme="minorHAnsi" w:cstheme="minorHAnsi"/>
          <w:sz w:val="22"/>
          <w:szCs w:val="22"/>
        </w:rPr>
        <w:t>; Nota Fiscal eletrônica para transporte de pessoas intermunicipal e interestadual conforme Portaria CAT 55/2009</w:t>
      </w:r>
      <w:r w:rsidRPr="0072678C">
        <w:rPr>
          <w:rStyle w:val="FootnoteReference"/>
          <w:rFonts w:asciiTheme="minorHAnsi" w:hAnsiTheme="minorHAnsi" w:cstheme="minorHAnsi"/>
          <w:sz w:val="22"/>
          <w:szCs w:val="22"/>
        </w:rPr>
        <w:footnoteReference w:id="119"/>
      </w:r>
      <w:r w:rsidRPr="0072678C">
        <w:rPr>
          <w:rFonts w:asciiTheme="minorHAnsi" w:hAnsiTheme="minorHAnsi" w:cstheme="minorHAnsi"/>
          <w:sz w:val="22"/>
          <w:szCs w:val="22"/>
        </w:rPr>
        <w:t>; Nota Fiscal eletrônica para transporte de excesso de bagagem conforme Portaria CAT 55/2009</w:t>
      </w:r>
      <w:r w:rsidRPr="0072678C">
        <w:rPr>
          <w:rStyle w:val="FootnoteReference"/>
          <w:rFonts w:asciiTheme="minorHAnsi" w:hAnsiTheme="minorHAnsi" w:cstheme="minorHAnsi"/>
          <w:sz w:val="22"/>
          <w:szCs w:val="22"/>
        </w:rPr>
        <w:footnoteReference w:id="120"/>
      </w:r>
      <w:r w:rsidRPr="0072678C">
        <w:rPr>
          <w:rFonts w:asciiTheme="minorHAnsi" w:hAnsiTheme="minorHAnsi" w:cstheme="minorHAnsi"/>
          <w:sz w:val="22"/>
          <w:szCs w:val="22"/>
        </w:rPr>
        <w:t>; e Nota fiscal do Micro Empreendedor Individual (MEI)</w:t>
      </w:r>
      <w:r w:rsidRPr="0072678C">
        <w:rPr>
          <w:rStyle w:val="FootnoteReference"/>
          <w:rFonts w:asciiTheme="minorHAnsi" w:hAnsiTheme="minorHAnsi" w:cstheme="minorHAnsi"/>
          <w:sz w:val="22"/>
          <w:szCs w:val="22"/>
        </w:rPr>
        <w:footnoteReference w:id="121"/>
      </w:r>
      <w:r w:rsidRPr="0072678C">
        <w:rPr>
          <w:rFonts w:asciiTheme="minorHAnsi" w:hAnsiTheme="minorHAnsi" w:cstheme="minorHAnsi"/>
          <w:sz w:val="22"/>
          <w:szCs w:val="22"/>
        </w:rPr>
        <w:t>.</w:t>
      </w:r>
    </w:p>
    <w:p w:rsidR="001D1240" w:rsidRPr="0072678C" w:rsidRDefault="001D1240"/>
    <w:p w:rsidR="008F165E" w:rsidRPr="0072678C" w:rsidRDefault="008F165E" w:rsidP="008F165E">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monitoramento do regime simplificado (SIMPLES e SIMEI)</w:t>
      </w:r>
      <w:r w:rsidRPr="0072678C">
        <w:rPr>
          <w:rFonts w:asciiTheme="minorHAnsi" w:hAnsiTheme="minorHAnsi" w:cstheme="minorHAnsi"/>
          <w:sz w:val="22"/>
          <w:szCs w:val="22"/>
        </w:rPr>
        <w:t xml:space="preserve"> para fins de enquadramento legal obteve nível 3 de maturidade e atende 8 dentre 10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Neste processo a SEFA</w:t>
      </w:r>
      <w:r w:rsidR="000B5AFD" w:rsidRPr="0072678C">
        <w:rPr>
          <w:rFonts w:asciiTheme="minorHAnsi" w:hAnsiTheme="minorHAnsi" w:cstheme="minorHAnsi"/>
          <w:sz w:val="22"/>
          <w:szCs w:val="22"/>
        </w:rPr>
        <w:t>Z</w:t>
      </w:r>
      <w:r w:rsidRPr="0072678C">
        <w:rPr>
          <w:rFonts w:asciiTheme="minorHAnsi" w:hAnsiTheme="minorHAnsi" w:cstheme="minorHAnsi"/>
          <w:sz w:val="22"/>
          <w:szCs w:val="22"/>
        </w:rPr>
        <w:t xml:space="preserve">/SP utiliza monitoramento eletrônico com acesso aos </w:t>
      </w:r>
      <w:proofErr w:type="spellStart"/>
      <w:r w:rsidRPr="0072678C">
        <w:rPr>
          <w:rFonts w:asciiTheme="minorHAnsi" w:hAnsiTheme="minorHAnsi" w:cstheme="minorHAnsi"/>
          <w:sz w:val="22"/>
          <w:szCs w:val="22"/>
        </w:rPr>
        <w:t>DF-e</w:t>
      </w:r>
      <w:proofErr w:type="spellEnd"/>
      <w:r w:rsidRPr="0072678C">
        <w:rPr>
          <w:rFonts w:asciiTheme="minorHAnsi" w:hAnsiTheme="minorHAnsi" w:cstheme="minorHAnsi"/>
          <w:sz w:val="22"/>
          <w:szCs w:val="22"/>
        </w:rPr>
        <w:t xml:space="preserve"> emitidos; controla automaticamente a declaração e o pagamento mensal do SIMPLES (PGDAS) e do SIMEI (PGMEI)</w:t>
      </w:r>
      <w:r w:rsidRPr="0072678C">
        <w:rPr>
          <w:rStyle w:val="FootnoteReference"/>
          <w:rFonts w:asciiTheme="minorHAnsi" w:hAnsiTheme="minorHAnsi" w:cstheme="minorHAnsi"/>
          <w:sz w:val="22"/>
          <w:szCs w:val="22"/>
        </w:rPr>
        <w:footnoteReference w:id="122"/>
      </w:r>
      <w:r w:rsidR="000B5AFD" w:rsidRPr="0072678C">
        <w:rPr>
          <w:rFonts w:asciiTheme="minorHAnsi" w:hAnsiTheme="minorHAnsi" w:cstheme="minorHAnsi"/>
          <w:sz w:val="22"/>
          <w:szCs w:val="22"/>
        </w:rPr>
        <w:t xml:space="preserve"> (a</w:t>
      </w:r>
      <w:r w:rsidRPr="0072678C">
        <w:rPr>
          <w:rFonts w:asciiTheme="minorHAnsi" w:hAnsiTheme="minorHAnsi" w:cstheme="minorHAnsi"/>
          <w:sz w:val="22"/>
          <w:szCs w:val="22"/>
        </w:rPr>
        <w:t>dicionalmente, o § 1</w:t>
      </w:r>
      <w:r w:rsidRPr="0072678C">
        <w:rPr>
          <w:rFonts w:asciiTheme="minorHAnsi" w:hAnsiTheme="minorHAnsi" w:cstheme="minorHAnsi"/>
          <w:sz w:val="22"/>
          <w:szCs w:val="22"/>
          <w:vertAlign w:val="superscript"/>
        </w:rPr>
        <w:t>o</w:t>
      </w:r>
      <w:r w:rsidRPr="0072678C">
        <w:rPr>
          <w:rFonts w:asciiTheme="minorHAnsi" w:hAnsiTheme="minorHAnsi" w:cstheme="minorHAnsi"/>
          <w:sz w:val="22"/>
          <w:szCs w:val="22"/>
        </w:rPr>
        <w:t>-D do art. 33 da LC 123/06 dispõe que a competência para autuar o descumprimento desta obrigação é da RFB</w:t>
      </w:r>
      <w:r w:rsidR="000B5AFD" w:rsidRPr="0072678C">
        <w:rPr>
          <w:rFonts w:asciiTheme="minorHAnsi" w:hAnsiTheme="minorHAnsi" w:cstheme="minorHAnsi"/>
          <w:sz w:val="22"/>
          <w:szCs w:val="22"/>
        </w:rPr>
        <w:t>); controla automaticamente a entrega da declaração anual do SIMPLES e do SIMEI (DASN); utiliza informações sobre o volume total de arrecadação, inclusive no comércio eletrônico; utiliza informações sobre as participações societárias no âmbito estadual e nacional (</w:t>
      </w:r>
      <w:r w:rsidR="00BE2309" w:rsidRPr="0072678C">
        <w:rPr>
          <w:rFonts w:asciiTheme="minorHAnsi" w:hAnsiTheme="minorHAnsi" w:cstheme="minorHAnsi"/>
          <w:sz w:val="22"/>
          <w:szCs w:val="22"/>
        </w:rPr>
        <w:t>a</w:t>
      </w:r>
      <w:r w:rsidR="000B5AFD" w:rsidRPr="0072678C">
        <w:rPr>
          <w:rFonts w:asciiTheme="minorHAnsi" w:hAnsiTheme="minorHAnsi" w:cstheme="minorHAnsi"/>
          <w:sz w:val="22"/>
          <w:szCs w:val="22"/>
        </w:rPr>
        <w:t xml:space="preserve"> equipe de pequenos contribuintes da DEAT utiliza informações do </w:t>
      </w:r>
      <w:proofErr w:type="spellStart"/>
      <w:r w:rsidR="000B5AFD" w:rsidRPr="0072678C">
        <w:rPr>
          <w:rFonts w:asciiTheme="minorHAnsi" w:hAnsiTheme="minorHAnsi" w:cstheme="minorHAnsi"/>
          <w:sz w:val="22"/>
          <w:szCs w:val="22"/>
        </w:rPr>
        <w:t>Cadesp</w:t>
      </w:r>
      <w:proofErr w:type="spellEnd"/>
      <w:r w:rsidR="000B5AFD" w:rsidRPr="0072678C">
        <w:rPr>
          <w:rFonts w:asciiTheme="minorHAnsi" w:hAnsiTheme="minorHAnsi" w:cstheme="minorHAnsi"/>
          <w:sz w:val="22"/>
          <w:szCs w:val="22"/>
        </w:rPr>
        <w:t xml:space="preserve"> para procedimentos de malha em que apuram, por exemplo, se um sócio enquadrado como SN em uma empresa também participa </w:t>
      </w:r>
      <w:r w:rsidR="00BE2309" w:rsidRPr="0072678C">
        <w:rPr>
          <w:rFonts w:asciiTheme="minorHAnsi" w:hAnsiTheme="minorHAnsi" w:cstheme="minorHAnsi"/>
          <w:sz w:val="22"/>
          <w:szCs w:val="22"/>
        </w:rPr>
        <w:t xml:space="preserve">de outras empresas); utiliza as bases de dados dos </w:t>
      </w:r>
      <w:proofErr w:type="spellStart"/>
      <w:r w:rsidR="00BE2309" w:rsidRPr="0072678C">
        <w:rPr>
          <w:rFonts w:asciiTheme="minorHAnsi" w:hAnsiTheme="minorHAnsi" w:cstheme="minorHAnsi"/>
          <w:sz w:val="22"/>
          <w:szCs w:val="22"/>
        </w:rPr>
        <w:t>DF-e</w:t>
      </w:r>
      <w:proofErr w:type="spellEnd"/>
      <w:r w:rsidR="00BE2309" w:rsidRPr="0072678C">
        <w:rPr>
          <w:rFonts w:asciiTheme="minorHAnsi" w:hAnsiTheme="minorHAnsi" w:cstheme="minorHAnsi"/>
          <w:sz w:val="22"/>
          <w:szCs w:val="22"/>
        </w:rPr>
        <w:t xml:space="preserve"> para verificação do volume de aquisições e vendas (para o SN existe um Universo no Banco de Dados que cruza as Declarações com a </w:t>
      </w:r>
      <w:proofErr w:type="spellStart"/>
      <w:r w:rsidR="00BE2309" w:rsidRPr="0072678C">
        <w:rPr>
          <w:rFonts w:asciiTheme="minorHAnsi" w:hAnsiTheme="minorHAnsi" w:cstheme="minorHAnsi"/>
          <w:sz w:val="22"/>
          <w:szCs w:val="22"/>
        </w:rPr>
        <w:t>NFe</w:t>
      </w:r>
      <w:proofErr w:type="spellEnd"/>
      <w:r w:rsidR="00BE2309" w:rsidRPr="0072678C">
        <w:rPr>
          <w:rFonts w:asciiTheme="minorHAnsi" w:hAnsiTheme="minorHAnsi" w:cstheme="minorHAnsi"/>
          <w:sz w:val="22"/>
          <w:szCs w:val="22"/>
        </w:rPr>
        <w:t xml:space="preserve"> e Cupons fiscais emitidos); solicita auditoria fiscal quando identifica necessidade de verificação física de indícios de irregularidades; e utiliza informações do controle do trânsito de mercadorias para o monitoramento.</w:t>
      </w:r>
    </w:p>
    <w:p w:rsidR="000B5AFD" w:rsidRPr="0072678C" w:rsidRDefault="000B5AFD" w:rsidP="008F165E">
      <w:pPr>
        <w:jc w:val="both"/>
        <w:rPr>
          <w:rFonts w:asciiTheme="minorHAnsi" w:hAnsiTheme="minorHAnsi" w:cstheme="minorHAnsi"/>
          <w:sz w:val="22"/>
          <w:szCs w:val="22"/>
        </w:rPr>
      </w:pPr>
    </w:p>
    <w:p w:rsidR="003B7E7A" w:rsidRPr="0072678C" w:rsidRDefault="003B7E7A" w:rsidP="00B670C0">
      <w:pPr>
        <w:tabs>
          <w:tab w:val="left" w:pos="3756"/>
        </w:tabs>
        <w:jc w:val="both"/>
        <w:rPr>
          <w:rFonts w:asciiTheme="minorHAnsi" w:hAnsiTheme="minorHAnsi" w:cstheme="minorHAnsi"/>
          <w:sz w:val="22"/>
          <w:szCs w:val="22"/>
        </w:rPr>
      </w:pPr>
      <w:r w:rsidRPr="0072678C">
        <w:rPr>
          <w:rFonts w:asciiTheme="minorHAnsi" w:hAnsiTheme="minorHAnsi" w:cstheme="minorHAnsi"/>
          <w:sz w:val="22"/>
          <w:szCs w:val="22"/>
        </w:rPr>
        <w:t xml:space="preserve">Os procedimentos de </w:t>
      </w:r>
      <w:r w:rsidRPr="0072678C">
        <w:rPr>
          <w:rFonts w:asciiTheme="minorHAnsi" w:hAnsiTheme="minorHAnsi" w:cstheme="minorHAnsi"/>
          <w:b/>
          <w:bCs/>
          <w:sz w:val="22"/>
          <w:szCs w:val="22"/>
        </w:rPr>
        <w:t>cadastro</w:t>
      </w:r>
      <w:r w:rsidRPr="0072678C">
        <w:rPr>
          <w:rFonts w:asciiTheme="minorHAnsi" w:hAnsiTheme="minorHAnsi" w:cstheme="minorHAnsi"/>
          <w:sz w:val="22"/>
          <w:szCs w:val="22"/>
        </w:rPr>
        <w:t xml:space="preserve"> e </w:t>
      </w:r>
      <w:r w:rsidRPr="0072678C">
        <w:rPr>
          <w:rFonts w:asciiTheme="minorHAnsi" w:hAnsiTheme="minorHAnsi" w:cstheme="minorHAnsi"/>
          <w:b/>
          <w:bCs/>
          <w:i/>
          <w:iCs/>
          <w:sz w:val="22"/>
          <w:szCs w:val="22"/>
        </w:rPr>
        <w:t xml:space="preserve">apuração do IPVA </w:t>
      </w:r>
      <w:r w:rsidRPr="0072678C">
        <w:rPr>
          <w:rFonts w:asciiTheme="minorHAnsi" w:hAnsiTheme="minorHAnsi" w:cstheme="minorHAnsi"/>
          <w:sz w:val="22"/>
          <w:szCs w:val="22"/>
        </w:rPr>
        <w:t xml:space="preserve">atende a todos os 5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e alcançou nível 3 de maturidade: Neste processo a SEFAZ/SP utiliza informações de cadastro integradas em tempo real com o órgão de registro de veículos (Sistema </w:t>
      </w:r>
      <w:proofErr w:type="spellStart"/>
      <w:r w:rsidRPr="0072678C">
        <w:rPr>
          <w:rFonts w:asciiTheme="minorHAnsi" w:hAnsiTheme="minorHAnsi" w:cstheme="minorHAnsi"/>
          <w:sz w:val="22"/>
          <w:szCs w:val="22"/>
        </w:rPr>
        <w:lastRenderedPageBreak/>
        <w:t>MFDetran</w:t>
      </w:r>
      <w:proofErr w:type="spellEnd"/>
      <w:r w:rsidRPr="0072678C">
        <w:rPr>
          <w:rFonts w:asciiTheme="minorHAnsi" w:hAnsiTheme="minorHAnsi" w:cstheme="minorHAnsi"/>
          <w:sz w:val="22"/>
          <w:szCs w:val="22"/>
        </w:rPr>
        <w:t xml:space="preserve"> (Lei nº 13.296/2008, Disposições Transitórias, </w:t>
      </w:r>
      <w:proofErr w:type="spellStart"/>
      <w:r w:rsidRPr="0072678C">
        <w:rPr>
          <w:rFonts w:asciiTheme="minorHAnsi" w:hAnsiTheme="minorHAnsi" w:cstheme="minorHAnsi"/>
          <w:sz w:val="22"/>
          <w:szCs w:val="22"/>
        </w:rPr>
        <w:t>art</w:t>
      </w:r>
      <w:proofErr w:type="spellEnd"/>
      <w:r w:rsidRPr="0072678C">
        <w:rPr>
          <w:rFonts w:asciiTheme="minorHAnsi" w:hAnsiTheme="minorHAnsi" w:cstheme="minorHAnsi"/>
          <w:sz w:val="22"/>
          <w:szCs w:val="22"/>
        </w:rPr>
        <w:t xml:space="preserve"> 3º), DHEA); controla as imunidades e concessões de isenções; controla ocorrências de furtos e perdas de veículos; controla transferência de veículos com alíquotas especiais, alienação fiduciária, </w:t>
      </w:r>
      <w:proofErr w:type="spellStart"/>
      <w:r w:rsidRPr="0072678C">
        <w:rPr>
          <w:rFonts w:asciiTheme="minorHAnsi" w:hAnsiTheme="minorHAnsi" w:cstheme="minorHAnsi"/>
          <w:sz w:val="22"/>
          <w:szCs w:val="22"/>
        </w:rPr>
        <w:t>etc</w:t>
      </w:r>
      <w:proofErr w:type="spellEnd"/>
      <w:r w:rsidRPr="0072678C">
        <w:rPr>
          <w:rFonts w:asciiTheme="minorHAnsi" w:hAnsiTheme="minorHAnsi" w:cstheme="minorHAnsi"/>
          <w:sz w:val="22"/>
          <w:szCs w:val="22"/>
        </w:rPr>
        <w:t>; utiliza tabelas especializadas sobre preço de mercado para o lançamento do imposto</w:t>
      </w:r>
      <w:r w:rsidRPr="0072678C">
        <w:rPr>
          <w:rFonts w:asciiTheme="minorHAnsi" w:hAnsiTheme="minorHAnsi" w:cstheme="minorHAnsi"/>
          <w:sz w:val="22"/>
          <w:szCs w:val="22"/>
        </w:rPr>
        <w:tab/>
        <w:t>com base na Resolução SF 29/2017.</w:t>
      </w:r>
    </w:p>
    <w:p w:rsidR="006E7A5A" w:rsidRPr="0072678C" w:rsidRDefault="006E7A5A"/>
    <w:p w:rsidR="00B32413" w:rsidRPr="0072678C" w:rsidRDefault="00B32413" w:rsidP="00B670C0">
      <w:pPr>
        <w:tabs>
          <w:tab w:val="left" w:pos="3756"/>
        </w:tabs>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cadastro dos contribuintes do ICMS</w:t>
      </w:r>
      <w:r w:rsidRPr="0072678C">
        <w:rPr>
          <w:rFonts w:asciiTheme="minorHAnsi" w:hAnsiTheme="minorHAnsi" w:cstheme="minorHAnsi"/>
          <w:sz w:val="22"/>
          <w:szCs w:val="22"/>
        </w:rPr>
        <w:t xml:space="preserve"> obteve nível 2 de maturidade e atende a 5 de 7 requisitos das boas práticas da MD-GEFIS. Para tanto, a SEFAZ/SP utiliza informações integradas com a Junta Comercial e com a Receita Federal (somente no momento de alteração cadastral solicitada pelo contribuinte); disponibiliza informações sobre responsáveis, sócios e contabilista (as informações são obtidas por meio do cadastro Sincronizado e disponibilizadas no portal do </w:t>
      </w:r>
      <w:proofErr w:type="spellStart"/>
      <w:r w:rsidRPr="0072678C">
        <w:rPr>
          <w:rFonts w:asciiTheme="minorHAnsi" w:hAnsiTheme="minorHAnsi" w:cstheme="minorHAnsi"/>
          <w:sz w:val="22"/>
          <w:szCs w:val="22"/>
        </w:rPr>
        <w:t>Cadesp</w:t>
      </w:r>
      <w:proofErr w:type="spellEnd"/>
      <w:r w:rsidRPr="0072678C">
        <w:rPr>
          <w:rFonts w:asciiTheme="minorHAnsi" w:hAnsiTheme="minorHAnsi" w:cstheme="minorHAnsi"/>
          <w:sz w:val="22"/>
          <w:szCs w:val="22"/>
        </w:rPr>
        <w:t>)</w:t>
      </w:r>
      <w:r w:rsidR="00192E92" w:rsidRPr="0072678C">
        <w:rPr>
          <w:rFonts w:asciiTheme="minorHAnsi" w:hAnsiTheme="minorHAnsi" w:cstheme="minorHAnsi"/>
          <w:sz w:val="22"/>
          <w:szCs w:val="22"/>
        </w:rPr>
        <w:t xml:space="preserve">, </w:t>
      </w:r>
      <w:r w:rsidRPr="0072678C">
        <w:rPr>
          <w:rFonts w:asciiTheme="minorHAnsi" w:hAnsiTheme="minorHAnsi" w:cstheme="minorHAnsi"/>
          <w:sz w:val="22"/>
          <w:szCs w:val="22"/>
        </w:rPr>
        <w:t>dos contribuintes do Simples Nacional, do produtor rural (o produtor rural é inscrito por meio do Cadastro Sincronizado, recebendo um CNPJ e IE), e informações para o cadastro de fornecedores de bens e serviços do Estado</w:t>
      </w:r>
    </w:p>
    <w:p w:rsidR="003B7E7A" w:rsidRPr="0072678C" w:rsidRDefault="003B7E7A"/>
    <w:p w:rsidR="00192E92" w:rsidRPr="0072678C" w:rsidRDefault="00192E92" w:rsidP="00A13E79">
      <w:pPr>
        <w:tabs>
          <w:tab w:val="left" w:pos="3691"/>
        </w:tabs>
        <w:jc w:val="both"/>
        <w:rPr>
          <w:rFonts w:asciiTheme="minorHAnsi" w:hAnsiTheme="minorHAnsi" w:cstheme="minorHAnsi"/>
          <w:sz w:val="22"/>
          <w:szCs w:val="22"/>
        </w:rPr>
      </w:pPr>
      <w:r w:rsidRPr="0072678C">
        <w:rPr>
          <w:rFonts w:asciiTheme="minorHAnsi" w:hAnsiTheme="minorHAnsi" w:cstheme="minorHAnsi"/>
          <w:sz w:val="22"/>
          <w:szCs w:val="22"/>
        </w:rPr>
        <w:t xml:space="preserve">Com nível 2 de maturidade e atendo a 3 dentre 6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os procedimentos de </w:t>
      </w:r>
      <w:r w:rsidR="00A13E79" w:rsidRPr="0072678C">
        <w:rPr>
          <w:rFonts w:asciiTheme="minorHAnsi" w:hAnsiTheme="minorHAnsi" w:cstheme="minorHAnsi"/>
          <w:b/>
          <w:bCs/>
          <w:i/>
          <w:iCs/>
          <w:sz w:val="22"/>
          <w:szCs w:val="22"/>
        </w:rPr>
        <w:t>apuração do ITCD/ITCMD d</w:t>
      </w:r>
      <w:r w:rsidRPr="0072678C">
        <w:rPr>
          <w:rFonts w:asciiTheme="minorHAnsi" w:hAnsiTheme="minorHAnsi" w:cstheme="minorHAnsi"/>
          <w:sz w:val="22"/>
          <w:szCs w:val="22"/>
        </w:rPr>
        <w:t>isponibiliza em meio eletrônico a declaração de transferência e o envio dos documentos comprobatórios da transação</w:t>
      </w:r>
      <w:r w:rsidRPr="0072678C">
        <w:rPr>
          <w:rStyle w:val="FootnoteReference"/>
          <w:rFonts w:asciiTheme="minorHAnsi" w:hAnsiTheme="minorHAnsi" w:cstheme="minorHAnsi"/>
          <w:sz w:val="22"/>
          <w:szCs w:val="22"/>
        </w:rPr>
        <w:footnoteReference w:id="123"/>
      </w:r>
      <w:r w:rsidR="00A13E79" w:rsidRPr="0072678C">
        <w:rPr>
          <w:rFonts w:asciiTheme="minorHAnsi" w:hAnsiTheme="minorHAnsi" w:cstheme="minorHAnsi"/>
          <w:sz w:val="22"/>
          <w:szCs w:val="22"/>
        </w:rPr>
        <w:t>; u</w:t>
      </w:r>
      <w:r w:rsidRPr="0072678C">
        <w:rPr>
          <w:rFonts w:asciiTheme="minorHAnsi" w:hAnsiTheme="minorHAnsi" w:cstheme="minorHAnsi"/>
          <w:sz w:val="22"/>
          <w:szCs w:val="22"/>
        </w:rPr>
        <w:t>tiliza bases de dados especializadas para identificação de transações não declaradas de bens imóveis</w:t>
      </w:r>
      <w:r w:rsidR="00A13E79" w:rsidRPr="0072678C">
        <w:rPr>
          <w:rFonts w:asciiTheme="minorHAnsi" w:hAnsiTheme="minorHAnsi" w:cstheme="minorHAnsi"/>
          <w:sz w:val="22"/>
          <w:szCs w:val="22"/>
        </w:rPr>
        <w:t>; u</w:t>
      </w:r>
      <w:r w:rsidRPr="0072678C">
        <w:rPr>
          <w:rFonts w:asciiTheme="minorHAnsi" w:hAnsiTheme="minorHAnsi" w:cstheme="minorHAnsi"/>
          <w:sz w:val="22"/>
          <w:szCs w:val="22"/>
        </w:rPr>
        <w:t>tiliza bases de dados especializadas para identificação de transações não declarada</w:t>
      </w:r>
      <w:r w:rsidR="00A13E79" w:rsidRPr="0072678C">
        <w:rPr>
          <w:rFonts w:asciiTheme="minorHAnsi" w:hAnsiTheme="minorHAnsi" w:cstheme="minorHAnsi"/>
          <w:sz w:val="22"/>
          <w:szCs w:val="22"/>
        </w:rPr>
        <w:t xml:space="preserve">s de participações societária. Nestes casos, a </w:t>
      </w:r>
      <w:r w:rsidRPr="0072678C">
        <w:rPr>
          <w:rFonts w:asciiTheme="minorHAnsi" w:hAnsiTheme="minorHAnsi" w:cstheme="minorHAnsi"/>
          <w:sz w:val="22"/>
          <w:szCs w:val="22"/>
        </w:rPr>
        <w:t xml:space="preserve">apuração do ITCMD utiliza dados disponibilizados pela Receita Federal do Brasil (extraídos das declarações de Imposto de Renda Pessoa Física) bem como informações transmitidas por cartórios acerca de inventários processados extrajudicialmente. Tais dados possibilitam identificar a transmissão tanto de bens imóveis quanto bens móveis e participações societárias. </w:t>
      </w:r>
    </w:p>
    <w:p w:rsidR="007E40CE" w:rsidRPr="0072678C" w:rsidRDefault="007E40CE" w:rsidP="007E40CE">
      <w:pPr>
        <w:tabs>
          <w:tab w:val="left" w:pos="3691"/>
        </w:tabs>
        <w:rPr>
          <w:rFonts w:asciiTheme="minorHAnsi" w:hAnsiTheme="minorHAnsi" w:cstheme="minorHAnsi"/>
          <w:sz w:val="22"/>
          <w:szCs w:val="22"/>
        </w:rPr>
      </w:pPr>
    </w:p>
    <w:p w:rsidR="007E40CE" w:rsidRPr="0072678C" w:rsidRDefault="007E40CE" w:rsidP="007E40CE">
      <w:pPr>
        <w:tabs>
          <w:tab w:val="left" w:pos="3691"/>
        </w:tabs>
        <w:jc w:val="both"/>
        <w:rPr>
          <w:rFonts w:asciiTheme="minorHAnsi" w:hAnsiTheme="minorHAnsi" w:cstheme="minorHAnsi"/>
          <w:sz w:val="22"/>
          <w:szCs w:val="22"/>
        </w:rPr>
      </w:pPr>
      <w:r w:rsidRPr="0072678C">
        <w:rPr>
          <w:rFonts w:asciiTheme="minorHAnsi" w:hAnsiTheme="minorHAnsi" w:cstheme="minorHAnsi"/>
          <w:sz w:val="22"/>
          <w:szCs w:val="22"/>
        </w:rPr>
        <w:t>Com nível 2 de maturidade, O processo progressividade na aplicação de</w:t>
      </w:r>
      <w:r w:rsidRPr="0072678C">
        <w:rPr>
          <w:rFonts w:asciiTheme="minorHAnsi" w:hAnsiTheme="minorHAnsi" w:cstheme="minorHAnsi"/>
          <w:b/>
          <w:bCs/>
          <w:i/>
          <w:iCs/>
          <w:sz w:val="22"/>
          <w:szCs w:val="22"/>
        </w:rPr>
        <w:t xml:space="preserve"> penalidades pelo descumprimento de obrigações </w:t>
      </w:r>
      <w:r w:rsidRPr="0072678C">
        <w:rPr>
          <w:rFonts w:asciiTheme="minorHAnsi" w:hAnsiTheme="minorHAnsi" w:cstheme="minorHAnsi"/>
          <w:b/>
          <w:bCs/>
          <w:sz w:val="22"/>
          <w:szCs w:val="22"/>
        </w:rPr>
        <w:t>acessórias</w:t>
      </w:r>
      <w:r w:rsidRPr="0072678C">
        <w:rPr>
          <w:rFonts w:asciiTheme="minorHAnsi" w:hAnsiTheme="minorHAnsi" w:cstheme="minorHAnsi"/>
          <w:sz w:val="22"/>
          <w:szCs w:val="22"/>
        </w:rPr>
        <w:t xml:space="preserve"> atende a 4 dentre 5 requisitos das boas práticas da MD-GEFIS, ou seja, aplica multas pecuniárias para todos os casos de não cumprimento, variáveis conforme a gravidade e a reincidência da falta</w:t>
      </w:r>
      <w:r w:rsidRPr="0072678C">
        <w:rPr>
          <w:rStyle w:val="FootnoteReference"/>
          <w:rFonts w:asciiTheme="minorHAnsi" w:hAnsiTheme="minorHAnsi" w:cstheme="minorHAnsi"/>
          <w:sz w:val="22"/>
          <w:szCs w:val="22"/>
        </w:rPr>
        <w:footnoteReference w:id="124"/>
      </w:r>
      <w:r w:rsidRPr="0072678C">
        <w:rPr>
          <w:rFonts w:asciiTheme="minorHAnsi" w:hAnsiTheme="minorHAnsi" w:cstheme="minorHAnsi"/>
          <w:sz w:val="22"/>
          <w:szCs w:val="22"/>
        </w:rPr>
        <w:t>; aplica regime especial de fiscalização conforme definido na Portaria CAT 43/2007; suspende a inscrição estadual, com denegação da NF-e conforme Comunicado CAT 06/2012; e cancela a inscrição estadual conforme Portaria CAT Nº 39/2000</w:t>
      </w:r>
      <w:r w:rsidRPr="0072678C">
        <w:rPr>
          <w:rFonts w:asciiTheme="minorHAnsi" w:hAnsiTheme="minorHAnsi" w:cstheme="minorHAnsi"/>
          <w:sz w:val="22"/>
          <w:szCs w:val="22"/>
        </w:rPr>
        <w:tab/>
      </w:r>
    </w:p>
    <w:p w:rsidR="007E40CE" w:rsidRPr="0072678C" w:rsidRDefault="007E40CE" w:rsidP="00470545">
      <w:pPr>
        <w:tabs>
          <w:tab w:val="left" w:pos="3756"/>
        </w:tabs>
        <w:ind w:left="65"/>
        <w:rPr>
          <w:rFonts w:asciiTheme="minorHAnsi" w:hAnsiTheme="minorHAnsi" w:cstheme="minorHAnsi"/>
          <w:sz w:val="22"/>
          <w:szCs w:val="22"/>
        </w:rPr>
      </w:pPr>
      <w:r w:rsidRPr="0072678C">
        <w:rPr>
          <w:rFonts w:asciiTheme="minorHAnsi" w:hAnsiTheme="minorHAnsi" w:cstheme="minorHAnsi"/>
          <w:sz w:val="22"/>
          <w:szCs w:val="22"/>
        </w:rPr>
        <w:t> </w:t>
      </w:r>
      <w:r w:rsidRPr="0072678C">
        <w:rPr>
          <w:rFonts w:asciiTheme="minorHAnsi" w:hAnsiTheme="minorHAnsi" w:cstheme="minorHAnsi"/>
          <w:sz w:val="22"/>
          <w:szCs w:val="22"/>
        </w:rPr>
        <w:tab/>
      </w:r>
    </w:p>
    <w:p w:rsidR="00B44516" w:rsidRPr="0072678C" w:rsidRDefault="00B44516" w:rsidP="00265543">
      <w:pPr>
        <w:tabs>
          <w:tab w:val="left" w:pos="3691"/>
        </w:tabs>
        <w:jc w:val="both"/>
        <w:rPr>
          <w:rFonts w:asciiTheme="minorHAnsi" w:hAnsiTheme="minorHAnsi" w:cstheme="minorHAnsi"/>
          <w:sz w:val="22"/>
          <w:szCs w:val="22"/>
        </w:rPr>
      </w:pPr>
      <w:r w:rsidRPr="0072678C">
        <w:rPr>
          <w:rFonts w:asciiTheme="minorHAnsi" w:hAnsiTheme="minorHAnsi" w:cstheme="minorHAnsi"/>
          <w:sz w:val="22"/>
          <w:szCs w:val="22"/>
        </w:rPr>
        <w:t xml:space="preserve">Os indicadores que medem o desempenho da Dimensão foram apurados tendo como base o ano de 2017. </w:t>
      </w:r>
    </w:p>
    <w:p w:rsidR="00265543" w:rsidRPr="0072678C" w:rsidRDefault="00265543" w:rsidP="00265543">
      <w:pPr>
        <w:tabs>
          <w:tab w:val="left" w:pos="3691"/>
        </w:tabs>
        <w:jc w:val="both"/>
        <w:rPr>
          <w:rFonts w:asciiTheme="minorHAnsi" w:hAnsiTheme="minorHAnsi" w:cstheme="minorHAnsi"/>
          <w:sz w:val="22"/>
          <w:szCs w:val="22"/>
        </w:rPr>
      </w:pPr>
    </w:p>
    <w:tbl>
      <w:tblPr>
        <w:tblW w:w="8794"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83"/>
        <w:gridCol w:w="1559"/>
        <w:gridCol w:w="2552"/>
      </w:tblGrid>
      <w:tr w:rsidR="00265543" w:rsidRPr="0072678C" w:rsidTr="00BB1F8D">
        <w:trPr>
          <w:trHeight w:val="405"/>
        </w:trPr>
        <w:tc>
          <w:tcPr>
            <w:tcW w:w="4683" w:type="dxa"/>
            <w:shd w:val="clear" w:color="auto" w:fill="FFD966" w:themeFill="accent4" w:themeFillTint="99"/>
            <w:tcMar>
              <w:top w:w="0" w:type="dxa"/>
              <w:left w:w="70" w:type="dxa"/>
              <w:bottom w:w="0" w:type="dxa"/>
              <w:right w:w="70" w:type="dxa"/>
            </w:tcMar>
            <w:vAlign w:val="center"/>
            <w:hideMark/>
          </w:tcPr>
          <w:p w:rsidR="00265543" w:rsidRPr="0072678C" w:rsidRDefault="00265543" w:rsidP="00265543">
            <w:pPr>
              <w:jc w:val="cente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Indicadores de Desempenho</w:t>
            </w:r>
          </w:p>
        </w:tc>
        <w:tc>
          <w:tcPr>
            <w:tcW w:w="1559" w:type="dxa"/>
            <w:shd w:val="clear" w:color="auto" w:fill="FFD966" w:themeFill="accent4" w:themeFillTint="99"/>
            <w:tcMar>
              <w:top w:w="0" w:type="dxa"/>
              <w:left w:w="70" w:type="dxa"/>
              <w:bottom w:w="0" w:type="dxa"/>
              <w:right w:w="70" w:type="dxa"/>
            </w:tcMar>
            <w:vAlign w:val="center"/>
            <w:hideMark/>
          </w:tcPr>
          <w:p w:rsidR="00265543" w:rsidRPr="0072678C" w:rsidRDefault="00265543" w:rsidP="00265543">
            <w:pPr>
              <w:jc w:val="cente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Apuração 2017</w:t>
            </w:r>
          </w:p>
        </w:tc>
        <w:tc>
          <w:tcPr>
            <w:tcW w:w="2552" w:type="dxa"/>
            <w:shd w:val="clear" w:color="auto" w:fill="FFD966" w:themeFill="accent4" w:themeFillTint="99"/>
            <w:tcMar>
              <w:top w:w="0" w:type="dxa"/>
              <w:left w:w="70" w:type="dxa"/>
              <w:bottom w:w="0" w:type="dxa"/>
              <w:right w:w="70" w:type="dxa"/>
            </w:tcMar>
            <w:vAlign w:val="center"/>
            <w:hideMark/>
          </w:tcPr>
          <w:p w:rsidR="00265543" w:rsidRPr="0072678C" w:rsidRDefault="00265543" w:rsidP="00DB14A0">
            <w:pPr>
              <w:jc w:val="center"/>
              <w:rPr>
                <w:rFonts w:asciiTheme="minorHAnsi" w:hAnsiTheme="minorHAnsi" w:cstheme="minorHAnsi"/>
                <w:b/>
                <w:bCs/>
                <w:sz w:val="20"/>
                <w:szCs w:val="20"/>
              </w:rPr>
            </w:pPr>
            <w:r w:rsidRPr="0072678C">
              <w:rPr>
                <w:rFonts w:asciiTheme="minorHAnsi" w:hAnsiTheme="minorHAnsi" w:cstheme="minorHAnsi"/>
                <w:b/>
                <w:bCs/>
                <w:sz w:val="20"/>
                <w:szCs w:val="20"/>
              </w:rPr>
              <w:t>Fontes</w:t>
            </w:r>
          </w:p>
        </w:tc>
      </w:tr>
      <w:tr w:rsidR="00BB1F8D" w:rsidRPr="0072678C" w:rsidTr="00B306B3">
        <w:trPr>
          <w:trHeight w:val="330"/>
        </w:trPr>
        <w:tc>
          <w:tcPr>
            <w:tcW w:w="8794" w:type="dxa"/>
            <w:gridSpan w:val="3"/>
            <w:shd w:val="clear" w:color="auto" w:fill="FFE599" w:themeFill="accent4" w:themeFillTint="66"/>
            <w:tcMar>
              <w:top w:w="0" w:type="dxa"/>
              <w:left w:w="70" w:type="dxa"/>
              <w:bottom w:w="0" w:type="dxa"/>
              <w:right w:w="70" w:type="dxa"/>
            </w:tcMar>
            <w:vAlign w:val="center"/>
            <w:hideMark/>
          </w:tcPr>
          <w:p w:rsidR="00BB1F8D" w:rsidRPr="0072678C" w:rsidRDefault="00BB1F8D" w:rsidP="00BB1F8D">
            <w:pP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Situação cadastral</w:t>
            </w:r>
          </w:p>
        </w:tc>
      </w:tr>
      <w:tr w:rsidR="00265543" w:rsidRPr="0072678C" w:rsidTr="00BB1F8D">
        <w:trPr>
          <w:trHeight w:val="461"/>
        </w:trPr>
        <w:tc>
          <w:tcPr>
            <w:tcW w:w="4683" w:type="dxa"/>
            <w:tcMar>
              <w:top w:w="0" w:type="dxa"/>
              <w:left w:w="70" w:type="dxa"/>
              <w:bottom w:w="0" w:type="dxa"/>
              <w:right w:w="70" w:type="dxa"/>
            </w:tcMar>
            <w:vAlign w:val="center"/>
            <w:hideMark/>
          </w:tcPr>
          <w:p w:rsidR="00265543" w:rsidRPr="0072678C" w:rsidRDefault="00265543" w:rsidP="00DB14A0">
            <w:pP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ICMS: Quantidade de contribuintes ativos / Quantidade total de contribuintes no cadastro</w:t>
            </w:r>
          </w:p>
        </w:tc>
        <w:tc>
          <w:tcPr>
            <w:tcW w:w="1559" w:type="dxa"/>
            <w:noWrap/>
            <w:tcMar>
              <w:top w:w="0" w:type="dxa"/>
              <w:left w:w="70" w:type="dxa"/>
              <w:bottom w:w="0" w:type="dxa"/>
              <w:right w:w="70" w:type="dxa"/>
            </w:tcMar>
            <w:vAlign w:val="center"/>
            <w:hideMark/>
          </w:tcPr>
          <w:p w:rsidR="00265543" w:rsidRPr="0072678C" w:rsidRDefault="00265543" w:rsidP="00265543">
            <w:pPr>
              <w:jc w:val="center"/>
              <w:rPr>
                <w:rFonts w:asciiTheme="minorHAnsi" w:hAnsiTheme="minorHAnsi" w:cstheme="minorHAnsi"/>
                <w:sz w:val="20"/>
                <w:szCs w:val="20"/>
              </w:rPr>
            </w:pPr>
            <w:r w:rsidRPr="0072678C">
              <w:rPr>
                <w:rFonts w:asciiTheme="minorHAnsi" w:hAnsiTheme="minorHAnsi" w:cstheme="minorHAnsi"/>
                <w:sz w:val="20"/>
                <w:szCs w:val="20"/>
              </w:rPr>
              <w:t>47,13%</w:t>
            </w:r>
          </w:p>
        </w:tc>
        <w:tc>
          <w:tcPr>
            <w:tcW w:w="2552" w:type="dxa"/>
            <w:shd w:val="clear" w:color="auto" w:fill="auto"/>
            <w:tcMar>
              <w:top w:w="0" w:type="dxa"/>
              <w:left w:w="70" w:type="dxa"/>
              <w:bottom w:w="0" w:type="dxa"/>
              <w:right w:w="70" w:type="dxa"/>
            </w:tcMar>
            <w:vAlign w:val="center"/>
            <w:hideMark/>
          </w:tcPr>
          <w:p w:rsidR="00265543" w:rsidRPr="0072678C" w:rsidRDefault="00265543" w:rsidP="00DB14A0">
            <w:pPr>
              <w:jc w:val="both"/>
              <w:rPr>
                <w:rFonts w:asciiTheme="minorHAnsi" w:hAnsiTheme="minorHAnsi" w:cstheme="minorHAnsi"/>
                <w:sz w:val="20"/>
                <w:szCs w:val="20"/>
              </w:rPr>
            </w:pPr>
            <w:r w:rsidRPr="0072678C">
              <w:rPr>
                <w:rFonts w:asciiTheme="minorHAnsi" w:hAnsiTheme="minorHAnsi" w:cstheme="minorHAnsi"/>
                <w:sz w:val="20"/>
                <w:szCs w:val="20"/>
              </w:rPr>
              <w:t xml:space="preserve">Universo </w:t>
            </w:r>
            <w:proofErr w:type="spellStart"/>
            <w:r w:rsidRPr="0072678C">
              <w:rPr>
                <w:rFonts w:asciiTheme="minorHAnsi" w:hAnsiTheme="minorHAnsi" w:cstheme="minorHAnsi"/>
                <w:sz w:val="20"/>
                <w:szCs w:val="20"/>
              </w:rPr>
              <w:t>Cadesp</w:t>
            </w:r>
            <w:proofErr w:type="spellEnd"/>
            <w:r w:rsidRPr="0072678C">
              <w:rPr>
                <w:rFonts w:asciiTheme="minorHAnsi" w:hAnsiTheme="minorHAnsi" w:cstheme="minorHAnsi"/>
                <w:sz w:val="20"/>
                <w:szCs w:val="20"/>
              </w:rPr>
              <w:t xml:space="preserve"> Desktop </w:t>
            </w:r>
            <w:proofErr w:type="spellStart"/>
            <w:r w:rsidRPr="0072678C">
              <w:rPr>
                <w:rFonts w:asciiTheme="minorHAnsi" w:hAnsiTheme="minorHAnsi" w:cstheme="minorHAnsi"/>
                <w:sz w:val="20"/>
                <w:szCs w:val="20"/>
              </w:rPr>
              <w:t>Intelligence</w:t>
            </w:r>
            <w:proofErr w:type="spellEnd"/>
          </w:p>
          <w:p w:rsidR="00265543" w:rsidRPr="0072678C" w:rsidRDefault="00265543" w:rsidP="00DB14A0">
            <w:pPr>
              <w:jc w:val="right"/>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3.203.913/6.798.414</w:t>
            </w:r>
          </w:p>
        </w:tc>
      </w:tr>
      <w:tr w:rsidR="00265543" w:rsidRPr="0072678C" w:rsidTr="00BB1F8D">
        <w:trPr>
          <w:trHeight w:val="699"/>
        </w:trPr>
        <w:tc>
          <w:tcPr>
            <w:tcW w:w="4683" w:type="dxa"/>
            <w:tcMar>
              <w:top w:w="0" w:type="dxa"/>
              <w:left w:w="70" w:type="dxa"/>
              <w:bottom w:w="0" w:type="dxa"/>
              <w:right w:w="70" w:type="dxa"/>
            </w:tcMar>
            <w:vAlign w:val="center"/>
            <w:hideMark/>
          </w:tcPr>
          <w:p w:rsidR="00265543" w:rsidRPr="0072678C" w:rsidRDefault="00265543" w:rsidP="00DB14A0">
            <w:pP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ICMS: Quantidade de contribuintes bloqueados e suspensos / Quantidade total de contribuintes no cadastro</w:t>
            </w:r>
          </w:p>
        </w:tc>
        <w:tc>
          <w:tcPr>
            <w:tcW w:w="1559" w:type="dxa"/>
            <w:noWrap/>
            <w:tcMar>
              <w:top w:w="0" w:type="dxa"/>
              <w:left w:w="70" w:type="dxa"/>
              <w:bottom w:w="0" w:type="dxa"/>
              <w:right w:w="70" w:type="dxa"/>
            </w:tcMar>
            <w:vAlign w:val="center"/>
            <w:hideMark/>
          </w:tcPr>
          <w:p w:rsidR="00265543" w:rsidRPr="0072678C" w:rsidRDefault="00265543" w:rsidP="00265543">
            <w:pPr>
              <w:spacing w:after="200" w:line="276" w:lineRule="auto"/>
              <w:jc w:val="center"/>
              <w:rPr>
                <w:rFonts w:asciiTheme="minorHAnsi" w:hAnsiTheme="minorHAnsi" w:cstheme="minorHAnsi"/>
                <w:sz w:val="20"/>
                <w:szCs w:val="20"/>
              </w:rPr>
            </w:pPr>
            <w:r w:rsidRPr="0072678C">
              <w:rPr>
                <w:rFonts w:asciiTheme="minorHAnsi" w:hAnsiTheme="minorHAnsi" w:cstheme="minorHAnsi"/>
                <w:sz w:val="20"/>
                <w:szCs w:val="20"/>
              </w:rPr>
              <w:t>21,33%</w:t>
            </w:r>
          </w:p>
          <w:p w:rsidR="00265543" w:rsidRPr="0072678C" w:rsidRDefault="00265543" w:rsidP="00265543">
            <w:pPr>
              <w:spacing w:after="200" w:line="276" w:lineRule="auto"/>
              <w:jc w:val="center"/>
              <w:rPr>
                <w:rFonts w:asciiTheme="minorHAnsi" w:eastAsiaTheme="minorHAnsi" w:hAnsiTheme="minorHAnsi" w:cstheme="minorHAnsi"/>
                <w:sz w:val="20"/>
                <w:szCs w:val="20"/>
                <w:lang w:eastAsia="en-US"/>
              </w:rPr>
            </w:pPr>
          </w:p>
        </w:tc>
        <w:tc>
          <w:tcPr>
            <w:tcW w:w="2552" w:type="dxa"/>
            <w:shd w:val="clear" w:color="auto" w:fill="auto"/>
            <w:tcMar>
              <w:top w:w="0" w:type="dxa"/>
              <w:left w:w="70" w:type="dxa"/>
              <w:bottom w:w="0" w:type="dxa"/>
              <w:right w:w="70" w:type="dxa"/>
            </w:tcMar>
            <w:vAlign w:val="center"/>
            <w:hideMark/>
          </w:tcPr>
          <w:p w:rsidR="00265543" w:rsidRPr="0072678C" w:rsidRDefault="00265543" w:rsidP="00DB14A0">
            <w:pPr>
              <w:jc w:val="both"/>
              <w:rPr>
                <w:rFonts w:asciiTheme="minorHAnsi" w:hAnsiTheme="minorHAnsi" w:cstheme="minorHAnsi"/>
                <w:sz w:val="20"/>
                <w:szCs w:val="20"/>
              </w:rPr>
            </w:pPr>
            <w:r w:rsidRPr="0072678C">
              <w:rPr>
                <w:rFonts w:asciiTheme="minorHAnsi" w:hAnsiTheme="minorHAnsi" w:cstheme="minorHAnsi"/>
                <w:sz w:val="20"/>
                <w:szCs w:val="20"/>
              </w:rPr>
              <w:t xml:space="preserve">Universo </w:t>
            </w:r>
            <w:proofErr w:type="spellStart"/>
            <w:r w:rsidRPr="0072678C">
              <w:rPr>
                <w:rFonts w:asciiTheme="minorHAnsi" w:hAnsiTheme="minorHAnsi" w:cstheme="minorHAnsi"/>
                <w:sz w:val="20"/>
                <w:szCs w:val="20"/>
              </w:rPr>
              <w:t>Cadesp</w:t>
            </w:r>
            <w:proofErr w:type="spellEnd"/>
            <w:r w:rsidRPr="0072678C">
              <w:rPr>
                <w:rFonts w:asciiTheme="minorHAnsi" w:hAnsiTheme="minorHAnsi" w:cstheme="minorHAnsi"/>
                <w:sz w:val="20"/>
                <w:szCs w:val="20"/>
              </w:rPr>
              <w:t xml:space="preserve"> Desktop </w:t>
            </w:r>
            <w:proofErr w:type="spellStart"/>
            <w:r w:rsidRPr="0072678C">
              <w:rPr>
                <w:rFonts w:asciiTheme="minorHAnsi" w:hAnsiTheme="minorHAnsi" w:cstheme="minorHAnsi"/>
                <w:sz w:val="20"/>
                <w:szCs w:val="20"/>
              </w:rPr>
              <w:t>Intelligence</w:t>
            </w:r>
            <w:proofErr w:type="spellEnd"/>
          </w:p>
          <w:p w:rsidR="00265543" w:rsidRPr="0072678C" w:rsidRDefault="00265543" w:rsidP="00DB14A0">
            <w:pPr>
              <w:jc w:val="right"/>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1.450.373/6.798.414</w:t>
            </w:r>
          </w:p>
        </w:tc>
      </w:tr>
      <w:tr w:rsidR="00265543" w:rsidRPr="0072678C" w:rsidTr="00BB1F8D">
        <w:trPr>
          <w:trHeight w:val="660"/>
        </w:trPr>
        <w:tc>
          <w:tcPr>
            <w:tcW w:w="4683" w:type="dxa"/>
            <w:tcMar>
              <w:top w:w="0" w:type="dxa"/>
              <w:left w:w="70" w:type="dxa"/>
              <w:bottom w:w="0" w:type="dxa"/>
              <w:right w:w="70" w:type="dxa"/>
            </w:tcMar>
            <w:vAlign w:val="center"/>
            <w:hideMark/>
          </w:tcPr>
          <w:p w:rsidR="00265543" w:rsidRPr="0072678C" w:rsidRDefault="00265543" w:rsidP="00DB14A0">
            <w:pP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lastRenderedPageBreak/>
              <w:t>ICMS: Órgãos integrados no cadastro / Total de órgãos previstos para integração</w:t>
            </w:r>
          </w:p>
        </w:tc>
        <w:tc>
          <w:tcPr>
            <w:tcW w:w="1559" w:type="dxa"/>
            <w:noWrap/>
            <w:tcMar>
              <w:top w:w="0" w:type="dxa"/>
              <w:left w:w="70" w:type="dxa"/>
              <w:bottom w:w="0" w:type="dxa"/>
              <w:right w:w="70" w:type="dxa"/>
            </w:tcMar>
            <w:vAlign w:val="center"/>
            <w:hideMark/>
          </w:tcPr>
          <w:p w:rsidR="00265543" w:rsidRPr="0072678C" w:rsidRDefault="00265543" w:rsidP="00265543">
            <w:pPr>
              <w:jc w:val="center"/>
              <w:rPr>
                <w:rFonts w:asciiTheme="minorHAnsi" w:hAnsiTheme="minorHAnsi" w:cstheme="minorHAnsi"/>
                <w:sz w:val="20"/>
                <w:szCs w:val="20"/>
              </w:rPr>
            </w:pPr>
            <w:r w:rsidRPr="0072678C">
              <w:rPr>
                <w:rFonts w:asciiTheme="minorHAnsi" w:hAnsiTheme="minorHAnsi" w:cstheme="minorHAnsi"/>
                <w:sz w:val="20"/>
                <w:szCs w:val="20"/>
              </w:rPr>
              <w:t>0,46%</w:t>
            </w:r>
          </w:p>
        </w:tc>
        <w:tc>
          <w:tcPr>
            <w:tcW w:w="2552" w:type="dxa"/>
            <w:shd w:val="clear" w:color="auto" w:fill="auto"/>
            <w:tcMar>
              <w:top w:w="0" w:type="dxa"/>
              <w:left w:w="70" w:type="dxa"/>
              <w:bottom w:w="0" w:type="dxa"/>
              <w:right w:w="70" w:type="dxa"/>
            </w:tcMar>
            <w:vAlign w:val="center"/>
            <w:hideMark/>
          </w:tcPr>
          <w:p w:rsidR="00265543" w:rsidRPr="0072678C" w:rsidRDefault="00265543" w:rsidP="00DB14A0">
            <w:pPr>
              <w:jc w:val="both"/>
              <w:rPr>
                <w:rFonts w:asciiTheme="minorHAnsi" w:hAnsiTheme="minorHAnsi" w:cstheme="minorHAnsi"/>
                <w:sz w:val="20"/>
                <w:szCs w:val="20"/>
              </w:rPr>
            </w:pPr>
            <w:r w:rsidRPr="0072678C">
              <w:rPr>
                <w:rFonts w:asciiTheme="minorHAnsi" w:hAnsiTheme="minorHAnsi" w:cstheme="minorHAnsi"/>
                <w:sz w:val="20"/>
                <w:szCs w:val="20"/>
              </w:rPr>
              <w:t xml:space="preserve">Convênios Cadastro Sincronizado e </w:t>
            </w:r>
            <w:proofErr w:type="spellStart"/>
            <w:r w:rsidRPr="0072678C">
              <w:rPr>
                <w:rFonts w:asciiTheme="minorHAnsi" w:hAnsiTheme="minorHAnsi" w:cstheme="minorHAnsi"/>
                <w:sz w:val="20"/>
                <w:szCs w:val="20"/>
              </w:rPr>
              <w:t>Redesim</w:t>
            </w:r>
            <w:proofErr w:type="spellEnd"/>
          </w:p>
          <w:p w:rsidR="00265543" w:rsidRPr="0072678C" w:rsidRDefault="00265543" w:rsidP="00DB14A0">
            <w:pPr>
              <w:jc w:val="right"/>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3/648</w:t>
            </w:r>
          </w:p>
        </w:tc>
      </w:tr>
      <w:tr w:rsidR="00BB1F8D" w:rsidRPr="0072678C" w:rsidTr="00B306B3">
        <w:trPr>
          <w:trHeight w:val="330"/>
        </w:trPr>
        <w:tc>
          <w:tcPr>
            <w:tcW w:w="8794" w:type="dxa"/>
            <w:gridSpan w:val="3"/>
            <w:shd w:val="clear" w:color="auto" w:fill="FFE599" w:themeFill="accent4" w:themeFillTint="66"/>
            <w:tcMar>
              <w:top w:w="0" w:type="dxa"/>
              <w:left w:w="70" w:type="dxa"/>
              <w:bottom w:w="0" w:type="dxa"/>
              <w:right w:w="70" w:type="dxa"/>
            </w:tcMar>
            <w:vAlign w:val="center"/>
            <w:hideMark/>
          </w:tcPr>
          <w:p w:rsidR="00BB1F8D" w:rsidRPr="0072678C" w:rsidRDefault="00BB1F8D" w:rsidP="00BB1F8D">
            <w:pPr>
              <w:rPr>
                <w:rFonts w:asciiTheme="minorHAnsi" w:hAnsiTheme="minorHAnsi" w:cstheme="minorHAnsi"/>
                <w:b/>
                <w:bCs/>
                <w:sz w:val="20"/>
                <w:szCs w:val="20"/>
              </w:rPr>
            </w:pPr>
            <w:r w:rsidRPr="0072678C">
              <w:rPr>
                <w:rFonts w:asciiTheme="minorHAnsi" w:hAnsiTheme="minorHAnsi" w:cstheme="minorHAnsi"/>
                <w:b/>
                <w:bCs/>
                <w:sz w:val="20"/>
                <w:szCs w:val="20"/>
              </w:rPr>
              <w:t>Cumprimento de obrigações acessórias</w:t>
            </w:r>
          </w:p>
        </w:tc>
      </w:tr>
      <w:tr w:rsidR="00265543" w:rsidRPr="0072678C" w:rsidTr="00BB1F8D">
        <w:trPr>
          <w:trHeight w:val="990"/>
        </w:trPr>
        <w:tc>
          <w:tcPr>
            <w:tcW w:w="4683" w:type="dxa"/>
            <w:tcMar>
              <w:top w:w="0" w:type="dxa"/>
              <w:left w:w="70" w:type="dxa"/>
              <w:bottom w:w="0" w:type="dxa"/>
              <w:right w:w="70" w:type="dxa"/>
            </w:tcMar>
            <w:vAlign w:val="center"/>
            <w:hideMark/>
          </w:tcPr>
          <w:p w:rsidR="00265543" w:rsidRPr="0072678C" w:rsidRDefault="00265543" w:rsidP="00DB14A0">
            <w:pPr>
              <w:rPr>
                <w:rFonts w:asciiTheme="minorHAnsi" w:eastAsiaTheme="minorHAnsi" w:hAnsiTheme="minorHAnsi" w:cstheme="minorHAnsi"/>
                <w:sz w:val="20"/>
                <w:szCs w:val="20"/>
                <w:lang w:eastAsia="en-US"/>
              </w:rPr>
            </w:pPr>
            <w:r w:rsidRPr="0072678C">
              <w:rPr>
                <w:rFonts w:asciiTheme="minorHAnsi" w:hAnsiTheme="minorHAnsi" w:cstheme="minorHAnsi"/>
                <w:i/>
                <w:iCs/>
                <w:sz w:val="20"/>
                <w:szCs w:val="20"/>
              </w:rPr>
              <w:t>Quantidade total de contribuintes ativos (debito/credito) com obrigação acessória cumprida / Quantidade total de contribuintes ativos (debito/credito)</w:t>
            </w:r>
          </w:p>
        </w:tc>
        <w:tc>
          <w:tcPr>
            <w:tcW w:w="1559" w:type="dxa"/>
            <w:noWrap/>
            <w:tcMar>
              <w:top w:w="0" w:type="dxa"/>
              <w:left w:w="70" w:type="dxa"/>
              <w:bottom w:w="0" w:type="dxa"/>
              <w:right w:w="70" w:type="dxa"/>
            </w:tcMar>
            <w:vAlign w:val="center"/>
            <w:hideMark/>
          </w:tcPr>
          <w:p w:rsidR="00265543" w:rsidRPr="0072678C" w:rsidRDefault="00265543" w:rsidP="00265543">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70%</w:t>
            </w:r>
          </w:p>
        </w:tc>
        <w:tc>
          <w:tcPr>
            <w:tcW w:w="2552" w:type="dxa"/>
            <w:shd w:val="clear" w:color="auto" w:fill="auto"/>
            <w:tcMar>
              <w:top w:w="0" w:type="dxa"/>
              <w:left w:w="70" w:type="dxa"/>
              <w:bottom w:w="0" w:type="dxa"/>
              <w:right w:w="70" w:type="dxa"/>
            </w:tcMar>
            <w:vAlign w:val="center"/>
            <w:hideMark/>
          </w:tcPr>
          <w:p w:rsidR="00265543" w:rsidRPr="0072678C" w:rsidRDefault="00265543" w:rsidP="00DB14A0">
            <w:pPr>
              <w:jc w:val="right"/>
              <w:rPr>
                <w:rFonts w:asciiTheme="minorHAnsi" w:eastAsiaTheme="minorHAnsi" w:hAnsiTheme="minorHAnsi" w:cstheme="minorHAnsi"/>
                <w:sz w:val="20"/>
                <w:szCs w:val="20"/>
                <w:lang w:eastAsia="en-US"/>
              </w:rPr>
            </w:pPr>
          </w:p>
        </w:tc>
      </w:tr>
      <w:tr w:rsidR="00265543" w:rsidRPr="0072678C" w:rsidTr="00BB1F8D">
        <w:trPr>
          <w:trHeight w:val="990"/>
        </w:trPr>
        <w:tc>
          <w:tcPr>
            <w:tcW w:w="4683" w:type="dxa"/>
            <w:tcMar>
              <w:top w:w="0" w:type="dxa"/>
              <w:left w:w="70" w:type="dxa"/>
              <w:bottom w:w="0" w:type="dxa"/>
              <w:right w:w="70" w:type="dxa"/>
            </w:tcMar>
            <w:vAlign w:val="center"/>
            <w:hideMark/>
          </w:tcPr>
          <w:p w:rsidR="00265543" w:rsidRPr="0072678C" w:rsidRDefault="00265543" w:rsidP="00DB14A0">
            <w:pPr>
              <w:rPr>
                <w:rFonts w:asciiTheme="minorHAnsi" w:eastAsiaTheme="minorHAnsi" w:hAnsiTheme="minorHAnsi" w:cstheme="minorHAnsi"/>
                <w:sz w:val="20"/>
                <w:szCs w:val="20"/>
                <w:lang w:eastAsia="en-US"/>
              </w:rPr>
            </w:pPr>
            <w:r w:rsidRPr="0072678C">
              <w:rPr>
                <w:rFonts w:asciiTheme="minorHAnsi" w:hAnsiTheme="minorHAnsi" w:cstheme="minorHAnsi"/>
                <w:i/>
                <w:iCs/>
                <w:sz w:val="20"/>
                <w:szCs w:val="20"/>
              </w:rPr>
              <w:t>Quantidade de contribuintes do ICMS omissos de declaração / Quantidade total de contribuintes do ICMS obrigados a declarar</w:t>
            </w:r>
          </w:p>
        </w:tc>
        <w:tc>
          <w:tcPr>
            <w:tcW w:w="1559" w:type="dxa"/>
            <w:noWrap/>
            <w:tcMar>
              <w:top w:w="0" w:type="dxa"/>
              <w:left w:w="70" w:type="dxa"/>
              <w:bottom w:w="0" w:type="dxa"/>
              <w:right w:w="70" w:type="dxa"/>
            </w:tcMar>
            <w:vAlign w:val="center"/>
            <w:hideMark/>
          </w:tcPr>
          <w:p w:rsidR="00265543" w:rsidRPr="0072678C" w:rsidRDefault="00265543" w:rsidP="00265543">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0,25</w:t>
            </w:r>
          </w:p>
        </w:tc>
        <w:tc>
          <w:tcPr>
            <w:tcW w:w="2552" w:type="dxa"/>
            <w:shd w:val="clear" w:color="auto" w:fill="auto"/>
            <w:tcMar>
              <w:top w:w="0" w:type="dxa"/>
              <w:left w:w="70" w:type="dxa"/>
              <w:bottom w:w="0" w:type="dxa"/>
              <w:right w:w="70" w:type="dxa"/>
            </w:tcMar>
            <w:vAlign w:val="center"/>
            <w:hideMark/>
          </w:tcPr>
          <w:p w:rsidR="00265543" w:rsidRPr="0072678C" w:rsidRDefault="00265543" w:rsidP="00DB14A0">
            <w:pPr>
              <w:jc w:val="right"/>
              <w:rPr>
                <w:rFonts w:asciiTheme="minorHAnsi" w:eastAsiaTheme="minorHAnsi" w:hAnsiTheme="minorHAnsi" w:cstheme="minorHAnsi"/>
                <w:sz w:val="20"/>
                <w:szCs w:val="20"/>
                <w:lang w:eastAsia="en-US"/>
              </w:rPr>
            </w:pPr>
          </w:p>
        </w:tc>
      </w:tr>
      <w:tr w:rsidR="00265543" w:rsidRPr="0072678C" w:rsidTr="00BB1F8D">
        <w:trPr>
          <w:trHeight w:val="990"/>
        </w:trPr>
        <w:tc>
          <w:tcPr>
            <w:tcW w:w="4683" w:type="dxa"/>
            <w:tcMar>
              <w:top w:w="0" w:type="dxa"/>
              <w:left w:w="70" w:type="dxa"/>
              <w:bottom w:w="0" w:type="dxa"/>
              <w:right w:w="70" w:type="dxa"/>
            </w:tcMar>
            <w:vAlign w:val="center"/>
            <w:hideMark/>
          </w:tcPr>
          <w:p w:rsidR="00265543" w:rsidRPr="0072678C" w:rsidRDefault="00265543" w:rsidP="00DB14A0">
            <w:pPr>
              <w:rPr>
                <w:rFonts w:asciiTheme="minorHAnsi" w:eastAsiaTheme="minorHAnsi" w:hAnsiTheme="minorHAnsi" w:cstheme="minorHAnsi"/>
                <w:sz w:val="20"/>
                <w:szCs w:val="20"/>
                <w:lang w:eastAsia="en-US"/>
              </w:rPr>
            </w:pPr>
            <w:r w:rsidRPr="0072678C">
              <w:rPr>
                <w:rFonts w:asciiTheme="minorHAnsi" w:hAnsiTheme="minorHAnsi" w:cstheme="minorHAnsi"/>
                <w:i/>
                <w:iCs/>
                <w:sz w:val="20"/>
                <w:szCs w:val="20"/>
              </w:rPr>
              <w:t>Valor estimado dos omissos de declaração do ICMS / Valor total estimado dos contribuintes do ICMS obrigados a declarar</w:t>
            </w:r>
          </w:p>
        </w:tc>
        <w:tc>
          <w:tcPr>
            <w:tcW w:w="1559" w:type="dxa"/>
            <w:noWrap/>
            <w:tcMar>
              <w:top w:w="0" w:type="dxa"/>
              <w:left w:w="70" w:type="dxa"/>
              <w:bottom w:w="0" w:type="dxa"/>
              <w:right w:w="70" w:type="dxa"/>
            </w:tcMar>
            <w:vAlign w:val="center"/>
            <w:hideMark/>
          </w:tcPr>
          <w:p w:rsidR="00265543" w:rsidRPr="0072678C" w:rsidRDefault="00265543" w:rsidP="00265543">
            <w:pPr>
              <w:jc w:val="cente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Ø</w:t>
            </w:r>
          </w:p>
        </w:tc>
        <w:tc>
          <w:tcPr>
            <w:tcW w:w="2552" w:type="dxa"/>
            <w:shd w:val="clear" w:color="auto" w:fill="auto"/>
            <w:tcMar>
              <w:top w:w="0" w:type="dxa"/>
              <w:left w:w="70" w:type="dxa"/>
              <w:bottom w:w="0" w:type="dxa"/>
              <w:right w:w="70" w:type="dxa"/>
            </w:tcMar>
            <w:vAlign w:val="center"/>
            <w:hideMark/>
          </w:tcPr>
          <w:p w:rsidR="00265543" w:rsidRPr="0072678C" w:rsidRDefault="00265543" w:rsidP="00DB14A0">
            <w:pPr>
              <w:jc w:val="both"/>
              <w:rPr>
                <w:rFonts w:asciiTheme="minorHAnsi" w:eastAsiaTheme="minorEastAsia" w:hAnsiTheme="minorHAnsi" w:cstheme="minorHAnsi"/>
                <w:sz w:val="20"/>
                <w:szCs w:val="20"/>
              </w:rPr>
            </w:pPr>
          </w:p>
        </w:tc>
      </w:tr>
      <w:tr w:rsidR="00BB1F8D" w:rsidRPr="0072678C" w:rsidTr="00B306B3">
        <w:trPr>
          <w:trHeight w:val="318"/>
        </w:trPr>
        <w:tc>
          <w:tcPr>
            <w:tcW w:w="8794" w:type="dxa"/>
            <w:gridSpan w:val="3"/>
            <w:shd w:val="clear" w:color="auto" w:fill="FFE599" w:themeFill="accent4" w:themeFillTint="66"/>
            <w:tcMar>
              <w:top w:w="0" w:type="dxa"/>
              <w:left w:w="70" w:type="dxa"/>
              <w:bottom w:w="0" w:type="dxa"/>
              <w:right w:w="70" w:type="dxa"/>
            </w:tcMar>
            <w:vAlign w:val="center"/>
            <w:hideMark/>
          </w:tcPr>
          <w:p w:rsidR="00BB1F8D" w:rsidRPr="0072678C" w:rsidRDefault="00BB1F8D" w:rsidP="00BB1F8D">
            <w:pP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 xml:space="preserve">Pontualidade das declarações do ICMS </w:t>
            </w:r>
          </w:p>
        </w:tc>
      </w:tr>
      <w:tr w:rsidR="00265543" w:rsidRPr="0072678C" w:rsidTr="00BB1F8D">
        <w:trPr>
          <w:trHeight w:val="660"/>
        </w:trPr>
        <w:tc>
          <w:tcPr>
            <w:tcW w:w="4683" w:type="dxa"/>
            <w:tcMar>
              <w:top w:w="0" w:type="dxa"/>
              <w:left w:w="70" w:type="dxa"/>
              <w:bottom w:w="0" w:type="dxa"/>
              <w:right w:w="70" w:type="dxa"/>
            </w:tcMar>
            <w:vAlign w:val="center"/>
            <w:hideMark/>
          </w:tcPr>
          <w:p w:rsidR="00265543" w:rsidRPr="0072678C" w:rsidRDefault="00265543" w:rsidP="00DB14A0">
            <w:pPr>
              <w:rPr>
                <w:rFonts w:asciiTheme="minorHAnsi" w:eastAsiaTheme="minorHAnsi" w:hAnsiTheme="minorHAnsi" w:cstheme="minorHAnsi"/>
                <w:sz w:val="20"/>
                <w:szCs w:val="20"/>
                <w:lang w:eastAsia="en-US"/>
              </w:rPr>
            </w:pPr>
            <w:r w:rsidRPr="0072678C">
              <w:rPr>
                <w:rFonts w:asciiTheme="minorHAnsi" w:hAnsiTheme="minorHAnsi" w:cstheme="minorHAnsi"/>
                <w:i/>
                <w:iCs/>
                <w:sz w:val="20"/>
                <w:szCs w:val="20"/>
              </w:rPr>
              <w:t>Valor das declarações entregues fora do prazo / Valor total das declarações entregues</w:t>
            </w:r>
          </w:p>
        </w:tc>
        <w:tc>
          <w:tcPr>
            <w:tcW w:w="1559" w:type="dxa"/>
            <w:noWrap/>
            <w:tcMar>
              <w:top w:w="0" w:type="dxa"/>
              <w:left w:w="70" w:type="dxa"/>
              <w:bottom w:w="0" w:type="dxa"/>
              <w:right w:w="70" w:type="dxa"/>
            </w:tcMar>
            <w:vAlign w:val="center"/>
            <w:hideMark/>
          </w:tcPr>
          <w:p w:rsidR="00265543" w:rsidRPr="0072678C" w:rsidRDefault="00265543" w:rsidP="00265543">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2%</w:t>
            </w:r>
          </w:p>
        </w:tc>
        <w:tc>
          <w:tcPr>
            <w:tcW w:w="2552" w:type="dxa"/>
            <w:shd w:val="clear" w:color="auto" w:fill="auto"/>
            <w:tcMar>
              <w:top w:w="0" w:type="dxa"/>
              <w:left w:w="70" w:type="dxa"/>
              <w:bottom w:w="0" w:type="dxa"/>
              <w:right w:w="70" w:type="dxa"/>
            </w:tcMar>
            <w:vAlign w:val="center"/>
            <w:hideMark/>
          </w:tcPr>
          <w:p w:rsidR="00265543" w:rsidRPr="0072678C" w:rsidRDefault="00265543" w:rsidP="00DB14A0">
            <w:pPr>
              <w:jc w:val="both"/>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R$ 133.007.505,83/ R$ 6.543.698.752,72</w:t>
            </w:r>
          </w:p>
        </w:tc>
      </w:tr>
      <w:tr w:rsidR="00265543" w:rsidRPr="0072678C" w:rsidTr="00DB14A0">
        <w:trPr>
          <w:trHeight w:val="990"/>
        </w:trPr>
        <w:tc>
          <w:tcPr>
            <w:tcW w:w="4683" w:type="dxa"/>
            <w:tcMar>
              <w:top w:w="0" w:type="dxa"/>
              <w:left w:w="70" w:type="dxa"/>
              <w:bottom w:w="0" w:type="dxa"/>
              <w:right w:w="70" w:type="dxa"/>
            </w:tcMar>
            <w:vAlign w:val="center"/>
            <w:hideMark/>
          </w:tcPr>
          <w:p w:rsidR="00265543" w:rsidRPr="0072678C" w:rsidRDefault="00265543" w:rsidP="00DB14A0">
            <w:pPr>
              <w:rPr>
                <w:rFonts w:asciiTheme="minorHAnsi" w:eastAsiaTheme="minorHAnsi" w:hAnsiTheme="minorHAnsi" w:cstheme="minorHAnsi"/>
                <w:sz w:val="20"/>
                <w:szCs w:val="20"/>
                <w:lang w:eastAsia="en-US"/>
              </w:rPr>
            </w:pPr>
            <w:r w:rsidRPr="0072678C">
              <w:rPr>
                <w:rFonts w:asciiTheme="minorHAnsi" w:hAnsiTheme="minorHAnsi" w:cstheme="minorHAnsi"/>
                <w:i/>
                <w:iCs/>
                <w:sz w:val="20"/>
                <w:szCs w:val="20"/>
              </w:rPr>
              <w:t>Quantidade de contribuintes que entregaram a EFD fora do prazo/Quantidade total de contribuintes obrigados a entregar EFD</w:t>
            </w:r>
          </w:p>
        </w:tc>
        <w:tc>
          <w:tcPr>
            <w:tcW w:w="1559" w:type="dxa"/>
            <w:noWrap/>
            <w:tcMar>
              <w:top w:w="0" w:type="dxa"/>
              <w:left w:w="70" w:type="dxa"/>
              <w:bottom w:w="0" w:type="dxa"/>
              <w:right w:w="70" w:type="dxa"/>
            </w:tcMar>
            <w:vAlign w:val="center"/>
            <w:hideMark/>
          </w:tcPr>
          <w:p w:rsidR="00265543" w:rsidRPr="0072678C" w:rsidRDefault="00265543" w:rsidP="00265543">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5%</w:t>
            </w:r>
          </w:p>
        </w:tc>
        <w:tc>
          <w:tcPr>
            <w:tcW w:w="2552" w:type="dxa"/>
            <w:shd w:val="clear" w:color="auto" w:fill="auto"/>
            <w:tcMar>
              <w:top w:w="0" w:type="dxa"/>
              <w:left w:w="70" w:type="dxa"/>
              <w:bottom w:w="0" w:type="dxa"/>
              <w:right w:w="70" w:type="dxa"/>
            </w:tcMar>
            <w:vAlign w:val="center"/>
            <w:hideMark/>
          </w:tcPr>
          <w:p w:rsidR="00265543" w:rsidRPr="0072678C" w:rsidRDefault="00265543" w:rsidP="00DB14A0">
            <w:pPr>
              <w:jc w:val="right"/>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13.770/ 266.215</w:t>
            </w:r>
          </w:p>
        </w:tc>
      </w:tr>
      <w:tr w:rsidR="00265543" w:rsidRPr="0072678C" w:rsidTr="00DB14A0">
        <w:trPr>
          <w:trHeight w:val="990"/>
        </w:trPr>
        <w:tc>
          <w:tcPr>
            <w:tcW w:w="4683" w:type="dxa"/>
            <w:tcMar>
              <w:top w:w="0" w:type="dxa"/>
              <w:left w:w="70" w:type="dxa"/>
              <w:bottom w:w="0" w:type="dxa"/>
              <w:right w:w="70" w:type="dxa"/>
            </w:tcMar>
            <w:vAlign w:val="center"/>
            <w:hideMark/>
          </w:tcPr>
          <w:p w:rsidR="00265543" w:rsidRPr="0072678C" w:rsidRDefault="00265543">
            <w:pP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Aplicação de penalidades</w:t>
            </w:r>
            <w:r w:rsidRPr="0072678C">
              <w:rPr>
                <w:rFonts w:asciiTheme="minorHAnsi" w:hAnsiTheme="minorHAnsi" w:cstheme="minorHAnsi"/>
                <w:sz w:val="20"/>
                <w:szCs w:val="20"/>
              </w:rPr>
              <w:t>: Valor das penalidades aplicadas / Valor total das declarações entregues fora do prazo</w:t>
            </w:r>
          </w:p>
        </w:tc>
        <w:tc>
          <w:tcPr>
            <w:tcW w:w="1559" w:type="dxa"/>
            <w:noWrap/>
            <w:tcMar>
              <w:top w:w="0" w:type="dxa"/>
              <w:left w:w="70" w:type="dxa"/>
              <w:bottom w:w="0" w:type="dxa"/>
              <w:right w:w="70" w:type="dxa"/>
            </w:tcMar>
            <w:vAlign w:val="center"/>
            <w:hideMark/>
          </w:tcPr>
          <w:p w:rsidR="00265543" w:rsidRPr="0072678C" w:rsidRDefault="00265543" w:rsidP="00265543">
            <w:pPr>
              <w:jc w:val="cente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Ø</w:t>
            </w:r>
          </w:p>
        </w:tc>
        <w:tc>
          <w:tcPr>
            <w:tcW w:w="2552" w:type="dxa"/>
            <w:shd w:val="clear" w:color="auto" w:fill="auto"/>
            <w:tcMar>
              <w:top w:w="0" w:type="dxa"/>
              <w:left w:w="70" w:type="dxa"/>
              <w:bottom w:w="0" w:type="dxa"/>
              <w:right w:w="70" w:type="dxa"/>
            </w:tcMar>
            <w:vAlign w:val="center"/>
            <w:hideMark/>
          </w:tcPr>
          <w:p w:rsidR="00265543" w:rsidRPr="0072678C" w:rsidRDefault="00265543" w:rsidP="00DB14A0">
            <w:pPr>
              <w:jc w:val="both"/>
              <w:rPr>
                <w:rFonts w:asciiTheme="minorHAnsi" w:eastAsiaTheme="minorEastAsia" w:hAnsiTheme="minorHAnsi" w:cstheme="minorHAnsi"/>
                <w:sz w:val="20"/>
                <w:szCs w:val="20"/>
              </w:rPr>
            </w:pPr>
          </w:p>
        </w:tc>
      </w:tr>
    </w:tbl>
    <w:p w:rsidR="00B44516" w:rsidRPr="0072678C" w:rsidRDefault="00B44516" w:rsidP="00B44516"/>
    <w:p w:rsidR="00B44516" w:rsidRPr="0072678C" w:rsidRDefault="00B44516" w:rsidP="00B44516">
      <w:pPr>
        <w:rPr>
          <w:rFonts w:asciiTheme="minorHAnsi" w:hAnsiTheme="minorHAnsi" w:cstheme="minorHAnsi"/>
        </w:rPr>
      </w:pPr>
    </w:p>
    <w:tbl>
      <w:tblPr>
        <w:tblStyle w:val="TableGrid"/>
        <w:tblW w:w="8789" w:type="dxa"/>
        <w:tblInd w:w="108" w:type="dxa"/>
        <w:shd w:val="clear" w:color="auto" w:fill="FFE599" w:themeFill="accent4" w:themeFillTint="66"/>
        <w:tblLook w:val="04A0" w:firstRow="1" w:lastRow="0" w:firstColumn="1" w:lastColumn="0" w:noHBand="0" w:noVBand="1"/>
      </w:tblPr>
      <w:tblGrid>
        <w:gridCol w:w="6592"/>
        <w:gridCol w:w="2197"/>
      </w:tblGrid>
      <w:tr w:rsidR="00B44516" w:rsidRPr="0072678C" w:rsidTr="00B44516">
        <w:tc>
          <w:tcPr>
            <w:tcW w:w="6592" w:type="dxa"/>
            <w:shd w:val="clear" w:color="auto" w:fill="FFE599" w:themeFill="accent4" w:themeFillTint="66"/>
          </w:tcPr>
          <w:p w:rsidR="00B44516" w:rsidRPr="0072678C" w:rsidRDefault="00B44516" w:rsidP="00B44516">
            <w:pPr>
              <w:spacing w:before="120" w:after="120"/>
              <w:jc w:val="both"/>
              <w:rPr>
                <w:rFonts w:asciiTheme="minorHAnsi" w:hAnsiTheme="minorHAnsi" w:cstheme="minorHAnsi"/>
                <w:b/>
              </w:rPr>
            </w:pPr>
            <w:r w:rsidRPr="0072678C">
              <w:rPr>
                <w:rFonts w:asciiTheme="minorHAnsi" w:hAnsiTheme="minorHAnsi" w:cstheme="minorHAnsi"/>
                <w:b/>
              </w:rPr>
              <w:t>Dimensão AT 3. Fiscalização e Inteligência Fiscal</w:t>
            </w:r>
          </w:p>
        </w:tc>
        <w:tc>
          <w:tcPr>
            <w:tcW w:w="2197" w:type="dxa"/>
            <w:shd w:val="clear" w:color="auto" w:fill="FFE599" w:themeFill="accent4" w:themeFillTint="66"/>
          </w:tcPr>
          <w:p w:rsidR="00B44516" w:rsidRPr="0072678C" w:rsidRDefault="00762BE1" w:rsidP="00B16094">
            <w:pPr>
              <w:spacing w:before="120" w:after="120"/>
              <w:jc w:val="center"/>
              <w:rPr>
                <w:rFonts w:asciiTheme="minorHAnsi" w:hAnsiTheme="minorHAnsi" w:cstheme="minorHAnsi"/>
                <w:b/>
                <w:color w:val="FF0000"/>
              </w:rPr>
            </w:pPr>
            <w:r w:rsidRPr="0072678C">
              <w:rPr>
                <w:rFonts w:asciiTheme="minorHAnsi" w:hAnsiTheme="minorHAnsi" w:cstheme="minorHAnsi"/>
                <w:b/>
                <w:bCs/>
                <w:color w:val="FF0000"/>
              </w:rPr>
              <w:t>INTERMEDIÁRIO (</w:t>
            </w:r>
            <w:r w:rsidR="00B16094" w:rsidRPr="0072678C">
              <w:rPr>
                <w:rFonts w:asciiTheme="minorHAnsi" w:hAnsiTheme="minorHAnsi" w:cstheme="minorHAnsi"/>
                <w:b/>
                <w:bCs/>
                <w:color w:val="FF0000"/>
              </w:rPr>
              <w:t>-</w:t>
            </w:r>
            <w:r w:rsidRPr="0072678C">
              <w:rPr>
                <w:rFonts w:asciiTheme="minorHAnsi" w:hAnsiTheme="minorHAnsi" w:cstheme="minorHAnsi"/>
                <w:b/>
                <w:bCs/>
                <w:color w:val="FF0000"/>
              </w:rPr>
              <w:t>)</w:t>
            </w:r>
          </w:p>
        </w:tc>
      </w:tr>
    </w:tbl>
    <w:p w:rsidR="00B44516" w:rsidRPr="0058526B"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 visão de futuro da dimensão </w:t>
      </w:r>
      <w:r w:rsidRPr="0072678C">
        <w:rPr>
          <w:rFonts w:asciiTheme="minorHAnsi" w:hAnsiTheme="minorHAnsi" w:cstheme="minorHAnsi"/>
          <w:b/>
          <w:sz w:val="22"/>
          <w:szCs w:val="22"/>
        </w:rPr>
        <w:t xml:space="preserve">Fiscalização e Inteligência Fiscal </w:t>
      </w:r>
      <w:r w:rsidRPr="0072678C">
        <w:rPr>
          <w:rFonts w:asciiTheme="minorHAnsi" w:hAnsiTheme="minorHAnsi" w:cstheme="minorHAnsi"/>
          <w:sz w:val="22"/>
          <w:szCs w:val="22"/>
        </w:rPr>
        <w:t xml:space="preserve">é “planejar e executar a ação fiscal com base em </w:t>
      </w:r>
      <w:r w:rsidRPr="0058526B">
        <w:rPr>
          <w:rFonts w:asciiTheme="minorHAnsi" w:hAnsiTheme="minorHAnsi" w:cstheme="minorHAnsi"/>
          <w:sz w:val="22"/>
          <w:szCs w:val="22"/>
        </w:rPr>
        <w:t>análise de riscos fiscais e em indícios de irregularidades apurados em monitoramento e pesquisa fiscal”.</w:t>
      </w:r>
    </w:p>
    <w:p w:rsidR="00B44516" w:rsidRPr="0058526B" w:rsidRDefault="00B44516" w:rsidP="00B44516">
      <w:pPr>
        <w:spacing w:before="240" w:after="240"/>
        <w:jc w:val="both"/>
        <w:rPr>
          <w:rFonts w:asciiTheme="minorHAnsi" w:hAnsiTheme="minorHAnsi" w:cstheme="minorHAnsi"/>
          <w:b/>
          <w:bCs/>
          <w:sz w:val="22"/>
          <w:szCs w:val="22"/>
        </w:rPr>
      </w:pPr>
      <w:r w:rsidRPr="0058526B">
        <w:rPr>
          <w:rFonts w:asciiTheme="minorHAnsi" w:hAnsiTheme="minorHAnsi" w:cstheme="minorHAnsi"/>
          <w:sz w:val="22"/>
          <w:szCs w:val="22"/>
        </w:rPr>
        <w:t>O nível ou estágio de maturidade do conjunto de processos que compõe</w:t>
      </w:r>
      <w:r w:rsidR="00D418BB" w:rsidRPr="0058526B">
        <w:rPr>
          <w:rFonts w:asciiTheme="minorHAnsi" w:hAnsiTheme="minorHAnsi" w:cstheme="minorHAnsi"/>
          <w:sz w:val="22"/>
          <w:szCs w:val="22"/>
        </w:rPr>
        <w:t xml:space="preserve"> esta dimensão, apurado pela MD-</w:t>
      </w:r>
      <w:r w:rsidRPr="0058526B">
        <w:rPr>
          <w:rFonts w:asciiTheme="minorHAnsi" w:hAnsiTheme="minorHAnsi" w:cstheme="minorHAnsi"/>
          <w:sz w:val="22"/>
          <w:szCs w:val="22"/>
        </w:rPr>
        <w:t xml:space="preserve">GEFIS, é </w:t>
      </w:r>
      <w:r w:rsidR="00762BE1" w:rsidRPr="0058526B">
        <w:rPr>
          <w:rFonts w:asciiTheme="minorHAnsi" w:hAnsiTheme="minorHAnsi" w:cstheme="minorHAnsi"/>
          <w:b/>
          <w:bCs/>
          <w:sz w:val="22"/>
          <w:szCs w:val="22"/>
        </w:rPr>
        <w:t>INTERMEDIÁRIO (</w:t>
      </w:r>
      <w:r w:rsidR="00B16094" w:rsidRPr="0058526B">
        <w:rPr>
          <w:rFonts w:asciiTheme="minorHAnsi" w:hAnsiTheme="minorHAnsi" w:cstheme="minorHAnsi"/>
          <w:b/>
          <w:bCs/>
          <w:sz w:val="22"/>
          <w:szCs w:val="22"/>
        </w:rPr>
        <w:t>-</w:t>
      </w:r>
      <w:r w:rsidR="00762BE1" w:rsidRPr="0058526B">
        <w:rPr>
          <w:rFonts w:asciiTheme="minorHAnsi" w:hAnsiTheme="minorHAnsi" w:cstheme="minorHAnsi"/>
          <w:b/>
          <w:bCs/>
          <w:sz w:val="22"/>
          <w:szCs w:val="22"/>
        </w:rPr>
        <w:t>).</w:t>
      </w:r>
    </w:p>
    <w:p w:rsidR="0085697E" w:rsidRPr="0058526B" w:rsidRDefault="00762BE1" w:rsidP="0085697E">
      <w:pPr>
        <w:spacing w:before="240" w:after="240"/>
        <w:jc w:val="both"/>
        <w:rPr>
          <w:rFonts w:asciiTheme="minorHAnsi" w:hAnsiTheme="minorHAnsi" w:cstheme="minorHAnsi"/>
          <w:b/>
          <w:bCs/>
          <w:sz w:val="22"/>
          <w:szCs w:val="22"/>
        </w:rPr>
      </w:pPr>
      <w:r w:rsidRPr="0058526B">
        <w:rPr>
          <w:rFonts w:asciiTheme="minorHAnsi" w:hAnsiTheme="minorHAnsi" w:cstheme="minorHAnsi"/>
          <w:sz w:val="22"/>
          <w:szCs w:val="22"/>
        </w:rPr>
        <w:t>Este resultado é determinado pelo nível 2 de maturidade de 3 dentre os 6 processos críticos que compõem esta dimensão:</w:t>
      </w:r>
      <w:r w:rsidR="0085697E" w:rsidRPr="0058526B">
        <w:rPr>
          <w:rFonts w:asciiTheme="minorHAnsi" w:hAnsiTheme="minorHAnsi" w:cstheme="minorHAnsi"/>
          <w:sz w:val="22"/>
          <w:szCs w:val="22"/>
        </w:rPr>
        <w:t xml:space="preserve"> </w:t>
      </w:r>
      <w:r w:rsidR="0085697E" w:rsidRPr="0058526B">
        <w:rPr>
          <w:rFonts w:asciiTheme="minorHAnsi" w:hAnsiTheme="minorHAnsi" w:cstheme="minorHAnsi"/>
          <w:b/>
          <w:bCs/>
          <w:i/>
          <w:iCs/>
          <w:sz w:val="22"/>
          <w:szCs w:val="22"/>
        </w:rPr>
        <w:t xml:space="preserve">auditoria fiscal do ICMS; </w:t>
      </w:r>
      <w:r w:rsidR="0085697E" w:rsidRPr="0058526B">
        <w:rPr>
          <w:rFonts w:asciiTheme="minorHAnsi" w:hAnsiTheme="minorHAnsi" w:cstheme="minorHAnsi"/>
          <w:sz w:val="22"/>
          <w:szCs w:val="22"/>
        </w:rPr>
        <w:t xml:space="preserve">procedimentos da </w:t>
      </w:r>
      <w:r w:rsidR="0085697E" w:rsidRPr="0058526B">
        <w:rPr>
          <w:rFonts w:asciiTheme="minorHAnsi" w:hAnsiTheme="minorHAnsi" w:cstheme="minorHAnsi"/>
          <w:b/>
          <w:bCs/>
          <w:i/>
          <w:iCs/>
          <w:sz w:val="22"/>
          <w:szCs w:val="22"/>
        </w:rPr>
        <w:t>malha fiscal do ICMS; e inteligência fiscal</w:t>
      </w:r>
      <w:r w:rsidR="0085697E" w:rsidRPr="0058526B">
        <w:rPr>
          <w:rFonts w:asciiTheme="minorHAnsi" w:hAnsiTheme="minorHAnsi" w:cstheme="minorHAnsi"/>
          <w:b/>
          <w:bCs/>
          <w:sz w:val="22"/>
          <w:szCs w:val="22"/>
        </w:rPr>
        <w:t xml:space="preserve">, </w:t>
      </w:r>
      <w:r w:rsidR="0085697E" w:rsidRPr="0058526B">
        <w:rPr>
          <w:rFonts w:asciiTheme="minorHAnsi" w:hAnsiTheme="minorHAnsi" w:cstheme="minorHAnsi"/>
          <w:sz w:val="22"/>
          <w:szCs w:val="22"/>
        </w:rPr>
        <w:t>para combate às fraudes fiscais estruturadas.</w:t>
      </w:r>
    </w:p>
    <w:p w:rsidR="0085697E" w:rsidRPr="0058526B" w:rsidRDefault="0085697E" w:rsidP="0085697E">
      <w:pPr>
        <w:spacing w:before="240" w:after="240"/>
        <w:jc w:val="both"/>
        <w:rPr>
          <w:rFonts w:asciiTheme="minorHAnsi" w:hAnsiTheme="minorHAnsi" w:cstheme="minorHAnsi"/>
          <w:b/>
          <w:bCs/>
          <w:i/>
          <w:iCs/>
          <w:sz w:val="22"/>
          <w:szCs w:val="22"/>
        </w:rPr>
      </w:pPr>
      <w:r w:rsidRPr="0058526B">
        <w:rPr>
          <w:rFonts w:asciiTheme="minorHAnsi" w:hAnsiTheme="minorHAnsi" w:cstheme="minorHAnsi"/>
          <w:sz w:val="22"/>
          <w:szCs w:val="22"/>
        </w:rPr>
        <w:t xml:space="preserve">Outros 2 processos apresentam nível 1 de maturidade, </w:t>
      </w:r>
      <w:proofErr w:type="gramStart"/>
      <w:r w:rsidRPr="0058526B">
        <w:rPr>
          <w:rFonts w:asciiTheme="minorHAnsi" w:hAnsiTheme="minorHAnsi" w:cstheme="minorHAnsi"/>
          <w:sz w:val="22"/>
          <w:szCs w:val="22"/>
        </w:rPr>
        <w:t>ou seja</w:t>
      </w:r>
      <w:proofErr w:type="gramEnd"/>
      <w:r w:rsidRPr="0058526B">
        <w:rPr>
          <w:rFonts w:asciiTheme="minorHAnsi" w:hAnsiTheme="minorHAnsi" w:cstheme="minorHAnsi"/>
          <w:sz w:val="22"/>
          <w:szCs w:val="22"/>
        </w:rPr>
        <w:t xml:space="preserve"> </w:t>
      </w:r>
      <w:r w:rsidR="00F077A2" w:rsidRPr="0058526B">
        <w:rPr>
          <w:rFonts w:asciiTheme="minorHAnsi" w:hAnsiTheme="minorHAnsi" w:cstheme="minorHAnsi"/>
          <w:sz w:val="22"/>
          <w:szCs w:val="22"/>
        </w:rPr>
        <w:t>atendem</w:t>
      </w:r>
      <w:r w:rsidRPr="0058526B">
        <w:rPr>
          <w:rFonts w:asciiTheme="minorHAnsi" w:hAnsiTheme="minorHAnsi" w:cstheme="minorHAnsi"/>
          <w:sz w:val="22"/>
          <w:szCs w:val="22"/>
        </w:rPr>
        <w:t xml:space="preserve"> a pouquíssimos requisitos das boas práticas da MD-GEFIS:</w:t>
      </w:r>
      <w:r w:rsidRPr="0058526B">
        <w:rPr>
          <w:rFonts w:asciiTheme="minorHAnsi" w:hAnsiTheme="minorHAnsi" w:cstheme="minorHAnsi"/>
          <w:b/>
          <w:sz w:val="22"/>
          <w:szCs w:val="22"/>
        </w:rPr>
        <w:t xml:space="preserve"> </w:t>
      </w:r>
      <w:r w:rsidRPr="0058526B">
        <w:rPr>
          <w:rFonts w:asciiTheme="minorHAnsi" w:hAnsiTheme="minorHAnsi" w:cstheme="minorHAnsi"/>
          <w:sz w:val="22"/>
          <w:szCs w:val="22"/>
        </w:rPr>
        <w:t>procedimentos de</w:t>
      </w:r>
      <w:r w:rsidRPr="0058526B">
        <w:rPr>
          <w:rFonts w:asciiTheme="minorHAnsi" w:hAnsiTheme="minorHAnsi" w:cstheme="minorHAnsi"/>
          <w:b/>
          <w:bCs/>
          <w:i/>
          <w:iCs/>
          <w:sz w:val="22"/>
          <w:szCs w:val="22"/>
        </w:rPr>
        <w:t xml:space="preserve"> controle do trânsito de mercadorias</w:t>
      </w:r>
      <w:r w:rsidRPr="0058526B">
        <w:rPr>
          <w:rFonts w:asciiTheme="minorHAnsi" w:hAnsiTheme="minorHAnsi" w:cstheme="minorHAnsi"/>
          <w:b/>
          <w:bCs/>
          <w:sz w:val="22"/>
          <w:szCs w:val="22"/>
        </w:rPr>
        <w:t xml:space="preserve">; </w:t>
      </w:r>
      <w:r w:rsidRPr="0058526B">
        <w:rPr>
          <w:rFonts w:asciiTheme="minorHAnsi" w:hAnsiTheme="minorHAnsi" w:cstheme="minorHAnsi"/>
          <w:sz w:val="22"/>
          <w:szCs w:val="22"/>
        </w:rPr>
        <w:t>e</w:t>
      </w:r>
      <w:r w:rsidR="00F077A2" w:rsidRPr="0058526B">
        <w:rPr>
          <w:rFonts w:asciiTheme="minorHAnsi" w:hAnsiTheme="minorHAnsi" w:cstheme="minorHAnsi"/>
          <w:sz w:val="22"/>
          <w:szCs w:val="22"/>
        </w:rPr>
        <w:t xml:space="preserve"> as</w:t>
      </w:r>
      <w:r w:rsidR="00F077A2" w:rsidRPr="0058526B">
        <w:rPr>
          <w:rFonts w:asciiTheme="minorHAnsi" w:hAnsiTheme="minorHAnsi" w:cstheme="minorHAnsi"/>
          <w:b/>
          <w:bCs/>
          <w:sz w:val="22"/>
          <w:szCs w:val="22"/>
        </w:rPr>
        <w:t xml:space="preserve"> </w:t>
      </w:r>
      <w:r w:rsidRPr="0058526B">
        <w:rPr>
          <w:rFonts w:asciiTheme="minorHAnsi" w:hAnsiTheme="minorHAnsi" w:cstheme="minorHAnsi"/>
          <w:b/>
          <w:bCs/>
          <w:i/>
          <w:iCs/>
          <w:sz w:val="22"/>
          <w:szCs w:val="22"/>
        </w:rPr>
        <w:t>funcionalidades da ferramenta de controle do trânsito de mercadorias.</w:t>
      </w:r>
    </w:p>
    <w:p w:rsidR="0085697E" w:rsidRPr="0058526B" w:rsidRDefault="0085697E" w:rsidP="0085697E">
      <w:pPr>
        <w:spacing w:before="240" w:after="240"/>
        <w:jc w:val="both"/>
        <w:rPr>
          <w:rFonts w:asciiTheme="minorHAnsi" w:hAnsiTheme="minorHAnsi" w:cstheme="minorHAnsi"/>
          <w:sz w:val="22"/>
          <w:szCs w:val="22"/>
        </w:rPr>
      </w:pPr>
      <w:r w:rsidRPr="0058526B">
        <w:rPr>
          <w:rFonts w:asciiTheme="minorHAnsi" w:hAnsiTheme="minorHAnsi" w:cstheme="minorHAnsi"/>
          <w:sz w:val="22"/>
          <w:szCs w:val="22"/>
        </w:rPr>
        <w:t>O processo</w:t>
      </w:r>
      <w:r w:rsidRPr="0058526B">
        <w:rPr>
          <w:rFonts w:asciiTheme="minorHAnsi" w:hAnsiTheme="minorHAnsi" w:cstheme="minorHAnsi"/>
          <w:b/>
          <w:bCs/>
          <w:i/>
          <w:iCs/>
          <w:sz w:val="22"/>
          <w:szCs w:val="22"/>
        </w:rPr>
        <w:t xml:space="preserve"> tratamento e cruzamento de dados das bases de</w:t>
      </w:r>
      <w:r w:rsidRPr="0058526B">
        <w:rPr>
          <w:rFonts w:asciiTheme="minorHAnsi" w:hAnsiTheme="minorHAnsi" w:cstheme="minorHAnsi"/>
          <w:sz w:val="22"/>
          <w:szCs w:val="22"/>
        </w:rPr>
        <w:t xml:space="preserve"> </w:t>
      </w:r>
      <w:proofErr w:type="spellStart"/>
      <w:r w:rsidRPr="0058526B">
        <w:rPr>
          <w:rFonts w:asciiTheme="minorHAnsi" w:hAnsiTheme="minorHAnsi" w:cstheme="minorHAnsi"/>
          <w:b/>
          <w:bCs/>
          <w:i/>
          <w:iCs/>
          <w:sz w:val="22"/>
          <w:szCs w:val="22"/>
        </w:rPr>
        <w:t>DF-e</w:t>
      </w:r>
      <w:proofErr w:type="spellEnd"/>
      <w:r w:rsidRPr="0058526B">
        <w:rPr>
          <w:rFonts w:asciiTheme="minorHAnsi" w:hAnsiTheme="minorHAnsi" w:cstheme="minorHAnsi"/>
          <w:b/>
          <w:bCs/>
          <w:i/>
          <w:iCs/>
          <w:sz w:val="22"/>
          <w:szCs w:val="22"/>
        </w:rPr>
        <w:t xml:space="preserve"> </w:t>
      </w:r>
      <w:r w:rsidRPr="0058526B">
        <w:rPr>
          <w:rFonts w:asciiTheme="minorHAnsi" w:hAnsiTheme="minorHAnsi" w:cstheme="minorHAnsi"/>
          <w:sz w:val="22"/>
          <w:szCs w:val="22"/>
        </w:rPr>
        <w:t>apresenta nível 0 (zero) de maturidade</w:t>
      </w:r>
      <w:r w:rsidR="00DD16F9" w:rsidRPr="0058526B">
        <w:rPr>
          <w:rFonts w:asciiTheme="minorHAnsi" w:hAnsiTheme="minorHAnsi" w:cstheme="minorHAnsi"/>
          <w:sz w:val="22"/>
          <w:szCs w:val="22"/>
        </w:rPr>
        <w:t xml:space="preserve">, ou seja, não atende a nenhum dos </w:t>
      </w:r>
      <w:r w:rsidR="009B231A" w:rsidRPr="0058526B">
        <w:rPr>
          <w:rFonts w:asciiTheme="minorHAnsi" w:hAnsiTheme="minorHAnsi" w:cstheme="minorHAnsi"/>
          <w:sz w:val="22"/>
          <w:szCs w:val="22"/>
        </w:rPr>
        <w:t>requisitos</w:t>
      </w:r>
      <w:r w:rsidR="00DD16F9" w:rsidRPr="0058526B">
        <w:rPr>
          <w:rFonts w:asciiTheme="minorHAnsi" w:hAnsiTheme="minorHAnsi" w:cstheme="minorHAnsi"/>
          <w:sz w:val="22"/>
          <w:szCs w:val="22"/>
        </w:rPr>
        <w:t xml:space="preserve"> das boas práticas da MD-GEFIS</w:t>
      </w:r>
      <w:r w:rsidR="00DD16F9" w:rsidRPr="0058526B">
        <w:rPr>
          <w:rFonts w:asciiTheme="minorHAnsi" w:hAnsiTheme="minorHAnsi" w:cstheme="minorHAnsi"/>
          <w:b/>
          <w:bCs/>
          <w:i/>
          <w:iCs/>
          <w:sz w:val="22"/>
          <w:szCs w:val="22"/>
        </w:rPr>
        <w:t>.</w:t>
      </w:r>
    </w:p>
    <w:p w:rsidR="00902503" w:rsidRPr="0072678C" w:rsidRDefault="00902503" w:rsidP="009C0ABF">
      <w:pPr>
        <w:tabs>
          <w:tab w:val="left" w:pos="3124"/>
        </w:tabs>
        <w:jc w:val="both"/>
        <w:rPr>
          <w:rFonts w:asciiTheme="minorHAnsi" w:hAnsiTheme="minorHAnsi" w:cstheme="minorHAnsi"/>
          <w:sz w:val="22"/>
          <w:szCs w:val="22"/>
        </w:rPr>
      </w:pPr>
      <w:r w:rsidRPr="0058526B">
        <w:rPr>
          <w:rFonts w:asciiTheme="minorHAnsi" w:hAnsiTheme="minorHAnsi" w:cstheme="minorHAnsi"/>
          <w:sz w:val="22"/>
          <w:szCs w:val="22"/>
        </w:rPr>
        <w:t xml:space="preserve">Com nível 2 </w:t>
      </w:r>
      <w:r w:rsidR="009C0ABF" w:rsidRPr="0058526B">
        <w:rPr>
          <w:rFonts w:asciiTheme="minorHAnsi" w:hAnsiTheme="minorHAnsi" w:cstheme="minorHAnsi"/>
          <w:sz w:val="22"/>
          <w:szCs w:val="22"/>
        </w:rPr>
        <w:t xml:space="preserve">de maturidade </w:t>
      </w:r>
      <w:r w:rsidRPr="0058526B">
        <w:rPr>
          <w:rFonts w:asciiTheme="minorHAnsi" w:hAnsiTheme="minorHAnsi" w:cstheme="minorHAnsi"/>
          <w:sz w:val="22"/>
          <w:szCs w:val="22"/>
        </w:rPr>
        <w:t xml:space="preserve">e atendendo a </w:t>
      </w:r>
      <w:r w:rsidR="00DB77D3" w:rsidRPr="0058526B">
        <w:rPr>
          <w:rFonts w:asciiTheme="minorHAnsi" w:hAnsiTheme="minorHAnsi" w:cstheme="minorHAnsi"/>
          <w:sz w:val="22"/>
          <w:szCs w:val="22"/>
        </w:rPr>
        <w:t xml:space="preserve">8 dentre 12 requisitos das boas práticas da MD-GEFIS o processo de </w:t>
      </w:r>
      <w:r w:rsidRPr="0058526B">
        <w:rPr>
          <w:rFonts w:asciiTheme="minorHAnsi" w:hAnsiTheme="minorHAnsi" w:cstheme="minorHAnsi"/>
          <w:b/>
          <w:bCs/>
          <w:i/>
          <w:iCs/>
          <w:sz w:val="22"/>
          <w:szCs w:val="22"/>
        </w:rPr>
        <w:t>auditoria fiscal do ICMS</w:t>
      </w:r>
      <w:r w:rsidRPr="0058526B">
        <w:rPr>
          <w:rFonts w:asciiTheme="minorHAnsi" w:hAnsiTheme="minorHAnsi" w:cstheme="minorHAnsi"/>
          <w:sz w:val="22"/>
          <w:szCs w:val="22"/>
        </w:rPr>
        <w:t xml:space="preserve"> </w:t>
      </w:r>
      <w:r w:rsidR="00DB77D3" w:rsidRPr="0058526B">
        <w:rPr>
          <w:rFonts w:asciiTheme="minorHAnsi" w:hAnsiTheme="minorHAnsi" w:cstheme="minorHAnsi"/>
          <w:sz w:val="22"/>
          <w:szCs w:val="22"/>
        </w:rPr>
        <w:t>u</w:t>
      </w:r>
      <w:r w:rsidRPr="0058526B">
        <w:rPr>
          <w:rFonts w:asciiTheme="minorHAnsi" w:hAnsiTheme="minorHAnsi" w:cstheme="minorHAnsi"/>
          <w:sz w:val="22"/>
          <w:szCs w:val="22"/>
        </w:rPr>
        <w:t>tiliza indícios do monitoramento eletrônico dos grandes contribuintes</w:t>
      </w:r>
      <w:r w:rsidR="00DB77D3" w:rsidRPr="0058526B">
        <w:rPr>
          <w:rFonts w:asciiTheme="minorHAnsi" w:hAnsiTheme="minorHAnsi" w:cstheme="minorHAnsi"/>
          <w:sz w:val="22"/>
          <w:szCs w:val="22"/>
        </w:rPr>
        <w:t xml:space="preserve">. Com relação a este </w:t>
      </w:r>
      <w:proofErr w:type="spellStart"/>
      <w:r w:rsidR="00DB77D3" w:rsidRPr="0058526B">
        <w:rPr>
          <w:rFonts w:asciiTheme="minorHAnsi" w:hAnsiTheme="minorHAnsi" w:cstheme="minorHAnsi"/>
          <w:sz w:val="22"/>
          <w:szCs w:val="22"/>
        </w:rPr>
        <w:t>requisto</w:t>
      </w:r>
      <w:proofErr w:type="spellEnd"/>
      <w:r w:rsidR="00DB77D3" w:rsidRPr="0058526B">
        <w:rPr>
          <w:rFonts w:asciiTheme="minorHAnsi" w:hAnsiTheme="minorHAnsi" w:cstheme="minorHAnsi"/>
          <w:sz w:val="22"/>
          <w:szCs w:val="22"/>
        </w:rPr>
        <w:t xml:space="preserve">, </w:t>
      </w:r>
      <w:r w:rsidRPr="0058526B">
        <w:rPr>
          <w:rFonts w:asciiTheme="minorHAnsi" w:hAnsiTheme="minorHAnsi" w:cstheme="minorHAnsi"/>
          <w:sz w:val="22"/>
          <w:szCs w:val="22"/>
        </w:rPr>
        <w:t>os dados</w:t>
      </w:r>
      <w:r w:rsidRPr="0072678C">
        <w:rPr>
          <w:rFonts w:asciiTheme="minorHAnsi" w:hAnsiTheme="minorHAnsi" w:cstheme="minorHAnsi"/>
          <w:sz w:val="22"/>
          <w:szCs w:val="22"/>
        </w:rPr>
        <w:t xml:space="preserve"> dos contribuintes são armazenados no </w:t>
      </w:r>
      <w:r w:rsidRPr="0072678C">
        <w:rPr>
          <w:rFonts w:asciiTheme="minorHAnsi" w:hAnsiTheme="minorHAnsi" w:cstheme="minorHAnsi"/>
          <w:sz w:val="22"/>
          <w:szCs w:val="22"/>
        </w:rPr>
        <w:lastRenderedPageBreak/>
        <w:t xml:space="preserve">sistema DW/BO </w:t>
      </w:r>
      <w:r w:rsidR="005875C1" w:rsidRPr="0072678C">
        <w:rPr>
          <w:rFonts w:asciiTheme="minorHAnsi" w:hAnsiTheme="minorHAnsi" w:cstheme="minorHAnsi"/>
          <w:sz w:val="22"/>
          <w:szCs w:val="22"/>
        </w:rPr>
        <w:t xml:space="preserve">onde </w:t>
      </w:r>
      <w:r w:rsidRPr="0072678C">
        <w:rPr>
          <w:rFonts w:asciiTheme="minorHAnsi" w:hAnsiTheme="minorHAnsi" w:cstheme="minorHAnsi"/>
          <w:sz w:val="22"/>
          <w:szCs w:val="22"/>
        </w:rPr>
        <w:t>são real</w:t>
      </w:r>
      <w:r w:rsidR="005875C1" w:rsidRPr="0072678C">
        <w:rPr>
          <w:rFonts w:asciiTheme="minorHAnsi" w:hAnsiTheme="minorHAnsi" w:cstheme="minorHAnsi"/>
          <w:sz w:val="22"/>
          <w:szCs w:val="22"/>
        </w:rPr>
        <w:t xml:space="preserve">izados cruzamentos diversos cujo </w:t>
      </w:r>
      <w:r w:rsidRPr="0072678C">
        <w:rPr>
          <w:rFonts w:asciiTheme="minorHAnsi" w:hAnsiTheme="minorHAnsi" w:cstheme="minorHAnsi"/>
          <w:sz w:val="22"/>
          <w:szCs w:val="22"/>
        </w:rPr>
        <w:t xml:space="preserve">objetivo </w:t>
      </w:r>
      <w:r w:rsidR="005875C1" w:rsidRPr="0072678C">
        <w:rPr>
          <w:rFonts w:asciiTheme="minorHAnsi" w:hAnsiTheme="minorHAnsi" w:cstheme="minorHAnsi"/>
          <w:sz w:val="22"/>
          <w:szCs w:val="22"/>
        </w:rPr>
        <w:t xml:space="preserve">é </w:t>
      </w:r>
      <w:r w:rsidRPr="0072678C">
        <w:rPr>
          <w:rFonts w:asciiTheme="minorHAnsi" w:hAnsiTheme="minorHAnsi" w:cstheme="minorHAnsi"/>
          <w:sz w:val="22"/>
          <w:szCs w:val="22"/>
        </w:rPr>
        <w:t>identificar eventuais desvios que justifiquem algum tipo de acionamento fiscal por parte da Secretaria da Fazenda. Até abril de 2017, os grandes contribuintes eram analisados em conjunto com os demais. A partir de então foi criada uma Supervisão específica para trabalhar com esses contribuintes.</w:t>
      </w:r>
      <w:r w:rsidR="00DB77D3" w:rsidRPr="0072678C">
        <w:rPr>
          <w:rFonts w:asciiTheme="minorHAnsi" w:hAnsiTheme="minorHAnsi" w:cstheme="minorHAnsi"/>
          <w:sz w:val="22"/>
          <w:szCs w:val="22"/>
        </w:rPr>
        <w:t xml:space="preserve"> </w:t>
      </w:r>
      <w:r w:rsidR="005875C1" w:rsidRPr="0072678C">
        <w:rPr>
          <w:rFonts w:asciiTheme="minorHAnsi" w:hAnsiTheme="minorHAnsi" w:cstheme="minorHAnsi"/>
          <w:sz w:val="22"/>
          <w:szCs w:val="22"/>
        </w:rPr>
        <w:t>A SEFAZ/SP, também u</w:t>
      </w:r>
      <w:r w:rsidRPr="0072678C">
        <w:rPr>
          <w:rFonts w:asciiTheme="minorHAnsi" w:hAnsiTheme="minorHAnsi" w:cstheme="minorHAnsi"/>
          <w:sz w:val="22"/>
          <w:szCs w:val="22"/>
        </w:rPr>
        <w:t>tiliza indícios do monitoramento eletrônico dos contribuintes de médio porte</w:t>
      </w:r>
      <w:r w:rsidR="00DB77D3" w:rsidRPr="0072678C">
        <w:rPr>
          <w:rFonts w:asciiTheme="minorHAnsi" w:hAnsiTheme="minorHAnsi" w:cstheme="minorHAnsi"/>
          <w:sz w:val="22"/>
          <w:szCs w:val="22"/>
        </w:rPr>
        <w:t xml:space="preserve">, </w:t>
      </w:r>
      <w:r w:rsidRPr="0072678C">
        <w:rPr>
          <w:rFonts w:asciiTheme="minorHAnsi" w:hAnsiTheme="minorHAnsi" w:cstheme="minorHAnsi"/>
          <w:sz w:val="22"/>
          <w:szCs w:val="22"/>
        </w:rPr>
        <w:t>do SIMPLES e do MEI</w:t>
      </w:r>
      <w:r w:rsidR="00DB77D3" w:rsidRPr="0072678C">
        <w:rPr>
          <w:rFonts w:asciiTheme="minorHAnsi" w:hAnsiTheme="minorHAnsi" w:cstheme="minorHAnsi"/>
          <w:sz w:val="22"/>
          <w:szCs w:val="22"/>
        </w:rPr>
        <w:t xml:space="preserve">, </w:t>
      </w:r>
      <w:r w:rsidR="005875C1" w:rsidRPr="0072678C">
        <w:rPr>
          <w:rFonts w:asciiTheme="minorHAnsi" w:hAnsiTheme="minorHAnsi" w:cstheme="minorHAnsi"/>
          <w:sz w:val="22"/>
          <w:szCs w:val="22"/>
        </w:rPr>
        <w:t xml:space="preserve">das </w:t>
      </w:r>
      <w:r w:rsidRPr="0072678C">
        <w:rPr>
          <w:rFonts w:asciiTheme="minorHAnsi" w:hAnsiTheme="minorHAnsi" w:cstheme="minorHAnsi"/>
          <w:sz w:val="22"/>
          <w:szCs w:val="22"/>
        </w:rPr>
        <w:t>bases de dados externas</w:t>
      </w:r>
      <w:r w:rsidR="00DB77D3" w:rsidRPr="0072678C">
        <w:rPr>
          <w:rFonts w:asciiTheme="minorHAnsi" w:hAnsiTheme="minorHAnsi" w:cstheme="minorHAnsi"/>
          <w:sz w:val="22"/>
          <w:szCs w:val="22"/>
        </w:rPr>
        <w:t xml:space="preserve"> (</w:t>
      </w:r>
      <w:r w:rsidRPr="0072678C">
        <w:rPr>
          <w:rFonts w:asciiTheme="minorHAnsi" w:hAnsiTheme="minorHAnsi" w:cstheme="minorHAnsi"/>
          <w:sz w:val="22"/>
          <w:szCs w:val="22"/>
        </w:rPr>
        <w:t>dados de cartão de crédito</w:t>
      </w:r>
      <w:r w:rsidR="009C0ABF" w:rsidRPr="0072678C">
        <w:rPr>
          <w:rFonts w:asciiTheme="minorHAnsi" w:hAnsiTheme="minorHAnsi" w:cstheme="minorHAnsi"/>
          <w:sz w:val="22"/>
          <w:szCs w:val="22"/>
        </w:rPr>
        <w:t>); s</w:t>
      </w:r>
      <w:r w:rsidRPr="0072678C">
        <w:rPr>
          <w:rFonts w:asciiTheme="minorHAnsi" w:hAnsiTheme="minorHAnsi" w:cstheme="minorHAnsi"/>
          <w:sz w:val="22"/>
          <w:szCs w:val="22"/>
        </w:rPr>
        <w:t>eleciona contribuintes com base em indícios detectados em</w:t>
      </w:r>
      <w:r w:rsidR="009C0ABF" w:rsidRPr="0072678C">
        <w:rPr>
          <w:rFonts w:asciiTheme="minorHAnsi" w:hAnsiTheme="minorHAnsi" w:cstheme="minorHAnsi"/>
          <w:sz w:val="22"/>
          <w:szCs w:val="22"/>
        </w:rPr>
        <w:t xml:space="preserve"> mineração e cruzamento de dado </w:t>
      </w:r>
      <w:r w:rsidRPr="0072678C">
        <w:rPr>
          <w:rFonts w:asciiTheme="minorHAnsi" w:hAnsiTheme="minorHAnsi" w:cstheme="minorHAnsi"/>
          <w:sz w:val="22"/>
          <w:szCs w:val="22"/>
        </w:rPr>
        <w:t>a partir de critérios definidos pela Supervisão</w:t>
      </w:r>
      <w:r w:rsidR="00921866" w:rsidRPr="0072678C">
        <w:rPr>
          <w:rFonts w:asciiTheme="minorHAnsi" w:hAnsiTheme="minorHAnsi" w:cstheme="minorHAnsi"/>
          <w:sz w:val="22"/>
          <w:szCs w:val="22"/>
        </w:rPr>
        <w:t>, e a</w:t>
      </w:r>
      <w:r w:rsidRPr="0072678C">
        <w:rPr>
          <w:rFonts w:asciiTheme="minorHAnsi" w:hAnsiTheme="minorHAnsi" w:cstheme="minorHAnsi"/>
          <w:sz w:val="22"/>
          <w:szCs w:val="22"/>
        </w:rPr>
        <w:t>dota estratégia de abordagem baseada na análise do comportamento do contribuinte</w:t>
      </w:r>
      <w:r w:rsidR="009C0ABF" w:rsidRPr="0072678C">
        <w:rPr>
          <w:rFonts w:asciiTheme="minorHAnsi" w:hAnsiTheme="minorHAnsi" w:cstheme="minorHAnsi"/>
          <w:sz w:val="22"/>
          <w:szCs w:val="22"/>
        </w:rPr>
        <w:t xml:space="preserve"> (o</w:t>
      </w:r>
      <w:r w:rsidRPr="0072678C">
        <w:rPr>
          <w:rFonts w:asciiTheme="minorHAnsi" w:hAnsiTheme="minorHAnsi" w:cstheme="minorHAnsi"/>
          <w:sz w:val="22"/>
          <w:szCs w:val="22"/>
        </w:rPr>
        <w:t xml:space="preserve"> histórico e o comportamento dos contribuintes são analisados em conjunto com os demais que apresentam características semelhantes a fim de identificar um padrão esperado de comportamento e eventuais desvios desse padrão</w:t>
      </w:r>
      <w:r w:rsidR="009C0ABF" w:rsidRPr="0072678C">
        <w:rPr>
          <w:rFonts w:asciiTheme="minorHAnsi" w:hAnsiTheme="minorHAnsi" w:cstheme="minorHAnsi"/>
          <w:sz w:val="22"/>
          <w:szCs w:val="22"/>
        </w:rPr>
        <w:t>); u</w:t>
      </w:r>
      <w:r w:rsidRPr="0072678C">
        <w:rPr>
          <w:rFonts w:asciiTheme="minorHAnsi" w:hAnsiTheme="minorHAnsi" w:cstheme="minorHAnsi"/>
          <w:sz w:val="22"/>
          <w:szCs w:val="22"/>
        </w:rPr>
        <w:t xml:space="preserve">tiliza o processo fiscal automatizado, </w:t>
      </w:r>
      <w:r w:rsidR="009C0ABF" w:rsidRPr="0072678C">
        <w:rPr>
          <w:rFonts w:asciiTheme="minorHAnsi" w:hAnsiTheme="minorHAnsi" w:cstheme="minorHAnsi"/>
          <w:sz w:val="22"/>
          <w:szCs w:val="22"/>
        </w:rPr>
        <w:t>de</w:t>
      </w:r>
      <w:r w:rsidRPr="0072678C">
        <w:rPr>
          <w:rFonts w:asciiTheme="minorHAnsi" w:hAnsiTheme="minorHAnsi" w:cstheme="minorHAnsi"/>
          <w:sz w:val="22"/>
          <w:szCs w:val="22"/>
        </w:rPr>
        <w:t>sde o momento de seleção do contribuinte</w:t>
      </w:r>
      <w:r w:rsidR="00921866" w:rsidRPr="0072678C">
        <w:rPr>
          <w:rFonts w:asciiTheme="minorHAnsi" w:hAnsiTheme="minorHAnsi" w:cstheme="minorHAnsi"/>
          <w:sz w:val="22"/>
          <w:szCs w:val="22"/>
        </w:rPr>
        <w:t xml:space="preserve"> (n</w:t>
      </w:r>
      <w:r w:rsidR="005875C1" w:rsidRPr="0072678C">
        <w:rPr>
          <w:rFonts w:asciiTheme="minorHAnsi" w:hAnsiTheme="minorHAnsi" w:cstheme="minorHAnsi"/>
          <w:sz w:val="22"/>
          <w:szCs w:val="22"/>
        </w:rPr>
        <w:t xml:space="preserve">este caso, é </w:t>
      </w:r>
      <w:r w:rsidRPr="0072678C">
        <w:rPr>
          <w:rFonts w:asciiTheme="minorHAnsi" w:hAnsiTheme="minorHAnsi" w:cstheme="minorHAnsi"/>
          <w:sz w:val="22"/>
          <w:szCs w:val="22"/>
        </w:rPr>
        <w:t>possível acompanhar pelo sistema PGSF o status do trabalho, data de abertura, conclusão, AFR responsável pela seleção, AFR responsável pelo desenvol</w:t>
      </w:r>
      <w:r w:rsidR="005875C1" w:rsidRPr="0072678C">
        <w:rPr>
          <w:rFonts w:asciiTheme="minorHAnsi" w:hAnsiTheme="minorHAnsi" w:cstheme="minorHAnsi"/>
          <w:sz w:val="22"/>
          <w:szCs w:val="22"/>
        </w:rPr>
        <w:t>vimento do trabalho na FDT</w:t>
      </w:r>
      <w:r w:rsidR="00921866" w:rsidRPr="0072678C">
        <w:rPr>
          <w:rFonts w:asciiTheme="minorHAnsi" w:hAnsiTheme="minorHAnsi" w:cstheme="minorHAnsi"/>
          <w:sz w:val="22"/>
          <w:szCs w:val="22"/>
        </w:rPr>
        <w:t>); e c</w:t>
      </w:r>
      <w:r w:rsidRPr="0072678C">
        <w:rPr>
          <w:rFonts w:asciiTheme="minorHAnsi" w:hAnsiTheme="minorHAnsi" w:cstheme="minorHAnsi"/>
          <w:sz w:val="22"/>
          <w:szCs w:val="22"/>
        </w:rPr>
        <w:t>ontrola a qualidade do auto de infração antes da intimação do contribuinte</w:t>
      </w:r>
      <w:r w:rsidR="009C0ABF" w:rsidRPr="0072678C">
        <w:rPr>
          <w:rFonts w:asciiTheme="minorHAnsi" w:hAnsiTheme="minorHAnsi" w:cstheme="minorHAnsi"/>
          <w:sz w:val="22"/>
          <w:szCs w:val="22"/>
        </w:rPr>
        <w:t xml:space="preserve"> conforme </w:t>
      </w:r>
      <w:r w:rsidRPr="0072678C">
        <w:rPr>
          <w:rFonts w:asciiTheme="minorHAnsi" w:hAnsiTheme="minorHAnsi" w:cstheme="minorHAnsi"/>
          <w:sz w:val="22"/>
          <w:szCs w:val="22"/>
        </w:rPr>
        <w:t>Portaria CAT Nº 115 DE 07/11/2014</w:t>
      </w:r>
      <w:r w:rsidR="009C0ABF" w:rsidRPr="0072678C">
        <w:rPr>
          <w:rFonts w:asciiTheme="minorHAnsi" w:hAnsiTheme="minorHAnsi" w:cstheme="minorHAnsi"/>
          <w:sz w:val="22"/>
          <w:szCs w:val="22"/>
        </w:rPr>
        <w:t>, que d</w:t>
      </w:r>
      <w:r w:rsidRPr="0072678C">
        <w:rPr>
          <w:rFonts w:asciiTheme="minorHAnsi" w:hAnsiTheme="minorHAnsi" w:cstheme="minorHAnsi"/>
          <w:sz w:val="22"/>
          <w:szCs w:val="22"/>
        </w:rPr>
        <w:t>isciplina o controle de qualidade antecedente à lavratura de Auto de Infração e Imposição de Multa</w:t>
      </w:r>
      <w:r w:rsidR="009C0ABF" w:rsidRPr="0072678C">
        <w:rPr>
          <w:rStyle w:val="FootnoteReference"/>
          <w:rFonts w:asciiTheme="minorHAnsi" w:hAnsiTheme="minorHAnsi" w:cstheme="minorHAnsi"/>
          <w:sz w:val="22"/>
          <w:szCs w:val="22"/>
        </w:rPr>
        <w:footnoteReference w:id="125"/>
      </w:r>
      <w:r w:rsidR="005875C1" w:rsidRPr="0072678C">
        <w:rPr>
          <w:rFonts w:asciiTheme="minorHAnsi" w:hAnsiTheme="minorHAnsi" w:cstheme="minorHAnsi"/>
          <w:sz w:val="22"/>
          <w:szCs w:val="22"/>
        </w:rPr>
        <w:t>.</w:t>
      </w:r>
    </w:p>
    <w:p w:rsidR="005875C1" w:rsidRPr="0072678C" w:rsidRDefault="005875C1" w:rsidP="009C0ABF">
      <w:pPr>
        <w:tabs>
          <w:tab w:val="left" w:pos="3124"/>
        </w:tabs>
        <w:jc w:val="both"/>
        <w:rPr>
          <w:rFonts w:asciiTheme="minorHAnsi" w:hAnsiTheme="minorHAnsi" w:cstheme="minorHAnsi"/>
          <w:sz w:val="22"/>
          <w:szCs w:val="22"/>
        </w:rPr>
      </w:pPr>
    </w:p>
    <w:p w:rsidR="001C6117" w:rsidRPr="0072678C" w:rsidRDefault="00A73953" w:rsidP="001C6117">
      <w:pPr>
        <w:tabs>
          <w:tab w:val="left" w:pos="3124"/>
        </w:tabs>
        <w:jc w:val="both"/>
        <w:rPr>
          <w:rFonts w:asciiTheme="minorHAnsi" w:hAnsiTheme="minorHAnsi" w:cstheme="minorHAnsi"/>
          <w:sz w:val="22"/>
          <w:szCs w:val="22"/>
        </w:rPr>
      </w:pPr>
      <w:r w:rsidRPr="0072678C">
        <w:rPr>
          <w:rFonts w:asciiTheme="minorHAnsi" w:hAnsiTheme="minorHAnsi" w:cstheme="minorHAnsi"/>
          <w:sz w:val="22"/>
          <w:szCs w:val="22"/>
        </w:rPr>
        <w:t xml:space="preserve">Com nível 2 de maturidade e atendendo a </w:t>
      </w:r>
      <w:r w:rsidR="0049148A"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5 dentre 10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os procedimentos da </w:t>
      </w:r>
      <w:r w:rsidRPr="0072678C">
        <w:rPr>
          <w:rFonts w:asciiTheme="minorHAnsi" w:hAnsiTheme="minorHAnsi" w:cstheme="minorHAnsi"/>
          <w:b/>
          <w:bCs/>
          <w:i/>
          <w:iCs/>
          <w:sz w:val="22"/>
          <w:szCs w:val="22"/>
        </w:rPr>
        <w:t>malha fiscal do ICMS</w:t>
      </w:r>
      <w:r w:rsidRPr="0072678C">
        <w:rPr>
          <w:rFonts w:asciiTheme="minorHAnsi" w:hAnsiTheme="minorHAnsi" w:cstheme="minorHAnsi"/>
          <w:sz w:val="22"/>
          <w:szCs w:val="22"/>
        </w:rPr>
        <w:t xml:space="preserve"> </w:t>
      </w:r>
      <w:r w:rsidR="0049148A" w:rsidRPr="0072678C">
        <w:rPr>
          <w:rFonts w:asciiTheme="minorHAnsi" w:hAnsiTheme="minorHAnsi" w:cstheme="minorHAnsi"/>
          <w:sz w:val="22"/>
          <w:szCs w:val="22"/>
        </w:rPr>
        <w:t xml:space="preserve">aplica soluções tecnológicas para cruzamento de dados nas bases internas disponíveis, especialmente de </w:t>
      </w:r>
      <w:proofErr w:type="spellStart"/>
      <w:r w:rsidR="0049148A" w:rsidRPr="0072678C">
        <w:rPr>
          <w:rFonts w:asciiTheme="minorHAnsi" w:hAnsiTheme="minorHAnsi" w:cstheme="minorHAnsi"/>
          <w:sz w:val="22"/>
          <w:szCs w:val="22"/>
        </w:rPr>
        <w:t>DF-e</w:t>
      </w:r>
      <w:proofErr w:type="spellEnd"/>
      <w:r w:rsidR="0049148A" w:rsidRPr="0072678C">
        <w:rPr>
          <w:rFonts w:asciiTheme="minorHAnsi" w:hAnsiTheme="minorHAnsi" w:cstheme="minorHAnsi"/>
          <w:sz w:val="22"/>
          <w:szCs w:val="22"/>
        </w:rPr>
        <w:t xml:space="preserve">. (a SEFAZ/SP cruza informações disponíveis em seus Bancos de Dados da Nota Fiscal Eletrônica, Conhecimento de Transporte Eletrônico, GIA e SPED), assim como, realiza cruzamento de dados de fontes externas de informação </w:t>
      </w:r>
      <w:r w:rsidR="001C6117" w:rsidRPr="0072678C">
        <w:rPr>
          <w:rFonts w:asciiTheme="minorHAnsi" w:hAnsiTheme="minorHAnsi" w:cstheme="minorHAnsi"/>
          <w:sz w:val="22"/>
          <w:szCs w:val="22"/>
        </w:rPr>
        <w:t>(o</w:t>
      </w:r>
      <w:r w:rsidR="0049148A" w:rsidRPr="0072678C">
        <w:rPr>
          <w:rFonts w:asciiTheme="minorHAnsi" w:hAnsiTheme="minorHAnsi" w:cstheme="minorHAnsi"/>
          <w:sz w:val="22"/>
          <w:szCs w:val="22"/>
        </w:rPr>
        <w:t xml:space="preserve">s dados externos são inseridos </w:t>
      </w:r>
      <w:r w:rsidR="001C6117" w:rsidRPr="0072678C">
        <w:rPr>
          <w:rFonts w:asciiTheme="minorHAnsi" w:hAnsiTheme="minorHAnsi" w:cstheme="minorHAnsi"/>
          <w:sz w:val="22"/>
          <w:szCs w:val="22"/>
        </w:rPr>
        <w:t xml:space="preserve">na </w:t>
      </w:r>
      <w:r w:rsidR="0049148A" w:rsidRPr="0072678C">
        <w:rPr>
          <w:rFonts w:asciiTheme="minorHAnsi" w:hAnsiTheme="minorHAnsi" w:cstheme="minorHAnsi"/>
          <w:sz w:val="22"/>
          <w:szCs w:val="22"/>
        </w:rPr>
        <w:t>base de dados (Sistema DW/BO) para permitir os cruzamentos com os dados internos</w:t>
      </w:r>
      <w:r w:rsidR="001C6117" w:rsidRPr="0072678C">
        <w:rPr>
          <w:rFonts w:asciiTheme="minorHAnsi" w:hAnsiTheme="minorHAnsi" w:cstheme="minorHAnsi"/>
          <w:sz w:val="22"/>
          <w:szCs w:val="22"/>
        </w:rPr>
        <w:t>); emite notificação para regularização de pendências conforme Decreto Nº 53.455, de 19 de setembro de 2008, Artigo 3º, onde dispõe que, a comunicação ao devedor será feita por via postal, pela Secretaria da Fazenda, considerando-se entregue 15 (quinze) dias após a data da expedição</w:t>
      </w:r>
      <w:r w:rsidR="001C6117" w:rsidRPr="0072678C">
        <w:rPr>
          <w:rStyle w:val="FootnoteReference"/>
          <w:rFonts w:asciiTheme="minorHAnsi" w:hAnsiTheme="minorHAnsi" w:cstheme="minorHAnsi"/>
          <w:sz w:val="22"/>
          <w:szCs w:val="22"/>
        </w:rPr>
        <w:footnoteReference w:id="126"/>
      </w:r>
      <w:r w:rsidR="001C6117" w:rsidRPr="0072678C">
        <w:rPr>
          <w:rFonts w:asciiTheme="minorHAnsi" w:hAnsiTheme="minorHAnsi" w:cstheme="minorHAnsi"/>
          <w:sz w:val="22"/>
          <w:szCs w:val="22"/>
        </w:rPr>
        <w:t>; dispõem de equipe de retaguarda especializada na análise e solução de pendências</w:t>
      </w:r>
      <w:r w:rsidR="001C6117" w:rsidRPr="0072678C">
        <w:rPr>
          <w:rStyle w:val="FootnoteReference"/>
          <w:rFonts w:asciiTheme="minorHAnsi" w:hAnsiTheme="minorHAnsi" w:cstheme="minorHAnsi"/>
          <w:sz w:val="22"/>
          <w:szCs w:val="22"/>
        </w:rPr>
        <w:footnoteReference w:id="127"/>
      </w:r>
      <w:r w:rsidR="001C6117" w:rsidRPr="0072678C">
        <w:rPr>
          <w:rFonts w:asciiTheme="minorHAnsi" w:hAnsiTheme="minorHAnsi" w:cstheme="minorHAnsi"/>
          <w:sz w:val="22"/>
          <w:szCs w:val="22"/>
        </w:rPr>
        <w:t xml:space="preserve">; </w:t>
      </w:r>
      <w:r w:rsidR="00B30DCB" w:rsidRPr="0072678C">
        <w:rPr>
          <w:rFonts w:asciiTheme="minorHAnsi" w:hAnsiTheme="minorHAnsi" w:cstheme="minorHAnsi"/>
          <w:sz w:val="22"/>
          <w:szCs w:val="22"/>
        </w:rPr>
        <w:t>e aplica sanções pela não regularização de pendências notificadas</w:t>
      </w:r>
      <w:r w:rsidR="00B30DCB" w:rsidRPr="0072678C">
        <w:rPr>
          <w:rStyle w:val="FootnoteReference"/>
          <w:rFonts w:asciiTheme="minorHAnsi" w:hAnsiTheme="minorHAnsi" w:cstheme="minorHAnsi"/>
          <w:sz w:val="22"/>
          <w:szCs w:val="22"/>
        </w:rPr>
        <w:footnoteReference w:id="128"/>
      </w:r>
      <w:r w:rsidR="00B30DCB" w:rsidRPr="0072678C">
        <w:rPr>
          <w:rFonts w:asciiTheme="minorHAnsi" w:hAnsiTheme="minorHAnsi" w:cstheme="minorHAnsi"/>
          <w:sz w:val="22"/>
          <w:szCs w:val="22"/>
        </w:rPr>
        <w:t xml:space="preserve">. </w:t>
      </w:r>
    </w:p>
    <w:p w:rsidR="00B30DCB" w:rsidRPr="0072678C" w:rsidRDefault="00B30DCB" w:rsidP="001C6117">
      <w:pPr>
        <w:tabs>
          <w:tab w:val="left" w:pos="3124"/>
        </w:tabs>
        <w:jc w:val="both"/>
        <w:rPr>
          <w:rFonts w:asciiTheme="minorHAnsi" w:hAnsiTheme="minorHAnsi" w:cstheme="minorHAnsi"/>
          <w:sz w:val="22"/>
          <w:szCs w:val="22"/>
        </w:rPr>
      </w:pPr>
    </w:p>
    <w:p w:rsidR="00AD54FB" w:rsidRPr="0072678C" w:rsidRDefault="00E56C44" w:rsidP="00E87428">
      <w:pPr>
        <w:tabs>
          <w:tab w:val="left" w:pos="3124"/>
        </w:tabs>
        <w:jc w:val="both"/>
        <w:rPr>
          <w:rFonts w:asciiTheme="minorHAnsi" w:hAnsiTheme="minorHAnsi" w:cstheme="minorHAnsi"/>
          <w:sz w:val="22"/>
          <w:szCs w:val="22"/>
        </w:rPr>
      </w:pPr>
      <w:r w:rsidRPr="0072678C">
        <w:rPr>
          <w:rFonts w:asciiTheme="minorHAnsi" w:hAnsiTheme="minorHAnsi" w:cstheme="minorHAnsi"/>
          <w:b/>
          <w:bCs/>
          <w:sz w:val="22"/>
          <w:szCs w:val="22"/>
        </w:rPr>
        <w:t xml:space="preserve">O processo de </w:t>
      </w:r>
      <w:r w:rsidR="00B30DCB" w:rsidRPr="0072678C">
        <w:rPr>
          <w:rFonts w:asciiTheme="minorHAnsi" w:hAnsiTheme="minorHAnsi" w:cstheme="minorHAnsi"/>
          <w:b/>
          <w:bCs/>
          <w:i/>
          <w:iCs/>
          <w:sz w:val="22"/>
          <w:szCs w:val="22"/>
        </w:rPr>
        <w:t>inteligência fiscal</w:t>
      </w:r>
      <w:r w:rsidR="00B30DCB" w:rsidRPr="0072678C">
        <w:rPr>
          <w:rFonts w:asciiTheme="minorHAnsi" w:hAnsiTheme="minorHAnsi" w:cstheme="minorHAnsi"/>
          <w:b/>
          <w:bCs/>
          <w:sz w:val="22"/>
          <w:szCs w:val="22"/>
        </w:rPr>
        <w:t xml:space="preserve">, </w:t>
      </w:r>
      <w:r w:rsidR="00B30DCB" w:rsidRPr="0072678C">
        <w:rPr>
          <w:rFonts w:asciiTheme="minorHAnsi" w:hAnsiTheme="minorHAnsi" w:cstheme="minorHAnsi"/>
          <w:sz w:val="22"/>
          <w:szCs w:val="22"/>
        </w:rPr>
        <w:t>para combate à</w:t>
      </w:r>
      <w:r w:rsidRPr="0072678C">
        <w:rPr>
          <w:rFonts w:asciiTheme="minorHAnsi" w:hAnsiTheme="minorHAnsi" w:cstheme="minorHAnsi"/>
          <w:sz w:val="22"/>
          <w:szCs w:val="22"/>
        </w:rPr>
        <w:t>s fraudes fiscais estruturadas obteve nível 2 de maturidade e atende a 10 dentre 16 requisitos das boas práticas da MD-GEFIS. Para tanto, d</w:t>
      </w:r>
      <w:r w:rsidR="00B30DCB" w:rsidRPr="0072678C">
        <w:rPr>
          <w:rFonts w:asciiTheme="minorHAnsi" w:hAnsiTheme="minorHAnsi" w:cstheme="minorHAnsi"/>
          <w:sz w:val="22"/>
          <w:szCs w:val="22"/>
        </w:rPr>
        <w:t>ispõe de unidade formal e estruturada de pesquisa e inteligência fiscal</w:t>
      </w:r>
      <w:r w:rsidRPr="0072678C">
        <w:rPr>
          <w:rFonts w:asciiTheme="minorHAnsi" w:hAnsiTheme="minorHAnsi" w:cstheme="minorHAnsi"/>
          <w:sz w:val="22"/>
          <w:szCs w:val="22"/>
        </w:rPr>
        <w:t xml:space="preserve"> conforme Decreto </w:t>
      </w:r>
      <w:r w:rsidR="00B30DCB" w:rsidRPr="0072678C">
        <w:rPr>
          <w:rFonts w:asciiTheme="minorHAnsi" w:hAnsiTheme="minorHAnsi" w:cstheme="minorHAnsi"/>
          <w:sz w:val="22"/>
          <w:szCs w:val="22"/>
        </w:rPr>
        <w:t xml:space="preserve">Nº 60.812, </w:t>
      </w:r>
      <w:r w:rsidRPr="0072678C">
        <w:rPr>
          <w:rFonts w:asciiTheme="minorHAnsi" w:hAnsiTheme="minorHAnsi" w:cstheme="minorHAnsi"/>
          <w:sz w:val="22"/>
          <w:szCs w:val="22"/>
        </w:rPr>
        <w:t xml:space="preserve">de 30 de setembro de </w:t>
      </w:r>
      <w:r w:rsidR="00B30DCB" w:rsidRPr="0072678C">
        <w:rPr>
          <w:rFonts w:asciiTheme="minorHAnsi" w:hAnsiTheme="minorHAnsi" w:cstheme="minorHAnsi"/>
          <w:sz w:val="22"/>
          <w:szCs w:val="22"/>
        </w:rPr>
        <w:t>2014</w:t>
      </w:r>
      <w:r w:rsidR="005C2161" w:rsidRPr="0072678C">
        <w:rPr>
          <w:rStyle w:val="FootnoteReference"/>
          <w:rFonts w:asciiTheme="minorHAnsi" w:hAnsiTheme="minorHAnsi" w:cstheme="minorHAnsi"/>
          <w:sz w:val="22"/>
          <w:szCs w:val="22"/>
        </w:rPr>
        <w:footnoteReference w:id="129"/>
      </w:r>
      <w:r w:rsidR="005C2161" w:rsidRPr="0072678C">
        <w:rPr>
          <w:rFonts w:asciiTheme="minorHAnsi" w:hAnsiTheme="minorHAnsi" w:cstheme="minorHAnsi"/>
          <w:sz w:val="22"/>
          <w:szCs w:val="22"/>
        </w:rPr>
        <w:t>; e</w:t>
      </w:r>
      <w:r w:rsidR="00B30DCB" w:rsidRPr="0072678C">
        <w:rPr>
          <w:rFonts w:asciiTheme="minorHAnsi" w:hAnsiTheme="minorHAnsi" w:cstheme="minorHAnsi"/>
          <w:sz w:val="22"/>
          <w:szCs w:val="22"/>
        </w:rPr>
        <w:t>xerce atividades de assessoramento às autoridades fazendárias no planejamento, na execução e no acompanhamento das ações da fiscalização, bem como no aperfeiçoamento da legislação tributária e das políticas internas de segurança</w:t>
      </w:r>
      <w:r w:rsidR="005C2161" w:rsidRPr="0072678C">
        <w:rPr>
          <w:rFonts w:asciiTheme="minorHAnsi" w:hAnsiTheme="minorHAnsi" w:cstheme="minorHAnsi"/>
          <w:sz w:val="22"/>
          <w:szCs w:val="22"/>
        </w:rPr>
        <w:t xml:space="preserve"> conforme o mesmo Decreto N</w:t>
      </w:r>
      <w:r w:rsidR="00B30DCB" w:rsidRPr="0072678C">
        <w:rPr>
          <w:rFonts w:asciiTheme="minorHAnsi" w:hAnsiTheme="minorHAnsi" w:cstheme="minorHAnsi"/>
          <w:sz w:val="22"/>
          <w:szCs w:val="22"/>
        </w:rPr>
        <w:t>º 60.812</w:t>
      </w:r>
      <w:r w:rsidR="005C2161" w:rsidRPr="0072678C">
        <w:rPr>
          <w:rFonts w:asciiTheme="minorHAnsi" w:hAnsiTheme="minorHAnsi" w:cstheme="minorHAnsi"/>
          <w:sz w:val="22"/>
          <w:szCs w:val="22"/>
        </w:rPr>
        <w:t xml:space="preserve">. </w:t>
      </w:r>
      <w:r w:rsidR="00B30DCB" w:rsidRPr="0072678C">
        <w:rPr>
          <w:rFonts w:asciiTheme="minorHAnsi" w:hAnsiTheme="minorHAnsi" w:cstheme="minorHAnsi"/>
          <w:sz w:val="22"/>
          <w:szCs w:val="22"/>
        </w:rPr>
        <w:t>Um dos produtos entregues pela Assistência à Diretoria é o Sumário Executivo, produzido ao final da fase triagem. Esse documento tem a função de informar ao Diretor Executivo as informações obtidas até o momento, subsidiando sua decisão sobre autorizar a abertura de um procedimento de inteligência fiscal ou encaminhar a demanda a outro setor da Secretaria da Fazenda.</w:t>
      </w:r>
      <w:r w:rsidR="00E770FF" w:rsidRPr="0072678C">
        <w:rPr>
          <w:rFonts w:asciiTheme="minorHAnsi" w:hAnsiTheme="minorHAnsi" w:cstheme="minorHAnsi"/>
          <w:sz w:val="22"/>
          <w:szCs w:val="22"/>
        </w:rPr>
        <w:t xml:space="preserve"> </w:t>
      </w:r>
    </w:p>
    <w:p w:rsidR="00AD54FB" w:rsidRPr="0072678C" w:rsidRDefault="00AD54FB" w:rsidP="00E87428">
      <w:pPr>
        <w:tabs>
          <w:tab w:val="left" w:pos="3124"/>
        </w:tabs>
        <w:jc w:val="both"/>
        <w:rPr>
          <w:rFonts w:asciiTheme="minorHAnsi" w:hAnsiTheme="minorHAnsi" w:cstheme="minorHAnsi"/>
          <w:sz w:val="22"/>
          <w:szCs w:val="22"/>
        </w:rPr>
      </w:pPr>
    </w:p>
    <w:p w:rsidR="00AD54FB" w:rsidRPr="0072678C" w:rsidRDefault="00E770FF" w:rsidP="00E87428">
      <w:pPr>
        <w:tabs>
          <w:tab w:val="left" w:pos="3124"/>
        </w:tabs>
        <w:jc w:val="both"/>
        <w:rPr>
          <w:rFonts w:asciiTheme="minorHAnsi" w:hAnsiTheme="minorHAnsi" w:cstheme="minorHAnsi"/>
          <w:sz w:val="22"/>
          <w:szCs w:val="22"/>
        </w:rPr>
      </w:pPr>
      <w:r w:rsidRPr="0072678C">
        <w:rPr>
          <w:rFonts w:asciiTheme="minorHAnsi" w:hAnsiTheme="minorHAnsi" w:cstheme="minorHAnsi"/>
          <w:sz w:val="22"/>
          <w:szCs w:val="22"/>
        </w:rPr>
        <w:lastRenderedPageBreak/>
        <w:t>A SEFAZ/SP</w:t>
      </w:r>
      <w:r w:rsidR="00E87428" w:rsidRPr="0072678C">
        <w:rPr>
          <w:rFonts w:asciiTheme="minorHAnsi" w:hAnsiTheme="minorHAnsi" w:cstheme="minorHAnsi"/>
          <w:sz w:val="22"/>
          <w:szCs w:val="22"/>
        </w:rPr>
        <w:t xml:space="preserve">, também, </w:t>
      </w:r>
      <w:r w:rsidRPr="0072678C">
        <w:rPr>
          <w:rFonts w:asciiTheme="minorHAnsi" w:hAnsiTheme="minorHAnsi" w:cstheme="minorHAnsi"/>
          <w:sz w:val="22"/>
          <w:szCs w:val="22"/>
        </w:rPr>
        <w:t>e</w:t>
      </w:r>
      <w:r w:rsidR="00B30DCB" w:rsidRPr="0072678C">
        <w:rPr>
          <w:rFonts w:asciiTheme="minorHAnsi" w:hAnsiTheme="minorHAnsi" w:cstheme="minorHAnsi"/>
          <w:sz w:val="22"/>
          <w:szCs w:val="22"/>
        </w:rPr>
        <w:t>xerce atividades de detecção e combate à fraude fiscal estruturada, subsidiando os órgãos responsáveis pela persecução penal no combate aos crimes contra a ordem tributária, de lavagem de dinhe</w:t>
      </w:r>
      <w:r w:rsidRPr="0072678C">
        <w:rPr>
          <w:rFonts w:asciiTheme="minorHAnsi" w:hAnsiTheme="minorHAnsi" w:cstheme="minorHAnsi"/>
          <w:sz w:val="22"/>
          <w:szCs w:val="22"/>
        </w:rPr>
        <w:t>iro e de outros correlatos</w:t>
      </w:r>
      <w:r w:rsidR="00E87428" w:rsidRPr="0072678C">
        <w:rPr>
          <w:rFonts w:asciiTheme="minorHAnsi" w:hAnsiTheme="minorHAnsi" w:cstheme="minorHAnsi"/>
          <w:sz w:val="22"/>
          <w:szCs w:val="22"/>
        </w:rPr>
        <w:t xml:space="preserve">. Ressaltasse </w:t>
      </w:r>
      <w:r w:rsidRPr="0072678C">
        <w:rPr>
          <w:rFonts w:asciiTheme="minorHAnsi" w:hAnsiTheme="minorHAnsi" w:cstheme="minorHAnsi"/>
          <w:sz w:val="22"/>
          <w:szCs w:val="22"/>
        </w:rPr>
        <w:t xml:space="preserve">que a </w:t>
      </w:r>
      <w:r w:rsidR="00B30DCB" w:rsidRPr="0072678C">
        <w:rPr>
          <w:rFonts w:asciiTheme="minorHAnsi" w:hAnsiTheme="minorHAnsi" w:cstheme="minorHAnsi"/>
          <w:sz w:val="22"/>
          <w:szCs w:val="22"/>
        </w:rPr>
        <w:t xml:space="preserve">Inteligência Fiscal atua neste grupo, </w:t>
      </w:r>
      <w:r w:rsidR="00AD54FB" w:rsidRPr="0072678C">
        <w:rPr>
          <w:rFonts w:asciiTheme="minorHAnsi" w:hAnsiTheme="minorHAnsi" w:cstheme="minorHAnsi"/>
          <w:sz w:val="22"/>
          <w:szCs w:val="22"/>
        </w:rPr>
        <w:t xml:space="preserve">que é </w:t>
      </w:r>
      <w:r w:rsidR="00B30DCB" w:rsidRPr="0072678C">
        <w:rPr>
          <w:rFonts w:asciiTheme="minorHAnsi" w:hAnsiTheme="minorHAnsi" w:cstheme="minorHAnsi"/>
          <w:sz w:val="22"/>
          <w:szCs w:val="22"/>
        </w:rPr>
        <w:t>composto pela SEFAZ/SP, PGE, MPE e Prefeitura de São Paulo, com o objetivo de fornecer aos demais integrantes elementos que contribuam para o desenvolvimento de suas atividades relacionadas à persecução penal no combate aos crimes contra a ordem tributária, de lavagem de dinheiro e de outros correlatos.</w:t>
      </w:r>
      <w:r w:rsidRPr="0072678C">
        <w:rPr>
          <w:rFonts w:asciiTheme="minorHAnsi" w:hAnsiTheme="minorHAnsi" w:cstheme="minorHAnsi"/>
          <w:sz w:val="22"/>
          <w:szCs w:val="22"/>
        </w:rPr>
        <w:t xml:space="preserve"> </w:t>
      </w:r>
    </w:p>
    <w:p w:rsidR="00AD54FB" w:rsidRPr="0072678C" w:rsidRDefault="00AD54FB" w:rsidP="00E87428">
      <w:pPr>
        <w:tabs>
          <w:tab w:val="left" w:pos="3124"/>
        </w:tabs>
        <w:jc w:val="both"/>
        <w:rPr>
          <w:rFonts w:asciiTheme="minorHAnsi" w:hAnsiTheme="minorHAnsi" w:cstheme="minorHAnsi"/>
          <w:sz w:val="22"/>
          <w:szCs w:val="22"/>
        </w:rPr>
      </w:pPr>
    </w:p>
    <w:p w:rsidR="00AD54FB" w:rsidRPr="0072678C" w:rsidRDefault="00AD54FB" w:rsidP="00E87428">
      <w:pPr>
        <w:tabs>
          <w:tab w:val="left" w:pos="3124"/>
        </w:tabs>
        <w:jc w:val="both"/>
        <w:rPr>
          <w:rFonts w:asciiTheme="minorHAnsi" w:hAnsiTheme="minorHAnsi" w:cstheme="minorHAnsi"/>
          <w:sz w:val="22"/>
          <w:szCs w:val="22"/>
        </w:rPr>
      </w:pPr>
      <w:r w:rsidRPr="0072678C">
        <w:rPr>
          <w:rFonts w:asciiTheme="minorHAnsi" w:hAnsiTheme="minorHAnsi" w:cstheme="minorHAnsi"/>
          <w:sz w:val="22"/>
          <w:szCs w:val="22"/>
        </w:rPr>
        <w:t>P</w:t>
      </w:r>
      <w:r w:rsidR="00B30DCB" w:rsidRPr="0072678C">
        <w:rPr>
          <w:rFonts w:asciiTheme="minorHAnsi" w:hAnsiTheme="minorHAnsi" w:cstheme="minorHAnsi"/>
          <w:sz w:val="22"/>
          <w:szCs w:val="22"/>
        </w:rPr>
        <w:t>roduz e divulga conhecimento de Inteligência, visando prevenir, detectar, obstruir e neutralizar ações adversas que ameacem a salvaguarda dos dados, conhecimentos, áreas e instalações, pessoas e meios de interesse da Inteligência Fiscal, ou seja, de Contra inteligência.</w:t>
      </w:r>
      <w:r w:rsidR="00E770FF" w:rsidRPr="0072678C">
        <w:rPr>
          <w:rFonts w:asciiTheme="minorHAnsi" w:hAnsiTheme="minorHAnsi" w:cstheme="minorHAnsi"/>
          <w:sz w:val="22"/>
          <w:szCs w:val="22"/>
        </w:rPr>
        <w:t xml:space="preserve"> E d</w:t>
      </w:r>
      <w:r w:rsidR="00B30DCB" w:rsidRPr="0072678C">
        <w:rPr>
          <w:rFonts w:asciiTheme="minorHAnsi" w:hAnsiTheme="minorHAnsi" w:cstheme="minorHAnsi"/>
          <w:sz w:val="22"/>
          <w:szCs w:val="22"/>
        </w:rPr>
        <w:t>entre as medidas de Contra Inteligência adotadas pela Assistência está o uso de armário-cofre para proteção de materiais e documentos sensíveis, cuja abertura ocorre pela validação biométrica (impressão digital) dos Agentes de Inteligência.</w:t>
      </w:r>
      <w:r w:rsidR="00E770FF" w:rsidRPr="0072678C">
        <w:rPr>
          <w:rFonts w:asciiTheme="minorHAnsi" w:hAnsiTheme="minorHAnsi" w:cstheme="minorHAnsi"/>
          <w:sz w:val="22"/>
          <w:szCs w:val="22"/>
        </w:rPr>
        <w:t xml:space="preserve"> </w:t>
      </w:r>
    </w:p>
    <w:p w:rsidR="00AD54FB" w:rsidRPr="0072678C" w:rsidRDefault="00AD54FB" w:rsidP="00E87428">
      <w:pPr>
        <w:tabs>
          <w:tab w:val="left" w:pos="3124"/>
        </w:tabs>
        <w:jc w:val="both"/>
        <w:rPr>
          <w:rFonts w:asciiTheme="minorHAnsi" w:hAnsiTheme="minorHAnsi" w:cstheme="minorHAnsi"/>
          <w:sz w:val="22"/>
          <w:szCs w:val="22"/>
        </w:rPr>
      </w:pPr>
    </w:p>
    <w:p w:rsidR="007212B1" w:rsidRPr="0072678C" w:rsidRDefault="00AD54FB" w:rsidP="00E87428">
      <w:pPr>
        <w:tabs>
          <w:tab w:val="left" w:pos="3124"/>
        </w:tabs>
        <w:jc w:val="both"/>
        <w:rPr>
          <w:rFonts w:asciiTheme="minorHAnsi" w:hAnsiTheme="minorHAnsi" w:cstheme="minorHAnsi"/>
          <w:sz w:val="22"/>
          <w:szCs w:val="22"/>
        </w:rPr>
      </w:pPr>
      <w:r w:rsidRPr="0072678C">
        <w:rPr>
          <w:rFonts w:asciiTheme="minorHAnsi" w:hAnsiTheme="minorHAnsi" w:cstheme="minorHAnsi"/>
          <w:sz w:val="22"/>
          <w:szCs w:val="22"/>
        </w:rPr>
        <w:t xml:space="preserve">Ainda, </w:t>
      </w:r>
      <w:r w:rsidR="007212B1" w:rsidRPr="0072678C">
        <w:rPr>
          <w:rFonts w:asciiTheme="minorHAnsi" w:hAnsiTheme="minorHAnsi" w:cstheme="minorHAnsi"/>
          <w:sz w:val="22"/>
          <w:szCs w:val="22"/>
        </w:rPr>
        <w:t>d</w:t>
      </w:r>
      <w:r w:rsidR="00B30DCB" w:rsidRPr="0072678C">
        <w:rPr>
          <w:rFonts w:asciiTheme="minorHAnsi" w:hAnsiTheme="minorHAnsi" w:cstheme="minorHAnsi"/>
          <w:sz w:val="22"/>
          <w:szCs w:val="22"/>
        </w:rPr>
        <w:t>efine plano de auditoria para investigação de fraudes baseado em critérios de riscos e prioriza ações considerando a maturidade do caso</w:t>
      </w:r>
      <w:r w:rsidR="00E770FF" w:rsidRPr="0072678C">
        <w:rPr>
          <w:rStyle w:val="FootnoteReference"/>
          <w:rFonts w:asciiTheme="minorHAnsi" w:hAnsiTheme="minorHAnsi" w:cstheme="minorHAnsi"/>
          <w:sz w:val="22"/>
          <w:szCs w:val="22"/>
        </w:rPr>
        <w:footnoteReference w:id="130"/>
      </w:r>
      <w:r w:rsidR="00E770FF" w:rsidRPr="0072678C">
        <w:rPr>
          <w:rFonts w:asciiTheme="minorHAnsi" w:hAnsiTheme="minorHAnsi" w:cstheme="minorHAnsi"/>
          <w:sz w:val="22"/>
          <w:szCs w:val="22"/>
        </w:rPr>
        <w:t xml:space="preserve">; </w:t>
      </w:r>
      <w:r w:rsidR="00CB11F5" w:rsidRPr="0072678C">
        <w:rPr>
          <w:rFonts w:asciiTheme="minorHAnsi" w:hAnsiTheme="minorHAnsi" w:cstheme="minorHAnsi"/>
          <w:sz w:val="22"/>
          <w:szCs w:val="22"/>
        </w:rPr>
        <w:t>u</w:t>
      </w:r>
      <w:r w:rsidR="00B30DCB" w:rsidRPr="0072678C">
        <w:rPr>
          <w:rFonts w:asciiTheme="minorHAnsi" w:hAnsiTheme="minorHAnsi" w:cstheme="minorHAnsi"/>
          <w:sz w:val="22"/>
          <w:szCs w:val="22"/>
        </w:rPr>
        <w:t>tiliza acordos formais de integração, garantindo atuação conjunta com outros órgãos de combate à fraude e à sonegação</w:t>
      </w:r>
      <w:r w:rsidR="00CB11F5" w:rsidRPr="0072678C">
        <w:rPr>
          <w:rFonts w:asciiTheme="minorHAnsi" w:hAnsiTheme="minorHAnsi" w:cstheme="minorHAnsi"/>
          <w:sz w:val="22"/>
          <w:szCs w:val="22"/>
        </w:rPr>
        <w:t xml:space="preserve"> conforme </w:t>
      </w:r>
      <w:r w:rsidR="00B30DCB" w:rsidRPr="0072678C">
        <w:rPr>
          <w:rFonts w:asciiTheme="minorHAnsi" w:hAnsiTheme="minorHAnsi" w:cstheme="minorHAnsi"/>
          <w:sz w:val="22"/>
          <w:szCs w:val="22"/>
        </w:rPr>
        <w:t>Protocolo</w:t>
      </w:r>
      <w:r w:rsidR="00CB11F5" w:rsidRPr="0072678C">
        <w:rPr>
          <w:rStyle w:val="FootnoteReference"/>
          <w:rFonts w:asciiTheme="minorHAnsi" w:hAnsiTheme="minorHAnsi" w:cstheme="minorHAnsi"/>
          <w:sz w:val="22"/>
          <w:szCs w:val="22"/>
        </w:rPr>
        <w:footnoteReference w:id="131"/>
      </w:r>
      <w:r w:rsidR="00B30DCB" w:rsidRPr="0072678C">
        <w:rPr>
          <w:rFonts w:asciiTheme="minorHAnsi" w:hAnsiTheme="minorHAnsi" w:cstheme="minorHAnsi"/>
          <w:sz w:val="22"/>
          <w:szCs w:val="22"/>
        </w:rPr>
        <w:t xml:space="preserve"> ICMS</w:t>
      </w:r>
      <w:r w:rsidR="00B30DCB" w:rsidRPr="0072678C">
        <w:rPr>
          <w:rFonts w:asciiTheme="minorHAnsi" w:hAnsiTheme="minorHAnsi" w:cstheme="minorHAnsi"/>
          <w:sz w:val="22"/>
          <w:szCs w:val="22"/>
          <w:vertAlign w:val="superscript"/>
        </w:rPr>
        <w:t>66</w:t>
      </w:r>
      <w:r w:rsidR="00B30DCB" w:rsidRPr="0072678C">
        <w:rPr>
          <w:rFonts w:asciiTheme="minorHAnsi" w:hAnsiTheme="minorHAnsi" w:cstheme="minorHAnsi"/>
          <w:sz w:val="22"/>
          <w:szCs w:val="22"/>
        </w:rPr>
        <w:t>, de 3 de Julho de 2009</w:t>
      </w:r>
      <w:r w:rsidR="00CB11F5" w:rsidRPr="0072678C">
        <w:rPr>
          <w:rFonts w:asciiTheme="minorHAnsi" w:hAnsiTheme="minorHAnsi" w:cstheme="minorHAnsi"/>
          <w:sz w:val="22"/>
          <w:szCs w:val="22"/>
        </w:rPr>
        <w:t>; a</w:t>
      </w:r>
      <w:r w:rsidR="00B30DCB" w:rsidRPr="0072678C">
        <w:rPr>
          <w:rFonts w:asciiTheme="minorHAnsi" w:hAnsiTheme="minorHAnsi" w:cstheme="minorHAnsi"/>
          <w:sz w:val="22"/>
          <w:szCs w:val="22"/>
        </w:rPr>
        <w:t>plica metodologias e ferramentas de investigação especializadas, permitindo inclusive análise de vínculos</w:t>
      </w:r>
      <w:r w:rsidR="00CB11F5" w:rsidRPr="0072678C">
        <w:rPr>
          <w:rFonts w:asciiTheme="minorHAnsi" w:hAnsiTheme="minorHAnsi" w:cstheme="minorHAnsi"/>
          <w:sz w:val="22"/>
          <w:szCs w:val="22"/>
        </w:rPr>
        <w:t>; s</w:t>
      </w:r>
      <w:r w:rsidR="00B30DCB" w:rsidRPr="0072678C">
        <w:rPr>
          <w:rFonts w:asciiTheme="minorHAnsi" w:hAnsiTheme="minorHAnsi" w:cstheme="minorHAnsi"/>
          <w:sz w:val="22"/>
          <w:szCs w:val="22"/>
        </w:rPr>
        <w:t>eleciona e qualifica servidores especializados para atuar na análise de fraudes estruturadas</w:t>
      </w:r>
      <w:r w:rsidR="00CB11F5"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Realiza </w:t>
      </w:r>
      <w:r w:rsidR="00B30DCB" w:rsidRPr="0072678C">
        <w:rPr>
          <w:rFonts w:asciiTheme="minorHAnsi" w:hAnsiTheme="minorHAnsi" w:cstheme="minorHAnsi"/>
          <w:sz w:val="22"/>
          <w:szCs w:val="22"/>
        </w:rPr>
        <w:t xml:space="preserve">minucioso processo seletivo para </w:t>
      </w:r>
      <w:r w:rsidR="00CB11F5" w:rsidRPr="0072678C">
        <w:rPr>
          <w:rFonts w:asciiTheme="minorHAnsi" w:hAnsiTheme="minorHAnsi" w:cstheme="minorHAnsi"/>
          <w:sz w:val="22"/>
          <w:szCs w:val="22"/>
        </w:rPr>
        <w:t>preenchimento</w:t>
      </w:r>
      <w:r w:rsidR="00B30DCB" w:rsidRPr="0072678C">
        <w:rPr>
          <w:rFonts w:asciiTheme="minorHAnsi" w:hAnsiTheme="minorHAnsi" w:cstheme="minorHAnsi"/>
          <w:sz w:val="22"/>
          <w:szCs w:val="22"/>
        </w:rPr>
        <w:t xml:space="preserve"> das vagas abertas</w:t>
      </w:r>
      <w:r w:rsidR="007212B1" w:rsidRPr="0072678C">
        <w:rPr>
          <w:rFonts w:asciiTheme="minorHAnsi" w:hAnsiTheme="minorHAnsi" w:cstheme="minorHAnsi"/>
          <w:sz w:val="22"/>
          <w:szCs w:val="22"/>
        </w:rPr>
        <w:t>, e ainda, d</w:t>
      </w:r>
      <w:r w:rsidR="00B30DCB" w:rsidRPr="0072678C">
        <w:rPr>
          <w:rFonts w:asciiTheme="minorHAnsi" w:hAnsiTheme="minorHAnsi" w:cstheme="minorHAnsi"/>
          <w:sz w:val="22"/>
          <w:szCs w:val="22"/>
        </w:rPr>
        <w:t>ispõe de infraestrutura de tecnologia especializada que permite analis</w:t>
      </w:r>
      <w:r w:rsidR="00CB11F5" w:rsidRPr="0072678C">
        <w:rPr>
          <w:rFonts w:asciiTheme="minorHAnsi" w:hAnsiTheme="minorHAnsi" w:cstheme="minorHAnsi"/>
          <w:sz w:val="22"/>
          <w:szCs w:val="22"/>
        </w:rPr>
        <w:t>ar grande volume de informações</w:t>
      </w:r>
      <w:r w:rsidR="007212B1" w:rsidRPr="0072678C">
        <w:rPr>
          <w:rStyle w:val="FootnoteReference"/>
          <w:rFonts w:asciiTheme="minorHAnsi" w:hAnsiTheme="minorHAnsi" w:cstheme="minorHAnsi"/>
          <w:sz w:val="22"/>
          <w:szCs w:val="22"/>
        </w:rPr>
        <w:footnoteReference w:id="132"/>
      </w:r>
      <w:r w:rsidR="00CB11F5" w:rsidRPr="0072678C">
        <w:rPr>
          <w:rFonts w:asciiTheme="minorHAnsi" w:hAnsiTheme="minorHAnsi" w:cstheme="minorHAnsi"/>
          <w:sz w:val="22"/>
          <w:szCs w:val="22"/>
        </w:rPr>
        <w:t xml:space="preserve">. </w:t>
      </w:r>
    </w:p>
    <w:p w:rsidR="00572589" w:rsidRPr="0072678C" w:rsidRDefault="00572589" w:rsidP="002B1D10">
      <w:pPr>
        <w:tabs>
          <w:tab w:val="left" w:pos="3124"/>
        </w:tabs>
        <w:jc w:val="both"/>
        <w:rPr>
          <w:rFonts w:asciiTheme="minorHAnsi" w:hAnsiTheme="minorHAnsi" w:cstheme="minorHAnsi"/>
          <w:sz w:val="22"/>
          <w:szCs w:val="22"/>
        </w:rPr>
      </w:pPr>
    </w:p>
    <w:p w:rsidR="002B1D10" w:rsidRPr="0072678C" w:rsidRDefault="00471AB5" w:rsidP="002B1D10">
      <w:pPr>
        <w:tabs>
          <w:tab w:val="left" w:pos="3124"/>
        </w:tabs>
        <w:jc w:val="both"/>
        <w:rPr>
          <w:rFonts w:asciiTheme="minorHAnsi" w:hAnsiTheme="minorHAnsi" w:cstheme="minorHAnsi"/>
          <w:sz w:val="22"/>
          <w:szCs w:val="22"/>
        </w:rPr>
      </w:pPr>
      <w:r w:rsidRPr="0072678C">
        <w:rPr>
          <w:rFonts w:asciiTheme="minorHAnsi" w:hAnsiTheme="minorHAnsi" w:cstheme="minorHAnsi"/>
          <w:sz w:val="22"/>
          <w:szCs w:val="22"/>
        </w:rPr>
        <w:t>Os procedimentos de</w:t>
      </w:r>
      <w:r w:rsidRPr="0072678C">
        <w:rPr>
          <w:rFonts w:asciiTheme="minorHAnsi" w:hAnsiTheme="minorHAnsi" w:cstheme="minorHAnsi"/>
          <w:b/>
          <w:bCs/>
          <w:i/>
          <w:iCs/>
          <w:sz w:val="22"/>
          <w:szCs w:val="22"/>
        </w:rPr>
        <w:t xml:space="preserve"> controle do trânsito de mercadorias</w:t>
      </w:r>
      <w:r w:rsidRPr="0072678C">
        <w:rPr>
          <w:rFonts w:asciiTheme="minorHAnsi" w:hAnsiTheme="minorHAnsi" w:cstheme="minorHAnsi"/>
          <w:b/>
          <w:bCs/>
          <w:sz w:val="22"/>
          <w:szCs w:val="22"/>
        </w:rPr>
        <w:t xml:space="preserve"> </w:t>
      </w:r>
      <w:r w:rsidR="007A053B" w:rsidRPr="0072678C">
        <w:rPr>
          <w:rFonts w:asciiTheme="minorHAnsi" w:hAnsiTheme="minorHAnsi" w:cstheme="minorHAnsi"/>
          <w:sz w:val="22"/>
          <w:szCs w:val="22"/>
        </w:rPr>
        <w:t xml:space="preserve">com nível 1 de maturidade atende a 4 dentre 13 </w:t>
      </w:r>
      <w:r w:rsidR="009B231A">
        <w:rPr>
          <w:rFonts w:asciiTheme="minorHAnsi" w:hAnsiTheme="minorHAnsi" w:cstheme="minorHAnsi"/>
          <w:sz w:val="22"/>
          <w:szCs w:val="22"/>
        </w:rPr>
        <w:t>requisitos</w:t>
      </w:r>
      <w:r w:rsidR="007A053B" w:rsidRPr="0072678C">
        <w:rPr>
          <w:rFonts w:asciiTheme="minorHAnsi" w:hAnsiTheme="minorHAnsi" w:cstheme="minorHAnsi"/>
          <w:sz w:val="22"/>
          <w:szCs w:val="22"/>
        </w:rPr>
        <w:t xml:space="preserve"> de boas práticas da MD-GEFIS, ou seja, utiliza</w:t>
      </w:r>
      <w:r w:rsidR="007A053B" w:rsidRPr="0072678C">
        <w:rPr>
          <w:rFonts w:asciiTheme="minorHAnsi" w:hAnsiTheme="minorHAnsi" w:cstheme="minorHAnsi"/>
          <w:b/>
          <w:bCs/>
          <w:sz w:val="22"/>
          <w:szCs w:val="22"/>
        </w:rPr>
        <w:t xml:space="preserve"> </w:t>
      </w:r>
      <w:r w:rsidRPr="0072678C">
        <w:rPr>
          <w:rFonts w:asciiTheme="minorHAnsi" w:hAnsiTheme="minorHAnsi" w:cstheme="minorHAnsi"/>
          <w:sz w:val="22"/>
          <w:szCs w:val="22"/>
        </w:rPr>
        <w:t>solução tecnológica para lidar com um grande volume de dados não-estruturados</w:t>
      </w:r>
      <w:r w:rsidR="007A053B" w:rsidRPr="0072678C">
        <w:rPr>
          <w:rFonts w:asciiTheme="minorHAnsi" w:hAnsiTheme="minorHAnsi" w:cstheme="minorHAnsi"/>
          <w:sz w:val="22"/>
          <w:szCs w:val="22"/>
        </w:rPr>
        <w:t xml:space="preserve"> (n</w:t>
      </w:r>
      <w:r w:rsidRPr="0072678C">
        <w:rPr>
          <w:rFonts w:asciiTheme="minorHAnsi" w:hAnsiTheme="minorHAnsi" w:cstheme="minorHAnsi"/>
          <w:sz w:val="22"/>
          <w:szCs w:val="22"/>
        </w:rPr>
        <w:t xml:space="preserve">o sistema DW-BO foi criado o universo </w:t>
      </w:r>
      <w:r w:rsidR="007A053B" w:rsidRPr="0072678C">
        <w:rPr>
          <w:rFonts w:asciiTheme="minorHAnsi" w:hAnsiTheme="minorHAnsi" w:cstheme="minorHAnsi"/>
          <w:sz w:val="22"/>
          <w:szCs w:val="22"/>
        </w:rPr>
        <w:t>de r</w:t>
      </w:r>
      <w:r w:rsidRPr="0072678C">
        <w:rPr>
          <w:rFonts w:asciiTheme="minorHAnsi" w:hAnsiTheme="minorHAnsi" w:cstheme="minorHAnsi"/>
          <w:sz w:val="22"/>
          <w:szCs w:val="22"/>
        </w:rPr>
        <w:t>astreamento para permitir a análise de grande volum</w:t>
      </w:r>
      <w:r w:rsidR="007A053B" w:rsidRPr="0072678C">
        <w:rPr>
          <w:rFonts w:asciiTheme="minorHAnsi" w:hAnsiTheme="minorHAnsi" w:cstheme="minorHAnsi"/>
          <w:sz w:val="22"/>
          <w:szCs w:val="22"/>
        </w:rPr>
        <w:t xml:space="preserve">e de dados com diversas origens); adota </w:t>
      </w:r>
      <w:r w:rsidRPr="0072678C">
        <w:rPr>
          <w:rFonts w:asciiTheme="minorHAnsi" w:hAnsiTheme="minorHAnsi" w:cstheme="minorHAnsi"/>
          <w:sz w:val="22"/>
          <w:szCs w:val="22"/>
        </w:rPr>
        <w:t>parcerias com entidades e órgãos estaduais de controle de trânsito e transporte</w:t>
      </w:r>
      <w:r w:rsidR="007A053B" w:rsidRPr="0072678C">
        <w:rPr>
          <w:rFonts w:asciiTheme="minorHAnsi" w:hAnsiTheme="minorHAnsi" w:cstheme="minorHAnsi"/>
          <w:sz w:val="22"/>
          <w:szCs w:val="22"/>
        </w:rPr>
        <w:t xml:space="preserve"> para obter informações; define e adota </w:t>
      </w:r>
      <w:r w:rsidRPr="0072678C">
        <w:rPr>
          <w:rFonts w:asciiTheme="minorHAnsi" w:hAnsiTheme="minorHAnsi" w:cstheme="minorHAnsi"/>
          <w:sz w:val="22"/>
          <w:szCs w:val="22"/>
        </w:rPr>
        <w:t>critérios de seletividades para os procedimentos padrões de controle</w:t>
      </w:r>
      <w:r w:rsidR="007A053B" w:rsidRPr="0072678C">
        <w:rPr>
          <w:rFonts w:asciiTheme="minorHAnsi" w:hAnsiTheme="minorHAnsi" w:cstheme="minorHAnsi"/>
          <w:sz w:val="22"/>
          <w:szCs w:val="22"/>
        </w:rPr>
        <w:t xml:space="preserve"> (p</w:t>
      </w:r>
      <w:r w:rsidRPr="0072678C">
        <w:rPr>
          <w:rFonts w:asciiTheme="minorHAnsi" w:hAnsiTheme="minorHAnsi" w:cstheme="minorHAnsi"/>
          <w:sz w:val="22"/>
          <w:szCs w:val="22"/>
        </w:rPr>
        <w:t>eriodicamente contribuintes são selecionados para serem fiscalizados caso sejam detectados comportamentos fora do padrão de acordo com critérios de seleção pré-estabelecidos.</w:t>
      </w:r>
      <w:r w:rsidR="007A053B" w:rsidRPr="0072678C">
        <w:rPr>
          <w:rFonts w:asciiTheme="minorHAnsi" w:hAnsiTheme="minorHAnsi" w:cstheme="minorHAnsi"/>
          <w:sz w:val="22"/>
          <w:szCs w:val="22"/>
        </w:rPr>
        <w:t xml:space="preserve"> </w:t>
      </w:r>
      <w:r w:rsidRPr="0072678C">
        <w:rPr>
          <w:rFonts w:asciiTheme="minorHAnsi" w:hAnsiTheme="minorHAnsi" w:cstheme="minorHAnsi"/>
          <w:sz w:val="22"/>
          <w:szCs w:val="22"/>
        </w:rPr>
        <w:t>A seleção dos contribuintes ocorre segundo critérios definidos em Planos de Trabalho anuais.</w:t>
      </w:r>
      <w:r w:rsidR="007A053B" w:rsidRPr="0072678C">
        <w:rPr>
          <w:rFonts w:asciiTheme="minorHAnsi" w:hAnsiTheme="minorHAnsi" w:cstheme="minorHAnsi"/>
          <w:sz w:val="22"/>
          <w:szCs w:val="22"/>
        </w:rPr>
        <w:t>);</w:t>
      </w:r>
      <w:r w:rsidR="002B1D10" w:rsidRPr="0072678C">
        <w:rPr>
          <w:rFonts w:asciiTheme="minorHAnsi" w:hAnsiTheme="minorHAnsi" w:cstheme="minorHAnsi"/>
          <w:sz w:val="22"/>
          <w:szCs w:val="22"/>
        </w:rPr>
        <w:t xml:space="preserve"> e </w:t>
      </w:r>
      <w:r w:rsidR="007A053B" w:rsidRPr="0072678C">
        <w:rPr>
          <w:rFonts w:asciiTheme="minorHAnsi" w:hAnsiTheme="minorHAnsi" w:cstheme="minorHAnsi"/>
          <w:sz w:val="22"/>
          <w:szCs w:val="22"/>
        </w:rPr>
        <w:t xml:space="preserve">solicita </w:t>
      </w:r>
      <w:r w:rsidRPr="0072678C">
        <w:rPr>
          <w:rFonts w:asciiTheme="minorHAnsi" w:hAnsiTheme="minorHAnsi" w:cstheme="minorHAnsi"/>
          <w:sz w:val="22"/>
          <w:szCs w:val="22"/>
        </w:rPr>
        <w:t>diligência fiscal quando identifica necessidade de verificação física de indícios de irregularidades, fora da área do trânsito</w:t>
      </w:r>
      <w:r w:rsidR="002B1D10" w:rsidRPr="0072678C">
        <w:rPr>
          <w:rFonts w:asciiTheme="minorHAnsi" w:hAnsiTheme="minorHAnsi" w:cstheme="minorHAnsi"/>
          <w:sz w:val="22"/>
          <w:szCs w:val="22"/>
        </w:rPr>
        <w:t>.</w:t>
      </w:r>
    </w:p>
    <w:p w:rsidR="00471AB5" w:rsidRPr="0072678C" w:rsidRDefault="00471AB5"/>
    <w:p w:rsidR="00FA2CB3" w:rsidRPr="0072678C" w:rsidRDefault="0058526B" w:rsidP="00FA2CB3">
      <w:pPr>
        <w:tabs>
          <w:tab w:val="left" w:pos="418"/>
          <w:tab w:val="left" w:pos="3472"/>
        </w:tabs>
        <w:ind w:left="70"/>
        <w:jc w:val="both"/>
        <w:rPr>
          <w:rFonts w:asciiTheme="minorHAnsi" w:hAnsiTheme="minorHAnsi" w:cstheme="minorHAnsi"/>
          <w:sz w:val="22"/>
          <w:szCs w:val="22"/>
        </w:rPr>
      </w:pPr>
      <w:r w:rsidRPr="0072678C">
        <w:rPr>
          <w:rFonts w:asciiTheme="minorHAnsi" w:hAnsiTheme="minorHAnsi" w:cstheme="minorHAnsi"/>
          <w:sz w:val="22"/>
          <w:szCs w:val="22"/>
        </w:rPr>
        <w:t xml:space="preserve">As </w:t>
      </w:r>
      <w:r w:rsidRPr="0072678C">
        <w:rPr>
          <w:rFonts w:asciiTheme="minorHAnsi" w:hAnsiTheme="minorHAnsi" w:cstheme="minorHAnsi"/>
          <w:b/>
          <w:bCs/>
          <w:i/>
          <w:iCs/>
          <w:sz w:val="22"/>
          <w:szCs w:val="22"/>
        </w:rPr>
        <w:t>funcionalidades da ferramenta de controle do trânsito de mercadorias</w:t>
      </w:r>
      <w:r w:rsidRPr="0072678C">
        <w:rPr>
          <w:rFonts w:asciiTheme="minorHAnsi" w:hAnsiTheme="minorHAnsi" w:cstheme="minorHAnsi"/>
          <w:sz w:val="22"/>
          <w:szCs w:val="22"/>
        </w:rPr>
        <w:t xml:space="preserve"> atendem</w:t>
      </w:r>
      <w:r w:rsidR="002B1D10" w:rsidRPr="0072678C">
        <w:rPr>
          <w:rFonts w:asciiTheme="minorHAnsi" w:hAnsiTheme="minorHAnsi" w:cstheme="minorHAnsi"/>
          <w:sz w:val="22"/>
          <w:szCs w:val="22"/>
        </w:rPr>
        <w:t xml:space="preserve"> a 3 dentre 8 requi</w:t>
      </w:r>
      <w:r w:rsidR="00247150" w:rsidRPr="0072678C">
        <w:rPr>
          <w:rFonts w:asciiTheme="minorHAnsi" w:hAnsiTheme="minorHAnsi" w:cstheme="minorHAnsi"/>
          <w:sz w:val="22"/>
          <w:szCs w:val="22"/>
        </w:rPr>
        <w:t>si</w:t>
      </w:r>
      <w:r w:rsidR="002B1D10" w:rsidRPr="0072678C">
        <w:rPr>
          <w:rFonts w:asciiTheme="minorHAnsi" w:hAnsiTheme="minorHAnsi" w:cstheme="minorHAnsi"/>
          <w:sz w:val="22"/>
          <w:szCs w:val="22"/>
        </w:rPr>
        <w:t>tos das boas práticas da MD-GEFIS e obteve nível 1 de maturidade, ou seja, mantêm cadastro de usuários e autenticação no sistema</w:t>
      </w:r>
      <w:r w:rsidR="00FA2CB3" w:rsidRPr="0072678C">
        <w:rPr>
          <w:rStyle w:val="FootnoteReference"/>
          <w:rFonts w:asciiTheme="minorHAnsi" w:hAnsiTheme="minorHAnsi" w:cstheme="minorHAnsi"/>
          <w:sz w:val="22"/>
          <w:szCs w:val="22"/>
        </w:rPr>
        <w:footnoteReference w:id="133"/>
      </w:r>
      <w:r w:rsidR="00FA2CB3" w:rsidRPr="0072678C">
        <w:rPr>
          <w:rFonts w:asciiTheme="minorHAnsi" w:hAnsiTheme="minorHAnsi" w:cstheme="minorHAnsi"/>
          <w:sz w:val="22"/>
          <w:szCs w:val="22"/>
        </w:rPr>
        <w:t xml:space="preserve">. </w:t>
      </w:r>
      <w:r w:rsidR="002B1D10" w:rsidRPr="0072678C">
        <w:rPr>
          <w:rFonts w:asciiTheme="minorHAnsi" w:hAnsiTheme="minorHAnsi" w:cstheme="minorHAnsi"/>
          <w:sz w:val="22"/>
          <w:szCs w:val="22"/>
        </w:rPr>
        <w:t xml:space="preserve">No Portal Web é possível manter o cadastro </w:t>
      </w:r>
      <w:r w:rsidR="002B1D10" w:rsidRPr="0072678C">
        <w:rPr>
          <w:rFonts w:asciiTheme="minorHAnsi" w:hAnsiTheme="minorHAnsi" w:cstheme="minorHAnsi"/>
          <w:sz w:val="22"/>
          <w:szCs w:val="22"/>
        </w:rPr>
        <w:lastRenderedPageBreak/>
        <w:t>dos usuários do sistema, bem como definir seu perfil de acesso. O acesso à aplicação, mobile ou web, se dá mediante autenticação do usuário</w:t>
      </w:r>
      <w:r w:rsidR="00247150" w:rsidRPr="0072678C">
        <w:rPr>
          <w:rFonts w:asciiTheme="minorHAnsi" w:hAnsiTheme="minorHAnsi" w:cstheme="minorHAnsi"/>
          <w:sz w:val="22"/>
          <w:szCs w:val="22"/>
        </w:rPr>
        <w:t xml:space="preserve"> com </w:t>
      </w:r>
      <w:r w:rsidR="002B1D10" w:rsidRPr="0072678C">
        <w:rPr>
          <w:rFonts w:asciiTheme="minorHAnsi" w:hAnsiTheme="minorHAnsi" w:cstheme="minorHAnsi"/>
          <w:sz w:val="22"/>
          <w:szCs w:val="22"/>
        </w:rPr>
        <w:t>certificado digital.</w:t>
      </w:r>
      <w:r w:rsidR="00FA2CB3" w:rsidRPr="0072678C">
        <w:rPr>
          <w:rFonts w:asciiTheme="minorHAnsi" w:hAnsiTheme="minorHAnsi" w:cstheme="minorHAnsi"/>
          <w:sz w:val="22"/>
          <w:szCs w:val="22"/>
        </w:rPr>
        <w:t xml:space="preserve"> </w:t>
      </w:r>
      <w:r w:rsidR="002B1D10" w:rsidRPr="0072678C">
        <w:rPr>
          <w:rFonts w:asciiTheme="minorHAnsi" w:hAnsiTheme="minorHAnsi" w:cstheme="minorHAnsi"/>
          <w:sz w:val="22"/>
          <w:szCs w:val="22"/>
        </w:rPr>
        <w:t>Os contribuintes obrigados à emissão do CT-e ou NF-e são automaticamente habilitados a emitir o MDF-e, o que só pode ser feito com autenticação por meio de certificado digital.</w:t>
      </w:r>
      <w:r w:rsidR="00FA2CB3" w:rsidRPr="0072678C">
        <w:rPr>
          <w:rFonts w:asciiTheme="minorHAnsi" w:hAnsiTheme="minorHAnsi" w:cstheme="minorHAnsi"/>
          <w:sz w:val="22"/>
          <w:szCs w:val="22"/>
        </w:rPr>
        <w:t xml:space="preserve"> A ferramenta de controle disponibiliza </w:t>
      </w:r>
      <w:r w:rsidR="002B1D10" w:rsidRPr="0072678C">
        <w:rPr>
          <w:rFonts w:asciiTheme="minorHAnsi" w:hAnsiTheme="minorHAnsi" w:cstheme="minorHAnsi"/>
          <w:sz w:val="22"/>
          <w:szCs w:val="22"/>
        </w:rPr>
        <w:t xml:space="preserve">para os agentes fiscalizadores as informações necessárias para verificação das possíveis irregularidades </w:t>
      </w:r>
      <w:r w:rsidR="00FA2CB3" w:rsidRPr="0072678C">
        <w:rPr>
          <w:rFonts w:asciiTheme="minorHAnsi" w:hAnsiTheme="minorHAnsi" w:cstheme="minorHAnsi"/>
          <w:sz w:val="22"/>
          <w:szCs w:val="22"/>
        </w:rPr>
        <w:t xml:space="preserve">por meio de </w:t>
      </w:r>
      <w:r w:rsidR="002B1D10" w:rsidRPr="0072678C">
        <w:rPr>
          <w:rFonts w:asciiTheme="minorHAnsi" w:hAnsiTheme="minorHAnsi" w:cstheme="minorHAnsi"/>
          <w:sz w:val="22"/>
          <w:szCs w:val="22"/>
        </w:rPr>
        <w:t>dispositivo móvel</w:t>
      </w:r>
      <w:r w:rsidR="00FA2CB3" w:rsidRPr="0072678C">
        <w:rPr>
          <w:rStyle w:val="FootnoteReference"/>
          <w:rFonts w:asciiTheme="minorHAnsi" w:hAnsiTheme="minorHAnsi" w:cstheme="minorHAnsi"/>
          <w:sz w:val="22"/>
          <w:szCs w:val="22"/>
        </w:rPr>
        <w:footnoteReference w:id="134"/>
      </w:r>
      <w:r w:rsidR="00FA2CB3" w:rsidRPr="0072678C">
        <w:rPr>
          <w:rFonts w:asciiTheme="minorHAnsi" w:hAnsiTheme="minorHAnsi" w:cstheme="minorHAnsi"/>
          <w:sz w:val="22"/>
          <w:szCs w:val="22"/>
        </w:rPr>
        <w:t xml:space="preserve">; e disponibiliza </w:t>
      </w:r>
      <w:r w:rsidR="002B1D10" w:rsidRPr="0072678C">
        <w:rPr>
          <w:rFonts w:asciiTheme="minorHAnsi" w:hAnsiTheme="minorHAnsi" w:cstheme="minorHAnsi"/>
          <w:sz w:val="22"/>
          <w:szCs w:val="22"/>
        </w:rPr>
        <w:t xml:space="preserve">informações de apoio à tomada de decisão </w:t>
      </w:r>
      <w:r w:rsidR="00FA2CB3" w:rsidRPr="0072678C">
        <w:rPr>
          <w:rFonts w:asciiTheme="minorHAnsi" w:hAnsiTheme="minorHAnsi" w:cstheme="minorHAnsi"/>
          <w:sz w:val="22"/>
          <w:szCs w:val="22"/>
        </w:rPr>
        <w:t xml:space="preserve">por meio de </w:t>
      </w:r>
      <w:r w:rsidR="002B1D10" w:rsidRPr="0072678C">
        <w:rPr>
          <w:rFonts w:asciiTheme="minorHAnsi" w:hAnsiTheme="minorHAnsi" w:cstheme="minorHAnsi"/>
          <w:sz w:val="22"/>
          <w:szCs w:val="22"/>
        </w:rPr>
        <w:t>uma interface gráfica disponível para o gestor de negócio (dashboard)</w:t>
      </w:r>
      <w:r w:rsidR="00FA2CB3" w:rsidRPr="0072678C">
        <w:rPr>
          <w:rFonts w:asciiTheme="minorHAnsi" w:hAnsiTheme="minorHAnsi" w:cstheme="minorHAnsi"/>
          <w:sz w:val="22"/>
          <w:szCs w:val="22"/>
        </w:rPr>
        <w:t>.</w:t>
      </w:r>
    </w:p>
    <w:p w:rsidR="002B1D10" w:rsidRPr="0072678C" w:rsidRDefault="002B1D10" w:rsidP="00902503">
      <w:pPr>
        <w:tabs>
          <w:tab w:val="left" w:pos="418"/>
          <w:tab w:val="left" w:pos="3472"/>
        </w:tabs>
        <w:ind w:left="70"/>
        <w:rPr>
          <w:rFonts w:asciiTheme="minorHAnsi" w:hAnsiTheme="minorHAnsi" w:cstheme="minorHAnsi"/>
          <w:sz w:val="22"/>
          <w:szCs w:val="22"/>
        </w:rPr>
      </w:pPr>
      <w:r w:rsidRPr="0072678C">
        <w:rPr>
          <w:rFonts w:asciiTheme="minorHAnsi" w:hAnsiTheme="minorHAnsi" w:cstheme="minorHAnsi"/>
          <w:sz w:val="22"/>
          <w:szCs w:val="22"/>
        </w:rPr>
        <w:tab/>
      </w:r>
      <w:r w:rsidRPr="0072678C">
        <w:rPr>
          <w:rFonts w:asciiTheme="minorHAnsi" w:hAnsiTheme="minorHAnsi" w:cstheme="minorHAnsi"/>
          <w:sz w:val="22"/>
          <w:szCs w:val="22"/>
        </w:rPr>
        <w:tab/>
      </w:r>
    </w:p>
    <w:p w:rsidR="008E6B41" w:rsidRPr="0072678C" w:rsidRDefault="008E6B41" w:rsidP="008E6B41">
      <w:pPr>
        <w:tabs>
          <w:tab w:val="left" w:pos="418"/>
          <w:tab w:val="left" w:pos="3472"/>
        </w:tabs>
        <w:ind w:left="70"/>
        <w:jc w:val="both"/>
        <w:rPr>
          <w:rFonts w:asciiTheme="minorHAnsi" w:hAnsiTheme="minorHAnsi" w:cstheme="minorHAnsi"/>
          <w:sz w:val="22"/>
          <w:szCs w:val="22"/>
        </w:rPr>
      </w:pPr>
      <w:r w:rsidRPr="0072678C">
        <w:rPr>
          <w:rFonts w:asciiTheme="minorHAnsi" w:hAnsiTheme="minorHAnsi" w:cstheme="minorHAnsi"/>
          <w:sz w:val="22"/>
          <w:szCs w:val="22"/>
        </w:rPr>
        <w:t>Os indicadores de Desempenho selecionados pela MD-GEFIS para esta Dimensão foram parcialmente disponibilizados.</w:t>
      </w:r>
    </w:p>
    <w:p w:rsidR="00762BE1" w:rsidRPr="0072678C" w:rsidRDefault="00762BE1" w:rsidP="00B44516">
      <w:pPr>
        <w:jc w:val="both"/>
        <w:rPr>
          <w:rFonts w:asciiTheme="minorHAnsi" w:hAnsiTheme="minorHAnsi" w:cstheme="minorHAnsi"/>
          <w:iCs/>
          <w:sz w:val="22"/>
          <w:szCs w:val="22"/>
        </w:rPr>
      </w:pPr>
    </w:p>
    <w:p w:rsidR="0009117C" w:rsidRPr="0072678C" w:rsidRDefault="0009117C" w:rsidP="00B44516">
      <w:pPr>
        <w:jc w:val="both"/>
        <w:rPr>
          <w:rFonts w:asciiTheme="minorHAnsi" w:hAnsiTheme="minorHAnsi" w:cstheme="minorHAnsi"/>
          <w:iCs/>
          <w:sz w:val="22"/>
          <w:szCs w:val="22"/>
        </w:rPr>
      </w:pPr>
    </w:p>
    <w:tbl>
      <w:tblPr>
        <w:tblW w:w="883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8"/>
        <w:gridCol w:w="1634"/>
        <w:gridCol w:w="1323"/>
        <w:gridCol w:w="2552"/>
      </w:tblGrid>
      <w:tr w:rsidR="008E6B41" w:rsidRPr="0072678C" w:rsidTr="003C0D08">
        <w:trPr>
          <w:trHeight w:val="405"/>
        </w:trPr>
        <w:tc>
          <w:tcPr>
            <w:tcW w:w="3328" w:type="dxa"/>
            <w:shd w:val="clear" w:color="auto" w:fill="FFD966" w:themeFill="accent4" w:themeFillTint="99"/>
            <w:tcMar>
              <w:top w:w="0" w:type="dxa"/>
              <w:left w:w="70" w:type="dxa"/>
              <w:bottom w:w="0" w:type="dxa"/>
              <w:right w:w="70" w:type="dxa"/>
            </w:tcMar>
            <w:vAlign w:val="center"/>
            <w:hideMark/>
          </w:tcPr>
          <w:p w:rsidR="008E6B41" w:rsidRPr="0072678C" w:rsidRDefault="008E6B41" w:rsidP="0009117C">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Indicadores de Desempenho</w:t>
            </w:r>
          </w:p>
        </w:tc>
        <w:tc>
          <w:tcPr>
            <w:tcW w:w="1634" w:type="dxa"/>
            <w:shd w:val="clear" w:color="auto" w:fill="FFD966" w:themeFill="accent4" w:themeFillTint="99"/>
            <w:tcMar>
              <w:top w:w="0" w:type="dxa"/>
              <w:left w:w="70" w:type="dxa"/>
              <w:bottom w:w="0" w:type="dxa"/>
              <w:right w:w="70" w:type="dxa"/>
            </w:tcMar>
            <w:vAlign w:val="center"/>
            <w:hideMark/>
          </w:tcPr>
          <w:p w:rsidR="008E6B41" w:rsidRPr="0072678C" w:rsidRDefault="008E6B41" w:rsidP="0009117C">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Apuração</w:t>
            </w:r>
          </w:p>
        </w:tc>
        <w:tc>
          <w:tcPr>
            <w:tcW w:w="1323" w:type="dxa"/>
            <w:shd w:val="clear" w:color="auto" w:fill="FFD966" w:themeFill="accent4" w:themeFillTint="99"/>
            <w:tcMar>
              <w:top w:w="0" w:type="dxa"/>
              <w:left w:w="70" w:type="dxa"/>
              <w:bottom w:w="0" w:type="dxa"/>
              <w:right w:w="70" w:type="dxa"/>
            </w:tcMar>
            <w:vAlign w:val="center"/>
            <w:hideMark/>
          </w:tcPr>
          <w:p w:rsidR="008E6B41" w:rsidRPr="0072678C" w:rsidRDefault="008E6B41" w:rsidP="0009117C">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Fontes</w:t>
            </w:r>
          </w:p>
        </w:tc>
        <w:tc>
          <w:tcPr>
            <w:tcW w:w="2552" w:type="dxa"/>
            <w:shd w:val="clear" w:color="auto" w:fill="FFD966" w:themeFill="accent4" w:themeFillTint="99"/>
            <w:noWrap/>
            <w:tcMar>
              <w:top w:w="0" w:type="dxa"/>
              <w:left w:w="70" w:type="dxa"/>
              <w:bottom w:w="0" w:type="dxa"/>
              <w:right w:w="70" w:type="dxa"/>
            </w:tcMar>
            <w:vAlign w:val="center"/>
            <w:hideMark/>
          </w:tcPr>
          <w:p w:rsidR="008E6B41" w:rsidRPr="0072678C" w:rsidRDefault="008E6B41" w:rsidP="0009117C">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Dificuldades de apuração</w:t>
            </w:r>
          </w:p>
        </w:tc>
      </w:tr>
      <w:tr w:rsidR="00F64C17" w:rsidRPr="0072678C" w:rsidTr="003C0D08">
        <w:trPr>
          <w:trHeight w:val="214"/>
        </w:trPr>
        <w:tc>
          <w:tcPr>
            <w:tcW w:w="8837" w:type="dxa"/>
            <w:gridSpan w:val="4"/>
            <w:shd w:val="clear" w:color="auto" w:fill="FFE599" w:themeFill="accent4" w:themeFillTint="66"/>
            <w:tcMar>
              <w:top w:w="0" w:type="dxa"/>
              <w:left w:w="70" w:type="dxa"/>
              <w:bottom w:w="0" w:type="dxa"/>
              <w:right w:w="70" w:type="dxa"/>
            </w:tcMar>
            <w:vAlign w:val="center"/>
            <w:hideMark/>
          </w:tcPr>
          <w:p w:rsidR="00F64C17" w:rsidRPr="0072678C" w:rsidRDefault="00F64C17" w:rsidP="00F64C17">
            <w:pPr>
              <w:rPr>
                <w:rFonts w:asciiTheme="minorHAnsi" w:eastAsiaTheme="minorHAnsi" w:hAnsiTheme="minorHAnsi" w:cstheme="minorHAnsi"/>
                <w:sz w:val="20"/>
                <w:szCs w:val="20"/>
              </w:rPr>
            </w:pPr>
            <w:r w:rsidRPr="0072678C">
              <w:rPr>
                <w:rFonts w:asciiTheme="minorHAnsi" w:hAnsiTheme="minorHAnsi" w:cstheme="minorHAnsi"/>
                <w:b/>
                <w:bCs/>
                <w:sz w:val="20"/>
                <w:szCs w:val="20"/>
              </w:rPr>
              <w:t>Cobertura da auditoria fiscal</w:t>
            </w:r>
          </w:p>
        </w:tc>
      </w:tr>
      <w:tr w:rsidR="008E6B41" w:rsidRPr="0072678C" w:rsidTr="003C0D08">
        <w:trPr>
          <w:trHeight w:val="720"/>
        </w:trPr>
        <w:tc>
          <w:tcPr>
            <w:tcW w:w="3328" w:type="dxa"/>
            <w:tcMar>
              <w:top w:w="0" w:type="dxa"/>
              <w:left w:w="70" w:type="dxa"/>
              <w:bottom w:w="0" w:type="dxa"/>
              <w:right w:w="70" w:type="dxa"/>
            </w:tcMar>
            <w:vAlign w:val="center"/>
            <w:hideMark/>
          </w:tcPr>
          <w:p w:rsidR="008E6B41" w:rsidRPr="0072678C" w:rsidRDefault="008E6B41" w:rsidP="008E6B41">
            <w:pPr>
              <w:rPr>
                <w:rFonts w:asciiTheme="minorHAnsi" w:eastAsiaTheme="minorHAnsi" w:hAnsiTheme="minorHAnsi" w:cstheme="minorHAnsi"/>
                <w:iCs/>
                <w:sz w:val="20"/>
                <w:szCs w:val="20"/>
              </w:rPr>
            </w:pPr>
            <w:r w:rsidRPr="0072678C">
              <w:rPr>
                <w:rFonts w:asciiTheme="minorHAnsi" w:hAnsiTheme="minorHAnsi" w:cstheme="minorHAnsi"/>
                <w:iCs/>
                <w:sz w:val="20"/>
                <w:szCs w:val="20"/>
              </w:rPr>
              <w:t>Grande porte: Quantidade de auditorias realizadas / Quantidade total de contribuintes ativos do cadastro</w:t>
            </w:r>
          </w:p>
        </w:tc>
        <w:tc>
          <w:tcPr>
            <w:tcW w:w="1634" w:type="dxa"/>
            <w:shd w:val="clear" w:color="auto" w:fill="FFFFFF"/>
            <w:tcMar>
              <w:top w:w="0" w:type="dxa"/>
              <w:left w:w="70" w:type="dxa"/>
              <w:bottom w:w="0" w:type="dxa"/>
              <w:right w:w="70" w:type="dxa"/>
            </w:tcMar>
            <w:vAlign w:val="center"/>
            <w:hideMark/>
          </w:tcPr>
          <w:p w:rsidR="008E6B41" w:rsidRPr="0072678C" w:rsidRDefault="008E6B41" w:rsidP="00F64C17">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3.645 auditorias iniciadas em 2017.</w:t>
            </w:r>
          </w:p>
        </w:tc>
        <w:tc>
          <w:tcPr>
            <w:tcW w:w="1323" w:type="dxa"/>
            <w:shd w:val="clear" w:color="auto" w:fill="auto"/>
            <w:tcMar>
              <w:top w:w="0" w:type="dxa"/>
              <w:left w:w="70" w:type="dxa"/>
              <w:bottom w:w="0" w:type="dxa"/>
              <w:right w:w="70" w:type="dxa"/>
            </w:tcMar>
            <w:vAlign w:val="center"/>
            <w:hideMark/>
          </w:tcPr>
          <w:p w:rsidR="008E6B41" w:rsidRPr="0072678C" w:rsidRDefault="008E6B41">
            <w:pPr>
              <w:rPr>
                <w:rFonts w:asciiTheme="minorHAnsi" w:eastAsiaTheme="minorHAnsi" w:hAnsiTheme="minorHAnsi" w:cstheme="minorHAnsi"/>
                <w:sz w:val="20"/>
                <w:szCs w:val="20"/>
              </w:rPr>
            </w:pPr>
            <w:r w:rsidRPr="0072678C">
              <w:rPr>
                <w:rFonts w:asciiTheme="minorHAnsi" w:hAnsiTheme="minorHAnsi" w:cstheme="minorHAnsi"/>
                <w:sz w:val="20"/>
                <w:szCs w:val="20"/>
              </w:rPr>
              <w:t> Sistema PGSF</w:t>
            </w:r>
          </w:p>
        </w:tc>
        <w:tc>
          <w:tcPr>
            <w:tcW w:w="2552" w:type="dxa"/>
            <w:vMerge w:val="restart"/>
            <w:tcMar>
              <w:top w:w="0" w:type="dxa"/>
              <w:left w:w="70" w:type="dxa"/>
              <w:bottom w:w="0" w:type="dxa"/>
              <w:right w:w="70" w:type="dxa"/>
            </w:tcMar>
            <w:vAlign w:val="center"/>
            <w:hideMark/>
          </w:tcPr>
          <w:p w:rsidR="008E6B41" w:rsidRPr="0072678C" w:rsidRDefault="008E6B41" w:rsidP="00F64C17">
            <w:pPr>
              <w:jc w:val="both"/>
              <w:rPr>
                <w:rFonts w:asciiTheme="minorHAnsi" w:eastAsiaTheme="minorHAnsi" w:hAnsiTheme="minorHAnsi" w:cstheme="minorHAnsi"/>
                <w:sz w:val="20"/>
                <w:szCs w:val="20"/>
              </w:rPr>
            </w:pPr>
            <w:r w:rsidRPr="0072678C">
              <w:rPr>
                <w:rFonts w:asciiTheme="minorHAnsi" w:hAnsiTheme="minorHAnsi" w:cstheme="minorHAnsi"/>
                <w:sz w:val="20"/>
                <w:szCs w:val="20"/>
              </w:rPr>
              <w:t xml:space="preserve">Não existe no Banco de Dados atual da SEFAZ/SP segregação entre os contribuintes de acordo com o porte. </w:t>
            </w:r>
          </w:p>
        </w:tc>
      </w:tr>
      <w:tr w:rsidR="008E6B41" w:rsidRPr="0072678C" w:rsidTr="003C0D08">
        <w:trPr>
          <w:trHeight w:val="720"/>
        </w:trPr>
        <w:tc>
          <w:tcPr>
            <w:tcW w:w="3328" w:type="dxa"/>
            <w:tcMar>
              <w:top w:w="0" w:type="dxa"/>
              <w:left w:w="70" w:type="dxa"/>
              <w:bottom w:w="0" w:type="dxa"/>
              <w:right w:w="70" w:type="dxa"/>
            </w:tcMar>
            <w:vAlign w:val="center"/>
            <w:hideMark/>
          </w:tcPr>
          <w:p w:rsidR="008E6B41" w:rsidRPr="0072678C" w:rsidRDefault="008E6B41" w:rsidP="008E6B41">
            <w:pPr>
              <w:rPr>
                <w:rFonts w:asciiTheme="minorHAnsi" w:eastAsiaTheme="minorHAnsi" w:hAnsiTheme="minorHAnsi" w:cstheme="minorHAnsi"/>
                <w:iCs/>
                <w:sz w:val="20"/>
                <w:szCs w:val="20"/>
              </w:rPr>
            </w:pPr>
            <w:r w:rsidRPr="0072678C">
              <w:rPr>
                <w:rFonts w:asciiTheme="minorHAnsi" w:hAnsiTheme="minorHAnsi" w:cstheme="minorHAnsi"/>
                <w:iCs/>
                <w:sz w:val="20"/>
                <w:szCs w:val="20"/>
              </w:rPr>
              <w:t>Médio porte:  Quantidade de auditorias realizadas / Quantidade total de contribuintes ativos do cadastro</w:t>
            </w:r>
          </w:p>
        </w:tc>
        <w:tc>
          <w:tcPr>
            <w:tcW w:w="1634" w:type="dxa"/>
            <w:shd w:val="clear" w:color="auto" w:fill="FFFFFF"/>
            <w:tcMar>
              <w:top w:w="0" w:type="dxa"/>
              <w:left w:w="70" w:type="dxa"/>
              <w:bottom w:w="0" w:type="dxa"/>
              <w:right w:w="70" w:type="dxa"/>
            </w:tcMar>
            <w:vAlign w:val="center"/>
            <w:hideMark/>
          </w:tcPr>
          <w:p w:rsidR="008E6B41" w:rsidRPr="0072678C" w:rsidRDefault="008E6B41" w:rsidP="00F64C17">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3.645 auditorias iniciadas em 2017</w:t>
            </w:r>
          </w:p>
        </w:tc>
        <w:tc>
          <w:tcPr>
            <w:tcW w:w="1323" w:type="dxa"/>
            <w:shd w:val="clear" w:color="auto" w:fill="auto"/>
            <w:tcMar>
              <w:top w:w="0" w:type="dxa"/>
              <w:left w:w="70" w:type="dxa"/>
              <w:bottom w:w="0" w:type="dxa"/>
              <w:right w:w="70" w:type="dxa"/>
            </w:tcMar>
            <w:vAlign w:val="center"/>
            <w:hideMark/>
          </w:tcPr>
          <w:p w:rsidR="008E6B41" w:rsidRPr="0072678C" w:rsidRDefault="008E6B41">
            <w:pPr>
              <w:rPr>
                <w:rFonts w:asciiTheme="minorHAnsi" w:eastAsiaTheme="minorHAnsi" w:hAnsiTheme="minorHAnsi" w:cstheme="minorHAnsi"/>
                <w:sz w:val="20"/>
                <w:szCs w:val="20"/>
              </w:rPr>
            </w:pPr>
            <w:r w:rsidRPr="0072678C">
              <w:rPr>
                <w:rFonts w:asciiTheme="minorHAnsi" w:hAnsiTheme="minorHAnsi" w:cstheme="minorHAnsi"/>
                <w:sz w:val="20"/>
                <w:szCs w:val="20"/>
              </w:rPr>
              <w:t> Sistema PGSF</w:t>
            </w:r>
          </w:p>
        </w:tc>
        <w:tc>
          <w:tcPr>
            <w:tcW w:w="2552" w:type="dxa"/>
            <w:vMerge/>
            <w:tcMar>
              <w:top w:w="0" w:type="dxa"/>
              <w:left w:w="70" w:type="dxa"/>
              <w:bottom w:w="0" w:type="dxa"/>
              <w:right w:w="70" w:type="dxa"/>
            </w:tcMar>
            <w:vAlign w:val="center"/>
            <w:hideMark/>
          </w:tcPr>
          <w:p w:rsidR="008E6B41" w:rsidRPr="0072678C" w:rsidRDefault="008E6B41">
            <w:pPr>
              <w:rPr>
                <w:rFonts w:asciiTheme="minorHAnsi" w:eastAsiaTheme="minorHAnsi" w:hAnsiTheme="minorHAnsi" w:cstheme="minorHAnsi"/>
                <w:sz w:val="20"/>
                <w:szCs w:val="20"/>
              </w:rPr>
            </w:pPr>
          </w:p>
        </w:tc>
      </w:tr>
      <w:tr w:rsidR="00F64C17" w:rsidRPr="0072678C" w:rsidTr="003C0D08">
        <w:trPr>
          <w:trHeight w:val="338"/>
        </w:trPr>
        <w:tc>
          <w:tcPr>
            <w:tcW w:w="8837" w:type="dxa"/>
            <w:gridSpan w:val="4"/>
            <w:shd w:val="clear" w:color="auto" w:fill="FFE599" w:themeFill="accent4" w:themeFillTint="66"/>
            <w:tcMar>
              <w:top w:w="0" w:type="dxa"/>
              <w:left w:w="70" w:type="dxa"/>
              <w:bottom w:w="0" w:type="dxa"/>
              <w:right w:w="70" w:type="dxa"/>
            </w:tcMar>
            <w:vAlign w:val="center"/>
            <w:hideMark/>
          </w:tcPr>
          <w:p w:rsidR="00F64C17" w:rsidRPr="0072678C" w:rsidRDefault="00F64C17" w:rsidP="00F64C17">
            <w:pPr>
              <w:rPr>
                <w:rFonts w:asciiTheme="minorHAnsi" w:eastAsiaTheme="minorHAnsi" w:hAnsiTheme="minorHAnsi" w:cstheme="minorHAnsi"/>
                <w:sz w:val="20"/>
                <w:szCs w:val="20"/>
              </w:rPr>
            </w:pPr>
            <w:r w:rsidRPr="0072678C">
              <w:rPr>
                <w:rFonts w:asciiTheme="minorHAnsi" w:hAnsiTheme="minorHAnsi" w:cstheme="minorHAnsi"/>
                <w:b/>
                <w:bCs/>
                <w:sz w:val="20"/>
                <w:szCs w:val="20"/>
              </w:rPr>
              <w:t>Cobertura da malha fiscal</w:t>
            </w:r>
          </w:p>
        </w:tc>
      </w:tr>
      <w:tr w:rsidR="008E6B41" w:rsidRPr="0072678C" w:rsidTr="003C0D08">
        <w:trPr>
          <w:trHeight w:val="1200"/>
        </w:trPr>
        <w:tc>
          <w:tcPr>
            <w:tcW w:w="3328" w:type="dxa"/>
            <w:tcMar>
              <w:top w:w="0" w:type="dxa"/>
              <w:left w:w="70" w:type="dxa"/>
              <w:bottom w:w="0" w:type="dxa"/>
              <w:right w:w="70" w:type="dxa"/>
            </w:tcMar>
            <w:vAlign w:val="center"/>
            <w:hideMark/>
          </w:tcPr>
          <w:p w:rsidR="008E6B41" w:rsidRPr="0072678C" w:rsidRDefault="008E6B41" w:rsidP="00E9389C">
            <w:pPr>
              <w:rPr>
                <w:rFonts w:asciiTheme="minorHAnsi" w:eastAsiaTheme="minorHAnsi" w:hAnsiTheme="minorHAnsi" w:cstheme="minorHAnsi"/>
                <w:iCs/>
                <w:sz w:val="20"/>
                <w:szCs w:val="20"/>
              </w:rPr>
            </w:pPr>
            <w:r w:rsidRPr="0072678C">
              <w:rPr>
                <w:rFonts w:asciiTheme="minorHAnsi" w:hAnsiTheme="minorHAnsi" w:cstheme="minorHAnsi"/>
                <w:iCs/>
                <w:sz w:val="20"/>
                <w:szCs w:val="20"/>
              </w:rPr>
              <w:t>Grande porte:</w:t>
            </w:r>
            <w:r w:rsidRPr="0072678C">
              <w:rPr>
                <w:rFonts w:asciiTheme="minorHAnsi" w:hAnsiTheme="minorHAnsi" w:cstheme="minorHAnsi"/>
                <w:b/>
                <w:bCs/>
                <w:iCs/>
                <w:sz w:val="20"/>
                <w:szCs w:val="20"/>
              </w:rPr>
              <w:t xml:space="preserve"> </w:t>
            </w:r>
            <w:r w:rsidRPr="0072678C">
              <w:rPr>
                <w:rFonts w:asciiTheme="minorHAnsi" w:hAnsiTheme="minorHAnsi" w:cstheme="minorHAnsi"/>
                <w:iCs/>
                <w:sz w:val="20"/>
                <w:szCs w:val="20"/>
              </w:rPr>
              <w:t>Quantidade de lançamentos da malha  /  Quantidade total de contribuintes ativos do cadastro</w:t>
            </w:r>
          </w:p>
        </w:tc>
        <w:tc>
          <w:tcPr>
            <w:tcW w:w="1634" w:type="dxa"/>
            <w:shd w:val="clear" w:color="auto" w:fill="FFFFFF"/>
            <w:tcMar>
              <w:top w:w="0" w:type="dxa"/>
              <w:left w:w="70" w:type="dxa"/>
              <w:bottom w:w="0" w:type="dxa"/>
              <w:right w:w="70" w:type="dxa"/>
            </w:tcMar>
            <w:vAlign w:val="center"/>
            <w:hideMark/>
          </w:tcPr>
          <w:p w:rsidR="008E6B41" w:rsidRPr="0072678C" w:rsidRDefault="008E6B41" w:rsidP="00F64C17">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505 trabalhos realizados a partir da malha fiscal</w:t>
            </w:r>
          </w:p>
        </w:tc>
        <w:tc>
          <w:tcPr>
            <w:tcW w:w="1323" w:type="dxa"/>
            <w:shd w:val="clear" w:color="auto" w:fill="auto"/>
            <w:tcMar>
              <w:top w:w="0" w:type="dxa"/>
              <w:left w:w="70" w:type="dxa"/>
              <w:bottom w:w="0" w:type="dxa"/>
              <w:right w:w="70" w:type="dxa"/>
            </w:tcMar>
            <w:vAlign w:val="center"/>
            <w:hideMark/>
          </w:tcPr>
          <w:p w:rsidR="008E6B41" w:rsidRPr="0072678C" w:rsidRDefault="008E6B41">
            <w:pPr>
              <w:rPr>
                <w:rFonts w:asciiTheme="minorHAnsi" w:eastAsiaTheme="minorHAnsi" w:hAnsiTheme="minorHAnsi" w:cstheme="minorHAnsi"/>
                <w:sz w:val="20"/>
                <w:szCs w:val="20"/>
              </w:rPr>
            </w:pPr>
            <w:r w:rsidRPr="0072678C">
              <w:rPr>
                <w:rFonts w:asciiTheme="minorHAnsi" w:hAnsiTheme="minorHAnsi" w:cstheme="minorHAnsi"/>
                <w:sz w:val="20"/>
                <w:szCs w:val="20"/>
              </w:rPr>
              <w:t>Sistema PGSF</w:t>
            </w:r>
          </w:p>
        </w:tc>
        <w:tc>
          <w:tcPr>
            <w:tcW w:w="2552" w:type="dxa"/>
            <w:tcMar>
              <w:top w:w="0" w:type="dxa"/>
              <w:left w:w="70" w:type="dxa"/>
              <w:bottom w:w="0" w:type="dxa"/>
              <w:right w:w="70" w:type="dxa"/>
            </w:tcMar>
            <w:vAlign w:val="center"/>
            <w:hideMark/>
          </w:tcPr>
          <w:p w:rsidR="008E6B41" w:rsidRPr="0072678C" w:rsidRDefault="00E9389C" w:rsidP="00F64C17">
            <w:pPr>
              <w:jc w:val="both"/>
              <w:rPr>
                <w:rFonts w:asciiTheme="minorHAnsi" w:hAnsiTheme="minorHAnsi" w:cstheme="minorHAnsi"/>
                <w:sz w:val="20"/>
                <w:szCs w:val="20"/>
              </w:rPr>
            </w:pPr>
            <w:r w:rsidRPr="0072678C">
              <w:rPr>
                <w:rFonts w:asciiTheme="minorHAnsi" w:hAnsiTheme="minorHAnsi" w:cstheme="minorHAnsi"/>
                <w:sz w:val="20"/>
                <w:szCs w:val="20"/>
              </w:rPr>
              <w:t>Não existe no Banco de Dados atual da SEFAZ/SP segregação entre os contribuintes de acordo com o porte</w:t>
            </w:r>
            <w:r w:rsidR="008E6B41" w:rsidRPr="0072678C">
              <w:rPr>
                <w:rFonts w:asciiTheme="minorHAnsi" w:hAnsiTheme="minorHAnsi" w:cstheme="minorHAnsi"/>
                <w:sz w:val="20"/>
                <w:szCs w:val="20"/>
              </w:rPr>
              <w:br/>
              <w:t>Os trabalhos de malha fiscal tiveram início em 04/2017</w:t>
            </w:r>
          </w:p>
        </w:tc>
      </w:tr>
      <w:tr w:rsidR="008E6B41" w:rsidRPr="0072678C" w:rsidTr="003C0D08">
        <w:trPr>
          <w:trHeight w:val="1200"/>
        </w:trPr>
        <w:tc>
          <w:tcPr>
            <w:tcW w:w="3328" w:type="dxa"/>
            <w:tcMar>
              <w:top w:w="0" w:type="dxa"/>
              <w:left w:w="70" w:type="dxa"/>
              <w:bottom w:w="0" w:type="dxa"/>
              <w:right w:w="70" w:type="dxa"/>
            </w:tcMar>
            <w:vAlign w:val="center"/>
            <w:hideMark/>
          </w:tcPr>
          <w:p w:rsidR="008E6B41" w:rsidRPr="0072678C" w:rsidRDefault="008E6B41" w:rsidP="00E9389C">
            <w:pPr>
              <w:rPr>
                <w:rFonts w:asciiTheme="minorHAnsi" w:eastAsiaTheme="minorHAnsi" w:hAnsiTheme="minorHAnsi" w:cstheme="minorHAnsi"/>
                <w:iCs/>
                <w:sz w:val="20"/>
                <w:szCs w:val="20"/>
              </w:rPr>
            </w:pPr>
            <w:r w:rsidRPr="0072678C">
              <w:rPr>
                <w:rFonts w:asciiTheme="minorHAnsi" w:hAnsiTheme="minorHAnsi" w:cstheme="minorHAnsi"/>
                <w:iCs/>
                <w:sz w:val="20"/>
                <w:szCs w:val="20"/>
              </w:rPr>
              <w:t>Médio porte:</w:t>
            </w:r>
            <w:r w:rsidRPr="0072678C">
              <w:rPr>
                <w:rFonts w:asciiTheme="minorHAnsi" w:hAnsiTheme="minorHAnsi" w:cstheme="minorHAnsi"/>
                <w:b/>
                <w:bCs/>
                <w:iCs/>
                <w:sz w:val="20"/>
                <w:szCs w:val="20"/>
              </w:rPr>
              <w:t xml:space="preserve"> </w:t>
            </w:r>
            <w:r w:rsidRPr="0072678C">
              <w:rPr>
                <w:rFonts w:asciiTheme="minorHAnsi" w:hAnsiTheme="minorHAnsi" w:cstheme="minorHAnsi"/>
                <w:iCs/>
                <w:sz w:val="20"/>
                <w:szCs w:val="20"/>
              </w:rPr>
              <w:t>Quantidade de lançamentos da malha  /  Quantidade total de contribuintes ativos do cadastro</w:t>
            </w:r>
          </w:p>
        </w:tc>
        <w:tc>
          <w:tcPr>
            <w:tcW w:w="1634" w:type="dxa"/>
            <w:shd w:val="clear" w:color="auto" w:fill="FFFFFF"/>
            <w:tcMar>
              <w:top w:w="0" w:type="dxa"/>
              <w:left w:w="70" w:type="dxa"/>
              <w:bottom w:w="0" w:type="dxa"/>
              <w:right w:w="70" w:type="dxa"/>
            </w:tcMar>
            <w:vAlign w:val="center"/>
            <w:hideMark/>
          </w:tcPr>
          <w:p w:rsidR="008E6B41" w:rsidRPr="0072678C" w:rsidRDefault="008E6B41" w:rsidP="00F64C17">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505 trabalhos realizados a partir da malha fiscal</w:t>
            </w:r>
          </w:p>
        </w:tc>
        <w:tc>
          <w:tcPr>
            <w:tcW w:w="1323" w:type="dxa"/>
            <w:shd w:val="clear" w:color="auto" w:fill="auto"/>
            <w:tcMar>
              <w:top w:w="0" w:type="dxa"/>
              <w:left w:w="70" w:type="dxa"/>
              <w:bottom w:w="0" w:type="dxa"/>
              <w:right w:w="70" w:type="dxa"/>
            </w:tcMar>
            <w:vAlign w:val="center"/>
            <w:hideMark/>
          </w:tcPr>
          <w:p w:rsidR="008E6B41" w:rsidRPr="0072678C" w:rsidRDefault="008E6B41">
            <w:pPr>
              <w:rPr>
                <w:rFonts w:asciiTheme="minorHAnsi" w:eastAsiaTheme="minorHAnsi" w:hAnsiTheme="minorHAnsi" w:cstheme="minorHAnsi"/>
                <w:sz w:val="20"/>
                <w:szCs w:val="20"/>
              </w:rPr>
            </w:pPr>
            <w:r w:rsidRPr="0072678C">
              <w:rPr>
                <w:rFonts w:asciiTheme="minorHAnsi" w:hAnsiTheme="minorHAnsi" w:cstheme="minorHAnsi"/>
                <w:sz w:val="20"/>
                <w:szCs w:val="20"/>
              </w:rPr>
              <w:t>Sistema PGSF</w:t>
            </w:r>
          </w:p>
        </w:tc>
        <w:tc>
          <w:tcPr>
            <w:tcW w:w="2552" w:type="dxa"/>
            <w:tcMar>
              <w:top w:w="0" w:type="dxa"/>
              <w:left w:w="70" w:type="dxa"/>
              <w:bottom w:w="0" w:type="dxa"/>
              <w:right w:w="70" w:type="dxa"/>
            </w:tcMar>
            <w:vAlign w:val="center"/>
            <w:hideMark/>
          </w:tcPr>
          <w:p w:rsidR="008E6B41" w:rsidRPr="0072678C" w:rsidRDefault="008E6B41">
            <w:pPr>
              <w:rPr>
                <w:rFonts w:asciiTheme="minorHAnsi" w:eastAsiaTheme="minorHAnsi" w:hAnsiTheme="minorHAnsi" w:cstheme="minorHAnsi"/>
                <w:sz w:val="20"/>
                <w:szCs w:val="20"/>
              </w:rPr>
            </w:pPr>
          </w:p>
        </w:tc>
      </w:tr>
      <w:tr w:rsidR="008E6B41" w:rsidRPr="0072678C" w:rsidTr="003C0D08">
        <w:trPr>
          <w:trHeight w:val="2160"/>
        </w:trPr>
        <w:tc>
          <w:tcPr>
            <w:tcW w:w="3328" w:type="dxa"/>
            <w:tcMar>
              <w:top w:w="0" w:type="dxa"/>
              <w:left w:w="70" w:type="dxa"/>
              <w:bottom w:w="0" w:type="dxa"/>
              <w:right w:w="70" w:type="dxa"/>
            </w:tcMar>
            <w:vAlign w:val="center"/>
            <w:hideMark/>
          </w:tcPr>
          <w:p w:rsidR="008E6B41" w:rsidRPr="0072678C" w:rsidRDefault="008E6B41" w:rsidP="00E9389C">
            <w:pPr>
              <w:rPr>
                <w:rFonts w:asciiTheme="minorHAnsi" w:eastAsiaTheme="minorHAnsi" w:hAnsiTheme="minorHAnsi" w:cstheme="minorHAnsi"/>
                <w:iCs/>
                <w:sz w:val="20"/>
                <w:szCs w:val="20"/>
              </w:rPr>
            </w:pPr>
            <w:r w:rsidRPr="0072678C">
              <w:rPr>
                <w:rFonts w:asciiTheme="minorHAnsi" w:hAnsiTheme="minorHAnsi" w:cstheme="minorHAnsi"/>
                <w:iCs/>
                <w:sz w:val="20"/>
                <w:szCs w:val="20"/>
              </w:rPr>
              <w:t>Auditorias realizadas  /  Total de contribuintes ativos do cadastro (por segmento e porte)</w:t>
            </w:r>
          </w:p>
        </w:tc>
        <w:tc>
          <w:tcPr>
            <w:tcW w:w="1634" w:type="dxa"/>
            <w:shd w:val="clear" w:color="auto" w:fill="FFFFFF"/>
            <w:tcMar>
              <w:top w:w="0" w:type="dxa"/>
              <w:left w:w="70" w:type="dxa"/>
              <w:bottom w:w="0" w:type="dxa"/>
              <w:right w:w="70" w:type="dxa"/>
            </w:tcMar>
            <w:vAlign w:val="center"/>
            <w:hideMark/>
          </w:tcPr>
          <w:p w:rsidR="008E6B41" w:rsidRPr="0072678C" w:rsidRDefault="008E6B41">
            <w:pPr>
              <w:rPr>
                <w:rFonts w:asciiTheme="minorHAnsi" w:eastAsiaTheme="minorHAnsi" w:hAnsiTheme="minorHAnsi" w:cstheme="minorHAnsi"/>
                <w:sz w:val="20"/>
                <w:szCs w:val="20"/>
              </w:rPr>
            </w:pPr>
          </w:p>
        </w:tc>
        <w:tc>
          <w:tcPr>
            <w:tcW w:w="1323" w:type="dxa"/>
            <w:shd w:val="clear" w:color="auto" w:fill="auto"/>
            <w:tcMar>
              <w:top w:w="0" w:type="dxa"/>
              <w:left w:w="70" w:type="dxa"/>
              <w:bottom w:w="0" w:type="dxa"/>
              <w:right w:w="70" w:type="dxa"/>
            </w:tcMar>
            <w:vAlign w:val="center"/>
            <w:hideMark/>
          </w:tcPr>
          <w:p w:rsidR="008E6B41" w:rsidRPr="0072678C" w:rsidRDefault="008E6B41">
            <w:pPr>
              <w:rPr>
                <w:rFonts w:asciiTheme="minorHAnsi" w:eastAsiaTheme="minorHAnsi" w:hAnsiTheme="minorHAnsi" w:cstheme="minorHAnsi"/>
                <w:sz w:val="20"/>
                <w:szCs w:val="20"/>
              </w:rPr>
            </w:pPr>
            <w:r w:rsidRPr="0072678C">
              <w:rPr>
                <w:rFonts w:asciiTheme="minorHAnsi" w:hAnsiTheme="minorHAnsi" w:cstheme="minorHAnsi"/>
                <w:sz w:val="20"/>
                <w:szCs w:val="20"/>
              </w:rPr>
              <w:t>Sistema PGSF</w:t>
            </w:r>
          </w:p>
        </w:tc>
        <w:tc>
          <w:tcPr>
            <w:tcW w:w="2552" w:type="dxa"/>
            <w:tcMar>
              <w:top w:w="0" w:type="dxa"/>
              <w:left w:w="70" w:type="dxa"/>
              <w:bottom w:w="0" w:type="dxa"/>
              <w:right w:w="70" w:type="dxa"/>
            </w:tcMar>
            <w:vAlign w:val="center"/>
            <w:hideMark/>
          </w:tcPr>
          <w:p w:rsidR="008E6B41" w:rsidRPr="0072678C" w:rsidRDefault="00E9389C" w:rsidP="00F64C17">
            <w:pPr>
              <w:jc w:val="both"/>
              <w:rPr>
                <w:rFonts w:asciiTheme="minorHAnsi" w:eastAsiaTheme="minorHAnsi" w:hAnsiTheme="minorHAnsi" w:cstheme="minorHAnsi"/>
                <w:sz w:val="20"/>
                <w:szCs w:val="20"/>
              </w:rPr>
            </w:pPr>
            <w:r w:rsidRPr="0072678C">
              <w:rPr>
                <w:rFonts w:asciiTheme="minorHAnsi" w:hAnsiTheme="minorHAnsi" w:cstheme="minorHAnsi"/>
                <w:sz w:val="20"/>
                <w:szCs w:val="20"/>
              </w:rPr>
              <w:t>A malha fiscal não tem como objetivo identificar contribuintes para realização de auditoria fiscal, mas sim para operações com vistas a verificar eventuais desvios específicos, desvios esses que ensejam operações específicas e pontuais.</w:t>
            </w:r>
          </w:p>
        </w:tc>
      </w:tr>
      <w:tr w:rsidR="00F64C17" w:rsidRPr="0072678C" w:rsidTr="003C0D08">
        <w:trPr>
          <w:trHeight w:val="279"/>
        </w:trPr>
        <w:tc>
          <w:tcPr>
            <w:tcW w:w="8837" w:type="dxa"/>
            <w:gridSpan w:val="4"/>
            <w:shd w:val="clear" w:color="auto" w:fill="FFE599" w:themeFill="accent4" w:themeFillTint="66"/>
            <w:tcMar>
              <w:top w:w="0" w:type="dxa"/>
              <w:left w:w="70" w:type="dxa"/>
              <w:bottom w:w="0" w:type="dxa"/>
              <w:right w:w="70" w:type="dxa"/>
            </w:tcMar>
            <w:vAlign w:val="center"/>
            <w:hideMark/>
          </w:tcPr>
          <w:p w:rsidR="00F64C17" w:rsidRPr="0072678C" w:rsidRDefault="00F64C17" w:rsidP="00F64C17">
            <w:pPr>
              <w:rPr>
                <w:rFonts w:asciiTheme="minorHAnsi" w:eastAsiaTheme="minorHAnsi" w:hAnsiTheme="minorHAnsi" w:cstheme="minorHAnsi"/>
                <w:sz w:val="20"/>
                <w:szCs w:val="20"/>
              </w:rPr>
            </w:pPr>
            <w:r w:rsidRPr="0072678C">
              <w:rPr>
                <w:rFonts w:asciiTheme="minorHAnsi" w:hAnsiTheme="minorHAnsi" w:cstheme="minorHAnsi"/>
                <w:b/>
                <w:bCs/>
                <w:sz w:val="20"/>
                <w:szCs w:val="20"/>
              </w:rPr>
              <w:t>Eficiência da seleção</w:t>
            </w:r>
          </w:p>
        </w:tc>
      </w:tr>
      <w:tr w:rsidR="00E9389C" w:rsidRPr="0072678C" w:rsidTr="003C0D08">
        <w:trPr>
          <w:trHeight w:val="660"/>
        </w:trPr>
        <w:tc>
          <w:tcPr>
            <w:tcW w:w="3328" w:type="dxa"/>
            <w:tcMar>
              <w:top w:w="0" w:type="dxa"/>
              <w:left w:w="70" w:type="dxa"/>
              <w:bottom w:w="0" w:type="dxa"/>
              <w:right w:w="70" w:type="dxa"/>
            </w:tcMar>
            <w:vAlign w:val="center"/>
            <w:hideMark/>
          </w:tcPr>
          <w:p w:rsidR="00E9389C" w:rsidRPr="0072678C" w:rsidRDefault="00E9389C" w:rsidP="00E9389C">
            <w:pPr>
              <w:rPr>
                <w:rFonts w:asciiTheme="minorHAnsi" w:eastAsiaTheme="minorHAnsi" w:hAnsiTheme="minorHAnsi" w:cstheme="minorHAnsi"/>
                <w:iCs/>
                <w:sz w:val="20"/>
                <w:szCs w:val="20"/>
              </w:rPr>
            </w:pPr>
            <w:r w:rsidRPr="0072678C">
              <w:rPr>
                <w:rFonts w:asciiTheme="minorHAnsi" w:hAnsiTheme="minorHAnsi" w:cstheme="minorHAnsi"/>
                <w:iCs/>
                <w:sz w:val="20"/>
                <w:szCs w:val="20"/>
              </w:rPr>
              <w:t>Fiscalização: Quantidade de lançamentos efetuados / Quantidade total de auditorias realizadas</w:t>
            </w:r>
          </w:p>
        </w:tc>
        <w:tc>
          <w:tcPr>
            <w:tcW w:w="1634" w:type="dxa"/>
            <w:shd w:val="clear" w:color="auto" w:fill="FFFFFF"/>
            <w:tcMar>
              <w:top w:w="0" w:type="dxa"/>
              <w:left w:w="70" w:type="dxa"/>
              <w:bottom w:w="0" w:type="dxa"/>
              <w:right w:w="70" w:type="dxa"/>
            </w:tcMar>
            <w:vAlign w:val="center"/>
            <w:hideMark/>
          </w:tcPr>
          <w:p w:rsidR="00E9389C" w:rsidRPr="0072678C" w:rsidRDefault="00E9389C" w:rsidP="00E9389C">
            <w:pPr>
              <w:jc w:val="center"/>
              <w:rPr>
                <w:rFonts w:asciiTheme="minorHAnsi" w:eastAsiaTheme="minorHAnsi" w:hAnsiTheme="minorHAnsi" w:cstheme="minorHAnsi"/>
                <w:sz w:val="20"/>
                <w:szCs w:val="20"/>
              </w:rPr>
            </w:pPr>
            <w:r w:rsidRPr="0072678C">
              <w:rPr>
                <w:rFonts w:asciiTheme="minorHAnsi" w:eastAsiaTheme="minorHAnsi" w:hAnsiTheme="minorHAnsi" w:cstheme="minorHAnsi"/>
                <w:sz w:val="20"/>
                <w:szCs w:val="20"/>
              </w:rPr>
              <w:t>N/D</w:t>
            </w:r>
          </w:p>
        </w:tc>
        <w:tc>
          <w:tcPr>
            <w:tcW w:w="1323" w:type="dxa"/>
            <w:shd w:val="clear" w:color="auto" w:fill="auto"/>
            <w:tcMar>
              <w:top w:w="0" w:type="dxa"/>
              <w:left w:w="70" w:type="dxa"/>
              <w:bottom w:w="0" w:type="dxa"/>
              <w:right w:w="70" w:type="dxa"/>
            </w:tcMar>
            <w:vAlign w:val="center"/>
            <w:hideMark/>
          </w:tcPr>
          <w:p w:rsidR="00E9389C" w:rsidRPr="0072678C" w:rsidRDefault="00E9389C">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c>
          <w:tcPr>
            <w:tcW w:w="2552" w:type="dxa"/>
            <w:vMerge w:val="restart"/>
            <w:tcMar>
              <w:top w:w="0" w:type="dxa"/>
              <w:left w:w="70" w:type="dxa"/>
              <w:bottom w:w="0" w:type="dxa"/>
              <w:right w:w="70" w:type="dxa"/>
            </w:tcMar>
            <w:vAlign w:val="center"/>
            <w:hideMark/>
          </w:tcPr>
          <w:p w:rsidR="00F64C17" w:rsidRPr="0072678C" w:rsidRDefault="00F64C17" w:rsidP="00F64C17">
            <w:pPr>
              <w:jc w:val="both"/>
              <w:rPr>
                <w:rFonts w:asciiTheme="minorHAnsi" w:eastAsiaTheme="minorHAnsi" w:hAnsiTheme="minorHAnsi" w:cstheme="minorHAnsi"/>
                <w:sz w:val="20"/>
                <w:szCs w:val="20"/>
              </w:rPr>
            </w:pPr>
            <w:r w:rsidRPr="0072678C">
              <w:rPr>
                <w:rFonts w:asciiTheme="minorHAnsi" w:hAnsiTheme="minorHAnsi" w:cstheme="minorHAnsi"/>
                <w:sz w:val="20"/>
                <w:szCs w:val="20"/>
              </w:rPr>
              <w:t xml:space="preserve">Dado não disponível por falta de preenchimento do campo dedicado a essa informação por parte da maioria dos </w:t>
            </w:r>
            <w:proofErr w:type="spellStart"/>
            <w:r w:rsidRPr="0072678C">
              <w:rPr>
                <w:rFonts w:asciiTheme="minorHAnsi" w:hAnsiTheme="minorHAnsi" w:cstheme="minorHAnsi"/>
                <w:sz w:val="20"/>
                <w:szCs w:val="20"/>
              </w:rPr>
              <w:t>AFRs</w:t>
            </w:r>
            <w:proofErr w:type="spellEnd"/>
            <w:r w:rsidRPr="0072678C">
              <w:rPr>
                <w:rFonts w:asciiTheme="minorHAnsi" w:hAnsiTheme="minorHAnsi" w:cstheme="minorHAnsi"/>
                <w:sz w:val="20"/>
                <w:szCs w:val="20"/>
              </w:rPr>
              <w:t>.</w:t>
            </w:r>
          </w:p>
          <w:p w:rsidR="00E9389C" w:rsidRPr="0072678C" w:rsidRDefault="00E9389C" w:rsidP="00F64C17">
            <w:pPr>
              <w:jc w:val="both"/>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E9389C" w:rsidRPr="0072678C" w:rsidTr="003C0D08">
        <w:trPr>
          <w:trHeight w:val="660"/>
        </w:trPr>
        <w:tc>
          <w:tcPr>
            <w:tcW w:w="3328" w:type="dxa"/>
            <w:tcMar>
              <w:top w:w="0" w:type="dxa"/>
              <w:left w:w="70" w:type="dxa"/>
              <w:bottom w:w="0" w:type="dxa"/>
              <w:right w:w="70" w:type="dxa"/>
            </w:tcMar>
            <w:vAlign w:val="center"/>
            <w:hideMark/>
          </w:tcPr>
          <w:p w:rsidR="00E9389C" w:rsidRPr="0072678C" w:rsidRDefault="00E9389C" w:rsidP="00E9389C">
            <w:pPr>
              <w:rPr>
                <w:rFonts w:asciiTheme="minorHAnsi" w:eastAsiaTheme="minorHAnsi" w:hAnsiTheme="minorHAnsi" w:cstheme="minorHAnsi"/>
                <w:iCs/>
                <w:sz w:val="20"/>
                <w:szCs w:val="20"/>
              </w:rPr>
            </w:pPr>
            <w:r w:rsidRPr="0072678C">
              <w:rPr>
                <w:rFonts w:asciiTheme="minorHAnsi" w:hAnsiTheme="minorHAnsi" w:cstheme="minorHAnsi"/>
                <w:iCs/>
                <w:sz w:val="20"/>
                <w:szCs w:val="20"/>
              </w:rPr>
              <w:t>Malha fiscal: Quantidade de lançamentos efetuados / Quantidade total de notificações emitidas</w:t>
            </w:r>
          </w:p>
        </w:tc>
        <w:tc>
          <w:tcPr>
            <w:tcW w:w="1634" w:type="dxa"/>
            <w:shd w:val="clear" w:color="auto" w:fill="FFFFFF"/>
            <w:tcMar>
              <w:top w:w="0" w:type="dxa"/>
              <w:left w:w="70" w:type="dxa"/>
              <w:bottom w:w="0" w:type="dxa"/>
              <w:right w:w="70" w:type="dxa"/>
            </w:tcMar>
            <w:vAlign w:val="center"/>
            <w:hideMark/>
          </w:tcPr>
          <w:p w:rsidR="00E9389C" w:rsidRPr="0072678C" w:rsidRDefault="00E9389C" w:rsidP="00E9389C">
            <w:pPr>
              <w:jc w:val="center"/>
              <w:rPr>
                <w:rFonts w:asciiTheme="minorHAnsi" w:eastAsiaTheme="minorHAnsi" w:hAnsiTheme="minorHAnsi" w:cstheme="minorHAnsi"/>
                <w:sz w:val="20"/>
                <w:szCs w:val="20"/>
              </w:rPr>
            </w:pPr>
            <w:r w:rsidRPr="0072678C">
              <w:rPr>
                <w:rFonts w:asciiTheme="minorHAnsi" w:eastAsiaTheme="minorHAnsi" w:hAnsiTheme="minorHAnsi" w:cstheme="minorHAnsi"/>
                <w:sz w:val="20"/>
                <w:szCs w:val="20"/>
              </w:rPr>
              <w:t>N/D</w:t>
            </w:r>
          </w:p>
        </w:tc>
        <w:tc>
          <w:tcPr>
            <w:tcW w:w="1323" w:type="dxa"/>
            <w:shd w:val="clear" w:color="auto" w:fill="auto"/>
            <w:tcMar>
              <w:top w:w="0" w:type="dxa"/>
              <w:left w:w="70" w:type="dxa"/>
              <w:bottom w:w="0" w:type="dxa"/>
              <w:right w:w="70" w:type="dxa"/>
            </w:tcMar>
            <w:vAlign w:val="center"/>
            <w:hideMark/>
          </w:tcPr>
          <w:p w:rsidR="00E9389C" w:rsidRPr="0072678C" w:rsidRDefault="00E9389C">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c>
          <w:tcPr>
            <w:tcW w:w="2552" w:type="dxa"/>
            <w:vMerge/>
            <w:tcMar>
              <w:top w:w="0" w:type="dxa"/>
              <w:left w:w="70" w:type="dxa"/>
              <w:bottom w:w="0" w:type="dxa"/>
              <w:right w:w="70" w:type="dxa"/>
            </w:tcMar>
            <w:vAlign w:val="center"/>
            <w:hideMark/>
          </w:tcPr>
          <w:p w:rsidR="00E9389C" w:rsidRPr="0072678C" w:rsidRDefault="00E9389C" w:rsidP="00E9389C">
            <w:pPr>
              <w:rPr>
                <w:rFonts w:asciiTheme="minorHAnsi" w:eastAsiaTheme="minorHAnsi" w:hAnsiTheme="minorHAnsi" w:cstheme="minorHAnsi"/>
                <w:sz w:val="20"/>
                <w:szCs w:val="20"/>
              </w:rPr>
            </w:pPr>
          </w:p>
        </w:tc>
      </w:tr>
      <w:tr w:rsidR="00F64C17" w:rsidRPr="0072678C" w:rsidTr="003C0D08">
        <w:trPr>
          <w:trHeight w:val="330"/>
        </w:trPr>
        <w:tc>
          <w:tcPr>
            <w:tcW w:w="8837" w:type="dxa"/>
            <w:gridSpan w:val="4"/>
            <w:shd w:val="clear" w:color="auto" w:fill="FFE599" w:themeFill="accent4" w:themeFillTint="66"/>
            <w:tcMar>
              <w:top w:w="0" w:type="dxa"/>
              <w:left w:w="70" w:type="dxa"/>
              <w:bottom w:w="0" w:type="dxa"/>
              <w:right w:w="70" w:type="dxa"/>
            </w:tcMar>
            <w:vAlign w:val="center"/>
            <w:hideMark/>
          </w:tcPr>
          <w:p w:rsidR="00F64C17" w:rsidRPr="0072678C" w:rsidRDefault="00F64C17" w:rsidP="00F64C17">
            <w:pPr>
              <w:rPr>
                <w:rFonts w:asciiTheme="minorHAnsi" w:eastAsiaTheme="minorHAnsi" w:hAnsiTheme="minorHAnsi" w:cstheme="minorHAnsi"/>
                <w:sz w:val="20"/>
                <w:szCs w:val="20"/>
              </w:rPr>
            </w:pPr>
            <w:r w:rsidRPr="0072678C">
              <w:rPr>
                <w:rFonts w:asciiTheme="minorHAnsi" w:hAnsiTheme="minorHAnsi" w:cstheme="minorHAnsi"/>
                <w:b/>
                <w:bCs/>
                <w:sz w:val="20"/>
                <w:szCs w:val="20"/>
              </w:rPr>
              <w:lastRenderedPageBreak/>
              <w:t>Recuperação do crédito antes de instalado o contencioso</w:t>
            </w:r>
          </w:p>
        </w:tc>
      </w:tr>
      <w:tr w:rsidR="00E9389C" w:rsidRPr="0072678C" w:rsidTr="003C0D08">
        <w:trPr>
          <w:trHeight w:val="660"/>
        </w:trPr>
        <w:tc>
          <w:tcPr>
            <w:tcW w:w="3328" w:type="dxa"/>
            <w:tcMar>
              <w:top w:w="0" w:type="dxa"/>
              <w:left w:w="70" w:type="dxa"/>
              <w:bottom w:w="0" w:type="dxa"/>
              <w:right w:w="70" w:type="dxa"/>
            </w:tcMar>
            <w:vAlign w:val="center"/>
            <w:hideMark/>
          </w:tcPr>
          <w:p w:rsidR="00E9389C" w:rsidRPr="0072678C" w:rsidRDefault="00E9389C" w:rsidP="00E9389C">
            <w:pPr>
              <w:rPr>
                <w:rFonts w:asciiTheme="minorHAnsi" w:eastAsiaTheme="minorHAnsi" w:hAnsiTheme="minorHAnsi" w:cstheme="minorHAnsi"/>
                <w:iCs/>
                <w:sz w:val="20"/>
                <w:szCs w:val="20"/>
              </w:rPr>
            </w:pPr>
            <w:r w:rsidRPr="0072678C">
              <w:rPr>
                <w:rFonts w:asciiTheme="minorHAnsi" w:hAnsiTheme="minorHAnsi" w:cstheme="minorHAnsi"/>
                <w:iCs/>
                <w:sz w:val="20"/>
                <w:szCs w:val="20"/>
              </w:rPr>
              <w:t>Fiscalização: Valor do crédito recuperado pela auditoria / Valor do crédito lançado pela auditoria</w:t>
            </w:r>
          </w:p>
        </w:tc>
        <w:tc>
          <w:tcPr>
            <w:tcW w:w="1634" w:type="dxa"/>
            <w:shd w:val="clear" w:color="auto" w:fill="FFFFFF"/>
            <w:tcMar>
              <w:top w:w="0" w:type="dxa"/>
              <w:left w:w="70" w:type="dxa"/>
              <w:bottom w:w="0" w:type="dxa"/>
              <w:right w:w="70" w:type="dxa"/>
            </w:tcMar>
            <w:vAlign w:val="center"/>
            <w:hideMark/>
          </w:tcPr>
          <w:p w:rsidR="00E9389C" w:rsidRPr="0072678C" w:rsidRDefault="00E9389C" w:rsidP="00E9389C">
            <w:pPr>
              <w:jc w:val="center"/>
              <w:rPr>
                <w:rFonts w:asciiTheme="minorHAnsi" w:eastAsiaTheme="minorHAnsi" w:hAnsiTheme="minorHAnsi" w:cstheme="minorHAnsi"/>
                <w:sz w:val="20"/>
                <w:szCs w:val="20"/>
              </w:rPr>
            </w:pPr>
            <w:r w:rsidRPr="0072678C">
              <w:rPr>
                <w:rFonts w:asciiTheme="minorHAnsi" w:eastAsiaTheme="minorHAnsi" w:hAnsiTheme="minorHAnsi" w:cstheme="minorHAnsi"/>
                <w:sz w:val="20"/>
                <w:szCs w:val="20"/>
              </w:rPr>
              <w:t>N/D</w:t>
            </w:r>
          </w:p>
        </w:tc>
        <w:tc>
          <w:tcPr>
            <w:tcW w:w="1323" w:type="dxa"/>
            <w:shd w:val="clear" w:color="auto" w:fill="auto"/>
            <w:tcMar>
              <w:top w:w="0" w:type="dxa"/>
              <w:left w:w="70" w:type="dxa"/>
              <w:bottom w:w="0" w:type="dxa"/>
              <w:right w:w="70" w:type="dxa"/>
            </w:tcMar>
            <w:vAlign w:val="center"/>
            <w:hideMark/>
          </w:tcPr>
          <w:p w:rsidR="00E9389C" w:rsidRPr="0072678C" w:rsidRDefault="00E9389C">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c>
          <w:tcPr>
            <w:tcW w:w="2552" w:type="dxa"/>
            <w:vMerge w:val="restart"/>
            <w:tcMar>
              <w:top w:w="0" w:type="dxa"/>
              <w:left w:w="70" w:type="dxa"/>
              <w:bottom w:w="0" w:type="dxa"/>
              <w:right w:w="70" w:type="dxa"/>
            </w:tcMar>
            <w:vAlign w:val="center"/>
            <w:hideMark/>
          </w:tcPr>
          <w:p w:rsidR="00E9389C" w:rsidRPr="0072678C" w:rsidRDefault="00F64C17" w:rsidP="00F64C17">
            <w:pPr>
              <w:jc w:val="both"/>
              <w:rPr>
                <w:rFonts w:asciiTheme="minorHAnsi" w:eastAsiaTheme="minorHAnsi" w:hAnsiTheme="minorHAnsi" w:cstheme="minorHAnsi"/>
                <w:sz w:val="20"/>
                <w:szCs w:val="20"/>
              </w:rPr>
            </w:pPr>
            <w:r w:rsidRPr="0072678C">
              <w:rPr>
                <w:rFonts w:asciiTheme="minorHAnsi" w:hAnsiTheme="minorHAnsi" w:cstheme="minorHAnsi"/>
                <w:sz w:val="20"/>
                <w:szCs w:val="20"/>
              </w:rPr>
              <w:t>Dado não disponível por f</w:t>
            </w:r>
            <w:r w:rsidR="00E9389C" w:rsidRPr="0072678C">
              <w:rPr>
                <w:rFonts w:asciiTheme="minorHAnsi" w:hAnsiTheme="minorHAnsi" w:cstheme="minorHAnsi"/>
                <w:sz w:val="20"/>
                <w:szCs w:val="20"/>
              </w:rPr>
              <w:t xml:space="preserve">alta de preenchimento do campo dedicado a essa informação por parte da maioria dos </w:t>
            </w:r>
            <w:proofErr w:type="spellStart"/>
            <w:r w:rsidR="00E9389C" w:rsidRPr="0072678C">
              <w:rPr>
                <w:rFonts w:asciiTheme="minorHAnsi" w:hAnsiTheme="minorHAnsi" w:cstheme="minorHAnsi"/>
                <w:sz w:val="20"/>
                <w:szCs w:val="20"/>
              </w:rPr>
              <w:t>AFRs</w:t>
            </w:r>
            <w:proofErr w:type="spellEnd"/>
            <w:r w:rsidR="00E9389C" w:rsidRPr="0072678C">
              <w:rPr>
                <w:rFonts w:asciiTheme="minorHAnsi" w:hAnsiTheme="minorHAnsi" w:cstheme="minorHAnsi"/>
                <w:sz w:val="20"/>
                <w:szCs w:val="20"/>
              </w:rPr>
              <w:t>.</w:t>
            </w:r>
          </w:p>
          <w:p w:rsidR="00E9389C" w:rsidRPr="0072678C" w:rsidRDefault="00E9389C" w:rsidP="00F64C17">
            <w:pPr>
              <w:jc w:val="both"/>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E9389C" w:rsidRPr="0072678C" w:rsidTr="003C0D08">
        <w:trPr>
          <w:trHeight w:val="660"/>
        </w:trPr>
        <w:tc>
          <w:tcPr>
            <w:tcW w:w="3328" w:type="dxa"/>
            <w:tcMar>
              <w:top w:w="0" w:type="dxa"/>
              <w:left w:w="70" w:type="dxa"/>
              <w:bottom w:w="0" w:type="dxa"/>
              <w:right w:w="70" w:type="dxa"/>
            </w:tcMar>
            <w:vAlign w:val="center"/>
            <w:hideMark/>
          </w:tcPr>
          <w:p w:rsidR="00E9389C" w:rsidRPr="0072678C" w:rsidRDefault="00E9389C" w:rsidP="00E9389C">
            <w:pPr>
              <w:rPr>
                <w:rFonts w:asciiTheme="minorHAnsi" w:eastAsiaTheme="minorHAnsi" w:hAnsiTheme="minorHAnsi" w:cstheme="minorHAnsi"/>
                <w:iCs/>
                <w:sz w:val="20"/>
                <w:szCs w:val="20"/>
              </w:rPr>
            </w:pPr>
            <w:r w:rsidRPr="0072678C">
              <w:rPr>
                <w:rFonts w:asciiTheme="minorHAnsi" w:hAnsiTheme="minorHAnsi" w:cstheme="minorHAnsi"/>
                <w:iCs/>
                <w:sz w:val="20"/>
                <w:szCs w:val="20"/>
              </w:rPr>
              <w:t>Malha fiscal: Valor do crédito recuperado pela malha / Valor do crédito lançado pela malha</w:t>
            </w:r>
          </w:p>
        </w:tc>
        <w:tc>
          <w:tcPr>
            <w:tcW w:w="1634" w:type="dxa"/>
            <w:shd w:val="clear" w:color="auto" w:fill="FFFFFF"/>
            <w:tcMar>
              <w:top w:w="0" w:type="dxa"/>
              <w:left w:w="70" w:type="dxa"/>
              <w:bottom w:w="0" w:type="dxa"/>
              <w:right w:w="70" w:type="dxa"/>
            </w:tcMar>
            <w:vAlign w:val="center"/>
            <w:hideMark/>
          </w:tcPr>
          <w:p w:rsidR="00E9389C" w:rsidRPr="0072678C" w:rsidRDefault="00E9389C" w:rsidP="00E9389C">
            <w:pPr>
              <w:jc w:val="center"/>
              <w:rPr>
                <w:rFonts w:asciiTheme="minorHAnsi" w:eastAsiaTheme="minorHAnsi" w:hAnsiTheme="minorHAnsi" w:cstheme="minorHAnsi"/>
                <w:sz w:val="20"/>
                <w:szCs w:val="20"/>
              </w:rPr>
            </w:pPr>
            <w:r w:rsidRPr="0072678C">
              <w:rPr>
                <w:rFonts w:asciiTheme="minorHAnsi" w:eastAsiaTheme="minorHAnsi" w:hAnsiTheme="minorHAnsi" w:cstheme="minorHAnsi"/>
                <w:sz w:val="20"/>
                <w:szCs w:val="20"/>
              </w:rPr>
              <w:t>N/D</w:t>
            </w:r>
          </w:p>
        </w:tc>
        <w:tc>
          <w:tcPr>
            <w:tcW w:w="1323" w:type="dxa"/>
            <w:shd w:val="clear" w:color="auto" w:fill="auto"/>
            <w:tcMar>
              <w:top w:w="0" w:type="dxa"/>
              <w:left w:w="70" w:type="dxa"/>
              <w:bottom w:w="0" w:type="dxa"/>
              <w:right w:w="70" w:type="dxa"/>
            </w:tcMar>
            <w:vAlign w:val="center"/>
            <w:hideMark/>
          </w:tcPr>
          <w:p w:rsidR="00E9389C" w:rsidRPr="0072678C" w:rsidRDefault="00E9389C">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c>
          <w:tcPr>
            <w:tcW w:w="2552" w:type="dxa"/>
            <w:vMerge/>
            <w:tcMar>
              <w:top w:w="0" w:type="dxa"/>
              <w:left w:w="70" w:type="dxa"/>
              <w:bottom w:w="0" w:type="dxa"/>
              <w:right w:w="70" w:type="dxa"/>
            </w:tcMar>
            <w:vAlign w:val="center"/>
            <w:hideMark/>
          </w:tcPr>
          <w:p w:rsidR="00E9389C" w:rsidRPr="0072678C" w:rsidRDefault="00E9389C" w:rsidP="00E9389C">
            <w:pPr>
              <w:rPr>
                <w:rFonts w:asciiTheme="minorHAnsi" w:eastAsiaTheme="minorHAnsi" w:hAnsiTheme="minorHAnsi" w:cstheme="minorHAnsi"/>
                <w:sz w:val="20"/>
                <w:szCs w:val="20"/>
              </w:rPr>
            </w:pPr>
          </w:p>
        </w:tc>
      </w:tr>
      <w:tr w:rsidR="008E6B41" w:rsidRPr="0072678C" w:rsidTr="003C0D08">
        <w:trPr>
          <w:trHeight w:val="720"/>
        </w:trPr>
        <w:tc>
          <w:tcPr>
            <w:tcW w:w="3328" w:type="dxa"/>
            <w:tcMar>
              <w:top w:w="0" w:type="dxa"/>
              <w:left w:w="70" w:type="dxa"/>
              <w:bottom w:w="0" w:type="dxa"/>
              <w:right w:w="70" w:type="dxa"/>
            </w:tcMar>
            <w:vAlign w:val="center"/>
            <w:hideMark/>
          </w:tcPr>
          <w:p w:rsidR="008E6B41" w:rsidRPr="0072678C" w:rsidRDefault="008E6B41">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 xml:space="preserve">Inteligência fiscal: </w:t>
            </w:r>
            <w:r w:rsidRPr="0072678C">
              <w:rPr>
                <w:rFonts w:asciiTheme="minorHAnsi" w:hAnsiTheme="minorHAnsi" w:cstheme="minorHAnsi"/>
                <w:iCs/>
                <w:sz w:val="20"/>
                <w:szCs w:val="20"/>
              </w:rPr>
              <w:t xml:space="preserve">Quantidade de auto de infração que resultou em representação fiscal </w:t>
            </w:r>
            <w:proofErr w:type="gramStart"/>
            <w:r w:rsidRPr="0072678C">
              <w:rPr>
                <w:rFonts w:asciiTheme="minorHAnsi" w:hAnsiTheme="minorHAnsi" w:cstheme="minorHAnsi"/>
                <w:iCs/>
                <w:sz w:val="20"/>
                <w:szCs w:val="20"/>
              </w:rPr>
              <w:t>/  Quantidade</w:t>
            </w:r>
            <w:proofErr w:type="gramEnd"/>
            <w:r w:rsidRPr="0072678C">
              <w:rPr>
                <w:rFonts w:asciiTheme="minorHAnsi" w:hAnsiTheme="minorHAnsi" w:cstheme="minorHAnsi"/>
                <w:iCs/>
                <w:sz w:val="20"/>
                <w:szCs w:val="20"/>
              </w:rPr>
              <w:t xml:space="preserve"> de auto julgado com supressão ou redução de tributo</w:t>
            </w:r>
          </w:p>
        </w:tc>
        <w:tc>
          <w:tcPr>
            <w:tcW w:w="1634" w:type="dxa"/>
            <w:noWrap/>
            <w:tcMar>
              <w:top w:w="0" w:type="dxa"/>
              <w:left w:w="70" w:type="dxa"/>
              <w:bottom w:w="0" w:type="dxa"/>
              <w:right w:w="70" w:type="dxa"/>
            </w:tcMar>
            <w:vAlign w:val="center"/>
            <w:hideMark/>
          </w:tcPr>
          <w:p w:rsidR="008E6B41" w:rsidRPr="0072678C" w:rsidRDefault="008E6B41" w:rsidP="00E9389C">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22/0</w:t>
            </w:r>
          </w:p>
        </w:tc>
        <w:tc>
          <w:tcPr>
            <w:tcW w:w="1323" w:type="dxa"/>
            <w:tcMar>
              <w:top w:w="0" w:type="dxa"/>
              <w:left w:w="70" w:type="dxa"/>
              <w:bottom w:w="0" w:type="dxa"/>
              <w:right w:w="70" w:type="dxa"/>
            </w:tcMar>
            <w:vAlign w:val="center"/>
            <w:hideMark/>
          </w:tcPr>
          <w:p w:rsidR="008E6B41" w:rsidRPr="0072678C" w:rsidRDefault="008E6B41" w:rsidP="00E9389C">
            <w:pPr>
              <w:jc w:val="center"/>
              <w:rPr>
                <w:rFonts w:asciiTheme="minorHAnsi" w:eastAsiaTheme="minorHAnsi" w:hAnsiTheme="minorHAnsi" w:cstheme="minorHAnsi"/>
                <w:bCs/>
                <w:sz w:val="20"/>
                <w:szCs w:val="20"/>
                <w:lang w:val="en-US"/>
              </w:rPr>
            </w:pPr>
            <w:r w:rsidRPr="0072678C">
              <w:rPr>
                <w:rFonts w:asciiTheme="minorHAnsi" w:hAnsiTheme="minorHAnsi" w:cstheme="minorHAnsi"/>
                <w:bCs/>
                <w:sz w:val="20"/>
                <w:szCs w:val="20"/>
                <w:lang w:val="en-US"/>
              </w:rPr>
              <w:t>DEAT-AIF /PGSF / e-Pat</w:t>
            </w:r>
          </w:p>
        </w:tc>
        <w:tc>
          <w:tcPr>
            <w:tcW w:w="2552" w:type="dxa"/>
            <w:tcMar>
              <w:top w:w="0" w:type="dxa"/>
              <w:left w:w="70" w:type="dxa"/>
              <w:bottom w:w="0" w:type="dxa"/>
              <w:right w:w="70" w:type="dxa"/>
            </w:tcMar>
            <w:vAlign w:val="center"/>
            <w:hideMark/>
          </w:tcPr>
          <w:p w:rsidR="008E6B41" w:rsidRPr="0072678C" w:rsidRDefault="008E6B41" w:rsidP="00F64C17">
            <w:pPr>
              <w:jc w:val="both"/>
              <w:rPr>
                <w:rFonts w:asciiTheme="minorHAnsi" w:eastAsiaTheme="minorHAnsi" w:hAnsiTheme="minorHAnsi" w:cstheme="minorHAnsi"/>
                <w:sz w:val="20"/>
                <w:szCs w:val="20"/>
              </w:rPr>
            </w:pPr>
            <w:r w:rsidRPr="0072678C">
              <w:rPr>
                <w:rFonts w:asciiTheme="minorHAnsi" w:hAnsiTheme="minorHAnsi" w:cstheme="minorHAnsi"/>
                <w:sz w:val="20"/>
                <w:szCs w:val="20"/>
              </w:rPr>
              <w:t>O ciclo de vida completo para a produção dos índices é maior do que 1 ano.</w:t>
            </w:r>
          </w:p>
        </w:tc>
      </w:tr>
    </w:tbl>
    <w:p w:rsidR="00DD16F9" w:rsidRPr="0072678C" w:rsidRDefault="00DD16F9"/>
    <w:p w:rsidR="0009117C" w:rsidRPr="0072678C" w:rsidRDefault="0009117C" w:rsidP="00B44516">
      <w:pPr>
        <w:rPr>
          <w:rFonts w:asciiTheme="minorHAnsi" w:hAnsiTheme="minorHAnsi" w:cstheme="minorHAnsi"/>
        </w:rPr>
      </w:pPr>
    </w:p>
    <w:tbl>
      <w:tblPr>
        <w:tblStyle w:val="TableGrid"/>
        <w:tblW w:w="8789" w:type="dxa"/>
        <w:tblInd w:w="108" w:type="dxa"/>
        <w:shd w:val="clear" w:color="auto" w:fill="FFE599" w:themeFill="accent4" w:themeFillTint="66"/>
        <w:tblLook w:val="04A0" w:firstRow="1" w:lastRow="0" w:firstColumn="1" w:lastColumn="0" w:noHBand="0" w:noVBand="1"/>
      </w:tblPr>
      <w:tblGrid>
        <w:gridCol w:w="6592"/>
        <w:gridCol w:w="2197"/>
      </w:tblGrid>
      <w:tr w:rsidR="00B44516" w:rsidRPr="0072678C" w:rsidTr="00B44516">
        <w:tc>
          <w:tcPr>
            <w:tcW w:w="6592" w:type="dxa"/>
            <w:shd w:val="clear" w:color="auto" w:fill="FFE599" w:themeFill="accent4" w:themeFillTint="66"/>
          </w:tcPr>
          <w:p w:rsidR="00B44516" w:rsidRPr="0072678C" w:rsidRDefault="00B44516" w:rsidP="00B44516">
            <w:pPr>
              <w:spacing w:before="120" w:after="120"/>
              <w:jc w:val="both"/>
              <w:rPr>
                <w:rFonts w:asciiTheme="minorHAnsi" w:hAnsiTheme="minorHAnsi" w:cstheme="minorHAnsi"/>
                <w:b/>
              </w:rPr>
            </w:pPr>
            <w:r w:rsidRPr="0072678C">
              <w:rPr>
                <w:rFonts w:asciiTheme="minorHAnsi" w:hAnsiTheme="minorHAnsi" w:cstheme="minorHAnsi"/>
                <w:b/>
              </w:rPr>
              <w:t xml:space="preserve">Dimensão AT 4. Contencioso Fiscal </w:t>
            </w:r>
          </w:p>
        </w:tc>
        <w:tc>
          <w:tcPr>
            <w:tcW w:w="2197" w:type="dxa"/>
            <w:shd w:val="clear" w:color="auto" w:fill="FFE599" w:themeFill="accent4" w:themeFillTint="66"/>
          </w:tcPr>
          <w:p w:rsidR="00B44516" w:rsidRPr="0072678C" w:rsidRDefault="00C00544" w:rsidP="00B44516">
            <w:pPr>
              <w:spacing w:before="120" w:after="120"/>
              <w:jc w:val="center"/>
              <w:rPr>
                <w:rFonts w:asciiTheme="minorHAnsi" w:hAnsiTheme="minorHAnsi" w:cstheme="minorHAnsi"/>
                <w:b/>
              </w:rPr>
            </w:pPr>
            <w:r w:rsidRPr="0072678C">
              <w:rPr>
                <w:rFonts w:asciiTheme="minorHAnsi" w:hAnsiTheme="minorHAnsi" w:cstheme="minorHAnsi"/>
                <w:b/>
                <w:bCs/>
              </w:rPr>
              <w:t>INTERMEDIÁRIO (-)</w:t>
            </w:r>
          </w:p>
        </w:tc>
      </w:tr>
    </w:tbl>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 visão de futuro da dimensão </w:t>
      </w:r>
      <w:r w:rsidRPr="0072678C">
        <w:rPr>
          <w:rFonts w:asciiTheme="minorHAnsi" w:hAnsiTheme="minorHAnsi" w:cstheme="minorHAnsi"/>
          <w:b/>
          <w:sz w:val="22"/>
          <w:szCs w:val="22"/>
        </w:rPr>
        <w:t>Contencioso Fiscal</w:t>
      </w:r>
      <w:r w:rsidRPr="0072678C">
        <w:rPr>
          <w:rFonts w:asciiTheme="minorHAnsi" w:hAnsiTheme="minorHAnsi" w:cstheme="minorHAnsi"/>
          <w:sz w:val="22"/>
          <w:szCs w:val="22"/>
        </w:rPr>
        <w:t xml:space="preserve"> é “analisar as impugnações e recursos fiscais dos processos tributários com base em critérios objetivos e transparentes, julgar de acordo com a legislação de forma criteriosa e imparcial, e executar a cobrança da dívida ativa com base no perfil do devedor”.</w:t>
      </w:r>
    </w:p>
    <w:p w:rsidR="00B44516" w:rsidRPr="0072678C" w:rsidRDefault="00B44516" w:rsidP="00B44516">
      <w:pPr>
        <w:spacing w:before="240" w:after="240"/>
        <w:jc w:val="both"/>
        <w:rPr>
          <w:rFonts w:asciiTheme="minorHAnsi" w:hAnsiTheme="minorHAnsi" w:cstheme="minorHAnsi"/>
          <w:b/>
          <w:bCs/>
        </w:rPr>
      </w:pPr>
      <w:r w:rsidRPr="0072678C">
        <w:rPr>
          <w:rFonts w:asciiTheme="minorHAnsi" w:hAnsiTheme="minorHAnsi" w:cstheme="minorHAnsi"/>
          <w:sz w:val="22"/>
          <w:szCs w:val="22"/>
        </w:rPr>
        <w:t xml:space="preserve">O nível ou estágio de maturidade do conjunto de processos que compõe esta dimensão, apurado pela MD-GEFIS, é </w:t>
      </w:r>
      <w:r w:rsidR="00C00544" w:rsidRPr="0072678C">
        <w:rPr>
          <w:rFonts w:asciiTheme="minorHAnsi" w:hAnsiTheme="minorHAnsi" w:cstheme="minorHAnsi"/>
          <w:b/>
          <w:bCs/>
        </w:rPr>
        <w:t>INTERMEDIÁRIO (-).</w:t>
      </w:r>
    </w:p>
    <w:p w:rsidR="00CD2C73" w:rsidRPr="0072678C" w:rsidRDefault="00A617D4" w:rsidP="00A617D4">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 nível de maturidade Intermediário (-) desta Dimensão é proveniente </w:t>
      </w:r>
      <w:r w:rsidR="00CD2C73" w:rsidRPr="0072678C">
        <w:rPr>
          <w:rFonts w:asciiTheme="minorHAnsi" w:hAnsiTheme="minorHAnsi" w:cstheme="minorHAnsi"/>
          <w:sz w:val="22"/>
          <w:szCs w:val="22"/>
        </w:rPr>
        <w:t>principalmente</w:t>
      </w:r>
      <w:r w:rsidRPr="0072678C">
        <w:rPr>
          <w:rFonts w:asciiTheme="minorHAnsi" w:hAnsiTheme="minorHAnsi" w:cstheme="minorHAnsi"/>
          <w:sz w:val="22"/>
          <w:szCs w:val="22"/>
        </w:rPr>
        <w:t xml:space="preserve"> do Nível 3 de maturidade do processo </w:t>
      </w:r>
      <w:r w:rsidR="00CD2C73" w:rsidRPr="0072678C">
        <w:rPr>
          <w:rFonts w:asciiTheme="minorHAnsi" w:hAnsiTheme="minorHAnsi" w:cstheme="minorHAnsi"/>
          <w:b/>
          <w:bCs/>
          <w:i/>
          <w:iCs/>
          <w:sz w:val="22"/>
          <w:szCs w:val="22"/>
        </w:rPr>
        <w:t>procedimentos do contencioso do administrativo fiscal</w:t>
      </w:r>
      <w:r w:rsidR="00CD2C73" w:rsidRPr="0072678C">
        <w:rPr>
          <w:rFonts w:asciiTheme="minorHAnsi" w:hAnsiTheme="minorHAnsi" w:cstheme="minorHAnsi"/>
          <w:i/>
          <w:iCs/>
          <w:sz w:val="22"/>
          <w:szCs w:val="22"/>
        </w:rPr>
        <w:t xml:space="preserve">, e do nível 2 de maturidade dos processos </w:t>
      </w:r>
      <w:r w:rsidR="00CD2C73" w:rsidRPr="0072678C">
        <w:rPr>
          <w:rFonts w:asciiTheme="minorHAnsi" w:hAnsiTheme="minorHAnsi" w:cstheme="minorHAnsi"/>
          <w:b/>
          <w:bCs/>
          <w:i/>
          <w:iCs/>
          <w:sz w:val="22"/>
          <w:szCs w:val="22"/>
        </w:rPr>
        <w:t xml:space="preserve">gestão do contencioso administrativo fiscal; e processo administrativo fiscal eletrônico </w:t>
      </w:r>
      <w:r w:rsidR="00CD2C73" w:rsidRPr="0072678C">
        <w:rPr>
          <w:rFonts w:asciiTheme="minorHAnsi" w:hAnsiTheme="minorHAnsi" w:cstheme="minorHAnsi"/>
          <w:sz w:val="22"/>
          <w:szCs w:val="22"/>
        </w:rPr>
        <w:t xml:space="preserve">(e-processo tributário) os mesmos atendem a uma quantidade mediana de </w:t>
      </w:r>
      <w:r w:rsidR="009B231A">
        <w:rPr>
          <w:rFonts w:asciiTheme="minorHAnsi" w:hAnsiTheme="minorHAnsi" w:cstheme="minorHAnsi"/>
          <w:sz w:val="22"/>
          <w:szCs w:val="22"/>
        </w:rPr>
        <w:t>requisitos</w:t>
      </w:r>
      <w:r w:rsidR="00CD2C73" w:rsidRPr="0072678C">
        <w:rPr>
          <w:rFonts w:asciiTheme="minorHAnsi" w:hAnsiTheme="minorHAnsi" w:cstheme="minorHAnsi"/>
          <w:sz w:val="22"/>
          <w:szCs w:val="22"/>
        </w:rPr>
        <w:t xml:space="preserve"> das boas práticas da MD-GEFIS.</w:t>
      </w:r>
    </w:p>
    <w:p w:rsidR="009B3B4C" w:rsidRPr="0072678C" w:rsidRDefault="00CD2C73" w:rsidP="009B3B4C">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Outros 2 processos </w:t>
      </w:r>
      <w:r w:rsidR="009B3B4C" w:rsidRPr="0072678C">
        <w:rPr>
          <w:rFonts w:asciiTheme="minorHAnsi" w:hAnsiTheme="minorHAnsi" w:cstheme="minorHAnsi"/>
          <w:sz w:val="22"/>
          <w:szCs w:val="22"/>
        </w:rPr>
        <w:t>apresentam</w:t>
      </w:r>
      <w:r w:rsidRPr="0072678C">
        <w:rPr>
          <w:rFonts w:asciiTheme="minorHAnsi" w:hAnsiTheme="minorHAnsi" w:cstheme="minorHAnsi"/>
          <w:sz w:val="22"/>
          <w:szCs w:val="22"/>
        </w:rPr>
        <w:t xml:space="preserve"> nível 1 de maturidade, ou seja, a</w:t>
      </w:r>
      <w:r w:rsidR="009B3B4C" w:rsidRPr="0072678C">
        <w:rPr>
          <w:rFonts w:asciiTheme="minorHAnsi" w:hAnsiTheme="minorHAnsi" w:cstheme="minorHAnsi"/>
          <w:sz w:val="22"/>
          <w:szCs w:val="22"/>
        </w:rPr>
        <w:t>t</w:t>
      </w:r>
      <w:r w:rsidRPr="0072678C">
        <w:rPr>
          <w:rFonts w:asciiTheme="minorHAnsi" w:hAnsiTheme="minorHAnsi" w:cstheme="minorHAnsi"/>
          <w:sz w:val="22"/>
          <w:szCs w:val="22"/>
        </w:rPr>
        <w:t xml:space="preserve">endem a </w:t>
      </w:r>
      <w:r w:rsidR="009B3B4C" w:rsidRPr="0072678C">
        <w:rPr>
          <w:rFonts w:asciiTheme="minorHAnsi" w:hAnsiTheme="minorHAnsi" w:cstheme="minorHAnsi"/>
          <w:sz w:val="22"/>
          <w:szCs w:val="22"/>
        </w:rPr>
        <w:t xml:space="preserve">pouquíssimos </w:t>
      </w:r>
      <w:r w:rsidRPr="0072678C">
        <w:rPr>
          <w:rFonts w:asciiTheme="minorHAnsi" w:hAnsiTheme="minorHAnsi" w:cstheme="minorHAnsi"/>
          <w:sz w:val="22"/>
          <w:szCs w:val="22"/>
        </w:rPr>
        <w:t>dos requisitos da</w:t>
      </w:r>
      <w:r w:rsidR="009B3B4C" w:rsidRPr="0072678C">
        <w:rPr>
          <w:rFonts w:asciiTheme="minorHAnsi" w:hAnsiTheme="minorHAnsi" w:cstheme="minorHAnsi"/>
          <w:sz w:val="22"/>
          <w:szCs w:val="22"/>
        </w:rPr>
        <w:t xml:space="preserve">s boas práticas da MD-GEFIS: a </w:t>
      </w:r>
      <w:r w:rsidR="009B3B4C" w:rsidRPr="0072678C">
        <w:rPr>
          <w:rFonts w:asciiTheme="minorHAnsi" w:hAnsiTheme="minorHAnsi" w:cstheme="minorHAnsi"/>
          <w:b/>
          <w:bCs/>
          <w:sz w:val="22"/>
          <w:szCs w:val="22"/>
        </w:rPr>
        <w:t>recuperação da dívida ativa</w:t>
      </w:r>
      <w:r w:rsidR="009B3B4C" w:rsidRPr="0072678C">
        <w:rPr>
          <w:rFonts w:asciiTheme="minorHAnsi" w:hAnsiTheme="minorHAnsi" w:cstheme="minorHAnsi"/>
          <w:sz w:val="22"/>
          <w:szCs w:val="22"/>
        </w:rPr>
        <w:t xml:space="preserve">; e </w:t>
      </w:r>
      <w:r w:rsidR="009B3B4C" w:rsidRPr="0072678C">
        <w:rPr>
          <w:rFonts w:asciiTheme="minorHAnsi" w:hAnsiTheme="minorHAnsi" w:cstheme="minorHAnsi"/>
          <w:b/>
          <w:bCs/>
          <w:sz w:val="22"/>
          <w:szCs w:val="22"/>
        </w:rPr>
        <w:t>contencioso judicial</w:t>
      </w:r>
      <w:r w:rsidR="009B3B4C" w:rsidRPr="0072678C">
        <w:rPr>
          <w:rFonts w:asciiTheme="minorHAnsi" w:hAnsiTheme="minorHAnsi" w:cstheme="minorHAnsi"/>
          <w:sz w:val="22"/>
          <w:szCs w:val="22"/>
        </w:rPr>
        <w:t xml:space="preserve">. </w:t>
      </w:r>
    </w:p>
    <w:p w:rsidR="009B3B4C" w:rsidRPr="0072678C" w:rsidRDefault="009B3B4C" w:rsidP="00A617D4">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 processo </w:t>
      </w:r>
      <w:r w:rsidRPr="0072678C">
        <w:rPr>
          <w:rFonts w:asciiTheme="minorHAnsi" w:hAnsiTheme="minorHAnsi" w:cstheme="minorHAnsi"/>
          <w:b/>
          <w:bCs/>
          <w:i/>
          <w:iCs/>
          <w:sz w:val="22"/>
          <w:szCs w:val="22"/>
        </w:rPr>
        <w:t xml:space="preserve">inscrição e a cobrança da dívida ativa </w:t>
      </w:r>
      <w:r w:rsidRPr="0072678C">
        <w:rPr>
          <w:rFonts w:asciiTheme="minorHAnsi" w:hAnsiTheme="minorHAnsi" w:cstheme="minorHAnsi"/>
          <w:sz w:val="22"/>
          <w:szCs w:val="22"/>
        </w:rPr>
        <w:t>apresenta nível 0 (zero) de maturidade, ou seja, atende a</w:t>
      </w:r>
      <w:r w:rsidR="00004FF4" w:rsidRPr="0072678C">
        <w:rPr>
          <w:rFonts w:asciiTheme="minorHAnsi" w:hAnsiTheme="minorHAnsi" w:cstheme="minorHAnsi"/>
          <w:sz w:val="22"/>
          <w:szCs w:val="22"/>
        </w:rPr>
        <w:t xml:space="preserve">penas 2 dentre 9 </w:t>
      </w:r>
      <w:r w:rsidRPr="0072678C">
        <w:rPr>
          <w:rFonts w:asciiTheme="minorHAnsi" w:hAnsiTheme="minorHAnsi" w:cstheme="minorHAnsi"/>
          <w:sz w:val="22"/>
          <w:szCs w:val="22"/>
        </w:rPr>
        <w:t xml:space="preserve">dos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w:t>
      </w:r>
      <w:r w:rsidR="00064EE5" w:rsidRPr="0072678C">
        <w:rPr>
          <w:rFonts w:asciiTheme="minorHAnsi" w:hAnsiTheme="minorHAnsi" w:cstheme="minorHAnsi"/>
          <w:sz w:val="22"/>
          <w:szCs w:val="22"/>
        </w:rPr>
        <w:t>práticas</w:t>
      </w:r>
      <w:r w:rsidRPr="0072678C">
        <w:rPr>
          <w:rFonts w:asciiTheme="minorHAnsi" w:hAnsiTheme="minorHAnsi" w:cstheme="minorHAnsi"/>
          <w:sz w:val="22"/>
          <w:szCs w:val="22"/>
        </w:rPr>
        <w:t xml:space="preserve"> da MD-</w:t>
      </w:r>
      <w:r w:rsidR="00064EE5">
        <w:rPr>
          <w:rFonts w:asciiTheme="minorHAnsi" w:hAnsiTheme="minorHAnsi" w:cstheme="minorHAnsi"/>
          <w:sz w:val="22"/>
          <w:szCs w:val="22"/>
        </w:rPr>
        <w:t>GEFIS</w:t>
      </w:r>
      <w:r w:rsidRPr="0072678C">
        <w:rPr>
          <w:rFonts w:asciiTheme="minorHAnsi" w:hAnsiTheme="minorHAnsi" w:cstheme="minorHAnsi"/>
          <w:sz w:val="22"/>
          <w:szCs w:val="22"/>
        </w:rPr>
        <w:t>.</w:t>
      </w:r>
    </w:p>
    <w:p w:rsidR="00E120D2" w:rsidRPr="0072678C" w:rsidRDefault="00B15254" w:rsidP="00B15254">
      <w:pPr>
        <w:tabs>
          <w:tab w:val="left" w:pos="1874"/>
        </w:tabs>
        <w:ind w:left="70"/>
        <w:jc w:val="both"/>
        <w:rPr>
          <w:rFonts w:asciiTheme="minorHAnsi" w:hAnsiTheme="minorHAnsi" w:cstheme="minorHAnsi"/>
          <w:sz w:val="22"/>
          <w:szCs w:val="22"/>
        </w:rPr>
      </w:pPr>
      <w:r w:rsidRPr="0072678C">
        <w:rPr>
          <w:rFonts w:asciiTheme="minorHAnsi" w:hAnsiTheme="minorHAnsi" w:cstheme="minorHAnsi"/>
          <w:sz w:val="22"/>
          <w:szCs w:val="22"/>
        </w:rPr>
        <w:t>O</w:t>
      </w:r>
      <w:r w:rsidR="00C3180D" w:rsidRPr="0072678C">
        <w:rPr>
          <w:rFonts w:asciiTheme="minorHAnsi" w:hAnsiTheme="minorHAnsi" w:cstheme="minorHAnsi"/>
          <w:sz w:val="22"/>
          <w:szCs w:val="22"/>
        </w:rPr>
        <w:t xml:space="preserve"> processo </w:t>
      </w:r>
      <w:r w:rsidRPr="0072678C">
        <w:rPr>
          <w:rFonts w:asciiTheme="minorHAnsi" w:hAnsiTheme="minorHAnsi" w:cstheme="minorHAnsi"/>
          <w:b/>
          <w:bCs/>
          <w:sz w:val="22"/>
          <w:szCs w:val="22"/>
        </w:rPr>
        <w:t>procedimentos do contencioso do administrativo fiscal</w:t>
      </w:r>
      <w:r w:rsidRPr="0072678C">
        <w:rPr>
          <w:rFonts w:asciiTheme="minorHAnsi" w:hAnsiTheme="minorHAnsi" w:cstheme="minorHAnsi"/>
          <w:sz w:val="22"/>
          <w:szCs w:val="22"/>
        </w:rPr>
        <w:t xml:space="preserve"> </w:t>
      </w:r>
      <w:r w:rsidR="00C3180D" w:rsidRPr="0072678C">
        <w:rPr>
          <w:rFonts w:asciiTheme="minorHAnsi" w:hAnsiTheme="minorHAnsi" w:cstheme="minorHAnsi"/>
          <w:sz w:val="22"/>
          <w:szCs w:val="22"/>
        </w:rPr>
        <w:t xml:space="preserve">obteve nível 3 de maturidade e </w:t>
      </w:r>
      <w:r w:rsidRPr="0072678C">
        <w:rPr>
          <w:rFonts w:asciiTheme="minorHAnsi" w:hAnsiTheme="minorHAnsi" w:cstheme="minorHAnsi"/>
          <w:sz w:val="22"/>
          <w:szCs w:val="22"/>
        </w:rPr>
        <w:t>atende a 9 dentre 11</w:t>
      </w:r>
      <w:r w:rsidR="00E120D2" w:rsidRPr="0072678C">
        <w:rPr>
          <w:rFonts w:asciiTheme="minorHAnsi" w:hAnsiTheme="minorHAnsi" w:cstheme="minorHAnsi"/>
          <w:sz w:val="22"/>
          <w:szCs w:val="22"/>
        </w:rPr>
        <w:t xml:space="preserve"> </w:t>
      </w:r>
      <w:r w:rsidRPr="0072678C">
        <w:rPr>
          <w:rFonts w:asciiTheme="minorHAnsi" w:hAnsiTheme="minorHAnsi" w:cstheme="minorHAnsi"/>
          <w:sz w:val="22"/>
          <w:szCs w:val="22"/>
        </w:rPr>
        <w:t>requisitos das boas práticas da MD-GEFIS, ou seja utiliza informações completas e integradas sobre o processo, atualizadas em tempo real (e-processo tributário)</w:t>
      </w:r>
      <w:r w:rsidR="00492698" w:rsidRPr="0072678C">
        <w:rPr>
          <w:rStyle w:val="FootnoteReference"/>
          <w:rFonts w:asciiTheme="minorHAnsi" w:hAnsiTheme="minorHAnsi" w:cstheme="minorHAnsi"/>
          <w:sz w:val="22"/>
          <w:szCs w:val="22"/>
        </w:rPr>
        <w:footnoteReference w:id="135"/>
      </w:r>
      <w:r w:rsidR="00492698" w:rsidRPr="0072678C">
        <w:rPr>
          <w:rFonts w:asciiTheme="minorHAnsi" w:hAnsiTheme="minorHAnsi" w:cstheme="minorHAnsi"/>
          <w:sz w:val="22"/>
          <w:szCs w:val="22"/>
        </w:rPr>
        <w:t xml:space="preserve">; adota </w:t>
      </w:r>
      <w:r w:rsidRPr="0072678C">
        <w:rPr>
          <w:rFonts w:asciiTheme="minorHAnsi" w:hAnsiTheme="minorHAnsi" w:cstheme="minorHAnsi"/>
          <w:sz w:val="22"/>
          <w:szCs w:val="22"/>
        </w:rPr>
        <w:t>e divulga critérios técnicos para seleção, designação, proposição de capacitação e avaliação de julgadores, bem como para a definição da composição das câmaras julgadoras</w:t>
      </w:r>
      <w:r w:rsidR="00492698" w:rsidRPr="0072678C">
        <w:rPr>
          <w:rFonts w:asciiTheme="minorHAnsi" w:hAnsiTheme="minorHAnsi" w:cstheme="minorHAnsi"/>
          <w:sz w:val="22"/>
          <w:szCs w:val="22"/>
        </w:rPr>
        <w:t xml:space="preserve"> conforme as </w:t>
      </w:r>
      <w:r w:rsidRPr="0072678C">
        <w:rPr>
          <w:rFonts w:asciiTheme="minorHAnsi" w:hAnsiTheme="minorHAnsi" w:cstheme="minorHAnsi"/>
          <w:sz w:val="22"/>
          <w:szCs w:val="22"/>
        </w:rPr>
        <w:t>Portarias CAT 73 e 74, de 10 de agosto de 2017, publicadas no Diário Oficial de 11 de agosto de 2017, disciplina</w:t>
      </w:r>
      <w:r w:rsidR="00E120D2" w:rsidRPr="0072678C">
        <w:rPr>
          <w:rFonts w:asciiTheme="minorHAnsi" w:hAnsiTheme="minorHAnsi" w:cstheme="minorHAnsi"/>
          <w:sz w:val="22"/>
          <w:szCs w:val="22"/>
        </w:rPr>
        <w:t xml:space="preserve">ndo </w:t>
      </w:r>
      <w:r w:rsidRPr="0072678C">
        <w:rPr>
          <w:rFonts w:asciiTheme="minorHAnsi" w:hAnsiTheme="minorHAnsi" w:cstheme="minorHAnsi"/>
          <w:sz w:val="22"/>
          <w:szCs w:val="22"/>
        </w:rPr>
        <w:t>o processo de seleção dos</w:t>
      </w:r>
      <w:r w:rsidR="00492698" w:rsidRPr="0072678C">
        <w:rPr>
          <w:rFonts w:asciiTheme="minorHAnsi" w:hAnsiTheme="minorHAnsi" w:cstheme="minorHAnsi"/>
          <w:sz w:val="22"/>
          <w:szCs w:val="22"/>
        </w:rPr>
        <w:t xml:space="preserve"> juízes para o biênio 2018/2019; adota </w:t>
      </w:r>
      <w:r w:rsidRPr="0072678C">
        <w:rPr>
          <w:rFonts w:asciiTheme="minorHAnsi" w:hAnsiTheme="minorHAnsi" w:cstheme="minorHAnsi"/>
          <w:sz w:val="22"/>
          <w:szCs w:val="22"/>
        </w:rPr>
        <w:t>critérios objetivos e transparentes para priorização e distribuição automatizada dos processos para câmaras e relatores</w:t>
      </w:r>
      <w:r w:rsidR="00492698" w:rsidRPr="0072678C">
        <w:rPr>
          <w:rFonts w:asciiTheme="minorHAnsi" w:hAnsiTheme="minorHAnsi" w:cstheme="minorHAnsi"/>
          <w:sz w:val="22"/>
          <w:szCs w:val="22"/>
        </w:rPr>
        <w:t xml:space="preserve"> (o</w:t>
      </w:r>
      <w:r w:rsidRPr="0072678C">
        <w:rPr>
          <w:rFonts w:asciiTheme="minorHAnsi" w:hAnsiTheme="minorHAnsi" w:cstheme="minorHAnsi"/>
          <w:sz w:val="22"/>
          <w:szCs w:val="22"/>
        </w:rPr>
        <w:t xml:space="preserve"> sistema e</w:t>
      </w:r>
      <w:r w:rsidR="00492698" w:rsidRPr="0072678C">
        <w:rPr>
          <w:rFonts w:asciiTheme="minorHAnsi" w:hAnsiTheme="minorHAnsi" w:cstheme="minorHAnsi"/>
          <w:sz w:val="22"/>
          <w:szCs w:val="22"/>
        </w:rPr>
        <w:t>-</w:t>
      </w:r>
      <w:r w:rsidRPr="0072678C">
        <w:rPr>
          <w:rFonts w:asciiTheme="minorHAnsi" w:hAnsiTheme="minorHAnsi" w:cstheme="minorHAnsi"/>
          <w:sz w:val="22"/>
          <w:szCs w:val="22"/>
        </w:rPr>
        <w:t>PAT distribui aleatoriamente os processos, em conformidade com a Lei nº 13.457/2009</w:t>
      </w:r>
      <w:r w:rsidR="00492698" w:rsidRPr="0072678C">
        <w:rPr>
          <w:rFonts w:asciiTheme="minorHAnsi" w:hAnsiTheme="minorHAnsi" w:cstheme="minorHAnsi"/>
          <w:sz w:val="22"/>
          <w:szCs w:val="22"/>
        </w:rPr>
        <w:t xml:space="preserve">; acompanha </w:t>
      </w:r>
      <w:r w:rsidRPr="0072678C">
        <w:rPr>
          <w:rFonts w:asciiTheme="minorHAnsi" w:hAnsiTheme="minorHAnsi" w:cstheme="minorHAnsi"/>
          <w:sz w:val="22"/>
          <w:szCs w:val="22"/>
        </w:rPr>
        <w:t>e controla automaticamente a observância dos prazos processuais e regimentais</w:t>
      </w:r>
      <w:r w:rsidR="00492698" w:rsidRPr="0072678C">
        <w:rPr>
          <w:rFonts w:asciiTheme="minorHAnsi" w:hAnsiTheme="minorHAnsi" w:cstheme="minorHAnsi"/>
          <w:sz w:val="22"/>
          <w:szCs w:val="22"/>
        </w:rPr>
        <w:t xml:space="preserve">; adota </w:t>
      </w:r>
      <w:r w:rsidRPr="0072678C">
        <w:rPr>
          <w:rFonts w:asciiTheme="minorHAnsi" w:hAnsiTheme="minorHAnsi" w:cstheme="minorHAnsi"/>
          <w:sz w:val="22"/>
          <w:szCs w:val="22"/>
        </w:rPr>
        <w:t>critérios objetivos e transparentes para tramitação e admissibilidade de recursos especiais</w:t>
      </w:r>
      <w:r w:rsidR="00492698" w:rsidRPr="0072678C">
        <w:rPr>
          <w:rFonts w:asciiTheme="minorHAnsi" w:hAnsiTheme="minorHAnsi" w:cstheme="minorHAnsi"/>
          <w:sz w:val="22"/>
          <w:szCs w:val="22"/>
        </w:rPr>
        <w:t xml:space="preserve"> conforme </w:t>
      </w:r>
      <w:r w:rsidRPr="0072678C">
        <w:rPr>
          <w:rFonts w:asciiTheme="minorHAnsi" w:hAnsiTheme="minorHAnsi" w:cstheme="minorHAnsi"/>
          <w:sz w:val="22"/>
          <w:szCs w:val="22"/>
        </w:rPr>
        <w:t xml:space="preserve">critérios </w:t>
      </w:r>
      <w:r w:rsidR="00492698" w:rsidRPr="0072678C">
        <w:rPr>
          <w:rFonts w:asciiTheme="minorHAnsi" w:hAnsiTheme="minorHAnsi" w:cstheme="minorHAnsi"/>
          <w:sz w:val="22"/>
          <w:szCs w:val="22"/>
        </w:rPr>
        <w:t xml:space="preserve">que </w:t>
      </w:r>
      <w:r w:rsidRPr="0072678C">
        <w:rPr>
          <w:rFonts w:asciiTheme="minorHAnsi" w:hAnsiTheme="minorHAnsi" w:cstheme="minorHAnsi"/>
          <w:sz w:val="22"/>
          <w:szCs w:val="22"/>
        </w:rPr>
        <w:t>estão previstos no artigo 49, da Lei nº 13.457/2009</w:t>
      </w:r>
      <w:r w:rsidR="00492698" w:rsidRPr="0072678C">
        <w:rPr>
          <w:rFonts w:asciiTheme="minorHAnsi" w:hAnsiTheme="minorHAnsi" w:cstheme="minorHAnsi"/>
          <w:sz w:val="22"/>
          <w:szCs w:val="22"/>
        </w:rPr>
        <w:t xml:space="preserve">; contam </w:t>
      </w:r>
      <w:r w:rsidRPr="0072678C">
        <w:rPr>
          <w:rFonts w:asciiTheme="minorHAnsi" w:hAnsiTheme="minorHAnsi" w:cstheme="minorHAnsi"/>
          <w:sz w:val="22"/>
          <w:szCs w:val="22"/>
        </w:rPr>
        <w:t xml:space="preserve">com defesa oral da Procuradoria em </w:t>
      </w:r>
      <w:r w:rsidRPr="0072678C">
        <w:rPr>
          <w:rFonts w:asciiTheme="minorHAnsi" w:hAnsiTheme="minorHAnsi" w:cstheme="minorHAnsi"/>
          <w:sz w:val="22"/>
          <w:szCs w:val="22"/>
        </w:rPr>
        <w:lastRenderedPageBreak/>
        <w:t>matérias relevantes</w:t>
      </w:r>
      <w:r w:rsidR="00492698" w:rsidRPr="0072678C">
        <w:rPr>
          <w:rStyle w:val="FootnoteReference"/>
          <w:rFonts w:asciiTheme="minorHAnsi" w:hAnsiTheme="minorHAnsi" w:cstheme="minorHAnsi"/>
          <w:sz w:val="22"/>
          <w:szCs w:val="22"/>
        </w:rPr>
        <w:footnoteReference w:id="136"/>
      </w:r>
      <w:r w:rsidR="00492698" w:rsidRPr="0072678C">
        <w:rPr>
          <w:rFonts w:asciiTheme="minorHAnsi" w:hAnsiTheme="minorHAnsi" w:cstheme="minorHAnsi"/>
          <w:sz w:val="22"/>
          <w:szCs w:val="22"/>
        </w:rPr>
        <w:t xml:space="preserve">; dispõe </w:t>
      </w:r>
      <w:r w:rsidRPr="0072678C">
        <w:rPr>
          <w:rFonts w:asciiTheme="minorHAnsi" w:hAnsiTheme="minorHAnsi" w:cstheme="minorHAnsi"/>
          <w:sz w:val="22"/>
          <w:szCs w:val="22"/>
        </w:rPr>
        <w:t xml:space="preserve">de sistema informatizado que padroniza e agiliza a </w:t>
      </w:r>
      <w:r w:rsidR="00492698" w:rsidRPr="0072678C">
        <w:rPr>
          <w:rFonts w:asciiTheme="minorHAnsi" w:hAnsiTheme="minorHAnsi" w:cstheme="minorHAnsi"/>
          <w:sz w:val="22"/>
          <w:szCs w:val="22"/>
        </w:rPr>
        <w:t>emissão</w:t>
      </w:r>
      <w:r w:rsidRPr="0072678C">
        <w:rPr>
          <w:rFonts w:asciiTheme="minorHAnsi" w:hAnsiTheme="minorHAnsi" w:cstheme="minorHAnsi"/>
          <w:sz w:val="22"/>
          <w:szCs w:val="22"/>
        </w:rPr>
        <w:t xml:space="preserve"> de document</w:t>
      </w:r>
      <w:r w:rsidR="00492698" w:rsidRPr="0072678C">
        <w:rPr>
          <w:rFonts w:asciiTheme="minorHAnsi" w:hAnsiTheme="minorHAnsi" w:cstheme="minorHAnsi"/>
          <w:sz w:val="22"/>
          <w:szCs w:val="22"/>
        </w:rPr>
        <w:t xml:space="preserve">os (o </w:t>
      </w:r>
      <w:r w:rsidRPr="0072678C">
        <w:rPr>
          <w:rFonts w:asciiTheme="minorHAnsi" w:hAnsiTheme="minorHAnsi" w:cstheme="minorHAnsi"/>
          <w:sz w:val="22"/>
          <w:szCs w:val="22"/>
        </w:rPr>
        <w:t xml:space="preserve">sistema </w:t>
      </w:r>
      <w:proofErr w:type="spellStart"/>
      <w:r w:rsidRPr="0072678C">
        <w:rPr>
          <w:rFonts w:asciiTheme="minorHAnsi" w:hAnsiTheme="minorHAnsi" w:cstheme="minorHAnsi"/>
          <w:sz w:val="22"/>
          <w:szCs w:val="22"/>
        </w:rPr>
        <w:t>ePAT</w:t>
      </w:r>
      <w:proofErr w:type="spellEnd"/>
      <w:r w:rsidRPr="0072678C">
        <w:rPr>
          <w:rFonts w:asciiTheme="minorHAnsi" w:hAnsiTheme="minorHAnsi" w:cstheme="minorHAnsi"/>
          <w:sz w:val="22"/>
          <w:szCs w:val="22"/>
        </w:rPr>
        <w:t xml:space="preserve"> permite a impressão de pautas de julgamento, do inteiro teor das decisões, quando publicadas, do extrato de andamen</w:t>
      </w:r>
      <w:r w:rsidR="00E120D2" w:rsidRPr="0072678C">
        <w:rPr>
          <w:rFonts w:asciiTheme="minorHAnsi" w:hAnsiTheme="minorHAnsi" w:cstheme="minorHAnsi"/>
          <w:sz w:val="22"/>
          <w:szCs w:val="22"/>
        </w:rPr>
        <w:t>to dos processos, dentre outros); c</w:t>
      </w:r>
      <w:r w:rsidRPr="0072678C">
        <w:rPr>
          <w:rFonts w:asciiTheme="minorHAnsi" w:hAnsiTheme="minorHAnsi" w:cstheme="minorHAnsi"/>
          <w:sz w:val="22"/>
          <w:szCs w:val="22"/>
        </w:rPr>
        <w:t>ientifica automaticamente às partes interessadas das decisões, conforme autorizado em dispositivo legal</w:t>
      </w:r>
      <w:r w:rsidRPr="0072678C">
        <w:rPr>
          <w:rFonts w:asciiTheme="minorHAnsi" w:hAnsiTheme="minorHAnsi" w:cstheme="minorHAnsi"/>
          <w:sz w:val="22"/>
          <w:szCs w:val="22"/>
        </w:rPr>
        <w:tab/>
        <w:t xml:space="preserve"> </w:t>
      </w:r>
      <w:r w:rsidR="00E120D2" w:rsidRPr="0072678C">
        <w:rPr>
          <w:rFonts w:asciiTheme="minorHAnsi" w:hAnsiTheme="minorHAnsi" w:cstheme="minorHAnsi"/>
          <w:sz w:val="22"/>
          <w:szCs w:val="22"/>
        </w:rPr>
        <w:t>(a</w:t>
      </w:r>
      <w:r w:rsidRPr="0072678C">
        <w:rPr>
          <w:rFonts w:asciiTheme="minorHAnsi" w:hAnsiTheme="minorHAnsi" w:cstheme="minorHAnsi"/>
          <w:sz w:val="22"/>
          <w:szCs w:val="22"/>
        </w:rPr>
        <w:t xml:space="preserve">s partes interessadas são cientificadas </w:t>
      </w:r>
      <w:r w:rsidR="00E120D2" w:rsidRPr="0072678C">
        <w:rPr>
          <w:rFonts w:asciiTheme="minorHAnsi" w:hAnsiTheme="minorHAnsi" w:cstheme="minorHAnsi"/>
          <w:sz w:val="22"/>
          <w:szCs w:val="22"/>
        </w:rPr>
        <w:t xml:space="preserve">por meio </w:t>
      </w:r>
      <w:r w:rsidRPr="0072678C">
        <w:rPr>
          <w:rFonts w:asciiTheme="minorHAnsi" w:hAnsiTheme="minorHAnsi" w:cstheme="minorHAnsi"/>
          <w:sz w:val="22"/>
          <w:szCs w:val="22"/>
        </w:rPr>
        <w:t>do Diário Eletrônico: https://www.fazenda.sp.gov.br/DiarioEletronico/ConsultaPublica.aspx</w:t>
      </w:r>
      <w:r w:rsidR="00E120D2" w:rsidRPr="0072678C">
        <w:rPr>
          <w:rFonts w:asciiTheme="minorHAnsi" w:hAnsiTheme="minorHAnsi" w:cstheme="minorHAnsi"/>
          <w:sz w:val="22"/>
          <w:szCs w:val="22"/>
        </w:rPr>
        <w:t xml:space="preserve">) ; e disponibiliza </w:t>
      </w:r>
      <w:r w:rsidRPr="0072678C">
        <w:rPr>
          <w:rFonts w:asciiTheme="minorHAnsi" w:hAnsiTheme="minorHAnsi" w:cstheme="minorHAnsi"/>
          <w:sz w:val="22"/>
          <w:szCs w:val="22"/>
        </w:rPr>
        <w:t>na WEB pautas de julgamento, busca de acórdãos por tema e número, dados de estoque e pro</w:t>
      </w:r>
      <w:r w:rsidR="00E120D2" w:rsidRPr="0072678C">
        <w:rPr>
          <w:rFonts w:asciiTheme="minorHAnsi" w:hAnsiTheme="minorHAnsi" w:cstheme="minorHAnsi"/>
          <w:sz w:val="22"/>
          <w:szCs w:val="22"/>
        </w:rPr>
        <w:t>dutividade e demais comunicações</w:t>
      </w:r>
      <w:r w:rsidR="00E120D2" w:rsidRPr="0072678C">
        <w:rPr>
          <w:rStyle w:val="FootnoteReference"/>
          <w:rFonts w:asciiTheme="minorHAnsi" w:hAnsiTheme="minorHAnsi" w:cstheme="minorHAnsi"/>
          <w:sz w:val="22"/>
          <w:szCs w:val="22"/>
        </w:rPr>
        <w:footnoteReference w:id="137"/>
      </w:r>
      <w:r w:rsidR="00E120D2" w:rsidRPr="0072678C">
        <w:rPr>
          <w:rFonts w:asciiTheme="minorHAnsi" w:hAnsiTheme="minorHAnsi" w:cstheme="minorHAnsi"/>
          <w:sz w:val="22"/>
          <w:szCs w:val="22"/>
        </w:rPr>
        <w:t>.</w:t>
      </w:r>
    </w:p>
    <w:p w:rsidR="00B15254" w:rsidRPr="0072678C" w:rsidRDefault="00B15254" w:rsidP="00B15254">
      <w:pPr>
        <w:jc w:val="both"/>
      </w:pPr>
    </w:p>
    <w:p w:rsidR="00E60090" w:rsidRPr="0072678C" w:rsidRDefault="001964A4" w:rsidP="00E60090">
      <w:pPr>
        <w:tabs>
          <w:tab w:val="left" w:pos="1874"/>
        </w:tabs>
        <w:jc w:val="both"/>
        <w:rPr>
          <w:rFonts w:asciiTheme="minorHAnsi" w:hAnsiTheme="minorHAnsi" w:cstheme="minorHAnsi"/>
          <w:sz w:val="22"/>
          <w:szCs w:val="22"/>
        </w:rPr>
      </w:pPr>
      <w:r w:rsidRPr="0072678C">
        <w:rPr>
          <w:rFonts w:asciiTheme="minorHAnsi" w:hAnsiTheme="minorHAnsi" w:cstheme="minorHAnsi"/>
          <w:i/>
          <w:iCs/>
          <w:sz w:val="22"/>
          <w:szCs w:val="22"/>
        </w:rPr>
        <w:t xml:space="preserve">A </w:t>
      </w:r>
      <w:r w:rsidRPr="0072678C">
        <w:rPr>
          <w:rFonts w:asciiTheme="minorHAnsi" w:hAnsiTheme="minorHAnsi" w:cstheme="minorHAnsi"/>
          <w:b/>
          <w:bCs/>
          <w:i/>
          <w:iCs/>
          <w:sz w:val="22"/>
          <w:szCs w:val="22"/>
        </w:rPr>
        <w:t xml:space="preserve">gestão do contencioso administrativo fiscal </w:t>
      </w:r>
      <w:r w:rsidRPr="0072678C">
        <w:rPr>
          <w:rFonts w:asciiTheme="minorHAnsi" w:hAnsiTheme="minorHAnsi" w:cstheme="minorHAnsi"/>
          <w:sz w:val="22"/>
          <w:szCs w:val="22"/>
        </w:rPr>
        <w:t xml:space="preserve">atende a 5 dentre 8 requisitos das boas práticas da </w:t>
      </w:r>
      <w:r w:rsidR="00DD129B" w:rsidRPr="0072678C">
        <w:rPr>
          <w:rFonts w:asciiTheme="minorHAnsi" w:hAnsiTheme="minorHAnsi" w:cstheme="minorHAnsi"/>
          <w:sz w:val="22"/>
          <w:szCs w:val="22"/>
        </w:rPr>
        <w:t xml:space="preserve">MD-GEFIS e obteve nível 2 de maturidade, ou </w:t>
      </w:r>
      <w:r w:rsidR="00064EE5" w:rsidRPr="0072678C">
        <w:rPr>
          <w:rFonts w:asciiTheme="minorHAnsi" w:hAnsiTheme="minorHAnsi" w:cstheme="minorHAnsi"/>
          <w:sz w:val="22"/>
          <w:szCs w:val="22"/>
        </w:rPr>
        <w:t>seja, identifica</w:t>
      </w:r>
      <w:r w:rsidR="00DD129B" w:rsidRPr="0072678C">
        <w:rPr>
          <w:rFonts w:asciiTheme="minorHAnsi" w:hAnsiTheme="minorHAnsi" w:cstheme="minorHAnsi"/>
          <w:sz w:val="22"/>
          <w:szCs w:val="22"/>
        </w:rPr>
        <w:t xml:space="preserve"> problemas e formula estratégias de atuação a partir da análise de cenários e de riscos institucionais conforme o disposto no artigo 2º, da Lei nº 13.457/2009, o processo administrativo tributário obedecerá os princípios da publicidade, da </w:t>
      </w:r>
      <w:proofErr w:type="gramStart"/>
      <w:r w:rsidR="00DD129B" w:rsidRPr="0072678C">
        <w:rPr>
          <w:rFonts w:asciiTheme="minorHAnsi" w:hAnsiTheme="minorHAnsi" w:cstheme="minorHAnsi"/>
          <w:sz w:val="22"/>
          <w:szCs w:val="22"/>
        </w:rPr>
        <w:t>economia ,</w:t>
      </w:r>
      <w:proofErr w:type="gramEnd"/>
      <w:r w:rsidR="00DD129B" w:rsidRPr="0072678C">
        <w:rPr>
          <w:rFonts w:asciiTheme="minorHAnsi" w:hAnsiTheme="minorHAnsi" w:cstheme="minorHAnsi"/>
          <w:sz w:val="22"/>
          <w:szCs w:val="22"/>
        </w:rPr>
        <w:t xml:space="preserve"> da motivação e da celeridade. Com o intuito de obedecer tais princípios, pode-se destacar a recente alteração do número de Câmaras Julgadoras com a finalidade de aumentar a produtividade e celeridade do contencioso; estabelece metas para a conclusão do julgamento processual e monitora o seu alcance</w:t>
      </w:r>
      <w:r w:rsidR="00DD129B" w:rsidRPr="0072678C">
        <w:rPr>
          <w:rStyle w:val="FootnoteReference"/>
          <w:rFonts w:asciiTheme="minorHAnsi" w:hAnsiTheme="minorHAnsi" w:cstheme="minorHAnsi"/>
          <w:sz w:val="22"/>
          <w:szCs w:val="22"/>
        </w:rPr>
        <w:footnoteReference w:id="138"/>
      </w:r>
      <w:r w:rsidR="00DD129B" w:rsidRPr="0072678C">
        <w:rPr>
          <w:rFonts w:asciiTheme="minorHAnsi" w:hAnsiTheme="minorHAnsi" w:cstheme="minorHAnsi"/>
          <w:sz w:val="22"/>
          <w:szCs w:val="22"/>
        </w:rPr>
        <w:t>; controla e analisa os custos do contencioso, propondo limites e simplificação para os processos de baixa complexidade e baixo valor, com a publicação da Lei nº 16.498 houve um aumento de alçada para que processos de menor valor sejam resolvidos definitivamente nas Delegacias Tributárias de Julgamento; analisa o impacto de decisões divergentes propondo a formulação de consultas de interpretação da legislação e definição de súmulas vinculantes</w:t>
      </w:r>
      <w:r w:rsidR="00E60090" w:rsidRPr="0072678C">
        <w:rPr>
          <w:rStyle w:val="FootnoteReference"/>
          <w:rFonts w:asciiTheme="minorHAnsi" w:hAnsiTheme="minorHAnsi" w:cstheme="minorHAnsi"/>
          <w:sz w:val="22"/>
          <w:szCs w:val="22"/>
        </w:rPr>
        <w:footnoteReference w:id="139"/>
      </w:r>
      <w:r w:rsidR="00E60090" w:rsidRPr="0072678C">
        <w:rPr>
          <w:rFonts w:asciiTheme="minorHAnsi" w:hAnsiTheme="minorHAnsi" w:cstheme="minorHAnsi"/>
          <w:sz w:val="22"/>
          <w:szCs w:val="22"/>
        </w:rPr>
        <w:t>; estabelece e monitora procedimentos e vedações especificas que garantam transparência nos contatos entre empresas e seus representantes e os julgadores</w:t>
      </w:r>
      <w:r w:rsidR="00E60090" w:rsidRPr="0072678C">
        <w:rPr>
          <w:rFonts w:asciiTheme="minorHAnsi" w:hAnsiTheme="minorHAnsi" w:cstheme="minorHAnsi"/>
          <w:sz w:val="22"/>
          <w:szCs w:val="22"/>
        </w:rPr>
        <w:tab/>
        <w:t>Não há vedação expressa na Lei nº 13.457/2009 para que as partes ou seus representantes tenham contatos com os julgadores. Contudo, a SEFAZ/SP orienta que esse contato ocorra apenas durante as sessões de julgamento.</w:t>
      </w:r>
    </w:p>
    <w:p w:rsidR="001964A4" w:rsidRPr="0072678C" w:rsidRDefault="001964A4"/>
    <w:p w:rsidR="00260A74" w:rsidRPr="0072678C" w:rsidRDefault="007A4353" w:rsidP="00260A74">
      <w:pPr>
        <w:tabs>
          <w:tab w:val="left" w:pos="1874"/>
        </w:tabs>
        <w:jc w:val="both"/>
        <w:rPr>
          <w:rFonts w:asciiTheme="minorHAnsi" w:hAnsiTheme="minorHAnsi" w:cstheme="minorHAnsi"/>
          <w:sz w:val="22"/>
          <w:szCs w:val="22"/>
        </w:rPr>
      </w:pPr>
      <w:r w:rsidRPr="0072678C">
        <w:rPr>
          <w:rFonts w:asciiTheme="minorHAnsi" w:hAnsiTheme="minorHAnsi" w:cstheme="minorHAnsi"/>
          <w:sz w:val="22"/>
          <w:szCs w:val="22"/>
        </w:rPr>
        <w:t>O</w:t>
      </w:r>
      <w:r w:rsidR="004D4967" w:rsidRPr="0072678C">
        <w:rPr>
          <w:rFonts w:asciiTheme="minorHAnsi" w:hAnsiTheme="minorHAnsi" w:cstheme="minorHAnsi"/>
          <w:sz w:val="22"/>
          <w:szCs w:val="22"/>
        </w:rPr>
        <w:t xml:space="preserve"> </w:t>
      </w:r>
      <w:r w:rsidR="004D4967" w:rsidRPr="0072678C">
        <w:rPr>
          <w:rFonts w:asciiTheme="minorHAnsi" w:hAnsiTheme="minorHAnsi" w:cstheme="minorHAnsi"/>
          <w:b/>
          <w:bCs/>
          <w:i/>
          <w:iCs/>
          <w:sz w:val="22"/>
          <w:szCs w:val="22"/>
        </w:rPr>
        <w:t xml:space="preserve">processo administrativo fiscal eletrônico </w:t>
      </w:r>
      <w:r w:rsidR="004D4967" w:rsidRPr="0072678C">
        <w:rPr>
          <w:rFonts w:asciiTheme="minorHAnsi" w:hAnsiTheme="minorHAnsi" w:cstheme="minorHAnsi"/>
          <w:sz w:val="22"/>
          <w:szCs w:val="22"/>
        </w:rPr>
        <w:t xml:space="preserve">(e-processo tributário) obteve nível 2 de maturidade e atende 5 dentre 7 </w:t>
      </w:r>
      <w:r w:rsidR="009B231A">
        <w:rPr>
          <w:rFonts w:asciiTheme="minorHAnsi" w:hAnsiTheme="minorHAnsi" w:cstheme="minorHAnsi"/>
          <w:sz w:val="22"/>
          <w:szCs w:val="22"/>
        </w:rPr>
        <w:t>requisitos</w:t>
      </w:r>
      <w:r w:rsidR="004D4967" w:rsidRPr="0072678C">
        <w:rPr>
          <w:rFonts w:asciiTheme="minorHAnsi" w:hAnsiTheme="minorHAnsi" w:cstheme="minorHAnsi"/>
          <w:sz w:val="22"/>
          <w:szCs w:val="22"/>
        </w:rPr>
        <w:t xml:space="preserve"> da MD-GEFIS. Para tanto, utiliza certificado digital, permitindo a eliminação da tramitação física das peças processuais</w:t>
      </w:r>
      <w:r w:rsidR="004D4967" w:rsidRPr="0072678C">
        <w:rPr>
          <w:rStyle w:val="FootnoteReference"/>
          <w:rFonts w:asciiTheme="minorHAnsi" w:hAnsiTheme="minorHAnsi" w:cstheme="minorHAnsi"/>
          <w:sz w:val="22"/>
          <w:szCs w:val="22"/>
        </w:rPr>
        <w:footnoteReference w:id="140"/>
      </w:r>
      <w:r w:rsidR="004D4967" w:rsidRPr="0072678C">
        <w:rPr>
          <w:rFonts w:asciiTheme="minorHAnsi" w:hAnsiTheme="minorHAnsi" w:cstheme="minorHAnsi"/>
          <w:sz w:val="22"/>
          <w:szCs w:val="22"/>
        </w:rPr>
        <w:t>; utiliza como informações de prova preferencialmente os documentos digitais e define os procedimentos para digitalização quando se tratarem de documentos originalmente físicos (o sistema e-PAT só aceita digitais/digitalizados</w:t>
      </w:r>
      <w:r w:rsidR="001F629F" w:rsidRPr="0072678C">
        <w:rPr>
          <w:rStyle w:val="FootnoteReference"/>
          <w:rFonts w:asciiTheme="minorHAnsi" w:hAnsiTheme="minorHAnsi" w:cstheme="minorHAnsi"/>
          <w:sz w:val="22"/>
          <w:szCs w:val="22"/>
        </w:rPr>
        <w:footnoteReference w:id="141"/>
      </w:r>
      <w:r w:rsidR="001F629F" w:rsidRPr="0072678C">
        <w:rPr>
          <w:rFonts w:asciiTheme="minorHAnsi" w:hAnsiTheme="minorHAnsi" w:cstheme="minorHAnsi"/>
          <w:sz w:val="22"/>
          <w:szCs w:val="22"/>
        </w:rPr>
        <w:t>; d</w:t>
      </w:r>
      <w:r w:rsidR="004D4967" w:rsidRPr="0072678C">
        <w:rPr>
          <w:rFonts w:asciiTheme="minorHAnsi" w:hAnsiTheme="minorHAnsi" w:cstheme="minorHAnsi"/>
          <w:sz w:val="22"/>
          <w:szCs w:val="22"/>
        </w:rPr>
        <w:t>isponibiliza acesso, pela Internet, aos autos processuais pelas partes interessadas (fisco e contribuinte), em tempo real, com segurança, garantindo o sigilo fiscal</w:t>
      </w:r>
      <w:r w:rsidR="001F629F" w:rsidRPr="0072678C">
        <w:rPr>
          <w:rFonts w:asciiTheme="minorHAnsi" w:hAnsiTheme="minorHAnsi" w:cstheme="minorHAnsi"/>
          <w:sz w:val="22"/>
          <w:szCs w:val="22"/>
        </w:rPr>
        <w:t>; u</w:t>
      </w:r>
      <w:r w:rsidR="004D4967" w:rsidRPr="0072678C">
        <w:rPr>
          <w:rFonts w:asciiTheme="minorHAnsi" w:hAnsiTheme="minorHAnsi" w:cstheme="minorHAnsi"/>
          <w:sz w:val="22"/>
          <w:szCs w:val="22"/>
        </w:rPr>
        <w:t>tiliza meio eletrônico para dar ciência das movimentações e decisões às partes interessadas, conforme autorizado em dispositivo legal</w:t>
      </w:r>
      <w:r w:rsidR="001F629F" w:rsidRPr="0072678C">
        <w:rPr>
          <w:rStyle w:val="FootnoteReference"/>
          <w:rFonts w:asciiTheme="minorHAnsi" w:hAnsiTheme="minorHAnsi" w:cstheme="minorHAnsi"/>
          <w:sz w:val="22"/>
          <w:szCs w:val="22"/>
        </w:rPr>
        <w:footnoteReference w:id="142"/>
      </w:r>
      <w:r w:rsidR="001F629F" w:rsidRPr="0072678C">
        <w:rPr>
          <w:rFonts w:asciiTheme="minorHAnsi" w:hAnsiTheme="minorHAnsi" w:cstheme="minorHAnsi"/>
          <w:sz w:val="22"/>
          <w:szCs w:val="22"/>
        </w:rPr>
        <w:t>; d</w:t>
      </w:r>
      <w:r w:rsidR="004D4967" w:rsidRPr="0072678C">
        <w:rPr>
          <w:rFonts w:asciiTheme="minorHAnsi" w:hAnsiTheme="minorHAnsi" w:cstheme="minorHAnsi"/>
          <w:sz w:val="22"/>
          <w:szCs w:val="22"/>
        </w:rPr>
        <w:t>isponibiliza informações para a gestão do próprio contencioso administrativo e do contencioso judicial</w:t>
      </w:r>
      <w:r w:rsidRPr="0072678C">
        <w:rPr>
          <w:rFonts w:asciiTheme="minorHAnsi" w:hAnsiTheme="minorHAnsi" w:cstheme="minorHAnsi"/>
          <w:sz w:val="22"/>
          <w:szCs w:val="22"/>
        </w:rPr>
        <w:t>.</w:t>
      </w:r>
    </w:p>
    <w:p w:rsidR="00E60090" w:rsidRPr="0072678C" w:rsidRDefault="00E60090"/>
    <w:p w:rsidR="00F27248" w:rsidRPr="0072678C" w:rsidRDefault="00F27248" w:rsidP="00F27248">
      <w:pPr>
        <w:tabs>
          <w:tab w:val="left" w:pos="1874"/>
        </w:tabs>
        <w:jc w:val="both"/>
        <w:rPr>
          <w:rFonts w:asciiTheme="minorHAnsi" w:hAnsiTheme="minorHAnsi" w:cstheme="minorHAnsi"/>
          <w:sz w:val="22"/>
          <w:szCs w:val="22"/>
        </w:rPr>
      </w:pPr>
      <w:r w:rsidRPr="0072678C">
        <w:rPr>
          <w:rFonts w:asciiTheme="minorHAnsi" w:hAnsiTheme="minorHAnsi" w:cstheme="minorHAnsi"/>
          <w:sz w:val="22"/>
          <w:szCs w:val="22"/>
        </w:rPr>
        <w:t xml:space="preserve">O processo de </w:t>
      </w:r>
      <w:r w:rsidRPr="0072678C">
        <w:rPr>
          <w:rFonts w:asciiTheme="minorHAnsi" w:hAnsiTheme="minorHAnsi" w:cstheme="minorHAnsi"/>
          <w:b/>
          <w:bCs/>
          <w:sz w:val="22"/>
          <w:szCs w:val="22"/>
        </w:rPr>
        <w:t>recuperação da dívida ativa</w:t>
      </w:r>
      <w:r w:rsidRPr="0072678C">
        <w:rPr>
          <w:rFonts w:asciiTheme="minorHAnsi" w:hAnsiTheme="minorHAnsi" w:cstheme="minorHAnsi"/>
          <w:sz w:val="22"/>
          <w:szCs w:val="22"/>
        </w:rPr>
        <w:t xml:space="preserve"> obteve nível 1 de maturidade e atende apenas a 2 dentre 7 requisitos das boas práticas da MD-GEFIS, ou seja planeja ações de recuperação de acordo com o perfil da dívida e acompanha os resultados; e encaminha automaticamente débitos de menor valor para protesto extrajudicial das Certidões da Dívida Ativa (CDA), com repercussão </w:t>
      </w:r>
      <w:r w:rsidRPr="0072678C">
        <w:rPr>
          <w:rFonts w:asciiTheme="minorHAnsi" w:hAnsiTheme="minorHAnsi" w:cstheme="minorHAnsi"/>
          <w:sz w:val="22"/>
          <w:szCs w:val="22"/>
        </w:rPr>
        <w:lastRenderedPageBreak/>
        <w:t xml:space="preserve">nas empresas que registram pessoas físicas e jurídicas com crédito negativado no Brasil. A PGE encaminha diariamente as </w:t>
      </w:r>
      <w:proofErr w:type="spellStart"/>
      <w:r w:rsidRPr="0072678C">
        <w:rPr>
          <w:rFonts w:asciiTheme="minorHAnsi" w:hAnsiTheme="minorHAnsi" w:cstheme="minorHAnsi"/>
          <w:sz w:val="22"/>
          <w:szCs w:val="22"/>
        </w:rPr>
        <w:t>CDAs</w:t>
      </w:r>
      <w:proofErr w:type="spellEnd"/>
      <w:r w:rsidRPr="0072678C">
        <w:rPr>
          <w:rFonts w:asciiTheme="minorHAnsi" w:hAnsiTheme="minorHAnsi" w:cstheme="minorHAnsi"/>
          <w:sz w:val="22"/>
          <w:szCs w:val="22"/>
        </w:rPr>
        <w:t xml:space="preserve"> para protesto.</w:t>
      </w:r>
    </w:p>
    <w:p w:rsidR="007A4353" w:rsidRPr="0072678C" w:rsidRDefault="007A4353"/>
    <w:p w:rsidR="00DE779F" w:rsidRPr="0072678C" w:rsidRDefault="00DE779F" w:rsidP="00DE779F">
      <w:pPr>
        <w:tabs>
          <w:tab w:val="left" w:pos="1874"/>
        </w:tabs>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sz w:val="22"/>
          <w:szCs w:val="22"/>
        </w:rPr>
        <w:t>contencioso judicial</w:t>
      </w:r>
      <w:r w:rsidRPr="0072678C">
        <w:rPr>
          <w:rFonts w:asciiTheme="minorHAnsi" w:hAnsiTheme="minorHAnsi" w:cstheme="minorHAnsi"/>
          <w:sz w:val="22"/>
          <w:szCs w:val="22"/>
        </w:rPr>
        <w:t xml:space="preserve"> obteve nível 1 de maturidade e atende apenas a 2 dentre 6 dos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ou seja, acompanha a tramitação e julgamento de teses tributárias e define estratégias de atuação em tribunais superiores (trabalho realizado pela </w:t>
      </w:r>
      <w:proofErr w:type="spellStart"/>
      <w:r w:rsidRPr="0072678C">
        <w:rPr>
          <w:rFonts w:asciiTheme="minorHAnsi" w:hAnsiTheme="minorHAnsi" w:cstheme="minorHAnsi"/>
          <w:sz w:val="22"/>
          <w:szCs w:val="22"/>
        </w:rPr>
        <w:t>Subprocuradoria</w:t>
      </w:r>
      <w:proofErr w:type="spellEnd"/>
      <w:r w:rsidRPr="0072678C">
        <w:rPr>
          <w:rFonts w:asciiTheme="minorHAnsi" w:hAnsiTheme="minorHAnsi" w:cstheme="minorHAnsi"/>
          <w:sz w:val="22"/>
          <w:szCs w:val="22"/>
        </w:rPr>
        <w:t xml:space="preserve"> e pela PAT, por meio da plataforma jurídica oficial); e elabora pareceres e orienta a atuação da fiscalização e do contencioso administrativo, evitando sucumbência. </w:t>
      </w:r>
    </w:p>
    <w:p w:rsidR="009F2019" w:rsidRPr="0072678C" w:rsidRDefault="009F2019" w:rsidP="00DE779F">
      <w:pPr>
        <w:tabs>
          <w:tab w:val="left" w:pos="1874"/>
        </w:tabs>
        <w:jc w:val="both"/>
        <w:rPr>
          <w:rFonts w:asciiTheme="minorHAnsi" w:hAnsiTheme="minorHAnsi" w:cstheme="minorHAnsi"/>
          <w:sz w:val="22"/>
          <w:szCs w:val="22"/>
        </w:rPr>
      </w:pPr>
    </w:p>
    <w:p w:rsidR="00374A29" w:rsidRPr="0072678C" w:rsidRDefault="00CD5C0B" w:rsidP="00374A29">
      <w:pPr>
        <w:jc w:val="both"/>
        <w:rPr>
          <w:rFonts w:asciiTheme="minorHAnsi" w:hAnsiTheme="minorHAnsi" w:cstheme="minorHAnsi"/>
          <w:sz w:val="22"/>
          <w:szCs w:val="22"/>
        </w:rPr>
      </w:pPr>
      <w:r w:rsidRPr="0072678C">
        <w:rPr>
          <w:rFonts w:asciiTheme="minorHAnsi" w:hAnsiTheme="minorHAnsi" w:cstheme="minorHAnsi"/>
          <w:sz w:val="22"/>
          <w:szCs w:val="22"/>
        </w:rPr>
        <w:t xml:space="preserve">Apesar do nível 0 (zero) de maturidade o processo  </w:t>
      </w:r>
      <w:r w:rsidRPr="0072678C">
        <w:rPr>
          <w:rFonts w:asciiTheme="minorHAnsi" w:hAnsiTheme="minorHAnsi" w:cstheme="minorHAnsi"/>
          <w:b/>
          <w:bCs/>
          <w:i/>
          <w:iCs/>
          <w:sz w:val="22"/>
          <w:szCs w:val="22"/>
        </w:rPr>
        <w:t xml:space="preserve">inscrição e a cobrança da dívida </w:t>
      </w:r>
      <w:r w:rsidRPr="0072678C">
        <w:rPr>
          <w:rFonts w:asciiTheme="minorHAnsi" w:hAnsiTheme="minorHAnsi" w:cstheme="minorHAnsi"/>
          <w:sz w:val="22"/>
          <w:szCs w:val="22"/>
        </w:rPr>
        <w:t xml:space="preserve">ativa atende a 2 requisitos das boas práticas da MD-GEFIS, ou seja, observa o prazo máximo estabelecido para manutenção do processo na cobrança administrativa conforme o disposto no artigo 62 da Lei 6374, </w:t>
      </w:r>
      <w:r w:rsidR="00374A29" w:rsidRPr="0072678C">
        <w:rPr>
          <w:rFonts w:asciiTheme="minorHAnsi" w:hAnsiTheme="minorHAnsi" w:cstheme="minorHAnsi"/>
          <w:sz w:val="22"/>
          <w:szCs w:val="22"/>
        </w:rPr>
        <w:t xml:space="preserve">onde, </w:t>
      </w:r>
      <w:r w:rsidRPr="0072678C">
        <w:rPr>
          <w:rFonts w:asciiTheme="minorHAnsi" w:hAnsiTheme="minorHAnsi" w:cstheme="minorHAnsi"/>
          <w:sz w:val="22"/>
          <w:szCs w:val="22"/>
        </w:rPr>
        <w:t xml:space="preserve">“o imposto devido, declarado e não pago deve ser inscrito na Dívida Ativa, após 60 (sessenta) dias contados do vencimento”. </w:t>
      </w:r>
      <w:r w:rsidR="00374A29" w:rsidRPr="0072678C">
        <w:rPr>
          <w:rFonts w:asciiTheme="minorHAnsi" w:hAnsiTheme="minorHAnsi" w:cstheme="minorHAnsi"/>
          <w:sz w:val="22"/>
          <w:szCs w:val="22"/>
        </w:rPr>
        <w:t xml:space="preserve">Com relação ao </w:t>
      </w:r>
      <w:r w:rsidRPr="0072678C">
        <w:rPr>
          <w:rFonts w:asciiTheme="minorHAnsi" w:hAnsiTheme="minorHAnsi" w:cstheme="minorHAnsi"/>
          <w:sz w:val="22"/>
          <w:szCs w:val="22"/>
        </w:rPr>
        <w:t>ICMS declarado</w:t>
      </w:r>
      <w:r w:rsidR="00374A29" w:rsidRPr="0072678C">
        <w:rPr>
          <w:rFonts w:asciiTheme="minorHAnsi" w:hAnsiTheme="minorHAnsi" w:cstheme="minorHAnsi"/>
          <w:sz w:val="22"/>
          <w:szCs w:val="22"/>
        </w:rPr>
        <w:t>, o mesmo</w:t>
      </w:r>
      <w:r w:rsidRPr="0072678C">
        <w:rPr>
          <w:rFonts w:asciiTheme="minorHAnsi" w:hAnsiTheme="minorHAnsi" w:cstheme="minorHAnsi"/>
          <w:sz w:val="22"/>
          <w:szCs w:val="22"/>
        </w:rPr>
        <w:t xml:space="preserve"> segue um fluxo automático no sistema, que consiste em envio de notificação de débito em aberto após transcorrido o vencimento, e posteriormente ocorre a inscrição em dívida ativa. No geral, a partir da data de vencimento do débito até a inscrição,</w:t>
      </w:r>
      <w:r w:rsidR="00374A29" w:rsidRPr="0072678C">
        <w:rPr>
          <w:rFonts w:asciiTheme="minorHAnsi" w:hAnsiTheme="minorHAnsi" w:cstheme="minorHAnsi"/>
          <w:sz w:val="22"/>
          <w:szCs w:val="22"/>
        </w:rPr>
        <w:t xml:space="preserve"> transcorrem cerca de 90 dias. Também d</w:t>
      </w:r>
      <w:r w:rsidRPr="0072678C">
        <w:rPr>
          <w:rFonts w:asciiTheme="minorHAnsi" w:hAnsiTheme="minorHAnsi" w:cstheme="minorHAnsi"/>
          <w:sz w:val="22"/>
          <w:szCs w:val="22"/>
        </w:rPr>
        <w:t>ispõem de sistemática para controle de qualidade e legalidade antes da inscrição</w:t>
      </w:r>
      <w:r w:rsidR="00374A29" w:rsidRPr="0072678C">
        <w:rPr>
          <w:rFonts w:asciiTheme="minorHAnsi" w:hAnsiTheme="minorHAnsi" w:cstheme="minorHAnsi"/>
          <w:sz w:val="22"/>
          <w:szCs w:val="22"/>
        </w:rPr>
        <w:t>. E</w:t>
      </w:r>
      <w:r w:rsidRPr="0072678C">
        <w:rPr>
          <w:rFonts w:asciiTheme="minorHAnsi" w:hAnsiTheme="minorHAnsi" w:cstheme="minorHAnsi"/>
          <w:sz w:val="22"/>
          <w:szCs w:val="22"/>
        </w:rPr>
        <w:t>m relação ao ICMS declarado, em razão da declaração constituir o crédito tributário, não cabe controle de qualidade e legalidade.</w:t>
      </w:r>
    </w:p>
    <w:p w:rsidR="00B15254" w:rsidRPr="0072678C" w:rsidRDefault="00B15254" w:rsidP="00B44516">
      <w:pPr>
        <w:jc w:val="both"/>
        <w:rPr>
          <w:rFonts w:asciiTheme="minorHAnsi" w:hAnsiTheme="minorHAnsi" w:cstheme="minorHAnsi"/>
          <w:iCs/>
          <w:sz w:val="22"/>
          <w:szCs w:val="22"/>
        </w:rPr>
      </w:pPr>
    </w:p>
    <w:p w:rsidR="00B44516" w:rsidRPr="0072678C" w:rsidRDefault="00B44516" w:rsidP="00B44516">
      <w:pPr>
        <w:jc w:val="both"/>
        <w:rPr>
          <w:rFonts w:asciiTheme="minorHAnsi" w:hAnsiTheme="minorHAnsi" w:cstheme="minorHAnsi"/>
          <w:iCs/>
          <w:sz w:val="22"/>
          <w:szCs w:val="22"/>
        </w:rPr>
      </w:pPr>
      <w:r w:rsidRPr="0072678C">
        <w:rPr>
          <w:rFonts w:asciiTheme="minorHAnsi" w:hAnsiTheme="minorHAnsi" w:cstheme="minorHAnsi"/>
          <w:iCs/>
          <w:sz w:val="22"/>
          <w:szCs w:val="22"/>
        </w:rPr>
        <w:t>Os indicadores de Desempenho selecionados pela MD-GEFIS para esta Dimensão foram parcialmente disponibilizados:</w:t>
      </w:r>
    </w:p>
    <w:p w:rsidR="001438A4" w:rsidRPr="0072678C" w:rsidRDefault="001438A4" w:rsidP="00B44516">
      <w:pPr>
        <w:jc w:val="both"/>
        <w:rPr>
          <w:rFonts w:asciiTheme="minorHAnsi" w:hAnsiTheme="minorHAnsi" w:cstheme="minorHAnsi"/>
          <w:iCs/>
          <w:sz w:val="22"/>
          <w:szCs w:val="22"/>
        </w:rPr>
      </w:pPr>
    </w:p>
    <w:tbl>
      <w:tblPr>
        <w:tblW w:w="8794"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76"/>
        <w:gridCol w:w="1418"/>
      </w:tblGrid>
      <w:tr w:rsidR="00CD2C55" w:rsidRPr="0072678C" w:rsidTr="00CD2C55">
        <w:trPr>
          <w:trHeight w:val="337"/>
        </w:trPr>
        <w:tc>
          <w:tcPr>
            <w:tcW w:w="7376" w:type="dxa"/>
            <w:shd w:val="clear" w:color="auto" w:fill="FFD966" w:themeFill="accent4" w:themeFillTint="99"/>
            <w:tcMar>
              <w:top w:w="0" w:type="dxa"/>
              <w:left w:w="70" w:type="dxa"/>
              <w:bottom w:w="0" w:type="dxa"/>
              <w:right w:w="70" w:type="dxa"/>
            </w:tcMar>
            <w:vAlign w:val="center"/>
            <w:hideMark/>
          </w:tcPr>
          <w:p w:rsidR="00CD2C55" w:rsidRPr="0072678C" w:rsidRDefault="00CD2C55" w:rsidP="00C0620F">
            <w:pPr>
              <w:jc w:val="cente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Indicadores de Desempenho</w:t>
            </w:r>
          </w:p>
        </w:tc>
        <w:tc>
          <w:tcPr>
            <w:tcW w:w="1418" w:type="dxa"/>
            <w:shd w:val="clear" w:color="auto" w:fill="FFD966" w:themeFill="accent4" w:themeFillTint="99"/>
            <w:tcMar>
              <w:top w:w="0" w:type="dxa"/>
              <w:left w:w="70" w:type="dxa"/>
              <w:bottom w:w="0" w:type="dxa"/>
              <w:right w:w="70" w:type="dxa"/>
            </w:tcMar>
            <w:vAlign w:val="center"/>
            <w:hideMark/>
          </w:tcPr>
          <w:p w:rsidR="00CD2C55" w:rsidRPr="0072678C" w:rsidRDefault="00CD2C55" w:rsidP="00CD2C55">
            <w:pPr>
              <w:jc w:val="cente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Apuração 2017</w:t>
            </w:r>
          </w:p>
        </w:tc>
      </w:tr>
      <w:tr w:rsidR="00CD2C55" w:rsidRPr="0072678C" w:rsidTr="008036C4">
        <w:trPr>
          <w:trHeight w:val="330"/>
        </w:trPr>
        <w:tc>
          <w:tcPr>
            <w:tcW w:w="8794" w:type="dxa"/>
            <w:gridSpan w:val="2"/>
            <w:shd w:val="clear" w:color="auto" w:fill="FFE599" w:themeFill="accent4" w:themeFillTint="66"/>
            <w:tcMar>
              <w:top w:w="0" w:type="dxa"/>
              <w:left w:w="70" w:type="dxa"/>
              <w:bottom w:w="0" w:type="dxa"/>
              <w:right w:w="70" w:type="dxa"/>
            </w:tcMar>
            <w:vAlign w:val="center"/>
            <w:hideMark/>
          </w:tcPr>
          <w:p w:rsidR="00CD2C55" w:rsidRPr="0072678C" w:rsidRDefault="00CD2C55" w:rsidP="00CD2C55">
            <w:pP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Julgamento em 1a instância</w:t>
            </w:r>
            <w:r w:rsidRPr="0072678C">
              <w:rPr>
                <w:rFonts w:asciiTheme="minorHAnsi" w:hAnsiTheme="minorHAnsi" w:cstheme="minorHAnsi"/>
                <w:sz w:val="20"/>
                <w:szCs w:val="20"/>
              </w:rPr>
              <w:t xml:space="preserve">  </w:t>
            </w:r>
          </w:p>
        </w:tc>
      </w:tr>
      <w:tr w:rsidR="00CD2C55" w:rsidRPr="0072678C" w:rsidTr="00CD2C55">
        <w:trPr>
          <w:trHeight w:val="485"/>
        </w:trPr>
        <w:tc>
          <w:tcPr>
            <w:tcW w:w="7376" w:type="dxa"/>
            <w:tcMar>
              <w:top w:w="0" w:type="dxa"/>
              <w:left w:w="70" w:type="dxa"/>
              <w:bottom w:w="0" w:type="dxa"/>
              <w:right w:w="70" w:type="dxa"/>
            </w:tcMar>
            <w:vAlign w:val="center"/>
            <w:hideMark/>
          </w:tcPr>
          <w:p w:rsidR="00CD2C55" w:rsidRPr="0072678C" w:rsidRDefault="00CD2C55" w:rsidP="00C0620F">
            <w:pPr>
              <w:rPr>
                <w:rFonts w:asciiTheme="minorHAnsi" w:eastAsiaTheme="minorHAnsi" w:hAnsiTheme="minorHAnsi" w:cstheme="minorHAnsi"/>
                <w:sz w:val="20"/>
                <w:szCs w:val="20"/>
                <w:lang w:eastAsia="en-US"/>
              </w:rPr>
            </w:pPr>
            <w:r w:rsidRPr="0072678C">
              <w:rPr>
                <w:rFonts w:asciiTheme="minorHAnsi" w:hAnsiTheme="minorHAnsi" w:cstheme="minorHAnsi"/>
                <w:iCs/>
                <w:sz w:val="20"/>
                <w:szCs w:val="20"/>
              </w:rPr>
              <w:t>Quantidade de processos julgados em 1</w:t>
            </w:r>
            <w:r w:rsidRPr="0072678C">
              <w:rPr>
                <w:rFonts w:asciiTheme="minorHAnsi" w:hAnsiTheme="minorHAnsi" w:cstheme="minorHAnsi"/>
                <w:iCs/>
                <w:sz w:val="20"/>
                <w:szCs w:val="20"/>
                <w:vertAlign w:val="superscript"/>
              </w:rPr>
              <w:t>a</w:t>
            </w:r>
            <w:r w:rsidRPr="0072678C">
              <w:rPr>
                <w:rFonts w:asciiTheme="minorHAnsi" w:hAnsiTheme="minorHAnsi" w:cstheme="minorHAnsi"/>
                <w:iCs/>
                <w:sz w:val="20"/>
                <w:szCs w:val="20"/>
              </w:rPr>
              <w:t xml:space="preserve"> instância/ (Estoque inicial + ingressos no exercício)</w:t>
            </w:r>
          </w:p>
        </w:tc>
        <w:tc>
          <w:tcPr>
            <w:tcW w:w="1418" w:type="dxa"/>
            <w:noWrap/>
            <w:tcMar>
              <w:top w:w="0" w:type="dxa"/>
              <w:left w:w="70" w:type="dxa"/>
              <w:bottom w:w="0" w:type="dxa"/>
              <w:right w:w="70" w:type="dxa"/>
            </w:tcMar>
            <w:vAlign w:val="center"/>
            <w:hideMark/>
          </w:tcPr>
          <w:p w:rsidR="00CD2C55" w:rsidRPr="0072678C" w:rsidRDefault="00CD2C55" w:rsidP="00C0620F">
            <w:pPr>
              <w:jc w:val="cente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1,2855</w:t>
            </w:r>
          </w:p>
        </w:tc>
      </w:tr>
      <w:tr w:rsidR="00CD2C55" w:rsidRPr="0072678C" w:rsidTr="00CD2C55">
        <w:trPr>
          <w:trHeight w:val="523"/>
        </w:trPr>
        <w:tc>
          <w:tcPr>
            <w:tcW w:w="7376" w:type="dxa"/>
            <w:tcMar>
              <w:top w:w="0" w:type="dxa"/>
              <w:left w:w="70" w:type="dxa"/>
              <w:bottom w:w="0" w:type="dxa"/>
              <w:right w:w="70" w:type="dxa"/>
            </w:tcMar>
            <w:vAlign w:val="center"/>
            <w:hideMark/>
          </w:tcPr>
          <w:p w:rsidR="00CD2C55" w:rsidRPr="0072678C" w:rsidRDefault="00CD2C55" w:rsidP="00C0620F">
            <w:pPr>
              <w:rPr>
                <w:rFonts w:asciiTheme="minorHAnsi" w:eastAsiaTheme="minorHAnsi" w:hAnsiTheme="minorHAnsi" w:cstheme="minorHAnsi"/>
                <w:sz w:val="20"/>
                <w:szCs w:val="20"/>
                <w:lang w:eastAsia="en-US"/>
              </w:rPr>
            </w:pPr>
            <w:r w:rsidRPr="0072678C">
              <w:rPr>
                <w:rFonts w:asciiTheme="minorHAnsi" w:hAnsiTheme="minorHAnsi" w:cstheme="minorHAnsi"/>
                <w:iCs/>
                <w:sz w:val="20"/>
                <w:szCs w:val="20"/>
              </w:rPr>
              <w:t>Valor dos processos julgados em 1</w:t>
            </w:r>
            <w:r w:rsidRPr="0072678C">
              <w:rPr>
                <w:rFonts w:asciiTheme="minorHAnsi" w:hAnsiTheme="minorHAnsi" w:cstheme="minorHAnsi"/>
                <w:iCs/>
                <w:sz w:val="20"/>
                <w:szCs w:val="20"/>
                <w:vertAlign w:val="superscript"/>
              </w:rPr>
              <w:t>a</w:t>
            </w:r>
            <w:r w:rsidRPr="0072678C">
              <w:rPr>
                <w:rFonts w:asciiTheme="minorHAnsi" w:hAnsiTheme="minorHAnsi" w:cstheme="minorHAnsi"/>
                <w:iCs/>
                <w:sz w:val="20"/>
                <w:szCs w:val="20"/>
              </w:rPr>
              <w:t xml:space="preserve"> instância/ (Valor do estoque inicial + valor dos ingressos no exercício)</w:t>
            </w:r>
          </w:p>
        </w:tc>
        <w:tc>
          <w:tcPr>
            <w:tcW w:w="1418" w:type="dxa"/>
            <w:noWrap/>
            <w:tcMar>
              <w:top w:w="0" w:type="dxa"/>
              <w:left w:w="70" w:type="dxa"/>
              <w:bottom w:w="0" w:type="dxa"/>
              <w:right w:w="70" w:type="dxa"/>
            </w:tcMar>
            <w:vAlign w:val="center"/>
            <w:hideMark/>
          </w:tcPr>
          <w:p w:rsidR="00CD2C55" w:rsidRPr="0072678C" w:rsidRDefault="00CD2C55" w:rsidP="00C0620F">
            <w:pPr>
              <w:jc w:val="cente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0,77</w:t>
            </w:r>
          </w:p>
        </w:tc>
      </w:tr>
      <w:tr w:rsidR="00CD2C55" w:rsidRPr="0072678C" w:rsidTr="008036C4">
        <w:trPr>
          <w:trHeight w:val="330"/>
        </w:trPr>
        <w:tc>
          <w:tcPr>
            <w:tcW w:w="8794" w:type="dxa"/>
            <w:gridSpan w:val="2"/>
            <w:shd w:val="clear" w:color="auto" w:fill="FFE599" w:themeFill="accent4" w:themeFillTint="66"/>
            <w:tcMar>
              <w:top w:w="0" w:type="dxa"/>
              <w:left w:w="70" w:type="dxa"/>
              <w:bottom w:w="0" w:type="dxa"/>
              <w:right w:w="70" w:type="dxa"/>
            </w:tcMar>
            <w:vAlign w:val="center"/>
            <w:hideMark/>
          </w:tcPr>
          <w:p w:rsidR="00CD2C55" w:rsidRPr="0072678C" w:rsidRDefault="00CD2C55" w:rsidP="00CD2C55">
            <w:pP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Julgamento em 2</w:t>
            </w:r>
            <w:r w:rsidRPr="0072678C">
              <w:rPr>
                <w:rFonts w:asciiTheme="minorHAnsi" w:hAnsiTheme="minorHAnsi" w:cstheme="minorHAnsi"/>
                <w:b/>
                <w:bCs/>
                <w:sz w:val="20"/>
                <w:szCs w:val="20"/>
                <w:vertAlign w:val="superscript"/>
              </w:rPr>
              <w:t xml:space="preserve">a </w:t>
            </w:r>
            <w:r w:rsidRPr="0072678C">
              <w:rPr>
                <w:rFonts w:asciiTheme="minorHAnsi" w:hAnsiTheme="minorHAnsi" w:cstheme="minorHAnsi"/>
                <w:b/>
                <w:bCs/>
                <w:sz w:val="20"/>
                <w:szCs w:val="20"/>
              </w:rPr>
              <w:t>instância</w:t>
            </w:r>
          </w:p>
        </w:tc>
      </w:tr>
      <w:tr w:rsidR="00CD2C55" w:rsidRPr="0072678C" w:rsidTr="00CD2C55">
        <w:trPr>
          <w:trHeight w:val="391"/>
        </w:trPr>
        <w:tc>
          <w:tcPr>
            <w:tcW w:w="7376" w:type="dxa"/>
            <w:tcMar>
              <w:top w:w="0" w:type="dxa"/>
              <w:left w:w="70" w:type="dxa"/>
              <w:bottom w:w="0" w:type="dxa"/>
              <w:right w:w="70" w:type="dxa"/>
            </w:tcMar>
            <w:vAlign w:val="center"/>
            <w:hideMark/>
          </w:tcPr>
          <w:p w:rsidR="00CD2C55" w:rsidRPr="0072678C" w:rsidRDefault="00CD2C55" w:rsidP="00C0620F">
            <w:pPr>
              <w:rPr>
                <w:rFonts w:asciiTheme="minorHAnsi" w:eastAsiaTheme="minorHAnsi" w:hAnsiTheme="minorHAnsi" w:cstheme="minorHAnsi"/>
                <w:sz w:val="20"/>
                <w:szCs w:val="20"/>
                <w:lang w:eastAsia="en-US"/>
              </w:rPr>
            </w:pPr>
            <w:r w:rsidRPr="0072678C">
              <w:rPr>
                <w:rFonts w:asciiTheme="minorHAnsi" w:hAnsiTheme="minorHAnsi" w:cstheme="minorHAnsi"/>
                <w:iCs/>
                <w:sz w:val="20"/>
                <w:szCs w:val="20"/>
              </w:rPr>
              <w:t>Quantidade de processos julgados em 2</w:t>
            </w:r>
            <w:r w:rsidRPr="0072678C">
              <w:rPr>
                <w:rFonts w:asciiTheme="minorHAnsi" w:hAnsiTheme="minorHAnsi" w:cstheme="minorHAnsi"/>
                <w:iCs/>
                <w:sz w:val="20"/>
                <w:szCs w:val="20"/>
                <w:vertAlign w:val="superscript"/>
              </w:rPr>
              <w:t>a</w:t>
            </w:r>
            <w:r w:rsidRPr="0072678C">
              <w:rPr>
                <w:rFonts w:asciiTheme="minorHAnsi" w:hAnsiTheme="minorHAnsi" w:cstheme="minorHAnsi"/>
                <w:iCs/>
                <w:sz w:val="20"/>
                <w:szCs w:val="20"/>
              </w:rPr>
              <w:t xml:space="preserve"> instância/  (Estoque inicial + ingressos no exercício)</w:t>
            </w:r>
          </w:p>
        </w:tc>
        <w:tc>
          <w:tcPr>
            <w:tcW w:w="1418" w:type="dxa"/>
            <w:noWrap/>
            <w:tcMar>
              <w:top w:w="0" w:type="dxa"/>
              <w:left w:w="70" w:type="dxa"/>
              <w:bottom w:w="0" w:type="dxa"/>
              <w:right w:w="70" w:type="dxa"/>
            </w:tcMar>
            <w:vAlign w:val="center"/>
            <w:hideMark/>
          </w:tcPr>
          <w:p w:rsidR="00CD2C55" w:rsidRPr="0072678C" w:rsidRDefault="00CD2C55" w:rsidP="00C0620F">
            <w:pPr>
              <w:jc w:val="cente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0,3309</w:t>
            </w:r>
          </w:p>
        </w:tc>
      </w:tr>
      <w:tr w:rsidR="00CD2C55" w:rsidRPr="0072678C" w:rsidTr="008036C4">
        <w:trPr>
          <w:trHeight w:val="287"/>
        </w:trPr>
        <w:tc>
          <w:tcPr>
            <w:tcW w:w="8794" w:type="dxa"/>
            <w:gridSpan w:val="2"/>
            <w:shd w:val="clear" w:color="auto" w:fill="FFE599" w:themeFill="accent4" w:themeFillTint="66"/>
            <w:tcMar>
              <w:top w:w="0" w:type="dxa"/>
              <w:left w:w="70" w:type="dxa"/>
              <w:bottom w:w="0" w:type="dxa"/>
              <w:right w:w="70" w:type="dxa"/>
            </w:tcMar>
            <w:vAlign w:val="center"/>
            <w:hideMark/>
          </w:tcPr>
          <w:p w:rsidR="00CD2C55" w:rsidRPr="0072678C" w:rsidRDefault="00CD2C55" w:rsidP="00CD2C55">
            <w:pP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Participação do crédito recuperado na arrecadação</w:t>
            </w:r>
          </w:p>
        </w:tc>
      </w:tr>
      <w:tr w:rsidR="00CD2C55" w:rsidRPr="0072678C" w:rsidTr="00CD2C55">
        <w:trPr>
          <w:trHeight w:val="561"/>
        </w:trPr>
        <w:tc>
          <w:tcPr>
            <w:tcW w:w="7376" w:type="dxa"/>
            <w:tcMar>
              <w:top w:w="0" w:type="dxa"/>
              <w:left w:w="70" w:type="dxa"/>
              <w:bottom w:w="0" w:type="dxa"/>
              <w:right w:w="70" w:type="dxa"/>
            </w:tcMar>
            <w:vAlign w:val="center"/>
            <w:hideMark/>
          </w:tcPr>
          <w:p w:rsidR="00CD2C55" w:rsidRPr="0072678C" w:rsidRDefault="00CD2C55" w:rsidP="00CD2C55">
            <w:pPr>
              <w:rPr>
                <w:rFonts w:asciiTheme="minorHAnsi" w:eastAsiaTheme="minorHAnsi" w:hAnsiTheme="minorHAnsi" w:cstheme="minorHAnsi"/>
                <w:sz w:val="20"/>
                <w:szCs w:val="20"/>
                <w:lang w:eastAsia="en-US"/>
              </w:rPr>
            </w:pPr>
            <w:r w:rsidRPr="0072678C">
              <w:rPr>
                <w:rFonts w:asciiTheme="minorHAnsi" w:hAnsiTheme="minorHAnsi" w:cstheme="minorHAnsi"/>
                <w:iCs/>
                <w:sz w:val="20"/>
                <w:szCs w:val="20"/>
              </w:rPr>
              <w:t>Valor do crédito pago ou parcelado após decisão favorável à fazenda pública na 1a instância / Valor total da arrecadação do ICMS</w:t>
            </w:r>
          </w:p>
        </w:tc>
        <w:tc>
          <w:tcPr>
            <w:tcW w:w="1418" w:type="dxa"/>
            <w:noWrap/>
            <w:tcMar>
              <w:top w:w="0" w:type="dxa"/>
              <w:left w:w="70" w:type="dxa"/>
              <w:bottom w:w="0" w:type="dxa"/>
              <w:right w:w="70" w:type="dxa"/>
            </w:tcMar>
            <w:vAlign w:val="center"/>
            <w:hideMark/>
          </w:tcPr>
          <w:p w:rsidR="00CD2C55" w:rsidRPr="0072678C" w:rsidRDefault="00CD2C55" w:rsidP="00C0620F">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N/D</w:t>
            </w:r>
          </w:p>
        </w:tc>
      </w:tr>
      <w:tr w:rsidR="00CD2C55" w:rsidRPr="0072678C" w:rsidTr="00CD2C55">
        <w:trPr>
          <w:trHeight w:val="541"/>
        </w:trPr>
        <w:tc>
          <w:tcPr>
            <w:tcW w:w="7376" w:type="dxa"/>
            <w:tcMar>
              <w:top w:w="0" w:type="dxa"/>
              <w:left w:w="70" w:type="dxa"/>
              <w:bottom w:w="0" w:type="dxa"/>
              <w:right w:w="70" w:type="dxa"/>
            </w:tcMar>
            <w:vAlign w:val="center"/>
            <w:hideMark/>
          </w:tcPr>
          <w:p w:rsidR="00CD2C55" w:rsidRPr="0072678C" w:rsidRDefault="00CD2C55" w:rsidP="00CD2C55">
            <w:pPr>
              <w:rPr>
                <w:rFonts w:asciiTheme="minorHAnsi" w:eastAsiaTheme="minorHAnsi" w:hAnsiTheme="minorHAnsi" w:cstheme="minorHAnsi"/>
                <w:sz w:val="20"/>
                <w:szCs w:val="20"/>
                <w:lang w:eastAsia="en-US"/>
              </w:rPr>
            </w:pPr>
            <w:r w:rsidRPr="0072678C">
              <w:rPr>
                <w:rFonts w:asciiTheme="minorHAnsi" w:hAnsiTheme="minorHAnsi" w:cstheme="minorHAnsi"/>
                <w:iCs/>
                <w:sz w:val="20"/>
                <w:szCs w:val="20"/>
              </w:rPr>
              <w:t>Valor do crédito pago ou parcelado após decisão favorável à fazenda pública na 2a instância / Valor total da arrecadação do ICMS</w:t>
            </w:r>
          </w:p>
        </w:tc>
        <w:tc>
          <w:tcPr>
            <w:tcW w:w="1418" w:type="dxa"/>
            <w:noWrap/>
            <w:tcMar>
              <w:top w:w="0" w:type="dxa"/>
              <w:left w:w="70" w:type="dxa"/>
              <w:bottom w:w="0" w:type="dxa"/>
              <w:right w:w="70" w:type="dxa"/>
            </w:tcMar>
            <w:vAlign w:val="center"/>
            <w:hideMark/>
          </w:tcPr>
          <w:p w:rsidR="00CD2C55" w:rsidRPr="0072678C" w:rsidRDefault="00CD2C55" w:rsidP="00C0620F">
            <w:pPr>
              <w:jc w:val="center"/>
              <w:rPr>
                <w:rFonts w:asciiTheme="minorHAnsi" w:eastAsiaTheme="minorHAnsi" w:hAnsiTheme="minorHAnsi" w:cstheme="minorHAnsi"/>
                <w:sz w:val="20"/>
                <w:szCs w:val="20"/>
                <w:lang w:eastAsia="en-US"/>
              </w:rPr>
            </w:pPr>
            <w:r w:rsidRPr="0072678C">
              <w:rPr>
                <w:rFonts w:asciiTheme="minorHAnsi" w:hAnsiTheme="minorHAnsi" w:cstheme="minorHAnsi"/>
                <w:sz w:val="20"/>
                <w:szCs w:val="20"/>
              </w:rPr>
              <w:t>N/D</w:t>
            </w:r>
          </w:p>
        </w:tc>
      </w:tr>
      <w:tr w:rsidR="00CD2C55" w:rsidRPr="0072678C" w:rsidTr="008036C4">
        <w:trPr>
          <w:trHeight w:val="312"/>
        </w:trPr>
        <w:tc>
          <w:tcPr>
            <w:tcW w:w="8794" w:type="dxa"/>
            <w:gridSpan w:val="2"/>
            <w:shd w:val="clear" w:color="auto" w:fill="FFE599" w:themeFill="accent4" w:themeFillTint="66"/>
            <w:tcMar>
              <w:top w:w="0" w:type="dxa"/>
              <w:left w:w="70" w:type="dxa"/>
              <w:bottom w:w="0" w:type="dxa"/>
              <w:right w:w="70" w:type="dxa"/>
            </w:tcMar>
            <w:vAlign w:val="center"/>
            <w:hideMark/>
          </w:tcPr>
          <w:p w:rsidR="00CD2C55" w:rsidRPr="0072678C" w:rsidRDefault="00CD2C55" w:rsidP="00CD2C55">
            <w:pP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Tempo de tramitação do contencioso administrativo</w:t>
            </w:r>
          </w:p>
        </w:tc>
      </w:tr>
      <w:tr w:rsidR="00CD2C55" w:rsidRPr="0072678C" w:rsidTr="00CD2C55">
        <w:trPr>
          <w:trHeight w:val="416"/>
        </w:trPr>
        <w:tc>
          <w:tcPr>
            <w:tcW w:w="7376" w:type="dxa"/>
            <w:tcMar>
              <w:top w:w="0" w:type="dxa"/>
              <w:left w:w="70" w:type="dxa"/>
              <w:bottom w:w="0" w:type="dxa"/>
              <w:right w:w="70" w:type="dxa"/>
            </w:tcMar>
            <w:vAlign w:val="center"/>
            <w:hideMark/>
          </w:tcPr>
          <w:p w:rsidR="00CD2C55" w:rsidRPr="0072678C" w:rsidRDefault="00CD2C55" w:rsidP="00C0620F">
            <w:pPr>
              <w:rPr>
                <w:rFonts w:asciiTheme="minorHAnsi" w:eastAsiaTheme="minorHAnsi" w:hAnsiTheme="minorHAnsi" w:cstheme="minorHAnsi"/>
                <w:sz w:val="20"/>
                <w:szCs w:val="20"/>
                <w:lang w:eastAsia="en-US"/>
              </w:rPr>
            </w:pPr>
            <w:r w:rsidRPr="0072678C">
              <w:rPr>
                <w:rFonts w:asciiTheme="minorHAnsi" w:hAnsiTheme="minorHAnsi" w:cstheme="minorHAnsi"/>
                <w:iCs/>
                <w:sz w:val="20"/>
                <w:szCs w:val="20"/>
              </w:rPr>
              <w:t>Tempo médio de tramitação do processo administrativo tributário na 1a instância</w:t>
            </w:r>
          </w:p>
        </w:tc>
        <w:tc>
          <w:tcPr>
            <w:tcW w:w="1418" w:type="dxa"/>
            <w:noWrap/>
            <w:tcMar>
              <w:top w:w="0" w:type="dxa"/>
              <w:left w:w="70" w:type="dxa"/>
              <w:bottom w:w="0" w:type="dxa"/>
              <w:right w:w="70" w:type="dxa"/>
            </w:tcMar>
            <w:vAlign w:val="center"/>
            <w:hideMark/>
          </w:tcPr>
          <w:p w:rsidR="00CD2C55" w:rsidRPr="0072678C" w:rsidRDefault="00CD2C55" w:rsidP="00C0620F">
            <w:pPr>
              <w:jc w:val="cente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9,43 dias</w:t>
            </w:r>
          </w:p>
        </w:tc>
      </w:tr>
      <w:tr w:rsidR="00CD2C55" w:rsidRPr="0072678C" w:rsidTr="00CD2C55">
        <w:trPr>
          <w:trHeight w:val="274"/>
        </w:trPr>
        <w:tc>
          <w:tcPr>
            <w:tcW w:w="7376" w:type="dxa"/>
            <w:tcMar>
              <w:top w:w="0" w:type="dxa"/>
              <w:left w:w="70" w:type="dxa"/>
              <w:bottom w:w="0" w:type="dxa"/>
              <w:right w:w="70" w:type="dxa"/>
            </w:tcMar>
            <w:vAlign w:val="center"/>
            <w:hideMark/>
          </w:tcPr>
          <w:p w:rsidR="00CD2C55" w:rsidRPr="0072678C" w:rsidRDefault="00CD2C55" w:rsidP="00C0620F">
            <w:pPr>
              <w:rPr>
                <w:rFonts w:asciiTheme="minorHAnsi" w:eastAsiaTheme="minorHAnsi" w:hAnsiTheme="minorHAnsi" w:cstheme="minorHAnsi"/>
                <w:sz w:val="20"/>
                <w:szCs w:val="20"/>
                <w:lang w:eastAsia="en-US"/>
              </w:rPr>
            </w:pPr>
            <w:r w:rsidRPr="0072678C">
              <w:rPr>
                <w:rFonts w:asciiTheme="minorHAnsi" w:hAnsiTheme="minorHAnsi" w:cstheme="minorHAnsi"/>
                <w:iCs/>
                <w:sz w:val="20"/>
                <w:szCs w:val="20"/>
              </w:rPr>
              <w:t>Tempo médio de tramitação do processo administrativo tributário na 2a instância</w:t>
            </w:r>
          </w:p>
        </w:tc>
        <w:tc>
          <w:tcPr>
            <w:tcW w:w="1418" w:type="dxa"/>
            <w:noWrap/>
            <w:tcMar>
              <w:top w:w="0" w:type="dxa"/>
              <w:left w:w="70" w:type="dxa"/>
              <w:bottom w:w="0" w:type="dxa"/>
              <w:right w:w="70" w:type="dxa"/>
            </w:tcMar>
            <w:vAlign w:val="center"/>
            <w:hideMark/>
          </w:tcPr>
          <w:p w:rsidR="00CD2C55" w:rsidRPr="0072678C" w:rsidRDefault="00CD2C55" w:rsidP="00C0620F">
            <w:pPr>
              <w:jc w:val="center"/>
              <w:rPr>
                <w:rFonts w:asciiTheme="minorHAnsi" w:eastAsiaTheme="minorHAnsi" w:hAnsiTheme="minorHAnsi" w:cstheme="minorHAnsi"/>
                <w:sz w:val="20"/>
                <w:szCs w:val="20"/>
                <w:lang w:eastAsia="en-US"/>
              </w:rPr>
            </w:pPr>
            <w:r w:rsidRPr="0072678C">
              <w:rPr>
                <w:rFonts w:asciiTheme="minorHAnsi" w:hAnsiTheme="minorHAnsi" w:cstheme="minorHAnsi"/>
                <w:b/>
                <w:bCs/>
                <w:sz w:val="20"/>
                <w:szCs w:val="20"/>
              </w:rPr>
              <w:t>25,85 dias</w:t>
            </w:r>
          </w:p>
        </w:tc>
      </w:tr>
    </w:tbl>
    <w:p w:rsidR="00202F15" w:rsidRPr="0072678C" w:rsidRDefault="00202F15"/>
    <w:p w:rsidR="00B44516" w:rsidRPr="0072678C" w:rsidRDefault="00B44516" w:rsidP="00B44516">
      <w:pPr>
        <w:jc w:val="both"/>
        <w:rPr>
          <w:rFonts w:asciiTheme="minorHAnsi" w:hAnsiTheme="minorHAnsi" w:cstheme="minorHAnsi"/>
          <w:b/>
          <w:sz w:val="22"/>
          <w:szCs w:val="22"/>
        </w:rPr>
      </w:pPr>
    </w:p>
    <w:tbl>
      <w:tblPr>
        <w:tblStyle w:val="TableGrid"/>
        <w:tblW w:w="0" w:type="auto"/>
        <w:tblInd w:w="108" w:type="dxa"/>
        <w:shd w:val="clear" w:color="auto" w:fill="FFE599" w:themeFill="accent4" w:themeFillTint="66"/>
        <w:tblLook w:val="04A0" w:firstRow="1" w:lastRow="0" w:firstColumn="1" w:lastColumn="0" w:noHBand="0" w:noVBand="1"/>
      </w:tblPr>
      <w:tblGrid>
        <w:gridCol w:w="6592"/>
        <w:gridCol w:w="2197"/>
      </w:tblGrid>
      <w:tr w:rsidR="00B44516" w:rsidRPr="0072678C" w:rsidTr="00B44516">
        <w:tc>
          <w:tcPr>
            <w:tcW w:w="6592" w:type="dxa"/>
            <w:shd w:val="clear" w:color="auto" w:fill="FFE599" w:themeFill="accent4" w:themeFillTint="66"/>
          </w:tcPr>
          <w:p w:rsidR="00B44516" w:rsidRPr="0072678C" w:rsidRDefault="00B44516" w:rsidP="00B44516">
            <w:pPr>
              <w:spacing w:before="120" w:after="120"/>
              <w:jc w:val="both"/>
              <w:rPr>
                <w:rFonts w:asciiTheme="minorHAnsi" w:hAnsiTheme="minorHAnsi" w:cstheme="minorHAnsi"/>
                <w:b/>
              </w:rPr>
            </w:pPr>
            <w:r w:rsidRPr="0072678C">
              <w:rPr>
                <w:rFonts w:asciiTheme="minorHAnsi" w:hAnsiTheme="minorHAnsi" w:cstheme="minorHAnsi"/>
                <w:b/>
              </w:rPr>
              <w:t xml:space="preserve">Dimensão AT 5. Serviços ao Contribuinte </w:t>
            </w:r>
          </w:p>
        </w:tc>
        <w:tc>
          <w:tcPr>
            <w:tcW w:w="2197" w:type="dxa"/>
            <w:shd w:val="clear" w:color="auto" w:fill="FFE599" w:themeFill="accent4" w:themeFillTint="66"/>
          </w:tcPr>
          <w:p w:rsidR="00B44516" w:rsidRPr="0072678C" w:rsidRDefault="00793BDD" w:rsidP="00B44516">
            <w:pPr>
              <w:spacing w:before="120" w:after="120"/>
              <w:jc w:val="center"/>
              <w:rPr>
                <w:rFonts w:asciiTheme="minorHAnsi" w:hAnsiTheme="minorHAnsi" w:cstheme="minorHAnsi"/>
                <w:b/>
              </w:rPr>
            </w:pPr>
            <w:r w:rsidRPr="0072678C">
              <w:rPr>
                <w:rFonts w:asciiTheme="minorHAnsi" w:hAnsiTheme="minorHAnsi" w:cstheme="minorHAnsi"/>
                <w:b/>
                <w:bCs/>
              </w:rPr>
              <w:t>INTERMEDIÁRIO (-)</w:t>
            </w:r>
          </w:p>
        </w:tc>
      </w:tr>
    </w:tbl>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 dimensão </w:t>
      </w:r>
      <w:r w:rsidRPr="0072678C">
        <w:rPr>
          <w:rFonts w:asciiTheme="minorHAnsi" w:hAnsiTheme="minorHAnsi" w:cstheme="minorHAnsi"/>
          <w:b/>
          <w:sz w:val="22"/>
          <w:szCs w:val="22"/>
        </w:rPr>
        <w:t xml:space="preserve">Serviços ao Contribuinte </w:t>
      </w:r>
      <w:r w:rsidRPr="0072678C">
        <w:rPr>
          <w:rFonts w:asciiTheme="minorHAnsi" w:hAnsiTheme="minorHAnsi" w:cstheme="minorHAnsi"/>
          <w:sz w:val="22"/>
          <w:szCs w:val="22"/>
        </w:rPr>
        <w:t>tem como visão de futuro “oferecer serviços presenciais e virtuais acessíveis e resolutivos e priorizar o relacionamento fisco-contribuinte”.</w:t>
      </w:r>
    </w:p>
    <w:p w:rsidR="00B44516" w:rsidRPr="0072678C" w:rsidRDefault="00B44516" w:rsidP="00B44516">
      <w:pPr>
        <w:spacing w:before="240" w:after="240"/>
        <w:jc w:val="both"/>
        <w:rPr>
          <w:rFonts w:asciiTheme="minorHAnsi" w:hAnsiTheme="minorHAnsi" w:cstheme="minorHAnsi"/>
          <w:b/>
          <w:sz w:val="22"/>
          <w:szCs w:val="22"/>
        </w:rPr>
      </w:pPr>
      <w:r w:rsidRPr="0072678C">
        <w:rPr>
          <w:rFonts w:asciiTheme="minorHAnsi" w:hAnsiTheme="minorHAnsi" w:cstheme="minorHAnsi"/>
          <w:sz w:val="22"/>
          <w:szCs w:val="22"/>
        </w:rPr>
        <w:lastRenderedPageBreak/>
        <w:t>Nesta dimensão, o nível ou estágio de maturidade do conjunto de processos que compõe esta dim</w:t>
      </w:r>
      <w:r w:rsidR="00D418BB" w:rsidRPr="0072678C">
        <w:rPr>
          <w:rFonts w:asciiTheme="minorHAnsi" w:hAnsiTheme="minorHAnsi" w:cstheme="minorHAnsi"/>
          <w:sz w:val="22"/>
          <w:szCs w:val="22"/>
        </w:rPr>
        <w:t>ensão, conforme apurado pela MD-</w:t>
      </w:r>
      <w:r w:rsidRPr="0072678C">
        <w:rPr>
          <w:rFonts w:asciiTheme="minorHAnsi" w:hAnsiTheme="minorHAnsi" w:cstheme="minorHAnsi"/>
          <w:sz w:val="22"/>
          <w:szCs w:val="22"/>
        </w:rPr>
        <w:t xml:space="preserve">GEFIS, é </w:t>
      </w:r>
      <w:r w:rsidR="00793BDD" w:rsidRPr="0072678C">
        <w:rPr>
          <w:rFonts w:asciiTheme="minorHAnsi" w:hAnsiTheme="minorHAnsi" w:cstheme="minorHAnsi"/>
          <w:b/>
          <w:bCs/>
          <w:sz w:val="22"/>
          <w:szCs w:val="22"/>
        </w:rPr>
        <w:t>INTERMEDIÁRIO (-)</w:t>
      </w:r>
      <w:r w:rsidRPr="0072678C">
        <w:rPr>
          <w:rFonts w:asciiTheme="minorHAnsi" w:hAnsiTheme="minorHAnsi" w:cstheme="minorHAnsi"/>
          <w:b/>
          <w:sz w:val="22"/>
          <w:szCs w:val="22"/>
        </w:rPr>
        <w:t>.</w:t>
      </w:r>
    </w:p>
    <w:p w:rsidR="00B44516" w:rsidRPr="0072678C" w:rsidRDefault="00B44516" w:rsidP="00B44516">
      <w:pPr>
        <w:jc w:val="both"/>
        <w:rPr>
          <w:rFonts w:asciiTheme="minorHAnsi" w:hAnsiTheme="minorHAnsi" w:cstheme="minorHAnsi"/>
          <w:sz w:val="22"/>
          <w:szCs w:val="22"/>
        </w:rPr>
      </w:pPr>
      <w:r w:rsidRPr="0072678C">
        <w:rPr>
          <w:rFonts w:asciiTheme="minorHAnsi" w:hAnsiTheme="minorHAnsi" w:cstheme="minorHAnsi"/>
          <w:sz w:val="22"/>
          <w:szCs w:val="22"/>
        </w:rPr>
        <w:t>Dos cinco pro</w:t>
      </w:r>
      <w:r w:rsidR="00793BDD" w:rsidRPr="0072678C">
        <w:rPr>
          <w:rFonts w:asciiTheme="minorHAnsi" w:hAnsiTheme="minorHAnsi" w:cstheme="minorHAnsi"/>
          <w:sz w:val="22"/>
          <w:szCs w:val="22"/>
        </w:rPr>
        <w:t>cessos desta dimensão, apenas o</w:t>
      </w:r>
      <w:r w:rsidRPr="0072678C">
        <w:rPr>
          <w:rFonts w:asciiTheme="minorHAnsi" w:hAnsiTheme="minorHAnsi" w:cstheme="minorHAnsi"/>
          <w:iCs/>
          <w:sz w:val="22"/>
          <w:szCs w:val="22"/>
        </w:rPr>
        <w:t xml:space="preserve"> </w:t>
      </w:r>
      <w:r w:rsidR="00793BDD" w:rsidRPr="0072678C">
        <w:rPr>
          <w:rFonts w:asciiTheme="minorHAnsi" w:hAnsiTheme="minorHAnsi" w:cstheme="minorHAnsi"/>
          <w:b/>
          <w:bCs/>
          <w:i/>
          <w:iCs/>
          <w:sz w:val="22"/>
          <w:szCs w:val="22"/>
        </w:rPr>
        <w:t>serviço de atendimento presencial ao contribuinte</w:t>
      </w:r>
      <w:r w:rsidR="00793BDD" w:rsidRPr="0072678C">
        <w:rPr>
          <w:rFonts w:asciiTheme="minorHAnsi" w:hAnsiTheme="minorHAnsi" w:cstheme="minorHAnsi"/>
          <w:sz w:val="22"/>
          <w:szCs w:val="22"/>
        </w:rPr>
        <w:t xml:space="preserve"> apresenta n</w:t>
      </w:r>
      <w:r w:rsidRPr="0072678C">
        <w:rPr>
          <w:rFonts w:asciiTheme="minorHAnsi" w:hAnsiTheme="minorHAnsi" w:cstheme="minorHAnsi"/>
          <w:sz w:val="22"/>
          <w:szCs w:val="22"/>
        </w:rPr>
        <w:t xml:space="preserve">ível </w:t>
      </w:r>
      <w:r w:rsidR="00793BDD" w:rsidRPr="0072678C">
        <w:rPr>
          <w:rFonts w:asciiTheme="minorHAnsi" w:hAnsiTheme="minorHAnsi" w:cstheme="minorHAnsi"/>
          <w:sz w:val="22"/>
          <w:szCs w:val="22"/>
        </w:rPr>
        <w:t>3</w:t>
      </w:r>
      <w:r w:rsidRPr="0072678C">
        <w:rPr>
          <w:rFonts w:asciiTheme="minorHAnsi" w:hAnsiTheme="minorHAnsi" w:cstheme="minorHAnsi"/>
          <w:sz w:val="22"/>
          <w:szCs w:val="22"/>
        </w:rPr>
        <w:t xml:space="preserve"> </w:t>
      </w:r>
      <w:r w:rsidR="00064EE5" w:rsidRPr="0072678C">
        <w:rPr>
          <w:rFonts w:asciiTheme="minorHAnsi" w:hAnsiTheme="minorHAnsi" w:cstheme="minorHAnsi"/>
          <w:sz w:val="22"/>
          <w:szCs w:val="22"/>
        </w:rPr>
        <w:t>de maturidade</w:t>
      </w:r>
      <w:r w:rsidRPr="0072678C">
        <w:rPr>
          <w:rFonts w:asciiTheme="minorHAnsi" w:hAnsiTheme="minorHAnsi" w:cstheme="minorHAnsi"/>
          <w:sz w:val="22"/>
          <w:szCs w:val="22"/>
        </w:rPr>
        <w:t xml:space="preserve">, ou seja, </w:t>
      </w:r>
      <w:r w:rsidR="00793BDD" w:rsidRPr="0072678C">
        <w:rPr>
          <w:rFonts w:asciiTheme="minorHAnsi" w:hAnsiTheme="minorHAnsi" w:cstheme="minorHAnsi"/>
          <w:sz w:val="22"/>
          <w:szCs w:val="22"/>
        </w:rPr>
        <w:t xml:space="preserve">atende a todos os 7 </w:t>
      </w:r>
      <w:r w:rsidR="009B231A">
        <w:rPr>
          <w:rFonts w:asciiTheme="minorHAnsi" w:hAnsiTheme="minorHAnsi" w:cstheme="minorHAnsi"/>
          <w:sz w:val="22"/>
          <w:szCs w:val="22"/>
        </w:rPr>
        <w:t>requisitos</w:t>
      </w:r>
      <w:r w:rsidR="00793BDD"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das boas práticas da MD-GEFIS. </w:t>
      </w:r>
    </w:p>
    <w:p w:rsidR="00F15D82" w:rsidRPr="0072678C" w:rsidRDefault="00793BDD" w:rsidP="00F15D82">
      <w:pPr>
        <w:spacing w:before="240" w:after="240"/>
        <w:jc w:val="both"/>
        <w:rPr>
          <w:rFonts w:asciiTheme="minorHAnsi" w:hAnsiTheme="minorHAnsi" w:cstheme="minorHAnsi"/>
          <w:b/>
          <w:bCs/>
          <w:i/>
          <w:iCs/>
          <w:sz w:val="22"/>
          <w:szCs w:val="22"/>
        </w:rPr>
      </w:pPr>
      <w:r w:rsidRPr="0072678C">
        <w:rPr>
          <w:rFonts w:asciiTheme="minorHAnsi" w:hAnsiTheme="minorHAnsi" w:cstheme="minorHAnsi"/>
          <w:sz w:val="22"/>
          <w:szCs w:val="22"/>
        </w:rPr>
        <w:t xml:space="preserve">Outros 5 processos apresentam nível 2 de maturidade, ou seja, atende a número médio de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w:t>
      </w:r>
      <w:r w:rsidR="00EA1466" w:rsidRPr="0072678C">
        <w:rPr>
          <w:rFonts w:asciiTheme="minorHAnsi" w:hAnsiTheme="minorHAnsi" w:cstheme="minorHAnsi"/>
          <w:b/>
          <w:bCs/>
          <w:i/>
          <w:iCs/>
          <w:sz w:val="22"/>
          <w:szCs w:val="22"/>
        </w:rPr>
        <w:t>direcionamento estratégico dos serviços ao contribuinte; estrutura de serviços de atendimento ao contribuinte; serviço de atendimento virtual ao contribuinte; mecanismos de relacionamento fisco-contribuinte; e Domicílio Tributário Eletrônico (</w:t>
      </w:r>
      <w:proofErr w:type="spellStart"/>
      <w:r w:rsidR="00EA1466" w:rsidRPr="0072678C">
        <w:rPr>
          <w:rFonts w:asciiTheme="minorHAnsi" w:hAnsiTheme="minorHAnsi" w:cstheme="minorHAnsi"/>
          <w:b/>
          <w:bCs/>
          <w:i/>
          <w:iCs/>
          <w:sz w:val="22"/>
          <w:szCs w:val="22"/>
        </w:rPr>
        <w:t>DT-e</w:t>
      </w:r>
      <w:proofErr w:type="spellEnd"/>
      <w:r w:rsidR="00EA1466" w:rsidRPr="0072678C">
        <w:rPr>
          <w:rFonts w:asciiTheme="minorHAnsi" w:hAnsiTheme="minorHAnsi" w:cstheme="minorHAnsi"/>
          <w:b/>
          <w:bCs/>
          <w:i/>
          <w:iCs/>
          <w:sz w:val="22"/>
          <w:szCs w:val="22"/>
        </w:rPr>
        <w:t xml:space="preserve">) </w:t>
      </w:r>
    </w:p>
    <w:p w:rsidR="00F15D82" w:rsidRPr="0072678C" w:rsidRDefault="009F1A5D" w:rsidP="00F15D82">
      <w:pPr>
        <w:spacing w:before="240" w:after="240"/>
        <w:jc w:val="both"/>
        <w:rPr>
          <w:rFonts w:asciiTheme="minorHAnsi" w:hAnsiTheme="minorHAnsi" w:cstheme="minorHAnsi"/>
          <w:b/>
          <w:bCs/>
          <w:i/>
          <w:iCs/>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 xml:space="preserve">serviço de atendimento presencial </w:t>
      </w:r>
      <w:r w:rsidR="004D1DA3" w:rsidRPr="0072678C">
        <w:rPr>
          <w:rFonts w:asciiTheme="minorHAnsi" w:hAnsiTheme="minorHAnsi" w:cstheme="minorHAnsi"/>
          <w:sz w:val="22"/>
          <w:szCs w:val="22"/>
        </w:rPr>
        <w:t xml:space="preserve">ao contribuinte </w:t>
      </w:r>
      <w:r w:rsidR="0023289F" w:rsidRPr="0072678C">
        <w:rPr>
          <w:rFonts w:asciiTheme="minorHAnsi" w:hAnsiTheme="minorHAnsi" w:cstheme="minorHAnsi"/>
          <w:sz w:val="22"/>
          <w:szCs w:val="22"/>
        </w:rPr>
        <w:t xml:space="preserve">obteve nível 3 de maturidade e </w:t>
      </w:r>
      <w:r w:rsidR="004D1DA3" w:rsidRPr="0072678C">
        <w:rPr>
          <w:rFonts w:asciiTheme="minorHAnsi" w:hAnsiTheme="minorHAnsi" w:cstheme="minorHAnsi"/>
          <w:sz w:val="22"/>
          <w:szCs w:val="22"/>
        </w:rPr>
        <w:t xml:space="preserve">atende a todos os 7 requisitos das boas práticas da MD-GEFIS. </w:t>
      </w:r>
      <w:r w:rsidRPr="0072678C">
        <w:rPr>
          <w:rFonts w:asciiTheme="minorHAnsi" w:hAnsiTheme="minorHAnsi" w:cstheme="minorHAnsi"/>
          <w:sz w:val="22"/>
          <w:szCs w:val="22"/>
        </w:rPr>
        <w:t>Dispõe de equipe técnica qualificada</w:t>
      </w:r>
      <w:r w:rsidR="004D1DA3" w:rsidRPr="0072678C">
        <w:rPr>
          <w:rFonts w:asciiTheme="minorHAnsi" w:hAnsiTheme="minorHAnsi" w:cstheme="minorHAnsi"/>
          <w:sz w:val="22"/>
          <w:szCs w:val="22"/>
        </w:rPr>
        <w:t xml:space="preserve"> (</w:t>
      </w:r>
      <w:proofErr w:type="spellStart"/>
      <w:r w:rsidRPr="0072678C">
        <w:rPr>
          <w:rFonts w:asciiTheme="minorHAnsi" w:hAnsiTheme="minorHAnsi" w:cstheme="minorHAnsi"/>
          <w:sz w:val="22"/>
          <w:szCs w:val="22"/>
        </w:rPr>
        <w:t>TEFEs</w:t>
      </w:r>
      <w:proofErr w:type="spellEnd"/>
      <w:r w:rsidRPr="0072678C">
        <w:rPr>
          <w:rFonts w:asciiTheme="minorHAnsi" w:hAnsiTheme="minorHAnsi" w:cstheme="minorHAnsi"/>
          <w:sz w:val="22"/>
          <w:szCs w:val="22"/>
        </w:rPr>
        <w:t xml:space="preserve"> - Técnicos da Fazenda Estadual do Estado de São Paulo</w:t>
      </w:r>
      <w:r w:rsidR="004D1DA3" w:rsidRPr="0072678C">
        <w:rPr>
          <w:rFonts w:asciiTheme="minorHAnsi" w:hAnsiTheme="minorHAnsi" w:cstheme="minorHAnsi"/>
          <w:sz w:val="22"/>
          <w:szCs w:val="22"/>
        </w:rPr>
        <w:t>); d</w:t>
      </w:r>
      <w:r w:rsidRPr="0072678C">
        <w:rPr>
          <w:rFonts w:asciiTheme="minorHAnsi" w:hAnsiTheme="minorHAnsi" w:cstheme="minorHAnsi"/>
          <w:sz w:val="22"/>
          <w:szCs w:val="22"/>
        </w:rPr>
        <w:t>isponibiliza mecanismo de avaliação do contribuinte sobre a qualidade dos serviços prestados</w:t>
      </w:r>
      <w:r w:rsidR="004D1DA3" w:rsidRPr="0072678C">
        <w:rPr>
          <w:rFonts w:asciiTheme="minorHAnsi" w:hAnsiTheme="minorHAnsi" w:cstheme="minorHAnsi"/>
          <w:sz w:val="22"/>
          <w:szCs w:val="22"/>
        </w:rPr>
        <w:t xml:space="preserve"> por meio de pesquisa de </w:t>
      </w:r>
      <w:r w:rsidRPr="0072678C">
        <w:rPr>
          <w:rFonts w:asciiTheme="minorHAnsi" w:hAnsiTheme="minorHAnsi" w:cstheme="minorHAnsi"/>
          <w:bCs/>
          <w:sz w:val="22"/>
          <w:szCs w:val="22"/>
        </w:rPr>
        <w:t xml:space="preserve">opinião realizada junto aos usuários dos serviços </w:t>
      </w:r>
      <w:r w:rsidR="004D1DA3" w:rsidRPr="0072678C">
        <w:rPr>
          <w:rFonts w:asciiTheme="minorHAnsi" w:hAnsiTheme="minorHAnsi" w:cstheme="minorHAnsi"/>
          <w:bCs/>
          <w:sz w:val="22"/>
          <w:szCs w:val="22"/>
        </w:rPr>
        <w:t>da Secretaria da Fazenda; o</w:t>
      </w:r>
      <w:r w:rsidRPr="0072678C">
        <w:rPr>
          <w:rFonts w:asciiTheme="minorHAnsi" w:hAnsiTheme="minorHAnsi" w:cstheme="minorHAnsi"/>
          <w:sz w:val="22"/>
          <w:szCs w:val="22"/>
        </w:rPr>
        <w:t>pera em ambiente confortável, seguro e acessível, inclusive para portadores de necessidades especiais</w:t>
      </w:r>
      <w:r w:rsidR="00F15D82" w:rsidRPr="0072678C">
        <w:rPr>
          <w:rFonts w:asciiTheme="minorHAnsi" w:hAnsiTheme="minorHAnsi" w:cstheme="minorHAnsi"/>
          <w:sz w:val="22"/>
          <w:szCs w:val="22"/>
        </w:rPr>
        <w:t>. A estrutura de atendimento seguem as Normas Brasileiras de  Segurança (</w:t>
      </w:r>
      <w:proofErr w:type="spellStart"/>
      <w:r w:rsidRPr="0072678C">
        <w:rPr>
          <w:rFonts w:asciiTheme="minorHAnsi" w:hAnsiTheme="minorHAnsi" w:cstheme="minorHAnsi"/>
          <w:sz w:val="22"/>
          <w:szCs w:val="22"/>
        </w:rPr>
        <w:t>NBRs</w:t>
      </w:r>
      <w:proofErr w:type="spellEnd"/>
      <w:r w:rsidR="00F15D82" w:rsidRPr="0072678C">
        <w:rPr>
          <w:rFonts w:asciiTheme="minorHAnsi" w:hAnsiTheme="minorHAnsi" w:cstheme="minorHAnsi"/>
          <w:sz w:val="22"/>
          <w:szCs w:val="22"/>
        </w:rPr>
        <w:t>)</w:t>
      </w:r>
      <w:r w:rsidRPr="0072678C">
        <w:rPr>
          <w:rFonts w:asciiTheme="minorHAnsi" w:hAnsiTheme="minorHAnsi" w:cstheme="minorHAnsi"/>
          <w:sz w:val="22"/>
          <w:szCs w:val="22"/>
        </w:rPr>
        <w:t xml:space="preserve"> de acessibilidade (rampa de acesso, piso </w:t>
      </w:r>
      <w:proofErr w:type="spellStart"/>
      <w:r w:rsidRPr="0072678C">
        <w:rPr>
          <w:rFonts w:asciiTheme="minorHAnsi" w:hAnsiTheme="minorHAnsi" w:cstheme="minorHAnsi"/>
          <w:sz w:val="22"/>
          <w:szCs w:val="22"/>
        </w:rPr>
        <w:t>podotátil</w:t>
      </w:r>
      <w:proofErr w:type="spellEnd"/>
      <w:r w:rsidRPr="0072678C">
        <w:rPr>
          <w:rFonts w:asciiTheme="minorHAnsi" w:hAnsiTheme="minorHAnsi" w:cstheme="minorHAnsi"/>
          <w:sz w:val="22"/>
          <w:szCs w:val="22"/>
        </w:rPr>
        <w:t xml:space="preserve"> </w:t>
      </w:r>
      <w:proofErr w:type="spellStart"/>
      <w:r w:rsidRPr="0072678C">
        <w:rPr>
          <w:rFonts w:asciiTheme="minorHAnsi" w:hAnsiTheme="minorHAnsi" w:cstheme="minorHAnsi"/>
          <w:sz w:val="22"/>
          <w:szCs w:val="22"/>
        </w:rPr>
        <w:t>etc</w:t>
      </w:r>
      <w:proofErr w:type="spellEnd"/>
      <w:r w:rsidRPr="0072678C">
        <w:rPr>
          <w:rFonts w:asciiTheme="minorHAnsi" w:hAnsiTheme="minorHAnsi" w:cstheme="minorHAnsi"/>
          <w:sz w:val="22"/>
          <w:szCs w:val="22"/>
        </w:rPr>
        <w:t>)</w:t>
      </w:r>
      <w:r w:rsidR="00F15D82" w:rsidRPr="0072678C">
        <w:rPr>
          <w:rFonts w:asciiTheme="minorHAnsi" w:hAnsiTheme="minorHAnsi" w:cstheme="minorHAnsi"/>
          <w:sz w:val="22"/>
          <w:szCs w:val="22"/>
        </w:rPr>
        <w:t>; p</w:t>
      </w:r>
      <w:r w:rsidRPr="0072678C">
        <w:rPr>
          <w:rFonts w:asciiTheme="minorHAnsi" w:hAnsiTheme="minorHAnsi" w:cstheme="minorHAnsi"/>
          <w:sz w:val="22"/>
          <w:szCs w:val="22"/>
        </w:rPr>
        <w:t>ossui controle eletrônico de atendimento preferencial</w:t>
      </w:r>
      <w:r w:rsidR="00F15D82"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Sistema de Gestão do Atendimento - SIGAWEB </w:t>
      </w:r>
      <w:r w:rsidR="00F15D82" w:rsidRPr="0072678C">
        <w:rPr>
          <w:rFonts w:asciiTheme="minorHAnsi" w:hAnsiTheme="minorHAnsi" w:cstheme="minorHAnsi"/>
          <w:sz w:val="22"/>
          <w:szCs w:val="22"/>
        </w:rPr>
        <w:t xml:space="preserve">que </w:t>
      </w:r>
      <w:r w:rsidRPr="0072678C">
        <w:rPr>
          <w:rFonts w:asciiTheme="minorHAnsi" w:hAnsiTheme="minorHAnsi" w:cstheme="minorHAnsi"/>
          <w:sz w:val="22"/>
          <w:szCs w:val="22"/>
        </w:rPr>
        <w:t>controla o atendimento presencial</w:t>
      </w:r>
      <w:r w:rsidR="00F15D82" w:rsidRPr="0072678C">
        <w:rPr>
          <w:rFonts w:asciiTheme="minorHAnsi" w:hAnsiTheme="minorHAnsi" w:cstheme="minorHAnsi"/>
          <w:sz w:val="22"/>
          <w:szCs w:val="22"/>
        </w:rPr>
        <w:t>); u</w:t>
      </w:r>
      <w:r w:rsidRPr="0072678C">
        <w:rPr>
          <w:rFonts w:asciiTheme="minorHAnsi" w:hAnsiTheme="minorHAnsi" w:cstheme="minorHAnsi"/>
          <w:sz w:val="22"/>
          <w:szCs w:val="22"/>
        </w:rPr>
        <w:t>tiliza base de conhecimento eletrônica das áreas finalísticas para a resolução ágil das demandas</w:t>
      </w:r>
      <w:r w:rsidRPr="0072678C">
        <w:rPr>
          <w:rFonts w:asciiTheme="minorHAnsi" w:hAnsiTheme="minorHAnsi" w:cstheme="minorHAnsi"/>
          <w:sz w:val="22"/>
          <w:szCs w:val="22"/>
        </w:rPr>
        <w:tab/>
      </w:r>
      <w:r w:rsidR="00F15D82" w:rsidRPr="0072678C">
        <w:rPr>
          <w:rFonts w:asciiTheme="minorHAnsi" w:hAnsiTheme="minorHAnsi" w:cstheme="minorHAnsi"/>
          <w:sz w:val="22"/>
          <w:szCs w:val="22"/>
        </w:rPr>
        <w:t>(Base de Informação do Atendimento –</w:t>
      </w:r>
      <w:r w:rsidRPr="0072678C">
        <w:rPr>
          <w:rFonts w:asciiTheme="minorHAnsi" w:hAnsiTheme="minorHAnsi" w:cstheme="minorHAnsi"/>
          <w:sz w:val="22"/>
          <w:szCs w:val="22"/>
        </w:rPr>
        <w:t xml:space="preserve"> BIA</w:t>
      </w:r>
      <w:r w:rsidR="00F15D82" w:rsidRPr="0072678C">
        <w:rPr>
          <w:rFonts w:asciiTheme="minorHAnsi" w:hAnsiTheme="minorHAnsi" w:cstheme="minorHAnsi"/>
          <w:sz w:val="22"/>
          <w:szCs w:val="22"/>
        </w:rPr>
        <w:t>); u</w:t>
      </w:r>
      <w:r w:rsidRPr="0072678C">
        <w:rPr>
          <w:rFonts w:asciiTheme="minorHAnsi" w:hAnsiTheme="minorHAnsi" w:cstheme="minorHAnsi"/>
          <w:sz w:val="22"/>
          <w:szCs w:val="22"/>
        </w:rPr>
        <w:t>tiliza parcerias e convênios com centrais de atendimento ao cidadão</w:t>
      </w:r>
      <w:r w:rsidRPr="0072678C">
        <w:rPr>
          <w:rFonts w:asciiTheme="minorHAnsi" w:hAnsiTheme="minorHAnsi" w:cstheme="minorHAnsi"/>
          <w:sz w:val="22"/>
          <w:szCs w:val="22"/>
        </w:rPr>
        <w:tab/>
      </w:r>
      <w:r w:rsidR="00894E5A" w:rsidRPr="0072678C">
        <w:rPr>
          <w:rFonts w:asciiTheme="minorHAnsi" w:hAnsiTheme="minorHAnsi" w:cstheme="minorHAnsi"/>
          <w:sz w:val="22"/>
          <w:szCs w:val="22"/>
        </w:rPr>
        <w:t xml:space="preserve"> por meio da </w:t>
      </w:r>
      <w:r w:rsidRPr="0072678C">
        <w:rPr>
          <w:rFonts w:asciiTheme="minorHAnsi" w:hAnsiTheme="minorHAnsi" w:cstheme="minorHAnsi"/>
          <w:sz w:val="22"/>
          <w:szCs w:val="22"/>
        </w:rPr>
        <w:t xml:space="preserve">Unidade </w:t>
      </w:r>
      <w:r w:rsidR="00F15D82" w:rsidRPr="0072678C">
        <w:rPr>
          <w:rFonts w:asciiTheme="minorHAnsi" w:hAnsiTheme="minorHAnsi" w:cstheme="minorHAnsi"/>
          <w:sz w:val="22"/>
          <w:szCs w:val="22"/>
        </w:rPr>
        <w:t>de</w:t>
      </w:r>
      <w:r w:rsidR="00894E5A" w:rsidRPr="0072678C">
        <w:rPr>
          <w:rFonts w:asciiTheme="minorHAnsi" w:hAnsiTheme="minorHAnsi" w:cstheme="minorHAnsi"/>
          <w:sz w:val="22"/>
          <w:szCs w:val="22"/>
        </w:rPr>
        <w:t xml:space="preserve"> </w:t>
      </w:r>
      <w:r w:rsidR="00F15D82" w:rsidRPr="0072678C">
        <w:rPr>
          <w:rFonts w:asciiTheme="minorHAnsi" w:hAnsiTheme="minorHAnsi" w:cstheme="minorHAnsi"/>
          <w:sz w:val="22"/>
          <w:szCs w:val="22"/>
        </w:rPr>
        <w:t>Atendimento ao Público (UAP); e d</w:t>
      </w:r>
      <w:r w:rsidRPr="0072678C">
        <w:rPr>
          <w:rFonts w:asciiTheme="minorHAnsi" w:hAnsiTheme="minorHAnsi" w:cstheme="minorHAnsi"/>
          <w:sz w:val="22"/>
          <w:szCs w:val="22"/>
        </w:rPr>
        <w:t>ispõe de sistema de gestão do atendimento e das demandas</w:t>
      </w:r>
      <w:r w:rsidR="00894E5A" w:rsidRPr="0072678C">
        <w:rPr>
          <w:rFonts w:asciiTheme="minorHAnsi" w:hAnsiTheme="minorHAnsi" w:cstheme="minorHAnsi"/>
          <w:sz w:val="22"/>
          <w:szCs w:val="22"/>
        </w:rPr>
        <w:t xml:space="preserve"> </w:t>
      </w:r>
      <w:r w:rsidR="00F15D82" w:rsidRPr="0072678C">
        <w:rPr>
          <w:rFonts w:asciiTheme="minorHAnsi" w:hAnsiTheme="minorHAnsi" w:cstheme="minorHAnsi"/>
          <w:sz w:val="22"/>
          <w:szCs w:val="22"/>
        </w:rPr>
        <w:t>(</w:t>
      </w:r>
      <w:r w:rsidRPr="0072678C">
        <w:rPr>
          <w:rFonts w:asciiTheme="minorHAnsi" w:hAnsiTheme="minorHAnsi" w:cstheme="minorHAnsi"/>
          <w:sz w:val="22"/>
          <w:szCs w:val="22"/>
        </w:rPr>
        <w:t xml:space="preserve">Sistema de </w:t>
      </w:r>
      <w:r w:rsidR="00F15D82" w:rsidRPr="0072678C">
        <w:rPr>
          <w:rFonts w:asciiTheme="minorHAnsi" w:hAnsiTheme="minorHAnsi" w:cstheme="minorHAnsi"/>
          <w:sz w:val="22"/>
          <w:szCs w:val="22"/>
        </w:rPr>
        <w:t xml:space="preserve">Gestão do Atendimento – SIGAWEB). </w:t>
      </w:r>
    </w:p>
    <w:p w:rsidR="00F32F65" w:rsidRPr="0072678C" w:rsidRDefault="00894E5A" w:rsidP="00703CB9">
      <w:pPr>
        <w:tabs>
          <w:tab w:val="left" w:pos="1795"/>
        </w:tabs>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direcionamento estratégico dos serviços ao contribuinte</w:t>
      </w:r>
      <w:r w:rsidRPr="0072678C">
        <w:rPr>
          <w:rFonts w:asciiTheme="minorHAnsi" w:hAnsiTheme="minorHAnsi" w:cstheme="minorHAnsi"/>
          <w:sz w:val="22"/>
          <w:szCs w:val="22"/>
        </w:rPr>
        <w:t xml:space="preserve"> </w:t>
      </w:r>
      <w:r w:rsidR="0023289F" w:rsidRPr="0072678C">
        <w:rPr>
          <w:rFonts w:asciiTheme="minorHAnsi" w:hAnsiTheme="minorHAnsi" w:cstheme="minorHAnsi"/>
          <w:sz w:val="22"/>
          <w:szCs w:val="22"/>
        </w:rPr>
        <w:t xml:space="preserve">obteve nível 2 de maturidade e </w:t>
      </w:r>
      <w:r w:rsidRPr="0072678C">
        <w:rPr>
          <w:rFonts w:asciiTheme="minorHAnsi" w:hAnsiTheme="minorHAnsi" w:cstheme="minorHAnsi"/>
          <w:sz w:val="22"/>
          <w:szCs w:val="22"/>
        </w:rPr>
        <w:t xml:space="preserve">atende a 5 dentre 6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Para tanto, está alinhado à missão, visão, e objetivos da organização; segue diretriz de melhoria contínua dos processos; prioriza iniciativas de autoatendimento</w:t>
      </w:r>
      <w:r w:rsidR="00F32F65" w:rsidRPr="0072678C">
        <w:rPr>
          <w:rFonts w:asciiTheme="minorHAnsi" w:hAnsiTheme="minorHAnsi" w:cstheme="minorHAnsi"/>
          <w:sz w:val="22"/>
          <w:szCs w:val="22"/>
        </w:rPr>
        <w:t xml:space="preserve"> </w:t>
      </w:r>
      <w:r w:rsidRPr="0072678C">
        <w:rPr>
          <w:rFonts w:asciiTheme="minorHAnsi" w:hAnsiTheme="minorHAnsi" w:cstheme="minorHAnsi"/>
          <w:sz w:val="22"/>
          <w:szCs w:val="22"/>
        </w:rPr>
        <w:t>(</w:t>
      </w:r>
      <w:r w:rsidR="002A3AC2" w:rsidRPr="0072678C">
        <w:rPr>
          <w:rFonts w:asciiTheme="minorHAnsi" w:hAnsiTheme="minorHAnsi" w:cstheme="minorHAnsi"/>
          <w:sz w:val="22"/>
          <w:szCs w:val="22"/>
        </w:rPr>
        <w:t>disponibiliza s</w:t>
      </w:r>
      <w:r w:rsidRPr="0072678C">
        <w:rPr>
          <w:rFonts w:asciiTheme="minorHAnsi" w:hAnsiTheme="minorHAnsi" w:cstheme="minorHAnsi"/>
          <w:sz w:val="22"/>
          <w:szCs w:val="22"/>
        </w:rPr>
        <w:t>erviços on-line de autoatendimento</w:t>
      </w:r>
      <w:r w:rsidR="00F32F65" w:rsidRPr="0072678C">
        <w:rPr>
          <w:rFonts w:asciiTheme="minorHAnsi" w:hAnsiTheme="minorHAnsi" w:cstheme="minorHAnsi"/>
          <w:sz w:val="22"/>
          <w:szCs w:val="22"/>
        </w:rPr>
        <w:t>, serviços ao cidadão e à empresa)</w:t>
      </w:r>
      <w:r w:rsidR="00F32F65" w:rsidRPr="0072678C">
        <w:rPr>
          <w:rStyle w:val="FootnoteReference"/>
          <w:rFonts w:asciiTheme="minorHAnsi" w:hAnsiTheme="minorHAnsi" w:cstheme="minorHAnsi"/>
          <w:sz w:val="22"/>
          <w:szCs w:val="22"/>
        </w:rPr>
        <w:footnoteReference w:id="143"/>
      </w:r>
      <w:r w:rsidR="00F32F65" w:rsidRPr="0072678C">
        <w:rPr>
          <w:rFonts w:asciiTheme="minorHAnsi" w:hAnsiTheme="minorHAnsi" w:cstheme="minorHAnsi"/>
          <w:sz w:val="22"/>
          <w:szCs w:val="22"/>
        </w:rPr>
        <w:t>; p</w:t>
      </w:r>
      <w:r w:rsidRPr="0072678C">
        <w:rPr>
          <w:rFonts w:asciiTheme="minorHAnsi" w:hAnsiTheme="minorHAnsi" w:cstheme="minorHAnsi"/>
          <w:sz w:val="22"/>
          <w:szCs w:val="22"/>
        </w:rPr>
        <w:t>ossui indicadores de resultados</w:t>
      </w:r>
      <w:r w:rsidR="00F32F65" w:rsidRPr="0072678C">
        <w:rPr>
          <w:rStyle w:val="FootnoteReference"/>
          <w:rFonts w:asciiTheme="minorHAnsi" w:hAnsiTheme="minorHAnsi" w:cstheme="minorHAnsi"/>
          <w:sz w:val="22"/>
          <w:szCs w:val="22"/>
        </w:rPr>
        <w:footnoteReference w:id="144"/>
      </w:r>
      <w:r w:rsidRPr="0072678C">
        <w:rPr>
          <w:rFonts w:asciiTheme="minorHAnsi" w:hAnsiTheme="minorHAnsi" w:cstheme="minorHAnsi"/>
          <w:sz w:val="22"/>
          <w:szCs w:val="22"/>
        </w:rPr>
        <w:t xml:space="preserve"> para os serviços</w:t>
      </w:r>
      <w:r w:rsidR="00F32F65" w:rsidRPr="0072678C">
        <w:rPr>
          <w:rFonts w:asciiTheme="minorHAnsi" w:hAnsiTheme="minorHAnsi" w:cstheme="minorHAnsi"/>
          <w:sz w:val="22"/>
          <w:szCs w:val="22"/>
        </w:rPr>
        <w:t xml:space="preserve">; </w:t>
      </w:r>
      <w:r w:rsidR="00703CB9" w:rsidRPr="0072678C">
        <w:rPr>
          <w:rFonts w:asciiTheme="minorHAnsi" w:hAnsiTheme="minorHAnsi" w:cstheme="minorHAnsi"/>
          <w:sz w:val="22"/>
          <w:szCs w:val="22"/>
        </w:rPr>
        <w:t xml:space="preserve">e </w:t>
      </w:r>
      <w:r w:rsidR="00F32F65" w:rsidRPr="0072678C">
        <w:rPr>
          <w:rFonts w:asciiTheme="minorHAnsi" w:hAnsiTheme="minorHAnsi" w:cstheme="minorHAnsi"/>
          <w:sz w:val="22"/>
          <w:szCs w:val="22"/>
        </w:rPr>
        <w:t>o</w:t>
      </w:r>
      <w:r w:rsidRPr="0072678C">
        <w:rPr>
          <w:rFonts w:asciiTheme="minorHAnsi" w:hAnsiTheme="minorHAnsi" w:cstheme="minorHAnsi"/>
          <w:sz w:val="22"/>
          <w:szCs w:val="22"/>
        </w:rPr>
        <w:t>ferece serviços integralmente automatizados, sem intervenção humana</w:t>
      </w:r>
      <w:r w:rsidR="00F32F65" w:rsidRPr="0072678C">
        <w:rPr>
          <w:rStyle w:val="FootnoteReference"/>
          <w:rFonts w:asciiTheme="minorHAnsi" w:hAnsiTheme="minorHAnsi" w:cstheme="minorHAnsi"/>
          <w:sz w:val="22"/>
          <w:szCs w:val="22"/>
        </w:rPr>
        <w:footnoteReference w:id="145"/>
      </w:r>
      <w:r w:rsidR="00703CB9" w:rsidRPr="0072678C">
        <w:rPr>
          <w:rFonts w:asciiTheme="minorHAnsi" w:hAnsiTheme="minorHAnsi" w:cstheme="minorHAnsi"/>
          <w:sz w:val="22"/>
          <w:szCs w:val="22"/>
        </w:rPr>
        <w:t>.</w:t>
      </w:r>
      <w:r w:rsidRPr="0072678C">
        <w:rPr>
          <w:rFonts w:asciiTheme="minorHAnsi" w:hAnsiTheme="minorHAnsi" w:cstheme="minorHAnsi"/>
          <w:sz w:val="22"/>
          <w:szCs w:val="22"/>
        </w:rPr>
        <w:tab/>
      </w:r>
    </w:p>
    <w:p w:rsidR="00894E5A" w:rsidRPr="0072678C" w:rsidRDefault="00894E5A"/>
    <w:p w:rsidR="004E5412" w:rsidRPr="0072678C" w:rsidRDefault="004E5412" w:rsidP="00B02433">
      <w:pPr>
        <w:tabs>
          <w:tab w:val="left" w:pos="1795"/>
        </w:tabs>
        <w:jc w:val="both"/>
        <w:rPr>
          <w:rFonts w:asciiTheme="minorHAnsi" w:hAnsiTheme="minorHAnsi" w:cstheme="minorHAnsi"/>
          <w:sz w:val="22"/>
          <w:szCs w:val="22"/>
        </w:rPr>
      </w:pPr>
      <w:r w:rsidRPr="0072678C">
        <w:rPr>
          <w:rFonts w:asciiTheme="minorHAnsi" w:hAnsiTheme="minorHAnsi" w:cstheme="minorHAnsi"/>
          <w:sz w:val="22"/>
          <w:szCs w:val="22"/>
        </w:rPr>
        <w:t xml:space="preserve">A </w:t>
      </w:r>
      <w:r w:rsidRPr="0072678C">
        <w:rPr>
          <w:rFonts w:asciiTheme="minorHAnsi" w:hAnsiTheme="minorHAnsi" w:cstheme="minorHAnsi"/>
          <w:b/>
          <w:bCs/>
          <w:i/>
          <w:iCs/>
          <w:sz w:val="22"/>
          <w:szCs w:val="22"/>
        </w:rPr>
        <w:t>estrutura de serviços de atendimento ao contribuinte</w:t>
      </w:r>
      <w:r w:rsidRPr="0072678C">
        <w:rPr>
          <w:rFonts w:asciiTheme="minorHAnsi" w:hAnsiTheme="minorHAnsi" w:cstheme="minorHAnsi"/>
          <w:sz w:val="22"/>
          <w:szCs w:val="22"/>
        </w:rPr>
        <w:t xml:space="preserve"> obteve nível 2 de maturidade e atende a 4 de 5 requisitos das boas práticas da MD-GEFIS. </w:t>
      </w:r>
      <w:r w:rsidR="00B02433" w:rsidRPr="0072678C">
        <w:rPr>
          <w:rFonts w:asciiTheme="minorHAnsi" w:hAnsiTheme="minorHAnsi" w:cstheme="minorHAnsi"/>
          <w:sz w:val="22"/>
          <w:szCs w:val="22"/>
        </w:rPr>
        <w:t>Para tanto, dispõe de unidade específica para gestão dos serviços de atendimento</w:t>
      </w:r>
      <w:r w:rsidR="00B02433" w:rsidRPr="0072678C">
        <w:rPr>
          <w:rStyle w:val="FootnoteReference"/>
          <w:rFonts w:asciiTheme="minorHAnsi" w:hAnsiTheme="minorHAnsi" w:cstheme="minorHAnsi"/>
          <w:sz w:val="22"/>
          <w:szCs w:val="22"/>
        </w:rPr>
        <w:footnoteReference w:id="146"/>
      </w:r>
      <w:r w:rsidR="00B02433" w:rsidRPr="0072678C">
        <w:rPr>
          <w:rFonts w:asciiTheme="minorHAnsi" w:hAnsiTheme="minorHAnsi" w:cstheme="minorHAnsi"/>
          <w:sz w:val="22"/>
          <w:szCs w:val="22"/>
        </w:rPr>
        <w:t>; define perfis para o desempenho das funções de atendimento</w:t>
      </w:r>
      <w:r w:rsidR="00B02433" w:rsidRPr="0072678C">
        <w:rPr>
          <w:rStyle w:val="FootnoteReference"/>
          <w:rFonts w:asciiTheme="minorHAnsi" w:hAnsiTheme="minorHAnsi" w:cstheme="minorHAnsi"/>
          <w:sz w:val="22"/>
          <w:szCs w:val="22"/>
        </w:rPr>
        <w:footnoteReference w:id="147"/>
      </w:r>
      <w:r w:rsidR="00B02433" w:rsidRPr="0072678C">
        <w:rPr>
          <w:rFonts w:asciiTheme="minorHAnsi" w:hAnsiTheme="minorHAnsi" w:cstheme="minorHAnsi"/>
          <w:sz w:val="22"/>
          <w:szCs w:val="22"/>
        </w:rPr>
        <w:t xml:space="preserve">; dispõe de programas de capacitação continuada para fortalecer as competências </w:t>
      </w:r>
      <w:r w:rsidR="00B02433" w:rsidRPr="0072678C">
        <w:rPr>
          <w:rFonts w:asciiTheme="minorHAnsi" w:hAnsiTheme="minorHAnsi" w:cstheme="minorHAnsi"/>
          <w:sz w:val="22"/>
          <w:szCs w:val="22"/>
        </w:rPr>
        <w:lastRenderedPageBreak/>
        <w:t>da equipe de atendimento; avalia continuamente a performance de sistemas, ferramentas e aplicações disponibilizadas para atendimento</w:t>
      </w:r>
      <w:r w:rsidR="00B02433" w:rsidRPr="0072678C">
        <w:rPr>
          <w:rStyle w:val="FootnoteReference"/>
          <w:rFonts w:asciiTheme="minorHAnsi" w:hAnsiTheme="minorHAnsi" w:cstheme="minorHAnsi"/>
          <w:sz w:val="22"/>
          <w:szCs w:val="22"/>
        </w:rPr>
        <w:footnoteReference w:id="148"/>
      </w:r>
    </w:p>
    <w:p w:rsidR="004E5412" w:rsidRPr="0072678C" w:rsidRDefault="004E5412" w:rsidP="00A711FC">
      <w:pPr>
        <w:tabs>
          <w:tab w:val="left" w:pos="1795"/>
        </w:tabs>
        <w:ind w:left="70"/>
        <w:rPr>
          <w:rFonts w:asciiTheme="minorHAnsi" w:hAnsiTheme="minorHAnsi" w:cstheme="minorHAnsi"/>
          <w:sz w:val="22"/>
          <w:szCs w:val="22"/>
        </w:rPr>
      </w:pPr>
    </w:p>
    <w:p w:rsidR="00574566" w:rsidRPr="0072678C" w:rsidRDefault="00574566" w:rsidP="00574566">
      <w:pPr>
        <w:tabs>
          <w:tab w:val="left" w:pos="1795"/>
        </w:tabs>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serviço de atendimento virtual</w:t>
      </w:r>
      <w:r w:rsidRPr="0072678C">
        <w:rPr>
          <w:rFonts w:asciiTheme="minorHAnsi" w:hAnsiTheme="minorHAnsi" w:cstheme="minorHAnsi"/>
          <w:sz w:val="22"/>
          <w:szCs w:val="22"/>
        </w:rPr>
        <w:t xml:space="preserve"> obteve nível 2 de maturidade e atende 5 dentre 8 requisitos das boas práticas da MD-GEFIS. </w:t>
      </w:r>
      <w:r w:rsidR="00940A1B" w:rsidRPr="0072678C">
        <w:rPr>
          <w:rFonts w:asciiTheme="minorHAnsi" w:hAnsiTheme="minorHAnsi" w:cstheme="minorHAnsi"/>
          <w:sz w:val="22"/>
          <w:szCs w:val="22"/>
        </w:rPr>
        <w:t xml:space="preserve">O serviço virtual da </w:t>
      </w:r>
      <w:r w:rsidRPr="0072678C">
        <w:rPr>
          <w:rFonts w:asciiTheme="minorHAnsi" w:hAnsiTheme="minorHAnsi" w:cstheme="minorHAnsi"/>
          <w:sz w:val="22"/>
          <w:szCs w:val="22"/>
        </w:rPr>
        <w:t>SEFAZ/SP permite navegação e acesso amigável</w:t>
      </w:r>
      <w:r w:rsidRPr="0072678C">
        <w:rPr>
          <w:rStyle w:val="FootnoteReference"/>
          <w:rFonts w:asciiTheme="minorHAnsi" w:hAnsiTheme="minorHAnsi" w:cstheme="minorHAnsi"/>
          <w:sz w:val="22"/>
          <w:szCs w:val="22"/>
        </w:rPr>
        <w:footnoteReference w:id="149"/>
      </w:r>
      <w:r w:rsidRPr="0072678C">
        <w:rPr>
          <w:rFonts w:asciiTheme="minorHAnsi" w:hAnsiTheme="minorHAnsi" w:cstheme="minorHAnsi"/>
          <w:sz w:val="22"/>
          <w:szCs w:val="22"/>
        </w:rPr>
        <w:t>; disponibiliza mecanismos de busca consistentes, com lista dos serviços oferecidos e dos prazos para atendimento</w:t>
      </w:r>
      <w:r w:rsidR="00940A1B" w:rsidRPr="0072678C">
        <w:rPr>
          <w:rFonts w:asciiTheme="minorHAnsi" w:hAnsiTheme="minorHAnsi" w:cstheme="minorHAnsi"/>
          <w:sz w:val="22"/>
          <w:szCs w:val="22"/>
        </w:rPr>
        <w:t>. Com o objetivo de facilitar a navegação, o novo portal</w:t>
      </w:r>
      <w:r w:rsidR="00940A1B" w:rsidRPr="0072678C">
        <w:rPr>
          <w:rStyle w:val="FootnoteReference"/>
          <w:rFonts w:asciiTheme="minorHAnsi" w:hAnsiTheme="minorHAnsi" w:cstheme="minorHAnsi"/>
          <w:sz w:val="22"/>
          <w:szCs w:val="22"/>
        </w:rPr>
        <w:footnoteReference w:id="150"/>
      </w:r>
      <w:r w:rsidR="00940A1B" w:rsidRPr="0072678C">
        <w:rPr>
          <w:rFonts w:asciiTheme="minorHAnsi" w:hAnsiTheme="minorHAnsi" w:cstheme="minorHAnsi"/>
          <w:sz w:val="22"/>
          <w:szCs w:val="22"/>
        </w:rPr>
        <w:t xml:space="preserve"> conta com uma ferramenta de busca, capaz de indexar palavras para que, mesmo em caso de pequenos erros de digitação, a pesquisa seja redirecionada para o resultado esperado. Entre os recursos disponíveis na nova plataforma foi criada uma arquitetura adaptada às tecnologias digitais que possibilita a navegação pelo site por meio de dispositivos móveis como tablets e smartphones. O portal também conta com a centralização de dados por assunto e interesse, para que o usuário possa visualizar na tela todos os serviços e dados disponíveis. </w:t>
      </w:r>
      <w:r w:rsidR="00A711FC" w:rsidRPr="0072678C">
        <w:rPr>
          <w:rFonts w:asciiTheme="minorHAnsi" w:hAnsiTheme="minorHAnsi" w:cstheme="minorHAnsi"/>
          <w:sz w:val="22"/>
          <w:szCs w:val="22"/>
        </w:rPr>
        <w:t>Ainda, g</w:t>
      </w:r>
      <w:r w:rsidR="00940A1B" w:rsidRPr="0072678C">
        <w:rPr>
          <w:rFonts w:asciiTheme="minorHAnsi" w:hAnsiTheme="minorHAnsi" w:cstheme="minorHAnsi"/>
          <w:sz w:val="22"/>
          <w:szCs w:val="22"/>
        </w:rPr>
        <w:t>arante a segurança da aplicação e o sigilo fiscal; utiliza Domicílio Tributário eletrônico (</w:t>
      </w:r>
      <w:proofErr w:type="spellStart"/>
      <w:r w:rsidR="00940A1B" w:rsidRPr="0072678C">
        <w:rPr>
          <w:rFonts w:asciiTheme="minorHAnsi" w:hAnsiTheme="minorHAnsi" w:cstheme="minorHAnsi"/>
          <w:sz w:val="22"/>
          <w:szCs w:val="22"/>
        </w:rPr>
        <w:t>DTe</w:t>
      </w:r>
      <w:proofErr w:type="spellEnd"/>
      <w:r w:rsidR="00940A1B" w:rsidRPr="0072678C">
        <w:rPr>
          <w:rFonts w:asciiTheme="minorHAnsi" w:hAnsiTheme="minorHAnsi" w:cstheme="minorHAnsi"/>
          <w:sz w:val="22"/>
          <w:szCs w:val="22"/>
        </w:rPr>
        <w:t>); e dispõe de dispositivo de controle de demandas por serviço.</w:t>
      </w:r>
    </w:p>
    <w:p w:rsidR="00A711FC" w:rsidRPr="0072678C" w:rsidRDefault="00A711FC"/>
    <w:p w:rsidR="00A711FC" w:rsidRPr="0072678C" w:rsidRDefault="00064EE5" w:rsidP="001F4DC4">
      <w:pPr>
        <w:tabs>
          <w:tab w:val="left" w:pos="1795"/>
        </w:tabs>
        <w:jc w:val="both"/>
        <w:rPr>
          <w:rFonts w:asciiTheme="minorHAnsi" w:hAnsiTheme="minorHAnsi" w:cstheme="minorHAnsi"/>
          <w:sz w:val="22"/>
          <w:szCs w:val="22"/>
        </w:rPr>
      </w:pPr>
      <w:r w:rsidRPr="0072678C">
        <w:rPr>
          <w:rFonts w:asciiTheme="minorHAnsi" w:hAnsiTheme="minorHAnsi" w:cstheme="minorHAnsi"/>
          <w:sz w:val="22"/>
          <w:szCs w:val="22"/>
        </w:rPr>
        <w:t>Os mecanismos do</w:t>
      </w:r>
      <w:r w:rsidRPr="0072678C">
        <w:rPr>
          <w:rFonts w:asciiTheme="minorHAnsi" w:hAnsiTheme="minorHAnsi" w:cstheme="minorHAnsi"/>
          <w:b/>
          <w:bCs/>
          <w:i/>
          <w:iCs/>
          <w:sz w:val="22"/>
          <w:szCs w:val="22"/>
        </w:rPr>
        <w:t xml:space="preserve"> relacionamento fisco-contribuinte </w:t>
      </w:r>
      <w:r w:rsidRPr="0072678C">
        <w:rPr>
          <w:rFonts w:asciiTheme="minorHAnsi" w:hAnsiTheme="minorHAnsi" w:cstheme="minorHAnsi"/>
          <w:sz w:val="22"/>
          <w:szCs w:val="22"/>
        </w:rPr>
        <w:t>obtiveram</w:t>
      </w:r>
      <w:r w:rsidR="00A711FC" w:rsidRPr="0072678C">
        <w:rPr>
          <w:rFonts w:asciiTheme="minorHAnsi" w:hAnsiTheme="minorHAnsi" w:cstheme="minorHAnsi"/>
          <w:sz w:val="22"/>
          <w:szCs w:val="22"/>
        </w:rPr>
        <w:t xml:space="preserve"> nível 2 de maturidade e atende a 6 dentre 9 </w:t>
      </w:r>
      <w:r w:rsidR="009B231A">
        <w:rPr>
          <w:rFonts w:asciiTheme="minorHAnsi" w:hAnsiTheme="minorHAnsi" w:cstheme="minorHAnsi"/>
          <w:sz w:val="22"/>
          <w:szCs w:val="22"/>
        </w:rPr>
        <w:t>requisitos</w:t>
      </w:r>
      <w:r w:rsidR="00A711FC" w:rsidRPr="0072678C">
        <w:rPr>
          <w:rFonts w:asciiTheme="minorHAnsi" w:hAnsiTheme="minorHAnsi" w:cstheme="minorHAnsi"/>
          <w:sz w:val="22"/>
          <w:szCs w:val="22"/>
        </w:rPr>
        <w:t xml:space="preserve"> das boas práticas da MD-GEFIS. Para tanto, a SEFAZ/SP </w:t>
      </w:r>
      <w:r w:rsidR="001F4DC4" w:rsidRPr="0072678C">
        <w:rPr>
          <w:rFonts w:asciiTheme="minorHAnsi" w:hAnsiTheme="minorHAnsi" w:cstheme="minorHAnsi"/>
          <w:sz w:val="22"/>
          <w:szCs w:val="22"/>
        </w:rPr>
        <w:t xml:space="preserve">disponibiliza </w:t>
      </w:r>
      <w:r w:rsidR="00A711FC" w:rsidRPr="0072678C">
        <w:rPr>
          <w:rFonts w:asciiTheme="minorHAnsi" w:hAnsiTheme="minorHAnsi" w:cstheme="minorHAnsi"/>
          <w:sz w:val="22"/>
          <w:szCs w:val="22"/>
        </w:rPr>
        <w:t>consulta eletrônica a legislação com dispositivo consistente de busca</w:t>
      </w:r>
      <w:r w:rsidR="001F4DC4" w:rsidRPr="0072678C">
        <w:rPr>
          <w:rStyle w:val="FootnoteReference"/>
          <w:rFonts w:asciiTheme="minorHAnsi" w:hAnsiTheme="minorHAnsi" w:cstheme="minorHAnsi"/>
          <w:sz w:val="22"/>
          <w:szCs w:val="22"/>
        </w:rPr>
        <w:footnoteReference w:id="151"/>
      </w:r>
      <w:r w:rsidR="001F4DC4" w:rsidRPr="0072678C">
        <w:rPr>
          <w:rFonts w:asciiTheme="minorHAnsi" w:hAnsiTheme="minorHAnsi" w:cstheme="minorHAnsi"/>
          <w:sz w:val="22"/>
          <w:szCs w:val="22"/>
        </w:rPr>
        <w:t xml:space="preserve">; </w:t>
      </w:r>
      <w:r w:rsidR="00514519" w:rsidRPr="0072678C">
        <w:rPr>
          <w:rFonts w:asciiTheme="minorHAnsi" w:hAnsiTheme="minorHAnsi" w:cstheme="minorHAnsi"/>
          <w:sz w:val="22"/>
          <w:szCs w:val="22"/>
        </w:rPr>
        <w:t>p</w:t>
      </w:r>
      <w:r w:rsidR="001F4DC4" w:rsidRPr="0072678C">
        <w:rPr>
          <w:rFonts w:asciiTheme="minorHAnsi" w:hAnsiTheme="minorHAnsi" w:cstheme="minorHAnsi"/>
          <w:sz w:val="22"/>
          <w:szCs w:val="22"/>
        </w:rPr>
        <w:t>erguntas mais frequentes (FAQ) em meio eletrônico</w:t>
      </w:r>
      <w:r w:rsidR="001F4DC4" w:rsidRPr="0072678C">
        <w:rPr>
          <w:rStyle w:val="FootnoteReference"/>
          <w:rFonts w:asciiTheme="minorHAnsi" w:hAnsiTheme="minorHAnsi" w:cstheme="minorHAnsi"/>
          <w:sz w:val="22"/>
          <w:szCs w:val="22"/>
        </w:rPr>
        <w:footnoteReference w:id="152"/>
      </w:r>
      <w:r w:rsidR="001F4DC4" w:rsidRPr="0072678C">
        <w:rPr>
          <w:rFonts w:asciiTheme="minorHAnsi" w:hAnsiTheme="minorHAnsi" w:cstheme="minorHAnsi"/>
          <w:sz w:val="22"/>
          <w:szCs w:val="22"/>
        </w:rPr>
        <w:t xml:space="preserve">; </w:t>
      </w:r>
      <w:proofErr w:type="spellStart"/>
      <w:r w:rsidR="001F4DC4" w:rsidRPr="0072678C">
        <w:rPr>
          <w:rFonts w:asciiTheme="minorHAnsi" w:hAnsiTheme="minorHAnsi" w:cstheme="minorHAnsi"/>
          <w:sz w:val="22"/>
          <w:szCs w:val="22"/>
        </w:rPr>
        <w:t>call</w:t>
      </w:r>
      <w:proofErr w:type="spellEnd"/>
      <w:r w:rsidR="001F4DC4" w:rsidRPr="0072678C">
        <w:rPr>
          <w:rFonts w:asciiTheme="minorHAnsi" w:hAnsiTheme="minorHAnsi" w:cstheme="minorHAnsi"/>
          <w:sz w:val="22"/>
          <w:szCs w:val="22"/>
        </w:rPr>
        <w:t xml:space="preserve"> center (0800-170110); </w:t>
      </w:r>
      <w:proofErr w:type="gramStart"/>
      <w:r w:rsidR="001F4DC4" w:rsidRPr="0072678C">
        <w:rPr>
          <w:rFonts w:asciiTheme="minorHAnsi" w:hAnsiTheme="minorHAnsi" w:cstheme="minorHAnsi"/>
          <w:sz w:val="22"/>
          <w:szCs w:val="22"/>
        </w:rPr>
        <w:t>Fale</w:t>
      </w:r>
      <w:proofErr w:type="gramEnd"/>
      <w:r w:rsidR="001F4DC4" w:rsidRPr="0072678C">
        <w:rPr>
          <w:rFonts w:asciiTheme="minorHAnsi" w:hAnsiTheme="minorHAnsi" w:cstheme="minorHAnsi"/>
          <w:sz w:val="22"/>
          <w:szCs w:val="22"/>
        </w:rPr>
        <w:t xml:space="preserve"> conosco, com controle de respostas</w:t>
      </w:r>
      <w:r w:rsidR="001F4DC4" w:rsidRPr="0072678C">
        <w:rPr>
          <w:rStyle w:val="FootnoteReference"/>
          <w:rFonts w:asciiTheme="minorHAnsi" w:hAnsiTheme="minorHAnsi" w:cstheme="minorHAnsi"/>
          <w:sz w:val="22"/>
          <w:szCs w:val="22"/>
        </w:rPr>
        <w:footnoteReference w:id="153"/>
      </w:r>
      <w:r w:rsidR="001F4DC4" w:rsidRPr="0072678C">
        <w:rPr>
          <w:rFonts w:asciiTheme="minorHAnsi" w:hAnsiTheme="minorHAnsi" w:cstheme="minorHAnsi"/>
          <w:sz w:val="22"/>
          <w:szCs w:val="22"/>
        </w:rPr>
        <w:t>; canal eletrônico exclusivo para denúncias</w:t>
      </w:r>
      <w:r w:rsidR="001F4DC4" w:rsidRPr="0072678C">
        <w:rPr>
          <w:rStyle w:val="FootnoteReference"/>
          <w:rFonts w:asciiTheme="minorHAnsi" w:hAnsiTheme="minorHAnsi" w:cstheme="minorHAnsi"/>
          <w:sz w:val="22"/>
          <w:szCs w:val="22"/>
        </w:rPr>
        <w:footnoteReference w:id="154"/>
      </w:r>
      <w:r w:rsidR="001F4DC4" w:rsidRPr="0072678C">
        <w:rPr>
          <w:rFonts w:asciiTheme="minorHAnsi" w:hAnsiTheme="minorHAnsi" w:cstheme="minorHAnsi"/>
          <w:sz w:val="22"/>
          <w:szCs w:val="22"/>
        </w:rPr>
        <w:t xml:space="preserve">; </w:t>
      </w:r>
      <w:r w:rsidR="00514519" w:rsidRPr="0072678C">
        <w:rPr>
          <w:rFonts w:asciiTheme="minorHAnsi" w:hAnsiTheme="minorHAnsi" w:cstheme="minorHAnsi"/>
          <w:sz w:val="22"/>
          <w:szCs w:val="22"/>
        </w:rPr>
        <w:t xml:space="preserve">e </w:t>
      </w:r>
      <w:r w:rsidR="001F4DC4" w:rsidRPr="0072678C">
        <w:rPr>
          <w:rFonts w:asciiTheme="minorHAnsi" w:hAnsiTheme="minorHAnsi" w:cstheme="minorHAnsi"/>
          <w:sz w:val="22"/>
          <w:szCs w:val="22"/>
        </w:rPr>
        <w:t>utiliza fóruns e outros canais para discussão de temas tributários</w:t>
      </w:r>
      <w:r w:rsidR="00514519" w:rsidRPr="0072678C">
        <w:rPr>
          <w:rFonts w:asciiTheme="minorHAnsi" w:hAnsiTheme="minorHAnsi" w:cstheme="minorHAnsi"/>
          <w:sz w:val="22"/>
          <w:szCs w:val="22"/>
        </w:rPr>
        <w:t>.</w:t>
      </w:r>
    </w:p>
    <w:p w:rsidR="005E335D" w:rsidRPr="0072678C" w:rsidRDefault="005E335D" w:rsidP="00514519">
      <w:pPr>
        <w:tabs>
          <w:tab w:val="left" w:pos="1795"/>
        </w:tabs>
        <w:rPr>
          <w:rFonts w:asciiTheme="minorHAnsi" w:hAnsiTheme="minorHAnsi" w:cstheme="minorHAnsi"/>
          <w:sz w:val="22"/>
          <w:szCs w:val="22"/>
        </w:rPr>
      </w:pPr>
    </w:p>
    <w:p w:rsidR="00514519" w:rsidRPr="0072678C" w:rsidRDefault="00514519" w:rsidP="005E335D">
      <w:pPr>
        <w:tabs>
          <w:tab w:val="left" w:pos="1795"/>
        </w:tabs>
        <w:jc w:val="both"/>
        <w:rPr>
          <w:rFonts w:asciiTheme="minorHAnsi" w:hAnsiTheme="minorHAnsi" w:cstheme="minorHAnsi"/>
          <w:b/>
          <w:bCs/>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Domicílio Tributário Eletrônico</w:t>
      </w:r>
      <w:r w:rsidRPr="0072678C">
        <w:rPr>
          <w:rFonts w:asciiTheme="minorHAnsi" w:hAnsiTheme="minorHAnsi" w:cstheme="minorHAnsi"/>
          <w:sz w:val="22"/>
          <w:szCs w:val="22"/>
        </w:rPr>
        <w:t xml:space="preserve"> (</w:t>
      </w:r>
      <w:proofErr w:type="spellStart"/>
      <w:r w:rsidRPr="0072678C">
        <w:rPr>
          <w:rFonts w:asciiTheme="minorHAnsi" w:hAnsiTheme="minorHAnsi" w:cstheme="minorHAnsi"/>
          <w:sz w:val="22"/>
          <w:szCs w:val="22"/>
        </w:rPr>
        <w:t>DT-e</w:t>
      </w:r>
      <w:proofErr w:type="spellEnd"/>
      <w:r w:rsidRPr="0072678C">
        <w:rPr>
          <w:rFonts w:asciiTheme="minorHAnsi" w:hAnsiTheme="minorHAnsi" w:cstheme="minorHAnsi"/>
          <w:sz w:val="22"/>
          <w:szCs w:val="22"/>
        </w:rPr>
        <w:t xml:space="preserve">) atende a 4 dentre 6 requisitos das boas práticas da MD-GEFIS e obteve nível 2 de maturidade. Para tanto, o </w:t>
      </w:r>
      <w:proofErr w:type="spellStart"/>
      <w:r w:rsidRPr="0072678C">
        <w:rPr>
          <w:rFonts w:asciiTheme="minorHAnsi" w:hAnsiTheme="minorHAnsi" w:cstheme="minorHAnsi"/>
          <w:sz w:val="22"/>
          <w:szCs w:val="22"/>
        </w:rPr>
        <w:t>DT-e</w:t>
      </w:r>
      <w:proofErr w:type="spellEnd"/>
      <w:r w:rsidRPr="0072678C">
        <w:rPr>
          <w:rFonts w:asciiTheme="minorHAnsi" w:hAnsiTheme="minorHAnsi" w:cstheme="minorHAnsi"/>
          <w:sz w:val="22"/>
          <w:szCs w:val="22"/>
        </w:rPr>
        <w:t xml:space="preserve"> possui procuração eletrônica com definição de poderes e utiliza certificado digital</w:t>
      </w:r>
      <w:r w:rsidRPr="0072678C">
        <w:rPr>
          <w:rFonts w:asciiTheme="minorHAnsi" w:hAnsiTheme="minorHAnsi" w:cstheme="minorHAnsi"/>
          <w:sz w:val="22"/>
          <w:szCs w:val="22"/>
        </w:rPr>
        <w:tab/>
      </w:r>
      <w:r w:rsidR="007333C1" w:rsidRPr="0072678C">
        <w:rPr>
          <w:rStyle w:val="FootnoteReference"/>
          <w:rFonts w:asciiTheme="minorHAnsi" w:hAnsiTheme="minorHAnsi" w:cstheme="minorHAnsi"/>
          <w:sz w:val="22"/>
          <w:szCs w:val="22"/>
        </w:rPr>
        <w:footnoteReference w:id="155"/>
      </w:r>
      <w:r w:rsidR="007333C1" w:rsidRPr="0072678C">
        <w:rPr>
          <w:rFonts w:asciiTheme="minorHAnsi" w:hAnsiTheme="minorHAnsi" w:cstheme="minorHAnsi"/>
          <w:sz w:val="22"/>
          <w:szCs w:val="22"/>
        </w:rPr>
        <w:t>; disponibiliza acesso único ao usuário externo no ambiente virtual com utilização de certificado digita</w:t>
      </w:r>
      <w:r w:rsidR="007333C1" w:rsidRPr="0072678C">
        <w:rPr>
          <w:rStyle w:val="FootnoteReference"/>
          <w:rFonts w:asciiTheme="minorHAnsi" w:hAnsiTheme="minorHAnsi" w:cstheme="minorHAnsi"/>
          <w:sz w:val="22"/>
          <w:szCs w:val="22"/>
        </w:rPr>
        <w:footnoteReference w:id="156"/>
      </w:r>
      <w:r w:rsidR="007333C1" w:rsidRPr="0072678C">
        <w:rPr>
          <w:rFonts w:asciiTheme="minorHAnsi" w:hAnsiTheme="minorHAnsi" w:cstheme="minorHAnsi"/>
          <w:sz w:val="22"/>
          <w:szCs w:val="22"/>
        </w:rPr>
        <w:t>; disponibiliza acesso ao contribuinte de suas informações por meio do Domicílio Tributário Eletrônico;</w:t>
      </w:r>
      <w:r w:rsidR="005E335D" w:rsidRPr="0072678C">
        <w:rPr>
          <w:rFonts w:asciiTheme="minorHAnsi" w:hAnsiTheme="minorHAnsi" w:cstheme="minorHAnsi"/>
          <w:sz w:val="22"/>
          <w:szCs w:val="22"/>
        </w:rPr>
        <w:t xml:space="preserve"> e</w:t>
      </w:r>
      <w:r w:rsidR="007333C1" w:rsidRPr="0072678C">
        <w:rPr>
          <w:rFonts w:asciiTheme="minorHAnsi" w:hAnsiTheme="minorHAnsi" w:cstheme="minorHAnsi"/>
          <w:sz w:val="22"/>
          <w:szCs w:val="22"/>
        </w:rPr>
        <w:t xml:space="preserve"> emite notificações eletrônicas para o contribuinte</w:t>
      </w:r>
      <w:r w:rsidR="007333C1" w:rsidRPr="0072678C">
        <w:rPr>
          <w:rStyle w:val="FootnoteReference"/>
          <w:rFonts w:asciiTheme="minorHAnsi" w:hAnsiTheme="minorHAnsi" w:cstheme="minorHAnsi"/>
          <w:sz w:val="22"/>
          <w:szCs w:val="22"/>
        </w:rPr>
        <w:footnoteReference w:id="157"/>
      </w:r>
      <w:r w:rsidR="005E335D" w:rsidRPr="0072678C">
        <w:rPr>
          <w:rFonts w:asciiTheme="minorHAnsi" w:hAnsiTheme="minorHAnsi" w:cstheme="minorHAnsi"/>
          <w:sz w:val="22"/>
          <w:szCs w:val="22"/>
        </w:rPr>
        <w:t>.</w:t>
      </w:r>
    </w:p>
    <w:p w:rsidR="009F1A5D" w:rsidRPr="0072678C" w:rsidRDefault="009F1A5D" w:rsidP="00B44516">
      <w:pPr>
        <w:jc w:val="both"/>
        <w:rPr>
          <w:rFonts w:asciiTheme="minorHAnsi" w:hAnsiTheme="minorHAnsi" w:cstheme="minorHAnsi"/>
          <w:sz w:val="22"/>
          <w:szCs w:val="22"/>
        </w:rPr>
      </w:pPr>
    </w:p>
    <w:p w:rsidR="00B44516" w:rsidRPr="0072678C" w:rsidRDefault="00B44516" w:rsidP="00B44516">
      <w:pPr>
        <w:jc w:val="both"/>
        <w:rPr>
          <w:rFonts w:asciiTheme="minorHAnsi" w:hAnsiTheme="minorHAnsi" w:cstheme="minorHAnsi"/>
          <w:sz w:val="22"/>
          <w:szCs w:val="22"/>
        </w:rPr>
      </w:pPr>
      <w:r w:rsidRPr="0072678C">
        <w:rPr>
          <w:rFonts w:asciiTheme="minorHAnsi" w:hAnsiTheme="minorHAnsi" w:cstheme="minorHAnsi"/>
          <w:sz w:val="22"/>
          <w:szCs w:val="22"/>
        </w:rPr>
        <w:t>Os indicadores de Desempenho selecionados pela MD-GEFIS para esta Dimensão foram apurados</w:t>
      </w:r>
      <w:r w:rsidR="008036C4" w:rsidRPr="0072678C">
        <w:rPr>
          <w:rFonts w:asciiTheme="minorHAnsi" w:hAnsiTheme="minorHAnsi" w:cstheme="minorHAnsi"/>
          <w:sz w:val="22"/>
          <w:szCs w:val="22"/>
        </w:rPr>
        <w:t xml:space="preserve"> pela pesquisa realizada em 2017</w:t>
      </w:r>
      <w:r w:rsidRPr="0072678C">
        <w:rPr>
          <w:rFonts w:asciiTheme="minorHAnsi" w:hAnsiTheme="minorHAnsi" w:cstheme="minorHAnsi"/>
          <w:sz w:val="22"/>
          <w:szCs w:val="22"/>
        </w:rPr>
        <w:t>.</w:t>
      </w:r>
    </w:p>
    <w:p w:rsidR="00B44516" w:rsidRPr="0072678C" w:rsidRDefault="00B44516" w:rsidP="00B44516">
      <w:pPr>
        <w:jc w:val="both"/>
        <w:rPr>
          <w:rFonts w:asciiTheme="minorHAnsi" w:hAnsiTheme="minorHAnsi" w:cstheme="minorHAnsi"/>
          <w:sz w:val="22"/>
          <w:szCs w:val="22"/>
        </w:rPr>
      </w:pPr>
    </w:p>
    <w:p w:rsidR="00404C94" w:rsidRPr="0072678C" w:rsidRDefault="00404C94" w:rsidP="00B44516">
      <w:pPr>
        <w:jc w:val="both"/>
        <w:rPr>
          <w:rFonts w:asciiTheme="minorHAnsi" w:hAnsiTheme="minorHAnsi" w:cstheme="minorHAnsi"/>
          <w:sz w:val="22"/>
          <w:szCs w:val="22"/>
        </w:rPr>
      </w:pPr>
    </w:p>
    <w:p w:rsidR="00404C94" w:rsidRPr="0072678C" w:rsidRDefault="00404C94" w:rsidP="00B44516">
      <w:pPr>
        <w:jc w:val="both"/>
        <w:rPr>
          <w:rFonts w:asciiTheme="minorHAnsi" w:hAnsiTheme="minorHAnsi" w:cstheme="minorHAnsi"/>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6"/>
        <w:gridCol w:w="1560"/>
        <w:gridCol w:w="2693"/>
      </w:tblGrid>
      <w:tr w:rsidR="000D6A23" w:rsidRPr="0072678C" w:rsidTr="00A43F85">
        <w:trPr>
          <w:trHeight w:val="346"/>
        </w:trPr>
        <w:tc>
          <w:tcPr>
            <w:tcW w:w="4536" w:type="dxa"/>
            <w:shd w:val="clear" w:color="auto" w:fill="FFD966" w:themeFill="accent4" w:themeFillTint="99"/>
            <w:tcMar>
              <w:top w:w="0" w:type="dxa"/>
              <w:left w:w="70" w:type="dxa"/>
              <w:bottom w:w="0" w:type="dxa"/>
              <w:right w:w="70" w:type="dxa"/>
            </w:tcMar>
            <w:vAlign w:val="center"/>
            <w:hideMark/>
          </w:tcPr>
          <w:p w:rsidR="000D6A23" w:rsidRPr="0072678C" w:rsidRDefault="000D6A23" w:rsidP="00A43F85">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lastRenderedPageBreak/>
              <w:t>Indicadores de Desempenho</w:t>
            </w:r>
          </w:p>
        </w:tc>
        <w:tc>
          <w:tcPr>
            <w:tcW w:w="1560" w:type="dxa"/>
            <w:shd w:val="clear" w:color="auto" w:fill="FFD966" w:themeFill="accent4" w:themeFillTint="99"/>
            <w:tcMar>
              <w:top w:w="0" w:type="dxa"/>
              <w:left w:w="70" w:type="dxa"/>
              <w:bottom w:w="0" w:type="dxa"/>
              <w:right w:w="70" w:type="dxa"/>
            </w:tcMar>
            <w:vAlign w:val="center"/>
            <w:hideMark/>
          </w:tcPr>
          <w:p w:rsidR="000D6A23" w:rsidRPr="0072678C" w:rsidRDefault="000D6A23" w:rsidP="000D6A23">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Apuração</w:t>
            </w:r>
            <w:r w:rsidR="00A43F85" w:rsidRPr="0072678C">
              <w:rPr>
                <w:rFonts w:asciiTheme="minorHAnsi" w:hAnsiTheme="minorHAnsi" w:cstheme="minorHAnsi"/>
                <w:b/>
                <w:bCs/>
                <w:sz w:val="20"/>
                <w:szCs w:val="20"/>
              </w:rPr>
              <w:t xml:space="preserve"> 2017</w:t>
            </w:r>
          </w:p>
        </w:tc>
        <w:tc>
          <w:tcPr>
            <w:tcW w:w="2693" w:type="dxa"/>
            <w:shd w:val="clear" w:color="auto" w:fill="FFD966" w:themeFill="accent4" w:themeFillTint="99"/>
            <w:tcMar>
              <w:top w:w="0" w:type="dxa"/>
              <w:left w:w="70" w:type="dxa"/>
              <w:bottom w:w="0" w:type="dxa"/>
              <w:right w:w="70" w:type="dxa"/>
            </w:tcMar>
            <w:vAlign w:val="center"/>
            <w:hideMark/>
          </w:tcPr>
          <w:p w:rsidR="000D6A23" w:rsidRPr="0072678C" w:rsidRDefault="00A43F85" w:rsidP="000D6A23">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Observação</w:t>
            </w:r>
          </w:p>
        </w:tc>
      </w:tr>
      <w:tr w:rsidR="000D6A23" w:rsidRPr="0072678C" w:rsidTr="00A43F85">
        <w:trPr>
          <w:trHeight w:val="655"/>
        </w:trPr>
        <w:tc>
          <w:tcPr>
            <w:tcW w:w="4536" w:type="dxa"/>
            <w:tcMar>
              <w:top w:w="0" w:type="dxa"/>
              <w:left w:w="70" w:type="dxa"/>
              <w:bottom w:w="0" w:type="dxa"/>
              <w:right w:w="70" w:type="dxa"/>
            </w:tcMar>
            <w:vAlign w:val="center"/>
            <w:hideMark/>
          </w:tcPr>
          <w:p w:rsidR="000D6A23" w:rsidRPr="0072678C" w:rsidRDefault="000D6A23">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Demandas por serviços eletrônicos</w:t>
            </w:r>
            <w:r w:rsidRPr="0072678C">
              <w:rPr>
                <w:rFonts w:asciiTheme="minorHAnsi" w:hAnsiTheme="minorHAnsi" w:cstheme="minorHAnsi"/>
                <w:sz w:val="20"/>
                <w:szCs w:val="20"/>
              </w:rPr>
              <w:t>: Demandas por tipo de serviços / Demanda total</w:t>
            </w:r>
          </w:p>
        </w:tc>
        <w:tc>
          <w:tcPr>
            <w:tcW w:w="1560" w:type="dxa"/>
            <w:shd w:val="clear" w:color="auto" w:fill="auto"/>
            <w:tcMar>
              <w:top w:w="0" w:type="dxa"/>
              <w:left w:w="70" w:type="dxa"/>
              <w:bottom w:w="0" w:type="dxa"/>
              <w:right w:w="70" w:type="dxa"/>
            </w:tcMar>
            <w:vAlign w:val="center"/>
            <w:hideMark/>
          </w:tcPr>
          <w:p w:rsidR="000D6A23" w:rsidRPr="0072678C" w:rsidRDefault="000D6A23" w:rsidP="000D6A23">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11,3%</w:t>
            </w:r>
          </w:p>
        </w:tc>
        <w:tc>
          <w:tcPr>
            <w:tcW w:w="2693" w:type="dxa"/>
            <w:shd w:val="clear" w:color="auto" w:fill="auto"/>
            <w:tcMar>
              <w:top w:w="0" w:type="dxa"/>
              <w:left w:w="70" w:type="dxa"/>
              <w:bottom w:w="0" w:type="dxa"/>
              <w:right w:w="70" w:type="dxa"/>
            </w:tcMar>
            <w:vAlign w:val="center"/>
            <w:hideMark/>
          </w:tcPr>
          <w:p w:rsidR="000D6A23" w:rsidRPr="0072678C" w:rsidRDefault="000D6A23" w:rsidP="000D6A23">
            <w:pPr>
              <w:rPr>
                <w:rFonts w:asciiTheme="minorHAnsi" w:eastAsiaTheme="minorHAnsi" w:hAnsiTheme="minorHAnsi" w:cstheme="minorHAnsi"/>
                <w:sz w:val="20"/>
                <w:szCs w:val="20"/>
              </w:rPr>
            </w:pPr>
            <w:r w:rsidRPr="0072678C">
              <w:rPr>
                <w:rFonts w:asciiTheme="minorHAnsi" w:hAnsiTheme="minorHAnsi" w:cstheme="minorHAnsi"/>
                <w:sz w:val="20"/>
                <w:szCs w:val="20"/>
              </w:rPr>
              <w:t>Serviços demandados pelo Fale Conosco/Total de serviços demandados (presencial + 0800 + Fale Conosco)</w:t>
            </w:r>
          </w:p>
        </w:tc>
      </w:tr>
      <w:tr w:rsidR="00A43F85" w:rsidRPr="0072678C" w:rsidTr="000E2286">
        <w:trPr>
          <w:trHeight w:val="124"/>
        </w:trPr>
        <w:tc>
          <w:tcPr>
            <w:tcW w:w="8789" w:type="dxa"/>
            <w:gridSpan w:val="3"/>
            <w:shd w:val="clear" w:color="auto" w:fill="FFE599" w:themeFill="accent4" w:themeFillTint="66"/>
            <w:tcMar>
              <w:top w:w="0" w:type="dxa"/>
              <w:left w:w="70" w:type="dxa"/>
              <w:bottom w:w="0" w:type="dxa"/>
              <w:right w:w="70" w:type="dxa"/>
            </w:tcMar>
            <w:vAlign w:val="center"/>
            <w:hideMark/>
          </w:tcPr>
          <w:p w:rsidR="00A43F85" w:rsidRPr="0072678C" w:rsidRDefault="00A43F85" w:rsidP="00A43F85">
            <w:pPr>
              <w:rPr>
                <w:rFonts w:asciiTheme="minorHAnsi" w:eastAsiaTheme="minorHAnsi" w:hAnsiTheme="minorHAnsi" w:cstheme="minorHAnsi"/>
                <w:sz w:val="20"/>
                <w:szCs w:val="20"/>
              </w:rPr>
            </w:pPr>
            <w:r w:rsidRPr="0072678C">
              <w:rPr>
                <w:rFonts w:asciiTheme="minorHAnsi" w:hAnsiTheme="minorHAnsi" w:cstheme="minorHAnsi"/>
                <w:b/>
                <w:bCs/>
                <w:sz w:val="20"/>
                <w:szCs w:val="20"/>
              </w:rPr>
              <w:t>Satisfação com os serviços prestados</w:t>
            </w:r>
          </w:p>
        </w:tc>
      </w:tr>
      <w:tr w:rsidR="000D6A23" w:rsidRPr="0072678C" w:rsidTr="00A43F85">
        <w:trPr>
          <w:trHeight w:val="1126"/>
        </w:trPr>
        <w:tc>
          <w:tcPr>
            <w:tcW w:w="4536" w:type="dxa"/>
            <w:tcMar>
              <w:top w:w="0" w:type="dxa"/>
              <w:left w:w="70" w:type="dxa"/>
              <w:bottom w:w="0" w:type="dxa"/>
              <w:right w:w="70" w:type="dxa"/>
            </w:tcMar>
            <w:vAlign w:val="center"/>
            <w:hideMark/>
          </w:tcPr>
          <w:p w:rsidR="000D6A23" w:rsidRPr="0072678C" w:rsidRDefault="000D6A23" w:rsidP="000D6A23">
            <w:pPr>
              <w:rPr>
                <w:rFonts w:asciiTheme="minorHAnsi" w:eastAsiaTheme="minorHAnsi" w:hAnsiTheme="minorHAnsi" w:cstheme="minorHAnsi"/>
                <w:iCs/>
                <w:sz w:val="20"/>
                <w:szCs w:val="20"/>
              </w:rPr>
            </w:pPr>
            <w:r w:rsidRPr="0072678C">
              <w:rPr>
                <w:rFonts w:asciiTheme="minorHAnsi" w:hAnsiTheme="minorHAnsi" w:cstheme="minorHAnsi"/>
                <w:iCs/>
                <w:sz w:val="20"/>
                <w:szCs w:val="20"/>
              </w:rPr>
              <w:t>Índice de satisfação com os serviços presencias (média aritmética dos 4 temas pesquisados)</w:t>
            </w:r>
          </w:p>
        </w:tc>
        <w:tc>
          <w:tcPr>
            <w:tcW w:w="1560" w:type="dxa"/>
            <w:shd w:val="clear" w:color="auto" w:fill="FFFFFF"/>
            <w:noWrap/>
            <w:tcMar>
              <w:top w:w="0" w:type="dxa"/>
              <w:left w:w="70" w:type="dxa"/>
              <w:bottom w:w="0" w:type="dxa"/>
              <w:right w:w="70" w:type="dxa"/>
            </w:tcMar>
            <w:vAlign w:val="center"/>
            <w:hideMark/>
          </w:tcPr>
          <w:p w:rsidR="000D6A23" w:rsidRPr="0072678C" w:rsidRDefault="000D6A23">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 3,96</w:t>
            </w:r>
          </w:p>
        </w:tc>
        <w:tc>
          <w:tcPr>
            <w:tcW w:w="2693" w:type="dxa"/>
            <w:shd w:val="clear" w:color="auto" w:fill="auto"/>
            <w:tcMar>
              <w:top w:w="0" w:type="dxa"/>
              <w:left w:w="70" w:type="dxa"/>
              <w:bottom w:w="0" w:type="dxa"/>
              <w:right w:w="70" w:type="dxa"/>
            </w:tcMar>
            <w:vAlign w:val="center"/>
            <w:hideMark/>
          </w:tcPr>
          <w:p w:rsidR="000D6A23" w:rsidRPr="0072678C" w:rsidRDefault="000D6A23">
            <w:pPr>
              <w:rPr>
                <w:rFonts w:asciiTheme="minorHAnsi" w:eastAsiaTheme="minorHAnsi" w:hAnsiTheme="minorHAnsi" w:cstheme="minorHAnsi"/>
                <w:sz w:val="20"/>
                <w:szCs w:val="20"/>
              </w:rPr>
            </w:pPr>
            <w:r w:rsidRPr="0072678C">
              <w:rPr>
                <w:rFonts w:asciiTheme="minorHAnsi" w:hAnsiTheme="minorHAnsi" w:cstheme="minorHAnsi"/>
                <w:sz w:val="20"/>
                <w:szCs w:val="20"/>
              </w:rPr>
              <w:t>A avaliação geral dos usuários dos serviços prestados presencialmente nos Postos Fiscais e Serviços de Pronto Atendimento da Sefaz ficou em 3,96 pontos em 2017 (dados registrados através do Sistema de Gestão do Atendimento – SIGA 3, observando uma escala de 1 a 4, onde 1 = “ruim” e 4 = “ótimo”).</w:t>
            </w:r>
          </w:p>
        </w:tc>
      </w:tr>
    </w:tbl>
    <w:p w:rsidR="00677B4B" w:rsidRPr="0072678C" w:rsidRDefault="00677B4B"/>
    <w:p w:rsidR="00B44516" w:rsidRPr="0072678C" w:rsidRDefault="00B44516" w:rsidP="00B44516">
      <w:pPr>
        <w:jc w:val="both"/>
        <w:rPr>
          <w:rFonts w:asciiTheme="minorHAnsi" w:hAnsiTheme="minorHAnsi" w:cstheme="minorHAnsi"/>
          <w:b/>
          <w:sz w:val="22"/>
          <w:szCs w:val="22"/>
        </w:rPr>
      </w:pPr>
    </w:p>
    <w:tbl>
      <w:tblPr>
        <w:tblStyle w:val="TableGrid"/>
        <w:tblW w:w="8789" w:type="dxa"/>
        <w:tblInd w:w="108" w:type="dxa"/>
        <w:shd w:val="clear" w:color="auto" w:fill="FFE599" w:themeFill="accent4" w:themeFillTint="66"/>
        <w:tblLook w:val="04A0" w:firstRow="1" w:lastRow="0" w:firstColumn="1" w:lastColumn="0" w:noHBand="0" w:noVBand="1"/>
      </w:tblPr>
      <w:tblGrid>
        <w:gridCol w:w="6521"/>
        <w:gridCol w:w="2268"/>
      </w:tblGrid>
      <w:tr w:rsidR="00B44516" w:rsidRPr="0072678C" w:rsidTr="00B44516">
        <w:tc>
          <w:tcPr>
            <w:tcW w:w="6521" w:type="dxa"/>
            <w:shd w:val="clear" w:color="auto" w:fill="FFE599" w:themeFill="accent4" w:themeFillTint="66"/>
          </w:tcPr>
          <w:p w:rsidR="00B44516" w:rsidRPr="0072678C" w:rsidRDefault="00B44516" w:rsidP="00B44516">
            <w:pPr>
              <w:spacing w:before="120" w:after="120"/>
              <w:jc w:val="both"/>
              <w:rPr>
                <w:rFonts w:asciiTheme="minorHAnsi" w:hAnsiTheme="minorHAnsi" w:cstheme="minorHAnsi"/>
                <w:iCs/>
              </w:rPr>
            </w:pPr>
            <w:r w:rsidRPr="0072678C">
              <w:rPr>
                <w:rFonts w:asciiTheme="minorHAnsi" w:hAnsiTheme="minorHAnsi" w:cstheme="minorHAnsi"/>
                <w:iCs/>
              </w:rPr>
              <w:br w:type="page"/>
            </w:r>
            <w:r w:rsidRPr="0072678C">
              <w:rPr>
                <w:rFonts w:asciiTheme="minorHAnsi" w:hAnsiTheme="minorHAnsi" w:cstheme="minorHAnsi"/>
                <w:iCs/>
              </w:rPr>
              <w:br w:type="page"/>
            </w:r>
            <w:r w:rsidRPr="0072678C">
              <w:rPr>
                <w:rFonts w:asciiTheme="minorHAnsi" w:hAnsiTheme="minorHAnsi" w:cstheme="minorHAnsi"/>
                <w:b/>
              </w:rPr>
              <w:t xml:space="preserve">Dimensão AT 6. Cobrança e Arrecadação </w:t>
            </w:r>
          </w:p>
        </w:tc>
        <w:tc>
          <w:tcPr>
            <w:tcW w:w="2268" w:type="dxa"/>
            <w:shd w:val="clear" w:color="auto" w:fill="FFE599" w:themeFill="accent4" w:themeFillTint="66"/>
          </w:tcPr>
          <w:p w:rsidR="00B44516" w:rsidRPr="0072678C" w:rsidRDefault="005B0765" w:rsidP="00B44516">
            <w:pPr>
              <w:spacing w:before="120" w:after="120"/>
              <w:jc w:val="both"/>
              <w:rPr>
                <w:rFonts w:asciiTheme="minorHAnsi" w:hAnsiTheme="minorHAnsi" w:cstheme="minorHAnsi"/>
                <w:b/>
              </w:rPr>
            </w:pPr>
            <w:r w:rsidRPr="0072678C">
              <w:rPr>
                <w:rFonts w:asciiTheme="minorHAnsi" w:hAnsiTheme="minorHAnsi" w:cstheme="minorHAnsi"/>
                <w:b/>
                <w:bCs/>
              </w:rPr>
              <w:t>INTERMEDIÁRIO (-)</w:t>
            </w:r>
          </w:p>
        </w:tc>
      </w:tr>
    </w:tbl>
    <w:p w:rsidR="0028408F" w:rsidRPr="0072678C" w:rsidRDefault="0028408F" w:rsidP="0028408F"/>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 dimensão </w:t>
      </w:r>
      <w:r w:rsidRPr="0072678C">
        <w:rPr>
          <w:rFonts w:asciiTheme="minorHAnsi" w:hAnsiTheme="minorHAnsi" w:cstheme="minorHAnsi"/>
          <w:b/>
          <w:sz w:val="22"/>
          <w:szCs w:val="22"/>
        </w:rPr>
        <w:t xml:space="preserve">Cobrança e Arrecadação </w:t>
      </w:r>
      <w:r w:rsidRPr="0072678C">
        <w:rPr>
          <w:rFonts w:asciiTheme="minorHAnsi" w:hAnsiTheme="minorHAnsi" w:cstheme="minorHAnsi"/>
          <w:sz w:val="22"/>
          <w:szCs w:val="22"/>
        </w:rPr>
        <w:t>tem como visão de futuro “controlar a arrecadação e a restituição, com base em informações digitais e efetuar a cobrança do crédito lançado e parcelado com base no perfil do devedor”.</w:t>
      </w:r>
    </w:p>
    <w:p w:rsidR="00B44516" w:rsidRPr="0072678C" w:rsidRDefault="00B44516" w:rsidP="00B44516">
      <w:pPr>
        <w:spacing w:before="240" w:after="240"/>
        <w:jc w:val="both"/>
        <w:rPr>
          <w:rFonts w:asciiTheme="minorHAnsi" w:hAnsiTheme="minorHAnsi" w:cstheme="minorHAnsi"/>
          <w:b/>
          <w:sz w:val="22"/>
          <w:szCs w:val="22"/>
        </w:rPr>
      </w:pPr>
      <w:r w:rsidRPr="0072678C">
        <w:rPr>
          <w:rFonts w:asciiTheme="minorHAnsi" w:hAnsiTheme="minorHAnsi" w:cstheme="minorHAnsi"/>
          <w:sz w:val="22"/>
          <w:szCs w:val="22"/>
        </w:rPr>
        <w:t>Nesta dimensão, o nível ou estágio de maturidade do conjunto de processos que compõe esta dim</w:t>
      </w:r>
      <w:r w:rsidR="00D418BB" w:rsidRPr="0072678C">
        <w:rPr>
          <w:rFonts w:asciiTheme="minorHAnsi" w:hAnsiTheme="minorHAnsi" w:cstheme="minorHAnsi"/>
          <w:sz w:val="22"/>
          <w:szCs w:val="22"/>
        </w:rPr>
        <w:t>ensão, conforme apurado pela MD-</w:t>
      </w:r>
      <w:r w:rsidRPr="0072678C">
        <w:rPr>
          <w:rFonts w:asciiTheme="minorHAnsi" w:hAnsiTheme="minorHAnsi" w:cstheme="minorHAnsi"/>
          <w:sz w:val="22"/>
          <w:szCs w:val="22"/>
        </w:rPr>
        <w:t xml:space="preserve">GEFIS, é </w:t>
      </w:r>
      <w:r w:rsidR="005B0765" w:rsidRPr="0072678C">
        <w:rPr>
          <w:rFonts w:asciiTheme="minorHAnsi" w:hAnsiTheme="minorHAnsi" w:cstheme="minorHAnsi"/>
          <w:b/>
          <w:bCs/>
          <w:sz w:val="22"/>
          <w:szCs w:val="22"/>
        </w:rPr>
        <w:t>INTERMEDIÁRIO (-)</w:t>
      </w:r>
      <w:r w:rsidRPr="0072678C">
        <w:rPr>
          <w:rFonts w:asciiTheme="minorHAnsi" w:hAnsiTheme="minorHAnsi" w:cstheme="minorHAnsi"/>
          <w:b/>
          <w:sz w:val="22"/>
          <w:szCs w:val="22"/>
        </w:rPr>
        <w:t>.</w:t>
      </w:r>
    </w:p>
    <w:p w:rsidR="005B0765" w:rsidRPr="0072678C" w:rsidRDefault="005B0765" w:rsidP="005B0765">
      <w:pPr>
        <w:spacing w:before="240" w:after="240"/>
        <w:jc w:val="both"/>
        <w:rPr>
          <w:rFonts w:asciiTheme="minorHAnsi" w:hAnsiTheme="minorHAnsi" w:cstheme="minorHAnsi"/>
          <w:b/>
          <w:i/>
          <w:sz w:val="22"/>
          <w:szCs w:val="22"/>
        </w:rPr>
      </w:pPr>
      <w:r w:rsidRPr="0072678C">
        <w:rPr>
          <w:rFonts w:asciiTheme="minorHAnsi" w:hAnsiTheme="minorHAnsi" w:cstheme="minorHAnsi"/>
          <w:sz w:val="22"/>
          <w:szCs w:val="22"/>
        </w:rPr>
        <w:t>Os processos</w:t>
      </w:r>
      <w:r w:rsidRPr="0072678C">
        <w:rPr>
          <w:rFonts w:asciiTheme="minorHAnsi" w:hAnsiTheme="minorHAnsi" w:cstheme="minorHAnsi"/>
          <w:b/>
          <w:i/>
          <w:sz w:val="22"/>
          <w:szCs w:val="22"/>
        </w:rPr>
        <w:t xml:space="preserve"> </w:t>
      </w:r>
      <w:r w:rsidRPr="0072678C">
        <w:rPr>
          <w:rFonts w:asciiTheme="minorHAnsi" w:hAnsiTheme="minorHAnsi" w:cstheme="minorHAnsi"/>
          <w:b/>
          <w:bCs/>
          <w:i/>
          <w:iCs/>
          <w:sz w:val="22"/>
          <w:szCs w:val="22"/>
        </w:rPr>
        <w:t xml:space="preserve">arrecadação tributária; </w:t>
      </w:r>
      <w:r w:rsidRPr="0072678C">
        <w:rPr>
          <w:rFonts w:asciiTheme="minorHAnsi" w:hAnsiTheme="minorHAnsi" w:cstheme="minorHAnsi"/>
          <w:sz w:val="22"/>
          <w:szCs w:val="22"/>
        </w:rPr>
        <w:t>e</w:t>
      </w:r>
      <w:r w:rsidRPr="0072678C">
        <w:rPr>
          <w:rFonts w:asciiTheme="minorHAnsi" w:hAnsiTheme="minorHAnsi" w:cstheme="minorHAnsi"/>
          <w:b/>
          <w:bCs/>
          <w:i/>
          <w:iCs/>
          <w:sz w:val="22"/>
          <w:szCs w:val="22"/>
        </w:rPr>
        <w:t xml:space="preserve"> </w:t>
      </w:r>
      <w:r w:rsidRPr="0072678C">
        <w:rPr>
          <w:rFonts w:asciiTheme="minorHAnsi" w:hAnsiTheme="minorHAnsi" w:cstheme="minorHAnsi"/>
          <w:sz w:val="22"/>
          <w:szCs w:val="22"/>
        </w:rPr>
        <w:t xml:space="preserve">emissão de </w:t>
      </w:r>
      <w:r w:rsidRPr="0072678C">
        <w:rPr>
          <w:rFonts w:asciiTheme="minorHAnsi" w:hAnsiTheme="minorHAnsi" w:cstheme="minorHAnsi"/>
          <w:b/>
          <w:bCs/>
          <w:i/>
          <w:iCs/>
          <w:sz w:val="22"/>
          <w:szCs w:val="22"/>
        </w:rPr>
        <w:t xml:space="preserve">certidão de débito tributário apresentam </w:t>
      </w:r>
      <w:r w:rsidRPr="0072678C">
        <w:rPr>
          <w:rFonts w:asciiTheme="minorHAnsi" w:hAnsiTheme="minorHAnsi" w:cstheme="minorHAnsi"/>
          <w:sz w:val="22"/>
          <w:szCs w:val="22"/>
        </w:rPr>
        <w:t xml:space="preserve">nível 3 de maturidade no atendimento aos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o mais elevado na escala e influenci</w:t>
      </w:r>
      <w:r w:rsidR="005E335D" w:rsidRPr="0072678C">
        <w:rPr>
          <w:rFonts w:asciiTheme="minorHAnsi" w:hAnsiTheme="minorHAnsi" w:cstheme="minorHAnsi"/>
          <w:sz w:val="22"/>
          <w:szCs w:val="22"/>
        </w:rPr>
        <w:t xml:space="preserve">aram </w:t>
      </w:r>
      <w:r w:rsidRPr="0072678C">
        <w:rPr>
          <w:rFonts w:asciiTheme="minorHAnsi" w:hAnsiTheme="minorHAnsi" w:cstheme="minorHAnsi"/>
          <w:sz w:val="22"/>
          <w:szCs w:val="22"/>
        </w:rPr>
        <w:t>positivamente o resultado alcançado.</w:t>
      </w:r>
    </w:p>
    <w:p w:rsidR="005B0765" w:rsidRPr="0072678C" w:rsidRDefault="005B0765"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O processo progressividade de</w:t>
      </w:r>
      <w:r w:rsidRPr="0072678C">
        <w:rPr>
          <w:rFonts w:asciiTheme="minorHAnsi" w:hAnsiTheme="minorHAnsi" w:cstheme="minorHAnsi"/>
          <w:b/>
          <w:bCs/>
          <w:sz w:val="22"/>
          <w:szCs w:val="22"/>
        </w:rPr>
        <w:t xml:space="preserve"> penalidades na recuperação do crédito </w:t>
      </w:r>
      <w:r w:rsidRPr="0072678C">
        <w:rPr>
          <w:rFonts w:asciiTheme="minorHAnsi" w:hAnsiTheme="minorHAnsi" w:cstheme="minorHAnsi"/>
          <w:sz w:val="22"/>
          <w:szCs w:val="22"/>
        </w:rPr>
        <w:t xml:space="preserve">apresenta nível 2 de maturidade, ou seja, atende a número médio de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w:t>
      </w:r>
    </w:p>
    <w:p w:rsidR="005B0765" w:rsidRPr="0072678C" w:rsidRDefault="00A83518"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Outros 2 processos apresentam nível 1 de maturidade, </w:t>
      </w:r>
      <w:proofErr w:type="gramStart"/>
      <w:r w:rsidRPr="0072678C">
        <w:rPr>
          <w:rFonts w:asciiTheme="minorHAnsi" w:hAnsiTheme="minorHAnsi" w:cstheme="minorHAnsi"/>
          <w:sz w:val="22"/>
          <w:szCs w:val="22"/>
        </w:rPr>
        <w:t>ou seja</w:t>
      </w:r>
      <w:proofErr w:type="gramEnd"/>
      <w:r w:rsidRPr="0072678C">
        <w:rPr>
          <w:rFonts w:asciiTheme="minorHAnsi" w:hAnsiTheme="minorHAnsi" w:cstheme="minorHAnsi"/>
          <w:sz w:val="22"/>
          <w:szCs w:val="22"/>
        </w:rPr>
        <w:t xml:space="preserve"> atendem a pouquíssimos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w:t>
      </w:r>
      <w:r w:rsidRPr="0072678C">
        <w:rPr>
          <w:rFonts w:asciiTheme="minorHAnsi" w:hAnsiTheme="minorHAnsi" w:cstheme="minorHAnsi"/>
          <w:b/>
          <w:bCs/>
          <w:sz w:val="22"/>
          <w:szCs w:val="22"/>
        </w:rPr>
        <w:t xml:space="preserve">recuperação do crédito tributário; e </w:t>
      </w:r>
      <w:r w:rsidRPr="0072678C">
        <w:rPr>
          <w:rFonts w:asciiTheme="minorHAnsi" w:hAnsiTheme="minorHAnsi" w:cstheme="minorHAnsi"/>
          <w:b/>
          <w:bCs/>
          <w:i/>
          <w:iCs/>
          <w:sz w:val="22"/>
          <w:szCs w:val="22"/>
        </w:rPr>
        <w:t>parcelamento do crédito tributário.</w:t>
      </w:r>
    </w:p>
    <w:p w:rsidR="00A83518" w:rsidRPr="0072678C" w:rsidRDefault="00A83518" w:rsidP="00B44516">
      <w:pPr>
        <w:spacing w:before="240" w:after="240"/>
        <w:jc w:val="both"/>
        <w:rPr>
          <w:rFonts w:asciiTheme="minorHAnsi" w:hAnsiTheme="minorHAnsi" w:cstheme="minorHAnsi"/>
          <w:b/>
          <w:sz w:val="22"/>
          <w:szCs w:val="22"/>
        </w:rPr>
      </w:pPr>
      <w:r w:rsidRPr="0072678C">
        <w:rPr>
          <w:rFonts w:asciiTheme="minorHAnsi" w:hAnsiTheme="minorHAnsi" w:cstheme="minorHAnsi"/>
          <w:sz w:val="22"/>
          <w:szCs w:val="22"/>
        </w:rPr>
        <w:t>Já o processo</w:t>
      </w:r>
      <w:r w:rsidRPr="0072678C">
        <w:rPr>
          <w:rFonts w:asciiTheme="minorHAnsi" w:hAnsiTheme="minorHAnsi" w:cstheme="minorHAnsi"/>
          <w:b/>
          <w:bCs/>
          <w:sz w:val="22"/>
          <w:szCs w:val="22"/>
        </w:rPr>
        <w:t xml:space="preserve"> </w:t>
      </w:r>
      <w:r w:rsidRPr="0072678C">
        <w:rPr>
          <w:rFonts w:asciiTheme="minorHAnsi" w:hAnsiTheme="minorHAnsi" w:cstheme="minorHAnsi"/>
          <w:b/>
          <w:bCs/>
          <w:i/>
          <w:iCs/>
          <w:sz w:val="22"/>
          <w:szCs w:val="22"/>
        </w:rPr>
        <w:t xml:space="preserve">restituição e compensação tributária </w:t>
      </w:r>
      <w:r w:rsidRPr="0072678C">
        <w:rPr>
          <w:rFonts w:asciiTheme="minorHAnsi" w:hAnsiTheme="minorHAnsi" w:cstheme="minorHAnsi"/>
          <w:sz w:val="22"/>
          <w:szCs w:val="22"/>
        </w:rPr>
        <w:t xml:space="preserve">apresenta nível 0 (zero) de maturidade, ou seja, atende apenas a 1 dentre 6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w:t>
      </w:r>
      <w:r w:rsidR="00064EE5">
        <w:rPr>
          <w:rFonts w:asciiTheme="minorHAnsi" w:hAnsiTheme="minorHAnsi" w:cstheme="minorHAnsi"/>
          <w:sz w:val="22"/>
          <w:szCs w:val="22"/>
        </w:rPr>
        <w:t>GEFIS</w:t>
      </w:r>
      <w:r w:rsidRPr="0072678C">
        <w:rPr>
          <w:rFonts w:asciiTheme="minorHAnsi" w:hAnsiTheme="minorHAnsi" w:cstheme="minorHAnsi"/>
          <w:sz w:val="22"/>
          <w:szCs w:val="22"/>
        </w:rPr>
        <w:t>.</w:t>
      </w:r>
    </w:p>
    <w:p w:rsidR="00B63DA9" w:rsidRPr="0072678C" w:rsidRDefault="00B63DA9" w:rsidP="00B63DA9">
      <w:pPr>
        <w:jc w:val="both"/>
        <w:rPr>
          <w:rFonts w:asciiTheme="minorHAnsi" w:hAnsiTheme="minorHAnsi" w:cstheme="minorHAnsi"/>
          <w:sz w:val="22"/>
          <w:szCs w:val="22"/>
        </w:rPr>
      </w:pPr>
      <w:r w:rsidRPr="0072678C">
        <w:rPr>
          <w:rFonts w:asciiTheme="minorHAnsi" w:hAnsiTheme="minorHAnsi" w:cstheme="minorHAnsi"/>
          <w:sz w:val="22"/>
          <w:szCs w:val="22"/>
        </w:rPr>
        <w:t xml:space="preserve">A emissão de </w:t>
      </w:r>
      <w:r w:rsidRPr="0072678C">
        <w:rPr>
          <w:rFonts w:asciiTheme="minorHAnsi" w:hAnsiTheme="minorHAnsi" w:cstheme="minorHAnsi"/>
          <w:b/>
          <w:bCs/>
          <w:i/>
          <w:iCs/>
          <w:sz w:val="22"/>
          <w:szCs w:val="22"/>
        </w:rPr>
        <w:t>certidão de débito tributário</w:t>
      </w:r>
      <w:r w:rsidRPr="0072678C">
        <w:rPr>
          <w:rFonts w:asciiTheme="minorHAnsi" w:hAnsiTheme="minorHAnsi" w:cstheme="minorHAnsi"/>
          <w:sz w:val="22"/>
          <w:szCs w:val="22"/>
        </w:rPr>
        <w:t xml:space="preserve"> atende a todos os 7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e obteve nível 3 de maturidade. Para tanto, a SEFAZ/SP abrange as informações relativas a todos os tributos estaduais</w:t>
      </w:r>
      <w:r w:rsidRPr="0072678C">
        <w:rPr>
          <w:rStyle w:val="FootnoteReference"/>
          <w:rFonts w:asciiTheme="minorHAnsi" w:hAnsiTheme="minorHAnsi" w:cstheme="minorHAnsi"/>
          <w:sz w:val="22"/>
          <w:szCs w:val="22"/>
        </w:rPr>
        <w:footnoteReference w:id="158"/>
      </w:r>
      <w:r w:rsidR="00262E00" w:rsidRPr="0072678C">
        <w:rPr>
          <w:rFonts w:asciiTheme="minorHAnsi" w:hAnsiTheme="minorHAnsi" w:cstheme="minorHAnsi"/>
          <w:sz w:val="22"/>
          <w:szCs w:val="22"/>
        </w:rPr>
        <w:t xml:space="preserve">; </w:t>
      </w:r>
      <w:r w:rsidRPr="0072678C">
        <w:rPr>
          <w:rFonts w:asciiTheme="minorHAnsi" w:hAnsiTheme="minorHAnsi" w:cstheme="minorHAnsi"/>
          <w:sz w:val="22"/>
          <w:szCs w:val="22"/>
        </w:rPr>
        <w:t>integra as informações dos processos inscritos em dívida ativa</w:t>
      </w:r>
      <w:r w:rsidRPr="0072678C">
        <w:rPr>
          <w:rStyle w:val="FootnoteReference"/>
          <w:rFonts w:asciiTheme="minorHAnsi" w:hAnsiTheme="minorHAnsi" w:cstheme="minorHAnsi"/>
          <w:sz w:val="22"/>
          <w:szCs w:val="22"/>
        </w:rPr>
        <w:footnoteReference w:id="159"/>
      </w:r>
      <w:r w:rsidRPr="0072678C">
        <w:rPr>
          <w:rFonts w:asciiTheme="minorHAnsi" w:hAnsiTheme="minorHAnsi" w:cstheme="minorHAnsi"/>
          <w:sz w:val="22"/>
          <w:szCs w:val="22"/>
        </w:rPr>
        <w:t>; gera informação para suspensão de benefícios fiscais; e atualiza a situação do contribuinte na data de efetivação do pagamento (</w:t>
      </w:r>
      <w:r w:rsidR="00262E00" w:rsidRPr="0072678C">
        <w:rPr>
          <w:rFonts w:asciiTheme="minorHAnsi" w:hAnsiTheme="minorHAnsi" w:cstheme="minorHAnsi"/>
          <w:sz w:val="22"/>
          <w:szCs w:val="22"/>
        </w:rPr>
        <w:t xml:space="preserve">para o </w:t>
      </w:r>
      <w:r w:rsidRPr="0072678C">
        <w:rPr>
          <w:rFonts w:asciiTheme="minorHAnsi" w:hAnsiTheme="minorHAnsi" w:cstheme="minorHAnsi"/>
          <w:sz w:val="22"/>
          <w:szCs w:val="22"/>
        </w:rPr>
        <w:t>IPVA a atualização é on-line</w:t>
      </w:r>
      <w:r w:rsidR="00262E00" w:rsidRPr="0072678C">
        <w:rPr>
          <w:rFonts w:asciiTheme="minorHAnsi" w:hAnsiTheme="minorHAnsi" w:cstheme="minorHAnsi"/>
          <w:sz w:val="22"/>
          <w:szCs w:val="22"/>
        </w:rPr>
        <w:t xml:space="preserve">, e para o </w:t>
      </w:r>
      <w:r w:rsidRPr="0072678C">
        <w:rPr>
          <w:rFonts w:asciiTheme="minorHAnsi" w:hAnsiTheme="minorHAnsi" w:cstheme="minorHAnsi"/>
          <w:sz w:val="22"/>
          <w:szCs w:val="22"/>
        </w:rPr>
        <w:lastRenderedPageBreak/>
        <w:t>ICMS a atualização pode levar cerca de dois dias); disponibiliza no site do PFE.</w:t>
      </w:r>
      <w:r w:rsidR="00262E00" w:rsidRPr="0072678C">
        <w:rPr>
          <w:rFonts w:asciiTheme="minorHAnsi" w:hAnsiTheme="minorHAnsi" w:cstheme="minorHAnsi"/>
          <w:sz w:val="22"/>
          <w:szCs w:val="22"/>
        </w:rPr>
        <w:t xml:space="preserve"> </w:t>
      </w:r>
      <w:r w:rsidRPr="0072678C">
        <w:rPr>
          <w:rFonts w:asciiTheme="minorHAnsi" w:hAnsiTheme="minorHAnsi" w:cstheme="minorHAnsi"/>
          <w:sz w:val="22"/>
          <w:szCs w:val="22"/>
        </w:rPr>
        <w:t>a certidão na Internet, em tempo real, com prazo de validade e código de verificação; e assegura o sigilo fiscal.</w:t>
      </w:r>
    </w:p>
    <w:p w:rsidR="00262E00" w:rsidRPr="0072678C" w:rsidRDefault="00262E00" w:rsidP="00B63DA9">
      <w:pPr>
        <w:jc w:val="both"/>
        <w:rPr>
          <w:rFonts w:asciiTheme="minorHAnsi" w:hAnsiTheme="minorHAnsi" w:cstheme="minorHAnsi"/>
          <w:sz w:val="22"/>
          <w:szCs w:val="22"/>
        </w:rPr>
      </w:pPr>
    </w:p>
    <w:p w:rsidR="00B63DA9" w:rsidRPr="0072678C" w:rsidRDefault="00B63DA9" w:rsidP="00B63DA9">
      <w:pPr>
        <w:jc w:val="both"/>
        <w:rPr>
          <w:rFonts w:asciiTheme="minorHAnsi" w:hAnsiTheme="minorHAnsi" w:cstheme="minorHAnsi"/>
          <w:sz w:val="22"/>
          <w:szCs w:val="22"/>
        </w:rPr>
      </w:pPr>
      <w:r w:rsidRPr="0072678C">
        <w:rPr>
          <w:rFonts w:asciiTheme="minorHAnsi" w:hAnsiTheme="minorHAnsi" w:cstheme="minorHAnsi"/>
          <w:sz w:val="22"/>
          <w:szCs w:val="22"/>
        </w:rPr>
        <w:t xml:space="preserve">A </w:t>
      </w:r>
      <w:r w:rsidRPr="0072678C">
        <w:rPr>
          <w:rFonts w:asciiTheme="minorHAnsi" w:hAnsiTheme="minorHAnsi" w:cstheme="minorHAnsi"/>
          <w:b/>
          <w:bCs/>
          <w:i/>
          <w:iCs/>
          <w:sz w:val="22"/>
          <w:szCs w:val="22"/>
        </w:rPr>
        <w:t>progressividade de penalidades na recuperação do crédito</w:t>
      </w:r>
      <w:r w:rsidRPr="0072678C">
        <w:rPr>
          <w:rFonts w:asciiTheme="minorHAnsi" w:hAnsiTheme="minorHAnsi" w:cstheme="minorHAnsi"/>
          <w:sz w:val="22"/>
          <w:szCs w:val="22"/>
        </w:rPr>
        <w:t xml:space="preserve"> atende a 7 dentre 13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e obteve nív</w:t>
      </w:r>
      <w:r w:rsidR="00F1328C" w:rsidRPr="0072678C">
        <w:rPr>
          <w:rFonts w:asciiTheme="minorHAnsi" w:hAnsiTheme="minorHAnsi" w:cstheme="minorHAnsi"/>
          <w:sz w:val="22"/>
          <w:szCs w:val="22"/>
        </w:rPr>
        <w:t>el 2 de maturidade. A SEFAZ/SP u</w:t>
      </w:r>
      <w:r w:rsidRPr="0072678C">
        <w:rPr>
          <w:rFonts w:asciiTheme="minorHAnsi" w:hAnsiTheme="minorHAnsi" w:cstheme="minorHAnsi"/>
          <w:sz w:val="22"/>
          <w:szCs w:val="22"/>
        </w:rPr>
        <w:t>tiliza perda de regimes especiais</w:t>
      </w:r>
      <w:r w:rsidRPr="0072678C">
        <w:rPr>
          <w:rStyle w:val="FootnoteReference"/>
          <w:rFonts w:asciiTheme="minorHAnsi" w:hAnsiTheme="minorHAnsi" w:cstheme="minorHAnsi"/>
          <w:sz w:val="22"/>
          <w:szCs w:val="22"/>
        </w:rPr>
        <w:footnoteReference w:id="160"/>
      </w:r>
      <w:r w:rsidRPr="0072678C">
        <w:rPr>
          <w:rFonts w:asciiTheme="minorHAnsi" w:hAnsiTheme="minorHAnsi" w:cstheme="minorHAnsi"/>
          <w:sz w:val="22"/>
          <w:szCs w:val="22"/>
        </w:rPr>
        <w:t xml:space="preserve">; </w:t>
      </w:r>
      <w:r w:rsidR="00F1328C" w:rsidRPr="0072678C">
        <w:rPr>
          <w:rFonts w:asciiTheme="minorHAnsi" w:hAnsiTheme="minorHAnsi" w:cstheme="minorHAnsi"/>
          <w:sz w:val="22"/>
          <w:szCs w:val="22"/>
        </w:rPr>
        <w:t>s</w:t>
      </w:r>
      <w:r w:rsidRPr="0072678C">
        <w:rPr>
          <w:rFonts w:asciiTheme="minorHAnsi" w:hAnsiTheme="minorHAnsi" w:cstheme="minorHAnsi"/>
          <w:sz w:val="22"/>
          <w:szCs w:val="22"/>
        </w:rPr>
        <w:t>uspende benefícios fiscais</w:t>
      </w:r>
      <w:r w:rsidRPr="0072678C">
        <w:rPr>
          <w:rStyle w:val="FootnoteReference"/>
          <w:rFonts w:asciiTheme="minorHAnsi" w:hAnsiTheme="minorHAnsi" w:cstheme="minorHAnsi"/>
          <w:sz w:val="22"/>
          <w:szCs w:val="22"/>
        </w:rPr>
        <w:footnoteReference w:id="161"/>
      </w:r>
      <w:r w:rsidRPr="0072678C">
        <w:rPr>
          <w:rFonts w:asciiTheme="minorHAnsi" w:hAnsiTheme="minorHAnsi" w:cstheme="minorHAnsi"/>
          <w:sz w:val="22"/>
          <w:szCs w:val="22"/>
        </w:rPr>
        <w:t xml:space="preserve">; </w:t>
      </w:r>
      <w:r w:rsidR="00F1328C" w:rsidRPr="0072678C">
        <w:rPr>
          <w:rFonts w:asciiTheme="minorHAnsi" w:hAnsiTheme="minorHAnsi" w:cstheme="minorHAnsi"/>
          <w:sz w:val="22"/>
          <w:szCs w:val="22"/>
        </w:rPr>
        <w:t>i</w:t>
      </w:r>
      <w:r w:rsidRPr="0072678C">
        <w:rPr>
          <w:rFonts w:asciiTheme="minorHAnsi" w:hAnsiTheme="minorHAnsi" w:cstheme="minorHAnsi"/>
          <w:sz w:val="22"/>
          <w:szCs w:val="22"/>
        </w:rPr>
        <w:t xml:space="preserve">mpede a participação em licitações públicas estaduais; </w:t>
      </w:r>
      <w:r w:rsidR="00F1328C" w:rsidRPr="0072678C">
        <w:rPr>
          <w:rFonts w:asciiTheme="minorHAnsi" w:hAnsiTheme="minorHAnsi" w:cstheme="minorHAnsi"/>
          <w:sz w:val="22"/>
          <w:szCs w:val="22"/>
        </w:rPr>
        <w:t>s</w:t>
      </w:r>
      <w:r w:rsidRPr="0072678C">
        <w:rPr>
          <w:rFonts w:asciiTheme="minorHAnsi" w:hAnsiTheme="minorHAnsi" w:cstheme="minorHAnsi"/>
          <w:sz w:val="22"/>
          <w:szCs w:val="22"/>
        </w:rPr>
        <w:t>uspende o recebimento de pagamentos do estado; inscreve no cadastro estadual de inadimplentes</w:t>
      </w:r>
      <w:r w:rsidRPr="0072678C">
        <w:rPr>
          <w:rStyle w:val="FootnoteReference"/>
          <w:rFonts w:asciiTheme="minorHAnsi" w:hAnsiTheme="minorHAnsi" w:cstheme="minorHAnsi"/>
          <w:sz w:val="22"/>
          <w:szCs w:val="22"/>
        </w:rPr>
        <w:footnoteReference w:id="162"/>
      </w:r>
      <w:r w:rsidRPr="0072678C">
        <w:rPr>
          <w:rFonts w:asciiTheme="minorHAnsi" w:hAnsiTheme="minorHAnsi" w:cstheme="minorHAnsi"/>
          <w:sz w:val="22"/>
          <w:szCs w:val="22"/>
        </w:rPr>
        <w:t>; propõe penhora de valores em conta corrente, imóveis e outros bens; notifica e apresenta denúncia crime ao ministério público estadual (controle efetuado pelas regras implementadas nas contas fiscais existentes, pode ser indicado o site do PFE, que hospeda a conta fiscal do ICMS declarado e do parcelamento, existem ainda as contas fiscais do AIIM, do ITCMD e do IPVA http://pfe.fazenda.sp.gov.br/).</w:t>
      </w:r>
    </w:p>
    <w:p w:rsidR="00B63DA9" w:rsidRPr="0072678C" w:rsidRDefault="00B63DA9" w:rsidP="00B63DA9">
      <w:pPr>
        <w:jc w:val="both"/>
        <w:rPr>
          <w:rFonts w:asciiTheme="minorHAnsi" w:hAnsiTheme="minorHAnsi" w:cstheme="minorHAnsi"/>
          <w:sz w:val="22"/>
          <w:szCs w:val="22"/>
        </w:rPr>
      </w:pPr>
    </w:p>
    <w:p w:rsidR="00B63DA9" w:rsidRPr="0072678C" w:rsidRDefault="00B63DA9" w:rsidP="00B63DA9">
      <w:pPr>
        <w:jc w:val="both"/>
        <w:rPr>
          <w:rFonts w:asciiTheme="minorHAnsi" w:hAnsiTheme="minorHAnsi" w:cstheme="minorHAnsi"/>
          <w:sz w:val="22"/>
          <w:szCs w:val="22"/>
        </w:rPr>
      </w:pPr>
      <w:r w:rsidRPr="0072678C">
        <w:rPr>
          <w:rFonts w:asciiTheme="minorHAnsi" w:hAnsiTheme="minorHAnsi" w:cstheme="minorHAnsi"/>
          <w:sz w:val="22"/>
          <w:szCs w:val="22"/>
        </w:rPr>
        <w:t xml:space="preserve">O processo de </w:t>
      </w:r>
      <w:r w:rsidRPr="0072678C">
        <w:rPr>
          <w:rFonts w:asciiTheme="minorHAnsi" w:hAnsiTheme="minorHAnsi" w:cstheme="minorHAnsi"/>
          <w:b/>
          <w:bCs/>
          <w:i/>
          <w:iCs/>
          <w:sz w:val="22"/>
          <w:szCs w:val="22"/>
        </w:rPr>
        <w:t>recuperação do crédito tributário</w:t>
      </w:r>
      <w:r w:rsidRPr="0072678C">
        <w:rPr>
          <w:rFonts w:asciiTheme="minorHAnsi" w:hAnsiTheme="minorHAnsi" w:cstheme="minorHAnsi"/>
          <w:sz w:val="22"/>
          <w:szCs w:val="22"/>
        </w:rPr>
        <w:t xml:space="preserve"> obteve nível 1 de maturidade e atende apenas 3 de 13 requisitos das boas práticas da MD-GEFIS. Para tanto, dispõe de estrutura organizacional para a gestão da recuperação do crédito</w:t>
      </w:r>
      <w:r w:rsidRPr="0072678C">
        <w:rPr>
          <w:rStyle w:val="FootnoteReference"/>
          <w:rFonts w:asciiTheme="minorHAnsi" w:hAnsiTheme="minorHAnsi" w:cstheme="minorHAnsi"/>
          <w:sz w:val="22"/>
          <w:szCs w:val="22"/>
        </w:rPr>
        <w:footnoteReference w:id="163"/>
      </w:r>
      <w:r w:rsidRPr="0072678C">
        <w:rPr>
          <w:rFonts w:asciiTheme="minorHAnsi" w:hAnsiTheme="minorHAnsi" w:cstheme="minorHAnsi"/>
          <w:sz w:val="22"/>
          <w:szCs w:val="22"/>
        </w:rPr>
        <w:t>; dispõe de informações integradas e atualizadas sobre todos os débitos dos contribuintes</w:t>
      </w:r>
      <w:r w:rsidRPr="0072678C">
        <w:rPr>
          <w:rStyle w:val="FootnoteReference"/>
          <w:rFonts w:asciiTheme="minorHAnsi" w:hAnsiTheme="minorHAnsi" w:cstheme="minorHAnsi"/>
          <w:sz w:val="22"/>
          <w:szCs w:val="22"/>
        </w:rPr>
        <w:footnoteReference w:id="164"/>
      </w:r>
      <w:r w:rsidRPr="0072678C">
        <w:rPr>
          <w:rFonts w:asciiTheme="minorHAnsi" w:hAnsiTheme="minorHAnsi" w:cstheme="minorHAnsi"/>
          <w:sz w:val="22"/>
          <w:szCs w:val="22"/>
        </w:rPr>
        <w:t>; segmenta a dívida por valor, priorizando a cobrança de dívidas com maior potencial de recuperação</w:t>
      </w:r>
      <w:r w:rsidR="00F1328C" w:rsidRPr="0072678C">
        <w:rPr>
          <w:rFonts w:asciiTheme="minorHAnsi" w:hAnsiTheme="minorHAnsi" w:cstheme="minorHAnsi"/>
          <w:sz w:val="22"/>
          <w:szCs w:val="22"/>
        </w:rPr>
        <w:t>.</w:t>
      </w:r>
    </w:p>
    <w:p w:rsidR="00B63DA9" w:rsidRPr="0072678C" w:rsidRDefault="00B63DA9" w:rsidP="00B63DA9">
      <w:pPr>
        <w:jc w:val="both"/>
        <w:rPr>
          <w:rFonts w:asciiTheme="minorHAnsi" w:hAnsiTheme="minorHAnsi" w:cstheme="minorHAnsi"/>
          <w:sz w:val="22"/>
          <w:szCs w:val="22"/>
        </w:rPr>
      </w:pPr>
    </w:p>
    <w:p w:rsidR="00B63DA9" w:rsidRPr="0072678C" w:rsidRDefault="00B63DA9" w:rsidP="00F1328C">
      <w:pPr>
        <w:jc w:val="both"/>
        <w:rPr>
          <w:rFonts w:asciiTheme="minorHAnsi" w:hAnsiTheme="minorHAnsi" w:cstheme="minorHAnsi"/>
          <w:b/>
          <w:bCs/>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parcelamento do crédito tributário</w:t>
      </w:r>
      <w:r w:rsidRPr="0072678C">
        <w:rPr>
          <w:rFonts w:asciiTheme="minorHAnsi" w:hAnsiTheme="minorHAnsi" w:cstheme="minorHAnsi"/>
          <w:sz w:val="22"/>
          <w:szCs w:val="22"/>
        </w:rPr>
        <w:t xml:space="preserve"> atende apenas 3 dentre 8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e obteve nível 1 de maturidade. A SEFAZ/SP controla automaticamente as regras de vencimento integral da dívida pela interrupção de pagamento; disponibiliza simulador na Internet para o cálculo das parcelas</w:t>
      </w:r>
      <w:r w:rsidRPr="0072678C">
        <w:rPr>
          <w:rStyle w:val="FootnoteReference"/>
          <w:rFonts w:asciiTheme="minorHAnsi" w:hAnsiTheme="minorHAnsi" w:cstheme="minorHAnsi"/>
          <w:sz w:val="22"/>
          <w:szCs w:val="22"/>
        </w:rPr>
        <w:footnoteReference w:id="165"/>
      </w:r>
      <w:r w:rsidRPr="0072678C">
        <w:rPr>
          <w:rFonts w:asciiTheme="minorHAnsi" w:hAnsiTheme="minorHAnsi" w:cstheme="minorHAnsi"/>
          <w:sz w:val="22"/>
          <w:szCs w:val="22"/>
        </w:rPr>
        <w:t>; controla automaticamente os vencimentos das parcelas e não emite certidão positiva nas ausências de pagamentos.</w:t>
      </w:r>
    </w:p>
    <w:p w:rsidR="00B63DA9" w:rsidRPr="0072678C" w:rsidRDefault="00B63DA9" w:rsidP="00D4771E">
      <w:pPr>
        <w:jc w:val="both"/>
        <w:rPr>
          <w:rFonts w:asciiTheme="minorHAnsi" w:hAnsiTheme="minorHAnsi" w:cstheme="minorHAnsi"/>
          <w:sz w:val="22"/>
          <w:szCs w:val="22"/>
        </w:rPr>
      </w:pPr>
    </w:p>
    <w:p w:rsidR="00B63DA9" w:rsidRPr="0072678C" w:rsidRDefault="00B63DA9" w:rsidP="00D4771E">
      <w:pPr>
        <w:jc w:val="both"/>
        <w:rPr>
          <w:rFonts w:asciiTheme="minorHAnsi" w:hAnsiTheme="minorHAnsi" w:cstheme="minorHAnsi"/>
          <w:b/>
          <w:bCs/>
          <w:sz w:val="16"/>
          <w:szCs w:val="16"/>
        </w:rPr>
      </w:pPr>
      <w:r w:rsidRPr="0072678C">
        <w:rPr>
          <w:rFonts w:asciiTheme="minorHAnsi" w:hAnsiTheme="minorHAnsi" w:cstheme="minorHAnsi"/>
          <w:sz w:val="22"/>
          <w:szCs w:val="22"/>
        </w:rPr>
        <w:t xml:space="preserve">Os procedimentos de </w:t>
      </w:r>
      <w:r w:rsidRPr="0072678C">
        <w:rPr>
          <w:rFonts w:asciiTheme="minorHAnsi" w:hAnsiTheme="minorHAnsi" w:cstheme="minorHAnsi"/>
          <w:b/>
          <w:bCs/>
          <w:i/>
          <w:iCs/>
          <w:sz w:val="22"/>
          <w:szCs w:val="22"/>
        </w:rPr>
        <w:t xml:space="preserve">arrecadação tributária </w:t>
      </w:r>
      <w:r w:rsidRPr="0072678C">
        <w:rPr>
          <w:rFonts w:asciiTheme="minorHAnsi" w:hAnsiTheme="minorHAnsi" w:cstheme="minorHAnsi"/>
          <w:sz w:val="22"/>
          <w:szCs w:val="22"/>
        </w:rPr>
        <w:t xml:space="preserve">atendem a 5 dentre os 7 requisitos das boas práticas da MD-GEFIS e obteve nível 3 de maturidade. Para tanto, estima o valor da arrecadação, fixa e monitora as metas globais, por imposto e por unidade (previsão </w:t>
      </w:r>
      <w:r w:rsidR="00F1328C" w:rsidRPr="0072678C">
        <w:rPr>
          <w:rFonts w:asciiTheme="minorHAnsi" w:hAnsiTheme="minorHAnsi" w:cstheme="minorHAnsi"/>
          <w:sz w:val="22"/>
          <w:szCs w:val="22"/>
        </w:rPr>
        <w:t xml:space="preserve">disponível </w:t>
      </w:r>
      <w:r w:rsidRPr="0072678C">
        <w:rPr>
          <w:rFonts w:asciiTheme="minorHAnsi" w:hAnsiTheme="minorHAnsi" w:cstheme="minorHAnsi"/>
          <w:sz w:val="22"/>
          <w:szCs w:val="22"/>
        </w:rPr>
        <w:t xml:space="preserve">na LOA, no quadro de </w:t>
      </w:r>
      <w:r w:rsidR="000E2286" w:rsidRPr="0072678C">
        <w:rPr>
          <w:rFonts w:asciiTheme="minorHAnsi" w:hAnsiTheme="minorHAnsi" w:cstheme="minorHAnsi"/>
          <w:sz w:val="22"/>
          <w:szCs w:val="22"/>
        </w:rPr>
        <w:t>Evolução da receita do Estado por categoria</w:t>
      </w:r>
      <w:r w:rsidRPr="0072678C">
        <w:rPr>
          <w:rFonts w:asciiTheme="minorHAnsi" w:hAnsiTheme="minorHAnsi" w:cstheme="minorHAnsi"/>
          <w:sz w:val="22"/>
          <w:szCs w:val="22"/>
        </w:rPr>
        <w:t xml:space="preserve"> e o monitoramento é divulgado por trimestre, no portal da </w:t>
      </w:r>
      <w:r w:rsidR="00F1328C" w:rsidRPr="0072678C">
        <w:rPr>
          <w:rFonts w:asciiTheme="minorHAnsi" w:hAnsiTheme="minorHAnsi" w:cstheme="minorHAnsi"/>
          <w:sz w:val="22"/>
          <w:szCs w:val="22"/>
        </w:rPr>
        <w:t>SEFAZ/SP</w:t>
      </w:r>
      <w:r w:rsidRPr="0072678C">
        <w:rPr>
          <w:rFonts w:asciiTheme="minorHAnsi" w:hAnsiTheme="minorHAnsi" w:cstheme="minorHAnsi"/>
          <w:sz w:val="22"/>
          <w:szCs w:val="22"/>
        </w:rPr>
        <w:t xml:space="preserve">); adota documento único (exceto </w:t>
      </w:r>
      <w:r w:rsidR="00F1328C" w:rsidRPr="0072678C">
        <w:rPr>
          <w:rFonts w:asciiTheme="minorHAnsi" w:hAnsiTheme="minorHAnsi" w:cstheme="minorHAnsi"/>
          <w:sz w:val="22"/>
          <w:szCs w:val="22"/>
        </w:rPr>
        <w:t xml:space="preserve">para </w:t>
      </w:r>
      <w:r w:rsidRPr="0072678C">
        <w:rPr>
          <w:rFonts w:asciiTheme="minorHAnsi" w:hAnsiTheme="minorHAnsi" w:cstheme="minorHAnsi"/>
          <w:sz w:val="22"/>
          <w:szCs w:val="22"/>
        </w:rPr>
        <w:t>SIMPLES, SIMEI e GNRE)</w:t>
      </w:r>
      <w:r w:rsidRPr="0072678C">
        <w:rPr>
          <w:rStyle w:val="FootnoteReference"/>
          <w:rFonts w:asciiTheme="minorHAnsi" w:hAnsiTheme="minorHAnsi" w:cstheme="minorHAnsi"/>
          <w:sz w:val="22"/>
          <w:szCs w:val="22"/>
        </w:rPr>
        <w:footnoteReference w:id="166"/>
      </w:r>
      <w:r w:rsidRPr="0072678C">
        <w:rPr>
          <w:rFonts w:asciiTheme="minorHAnsi" w:hAnsiTheme="minorHAnsi" w:cstheme="minorHAnsi"/>
          <w:sz w:val="22"/>
          <w:szCs w:val="22"/>
        </w:rPr>
        <w:t>; processa os documentos integralmente na rede bancária; disponibiliza a arrecadação em tempo real</w:t>
      </w:r>
      <w:r w:rsidRPr="0072678C">
        <w:rPr>
          <w:rStyle w:val="FootnoteReference"/>
          <w:rFonts w:asciiTheme="minorHAnsi" w:hAnsiTheme="minorHAnsi" w:cstheme="minorHAnsi"/>
          <w:sz w:val="22"/>
          <w:szCs w:val="22"/>
        </w:rPr>
        <w:footnoteReference w:id="167"/>
      </w:r>
      <w:r w:rsidRPr="0072678C">
        <w:rPr>
          <w:rFonts w:asciiTheme="minorHAnsi" w:hAnsiTheme="minorHAnsi" w:cstheme="minorHAnsi"/>
          <w:sz w:val="22"/>
          <w:szCs w:val="22"/>
        </w:rPr>
        <w:t>; conciliam mensalmente os lançamentos fiscais, cobranças, impostos atrasado</w:t>
      </w:r>
      <w:r w:rsidR="00F1328C" w:rsidRPr="0072678C">
        <w:rPr>
          <w:rFonts w:asciiTheme="minorHAnsi" w:hAnsiTheme="minorHAnsi" w:cstheme="minorHAnsi"/>
          <w:sz w:val="22"/>
          <w:szCs w:val="22"/>
        </w:rPr>
        <w:t>s e transferências ao Tesouro (</w:t>
      </w:r>
      <w:r w:rsidRPr="0072678C">
        <w:rPr>
          <w:rFonts w:asciiTheme="minorHAnsi" w:hAnsiTheme="minorHAnsi" w:cstheme="minorHAnsi"/>
          <w:sz w:val="22"/>
          <w:szCs w:val="22"/>
        </w:rPr>
        <w:t xml:space="preserve">a SEFAZ/SP dispõe de sistemas para o acompanhamento das conciliações do fluxo financeiro, assim como rotina automatizada para que a informação da arrecadação sensibilize as contas fiscais e promova a atualização da situação de determinado débito); </w:t>
      </w:r>
    </w:p>
    <w:p w:rsidR="00B63DA9" w:rsidRPr="0072678C" w:rsidRDefault="00B63DA9" w:rsidP="0031170C">
      <w:pPr>
        <w:rPr>
          <w:rFonts w:asciiTheme="minorHAnsi" w:hAnsiTheme="minorHAnsi" w:cstheme="minorHAnsi"/>
          <w:sz w:val="22"/>
          <w:szCs w:val="22"/>
        </w:rPr>
      </w:pPr>
    </w:p>
    <w:p w:rsidR="00B63DA9" w:rsidRPr="0072678C" w:rsidRDefault="00B63DA9" w:rsidP="0031170C">
      <w:pPr>
        <w:rPr>
          <w:rFonts w:asciiTheme="minorHAnsi" w:hAnsiTheme="minorHAnsi" w:cstheme="minorHAnsi"/>
          <w:sz w:val="22"/>
          <w:szCs w:val="22"/>
        </w:rPr>
      </w:pPr>
      <w:r w:rsidRPr="0072678C">
        <w:rPr>
          <w:rFonts w:asciiTheme="minorHAnsi" w:hAnsiTheme="minorHAnsi" w:cstheme="minorHAnsi"/>
          <w:sz w:val="22"/>
          <w:szCs w:val="22"/>
        </w:rPr>
        <w:lastRenderedPageBreak/>
        <w:t xml:space="preserve">O processo de </w:t>
      </w:r>
      <w:r w:rsidRPr="0072678C">
        <w:rPr>
          <w:rFonts w:asciiTheme="minorHAnsi" w:hAnsiTheme="minorHAnsi" w:cstheme="minorHAnsi"/>
          <w:b/>
          <w:bCs/>
          <w:i/>
          <w:iCs/>
          <w:sz w:val="22"/>
          <w:szCs w:val="22"/>
        </w:rPr>
        <w:t>restituição e compensação tributária</w:t>
      </w:r>
      <w:r w:rsidRPr="0072678C">
        <w:rPr>
          <w:rFonts w:asciiTheme="minorHAnsi" w:hAnsiTheme="minorHAnsi" w:cstheme="minorHAnsi"/>
          <w:sz w:val="22"/>
          <w:szCs w:val="22"/>
        </w:rPr>
        <w:t xml:space="preserve"> obteve nível 0 (zero) de maturidade e atende apenas 1 dentre 6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ou seja, processa a restituição por meio de crédito em conta bancária</w:t>
      </w:r>
      <w:r w:rsidRPr="0072678C">
        <w:rPr>
          <w:rStyle w:val="FootnoteReference"/>
          <w:rFonts w:asciiTheme="minorHAnsi" w:hAnsiTheme="minorHAnsi" w:cstheme="minorHAnsi"/>
          <w:sz w:val="22"/>
          <w:szCs w:val="22"/>
        </w:rPr>
        <w:footnoteReference w:id="168"/>
      </w:r>
    </w:p>
    <w:p w:rsidR="000E2286" w:rsidRPr="0072678C" w:rsidRDefault="000E2286" w:rsidP="000E2286">
      <w:pPr>
        <w:rPr>
          <w:rFonts w:asciiTheme="minorHAnsi" w:hAnsiTheme="minorHAnsi" w:cstheme="minorHAnsi"/>
          <w:b/>
          <w:bCs/>
          <w:sz w:val="22"/>
          <w:szCs w:val="22"/>
        </w:rPr>
      </w:pPr>
    </w:p>
    <w:p w:rsidR="00B44516" w:rsidRPr="0072678C" w:rsidRDefault="00B44516" w:rsidP="0009117C">
      <w:pPr>
        <w:jc w:val="both"/>
        <w:rPr>
          <w:rFonts w:asciiTheme="minorHAnsi" w:hAnsiTheme="minorHAnsi" w:cstheme="minorHAnsi"/>
          <w:b/>
          <w:bCs/>
          <w:sz w:val="22"/>
          <w:szCs w:val="22"/>
        </w:rPr>
      </w:pPr>
      <w:r w:rsidRPr="0072678C">
        <w:rPr>
          <w:rFonts w:asciiTheme="minorHAnsi" w:hAnsiTheme="minorHAnsi" w:cstheme="minorHAnsi"/>
          <w:iCs/>
          <w:sz w:val="22"/>
          <w:szCs w:val="22"/>
        </w:rPr>
        <w:t>Os indicadores de Desempenho selecionados pela MD-GEFIS e apurados para esta Dimensão foram.</w:t>
      </w:r>
    </w:p>
    <w:p w:rsidR="002349C4" w:rsidRPr="0072678C" w:rsidRDefault="002349C4" w:rsidP="00523D4B">
      <w:pPr>
        <w:jc w:val="both"/>
        <w:rPr>
          <w:rFonts w:asciiTheme="minorHAnsi" w:hAnsiTheme="minorHAnsi" w:cstheme="minorHAnsi"/>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9"/>
        <w:gridCol w:w="1843"/>
        <w:gridCol w:w="2977"/>
      </w:tblGrid>
      <w:tr w:rsidR="008036C4" w:rsidRPr="0072678C" w:rsidTr="000E2286">
        <w:trPr>
          <w:trHeight w:val="405"/>
        </w:trPr>
        <w:tc>
          <w:tcPr>
            <w:tcW w:w="3969" w:type="dxa"/>
            <w:shd w:val="clear" w:color="auto" w:fill="FFD966" w:themeFill="accent4" w:themeFillTint="99"/>
            <w:tcMar>
              <w:top w:w="0" w:type="dxa"/>
              <w:left w:w="70" w:type="dxa"/>
              <w:bottom w:w="0" w:type="dxa"/>
              <w:right w:w="70" w:type="dxa"/>
            </w:tcMar>
            <w:vAlign w:val="center"/>
            <w:hideMark/>
          </w:tcPr>
          <w:p w:rsidR="008036C4" w:rsidRPr="0072678C" w:rsidRDefault="008036C4" w:rsidP="008036C4">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Indicadores de Desempenho</w:t>
            </w:r>
          </w:p>
        </w:tc>
        <w:tc>
          <w:tcPr>
            <w:tcW w:w="1843" w:type="dxa"/>
            <w:shd w:val="clear" w:color="auto" w:fill="FFD966" w:themeFill="accent4" w:themeFillTint="99"/>
            <w:tcMar>
              <w:top w:w="0" w:type="dxa"/>
              <w:left w:w="70" w:type="dxa"/>
              <w:bottom w:w="0" w:type="dxa"/>
              <w:right w:w="70" w:type="dxa"/>
            </w:tcMar>
            <w:vAlign w:val="center"/>
            <w:hideMark/>
          </w:tcPr>
          <w:p w:rsidR="008036C4" w:rsidRPr="0072678C" w:rsidRDefault="008036C4" w:rsidP="008036C4">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Apuração</w:t>
            </w:r>
            <w:r w:rsidR="002E0AC6" w:rsidRPr="0072678C">
              <w:rPr>
                <w:rFonts w:asciiTheme="minorHAnsi" w:hAnsiTheme="minorHAnsi" w:cstheme="minorHAnsi"/>
                <w:b/>
                <w:bCs/>
                <w:sz w:val="20"/>
                <w:szCs w:val="20"/>
              </w:rPr>
              <w:t xml:space="preserve"> 2017</w:t>
            </w:r>
          </w:p>
        </w:tc>
        <w:tc>
          <w:tcPr>
            <w:tcW w:w="2977" w:type="dxa"/>
            <w:shd w:val="clear" w:color="auto" w:fill="FFD966" w:themeFill="accent4" w:themeFillTint="99"/>
            <w:noWrap/>
            <w:tcMar>
              <w:top w:w="0" w:type="dxa"/>
              <w:left w:w="70" w:type="dxa"/>
              <w:bottom w:w="0" w:type="dxa"/>
              <w:right w:w="70" w:type="dxa"/>
            </w:tcMar>
            <w:vAlign w:val="center"/>
            <w:hideMark/>
          </w:tcPr>
          <w:p w:rsidR="008036C4" w:rsidRPr="0072678C" w:rsidRDefault="002E0AC6" w:rsidP="008036C4">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Observações</w:t>
            </w:r>
          </w:p>
        </w:tc>
      </w:tr>
      <w:tr w:rsidR="008036C4" w:rsidRPr="0072678C" w:rsidTr="000E2286">
        <w:trPr>
          <w:trHeight w:val="196"/>
        </w:trPr>
        <w:tc>
          <w:tcPr>
            <w:tcW w:w="3969" w:type="dxa"/>
            <w:shd w:val="clear" w:color="auto" w:fill="FFE599" w:themeFill="accent4" w:themeFillTint="66"/>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Metas de arrecadação</w:t>
            </w:r>
          </w:p>
        </w:tc>
        <w:tc>
          <w:tcPr>
            <w:tcW w:w="1843" w:type="dxa"/>
            <w:shd w:val="clear" w:color="auto" w:fill="FFE599" w:themeFill="accent4" w:themeFillTint="66"/>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Índice = IPCA /IBGE</w:t>
            </w:r>
          </w:p>
        </w:tc>
        <w:tc>
          <w:tcPr>
            <w:tcW w:w="2977" w:type="dxa"/>
            <w:shd w:val="clear" w:color="auto" w:fill="FFE599" w:themeFill="accent4" w:themeFillTint="66"/>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8036C4" w:rsidRPr="0072678C" w:rsidTr="000E2286">
        <w:trPr>
          <w:trHeight w:val="497"/>
        </w:trPr>
        <w:tc>
          <w:tcPr>
            <w:tcW w:w="3969" w:type="dxa"/>
            <w:tcMar>
              <w:top w:w="0" w:type="dxa"/>
              <w:left w:w="70" w:type="dxa"/>
              <w:bottom w:w="0" w:type="dxa"/>
              <w:right w:w="70" w:type="dxa"/>
            </w:tcMar>
            <w:vAlign w:val="center"/>
            <w:hideMark/>
          </w:tcPr>
          <w:p w:rsidR="008036C4" w:rsidRPr="0072678C" w:rsidRDefault="008036C4" w:rsidP="008036C4">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Global:</w:t>
            </w:r>
            <w:r w:rsidRPr="0072678C">
              <w:rPr>
                <w:rFonts w:asciiTheme="minorHAnsi" w:hAnsiTheme="minorHAnsi" w:cstheme="minorHAnsi"/>
                <w:sz w:val="20"/>
                <w:szCs w:val="20"/>
              </w:rPr>
              <w:t xml:space="preserve"> Valor da meta global cumprida / Valor da meta global planejada</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99,00%</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8036C4" w:rsidRPr="0072678C" w:rsidTr="000E2286">
        <w:trPr>
          <w:trHeight w:val="405"/>
        </w:trPr>
        <w:tc>
          <w:tcPr>
            <w:tcW w:w="3969" w:type="dxa"/>
            <w:tcMar>
              <w:top w:w="0" w:type="dxa"/>
              <w:left w:w="70" w:type="dxa"/>
              <w:bottom w:w="0" w:type="dxa"/>
              <w:right w:w="70" w:type="dxa"/>
            </w:tcMar>
            <w:vAlign w:val="center"/>
            <w:hideMark/>
          </w:tcPr>
          <w:p w:rsidR="008036C4" w:rsidRPr="0072678C" w:rsidRDefault="008036C4" w:rsidP="008036C4">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ICMS:</w:t>
            </w:r>
            <w:r w:rsidRPr="0072678C">
              <w:rPr>
                <w:rFonts w:asciiTheme="minorHAnsi" w:hAnsiTheme="minorHAnsi" w:cstheme="minorHAnsi"/>
                <w:sz w:val="20"/>
                <w:szCs w:val="20"/>
              </w:rPr>
              <w:t xml:space="preserve"> Valor da meta do ICMS cumprida / Valor da meta ICMS planejada</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98,70%</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8036C4" w:rsidRPr="0072678C" w:rsidTr="000E2286">
        <w:trPr>
          <w:trHeight w:val="660"/>
        </w:trPr>
        <w:tc>
          <w:tcPr>
            <w:tcW w:w="3969" w:type="dxa"/>
            <w:tcMar>
              <w:top w:w="0" w:type="dxa"/>
              <w:left w:w="70" w:type="dxa"/>
              <w:bottom w:w="0" w:type="dxa"/>
              <w:right w:w="70" w:type="dxa"/>
            </w:tcMar>
            <w:vAlign w:val="center"/>
            <w:hideMark/>
          </w:tcPr>
          <w:p w:rsidR="008036C4" w:rsidRPr="0072678C" w:rsidRDefault="008036C4" w:rsidP="008036C4">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IPVA:</w:t>
            </w:r>
            <w:r w:rsidRPr="0072678C">
              <w:rPr>
                <w:rFonts w:asciiTheme="minorHAnsi" w:hAnsiTheme="minorHAnsi" w:cstheme="minorHAnsi"/>
                <w:sz w:val="20"/>
                <w:szCs w:val="20"/>
              </w:rPr>
              <w:t xml:space="preserve"> Valor da meta do IPVA cumprida / Valor da meta do IPVA planejada</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97,70%</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8036C4" w:rsidRPr="0072678C" w:rsidTr="000E2286">
        <w:trPr>
          <w:trHeight w:val="660"/>
        </w:trPr>
        <w:tc>
          <w:tcPr>
            <w:tcW w:w="3969" w:type="dxa"/>
            <w:tcMar>
              <w:top w:w="0" w:type="dxa"/>
              <w:left w:w="70" w:type="dxa"/>
              <w:bottom w:w="0" w:type="dxa"/>
              <w:right w:w="70" w:type="dxa"/>
            </w:tcMar>
            <w:vAlign w:val="center"/>
            <w:hideMark/>
          </w:tcPr>
          <w:p w:rsidR="008036C4" w:rsidRPr="0072678C" w:rsidRDefault="008036C4" w:rsidP="008036C4">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ITCMD:</w:t>
            </w:r>
            <w:r w:rsidRPr="0072678C">
              <w:rPr>
                <w:rFonts w:asciiTheme="minorHAnsi" w:hAnsiTheme="minorHAnsi" w:cstheme="minorHAnsi"/>
                <w:sz w:val="20"/>
                <w:szCs w:val="20"/>
              </w:rPr>
              <w:t xml:space="preserve"> Valor da meta do ITCMD cumprida / Valor da meta do ITCMD planejada</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125,00%</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8036C4" w:rsidRPr="0072678C" w:rsidTr="000E2286">
        <w:trPr>
          <w:trHeight w:val="911"/>
        </w:trPr>
        <w:tc>
          <w:tcPr>
            <w:tcW w:w="3969" w:type="dxa"/>
            <w:shd w:val="clear" w:color="auto" w:fill="FFE599" w:themeFill="accent4" w:themeFillTint="66"/>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Controle de inadimplência</w:t>
            </w:r>
          </w:p>
        </w:tc>
        <w:tc>
          <w:tcPr>
            <w:tcW w:w="1843" w:type="dxa"/>
            <w:shd w:val="clear" w:color="auto" w:fill="FFE599" w:themeFill="accent4" w:themeFillTint="66"/>
            <w:noWrap/>
            <w:tcMar>
              <w:top w:w="0" w:type="dxa"/>
              <w:left w:w="70" w:type="dxa"/>
              <w:bottom w:w="0" w:type="dxa"/>
              <w:right w:w="70" w:type="dxa"/>
            </w:tcMar>
            <w:vAlign w:val="bottom"/>
            <w:hideMark/>
          </w:tcPr>
          <w:p w:rsidR="008036C4" w:rsidRPr="0072678C" w:rsidRDefault="008036C4">
            <w:pPr>
              <w:rPr>
                <w:rFonts w:asciiTheme="minorHAnsi" w:eastAsiaTheme="minorHAnsi" w:hAnsiTheme="minorHAnsi" w:cstheme="minorHAnsi"/>
                <w:sz w:val="20"/>
                <w:szCs w:val="20"/>
              </w:rPr>
            </w:pPr>
          </w:p>
        </w:tc>
        <w:tc>
          <w:tcPr>
            <w:tcW w:w="2977" w:type="dxa"/>
            <w:shd w:val="clear" w:color="auto" w:fill="FFE599" w:themeFill="accent4" w:themeFillTint="66"/>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Considerados apenas débitos não inscritos. Fase de cobrança de débitos inscritos é de competência da Procuradoria Geral do Estado (PGE).</w:t>
            </w:r>
          </w:p>
        </w:tc>
      </w:tr>
      <w:tr w:rsidR="008036C4" w:rsidRPr="0072678C" w:rsidTr="000E2286">
        <w:trPr>
          <w:trHeight w:val="330"/>
        </w:trPr>
        <w:tc>
          <w:tcPr>
            <w:tcW w:w="3969"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ICMS</w:t>
            </w:r>
          </w:p>
        </w:tc>
        <w:tc>
          <w:tcPr>
            <w:tcW w:w="1843" w:type="dxa"/>
            <w:noWrap/>
            <w:tcMar>
              <w:top w:w="0" w:type="dxa"/>
              <w:left w:w="70" w:type="dxa"/>
              <w:bottom w:w="0" w:type="dxa"/>
              <w:right w:w="70" w:type="dxa"/>
            </w:tcMar>
            <w:vAlign w:val="bottom"/>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8036C4" w:rsidRPr="0072678C" w:rsidTr="000E2286">
        <w:trPr>
          <w:trHeight w:val="903"/>
        </w:trPr>
        <w:tc>
          <w:tcPr>
            <w:tcW w:w="3969" w:type="dxa"/>
            <w:tcMar>
              <w:top w:w="0" w:type="dxa"/>
              <w:left w:w="70" w:type="dxa"/>
              <w:bottom w:w="0" w:type="dxa"/>
              <w:right w:w="70" w:type="dxa"/>
            </w:tcMar>
            <w:vAlign w:val="center"/>
            <w:hideMark/>
          </w:tcPr>
          <w:p w:rsidR="008036C4" w:rsidRPr="0072678C" w:rsidRDefault="008036C4" w:rsidP="008036C4">
            <w:pPr>
              <w:rPr>
                <w:rFonts w:asciiTheme="minorHAnsi" w:eastAsiaTheme="minorHAnsi" w:hAnsiTheme="minorHAnsi" w:cstheme="minorHAnsi"/>
                <w:iCs/>
                <w:sz w:val="20"/>
                <w:szCs w:val="20"/>
              </w:rPr>
            </w:pPr>
            <w:r w:rsidRPr="0072678C">
              <w:rPr>
                <w:rFonts w:asciiTheme="minorHAnsi" w:hAnsiTheme="minorHAnsi" w:cstheme="minorHAnsi"/>
                <w:iCs/>
                <w:sz w:val="20"/>
                <w:szCs w:val="20"/>
              </w:rPr>
              <w:t>Quantidade de contribuintes inadimplentes do ICMS / Quantidade de contribuintes ativos no cadastro do ICMS</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3,65%</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Considerando 3.170.306 inscrições ativas em 2017 no Universo CADESP (data da consulta 23/02/2018).</w:t>
            </w:r>
          </w:p>
        </w:tc>
      </w:tr>
      <w:tr w:rsidR="008036C4" w:rsidRPr="0072678C" w:rsidTr="000E2286">
        <w:trPr>
          <w:trHeight w:val="194"/>
        </w:trPr>
        <w:tc>
          <w:tcPr>
            <w:tcW w:w="3969" w:type="dxa"/>
            <w:tcMar>
              <w:top w:w="0" w:type="dxa"/>
              <w:left w:w="70" w:type="dxa"/>
              <w:bottom w:w="0" w:type="dxa"/>
              <w:right w:w="70" w:type="dxa"/>
            </w:tcMar>
            <w:vAlign w:val="center"/>
            <w:hideMark/>
          </w:tcPr>
          <w:p w:rsidR="008036C4" w:rsidRPr="0072678C" w:rsidRDefault="008036C4" w:rsidP="008036C4">
            <w:pPr>
              <w:rPr>
                <w:rFonts w:asciiTheme="minorHAnsi" w:eastAsiaTheme="minorHAnsi" w:hAnsiTheme="minorHAnsi" w:cstheme="minorHAnsi"/>
                <w:iCs/>
                <w:sz w:val="20"/>
                <w:szCs w:val="20"/>
              </w:rPr>
            </w:pPr>
            <w:r w:rsidRPr="0072678C">
              <w:rPr>
                <w:rFonts w:asciiTheme="minorHAnsi" w:hAnsiTheme="minorHAnsi" w:cstheme="minorHAnsi"/>
                <w:iCs/>
                <w:sz w:val="20"/>
                <w:szCs w:val="20"/>
              </w:rPr>
              <w:t>Valor da inadimplência do ICMS / Valor total do ICMS declarado</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6,09%</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8036C4" w:rsidRPr="0072678C" w:rsidTr="000E2286">
        <w:trPr>
          <w:trHeight w:val="477"/>
        </w:trPr>
        <w:tc>
          <w:tcPr>
            <w:tcW w:w="3969" w:type="dxa"/>
            <w:tcMar>
              <w:top w:w="0" w:type="dxa"/>
              <w:left w:w="70" w:type="dxa"/>
              <w:bottom w:w="0" w:type="dxa"/>
              <w:right w:w="70" w:type="dxa"/>
            </w:tcMar>
            <w:vAlign w:val="center"/>
            <w:hideMark/>
          </w:tcPr>
          <w:p w:rsidR="008036C4" w:rsidRPr="0072678C" w:rsidRDefault="008036C4" w:rsidP="008036C4">
            <w:pPr>
              <w:rPr>
                <w:rFonts w:asciiTheme="minorHAnsi" w:eastAsiaTheme="minorHAnsi" w:hAnsiTheme="minorHAnsi" w:cstheme="minorHAnsi"/>
                <w:iCs/>
                <w:sz w:val="20"/>
                <w:szCs w:val="20"/>
              </w:rPr>
            </w:pPr>
            <w:r w:rsidRPr="0072678C">
              <w:rPr>
                <w:rFonts w:asciiTheme="minorHAnsi" w:hAnsiTheme="minorHAnsi" w:cstheme="minorHAnsi"/>
                <w:iCs/>
                <w:sz w:val="20"/>
                <w:szCs w:val="20"/>
              </w:rPr>
              <w:t>Valor da inadimplência do ICMS / Valor total do ICMS arrecadado</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6,18%</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8036C4" w:rsidRPr="0072678C" w:rsidTr="000E2286">
        <w:trPr>
          <w:trHeight w:val="246"/>
        </w:trPr>
        <w:tc>
          <w:tcPr>
            <w:tcW w:w="3969"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IPVA</w:t>
            </w:r>
          </w:p>
        </w:tc>
        <w:tc>
          <w:tcPr>
            <w:tcW w:w="1843" w:type="dxa"/>
            <w:noWrap/>
            <w:tcMar>
              <w:top w:w="0" w:type="dxa"/>
              <w:left w:w="70" w:type="dxa"/>
              <w:bottom w:w="0" w:type="dxa"/>
              <w:right w:w="70" w:type="dxa"/>
            </w:tcMar>
            <w:vAlign w:val="bottom"/>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8036C4" w:rsidRPr="0072678C" w:rsidTr="000E2286">
        <w:trPr>
          <w:trHeight w:val="960"/>
        </w:trPr>
        <w:tc>
          <w:tcPr>
            <w:tcW w:w="3969" w:type="dxa"/>
            <w:tcMar>
              <w:top w:w="0" w:type="dxa"/>
              <w:left w:w="70" w:type="dxa"/>
              <w:bottom w:w="0" w:type="dxa"/>
              <w:right w:w="70" w:type="dxa"/>
            </w:tcMar>
            <w:vAlign w:val="center"/>
            <w:hideMark/>
          </w:tcPr>
          <w:p w:rsidR="008036C4" w:rsidRPr="0072678C" w:rsidRDefault="008036C4" w:rsidP="008036C4">
            <w:pPr>
              <w:rPr>
                <w:rFonts w:asciiTheme="minorHAnsi" w:eastAsiaTheme="minorHAnsi" w:hAnsiTheme="minorHAnsi" w:cstheme="minorHAnsi"/>
                <w:iCs/>
                <w:sz w:val="20"/>
                <w:szCs w:val="20"/>
              </w:rPr>
            </w:pPr>
            <w:r w:rsidRPr="0072678C">
              <w:rPr>
                <w:rFonts w:asciiTheme="minorHAnsi" w:hAnsiTheme="minorHAnsi" w:cstheme="minorHAnsi"/>
                <w:iCs/>
                <w:sz w:val="20"/>
                <w:szCs w:val="20"/>
              </w:rPr>
              <w:t>Quantidade de contribuintes inadimplentes do IPVA / Quantidade de contribuintes ativos no cadastro do IPVA</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16,90%</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2017: Inadimplentes: contas fiscais sem quitação (pagamento a menor cota única; pagamento a menor parcelado; sem pagamento vencido)</w:t>
            </w:r>
          </w:p>
        </w:tc>
      </w:tr>
      <w:tr w:rsidR="008036C4" w:rsidRPr="0072678C" w:rsidTr="000E2286">
        <w:trPr>
          <w:trHeight w:val="330"/>
        </w:trPr>
        <w:tc>
          <w:tcPr>
            <w:tcW w:w="3969" w:type="dxa"/>
            <w:tcMar>
              <w:top w:w="0" w:type="dxa"/>
              <w:left w:w="70" w:type="dxa"/>
              <w:bottom w:w="0" w:type="dxa"/>
              <w:right w:w="70" w:type="dxa"/>
            </w:tcMar>
            <w:vAlign w:val="center"/>
            <w:hideMark/>
          </w:tcPr>
          <w:p w:rsidR="008036C4" w:rsidRPr="0072678C" w:rsidRDefault="008036C4" w:rsidP="008036C4">
            <w:pPr>
              <w:rPr>
                <w:rFonts w:asciiTheme="minorHAnsi" w:eastAsiaTheme="minorHAnsi" w:hAnsiTheme="minorHAnsi" w:cstheme="minorHAnsi"/>
                <w:iCs/>
                <w:sz w:val="20"/>
                <w:szCs w:val="20"/>
              </w:rPr>
            </w:pPr>
            <w:r w:rsidRPr="0072678C">
              <w:rPr>
                <w:rFonts w:asciiTheme="minorHAnsi" w:hAnsiTheme="minorHAnsi" w:cstheme="minorHAnsi"/>
                <w:iCs/>
                <w:sz w:val="20"/>
                <w:szCs w:val="20"/>
              </w:rPr>
              <w:t>Valor da inadimplência do IPVA / Valor total do IPVA lançado</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8,70%</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2017: inadimplência (não quitado)</w:t>
            </w:r>
          </w:p>
        </w:tc>
      </w:tr>
      <w:tr w:rsidR="008036C4" w:rsidRPr="0072678C" w:rsidTr="000E2286">
        <w:trPr>
          <w:trHeight w:val="720"/>
        </w:trPr>
        <w:tc>
          <w:tcPr>
            <w:tcW w:w="3969" w:type="dxa"/>
            <w:tcMar>
              <w:top w:w="0" w:type="dxa"/>
              <w:left w:w="70" w:type="dxa"/>
              <w:bottom w:w="0" w:type="dxa"/>
              <w:right w:w="70" w:type="dxa"/>
            </w:tcMar>
            <w:vAlign w:val="center"/>
            <w:hideMark/>
          </w:tcPr>
          <w:p w:rsidR="008036C4" w:rsidRPr="0072678C" w:rsidRDefault="008036C4" w:rsidP="008036C4">
            <w:pPr>
              <w:rPr>
                <w:rFonts w:asciiTheme="minorHAnsi" w:eastAsiaTheme="minorHAnsi" w:hAnsiTheme="minorHAnsi" w:cstheme="minorHAnsi"/>
                <w:iCs/>
                <w:sz w:val="20"/>
                <w:szCs w:val="20"/>
              </w:rPr>
            </w:pPr>
            <w:r w:rsidRPr="0072678C">
              <w:rPr>
                <w:rFonts w:asciiTheme="minorHAnsi" w:hAnsiTheme="minorHAnsi" w:cstheme="minorHAnsi"/>
                <w:iCs/>
                <w:sz w:val="20"/>
                <w:szCs w:val="20"/>
              </w:rPr>
              <w:t>Valor da inadimplência do IPVA / Valor total do IPVA arrecadado</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8,30%</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2017: valor autenticado (arrecadação total para veículos novos, usados e atrasados, inclui multa e juros)</w:t>
            </w:r>
          </w:p>
        </w:tc>
      </w:tr>
      <w:tr w:rsidR="008036C4" w:rsidRPr="0072678C" w:rsidTr="000E2286">
        <w:trPr>
          <w:trHeight w:val="960"/>
        </w:trPr>
        <w:tc>
          <w:tcPr>
            <w:tcW w:w="3969"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Participação da inadimplência cobrável na arrecadação:</w:t>
            </w:r>
            <w:r w:rsidRPr="0072678C">
              <w:rPr>
                <w:rFonts w:asciiTheme="minorHAnsi" w:hAnsiTheme="minorHAnsi" w:cstheme="minorHAnsi"/>
                <w:sz w:val="20"/>
                <w:szCs w:val="20"/>
              </w:rPr>
              <w:t xml:space="preserve"> Valor da inadimplência cobrável do ICMS / Arrecadação do ICMS </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N/D</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Dívidas com prazos superiores a 4 meses são inscritas. Competência pela execução da dívida ativa é da Procuradoria Geral do Estado (PGE).</w:t>
            </w:r>
          </w:p>
        </w:tc>
      </w:tr>
      <w:tr w:rsidR="008036C4" w:rsidRPr="0072678C" w:rsidTr="000E2286">
        <w:trPr>
          <w:trHeight w:val="990"/>
        </w:trPr>
        <w:tc>
          <w:tcPr>
            <w:tcW w:w="3969"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lastRenderedPageBreak/>
              <w:t>Participação da inadimplência com mais de 12 meses na arrecadação:</w:t>
            </w:r>
            <w:r w:rsidRPr="0072678C">
              <w:rPr>
                <w:rFonts w:asciiTheme="minorHAnsi" w:hAnsiTheme="minorHAnsi" w:cstheme="minorHAnsi"/>
                <w:sz w:val="20"/>
                <w:szCs w:val="20"/>
              </w:rPr>
              <w:t xml:space="preserve"> Valor da inadimplência do ICMS com mais de 12 meses / Arrecadação do ICMS </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N/D</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Dívidas com prazos superiores a 4 meses são inscritas. Competência pela execução da dívida ativa é da Procuradoria Geral do Estado (PGE).</w:t>
            </w:r>
          </w:p>
        </w:tc>
      </w:tr>
      <w:tr w:rsidR="008036C4" w:rsidRPr="0072678C" w:rsidTr="000E2286">
        <w:trPr>
          <w:trHeight w:val="960"/>
        </w:trPr>
        <w:tc>
          <w:tcPr>
            <w:tcW w:w="3969" w:type="dxa"/>
            <w:shd w:val="clear" w:color="auto" w:fill="FFE599" w:themeFill="accent4" w:themeFillTint="66"/>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Recuperação da inadimplência (</w:t>
            </w:r>
            <w:r w:rsidR="000E2286" w:rsidRPr="0072678C">
              <w:rPr>
                <w:rFonts w:asciiTheme="minorHAnsi" w:hAnsiTheme="minorHAnsi" w:cstheme="minorHAnsi"/>
                <w:b/>
                <w:bCs/>
                <w:sz w:val="20"/>
                <w:szCs w:val="20"/>
              </w:rPr>
              <w:t>período</w:t>
            </w:r>
            <w:r w:rsidRPr="0072678C">
              <w:rPr>
                <w:rFonts w:asciiTheme="minorHAnsi" w:hAnsiTheme="minorHAnsi" w:cstheme="minorHAnsi"/>
                <w:b/>
                <w:bCs/>
                <w:sz w:val="20"/>
                <w:szCs w:val="20"/>
              </w:rPr>
              <w:t xml:space="preserve"> - </w:t>
            </w:r>
            <w:r w:rsidR="000E2286" w:rsidRPr="0072678C">
              <w:rPr>
                <w:rFonts w:asciiTheme="minorHAnsi" w:hAnsiTheme="minorHAnsi" w:cstheme="minorHAnsi"/>
                <w:b/>
                <w:bCs/>
                <w:sz w:val="20"/>
                <w:szCs w:val="20"/>
              </w:rPr>
              <w:t>somatório</w:t>
            </w:r>
            <w:r w:rsidRPr="0072678C">
              <w:rPr>
                <w:rFonts w:asciiTheme="minorHAnsi" w:hAnsiTheme="minorHAnsi" w:cstheme="minorHAnsi"/>
                <w:b/>
                <w:bCs/>
                <w:sz w:val="20"/>
                <w:szCs w:val="20"/>
              </w:rPr>
              <w:t xml:space="preserve"> </w:t>
            </w:r>
            <w:r w:rsidR="000E2286" w:rsidRPr="0072678C">
              <w:rPr>
                <w:rFonts w:asciiTheme="minorHAnsi" w:hAnsiTheme="minorHAnsi" w:cstheme="minorHAnsi"/>
                <w:b/>
                <w:bCs/>
                <w:sz w:val="20"/>
                <w:szCs w:val="20"/>
              </w:rPr>
              <w:t xml:space="preserve">últimos </w:t>
            </w:r>
            <w:r w:rsidRPr="0072678C">
              <w:rPr>
                <w:rFonts w:asciiTheme="minorHAnsi" w:hAnsiTheme="minorHAnsi" w:cstheme="minorHAnsi"/>
                <w:b/>
                <w:bCs/>
                <w:sz w:val="20"/>
                <w:szCs w:val="20"/>
              </w:rPr>
              <w:t>12 meses)</w:t>
            </w:r>
          </w:p>
        </w:tc>
        <w:tc>
          <w:tcPr>
            <w:tcW w:w="1843" w:type="dxa"/>
            <w:shd w:val="clear" w:color="auto" w:fill="FFE599" w:themeFill="accent4" w:themeFillTint="66"/>
            <w:noWrap/>
            <w:tcMar>
              <w:top w:w="0" w:type="dxa"/>
              <w:left w:w="70" w:type="dxa"/>
              <w:bottom w:w="0" w:type="dxa"/>
              <w:right w:w="70" w:type="dxa"/>
            </w:tcMar>
            <w:vAlign w:val="bottom"/>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c>
          <w:tcPr>
            <w:tcW w:w="2977" w:type="dxa"/>
            <w:shd w:val="clear" w:color="auto" w:fill="FFE599" w:themeFill="accent4" w:themeFillTint="66"/>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Considerados apenas débitos não inscritos. Fase de cobrança de débitos inscritos é de competência da Procuradoria Geral do Estado (PGE).</w:t>
            </w:r>
          </w:p>
        </w:tc>
      </w:tr>
      <w:tr w:rsidR="008036C4" w:rsidRPr="0072678C" w:rsidTr="000E2286">
        <w:trPr>
          <w:trHeight w:val="197"/>
        </w:trPr>
        <w:tc>
          <w:tcPr>
            <w:tcW w:w="3969" w:type="dxa"/>
            <w:tcMar>
              <w:top w:w="0" w:type="dxa"/>
              <w:left w:w="70" w:type="dxa"/>
              <w:bottom w:w="0" w:type="dxa"/>
              <w:right w:w="70" w:type="dxa"/>
            </w:tcMar>
            <w:vAlign w:val="center"/>
            <w:hideMark/>
          </w:tcPr>
          <w:p w:rsidR="008036C4" w:rsidRPr="0072678C" w:rsidRDefault="008036C4">
            <w:pPr>
              <w:ind w:firstLine="221"/>
              <w:rPr>
                <w:rFonts w:asciiTheme="minorHAnsi" w:eastAsiaTheme="minorHAnsi" w:hAnsiTheme="minorHAnsi" w:cstheme="minorHAnsi"/>
                <w:b/>
                <w:bCs/>
                <w:sz w:val="20"/>
                <w:szCs w:val="20"/>
              </w:rPr>
            </w:pPr>
            <w:r w:rsidRPr="0072678C">
              <w:rPr>
                <w:rFonts w:asciiTheme="minorHAnsi" w:hAnsiTheme="minorHAnsi" w:cstheme="minorHAnsi"/>
                <w:b/>
                <w:bCs/>
                <w:sz w:val="20"/>
                <w:szCs w:val="20"/>
              </w:rPr>
              <w:t>ICMS</w:t>
            </w:r>
          </w:p>
        </w:tc>
        <w:tc>
          <w:tcPr>
            <w:tcW w:w="1843" w:type="dxa"/>
            <w:noWrap/>
            <w:tcMar>
              <w:top w:w="0" w:type="dxa"/>
              <w:left w:w="70" w:type="dxa"/>
              <w:bottom w:w="0" w:type="dxa"/>
              <w:right w:w="70" w:type="dxa"/>
            </w:tcMar>
            <w:vAlign w:val="bottom"/>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8036C4" w:rsidRPr="0072678C" w:rsidTr="000E2286">
        <w:trPr>
          <w:trHeight w:val="660"/>
        </w:trPr>
        <w:tc>
          <w:tcPr>
            <w:tcW w:w="3969" w:type="dxa"/>
            <w:tcMar>
              <w:top w:w="0" w:type="dxa"/>
              <w:left w:w="70" w:type="dxa"/>
              <w:bottom w:w="0" w:type="dxa"/>
              <w:right w:w="70" w:type="dxa"/>
            </w:tcMar>
            <w:vAlign w:val="center"/>
            <w:hideMark/>
          </w:tcPr>
          <w:p w:rsidR="008036C4" w:rsidRPr="0072678C" w:rsidRDefault="008036C4" w:rsidP="008036C4">
            <w:pPr>
              <w:rPr>
                <w:rFonts w:asciiTheme="minorHAnsi" w:eastAsiaTheme="minorHAnsi" w:hAnsiTheme="minorHAnsi" w:cstheme="minorHAnsi"/>
                <w:iCs/>
                <w:sz w:val="20"/>
                <w:szCs w:val="20"/>
              </w:rPr>
            </w:pPr>
            <w:r w:rsidRPr="0072678C">
              <w:rPr>
                <w:rFonts w:asciiTheme="minorHAnsi" w:hAnsiTheme="minorHAnsi" w:cstheme="minorHAnsi"/>
                <w:iCs/>
                <w:sz w:val="20"/>
                <w:szCs w:val="20"/>
              </w:rPr>
              <w:t xml:space="preserve">Quantidade de créditos do ICMS recuperados / Quantidade de contribuintes da carteira de inadimplência do ICMS </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N/D</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Dados da quantidade de créditos recuperados não estão disponíveis.</w:t>
            </w:r>
          </w:p>
        </w:tc>
      </w:tr>
      <w:tr w:rsidR="008036C4" w:rsidRPr="0072678C" w:rsidTr="000E2286">
        <w:trPr>
          <w:trHeight w:val="660"/>
        </w:trPr>
        <w:tc>
          <w:tcPr>
            <w:tcW w:w="3969" w:type="dxa"/>
            <w:tcMar>
              <w:top w:w="0" w:type="dxa"/>
              <w:left w:w="70" w:type="dxa"/>
              <w:bottom w:w="0" w:type="dxa"/>
              <w:right w:w="70" w:type="dxa"/>
            </w:tcMar>
            <w:vAlign w:val="center"/>
            <w:hideMark/>
          </w:tcPr>
          <w:p w:rsidR="008036C4" w:rsidRPr="0072678C" w:rsidRDefault="008036C4" w:rsidP="008036C4">
            <w:pPr>
              <w:rPr>
                <w:rFonts w:asciiTheme="minorHAnsi" w:eastAsiaTheme="minorHAnsi" w:hAnsiTheme="minorHAnsi" w:cstheme="minorHAnsi"/>
                <w:iCs/>
                <w:sz w:val="20"/>
                <w:szCs w:val="20"/>
              </w:rPr>
            </w:pPr>
            <w:r w:rsidRPr="0072678C">
              <w:rPr>
                <w:rFonts w:asciiTheme="minorHAnsi" w:hAnsiTheme="minorHAnsi" w:cstheme="minorHAnsi"/>
                <w:iCs/>
                <w:sz w:val="20"/>
                <w:szCs w:val="20"/>
              </w:rPr>
              <w:t xml:space="preserve">Valor dos créditos do ICMS recuperados / Valor total da carteira de inadimplência do ICMS </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70,19%</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Considerados apenas débitos não inscritos.</w:t>
            </w:r>
          </w:p>
        </w:tc>
      </w:tr>
      <w:tr w:rsidR="008036C4" w:rsidRPr="0072678C" w:rsidTr="000E2286">
        <w:trPr>
          <w:trHeight w:val="330"/>
        </w:trPr>
        <w:tc>
          <w:tcPr>
            <w:tcW w:w="3969" w:type="dxa"/>
            <w:tcMar>
              <w:top w:w="0" w:type="dxa"/>
              <w:left w:w="70" w:type="dxa"/>
              <w:bottom w:w="0" w:type="dxa"/>
              <w:right w:w="70" w:type="dxa"/>
            </w:tcMar>
            <w:vAlign w:val="center"/>
            <w:hideMark/>
          </w:tcPr>
          <w:p w:rsidR="008036C4" w:rsidRPr="0072678C" w:rsidRDefault="008036C4">
            <w:pPr>
              <w:ind w:firstLine="221"/>
              <w:rPr>
                <w:rFonts w:asciiTheme="minorHAnsi" w:eastAsiaTheme="minorHAnsi" w:hAnsiTheme="minorHAnsi" w:cstheme="minorHAnsi"/>
                <w:b/>
                <w:bCs/>
                <w:sz w:val="20"/>
                <w:szCs w:val="20"/>
              </w:rPr>
            </w:pPr>
            <w:r w:rsidRPr="0072678C">
              <w:rPr>
                <w:rFonts w:asciiTheme="minorHAnsi" w:hAnsiTheme="minorHAnsi" w:cstheme="minorHAnsi"/>
                <w:b/>
                <w:bCs/>
                <w:sz w:val="20"/>
                <w:szCs w:val="20"/>
              </w:rPr>
              <w:t>IPVA</w:t>
            </w:r>
          </w:p>
        </w:tc>
        <w:tc>
          <w:tcPr>
            <w:tcW w:w="1843" w:type="dxa"/>
            <w:noWrap/>
            <w:tcMar>
              <w:top w:w="0" w:type="dxa"/>
              <w:left w:w="70" w:type="dxa"/>
              <w:bottom w:w="0" w:type="dxa"/>
              <w:right w:w="70" w:type="dxa"/>
            </w:tcMar>
            <w:vAlign w:val="bottom"/>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8036C4" w:rsidRPr="0072678C" w:rsidTr="000E2286">
        <w:trPr>
          <w:trHeight w:val="960"/>
        </w:trPr>
        <w:tc>
          <w:tcPr>
            <w:tcW w:w="3969" w:type="dxa"/>
            <w:tcMar>
              <w:top w:w="0" w:type="dxa"/>
              <w:left w:w="70" w:type="dxa"/>
              <w:bottom w:w="0" w:type="dxa"/>
              <w:right w:w="70" w:type="dxa"/>
            </w:tcMar>
            <w:vAlign w:val="center"/>
            <w:hideMark/>
          </w:tcPr>
          <w:p w:rsidR="008036C4" w:rsidRPr="0072678C" w:rsidRDefault="008036C4" w:rsidP="008036C4">
            <w:pPr>
              <w:rPr>
                <w:rFonts w:asciiTheme="minorHAnsi" w:eastAsiaTheme="minorHAnsi" w:hAnsiTheme="minorHAnsi" w:cstheme="minorHAnsi"/>
                <w:sz w:val="20"/>
                <w:szCs w:val="20"/>
              </w:rPr>
            </w:pPr>
            <w:r w:rsidRPr="0072678C">
              <w:rPr>
                <w:rFonts w:asciiTheme="minorHAnsi" w:hAnsiTheme="minorHAnsi" w:cstheme="minorHAnsi"/>
                <w:sz w:val="20"/>
                <w:szCs w:val="20"/>
              </w:rPr>
              <w:t>Quantidade de créditos do IPVA recuperados / Quantidade de contribuintes da carteira de inadimplência do IPVA</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77,44%</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Quantidades calculadas por diferença entre a frota total tributável do exercício e quantidades de pagamentos efetuados por período.</w:t>
            </w:r>
          </w:p>
        </w:tc>
      </w:tr>
      <w:tr w:rsidR="008036C4" w:rsidRPr="0072678C" w:rsidTr="000E2286">
        <w:trPr>
          <w:trHeight w:val="1200"/>
        </w:trPr>
        <w:tc>
          <w:tcPr>
            <w:tcW w:w="3969" w:type="dxa"/>
            <w:tcMar>
              <w:top w:w="0" w:type="dxa"/>
              <w:left w:w="70" w:type="dxa"/>
              <w:bottom w:w="0" w:type="dxa"/>
              <w:right w:w="70" w:type="dxa"/>
            </w:tcMar>
            <w:vAlign w:val="center"/>
            <w:hideMark/>
          </w:tcPr>
          <w:p w:rsidR="008036C4" w:rsidRPr="0072678C" w:rsidRDefault="008036C4" w:rsidP="002E0AC6">
            <w:pPr>
              <w:rPr>
                <w:rFonts w:asciiTheme="minorHAnsi" w:eastAsiaTheme="minorHAnsi" w:hAnsiTheme="minorHAnsi" w:cstheme="minorHAnsi"/>
                <w:iCs/>
                <w:sz w:val="20"/>
                <w:szCs w:val="20"/>
              </w:rPr>
            </w:pPr>
            <w:r w:rsidRPr="0072678C">
              <w:rPr>
                <w:rFonts w:asciiTheme="minorHAnsi" w:hAnsiTheme="minorHAnsi" w:cstheme="minorHAnsi"/>
                <w:iCs/>
                <w:sz w:val="20"/>
                <w:szCs w:val="20"/>
              </w:rPr>
              <w:t xml:space="preserve">Valor dos créditos do IPVA recuperados / Valor total da carteira de inadimplência do IPVA </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74,55%</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Valor dos créditos recuperados em relação à soma destes com a inadimplência ao final do exercício. Considerados apenas débitos não inscritos.</w:t>
            </w:r>
          </w:p>
        </w:tc>
      </w:tr>
      <w:tr w:rsidR="008036C4" w:rsidRPr="0072678C" w:rsidTr="000E2286">
        <w:trPr>
          <w:trHeight w:val="330"/>
        </w:trPr>
        <w:tc>
          <w:tcPr>
            <w:tcW w:w="3969" w:type="dxa"/>
            <w:shd w:val="clear" w:color="auto" w:fill="FFE599" w:themeFill="accent4" w:themeFillTint="66"/>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Controle do parcelamento</w:t>
            </w:r>
          </w:p>
        </w:tc>
        <w:tc>
          <w:tcPr>
            <w:tcW w:w="1843" w:type="dxa"/>
            <w:shd w:val="clear" w:color="auto" w:fill="FFE599" w:themeFill="accent4" w:themeFillTint="66"/>
            <w:noWrap/>
            <w:tcMar>
              <w:top w:w="0" w:type="dxa"/>
              <w:left w:w="70" w:type="dxa"/>
              <w:bottom w:w="0" w:type="dxa"/>
              <w:right w:w="70" w:type="dxa"/>
            </w:tcMar>
            <w:vAlign w:val="bottom"/>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c>
          <w:tcPr>
            <w:tcW w:w="2977" w:type="dxa"/>
            <w:shd w:val="clear" w:color="auto" w:fill="FFE599" w:themeFill="accent4" w:themeFillTint="66"/>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8036C4" w:rsidRPr="0072678C" w:rsidTr="000E2286">
        <w:trPr>
          <w:trHeight w:val="330"/>
        </w:trPr>
        <w:tc>
          <w:tcPr>
            <w:tcW w:w="3969" w:type="dxa"/>
            <w:tcMar>
              <w:top w:w="0" w:type="dxa"/>
              <w:left w:w="70" w:type="dxa"/>
              <w:bottom w:w="0" w:type="dxa"/>
              <w:right w:w="70" w:type="dxa"/>
            </w:tcMar>
            <w:vAlign w:val="center"/>
            <w:hideMark/>
          </w:tcPr>
          <w:p w:rsidR="008036C4" w:rsidRPr="0072678C" w:rsidRDefault="008036C4">
            <w:pPr>
              <w:ind w:firstLine="221"/>
              <w:rPr>
                <w:rFonts w:asciiTheme="minorHAnsi" w:eastAsiaTheme="minorHAnsi" w:hAnsiTheme="minorHAnsi" w:cstheme="minorHAnsi"/>
                <w:b/>
                <w:bCs/>
                <w:sz w:val="20"/>
                <w:szCs w:val="20"/>
              </w:rPr>
            </w:pPr>
            <w:r w:rsidRPr="0072678C">
              <w:rPr>
                <w:rFonts w:asciiTheme="minorHAnsi" w:hAnsiTheme="minorHAnsi" w:cstheme="minorHAnsi"/>
                <w:b/>
                <w:bCs/>
                <w:sz w:val="20"/>
                <w:szCs w:val="20"/>
              </w:rPr>
              <w:t>ICMS</w:t>
            </w:r>
          </w:p>
        </w:tc>
        <w:tc>
          <w:tcPr>
            <w:tcW w:w="1843" w:type="dxa"/>
            <w:noWrap/>
            <w:tcMar>
              <w:top w:w="0" w:type="dxa"/>
              <w:left w:w="70" w:type="dxa"/>
              <w:bottom w:w="0" w:type="dxa"/>
              <w:right w:w="70" w:type="dxa"/>
            </w:tcMar>
            <w:vAlign w:val="bottom"/>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8036C4" w:rsidRPr="0072678C" w:rsidTr="000E2286">
        <w:trPr>
          <w:trHeight w:val="720"/>
        </w:trPr>
        <w:tc>
          <w:tcPr>
            <w:tcW w:w="3969" w:type="dxa"/>
            <w:tcMar>
              <w:top w:w="0" w:type="dxa"/>
              <w:left w:w="70" w:type="dxa"/>
              <w:bottom w:w="0" w:type="dxa"/>
              <w:right w:w="70" w:type="dxa"/>
            </w:tcMar>
            <w:vAlign w:val="center"/>
            <w:hideMark/>
          </w:tcPr>
          <w:p w:rsidR="008036C4" w:rsidRPr="0072678C" w:rsidRDefault="008036C4" w:rsidP="002E0AC6">
            <w:pPr>
              <w:rPr>
                <w:rFonts w:asciiTheme="minorHAnsi" w:eastAsiaTheme="minorHAnsi" w:hAnsiTheme="minorHAnsi" w:cstheme="minorHAnsi"/>
                <w:sz w:val="20"/>
                <w:szCs w:val="20"/>
              </w:rPr>
            </w:pPr>
            <w:r w:rsidRPr="0072678C">
              <w:rPr>
                <w:rFonts w:asciiTheme="minorHAnsi" w:hAnsiTheme="minorHAnsi" w:cstheme="minorHAnsi"/>
                <w:sz w:val="20"/>
                <w:szCs w:val="20"/>
              </w:rPr>
              <w:t>Quantidade de parcelamentos inadimplentes / Quantidade de parcelamento concedidos</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12,23%</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Considerados apenas parcelamentos ordinários de débitos não inscritos em dívida ativa.</w:t>
            </w:r>
          </w:p>
        </w:tc>
      </w:tr>
      <w:tr w:rsidR="008036C4" w:rsidRPr="0072678C" w:rsidTr="000E2286">
        <w:trPr>
          <w:trHeight w:val="720"/>
        </w:trPr>
        <w:tc>
          <w:tcPr>
            <w:tcW w:w="3969" w:type="dxa"/>
            <w:tcMar>
              <w:top w:w="0" w:type="dxa"/>
              <w:left w:w="70" w:type="dxa"/>
              <w:bottom w:w="0" w:type="dxa"/>
              <w:right w:w="70" w:type="dxa"/>
            </w:tcMar>
            <w:vAlign w:val="center"/>
            <w:hideMark/>
          </w:tcPr>
          <w:p w:rsidR="008036C4" w:rsidRPr="0072678C" w:rsidRDefault="008036C4" w:rsidP="002E0AC6">
            <w:pPr>
              <w:rPr>
                <w:rFonts w:asciiTheme="minorHAnsi" w:eastAsiaTheme="minorHAnsi" w:hAnsiTheme="minorHAnsi" w:cstheme="minorHAnsi"/>
                <w:sz w:val="20"/>
                <w:szCs w:val="20"/>
              </w:rPr>
            </w:pPr>
            <w:r w:rsidRPr="0072678C">
              <w:rPr>
                <w:rFonts w:asciiTheme="minorHAnsi" w:hAnsiTheme="minorHAnsi" w:cstheme="minorHAnsi"/>
                <w:sz w:val="20"/>
                <w:szCs w:val="20"/>
              </w:rPr>
              <w:t>Valor dos parcelamentos inadimplentes / Valor total da carteira de parcelamentos</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7,53%</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Considerados apenas parcelamentos ordinários de débitos não inscritos em dívida ativa.</w:t>
            </w:r>
          </w:p>
        </w:tc>
      </w:tr>
      <w:tr w:rsidR="008036C4" w:rsidRPr="0072678C" w:rsidTr="000E2286">
        <w:trPr>
          <w:trHeight w:val="330"/>
        </w:trPr>
        <w:tc>
          <w:tcPr>
            <w:tcW w:w="3969" w:type="dxa"/>
            <w:tcMar>
              <w:top w:w="0" w:type="dxa"/>
              <w:left w:w="70" w:type="dxa"/>
              <w:bottom w:w="0" w:type="dxa"/>
              <w:right w:w="70" w:type="dxa"/>
            </w:tcMar>
            <w:vAlign w:val="center"/>
            <w:hideMark/>
          </w:tcPr>
          <w:p w:rsidR="008036C4" w:rsidRPr="0072678C" w:rsidRDefault="008036C4">
            <w:pPr>
              <w:ind w:firstLine="221"/>
              <w:rPr>
                <w:rFonts w:asciiTheme="minorHAnsi" w:eastAsiaTheme="minorHAnsi" w:hAnsiTheme="minorHAnsi" w:cstheme="minorHAnsi"/>
                <w:b/>
                <w:bCs/>
                <w:sz w:val="20"/>
                <w:szCs w:val="20"/>
              </w:rPr>
            </w:pPr>
            <w:r w:rsidRPr="0072678C">
              <w:rPr>
                <w:rFonts w:asciiTheme="minorHAnsi" w:hAnsiTheme="minorHAnsi" w:cstheme="minorHAnsi"/>
                <w:b/>
                <w:bCs/>
                <w:sz w:val="20"/>
                <w:szCs w:val="20"/>
              </w:rPr>
              <w:t>IPVA</w:t>
            </w:r>
          </w:p>
        </w:tc>
        <w:tc>
          <w:tcPr>
            <w:tcW w:w="1843" w:type="dxa"/>
            <w:noWrap/>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8036C4" w:rsidRPr="0072678C" w:rsidTr="000E2286">
        <w:trPr>
          <w:trHeight w:val="960"/>
        </w:trPr>
        <w:tc>
          <w:tcPr>
            <w:tcW w:w="3969" w:type="dxa"/>
            <w:tcMar>
              <w:top w:w="0" w:type="dxa"/>
              <w:left w:w="70" w:type="dxa"/>
              <w:bottom w:w="0" w:type="dxa"/>
              <w:right w:w="70" w:type="dxa"/>
            </w:tcMar>
            <w:vAlign w:val="center"/>
            <w:hideMark/>
          </w:tcPr>
          <w:p w:rsidR="008036C4" w:rsidRPr="0072678C" w:rsidRDefault="008036C4" w:rsidP="002E0AC6">
            <w:pPr>
              <w:rPr>
                <w:rFonts w:asciiTheme="minorHAnsi" w:eastAsiaTheme="minorHAnsi" w:hAnsiTheme="minorHAnsi" w:cstheme="minorHAnsi"/>
                <w:sz w:val="20"/>
                <w:szCs w:val="20"/>
              </w:rPr>
            </w:pPr>
            <w:r w:rsidRPr="0072678C">
              <w:rPr>
                <w:rFonts w:asciiTheme="minorHAnsi" w:hAnsiTheme="minorHAnsi" w:cstheme="minorHAnsi"/>
                <w:sz w:val="20"/>
                <w:szCs w:val="20"/>
              </w:rPr>
              <w:t>Quantidade de parcelamentos inadimplentes / Quantidade de parcelamento concedidos</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N/A</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Parcelamentos do IPVA só são possíveis em programas especiais de caráter excepcional. Não houve em 2017.</w:t>
            </w:r>
          </w:p>
        </w:tc>
      </w:tr>
      <w:tr w:rsidR="008036C4" w:rsidRPr="0072678C" w:rsidTr="000E2286">
        <w:trPr>
          <w:trHeight w:val="960"/>
        </w:trPr>
        <w:tc>
          <w:tcPr>
            <w:tcW w:w="3969" w:type="dxa"/>
            <w:tcMar>
              <w:top w:w="0" w:type="dxa"/>
              <w:left w:w="70" w:type="dxa"/>
              <w:bottom w:w="0" w:type="dxa"/>
              <w:right w:w="700" w:type="dxa"/>
            </w:tcMar>
            <w:vAlign w:val="center"/>
            <w:hideMark/>
          </w:tcPr>
          <w:p w:rsidR="008036C4" w:rsidRPr="0072678C" w:rsidRDefault="008036C4" w:rsidP="002E0AC6">
            <w:pPr>
              <w:rPr>
                <w:rFonts w:asciiTheme="minorHAnsi" w:eastAsiaTheme="minorHAnsi" w:hAnsiTheme="minorHAnsi" w:cstheme="minorHAnsi"/>
                <w:sz w:val="20"/>
                <w:szCs w:val="20"/>
              </w:rPr>
            </w:pPr>
            <w:r w:rsidRPr="0072678C">
              <w:rPr>
                <w:rFonts w:asciiTheme="minorHAnsi" w:hAnsiTheme="minorHAnsi" w:cstheme="minorHAnsi"/>
                <w:sz w:val="20"/>
                <w:szCs w:val="20"/>
              </w:rPr>
              <w:t>Valor dos parcelamentos inadimplentes / Valor total da carteira de parcelamentos</w:t>
            </w:r>
          </w:p>
        </w:tc>
        <w:tc>
          <w:tcPr>
            <w:tcW w:w="1843" w:type="dxa"/>
            <w:noWrap/>
            <w:tcMar>
              <w:top w:w="0" w:type="dxa"/>
              <w:left w:w="70" w:type="dxa"/>
              <w:bottom w:w="0" w:type="dxa"/>
              <w:right w:w="70" w:type="dxa"/>
            </w:tcMar>
            <w:vAlign w:val="center"/>
            <w:hideMark/>
          </w:tcPr>
          <w:p w:rsidR="008036C4" w:rsidRPr="0072678C" w:rsidRDefault="008036C4">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N/A</w:t>
            </w:r>
          </w:p>
        </w:tc>
        <w:tc>
          <w:tcPr>
            <w:tcW w:w="2977" w:type="dxa"/>
            <w:tcMar>
              <w:top w:w="0" w:type="dxa"/>
              <w:left w:w="70" w:type="dxa"/>
              <w:bottom w:w="0" w:type="dxa"/>
              <w:right w:w="70" w:type="dxa"/>
            </w:tcMar>
            <w:vAlign w:val="center"/>
            <w:hideMark/>
          </w:tcPr>
          <w:p w:rsidR="008036C4" w:rsidRPr="0072678C" w:rsidRDefault="008036C4">
            <w:pPr>
              <w:rPr>
                <w:rFonts w:asciiTheme="minorHAnsi" w:eastAsiaTheme="minorHAnsi" w:hAnsiTheme="minorHAnsi" w:cstheme="minorHAnsi"/>
                <w:sz w:val="20"/>
                <w:szCs w:val="20"/>
              </w:rPr>
            </w:pPr>
            <w:r w:rsidRPr="0072678C">
              <w:rPr>
                <w:rFonts w:asciiTheme="minorHAnsi" w:hAnsiTheme="minorHAnsi" w:cstheme="minorHAnsi"/>
                <w:sz w:val="20"/>
                <w:szCs w:val="20"/>
              </w:rPr>
              <w:t>Parcelamentos do IPVA só são possíveis em programas especiais de caráter excepcional. Não houve em 2017.</w:t>
            </w:r>
          </w:p>
        </w:tc>
      </w:tr>
    </w:tbl>
    <w:p w:rsidR="002349C4" w:rsidRPr="0072678C" w:rsidRDefault="002349C4"/>
    <w:p w:rsidR="00B44516" w:rsidRPr="0072678C" w:rsidRDefault="00B44516" w:rsidP="00CC1899">
      <w:pPr>
        <w:pStyle w:val="Heading1"/>
        <w:numPr>
          <w:ilvl w:val="0"/>
          <w:numId w:val="42"/>
        </w:numPr>
        <w:rPr>
          <w:rFonts w:asciiTheme="minorHAnsi" w:hAnsiTheme="minorHAnsi" w:cstheme="minorHAnsi"/>
          <w:b/>
          <w:smallCaps/>
          <w:color w:val="auto"/>
          <w:sz w:val="24"/>
          <w:szCs w:val="22"/>
        </w:rPr>
      </w:pPr>
      <w:bookmarkStart w:id="28" w:name="_Toc492718549"/>
      <w:bookmarkStart w:id="29" w:name="_Toc518058460"/>
      <w:r w:rsidRPr="0072678C">
        <w:rPr>
          <w:rFonts w:asciiTheme="minorHAnsi" w:hAnsiTheme="minorHAnsi" w:cstheme="minorHAnsi"/>
          <w:b/>
          <w:smallCaps/>
          <w:color w:val="auto"/>
          <w:sz w:val="24"/>
          <w:szCs w:val="22"/>
        </w:rPr>
        <w:t>Eixo III. Administração Financeira e Gasto Público (AF)</w:t>
      </w:r>
      <w:bookmarkEnd w:id="28"/>
      <w:bookmarkEnd w:id="29"/>
    </w:p>
    <w:p w:rsidR="00455020" w:rsidRPr="0072678C" w:rsidRDefault="00B44516" w:rsidP="00455020">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O detalhamento do </w:t>
      </w:r>
      <w:r w:rsidRPr="0072678C">
        <w:rPr>
          <w:rFonts w:asciiTheme="minorHAnsi" w:hAnsiTheme="minorHAnsi" w:cstheme="minorHAnsi"/>
          <w:b/>
          <w:sz w:val="22"/>
          <w:szCs w:val="22"/>
        </w:rPr>
        <w:t xml:space="preserve">Eixo III- Administração Financeira e Gasto Público </w:t>
      </w:r>
      <w:r w:rsidRPr="0072678C">
        <w:rPr>
          <w:rFonts w:asciiTheme="minorHAnsi" w:hAnsiTheme="minorHAnsi" w:cstheme="minorHAnsi"/>
          <w:sz w:val="22"/>
          <w:szCs w:val="22"/>
        </w:rPr>
        <w:t>com as suas Dimensões e quantidades de Processos críticos e Requisito</w:t>
      </w:r>
      <w:r w:rsidR="00FA1761" w:rsidRPr="0072678C">
        <w:rPr>
          <w:rFonts w:asciiTheme="minorHAnsi" w:hAnsiTheme="minorHAnsi" w:cstheme="minorHAnsi"/>
          <w:sz w:val="22"/>
          <w:szCs w:val="22"/>
        </w:rPr>
        <w:t>s de melhores práticas constam no</w:t>
      </w:r>
      <w:r w:rsidRPr="0072678C">
        <w:rPr>
          <w:rFonts w:asciiTheme="minorHAnsi" w:hAnsiTheme="minorHAnsi" w:cstheme="minorHAnsi"/>
          <w:sz w:val="22"/>
          <w:szCs w:val="22"/>
        </w:rPr>
        <w:t xml:space="preserve"> </w:t>
      </w:r>
      <w:r w:rsidRPr="0072678C">
        <w:rPr>
          <w:rFonts w:asciiTheme="minorHAnsi" w:hAnsiTheme="minorHAnsi" w:cstheme="minorHAnsi"/>
          <w:b/>
          <w:sz w:val="22"/>
          <w:szCs w:val="22"/>
        </w:rPr>
        <w:t xml:space="preserve">Quadro </w:t>
      </w:r>
      <w:r w:rsidR="003B190F" w:rsidRPr="0072678C">
        <w:rPr>
          <w:rFonts w:asciiTheme="minorHAnsi" w:hAnsiTheme="minorHAnsi" w:cstheme="minorHAnsi"/>
          <w:b/>
          <w:sz w:val="22"/>
          <w:szCs w:val="22"/>
        </w:rPr>
        <w:t>4</w:t>
      </w:r>
      <w:r w:rsidRPr="0072678C">
        <w:rPr>
          <w:rFonts w:asciiTheme="minorHAnsi" w:hAnsiTheme="minorHAnsi" w:cstheme="minorHAnsi"/>
          <w:sz w:val="22"/>
          <w:szCs w:val="22"/>
        </w:rPr>
        <w:t>, a seguir:</w:t>
      </w:r>
    </w:p>
    <w:p w:rsidR="00B44516" w:rsidRPr="0072678C" w:rsidRDefault="00B44516" w:rsidP="00455020">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lastRenderedPageBreak/>
        <w:t xml:space="preserve">A Maturidade de cada Dimensão está apresentada no </w:t>
      </w:r>
      <w:r w:rsidRPr="0072678C">
        <w:rPr>
          <w:rFonts w:asciiTheme="minorHAnsi" w:hAnsiTheme="minorHAnsi" w:cstheme="minorHAnsi"/>
          <w:b/>
          <w:sz w:val="22"/>
          <w:szCs w:val="22"/>
        </w:rPr>
        <w:t xml:space="preserve">Quadro </w:t>
      </w:r>
      <w:r w:rsidR="003B190F" w:rsidRPr="0072678C">
        <w:rPr>
          <w:rFonts w:asciiTheme="minorHAnsi" w:hAnsiTheme="minorHAnsi" w:cstheme="minorHAnsi"/>
          <w:b/>
          <w:sz w:val="22"/>
          <w:szCs w:val="22"/>
        </w:rPr>
        <w:t>4</w:t>
      </w:r>
      <w:r w:rsidRPr="0072678C">
        <w:rPr>
          <w:rFonts w:asciiTheme="minorHAnsi" w:hAnsiTheme="minorHAnsi" w:cstheme="minorHAnsi"/>
          <w:b/>
          <w:sz w:val="22"/>
          <w:szCs w:val="22"/>
        </w:rPr>
        <w:t xml:space="preserve">, </w:t>
      </w:r>
      <w:r w:rsidRPr="0072678C">
        <w:rPr>
          <w:rFonts w:asciiTheme="minorHAnsi" w:hAnsiTheme="minorHAnsi" w:cstheme="minorHAnsi"/>
          <w:sz w:val="22"/>
          <w:szCs w:val="22"/>
        </w:rPr>
        <w:t>a seguir:</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5"/>
        <w:gridCol w:w="1984"/>
        <w:gridCol w:w="945"/>
        <w:gridCol w:w="803"/>
        <w:gridCol w:w="662"/>
      </w:tblGrid>
      <w:tr w:rsidR="00455020" w:rsidRPr="0072678C" w:rsidTr="00C90374">
        <w:tc>
          <w:tcPr>
            <w:tcW w:w="4395" w:type="dxa"/>
            <w:vMerge w:val="restart"/>
            <w:shd w:val="clear" w:color="auto" w:fill="B4C6E7" w:themeFill="accent5" w:themeFillTint="66"/>
            <w:noWrap/>
            <w:vAlign w:val="bottom"/>
          </w:tcPr>
          <w:p w:rsidR="00455020" w:rsidRPr="0072678C" w:rsidRDefault="00455020" w:rsidP="00B44516">
            <w:pPr>
              <w:ind w:left="567" w:right="-1"/>
              <w:jc w:val="center"/>
              <w:rPr>
                <w:rFonts w:asciiTheme="minorHAnsi" w:hAnsiTheme="minorHAnsi" w:cstheme="minorHAnsi"/>
                <w:b/>
                <w:sz w:val="20"/>
                <w:szCs w:val="20"/>
              </w:rPr>
            </w:pPr>
            <w:r w:rsidRPr="0072678C">
              <w:rPr>
                <w:rFonts w:asciiTheme="minorHAnsi" w:hAnsiTheme="minorHAnsi" w:cstheme="minorHAnsi"/>
                <w:b/>
                <w:sz w:val="20"/>
                <w:szCs w:val="20"/>
              </w:rPr>
              <w:t>EIXO III. ADMINISTRAÇÃO FINANCEIRA E GASTO PÚBLICO (AF)</w:t>
            </w:r>
          </w:p>
        </w:tc>
        <w:tc>
          <w:tcPr>
            <w:tcW w:w="1984" w:type="dxa"/>
            <w:vMerge w:val="restart"/>
            <w:shd w:val="clear" w:color="auto" w:fill="B4C6E7" w:themeFill="accent5" w:themeFillTint="66"/>
            <w:noWrap/>
            <w:vAlign w:val="center"/>
          </w:tcPr>
          <w:p w:rsidR="00455020" w:rsidRPr="0072678C" w:rsidRDefault="00455020" w:rsidP="00455020">
            <w:pPr>
              <w:ind w:right="-1"/>
              <w:jc w:val="center"/>
              <w:rPr>
                <w:rFonts w:asciiTheme="minorHAnsi" w:hAnsiTheme="minorHAnsi" w:cstheme="minorHAnsi"/>
                <w:b/>
                <w:sz w:val="20"/>
                <w:szCs w:val="20"/>
              </w:rPr>
            </w:pPr>
            <w:r w:rsidRPr="0072678C">
              <w:rPr>
                <w:rFonts w:asciiTheme="minorHAnsi" w:hAnsiTheme="minorHAnsi" w:cstheme="minorHAnsi"/>
                <w:b/>
                <w:sz w:val="20"/>
                <w:szCs w:val="20"/>
              </w:rPr>
              <w:t>MATURIDADE</w:t>
            </w:r>
          </w:p>
        </w:tc>
        <w:tc>
          <w:tcPr>
            <w:tcW w:w="2410" w:type="dxa"/>
            <w:gridSpan w:val="3"/>
            <w:tcBorders>
              <w:bottom w:val="single" w:sz="4" w:space="0" w:color="auto"/>
            </w:tcBorders>
            <w:shd w:val="clear" w:color="auto" w:fill="B4C6E7" w:themeFill="accent5" w:themeFillTint="66"/>
          </w:tcPr>
          <w:p w:rsidR="00455020" w:rsidRPr="0072678C" w:rsidRDefault="00455020" w:rsidP="00B44516">
            <w:pPr>
              <w:ind w:right="-1"/>
              <w:jc w:val="center"/>
              <w:rPr>
                <w:rFonts w:asciiTheme="minorHAnsi" w:hAnsiTheme="minorHAnsi" w:cstheme="minorHAnsi"/>
                <w:b/>
                <w:sz w:val="20"/>
                <w:szCs w:val="20"/>
              </w:rPr>
            </w:pPr>
            <w:r w:rsidRPr="0072678C">
              <w:rPr>
                <w:rFonts w:asciiTheme="minorHAnsi" w:hAnsiTheme="minorHAnsi" w:cstheme="minorHAnsi"/>
                <w:b/>
                <w:sz w:val="20"/>
                <w:szCs w:val="20"/>
              </w:rPr>
              <w:t>Pontuação</w:t>
            </w:r>
          </w:p>
        </w:tc>
      </w:tr>
      <w:tr w:rsidR="00455020" w:rsidRPr="0072678C" w:rsidTr="00C90374">
        <w:tc>
          <w:tcPr>
            <w:tcW w:w="4395" w:type="dxa"/>
            <w:vMerge/>
            <w:tcBorders>
              <w:bottom w:val="single" w:sz="4" w:space="0" w:color="auto"/>
            </w:tcBorders>
            <w:shd w:val="clear" w:color="auto" w:fill="B4C6E7" w:themeFill="accent5" w:themeFillTint="66"/>
            <w:noWrap/>
            <w:vAlign w:val="bottom"/>
          </w:tcPr>
          <w:p w:rsidR="00455020" w:rsidRPr="0072678C" w:rsidRDefault="00455020" w:rsidP="00B44516">
            <w:pPr>
              <w:ind w:left="567" w:right="-1"/>
              <w:jc w:val="center"/>
              <w:rPr>
                <w:rFonts w:asciiTheme="minorHAnsi" w:hAnsiTheme="minorHAnsi" w:cstheme="minorHAnsi"/>
                <w:b/>
                <w:sz w:val="20"/>
                <w:szCs w:val="20"/>
              </w:rPr>
            </w:pPr>
          </w:p>
        </w:tc>
        <w:tc>
          <w:tcPr>
            <w:tcW w:w="1984" w:type="dxa"/>
            <w:vMerge/>
            <w:tcBorders>
              <w:bottom w:val="single" w:sz="4" w:space="0" w:color="auto"/>
            </w:tcBorders>
            <w:shd w:val="clear" w:color="auto" w:fill="B4C6E7" w:themeFill="accent5" w:themeFillTint="66"/>
            <w:noWrap/>
            <w:vAlign w:val="bottom"/>
          </w:tcPr>
          <w:p w:rsidR="00455020" w:rsidRPr="0072678C" w:rsidRDefault="00455020" w:rsidP="00B44516">
            <w:pPr>
              <w:ind w:right="-1"/>
              <w:jc w:val="center"/>
              <w:rPr>
                <w:rFonts w:asciiTheme="minorHAnsi" w:hAnsiTheme="minorHAnsi" w:cstheme="minorHAnsi"/>
                <w:b/>
                <w:sz w:val="20"/>
                <w:szCs w:val="20"/>
              </w:rPr>
            </w:pPr>
          </w:p>
        </w:tc>
        <w:tc>
          <w:tcPr>
            <w:tcW w:w="945" w:type="dxa"/>
            <w:tcBorders>
              <w:bottom w:val="single" w:sz="4" w:space="0" w:color="auto"/>
            </w:tcBorders>
            <w:shd w:val="clear" w:color="auto" w:fill="B4C6E7" w:themeFill="accent5" w:themeFillTint="66"/>
            <w:vAlign w:val="center"/>
          </w:tcPr>
          <w:p w:rsidR="00455020" w:rsidRPr="0072678C" w:rsidRDefault="00455020" w:rsidP="00B44516">
            <w:pPr>
              <w:jc w:val="center"/>
              <w:rPr>
                <w:rFonts w:asciiTheme="minorHAnsi" w:hAnsiTheme="minorHAnsi" w:cstheme="minorHAnsi"/>
                <w:b/>
                <w:sz w:val="20"/>
                <w:szCs w:val="20"/>
              </w:rPr>
            </w:pPr>
            <w:r w:rsidRPr="0072678C">
              <w:rPr>
                <w:rFonts w:asciiTheme="minorHAnsi" w:hAnsiTheme="minorHAnsi" w:cstheme="minorHAnsi"/>
                <w:b/>
                <w:sz w:val="20"/>
                <w:szCs w:val="20"/>
              </w:rPr>
              <w:t>Máxima</w:t>
            </w:r>
          </w:p>
        </w:tc>
        <w:tc>
          <w:tcPr>
            <w:tcW w:w="803" w:type="dxa"/>
            <w:tcBorders>
              <w:bottom w:val="single" w:sz="4" w:space="0" w:color="auto"/>
            </w:tcBorders>
            <w:shd w:val="clear" w:color="auto" w:fill="B4C6E7" w:themeFill="accent5" w:themeFillTint="66"/>
            <w:vAlign w:val="center"/>
          </w:tcPr>
          <w:p w:rsidR="00455020" w:rsidRPr="0072678C" w:rsidRDefault="00455020" w:rsidP="00B44516">
            <w:pPr>
              <w:jc w:val="center"/>
              <w:rPr>
                <w:rFonts w:asciiTheme="minorHAnsi" w:hAnsiTheme="minorHAnsi" w:cstheme="minorHAnsi"/>
                <w:b/>
                <w:sz w:val="20"/>
                <w:szCs w:val="20"/>
              </w:rPr>
            </w:pPr>
            <w:r w:rsidRPr="0072678C">
              <w:rPr>
                <w:rFonts w:asciiTheme="minorHAnsi" w:hAnsiTheme="minorHAnsi" w:cstheme="minorHAnsi"/>
                <w:b/>
                <w:sz w:val="20"/>
                <w:szCs w:val="20"/>
              </w:rPr>
              <w:t>Obtida</w:t>
            </w:r>
          </w:p>
        </w:tc>
        <w:tc>
          <w:tcPr>
            <w:tcW w:w="662" w:type="dxa"/>
            <w:tcBorders>
              <w:bottom w:val="single" w:sz="4" w:space="0" w:color="auto"/>
            </w:tcBorders>
            <w:shd w:val="clear" w:color="auto" w:fill="B4C6E7" w:themeFill="accent5" w:themeFillTint="66"/>
            <w:vAlign w:val="center"/>
          </w:tcPr>
          <w:p w:rsidR="00455020" w:rsidRPr="0072678C" w:rsidRDefault="00455020" w:rsidP="00B44516">
            <w:pPr>
              <w:jc w:val="center"/>
              <w:rPr>
                <w:rFonts w:asciiTheme="minorHAnsi" w:hAnsiTheme="minorHAnsi" w:cstheme="minorHAnsi"/>
                <w:b/>
                <w:sz w:val="20"/>
                <w:szCs w:val="20"/>
              </w:rPr>
            </w:pPr>
            <w:r w:rsidRPr="0072678C">
              <w:rPr>
                <w:rFonts w:asciiTheme="minorHAnsi" w:hAnsiTheme="minorHAnsi" w:cstheme="minorHAnsi"/>
                <w:b/>
                <w:sz w:val="20"/>
                <w:szCs w:val="20"/>
              </w:rPr>
              <w:t>%</w:t>
            </w:r>
          </w:p>
        </w:tc>
      </w:tr>
      <w:tr w:rsidR="009C317A" w:rsidRPr="0072678C" w:rsidTr="00C90374">
        <w:tc>
          <w:tcPr>
            <w:tcW w:w="4395" w:type="dxa"/>
            <w:shd w:val="clear" w:color="auto" w:fill="auto"/>
            <w:noWrap/>
            <w:vAlign w:val="bottom"/>
            <w:hideMark/>
          </w:tcPr>
          <w:p w:rsidR="009C317A" w:rsidRPr="0072678C" w:rsidRDefault="009C317A">
            <w:pPr>
              <w:jc w:val="both"/>
              <w:rPr>
                <w:rFonts w:ascii="Calibri" w:hAnsi="Calibri" w:cs="Calibri"/>
                <w:sz w:val="20"/>
                <w:szCs w:val="20"/>
              </w:rPr>
            </w:pPr>
            <w:r w:rsidRPr="0072678C">
              <w:rPr>
                <w:rFonts w:ascii="Calibri" w:hAnsi="Calibri" w:cs="Calibri"/>
                <w:sz w:val="20"/>
                <w:szCs w:val="20"/>
              </w:rPr>
              <w:t xml:space="preserve">AF 2. </w:t>
            </w:r>
            <w:proofErr w:type="gramStart"/>
            <w:r w:rsidRPr="0072678C">
              <w:rPr>
                <w:rFonts w:ascii="Calibri" w:hAnsi="Calibri" w:cs="Calibri"/>
                <w:sz w:val="20"/>
                <w:szCs w:val="20"/>
              </w:rPr>
              <w:t>Políticas, Programação e Execução Financeira</w:t>
            </w:r>
            <w:proofErr w:type="gramEnd"/>
          </w:p>
        </w:tc>
        <w:tc>
          <w:tcPr>
            <w:tcW w:w="1984" w:type="dxa"/>
            <w:shd w:val="clear" w:color="auto" w:fill="auto"/>
            <w:noWrap/>
            <w:vAlign w:val="bottom"/>
            <w:hideMark/>
          </w:tcPr>
          <w:p w:rsidR="009C317A" w:rsidRPr="0072678C" w:rsidRDefault="009C317A">
            <w:pPr>
              <w:rPr>
                <w:rFonts w:ascii="Calibri" w:hAnsi="Calibri" w:cs="Calibri"/>
                <w:b/>
                <w:bCs/>
                <w:sz w:val="20"/>
                <w:szCs w:val="20"/>
              </w:rPr>
            </w:pPr>
            <w:r w:rsidRPr="0072678C">
              <w:rPr>
                <w:rFonts w:ascii="Calibri" w:hAnsi="Calibri" w:cs="Calibri"/>
                <w:b/>
                <w:bCs/>
                <w:sz w:val="20"/>
                <w:szCs w:val="20"/>
              </w:rPr>
              <w:t>AVANÇADO (+)</w:t>
            </w:r>
          </w:p>
        </w:tc>
        <w:tc>
          <w:tcPr>
            <w:tcW w:w="945"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18</w:t>
            </w:r>
          </w:p>
        </w:tc>
        <w:tc>
          <w:tcPr>
            <w:tcW w:w="803"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17</w:t>
            </w:r>
          </w:p>
        </w:tc>
        <w:tc>
          <w:tcPr>
            <w:tcW w:w="662"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94%</w:t>
            </w:r>
          </w:p>
        </w:tc>
      </w:tr>
      <w:tr w:rsidR="009C317A" w:rsidRPr="0072678C" w:rsidTr="00C90374">
        <w:tc>
          <w:tcPr>
            <w:tcW w:w="4395" w:type="dxa"/>
            <w:shd w:val="clear" w:color="auto" w:fill="auto"/>
            <w:noWrap/>
            <w:vAlign w:val="bottom"/>
            <w:hideMark/>
          </w:tcPr>
          <w:p w:rsidR="009C317A" w:rsidRPr="0072678C" w:rsidRDefault="009C317A">
            <w:pPr>
              <w:jc w:val="both"/>
              <w:rPr>
                <w:rFonts w:ascii="Calibri" w:hAnsi="Calibri" w:cs="Calibri"/>
                <w:sz w:val="20"/>
                <w:szCs w:val="20"/>
              </w:rPr>
            </w:pPr>
            <w:r w:rsidRPr="0072678C">
              <w:rPr>
                <w:rFonts w:ascii="Calibri" w:hAnsi="Calibri" w:cs="Calibri"/>
                <w:sz w:val="20"/>
                <w:szCs w:val="20"/>
              </w:rPr>
              <w:t>AF 1. Planejamento e Execução Orçamentária</w:t>
            </w:r>
          </w:p>
        </w:tc>
        <w:tc>
          <w:tcPr>
            <w:tcW w:w="1984" w:type="dxa"/>
            <w:shd w:val="clear" w:color="auto" w:fill="auto"/>
            <w:noWrap/>
            <w:vAlign w:val="bottom"/>
            <w:hideMark/>
          </w:tcPr>
          <w:p w:rsidR="009C317A" w:rsidRPr="0072678C" w:rsidRDefault="009C317A">
            <w:pPr>
              <w:rPr>
                <w:rFonts w:ascii="Calibri" w:hAnsi="Calibri" w:cs="Calibri"/>
                <w:b/>
                <w:bCs/>
                <w:sz w:val="20"/>
                <w:szCs w:val="20"/>
              </w:rPr>
            </w:pPr>
            <w:r w:rsidRPr="0072678C">
              <w:rPr>
                <w:rFonts w:ascii="Calibri" w:hAnsi="Calibri" w:cs="Calibri"/>
                <w:b/>
                <w:bCs/>
                <w:sz w:val="20"/>
                <w:szCs w:val="20"/>
              </w:rPr>
              <w:t>AVANÇADO (-)</w:t>
            </w:r>
          </w:p>
        </w:tc>
        <w:tc>
          <w:tcPr>
            <w:tcW w:w="945"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21</w:t>
            </w:r>
          </w:p>
        </w:tc>
        <w:tc>
          <w:tcPr>
            <w:tcW w:w="803"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18</w:t>
            </w:r>
          </w:p>
        </w:tc>
        <w:tc>
          <w:tcPr>
            <w:tcW w:w="662"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86%</w:t>
            </w:r>
          </w:p>
        </w:tc>
      </w:tr>
      <w:tr w:rsidR="009C317A" w:rsidRPr="0072678C" w:rsidTr="00C90374">
        <w:tc>
          <w:tcPr>
            <w:tcW w:w="4395" w:type="dxa"/>
            <w:shd w:val="clear" w:color="auto" w:fill="auto"/>
            <w:noWrap/>
            <w:vAlign w:val="bottom"/>
            <w:hideMark/>
          </w:tcPr>
          <w:p w:rsidR="009C317A" w:rsidRPr="0072678C" w:rsidRDefault="009C317A">
            <w:pPr>
              <w:jc w:val="both"/>
              <w:rPr>
                <w:rFonts w:ascii="Calibri" w:hAnsi="Calibri" w:cs="Calibri"/>
                <w:sz w:val="20"/>
                <w:szCs w:val="20"/>
              </w:rPr>
            </w:pPr>
            <w:r w:rsidRPr="0072678C">
              <w:rPr>
                <w:rFonts w:ascii="Calibri" w:hAnsi="Calibri" w:cs="Calibri"/>
                <w:sz w:val="20"/>
                <w:szCs w:val="20"/>
              </w:rPr>
              <w:t>AF 4. Gestão Contábil</w:t>
            </w:r>
          </w:p>
        </w:tc>
        <w:tc>
          <w:tcPr>
            <w:tcW w:w="1984" w:type="dxa"/>
            <w:shd w:val="clear" w:color="auto" w:fill="auto"/>
            <w:noWrap/>
            <w:vAlign w:val="bottom"/>
            <w:hideMark/>
          </w:tcPr>
          <w:p w:rsidR="009C317A" w:rsidRPr="0072678C" w:rsidRDefault="009C317A">
            <w:pPr>
              <w:rPr>
                <w:rFonts w:ascii="Calibri" w:hAnsi="Calibri" w:cs="Calibri"/>
                <w:b/>
                <w:bCs/>
                <w:sz w:val="20"/>
                <w:szCs w:val="20"/>
              </w:rPr>
            </w:pPr>
            <w:r w:rsidRPr="0072678C">
              <w:rPr>
                <w:rFonts w:ascii="Calibri" w:hAnsi="Calibri" w:cs="Calibri"/>
                <w:b/>
                <w:bCs/>
                <w:sz w:val="20"/>
                <w:szCs w:val="20"/>
              </w:rPr>
              <w:t>INTERMEDIÁRIO (-)</w:t>
            </w:r>
          </w:p>
        </w:tc>
        <w:tc>
          <w:tcPr>
            <w:tcW w:w="945"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36</w:t>
            </w:r>
          </w:p>
        </w:tc>
        <w:tc>
          <w:tcPr>
            <w:tcW w:w="803"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20</w:t>
            </w:r>
          </w:p>
        </w:tc>
        <w:tc>
          <w:tcPr>
            <w:tcW w:w="662"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56%</w:t>
            </w:r>
          </w:p>
        </w:tc>
      </w:tr>
      <w:tr w:rsidR="009C317A" w:rsidRPr="0072678C" w:rsidTr="00C90374">
        <w:tc>
          <w:tcPr>
            <w:tcW w:w="4395" w:type="dxa"/>
            <w:shd w:val="clear" w:color="auto" w:fill="auto"/>
            <w:noWrap/>
            <w:vAlign w:val="bottom"/>
            <w:hideMark/>
          </w:tcPr>
          <w:p w:rsidR="009C317A" w:rsidRPr="0072678C" w:rsidRDefault="009C317A">
            <w:pPr>
              <w:jc w:val="both"/>
              <w:rPr>
                <w:rFonts w:ascii="Calibri" w:hAnsi="Calibri" w:cs="Calibri"/>
                <w:sz w:val="20"/>
                <w:szCs w:val="20"/>
              </w:rPr>
            </w:pPr>
            <w:r w:rsidRPr="0072678C">
              <w:rPr>
                <w:rFonts w:ascii="Calibri" w:hAnsi="Calibri" w:cs="Calibri"/>
                <w:sz w:val="20"/>
                <w:szCs w:val="20"/>
              </w:rPr>
              <w:t>AF 5. Gestão da Dívida Pública</w:t>
            </w:r>
          </w:p>
        </w:tc>
        <w:tc>
          <w:tcPr>
            <w:tcW w:w="1984" w:type="dxa"/>
            <w:shd w:val="clear" w:color="auto" w:fill="auto"/>
            <w:noWrap/>
            <w:vAlign w:val="bottom"/>
            <w:hideMark/>
          </w:tcPr>
          <w:p w:rsidR="009C317A" w:rsidRPr="0072678C" w:rsidRDefault="009C317A">
            <w:pPr>
              <w:rPr>
                <w:rFonts w:ascii="Calibri" w:hAnsi="Calibri" w:cs="Calibri"/>
                <w:b/>
                <w:bCs/>
                <w:sz w:val="20"/>
                <w:szCs w:val="20"/>
              </w:rPr>
            </w:pPr>
            <w:r w:rsidRPr="0072678C">
              <w:rPr>
                <w:rFonts w:ascii="Calibri" w:hAnsi="Calibri" w:cs="Calibri"/>
                <w:b/>
                <w:bCs/>
                <w:sz w:val="20"/>
                <w:szCs w:val="20"/>
              </w:rPr>
              <w:t>INTERMEDIÁRIO (-)</w:t>
            </w:r>
          </w:p>
        </w:tc>
        <w:tc>
          <w:tcPr>
            <w:tcW w:w="945"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15</w:t>
            </w:r>
          </w:p>
        </w:tc>
        <w:tc>
          <w:tcPr>
            <w:tcW w:w="803"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8</w:t>
            </w:r>
          </w:p>
        </w:tc>
        <w:tc>
          <w:tcPr>
            <w:tcW w:w="662"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53%</w:t>
            </w:r>
          </w:p>
        </w:tc>
      </w:tr>
      <w:tr w:rsidR="009C317A" w:rsidRPr="0072678C" w:rsidTr="00C90374">
        <w:tc>
          <w:tcPr>
            <w:tcW w:w="4395" w:type="dxa"/>
            <w:shd w:val="clear" w:color="auto" w:fill="auto"/>
            <w:noWrap/>
            <w:vAlign w:val="bottom"/>
            <w:hideMark/>
          </w:tcPr>
          <w:p w:rsidR="009C317A" w:rsidRPr="0072678C" w:rsidRDefault="009C317A">
            <w:pPr>
              <w:jc w:val="both"/>
              <w:rPr>
                <w:rFonts w:ascii="Calibri" w:hAnsi="Calibri" w:cs="Calibri"/>
                <w:sz w:val="20"/>
                <w:szCs w:val="20"/>
              </w:rPr>
            </w:pPr>
            <w:r w:rsidRPr="0072678C">
              <w:rPr>
                <w:rFonts w:ascii="Calibri" w:hAnsi="Calibri" w:cs="Calibri"/>
                <w:sz w:val="20"/>
                <w:szCs w:val="20"/>
              </w:rPr>
              <w:t>AF 3. Gestão de Ativos e Passivos</w:t>
            </w:r>
          </w:p>
        </w:tc>
        <w:tc>
          <w:tcPr>
            <w:tcW w:w="1984" w:type="dxa"/>
            <w:shd w:val="clear" w:color="auto" w:fill="auto"/>
            <w:noWrap/>
            <w:vAlign w:val="bottom"/>
            <w:hideMark/>
          </w:tcPr>
          <w:p w:rsidR="009C317A" w:rsidRPr="0072678C" w:rsidRDefault="009C317A">
            <w:pPr>
              <w:rPr>
                <w:rFonts w:ascii="Calibri" w:hAnsi="Calibri" w:cs="Calibri"/>
                <w:b/>
                <w:bCs/>
                <w:sz w:val="20"/>
                <w:szCs w:val="20"/>
              </w:rPr>
            </w:pPr>
            <w:r w:rsidRPr="0072678C">
              <w:rPr>
                <w:rFonts w:ascii="Calibri" w:hAnsi="Calibri" w:cs="Calibri"/>
                <w:b/>
                <w:bCs/>
                <w:sz w:val="20"/>
                <w:szCs w:val="20"/>
              </w:rPr>
              <w:t>INICIANTE (+)</w:t>
            </w:r>
          </w:p>
        </w:tc>
        <w:tc>
          <w:tcPr>
            <w:tcW w:w="945"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21</w:t>
            </w:r>
          </w:p>
        </w:tc>
        <w:tc>
          <w:tcPr>
            <w:tcW w:w="803"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7</w:t>
            </w:r>
          </w:p>
        </w:tc>
        <w:tc>
          <w:tcPr>
            <w:tcW w:w="662"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33%</w:t>
            </w:r>
          </w:p>
        </w:tc>
      </w:tr>
      <w:tr w:rsidR="009C317A" w:rsidRPr="0072678C" w:rsidTr="00C90374">
        <w:tc>
          <w:tcPr>
            <w:tcW w:w="4395" w:type="dxa"/>
            <w:shd w:val="clear" w:color="auto" w:fill="auto"/>
            <w:noWrap/>
            <w:vAlign w:val="bottom"/>
            <w:hideMark/>
          </w:tcPr>
          <w:p w:rsidR="009C317A" w:rsidRPr="0072678C" w:rsidRDefault="009C317A">
            <w:pPr>
              <w:jc w:val="both"/>
              <w:rPr>
                <w:rFonts w:ascii="Calibri" w:hAnsi="Calibri" w:cs="Calibri"/>
                <w:sz w:val="20"/>
                <w:szCs w:val="20"/>
              </w:rPr>
            </w:pPr>
            <w:r w:rsidRPr="0072678C">
              <w:rPr>
                <w:rFonts w:ascii="Calibri" w:hAnsi="Calibri" w:cs="Calibri"/>
                <w:sz w:val="20"/>
                <w:szCs w:val="20"/>
              </w:rPr>
              <w:t>AF 6. Gestão de Custos e Gastos Públicos</w:t>
            </w:r>
          </w:p>
        </w:tc>
        <w:tc>
          <w:tcPr>
            <w:tcW w:w="1984" w:type="dxa"/>
            <w:shd w:val="clear" w:color="auto" w:fill="auto"/>
            <w:noWrap/>
            <w:vAlign w:val="bottom"/>
            <w:hideMark/>
          </w:tcPr>
          <w:p w:rsidR="009C317A" w:rsidRPr="0072678C" w:rsidRDefault="009C317A">
            <w:pPr>
              <w:rPr>
                <w:rFonts w:ascii="Calibri" w:hAnsi="Calibri" w:cs="Calibri"/>
                <w:b/>
                <w:bCs/>
                <w:sz w:val="20"/>
                <w:szCs w:val="20"/>
              </w:rPr>
            </w:pPr>
            <w:r w:rsidRPr="0072678C">
              <w:rPr>
                <w:rFonts w:ascii="Calibri" w:hAnsi="Calibri" w:cs="Calibri"/>
                <w:b/>
                <w:bCs/>
                <w:sz w:val="20"/>
                <w:szCs w:val="20"/>
              </w:rPr>
              <w:t>INICIANTE (-)</w:t>
            </w:r>
          </w:p>
        </w:tc>
        <w:tc>
          <w:tcPr>
            <w:tcW w:w="945"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42</w:t>
            </w:r>
          </w:p>
        </w:tc>
        <w:tc>
          <w:tcPr>
            <w:tcW w:w="803"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14</w:t>
            </w:r>
          </w:p>
        </w:tc>
        <w:tc>
          <w:tcPr>
            <w:tcW w:w="662" w:type="dxa"/>
          </w:tcPr>
          <w:p w:rsidR="009C317A" w:rsidRPr="0072678C" w:rsidRDefault="009C317A">
            <w:pPr>
              <w:jc w:val="center"/>
              <w:rPr>
                <w:rFonts w:ascii="Calibri" w:hAnsi="Calibri" w:cs="Calibri"/>
                <w:sz w:val="20"/>
                <w:szCs w:val="20"/>
              </w:rPr>
            </w:pPr>
            <w:r w:rsidRPr="0072678C">
              <w:rPr>
                <w:rFonts w:ascii="Calibri" w:hAnsi="Calibri" w:cs="Calibri"/>
                <w:sz w:val="20"/>
                <w:szCs w:val="20"/>
              </w:rPr>
              <w:t>33%</w:t>
            </w:r>
          </w:p>
        </w:tc>
      </w:tr>
    </w:tbl>
    <w:p w:rsidR="00B44516" w:rsidRPr="0072678C" w:rsidRDefault="00B44516" w:rsidP="00B44516">
      <w:pPr>
        <w:jc w:val="both"/>
        <w:rPr>
          <w:rFonts w:asciiTheme="minorHAnsi" w:hAnsiTheme="minorHAnsi" w:cstheme="minorHAnsi"/>
          <w:sz w:val="22"/>
          <w:szCs w:val="22"/>
        </w:rPr>
      </w:pPr>
    </w:p>
    <w:p w:rsidR="00C9545E" w:rsidRPr="0072678C" w:rsidRDefault="00B44516" w:rsidP="00B44516">
      <w:pPr>
        <w:jc w:val="both"/>
        <w:rPr>
          <w:rFonts w:asciiTheme="minorHAnsi" w:hAnsiTheme="minorHAnsi" w:cstheme="minorHAnsi"/>
          <w:sz w:val="22"/>
          <w:szCs w:val="22"/>
        </w:rPr>
      </w:pPr>
      <w:r w:rsidRPr="0072678C">
        <w:rPr>
          <w:rFonts w:asciiTheme="minorHAnsi" w:hAnsiTheme="minorHAnsi" w:cstheme="minorHAnsi"/>
          <w:sz w:val="22"/>
          <w:szCs w:val="22"/>
        </w:rPr>
        <w:t xml:space="preserve">A dimensão </w:t>
      </w:r>
      <w:r w:rsidR="00C9545E" w:rsidRPr="0072678C">
        <w:rPr>
          <w:rFonts w:asciiTheme="minorHAnsi" w:hAnsiTheme="minorHAnsi" w:cstheme="minorHAnsi"/>
          <w:b/>
          <w:sz w:val="22"/>
          <w:szCs w:val="22"/>
        </w:rPr>
        <w:t xml:space="preserve">AF 2. </w:t>
      </w:r>
      <w:proofErr w:type="gramStart"/>
      <w:r w:rsidR="00C9545E" w:rsidRPr="0072678C">
        <w:rPr>
          <w:rFonts w:asciiTheme="minorHAnsi" w:hAnsiTheme="minorHAnsi" w:cstheme="minorHAnsi"/>
          <w:b/>
          <w:sz w:val="22"/>
          <w:szCs w:val="22"/>
        </w:rPr>
        <w:t>Políticas, Programação e Execução Financeira</w:t>
      </w:r>
      <w:proofErr w:type="gramEnd"/>
      <w:r w:rsidR="00C9545E" w:rsidRPr="0072678C">
        <w:rPr>
          <w:rFonts w:asciiTheme="minorHAnsi" w:hAnsiTheme="minorHAnsi" w:cstheme="minorHAnsi"/>
          <w:sz w:val="22"/>
          <w:szCs w:val="22"/>
        </w:rPr>
        <w:t xml:space="preserve"> </w:t>
      </w:r>
      <w:r w:rsidRPr="0072678C">
        <w:rPr>
          <w:rFonts w:asciiTheme="minorHAnsi" w:hAnsiTheme="minorHAnsi" w:cstheme="minorHAnsi"/>
          <w:sz w:val="22"/>
          <w:szCs w:val="22"/>
        </w:rPr>
        <w:t xml:space="preserve">apresentou o maior nível de maturidade dentre as 6 dimensões pesquisadas, </w:t>
      </w:r>
      <w:r w:rsidR="00C9545E" w:rsidRPr="0072678C">
        <w:rPr>
          <w:rFonts w:asciiTheme="minorHAnsi" w:hAnsiTheme="minorHAnsi" w:cstheme="minorHAnsi"/>
          <w:sz w:val="22"/>
          <w:szCs w:val="22"/>
        </w:rPr>
        <w:t xml:space="preserve">Avançado </w:t>
      </w:r>
      <w:r w:rsidRPr="0072678C">
        <w:rPr>
          <w:rFonts w:asciiTheme="minorHAnsi" w:hAnsiTheme="minorHAnsi" w:cstheme="minorHAnsi"/>
          <w:sz w:val="22"/>
          <w:szCs w:val="22"/>
        </w:rPr>
        <w:t xml:space="preserve">(+) obtendo </w:t>
      </w:r>
      <w:r w:rsidR="00C9545E" w:rsidRPr="0072678C">
        <w:rPr>
          <w:rFonts w:asciiTheme="minorHAnsi" w:hAnsiTheme="minorHAnsi" w:cstheme="minorHAnsi"/>
          <w:sz w:val="22"/>
          <w:szCs w:val="22"/>
        </w:rPr>
        <w:t>94</w:t>
      </w:r>
      <w:r w:rsidRPr="0072678C">
        <w:rPr>
          <w:rFonts w:asciiTheme="minorHAnsi" w:hAnsiTheme="minorHAnsi" w:cstheme="minorHAnsi"/>
          <w:sz w:val="22"/>
          <w:szCs w:val="22"/>
        </w:rPr>
        <w:t>% da pontuação máxima; seguidas das dimensões</w:t>
      </w:r>
      <w:r w:rsidR="00C9545E" w:rsidRPr="0072678C">
        <w:rPr>
          <w:rFonts w:asciiTheme="minorHAnsi" w:hAnsiTheme="minorHAnsi" w:cstheme="minorHAnsi"/>
          <w:sz w:val="22"/>
          <w:szCs w:val="22"/>
        </w:rPr>
        <w:t xml:space="preserve"> </w:t>
      </w:r>
      <w:r w:rsidR="00C9545E" w:rsidRPr="0072678C">
        <w:rPr>
          <w:rFonts w:asciiTheme="minorHAnsi" w:hAnsiTheme="minorHAnsi" w:cstheme="minorHAnsi"/>
          <w:b/>
          <w:sz w:val="22"/>
          <w:szCs w:val="22"/>
        </w:rPr>
        <w:t>AF 1. Planejamento e Execução Orçamentária</w:t>
      </w:r>
      <w:r w:rsidR="00C9545E" w:rsidRPr="0072678C">
        <w:rPr>
          <w:rFonts w:asciiTheme="minorHAnsi" w:hAnsiTheme="minorHAnsi" w:cstheme="minorHAnsi"/>
          <w:sz w:val="22"/>
          <w:szCs w:val="22"/>
        </w:rPr>
        <w:t xml:space="preserve"> (86%), Avançado (-). As dimensões </w:t>
      </w:r>
      <w:r w:rsidR="00C9545E" w:rsidRPr="0072678C">
        <w:rPr>
          <w:rFonts w:asciiTheme="minorHAnsi" w:hAnsiTheme="minorHAnsi" w:cstheme="minorHAnsi"/>
          <w:b/>
          <w:sz w:val="22"/>
          <w:szCs w:val="22"/>
        </w:rPr>
        <w:t>AF 4. Gestão Contábil</w:t>
      </w:r>
      <w:r w:rsidR="00C9545E" w:rsidRPr="0072678C">
        <w:rPr>
          <w:rFonts w:asciiTheme="minorHAnsi" w:hAnsiTheme="minorHAnsi" w:cstheme="minorHAnsi"/>
          <w:sz w:val="22"/>
          <w:szCs w:val="22"/>
        </w:rPr>
        <w:t xml:space="preserve"> (56%) e </w:t>
      </w:r>
      <w:r w:rsidR="00C9545E" w:rsidRPr="0072678C">
        <w:rPr>
          <w:rFonts w:asciiTheme="minorHAnsi" w:hAnsiTheme="minorHAnsi" w:cstheme="minorHAnsi"/>
          <w:b/>
          <w:sz w:val="22"/>
          <w:szCs w:val="22"/>
        </w:rPr>
        <w:t>AF 5. Gestão da Dívida Pública</w:t>
      </w:r>
      <w:r w:rsidR="00C9545E" w:rsidRPr="0072678C">
        <w:rPr>
          <w:rFonts w:asciiTheme="minorHAnsi" w:hAnsiTheme="minorHAnsi" w:cstheme="minorHAnsi"/>
          <w:sz w:val="22"/>
          <w:szCs w:val="22"/>
        </w:rPr>
        <w:t xml:space="preserve"> (53%) apresentaram nível de maturidade Intermediário (-). </w:t>
      </w:r>
      <w:proofErr w:type="gramStart"/>
      <w:r w:rsidR="00C9545E" w:rsidRPr="0072678C">
        <w:rPr>
          <w:rFonts w:asciiTheme="minorHAnsi" w:hAnsiTheme="minorHAnsi" w:cstheme="minorHAnsi"/>
          <w:sz w:val="22"/>
          <w:szCs w:val="22"/>
        </w:rPr>
        <w:t>Com  33</w:t>
      </w:r>
      <w:proofErr w:type="gramEnd"/>
      <w:r w:rsidR="00C9545E" w:rsidRPr="0072678C">
        <w:rPr>
          <w:rFonts w:asciiTheme="minorHAnsi" w:hAnsiTheme="minorHAnsi" w:cstheme="minorHAnsi"/>
          <w:sz w:val="22"/>
          <w:szCs w:val="22"/>
        </w:rPr>
        <w:t xml:space="preserve">% da pontuação máxima as dimensões </w:t>
      </w:r>
      <w:r w:rsidR="00C9545E" w:rsidRPr="0072678C">
        <w:rPr>
          <w:rFonts w:asciiTheme="minorHAnsi" w:hAnsiTheme="minorHAnsi" w:cstheme="minorHAnsi"/>
          <w:b/>
          <w:sz w:val="22"/>
          <w:szCs w:val="22"/>
        </w:rPr>
        <w:t>AF 3. Gestão de Ativos e Passivos</w:t>
      </w:r>
      <w:r w:rsidR="00B61D4E" w:rsidRPr="0072678C">
        <w:rPr>
          <w:rFonts w:asciiTheme="minorHAnsi" w:hAnsiTheme="minorHAnsi" w:cstheme="minorHAnsi"/>
          <w:sz w:val="22"/>
          <w:szCs w:val="22"/>
        </w:rPr>
        <w:t xml:space="preserve">, e </w:t>
      </w:r>
      <w:r w:rsidR="00B61D4E" w:rsidRPr="0072678C">
        <w:rPr>
          <w:rFonts w:asciiTheme="minorHAnsi" w:hAnsiTheme="minorHAnsi" w:cstheme="minorHAnsi"/>
          <w:b/>
          <w:sz w:val="22"/>
          <w:szCs w:val="22"/>
        </w:rPr>
        <w:t>AF 6. Gestão de Custos e Gastos Públicos</w:t>
      </w:r>
      <w:r w:rsidR="00B61D4E" w:rsidRPr="0072678C">
        <w:rPr>
          <w:rFonts w:asciiTheme="minorHAnsi" w:hAnsiTheme="minorHAnsi" w:cstheme="minorHAnsi"/>
          <w:sz w:val="22"/>
          <w:szCs w:val="22"/>
        </w:rPr>
        <w:t xml:space="preserve"> apresentam nível de maturidade Iniciante (+) e Iniciante (-) respectivamente.</w:t>
      </w:r>
    </w:p>
    <w:p w:rsidR="00C9545E" w:rsidRPr="0072678C" w:rsidRDefault="00C9545E" w:rsidP="00B44516">
      <w:pPr>
        <w:jc w:val="both"/>
        <w:rPr>
          <w:rFonts w:ascii="Calibri" w:hAnsi="Calibri" w:cs="Calibri"/>
          <w:sz w:val="20"/>
          <w:szCs w:val="20"/>
        </w:rPr>
      </w:pPr>
    </w:p>
    <w:p w:rsidR="00B44516" w:rsidRPr="0072678C" w:rsidRDefault="00B44516" w:rsidP="00B44516">
      <w:pPr>
        <w:jc w:val="both"/>
        <w:rPr>
          <w:rFonts w:asciiTheme="minorHAnsi" w:hAnsiTheme="minorHAnsi" w:cstheme="minorHAnsi"/>
          <w:sz w:val="22"/>
          <w:szCs w:val="22"/>
        </w:rPr>
      </w:pPr>
    </w:p>
    <w:tbl>
      <w:tblPr>
        <w:tblStyle w:val="TableGrid"/>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D9E2F3" w:themeFill="accent5" w:themeFillTint="33"/>
        <w:tblLook w:val="04A0" w:firstRow="1" w:lastRow="0" w:firstColumn="1" w:lastColumn="0" w:noHBand="0" w:noVBand="1"/>
      </w:tblPr>
      <w:tblGrid>
        <w:gridCol w:w="6804"/>
        <w:gridCol w:w="1985"/>
      </w:tblGrid>
      <w:tr w:rsidR="00B44516" w:rsidRPr="0072678C" w:rsidTr="00B44516">
        <w:tc>
          <w:tcPr>
            <w:tcW w:w="6804" w:type="dxa"/>
            <w:shd w:val="clear" w:color="auto" w:fill="D9E2F3" w:themeFill="accent5" w:themeFillTint="33"/>
          </w:tcPr>
          <w:p w:rsidR="00591AFA" w:rsidRPr="0072678C" w:rsidRDefault="00B44516" w:rsidP="00B44516">
            <w:pPr>
              <w:spacing w:before="120" w:after="120"/>
              <w:jc w:val="both"/>
              <w:rPr>
                <w:rFonts w:asciiTheme="minorHAnsi" w:hAnsiTheme="minorHAnsi" w:cstheme="minorHAnsi"/>
                <w:b/>
              </w:rPr>
            </w:pPr>
            <w:r w:rsidRPr="0072678C">
              <w:rPr>
                <w:rFonts w:asciiTheme="minorHAnsi" w:hAnsiTheme="minorHAnsi" w:cstheme="minorHAnsi"/>
                <w:b/>
              </w:rPr>
              <w:t>Dimensão AF 1. Planejamento e Execução Orçamentária</w:t>
            </w:r>
          </w:p>
        </w:tc>
        <w:tc>
          <w:tcPr>
            <w:tcW w:w="1985" w:type="dxa"/>
            <w:shd w:val="clear" w:color="auto" w:fill="D9E2F3" w:themeFill="accent5" w:themeFillTint="33"/>
          </w:tcPr>
          <w:p w:rsidR="00B44516" w:rsidRPr="0072678C" w:rsidRDefault="006805FF" w:rsidP="00B44516">
            <w:pPr>
              <w:spacing w:before="120" w:after="120"/>
              <w:jc w:val="center"/>
              <w:rPr>
                <w:rFonts w:asciiTheme="minorHAnsi" w:hAnsiTheme="minorHAnsi" w:cstheme="minorHAnsi"/>
                <w:b/>
              </w:rPr>
            </w:pPr>
            <w:r w:rsidRPr="0072678C">
              <w:rPr>
                <w:rFonts w:asciiTheme="minorHAnsi" w:hAnsiTheme="minorHAnsi" w:cstheme="minorHAnsi"/>
                <w:b/>
                <w:bCs/>
              </w:rPr>
              <w:t>AVANÇADO (-)</w:t>
            </w:r>
          </w:p>
        </w:tc>
      </w:tr>
    </w:tbl>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 visão de futuro da dimensão </w:t>
      </w:r>
      <w:r w:rsidRPr="0072678C">
        <w:rPr>
          <w:rFonts w:asciiTheme="minorHAnsi" w:hAnsiTheme="minorHAnsi" w:cstheme="minorHAnsi"/>
          <w:b/>
          <w:sz w:val="22"/>
          <w:szCs w:val="22"/>
        </w:rPr>
        <w:t xml:space="preserve">Planejamento e Execução Orçamentária </w:t>
      </w:r>
      <w:r w:rsidRPr="0072678C">
        <w:rPr>
          <w:rFonts w:asciiTheme="minorHAnsi" w:hAnsiTheme="minorHAnsi" w:cstheme="minorHAnsi"/>
          <w:sz w:val="22"/>
          <w:szCs w:val="22"/>
        </w:rPr>
        <w:t>é “planejar as ações governamentais e executar o orçamento de forma ordenada e previsível, com base em cenários macroeconômicos realistas, suportado por dispositivos de controle dos recursos públicos”.</w:t>
      </w:r>
    </w:p>
    <w:p w:rsidR="00B44516" w:rsidRPr="0072678C" w:rsidRDefault="00B44516" w:rsidP="00B44516">
      <w:pPr>
        <w:spacing w:before="240" w:after="240"/>
        <w:jc w:val="both"/>
        <w:rPr>
          <w:rFonts w:asciiTheme="minorHAnsi" w:hAnsiTheme="minorHAnsi" w:cstheme="minorHAnsi"/>
          <w:b/>
          <w:sz w:val="22"/>
          <w:szCs w:val="22"/>
        </w:rPr>
      </w:pPr>
      <w:r w:rsidRPr="0072678C">
        <w:rPr>
          <w:rFonts w:asciiTheme="minorHAnsi" w:hAnsiTheme="minorHAnsi" w:cstheme="minorHAnsi"/>
          <w:sz w:val="22"/>
          <w:szCs w:val="22"/>
        </w:rPr>
        <w:t xml:space="preserve">Nesta dimensão, o nível de maturidade do conjunto de processos que compõe esta dimensão, conforme apurado pela MD GEFIS, é </w:t>
      </w:r>
      <w:r w:rsidR="006805FF" w:rsidRPr="0072678C">
        <w:rPr>
          <w:rFonts w:asciiTheme="minorHAnsi" w:hAnsiTheme="minorHAnsi" w:cstheme="minorHAnsi"/>
          <w:b/>
          <w:bCs/>
          <w:sz w:val="22"/>
          <w:szCs w:val="22"/>
        </w:rPr>
        <w:t>AVANÇADO (-)</w:t>
      </w:r>
      <w:r w:rsidRPr="0072678C">
        <w:rPr>
          <w:rFonts w:asciiTheme="minorHAnsi" w:hAnsiTheme="minorHAnsi" w:cstheme="minorHAnsi"/>
          <w:b/>
          <w:sz w:val="22"/>
          <w:szCs w:val="22"/>
        </w:rPr>
        <w:t>.</w:t>
      </w:r>
    </w:p>
    <w:p w:rsidR="006805FF" w:rsidRPr="0072678C" w:rsidRDefault="006805FF" w:rsidP="006805FF">
      <w:pPr>
        <w:spacing w:before="240" w:after="240"/>
        <w:jc w:val="both"/>
        <w:rPr>
          <w:rFonts w:asciiTheme="minorHAnsi" w:hAnsiTheme="minorHAnsi" w:cstheme="minorHAnsi"/>
          <w:b/>
          <w:i/>
          <w:sz w:val="22"/>
          <w:szCs w:val="22"/>
        </w:rPr>
      </w:pPr>
      <w:r w:rsidRPr="0072678C">
        <w:rPr>
          <w:rFonts w:asciiTheme="minorHAnsi" w:hAnsiTheme="minorHAnsi" w:cstheme="minorHAnsi"/>
          <w:sz w:val="22"/>
          <w:szCs w:val="22"/>
        </w:rPr>
        <w:t xml:space="preserve">Este resultado decorre principalmente pelo nível 3 de maturidade de 5 dentre os 7 processos analisados, ou seja, processos críticos que adotam um número alto das boas práticas da MD GEFIS: </w:t>
      </w:r>
      <w:r w:rsidRPr="0072678C">
        <w:rPr>
          <w:rFonts w:asciiTheme="minorHAnsi" w:hAnsiTheme="minorHAnsi" w:cstheme="minorHAnsi"/>
          <w:b/>
          <w:i/>
          <w:sz w:val="22"/>
          <w:szCs w:val="22"/>
        </w:rPr>
        <w:t xml:space="preserve">planejamento de médio e longo prazo da área fiscal; previsões fiscais; formulação de metas fiscais; gestão de riscos fiscais; e práticas orçamentárias. </w:t>
      </w:r>
    </w:p>
    <w:p w:rsidR="00F9518D" w:rsidRPr="0072678C" w:rsidRDefault="00F9518D" w:rsidP="00A1767D">
      <w:pPr>
        <w:rPr>
          <w:rFonts w:asciiTheme="minorHAnsi" w:hAnsiTheme="minorHAnsi" w:cstheme="minorHAnsi"/>
          <w:sz w:val="22"/>
          <w:szCs w:val="22"/>
        </w:rPr>
      </w:pPr>
      <w:r w:rsidRPr="0072678C">
        <w:rPr>
          <w:rFonts w:asciiTheme="minorHAnsi" w:hAnsiTheme="minorHAnsi" w:cstheme="minorHAnsi"/>
          <w:sz w:val="22"/>
          <w:szCs w:val="22"/>
        </w:rPr>
        <w:t xml:space="preserve">O processo </w:t>
      </w:r>
      <w:r w:rsidRPr="0072678C">
        <w:rPr>
          <w:rFonts w:asciiTheme="minorHAnsi" w:hAnsiTheme="minorHAnsi" w:cstheme="minorHAnsi"/>
          <w:b/>
          <w:bCs/>
          <w:i/>
          <w:iCs/>
          <w:sz w:val="22"/>
          <w:szCs w:val="22"/>
        </w:rPr>
        <w:t>planejamento da administração pública estadual</w:t>
      </w:r>
      <w:r w:rsidRPr="0072678C">
        <w:rPr>
          <w:rFonts w:asciiTheme="minorHAnsi" w:hAnsiTheme="minorHAnsi" w:cstheme="minorHAnsi"/>
          <w:i/>
          <w:iCs/>
          <w:sz w:val="22"/>
          <w:szCs w:val="22"/>
        </w:rPr>
        <w:t xml:space="preserve"> </w:t>
      </w:r>
      <w:r w:rsidRPr="0072678C">
        <w:rPr>
          <w:rFonts w:asciiTheme="minorHAnsi" w:hAnsiTheme="minorHAnsi" w:cstheme="minorHAnsi"/>
          <w:sz w:val="22"/>
          <w:szCs w:val="22"/>
        </w:rPr>
        <w:t xml:space="preserve">apresenta nível 2 de maturidade e atende a uma quantidade média de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w:t>
      </w:r>
    </w:p>
    <w:p w:rsidR="00F9518D" w:rsidRPr="0072678C" w:rsidRDefault="00F9518D" w:rsidP="00A1767D">
      <w:pPr>
        <w:rPr>
          <w:rFonts w:asciiTheme="minorHAnsi" w:hAnsiTheme="minorHAnsi" w:cstheme="minorHAnsi"/>
          <w:sz w:val="22"/>
          <w:szCs w:val="22"/>
        </w:rPr>
      </w:pPr>
    </w:p>
    <w:p w:rsidR="00F9518D" w:rsidRPr="0072678C" w:rsidRDefault="00F9518D" w:rsidP="00A1767D">
      <w:pPr>
        <w:rPr>
          <w:rFonts w:asciiTheme="minorHAnsi" w:hAnsiTheme="minorHAnsi" w:cstheme="minorHAnsi"/>
          <w:sz w:val="22"/>
          <w:szCs w:val="22"/>
        </w:rPr>
      </w:pPr>
      <w:r w:rsidRPr="0072678C">
        <w:rPr>
          <w:rFonts w:asciiTheme="minorHAnsi" w:hAnsiTheme="minorHAnsi" w:cstheme="minorHAnsi"/>
          <w:sz w:val="22"/>
          <w:szCs w:val="22"/>
        </w:rPr>
        <w:t xml:space="preserve">Apenas o processo </w:t>
      </w:r>
      <w:r w:rsidRPr="0072678C">
        <w:rPr>
          <w:rFonts w:asciiTheme="minorHAnsi" w:hAnsiTheme="minorHAnsi" w:cstheme="minorHAnsi"/>
          <w:b/>
          <w:bCs/>
          <w:i/>
          <w:iCs/>
          <w:sz w:val="22"/>
          <w:szCs w:val="22"/>
        </w:rPr>
        <w:t>gestão dos investimentos públicos</w:t>
      </w:r>
      <w:r w:rsidRPr="0072678C">
        <w:rPr>
          <w:rFonts w:asciiTheme="minorHAnsi" w:hAnsiTheme="minorHAnsi" w:cstheme="minorHAnsi"/>
          <w:b/>
          <w:bCs/>
          <w:sz w:val="22"/>
          <w:szCs w:val="22"/>
        </w:rPr>
        <w:t xml:space="preserve"> </w:t>
      </w:r>
      <w:r w:rsidRPr="0072678C">
        <w:rPr>
          <w:rFonts w:asciiTheme="minorHAnsi" w:hAnsiTheme="minorHAnsi" w:cstheme="minorHAnsi"/>
          <w:b/>
          <w:bCs/>
          <w:i/>
          <w:iCs/>
          <w:sz w:val="22"/>
          <w:szCs w:val="22"/>
        </w:rPr>
        <w:t>estaduais</w:t>
      </w:r>
      <w:r w:rsidRPr="0072678C">
        <w:rPr>
          <w:rFonts w:asciiTheme="minorHAnsi" w:hAnsiTheme="minorHAnsi" w:cstheme="minorHAnsi"/>
          <w:b/>
          <w:bCs/>
          <w:sz w:val="22"/>
          <w:szCs w:val="22"/>
        </w:rPr>
        <w:t xml:space="preserve"> </w:t>
      </w:r>
      <w:r w:rsidRPr="0072678C">
        <w:rPr>
          <w:rFonts w:asciiTheme="minorHAnsi" w:hAnsiTheme="minorHAnsi" w:cstheme="minorHAnsi"/>
          <w:sz w:val="22"/>
          <w:szCs w:val="22"/>
        </w:rPr>
        <w:t>apresenta nível 1 de maturidade, ou seja, atende a pouquíssimos requisitos das boas práticas da MD-</w:t>
      </w:r>
      <w:r w:rsidR="00064EE5">
        <w:rPr>
          <w:rFonts w:asciiTheme="minorHAnsi" w:hAnsiTheme="minorHAnsi" w:cstheme="minorHAnsi"/>
          <w:sz w:val="22"/>
          <w:szCs w:val="22"/>
        </w:rPr>
        <w:t>GEFIS</w:t>
      </w:r>
      <w:r w:rsidRPr="0072678C">
        <w:rPr>
          <w:rFonts w:asciiTheme="minorHAnsi" w:hAnsiTheme="minorHAnsi" w:cstheme="minorHAnsi"/>
          <w:sz w:val="22"/>
          <w:szCs w:val="22"/>
        </w:rPr>
        <w:t>.</w:t>
      </w:r>
    </w:p>
    <w:p w:rsidR="00F9518D" w:rsidRPr="0072678C" w:rsidRDefault="00F9518D" w:rsidP="00A1767D">
      <w:pPr>
        <w:rPr>
          <w:rFonts w:asciiTheme="minorHAnsi" w:hAnsiTheme="minorHAnsi" w:cstheme="minorHAnsi"/>
          <w:sz w:val="22"/>
          <w:szCs w:val="22"/>
        </w:rPr>
      </w:pPr>
    </w:p>
    <w:p w:rsidR="00A15049" w:rsidRPr="0072678C" w:rsidRDefault="00B44516" w:rsidP="00B44516">
      <w:pPr>
        <w:jc w:val="both"/>
        <w:rPr>
          <w:rFonts w:asciiTheme="minorHAnsi" w:hAnsiTheme="minorHAnsi" w:cstheme="minorHAnsi"/>
          <w:sz w:val="22"/>
          <w:szCs w:val="22"/>
        </w:rPr>
      </w:pPr>
      <w:r w:rsidRPr="0072678C">
        <w:rPr>
          <w:rFonts w:asciiTheme="minorHAnsi" w:hAnsiTheme="minorHAnsi" w:cstheme="minorHAnsi"/>
          <w:sz w:val="22"/>
          <w:szCs w:val="22"/>
        </w:rPr>
        <w:t>Com relação aos indicadores que medem o desempenho da Dimensão</w:t>
      </w:r>
      <w:r w:rsidR="00063C07" w:rsidRPr="0072678C">
        <w:rPr>
          <w:rFonts w:asciiTheme="minorHAnsi" w:hAnsiTheme="minorHAnsi" w:cstheme="minorHAnsi"/>
          <w:sz w:val="22"/>
          <w:szCs w:val="22"/>
        </w:rPr>
        <w:t>:</w:t>
      </w:r>
    </w:p>
    <w:p w:rsidR="006B59C0" w:rsidRPr="0072678C" w:rsidRDefault="006B59C0" w:rsidP="00B44516">
      <w:pPr>
        <w:jc w:val="both"/>
        <w:rPr>
          <w:rFonts w:asciiTheme="minorHAnsi" w:hAnsiTheme="minorHAnsi" w:cstheme="minorHAnsi"/>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30"/>
        <w:gridCol w:w="1559"/>
      </w:tblGrid>
      <w:tr w:rsidR="00063C07" w:rsidRPr="0072678C" w:rsidTr="005D7087">
        <w:trPr>
          <w:trHeight w:val="319"/>
        </w:trPr>
        <w:tc>
          <w:tcPr>
            <w:tcW w:w="7230" w:type="dxa"/>
            <w:shd w:val="clear" w:color="auto" w:fill="9CC2E5" w:themeFill="accent1" w:themeFillTint="99"/>
            <w:tcMar>
              <w:top w:w="0" w:type="dxa"/>
              <w:left w:w="70" w:type="dxa"/>
              <w:bottom w:w="0" w:type="dxa"/>
              <w:right w:w="70" w:type="dxa"/>
            </w:tcMar>
            <w:vAlign w:val="center"/>
            <w:hideMark/>
          </w:tcPr>
          <w:p w:rsidR="00063C07" w:rsidRPr="0072678C" w:rsidRDefault="00063C07" w:rsidP="005D7087">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Indicadores de Desempenho</w:t>
            </w:r>
          </w:p>
        </w:tc>
        <w:tc>
          <w:tcPr>
            <w:tcW w:w="1559" w:type="dxa"/>
            <w:shd w:val="clear" w:color="auto" w:fill="9CC2E5" w:themeFill="accent1" w:themeFillTint="99"/>
            <w:tcMar>
              <w:top w:w="0" w:type="dxa"/>
              <w:left w:w="70" w:type="dxa"/>
              <w:bottom w:w="0" w:type="dxa"/>
              <w:right w:w="70" w:type="dxa"/>
            </w:tcMar>
            <w:vAlign w:val="center"/>
            <w:hideMark/>
          </w:tcPr>
          <w:p w:rsidR="00063C07" w:rsidRPr="0072678C" w:rsidRDefault="005D7087" w:rsidP="005D7087">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 xml:space="preserve">Apuração </w:t>
            </w:r>
            <w:r w:rsidR="00063C07" w:rsidRPr="0072678C">
              <w:rPr>
                <w:rFonts w:asciiTheme="minorHAnsi" w:hAnsiTheme="minorHAnsi" w:cstheme="minorHAnsi"/>
                <w:b/>
                <w:bCs/>
                <w:sz w:val="20"/>
                <w:szCs w:val="20"/>
              </w:rPr>
              <w:t>2017</w:t>
            </w:r>
          </w:p>
        </w:tc>
      </w:tr>
      <w:tr w:rsidR="00063C07" w:rsidRPr="0072678C" w:rsidTr="005D7087">
        <w:trPr>
          <w:trHeight w:val="405"/>
        </w:trPr>
        <w:tc>
          <w:tcPr>
            <w:tcW w:w="7230" w:type="dxa"/>
            <w:shd w:val="clear" w:color="auto" w:fill="DEEAF6" w:themeFill="accent1" w:themeFillTint="33"/>
            <w:tcMar>
              <w:top w:w="0" w:type="dxa"/>
              <w:left w:w="70" w:type="dxa"/>
              <w:bottom w:w="0" w:type="dxa"/>
              <w:right w:w="70" w:type="dxa"/>
            </w:tcMar>
            <w:vAlign w:val="center"/>
            <w:hideMark/>
          </w:tcPr>
          <w:p w:rsidR="00063C07" w:rsidRPr="0072678C" w:rsidRDefault="00063C07" w:rsidP="00005DFA">
            <w:pPr>
              <w:rPr>
                <w:rFonts w:asciiTheme="minorHAnsi" w:hAnsiTheme="minorHAnsi" w:cstheme="minorHAnsi"/>
                <w:b/>
                <w:bCs/>
                <w:sz w:val="20"/>
                <w:szCs w:val="20"/>
              </w:rPr>
            </w:pPr>
            <w:r w:rsidRPr="0072678C">
              <w:rPr>
                <w:rFonts w:asciiTheme="minorHAnsi" w:hAnsiTheme="minorHAnsi" w:cstheme="minorHAnsi"/>
                <w:b/>
                <w:bCs/>
                <w:sz w:val="20"/>
                <w:szCs w:val="20"/>
              </w:rPr>
              <w:t>Avaliação da previsão de Receita</w:t>
            </w:r>
            <w:r w:rsidRPr="0072678C">
              <w:rPr>
                <w:rFonts w:asciiTheme="minorHAnsi" w:hAnsiTheme="minorHAnsi" w:cstheme="minorHAnsi"/>
                <w:sz w:val="20"/>
                <w:szCs w:val="20"/>
              </w:rPr>
              <w:t>:</w:t>
            </w:r>
          </w:p>
        </w:tc>
        <w:tc>
          <w:tcPr>
            <w:tcW w:w="1559" w:type="dxa"/>
            <w:shd w:val="clear" w:color="auto" w:fill="DEEAF6" w:themeFill="accent1" w:themeFillTint="33"/>
            <w:tcMar>
              <w:top w:w="0" w:type="dxa"/>
              <w:left w:w="70" w:type="dxa"/>
              <w:bottom w:w="0" w:type="dxa"/>
              <w:right w:w="70" w:type="dxa"/>
            </w:tcMar>
            <w:vAlign w:val="center"/>
            <w:hideMark/>
          </w:tcPr>
          <w:p w:rsidR="00063C07" w:rsidRPr="0072678C" w:rsidRDefault="00063C07" w:rsidP="00005DFA">
            <w:pPr>
              <w:jc w:val="center"/>
              <w:rPr>
                <w:rFonts w:asciiTheme="minorHAnsi" w:hAnsiTheme="minorHAnsi" w:cstheme="minorHAnsi"/>
                <w:b/>
                <w:bCs/>
                <w:sz w:val="20"/>
                <w:szCs w:val="20"/>
              </w:rPr>
            </w:pPr>
          </w:p>
        </w:tc>
      </w:tr>
      <w:tr w:rsidR="00063C07" w:rsidRPr="0072678C" w:rsidTr="005D7087">
        <w:trPr>
          <w:trHeight w:val="346"/>
        </w:trPr>
        <w:tc>
          <w:tcPr>
            <w:tcW w:w="7230" w:type="dxa"/>
            <w:shd w:val="clear" w:color="auto" w:fill="auto"/>
            <w:tcMar>
              <w:top w:w="0" w:type="dxa"/>
              <w:left w:w="70" w:type="dxa"/>
              <w:bottom w:w="0" w:type="dxa"/>
              <w:right w:w="70" w:type="dxa"/>
            </w:tcMar>
            <w:vAlign w:val="center"/>
            <w:hideMark/>
          </w:tcPr>
          <w:p w:rsidR="00063C07" w:rsidRPr="0072678C" w:rsidRDefault="00063C07" w:rsidP="00005DFA">
            <w:pPr>
              <w:rPr>
                <w:rFonts w:asciiTheme="minorHAnsi" w:eastAsiaTheme="minorHAnsi" w:hAnsiTheme="minorHAnsi" w:cstheme="minorHAnsi"/>
                <w:sz w:val="20"/>
                <w:szCs w:val="20"/>
              </w:rPr>
            </w:pPr>
            <w:r w:rsidRPr="0072678C">
              <w:rPr>
                <w:rFonts w:asciiTheme="minorHAnsi" w:hAnsiTheme="minorHAnsi" w:cstheme="minorHAnsi"/>
                <w:sz w:val="20"/>
                <w:szCs w:val="20"/>
              </w:rPr>
              <w:t>Valor total da receita realizada / valor total da receita estimada no orçamento original (exclui as transferências)</w:t>
            </w:r>
          </w:p>
        </w:tc>
        <w:tc>
          <w:tcPr>
            <w:tcW w:w="1559" w:type="dxa"/>
            <w:shd w:val="clear" w:color="auto" w:fill="auto"/>
            <w:noWrap/>
            <w:tcMar>
              <w:top w:w="0" w:type="dxa"/>
              <w:left w:w="70" w:type="dxa"/>
              <w:bottom w:w="0" w:type="dxa"/>
              <w:right w:w="70" w:type="dxa"/>
            </w:tcMar>
            <w:vAlign w:val="center"/>
            <w:hideMark/>
          </w:tcPr>
          <w:p w:rsidR="00063C07" w:rsidRPr="0072678C" w:rsidRDefault="00063C07" w:rsidP="00005DFA">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113,19%</w:t>
            </w:r>
          </w:p>
        </w:tc>
      </w:tr>
      <w:tr w:rsidR="00063C07" w:rsidRPr="0072678C" w:rsidTr="005D7087">
        <w:trPr>
          <w:trHeight w:val="405"/>
        </w:trPr>
        <w:tc>
          <w:tcPr>
            <w:tcW w:w="7230" w:type="dxa"/>
            <w:shd w:val="clear" w:color="auto" w:fill="DEEAF6" w:themeFill="accent1" w:themeFillTint="33"/>
            <w:tcMar>
              <w:top w:w="0" w:type="dxa"/>
              <w:left w:w="70" w:type="dxa"/>
              <w:bottom w:w="0" w:type="dxa"/>
              <w:right w:w="70" w:type="dxa"/>
            </w:tcMar>
            <w:vAlign w:val="center"/>
            <w:hideMark/>
          </w:tcPr>
          <w:p w:rsidR="00063C07" w:rsidRPr="0072678C" w:rsidRDefault="00063C07" w:rsidP="00005DFA">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Índice de realização da despesa</w:t>
            </w:r>
            <w:r w:rsidRPr="0072678C">
              <w:rPr>
                <w:rFonts w:asciiTheme="minorHAnsi" w:hAnsiTheme="minorHAnsi" w:cstheme="minorHAnsi"/>
                <w:sz w:val="20"/>
                <w:szCs w:val="20"/>
              </w:rPr>
              <w:t xml:space="preserve"> </w:t>
            </w:r>
          </w:p>
        </w:tc>
        <w:tc>
          <w:tcPr>
            <w:tcW w:w="1559" w:type="dxa"/>
            <w:shd w:val="clear" w:color="auto" w:fill="DEEAF6" w:themeFill="accent1" w:themeFillTint="33"/>
            <w:tcMar>
              <w:top w:w="0" w:type="dxa"/>
              <w:left w:w="70" w:type="dxa"/>
              <w:bottom w:w="0" w:type="dxa"/>
              <w:right w:w="70" w:type="dxa"/>
            </w:tcMar>
            <w:vAlign w:val="center"/>
            <w:hideMark/>
          </w:tcPr>
          <w:p w:rsidR="00063C07" w:rsidRPr="0072678C" w:rsidRDefault="00063C07" w:rsidP="00005DFA">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 </w:t>
            </w:r>
          </w:p>
        </w:tc>
      </w:tr>
      <w:tr w:rsidR="00063C07" w:rsidRPr="0072678C" w:rsidTr="005D7087">
        <w:trPr>
          <w:trHeight w:val="50"/>
        </w:trPr>
        <w:tc>
          <w:tcPr>
            <w:tcW w:w="7230" w:type="dxa"/>
            <w:tcMar>
              <w:top w:w="0" w:type="dxa"/>
              <w:left w:w="70" w:type="dxa"/>
              <w:bottom w:w="0" w:type="dxa"/>
              <w:right w:w="70" w:type="dxa"/>
            </w:tcMar>
            <w:hideMark/>
          </w:tcPr>
          <w:p w:rsidR="00063C07" w:rsidRPr="0072678C" w:rsidRDefault="00063C07" w:rsidP="00005DFA">
            <w:pPr>
              <w:rPr>
                <w:rFonts w:asciiTheme="minorHAnsi" w:hAnsiTheme="minorHAnsi" w:cstheme="minorHAnsi"/>
                <w:iCs/>
                <w:sz w:val="20"/>
                <w:szCs w:val="20"/>
              </w:rPr>
            </w:pPr>
            <w:r w:rsidRPr="0072678C">
              <w:rPr>
                <w:rFonts w:asciiTheme="minorHAnsi" w:hAnsiTheme="minorHAnsi" w:cstheme="minorHAnsi"/>
                <w:iCs/>
                <w:sz w:val="20"/>
                <w:szCs w:val="20"/>
              </w:rPr>
              <w:t>Despesa permanente (</w:t>
            </w:r>
            <w:proofErr w:type="spellStart"/>
            <w:r w:rsidRPr="0072678C">
              <w:rPr>
                <w:rFonts w:asciiTheme="minorHAnsi" w:hAnsiTheme="minorHAnsi" w:cstheme="minorHAnsi"/>
                <w:iCs/>
                <w:sz w:val="20"/>
                <w:szCs w:val="20"/>
              </w:rPr>
              <w:t>Pessoal+Outras</w:t>
            </w:r>
            <w:proofErr w:type="spellEnd"/>
            <w:r w:rsidRPr="0072678C">
              <w:rPr>
                <w:rFonts w:asciiTheme="minorHAnsi" w:hAnsiTheme="minorHAnsi" w:cstheme="minorHAnsi"/>
                <w:iCs/>
                <w:sz w:val="20"/>
                <w:szCs w:val="20"/>
              </w:rPr>
              <w:t xml:space="preserve"> Despesas Correntes + Serviço da Dívida (Juros e encargos+ amortizações</w:t>
            </w:r>
            <w:proofErr w:type="gramStart"/>
            <w:r w:rsidRPr="0072678C">
              <w:rPr>
                <w:rFonts w:asciiTheme="minorHAnsi" w:hAnsiTheme="minorHAnsi" w:cstheme="minorHAnsi"/>
                <w:iCs/>
                <w:sz w:val="20"/>
                <w:szCs w:val="20"/>
              </w:rPr>
              <w:t>))/</w:t>
            </w:r>
            <w:proofErr w:type="gramEnd"/>
            <w:r w:rsidRPr="0072678C">
              <w:rPr>
                <w:rFonts w:asciiTheme="minorHAnsi" w:hAnsiTheme="minorHAnsi" w:cstheme="minorHAnsi"/>
                <w:iCs/>
                <w:sz w:val="20"/>
                <w:szCs w:val="20"/>
              </w:rPr>
              <w:t>Receita corrente líquida .</w:t>
            </w:r>
          </w:p>
          <w:p w:rsidR="00063C07" w:rsidRPr="0072678C" w:rsidRDefault="00063C07" w:rsidP="00005DFA">
            <w:pPr>
              <w:rPr>
                <w:rFonts w:asciiTheme="minorHAnsi" w:hAnsiTheme="minorHAnsi" w:cstheme="minorHAnsi"/>
                <w:iCs/>
                <w:sz w:val="20"/>
                <w:szCs w:val="20"/>
              </w:rPr>
            </w:pPr>
          </w:p>
          <w:p w:rsidR="00063C07" w:rsidRPr="0072678C" w:rsidRDefault="00063C07" w:rsidP="00063C07">
            <w:pPr>
              <w:rPr>
                <w:rFonts w:asciiTheme="minorHAnsi" w:eastAsiaTheme="minorHAnsi" w:hAnsiTheme="minorHAnsi" w:cstheme="minorHAnsi"/>
                <w:iCs/>
                <w:sz w:val="20"/>
                <w:szCs w:val="20"/>
              </w:rPr>
            </w:pPr>
            <w:r w:rsidRPr="0072678C">
              <w:rPr>
                <w:rFonts w:asciiTheme="minorHAnsi" w:hAnsiTheme="minorHAnsi" w:cstheme="minorHAnsi"/>
                <w:iCs/>
                <w:sz w:val="20"/>
                <w:szCs w:val="20"/>
              </w:rPr>
              <w:t xml:space="preserve">Obs.: </w:t>
            </w:r>
            <w:r w:rsidRPr="0072678C">
              <w:rPr>
                <w:rFonts w:asciiTheme="minorHAnsi" w:hAnsiTheme="minorHAnsi" w:cstheme="minorHAnsi"/>
                <w:sz w:val="20"/>
                <w:szCs w:val="20"/>
              </w:rPr>
              <w:t xml:space="preserve">Do item "Outras Despesas Correntes" </w:t>
            </w:r>
            <w:proofErr w:type="spellStart"/>
            <w:r w:rsidRPr="0072678C">
              <w:rPr>
                <w:rFonts w:asciiTheme="minorHAnsi" w:hAnsiTheme="minorHAnsi" w:cstheme="minorHAnsi"/>
                <w:sz w:val="20"/>
                <w:szCs w:val="20"/>
              </w:rPr>
              <w:t>foi</w:t>
            </w:r>
            <w:proofErr w:type="spellEnd"/>
            <w:r w:rsidRPr="0072678C">
              <w:rPr>
                <w:rFonts w:asciiTheme="minorHAnsi" w:hAnsiTheme="minorHAnsi" w:cstheme="minorHAnsi"/>
                <w:sz w:val="20"/>
                <w:szCs w:val="20"/>
              </w:rPr>
              <w:t xml:space="preserve"> retirados todos os itens do cálculo da </w:t>
            </w:r>
            <w:r w:rsidRPr="0072678C">
              <w:rPr>
                <w:rFonts w:asciiTheme="minorHAnsi" w:hAnsiTheme="minorHAnsi" w:cstheme="minorHAnsi"/>
                <w:sz w:val="20"/>
                <w:szCs w:val="20"/>
              </w:rPr>
              <w:lastRenderedPageBreak/>
              <w:t>Receita Corrente Líquida</w:t>
            </w:r>
          </w:p>
        </w:tc>
        <w:tc>
          <w:tcPr>
            <w:tcW w:w="1559" w:type="dxa"/>
            <w:shd w:val="clear" w:color="auto" w:fill="FFFFFF"/>
            <w:noWrap/>
            <w:tcMar>
              <w:top w:w="0" w:type="dxa"/>
              <w:left w:w="70" w:type="dxa"/>
              <w:bottom w:w="0" w:type="dxa"/>
              <w:right w:w="70" w:type="dxa"/>
            </w:tcMar>
            <w:vAlign w:val="center"/>
            <w:hideMark/>
          </w:tcPr>
          <w:p w:rsidR="00063C07" w:rsidRPr="0072678C" w:rsidRDefault="00063C07" w:rsidP="00005DFA">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lastRenderedPageBreak/>
              <w:t>108,16%</w:t>
            </w:r>
          </w:p>
        </w:tc>
      </w:tr>
      <w:tr w:rsidR="00063C07" w:rsidRPr="0072678C" w:rsidTr="005D7087">
        <w:trPr>
          <w:trHeight w:val="660"/>
        </w:trPr>
        <w:tc>
          <w:tcPr>
            <w:tcW w:w="7230" w:type="dxa"/>
            <w:tcMar>
              <w:top w:w="0" w:type="dxa"/>
              <w:left w:w="70" w:type="dxa"/>
              <w:bottom w:w="0" w:type="dxa"/>
              <w:right w:w="70" w:type="dxa"/>
            </w:tcMar>
            <w:vAlign w:val="center"/>
            <w:hideMark/>
          </w:tcPr>
          <w:p w:rsidR="00063C07" w:rsidRPr="0072678C" w:rsidRDefault="00063C07" w:rsidP="00005DFA">
            <w:pPr>
              <w:rPr>
                <w:rFonts w:asciiTheme="minorHAnsi" w:eastAsiaTheme="minorHAnsi" w:hAnsiTheme="minorHAnsi" w:cstheme="minorHAnsi"/>
                <w:iCs/>
                <w:sz w:val="20"/>
                <w:szCs w:val="20"/>
              </w:rPr>
            </w:pPr>
            <w:r w:rsidRPr="0072678C">
              <w:rPr>
                <w:rFonts w:asciiTheme="minorHAnsi" w:hAnsiTheme="minorHAnsi" w:cstheme="minorHAnsi"/>
                <w:iCs/>
                <w:sz w:val="20"/>
                <w:szCs w:val="20"/>
              </w:rPr>
              <w:t>Valor total da despesa executada / valor total da despesa aprovada no orçamento original (exclui o pagamento de serviço da dívida)</w:t>
            </w:r>
          </w:p>
        </w:tc>
        <w:tc>
          <w:tcPr>
            <w:tcW w:w="1559" w:type="dxa"/>
            <w:shd w:val="clear" w:color="auto" w:fill="FFFFFF"/>
            <w:noWrap/>
            <w:tcMar>
              <w:top w:w="0" w:type="dxa"/>
              <w:left w:w="70" w:type="dxa"/>
              <w:bottom w:w="0" w:type="dxa"/>
              <w:right w:w="70" w:type="dxa"/>
            </w:tcMar>
            <w:vAlign w:val="center"/>
            <w:hideMark/>
          </w:tcPr>
          <w:p w:rsidR="00063C07" w:rsidRPr="0072678C" w:rsidRDefault="00063C07" w:rsidP="00005DFA">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99,80%</w:t>
            </w:r>
          </w:p>
        </w:tc>
      </w:tr>
      <w:tr w:rsidR="00063C07" w:rsidRPr="0072678C" w:rsidTr="005D7087">
        <w:trPr>
          <w:trHeight w:val="405"/>
        </w:trPr>
        <w:tc>
          <w:tcPr>
            <w:tcW w:w="7230" w:type="dxa"/>
            <w:shd w:val="clear" w:color="auto" w:fill="DEEAF6" w:themeFill="accent1" w:themeFillTint="33"/>
            <w:tcMar>
              <w:top w:w="0" w:type="dxa"/>
              <w:left w:w="70" w:type="dxa"/>
              <w:bottom w:w="0" w:type="dxa"/>
              <w:right w:w="70" w:type="dxa"/>
            </w:tcMar>
            <w:vAlign w:val="center"/>
            <w:hideMark/>
          </w:tcPr>
          <w:p w:rsidR="00063C07" w:rsidRPr="0072678C" w:rsidRDefault="00063C07" w:rsidP="00005DFA">
            <w:pPr>
              <w:rPr>
                <w:rFonts w:asciiTheme="minorHAnsi" w:eastAsiaTheme="minorHAnsi" w:hAnsiTheme="minorHAnsi" w:cstheme="minorHAnsi"/>
                <w:sz w:val="20"/>
                <w:szCs w:val="20"/>
              </w:rPr>
            </w:pPr>
            <w:r w:rsidRPr="0072678C">
              <w:rPr>
                <w:rFonts w:asciiTheme="minorHAnsi" w:hAnsiTheme="minorHAnsi" w:cstheme="minorHAnsi"/>
                <w:b/>
                <w:bCs/>
                <w:sz w:val="20"/>
                <w:szCs w:val="20"/>
              </w:rPr>
              <w:t>Financiamento dos investimentos</w:t>
            </w:r>
            <w:r w:rsidRPr="0072678C">
              <w:rPr>
                <w:rFonts w:asciiTheme="minorHAnsi" w:hAnsiTheme="minorHAnsi" w:cstheme="minorHAnsi"/>
                <w:sz w:val="20"/>
                <w:szCs w:val="20"/>
              </w:rPr>
              <w:t xml:space="preserve"> </w:t>
            </w:r>
          </w:p>
        </w:tc>
        <w:tc>
          <w:tcPr>
            <w:tcW w:w="1559" w:type="dxa"/>
            <w:shd w:val="clear" w:color="auto" w:fill="DEEAF6" w:themeFill="accent1" w:themeFillTint="33"/>
            <w:tcMar>
              <w:top w:w="0" w:type="dxa"/>
              <w:left w:w="70" w:type="dxa"/>
              <w:bottom w:w="0" w:type="dxa"/>
              <w:right w:w="70" w:type="dxa"/>
            </w:tcMar>
            <w:vAlign w:val="center"/>
            <w:hideMark/>
          </w:tcPr>
          <w:p w:rsidR="00063C07" w:rsidRPr="0072678C" w:rsidRDefault="00063C07" w:rsidP="00005DFA">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 </w:t>
            </w:r>
          </w:p>
        </w:tc>
      </w:tr>
      <w:tr w:rsidR="00063C07" w:rsidRPr="0072678C" w:rsidTr="005D7087">
        <w:trPr>
          <w:trHeight w:val="846"/>
        </w:trPr>
        <w:tc>
          <w:tcPr>
            <w:tcW w:w="7230" w:type="dxa"/>
            <w:tcMar>
              <w:top w:w="0" w:type="dxa"/>
              <w:left w:w="70" w:type="dxa"/>
              <w:bottom w:w="0" w:type="dxa"/>
              <w:right w:w="70" w:type="dxa"/>
            </w:tcMar>
            <w:vAlign w:val="center"/>
            <w:hideMark/>
          </w:tcPr>
          <w:p w:rsidR="00063C07" w:rsidRPr="0072678C" w:rsidRDefault="00063C07" w:rsidP="00005DFA">
            <w:pPr>
              <w:rPr>
                <w:rFonts w:asciiTheme="minorHAnsi" w:hAnsiTheme="minorHAnsi" w:cstheme="minorHAnsi"/>
                <w:iCs/>
                <w:sz w:val="20"/>
                <w:szCs w:val="20"/>
              </w:rPr>
            </w:pPr>
            <w:r w:rsidRPr="0072678C">
              <w:rPr>
                <w:rFonts w:asciiTheme="minorHAnsi" w:hAnsiTheme="minorHAnsi" w:cstheme="minorHAnsi"/>
                <w:sz w:val="20"/>
                <w:szCs w:val="20"/>
              </w:rPr>
              <w:t>Capacidade de Poupar</w:t>
            </w:r>
            <w:r w:rsidRPr="0072678C">
              <w:rPr>
                <w:rFonts w:asciiTheme="minorHAnsi" w:hAnsiTheme="minorHAnsi" w:cstheme="minorHAnsi"/>
                <w:iCs/>
                <w:sz w:val="20"/>
                <w:szCs w:val="20"/>
              </w:rPr>
              <w:t xml:space="preserve">: ((RCL- Pessoal -Outras Despesas Correntes- Serviço da Dívida) / </w:t>
            </w:r>
            <w:proofErr w:type="gramStart"/>
            <w:r w:rsidRPr="0072678C">
              <w:rPr>
                <w:rFonts w:asciiTheme="minorHAnsi" w:hAnsiTheme="minorHAnsi" w:cstheme="minorHAnsi"/>
                <w:iCs/>
                <w:sz w:val="20"/>
                <w:szCs w:val="20"/>
              </w:rPr>
              <w:t>RCL)*</w:t>
            </w:r>
            <w:proofErr w:type="gramEnd"/>
            <w:r w:rsidRPr="0072678C">
              <w:rPr>
                <w:rFonts w:asciiTheme="minorHAnsi" w:hAnsiTheme="minorHAnsi" w:cstheme="minorHAnsi"/>
                <w:iCs/>
                <w:sz w:val="20"/>
                <w:szCs w:val="20"/>
              </w:rPr>
              <w:t>100</w:t>
            </w:r>
          </w:p>
          <w:p w:rsidR="00063C07" w:rsidRPr="0072678C" w:rsidRDefault="00063C07" w:rsidP="00005DFA">
            <w:pPr>
              <w:rPr>
                <w:rFonts w:asciiTheme="minorHAnsi" w:hAnsiTheme="minorHAnsi" w:cstheme="minorHAnsi"/>
                <w:iCs/>
                <w:sz w:val="20"/>
                <w:szCs w:val="20"/>
              </w:rPr>
            </w:pPr>
          </w:p>
          <w:p w:rsidR="00063C07" w:rsidRPr="0072678C" w:rsidRDefault="00063C07" w:rsidP="00063C07">
            <w:pPr>
              <w:jc w:val="both"/>
              <w:rPr>
                <w:rFonts w:asciiTheme="minorHAnsi" w:hAnsiTheme="minorHAnsi" w:cstheme="minorHAnsi"/>
                <w:iCs/>
                <w:sz w:val="20"/>
                <w:szCs w:val="20"/>
              </w:rPr>
            </w:pPr>
            <w:r w:rsidRPr="0072678C">
              <w:rPr>
                <w:rFonts w:asciiTheme="minorHAnsi" w:hAnsiTheme="minorHAnsi" w:cstheme="minorHAnsi"/>
                <w:iCs/>
                <w:sz w:val="20"/>
                <w:szCs w:val="20"/>
              </w:rPr>
              <w:t xml:space="preserve">Obs.: </w:t>
            </w:r>
            <w:r w:rsidRPr="0072678C">
              <w:rPr>
                <w:rFonts w:asciiTheme="minorHAnsi" w:hAnsiTheme="minorHAnsi" w:cstheme="minorHAnsi"/>
                <w:sz w:val="20"/>
                <w:szCs w:val="20"/>
              </w:rPr>
              <w:t xml:space="preserve">Na RCL foi </w:t>
            </w:r>
            <w:r w:rsidR="006B59C0" w:rsidRPr="0072678C">
              <w:rPr>
                <w:rFonts w:asciiTheme="minorHAnsi" w:hAnsiTheme="minorHAnsi" w:cstheme="minorHAnsi"/>
                <w:sz w:val="20"/>
                <w:szCs w:val="20"/>
              </w:rPr>
              <w:t>excluída a receita do FUNDEB</w:t>
            </w:r>
            <w:r w:rsidRPr="0072678C">
              <w:rPr>
                <w:rFonts w:asciiTheme="minorHAnsi" w:hAnsiTheme="minorHAnsi" w:cstheme="minorHAnsi"/>
                <w:sz w:val="20"/>
                <w:szCs w:val="20"/>
              </w:rPr>
              <w:t xml:space="preserve"> que paga despesa de pessoal e despesas correntes</w:t>
            </w:r>
          </w:p>
        </w:tc>
        <w:tc>
          <w:tcPr>
            <w:tcW w:w="1559" w:type="dxa"/>
            <w:shd w:val="clear" w:color="auto" w:fill="FFFFFF"/>
            <w:noWrap/>
            <w:tcMar>
              <w:top w:w="0" w:type="dxa"/>
              <w:left w:w="70" w:type="dxa"/>
              <w:bottom w:w="0" w:type="dxa"/>
              <w:right w:w="70" w:type="dxa"/>
            </w:tcMar>
            <w:vAlign w:val="center"/>
            <w:hideMark/>
          </w:tcPr>
          <w:p w:rsidR="00063C07" w:rsidRPr="0072678C" w:rsidRDefault="00063C07" w:rsidP="00005DFA">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-8,16%</w:t>
            </w:r>
          </w:p>
        </w:tc>
      </w:tr>
      <w:tr w:rsidR="00063C07" w:rsidRPr="0072678C" w:rsidTr="005D7087">
        <w:trPr>
          <w:trHeight w:val="563"/>
        </w:trPr>
        <w:tc>
          <w:tcPr>
            <w:tcW w:w="7230" w:type="dxa"/>
            <w:tcMar>
              <w:top w:w="0" w:type="dxa"/>
              <w:left w:w="70" w:type="dxa"/>
              <w:bottom w:w="0" w:type="dxa"/>
              <w:right w:w="70" w:type="dxa"/>
            </w:tcMar>
            <w:vAlign w:val="center"/>
            <w:hideMark/>
          </w:tcPr>
          <w:p w:rsidR="00063C07" w:rsidRPr="0072678C" w:rsidRDefault="00063C07" w:rsidP="00005DFA">
            <w:pPr>
              <w:rPr>
                <w:rFonts w:asciiTheme="minorHAnsi" w:eastAsiaTheme="minorHAnsi" w:hAnsiTheme="minorHAnsi" w:cstheme="minorHAnsi"/>
                <w:iCs/>
                <w:sz w:val="20"/>
                <w:szCs w:val="20"/>
              </w:rPr>
            </w:pPr>
            <w:r w:rsidRPr="0072678C">
              <w:rPr>
                <w:rFonts w:asciiTheme="minorHAnsi" w:hAnsiTheme="minorHAnsi" w:cstheme="minorHAnsi"/>
                <w:sz w:val="20"/>
                <w:szCs w:val="20"/>
              </w:rPr>
              <w:t>Operações de crédito e transferências:</w:t>
            </w:r>
            <w:r w:rsidRPr="0072678C">
              <w:rPr>
                <w:rFonts w:asciiTheme="minorHAnsi" w:hAnsiTheme="minorHAnsi" w:cstheme="minorHAnsi"/>
                <w:iCs/>
                <w:sz w:val="20"/>
                <w:szCs w:val="20"/>
              </w:rPr>
              <w:t xml:space="preserve"> Valor das receitas de operações de crédito + receitas de transferências de capital / valor total das receitas de capital</w:t>
            </w:r>
          </w:p>
        </w:tc>
        <w:tc>
          <w:tcPr>
            <w:tcW w:w="1559" w:type="dxa"/>
            <w:shd w:val="clear" w:color="auto" w:fill="FFFFFF"/>
            <w:tcMar>
              <w:top w:w="0" w:type="dxa"/>
              <w:left w:w="70" w:type="dxa"/>
              <w:bottom w:w="0" w:type="dxa"/>
              <w:right w:w="70" w:type="dxa"/>
            </w:tcMar>
            <w:vAlign w:val="center"/>
            <w:hideMark/>
          </w:tcPr>
          <w:p w:rsidR="00063C07" w:rsidRPr="0072678C" w:rsidRDefault="00063C07" w:rsidP="00005DFA">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 </w:t>
            </w:r>
          </w:p>
        </w:tc>
      </w:tr>
      <w:tr w:rsidR="00063C07" w:rsidRPr="0072678C" w:rsidTr="005D7087">
        <w:trPr>
          <w:trHeight w:val="319"/>
        </w:trPr>
        <w:tc>
          <w:tcPr>
            <w:tcW w:w="7230" w:type="dxa"/>
            <w:shd w:val="clear" w:color="auto" w:fill="DEEAF6" w:themeFill="accent1" w:themeFillTint="33"/>
            <w:tcMar>
              <w:top w:w="0" w:type="dxa"/>
              <w:left w:w="70" w:type="dxa"/>
              <w:bottom w:w="0" w:type="dxa"/>
              <w:right w:w="70" w:type="dxa"/>
            </w:tcMar>
            <w:vAlign w:val="center"/>
            <w:hideMark/>
          </w:tcPr>
          <w:p w:rsidR="00063C07" w:rsidRPr="0072678C" w:rsidRDefault="00063C07" w:rsidP="00005DFA">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 xml:space="preserve">Resultado Fiscal: </w:t>
            </w:r>
            <w:r w:rsidRPr="0072678C">
              <w:rPr>
                <w:rFonts w:asciiTheme="minorHAnsi" w:hAnsiTheme="minorHAnsi" w:cstheme="minorHAnsi"/>
                <w:iCs/>
                <w:sz w:val="20"/>
                <w:szCs w:val="20"/>
              </w:rPr>
              <w:t xml:space="preserve">Receita Total Disponível (RTD) - Despesa Total Líquida (DTL) / RTD </w:t>
            </w:r>
          </w:p>
        </w:tc>
        <w:tc>
          <w:tcPr>
            <w:tcW w:w="1559" w:type="dxa"/>
            <w:shd w:val="clear" w:color="auto" w:fill="DEEAF6" w:themeFill="accent1" w:themeFillTint="33"/>
            <w:noWrap/>
            <w:tcMar>
              <w:top w:w="0" w:type="dxa"/>
              <w:left w:w="70" w:type="dxa"/>
              <w:bottom w:w="0" w:type="dxa"/>
              <w:right w:w="70" w:type="dxa"/>
            </w:tcMar>
            <w:vAlign w:val="center"/>
            <w:hideMark/>
          </w:tcPr>
          <w:p w:rsidR="00063C07" w:rsidRPr="0072678C" w:rsidRDefault="00063C07" w:rsidP="00005DFA">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8,38%</w:t>
            </w:r>
          </w:p>
        </w:tc>
      </w:tr>
      <w:tr w:rsidR="00063C07" w:rsidRPr="0072678C" w:rsidTr="005D7087">
        <w:trPr>
          <w:trHeight w:val="215"/>
        </w:trPr>
        <w:tc>
          <w:tcPr>
            <w:tcW w:w="7230" w:type="dxa"/>
            <w:shd w:val="clear" w:color="auto" w:fill="DEEAF6" w:themeFill="accent1" w:themeFillTint="33"/>
            <w:tcMar>
              <w:top w:w="0" w:type="dxa"/>
              <w:left w:w="70" w:type="dxa"/>
              <w:bottom w:w="0" w:type="dxa"/>
              <w:right w:w="70" w:type="dxa"/>
            </w:tcMar>
            <w:vAlign w:val="center"/>
            <w:hideMark/>
          </w:tcPr>
          <w:p w:rsidR="00063C07" w:rsidRPr="0072678C" w:rsidRDefault="00063C07" w:rsidP="00005DFA">
            <w:pPr>
              <w:rPr>
                <w:rFonts w:asciiTheme="minorHAnsi" w:eastAsiaTheme="minorHAnsi" w:hAnsiTheme="minorHAnsi" w:cstheme="minorHAnsi"/>
                <w:sz w:val="20"/>
                <w:szCs w:val="20"/>
              </w:rPr>
            </w:pPr>
            <w:r w:rsidRPr="0072678C">
              <w:rPr>
                <w:rFonts w:asciiTheme="minorHAnsi" w:hAnsiTheme="minorHAnsi" w:cstheme="minorHAnsi"/>
                <w:b/>
                <w:bCs/>
                <w:sz w:val="20"/>
                <w:szCs w:val="20"/>
              </w:rPr>
              <w:t>Projetos de investimento</w:t>
            </w:r>
          </w:p>
        </w:tc>
        <w:tc>
          <w:tcPr>
            <w:tcW w:w="1559" w:type="dxa"/>
            <w:shd w:val="clear" w:color="auto" w:fill="DEEAF6" w:themeFill="accent1" w:themeFillTint="33"/>
            <w:tcMar>
              <w:top w:w="0" w:type="dxa"/>
              <w:left w:w="70" w:type="dxa"/>
              <w:bottom w:w="0" w:type="dxa"/>
              <w:right w:w="70" w:type="dxa"/>
            </w:tcMar>
            <w:vAlign w:val="center"/>
            <w:hideMark/>
          </w:tcPr>
          <w:p w:rsidR="00063C07" w:rsidRPr="0072678C" w:rsidRDefault="00063C07" w:rsidP="00005DFA">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 </w:t>
            </w:r>
          </w:p>
        </w:tc>
      </w:tr>
      <w:tr w:rsidR="00063C07" w:rsidRPr="0072678C" w:rsidTr="005D7087">
        <w:trPr>
          <w:trHeight w:val="267"/>
        </w:trPr>
        <w:tc>
          <w:tcPr>
            <w:tcW w:w="7230" w:type="dxa"/>
            <w:shd w:val="clear" w:color="auto" w:fill="DEEAF6" w:themeFill="accent1" w:themeFillTint="33"/>
            <w:tcMar>
              <w:top w:w="0" w:type="dxa"/>
              <w:left w:w="70" w:type="dxa"/>
              <w:bottom w:w="0" w:type="dxa"/>
              <w:right w:w="70" w:type="dxa"/>
            </w:tcMar>
            <w:vAlign w:val="center"/>
            <w:hideMark/>
          </w:tcPr>
          <w:p w:rsidR="00063C07" w:rsidRPr="0072678C" w:rsidRDefault="00063C07" w:rsidP="00005DFA">
            <w:pPr>
              <w:rPr>
                <w:rFonts w:asciiTheme="minorHAnsi" w:eastAsiaTheme="minorHAnsi" w:hAnsiTheme="minorHAnsi" w:cstheme="minorHAnsi"/>
                <w:sz w:val="20"/>
                <w:szCs w:val="20"/>
              </w:rPr>
            </w:pPr>
            <w:r w:rsidRPr="0072678C">
              <w:rPr>
                <w:rFonts w:asciiTheme="minorHAnsi" w:hAnsiTheme="minorHAnsi" w:cstheme="minorHAnsi"/>
                <w:b/>
                <w:bCs/>
                <w:sz w:val="20"/>
                <w:szCs w:val="20"/>
              </w:rPr>
              <w:t>Alterações orçamentárias:</w:t>
            </w:r>
            <w:r w:rsidRPr="0072678C">
              <w:rPr>
                <w:rFonts w:asciiTheme="minorHAnsi" w:hAnsiTheme="minorHAnsi" w:cstheme="minorHAnsi"/>
                <w:sz w:val="20"/>
                <w:szCs w:val="20"/>
              </w:rPr>
              <w:t xml:space="preserve"> Valor total das dotações orçamentárias adicionais (suplementar, especial e extraordinária) / Valor do orçamento original aprovado</w:t>
            </w:r>
          </w:p>
        </w:tc>
        <w:tc>
          <w:tcPr>
            <w:tcW w:w="1559" w:type="dxa"/>
            <w:shd w:val="clear" w:color="auto" w:fill="DEEAF6" w:themeFill="accent1" w:themeFillTint="33"/>
            <w:noWrap/>
            <w:tcMar>
              <w:top w:w="0" w:type="dxa"/>
              <w:left w:w="70" w:type="dxa"/>
              <w:bottom w:w="0" w:type="dxa"/>
              <w:right w:w="70" w:type="dxa"/>
            </w:tcMar>
            <w:vAlign w:val="center"/>
            <w:hideMark/>
          </w:tcPr>
          <w:p w:rsidR="00063C07" w:rsidRPr="0072678C" w:rsidRDefault="00063C07" w:rsidP="00005DFA">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3,27%</w:t>
            </w:r>
          </w:p>
        </w:tc>
      </w:tr>
    </w:tbl>
    <w:p w:rsidR="00A15049" w:rsidRPr="0072678C" w:rsidRDefault="00A15049"/>
    <w:p w:rsidR="00B44516" w:rsidRPr="0072678C" w:rsidRDefault="00B44516" w:rsidP="00B44516">
      <w:pPr>
        <w:spacing w:after="160" w:line="259" w:lineRule="auto"/>
        <w:rPr>
          <w:b/>
          <w:sz w:val="20"/>
          <w:szCs w:val="20"/>
        </w:rPr>
      </w:pPr>
    </w:p>
    <w:tbl>
      <w:tblPr>
        <w:tblStyle w:val="TableGrid"/>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D9E2F3" w:themeFill="accent5" w:themeFillTint="33"/>
        <w:tblLook w:val="04A0" w:firstRow="1" w:lastRow="0" w:firstColumn="1" w:lastColumn="0" w:noHBand="0" w:noVBand="1"/>
      </w:tblPr>
      <w:tblGrid>
        <w:gridCol w:w="6804"/>
        <w:gridCol w:w="1985"/>
      </w:tblGrid>
      <w:tr w:rsidR="00B44516" w:rsidRPr="0072678C" w:rsidTr="00B44516">
        <w:tc>
          <w:tcPr>
            <w:tcW w:w="6804" w:type="dxa"/>
            <w:shd w:val="clear" w:color="auto" w:fill="D9E2F3" w:themeFill="accent5" w:themeFillTint="33"/>
          </w:tcPr>
          <w:p w:rsidR="00B44516" w:rsidRPr="0072678C" w:rsidRDefault="00B44516" w:rsidP="00B44516">
            <w:pPr>
              <w:spacing w:before="120" w:after="120"/>
              <w:jc w:val="both"/>
              <w:rPr>
                <w:rFonts w:asciiTheme="minorHAnsi" w:hAnsiTheme="minorHAnsi" w:cstheme="minorHAnsi"/>
                <w:b/>
              </w:rPr>
            </w:pPr>
            <w:r w:rsidRPr="0072678C">
              <w:rPr>
                <w:rFonts w:asciiTheme="minorHAnsi" w:hAnsiTheme="minorHAnsi" w:cstheme="minorHAnsi"/>
              </w:rPr>
              <w:br w:type="page"/>
            </w:r>
            <w:r w:rsidRPr="0072678C">
              <w:rPr>
                <w:rFonts w:asciiTheme="minorHAnsi" w:hAnsiTheme="minorHAnsi" w:cstheme="minorHAnsi"/>
                <w:b/>
              </w:rPr>
              <w:t xml:space="preserve">Dimensão AF 2. </w:t>
            </w:r>
            <w:proofErr w:type="gramStart"/>
            <w:r w:rsidRPr="0072678C">
              <w:rPr>
                <w:rFonts w:asciiTheme="minorHAnsi" w:hAnsiTheme="minorHAnsi" w:cstheme="minorHAnsi"/>
                <w:b/>
              </w:rPr>
              <w:t>Políticas, Programação e Execução Financeira</w:t>
            </w:r>
            <w:proofErr w:type="gramEnd"/>
            <w:r w:rsidRPr="0072678C">
              <w:rPr>
                <w:rFonts w:asciiTheme="minorHAnsi" w:hAnsiTheme="minorHAnsi" w:cstheme="minorHAnsi"/>
                <w:b/>
              </w:rPr>
              <w:t xml:space="preserve"> </w:t>
            </w:r>
          </w:p>
        </w:tc>
        <w:tc>
          <w:tcPr>
            <w:tcW w:w="1985" w:type="dxa"/>
            <w:shd w:val="clear" w:color="auto" w:fill="D9E2F3" w:themeFill="accent5" w:themeFillTint="33"/>
          </w:tcPr>
          <w:p w:rsidR="00B44516" w:rsidRPr="0072678C" w:rsidRDefault="0060254A" w:rsidP="00B44516">
            <w:pPr>
              <w:spacing w:before="120" w:after="120"/>
              <w:jc w:val="center"/>
              <w:rPr>
                <w:rFonts w:asciiTheme="minorHAnsi" w:hAnsiTheme="minorHAnsi" w:cstheme="minorHAnsi"/>
                <w:b/>
              </w:rPr>
            </w:pPr>
            <w:r w:rsidRPr="0072678C">
              <w:rPr>
                <w:rFonts w:asciiTheme="minorHAnsi" w:hAnsiTheme="minorHAnsi" w:cstheme="minorHAnsi"/>
                <w:b/>
                <w:bCs/>
              </w:rPr>
              <w:t>AVANÇADO (+)</w:t>
            </w:r>
          </w:p>
        </w:tc>
      </w:tr>
    </w:tbl>
    <w:p w:rsidR="00B44516" w:rsidRPr="0072678C" w:rsidRDefault="00B44516" w:rsidP="00B44516">
      <w:pPr>
        <w:spacing w:before="240" w:after="240"/>
        <w:jc w:val="both"/>
        <w:rPr>
          <w:rFonts w:ascii="Calibri" w:hAnsi="Calibri" w:cs="Calibri"/>
          <w:sz w:val="22"/>
          <w:szCs w:val="22"/>
        </w:rPr>
      </w:pPr>
      <w:r w:rsidRPr="0072678C">
        <w:rPr>
          <w:rFonts w:ascii="Calibri" w:hAnsi="Calibri" w:cs="Calibri"/>
          <w:sz w:val="22"/>
          <w:szCs w:val="22"/>
        </w:rPr>
        <w:t xml:space="preserve">A visão de futuro da dimensão </w:t>
      </w:r>
      <w:r w:rsidRPr="0072678C">
        <w:rPr>
          <w:rFonts w:ascii="Calibri" w:hAnsi="Calibri" w:cs="Calibri"/>
          <w:b/>
          <w:sz w:val="22"/>
          <w:szCs w:val="22"/>
        </w:rPr>
        <w:t xml:space="preserve">Políticas, Programação e Execução Financeira </w:t>
      </w:r>
      <w:r w:rsidRPr="0072678C">
        <w:rPr>
          <w:rFonts w:ascii="Calibri" w:hAnsi="Calibri" w:cs="Calibri"/>
          <w:sz w:val="22"/>
          <w:szCs w:val="22"/>
        </w:rPr>
        <w:t>é “definir e avaliar políticas e executar os recursos financeiros com foco na eficiência”.</w:t>
      </w:r>
    </w:p>
    <w:p w:rsidR="00B44516" w:rsidRPr="0072678C" w:rsidRDefault="00B44516" w:rsidP="00B44516">
      <w:pPr>
        <w:spacing w:before="240" w:after="240"/>
        <w:jc w:val="both"/>
        <w:rPr>
          <w:rFonts w:ascii="Calibri" w:hAnsi="Calibri" w:cs="Calibri"/>
          <w:b/>
          <w:sz w:val="22"/>
          <w:szCs w:val="22"/>
        </w:rPr>
      </w:pPr>
      <w:r w:rsidRPr="0072678C">
        <w:rPr>
          <w:rFonts w:ascii="Calibri" w:hAnsi="Calibri" w:cs="Calibri"/>
          <w:sz w:val="22"/>
          <w:szCs w:val="22"/>
        </w:rPr>
        <w:t xml:space="preserve">Nesta dimensão, o nível ou estágio de maturidade do conjunto de processos que a compõem esta dimensão, conforme apurado pela MD-GEFIS, é </w:t>
      </w:r>
      <w:r w:rsidR="0060254A" w:rsidRPr="0072678C">
        <w:rPr>
          <w:rFonts w:asciiTheme="minorHAnsi" w:hAnsiTheme="minorHAnsi" w:cstheme="minorHAnsi"/>
          <w:b/>
          <w:bCs/>
          <w:sz w:val="22"/>
          <w:szCs w:val="22"/>
        </w:rPr>
        <w:t>AVANÇADO (+)</w:t>
      </w:r>
      <w:r w:rsidRPr="0072678C">
        <w:rPr>
          <w:rFonts w:ascii="Calibri" w:hAnsi="Calibri" w:cs="Calibri"/>
          <w:b/>
          <w:sz w:val="22"/>
          <w:szCs w:val="22"/>
        </w:rPr>
        <w:t>.</w:t>
      </w:r>
    </w:p>
    <w:p w:rsidR="0060254A" w:rsidRPr="0072678C" w:rsidRDefault="0060254A" w:rsidP="0060254A">
      <w:pPr>
        <w:spacing w:before="240" w:after="240"/>
        <w:jc w:val="both"/>
        <w:rPr>
          <w:rFonts w:ascii="Calibri" w:hAnsi="Calibri" w:cs="Calibri"/>
          <w:sz w:val="22"/>
          <w:szCs w:val="22"/>
        </w:rPr>
      </w:pPr>
      <w:r w:rsidRPr="0072678C">
        <w:rPr>
          <w:rFonts w:ascii="Calibri" w:hAnsi="Calibri" w:cs="Calibri"/>
          <w:sz w:val="22"/>
          <w:szCs w:val="22"/>
        </w:rPr>
        <w:t xml:space="preserve">Este resultado decorre principalmente pelo nível 3 de maturidade de 5 dentre os 6 processos analisados, ou seja, os processos críticos </w:t>
      </w:r>
      <w:r w:rsidRPr="0072678C">
        <w:rPr>
          <w:rFonts w:asciiTheme="minorHAnsi" w:hAnsiTheme="minorHAnsi" w:cstheme="minorHAnsi"/>
          <w:sz w:val="22"/>
          <w:szCs w:val="22"/>
        </w:rPr>
        <w:t xml:space="preserve">controle das </w:t>
      </w:r>
      <w:r w:rsidRPr="0072678C">
        <w:rPr>
          <w:rFonts w:asciiTheme="minorHAnsi" w:hAnsiTheme="minorHAnsi" w:cstheme="minorHAnsi"/>
          <w:b/>
          <w:bCs/>
          <w:i/>
          <w:iCs/>
          <w:sz w:val="22"/>
          <w:szCs w:val="22"/>
        </w:rPr>
        <w:t xml:space="preserve">receitas de transferências; </w:t>
      </w:r>
      <w:r w:rsidRPr="0072678C">
        <w:rPr>
          <w:rFonts w:asciiTheme="minorHAnsi" w:hAnsiTheme="minorHAnsi" w:cstheme="minorHAnsi"/>
          <w:sz w:val="22"/>
          <w:szCs w:val="22"/>
        </w:rPr>
        <w:t xml:space="preserve">controle das </w:t>
      </w:r>
      <w:r w:rsidRPr="0072678C">
        <w:rPr>
          <w:rFonts w:asciiTheme="minorHAnsi" w:hAnsiTheme="minorHAnsi" w:cstheme="minorHAnsi"/>
          <w:b/>
          <w:bCs/>
          <w:i/>
          <w:iCs/>
          <w:sz w:val="22"/>
          <w:szCs w:val="22"/>
        </w:rPr>
        <w:t>despesas de transferências</w:t>
      </w:r>
      <w:r w:rsidRPr="0072678C">
        <w:rPr>
          <w:rFonts w:asciiTheme="minorHAnsi" w:hAnsiTheme="minorHAnsi" w:cstheme="minorHAnsi"/>
          <w:sz w:val="22"/>
          <w:szCs w:val="22"/>
        </w:rPr>
        <w:t xml:space="preserve">; elaboração da </w:t>
      </w:r>
      <w:r w:rsidRPr="0072678C">
        <w:rPr>
          <w:rFonts w:asciiTheme="minorHAnsi" w:hAnsiTheme="minorHAnsi" w:cstheme="minorHAnsi"/>
          <w:b/>
          <w:bCs/>
          <w:i/>
          <w:iCs/>
          <w:sz w:val="22"/>
          <w:szCs w:val="22"/>
        </w:rPr>
        <w:t>programação financeira consolidada; gestão dos recursos financeiros (fluxo de caixa); e monitoramento do atraso do pagamento de despesas</w:t>
      </w:r>
      <w:r w:rsidRPr="0072678C">
        <w:rPr>
          <w:rFonts w:asciiTheme="minorHAnsi" w:hAnsiTheme="minorHAnsi" w:cstheme="minorHAnsi"/>
          <w:sz w:val="22"/>
          <w:szCs w:val="22"/>
        </w:rPr>
        <w:t xml:space="preserve">. </w:t>
      </w:r>
    </w:p>
    <w:p w:rsidR="0060254A" w:rsidRPr="0072678C" w:rsidRDefault="0060254A" w:rsidP="0060254A">
      <w:pPr>
        <w:spacing w:before="240" w:after="240"/>
        <w:jc w:val="both"/>
        <w:rPr>
          <w:rFonts w:ascii="Calibri" w:hAnsi="Calibri" w:cs="Calibri"/>
          <w:sz w:val="22"/>
          <w:szCs w:val="22"/>
        </w:rPr>
      </w:pPr>
      <w:r w:rsidRPr="0072678C">
        <w:rPr>
          <w:rFonts w:ascii="Calibri" w:hAnsi="Calibri" w:cs="Calibri"/>
          <w:sz w:val="22"/>
          <w:szCs w:val="22"/>
        </w:rPr>
        <w:t xml:space="preserve">Apenas o processo </w:t>
      </w:r>
      <w:r w:rsidRPr="0072678C">
        <w:rPr>
          <w:rFonts w:asciiTheme="minorHAnsi" w:hAnsiTheme="minorHAnsi" w:cstheme="minorHAnsi"/>
          <w:b/>
          <w:bCs/>
          <w:i/>
          <w:iCs/>
          <w:sz w:val="22"/>
          <w:szCs w:val="22"/>
        </w:rPr>
        <w:t xml:space="preserve">formulação e a avaliação de políticas fiscais na área </w:t>
      </w:r>
      <w:proofErr w:type="gramStart"/>
      <w:r w:rsidRPr="0072678C">
        <w:rPr>
          <w:rFonts w:asciiTheme="minorHAnsi" w:hAnsiTheme="minorHAnsi" w:cstheme="minorHAnsi"/>
          <w:b/>
          <w:bCs/>
          <w:i/>
          <w:iCs/>
          <w:sz w:val="22"/>
          <w:szCs w:val="22"/>
        </w:rPr>
        <w:t>financeira</w:t>
      </w:r>
      <w:r w:rsidRPr="0072678C">
        <w:rPr>
          <w:rFonts w:asciiTheme="minorHAnsi" w:hAnsiTheme="minorHAnsi" w:cstheme="minorHAnsi"/>
          <w:b/>
          <w:bCs/>
          <w:sz w:val="22"/>
          <w:szCs w:val="22"/>
        </w:rPr>
        <w:t xml:space="preserve"> </w:t>
      </w:r>
      <w:r w:rsidRPr="0072678C">
        <w:rPr>
          <w:rFonts w:asciiTheme="minorHAnsi" w:hAnsiTheme="minorHAnsi" w:cstheme="minorHAnsi"/>
          <w:sz w:val="22"/>
          <w:szCs w:val="22"/>
        </w:rPr>
        <w:t xml:space="preserve"> </w:t>
      </w:r>
      <w:r w:rsidRPr="0072678C">
        <w:rPr>
          <w:rFonts w:ascii="Calibri" w:hAnsi="Calibri" w:cs="Calibri"/>
          <w:sz w:val="22"/>
          <w:szCs w:val="22"/>
        </w:rPr>
        <w:t>apresenta</w:t>
      </w:r>
      <w:proofErr w:type="gramEnd"/>
      <w:r w:rsidRPr="0072678C">
        <w:rPr>
          <w:rFonts w:ascii="Calibri" w:hAnsi="Calibri" w:cs="Calibri"/>
          <w:sz w:val="22"/>
          <w:szCs w:val="22"/>
        </w:rPr>
        <w:t xml:space="preserve"> nível 2 de maturidade das boas práticas da MD-GEFIS. </w:t>
      </w:r>
    </w:p>
    <w:p w:rsidR="00B44516" w:rsidRPr="0072678C" w:rsidRDefault="00B44516" w:rsidP="00B44516">
      <w:pPr>
        <w:spacing w:before="240" w:after="240"/>
        <w:jc w:val="both"/>
        <w:rPr>
          <w:rFonts w:asciiTheme="minorHAnsi" w:hAnsiTheme="minorHAnsi" w:cstheme="minorHAnsi"/>
          <w:iCs/>
          <w:sz w:val="22"/>
          <w:szCs w:val="22"/>
        </w:rPr>
      </w:pPr>
      <w:r w:rsidRPr="0072678C">
        <w:rPr>
          <w:rFonts w:asciiTheme="minorHAnsi" w:hAnsiTheme="minorHAnsi" w:cstheme="minorHAnsi"/>
          <w:iCs/>
          <w:sz w:val="22"/>
          <w:szCs w:val="22"/>
        </w:rPr>
        <w:t>Os dados dos indicadores de Desempenho selecionados pela MD-GEFIS para esta Dimensão foram</w:t>
      </w:r>
      <w:r w:rsidR="00D14279" w:rsidRPr="0072678C">
        <w:rPr>
          <w:rFonts w:asciiTheme="minorHAnsi" w:hAnsiTheme="minorHAnsi" w:cstheme="minorHAnsi"/>
          <w:iCs/>
          <w:sz w:val="22"/>
          <w:szCs w:val="22"/>
        </w:rPr>
        <w:t>:</w:t>
      </w:r>
    </w:p>
    <w:tbl>
      <w:tblPr>
        <w:tblW w:w="8801"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9"/>
        <w:gridCol w:w="1276"/>
        <w:gridCol w:w="1276"/>
      </w:tblGrid>
      <w:tr w:rsidR="006841BA" w:rsidRPr="0072678C" w:rsidTr="005D7087">
        <w:trPr>
          <w:trHeight w:val="330"/>
        </w:trPr>
        <w:tc>
          <w:tcPr>
            <w:tcW w:w="6249" w:type="dxa"/>
            <w:shd w:val="clear" w:color="auto" w:fill="9CC2E5" w:themeFill="accent1" w:themeFillTint="99"/>
            <w:vAlign w:val="center"/>
            <w:hideMark/>
          </w:tcPr>
          <w:p w:rsidR="006841BA" w:rsidRPr="0072678C" w:rsidRDefault="006841BA" w:rsidP="005D7087">
            <w:pPr>
              <w:jc w:val="center"/>
              <w:rPr>
                <w:rFonts w:asciiTheme="minorHAnsi" w:hAnsiTheme="minorHAnsi" w:cstheme="minorHAnsi"/>
                <w:b/>
                <w:bCs/>
                <w:sz w:val="20"/>
                <w:szCs w:val="20"/>
              </w:rPr>
            </w:pPr>
            <w:bookmarkStart w:id="30" w:name="RANGE!B1:F31"/>
            <w:r w:rsidRPr="0072678C">
              <w:rPr>
                <w:rFonts w:asciiTheme="minorHAnsi" w:hAnsiTheme="minorHAnsi" w:cstheme="minorHAnsi"/>
                <w:b/>
                <w:bCs/>
                <w:sz w:val="20"/>
                <w:szCs w:val="20"/>
              </w:rPr>
              <w:t>Indicadores de Desempenho</w:t>
            </w:r>
            <w:bookmarkEnd w:id="30"/>
          </w:p>
        </w:tc>
        <w:tc>
          <w:tcPr>
            <w:tcW w:w="1276" w:type="dxa"/>
            <w:shd w:val="clear" w:color="auto" w:fill="9CC2E5" w:themeFill="accent1" w:themeFillTint="99"/>
            <w:vAlign w:val="center"/>
            <w:hideMark/>
          </w:tcPr>
          <w:p w:rsidR="006841BA" w:rsidRPr="0072678C" w:rsidRDefault="006841BA" w:rsidP="005D7087">
            <w:pPr>
              <w:jc w:val="center"/>
              <w:rPr>
                <w:rFonts w:asciiTheme="minorHAnsi" w:hAnsiTheme="minorHAnsi" w:cstheme="minorHAnsi"/>
                <w:b/>
                <w:bCs/>
                <w:sz w:val="20"/>
                <w:szCs w:val="20"/>
              </w:rPr>
            </w:pPr>
            <w:r w:rsidRPr="0072678C">
              <w:rPr>
                <w:rFonts w:asciiTheme="minorHAnsi" w:hAnsiTheme="minorHAnsi" w:cstheme="minorHAnsi"/>
                <w:b/>
                <w:bCs/>
                <w:sz w:val="20"/>
                <w:szCs w:val="20"/>
              </w:rPr>
              <w:t>Apuração</w:t>
            </w:r>
          </w:p>
        </w:tc>
        <w:tc>
          <w:tcPr>
            <w:tcW w:w="1276" w:type="dxa"/>
            <w:shd w:val="clear" w:color="auto" w:fill="9CC2E5" w:themeFill="accent1" w:themeFillTint="99"/>
            <w:vAlign w:val="center"/>
            <w:hideMark/>
          </w:tcPr>
          <w:p w:rsidR="006841BA" w:rsidRPr="0072678C" w:rsidRDefault="006841BA" w:rsidP="005D7087">
            <w:pPr>
              <w:jc w:val="center"/>
              <w:rPr>
                <w:rFonts w:asciiTheme="minorHAnsi" w:hAnsiTheme="minorHAnsi" w:cstheme="minorHAnsi"/>
                <w:b/>
                <w:bCs/>
                <w:sz w:val="20"/>
                <w:szCs w:val="20"/>
              </w:rPr>
            </w:pPr>
            <w:r w:rsidRPr="0072678C">
              <w:rPr>
                <w:rFonts w:asciiTheme="minorHAnsi" w:hAnsiTheme="minorHAnsi" w:cstheme="minorHAnsi"/>
                <w:b/>
                <w:bCs/>
                <w:sz w:val="20"/>
                <w:szCs w:val="20"/>
              </w:rPr>
              <w:t>Fontes</w:t>
            </w:r>
          </w:p>
        </w:tc>
      </w:tr>
      <w:tr w:rsidR="006841BA" w:rsidRPr="0072678C" w:rsidTr="00D14279">
        <w:trPr>
          <w:trHeight w:val="430"/>
        </w:trPr>
        <w:tc>
          <w:tcPr>
            <w:tcW w:w="6249" w:type="dxa"/>
            <w:shd w:val="clear" w:color="auto" w:fill="auto"/>
            <w:vAlign w:val="center"/>
            <w:hideMark/>
          </w:tcPr>
          <w:p w:rsidR="006841BA" w:rsidRPr="0072678C" w:rsidRDefault="006841BA" w:rsidP="00A1767D">
            <w:pPr>
              <w:rPr>
                <w:rFonts w:asciiTheme="minorHAnsi" w:hAnsiTheme="minorHAnsi" w:cstheme="minorHAnsi"/>
                <w:b/>
                <w:bCs/>
                <w:sz w:val="20"/>
                <w:szCs w:val="20"/>
              </w:rPr>
            </w:pPr>
            <w:r w:rsidRPr="0072678C">
              <w:rPr>
                <w:rFonts w:asciiTheme="minorHAnsi" w:hAnsiTheme="minorHAnsi" w:cstheme="minorHAnsi"/>
                <w:b/>
                <w:bCs/>
                <w:sz w:val="20"/>
                <w:szCs w:val="20"/>
              </w:rPr>
              <w:t>Equilíbrio na execução orçamentária-financeira:</w:t>
            </w:r>
            <w:r w:rsidRPr="0072678C">
              <w:rPr>
                <w:rFonts w:asciiTheme="minorHAnsi" w:hAnsiTheme="minorHAnsi" w:cstheme="minorHAnsi"/>
                <w:sz w:val="20"/>
                <w:szCs w:val="20"/>
              </w:rPr>
              <w:t xml:space="preserve">  Valor total da despesa executada / valor total da receita realizada</w:t>
            </w:r>
          </w:p>
        </w:tc>
        <w:tc>
          <w:tcPr>
            <w:tcW w:w="1276" w:type="dxa"/>
            <w:shd w:val="clear" w:color="000000" w:fill="FFFFFF"/>
            <w:noWrap/>
            <w:vAlign w:val="center"/>
            <w:hideMark/>
          </w:tcPr>
          <w:p w:rsidR="006841BA" w:rsidRPr="0072678C" w:rsidRDefault="006841BA" w:rsidP="00A1767D">
            <w:pPr>
              <w:jc w:val="center"/>
              <w:rPr>
                <w:rFonts w:asciiTheme="minorHAnsi" w:hAnsiTheme="minorHAnsi" w:cstheme="minorHAnsi"/>
                <w:b/>
                <w:bCs/>
                <w:sz w:val="20"/>
                <w:szCs w:val="20"/>
              </w:rPr>
            </w:pPr>
            <w:r w:rsidRPr="0072678C">
              <w:rPr>
                <w:rFonts w:asciiTheme="minorHAnsi" w:hAnsiTheme="minorHAnsi" w:cstheme="minorHAnsi"/>
                <w:b/>
                <w:bCs/>
                <w:sz w:val="20"/>
                <w:szCs w:val="20"/>
              </w:rPr>
              <w:t>99,64%</w:t>
            </w:r>
          </w:p>
        </w:tc>
        <w:tc>
          <w:tcPr>
            <w:tcW w:w="1276" w:type="dxa"/>
            <w:shd w:val="clear" w:color="auto" w:fill="auto"/>
            <w:noWrap/>
            <w:vAlign w:val="center"/>
            <w:hideMark/>
          </w:tcPr>
          <w:p w:rsidR="006841BA" w:rsidRPr="0072678C" w:rsidRDefault="006841BA" w:rsidP="00A1767D">
            <w:pPr>
              <w:jc w:val="center"/>
              <w:rPr>
                <w:rFonts w:asciiTheme="minorHAnsi" w:hAnsiTheme="minorHAnsi" w:cstheme="minorHAnsi"/>
                <w:sz w:val="20"/>
                <w:szCs w:val="20"/>
              </w:rPr>
            </w:pPr>
            <w:r w:rsidRPr="0072678C">
              <w:rPr>
                <w:rFonts w:asciiTheme="minorHAnsi" w:hAnsiTheme="minorHAnsi" w:cstheme="minorHAnsi"/>
                <w:sz w:val="20"/>
                <w:szCs w:val="20"/>
              </w:rPr>
              <w:t>LRF-2017</w:t>
            </w:r>
          </w:p>
        </w:tc>
      </w:tr>
      <w:tr w:rsidR="006841BA" w:rsidRPr="0072678C" w:rsidTr="00D14279">
        <w:trPr>
          <w:trHeight w:val="635"/>
        </w:trPr>
        <w:tc>
          <w:tcPr>
            <w:tcW w:w="6249" w:type="dxa"/>
            <w:shd w:val="clear" w:color="auto" w:fill="auto"/>
            <w:vAlign w:val="center"/>
            <w:hideMark/>
          </w:tcPr>
          <w:p w:rsidR="006841BA" w:rsidRPr="0072678C" w:rsidRDefault="006841BA" w:rsidP="00A1767D">
            <w:pPr>
              <w:rPr>
                <w:rFonts w:asciiTheme="minorHAnsi" w:hAnsiTheme="minorHAnsi" w:cstheme="minorHAnsi"/>
                <w:b/>
                <w:bCs/>
                <w:sz w:val="20"/>
                <w:szCs w:val="20"/>
              </w:rPr>
            </w:pPr>
            <w:r w:rsidRPr="0072678C">
              <w:rPr>
                <w:rFonts w:asciiTheme="minorHAnsi" w:hAnsiTheme="minorHAnsi" w:cstheme="minorHAnsi"/>
                <w:b/>
                <w:bCs/>
                <w:sz w:val="20"/>
                <w:szCs w:val="20"/>
              </w:rPr>
              <w:t xml:space="preserve">Participação da despesa </w:t>
            </w:r>
            <w:proofErr w:type="spellStart"/>
            <w:r w:rsidRPr="0072678C">
              <w:rPr>
                <w:rFonts w:asciiTheme="minorHAnsi" w:hAnsiTheme="minorHAnsi" w:cstheme="minorHAnsi"/>
                <w:b/>
                <w:bCs/>
                <w:sz w:val="20"/>
                <w:szCs w:val="20"/>
              </w:rPr>
              <w:t>extra-orçamentária</w:t>
            </w:r>
            <w:proofErr w:type="spellEnd"/>
            <w:r w:rsidRPr="0072678C">
              <w:rPr>
                <w:rFonts w:asciiTheme="minorHAnsi" w:hAnsiTheme="minorHAnsi" w:cstheme="minorHAnsi"/>
                <w:b/>
                <w:bCs/>
                <w:sz w:val="20"/>
                <w:szCs w:val="20"/>
              </w:rPr>
              <w:t>:</w:t>
            </w:r>
            <w:r w:rsidRPr="0072678C">
              <w:rPr>
                <w:rFonts w:asciiTheme="minorHAnsi" w:hAnsiTheme="minorHAnsi" w:cstheme="minorHAnsi"/>
                <w:sz w:val="20"/>
                <w:szCs w:val="20"/>
              </w:rPr>
              <w:t xml:space="preserve"> Valor total da despesa </w:t>
            </w:r>
            <w:proofErr w:type="spellStart"/>
            <w:r w:rsidRPr="0072678C">
              <w:rPr>
                <w:rFonts w:asciiTheme="minorHAnsi" w:hAnsiTheme="minorHAnsi" w:cstheme="minorHAnsi"/>
                <w:sz w:val="20"/>
                <w:szCs w:val="20"/>
              </w:rPr>
              <w:t>extra-orçamentária</w:t>
            </w:r>
            <w:proofErr w:type="spellEnd"/>
            <w:r w:rsidRPr="0072678C">
              <w:rPr>
                <w:rFonts w:asciiTheme="minorHAnsi" w:hAnsiTheme="minorHAnsi" w:cstheme="minorHAnsi"/>
                <w:sz w:val="20"/>
                <w:szCs w:val="20"/>
              </w:rPr>
              <w:t xml:space="preserve"> executada / valor total da despesa executada</w:t>
            </w:r>
          </w:p>
        </w:tc>
        <w:tc>
          <w:tcPr>
            <w:tcW w:w="1276" w:type="dxa"/>
            <w:shd w:val="clear" w:color="000000" w:fill="FFFFFF"/>
            <w:noWrap/>
            <w:vAlign w:val="center"/>
            <w:hideMark/>
          </w:tcPr>
          <w:p w:rsidR="006841BA" w:rsidRPr="0072678C" w:rsidRDefault="006841BA" w:rsidP="00A1767D">
            <w:pPr>
              <w:jc w:val="center"/>
              <w:rPr>
                <w:rFonts w:asciiTheme="minorHAnsi" w:hAnsiTheme="minorHAnsi" w:cstheme="minorHAnsi"/>
                <w:b/>
                <w:bCs/>
                <w:sz w:val="20"/>
                <w:szCs w:val="20"/>
              </w:rPr>
            </w:pPr>
            <w:r w:rsidRPr="0072678C">
              <w:rPr>
                <w:rFonts w:asciiTheme="minorHAnsi" w:hAnsiTheme="minorHAnsi" w:cstheme="minorHAnsi"/>
                <w:b/>
                <w:bCs/>
                <w:sz w:val="20"/>
                <w:szCs w:val="20"/>
              </w:rPr>
              <w:t>8,69%</w:t>
            </w:r>
          </w:p>
        </w:tc>
        <w:tc>
          <w:tcPr>
            <w:tcW w:w="1276" w:type="dxa"/>
            <w:shd w:val="clear" w:color="auto" w:fill="auto"/>
            <w:vAlign w:val="center"/>
            <w:hideMark/>
          </w:tcPr>
          <w:p w:rsidR="006841BA" w:rsidRPr="0072678C" w:rsidRDefault="006841BA" w:rsidP="00A1767D">
            <w:pPr>
              <w:jc w:val="center"/>
              <w:rPr>
                <w:rFonts w:asciiTheme="minorHAnsi" w:hAnsiTheme="minorHAnsi" w:cstheme="minorHAnsi"/>
                <w:sz w:val="20"/>
                <w:szCs w:val="20"/>
              </w:rPr>
            </w:pPr>
            <w:r w:rsidRPr="0072678C">
              <w:rPr>
                <w:rFonts w:asciiTheme="minorHAnsi" w:hAnsiTheme="minorHAnsi" w:cstheme="minorHAnsi"/>
                <w:sz w:val="20"/>
                <w:szCs w:val="20"/>
              </w:rPr>
              <w:t>Balanço-2016</w:t>
            </w:r>
          </w:p>
        </w:tc>
      </w:tr>
      <w:tr w:rsidR="006841BA" w:rsidRPr="0072678C" w:rsidTr="005D7087">
        <w:trPr>
          <w:trHeight w:val="330"/>
        </w:trPr>
        <w:tc>
          <w:tcPr>
            <w:tcW w:w="6249" w:type="dxa"/>
            <w:shd w:val="clear" w:color="auto" w:fill="BDD6EE" w:themeFill="accent1" w:themeFillTint="66"/>
            <w:vAlign w:val="center"/>
            <w:hideMark/>
          </w:tcPr>
          <w:p w:rsidR="006841BA" w:rsidRPr="0072678C" w:rsidRDefault="006841BA" w:rsidP="00A1767D">
            <w:pPr>
              <w:rPr>
                <w:rFonts w:asciiTheme="minorHAnsi" w:hAnsiTheme="minorHAnsi" w:cstheme="minorHAnsi"/>
                <w:b/>
                <w:bCs/>
                <w:sz w:val="20"/>
                <w:szCs w:val="20"/>
              </w:rPr>
            </w:pPr>
            <w:r w:rsidRPr="0072678C">
              <w:rPr>
                <w:rFonts w:asciiTheme="minorHAnsi" w:hAnsiTheme="minorHAnsi" w:cstheme="minorHAnsi"/>
                <w:b/>
                <w:bCs/>
                <w:sz w:val="20"/>
                <w:szCs w:val="20"/>
              </w:rPr>
              <w:t xml:space="preserve">Participação das transferências </w:t>
            </w:r>
          </w:p>
        </w:tc>
        <w:tc>
          <w:tcPr>
            <w:tcW w:w="1276" w:type="dxa"/>
            <w:shd w:val="clear" w:color="auto" w:fill="BDD6EE" w:themeFill="accent1" w:themeFillTint="66"/>
            <w:noWrap/>
            <w:vAlign w:val="center"/>
            <w:hideMark/>
          </w:tcPr>
          <w:p w:rsidR="006841BA" w:rsidRPr="0072678C" w:rsidRDefault="006841BA" w:rsidP="00A1767D">
            <w:pPr>
              <w:jc w:val="center"/>
              <w:rPr>
                <w:rFonts w:asciiTheme="minorHAnsi" w:hAnsiTheme="minorHAnsi" w:cstheme="minorHAnsi"/>
                <w:b/>
                <w:bCs/>
                <w:sz w:val="20"/>
                <w:szCs w:val="20"/>
              </w:rPr>
            </w:pPr>
            <w:r w:rsidRPr="0072678C">
              <w:rPr>
                <w:rFonts w:asciiTheme="minorHAnsi" w:hAnsiTheme="minorHAnsi" w:cstheme="minorHAnsi"/>
                <w:b/>
                <w:bCs/>
                <w:sz w:val="20"/>
                <w:szCs w:val="20"/>
              </w:rPr>
              <w:t> </w:t>
            </w:r>
          </w:p>
        </w:tc>
        <w:tc>
          <w:tcPr>
            <w:tcW w:w="1276" w:type="dxa"/>
            <w:shd w:val="clear" w:color="auto" w:fill="BDD6EE" w:themeFill="accent1" w:themeFillTint="66"/>
            <w:vAlign w:val="center"/>
            <w:hideMark/>
          </w:tcPr>
          <w:p w:rsidR="006841BA" w:rsidRPr="0072678C" w:rsidRDefault="006841BA" w:rsidP="00A1767D">
            <w:pPr>
              <w:jc w:val="center"/>
              <w:rPr>
                <w:rFonts w:asciiTheme="minorHAnsi" w:hAnsiTheme="minorHAnsi" w:cstheme="minorHAnsi"/>
                <w:sz w:val="20"/>
                <w:szCs w:val="20"/>
              </w:rPr>
            </w:pPr>
            <w:r w:rsidRPr="0072678C">
              <w:rPr>
                <w:rFonts w:asciiTheme="minorHAnsi" w:hAnsiTheme="minorHAnsi" w:cstheme="minorHAnsi"/>
                <w:sz w:val="20"/>
                <w:szCs w:val="20"/>
              </w:rPr>
              <w:t> </w:t>
            </w:r>
          </w:p>
        </w:tc>
      </w:tr>
      <w:tr w:rsidR="006841BA" w:rsidRPr="0072678C" w:rsidTr="00D14279">
        <w:trPr>
          <w:trHeight w:val="337"/>
        </w:trPr>
        <w:tc>
          <w:tcPr>
            <w:tcW w:w="6249" w:type="dxa"/>
            <w:shd w:val="clear" w:color="auto" w:fill="auto"/>
            <w:vAlign w:val="center"/>
            <w:hideMark/>
          </w:tcPr>
          <w:p w:rsidR="006841BA" w:rsidRPr="0072678C" w:rsidRDefault="006841BA" w:rsidP="00D14279">
            <w:pPr>
              <w:rPr>
                <w:rFonts w:asciiTheme="minorHAnsi" w:hAnsiTheme="minorHAnsi" w:cstheme="minorHAnsi"/>
                <w:iCs/>
                <w:sz w:val="20"/>
                <w:szCs w:val="20"/>
              </w:rPr>
            </w:pPr>
            <w:r w:rsidRPr="0072678C">
              <w:rPr>
                <w:rFonts w:asciiTheme="minorHAnsi" w:hAnsiTheme="minorHAnsi" w:cstheme="minorHAnsi"/>
                <w:iCs/>
                <w:sz w:val="20"/>
                <w:szCs w:val="20"/>
              </w:rPr>
              <w:t xml:space="preserve">Valor total </w:t>
            </w:r>
            <w:r w:rsidR="00D14279" w:rsidRPr="0072678C">
              <w:rPr>
                <w:rFonts w:asciiTheme="minorHAnsi" w:hAnsiTheme="minorHAnsi" w:cstheme="minorHAnsi"/>
                <w:iCs/>
                <w:sz w:val="20"/>
                <w:szCs w:val="20"/>
              </w:rPr>
              <w:t>das transferências</w:t>
            </w:r>
            <w:r w:rsidRPr="0072678C">
              <w:rPr>
                <w:rFonts w:asciiTheme="minorHAnsi" w:hAnsiTheme="minorHAnsi" w:cstheme="minorHAnsi"/>
                <w:iCs/>
                <w:sz w:val="20"/>
                <w:szCs w:val="20"/>
              </w:rPr>
              <w:t xml:space="preserve"> executadas / valor total das </w:t>
            </w:r>
            <w:proofErr w:type="gramStart"/>
            <w:r w:rsidRPr="0072678C">
              <w:rPr>
                <w:rFonts w:asciiTheme="minorHAnsi" w:hAnsiTheme="minorHAnsi" w:cstheme="minorHAnsi"/>
                <w:iCs/>
                <w:sz w:val="20"/>
                <w:szCs w:val="20"/>
              </w:rPr>
              <w:t>transferências  orçadas</w:t>
            </w:r>
            <w:proofErr w:type="gramEnd"/>
          </w:p>
        </w:tc>
        <w:tc>
          <w:tcPr>
            <w:tcW w:w="1276" w:type="dxa"/>
            <w:shd w:val="clear" w:color="000000" w:fill="FFFFFF"/>
            <w:noWrap/>
            <w:vAlign w:val="center"/>
            <w:hideMark/>
          </w:tcPr>
          <w:p w:rsidR="006841BA" w:rsidRPr="0072678C" w:rsidRDefault="006841BA" w:rsidP="00A1767D">
            <w:pPr>
              <w:jc w:val="center"/>
              <w:rPr>
                <w:rFonts w:asciiTheme="minorHAnsi" w:hAnsiTheme="minorHAnsi" w:cstheme="minorHAnsi"/>
                <w:b/>
                <w:bCs/>
                <w:sz w:val="20"/>
                <w:szCs w:val="20"/>
              </w:rPr>
            </w:pPr>
            <w:r w:rsidRPr="0072678C">
              <w:rPr>
                <w:rFonts w:asciiTheme="minorHAnsi" w:hAnsiTheme="minorHAnsi" w:cstheme="minorHAnsi"/>
                <w:b/>
                <w:bCs/>
                <w:sz w:val="20"/>
                <w:szCs w:val="20"/>
              </w:rPr>
              <w:t>98,17%</w:t>
            </w:r>
          </w:p>
        </w:tc>
        <w:tc>
          <w:tcPr>
            <w:tcW w:w="1276" w:type="dxa"/>
            <w:shd w:val="clear" w:color="auto" w:fill="auto"/>
            <w:vAlign w:val="center"/>
            <w:hideMark/>
          </w:tcPr>
          <w:p w:rsidR="006841BA" w:rsidRPr="0072678C" w:rsidRDefault="006841BA" w:rsidP="00A1767D">
            <w:pPr>
              <w:jc w:val="center"/>
              <w:rPr>
                <w:rFonts w:asciiTheme="minorHAnsi" w:hAnsiTheme="minorHAnsi" w:cstheme="minorHAnsi"/>
                <w:sz w:val="20"/>
                <w:szCs w:val="20"/>
              </w:rPr>
            </w:pPr>
            <w:proofErr w:type="spellStart"/>
            <w:r w:rsidRPr="0072678C">
              <w:rPr>
                <w:rFonts w:asciiTheme="minorHAnsi" w:hAnsiTheme="minorHAnsi" w:cstheme="minorHAnsi"/>
                <w:sz w:val="20"/>
                <w:szCs w:val="20"/>
              </w:rPr>
              <w:t>Siafem</w:t>
            </w:r>
            <w:proofErr w:type="spellEnd"/>
            <w:r w:rsidRPr="0072678C">
              <w:rPr>
                <w:rFonts w:asciiTheme="minorHAnsi" w:hAnsiTheme="minorHAnsi" w:cstheme="minorHAnsi"/>
                <w:sz w:val="20"/>
                <w:szCs w:val="20"/>
              </w:rPr>
              <w:t>/2017</w:t>
            </w:r>
          </w:p>
        </w:tc>
      </w:tr>
      <w:tr w:rsidR="006841BA" w:rsidRPr="0072678C" w:rsidTr="00D14279">
        <w:trPr>
          <w:trHeight w:val="401"/>
        </w:trPr>
        <w:tc>
          <w:tcPr>
            <w:tcW w:w="6249" w:type="dxa"/>
            <w:shd w:val="clear" w:color="auto" w:fill="auto"/>
            <w:vAlign w:val="center"/>
            <w:hideMark/>
          </w:tcPr>
          <w:p w:rsidR="006841BA" w:rsidRPr="0072678C" w:rsidRDefault="006841BA" w:rsidP="00D14279">
            <w:pPr>
              <w:rPr>
                <w:rFonts w:asciiTheme="minorHAnsi" w:hAnsiTheme="minorHAnsi" w:cstheme="minorHAnsi"/>
                <w:iCs/>
                <w:sz w:val="20"/>
                <w:szCs w:val="20"/>
              </w:rPr>
            </w:pPr>
            <w:r w:rsidRPr="0072678C">
              <w:rPr>
                <w:rFonts w:asciiTheme="minorHAnsi" w:hAnsiTheme="minorHAnsi" w:cstheme="minorHAnsi"/>
                <w:iCs/>
                <w:sz w:val="20"/>
                <w:szCs w:val="20"/>
              </w:rPr>
              <w:t xml:space="preserve">Valor total </w:t>
            </w:r>
            <w:r w:rsidR="00D14279" w:rsidRPr="0072678C">
              <w:rPr>
                <w:rFonts w:asciiTheme="minorHAnsi" w:hAnsiTheme="minorHAnsi" w:cstheme="minorHAnsi"/>
                <w:iCs/>
                <w:sz w:val="20"/>
                <w:szCs w:val="20"/>
              </w:rPr>
              <w:t>das transferências</w:t>
            </w:r>
            <w:r w:rsidRPr="0072678C">
              <w:rPr>
                <w:rFonts w:asciiTheme="minorHAnsi" w:hAnsiTheme="minorHAnsi" w:cstheme="minorHAnsi"/>
                <w:iCs/>
                <w:sz w:val="20"/>
                <w:szCs w:val="20"/>
              </w:rPr>
              <w:t xml:space="preserve"> obrigatórias executadas / valor total das transferências obrigatórias orçadas</w:t>
            </w:r>
          </w:p>
        </w:tc>
        <w:tc>
          <w:tcPr>
            <w:tcW w:w="1276" w:type="dxa"/>
            <w:shd w:val="clear" w:color="000000" w:fill="FFFFFF"/>
            <w:noWrap/>
            <w:vAlign w:val="center"/>
            <w:hideMark/>
          </w:tcPr>
          <w:p w:rsidR="006841BA" w:rsidRPr="0072678C" w:rsidRDefault="006841BA" w:rsidP="00A1767D">
            <w:pPr>
              <w:jc w:val="center"/>
              <w:rPr>
                <w:rFonts w:asciiTheme="minorHAnsi" w:hAnsiTheme="minorHAnsi" w:cstheme="minorHAnsi"/>
                <w:b/>
                <w:bCs/>
                <w:sz w:val="20"/>
                <w:szCs w:val="20"/>
              </w:rPr>
            </w:pPr>
            <w:r w:rsidRPr="0072678C">
              <w:rPr>
                <w:rFonts w:asciiTheme="minorHAnsi" w:hAnsiTheme="minorHAnsi" w:cstheme="minorHAnsi"/>
                <w:b/>
                <w:bCs/>
                <w:sz w:val="20"/>
                <w:szCs w:val="20"/>
              </w:rPr>
              <w:t>99,37%</w:t>
            </w:r>
          </w:p>
        </w:tc>
        <w:tc>
          <w:tcPr>
            <w:tcW w:w="1276" w:type="dxa"/>
            <w:shd w:val="clear" w:color="auto" w:fill="auto"/>
            <w:vAlign w:val="center"/>
            <w:hideMark/>
          </w:tcPr>
          <w:p w:rsidR="006841BA" w:rsidRPr="0072678C" w:rsidRDefault="006841BA" w:rsidP="00A1767D">
            <w:pPr>
              <w:jc w:val="center"/>
              <w:rPr>
                <w:rFonts w:asciiTheme="minorHAnsi" w:hAnsiTheme="minorHAnsi" w:cstheme="minorHAnsi"/>
                <w:sz w:val="20"/>
                <w:szCs w:val="20"/>
              </w:rPr>
            </w:pPr>
            <w:proofErr w:type="spellStart"/>
            <w:r w:rsidRPr="0072678C">
              <w:rPr>
                <w:rFonts w:asciiTheme="minorHAnsi" w:hAnsiTheme="minorHAnsi" w:cstheme="minorHAnsi"/>
                <w:sz w:val="20"/>
                <w:szCs w:val="20"/>
              </w:rPr>
              <w:t>Siafem</w:t>
            </w:r>
            <w:proofErr w:type="spellEnd"/>
            <w:r w:rsidRPr="0072678C">
              <w:rPr>
                <w:rFonts w:asciiTheme="minorHAnsi" w:hAnsiTheme="minorHAnsi" w:cstheme="minorHAnsi"/>
                <w:sz w:val="20"/>
                <w:szCs w:val="20"/>
              </w:rPr>
              <w:t>/2017</w:t>
            </w:r>
          </w:p>
        </w:tc>
      </w:tr>
      <w:tr w:rsidR="006841BA" w:rsidRPr="0072678C" w:rsidTr="00D14279">
        <w:trPr>
          <w:trHeight w:val="465"/>
        </w:trPr>
        <w:tc>
          <w:tcPr>
            <w:tcW w:w="6249" w:type="dxa"/>
            <w:shd w:val="clear" w:color="auto" w:fill="auto"/>
            <w:vAlign w:val="center"/>
            <w:hideMark/>
          </w:tcPr>
          <w:p w:rsidR="006841BA" w:rsidRPr="0072678C" w:rsidRDefault="006841BA" w:rsidP="00D14279">
            <w:pPr>
              <w:rPr>
                <w:rFonts w:asciiTheme="minorHAnsi" w:hAnsiTheme="minorHAnsi" w:cstheme="minorHAnsi"/>
                <w:iCs/>
                <w:sz w:val="20"/>
                <w:szCs w:val="20"/>
              </w:rPr>
            </w:pPr>
            <w:r w:rsidRPr="0072678C">
              <w:rPr>
                <w:rFonts w:asciiTheme="minorHAnsi" w:hAnsiTheme="minorHAnsi" w:cstheme="minorHAnsi"/>
                <w:iCs/>
                <w:sz w:val="20"/>
                <w:szCs w:val="20"/>
              </w:rPr>
              <w:t xml:space="preserve">Valor total </w:t>
            </w:r>
            <w:r w:rsidR="00D14279" w:rsidRPr="0072678C">
              <w:rPr>
                <w:rFonts w:asciiTheme="minorHAnsi" w:hAnsiTheme="minorHAnsi" w:cstheme="minorHAnsi"/>
                <w:iCs/>
                <w:sz w:val="20"/>
                <w:szCs w:val="20"/>
              </w:rPr>
              <w:t>das transferências</w:t>
            </w:r>
            <w:r w:rsidRPr="0072678C">
              <w:rPr>
                <w:rFonts w:asciiTheme="minorHAnsi" w:hAnsiTheme="minorHAnsi" w:cstheme="minorHAnsi"/>
                <w:iCs/>
                <w:sz w:val="20"/>
                <w:szCs w:val="20"/>
              </w:rPr>
              <w:t xml:space="preserve"> voluntárias executadas / valor total das transferências voluntárias orçadas</w:t>
            </w:r>
          </w:p>
        </w:tc>
        <w:tc>
          <w:tcPr>
            <w:tcW w:w="1276" w:type="dxa"/>
            <w:shd w:val="clear" w:color="000000" w:fill="FFFFFF"/>
            <w:noWrap/>
            <w:vAlign w:val="center"/>
            <w:hideMark/>
          </w:tcPr>
          <w:p w:rsidR="006841BA" w:rsidRPr="0072678C" w:rsidRDefault="006841BA" w:rsidP="00A1767D">
            <w:pPr>
              <w:jc w:val="center"/>
              <w:rPr>
                <w:rFonts w:asciiTheme="minorHAnsi" w:hAnsiTheme="minorHAnsi" w:cstheme="minorHAnsi"/>
                <w:b/>
                <w:bCs/>
                <w:sz w:val="20"/>
                <w:szCs w:val="20"/>
              </w:rPr>
            </w:pPr>
            <w:r w:rsidRPr="0072678C">
              <w:rPr>
                <w:rFonts w:asciiTheme="minorHAnsi" w:hAnsiTheme="minorHAnsi" w:cstheme="minorHAnsi"/>
                <w:b/>
                <w:bCs/>
                <w:sz w:val="20"/>
                <w:szCs w:val="20"/>
              </w:rPr>
              <w:t>83,16%</w:t>
            </w:r>
          </w:p>
        </w:tc>
        <w:tc>
          <w:tcPr>
            <w:tcW w:w="1276" w:type="dxa"/>
            <w:shd w:val="clear" w:color="auto" w:fill="auto"/>
            <w:vAlign w:val="center"/>
            <w:hideMark/>
          </w:tcPr>
          <w:p w:rsidR="006841BA" w:rsidRPr="0072678C" w:rsidRDefault="006841BA" w:rsidP="00A1767D">
            <w:pPr>
              <w:jc w:val="center"/>
              <w:rPr>
                <w:rFonts w:asciiTheme="minorHAnsi" w:hAnsiTheme="minorHAnsi" w:cstheme="minorHAnsi"/>
                <w:sz w:val="20"/>
                <w:szCs w:val="20"/>
              </w:rPr>
            </w:pPr>
            <w:proofErr w:type="spellStart"/>
            <w:r w:rsidRPr="0072678C">
              <w:rPr>
                <w:rFonts w:asciiTheme="minorHAnsi" w:hAnsiTheme="minorHAnsi" w:cstheme="minorHAnsi"/>
                <w:sz w:val="20"/>
                <w:szCs w:val="20"/>
              </w:rPr>
              <w:t>Siafem</w:t>
            </w:r>
            <w:proofErr w:type="spellEnd"/>
            <w:r w:rsidRPr="0072678C">
              <w:rPr>
                <w:rFonts w:asciiTheme="minorHAnsi" w:hAnsiTheme="minorHAnsi" w:cstheme="minorHAnsi"/>
                <w:sz w:val="20"/>
                <w:szCs w:val="20"/>
              </w:rPr>
              <w:t>/2017</w:t>
            </w:r>
          </w:p>
        </w:tc>
      </w:tr>
      <w:tr w:rsidR="006841BA" w:rsidRPr="0072678C" w:rsidTr="005D7087">
        <w:trPr>
          <w:trHeight w:val="330"/>
        </w:trPr>
        <w:tc>
          <w:tcPr>
            <w:tcW w:w="6249" w:type="dxa"/>
            <w:shd w:val="clear" w:color="auto" w:fill="BDD6EE" w:themeFill="accent1" w:themeFillTint="66"/>
            <w:vAlign w:val="center"/>
            <w:hideMark/>
          </w:tcPr>
          <w:p w:rsidR="006841BA" w:rsidRPr="0072678C" w:rsidRDefault="006841BA" w:rsidP="00A1767D">
            <w:pPr>
              <w:rPr>
                <w:rFonts w:asciiTheme="minorHAnsi" w:hAnsiTheme="minorHAnsi" w:cstheme="minorHAnsi"/>
                <w:b/>
                <w:bCs/>
                <w:sz w:val="20"/>
                <w:szCs w:val="20"/>
              </w:rPr>
            </w:pPr>
            <w:r w:rsidRPr="0072678C">
              <w:rPr>
                <w:rFonts w:asciiTheme="minorHAnsi" w:hAnsiTheme="minorHAnsi" w:cstheme="minorHAnsi"/>
                <w:b/>
                <w:bCs/>
                <w:sz w:val="20"/>
                <w:szCs w:val="20"/>
              </w:rPr>
              <w:t>Pagamentos de despesas em atraso</w:t>
            </w:r>
          </w:p>
        </w:tc>
        <w:tc>
          <w:tcPr>
            <w:tcW w:w="1276" w:type="dxa"/>
            <w:shd w:val="clear" w:color="auto" w:fill="BDD6EE" w:themeFill="accent1" w:themeFillTint="66"/>
            <w:noWrap/>
            <w:vAlign w:val="center"/>
            <w:hideMark/>
          </w:tcPr>
          <w:p w:rsidR="006841BA" w:rsidRPr="0072678C" w:rsidRDefault="006841BA" w:rsidP="00A1767D">
            <w:pPr>
              <w:jc w:val="center"/>
              <w:rPr>
                <w:rFonts w:asciiTheme="minorHAnsi" w:hAnsiTheme="minorHAnsi" w:cstheme="minorHAnsi"/>
                <w:b/>
                <w:bCs/>
                <w:sz w:val="20"/>
                <w:szCs w:val="20"/>
              </w:rPr>
            </w:pPr>
            <w:r w:rsidRPr="0072678C">
              <w:rPr>
                <w:rFonts w:asciiTheme="minorHAnsi" w:hAnsiTheme="minorHAnsi" w:cstheme="minorHAnsi"/>
                <w:b/>
                <w:bCs/>
                <w:sz w:val="20"/>
                <w:szCs w:val="20"/>
              </w:rPr>
              <w:t> </w:t>
            </w:r>
          </w:p>
        </w:tc>
        <w:tc>
          <w:tcPr>
            <w:tcW w:w="1276" w:type="dxa"/>
            <w:shd w:val="clear" w:color="auto" w:fill="BDD6EE" w:themeFill="accent1" w:themeFillTint="66"/>
            <w:vAlign w:val="center"/>
            <w:hideMark/>
          </w:tcPr>
          <w:p w:rsidR="006841BA" w:rsidRPr="0072678C" w:rsidRDefault="006841BA" w:rsidP="00A1767D">
            <w:pPr>
              <w:jc w:val="center"/>
              <w:rPr>
                <w:rFonts w:asciiTheme="minorHAnsi" w:hAnsiTheme="minorHAnsi" w:cstheme="minorHAnsi"/>
                <w:sz w:val="20"/>
                <w:szCs w:val="20"/>
              </w:rPr>
            </w:pPr>
            <w:r w:rsidRPr="0072678C">
              <w:rPr>
                <w:rFonts w:asciiTheme="minorHAnsi" w:hAnsiTheme="minorHAnsi" w:cstheme="minorHAnsi"/>
                <w:sz w:val="20"/>
                <w:szCs w:val="20"/>
              </w:rPr>
              <w:t> </w:t>
            </w:r>
          </w:p>
        </w:tc>
      </w:tr>
      <w:tr w:rsidR="006841BA" w:rsidRPr="0072678C" w:rsidTr="00D14279">
        <w:trPr>
          <w:trHeight w:val="308"/>
        </w:trPr>
        <w:tc>
          <w:tcPr>
            <w:tcW w:w="6249" w:type="dxa"/>
            <w:shd w:val="clear" w:color="auto" w:fill="auto"/>
            <w:vAlign w:val="center"/>
            <w:hideMark/>
          </w:tcPr>
          <w:p w:rsidR="006841BA" w:rsidRPr="0072678C" w:rsidRDefault="006841BA" w:rsidP="00D14279">
            <w:pPr>
              <w:rPr>
                <w:rFonts w:asciiTheme="minorHAnsi" w:hAnsiTheme="minorHAnsi" w:cstheme="minorHAnsi"/>
                <w:iCs/>
                <w:sz w:val="20"/>
                <w:szCs w:val="20"/>
              </w:rPr>
            </w:pPr>
            <w:r w:rsidRPr="0072678C">
              <w:rPr>
                <w:rFonts w:asciiTheme="minorHAnsi" w:hAnsiTheme="minorHAnsi" w:cstheme="minorHAnsi"/>
                <w:iCs/>
                <w:sz w:val="20"/>
                <w:szCs w:val="20"/>
              </w:rPr>
              <w:lastRenderedPageBreak/>
              <w:t>Valor total das despesas pagas em atraso / valor total das despesas do exercício financeiro correspondente</w:t>
            </w:r>
          </w:p>
        </w:tc>
        <w:tc>
          <w:tcPr>
            <w:tcW w:w="1276" w:type="dxa"/>
            <w:shd w:val="clear" w:color="000000" w:fill="FFFFFF"/>
            <w:noWrap/>
            <w:vAlign w:val="center"/>
            <w:hideMark/>
          </w:tcPr>
          <w:p w:rsidR="006841BA" w:rsidRPr="0072678C" w:rsidRDefault="006841BA" w:rsidP="00A1767D">
            <w:pPr>
              <w:jc w:val="center"/>
              <w:rPr>
                <w:rFonts w:asciiTheme="minorHAnsi" w:hAnsiTheme="minorHAnsi" w:cstheme="minorHAnsi"/>
                <w:b/>
                <w:bCs/>
                <w:sz w:val="20"/>
                <w:szCs w:val="20"/>
              </w:rPr>
            </w:pPr>
            <w:r w:rsidRPr="0072678C">
              <w:rPr>
                <w:rFonts w:asciiTheme="minorHAnsi" w:hAnsiTheme="minorHAnsi" w:cstheme="minorHAnsi"/>
                <w:b/>
                <w:bCs/>
                <w:sz w:val="20"/>
                <w:szCs w:val="20"/>
              </w:rPr>
              <w:t>0,98%</w:t>
            </w:r>
          </w:p>
        </w:tc>
        <w:tc>
          <w:tcPr>
            <w:tcW w:w="1276" w:type="dxa"/>
            <w:shd w:val="clear" w:color="auto" w:fill="auto"/>
            <w:vAlign w:val="center"/>
            <w:hideMark/>
          </w:tcPr>
          <w:p w:rsidR="006841BA" w:rsidRPr="0072678C" w:rsidRDefault="006841BA" w:rsidP="00A1767D">
            <w:pPr>
              <w:jc w:val="center"/>
              <w:rPr>
                <w:rFonts w:asciiTheme="minorHAnsi" w:hAnsiTheme="minorHAnsi" w:cstheme="minorHAnsi"/>
                <w:sz w:val="20"/>
                <w:szCs w:val="20"/>
              </w:rPr>
            </w:pPr>
            <w:proofErr w:type="spellStart"/>
            <w:r w:rsidRPr="0072678C">
              <w:rPr>
                <w:rFonts w:asciiTheme="minorHAnsi" w:hAnsiTheme="minorHAnsi" w:cstheme="minorHAnsi"/>
                <w:sz w:val="20"/>
                <w:szCs w:val="20"/>
              </w:rPr>
              <w:t>Siafem</w:t>
            </w:r>
            <w:proofErr w:type="spellEnd"/>
            <w:r w:rsidRPr="0072678C">
              <w:rPr>
                <w:rFonts w:asciiTheme="minorHAnsi" w:hAnsiTheme="minorHAnsi" w:cstheme="minorHAnsi"/>
                <w:sz w:val="20"/>
                <w:szCs w:val="20"/>
              </w:rPr>
              <w:t>/2017</w:t>
            </w:r>
          </w:p>
        </w:tc>
      </w:tr>
      <w:tr w:rsidR="006841BA" w:rsidRPr="0072678C" w:rsidTr="00D14279">
        <w:trPr>
          <w:trHeight w:val="514"/>
        </w:trPr>
        <w:tc>
          <w:tcPr>
            <w:tcW w:w="6249" w:type="dxa"/>
            <w:shd w:val="clear" w:color="auto" w:fill="auto"/>
            <w:vAlign w:val="center"/>
            <w:hideMark/>
          </w:tcPr>
          <w:p w:rsidR="006841BA" w:rsidRPr="0072678C" w:rsidRDefault="006841BA" w:rsidP="00D14279">
            <w:pPr>
              <w:rPr>
                <w:rFonts w:asciiTheme="minorHAnsi" w:hAnsiTheme="minorHAnsi" w:cstheme="minorHAnsi"/>
                <w:iCs/>
                <w:sz w:val="20"/>
                <w:szCs w:val="20"/>
              </w:rPr>
            </w:pPr>
            <w:r w:rsidRPr="0072678C">
              <w:rPr>
                <w:rFonts w:asciiTheme="minorHAnsi" w:hAnsiTheme="minorHAnsi" w:cstheme="minorHAnsi"/>
                <w:iCs/>
                <w:sz w:val="20"/>
                <w:szCs w:val="20"/>
              </w:rPr>
              <w:t>Valor total de juros e correção pagos por atraso / valor total das despesas pagas no exercício financeiro correspondente</w:t>
            </w:r>
          </w:p>
        </w:tc>
        <w:tc>
          <w:tcPr>
            <w:tcW w:w="1276" w:type="dxa"/>
            <w:shd w:val="clear" w:color="000000" w:fill="FFFFFF"/>
            <w:noWrap/>
            <w:vAlign w:val="center"/>
            <w:hideMark/>
          </w:tcPr>
          <w:p w:rsidR="006841BA" w:rsidRPr="0072678C" w:rsidRDefault="006841BA" w:rsidP="00A1767D">
            <w:pPr>
              <w:jc w:val="center"/>
              <w:rPr>
                <w:rFonts w:asciiTheme="minorHAnsi" w:hAnsiTheme="minorHAnsi" w:cstheme="minorHAnsi"/>
                <w:b/>
                <w:bCs/>
                <w:sz w:val="20"/>
                <w:szCs w:val="20"/>
              </w:rPr>
            </w:pPr>
            <w:r w:rsidRPr="0072678C">
              <w:rPr>
                <w:rFonts w:asciiTheme="minorHAnsi" w:hAnsiTheme="minorHAnsi" w:cstheme="minorHAnsi"/>
                <w:b/>
                <w:bCs/>
                <w:sz w:val="20"/>
                <w:szCs w:val="20"/>
              </w:rPr>
              <w:t>0,00%</w:t>
            </w:r>
          </w:p>
        </w:tc>
        <w:tc>
          <w:tcPr>
            <w:tcW w:w="1276" w:type="dxa"/>
            <w:shd w:val="clear" w:color="auto" w:fill="auto"/>
            <w:vAlign w:val="center"/>
            <w:hideMark/>
          </w:tcPr>
          <w:p w:rsidR="006841BA" w:rsidRPr="0072678C" w:rsidRDefault="006841BA" w:rsidP="00A1767D">
            <w:pPr>
              <w:jc w:val="center"/>
              <w:rPr>
                <w:rFonts w:asciiTheme="minorHAnsi" w:hAnsiTheme="minorHAnsi" w:cstheme="minorHAnsi"/>
                <w:sz w:val="20"/>
                <w:szCs w:val="20"/>
              </w:rPr>
            </w:pPr>
            <w:r w:rsidRPr="0072678C">
              <w:rPr>
                <w:rFonts w:asciiTheme="minorHAnsi" w:hAnsiTheme="minorHAnsi" w:cstheme="minorHAnsi"/>
                <w:sz w:val="20"/>
                <w:szCs w:val="20"/>
              </w:rPr>
              <w:t> </w:t>
            </w:r>
          </w:p>
        </w:tc>
      </w:tr>
      <w:tr w:rsidR="006841BA" w:rsidRPr="0072678C" w:rsidTr="00D14279">
        <w:trPr>
          <w:trHeight w:val="394"/>
        </w:trPr>
        <w:tc>
          <w:tcPr>
            <w:tcW w:w="6249" w:type="dxa"/>
            <w:shd w:val="clear" w:color="auto" w:fill="auto"/>
            <w:vAlign w:val="center"/>
            <w:hideMark/>
          </w:tcPr>
          <w:p w:rsidR="006841BA" w:rsidRPr="0072678C" w:rsidRDefault="006841BA" w:rsidP="00D14279">
            <w:pPr>
              <w:rPr>
                <w:rFonts w:asciiTheme="minorHAnsi" w:hAnsiTheme="minorHAnsi" w:cstheme="minorHAnsi"/>
                <w:iCs/>
                <w:sz w:val="20"/>
                <w:szCs w:val="20"/>
              </w:rPr>
            </w:pPr>
            <w:r w:rsidRPr="0072678C">
              <w:rPr>
                <w:rFonts w:asciiTheme="minorHAnsi" w:hAnsiTheme="minorHAnsi" w:cstheme="minorHAnsi"/>
                <w:iCs/>
                <w:sz w:val="20"/>
                <w:szCs w:val="20"/>
              </w:rPr>
              <w:t>Valor total das despesas em atraso no final do exercício / valor total das despesas do exercício financeiro correspondente</w:t>
            </w:r>
          </w:p>
        </w:tc>
        <w:tc>
          <w:tcPr>
            <w:tcW w:w="1276" w:type="dxa"/>
            <w:shd w:val="clear" w:color="000000" w:fill="FFFFFF"/>
            <w:noWrap/>
            <w:vAlign w:val="center"/>
            <w:hideMark/>
          </w:tcPr>
          <w:p w:rsidR="006841BA" w:rsidRPr="0072678C" w:rsidRDefault="006841BA" w:rsidP="00A1767D">
            <w:pPr>
              <w:jc w:val="center"/>
              <w:rPr>
                <w:rFonts w:asciiTheme="minorHAnsi" w:hAnsiTheme="minorHAnsi" w:cstheme="minorHAnsi"/>
                <w:b/>
                <w:bCs/>
                <w:sz w:val="20"/>
                <w:szCs w:val="20"/>
              </w:rPr>
            </w:pPr>
            <w:r w:rsidRPr="0072678C">
              <w:rPr>
                <w:rFonts w:asciiTheme="minorHAnsi" w:hAnsiTheme="minorHAnsi" w:cstheme="minorHAnsi"/>
                <w:b/>
                <w:bCs/>
                <w:sz w:val="20"/>
                <w:szCs w:val="20"/>
              </w:rPr>
              <w:t>0,00%</w:t>
            </w:r>
          </w:p>
        </w:tc>
        <w:tc>
          <w:tcPr>
            <w:tcW w:w="1276" w:type="dxa"/>
            <w:shd w:val="clear" w:color="auto" w:fill="auto"/>
            <w:vAlign w:val="center"/>
            <w:hideMark/>
          </w:tcPr>
          <w:p w:rsidR="006841BA" w:rsidRPr="0072678C" w:rsidRDefault="006841BA" w:rsidP="00A1767D">
            <w:pPr>
              <w:jc w:val="center"/>
              <w:rPr>
                <w:rFonts w:asciiTheme="minorHAnsi" w:hAnsiTheme="minorHAnsi" w:cstheme="minorHAnsi"/>
                <w:sz w:val="20"/>
                <w:szCs w:val="20"/>
              </w:rPr>
            </w:pPr>
            <w:r w:rsidRPr="0072678C">
              <w:rPr>
                <w:rFonts w:asciiTheme="minorHAnsi" w:hAnsiTheme="minorHAnsi" w:cstheme="minorHAnsi"/>
                <w:sz w:val="20"/>
                <w:szCs w:val="20"/>
              </w:rPr>
              <w:t> </w:t>
            </w:r>
          </w:p>
        </w:tc>
      </w:tr>
    </w:tbl>
    <w:p w:rsidR="00297EDA" w:rsidRPr="0072678C" w:rsidRDefault="00297EDA"/>
    <w:p w:rsidR="00B44516" w:rsidRPr="0072678C" w:rsidRDefault="00B44516" w:rsidP="00B44516">
      <w:pPr>
        <w:jc w:val="both"/>
        <w:rPr>
          <w:rFonts w:asciiTheme="minorHAnsi" w:hAnsiTheme="minorHAnsi" w:cstheme="minorHAnsi"/>
          <w:b/>
          <w:sz w:val="22"/>
          <w:szCs w:val="22"/>
        </w:rPr>
      </w:pPr>
    </w:p>
    <w:tbl>
      <w:tblPr>
        <w:tblStyle w:val="TableGrid"/>
        <w:tblW w:w="8789" w:type="dxa"/>
        <w:tblInd w:w="108" w:type="dxa"/>
        <w:shd w:val="clear" w:color="auto" w:fill="D9E2F3" w:themeFill="accent5" w:themeFillTint="33"/>
        <w:tblLook w:val="04A0" w:firstRow="1" w:lastRow="0" w:firstColumn="1" w:lastColumn="0" w:noHBand="0" w:noVBand="1"/>
      </w:tblPr>
      <w:tblGrid>
        <w:gridCol w:w="6521"/>
        <w:gridCol w:w="2268"/>
      </w:tblGrid>
      <w:tr w:rsidR="00B44516" w:rsidRPr="0072678C" w:rsidTr="005D7087">
        <w:tc>
          <w:tcPr>
            <w:tcW w:w="6521" w:type="dxa"/>
            <w:shd w:val="clear" w:color="auto" w:fill="D9E2F3" w:themeFill="accent5" w:themeFillTint="33"/>
          </w:tcPr>
          <w:p w:rsidR="00B65C04" w:rsidRPr="0072678C" w:rsidRDefault="00B44516" w:rsidP="00B44516">
            <w:pPr>
              <w:spacing w:before="120" w:after="120"/>
              <w:jc w:val="both"/>
              <w:rPr>
                <w:rFonts w:asciiTheme="minorHAnsi" w:hAnsiTheme="minorHAnsi" w:cstheme="minorHAnsi"/>
                <w:b/>
                <w:color w:val="FF0000"/>
              </w:rPr>
            </w:pPr>
            <w:r w:rsidRPr="0072678C">
              <w:rPr>
                <w:rFonts w:asciiTheme="minorHAnsi" w:hAnsiTheme="minorHAnsi" w:cstheme="minorHAnsi"/>
                <w:b/>
                <w:color w:val="FF0000"/>
              </w:rPr>
              <w:t>Dimensão AF 3. Gestão de Ativos e Passivos</w:t>
            </w:r>
          </w:p>
        </w:tc>
        <w:tc>
          <w:tcPr>
            <w:tcW w:w="2268" w:type="dxa"/>
            <w:shd w:val="clear" w:color="auto" w:fill="D9E2F3" w:themeFill="accent5" w:themeFillTint="33"/>
          </w:tcPr>
          <w:p w:rsidR="00B44516" w:rsidRPr="0072678C" w:rsidRDefault="00C71243" w:rsidP="00B44516">
            <w:pPr>
              <w:spacing w:before="120" w:after="120"/>
              <w:jc w:val="center"/>
              <w:rPr>
                <w:rFonts w:asciiTheme="minorHAnsi" w:hAnsiTheme="minorHAnsi" w:cstheme="minorHAnsi"/>
                <w:b/>
                <w:color w:val="FF0000"/>
              </w:rPr>
            </w:pPr>
            <w:r w:rsidRPr="0072678C">
              <w:rPr>
                <w:rFonts w:asciiTheme="minorHAnsi" w:hAnsiTheme="minorHAnsi" w:cstheme="minorHAnsi"/>
                <w:b/>
                <w:bCs/>
                <w:color w:val="FF0000"/>
              </w:rPr>
              <w:t>INTERMEDIÁRIO (-)</w:t>
            </w:r>
          </w:p>
        </w:tc>
      </w:tr>
    </w:tbl>
    <w:p w:rsidR="00B44516" w:rsidRPr="00064EE5"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 visão de futuro da dimensão </w:t>
      </w:r>
      <w:r w:rsidRPr="0072678C">
        <w:rPr>
          <w:rFonts w:asciiTheme="minorHAnsi" w:hAnsiTheme="minorHAnsi" w:cstheme="minorHAnsi"/>
          <w:b/>
          <w:sz w:val="22"/>
          <w:szCs w:val="22"/>
        </w:rPr>
        <w:t>Gestão de Ativos e Passivos</w:t>
      </w:r>
      <w:r w:rsidRPr="0072678C">
        <w:rPr>
          <w:rFonts w:asciiTheme="minorHAnsi" w:hAnsiTheme="minorHAnsi" w:cstheme="minorHAnsi"/>
          <w:sz w:val="22"/>
          <w:szCs w:val="22"/>
        </w:rPr>
        <w:t xml:space="preserve"> é “executar a gestão dos ativos e passivos com </w:t>
      </w:r>
      <w:r w:rsidRPr="00064EE5">
        <w:rPr>
          <w:rFonts w:asciiTheme="minorHAnsi" w:hAnsiTheme="minorHAnsi" w:cstheme="minorHAnsi"/>
          <w:sz w:val="22"/>
          <w:szCs w:val="22"/>
        </w:rPr>
        <w:t>base em análise de custo-benefício e de riscos fiscais”.</w:t>
      </w:r>
    </w:p>
    <w:p w:rsidR="00B44516" w:rsidRPr="00064EE5" w:rsidRDefault="00B44516" w:rsidP="00B44516">
      <w:pPr>
        <w:spacing w:before="240" w:after="240"/>
        <w:jc w:val="both"/>
        <w:rPr>
          <w:rFonts w:asciiTheme="minorHAnsi" w:hAnsiTheme="minorHAnsi" w:cstheme="minorHAnsi"/>
          <w:b/>
          <w:sz w:val="22"/>
          <w:szCs w:val="22"/>
        </w:rPr>
      </w:pPr>
      <w:r w:rsidRPr="00064EE5">
        <w:rPr>
          <w:rFonts w:asciiTheme="minorHAnsi" w:hAnsiTheme="minorHAnsi" w:cstheme="minorHAnsi"/>
          <w:sz w:val="22"/>
          <w:szCs w:val="22"/>
        </w:rPr>
        <w:t>Nesta dimensão, o nível ou estágio de maturidade do conjunto de processos que a compõe, conforme apurado pela MD</w:t>
      </w:r>
      <w:r w:rsidR="00C71243" w:rsidRPr="00064EE5">
        <w:rPr>
          <w:rFonts w:asciiTheme="minorHAnsi" w:hAnsiTheme="minorHAnsi" w:cstheme="minorHAnsi"/>
          <w:sz w:val="22"/>
          <w:szCs w:val="22"/>
        </w:rPr>
        <w:t>-</w:t>
      </w:r>
      <w:r w:rsidRPr="00064EE5">
        <w:rPr>
          <w:rFonts w:asciiTheme="minorHAnsi" w:hAnsiTheme="minorHAnsi" w:cstheme="minorHAnsi"/>
          <w:sz w:val="22"/>
          <w:szCs w:val="22"/>
        </w:rPr>
        <w:t xml:space="preserve">GEFIS, é </w:t>
      </w:r>
      <w:r w:rsidR="007627BD" w:rsidRPr="00064EE5">
        <w:rPr>
          <w:rFonts w:asciiTheme="minorHAnsi" w:hAnsiTheme="minorHAnsi" w:cstheme="minorHAnsi"/>
          <w:b/>
          <w:bCs/>
          <w:sz w:val="22"/>
          <w:szCs w:val="22"/>
        </w:rPr>
        <w:t>IN</w:t>
      </w:r>
      <w:r w:rsidR="00C71243" w:rsidRPr="00064EE5">
        <w:rPr>
          <w:rFonts w:asciiTheme="minorHAnsi" w:hAnsiTheme="minorHAnsi" w:cstheme="minorHAnsi"/>
          <w:b/>
          <w:bCs/>
          <w:sz w:val="22"/>
          <w:szCs w:val="22"/>
        </w:rPr>
        <w:t>TERMEDIÁRIO (-)</w:t>
      </w:r>
      <w:r w:rsidRPr="00064EE5">
        <w:rPr>
          <w:rFonts w:asciiTheme="minorHAnsi" w:hAnsiTheme="minorHAnsi" w:cstheme="minorHAnsi"/>
          <w:b/>
          <w:sz w:val="22"/>
          <w:szCs w:val="22"/>
        </w:rPr>
        <w:t>.</w:t>
      </w:r>
    </w:p>
    <w:p w:rsidR="007627BD" w:rsidRPr="00064EE5" w:rsidRDefault="007627BD" w:rsidP="00B44516">
      <w:pPr>
        <w:spacing w:before="240" w:after="240"/>
        <w:jc w:val="both"/>
        <w:rPr>
          <w:rFonts w:asciiTheme="minorHAnsi" w:hAnsiTheme="minorHAnsi" w:cstheme="minorHAnsi"/>
          <w:b/>
          <w:sz w:val="22"/>
          <w:szCs w:val="22"/>
        </w:rPr>
      </w:pPr>
      <w:r w:rsidRPr="00064EE5">
        <w:rPr>
          <w:rFonts w:asciiTheme="minorHAnsi" w:hAnsiTheme="minorHAnsi" w:cstheme="minorHAnsi"/>
          <w:sz w:val="22"/>
          <w:szCs w:val="22"/>
        </w:rPr>
        <w:t xml:space="preserve">Este resultado decorre principalmente pelo nível 3 de maturidade de </w:t>
      </w:r>
      <w:r w:rsidR="00701FCD" w:rsidRPr="00064EE5">
        <w:rPr>
          <w:rFonts w:asciiTheme="minorHAnsi" w:hAnsiTheme="minorHAnsi" w:cstheme="minorHAnsi"/>
          <w:sz w:val="22"/>
          <w:szCs w:val="22"/>
        </w:rPr>
        <w:t>1</w:t>
      </w:r>
      <w:r w:rsidRPr="00064EE5">
        <w:rPr>
          <w:rFonts w:asciiTheme="minorHAnsi" w:hAnsiTheme="minorHAnsi" w:cstheme="minorHAnsi"/>
          <w:sz w:val="22"/>
          <w:szCs w:val="22"/>
        </w:rPr>
        <w:t xml:space="preserve"> dentre os 7 p</w:t>
      </w:r>
      <w:r w:rsidR="00695396" w:rsidRPr="00064EE5">
        <w:rPr>
          <w:rFonts w:asciiTheme="minorHAnsi" w:hAnsiTheme="minorHAnsi" w:cstheme="minorHAnsi"/>
          <w:sz w:val="22"/>
          <w:szCs w:val="22"/>
        </w:rPr>
        <w:t>rocessos analisados, ou seja, o processo crítico</w:t>
      </w:r>
      <w:r w:rsidRPr="00064EE5">
        <w:rPr>
          <w:rFonts w:asciiTheme="minorHAnsi" w:hAnsiTheme="minorHAnsi" w:cstheme="minorHAnsi"/>
          <w:sz w:val="22"/>
          <w:szCs w:val="22"/>
        </w:rPr>
        <w:t xml:space="preserve"> </w:t>
      </w:r>
      <w:r w:rsidRPr="00064EE5">
        <w:rPr>
          <w:rFonts w:asciiTheme="minorHAnsi" w:hAnsiTheme="minorHAnsi" w:cstheme="minorHAnsi"/>
          <w:b/>
          <w:i/>
          <w:sz w:val="22"/>
          <w:szCs w:val="22"/>
        </w:rPr>
        <w:t>gestão de obrigações estaduais geridas pelo Tesouro</w:t>
      </w:r>
      <w:r w:rsidR="00695396" w:rsidRPr="00064EE5">
        <w:rPr>
          <w:rFonts w:asciiTheme="minorHAnsi" w:hAnsiTheme="minorHAnsi" w:cstheme="minorHAnsi"/>
          <w:b/>
          <w:i/>
          <w:sz w:val="22"/>
          <w:szCs w:val="22"/>
        </w:rPr>
        <w:t xml:space="preserve"> </w:t>
      </w:r>
      <w:r w:rsidRPr="00064EE5">
        <w:rPr>
          <w:rFonts w:asciiTheme="minorHAnsi" w:hAnsiTheme="minorHAnsi" w:cstheme="minorHAnsi"/>
          <w:sz w:val="22"/>
          <w:szCs w:val="22"/>
        </w:rPr>
        <w:t>que adota</w:t>
      </w:r>
      <w:r w:rsidRPr="00064EE5">
        <w:rPr>
          <w:rFonts w:asciiTheme="minorHAnsi" w:hAnsiTheme="minorHAnsi" w:cstheme="minorHAnsi"/>
          <w:b/>
          <w:bCs/>
          <w:i/>
          <w:iCs/>
          <w:sz w:val="22"/>
          <w:szCs w:val="22"/>
        </w:rPr>
        <w:t xml:space="preserve"> </w:t>
      </w:r>
      <w:r w:rsidRPr="00064EE5">
        <w:rPr>
          <w:rFonts w:asciiTheme="minorHAnsi" w:hAnsiTheme="minorHAnsi" w:cstheme="minorHAnsi"/>
          <w:sz w:val="22"/>
          <w:szCs w:val="22"/>
        </w:rPr>
        <w:t>um número alto das boas práticas da MD-GEFIS.</w:t>
      </w:r>
      <w:r w:rsidRPr="00064EE5">
        <w:rPr>
          <w:rFonts w:asciiTheme="minorHAnsi" w:hAnsiTheme="minorHAnsi" w:cstheme="minorHAnsi"/>
          <w:b/>
          <w:sz w:val="22"/>
          <w:szCs w:val="22"/>
        </w:rPr>
        <w:t xml:space="preserve"> </w:t>
      </w:r>
    </w:p>
    <w:p w:rsidR="001A7EE1" w:rsidRPr="00064EE5" w:rsidRDefault="001A7EE1" w:rsidP="00B44516">
      <w:pPr>
        <w:spacing w:before="240" w:after="240"/>
        <w:jc w:val="both"/>
        <w:rPr>
          <w:rFonts w:asciiTheme="minorHAnsi" w:hAnsiTheme="minorHAnsi" w:cstheme="minorHAnsi"/>
          <w:sz w:val="22"/>
          <w:szCs w:val="22"/>
        </w:rPr>
      </w:pPr>
      <w:r w:rsidRPr="00064EE5">
        <w:rPr>
          <w:rFonts w:asciiTheme="minorHAnsi" w:hAnsiTheme="minorHAnsi" w:cstheme="minorHAnsi"/>
          <w:sz w:val="22"/>
          <w:szCs w:val="22"/>
        </w:rPr>
        <w:t>O</w:t>
      </w:r>
      <w:r w:rsidR="00695396" w:rsidRPr="00064EE5">
        <w:rPr>
          <w:rFonts w:asciiTheme="minorHAnsi" w:hAnsiTheme="minorHAnsi" w:cstheme="minorHAnsi"/>
          <w:sz w:val="22"/>
          <w:szCs w:val="22"/>
        </w:rPr>
        <w:t>s</w:t>
      </w:r>
      <w:r w:rsidRPr="00064EE5">
        <w:rPr>
          <w:rFonts w:asciiTheme="minorHAnsi" w:hAnsiTheme="minorHAnsi" w:cstheme="minorHAnsi"/>
          <w:sz w:val="22"/>
          <w:szCs w:val="22"/>
        </w:rPr>
        <w:t xml:space="preserve"> processo</w:t>
      </w:r>
      <w:r w:rsidR="00695396" w:rsidRPr="00064EE5">
        <w:rPr>
          <w:rFonts w:asciiTheme="minorHAnsi" w:hAnsiTheme="minorHAnsi" w:cstheme="minorHAnsi"/>
          <w:sz w:val="22"/>
          <w:szCs w:val="22"/>
        </w:rPr>
        <w:t>s</w:t>
      </w:r>
      <w:r w:rsidRPr="00064EE5">
        <w:rPr>
          <w:rFonts w:asciiTheme="minorHAnsi" w:hAnsiTheme="minorHAnsi" w:cstheme="minorHAnsi"/>
          <w:sz w:val="22"/>
          <w:szCs w:val="22"/>
        </w:rPr>
        <w:t xml:space="preserve"> </w:t>
      </w:r>
      <w:r w:rsidRPr="00064EE5">
        <w:rPr>
          <w:rFonts w:asciiTheme="minorHAnsi" w:hAnsiTheme="minorHAnsi" w:cstheme="minorHAnsi"/>
          <w:b/>
          <w:i/>
          <w:sz w:val="22"/>
          <w:szCs w:val="22"/>
        </w:rPr>
        <w:t>gestão de precatórios estaduais</w:t>
      </w:r>
      <w:r w:rsidR="00701FCD" w:rsidRPr="00064EE5">
        <w:rPr>
          <w:rFonts w:asciiTheme="minorHAnsi" w:hAnsiTheme="minorHAnsi" w:cstheme="minorHAnsi"/>
          <w:b/>
          <w:i/>
          <w:sz w:val="22"/>
          <w:szCs w:val="22"/>
        </w:rPr>
        <w:t xml:space="preserve">; </w:t>
      </w:r>
      <w:r w:rsidR="00701FCD" w:rsidRPr="00064EE5">
        <w:rPr>
          <w:rFonts w:asciiTheme="minorHAnsi" w:hAnsiTheme="minorHAnsi" w:cstheme="minorHAnsi"/>
          <w:b/>
          <w:bCs/>
          <w:i/>
          <w:iCs/>
          <w:sz w:val="22"/>
          <w:szCs w:val="22"/>
        </w:rPr>
        <w:t>gestão de Parcerias Público Privadas (PPP</w:t>
      </w:r>
      <w:proofErr w:type="gramStart"/>
      <w:r w:rsidR="00701FCD" w:rsidRPr="00064EE5">
        <w:rPr>
          <w:rFonts w:asciiTheme="minorHAnsi" w:hAnsiTheme="minorHAnsi" w:cstheme="minorHAnsi"/>
          <w:b/>
          <w:bCs/>
          <w:i/>
          <w:iCs/>
          <w:sz w:val="22"/>
          <w:szCs w:val="22"/>
        </w:rPr>
        <w:t>)</w:t>
      </w:r>
      <w:r w:rsidR="00701FCD" w:rsidRPr="00064EE5">
        <w:rPr>
          <w:rFonts w:asciiTheme="minorHAnsi" w:hAnsiTheme="minorHAnsi" w:cstheme="minorHAnsi"/>
          <w:sz w:val="22"/>
          <w:szCs w:val="22"/>
        </w:rPr>
        <w:t xml:space="preserve">; </w:t>
      </w:r>
      <w:r w:rsidRPr="00064EE5">
        <w:rPr>
          <w:rFonts w:asciiTheme="minorHAnsi" w:hAnsiTheme="minorHAnsi" w:cstheme="minorHAnsi"/>
          <w:sz w:val="22"/>
          <w:szCs w:val="22"/>
        </w:rPr>
        <w:t xml:space="preserve"> </w:t>
      </w:r>
      <w:r w:rsidR="00F14584" w:rsidRPr="00064EE5">
        <w:rPr>
          <w:rFonts w:asciiTheme="minorHAnsi" w:hAnsiTheme="minorHAnsi" w:cstheme="minorHAnsi"/>
          <w:b/>
          <w:i/>
          <w:sz w:val="22"/>
          <w:szCs w:val="22"/>
        </w:rPr>
        <w:t>e</w:t>
      </w:r>
      <w:proofErr w:type="gramEnd"/>
      <w:r w:rsidR="00F14584" w:rsidRPr="00064EE5">
        <w:rPr>
          <w:rFonts w:asciiTheme="minorHAnsi" w:hAnsiTheme="minorHAnsi" w:cstheme="minorHAnsi"/>
          <w:b/>
          <w:i/>
          <w:sz w:val="22"/>
          <w:szCs w:val="22"/>
        </w:rPr>
        <w:t xml:space="preserve"> gestão de haveres mobiliários estaduais</w:t>
      </w:r>
      <w:r w:rsidR="00F14584" w:rsidRPr="00064EE5">
        <w:rPr>
          <w:rFonts w:asciiTheme="minorHAnsi" w:hAnsiTheme="minorHAnsi" w:cstheme="minorHAnsi"/>
          <w:sz w:val="22"/>
          <w:szCs w:val="22"/>
        </w:rPr>
        <w:t xml:space="preserve"> </w:t>
      </w:r>
      <w:r w:rsidRPr="00064EE5">
        <w:rPr>
          <w:rFonts w:asciiTheme="minorHAnsi" w:hAnsiTheme="minorHAnsi" w:cstheme="minorHAnsi"/>
          <w:sz w:val="22"/>
          <w:szCs w:val="22"/>
        </w:rPr>
        <w:t>apresenta</w:t>
      </w:r>
      <w:r w:rsidR="00F14584" w:rsidRPr="00064EE5">
        <w:rPr>
          <w:rFonts w:asciiTheme="minorHAnsi" w:hAnsiTheme="minorHAnsi" w:cstheme="minorHAnsi"/>
          <w:sz w:val="22"/>
          <w:szCs w:val="22"/>
        </w:rPr>
        <w:t>m</w:t>
      </w:r>
      <w:r w:rsidRPr="00064EE5">
        <w:rPr>
          <w:rFonts w:asciiTheme="minorHAnsi" w:hAnsiTheme="minorHAnsi" w:cstheme="minorHAnsi"/>
          <w:sz w:val="22"/>
          <w:szCs w:val="22"/>
        </w:rPr>
        <w:t xml:space="preserve"> nível 2 de maturidade, ou seja adota um número mediano de </w:t>
      </w:r>
      <w:r w:rsidR="009B231A" w:rsidRPr="00064EE5">
        <w:rPr>
          <w:rFonts w:asciiTheme="minorHAnsi" w:hAnsiTheme="minorHAnsi" w:cstheme="minorHAnsi"/>
          <w:sz w:val="22"/>
          <w:szCs w:val="22"/>
        </w:rPr>
        <w:t>requisitos</w:t>
      </w:r>
      <w:r w:rsidRPr="00064EE5">
        <w:rPr>
          <w:rFonts w:asciiTheme="minorHAnsi" w:hAnsiTheme="minorHAnsi" w:cstheme="minorHAnsi"/>
          <w:sz w:val="22"/>
          <w:szCs w:val="22"/>
        </w:rPr>
        <w:t xml:space="preserve"> das boas práticas da MD-GEFIS.</w:t>
      </w:r>
    </w:p>
    <w:p w:rsidR="007627BD" w:rsidRPr="00064EE5" w:rsidRDefault="001A7EE1" w:rsidP="00B44516">
      <w:pPr>
        <w:spacing w:before="240" w:after="240"/>
        <w:jc w:val="both"/>
        <w:rPr>
          <w:rFonts w:asciiTheme="minorHAnsi" w:hAnsiTheme="minorHAnsi" w:cstheme="minorHAnsi"/>
          <w:b/>
          <w:bCs/>
          <w:sz w:val="22"/>
          <w:szCs w:val="22"/>
        </w:rPr>
      </w:pPr>
      <w:r w:rsidRPr="00064EE5">
        <w:rPr>
          <w:rFonts w:asciiTheme="minorHAnsi" w:hAnsiTheme="minorHAnsi" w:cstheme="minorHAnsi"/>
          <w:sz w:val="22"/>
          <w:szCs w:val="22"/>
        </w:rPr>
        <w:t xml:space="preserve">Outros </w:t>
      </w:r>
      <w:proofErr w:type="gramStart"/>
      <w:r w:rsidRPr="00064EE5">
        <w:rPr>
          <w:rFonts w:asciiTheme="minorHAnsi" w:hAnsiTheme="minorHAnsi" w:cstheme="minorHAnsi"/>
          <w:sz w:val="22"/>
          <w:szCs w:val="22"/>
        </w:rPr>
        <w:t xml:space="preserve">2 </w:t>
      </w:r>
      <w:proofErr w:type="spellStart"/>
      <w:r w:rsidRPr="00064EE5">
        <w:rPr>
          <w:rFonts w:asciiTheme="minorHAnsi" w:hAnsiTheme="minorHAnsi" w:cstheme="minorHAnsi"/>
          <w:sz w:val="22"/>
          <w:szCs w:val="22"/>
        </w:rPr>
        <w:t>processo</w:t>
      </w:r>
      <w:proofErr w:type="spellEnd"/>
      <w:proofErr w:type="gramEnd"/>
      <w:r w:rsidRPr="00064EE5">
        <w:rPr>
          <w:rFonts w:asciiTheme="minorHAnsi" w:hAnsiTheme="minorHAnsi" w:cstheme="minorHAnsi"/>
          <w:sz w:val="22"/>
          <w:szCs w:val="22"/>
        </w:rPr>
        <w:t xml:space="preserve"> </w:t>
      </w:r>
      <w:r w:rsidR="00F14584" w:rsidRPr="00064EE5">
        <w:rPr>
          <w:rFonts w:asciiTheme="minorHAnsi" w:hAnsiTheme="minorHAnsi" w:cstheme="minorHAnsi"/>
          <w:sz w:val="22"/>
          <w:szCs w:val="22"/>
        </w:rPr>
        <w:t xml:space="preserve">alcançaram </w:t>
      </w:r>
      <w:r w:rsidRPr="00064EE5">
        <w:rPr>
          <w:rFonts w:asciiTheme="minorHAnsi" w:hAnsiTheme="minorHAnsi" w:cstheme="minorHAnsi"/>
          <w:sz w:val="22"/>
          <w:szCs w:val="22"/>
        </w:rPr>
        <w:t xml:space="preserve">nível 1 de maturidade </w:t>
      </w:r>
      <w:r w:rsidR="00F14584" w:rsidRPr="00064EE5">
        <w:rPr>
          <w:rFonts w:asciiTheme="minorHAnsi" w:hAnsiTheme="minorHAnsi" w:cstheme="minorHAnsi"/>
          <w:sz w:val="22"/>
          <w:szCs w:val="22"/>
        </w:rPr>
        <w:t xml:space="preserve">e </w:t>
      </w:r>
      <w:r w:rsidRPr="00064EE5">
        <w:rPr>
          <w:rFonts w:asciiTheme="minorHAnsi" w:hAnsiTheme="minorHAnsi" w:cstheme="minorHAnsi"/>
          <w:sz w:val="22"/>
          <w:szCs w:val="22"/>
        </w:rPr>
        <w:t xml:space="preserve">adotam pouquíssimos </w:t>
      </w:r>
      <w:r w:rsidR="009B231A" w:rsidRPr="00064EE5">
        <w:rPr>
          <w:rFonts w:asciiTheme="minorHAnsi" w:hAnsiTheme="minorHAnsi" w:cstheme="minorHAnsi"/>
          <w:sz w:val="22"/>
          <w:szCs w:val="22"/>
        </w:rPr>
        <w:t>requisitos</w:t>
      </w:r>
      <w:r w:rsidRPr="00064EE5">
        <w:rPr>
          <w:rFonts w:asciiTheme="minorHAnsi" w:hAnsiTheme="minorHAnsi" w:cstheme="minorHAnsi"/>
          <w:sz w:val="22"/>
          <w:szCs w:val="22"/>
        </w:rPr>
        <w:t xml:space="preserve"> das boas práticas da MD-GEFIS: </w:t>
      </w:r>
      <w:r w:rsidRPr="00064EE5">
        <w:rPr>
          <w:rFonts w:asciiTheme="minorHAnsi" w:hAnsiTheme="minorHAnsi" w:cstheme="minorHAnsi"/>
          <w:b/>
          <w:bCs/>
          <w:i/>
          <w:iCs/>
          <w:sz w:val="22"/>
          <w:szCs w:val="22"/>
        </w:rPr>
        <w:t>gestão de haveres financeiros</w:t>
      </w:r>
      <w:r w:rsidRPr="00064EE5">
        <w:rPr>
          <w:rFonts w:asciiTheme="minorHAnsi" w:hAnsiTheme="minorHAnsi" w:cstheme="minorHAnsi"/>
          <w:sz w:val="22"/>
          <w:szCs w:val="22"/>
        </w:rPr>
        <w:t xml:space="preserve"> </w:t>
      </w:r>
      <w:r w:rsidRPr="00064EE5">
        <w:rPr>
          <w:rFonts w:asciiTheme="minorHAnsi" w:hAnsiTheme="minorHAnsi" w:cstheme="minorHAnsi"/>
          <w:b/>
          <w:bCs/>
          <w:sz w:val="22"/>
          <w:szCs w:val="22"/>
        </w:rPr>
        <w:t xml:space="preserve">estaduais; e </w:t>
      </w:r>
      <w:r w:rsidRPr="00064EE5">
        <w:rPr>
          <w:rFonts w:asciiTheme="minorHAnsi" w:hAnsiTheme="minorHAnsi" w:cstheme="minorHAnsi"/>
          <w:b/>
          <w:bCs/>
          <w:i/>
          <w:iCs/>
          <w:sz w:val="22"/>
          <w:szCs w:val="22"/>
        </w:rPr>
        <w:t>gestão de passivos contingentes</w:t>
      </w:r>
      <w:r w:rsidRPr="00064EE5">
        <w:rPr>
          <w:rFonts w:asciiTheme="minorHAnsi" w:hAnsiTheme="minorHAnsi" w:cstheme="minorHAnsi"/>
          <w:sz w:val="22"/>
          <w:szCs w:val="22"/>
        </w:rPr>
        <w:t xml:space="preserve"> </w:t>
      </w:r>
      <w:r w:rsidRPr="00064EE5">
        <w:rPr>
          <w:rFonts w:asciiTheme="minorHAnsi" w:hAnsiTheme="minorHAnsi" w:cstheme="minorHAnsi"/>
          <w:b/>
          <w:bCs/>
          <w:sz w:val="22"/>
          <w:szCs w:val="22"/>
        </w:rPr>
        <w:t>estaduais.</w:t>
      </w:r>
    </w:p>
    <w:p w:rsidR="001A7EE1" w:rsidRPr="00064EE5" w:rsidRDefault="00F14584" w:rsidP="001A7EE1">
      <w:pPr>
        <w:rPr>
          <w:rFonts w:asciiTheme="minorHAnsi" w:hAnsiTheme="minorHAnsi" w:cstheme="minorHAnsi"/>
          <w:sz w:val="22"/>
          <w:szCs w:val="22"/>
        </w:rPr>
      </w:pPr>
      <w:r w:rsidRPr="00064EE5">
        <w:rPr>
          <w:rFonts w:asciiTheme="minorHAnsi" w:hAnsiTheme="minorHAnsi" w:cstheme="minorHAnsi"/>
          <w:sz w:val="22"/>
          <w:szCs w:val="22"/>
        </w:rPr>
        <w:t>O processo</w:t>
      </w:r>
      <w:r w:rsidR="001A7EE1" w:rsidRPr="00064EE5">
        <w:rPr>
          <w:rFonts w:asciiTheme="minorHAnsi" w:hAnsiTheme="minorHAnsi" w:cstheme="minorHAnsi"/>
          <w:sz w:val="22"/>
          <w:szCs w:val="22"/>
        </w:rPr>
        <w:t xml:space="preserve"> </w:t>
      </w:r>
      <w:r w:rsidR="001A7EE1" w:rsidRPr="00064EE5">
        <w:rPr>
          <w:rFonts w:asciiTheme="minorHAnsi" w:hAnsiTheme="minorHAnsi" w:cstheme="minorHAnsi"/>
          <w:b/>
          <w:i/>
          <w:sz w:val="22"/>
          <w:szCs w:val="22"/>
        </w:rPr>
        <w:t>gestão de fundos estaduais</w:t>
      </w:r>
      <w:r w:rsidR="001A7EE1" w:rsidRPr="00064EE5">
        <w:rPr>
          <w:rFonts w:asciiTheme="minorHAnsi" w:hAnsiTheme="minorHAnsi" w:cstheme="minorHAnsi"/>
          <w:sz w:val="22"/>
          <w:szCs w:val="22"/>
        </w:rPr>
        <w:t xml:space="preserve"> controlados pelo Tesouro </w:t>
      </w:r>
      <w:r w:rsidR="00854957" w:rsidRPr="00064EE5">
        <w:rPr>
          <w:rFonts w:asciiTheme="minorHAnsi" w:hAnsiTheme="minorHAnsi" w:cstheme="minorHAnsi"/>
          <w:sz w:val="22"/>
          <w:szCs w:val="22"/>
        </w:rPr>
        <w:t>apresenta nível 0 (zero) de maturidade nas boas práticas da MD-GEFIS</w:t>
      </w:r>
      <w:r w:rsidR="001678F8" w:rsidRPr="00064EE5">
        <w:rPr>
          <w:rFonts w:asciiTheme="minorHAnsi" w:hAnsiTheme="minorHAnsi" w:cstheme="minorHAnsi"/>
          <w:sz w:val="22"/>
          <w:szCs w:val="22"/>
        </w:rPr>
        <w:t xml:space="preserve"> e atende a</w:t>
      </w:r>
      <w:r w:rsidR="00AD724C" w:rsidRPr="00064EE5">
        <w:rPr>
          <w:rFonts w:asciiTheme="minorHAnsi" w:hAnsiTheme="minorHAnsi" w:cstheme="minorHAnsi"/>
          <w:sz w:val="22"/>
          <w:szCs w:val="22"/>
        </w:rPr>
        <w:t>penas 1 dentre os 7 requisitos.</w:t>
      </w:r>
    </w:p>
    <w:p w:rsidR="00F47F0C" w:rsidRPr="00064EE5" w:rsidRDefault="00F47F0C" w:rsidP="001A7EE1">
      <w:pPr>
        <w:rPr>
          <w:rFonts w:asciiTheme="minorHAnsi" w:hAnsiTheme="minorHAnsi" w:cstheme="minorHAnsi"/>
          <w:sz w:val="22"/>
          <w:szCs w:val="22"/>
        </w:rPr>
      </w:pPr>
    </w:p>
    <w:p w:rsidR="00A6602B" w:rsidRPr="00064EE5" w:rsidRDefault="00A6602B" w:rsidP="00A6602B">
      <w:pPr>
        <w:jc w:val="both"/>
        <w:rPr>
          <w:rFonts w:asciiTheme="minorHAnsi" w:hAnsiTheme="minorHAnsi" w:cstheme="minorHAnsi"/>
          <w:sz w:val="22"/>
          <w:szCs w:val="22"/>
        </w:rPr>
      </w:pPr>
      <w:r w:rsidRPr="00064EE5">
        <w:rPr>
          <w:rFonts w:asciiTheme="minorHAnsi" w:hAnsiTheme="minorHAnsi" w:cstheme="minorHAnsi"/>
          <w:sz w:val="22"/>
          <w:szCs w:val="22"/>
        </w:rPr>
        <w:t xml:space="preserve">Com nível 3 de maturidade o processo </w:t>
      </w:r>
      <w:r w:rsidRPr="00064EE5">
        <w:rPr>
          <w:rFonts w:asciiTheme="minorHAnsi" w:hAnsiTheme="minorHAnsi" w:cstheme="minorHAnsi"/>
          <w:b/>
          <w:bCs/>
          <w:i/>
          <w:iCs/>
          <w:sz w:val="22"/>
          <w:szCs w:val="22"/>
        </w:rPr>
        <w:t xml:space="preserve">gestão de obrigações </w:t>
      </w:r>
      <w:r w:rsidRPr="00064EE5">
        <w:rPr>
          <w:rFonts w:asciiTheme="minorHAnsi" w:hAnsiTheme="minorHAnsi" w:cstheme="minorHAnsi"/>
          <w:b/>
          <w:bCs/>
          <w:sz w:val="22"/>
          <w:szCs w:val="22"/>
        </w:rPr>
        <w:t>estaduais</w:t>
      </w:r>
      <w:r w:rsidRPr="00064EE5">
        <w:rPr>
          <w:rFonts w:asciiTheme="minorHAnsi" w:hAnsiTheme="minorHAnsi" w:cstheme="minorHAnsi"/>
          <w:sz w:val="22"/>
          <w:szCs w:val="22"/>
        </w:rPr>
        <w:t xml:space="preserve"> geridas pelo Tesouro atende a todos os 6 requisitos das boas práticas de MD-GEFIS. Para tanto a SEFAZ/SP registra e monitora as obrigações por </w:t>
      </w:r>
      <w:proofErr w:type="gramStart"/>
      <w:r w:rsidRPr="00064EE5">
        <w:rPr>
          <w:rFonts w:asciiTheme="minorHAnsi" w:hAnsiTheme="minorHAnsi" w:cstheme="minorHAnsi"/>
          <w:sz w:val="22"/>
          <w:szCs w:val="22"/>
        </w:rPr>
        <w:t>natureza,  valor</w:t>
      </w:r>
      <w:proofErr w:type="gramEnd"/>
      <w:r w:rsidRPr="00064EE5">
        <w:rPr>
          <w:rFonts w:asciiTheme="minorHAnsi" w:hAnsiTheme="minorHAnsi" w:cstheme="minorHAnsi"/>
          <w:sz w:val="22"/>
          <w:szCs w:val="22"/>
        </w:rPr>
        <w:t xml:space="preserve"> e responsável</w:t>
      </w:r>
      <w:r w:rsidRPr="00064EE5">
        <w:rPr>
          <w:rStyle w:val="FootnoteReference"/>
          <w:rFonts w:asciiTheme="minorHAnsi" w:hAnsiTheme="minorHAnsi" w:cstheme="minorHAnsi"/>
          <w:sz w:val="22"/>
          <w:szCs w:val="22"/>
        </w:rPr>
        <w:footnoteReference w:id="169"/>
      </w:r>
      <w:r w:rsidRPr="00064EE5">
        <w:rPr>
          <w:rFonts w:asciiTheme="minorHAnsi" w:hAnsiTheme="minorHAnsi" w:cstheme="minorHAnsi"/>
          <w:sz w:val="22"/>
          <w:szCs w:val="22"/>
        </w:rPr>
        <w:t>; efetua previsões e acompanha os fluxos de despesa, por obrigações</w:t>
      </w:r>
      <w:r w:rsidRPr="00064EE5">
        <w:rPr>
          <w:rStyle w:val="FootnoteReference"/>
          <w:rFonts w:asciiTheme="minorHAnsi" w:hAnsiTheme="minorHAnsi" w:cstheme="minorHAnsi"/>
          <w:sz w:val="22"/>
          <w:szCs w:val="22"/>
        </w:rPr>
        <w:footnoteReference w:id="170"/>
      </w:r>
      <w:r w:rsidRPr="00064EE5">
        <w:rPr>
          <w:rFonts w:asciiTheme="minorHAnsi" w:hAnsiTheme="minorHAnsi" w:cstheme="minorHAnsi"/>
          <w:sz w:val="22"/>
          <w:szCs w:val="22"/>
        </w:rPr>
        <w:t>; controla os desembolsos financeiros e atualiza as previsões</w:t>
      </w:r>
      <w:r w:rsidRPr="00064EE5">
        <w:rPr>
          <w:rStyle w:val="FootnoteReference"/>
          <w:rFonts w:asciiTheme="minorHAnsi" w:hAnsiTheme="minorHAnsi" w:cstheme="minorHAnsi"/>
          <w:sz w:val="22"/>
          <w:szCs w:val="22"/>
        </w:rPr>
        <w:footnoteReference w:id="171"/>
      </w:r>
      <w:r w:rsidRPr="00064EE5">
        <w:rPr>
          <w:rFonts w:asciiTheme="minorHAnsi" w:hAnsiTheme="minorHAnsi" w:cstheme="minorHAnsi"/>
          <w:sz w:val="22"/>
          <w:szCs w:val="22"/>
        </w:rPr>
        <w:t>; monitora os saldos atualizados por obrigação</w:t>
      </w:r>
      <w:r w:rsidRPr="00064EE5">
        <w:rPr>
          <w:rStyle w:val="FootnoteReference"/>
          <w:rFonts w:asciiTheme="minorHAnsi" w:hAnsiTheme="minorHAnsi" w:cstheme="minorHAnsi"/>
          <w:sz w:val="22"/>
          <w:szCs w:val="22"/>
        </w:rPr>
        <w:footnoteReference w:id="172"/>
      </w:r>
      <w:r w:rsidRPr="00064EE5">
        <w:rPr>
          <w:rFonts w:asciiTheme="minorHAnsi" w:hAnsiTheme="minorHAnsi" w:cstheme="minorHAnsi"/>
          <w:sz w:val="22"/>
          <w:szCs w:val="22"/>
        </w:rPr>
        <w:t>; coordena a operacionalização dos pagamentos programados</w:t>
      </w:r>
      <w:r w:rsidRPr="00064EE5">
        <w:rPr>
          <w:rStyle w:val="FootnoteReference"/>
          <w:rFonts w:asciiTheme="minorHAnsi" w:hAnsiTheme="minorHAnsi" w:cstheme="minorHAnsi"/>
          <w:sz w:val="22"/>
          <w:szCs w:val="22"/>
        </w:rPr>
        <w:footnoteReference w:id="173"/>
      </w:r>
      <w:r w:rsidRPr="00064EE5">
        <w:rPr>
          <w:rFonts w:asciiTheme="minorHAnsi" w:hAnsiTheme="minorHAnsi" w:cstheme="minorHAnsi"/>
          <w:sz w:val="22"/>
          <w:szCs w:val="22"/>
        </w:rPr>
        <w:t>; e contabiliza os saldos de débito de exercício anterior e restos a pagar em sistema de registro</w:t>
      </w:r>
      <w:r w:rsidRPr="00064EE5">
        <w:rPr>
          <w:rStyle w:val="FootnoteReference"/>
          <w:rFonts w:asciiTheme="minorHAnsi" w:hAnsiTheme="minorHAnsi" w:cstheme="minorHAnsi"/>
          <w:sz w:val="22"/>
          <w:szCs w:val="22"/>
        </w:rPr>
        <w:footnoteReference w:id="174"/>
      </w:r>
      <w:r w:rsidRPr="00064EE5">
        <w:rPr>
          <w:rFonts w:asciiTheme="minorHAnsi" w:hAnsiTheme="minorHAnsi" w:cstheme="minorHAnsi"/>
          <w:sz w:val="22"/>
          <w:szCs w:val="22"/>
        </w:rPr>
        <w:t>.</w:t>
      </w:r>
    </w:p>
    <w:p w:rsidR="00A6602B" w:rsidRPr="00064EE5" w:rsidRDefault="00A6602B" w:rsidP="00A6602B">
      <w:pPr>
        <w:rPr>
          <w:rFonts w:asciiTheme="minorHAnsi" w:hAnsiTheme="minorHAnsi" w:cstheme="minorHAnsi"/>
          <w:sz w:val="22"/>
          <w:szCs w:val="22"/>
        </w:rPr>
      </w:pPr>
    </w:p>
    <w:p w:rsidR="00DE787F" w:rsidRPr="00064EE5" w:rsidRDefault="00DE787F" w:rsidP="000B17CD">
      <w:pPr>
        <w:jc w:val="both"/>
        <w:rPr>
          <w:rFonts w:asciiTheme="minorHAnsi" w:hAnsiTheme="minorHAnsi" w:cstheme="minorHAnsi"/>
          <w:sz w:val="22"/>
          <w:szCs w:val="22"/>
        </w:rPr>
      </w:pPr>
      <w:r w:rsidRPr="00064EE5">
        <w:rPr>
          <w:rFonts w:asciiTheme="minorHAnsi" w:hAnsiTheme="minorHAnsi" w:cstheme="minorHAnsi"/>
          <w:sz w:val="22"/>
          <w:szCs w:val="22"/>
        </w:rPr>
        <w:t xml:space="preserve">O processo </w:t>
      </w:r>
      <w:r w:rsidRPr="00064EE5">
        <w:rPr>
          <w:rFonts w:asciiTheme="minorHAnsi" w:hAnsiTheme="minorHAnsi" w:cstheme="minorHAnsi"/>
          <w:b/>
          <w:bCs/>
          <w:i/>
          <w:iCs/>
          <w:sz w:val="22"/>
          <w:szCs w:val="22"/>
        </w:rPr>
        <w:t xml:space="preserve">gestão de haveres mobiliários </w:t>
      </w:r>
      <w:r w:rsidRPr="00064EE5">
        <w:rPr>
          <w:rFonts w:asciiTheme="minorHAnsi" w:hAnsiTheme="minorHAnsi" w:cstheme="minorHAnsi"/>
          <w:b/>
          <w:bCs/>
          <w:sz w:val="22"/>
          <w:szCs w:val="22"/>
        </w:rPr>
        <w:t>estaduais</w:t>
      </w:r>
      <w:r w:rsidRPr="00064EE5">
        <w:rPr>
          <w:rFonts w:asciiTheme="minorHAnsi" w:hAnsiTheme="minorHAnsi" w:cstheme="minorHAnsi"/>
          <w:sz w:val="22"/>
          <w:szCs w:val="22"/>
        </w:rPr>
        <w:t xml:space="preserve"> obteve nível 2 de maturidade e atende 5 dentre 6 requisitos das boas práticas da MD-GEFIS. Para tanto, todos os Ativos do Estado, incluindo as suas participações societárias e outros haveres mobiliários, são registrados no SIAFEM e monitorados pela SEFAZ/SP; periodicamente, as previsões de receitas orçamentárias e ingressos financeiros decorrentes de dividendos e juros sobre o capital próprio são revisadas de acordo com as expectativas e informações das Empresas, e acompanhadas pelo CODEC e registros </w:t>
      </w:r>
      <w:r w:rsidRPr="00064EE5">
        <w:rPr>
          <w:rFonts w:asciiTheme="minorHAnsi" w:hAnsiTheme="minorHAnsi" w:cstheme="minorHAnsi"/>
          <w:sz w:val="22"/>
          <w:szCs w:val="22"/>
        </w:rPr>
        <w:lastRenderedPageBreak/>
        <w:t>constantes dos seus balanços, gerando os ajustes necessários. Com relação aos impactos financeiros e econômicos, a Secretaria da Fazenda e do Planejamento acompanham os investimentos das Empresas que o Estado possui participação societária majoritária e seus impactos financeiros. Também, o Conselho de Defesa dos Capitais do Estado, órgão ligado à Secretaria da Fazenda, avalia quanto há divergência com relação às políticas das Empresas. Os conselheiros fiscais são indicados de acordo com critérios técnicos e transparentes</w:t>
      </w:r>
      <w:r w:rsidRPr="00064EE5">
        <w:rPr>
          <w:rStyle w:val="FootnoteReference"/>
          <w:rFonts w:asciiTheme="minorHAnsi" w:hAnsiTheme="minorHAnsi" w:cstheme="minorHAnsi"/>
          <w:sz w:val="22"/>
          <w:szCs w:val="22"/>
        </w:rPr>
        <w:footnoteReference w:id="175"/>
      </w:r>
      <w:r w:rsidRPr="00064EE5">
        <w:rPr>
          <w:rFonts w:asciiTheme="minorHAnsi" w:hAnsiTheme="minorHAnsi" w:cstheme="minorHAnsi"/>
          <w:sz w:val="22"/>
          <w:szCs w:val="22"/>
        </w:rPr>
        <w:t xml:space="preserve">, </w:t>
      </w:r>
      <w:proofErr w:type="gramStart"/>
      <w:r w:rsidRPr="00064EE5">
        <w:rPr>
          <w:rFonts w:asciiTheme="minorHAnsi" w:hAnsiTheme="minorHAnsi" w:cstheme="minorHAnsi"/>
          <w:sz w:val="22"/>
          <w:szCs w:val="22"/>
        </w:rPr>
        <w:t>Com</w:t>
      </w:r>
      <w:proofErr w:type="gramEnd"/>
      <w:r w:rsidRPr="00064EE5">
        <w:rPr>
          <w:rFonts w:asciiTheme="minorHAnsi" w:hAnsiTheme="minorHAnsi" w:cstheme="minorHAnsi"/>
          <w:sz w:val="22"/>
          <w:szCs w:val="22"/>
        </w:rPr>
        <w:t xml:space="preserve"> relação a participação, avaliação e atuação dos representantes do Estado nos Conselhos das Empresas, o estado dispõe de um Manual de Orientação do Conselho Fiscal </w:t>
      </w:r>
    </w:p>
    <w:p w:rsidR="00C0080B" w:rsidRPr="00064EE5" w:rsidRDefault="00C0080B"/>
    <w:p w:rsidR="00F11285" w:rsidRPr="00064EE5" w:rsidRDefault="00F11285" w:rsidP="00F11285">
      <w:pPr>
        <w:jc w:val="both"/>
        <w:rPr>
          <w:rFonts w:asciiTheme="minorHAnsi" w:hAnsiTheme="minorHAnsi" w:cstheme="minorHAnsi"/>
          <w:sz w:val="22"/>
          <w:szCs w:val="22"/>
        </w:rPr>
      </w:pPr>
      <w:r w:rsidRPr="00064EE5">
        <w:rPr>
          <w:rFonts w:asciiTheme="minorHAnsi" w:hAnsiTheme="minorHAnsi" w:cstheme="minorHAnsi"/>
          <w:sz w:val="22"/>
          <w:szCs w:val="22"/>
        </w:rPr>
        <w:t xml:space="preserve">O processo </w:t>
      </w:r>
      <w:r w:rsidRPr="00064EE5">
        <w:rPr>
          <w:rFonts w:asciiTheme="minorHAnsi" w:hAnsiTheme="minorHAnsi" w:cstheme="minorHAnsi"/>
          <w:b/>
          <w:bCs/>
          <w:i/>
          <w:iCs/>
          <w:sz w:val="22"/>
          <w:szCs w:val="22"/>
        </w:rPr>
        <w:t>gestão de precatórios</w:t>
      </w:r>
      <w:r w:rsidRPr="00064EE5">
        <w:rPr>
          <w:rFonts w:asciiTheme="minorHAnsi" w:hAnsiTheme="minorHAnsi" w:cstheme="minorHAnsi"/>
          <w:sz w:val="22"/>
          <w:szCs w:val="22"/>
        </w:rPr>
        <w:t xml:space="preserve"> </w:t>
      </w:r>
      <w:r w:rsidRPr="00064EE5">
        <w:rPr>
          <w:rFonts w:asciiTheme="minorHAnsi" w:hAnsiTheme="minorHAnsi" w:cstheme="minorHAnsi"/>
          <w:b/>
          <w:bCs/>
          <w:sz w:val="22"/>
          <w:szCs w:val="22"/>
        </w:rPr>
        <w:t>estaduais</w:t>
      </w:r>
      <w:r w:rsidRPr="00064EE5">
        <w:rPr>
          <w:rFonts w:asciiTheme="minorHAnsi" w:hAnsiTheme="minorHAnsi" w:cstheme="minorHAnsi"/>
          <w:sz w:val="22"/>
          <w:szCs w:val="22"/>
        </w:rPr>
        <w:t xml:space="preserve"> obteve nível 2 de maturidade e atende a 5 dentre 7 requisitos das boas práticas da MD-GEFIS. Para tanto, registra e acompanha o andamento dos processos</w:t>
      </w:r>
      <w:r w:rsidRPr="00064EE5">
        <w:rPr>
          <w:rStyle w:val="FootnoteReference"/>
          <w:rFonts w:asciiTheme="minorHAnsi" w:hAnsiTheme="minorHAnsi" w:cstheme="minorHAnsi"/>
          <w:sz w:val="22"/>
          <w:szCs w:val="22"/>
        </w:rPr>
        <w:footnoteReference w:id="176"/>
      </w:r>
      <w:r w:rsidRPr="00064EE5">
        <w:rPr>
          <w:rFonts w:asciiTheme="minorHAnsi" w:hAnsiTheme="minorHAnsi" w:cstheme="minorHAnsi"/>
          <w:sz w:val="22"/>
          <w:szCs w:val="22"/>
        </w:rPr>
        <w:t>; elabora previsão de fluxo de despesa necessário para cumprimento das obrigações legalmente estabelecidas para o exercício e provisiona os valores</w:t>
      </w:r>
      <w:r w:rsidRPr="00064EE5">
        <w:rPr>
          <w:rStyle w:val="FootnoteReference"/>
          <w:rFonts w:asciiTheme="minorHAnsi" w:hAnsiTheme="minorHAnsi" w:cstheme="minorHAnsi"/>
          <w:sz w:val="22"/>
          <w:szCs w:val="22"/>
        </w:rPr>
        <w:footnoteReference w:id="177"/>
      </w:r>
      <w:r w:rsidRPr="00064EE5">
        <w:rPr>
          <w:rFonts w:asciiTheme="minorHAnsi" w:hAnsiTheme="minorHAnsi" w:cstheme="minorHAnsi"/>
          <w:sz w:val="22"/>
          <w:szCs w:val="22"/>
        </w:rPr>
        <w:t>; controla e efetua o registro contábil dos pagamentos</w:t>
      </w:r>
      <w:r w:rsidRPr="00064EE5">
        <w:rPr>
          <w:rStyle w:val="FootnoteReference"/>
          <w:rFonts w:asciiTheme="minorHAnsi" w:hAnsiTheme="minorHAnsi" w:cstheme="minorHAnsi"/>
          <w:sz w:val="22"/>
          <w:szCs w:val="22"/>
        </w:rPr>
        <w:footnoteReference w:id="178"/>
      </w:r>
      <w:r w:rsidRPr="00064EE5">
        <w:rPr>
          <w:rFonts w:asciiTheme="minorHAnsi" w:hAnsiTheme="minorHAnsi" w:cstheme="minorHAnsi"/>
          <w:sz w:val="22"/>
          <w:szCs w:val="22"/>
        </w:rPr>
        <w:t>; e controla, atualiza e contabiliza os saldos por precatório e montante global</w:t>
      </w:r>
      <w:r w:rsidRPr="00064EE5">
        <w:rPr>
          <w:rStyle w:val="FootnoteReference"/>
          <w:rFonts w:asciiTheme="minorHAnsi" w:hAnsiTheme="minorHAnsi" w:cstheme="minorHAnsi"/>
          <w:sz w:val="22"/>
          <w:szCs w:val="22"/>
        </w:rPr>
        <w:footnoteReference w:id="179"/>
      </w:r>
      <w:r w:rsidRPr="00064EE5">
        <w:rPr>
          <w:rFonts w:asciiTheme="minorHAnsi" w:hAnsiTheme="minorHAnsi" w:cstheme="minorHAnsi"/>
          <w:sz w:val="22"/>
          <w:szCs w:val="22"/>
        </w:rPr>
        <w:t>.</w:t>
      </w:r>
    </w:p>
    <w:p w:rsidR="00F11285" w:rsidRPr="00064EE5" w:rsidRDefault="00F11285" w:rsidP="001A7EE1">
      <w:pPr>
        <w:rPr>
          <w:rFonts w:asciiTheme="minorHAnsi" w:hAnsiTheme="minorHAnsi" w:cstheme="minorHAnsi"/>
          <w:sz w:val="22"/>
          <w:szCs w:val="22"/>
        </w:rPr>
      </w:pPr>
    </w:p>
    <w:p w:rsidR="00F11285" w:rsidRPr="00064EE5" w:rsidRDefault="00F11285" w:rsidP="00E41F6B">
      <w:pPr>
        <w:jc w:val="both"/>
        <w:rPr>
          <w:rFonts w:asciiTheme="minorHAnsi" w:hAnsiTheme="minorHAnsi" w:cstheme="minorHAnsi"/>
          <w:sz w:val="22"/>
          <w:szCs w:val="22"/>
          <w:u w:val="single"/>
        </w:rPr>
      </w:pPr>
      <w:r w:rsidRPr="00064EE5">
        <w:rPr>
          <w:rFonts w:asciiTheme="minorHAnsi" w:hAnsiTheme="minorHAnsi" w:cstheme="minorHAnsi"/>
          <w:sz w:val="22"/>
          <w:szCs w:val="22"/>
        </w:rPr>
        <w:t xml:space="preserve">O processo </w:t>
      </w:r>
      <w:r w:rsidRPr="00064EE5">
        <w:rPr>
          <w:rFonts w:asciiTheme="minorHAnsi" w:hAnsiTheme="minorHAnsi" w:cstheme="minorHAnsi"/>
          <w:b/>
          <w:bCs/>
          <w:i/>
          <w:iCs/>
          <w:sz w:val="22"/>
          <w:szCs w:val="22"/>
        </w:rPr>
        <w:t>gestão de precatórios</w:t>
      </w:r>
      <w:r w:rsidRPr="00064EE5">
        <w:rPr>
          <w:rFonts w:asciiTheme="minorHAnsi" w:hAnsiTheme="minorHAnsi" w:cstheme="minorHAnsi"/>
          <w:sz w:val="22"/>
          <w:szCs w:val="22"/>
        </w:rPr>
        <w:t xml:space="preserve"> </w:t>
      </w:r>
      <w:r w:rsidRPr="00064EE5">
        <w:rPr>
          <w:rFonts w:asciiTheme="minorHAnsi" w:hAnsiTheme="minorHAnsi" w:cstheme="minorHAnsi"/>
          <w:b/>
          <w:bCs/>
          <w:sz w:val="22"/>
          <w:szCs w:val="22"/>
        </w:rPr>
        <w:t xml:space="preserve">estaduais </w:t>
      </w:r>
      <w:r w:rsidRPr="00064EE5">
        <w:rPr>
          <w:rFonts w:asciiTheme="minorHAnsi" w:hAnsiTheme="minorHAnsi" w:cstheme="minorHAnsi"/>
          <w:sz w:val="22"/>
          <w:szCs w:val="22"/>
        </w:rPr>
        <w:t>não utiliza as informações do Conselho Nacional de Justiça (CNJ) sobre o estoque e a movimentação dos processos; não efetua previsão do montante dos valores devidos; e não controla e</w:t>
      </w:r>
      <w:r w:rsidR="00E41F6B" w:rsidRPr="00064EE5">
        <w:rPr>
          <w:rFonts w:asciiTheme="minorHAnsi" w:hAnsiTheme="minorHAnsi" w:cstheme="minorHAnsi"/>
          <w:sz w:val="22"/>
          <w:szCs w:val="22"/>
        </w:rPr>
        <w:t xml:space="preserve"> nem </w:t>
      </w:r>
      <w:r w:rsidRPr="00064EE5">
        <w:rPr>
          <w:rFonts w:asciiTheme="minorHAnsi" w:hAnsiTheme="minorHAnsi" w:cstheme="minorHAnsi"/>
          <w:sz w:val="22"/>
          <w:szCs w:val="22"/>
        </w:rPr>
        <w:t>efetua o registro contábil da sua utilização em transações</w:t>
      </w:r>
      <w:r w:rsidR="00E41F6B" w:rsidRPr="00064EE5">
        <w:rPr>
          <w:rFonts w:asciiTheme="minorHAnsi" w:hAnsiTheme="minorHAnsi" w:cstheme="minorHAnsi"/>
          <w:sz w:val="22"/>
          <w:szCs w:val="22"/>
        </w:rPr>
        <w:t>. Os registros são realizados por ordem cronológica e acordos.</w:t>
      </w:r>
    </w:p>
    <w:p w:rsidR="008174E6" w:rsidRPr="00064EE5" w:rsidRDefault="008174E6"/>
    <w:p w:rsidR="00705C8A" w:rsidRPr="00064EE5" w:rsidRDefault="00705C8A" w:rsidP="00705C8A">
      <w:pPr>
        <w:jc w:val="both"/>
        <w:rPr>
          <w:rFonts w:asciiTheme="minorHAnsi" w:hAnsiTheme="minorHAnsi" w:cstheme="minorHAnsi"/>
          <w:sz w:val="22"/>
          <w:szCs w:val="22"/>
        </w:rPr>
      </w:pPr>
      <w:r w:rsidRPr="00064EE5">
        <w:rPr>
          <w:rFonts w:asciiTheme="minorHAnsi" w:hAnsiTheme="minorHAnsi" w:cstheme="minorHAnsi"/>
          <w:sz w:val="22"/>
          <w:szCs w:val="22"/>
        </w:rPr>
        <w:t xml:space="preserve">A </w:t>
      </w:r>
      <w:r w:rsidRPr="00064EE5">
        <w:rPr>
          <w:rFonts w:asciiTheme="minorHAnsi" w:hAnsiTheme="minorHAnsi" w:cstheme="minorHAnsi"/>
          <w:b/>
          <w:bCs/>
          <w:i/>
          <w:iCs/>
          <w:sz w:val="22"/>
          <w:szCs w:val="22"/>
        </w:rPr>
        <w:t>gestão de Parcerias Público Privadas (PPP)</w:t>
      </w:r>
      <w:r w:rsidRPr="00064EE5">
        <w:rPr>
          <w:rFonts w:asciiTheme="minorHAnsi" w:hAnsiTheme="minorHAnsi" w:cstheme="minorHAnsi"/>
          <w:sz w:val="22"/>
          <w:szCs w:val="22"/>
        </w:rPr>
        <w:t xml:space="preserve"> obteve nível 2 de maturidade e atende a 6 dentre 9 requisitos das boas práticas da MD-GEFIS. Para tanto, a SEFAZ/SP define a política e os objetivos a serem alcançados pelas PPP</w:t>
      </w:r>
      <w:r w:rsidRPr="00064EE5">
        <w:rPr>
          <w:rStyle w:val="FootnoteReference"/>
          <w:rFonts w:asciiTheme="minorHAnsi" w:hAnsiTheme="minorHAnsi" w:cstheme="minorHAnsi"/>
          <w:sz w:val="22"/>
          <w:szCs w:val="22"/>
        </w:rPr>
        <w:footnoteReference w:id="180"/>
      </w:r>
      <w:r w:rsidRPr="00064EE5">
        <w:rPr>
          <w:rFonts w:asciiTheme="minorHAnsi" w:hAnsiTheme="minorHAnsi" w:cstheme="minorHAnsi"/>
          <w:sz w:val="22"/>
          <w:szCs w:val="22"/>
        </w:rPr>
        <w:t>; dispõe de unidade de gerenciamento das PPP em nível estadual</w:t>
      </w:r>
      <w:r w:rsidRPr="00064EE5">
        <w:rPr>
          <w:rStyle w:val="FootnoteReference"/>
          <w:rFonts w:asciiTheme="minorHAnsi" w:hAnsiTheme="minorHAnsi" w:cstheme="minorHAnsi"/>
          <w:sz w:val="22"/>
          <w:szCs w:val="22"/>
        </w:rPr>
        <w:footnoteReference w:id="181"/>
      </w:r>
      <w:r w:rsidRPr="00064EE5">
        <w:rPr>
          <w:rFonts w:asciiTheme="minorHAnsi" w:hAnsiTheme="minorHAnsi" w:cstheme="minorHAnsi"/>
          <w:sz w:val="22"/>
          <w:szCs w:val="22"/>
        </w:rPr>
        <w:t>; define, formaliza e dá transparência aos critérios de seleção, com suas políticas de competição e proteção</w:t>
      </w:r>
      <w:r w:rsidRPr="00064EE5">
        <w:rPr>
          <w:rStyle w:val="FootnoteReference"/>
          <w:rFonts w:asciiTheme="minorHAnsi" w:hAnsiTheme="minorHAnsi" w:cstheme="minorHAnsi"/>
          <w:sz w:val="22"/>
          <w:szCs w:val="22"/>
        </w:rPr>
        <w:footnoteReference w:id="182"/>
      </w:r>
      <w:r w:rsidRPr="00064EE5">
        <w:rPr>
          <w:rFonts w:asciiTheme="minorHAnsi" w:hAnsiTheme="minorHAnsi" w:cstheme="minorHAnsi"/>
          <w:sz w:val="22"/>
          <w:szCs w:val="22"/>
        </w:rPr>
        <w:t>; define projetos coerentes com o planejamento governamental e tecnicamente viáveis, com cronograma de execução e escolha da estratégia para sua implementação; estabelece claramente os resultados a serem alcançados e as estratégias de medição do desempenho do concessionário, com a vinculação do pagamento da contraprestação aos indicadores de desempenho estabelecidos</w:t>
      </w:r>
      <w:r w:rsidRPr="00064EE5">
        <w:rPr>
          <w:rStyle w:val="FootnoteReference"/>
          <w:rFonts w:asciiTheme="minorHAnsi" w:hAnsiTheme="minorHAnsi" w:cstheme="minorHAnsi"/>
          <w:sz w:val="22"/>
          <w:szCs w:val="22"/>
        </w:rPr>
        <w:footnoteReference w:id="183"/>
      </w:r>
      <w:r w:rsidRPr="00064EE5">
        <w:rPr>
          <w:rFonts w:asciiTheme="minorHAnsi" w:hAnsiTheme="minorHAnsi" w:cstheme="minorHAnsi"/>
          <w:sz w:val="22"/>
          <w:szCs w:val="22"/>
        </w:rPr>
        <w:t>; e avalia os resultados da política de PPP</w:t>
      </w:r>
    </w:p>
    <w:p w:rsidR="00705C8A" w:rsidRPr="00064EE5" w:rsidRDefault="00705C8A" w:rsidP="00872FB3">
      <w:pPr>
        <w:rPr>
          <w:rFonts w:asciiTheme="minorHAnsi" w:hAnsiTheme="minorHAnsi" w:cstheme="minorHAnsi"/>
          <w:sz w:val="22"/>
          <w:szCs w:val="22"/>
        </w:rPr>
      </w:pPr>
      <w:r w:rsidRPr="00064EE5">
        <w:rPr>
          <w:rFonts w:asciiTheme="minorHAnsi" w:hAnsiTheme="minorHAnsi" w:cstheme="minorHAnsi"/>
          <w:sz w:val="22"/>
          <w:szCs w:val="22"/>
        </w:rPr>
        <w:t> </w:t>
      </w:r>
    </w:p>
    <w:p w:rsidR="00210973" w:rsidRPr="00064EE5" w:rsidRDefault="00210973" w:rsidP="00CF1DB9">
      <w:pPr>
        <w:jc w:val="both"/>
      </w:pPr>
      <w:r w:rsidRPr="00064EE5">
        <w:rPr>
          <w:rFonts w:asciiTheme="minorHAnsi" w:hAnsiTheme="minorHAnsi" w:cstheme="minorHAnsi"/>
          <w:sz w:val="22"/>
          <w:szCs w:val="22"/>
        </w:rPr>
        <w:t xml:space="preserve">O processo de </w:t>
      </w:r>
      <w:r w:rsidRPr="00064EE5">
        <w:rPr>
          <w:rFonts w:asciiTheme="minorHAnsi" w:hAnsiTheme="minorHAnsi" w:cstheme="minorHAnsi"/>
          <w:b/>
          <w:bCs/>
          <w:i/>
          <w:iCs/>
          <w:sz w:val="22"/>
          <w:szCs w:val="22"/>
        </w:rPr>
        <w:t>gestão de haveres financeiros</w:t>
      </w:r>
      <w:r w:rsidRPr="00064EE5">
        <w:rPr>
          <w:rFonts w:asciiTheme="minorHAnsi" w:hAnsiTheme="minorHAnsi" w:cstheme="minorHAnsi"/>
          <w:sz w:val="22"/>
          <w:szCs w:val="22"/>
        </w:rPr>
        <w:t xml:space="preserve"> </w:t>
      </w:r>
      <w:r w:rsidRPr="00064EE5">
        <w:rPr>
          <w:rFonts w:asciiTheme="minorHAnsi" w:hAnsiTheme="minorHAnsi" w:cstheme="minorHAnsi"/>
          <w:b/>
          <w:bCs/>
          <w:sz w:val="22"/>
          <w:szCs w:val="22"/>
        </w:rPr>
        <w:t>estaduais</w:t>
      </w:r>
      <w:r w:rsidRPr="00064EE5">
        <w:rPr>
          <w:rFonts w:asciiTheme="minorHAnsi" w:hAnsiTheme="minorHAnsi" w:cstheme="minorHAnsi"/>
          <w:sz w:val="22"/>
          <w:szCs w:val="22"/>
        </w:rPr>
        <w:t xml:space="preserve"> obteve nível 1 de maturidade e atende apenas 2 dentre 6 requisitos das boas práticas da MD-GEFIS: compara periodicamente o fluxo das receitas estimadas com as realizadas, apresenta justificativa para </w:t>
      </w:r>
      <w:proofErr w:type="gramStart"/>
      <w:r w:rsidRPr="00064EE5">
        <w:rPr>
          <w:rFonts w:asciiTheme="minorHAnsi" w:hAnsiTheme="minorHAnsi" w:cstheme="minorHAnsi"/>
          <w:sz w:val="22"/>
          <w:szCs w:val="22"/>
        </w:rPr>
        <w:t>as  diferenças</w:t>
      </w:r>
      <w:proofErr w:type="gramEnd"/>
      <w:r w:rsidRPr="00064EE5">
        <w:rPr>
          <w:rFonts w:asciiTheme="minorHAnsi" w:hAnsiTheme="minorHAnsi" w:cstheme="minorHAnsi"/>
          <w:sz w:val="22"/>
          <w:szCs w:val="22"/>
        </w:rPr>
        <w:t xml:space="preserve"> apuradas e ajusta as estimativas; e controla as operações </w:t>
      </w:r>
      <w:r w:rsidR="00CF1DB9" w:rsidRPr="00064EE5">
        <w:rPr>
          <w:rFonts w:asciiTheme="minorHAnsi" w:hAnsiTheme="minorHAnsi" w:cstheme="minorHAnsi"/>
          <w:sz w:val="22"/>
          <w:szCs w:val="22"/>
        </w:rPr>
        <w:t>realizadas entre o E</w:t>
      </w:r>
      <w:r w:rsidRPr="00064EE5">
        <w:rPr>
          <w:rFonts w:asciiTheme="minorHAnsi" w:hAnsiTheme="minorHAnsi" w:cstheme="minorHAnsi"/>
          <w:sz w:val="22"/>
          <w:szCs w:val="22"/>
        </w:rPr>
        <w:t>stado e as entidades públicas</w:t>
      </w:r>
      <w:r w:rsidR="00CF1DB9" w:rsidRPr="00064EE5">
        <w:rPr>
          <w:rStyle w:val="FootnoteReference"/>
          <w:rFonts w:asciiTheme="minorHAnsi" w:hAnsiTheme="minorHAnsi" w:cstheme="minorHAnsi"/>
          <w:sz w:val="22"/>
          <w:szCs w:val="22"/>
        </w:rPr>
        <w:footnoteReference w:id="184"/>
      </w:r>
    </w:p>
    <w:p w:rsidR="00210973" w:rsidRPr="00064EE5" w:rsidRDefault="00210973" w:rsidP="00CF1DB9">
      <w:pPr>
        <w:jc w:val="both"/>
      </w:pPr>
    </w:p>
    <w:p w:rsidR="00D5009A" w:rsidRPr="00064EE5" w:rsidRDefault="0061021A" w:rsidP="00D5009A">
      <w:pPr>
        <w:jc w:val="both"/>
        <w:rPr>
          <w:rFonts w:asciiTheme="minorHAnsi" w:hAnsiTheme="minorHAnsi" w:cstheme="minorHAnsi"/>
          <w:sz w:val="22"/>
          <w:szCs w:val="22"/>
        </w:rPr>
      </w:pPr>
      <w:r w:rsidRPr="00064EE5">
        <w:rPr>
          <w:rFonts w:asciiTheme="minorHAnsi" w:hAnsiTheme="minorHAnsi" w:cstheme="minorHAnsi"/>
          <w:sz w:val="22"/>
          <w:szCs w:val="22"/>
        </w:rPr>
        <w:lastRenderedPageBreak/>
        <w:t xml:space="preserve">O processo de </w:t>
      </w:r>
      <w:r w:rsidRPr="00064EE5">
        <w:rPr>
          <w:rFonts w:asciiTheme="minorHAnsi" w:hAnsiTheme="minorHAnsi" w:cstheme="minorHAnsi"/>
          <w:b/>
          <w:bCs/>
          <w:i/>
          <w:iCs/>
          <w:sz w:val="22"/>
          <w:szCs w:val="22"/>
        </w:rPr>
        <w:t>gestão de passivos contingentes</w:t>
      </w:r>
      <w:r w:rsidRPr="00064EE5">
        <w:rPr>
          <w:rFonts w:asciiTheme="minorHAnsi" w:hAnsiTheme="minorHAnsi" w:cstheme="minorHAnsi"/>
          <w:sz w:val="22"/>
          <w:szCs w:val="22"/>
        </w:rPr>
        <w:t xml:space="preserve"> </w:t>
      </w:r>
      <w:r w:rsidRPr="00064EE5">
        <w:rPr>
          <w:rFonts w:asciiTheme="minorHAnsi" w:hAnsiTheme="minorHAnsi" w:cstheme="minorHAnsi"/>
          <w:b/>
          <w:bCs/>
          <w:sz w:val="22"/>
          <w:szCs w:val="22"/>
        </w:rPr>
        <w:t>estaduais</w:t>
      </w:r>
      <w:r w:rsidRPr="00064EE5">
        <w:rPr>
          <w:rFonts w:asciiTheme="minorHAnsi" w:hAnsiTheme="minorHAnsi" w:cstheme="minorHAnsi"/>
          <w:sz w:val="22"/>
          <w:szCs w:val="22"/>
        </w:rPr>
        <w:t xml:space="preserve"> obteve nível 1 de maturidade e atende a 4 dentre 9 requisitos das boas práticas da MD-GEFIS:</w:t>
      </w:r>
      <w:r w:rsidR="00D5009A" w:rsidRPr="00064EE5">
        <w:rPr>
          <w:rFonts w:asciiTheme="minorHAnsi" w:hAnsiTheme="minorHAnsi" w:cstheme="minorHAnsi"/>
          <w:sz w:val="22"/>
          <w:szCs w:val="22"/>
        </w:rPr>
        <w:t xml:space="preserve"> Para tanto, identifica, registra e monitora os passivos contingentes decorrentes de lides de ordem tributária; efetua avaliação e estimativa do risco de ocorrência de cada um dos passivos contingentes listados; detalha e avalia os impactos financeiros dos passivos contingentes com maiores riscos de ocorrência</w:t>
      </w:r>
      <w:r w:rsidR="00D5009A" w:rsidRPr="00064EE5">
        <w:rPr>
          <w:rStyle w:val="FootnoteReference"/>
          <w:rFonts w:asciiTheme="minorHAnsi" w:hAnsiTheme="minorHAnsi" w:cstheme="minorHAnsi"/>
          <w:sz w:val="22"/>
          <w:szCs w:val="22"/>
        </w:rPr>
        <w:footnoteReference w:id="185"/>
      </w:r>
      <w:r w:rsidR="00D5009A" w:rsidRPr="00064EE5">
        <w:rPr>
          <w:rFonts w:asciiTheme="minorHAnsi" w:hAnsiTheme="minorHAnsi" w:cstheme="minorHAnsi"/>
          <w:sz w:val="22"/>
          <w:szCs w:val="22"/>
        </w:rPr>
        <w:t>; e define ações preventivas para  evitar demandas judiciais</w:t>
      </w:r>
    </w:p>
    <w:p w:rsidR="00D5009A" w:rsidRPr="00064EE5" w:rsidRDefault="00D5009A" w:rsidP="006E6CA9">
      <w:pPr>
        <w:rPr>
          <w:rFonts w:asciiTheme="minorHAnsi" w:hAnsiTheme="minorHAnsi" w:cstheme="minorHAnsi"/>
          <w:sz w:val="22"/>
          <w:szCs w:val="22"/>
        </w:rPr>
      </w:pPr>
    </w:p>
    <w:p w:rsidR="00426ED6" w:rsidRPr="00064EE5" w:rsidRDefault="00426ED6" w:rsidP="001A7EE1">
      <w:pPr>
        <w:rPr>
          <w:rFonts w:asciiTheme="minorHAnsi" w:hAnsiTheme="minorHAnsi" w:cstheme="minorHAnsi"/>
          <w:sz w:val="22"/>
          <w:szCs w:val="22"/>
        </w:rPr>
      </w:pPr>
      <w:r w:rsidRPr="00064EE5">
        <w:rPr>
          <w:rFonts w:asciiTheme="minorHAnsi" w:hAnsiTheme="minorHAnsi" w:cstheme="minorHAnsi"/>
          <w:sz w:val="22"/>
          <w:szCs w:val="22"/>
        </w:rPr>
        <w:t xml:space="preserve">Os indicadores selecionados para mediar esta Dimensão foram: </w:t>
      </w:r>
    </w:p>
    <w:p w:rsidR="00426ED6" w:rsidRPr="00064EE5" w:rsidRDefault="00426ED6" w:rsidP="001A7EE1">
      <w:pPr>
        <w:rPr>
          <w:rFonts w:asciiTheme="minorHAnsi" w:hAnsiTheme="minorHAnsi" w:cstheme="minorHAnsi"/>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71"/>
        <w:gridCol w:w="1418"/>
      </w:tblGrid>
      <w:tr w:rsidR="00426ED6" w:rsidRPr="0072678C" w:rsidTr="00426ED6">
        <w:trPr>
          <w:trHeight w:val="405"/>
        </w:trPr>
        <w:tc>
          <w:tcPr>
            <w:tcW w:w="7371" w:type="dxa"/>
            <w:shd w:val="clear" w:color="auto" w:fill="9CC2E5" w:themeFill="accent1" w:themeFillTint="99"/>
            <w:tcMar>
              <w:top w:w="0" w:type="dxa"/>
              <w:left w:w="70" w:type="dxa"/>
              <w:bottom w:w="0" w:type="dxa"/>
              <w:right w:w="70" w:type="dxa"/>
            </w:tcMar>
            <w:vAlign w:val="center"/>
            <w:hideMark/>
          </w:tcPr>
          <w:p w:rsidR="00426ED6" w:rsidRPr="0072678C" w:rsidRDefault="00C330AD" w:rsidP="00426ED6">
            <w:pPr>
              <w:jc w:val="center"/>
              <w:rPr>
                <w:rFonts w:asciiTheme="minorHAnsi" w:eastAsiaTheme="minorHAnsi" w:hAnsiTheme="minorHAnsi" w:cstheme="minorHAnsi"/>
                <w:b/>
                <w:bCs/>
                <w:sz w:val="20"/>
                <w:szCs w:val="20"/>
              </w:rPr>
            </w:pPr>
            <w:r w:rsidRPr="0072678C">
              <w:rPr>
                <w:rFonts w:asciiTheme="minorHAnsi" w:hAnsiTheme="minorHAnsi" w:cstheme="minorHAnsi"/>
                <w:sz w:val="22"/>
                <w:szCs w:val="22"/>
              </w:rPr>
              <w:br w:type="page"/>
            </w:r>
            <w:r w:rsidR="00426ED6" w:rsidRPr="0072678C">
              <w:rPr>
                <w:rFonts w:asciiTheme="minorHAnsi" w:hAnsiTheme="minorHAnsi" w:cstheme="minorHAnsi"/>
                <w:b/>
                <w:bCs/>
                <w:sz w:val="20"/>
                <w:szCs w:val="20"/>
              </w:rPr>
              <w:t>Indicadores de Desempenho</w:t>
            </w:r>
          </w:p>
        </w:tc>
        <w:tc>
          <w:tcPr>
            <w:tcW w:w="1418" w:type="dxa"/>
            <w:shd w:val="clear" w:color="auto" w:fill="9CC2E5" w:themeFill="accent1" w:themeFillTint="99"/>
            <w:tcMar>
              <w:top w:w="0" w:type="dxa"/>
              <w:left w:w="70" w:type="dxa"/>
              <w:bottom w:w="0" w:type="dxa"/>
              <w:right w:w="70" w:type="dxa"/>
            </w:tcMar>
            <w:vAlign w:val="center"/>
            <w:hideMark/>
          </w:tcPr>
          <w:p w:rsidR="00426ED6" w:rsidRPr="0072678C" w:rsidRDefault="00426ED6" w:rsidP="00426ED6">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Apuração 2017</w:t>
            </w:r>
          </w:p>
        </w:tc>
      </w:tr>
      <w:tr w:rsidR="00426ED6" w:rsidRPr="0072678C" w:rsidTr="003C0D08">
        <w:trPr>
          <w:trHeight w:val="211"/>
        </w:trPr>
        <w:tc>
          <w:tcPr>
            <w:tcW w:w="7371" w:type="dxa"/>
            <w:shd w:val="clear" w:color="auto" w:fill="BDD6EE" w:themeFill="accent1" w:themeFillTint="66"/>
            <w:tcMar>
              <w:top w:w="0" w:type="dxa"/>
              <w:left w:w="70" w:type="dxa"/>
              <w:bottom w:w="0" w:type="dxa"/>
              <w:right w:w="70" w:type="dxa"/>
            </w:tcMar>
            <w:vAlign w:val="center"/>
            <w:hideMark/>
          </w:tcPr>
          <w:p w:rsidR="00426ED6" w:rsidRPr="0072678C" w:rsidRDefault="00426ED6">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Receita de ativos</w:t>
            </w:r>
          </w:p>
        </w:tc>
        <w:tc>
          <w:tcPr>
            <w:tcW w:w="1418" w:type="dxa"/>
            <w:shd w:val="clear" w:color="auto" w:fill="BDD6EE" w:themeFill="accent1" w:themeFillTint="66"/>
            <w:tcMar>
              <w:top w:w="0" w:type="dxa"/>
              <w:left w:w="70" w:type="dxa"/>
              <w:bottom w:w="0" w:type="dxa"/>
              <w:right w:w="70" w:type="dxa"/>
            </w:tcMar>
            <w:vAlign w:val="center"/>
            <w:hideMark/>
          </w:tcPr>
          <w:p w:rsidR="00426ED6" w:rsidRPr="0072678C" w:rsidRDefault="00426ED6" w:rsidP="00426ED6">
            <w:pPr>
              <w:jc w:val="center"/>
              <w:rPr>
                <w:rFonts w:asciiTheme="minorHAnsi" w:eastAsiaTheme="minorHAnsi" w:hAnsiTheme="minorHAnsi" w:cstheme="minorHAnsi"/>
                <w:b/>
                <w:bCs/>
                <w:sz w:val="20"/>
                <w:szCs w:val="20"/>
              </w:rPr>
            </w:pPr>
          </w:p>
        </w:tc>
      </w:tr>
      <w:tr w:rsidR="00426ED6" w:rsidRPr="0072678C" w:rsidTr="00426ED6">
        <w:trPr>
          <w:trHeight w:val="571"/>
        </w:trPr>
        <w:tc>
          <w:tcPr>
            <w:tcW w:w="7371" w:type="dxa"/>
            <w:tcMar>
              <w:top w:w="0" w:type="dxa"/>
              <w:left w:w="70" w:type="dxa"/>
              <w:bottom w:w="0" w:type="dxa"/>
              <w:right w:w="70" w:type="dxa"/>
            </w:tcMar>
            <w:vAlign w:val="center"/>
            <w:hideMark/>
          </w:tcPr>
          <w:p w:rsidR="00426ED6" w:rsidRPr="0072678C" w:rsidRDefault="00426ED6" w:rsidP="00426ED6">
            <w:pPr>
              <w:rPr>
                <w:rFonts w:asciiTheme="minorHAnsi" w:eastAsiaTheme="minorHAnsi" w:hAnsiTheme="minorHAnsi" w:cstheme="minorHAnsi"/>
                <w:iCs/>
                <w:sz w:val="20"/>
                <w:szCs w:val="20"/>
              </w:rPr>
            </w:pPr>
            <w:r w:rsidRPr="0072678C">
              <w:rPr>
                <w:rFonts w:asciiTheme="minorHAnsi" w:hAnsiTheme="minorHAnsi" w:cstheme="minorHAnsi"/>
                <w:iCs/>
                <w:sz w:val="20"/>
                <w:szCs w:val="20"/>
              </w:rPr>
              <w:t>Valor total arrecadação com a recuperação dos haveres financeiros do estado / Valor total da receita estimada na recuperação dos haveres financeiros</w:t>
            </w:r>
          </w:p>
        </w:tc>
        <w:tc>
          <w:tcPr>
            <w:tcW w:w="1418" w:type="dxa"/>
            <w:shd w:val="clear" w:color="auto" w:fill="FFFFFF"/>
            <w:noWrap/>
            <w:tcMar>
              <w:top w:w="0" w:type="dxa"/>
              <w:left w:w="70" w:type="dxa"/>
              <w:bottom w:w="0" w:type="dxa"/>
              <w:right w:w="70" w:type="dxa"/>
            </w:tcMar>
            <w:vAlign w:val="center"/>
            <w:hideMark/>
          </w:tcPr>
          <w:p w:rsidR="00426ED6" w:rsidRPr="0072678C" w:rsidRDefault="00426ED6" w:rsidP="00426ED6">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44,94%</w:t>
            </w:r>
          </w:p>
        </w:tc>
      </w:tr>
      <w:tr w:rsidR="00426ED6" w:rsidRPr="0072678C" w:rsidTr="00426ED6">
        <w:trPr>
          <w:trHeight w:val="551"/>
        </w:trPr>
        <w:tc>
          <w:tcPr>
            <w:tcW w:w="7371" w:type="dxa"/>
            <w:tcMar>
              <w:top w:w="0" w:type="dxa"/>
              <w:left w:w="70" w:type="dxa"/>
              <w:bottom w:w="0" w:type="dxa"/>
              <w:right w:w="70" w:type="dxa"/>
            </w:tcMar>
            <w:vAlign w:val="center"/>
            <w:hideMark/>
          </w:tcPr>
          <w:p w:rsidR="00426ED6" w:rsidRPr="0072678C" w:rsidRDefault="00426ED6" w:rsidP="00426ED6">
            <w:pPr>
              <w:rPr>
                <w:rFonts w:asciiTheme="minorHAnsi" w:eastAsiaTheme="minorHAnsi" w:hAnsiTheme="minorHAnsi" w:cstheme="minorHAnsi"/>
                <w:iCs/>
                <w:sz w:val="20"/>
                <w:szCs w:val="20"/>
              </w:rPr>
            </w:pPr>
            <w:r w:rsidRPr="0072678C">
              <w:rPr>
                <w:rFonts w:asciiTheme="minorHAnsi" w:hAnsiTheme="minorHAnsi" w:cstheme="minorHAnsi"/>
                <w:iCs/>
                <w:sz w:val="20"/>
                <w:szCs w:val="20"/>
              </w:rPr>
              <w:t xml:space="preserve">Valor total arrecadação com a recuperação dos haveres financeiros do estado / Valor total da receita </w:t>
            </w:r>
          </w:p>
        </w:tc>
        <w:tc>
          <w:tcPr>
            <w:tcW w:w="1418" w:type="dxa"/>
            <w:shd w:val="clear" w:color="auto" w:fill="FFFFFF"/>
            <w:noWrap/>
            <w:tcMar>
              <w:top w:w="0" w:type="dxa"/>
              <w:left w:w="70" w:type="dxa"/>
              <w:bottom w:w="0" w:type="dxa"/>
              <w:right w:w="70" w:type="dxa"/>
            </w:tcMar>
            <w:vAlign w:val="center"/>
            <w:hideMark/>
          </w:tcPr>
          <w:p w:rsidR="00426ED6" w:rsidRPr="0072678C" w:rsidRDefault="00426ED6" w:rsidP="00426ED6">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3,79%</w:t>
            </w:r>
          </w:p>
        </w:tc>
      </w:tr>
      <w:tr w:rsidR="00426ED6" w:rsidRPr="0072678C" w:rsidTr="00426ED6">
        <w:trPr>
          <w:trHeight w:val="559"/>
        </w:trPr>
        <w:tc>
          <w:tcPr>
            <w:tcW w:w="7371" w:type="dxa"/>
            <w:tcMar>
              <w:top w:w="0" w:type="dxa"/>
              <w:left w:w="70" w:type="dxa"/>
              <w:bottom w:w="0" w:type="dxa"/>
              <w:right w:w="70" w:type="dxa"/>
            </w:tcMar>
            <w:vAlign w:val="center"/>
            <w:hideMark/>
          </w:tcPr>
          <w:p w:rsidR="00426ED6" w:rsidRPr="0072678C" w:rsidRDefault="00426ED6" w:rsidP="00426ED6">
            <w:pPr>
              <w:rPr>
                <w:rFonts w:asciiTheme="minorHAnsi" w:eastAsiaTheme="minorHAnsi" w:hAnsiTheme="minorHAnsi" w:cstheme="minorHAnsi"/>
                <w:iCs/>
                <w:sz w:val="20"/>
                <w:szCs w:val="20"/>
              </w:rPr>
            </w:pPr>
            <w:r w:rsidRPr="0072678C">
              <w:rPr>
                <w:rFonts w:asciiTheme="minorHAnsi" w:hAnsiTheme="minorHAnsi" w:cstheme="minorHAnsi"/>
                <w:iCs/>
                <w:sz w:val="20"/>
                <w:szCs w:val="20"/>
              </w:rPr>
              <w:t>Valor total recebido de lucros em participações societárias / Valor total da receita estimada com lucros em participações societárias</w:t>
            </w:r>
          </w:p>
        </w:tc>
        <w:tc>
          <w:tcPr>
            <w:tcW w:w="1418" w:type="dxa"/>
            <w:shd w:val="clear" w:color="auto" w:fill="FFFFFF"/>
            <w:noWrap/>
            <w:tcMar>
              <w:top w:w="0" w:type="dxa"/>
              <w:left w:w="70" w:type="dxa"/>
              <w:bottom w:w="0" w:type="dxa"/>
              <w:right w:w="70" w:type="dxa"/>
            </w:tcMar>
            <w:vAlign w:val="center"/>
            <w:hideMark/>
          </w:tcPr>
          <w:p w:rsidR="00426ED6" w:rsidRPr="0072678C" w:rsidRDefault="00426ED6" w:rsidP="00426ED6">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2,93%</w:t>
            </w:r>
          </w:p>
        </w:tc>
      </w:tr>
      <w:tr w:rsidR="00426ED6" w:rsidRPr="0072678C" w:rsidTr="00426ED6">
        <w:trPr>
          <w:trHeight w:val="489"/>
        </w:trPr>
        <w:tc>
          <w:tcPr>
            <w:tcW w:w="7371" w:type="dxa"/>
            <w:shd w:val="clear" w:color="auto" w:fill="BDD6EE" w:themeFill="accent1" w:themeFillTint="66"/>
            <w:tcMar>
              <w:top w:w="0" w:type="dxa"/>
              <w:left w:w="70" w:type="dxa"/>
              <w:bottom w:w="0" w:type="dxa"/>
              <w:right w:w="70" w:type="dxa"/>
            </w:tcMar>
            <w:vAlign w:val="center"/>
            <w:hideMark/>
          </w:tcPr>
          <w:p w:rsidR="00426ED6" w:rsidRPr="0072678C" w:rsidRDefault="00426ED6">
            <w:pPr>
              <w:rPr>
                <w:rFonts w:asciiTheme="minorHAnsi" w:eastAsiaTheme="minorHAnsi" w:hAnsiTheme="minorHAnsi" w:cstheme="minorHAnsi"/>
                <w:sz w:val="20"/>
                <w:szCs w:val="20"/>
              </w:rPr>
            </w:pPr>
            <w:r w:rsidRPr="0072678C">
              <w:rPr>
                <w:rFonts w:asciiTheme="minorHAnsi" w:hAnsiTheme="minorHAnsi" w:cstheme="minorHAnsi"/>
                <w:b/>
                <w:bCs/>
                <w:sz w:val="20"/>
                <w:szCs w:val="20"/>
              </w:rPr>
              <w:t>Pagamento de precatórios</w:t>
            </w:r>
            <w:r w:rsidRPr="0072678C">
              <w:rPr>
                <w:rFonts w:asciiTheme="minorHAnsi" w:hAnsiTheme="minorHAnsi" w:cstheme="minorHAnsi"/>
                <w:sz w:val="20"/>
                <w:szCs w:val="20"/>
              </w:rPr>
              <w:t>: Valor total dos precatórios quitados / valor total atualizado dos precatórios</w:t>
            </w:r>
          </w:p>
        </w:tc>
        <w:tc>
          <w:tcPr>
            <w:tcW w:w="1418" w:type="dxa"/>
            <w:shd w:val="clear" w:color="auto" w:fill="BDD6EE" w:themeFill="accent1" w:themeFillTint="66"/>
            <w:noWrap/>
            <w:tcMar>
              <w:top w:w="0" w:type="dxa"/>
              <w:left w:w="70" w:type="dxa"/>
              <w:bottom w:w="0" w:type="dxa"/>
              <w:right w:w="70" w:type="dxa"/>
            </w:tcMar>
            <w:vAlign w:val="center"/>
            <w:hideMark/>
          </w:tcPr>
          <w:p w:rsidR="00426ED6" w:rsidRPr="0072678C" w:rsidRDefault="00426ED6" w:rsidP="00426ED6">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16,50%</w:t>
            </w:r>
          </w:p>
        </w:tc>
      </w:tr>
      <w:tr w:rsidR="00426ED6" w:rsidRPr="0072678C" w:rsidTr="00426ED6">
        <w:trPr>
          <w:trHeight w:val="412"/>
        </w:trPr>
        <w:tc>
          <w:tcPr>
            <w:tcW w:w="7371" w:type="dxa"/>
            <w:shd w:val="clear" w:color="auto" w:fill="BDD6EE" w:themeFill="accent1" w:themeFillTint="66"/>
            <w:tcMar>
              <w:top w:w="0" w:type="dxa"/>
              <w:left w:w="70" w:type="dxa"/>
              <w:bottom w:w="0" w:type="dxa"/>
              <w:right w:w="70" w:type="dxa"/>
            </w:tcMar>
            <w:vAlign w:val="center"/>
            <w:hideMark/>
          </w:tcPr>
          <w:p w:rsidR="00426ED6" w:rsidRPr="0072678C" w:rsidRDefault="00426ED6">
            <w:pPr>
              <w:rPr>
                <w:rFonts w:asciiTheme="minorHAnsi" w:eastAsiaTheme="minorHAnsi" w:hAnsiTheme="minorHAnsi" w:cstheme="minorHAnsi"/>
                <w:sz w:val="20"/>
                <w:szCs w:val="20"/>
              </w:rPr>
            </w:pPr>
            <w:r w:rsidRPr="0072678C">
              <w:rPr>
                <w:rFonts w:asciiTheme="minorHAnsi" w:hAnsiTheme="minorHAnsi" w:cstheme="minorHAnsi"/>
                <w:b/>
                <w:bCs/>
                <w:sz w:val="20"/>
                <w:szCs w:val="20"/>
              </w:rPr>
              <w:t>Previsão de pagamento de contraprestações e aporte de recursos em PPP:</w:t>
            </w:r>
            <w:r w:rsidRPr="0072678C">
              <w:rPr>
                <w:rFonts w:asciiTheme="minorHAnsi" w:hAnsiTheme="minorHAnsi" w:cstheme="minorHAnsi"/>
                <w:iCs/>
                <w:sz w:val="20"/>
                <w:szCs w:val="20"/>
              </w:rPr>
              <w:t xml:space="preserve"> Valor anual estimado para pagamentos de contraprestações e aporte em PPP / RCL estimado</w:t>
            </w:r>
          </w:p>
        </w:tc>
        <w:tc>
          <w:tcPr>
            <w:tcW w:w="1418" w:type="dxa"/>
            <w:shd w:val="clear" w:color="auto" w:fill="BDD6EE" w:themeFill="accent1" w:themeFillTint="66"/>
            <w:noWrap/>
            <w:tcMar>
              <w:top w:w="0" w:type="dxa"/>
              <w:left w:w="70" w:type="dxa"/>
              <w:bottom w:w="0" w:type="dxa"/>
              <w:right w:w="70" w:type="dxa"/>
            </w:tcMar>
            <w:vAlign w:val="center"/>
            <w:hideMark/>
          </w:tcPr>
          <w:p w:rsidR="00426ED6" w:rsidRPr="0072678C" w:rsidRDefault="00426ED6" w:rsidP="00426ED6">
            <w:pPr>
              <w:jc w:val="center"/>
              <w:rPr>
                <w:rFonts w:asciiTheme="minorHAnsi" w:hAnsiTheme="minorHAnsi" w:cstheme="minorHAnsi"/>
                <w:sz w:val="20"/>
                <w:szCs w:val="20"/>
              </w:rPr>
            </w:pPr>
            <w:r w:rsidRPr="0072678C">
              <w:rPr>
                <w:rFonts w:asciiTheme="minorHAnsi" w:hAnsiTheme="minorHAnsi" w:cstheme="minorHAnsi"/>
                <w:sz w:val="20"/>
                <w:szCs w:val="20"/>
              </w:rPr>
              <w:t xml:space="preserve">2,48% </w:t>
            </w:r>
            <w:r w:rsidRPr="0072678C">
              <w:rPr>
                <w:rStyle w:val="FootnoteReference"/>
                <w:rFonts w:asciiTheme="minorHAnsi" w:hAnsiTheme="minorHAnsi" w:cstheme="minorHAnsi"/>
                <w:sz w:val="20"/>
                <w:szCs w:val="20"/>
              </w:rPr>
              <w:footnoteReference w:id="186"/>
            </w:r>
          </w:p>
        </w:tc>
      </w:tr>
    </w:tbl>
    <w:p w:rsidR="005F0992" w:rsidRPr="0072678C" w:rsidRDefault="005F0992"/>
    <w:p w:rsidR="00B44516" w:rsidRPr="0072678C" w:rsidRDefault="00B44516" w:rsidP="00B44516">
      <w:pPr>
        <w:jc w:val="both"/>
        <w:rPr>
          <w:rFonts w:asciiTheme="minorHAnsi" w:hAnsiTheme="minorHAnsi" w:cstheme="minorHAnsi"/>
          <w:sz w:val="22"/>
          <w:szCs w:val="22"/>
        </w:rPr>
      </w:pPr>
    </w:p>
    <w:tbl>
      <w:tblPr>
        <w:tblStyle w:val="TableGrid"/>
        <w:tblW w:w="8789" w:type="dxa"/>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D9E2F3" w:themeFill="accent5" w:themeFillTint="33"/>
        <w:tblLook w:val="04A0" w:firstRow="1" w:lastRow="0" w:firstColumn="1" w:lastColumn="0" w:noHBand="0" w:noVBand="1"/>
      </w:tblPr>
      <w:tblGrid>
        <w:gridCol w:w="6379"/>
        <w:gridCol w:w="2410"/>
      </w:tblGrid>
      <w:tr w:rsidR="00B44516" w:rsidRPr="0072678C" w:rsidTr="00B44516">
        <w:tc>
          <w:tcPr>
            <w:tcW w:w="6379" w:type="dxa"/>
            <w:shd w:val="clear" w:color="auto" w:fill="D9E2F3" w:themeFill="accent5" w:themeFillTint="33"/>
          </w:tcPr>
          <w:p w:rsidR="00B44516" w:rsidRPr="0072678C" w:rsidRDefault="00B44516" w:rsidP="00B44516">
            <w:pPr>
              <w:spacing w:before="120" w:after="120"/>
              <w:jc w:val="both"/>
              <w:rPr>
                <w:rFonts w:asciiTheme="minorHAnsi" w:hAnsiTheme="minorHAnsi" w:cstheme="minorHAnsi"/>
                <w:b/>
              </w:rPr>
            </w:pPr>
            <w:r w:rsidRPr="0072678C">
              <w:rPr>
                <w:rFonts w:asciiTheme="minorHAnsi" w:hAnsiTheme="minorHAnsi" w:cstheme="minorHAnsi"/>
                <w:b/>
              </w:rPr>
              <w:t>Dimensão AF 4. Gestão Contábil</w:t>
            </w:r>
          </w:p>
        </w:tc>
        <w:tc>
          <w:tcPr>
            <w:tcW w:w="2410" w:type="dxa"/>
            <w:shd w:val="clear" w:color="auto" w:fill="D9E2F3" w:themeFill="accent5" w:themeFillTint="33"/>
          </w:tcPr>
          <w:p w:rsidR="00B44516" w:rsidRPr="0072678C" w:rsidRDefault="003A087A" w:rsidP="00FC3F74">
            <w:pPr>
              <w:spacing w:before="120" w:after="120"/>
              <w:jc w:val="center"/>
              <w:rPr>
                <w:rFonts w:asciiTheme="minorHAnsi" w:hAnsiTheme="minorHAnsi" w:cstheme="minorHAnsi"/>
                <w:b/>
              </w:rPr>
            </w:pPr>
            <w:r w:rsidRPr="0072678C">
              <w:rPr>
                <w:rFonts w:asciiTheme="minorHAnsi" w:hAnsiTheme="minorHAnsi" w:cstheme="minorHAnsi"/>
                <w:b/>
                <w:bCs/>
              </w:rPr>
              <w:t>INTERMEDIÁRIO (-)</w:t>
            </w:r>
          </w:p>
        </w:tc>
      </w:tr>
    </w:tbl>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A visão de futuro da dimensão</w:t>
      </w:r>
      <w:r w:rsidRPr="0072678C">
        <w:rPr>
          <w:rFonts w:asciiTheme="minorHAnsi" w:hAnsiTheme="minorHAnsi" w:cstheme="minorHAnsi"/>
          <w:b/>
          <w:sz w:val="22"/>
          <w:szCs w:val="22"/>
        </w:rPr>
        <w:t xml:space="preserve"> Gestão Contábil </w:t>
      </w:r>
      <w:r w:rsidRPr="0072678C">
        <w:rPr>
          <w:rFonts w:asciiTheme="minorHAnsi" w:hAnsiTheme="minorHAnsi" w:cstheme="minorHAnsi"/>
          <w:sz w:val="22"/>
          <w:szCs w:val="22"/>
        </w:rPr>
        <w:t>é “produzir registros contábeis e informações atualizadas para atender aos propósitos do controle e da tomada de decisão gerencial”.</w:t>
      </w:r>
    </w:p>
    <w:p w:rsidR="00B44516" w:rsidRPr="0072678C" w:rsidRDefault="00B44516" w:rsidP="00B44516">
      <w:pPr>
        <w:spacing w:before="240" w:after="240"/>
        <w:jc w:val="both"/>
        <w:rPr>
          <w:rFonts w:asciiTheme="minorHAnsi" w:hAnsiTheme="minorHAnsi" w:cstheme="minorHAnsi"/>
          <w:b/>
          <w:bCs/>
          <w:sz w:val="22"/>
          <w:szCs w:val="22"/>
        </w:rPr>
      </w:pPr>
      <w:r w:rsidRPr="0072678C">
        <w:rPr>
          <w:rFonts w:asciiTheme="minorHAnsi" w:hAnsiTheme="minorHAnsi" w:cstheme="minorHAnsi"/>
          <w:sz w:val="22"/>
          <w:szCs w:val="22"/>
        </w:rPr>
        <w:t xml:space="preserve">Esta dimensão alcançou o maior nível ou estágio de maturidade do conjunto de processos críticos que compõem este Eixo, </w:t>
      </w:r>
      <w:r w:rsidR="003A087A" w:rsidRPr="0072678C">
        <w:rPr>
          <w:rFonts w:asciiTheme="minorHAnsi" w:hAnsiTheme="minorHAnsi" w:cstheme="minorHAnsi"/>
          <w:b/>
          <w:bCs/>
          <w:sz w:val="22"/>
          <w:szCs w:val="22"/>
        </w:rPr>
        <w:t>INTERMEDIÁRIO (-).</w:t>
      </w:r>
    </w:p>
    <w:p w:rsidR="00136A9B" w:rsidRPr="0072678C" w:rsidRDefault="00136A9B" w:rsidP="00136A9B">
      <w:pPr>
        <w:jc w:val="both"/>
        <w:rPr>
          <w:rFonts w:asciiTheme="minorHAnsi" w:hAnsiTheme="minorHAnsi" w:cstheme="minorHAnsi"/>
          <w:sz w:val="22"/>
          <w:szCs w:val="22"/>
        </w:rPr>
      </w:pPr>
      <w:r w:rsidRPr="0072678C">
        <w:rPr>
          <w:rFonts w:asciiTheme="minorHAnsi" w:hAnsiTheme="minorHAnsi" w:cstheme="minorHAnsi"/>
          <w:sz w:val="22"/>
          <w:szCs w:val="22"/>
        </w:rPr>
        <w:t xml:space="preserve">Dentre os 12 processos que compõem essa dimensão, 3 apresentou nível 3 de maturidade: </w:t>
      </w:r>
      <w:r w:rsidRPr="0072678C">
        <w:rPr>
          <w:rFonts w:asciiTheme="minorHAnsi" w:hAnsiTheme="minorHAnsi" w:cstheme="minorHAnsi"/>
          <w:b/>
          <w:bCs/>
          <w:i/>
          <w:sz w:val="22"/>
          <w:szCs w:val="22"/>
        </w:rPr>
        <w:t>Procedimentos Contábeis Orçamentários (PCO); controle dos recursos descentralizados para unidades de prestação de serviços; e sistema de administração financeira.</w:t>
      </w:r>
    </w:p>
    <w:p w:rsidR="00136A9B" w:rsidRPr="0072678C" w:rsidRDefault="00136A9B" w:rsidP="00136A9B">
      <w:pPr>
        <w:spacing w:before="240" w:after="240"/>
        <w:jc w:val="both"/>
        <w:rPr>
          <w:rFonts w:asciiTheme="minorHAnsi" w:hAnsiTheme="minorHAnsi" w:cstheme="minorHAnsi"/>
          <w:b/>
          <w:bCs/>
          <w:i/>
          <w:sz w:val="22"/>
          <w:szCs w:val="22"/>
        </w:rPr>
      </w:pPr>
      <w:r w:rsidRPr="0072678C">
        <w:rPr>
          <w:rFonts w:asciiTheme="minorHAnsi" w:hAnsiTheme="minorHAnsi" w:cstheme="minorHAnsi"/>
          <w:sz w:val="22"/>
          <w:szCs w:val="22"/>
        </w:rPr>
        <w:t xml:space="preserve">Outros </w:t>
      </w:r>
      <w:r w:rsidR="008A5480" w:rsidRPr="0072678C">
        <w:rPr>
          <w:rFonts w:asciiTheme="minorHAnsi" w:hAnsiTheme="minorHAnsi" w:cstheme="minorHAnsi"/>
          <w:sz w:val="22"/>
          <w:szCs w:val="22"/>
        </w:rPr>
        <w:t>5</w:t>
      </w:r>
      <w:r w:rsidRPr="0072678C">
        <w:rPr>
          <w:rFonts w:asciiTheme="minorHAnsi" w:hAnsiTheme="minorHAnsi" w:cstheme="minorHAnsi"/>
          <w:sz w:val="22"/>
          <w:szCs w:val="22"/>
        </w:rPr>
        <w:t xml:space="preserve"> processos contribuem para o estágio da maturidade da dimensão e apresentam nível 2 de maturidade:</w:t>
      </w:r>
      <w:r w:rsidRPr="0072678C">
        <w:rPr>
          <w:rFonts w:asciiTheme="minorHAnsi" w:hAnsiTheme="minorHAnsi" w:cstheme="minorHAnsi"/>
          <w:b/>
          <w:i/>
          <w:sz w:val="22"/>
          <w:szCs w:val="22"/>
        </w:rPr>
        <w:t xml:space="preserve"> </w:t>
      </w:r>
      <w:r w:rsidRPr="0072678C">
        <w:rPr>
          <w:rFonts w:asciiTheme="minorHAnsi" w:hAnsiTheme="minorHAnsi" w:cstheme="minorHAnsi"/>
          <w:b/>
          <w:bCs/>
          <w:i/>
          <w:sz w:val="22"/>
          <w:szCs w:val="22"/>
        </w:rPr>
        <w:t xml:space="preserve">aplicação das Normas Brasileiras de Contabilidade Aplicadas ao Setor Público (NBCASP) e do Manual de Contabilidade Aplicada ao Setor Público (MCASP); </w:t>
      </w:r>
      <w:r w:rsidR="006F4DC5" w:rsidRPr="0072678C">
        <w:rPr>
          <w:rFonts w:asciiTheme="minorHAnsi" w:hAnsiTheme="minorHAnsi" w:cstheme="minorHAnsi"/>
          <w:b/>
          <w:bCs/>
          <w:i/>
          <w:sz w:val="22"/>
          <w:szCs w:val="22"/>
        </w:rPr>
        <w:t>de</w:t>
      </w:r>
      <w:r w:rsidRPr="0072678C">
        <w:rPr>
          <w:rFonts w:asciiTheme="minorHAnsi" w:hAnsiTheme="minorHAnsi" w:cstheme="minorHAnsi"/>
          <w:b/>
          <w:bCs/>
          <w:i/>
          <w:sz w:val="22"/>
          <w:szCs w:val="22"/>
        </w:rPr>
        <w:t>monstrações contábeis aplicadas ao setor público; sistema de administração financeira (padrões de qualidade); e sistema de administração financeira (requisitos técnicos</w:t>
      </w:r>
      <w:r w:rsidR="008A5480" w:rsidRPr="0072678C">
        <w:rPr>
          <w:rFonts w:asciiTheme="minorHAnsi" w:hAnsiTheme="minorHAnsi" w:cstheme="minorHAnsi"/>
          <w:b/>
          <w:bCs/>
          <w:i/>
          <w:sz w:val="22"/>
          <w:szCs w:val="22"/>
        </w:rPr>
        <w:t>); e a contabilidade do setor público estadual</w:t>
      </w:r>
      <w:r w:rsidRPr="0072678C">
        <w:rPr>
          <w:rFonts w:asciiTheme="minorHAnsi" w:hAnsiTheme="minorHAnsi" w:cstheme="minorHAnsi"/>
          <w:b/>
          <w:bCs/>
          <w:i/>
          <w:sz w:val="22"/>
          <w:szCs w:val="22"/>
        </w:rPr>
        <w:t>.</w:t>
      </w:r>
    </w:p>
    <w:p w:rsidR="00136A9B" w:rsidRPr="0072678C" w:rsidRDefault="008A5480" w:rsidP="00136A9B">
      <w:pPr>
        <w:spacing w:before="240" w:after="240"/>
        <w:jc w:val="both"/>
        <w:rPr>
          <w:rFonts w:asciiTheme="minorHAnsi" w:hAnsiTheme="minorHAnsi" w:cstheme="minorHAnsi"/>
          <w:b/>
          <w:bCs/>
          <w:i/>
          <w:sz w:val="22"/>
          <w:szCs w:val="22"/>
        </w:rPr>
      </w:pPr>
      <w:r w:rsidRPr="0072678C">
        <w:rPr>
          <w:rFonts w:asciiTheme="minorHAnsi" w:hAnsiTheme="minorHAnsi" w:cstheme="minorHAnsi"/>
          <w:sz w:val="22"/>
          <w:szCs w:val="22"/>
        </w:rPr>
        <w:t>Ainda, 2</w:t>
      </w:r>
      <w:r w:rsidR="00136A9B" w:rsidRPr="0072678C">
        <w:rPr>
          <w:rFonts w:asciiTheme="minorHAnsi" w:hAnsiTheme="minorHAnsi" w:cstheme="minorHAnsi"/>
          <w:sz w:val="22"/>
          <w:szCs w:val="22"/>
        </w:rPr>
        <w:t xml:space="preserve"> outros processos adotam um número reduzido das melhores práticas apresentadas na MD-GEFIS e, portanto, estão no nível 1 de maturidade: </w:t>
      </w:r>
      <w:r w:rsidR="00136A9B" w:rsidRPr="0072678C">
        <w:rPr>
          <w:rFonts w:asciiTheme="minorHAnsi" w:hAnsiTheme="minorHAnsi" w:cstheme="minorHAnsi"/>
          <w:b/>
          <w:bCs/>
          <w:i/>
          <w:sz w:val="22"/>
          <w:szCs w:val="22"/>
        </w:rPr>
        <w:t>procedimentos Contábeis Patrimoniais (PCP);</w:t>
      </w:r>
      <w:r w:rsidRPr="0072678C">
        <w:rPr>
          <w:rFonts w:asciiTheme="minorHAnsi" w:hAnsiTheme="minorHAnsi" w:cstheme="minorHAnsi"/>
          <w:b/>
          <w:bCs/>
          <w:i/>
          <w:sz w:val="22"/>
          <w:szCs w:val="22"/>
        </w:rPr>
        <w:t xml:space="preserve"> </w:t>
      </w:r>
      <w:proofErr w:type="gramStart"/>
      <w:r w:rsidRPr="0072678C">
        <w:rPr>
          <w:rFonts w:asciiTheme="minorHAnsi" w:hAnsiTheme="minorHAnsi" w:cstheme="minorHAnsi"/>
          <w:b/>
          <w:bCs/>
          <w:i/>
          <w:sz w:val="22"/>
          <w:szCs w:val="22"/>
        </w:rPr>
        <w:t>e</w:t>
      </w:r>
      <w:r w:rsidR="00136A9B" w:rsidRPr="0072678C">
        <w:rPr>
          <w:rFonts w:asciiTheme="minorHAnsi" w:hAnsiTheme="minorHAnsi" w:cstheme="minorHAnsi"/>
          <w:b/>
          <w:bCs/>
          <w:i/>
          <w:sz w:val="22"/>
          <w:szCs w:val="22"/>
        </w:rPr>
        <w:t xml:space="preserve">  </w:t>
      </w:r>
      <w:r w:rsidR="006F4DC5" w:rsidRPr="0072678C">
        <w:rPr>
          <w:rFonts w:asciiTheme="minorHAnsi" w:hAnsiTheme="minorHAnsi" w:cstheme="minorHAnsi"/>
          <w:b/>
          <w:bCs/>
          <w:i/>
          <w:sz w:val="22"/>
          <w:szCs w:val="22"/>
        </w:rPr>
        <w:t>Procediment</w:t>
      </w:r>
      <w:r w:rsidRPr="0072678C">
        <w:rPr>
          <w:rFonts w:asciiTheme="minorHAnsi" w:hAnsiTheme="minorHAnsi" w:cstheme="minorHAnsi"/>
          <w:b/>
          <w:bCs/>
          <w:i/>
          <w:sz w:val="22"/>
          <w:szCs w:val="22"/>
        </w:rPr>
        <w:t>os</w:t>
      </w:r>
      <w:proofErr w:type="gramEnd"/>
      <w:r w:rsidRPr="0072678C">
        <w:rPr>
          <w:rFonts w:asciiTheme="minorHAnsi" w:hAnsiTheme="minorHAnsi" w:cstheme="minorHAnsi"/>
          <w:b/>
          <w:bCs/>
          <w:i/>
          <w:sz w:val="22"/>
          <w:szCs w:val="22"/>
        </w:rPr>
        <w:t xml:space="preserve"> Contábeis Específicos (PCE)</w:t>
      </w:r>
      <w:r w:rsidR="006F4DC5" w:rsidRPr="0072678C">
        <w:rPr>
          <w:rFonts w:asciiTheme="minorHAnsi" w:hAnsiTheme="minorHAnsi" w:cstheme="minorHAnsi"/>
          <w:b/>
          <w:bCs/>
          <w:i/>
          <w:sz w:val="22"/>
          <w:szCs w:val="22"/>
        </w:rPr>
        <w:t xml:space="preserve"> .</w:t>
      </w:r>
    </w:p>
    <w:p w:rsidR="006F4DC5" w:rsidRPr="00064EE5" w:rsidRDefault="006F4DC5" w:rsidP="006F4DC5">
      <w:pPr>
        <w:spacing w:before="240" w:after="240"/>
        <w:jc w:val="both"/>
        <w:rPr>
          <w:rFonts w:asciiTheme="minorHAnsi" w:hAnsiTheme="minorHAnsi" w:cstheme="minorHAnsi"/>
          <w:b/>
          <w:bCs/>
          <w:i/>
          <w:sz w:val="22"/>
          <w:szCs w:val="22"/>
        </w:rPr>
      </w:pPr>
      <w:r w:rsidRPr="0072678C">
        <w:rPr>
          <w:rFonts w:asciiTheme="minorHAnsi" w:hAnsiTheme="minorHAnsi" w:cstheme="minorHAnsi"/>
          <w:sz w:val="22"/>
          <w:szCs w:val="22"/>
        </w:rPr>
        <w:lastRenderedPageBreak/>
        <w:t xml:space="preserve">2 processos adotam um número reduzido das melhores práticas apresentadas na MD-GEFIS e, portanto, estão no nível 0 (zero) de maturidade: </w:t>
      </w:r>
      <w:r w:rsidRPr="0072678C">
        <w:rPr>
          <w:rFonts w:asciiTheme="minorHAnsi" w:hAnsiTheme="minorHAnsi" w:cstheme="minorHAnsi"/>
          <w:b/>
          <w:bCs/>
          <w:i/>
          <w:sz w:val="22"/>
          <w:szCs w:val="22"/>
        </w:rPr>
        <w:t xml:space="preserve">procedimentos para a convergência contábil; e </w:t>
      </w:r>
      <w:r w:rsidRPr="00064EE5">
        <w:rPr>
          <w:rFonts w:asciiTheme="minorHAnsi" w:hAnsiTheme="minorHAnsi" w:cstheme="minorHAnsi"/>
          <w:b/>
          <w:bCs/>
          <w:i/>
          <w:sz w:val="22"/>
          <w:szCs w:val="22"/>
        </w:rPr>
        <w:t xml:space="preserve">sistema de conciliações bancárias. </w:t>
      </w:r>
    </w:p>
    <w:p w:rsidR="00F1356C" w:rsidRPr="00064EE5" w:rsidRDefault="00064EE5" w:rsidP="00F1356C">
      <w:pPr>
        <w:spacing w:after="160" w:line="259" w:lineRule="auto"/>
        <w:jc w:val="both"/>
        <w:rPr>
          <w:rFonts w:asciiTheme="minorHAnsi" w:hAnsiTheme="minorHAnsi" w:cstheme="minorHAnsi"/>
          <w:b/>
          <w:bCs/>
          <w:sz w:val="22"/>
          <w:szCs w:val="22"/>
        </w:rPr>
      </w:pPr>
      <w:r w:rsidRPr="00064EE5">
        <w:rPr>
          <w:rFonts w:asciiTheme="minorHAnsi" w:hAnsiTheme="minorHAnsi" w:cstheme="minorHAnsi"/>
          <w:sz w:val="22"/>
          <w:szCs w:val="22"/>
        </w:rPr>
        <w:t xml:space="preserve">Os </w:t>
      </w:r>
      <w:r w:rsidRPr="00064EE5">
        <w:rPr>
          <w:rFonts w:asciiTheme="minorHAnsi" w:hAnsiTheme="minorHAnsi" w:cstheme="minorHAnsi"/>
          <w:b/>
          <w:bCs/>
          <w:sz w:val="22"/>
          <w:szCs w:val="22"/>
        </w:rPr>
        <w:t>Procedimentos Contábeis Orçamentários (PCO)</w:t>
      </w:r>
      <w:r w:rsidRPr="00064EE5">
        <w:rPr>
          <w:rFonts w:asciiTheme="minorHAnsi" w:hAnsiTheme="minorHAnsi" w:cstheme="minorHAnsi"/>
          <w:sz w:val="22"/>
          <w:szCs w:val="22"/>
        </w:rPr>
        <w:t xml:space="preserve"> obtiveram</w:t>
      </w:r>
      <w:r w:rsidR="00F1356C" w:rsidRPr="00064EE5">
        <w:rPr>
          <w:rFonts w:asciiTheme="minorHAnsi" w:hAnsiTheme="minorHAnsi" w:cstheme="minorHAnsi"/>
          <w:sz w:val="22"/>
          <w:szCs w:val="22"/>
        </w:rPr>
        <w:t xml:space="preserve"> nível 3 de maturidade e atende a todos os 3 requisitos das boas práticas da MD-GEFIS, </w:t>
      </w:r>
      <w:r w:rsidRPr="00064EE5">
        <w:rPr>
          <w:rFonts w:asciiTheme="minorHAnsi" w:hAnsiTheme="minorHAnsi" w:cstheme="minorHAnsi"/>
          <w:sz w:val="22"/>
          <w:szCs w:val="22"/>
        </w:rPr>
        <w:t>ou seja,</w:t>
      </w:r>
      <w:r w:rsidR="00F1356C" w:rsidRPr="00064EE5">
        <w:rPr>
          <w:rFonts w:asciiTheme="minorHAnsi" w:hAnsiTheme="minorHAnsi" w:cstheme="minorHAnsi"/>
          <w:sz w:val="22"/>
          <w:szCs w:val="22"/>
        </w:rPr>
        <w:t xml:space="preserve"> são utilizados para registro das receitas e despesas orçamentárias e para controle e registro da fonte/destinação de recursos.</w:t>
      </w:r>
    </w:p>
    <w:p w:rsidR="00F1356C" w:rsidRPr="00064EE5" w:rsidRDefault="00F1356C" w:rsidP="00D875F3">
      <w:pPr>
        <w:jc w:val="both"/>
        <w:rPr>
          <w:rFonts w:asciiTheme="minorHAnsi" w:hAnsiTheme="minorHAnsi" w:cstheme="minorHAnsi"/>
          <w:sz w:val="22"/>
          <w:szCs w:val="22"/>
        </w:rPr>
      </w:pPr>
      <w:r w:rsidRPr="00064EE5">
        <w:rPr>
          <w:rFonts w:asciiTheme="minorHAnsi" w:hAnsiTheme="minorHAnsi" w:cstheme="minorHAnsi"/>
          <w:sz w:val="22"/>
          <w:szCs w:val="22"/>
        </w:rPr>
        <w:t xml:space="preserve">O </w:t>
      </w:r>
      <w:r w:rsidRPr="00064EE5">
        <w:rPr>
          <w:rFonts w:asciiTheme="minorHAnsi" w:hAnsiTheme="minorHAnsi" w:cstheme="minorHAnsi"/>
          <w:b/>
          <w:i/>
          <w:sz w:val="22"/>
          <w:szCs w:val="22"/>
        </w:rPr>
        <w:t>controle dos recursos descentralizados</w:t>
      </w:r>
      <w:r w:rsidRPr="00064EE5">
        <w:rPr>
          <w:rFonts w:asciiTheme="minorHAnsi" w:hAnsiTheme="minorHAnsi" w:cstheme="minorHAnsi"/>
          <w:sz w:val="22"/>
          <w:szCs w:val="22"/>
        </w:rPr>
        <w:t xml:space="preserve"> para unidades de prestação de serviços obteve nível 3 de maturidade e atende a todos os 8 requisitos das boas práticas da MD-GEFIS, ou seja: elabora plano de descentralização de recursos para unidades de prestação de serviços, contemplando o objetivo, valores estimados e prazos de aplicação; estabelece procedimentos administrativos e financeiros padronizados com regras de transparência no uso dos recursos; garante a tramitação da receita de transferências pelo sistema bancário centralizado; apresenta e consolida relatórios com informações sobre todos os recursos descentralizados para as unidades de prestação de serviços; apresenta e consolida relatórios com informações sobre todos os recursos executados pelas unidades prestadoras de serviços; estabelece regras, limites e prazos para prestação de contas pelas unidades prestadoras de serviços; divulga os valores repassados para as unidades descentralizadas de prestação de serviços e os resultados alcançados; e realiza ações de verificação e auditoria interna, quando necessário</w:t>
      </w:r>
    </w:p>
    <w:p w:rsidR="00F1356C" w:rsidRPr="00064EE5" w:rsidRDefault="00F1356C" w:rsidP="00F1356C">
      <w:pPr>
        <w:jc w:val="both"/>
        <w:rPr>
          <w:rFonts w:asciiTheme="minorHAnsi" w:hAnsiTheme="minorHAnsi" w:cstheme="minorHAnsi"/>
          <w:sz w:val="22"/>
          <w:szCs w:val="22"/>
        </w:rPr>
      </w:pPr>
    </w:p>
    <w:p w:rsidR="00F1356C" w:rsidRPr="00064EE5" w:rsidRDefault="00F1356C" w:rsidP="00F1356C">
      <w:pPr>
        <w:jc w:val="both"/>
        <w:rPr>
          <w:rFonts w:asciiTheme="minorHAnsi" w:hAnsiTheme="minorHAnsi" w:cstheme="minorHAnsi"/>
          <w:b/>
          <w:bCs/>
          <w:sz w:val="22"/>
          <w:szCs w:val="22"/>
        </w:rPr>
      </w:pPr>
      <w:r w:rsidRPr="00064EE5">
        <w:rPr>
          <w:rFonts w:asciiTheme="minorHAnsi" w:hAnsiTheme="minorHAnsi" w:cstheme="minorHAnsi"/>
          <w:sz w:val="22"/>
          <w:szCs w:val="22"/>
        </w:rPr>
        <w:t xml:space="preserve">O </w:t>
      </w:r>
      <w:r w:rsidRPr="00064EE5">
        <w:rPr>
          <w:rFonts w:asciiTheme="minorHAnsi" w:hAnsiTheme="minorHAnsi" w:cstheme="minorHAnsi"/>
          <w:b/>
          <w:bCs/>
          <w:i/>
          <w:iCs/>
          <w:sz w:val="22"/>
          <w:szCs w:val="22"/>
        </w:rPr>
        <w:t>sistema de administração financeira</w:t>
      </w:r>
      <w:r w:rsidRPr="00064EE5">
        <w:rPr>
          <w:rFonts w:asciiTheme="minorHAnsi" w:hAnsiTheme="minorHAnsi" w:cstheme="minorHAnsi"/>
          <w:sz w:val="22"/>
          <w:szCs w:val="22"/>
        </w:rPr>
        <w:t xml:space="preserve"> no item segurança obteve nível 3 de maturidade e atende a todos os 9 requisitos das boas práticas da MD-GEFIS, ou seja: controla o acesso dos usuários por perfil, permitindo a segregação das funções de execução orçamentária e financeira, de controle e de consulta; permite o registro e disponibilização das informações relativas às operações de inclusão, exclusão ou alteração de dados efetuadas pelos usuários e grava histórico,  para auditoria posterior, com os dados do usuário responsável, a operação realizada e a data e hora da operação; garante a autenticidade dos acessos através de conexão segura, caso seja disponível a realização de operações de inclusão, exclusão ou alteração de dados via sítio na Internet; possui mecanismos de proteção e criptografia contra acesso direto não autorizado a sua base de dados; realiza cópia de segurança periódica da base de dados do sistema que permite a sua recuperação em caso de incidente ou falha, sem prejuízo de outros procedimentos, tal como a guarda do </w:t>
      </w:r>
      <w:proofErr w:type="spellStart"/>
      <w:r w:rsidRPr="00064EE5">
        <w:rPr>
          <w:rFonts w:asciiTheme="minorHAnsi" w:hAnsiTheme="minorHAnsi" w:cstheme="minorHAnsi"/>
          <w:sz w:val="22"/>
          <w:szCs w:val="22"/>
        </w:rPr>
        <w:t>back</w:t>
      </w:r>
      <w:proofErr w:type="spellEnd"/>
      <w:r w:rsidRPr="00064EE5">
        <w:rPr>
          <w:rFonts w:asciiTheme="minorHAnsi" w:hAnsiTheme="minorHAnsi" w:cstheme="minorHAnsi"/>
          <w:sz w:val="22"/>
          <w:szCs w:val="22"/>
        </w:rPr>
        <w:t xml:space="preserve"> </w:t>
      </w:r>
      <w:proofErr w:type="spellStart"/>
      <w:r w:rsidRPr="00064EE5">
        <w:rPr>
          <w:rFonts w:asciiTheme="minorHAnsi" w:hAnsiTheme="minorHAnsi" w:cstheme="minorHAnsi"/>
          <w:sz w:val="22"/>
          <w:szCs w:val="22"/>
        </w:rPr>
        <w:t>up</w:t>
      </w:r>
      <w:proofErr w:type="spellEnd"/>
      <w:r w:rsidRPr="00064EE5">
        <w:rPr>
          <w:rFonts w:asciiTheme="minorHAnsi" w:hAnsiTheme="minorHAnsi" w:cstheme="minorHAnsi"/>
          <w:sz w:val="22"/>
          <w:szCs w:val="22"/>
        </w:rPr>
        <w:t xml:space="preserve">; previne as vulnerabilidades  que possam comprometer o sistema, tais como: Cross Site </w:t>
      </w:r>
      <w:proofErr w:type="spellStart"/>
      <w:r w:rsidRPr="00064EE5">
        <w:rPr>
          <w:rFonts w:asciiTheme="minorHAnsi" w:hAnsiTheme="minorHAnsi" w:cstheme="minorHAnsi"/>
          <w:sz w:val="22"/>
          <w:szCs w:val="22"/>
        </w:rPr>
        <w:t>Scripting</w:t>
      </w:r>
      <w:proofErr w:type="spellEnd"/>
      <w:r w:rsidRPr="00064EE5">
        <w:rPr>
          <w:rFonts w:asciiTheme="minorHAnsi" w:hAnsiTheme="minorHAnsi" w:cstheme="minorHAnsi"/>
          <w:sz w:val="22"/>
          <w:szCs w:val="22"/>
        </w:rPr>
        <w:t xml:space="preserve"> (XSS), Injeção de SQL,  upload de arquivos; garante que as transações sejam atômicas (controle transacional); executa gerenciamento de senhas; e executa gerenciamento de autenticação no sistema.</w:t>
      </w:r>
    </w:p>
    <w:p w:rsidR="00D73C4B" w:rsidRPr="00064EE5" w:rsidRDefault="00D73C4B" w:rsidP="00FA405F">
      <w:pPr>
        <w:jc w:val="both"/>
        <w:rPr>
          <w:rFonts w:asciiTheme="minorHAnsi" w:hAnsiTheme="minorHAnsi" w:cstheme="minorHAnsi"/>
          <w:sz w:val="22"/>
          <w:szCs w:val="22"/>
        </w:rPr>
      </w:pPr>
    </w:p>
    <w:p w:rsidR="00D73C4B" w:rsidRPr="00064EE5" w:rsidRDefault="00D73C4B" w:rsidP="00FA405F">
      <w:pPr>
        <w:jc w:val="both"/>
        <w:rPr>
          <w:rFonts w:asciiTheme="minorHAnsi" w:hAnsiTheme="minorHAnsi" w:cstheme="minorHAnsi"/>
          <w:b/>
          <w:bCs/>
          <w:sz w:val="22"/>
          <w:szCs w:val="22"/>
        </w:rPr>
      </w:pPr>
      <w:r w:rsidRPr="00064EE5">
        <w:rPr>
          <w:rFonts w:asciiTheme="minorHAnsi" w:hAnsiTheme="minorHAnsi" w:cstheme="minorHAnsi"/>
          <w:sz w:val="22"/>
          <w:szCs w:val="22"/>
        </w:rPr>
        <w:t xml:space="preserve">A </w:t>
      </w:r>
      <w:r w:rsidRPr="00064EE5">
        <w:rPr>
          <w:rFonts w:asciiTheme="minorHAnsi" w:hAnsiTheme="minorHAnsi" w:cstheme="minorHAnsi"/>
          <w:b/>
          <w:bCs/>
          <w:i/>
          <w:iCs/>
          <w:sz w:val="22"/>
          <w:szCs w:val="22"/>
        </w:rPr>
        <w:t>aplicação</w:t>
      </w:r>
      <w:r w:rsidRPr="00064EE5">
        <w:rPr>
          <w:rFonts w:asciiTheme="minorHAnsi" w:hAnsiTheme="minorHAnsi" w:cstheme="minorHAnsi"/>
          <w:sz w:val="22"/>
          <w:szCs w:val="22"/>
        </w:rPr>
        <w:t xml:space="preserve"> das Normas Brasileiras de Contabilidade Aplicadas ao Setor Público </w:t>
      </w:r>
      <w:r w:rsidRPr="00064EE5">
        <w:rPr>
          <w:rFonts w:asciiTheme="minorHAnsi" w:hAnsiTheme="minorHAnsi" w:cstheme="minorHAnsi"/>
          <w:b/>
          <w:bCs/>
          <w:i/>
          <w:iCs/>
          <w:sz w:val="22"/>
          <w:szCs w:val="22"/>
        </w:rPr>
        <w:t>(NBCASP)</w:t>
      </w:r>
      <w:r w:rsidRPr="00064EE5">
        <w:rPr>
          <w:rFonts w:asciiTheme="minorHAnsi" w:hAnsiTheme="minorHAnsi" w:cstheme="minorHAnsi"/>
          <w:sz w:val="22"/>
          <w:szCs w:val="22"/>
        </w:rPr>
        <w:t xml:space="preserve"> e do Manual de Contabilidade Aplicada ao Setor Público </w:t>
      </w:r>
      <w:r w:rsidRPr="00064EE5">
        <w:rPr>
          <w:rFonts w:asciiTheme="minorHAnsi" w:hAnsiTheme="minorHAnsi" w:cstheme="minorHAnsi"/>
          <w:b/>
          <w:bCs/>
          <w:i/>
          <w:iCs/>
          <w:sz w:val="22"/>
          <w:szCs w:val="22"/>
        </w:rPr>
        <w:t>(MCASP)</w:t>
      </w:r>
      <w:r w:rsidRPr="00064EE5">
        <w:rPr>
          <w:rFonts w:asciiTheme="minorHAnsi" w:hAnsiTheme="minorHAnsi" w:cstheme="minorHAnsi"/>
          <w:sz w:val="22"/>
          <w:szCs w:val="22"/>
        </w:rPr>
        <w:t xml:space="preserve"> obteve nível 2 de maturidade e atende a 9 dentre 14 </w:t>
      </w:r>
      <w:r w:rsidR="009B231A" w:rsidRPr="00064EE5">
        <w:rPr>
          <w:rFonts w:asciiTheme="minorHAnsi" w:hAnsiTheme="minorHAnsi" w:cstheme="minorHAnsi"/>
          <w:sz w:val="22"/>
          <w:szCs w:val="22"/>
        </w:rPr>
        <w:t>requisitos</w:t>
      </w:r>
      <w:r w:rsidRPr="00064EE5">
        <w:rPr>
          <w:rFonts w:asciiTheme="minorHAnsi" w:hAnsiTheme="minorHAnsi" w:cstheme="minorHAnsi"/>
          <w:sz w:val="22"/>
          <w:szCs w:val="22"/>
        </w:rPr>
        <w:t xml:space="preserve"> das boas práticas da MD-</w:t>
      </w:r>
      <w:proofErr w:type="gramStart"/>
      <w:r w:rsidRPr="00064EE5">
        <w:rPr>
          <w:rFonts w:asciiTheme="minorHAnsi" w:hAnsiTheme="minorHAnsi" w:cstheme="minorHAnsi"/>
          <w:sz w:val="22"/>
          <w:szCs w:val="22"/>
        </w:rPr>
        <w:t>GEFIS .</w:t>
      </w:r>
      <w:proofErr w:type="gramEnd"/>
      <w:r w:rsidRPr="00064EE5">
        <w:rPr>
          <w:rFonts w:asciiTheme="minorHAnsi" w:hAnsiTheme="minorHAnsi" w:cstheme="minorHAnsi"/>
          <w:sz w:val="22"/>
          <w:szCs w:val="22"/>
        </w:rPr>
        <w:t xml:space="preserve"> Para tanto a SEFAZ/SP utiliza o Plano de Contas Aplicado ao Setor Público (PCASP); as Demonstrações Contábeis Aplicadas ao Setor Público (DCASP); os Procedimentos Contábeis Patrimoniais (PCP); Procedimentos Contábeis Específicos (PCE); os Procedimentos Contábeis Orçamentários (PCO); efetua os registros contábeis de forma analítica, refletindo a transação constante em documento hábil, em consonância com os Princípios Fundamentais de Contabilidade; registra os atos da administração com potencial de modificar o patrimônio da entidade em contas de controle; efetua os registros da entidade, desde que estimáveis tecnicamente, mesmo na hipótese de </w:t>
      </w:r>
      <w:r w:rsidRPr="00064EE5">
        <w:rPr>
          <w:rFonts w:asciiTheme="minorHAnsi" w:hAnsiTheme="minorHAnsi" w:cstheme="minorHAnsi"/>
          <w:b/>
          <w:bCs/>
          <w:sz w:val="22"/>
          <w:szCs w:val="22"/>
        </w:rPr>
        <w:t>não</w:t>
      </w:r>
      <w:r w:rsidRPr="00064EE5">
        <w:rPr>
          <w:rFonts w:asciiTheme="minorHAnsi" w:hAnsiTheme="minorHAnsi" w:cstheme="minorHAnsi"/>
          <w:sz w:val="22"/>
          <w:szCs w:val="22"/>
        </w:rPr>
        <w:t xml:space="preserve"> existir razoável certeza de sua ocorrência; e reconhece ajustes decorrentes de omissões e erros de registros ocorridos em anos anteriores ou de mudanças de critérios contábeis  à conta do patrimônio líquido e evidencia em notas explicativas.</w:t>
      </w:r>
    </w:p>
    <w:p w:rsidR="00D73C4B" w:rsidRPr="00064EE5" w:rsidRDefault="00D73C4B" w:rsidP="00FA405F">
      <w:pPr>
        <w:jc w:val="both"/>
        <w:rPr>
          <w:rFonts w:asciiTheme="minorHAnsi" w:hAnsiTheme="minorHAnsi" w:cstheme="minorHAnsi"/>
          <w:sz w:val="22"/>
          <w:szCs w:val="22"/>
        </w:rPr>
      </w:pPr>
    </w:p>
    <w:p w:rsidR="00D73C4B" w:rsidRPr="00064EE5" w:rsidRDefault="00D73C4B" w:rsidP="00FA405F">
      <w:pPr>
        <w:jc w:val="both"/>
        <w:rPr>
          <w:rFonts w:asciiTheme="minorHAnsi" w:hAnsiTheme="minorHAnsi" w:cstheme="minorHAnsi"/>
          <w:b/>
          <w:bCs/>
          <w:sz w:val="22"/>
          <w:szCs w:val="22"/>
        </w:rPr>
      </w:pPr>
      <w:r w:rsidRPr="00064EE5">
        <w:rPr>
          <w:rFonts w:asciiTheme="minorHAnsi" w:hAnsiTheme="minorHAnsi" w:cstheme="minorHAnsi"/>
          <w:sz w:val="22"/>
          <w:szCs w:val="22"/>
        </w:rPr>
        <w:lastRenderedPageBreak/>
        <w:t xml:space="preserve">A </w:t>
      </w:r>
      <w:r w:rsidRPr="00064EE5">
        <w:rPr>
          <w:rFonts w:asciiTheme="minorHAnsi" w:hAnsiTheme="minorHAnsi" w:cstheme="minorHAnsi"/>
          <w:b/>
          <w:bCs/>
          <w:i/>
          <w:iCs/>
          <w:sz w:val="22"/>
          <w:szCs w:val="22"/>
        </w:rPr>
        <w:t>aplicação</w:t>
      </w:r>
      <w:r w:rsidRPr="00064EE5">
        <w:rPr>
          <w:rFonts w:asciiTheme="minorHAnsi" w:hAnsiTheme="minorHAnsi" w:cstheme="minorHAnsi"/>
          <w:sz w:val="22"/>
          <w:szCs w:val="22"/>
        </w:rPr>
        <w:t xml:space="preserve"> das Normas Brasileiras de Contabilidade Aplicadas ao Setor Público </w:t>
      </w:r>
      <w:r w:rsidRPr="00064EE5">
        <w:rPr>
          <w:rFonts w:asciiTheme="minorHAnsi" w:hAnsiTheme="minorHAnsi" w:cstheme="minorHAnsi"/>
          <w:b/>
          <w:bCs/>
          <w:i/>
          <w:iCs/>
          <w:sz w:val="22"/>
          <w:szCs w:val="22"/>
        </w:rPr>
        <w:t>(NBCASP)</w:t>
      </w:r>
      <w:r w:rsidRPr="00064EE5">
        <w:rPr>
          <w:rFonts w:asciiTheme="minorHAnsi" w:hAnsiTheme="minorHAnsi" w:cstheme="minorHAnsi"/>
          <w:sz w:val="22"/>
          <w:szCs w:val="22"/>
        </w:rPr>
        <w:t xml:space="preserve"> e do Manual de Contabilidade Aplicada ao Setor Público </w:t>
      </w:r>
      <w:r w:rsidRPr="00064EE5">
        <w:rPr>
          <w:rFonts w:asciiTheme="minorHAnsi" w:hAnsiTheme="minorHAnsi" w:cstheme="minorHAnsi"/>
          <w:b/>
          <w:bCs/>
          <w:i/>
          <w:iCs/>
          <w:sz w:val="22"/>
          <w:szCs w:val="22"/>
        </w:rPr>
        <w:t>(MCASP)</w:t>
      </w:r>
      <w:r w:rsidRPr="00064EE5">
        <w:rPr>
          <w:rFonts w:asciiTheme="minorHAnsi" w:hAnsiTheme="minorHAnsi" w:cstheme="minorHAnsi"/>
          <w:sz w:val="22"/>
          <w:szCs w:val="22"/>
        </w:rPr>
        <w:t>, ainda não registra os bens, direitos e obrigações de modo a possibilitar a indicação dos elementos necessários à sua perfeita caracterização e identificação; não reconhece as transações no setor público e não registra integralmente no momento em que ocorrerem; não realiza os registros contábeis e evidencia seus efeitos nas demonstrações contábeis do período com os quais se relacionam, reconhecidos, portanto, pelos respectivos fatos geradores, independentemente do momento da execução orçamentária; não efetua os registros contábeis das transações das entidades do setor público considerando as relações jurídicas, econômicas e patrimoniais, prevalecendo nos conflitos entre elas a essência sobre a forma; e não aplica métodos de mensuração ou avaliação dos ativos e dos passivos que possibilitem o reconhecimento dos ganhos e das perdas patrimoniais.</w:t>
      </w:r>
    </w:p>
    <w:p w:rsidR="00D73C4B" w:rsidRPr="00064EE5" w:rsidRDefault="00D73C4B" w:rsidP="00FA405F">
      <w:pPr>
        <w:jc w:val="both"/>
        <w:rPr>
          <w:rFonts w:asciiTheme="minorHAnsi" w:hAnsiTheme="minorHAnsi" w:cstheme="minorHAnsi"/>
          <w:sz w:val="22"/>
          <w:szCs w:val="22"/>
        </w:rPr>
      </w:pPr>
    </w:p>
    <w:p w:rsidR="00D73C4B" w:rsidRPr="00064EE5" w:rsidRDefault="00D73C4B" w:rsidP="00FA405F">
      <w:pPr>
        <w:jc w:val="both"/>
        <w:rPr>
          <w:rFonts w:asciiTheme="minorHAnsi" w:hAnsiTheme="minorHAnsi" w:cstheme="minorHAnsi"/>
          <w:sz w:val="22"/>
          <w:szCs w:val="22"/>
        </w:rPr>
      </w:pPr>
      <w:r w:rsidRPr="00064EE5">
        <w:rPr>
          <w:rFonts w:asciiTheme="minorHAnsi" w:hAnsiTheme="minorHAnsi" w:cstheme="minorHAnsi"/>
          <w:sz w:val="22"/>
          <w:szCs w:val="22"/>
        </w:rPr>
        <w:t xml:space="preserve">A </w:t>
      </w:r>
      <w:r w:rsidRPr="00064EE5">
        <w:rPr>
          <w:rFonts w:asciiTheme="minorHAnsi" w:hAnsiTheme="minorHAnsi" w:cstheme="minorHAnsi"/>
          <w:b/>
          <w:i/>
          <w:sz w:val="22"/>
          <w:szCs w:val="22"/>
        </w:rPr>
        <w:t>contabilidade do setor público estadual</w:t>
      </w:r>
      <w:r w:rsidRPr="00064EE5">
        <w:rPr>
          <w:rFonts w:asciiTheme="minorHAnsi" w:hAnsiTheme="minorHAnsi" w:cstheme="minorHAnsi"/>
          <w:sz w:val="22"/>
          <w:szCs w:val="22"/>
        </w:rPr>
        <w:t xml:space="preserve"> obteve nível 2 de maturidade e atende a 6 dentre 7 </w:t>
      </w:r>
      <w:r w:rsidR="009B231A" w:rsidRPr="00064EE5">
        <w:rPr>
          <w:rFonts w:asciiTheme="minorHAnsi" w:hAnsiTheme="minorHAnsi" w:cstheme="minorHAnsi"/>
          <w:sz w:val="22"/>
          <w:szCs w:val="22"/>
        </w:rPr>
        <w:t>requisitos</w:t>
      </w:r>
      <w:r w:rsidRPr="00064EE5">
        <w:rPr>
          <w:rFonts w:asciiTheme="minorHAnsi" w:hAnsiTheme="minorHAnsi" w:cstheme="minorHAnsi"/>
          <w:sz w:val="22"/>
          <w:szCs w:val="22"/>
        </w:rPr>
        <w:t xml:space="preserve"> das boas práticas da MD-</w:t>
      </w:r>
      <w:proofErr w:type="gramStart"/>
      <w:r w:rsidRPr="00064EE5">
        <w:rPr>
          <w:rFonts w:asciiTheme="minorHAnsi" w:hAnsiTheme="minorHAnsi" w:cstheme="minorHAnsi"/>
          <w:sz w:val="22"/>
          <w:szCs w:val="22"/>
        </w:rPr>
        <w:t>GEFIS .</w:t>
      </w:r>
      <w:proofErr w:type="gramEnd"/>
      <w:r w:rsidRPr="00064EE5">
        <w:rPr>
          <w:rFonts w:asciiTheme="minorHAnsi" w:hAnsiTheme="minorHAnsi" w:cstheme="minorHAnsi"/>
          <w:sz w:val="22"/>
          <w:szCs w:val="22"/>
        </w:rPr>
        <w:t xml:space="preserve"> A contabilidade evidencia a composição patrimonial e a situação econômico-financeira; demonstra a execução orçamentária e os resultados patrimoniais; fornece elementos para a prestação de contas e para a tomada de decisão dos gestores públicos; e favorece o exercício dos controles interno, externo e social.</w:t>
      </w:r>
    </w:p>
    <w:p w:rsidR="00D73C4B" w:rsidRPr="00064EE5" w:rsidRDefault="00D73C4B" w:rsidP="00FA405F">
      <w:pPr>
        <w:jc w:val="both"/>
        <w:rPr>
          <w:rFonts w:asciiTheme="minorHAnsi" w:hAnsiTheme="minorHAnsi" w:cstheme="minorHAnsi"/>
          <w:sz w:val="22"/>
          <w:szCs w:val="22"/>
        </w:rPr>
      </w:pPr>
    </w:p>
    <w:p w:rsidR="00D73C4B" w:rsidRPr="00064EE5" w:rsidRDefault="00D73C4B" w:rsidP="00FA405F">
      <w:pPr>
        <w:jc w:val="both"/>
        <w:rPr>
          <w:rFonts w:asciiTheme="minorHAnsi" w:hAnsiTheme="minorHAnsi" w:cstheme="minorHAnsi"/>
          <w:sz w:val="22"/>
          <w:szCs w:val="22"/>
        </w:rPr>
      </w:pPr>
      <w:r w:rsidRPr="00064EE5">
        <w:rPr>
          <w:rFonts w:asciiTheme="minorHAnsi" w:hAnsiTheme="minorHAnsi" w:cstheme="minorHAnsi"/>
          <w:sz w:val="22"/>
          <w:szCs w:val="22"/>
        </w:rPr>
        <w:t xml:space="preserve">As </w:t>
      </w:r>
      <w:r w:rsidRPr="00064EE5">
        <w:rPr>
          <w:rFonts w:asciiTheme="minorHAnsi" w:hAnsiTheme="minorHAnsi" w:cstheme="minorHAnsi"/>
          <w:b/>
          <w:i/>
          <w:sz w:val="22"/>
          <w:szCs w:val="22"/>
        </w:rPr>
        <w:t>demonstrações contábeis aplicadas ao setor público</w:t>
      </w:r>
      <w:r w:rsidRPr="00064EE5">
        <w:rPr>
          <w:rFonts w:asciiTheme="minorHAnsi" w:hAnsiTheme="minorHAnsi" w:cstheme="minorHAnsi"/>
          <w:sz w:val="22"/>
          <w:szCs w:val="22"/>
        </w:rPr>
        <w:t xml:space="preserve"> obteve nível 2 de maturidade e atende a 5 dentre os 6 </w:t>
      </w:r>
      <w:r w:rsidR="009B231A" w:rsidRPr="00064EE5">
        <w:rPr>
          <w:rFonts w:asciiTheme="minorHAnsi" w:hAnsiTheme="minorHAnsi" w:cstheme="minorHAnsi"/>
          <w:sz w:val="22"/>
          <w:szCs w:val="22"/>
        </w:rPr>
        <w:t>requisitos</w:t>
      </w:r>
      <w:r w:rsidRPr="00064EE5">
        <w:rPr>
          <w:rFonts w:asciiTheme="minorHAnsi" w:hAnsiTheme="minorHAnsi" w:cstheme="minorHAnsi"/>
          <w:sz w:val="22"/>
          <w:szCs w:val="22"/>
        </w:rPr>
        <w:t xml:space="preserve"> das boas práticas da MD-GEFIS, ou seja: apresenta, anualmente, informações consolidadas e completas de todos os órgãos da administração direta, indireta e das unidades descentralizadas; publica sempre dentro do prazo legal; apresenta para a auditoria externa no prazo legal; e divulga de forma  compreensível aos gestores e ao público em geral de modo transparente</w:t>
      </w:r>
    </w:p>
    <w:p w:rsidR="00D73C4B" w:rsidRPr="00064EE5" w:rsidRDefault="00D73C4B" w:rsidP="00FA405F">
      <w:pPr>
        <w:jc w:val="both"/>
        <w:rPr>
          <w:rFonts w:asciiTheme="minorHAnsi" w:hAnsiTheme="minorHAnsi" w:cstheme="minorHAnsi"/>
          <w:sz w:val="22"/>
          <w:szCs w:val="22"/>
        </w:rPr>
      </w:pPr>
    </w:p>
    <w:p w:rsidR="00D73C4B" w:rsidRPr="00064EE5" w:rsidRDefault="00D73C4B" w:rsidP="00FA405F">
      <w:pPr>
        <w:jc w:val="both"/>
        <w:rPr>
          <w:rFonts w:asciiTheme="minorHAnsi" w:hAnsiTheme="minorHAnsi" w:cstheme="minorHAnsi"/>
          <w:sz w:val="22"/>
          <w:szCs w:val="22"/>
        </w:rPr>
      </w:pPr>
      <w:r w:rsidRPr="00064EE5">
        <w:rPr>
          <w:rFonts w:asciiTheme="minorHAnsi" w:hAnsiTheme="minorHAnsi" w:cstheme="minorHAnsi"/>
          <w:sz w:val="22"/>
          <w:szCs w:val="22"/>
        </w:rPr>
        <w:t xml:space="preserve">O </w:t>
      </w:r>
      <w:r w:rsidRPr="00064EE5">
        <w:rPr>
          <w:rFonts w:asciiTheme="minorHAnsi" w:hAnsiTheme="minorHAnsi" w:cstheme="minorHAnsi"/>
          <w:b/>
          <w:i/>
          <w:sz w:val="22"/>
          <w:szCs w:val="22"/>
        </w:rPr>
        <w:t>sistema de administração financeira com relação aos padrões de qualidade</w:t>
      </w:r>
      <w:r w:rsidRPr="00064EE5">
        <w:rPr>
          <w:rFonts w:asciiTheme="minorHAnsi" w:hAnsiTheme="minorHAnsi" w:cstheme="minorHAnsi"/>
          <w:sz w:val="22"/>
          <w:szCs w:val="22"/>
        </w:rPr>
        <w:t xml:space="preserve"> obteve nível 2 de maturidade e atende a 4 dentre 6 requisitos das boas práticas da MD-GEFIS. Para tanto, disponibiliza ao cidadão informações de todos os Poderes e órgãos de modo consolidado; permite o armazenamento, a importação e a exportação de dados; possui mecanismos que possibilitem a integridade, confiabilidade e disponibilidade da informação registrada e exportada; e disponibiliza em meio eletrônico de amplo acesso público, informações da execução orçamentária e financeira (receita e despesa)</w:t>
      </w:r>
    </w:p>
    <w:p w:rsidR="00D73C4B" w:rsidRPr="00064EE5" w:rsidRDefault="00D73C4B" w:rsidP="00FA405F">
      <w:pPr>
        <w:jc w:val="both"/>
        <w:rPr>
          <w:rFonts w:asciiTheme="minorHAnsi" w:hAnsiTheme="minorHAnsi" w:cstheme="minorHAnsi"/>
          <w:sz w:val="22"/>
          <w:szCs w:val="22"/>
        </w:rPr>
      </w:pPr>
    </w:p>
    <w:p w:rsidR="00D73C4B" w:rsidRPr="00064EE5" w:rsidRDefault="00D73C4B" w:rsidP="00FA405F">
      <w:pPr>
        <w:jc w:val="both"/>
        <w:rPr>
          <w:rFonts w:asciiTheme="minorHAnsi" w:hAnsiTheme="minorHAnsi" w:cstheme="minorHAnsi"/>
          <w:sz w:val="22"/>
          <w:szCs w:val="22"/>
        </w:rPr>
      </w:pPr>
      <w:r w:rsidRPr="00064EE5">
        <w:rPr>
          <w:rFonts w:asciiTheme="minorHAnsi" w:hAnsiTheme="minorHAnsi" w:cstheme="minorHAnsi"/>
          <w:sz w:val="22"/>
          <w:szCs w:val="22"/>
        </w:rPr>
        <w:t xml:space="preserve">O </w:t>
      </w:r>
      <w:r w:rsidRPr="00064EE5">
        <w:rPr>
          <w:rFonts w:asciiTheme="minorHAnsi" w:hAnsiTheme="minorHAnsi" w:cstheme="minorHAnsi"/>
          <w:b/>
          <w:i/>
          <w:sz w:val="22"/>
          <w:szCs w:val="22"/>
        </w:rPr>
        <w:t>sistema de administração financeira com relação aos requisitos técnicos</w:t>
      </w:r>
      <w:r w:rsidRPr="00064EE5">
        <w:rPr>
          <w:rFonts w:asciiTheme="minorHAnsi" w:hAnsiTheme="minorHAnsi" w:cstheme="minorHAnsi"/>
          <w:sz w:val="22"/>
          <w:szCs w:val="22"/>
        </w:rPr>
        <w:t xml:space="preserve"> obteve nível 2 de maturidade e atende a 9 dentre 16 </w:t>
      </w:r>
      <w:r w:rsidR="009B231A" w:rsidRPr="00064EE5">
        <w:rPr>
          <w:rFonts w:asciiTheme="minorHAnsi" w:hAnsiTheme="minorHAnsi" w:cstheme="minorHAnsi"/>
          <w:sz w:val="22"/>
          <w:szCs w:val="22"/>
        </w:rPr>
        <w:t>requisitos</w:t>
      </w:r>
      <w:r w:rsidRPr="00064EE5">
        <w:rPr>
          <w:rFonts w:asciiTheme="minorHAnsi" w:hAnsiTheme="minorHAnsi" w:cstheme="minorHAnsi"/>
          <w:sz w:val="22"/>
          <w:szCs w:val="22"/>
        </w:rPr>
        <w:t xml:space="preserve"> das boas práticas da MD-GEFIS, ou seja: suporta a execução orçamentária, financeira, patrimonial e contábil de todos os órgãos da administração direta e indireta; integra as informações de planejamento e execução orçamentária e financeira; permite a liberação em tempo real das informações pormenorizadas sobre a execução orçamentária e financeira das unidades gestoras, referentes à receita e à despesa, bem como o registro contábil tempestivo dos atos e fatos que afetam ou possam afetar o patrimônio da entidade; consolida as informações de todas as entidades da administração direta, as autarquias, as fundações, os fundos e as empresas estatais dependentes; disponibiliza informações, em meio eletrônico que possibilite amplo acesso público, até o primeiro dia útil subsequente à data do registro contábil no respectivo sistema; gera, em conformidade com o Plano de Contas Aplicado ao Setor Público (PCASP), o Diário, o Razão e o Balancete Contábil; permite realizar auditorias/certificações de conformidade dos dados orçamentários, financeiros e contábeis; integra-se ao sistema de patrimônio e almoxarifado para a realização dos procedimentos contábeis patrimoniais previstos no MCASP; e integra-se com os demais sistemas vinculados ao Plano de Implantação dos Procedimentos Contábeis Patrimoniais (PIPCP).</w:t>
      </w:r>
    </w:p>
    <w:p w:rsidR="00D73C4B" w:rsidRPr="00064EE5" w:rsidRDefault="00D73C4B" w:rsidP="00FA405F">
      <w:pPr>
        <w:jc w:val="both"/>
        <w:rPr>
          <w:rFonts w:asciiTheme="minorHAnsi" w:hAnsiTheme="minorHAnsi" w:cstheme="minorHAnsi"/>
          <w:sz w:val="22"/>
          <w:szCs w:val="22"/>
        </w:rPr>
      </w:pPr>
    </w:p>
    <w:p w:rsidR="00CD4FF1" w:rsidRPr="00064EE5" w:rsidRDefault="00CD4FF1" w:rsidP="00FA405F">
      <w:pPr>
        <w:jc w:val="both"/>
        <w:rPr>
          <w:rFonts w:asciiTheme="minorHAnsi" w:hAnsiTheme="minorHAnsi" w:cstheme="minorHAnsi"/>
          <w:b/>
          <w:bCs/>
          <w:sz w:val="22"/>
          <w:szCs w:val="22"/>
        </w:rPr>
      </w:pPr>
      <w:r w:rsidRPr="00064EE5">
        <w:rPr>
          <w:rFonts w:asciiTheme="minorHAnsi" w:hAnsiTheme="minorHAnsi" w:cstheme="minorHAnsi"/>
          <w:sz w:val="22"/>
          <w:szCs w:val="22"/>
        </w:rPr>
        <w:t xml:space="preserve">Os </w:t>
      </w:r>
      <w:r w:rsidRPr="00064EE5">
        <w:rPr>
          <w:rFonts w:asciiTheme="minorHAnsi" w:hAnsiTheme="minorHAnsi" w:cstheme="minorHAnsi"/>
          <w:b/>
          <w:bCs/>
          <w:i/>
          <w:sz w:val="22"/>
          <w:szCs w:val="22"/>
        </w:rPr>
        <w:t>Procedimentos Contábeis Específicos (PCE)</w:t>
      </w:r>
      <w:r w:rsidRPr="00064EE5">
        <w:rPr>
          <w:rFonts w:asciiTheme="minorHAnsi" w:hAnsiTheme="minorHAnsi" w:cstheme="minorHAnsi"/>
          <w:b/>
          <w:bCs/>
          <w:sz w:val="22"/>
          <w:szCs w:val="22"/>
        </w:rPr>
        <w:t xml:space="preserve"> </w:t>
      </w:r>
      <w:r w:rsidRPr="00064EE5">
        <w:rPr>
          <w:rFonts w:asciiTheme="minorHAnsi" w:hAnsiTheme="minorHAnsi" w:cstheme="minorHAnsi"/>
          <w:sz w:val="22"/>
          <w:szCs w:val="22"/>
        </w:rPr>
        <w:t xml:space="preserve">obteve nível 1 de maturidade e atende a 4 dentre 7 requisitos das boas práticas da MD-GEFIS, </w:t>
      </w:r>
      <w:r w:rsidR="00064EE5" w:rsidRPr="00064EE5">
        <w:rPr>
          <w:rFonts w:asciiTheme="minorHAnsi" w:hAnsiTheme="minorHAnsi" w:cstheme="minorHAnsi"/>
          <w:sz w:val="22"/>
          <w:szCs w:val="22"/>
        </w:rPr>
        <w:t>ou seja,</w:t>
      </w:r>
      <w:r w:rsidRPr="00064EE5">
        <w:rPr>
          <w:rFonts w:asciiTheme="minorHAnsi" w:hAnsiTheme="minorHAnsi" w:cstheme="minorHAnsi"/>
          <w:sz w:val="22"/>
          <w:szCs w:val="22"/>
        </w:rPr>
        <w:t xml:space="preserve"> são utilizados para contabilização das</w:t>
      </w:r>
      <w:r w:rsidRPr="0072678C">
        <w:rPr>
          <w:rFonts w:asciiTheme="minorHAnsi" w:hAnsiTheme="minorHAnsi" w:cstheme="minorHAnsi"/>
          <w:color w:val="FF0000"/>
          <w:sz w:val="22"/>
          <w:szCs w:val="22"/>
        </w:rPr>
        <w:t xml:space="preserve"> </w:t>
      </w:r>
      <w:r w:rsidRPr="00064EE5">
        <w:rPr>
          <w:rFonts w:asciiTheme="minorHAnsi" w:hAnsiTheme="minorHAnsi" w:cstheme="minorHAnsi"/>
          <w:sz w:val="22"/>
          <w:szCs w:val="22"/>
        </w:rPr>
        <w:lastRenderedPageBreak/>
        <w:t>Operações de Crédito, das operações do Regime Próprio de Previdências Social (RPPS), e da dívida ativa.</w:t>
      </w:r>
    </w:p>
    <w:p w:rsidR="00CD4FF1" w:rsidRPr="00064EE5" w:rsidRDefault="00CD4FF1" w:rsidP="00FA405F">
      <w:pPr>
        <w:jc w:val="both"/>
        <w:rPr>
          <w:rFonts w:asciiTheme="minorHAnsi" w:hAnsiTheme="minorHAnsi" w:cstheme="minorHAnsi"/>
          <w:b/>
          <w:bCs/>
          <w:sz w:val="22"/>
          <w:szCs w:val="22"/>
        </w:rPr>
      </w:pPr>
    </w:p>
    <w:p w:rsidR="00CD4FF1" w:rsidRPr="00064EE5" w:rsidRDefault="00CD4FF1" w:rsidP="00CD4FF1">
      <w:pPr>
        <w:jc w:val="both"/>
        <w:rPr>
          <w:rFonts w:asciiTheme="minorHAnsi" w:hAnsiTheme="minorHAnsi" w:cstheme="minorHAnsi"/>
          <w:sz w:val="22"/>
          <w:szCs w:val="22"/>
        </w:rPr>
      </w:pPr>
      <w:r w:rsidRPr="00064EE5">
        <w:rPr>
          <w:rFonts w:asciiTheme="minorHAnsi" w:hAnsiTheme="minorHAnsi" w:cstheme="minorHAnsi"/>
          <w:sz w:val="22"/>
          <w:szCs w:val="22"/>
        </w:rPr>
        <w:t xml:space="preserve">Os </w:t>
      </w:r>
      <w:r w:rsidRPr="00064EE5">
        <w:rPr>
          <w:rFonts w:asciiTheme="minorHAnsi" w:hAnsiTheme="minorHAnsi" w:cstheme="minorHAnsi"/>
          <w:b/>
          <w:bCs/>
          <w:i/>
          <w:sz w:val="22"/>
          <w:szCs w:val="22"/>
        </w:rPr>
        <w:t>Procedimentos Contábeis Patrimoniais (PCP)</w:t>
      </w:r>
      <w:r w:rsidRPr="00064EE5">
        <w:rPr>
          <w:rFonts w:asciiTheme="minorHAnsi" w:hAnsiTheme="minorHAnsi" w:cstheme="minorHAnsi"/>
          <w:sz w:val="22"/>
          <w:szCs w:val="22"/>
        </w:rPr>
        <w:t xml:space="preserve"> obteve nível 1 de maturidade e atende a 2 de 6 </w:t>
      </w:r>
      <w:r w:rsidR="009B231A" w:rsidRPr="00064EE5">
        <w:rPr>
          <w:rFonts w:asciiTheme="minorHAnsi" w:hAnsiTheme="minorHAnsi" w:cstheme="minorHAnsi"/>
          <w:sz w:val="22"/>
          <w:szCs w:val="22"/>
        </w:rPr>
        <w:t>requisitos</w:t>
      </w:r>
      <w:r w:rsidRPr="00064EE5">
        <w:rPr>
          <w:rFonts w:asciiTheme="minorHAnsi" w:hAnsiTheme="minorHAnsi" w:cstheme="minorHAnsi"/>
          <w:sz w:val="22"/>
          <w:szCs w:val="22"/>
        </w:rPr>
        <w:t xml:space="preserve"> das boas práticas da MD-GEFIS, ou seja: são utilizados para controle e registro do ativo imobilizado e para registro do reflexo patrimonial das despesas de exercícios anteriores (DEA).</w:t>
      </w:r>
    </w:p>
    <w:p w:rsidR="00B44516" w:rsidRPr="00064EE5" w:rsidRDefault="00EF2CB5" w:rsidP="00B44516">
      <w:pPr>
        <w:spacing w:before="240" w:after="240"/>
        <w:jc w:val="both"/>
        <w:rPr>
          <w:rFonts w:asciiTheme="minorHAnsi" w:hAnsiTheme="minorHAnsi" w:cstheme="minorHAnsi"/>
          <w:iCs/>
          <w:sz w:val="22"/>
          <w:szCs w:val="22"/>
        </w:rPr>
      </w:pPr>
      <w:r w:rsidRPr="00064EE5">
        <w:rPr>
          <w:rFonts w:asciiTheme="minorHAnsi" w:hAnsiTheme="minorHAnsi" w:cstheme="minorHAnsi"/>
          <w:iCs/>
          <w:sz w:val="22"/>
          <w:szCs w:val="22"/>
        </w:rPr>
        <w:t>Indicadores de desempenho selecionados para mediar a Dimensão</w:t>
      </w:r>
      <w:r w:rsidR="0009117C" w:rsidRPr="00064EE5">
        <w:rPr>
          <w:rFonts w:asciiTheme="minorHAnsi" w:hAnsiTheme="minorHAnsi" w:cstheme="minorHAnsi"/>
          <w:iCs/>
          <w:sz w:val="22"/>
          <w:szCs w:val="22"/>
        </w:rPr>
        <w:t xml:space="preserve"> foram</w:t>
      </w:r>
      <w:r w:rsidR="00EE5844" w:rsidRPr="00064EE5">
        <w:rPr>
          <w:rFonts w:asciiTheme="minorHAnsi" w:hAnsiTheme="minorHAnsi" w:cstheme="minorHAnsi"/>
          <w:iCs/>
          <w:sz w:val="22"/>
          <w:szCs w:val="22"/>
        </w:rPr>
        <w:t>:</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992"/>
        <w:gridCol w:w="2410"/>
      </w:tblGrid>
      <w:tr w:rsidR="008D4363" w:rsidRPr="00064EE5" w:rsidTr="00EF2CB5">
        <w:trPr>
          <w:trHeight w:val="405"/>
        </w:trPr>
        <w:tc>
          <w:tcPr>
            <w:tcW w:w="5387" w:type="dxa"/>
            <w:shd w:val="clear" w:color="auto" w:fill="9CC2E5" w:themeFill="accent1" w:themeFillTint="99"/>
            <w:vAlign w:val="center"/>
            <w:hideMark/>
          </w:tcPr>
          <w:p w:rsidR="008D4363" w:rsidRPr="00064EE5" w:rsidRDefault="008D4363" w:rsidP="00EF2CB5">
            <w:pPr>
              <w:jc w:val="center"/>
              <w:rPr>
                <w:rFonts w:asciiTheme="minorHAnsi" w:hAnsiTheme="minorHAnsi" w:cstheme="minorHAnsi"/>
                <w:b/>
                <w:bCs/>
                <w:sz w:val="20"/>
                <w:szCs w:val="20"/>
              </w:rPr>
            </w:pPr>
            <w:r w:rsidRPr="00064EE5">
              <w:rPr>
                <w:rFonts w:asciiTheme="minorHAnsi" w:hAnsiTheme="minorHAnsi" w:cstheme="minorHAnsi"/>
                <w:b/>
                <w:bCs/>
                <w:sz w:val="20"/>
                <w:szCs w:val="20"/>
              </w:rPr>
              <w:t>Indicadores de Desempenho</w:t>
            </w:r>
          </w:p>
        </w:tc>
        <w:tc>
          <w:tcPr>
            <w:tcW w:w="992" w:type="dxa"/>
            <w:shd w:val="clear" w:color="auto" w:fill="9CC2E5" w:themeFill="accent1" w:themeFillTint="99"/>
            <w:vAlign w:val="center"/>
            <w:hideMark/>
          </w:tcPr>
          <w:p w:rsidR="008D4363" w:rsidRPr="00064EE5" w:rsidRDefault="008D4363" w:rsidP="00EF2CB5">
            <w:pPr>
              <w:jc w:val="center"/>
              <w:rPr>
                <w:rFonts w:asciiTheme="minorHAnsi" w:hAnsiTheme="minorHAnsi" w:cstheme="minorHAnsi"/>
                <w:b/>
                <w:bCs/>
                <w:sz w:val="20"/>
                <w:szCs w:val="20"/>
              </w:rPr>
            </w:pPr>
            <w:r w:rsidRPr="00064EE5">
              <w:rPr>
                <w:rFonts w:asciiTheme="minorHAnsi" w:hAnsiTheme="minorHAnsi" w:cstheme="minorHAnsi"/>
                <w:b/>
                <w:bCs/>
                <w:sz w:val="20"/>
                <w:szCs w:val="20"/>
              </w:rPr>
              <w:t>Apuração</w:t>
            </w:r>
          </w:p>
        </w:tc>
        <w:tc>
          <w:tcPr>
            <w:tcW w:w="2410" w:type="dxa"/>
            <w:shd w:val="clear" w:color="auto" w:fill="9CC2E5" w:themeFill="accent1" w:themeFillTint="99"/>
            <w:vAlign w:val="center"/>
            <w:hideMark/>
          </w:tcPr>
          <w:p w:rsidR="008D4363" w:rsidRPr="00064EE5" w:rsidRDefault="008D4363" w:rsidP="00EF2CB5">
            <w:pPr>
              <w:jc w:val="center"/>
              <w:rPr>
                <w:rFonts w:asciiTheme="minorHAnsi" w:hAnsiTheme="minorHAnsi" w:cstheme="minorHAnsi"/>
                <w:b/>
                <w:bCs/>
                <w:sz w:val="20"/>
                <w:szCs w:val="20"/>
              </w:rPr>
            </w:pPr>
            <w:r w:rsidRPr="00064EE5">
              <w:rPr>
                <w:rFonts w:asciiTheme="minorHAnsi" w:hAnsiTheme="minorHAnsi" w:cstheme="minorHAnsi"/>
                <w:b/>
                <w:bCs/>
                <w:sz w:val="20"/>
                <w:szCs w:val="20"/>
              </w:rPr>
              <w:t>Fontes</w:t>
            </w:r>
          </w:p>
        </w:tc>
      </w:tr>
      <w:tr w:rsidR="008D4363" w:rsidRPr="0072678C" w:rsidTr="003142C1">
        <w:trPr>
          <w:trHeight w:val="1068"/>
        </w:trPr>
        <w:tc>
          <w:tcPr>
            <w:tcW w:w="5387" w:type="dxa"/>
            <w:shd w:val="clear" w:color="auto" w:fill="auto"/>
            <w:vAlign w:val="center"/>
            <w:hideMark/>
          </w:tcPr>
          <w:p w:rsidR="008D4363" w:rsidRPr="0072678C" w:rsidRDefault="008D4363" w:rsidP="00A762D0">
            <w:pPr>
              <w:rPr>
                <w:rFonts w:asciiTheme="minorHAnsi" w:hAnsiTheme="minorHAnsi" w:cstheme="minorHAnsi"/>
                <w:sz w:val="20"/>
                <w:szCs w:val="20"/>
              </w:rPr>
            </w:pPr>
            <w:r w:rsidRPr="0072678C">
              <w:rPr>
                <w:rFonts w:asciiTheme="minorHAnsi" w:hAnsiTheme="minorHAnsi" w:cstheme="minorHAnsi"/>
                <w:b/>
                <w:bCs/>
                <w:sz w:val="20"/>
                <w:szCs w:val="20"/>
              </w:rPr>
              <w:t>Contabilidade patrimonial</w:t>
            </w:r>
            <w:r w:rsidRPr="0072678C">
              <w:rPr>
                <w:rStyle w:val="FootnoteReference"/>
                <w:rFonts w:asciiTheme="minorHAnsi" w:hAnsiTheme="minorHAnsi" w:cstheme="minorHAnsi"/>
                <w:b/>
                <w:bCs/>
                <w:sz w:val="20"/>
                <w:szCs w:val="20"/>
              </w:rPr>
              <w:footnoteReference w:id="187"/>
            </w:r>
            <w:r w:rsidRPr="0072678C">
              <w:rPr>
                <w:rStyle w:val="FootnoteReference"/>
                <w:rFonts w:asciiTheme="minorHAnsi" w:hAnsiTheme="minorHAnsi" w:cstheme="minorHAnsi"/>
                <w:b/>
                <w:bCs/>
                <w:sz w:val="20"/>
                <w:szCs w:val="20"/>
              </w:rPr>
              <w:footnoteReference w:id="188"/>
            </w:r>
            <w:r w:rsidRPr="0072678C">
              <w:rPr>
                <w:rFonts w:asciiTheme="minorHAnsi" w:hAnsiTheme="minorHAnsi" w:cstheme="minorHAnsi"/>
                <w:b/>
                <w:bCs/>
                <w:sz w:val="20"/>
                <w:szCs w:val="20"/>
              </w:rPr>
              <w:t>:</w:t>
            </w:r>
            <w:r w:rsidRPr="0072678C">
              <w:rPr>
                <w:rFonts w:asciiTheme="minorHAnsi" w:hAnsiTheme="minorHAnsi" w:cstheme="minorHAnsi"/>
                <w:sz w:val="20"/>
                <w:szCs w:val="20"/>
              </w:rPr>
              <w:t xml:space="preserve"> Quantidade de bens imóveis reavaliados</w:t>
            </w:r>
            <w:r w:rsidR="008F3695" w:rsidRPr="0072678C">
              <w:rPr>
                <w:rStyle w:val="FootnoteReference"/>
                <w:rFonts w:asciiTheme="minorHAnsi" w:hAnsiTheme="minorHAnsi" w:cstheme="minorHAnsi"/>
                <w:sz w:val="20"/>
                <w:szCs w:val="20"/>
              </w:rPr>
              <w:footnoteReference w:id="189"/>
            </w:r>
            <w:r w:rsidRPr="0072678C">
              <w:rPr>
                <w:rFonts w:asciiTheme="minorHAnsi" w:hAnsiTheme="minorHAnsi" w:cstheme="minorHAnsi"/>
                <w:sz w:val="20"/>
                <w:szCs w:val="20"/>
              </w:rPr>
              <w:t xml:space="preserve"> / Quantidade total de bens imóveis</w:t>
            </w:r>
            <w:r w:rsidR="008F3695" w:rsidRPr="0072678C">
              <w:rPr>
                <w:rStyle w:val="FootnoteReference"/>
                <w:rFonts w:asciiTheme="minorHAnsi" w:hAnsiTheme="minorHAnsi" w:cstheme="minorHAnsi"/>
                <w:sz w:val="20"/>
                <w:szCs w:val="20"/>
              </w:rPr>
              <w:footnoteReference w:id="190"/>
            </w:r>
            <w:r w:rsidRPr="0072678C">
              <w:rPr>
                <w:rFonts w:asciiTheme="minorHAnsi" w:hAnsiTheme="minorHAnsi" w:cstheme="minorHAnsi"/>
                <w:sz w:val="20"/>
                <w:szCs w:val="20"/>
              </w:rPr>
              <w:t xml:space="preserve"> do estado</w:t>
            </w:r>
          </w:p>
        </w:tc>
        <w:tc>
          <w:tcPr>
            <w:tcW w:w="992" w:type="dxa"/>
            <w:shd w:val="clear" w:color="E46C0A" w:fill="FFFFFF"/>
            <w:vAlign w:val="center"/>
            <w:hideMark/>
          </w:tcPr>
          <w:p w:rsidR="008D4363" w:rsidRPr="0072678C" w:rsidRDefault="008D4363" w:rsidP="0092508A">
            <w:pPr>
              <w:jc w:val="center"/>
              <w:rPr>
                <w:rFonts w:asciiTheme="minorHAnsi" w:hAnsiTheme="minorHAnsi" w:cstheme="minorHAnsi"/>
                <w:bCs/>
                <w:sz w:val="20"/>
                <w:szCs w:val="20"/>
              </w:rPr>
            </w:pPr>
            <w:r w:rsidRPr="0072678C">
              <w:rPr>
                <w:rFonts w:asciiTheme="minorHAnsi" w:hAnsiTheme="minorHAnsi" w:cstheme="minorHAnsi"/>
                <w:bCs/>
                <w:sz w:val="20"/>
                <w:szCs w:val="20"/>
              </w:rPr>
              <w:t>6,61%</w:t>
            </w:r>
          </w:p>
        </w:tc>
        <w:tc>
          <w:tcPr>
            <w:tcW w:w="2410" w:type="dxa"/>
            <w:shd w:val="clear" w:color="auto" w:fill="auto"/>
            <w:vAlign w:val="center"/>
            <w:hideMark/>
          </w:tcPr>
          <w:p w:rsidR="008D4363" w:rsidRPr="0072678C" w:rsidRDefault="009D1337" w:rsidP="0092508A">
            <w:pPr>
              <w:rPr>
                <w:rFonts w:asciiTheme="minorHAnsi" w:hAnsiTheme="minorHAnsi" w:cstheme="minorHAnsi"/>
                <w:sz w:val="20"/>
                <w:szCs w:val="20"/>
              </w:rPr>
            </w:pPr>
            <w:hyperlink r:id="rId21" w:history="1">
              <w:r w:rsidR="008D4363" w:rsidRPr="0072678C">
                <w:rPr>
                  <w:rStyle w:val="Hyperlink"/>
                  <w:rFonts w:asciiTheme="minorHAnsi" w:hAnsiTheme="minorHAnsi" w:cstheme="minorHAnsi"/>
                  <w:color w:val="auto"/>
                  <w:sz w:val="20"/>
                  <w:szCs w:val="20"/>
                </w:rPr>
                <w:t>https://www.al.sp.gov.br/norma/11639</w:t>
              </w:r>
            </w:hyperlink>
            <w:r w:rsidR="008D4363" w:rsidRPr="0072678C">
              <w:rPr>
                <w:rStyle w:val="FootnoteReference"/>
              </w:rPr>
              <w:footnoteReference w:id="191"/>
            </w:r>
          </w:p>
          <w:p w:rsidR="008D4363" w:rsidRPr="0072678C" w:rsidRDefault="009D1337" w:rsidP="0092508A">
            <w:pPr>
              <w:rPr>
                <w:rFonts w:asciiTheme="minorHAnsi" w:hAnsiTheme="minorHAnsi" w:cstheme="minorHAnsi"/>
                <w:sz w:val="20"/>
                <w:szCs w:val="20"/>
              </w:rPr>
            </w:pPr>
            <w:hyperlink r:id="rId22" w:history="1">
              <w:r w:rsidR="008D4363" w:rsidRPr="0072678C">
                <w:rPr>
                  <w:rStyle w:val="Hyperlink"/>
                  <w:rFonts w:asciiTheme="minorHAnsi" w:hAnsiTheme="minorHAnsi" w:cstheme="minorHAnsi"/>
                  <w:color w:val="auto"/>
                  <w:sz w:val="20"/>
                  <w:szCs w:val="20"/>
                </w:rPr>
                <w:t>https://www.al.sp.gov.br/norma/142419</w:t>
              </w:r>
            </w:hyperlink>
          </w:p>
        </w:tc>
      </w:tr>
      <w:tr w:rsidR="008D4363" w:rsidRPr="0072678C" w:rsidTr="003142C1">
        <w:trPr>
          <w:trHeight w:val="660"/>
        </w:trPr>
        <w:tc>
          <w:tcPr>
            <w:tcW w:w="5387" w:type="dxa"/>
            <w:shd w:val="clear" w:color="auto" w:fill="auto"/>
            <w:vAlign w:val="center"/>
            <w:hideMark/>
          </w:tcPr>
          <w:p w:rsidR="008D4363" w:rsidRPr="0072678C" w:rsidRDefault="008D4363" w:rsidP="0092508A">
            <w:pPr>
              <w:rPr>
                <w:rFonts w:asciiTheme="minorHAnsi" w:hAnsiTheme="minorHAnsi" w:cstheme="minorHAnsi"/>
                <w:sz w:val="20"/>
                <w:szCs w:val="20"/>
              </w:rPr>
            </w:pPr>
            <w:r w:rsidRPr="0072678C">
              <w:rPr>
                <w:rFonts w:asciiTheme="minorHAnsi" w:hAnsiTheme="minorHAnsi" w:cstheme="minorHAnsi"/>
                <w:b/>
                <w:bCs/>
                <w:sz w:val="20"/>
                <w:szCs w:val="20"/>
              </w:rPr>
              <w:t>Publicações contábeis</w:t>
            </w:r>
            <w:r w:rsidRPr="0072678C">
              <w:rPr>
                <w:rStyle w:val="FootnoteReference"/>
                <w:rFonts w:asciiTheme="minorHAnsi" w:hAnsiTheme="minorHAnsi" w:cstheme="minorHAnsi"/>
                <w:b/>
                <w:bCs/>
                <w:sz w:val="20"/>
                <w:szCs w:val="20"/>
              </w:rPr>
              <w:footnoteReference w:id="192"/>
            </w:r>
            <w:r w:rsidRPr="0072678C">
              <w:rPr>
                <w:rFonts w:asciiTheme="minorHAnsi" w:hAnsiTheme="minorHAnsi" w:cstheme="minorHAnsi"/>
                <w:b/>
                <w:bCs/>
                <w:sz w:val="20"/>
                <w:szCs w:val="20"/>
              </w:rPr>
              <w:t>:</w:t>
            </w:r>
            <w:r w:rsidRPr="0072678C">
              <w:rPr>
                <w:rFonts w:asciiTheme="minorHAnsi" w:hAnsiTheme="minorHAnsi" w:cstheme="minorHAnsi"/>
                <w:sz w:val="20"/>
                <w:szCs w:val="20"/>
              </w:rPr>
              <w:t xml:space="preserve"> Data de publicação dos demonstrativos contábeis - Data legal prevista para publicação dos demonstrativos contábeis (em dias)</w:t>
            </w:r>
          </w:p>
        </w:tc>
        <w:tc>
          <w:tcPr>
            <w:tcW w:w="992" w:type="dxa"/>
            <w:shd w:val="clear" w:color="E46C0A" w:fill="FFFFFF"/>
            <w:vAlign w:val="center"/>
            <w:hideMark/>
          </w:tcPr>
          <w:p w:rsidR="008D4363" w:rsidRPr="0072678C" w:rsidRDefault="008D4363" w:rsidP="0092508A">
            <w:pPr>
              <w:jc w:val="center"/>
              <w:rPr>
                <w:rFonts w:asciiTheme="minorHAnsi" w:hAnsiTheme="minorHAnsi" w:cstheme="minorHAnsi"/>
                <w:b/>
                <w:bCs/>
                <w:sz w:val="20"/>
                <w:szCs w:val="20"/>
              </w:rPr>
            </w:pPr>
            <w:r w:rsidRPr="0072678C">
              <w:rPr>
                <w:rFonts w:asciiTheme="minorHAnsi" w:hAnsiTheme="minorHAnsi" w:cstheme="minorHAnsi"/>
                <w:b/>
                <w:bCs/>
                <w:sz w:val="20"/>
                <w:szCs w:val="20"/>
              </w:rPr>
              <w:t>30/04/17 </w:t>
            </w:r>
          </w:p>
        </w:tc>
        <w:tc>
          <w:tcPr>
            <w:tcW w:w="2410" w:type="dxa"/>
            <w:shd w:val="clear" w:color="auto" w:fill="auto"/>
            <w:vAlign w:val="center"/>
            <w:hideMark/>
          </w:tcPr>
          <w:p w:rsidR="008D4363" w:rsidRPr="0072678C" w:rsidRDefault="009D1337" w:rsidP="0092508A">
            <w:pPr>
              <w:autoSpaceDE w:val="0"/>
              <w:autoSpaceDN w:val="0"/>
              <w:adjustRightInd w:val="0"/>
              <w:rPr>
                <w:rFonts w:asciiTheme="minorHAnsi" w:hAnsiTheme="minorHAnsi" w:cstheme="minorHAnsi"/>
                <w:sz w:val="20"/>
                <w:szCs w:val="20"/>
              </w:rPr>
            </w:pPr>
            <w:hyperlink r:id="rId23" w:history="1">
              <w:r w:rsidR="008D4363" w:rsidRPr="0072678C">
                <w:rPr>
                  <w:rStyle w:val="Hyperlink"/>
                  <w:rFonts w:asciiTheme="minorHAnsi" w:hAnsiTheme="minorHAnsi" w:cstheme="minorHAnsi"/>
                  <w:color w:val="auto"/>
                  <w:sz w:val="20"/>
                  <w:szCs w:val="20"/>
                </w:rPr>
                <w:t>http://www4.tce.sp.gov.br/legislacoes-e-normas/instrucoes</w:t>
              </w:r>
            </w:hyperlink>
          </w:p>
          <w:p w:rsidR="008D4363" w:rsidRPr="0072678C" w:rsidRDefault="008D4363" w:rsidP="0092508A">
            <w:pPr>
              <w:autoSpaceDE w:val="0"/>
              <w:autoSpaceDN w:val="0"/>
              <w:adjustRightInd w:val="0"/>
              <w:rPr>
                <w:rFonts w:asciiTheme="minorHAnsi" w:hAnsiTheme="minorHAnsi" w:cstheme="minorHAnsi"/>
                <w:sz w:val="20"/>
                <w:szCs w:val="20"/>
              </w:rPr>
            </w:pPr>
            <w:r w:rsidRPr="0072678C">
              <w:rPr>
                <w:rFonts w:asciiTheme="minorHAnsi" w:hAnsiTheme="minorHAnsi" w:cstheme="minorHAnsi"/>
                <w:sz w:val="20"/>
                <w:szCs w:val="20"/>
              </w:rPr>
              <w:t> </w:t>
            </w:r>
          </w:p>
          <w:p w:rsidR="008D4363" w:rsidRPr="0072678C" w:rsidRDefault="008D4363" w:rsidP="0092508A">
            <w:pPr>
              <w:autoSpaceDE w:val="0"/>
              <w:autoSpaceDN w:val="0"/>
              <w:adjustRightInd w:val="0"/>
              <w:rPr>
                <w:rFonts w:asciiTheme="minorHAnsi" w:hAnsiTheme="minorHAnsi" w:cstheme="minorHAnsi"/>
                <w:sz w:val="20"/>
                <w:szCs w:val="20"/>
              </w:rPr>
            </w:pPr>
            <w:r w:rsidRPr="0072678C">
              <w:rPr>
                <w:rFonts w:asciiTheme="minorHAnsi" w:hAnsiTheme="minorHAnsi" w:cstheme="minorHAnsi"/>
                <w:sz w:val="20"/>
                <w:szCs w:val="20"/>
              </w:rPr>
              <w:t>INSTRUÇÕES Nº 02/2016</w:t>
            </w:r>
          </w:p>
          <w:p w:rsidR="008D4363" w:rsidRPr="0072678C" w:rsidRDefault="008D4363" w:rsidP="0092508A">
            <w:pPr>
              <w:rPr>
                <w:rFonts w:asciiTheme="minorHAnsi" w:hAnsiTheme="minorHAnsi" w:cstheme="minorHAnsi"/>
                <w:sz w:val="20"/>
                <w:szCs w:val="20"/>
              </w:rPr>
            </w:pPr>
            <w:r w:rsidRPr="0072678C">
              <w:rPr>
                <w:rFonts w:asciiTheme="minorHAnsi" w:hAnsiTheme="minorHAnsi" w:cstheme="minorHAnsi"/>
                <w:sz w:val="20"/>
                <w:szCs w:val="20"/>
              </w:rPr>
              <w:t>(TC-A-011476/026/16)</w:t>
            </w:r>
          </w:p>
        </w:tc>
      </w:tr>
      <w:tr w:rsidR="008D4363" w:rsidRPr="0072678C" w:rsidTr="003142C1">
        <w:trPr>
          <w:trHeight w:val="386"/>
        </w:trPr>
        <w:tc>
          <w:tcPr>
            <w:tcW w:w="5387" w:type="dxa"/>
            <w:shd w:val="clear" w:color="auto" w:fill="auto"/>
            <w:vAlign w:val="center"/>
            <w:hideMark/>
          </w:tcPr>
          <w:p w:rsidR="008D4363" w:rsidRPr="0072678C" w:rsidRDefault="008D4363" w:rsidP="0092508A">
            <w:pPr>
              <w:rPr>
                <w:rFonts w:asciiTheme="minorHAnsi" w:hAnsiTheme="minorHAnsi" w:cstheme="minorHAnsi"/>
                <w:b/>
                <w:bCs/>
                <w:sz w:val="20"/>
                <w:szCs w:val="20"/>
              </w:rPr>
            </w:pPr>
            <w:r w:rsidRPr="0072678C">
              <w:rPr>
                <w:rFonts w:asciiTheme="minorHAnsi" w:hAnsiTheme="minorHAnsi" w:cstheme="minorHAnsi"/>
                <w:b/>
                <w:bCs/>
                <w:sz w:val="20"/>
                <w:szCs w:val="20"/>
              </w:rPr>
              <w:t>Ressalvas contábeis</w:t>
            </w:r>
          </w:p>
        </w:tc>
        <w:tc>
          <w:tcPr>
            <w:tcW w:w="992" w:type="dxa"/>
            <w:shd w:val="clear" w:color="E46C0A" w:fill="FFFFFF"/>
            <w:vAlign w:val="center"/>
            <w:hideMark/>
          </w:tcPr>
          <w:p w:rsidR="008D4363" w:rsidRPr="0072678C" w:rsidRDefault="008D4363" w:rsidP="0092508A">
            <w:pPr>
              <w:jc w:val="center"/>
              <w:rPr>
                <w:rFonts w:asciiTheme="minorHAnsi" w:hAnsiTheme="minorHAnsi" w:cstheme="minorHAnsi"/>
                <w:b/>
                <w:bCs/>
                <w:sz w:val="20"/>
                <w:szCs w:val="20"/>
              </w:rPr>
            </w:pPr>
            <w:r w:rsidRPr="0072678C">
              <w:rPr>
                <w:rFonts w:asciiTheme="minorHAnsi" w:hAnsiTheme="minorHAnsi" w:cstheme="minorHAnsi"/>
                <w:b/>
                <w:bCs/>
                <w:sz w:val="20"/>
                <w:szCs w:val="20"/>
              </w:rPr>
              <w:t>0</w:t>
            </w:r>
            <w:r w:rsidRPr="0072678C">
              <w:rPr>
                <w:rStyle w:val="FootnoteReference"/>
                <w:rFonts w:asciiTheme="minorHAnsi" w:hAnsiTheme="minorHAnsi" w:cstheme="minorHAnsi"/>
                <w:b/>
                <w:bCs/>
                <w:sz w:val="20"/>
                <w:szCs w:val="20"/>
              </w:rPr>
              <w:footnoteReference w:id="193"/>
            </w:r>
            <w:r w:rsidRPr="0072678C">
              <w:rPr>
                <w:rFonts w:asciiTheme="minorHAnsi" w:hAnsiTheme="minorHAnsi" w:cstheme="minorHAnsi"/>
                <w:b/>
                <w:bCs/>
                <w:sz w:val="20"/>
                <w:szCs w:val="20"/>
              </w:rPr>
              <w:t> </w:t>
            </w:r>
          </w:p>
        </w:tc>
        <w:tc>
          <w:tcPr>
            <w:tcW w:w="2410" w:type="dxa"/>
            <w:shd w:val="clear" w:color="auto" w:fill="auto"/>
            <w:vAlign w:val="center"/>
            <w:hideMark/>
          </w:tcPr>
          <w:p w:rsidR="008D4363" w:rsidRPr="0072678C" w:rsidRDefault="008D4363" w:rsidP="0092508A">
            <w:pPr>
              <w:rPr>
                <w:rFonts w:asciiTheme="minorHAnsi" w:hAnsiTheme="minorHAnsi" w:cstheme="minorHAnsi"/>
                <w:sz w:val="20"/>
                <w:szCs w:val="20"/>
              </w:rPr>
            </w:pPr>
          </w:p>
        </w:tc>
      </w:tr>
      <w:tr w:rsidR="008D4363" w:rsidRPr="0072678C" w:rsidTr="003142C1">
        <w:trPr>
          <w:trHeight w:val="660"/>
        </w:trPr>
        <w:tc>
          <w:tcPr>
            <w:tcW w:w="5387" w:type="dxa"/>
            <w:shd w:val="clear" w:color="auto" w:fill="auto"/>
            <w:vAlign w:val="center"/>
            <w:hideMark/>
          </w:tcPr>
          <w:p w:rsidR="008D4363" w:rsidRPr="0072678C" w:rsidRDefault="008D4363" w:rsidP="00EF2CB5">
            <w:pPr>
              <w:rPr>
                <w:rFonts w:asciiTheme="minorHAnsi" w:hAnsiTheme="minorHAnsi" w:cstheme="minorHAnsi"/>
                <w:iCs/>
                <w:sz w:val="20"/>
                <w:szCs w:val="20"/>
              </w:rPr>
            </w:pPr>
            <w:r w:rsidRPr="0072678C">
              <w:rPr>
                <w:rFonts w:asciiTheme="minorHAnsi" w:hAnsiTheme="minorHAnsi" w:cstheme="minorHAnsi"/>
                <w:iCs/>
                <w:sz w:val="20"/>
                <w:szCs w:val="20"/>
              </w:rPr>
              <w:t>Quantidade de ressalvas do órgão de controle interno corrigidas / quantidade total de ressalvas apontadas pelo órgão de controle interno</w:t>
            </w:r>
          </w:p>
        </w:tc>
        <w:tc>
          <w:tcPr>
            <w:tcW w:w="992" w:type="dxa"/>
            <w:shd w:val="clear" w:color="E46C0A" w:fill="FFFFFF"/>
            <w:vAlign w:val="center"/>
            <w:hideMark/>
          </w:tcPr>
          <w:p w:rsidR="008D4363" w:rsidRPr="0072678C" w:rsidRDefault="008D4363" w:rsidP="0092508A">
            <w:pPr>
              <w:jc w:val="center"/>
              <w:rPr>
                <w:rFonts w:asciiTheme="minorHAnsi" w:hAnsiTheme="minorHAnsi" w:cstheme="minorHAnsi"/>
                <w:b/>
                <w:bCs/>
                <w:sz w:val="20"/>
                <w:szCs w:val="20"/>
              </w:rPr>
            </w:pPr>
            <w:r w:rsidRPr="0072678C">
              <w:rPr>
                <w:rFonts w:asciiTheme="minorHAnsi" w:hAnsiTheme="minorHAnsi" w:cstheme="minorHAnsi"/>
                <w:b/>
                <w:bCs/>
                <w:sz w:val="20"/>
                <w:szCs w:val="20"/>
              </w:rPr>
              <w:t>- </w:t>
            </w:r>
          </w:p>
        </w:tc>
        <w:tc>
          <w:tcPr>
            <w:tcW w:w="2410" w:type="dxa"/>
            <w:shd w:val="clear" w:color="auto" w:fill="auto"/>
            <w:vAlign w:val="center"/>
            <w:hideMark/>
          </w:tcPr>
          <w:p w:rsidR="008D4363" w:rsidRPr="0072678C" w:rsidRDefault="008D4363" w:rsidP="0092508A">
            <w:pPr>
              <w:rPr>
                <w:rFonts w:asciiTheme="minorHAnsi" w:hAnsiTheme="minorHAnsi" w:cstheme="minorHAnsi"/>
                <w:sz w:val="20"/>
                <w:szCs w:val="20"/>
              </w:rPr>
            </w:pPr>
          </w:p>
        </w:tc>
      </w:tr>
      <w:tr w:rsidR="008D4363" w:rsidRPr="0072678C" w:rsidTr="003142C1">
        <w:trPr>
          <w:trHeight w:val="660"/>
        </w:trPr>
        <w:tc>
          <w:tcPr>
            <w:tcW w:w="5387" w:type="dxa"/>
            <w:shd w:val="clear" w:color="auto" w:fill="auto"/>
            <w:vAlign w:val="center"/>
            <w:hideMark/>
          </w:tcPr>
          <w:p w:rsidR="008D4363" w:rsidRPr="0072678C" w:rsidRDefault="008D4363" w:rsidP="00EF2CB5">
            <w:pPr>
              <w:rPr>
                <w:rFonts w:asciiTheme="minorHAnsi" w:hAnsiTheme="minorHAnsi" w:cstheme="minorHAnsi"/>
                <w:iCs/>
                <w:sz w:val="20"/>
                <w:szCs w:val="20"/>
              </w:rPr>
            </w:pPr>
            <w:r w:rsidRPr="0072678C">
              <w:rPr>
                <w:rFonts w:asciiTheme="minorHAnsi" w:hAnsiTheme="minorHAnsi" w:cstheme="minorHAnsi"/>
                <w:iCs/>
                <w:sz w:val="20"/>
                <w:szCs w:val="20"/>
              </w:rPr>
              <w:t>Valor das ressalvas do órgão de controle interno corrigidas / valor total das ressalvas apontadas pelo órgão de controle interno</w:t>
            </w:r>
          </w:p>
        </w:tc>
        <w:tc>
          <w:tcPr>
            <w:tcW w:w="992" w:type="dxa"/>
            <w:shd w:val="clear" w:color="E46C0A" w:fill="FFFFFF"/>
            <w:vAlign w:val="center"/>
            <w:hideMark/>
          </w:tcPr>
          <w:p w:rsidR="008D4363" w:rsidRPr="0072678C" w:rsidRDefault="008D4363" w:rsidP="0092508A">
            <w:pPr>
              <w:jc w:val="center"/>
              <w:rPr>
                <w:rFonts w:asciiTheme="minorHAnsi" w:hAnsiTheme="minorHAnsi" w:cstheme="minorHAnsi"/>
                <w:b/>
                <w:bCs/>
                <w:sz w:val="20"/>
                <w:szCs w:val="20"/>
              </w:rPr>
            </w:pPr>
            <w:r w:rsidRPr="0072678C">
              <w:rPr>
                <w:rFonts w:asciiTheme="minorHAnsi" w:hAnsiTheme="minorHAnsi" w:cstheme="minorHAnsi"/>
                <w:b/>
                <w:bCs/>
                <w:sz w:val="20"/>
                <w:szCs w:val="20"/>
              </w:rPr>
              <w:t> -</w:t>
            </w:r>
          </w:p>
        </w:tc>
        <w:tc>
          <w:tcPr>
            <w:tcW w:w="2410" w:type="dxa"/>
            <w:shd w:val="clear" w:color="auto" w:fill="auto"/>
            <w:vAlign w:val="center"/>
            <w:hideMark/>
          </w:tcPr>
          <w:p w:rsidR="008D4363" w:rsidRPr="0072678C" w:rsidRDefault="008D4363" w:rsidP="0092508A">
            <w:pPr>
              <w:rPr>
                <w:rFonts w:asciiTheme="minorHAnsi" w:hAnsiTheme="minorHAnsi" w:cstheme="minorHAnsi"/>
                <w:sz w:val="20"/>
                <w:szCs w:val="20"/>
              </w:rPr>
            </w:pPr>
          </w:p>
        </w:tc>
      </w:tr>
    </w:tbl>
    <w:p w:rsidR="00944997" w:rsidRPr="0072678C" w:rsidRDefault="00944997"/>
    <w:p w:rsidR="00610FC9" w:rsidRPr="0072678C" w:rsidRDefault="00610FC9" w:rsidP="00B44516">
      <w:pPr>
        <w:jc w:val="both"/>
        <w:rPr>
          <w:rFonts w:asciiTheme="minorHAnsi" w:hAnsiTheme="minorHAnsi" w:cstheme="minorHAnsi"/>
          <w:sz w:val="20"/>
          <w:szCs w:val="20"/>
        </w:rPr>
      </w:pPr>
    </w:p>
    <w:tbl>
      <w:tblPr>
        <w:tblStyle w:val="TableGrid"/>
        <w:tblW w:w="8789" w:type="dxa"/>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D9E2F3" w:themeFill="accent5" w:themeFillTint="33"/>
        <w:tblLook w:val="04A0" w:firstRow="1" w:lastRow="0" w:firstColumn="1" w:lastColumn="0" w:noHBand="0" w:noVBand="1"/>
      </w:tblPr>
      <w:tblGrid>
        <w:gridCol w:w="6521"/>
        <w:gridCol w:w="2268"/>
      </w:tblGrid>
      <w:tr w:rsidR="00B44516" w:rsidRPr="0072678C" w:rsidTr="00B44516">
        <w:tc>
          <w:tcPr>
            <w:tcW w:w="6521" w:type="dxa"/>
            <w:shd w:val="clear" w:color="auto" w:fill="D9E2F3" w:themeFill="accent5" w:themeFillTint="33"/>
          </w:tcPr>
          <w:p w:rsidR="00B44516" w:rsidRPr="0072678C" w:rsidRDefault="00B44516" w:rsidP="00B44516">
            <w:pPr>
              <w:spacing w:before="120" w:after="120"/>
              <w:jc w:val="both"/>
              <w:rPr>
                <w:rFonts w:asciiTheme="minorHAnsi" w:hAnsiTheme="minorHAnsi" w:cstheme="minorHAnsi"/>
                <w:b/>
              </w:rPr>
            </w:pPr>
            <w:r w:rsidRPr="0072678C">
              <w:rPr>
                <w:rFonts w:asciiTheme="minorHAnsi" w:hAnsiTheme="minorHAnsi" w:cstheme="minorHAnsi"/>
                <w:b/>
              </w:rPr>
              <w:t>Dimensão AF 5. Gestão da Dívida Pública</w:t>
            </w:r>
          </w:p>
        </w:tc>
        <w:tc>
          <w:tcPr>
            <w:tcW w:w="2268" w:type="dxa"/>
            <w:shd w:val="clear" w:color="auto" w:fill="D9E2F3" w:themeFill="accent5" w:themeFillTint="33"/>
          </w:tcPr>
          <w:p w:rsidR="00B44516" w:rsidRPr="0072678C" w:rsidRDefault="001E62E4" w:rsidP="00B44516">
            <w:pPr>
              <w:spacing w:before="120" w:after="120"/>
              <w:jc w:val="center"/>
              <w:rPr>
                <w:rFonts w:asciiTheme="minorHAnsi" w:hAnsiTheme="minorHAnsi" w:cstheme="minorHAnsi"/>
                <w:b/>
              </w:rPr>
            </w:pPr>
            <w:r w:rsidRPr="0072678C">
              <w:rPr>
                <w:rFonts w:asciiTheme="minorHAnsi" w:hAnsiTheme="minorHAnsi" w:cstheme="minorHAnsi"/>
                <w:b/>
                <w:bCs/>
              </w:rPr>
              <w:t>INTERMEDIÁRIO (-)</w:t>
            </w:r>
          </w:p>
        </w:tc>
      </w:tr>
    </w:tbl>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 dimensão da </w:t>
      </w:r>
      <w:r w:rsidRPr="0072678C">
        <w:rPr>
          <w:rFonts w:asciiTheme="minorHAnsi" w:hAnsiTheme="minorHAnsi" w:cstheme="minorHAnsi"/>
          <w:b/>
          <w:sz w:val="22"/>
          <w:szCs w:val="22"/>
        </w:rPr>
        <w:t>Gestão da Dívida Pública</w:t>
      </w:r>
      <w:r w:rsidRPr="0072678C">
        <w:rPr>
          <w:rFonts w:asciiTheme="minorHAnsi" w:hAnsiTheme="minorHAnsi" w:cstheme="minorHAnsi"/>
          <w:sz w:val="22"/>
          <w:szCs w:val="22"/>
        </w:rPr>
        <w:t xml:space="preserve"> tem como visão de futuro “suprir de forma eficiente as informações sobre as necessidades de financiamento do governo estadual, ao menor custo no longo prazo, respeitando a manutenção de níveis prudentes de risco”.</w:t>
      </w:r>
    </w:p>
    <w:p w:rsidR="00B44516" w:rsidRPr="0072678C" w:rsidRDefault="00B44516" w:rsidP="00B44516">
      <w:pPr>
        <w:spacing w:before="240" w:after="240"/>
        <w:jc w:val="both"/>
        <w:rPr>
          <w:rFonts w:asciiTheme="minorHAnsi" w:hAnsiTheme="minorHAnsi" w:cstheme="minorHAnsi"/>
          <w:b/>
          <w:bCs/>
          <w:sz w:val="22"/>
          <w:szCs w:val="22"/>
        </w:rPr>
      </w:pPr>
      <w:r w:rsidRPr="0072678C">
        <w:rPr>
          <w:rFonts w:asciiTheme="minorHAnsi" w:hAnsiTheme="minorHAnsi" w:cstheme="minorHAnsi"/>
          <w:sz w:val="22"/>
          <w:szCs w:val="22"/>
        </w:rPr>
        <w:t>Nesta dimensão, o nível ou estágio de maturidade do conjunto de processos que a compõe, conforme apurado pela MD GEFIS, é</w:t>
      </w:r>
      <w:r w:rsidR="001E62E4" w:rsidRPr="0072678C">
        <w:rPr>
          <w:rFonts w:asciiTheme="minorHAnsi" w:hAnsiTheme="minorHAnsi" w:cstheme="minorHAnsi"/>
          <w:sz w:val="22"/>
          <w:szCs w:val="22"/>
        </w:rPr>
        <w:t xml:space="preserve"> </w:t>
      </w:r>
      <w:r w:rsidR="001E62E4" w:rsidRPr="0072678C">
        <w:rPr>
          <w:rFonts w:asciiTheme="minorHAnsi" w:hAnsiTheme="minorHAnsi" w:cstheme="minorHAnsi"/>
          <w:b/>
          <w:bCs/>
          <w:sz w:val="22"/>
          <w:szCs w:val="22"/>
        </w:rPr>
        <w:t>INTERMEDIÁRIO (-).</w:t>
      </w:r>
    </w:p>
    <w:p w:rsidR="00480678" w:rsidRPr="0072678C" w:rsidRDefault="00480678" w:rsidP="00480678">
      <w:pPr>
        <w:jc w:val="both"/>
        <w:rPr>
          <w:rFonts w:asciiTheme="minorHAnsi" w:hAnsiTheme="minorHAnsi" w:cstheme="minorHAnsi"/>
          <w:b/>
          <w:i/>
          <w:sz w:val="22"/>
          <w:szCs w:val="22"/>
        </w:rPr>
      </w:pPr>
      <w:r w:rsidRPr="0072678C">
        <w:rPr>
          <w:rFonts w:asciiTheme="minorHAnsi" w:hAnsiTheme="minorHAnsi" w:cstheme="minorHAnsi"/>
          <w:sz w:val="22"/>
          <w:szCs w:val="22"/>
        </w:rPr>
        <w:lastRenderedPageBreak/>
        <w:t>Este resultado decorre, principalmente pelo nível 2 de maturidade de 2 dentre os 5 processos analisados, ou seja, adotam um número mediano de dos requisitos das boas práticas dispostas na MD-GEFIS. São eles:</w:t>
      </w:r>
      <w:r w:rsidRPr="0072678C">
        <w:rPr>
          <w:rFonts w:asciiTheme="minorHAnsi" w:hAnsiTheme="minorHAnsi" w:cstheme="minorHAnsi"/>
          <w:b/>
          <w:i/>
          <w:sz w:val="22"/>
          <w:szCs w:val="22"/>
        </w:rPr>
        <w:t xml:space="preserve"> coordenação da gestão da dívida com a política fiscal; </w:t>
      </w:r>
      <w:r w:rsidR="003B7A33" w:rsidRPr="0072678C">
        <w:rPr>
          <w:rFonts w:asciiTheme="minorHAnsi" w:hAnsiTheme="minorHAnsi" w:cstheme="minorHAnsi"/>
          <w:b/>
          <w:i/>
          <w:sz w:val="22"/>
          <w:szCs w:val="22"/>
        </w:rPr>
        <w:t>e administração e controle da dívida.</w:t>
      </w:r>
    </w:p>
    <w:p w:rsidR="00EF2CB5" w:rsidRPr="0072678C" w:rsidRDefault="00EF2CB5" w:rsidP="00480678">
      <w:pPr>
        <w:jc w:val="both"/>
        <w:rPr>
          <w:rFonts w:asciiTheme="minorHAnsi" w:hAnsiTheme="minorHAnsi" w:cstheme="minorHAnsi"/>
          <w:sz w:val="22"/>
          <w:szCs w:val="22"/>
        </w:rPr>
      </w:pPr>
    </w:p>
    <w:p w:rsidR="00480678" w:rsidRPr="0072678C" w:rsidRDefault="003B7A33" w:rsidP="00480678">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00480678" w:rsidRPr="0072678C">
        <w:rPr>
          <w:rFonts w:asciiTheme="minorHAnsi" w:hAnsiTheme="minorHAnsi" w:cstheme="minorHAnsi"/>
          <w:sz w:val="22"/>
          <w:szCs w:val="22"/>
        </w:rPr>
        <w:t xml:space="preserve">processo </w:t>
      </w:r>
      <w:r w:rsidR="0014550C" w:rsidRPr="0072678C">
        <w:rPr>
          <w:rFonts w:asciiTheme="minorHAnsi" w:hAnsiTheme="minorHAnsi" w:cstheme="minorHAnsi"/>
          <w:b/>
          <w:bCs/>
          <w:i/>
          <w:iCs/>
          <w:sz w:val="22"/>
          <w:szCs w:val="22"/>
        </w:rPr>
        <w:t>direcionamento estratégico da gestão da dívida</w:t>
      </w:r>
      <w:r w:rsidR="0014550C" w:rsidRPr="0072678C">
        <w:rPr>
          <w:rFonts w:asciiTheme="minorHAnsi" w:hAnsiTheme="minorHAnsi" w:cstheme="minorHAnsi"/>
          <w:sz w:val="22"/>
          <w:szCs w:val="22"/>
        </w:rPr>
        <w:t xml:space="preserve"> </w:t>
      </w:r>
      <w:r w:rsidR="00480678" w:rsidRPr="0072678C">
        <w:rPr>
          <w:rFonts w:asciiTheme="minorHAnsi" w:hAnsiTheme="minorHAnsi" w:cstheme="minorHAnsi"/>
          <w:sz w:val="22"/>
          <w:szCs w:val="22"/>
        </w:rPr>
        <w:t xml:space="preserve">obteve nível </w:t>
      </w:r>
      <w:r w:rsidR="0014550C" w:rsidRPr="0072678C">
        <w:rPr>
          <w:rFonts w:asciiTheme="minorHAnsi" w:hAnsiTheme="minorHAnsi" w:cstheme="minorHAnsi"/>
          <w:sz w:val="22"/>
          <w:szCs w:val="22"/>
        </w:rPr>
        <w:t xml:space="preserve">1 de </w:t>
      </w:r>
      <w:r w:rsidR="00480678" w:rsidRPr="0072678C">
        <w:rPr>
          <w:rFonts w:asciiTheme="minorHAnsi" w:hAnsiTheme="minorHAnsi" w:cstheme="minorHAnsi"/>
          <w:sz w:val="22"/>
          <w:szCs w:val="22"/>
        </w:rPr>
        <w:t>maturidade nos requisitos das boas práticas da MD-GEFIS</w:t>
      </w:r>
      <w:r w:rsidR="0014550C" w:rsidRPr="0072678C">
        <w:rPr>
          <w:rFonts w:asciiTheme="minorHAnsi" w:hAnsiTheme="minorHAnsi" w:cstheme="minorHAnsi"/>
          <w:sz w:val="22"/>
          <w:szCs w:val="22"/>
        </w:rPr>
        <w:t xml:space="preserve">, e o processo </w:t>
      </w:r>
      <w:r w:rsidR="0014550C" w:rsidRPr="0072678C">
        <w:rPr>
          <w:rFonts w:asciiTheme="minorHAnsi" w:hAnsiTheme="minorHAnsi" w:cstheme="minorHAnsi"/>
          <w:b/>
          <w:bCs/>
          <w:i/>
          <w:iCs/>
          <w:sz w:val="22"/>
          <w:szCs w:val="22"/>
        </w:rPr>
        <w:t>sistema de gestão da dívida</w:t>
      </w:r>
      <w:r w:rsidR="0014550C" w:rsidRPr="0072678C">
        <w:rPr>
          <w:rFonts w:asciiTheme="minorHAnsi" w:hAnsiTheme="minorHAnsi" w:cstheme="minorHAnsi"/>
          <w:sz w:val="22"/>
          <w:szCs w:val="22"/>
        </w:rPr>
        <w:t xml:space="preserve"> nível 0 (zero), ou seja, atendem a pouquíssimos ou nenhum dos requisitos das boas práticas da MD-GEFIS.</w:t>
      </w:r>
    </w:p>
    <w:p w:rsidR="0014550C" w:rsidRPr="0072678C" w:rsidRDefault="0014550C" w:rsidP="0014550C">
      <w:pPr>
        <w:jc w:val="both"/>
        <w:rPr>
          <w:rFonts w:asciiTheme="minorHAnsi" w:hAnsiTheme="minorHAnsi" w:cstheme="minorHAnsi"/>
          <w:sz w:val="22"/>
          <w:szCs w:val="22"/>
        </w:rPr>
      </w:pPr>
    </w:p>
    <w:p w:rsidR="00480678" w:rsidRPr="0072678C" w:rsidRDefault="0014550C" w:rsidP="0014550C">
      <w:pPr>
        <w:jc w:val="both"/>
        <w:rPr>
          <w:rFonts w:asciiTheme="minorHAnsi" w:hAnsiTheme="minorHAnsi" w:cstheme="minorHAnsi"/>
          <w:sz w:val="22"/>
          <w:szCs w:val="22"/>
        </w:rPr>
      </w:pPr>
      <w:r w:rsidRPr="0072678C">
        <w:rPr>
          <w:rFonts w:asciiTheme="minorHAnsi" w:hAnsiTheme="minorHAnsi" w:cstheme="minorHAnsi"/>
          <w:sz w:val="22"/>
          <w:szCs w:val="22"/>
        </w:rPr>
        <w:t xml:space="preserve">Apenas o processo </w:t>
      </w:r>
      <w:r w:rsidRPr="0072678C">
        <w:rPr>
          <w:rFonts w:asciiTheme="minorHAnsi" w:hAnsiTheme="minorHAnsi" w:cstheme="minorHAnsi"/>
          <w:b/>
          <w:bCs/>
          <w:i/>
          <w:iCs/>
          <w:sz w:val="22"/>
          <w:szCs w:val="22"/>
        </w:rPr>
        <w:t>auditoria interna da dívida</w:t>
      </w:r>
      <w:r w:rsidRPr="0072678C">
        <w:rPr>
          <w:rFonts w:asciiTheme="minorHAnsi" w:hAnsiTheme="minorHAnsi" w:cstheme="minorHAnsi"/>
          <w:sz w:val="22"/>
          <w:szCs w:val="22"/>
        </w:rPr>
        <w:t xml:space="preserve"> obteve nível 3 de maturidade e atende a uma quantidade alta de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w:t>
      </w:r>
      <w:proofErr w:type="spellStart"/>
      <w:r w:rsidRPr="0072678C">
        <w:rPr>
          <w:rFonts w:asciiTheme="minorHAnsi" w:hAnsiTheme="minorHAnsi" w:cstheme="minorHAnsi"/>
          <w:sz w:val="22"/>
          <w:szCs w:val="22"/>
        </w:rPr>
        <w:t>booas</w:t>
      </w:r>
      <w:proofErr w:type="spellEnd"/>
      <w:r w:rsidRPr="0072678C">
        <w:rPr>
          <w:rFonts w:asciiTheme="minorHAnsi" w:hAnsiTheme="minorHAnsi" w:cstheme="minorHAnsi"/>
          <w:sz w:val="22"/>
          <w:szCs w:val="22"/>
        </w:rPr>
        <w:t xml:space="preserve"> práticas da MD-GEFIS.</w:t>
      </w:r>
    </w:p>
    <w:p w:rsidR="00FA1761" w:rsidRPr="0072678C" w:rsidRDefault="00FA1761" w:rsidP="00B44516">
      <w:pPr>
        <w:jc w:val="both"/>
        <w:rPr>
          <w:rFonts w:asciiTheme="minorHAnsi" w:hAnsiTheme="minorHAnsi" w:cstheme="minorHAnsi"/>
          <w:sz w:val="22"/>
          <w:szCs w:val="22"/>
        </w:rPr>
      </w:pPr>
    </w:p>
    <w:p w:rsidR="002E2145" w:rsidRPr="0072678C" w:rsidRDefault="002E2145" w:rsidP="002E2145">
      <w:pPr>
        <w:jc w:val="both"/>
        <w:rPr>
          <w:rFonts w:asciiTheme="minorHAnsi" w:hAnsiTheme="minorHAnsi" w:cstheme="minorHAnsi"/>
          <w:sz w:val="22"/>
          <w:szCs w:val="22"/>
        </w:rPr>
      </w:pPr>
      <w:r w:rsidRPr="0072678C">
        <w:rPr>
          <w:rFonts w:asciiTheme="minorHAnsi" w:hAnsiTheme="minorHAnsi" w:cstheme="minorHAnsi"/>
          <w:sz w:val="22"/>
          <w:szCs w:val="22"/>
        </w:rPr>
        <w:t>A</w:t>
      </w:r>
      <w:r w:rsidRPr="0072678C">
        <w:rPr>
          <w:rFonts w:asciiTheme="minorHAnsi" w:hAnsiTheme="minorHAnsi" w:cstheme="minorHAnsi"/>
          <w:b/>
          <w:bCs/>
          <w:i/>
          <w:iCs/>
          <w:sz w:val="22"/>
          <w:szCs w:val="22"/>
        </w:rPr>
        <w:t xml:space="preserve"> auditoria interna e externa da dívida</w:t>
      </w:r>
      <w:r w:rsidRPr="0072678C">
        <w:rPr>
          <w:rFonts w:asciiTheme="minorHAnsi" w:hAnsiTheme="minorHAnsi" w:cstheme="minorHAnsi"/>
          <w:sz w:val="22"/>
          <w:szCs w:val="22"/>
        </w:rPr>
        <w:t xml:space="preserve"> atende a 3 dentre 7 requisitos das boas práticas </w:t>
      </w:r>
      <w:proofErr w:type="gramStart"/>
      <w:r w:rsidRPr="0072678C">
        <w:rPr>
          <w:rFonts w:asciiTheme="minorHAnsi" w:hAnsiTheme="minorHAnsi" w:cstheme="minorHAnsi"/>
          <w:sz w:val="22"/>
          <w:szCs w:val="22"/>
        </w:rPr>
        <w:t>da  MD</w:t>
      </w:r>
      <w:proofErr w:type="gramEnd"/>
      <w:r w:rsidRPr="0072678C">
        <w:rPr>
          <w:rFonts w:asciiTheme="minorHAnsi" w:hAnsiTheme="minorHAnsi" w:cstheme="minorHAnsi"/>
          <w:sz w:val="22"/>
          <w:szCs w:val="22"/>
        </w:rPr>
        <w:t xml:space="preserve">-GEFIS os seguintes requisitos, ou seja, realiza procedimentos de auditoria operacional pelo menos a cada 2 ou 3 anos; realiza procedimentos anuais de auditoria de conformidade; e avalia o resultado fiscal da dívida e do projeto. </w:t>
      </w:r>
    </w:p>
    <w:p w:rsidR="002E2145" w:rsidRPr="0072678C" w:rsidRDefault="002E2145" w:rsidP="002E2145">
      <w:pPr>
        <w:jc w:val="both"/>
        <w:rPr>
          <w:rFonts w:asciiTheme="minorHAnsi" w:hAnsiTheme="minorHAnsi" w:cstheme="minorHAnsi"/>
          <w:sz w:val="22"/>
          <w:szCs w:val="22"/>
        </w:rPr>
      </w:pPr>
      <w:r w:rsidRPr="0072678C">
        <w:rPr>
          <w:rFonts w:asciiTheme="minorHAnsi" w:hAnsiTheme="minorHAnsi" w:cstheme="minorHAnsi"/>
          <w:sz w:val="22"/>
          <w:szCs w:val="22"/>
        </w:rPr>
        <w:t> </w:t>
      </w:r>
    </w:p>
    <w:p w:rsidR="002E2145" w:rsidRPr="0072678C" w:rsidRDefault="002E2145" w:rsidP="002E2145">
      <w:pPr>
        <w:jc w:val="both"/>
        <w:rPr>
          <w:rFonts w:asciiTheme="minorHAnsi" w:hAnsiTheme="minorHAnsi" w:cstheme="minorHAnsi"/>
          <w:sz w:val="22"/>
          <w:szCs w:val="22"/>
        </w:rPr>
      </w:pPr>
      <w:r w:rsidRPr="0072678C">
        <w:rPr>
          <w:rFonts w:asciiTheme="minorHAnsi" w:hAnsiTheme="minorHAnsi" w:cstheme="minorHAnsi"/>
          <w:sz w:val="22"/>
          <w:szCs w:val="22"/>
        </w:rPr>
        <w:t xml:space="preserve">A coordenação da gestão da dívida com a política fiscal obteve nível 2 de maturidade e atende 6 dentre 8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Para tanto utiliza premissas na preparação das previsões e informa a área responsável pela sua definição</w:t>
      </w:r>
      <w:r w:rsidRPr="0072678C">
        <w:rPr>
          <w:rStyle w:val="FootnoteReference"/>
          <w:rFonts w:asciiTheme="minorHAnsi" w:hAnsiTheme="minorHAnsi" w:cstheme="minorHAnsi"/>
          <w:sz w:val="22"/>
          <w:szCs w:val="22"/>
          <w:vertAlign w:val="baseline"/>
        </w:rPr>
        <w:footnoteReference w:id="194"/>
      </w:r>
      <w:r w:rsidRPr="0072678C">
        <w:rPr>
          <w:rFonts w:asciiTheme="minorHAnsi" w:hAnsiTheme="minorHAnsi" w:cstheme="minorHAnsi"/>
          <w:sz w:val="22"/>
          <w:szCs w:val="22"/>
        </w:rPr>
        <w:t>; realiza análise de sustentabilidade da dívida</w:t>
      </w:r>
      <w:r w:rsidRPr="0072678C">
        <w:rPr>
          <w:rStyle w:val="FootnoteReference"/>
          <w:rFonts w:asciiTheme="minorHAnsi" w:hAnsiTheme="minorHAnsi" w:cstheme="minorHAnsi"/>
          <w:sz w:val="22"/>
          <w:szCs w:val="22"/>
          <w:vertAlign w:val="baseline"/>
        </w:rPr>
        <w:footnoteReference w:id="195"/>
      </w:r>
      <w:r w:rsidRPr="0072678C">
        <w:rPr>
          <w:rFonts w:asciiTheme="minorHAnsi" w:hAnsiTheme="minorHAnsi" w:cstheme="minorHAnsi"/>
          <w:sz w:val="22"/>
          <w:szCs w:val="22"/>
        </w:rPr>
        <w:t>; atualiza a análise de capacidade de pagamento e de sustentabilidade da dívida anualmente; compartilha sistematicamente as informações com a gestão orçamentária e financeira; prepara, atualiza regularmente e publica anualmente documento detalhando resultados reais e previsões das macro variáveis; avalia o custo-benefício e o impacto da dívida interna e externa no equilíbrio fiscal</w:t>
      </w:r>
    </w:p>
    <w:p w:rsidR="002E2145" w:rsidRPr="0072678C" w:rsidRDefault="002E2145" w:rsidP="002E2145">
      <w:pPr>
        <w:rPr>
          <w:rFonts w:asciiTheme="minorHAnsi" w:hAnsiTheme="minorHAnsi" w:cstheme="minorHAnsi"/>
          <w:sz w:val="22"/>
          <w:szCs w:val="22"/>
        </w:rPr>
      </w:pPr>
    </w:p>
    <w:p w:rsidR="002E2145" w:rsidRPr="0072678C" w:rsidRDefault="002E2145" w:rsidP="002E2145">
      <w:pPr>
        <w:jc w:val="both"/>
        <w:rPr>
          <w:rFonts w:asciiTheme="minorHAnsi" w:hAnsiTheme="minorHAnsi" w:cstheme="minorHAnsi"/>
          <w:sz w:val="22"/>
          <w:szCs w:val="22"/>
        </w:rPr>
      </w:pPr>
      <w:r w:rsidRPr="0072678C">
        <w:rPr>
          <w:rFonts w:asciiTheme="minorHAnsi" w:hAnsiTheme="minorHAnsi" w:cstheme="minorHAnsi"/>
          <w:sz w:val="22"/>
          <w:szCs w:val="22"/>
        </w:rPr>
        <w:t xml:space="preserve">A administração e controle da dívida obteve nível 2 de maturidade e atende 6 dentre 8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Para tanto, gerencia os empréstimos e transações relacionadas com a dívida de acordo com a estratégia de gestão formalizada (o Departamento de Gestão da Dívida faz a gestão dos contratos e as projeções do estoque e do serviço da dívida, efetua os pagamentos,  acompanha a receita de operação de crédito, contabiliza os saldos devedores, atualiza os saldos e as entradas  de receita de operação de crédito no SIAFEM); analisa as alternativas, termos e condições de empréstimos e prepara parece; compartilha sistematicamente informações com outras unidades que tratam da dívida pública</w:t>
      </w:r>
      <w:r w:rsidRPr="0072678C">
        <w:rPr>
          <w:rStyle w:val="FootnoteReference"/>
          <w:rFonts w:asciiTheme="minorHAnsi" w:hAnsiTheme="minorHAnsi" w:cstheme="minorHAnsi"/>
          <w:sz w:val="22"/>
          <w:szCs w:val="22"/>
          <w:vertAlign w:val="baseline"/>
        </w:rPr>
        <w:footnoteReference w:id="196"/>
      </w:r>
      <w:r w:rsidRPr="0072678C">
        <w:rPr>
          <w:rFonts w:asciiTheme="minorHAnsi" w:hAnsiTheme="minorHAnsi" w:cstheme="minorHAnsi"/>
          <w:sz w:val="22"/>
          <w:szCs w:val="22"/>
        </w:rPr>
        <w:t xml:space="preserve">; analisa os custos e benefícios efetivos da operação antes da negociação; estabelece e divulga os procedimentos para contratação de acordo com as metas fiscais, observando os limites autorizados pelo STN para contratar; e prepara simulações e define melhores alternativas de contratação (para cada projeto priorizado existe uma simulação considerando diferentes condições de contratação para análise do impacto no estoque de dívida e nas despesas com serviço da </w:t>
      </w:r>
      <w:proofErr w:type="spellStart"/>
      <w:r w:rsidRPr="0072678C">
        <w:rPr>
          <w:rFonts w:asciiTheme="minorHAnsi" w:hAnsiTheme="minorHAnsi" w:cstheme="minorHAnsi"/>
          <w:sz w:val="22"/>
          <w:szCs w:val="22"/>
        </w:rPr>
        <w:t>divida</w:t>
      </w:r>
      <w:proofErr w:type="spellEnd"/>
      <w:r w:rsidRPr="0072678C">
        <w:rPr>
          <w:rFonts w:asciiTheme="minorHAnsi" w:hAnsiTheme="minorHAnsi" w:cstheme="minorHAnsi"/>
          <w:sz w:val="22"/>
          <w:szCs w:val="22"/>
        </w:rPr>
        <w:t>).</w:t>
      </w:r>
    </w:p>
    <w:p w:rsidR="002E2145" w:rsidRPr="0072678C" w:rsidRDefault="002E2145" w:rsidP="00D534F1">
      <w:pPr>
        <w:rPr>
          <w:rFonts w:asciiTheme="minorHAnsi" w:hAnsiTheme="minorHAnsi" w:cstheme="minorHAnsi"/>
          <w:sz w:val="22"/>
          <w:szCs w:val="22"/>
        </w:rPr>
      </w:pPr>
    </w:p>
    <w:p w:rsidR="002E2145" w:rsidRPr="0072678C" w:rsidRDefault="002E2145" w:rsidP="002E2145">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direcionamento estratégico da gestão da dívida</w:t>
      </w:r>
      <w:r w:rsidRPr="0072678C">
        <w:rPr>
          <w:rFonts w:asciiTheme="minorHAnsi" w:hAnsiTheme="minorHAnsi" w:cstheme="minorHAnsi"/>
          <w:sz w:val="22"/>
          <w:szCs w:val="22"/>
        </w:rPr>
        <w:t xml:space="preserve"> atende apenas 1 dentre 4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e obteve nível 1 de maturidade, ou seja, define claramente os critérios de  autorização para contratar empréstimos e realizar transações relacionadas com a dívida conforme </w:t>
      </w:r>
      <w:r w:rsidRPr="0072678C">
        <w:rPr>
          <w:rFonts w:asciiTheme="minorHAnsi" w:hAnsiTheme="minorHAnsi" w:cstheme="minorHAnsi"/>
          <w:bCs/>
          <w:sz w:val="22"/>
          <w:szCs w:val="22"/>
        </w:rPr>
        <w:t xml:space="preserve">LRF, Seção IV, Das Operações de Crédito e </w:t>
      </w:r>
      <w:proofErr w:type="spellStart"/>
      <w:r w:rsidRPr="0072678C">
        <w:rPr>
          <w:rFonts w:asciiTheme="minorHAnsi" w:hAnsiTheme="minorHAnsi" w:cstheme="minorHAnsi"/>
          <w:sz w:val="22"/>
          <w:szCs w:val="22"/>
        </w:rPr>
        <w:t>e</w:t>
      </w:r>
      <w:proofErr w:type="spellEnd"/>
      <w:r w:rsidRPr="0072678C">
        <w:rPr>
          <w:rFonts w:asciiTheme="minorHAnsi" w:hAnsiTheme="minorHAnsi" w:cstheme="minorHAnsi"/>
          <w:sz w:val="22"/>
          <w:szCs w:val="22"/>
        </w:rPr>
        <w:t xml:space="preserve"> </w:t>
      </w:r>
      <w:r w:rsidRPr="0072678C">
        <w:rPr>
          <w:rFonts w:asciiTheme="minorHAnsi" w:hAnsiTheme="minorHAnsi" w:cstheme="minorHAnsi"/>
          <w:bCs/>
          <w:sz w:val="22"/>
          <w:szCs w:val="22"/>
        </w:rPr>
        <w:t>Resolução Nº 43 do Senado Federal, de 2001; d</w:t>
      </w:r>
      <w:r w:rsidRPr="0072678C">
        <w:rPr>
          <w:rFonts w:asciiTheme="minorHAnsi" w:hAnsiTheme="minorHAnsi" w:cstheme="minorHAnsi"/>
          <w:sz w:val="22"/>
          <w:szCs w:val="22"/>
        </w:rPr>
        <w:t>efine os objetivos e a estratégia para a gestão da dívida considerando (i) priorização de setores a investir pelo Estado, e por conseguinte,</w:t>
      </w:r>
      <w:r w:rsidR="00064EE5">
        <w:rPr>
          <w:rFonts w:asciiTheme="minorHAnsi" w:hAnsiTheme="minorHAnsi" w:cstheme="minorHAnsi"/>
          <w:sz w:val="22"/>
          <w:szCs w:val="22"/>
        </w:rPr>
        <w:t xml:space="preserve"> </w:t>
      </w:r>
      <w:r w:rsidRPr="0072678C">
        <w:rPr>
          <w:rFonts w:asciiTheme="minorHAnsi" w:hAnsiTheme="minorHAnsi" w:cstheme="minorHAnsi"/>
          <w:sz w:val="22"/>
          <w:szCs w:val="22"/>
        </w:rPr>
        <w:t>projetos que serão contemplados por Financiamento, (</w:t>
      </w:r>
      <w:proofErr w:type="spellStart"/>
      <w:r w:rsidRPr="0072678C">
        <w:rPr>
          <w:rFonts w:asciiTheme="minorHAnsi" w:hAnsiTheme="minorHAnsi" w:cstheme="minorHAnsi"/>
          <w:sz w:val="22"/>
          <w:szCs w:val="22"/>
        </w:rPr>
        <w:t>ii</w:t>
      </w:r>
      <w:proofErr w:type="spellEnd"/>
      <w:r w:rsidRPr="0072678C">
        <w:rPr>
          <w:rFonts w:asciiTheme="minorHAnsi" w:hAnsiTheme="minorHAnsi" w:cstheme="minorHAnsi"/>
          <w:sz w:val="22"/>
          <w:szCs w:val="22"/>
        </w:rPr>
        <w:t xml:space="preserve">) limites de comprometimento de Serviço de Dívida na Receita Corrente Líquida e demais requisitos </w:t>
      </w:r>
      <w:r w:rsidRPr="0072678C">
        <w:rPr>
          <w:rFonts w:asciiTheme="minorHAnsi" w:hAnsiTheme="minorHAnsi" w:cstheme="minorHAnsi"/>
          <w:sz w:val="22"/>
          <w:szCs w:val="22"/>
        </w:rPr>
        <w:lastRenderedPageBreak/>
        <w:t>para Contratação de Operação de crédito (LRF, CF, RSF 43/2001), (</w:t>
      </w:r>
      <w:proofErr w:type="spellStart"/>
      <w:r w:rsidRPr="0072678C">
        <w:rPr>
          <w:rFonts w:asciiTheme="minorHAnsi" w:hAnsiTheme="minorHAnsi" w:cstheme="minorHAnsi"/>
          <w:sz w:val="22"/>
          <w:szCs w:val="22"/>
        </w:rPr>
        <w:t>iii</w:t>
      </w:r>
      <w:proofErr w:type="spellEnd"/>
      <w:r w:rsidRPr="0072678C">
        <w:rPr>
          <w:rFonts w:asciiTheme="minorHAnsi" w:hAnsiTheme="minorHAnsi" w:cstheme="minorHAnsi"/>
          <w:sz w:val="22"/>
          <w:szCs w:val="22"/>
        </w:rPr>
        <w:t>) gestão dos indicadores utilizados para Cálculo do CAPAG pela STN (Assessoria Executiva Sefaz); e acompanha a execução do contrato de financiamento.</w:t>
      </w:r>
    </w:p>
    <w:p w:rsidR="002E2145" w:rsidRPr="0072678C" w:rsidRDefault="002E2145" w:rsidP="00D534F1">
      <w:pPr>
        <w:jc w:val="both"/>
        <w:rPr>
          <w:rFonts w:asciiTheme="minorHAnsi" w:hAnsiTheme="minorHAnsi" w:cstheme="minorHAnsi"/>
          <w:sz w:val="22"/>
          <w:szCs w:val="22"/>
        </w:rPr>
      </w:pPr>
    </w:p>
    <w:p w:rsidR="00A515EE" w:rsidRPr="0072678C" w:rsidRDefault="00A515EE" w:rsidP="00B44516">
      <w:pPr>
        <w:jc w:val="both"/>
        <w:rPr>
          <w:rFonts w:asciiTheme="minorHAnsi" w:hAnsiTheme="minorHAnsi" w:cstheme="minorHAnsi"/>
          <w:sz w:val="22"/>
          <w:szCs w:val="22"/>
        </w:rPr>
      </w:pPr>
    </w:p>
    <w:tbl>
      <w:tblPr>
        <w:tblStyle w:val="TableGrid"/>
        <w:tblW w:w="8789" w:type="dxa"/>
        <w:tblInd w:w="108" w:type="dxa"/>
        <w:shd w:val="clear" w:color="auto" w:fill="D9E2F3" w:themeFill="accent5" w:themeFillTint="33"/>
        <w:tblLook w:val="04A0" w:firstRow="1" w:lastRow="0" w:firstColumn="1" w:lastColumn="0" w:noHBand="0" w:noVBand="1"/>
      </w:tblPr>
      <w:tblGrid>
        <w:gridCol w:w="6804"/>
        <w:gridCol w:w="1985"/>
      </w:tblGrid>
      <w:tr w:rsidR="00B44516" w:rsidRPr="0072678C" w:rsidTr="00092B87">
        <w:tc>
          <w:tcPr>
            <w:tcW w:w="6804" w:type="dxa"/>
            <w:shd w:val="clear" w:color="auto" w:fill="D9E2F3" w:themeFill="accent5" w:themeFillTint="33"/>
          </w:tcPr>
          <w:p w:rsidR="00B44516" w:rsidRPr="0072678C" w:rsidRDefault="00B44516" w:rsidP="00B44516">
            <w:pPr>
              <w:spacing w:before="120" w:after="120"/>
              <w:jc w:val="both"/>
              <w:rPr>
                <w:rFonts w:asciiTheme="minorHAnsi" w:hAnsiTheme="minorHAnsi" w:cstheme="minorHAnsi"/>
                <w:b/>
              </w:rPr>
            </w:pPr>
            <w:r w:rsidRPr="0072678C">
              <w:rPr>
                <w:rFonts w:asciiTheme="minorHAnsi" w:hAnsiTheme="minorHAnsi" w:cstheme="minorHAnsi"/>
                <w:b/>
              </w:rPr>
              <w:t>Dimensão AF 6. Gestão de Custos e Gastos Públicos</w:t>
            </w:r>
          </w:p>
        </w:tc>
        <w:tc>
          <w:tcPr>
            <w:tcW w:w="1985" w:type="dxa"/>
            <w:shd w:val="clear" w:color="auto" w:fill="D9E2F3" w:themeFill="accent5" w:themeFillTint="33"/>
          </w:tcPr>
          <w:p w:rsidR="00B44516" w:rsidRPr="0072678C" w:rsidRDefault="0092508A" w:rsidP="00B44516">
            <w:pPr>
              <w:spacing w:before="120" w:after="120"/>
              <w:jc w:val="center"/>
              <w:rPr>
                <w:rFonts w:asciiTheme="minorHAnsi" w:hAnsiTheme="minorHAnsi" w:cstheme="minorHAnsi"/>
                <w:b/>
              </w:rPr>
            </w:pPr>
            <w:r w:rsidRPr="0072678C">
              <w:rPr>
                <w:rFonts w:asciiTheme="minorHAnsi" w:hAnsiTheme="minorHAnsi" w:cstheme="minorHAnsi"/>
                <w:b/>
                <w:bCs/>
              </w:rPr>
              <w:t>INICIANTE (-)</w:t>
            </w:r>
          </w:p>
        </w:tc>
      </w:tr>
    </w:tbl>
    <w:p w:rsidR="0082044C" w:rsidRPr="0072678C" w:rsidRDefault="0082044C" w:rsidP="0082044C"/>
    <w:p w:rsidR="0082044C" w:rsidRPr="0072678C" w:rsidRDefault="0082044C" w:rsidP="0082044C">
      <w:pPr>
        <w:rPr>
          <w:lang w:val="en-US"/>
        </w:rPr>
      </w:pPr>
      <w:r w:rsidRPr="0072678C">
        <w:t>AF 6 – Processos: 5, 6, 7, 8, 9, 10, 14.</w:t>
      </w:r>
    </w:p>
    <w:p w:rsidR="00B44516" w:rsidRPr="0072678C" w:rsidRDefault="00B44516"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 visão de futuro da dimensão </w:t>
      </w:r>
      <w:r w:rsidRPr="0072678C">
        <w:rPr>
          <w:rFonts w:asciiTheme="minorHAnsi" w:hAnsiTheme="minorHAnsi" w:cstheme="minorHAnsi"/>
          <w:b/>
          <w:sz w:val="22"/>
          <w:szCs w:val="22"/>
        </w:rPr>
        <w:t>Gestão de Custos e Gastos Públicos</w:t>
      </w:r>
      <w:r w:rsidRPr="0072678C">
        <w:rPr>
          <w:rFonts w:asciiTheme="minorHAnsi" w:hAnsiTheme="minorHAnsi" w:cstheme="minorHAnsi"/>
          <w:sz w:val="22"/>
          <w:szCs w:val="22"/>
        </w:rPr>
        <w:t xml:space="preserve"> é “coletar e analisar as informações de custos com vistas à melhoria da qualidade do gasto público”.</w:t>
      </w:r>
    </w:p>
    <w:p w:rsidR="00B44516" w:rsidRPr="0072678C" w:rsidRDefault="00B44516" w:rsidP="00B44516">
      <w:pPr>
        <w:spacing w:before="240" w:after="240"/>
        <w:jc w:val="both"/>
        <w:rPr>
          <w:rFonts w:asciiTheme="minorHAnsi" w:hAnsiTheme="minorHAnsi" w:cstheme="minorHAnsi"/>
          <w:b/>
          <w:bCs/>
          <w:sz w:val="22"/>
          <w:szCs w:val="22"/>
        </w:rPr>
      </w:pPr>
      <w:r w:rsidRPr="0072678C">
        <w:rPr>
          <w:rFonts w:asciiTheme="minorHAnsi" w:hAnsiTheme="minorHAnsi" w:cstheme="minorHAnsi"/>
          <w:sz w:val="22"/>
          <w:szCs w:val="22"/>
        </w:rPr>
        <w:t xml:space="preserve">Nesta dimensão, o nível ou estágio de maturidade do conjunto de processos que a compõe, conforme apurado pela MD GEFIS, é </w:t>
      </w:r>
      <w:r w:rsidR="0092508A" w:rsidRPr="0072678C">
        <w:rPr>
          <w:rFonts w:asciiTheme="minorHAnsi" w:hAnsiTheme="minorHAnsi" w:cstheme="minorHAnsi"/>
          <w:b/>
          <w:bCs/>
          <w:sz w:val="22"/>
          <w:szCs w:val="22"/>
        </w:rPr>
        <w:t>INICIANTE (-).</w:t>
      </w:r>
    </w:p>
    <w:p w:rsidR="00632FB3" w:rsidRPr="0072678C" w:rsidRDefault="00632FB3" w:rsidP="005A7827">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Este nível de maturidade ocorre, principalmente, em razão </w:t>
      </w:r>
      <w:r w:rsidR="005A7827" w:rsidRPr="0072678C">
        <w:rPr>
          <w:rFonts w:asciiTheme="minorHAnsi" w:hAnsiTheme="minorHAnsi" w:cstheme="minorHAnsi"/>
          <w:sz w:val="22"/>
          <w:szCs w:val="22"/>
        </w:rPr>
        <w:t xml:space="preserve">de </w:t>
      </w:r>
      <w:r w:rsidR="001E4C0A" w:rsidRPr="0072678C">
        <w:rPr>
          <w:rFonts w:asciiTheme="minorHAnsi" w:hAnsiTheme="minorHAnsi" w:cstheme="minorHAnsi"/>
          <w:sz w:val="22"/>
          <w:szCs w:val="22"/>
        </w:rPr>
        <w:t>7</w:t>
      </w:r>
      <w:r w:rsidR="005A7827" w:rsidRPr="0072678C">
        <w:rPr>
          <w:rFonts w:asciiTheme="minorHAnsi" w:hAnsiTheme="minorHAnsi" w:cstheme="minorHAnsi"/>
          <w:sz w:val="22"/>
          <w:szCs w:val="22"/>
        </w:rPr>
        <w:t xml:space="preserve"> dentre </w:t>
      </w:r>
      <w:r w:rsidRPr="0072678C">
        <w:rPr>
          <w:rFonts w:asciiTheme="minorHAnsi" w:hAnsiTheme="minorHAnsi" w:cstheme="minorHAnsi"/>
          <w:sz w:val="22"/>
          <w:szCs w:val="22"/>
        </w:rPr>
        <w:t xml:space="preserve">14 processos críticos que obtiveram nível de maturidade 0 (zero), ou seja, não adotam nenhum </w:t>
      </w:r>
      <w:r w:rsidR="005A7827" w:rsidRPr="0072678C">
        <w:rPr>
          <w:rFonts w:asciiTheme="minorHAnsi" w:hAnsiTheme="minorHAnsi" w:cstheme="minorHAnsi"/>
          <w:sz w:val="22"/>
          <w:szCs w:val="22"/>
        </w:rPr>
        <w:t xml:space="preserve">ou pouquíssimos </w:t>
      </w:r>
      <w:r w:rsidRPr="0072678C">
        <w:rPr>
          <w:rFonts w:asciiTheme="minorHAnsi" w:hAnsiTheme="minorHAnsi" w:cstheme="minorHAnsi"/>
          <w:sz w:val="22"/>
          <w:szCs w:val="22"/>
        </w:rPr>
        <w:t xml:space="preserve">requisitos das boas práticas apresentadas pela MD-GEFIS: </w:t>
      </w:r>
      <w:r w:rsidRPr="0072678C">
        <w:rPr>
          <w:rFonts w:asciiTheme="minorHAnsi" w:hAnsiTheme="minorHAnsi" w:cstheme="minorHAnsi"/>
          <w:b/>
          <w:bCs/>
          <w:i/>
          <w:iCs/>
          <w:sz w:val="22"/>
          <w:szCs w:val="22"/>
        </w:rPr>
        <w:t>gestão de custos na área de saúde</w:t>
      </w:r>
      <w:r w:rsidR="005A7827" w:rsidRPr="0072678C">
        <w:rPr>
          <w:rFonts w:asciiTheme="minorHAnsi" w:hAnsiTheme="minorHAnsi" w:cstheme="minorHAnsi"/>
          <w:b/>
          <w:bCs/>
          <w:i/>
          <w:iCs/>
          <w:sz w:val="22"/>
          <w:szCs w:val="22"/>
        </w:rPr>
        <w:t xml:space="preserve">; </w:t>
      </w:r>
      <w:r w:rsidRPr="0072678C">
        <w:rPr>
          <w:rFonts w:asciiTheme="minorHAnsi" w:hAnsiTheme="minorHAnsi" w:cstheme="minorHAnsi"/>
          <w:b/>
          <w:bCs/>
          <w:i/>
          <w:iCs/>
          <w:sz w:val="22"/>
          <w:szCs w:val="22"/>
        </w:rPr>
        <w:t>gestão de custos na área de educação</w:t>
      </w:r>
      <w:r w:rsidR="005A7827" w:rsidRPr="0072678C">
        <w:rPr>
          <w:rFonts w:asciiTheme="minorHAnsi" w:hAnsiTheme="minorHAnsi" w:cstheme="minorHAnsi"/>
          <w:b/>
          <w:bCs/>
          <w:i/>
          <w:iCs/>
          <w:sz w:val="22"/>
          <w:szCs w:val="22"/>
        </w:rPr>
        <w:t xml:space="preserve">; </w:t>
      </w:r>
      <w:r w:rsidRPr="0072678C">
        <w:rPr>
          <w:rFonts w:asciiTheme="minorHAnsi" w:hAnsiTheme="minorHAnsi" w:cstheme="minorHAnsi"/>
          <w:b/>
          <w:bCs/>
          <w:i/>
          <w:iCs/>
          <w:sz w:val="22"/>
          <w:szCs w:val="22"/>
        </w:rPr>
        <w:t>gestão de custos na área de segurança</w:t>
      </w:r>
      <w:r w:rsidRPr="0072678C">
        <w:rPr>
          <w:rFonts w:asciiTheme="minorHAnsi" w:hAnsiTheme="minorHAnsi" w:cstheme="minorHAnsi"/>
          <w:sz w:val="22"/>
          <w:szCs w:val="22"/>
        </w:rPr>
        <w:t xml:space="preserve"> </w:t>
      </w:r>
      <w:r w:rsidRPr="0072678C">
        <w:rPr>
          <w:rFonts w:asciiTheme="minorHAnsi" w:hAnsiTheme="minorHAnsi" w:cstheme="minorHAnsi"/>
          <w:b/>
          <w:bCs/>
          <w:i/>
          <w:iCs/>
          <w:sz w:val="22"/>
          <w:szCs w:val="22"/>
        </w:rPr>
        <w:t>pública</w:t>
      </w:r>
      <w:r w:rsidR="005A7827" w:rsidRPr="0072678C">
        <w:rPr>
          <w:rFonts w:asciiTheme="minorHAnsi" w:hAnsiTheme="minorHAnsi" w:cstheme="minorHAnsi"/>
          <w:b/>
          <w:bCs/>
          <w:i/>
          <w:iCs/>
          <w:sz w:val="22"/>
          <w:szCs w:val="22"/>
        </w:rPr>
        <w:t xml:space="preserve">; </w:t>
      </w:r>
      <w:r w:rsidRPr="0072678C">
        <w:rPr>
          <w:rFonts w:asciiTheme="minorHAnsi" w:hAnsiTheme="minorHAnsi" w:cstheme="minorHAnsi"/>
          <w:b/>
          <w:bCs/>
          <w:i/>
          <w:iCs/>
          <w:sz w:val="22"/>
          <w:szCs w:val="22"/>
        </w:rPr>
        <w:t>gestão de custos no sistema prisional</w:t>
      </w:r>
      <w:r w:rsidRPr="0072678C">
        <w:rPr>
          <w:rFonts w:asciiTheme="minorHAnsi" w:hAnsiTheme="minorHAnsi" w:cstheme="minorHAnsi"/>
          <w:sz w:val="22"/>
          <w:szCs w:val="22"/>
        </w:rPr>
        <w:t xml:space="preserve"> </w:t>
      </w:r>
      <w:r w:rsidRPr="0072678C">
        <w:rPr>
          <w:rFonts w:asciiTheme="minorHAnsi" w:hAnsiTheme="minorHAnsi" w:cstheme="minorHAnsi"/>
          <w:b/>
          <w:bCs/>
          <w:i/>
          <w:iCs/>
          <w:sz w:val="22"/>
          <w:szCs w:val="22"/>
        </w:rPr>
        <w:t>estadual</w:t>
      </w:r>
      <w:r w:rsidR="005A7827" w:rsidRPr="0072678C">
        <w:rPr>
          <w:rFonts w:asciiTheme="minorHAnsi" w:hAnsiTheme="minorHAnsi" w:cstheme="minorHAnsi"/>
          <w:b/>
          <w:bCs/>
          <w:i/>
          <w:iCs/>
          <w:sz w:val="22"/>
          <w:szCs w:val="22"/>
        </w:rPr>
        <w:t xml:space="preserve">; </w:t>
      </w:r>
      <w:r w:rsidRPr="0072678C">
        <w:rPr>
          <w:rFonts w:asciiTheme="minorHAnsi" w:hAnsiTheme="minorHAnsi" w:cstheme="minorHAnsi"/>
          <w:b/>
          <w:bCs/>
          <w:i/>
          <w:iCs/>
          <w:sz w:val="22"/>
          <w:szCs w:val="22"/>
        </w:rPr>
        <w:t>gestão de custos de  projetos de infraestrutura</w:t>
      </w:r>
      <w:r w:rsidR="005A7827" w:rsidRPr="0072678C">
        <w:rPr>
          <w:rFonts w:asciiTheme="minorHAnsi" w:hAnsiTheme="minorHAnsi" w:cstheme="minorHAnsi"/>
          <w:b/>
          <w:bCs/>
          <w:i/>
          <w:iCs/>
          <w:sz w:val="22"/>
          <w:szCs w:val="22"/>
        </w:rPr>
        <w:t xml:space="preserve">; </w:t>
      </w:r>
      <w:r w:rsidRPr="0072678C">
        <w:rPr>
          <w:rFonts w:asciiTheme="minorHAnsi" w:hAnsiTheme="minorHAnsi" w:cstheme="minorHAnsi"/>
          <w:b/>
          <w:bCs/>
          <w:sz w:val="22"/>
          <w:szCs w:val="22"/>
        </w:rPr>
        <w:t>racionalização do gasto nas compras governamentais</w:t>
      </w:r>
      <w:r w:rsidR="005A7827" w:rsidRPr="0072678C">
        <w:rPr>
          <w:rFonts w:asciiTheme="minorHAnsi" w:hAnsiTheme="minorHAnsi" w:cstheme="minorHAnsi"/>
          <w:b/>
          <w:bCs/>
          <w:sz w:val="22"/>
          <w:szCs w:val="22"/>
        </w:rPr>
        <w:t xml:space="preserve">; e </w:t>
      </w:r>
      <w:r w:rsidRPr="0072678C">
        <w:rPr>
          <w:rFonts w:asciiTheme="minorHAnsi" w:hAnsiTheme="minorHAnsi" w:cstheme="minorHAnsi"/>
          <w:b/>
          <w:bCs/>
          <w:i/>
          <w:iCs/>
          <w:sz w:val="22"/>
          <w:szCs w:val="22"/>
        </w:rPr>
        <w:t xml:space="preserve">avaliação do gasto dos programas setoriais </w:t>
      </w:r>
      <w:r w:rsidRPr="0072678C">
        <w:rPr>
          <w:rFonts w:asciiTheme="minorHAnsi" w:hAnsiTheme="minorHAnsi" w:cstheme="minorHAnsi"/>
          <w:sz w:val="22"/>
          <w:szCs w:val="22"/>
        </w:rPr>
        <w:t>atende aos seguintes requisitos</w:t>
      </w:r>
      <w:r w:rsidR="005A7827" w:rsidRPr="0072678C">
        <w:rPr>
          <w:rFonts w:asciiTheme="minorHAnsi" w:hAnsiTheme="minorHAnsi" w:cstheme="minorHAnsi"/>
          <w:sz w:val="22"/>
          <w:szCs w:val="22"/>
        </w:rPr>
        <w:t>.</w:t>
      </w:r>
    </w:p>
    <w:p w:rsidR="00632FB3" w:rsidRPr="0072678C" w:rsidRDefault="005A7827" w:rsidP="00B44516">
      <w:pPr>
        <w:spacing w:before="240" w:after="240"/>
        <w:jc w:val="both"/>
        <w:rPr>
          <w:rFonts w:asciiTheme="minorHAnsi" w:hAnsiTheme="minorHAnsi" w:cstheme="minorHAnsi"/>
          <w:b/>
          <w:sz w:val="22"/>
          <w:szCs w:val="22"/>
        </w:rPr>
      </w:pPr>
      <w:r w:rsidRPr="0072678C">
        <w:rPr>
          <w:rFonts w:asciiTheme="minorHAnsi" w:hAnsiTheme="minorHAnsi" w:cstheme="minorHAnsi"/>
          <w:sz w:val="22"/>
          <w:szCs w:val="22"/>
        </w:rPr>
        <w:t xml:space="preserve">Outros 5 processos apresentam nível 1 de maturidade, ou seja, adotam pouquíssimos requisitos das boas práticas apresentadas pela MD-GEFIS: </w:t>
      </w:r>
      <w:r w:rsidR="001E4C0A" w:rsidRPr="0072678C">
        <w:rPr>
          <w:rFonts w:asciiTheme="minorHAnsi" w:hAnsiTheme="minorHAnsi" w:cstheme="minorHAnsi"/>
          <w:b/>
          <w:bCs/>
          <w:i/>
          <w:iCs/>
          <w:sz w:val="22"/>
          <w:szCs w:val="22"/>
        </w:rPr>
        <w:t>direcionamento estratégico da gestão de custos; apuração dos custos estaduais; sistema estadual de gestão de custos; relatórios de custos; e racionalização do gasto com pessoal</w:t>
      </w:r>
      <w:r w:rsidR="0024028D" w:rsidRPr="0072678C">
        <w:rPr>
          <w:rFonts w:asciiTheme="minorHAnsi" w:hAnsiTheme="minorHAnsi" w:cstheme="minorHAnsi"/>
          <w:b/>
          <w:bCs/>
          <w:i/>
          <w:iCs/>
          <w:sz w:val="22"/>
          <w:szCs w:val="22"/>
        </w:rPr>
        <w:t xml:space="preserve">. </w:t>
      </w:r>
    </w:p>
    <w:p w:rsidR="0024028D" w:rsidRPr="0072678C" w:rsidRDefault="0024028D" w:rsidP="00B44516">
      <w:p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Apenas 2 processos apresentam nível 3 de maturidade, ou seja, adotam um alto número de requisitos das boas práticas apresentadas pela MD-GEFIS: </w:t>
      </w:r>
      <w:r w:rsidRPr="0072678C">
        <w:rPr>
          <w:rFonts w:asciiTheme="minorHAnsi" w:hAnsiTheme="minorHAnsi" w:cstheme="minorHAnsi"/>
          <w:b/>
          <w:bCs/>
          <w:i/>
          <w:iCs/>
          <w:sz w:val="22"/>
          <w:szCs w:val="22"/>
        </w:rPr>
        <w:t>racionalização do gasto com outros serviços e custeios; e avaliação do gasto público</w:t>
      </w:r>
      <w:r w:rsidRPr="0072678C">
        <w:rPr>
          <w:rFonts w:asciiTheme="minorHAnsi" w:hAnsiTheme="minorHAnsi" w:cstheme="minorHAnsi"/>
          <w:sz w:val="22"/>
          <w:szCs w:val="22"/>
        </w:rPr>
        <w:t xml:space="preserve">. </w:t>
      </w:r>
    </w:p>
    <w:p w:rsidR="00A93D05" w:rsidRPr="0072678C" w:rsidRDefault="00A93D05" w:rsidP="00A93D05">
      <w:pPr>
        <w:jc w:val="both"/>
        <w:rPr>
          <w:rFonts w:asciiTheme="minorHAnsi" w:hAnsiTheme="minorHAnsi" w:cstheme="minorHAnsi"/>
          <w:sz w:val="22"/>
          <w:szCs w:val="22"/>
        </w:rPr>
      </w:pPr>
      <w:r w:rsidRPr="0072678C">
        <w:rPr>
          <w:rFonts w:asciiTheme="minorHAnsi" w:hAnsiTheme="minorHAnsi" w:cstheme="minorHAnsi"/>
          <w:sz w:val="22"/>
          <w:szCs w:val="22"/>
        </w:rPr>
        <w:t xml:space="preserve">A </w:t>
      </w:r>
      <w:r w:rsidRPr="0072678C">
        <w:rPr>
          <w:rFonts w:asciiTheme="minorHAnsi" w:hAnsiTheme="minorHAnsi" w:cstheme="minorHAnsi"/>
          <w:b/>
          <w:i/>
          <w:sz w:val="22"/>
          <w:szCs w:val="22"/>
        </w:rPr>
        <w:t>racionalização do gasto com outros serviços e custeios</w:t>
      </w:r>
      <w:r w:rsidRPr="0072678C">
        <w:rPr>
          <w:rFonts w:asciiTheme="minorHAnsi" w:hAnsiTheme="minorHAnsi" w:cstheme="minorHAnsi"/>
          <w:sz w:val="22"/>
          <w:szCs w:val="22"/>
        </w:rPr>
        <w:t xml:space="preserve"> atende a 9 dentre 10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e obteve nível 3 de maturidade. Para tanto, a SEFAZ/SP formula plano ou programa de racionalização priorizando iniciativas com respectivos objetivos, metas, cronograma e responsáveis; adota iniciativas para economia de gastos de caráter geral</w:t>
      </w:r>
      <w:r w:rsidRPr="0072678C">
        <w:rPr>
          <w:rStyle w:val="FootnoteReference"/>
          <w:rFonts w:asciiTheme="minorHAnsi" w:hAnsiTheme="minorHAnsi" w:cstheme="minorHAnsi"/>
          <w:sz w:val="22"/>
          <w:szCs w:val="22"/>
          <w:vertAlign w:val="baseline"/>
        </w:rPr>
        <w:footnoteReference w:id="197"/>
      </w:r>
      <w:r w:rsidRPr="0072678C">
        <w:rPr>
          <w:rFonts w:asciiTheme="minorHAnsi" w:hAnsiTheme="minorHAnsi" w:cstheme="minorHAnsi"/>
          <w:sz w:val="22"/>
          <w:szCs w:val="22"/>
        </w:rPr>
        <w:t xml:space="preserve">; adota iniciativas para economia de gastos com água e esgoto por meio do Programa de Uso Racional da Água (PURA); adota iniciativas para economia de gastos com combustível e manutenção ou locação de veículos (A Secretaria da Fazenda contratou a empresa </w:t>
      </w:r>
      <w:proofErr w:type="spellStart"/>
      <w:r w:rsidRPr="0072678C">
        <w:rPr>
          <w:rFonts w:asciiTheme="minorHAnsi" w:hAnsiTheme="minorHAnsi" w:cstheme="minorHAnsi"/>
          <w:sz w:val="22"/>
          <w:szCs w:val="22"/>
        </w:rPr>
        <w:t>Cabify</w:t>
      </w:r>
      <w:proofErr w:type="spellEnd"/>
      <w:r w:rsidRPr="0072678C">
        <w:rPr>
          <w:rFonts w:asciiTheme="minorHAnsi" w:hAnsiTheme="minorHAnsi" w:cstheme="minorHAnsi"/>
          <w:sz w:val="22"/>
          <w:szCs w:val="22"/>
        </w:rPr>
        <w:t xml:space="preserve"> para prestar serviço de transporte aos servidores, anteriormente realizado por empresas de táxis e veículos oficiais. Com essa mudança, o governo prevê uma economia de até R$ 57 milhões ao ano e redução da frota em 25%); adota iniciativas para economia de gastos com diárias e passagens; adota iniciativas para economia de gastos com energia elétrica (a SEFAZ/SP implantou sensores de presença para a iluminação; uso racional de elevadores nos horários de pico, redução da iluminação em áreas comuns e desligamento de um grupo de elevadores nos horários de menor demanda); adota iniciativas para economia de gastos com material de expediente</w:t>
      </w:r>
      <w:r w:rsidRPr="0072678C">
        <w:rPr>
          <w:rStyle w:val="FootnoteReference"/>
          <w:rFonts w:asciiTheme="minorHAnsi" w:hAnsiTheme="minorHAnsi" w:cstheme="minorHAnsi"/>
          <w:sz w:val="22"/>
          <w:szCs w:val="22"/>
          <w:vertAlign w:val="baseline"/>
        </w:rPr>
        <w:footnoteReference w:id="198"/>
      </w:r>
      <w:r w:rsidRPr="0072678C">
        <w:rPr>
          <w:rFonts w:asciiTheme="minorHAnsi" w:hAnsiTheme="minorHAnsi" w:cstheme="minorHAnsi"/>
          <w:sz w:val="22"/>
          <w:szCs w:val="22"/>
        </w:rPr>
        <w:t xml:space="preserve">; adota iniciativas para economia de gastos com comunicação e telecomunicação; e adota iniciativas para economia de </w:t>
      </w:r>
      <w:r w:rsidRPr="0072678C">
        <w:rPr>
          <w:rFonts w:asciiTheme="minorHAnsi" w:hAnsiTheme="minorHAnsi" w:cstheme="minorHAnsi"/>
          <w:sz w:val="22"/>
          <w:szCs w:val="22"/>
        </w:rPr>
        <w:lastRenderedPageBreak/>
        <w:t>gastos com terceirização de serviços por meio do CADTERC – Estudos Técnicos de Serviços Terceirizados (www.cadterc.sp.gov.br) que  é um site institucional, que objetiva divulgar as diretrizes para contratações de fornecedores de serviços terceirizados pelos órgãos da Administração Pública Estadual, com padronização de especificações técnicas e valores limites (preços referenciais) dos serviços mais comuns e que representam os maiores gastos do estado.</w:t>
      </w:r>
      <w:r w:rsidRPr="0072678C">
        <w:rPr>
          <w:rFonts w:asciiTheme="minorHAnsi" w:hAnsiTheme="minorHAnsi" w:cstheme="minorHAnsi"/>
          <w:sz w:val="22"/>
          <w:szCs w:val="22"/>
        </w:rPr>
        <w:br/>
      </w:r>
    </w:p>
    <w:p w:rsidR="00A93D05" w:rsidRPr="0072678C" w:rsidRDefault="00A93D05" w:rsidP="00A93D05">
      <w:pPr>
        <w:jc w:val="both"/>
        <w:rPr>
          <w:rFonts w:asciiTheme="minorHAnsi" w:hAnsiTheme="minorHAnsi" w:cstheme="minorHAnsi"/>
          <w:sz w:val="22"/>
          <w:szCs w:val="22"/>
        </w:rPr>
      </w:pPr>
      <w:r w:rsidRPr="0072678C">
        <w:rPr>
          <w:rFonts w:asciiTheme="minorHAnsi" w:hAnsiTheme="minorHAnsi" w:cstheme="minorHAnsi"/>
          <w:sz w:val="22"/>
          <w:szCs w:val="22"/>
        </w:rPr>
        <w:t xml:space="preserve"> A </w:t>
      </w:r>
      <w:r w:rsidRPr="0072678C">
        <w:rPr>
          <w:rFonts w:asciiTheme="minorHAnsi" w:hAnsiTheme="minorHAnsi" w:cstheme="minorHAnsi"/>
          <w:b/>
          <w:i/>
          <w:sz w:val="22"/>
          <w:szCs w:val="22"/>
        </w:rPr>
        <w:t>avaliação do gasto público</w:t>
      </w:r>
      <w:r w:rsidRPr="0072678C">
        <w:rPr>
          <w:rFonts w:asciiTheme="minorHAnsi" w:hAnsiTheme="minorHAnsi" w:cstheme="minorHAnsi"/>
          <w:sz w:val="22"/>
          <w:szCs w:val="22"/>
        </w:rPr>
        <w:t xml:space="preserve"> atende a 6 dentre 6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e obteve nível 3 de maturidade. Para tanto, utiliza equipe </w:t>
      </w:r>
      <w:proofErr w:type="spellStart"/>
      <w:r w:rsidRPr="0072678C">
        <w:rPr>
          <w:rFonts w:asciiTheme="minorHAnsi" w:hAnsiTheme="minorHAnsi" w:cstheme="minorHAnsi"/>
          <w:sz w:val="22"/>
          <w:szCs w:val="22"/>
        </w:rPr>
        <w:t>multisetorial</w:t>
      </w:r>
      <w:proofErr w:type="spellEnd"/>
      <w:r w:rsidRPr="0072678C">
        <w:rPr>
          <w:rFonts w:asciiTheme="minorHAnsi" w:hAnsiTheme="minorHAnsi" w:cstheme="minorHAnsi"/>
          <w:sz w:val="22"/>
          <w:szCs w:val="22"/>
        </w:rPr>
        <w:t xml:space="preserve"> para avaliação de políticas e programas, integrada ao ciclo orçamentário e com participação da área fiscal; utiliza os relatórios de análise formal dos gastos públicos, em especial quanto a resultados e a custos; utiliza ferramentas de apoio à revisão das despesas e a priorização dos gastos (eficiência alocativa); define periodicidade anual para o procedimento de revisão seletiva das despesas, com apoio dos atores estratégicos; apresenta relatórios anuais dos programas selecionados para avaliação; e estabelece compromissos e define plano de trabalho para execução dos programas, em consonância com as recomendações da avaliação</w:t>
      </w:r>
      <w:r w:rsidRPr="0072678C">
        <w:rPr>
          <w:rStyle w:val="FootnoteReference"/>
          <w:rFonts w:asciiTheme="minorHAnsi" w:hAnsiTheme="minorHAnsi" w:cstheme="minorHAnsi"/>
          <w:sz w:val="22"/>
          <w:szCs w:val="22"/>
          <w:vertAlign w:val="baseline"/>
        </w:rPr>
        <w:footnoteReference w:id="199"/>
      </w:r>
      <w:r w:rsidRPr="0072678C">
        <w:rPr>
          <w:rFonts w:asciiTheme="minorHAnsi" w:hAnsiTheme="minorHAnsi" w:cstheme="minorHAnsi"/>
          <w:sz w:val="22"/>
          <w:szCs w:val="22"/>
        </w:rPr>
        <w:t xml:space="preserve"> .</w:t>
      </w:r>
    </w:p>
    <w:p w:rsidR="00A93D05" w:rsidRPr="0072678C" w:rsidRDefault="00A93D05" w:rsidP="00A93D05">
      <w:pPr>
        <w:jc w:val="both"/>
        <w:rPr>
          <w:rFonts w:asciiTheme="minorHAnsi" w:hAnsiTheme="minorHAnsi" w:cstheme="minorHAnsi"/>
          <w:sz w:val="22"/>
          <w:szCs w:val="22"/>
        </w:rPr>
      </w:pPr>
    </w:p>
    <w:p w:rsidR="00A93D05" w:rsidRPr="0072678C" w:rsidRDefault="00A93D05" w:rsidP="00A93D05">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 xml:space="preserve">direcionamento estratégico da gestão de custos </w:t>
      </w:r>
      <w:r w:rsidRPr="0072678C">
        <w:rPr>
          <w:rFonts w:asciiTheme="minorHAnsi" w:hAnsiTheme="minorHAnsi" w:cstheme="minorHAnsi"/>
          <w:sz w:val="22"/>
          <w:szCs w:val="22"/>
        </w:rPr>
        <w:t xml:space="preserve">atende apenas 2 dentre 8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e obteve nível 1 de maturidade. Determina a utilização dos custos públicos como referência para o desenho, revisão e implantação do modelo de gestão para resultados (O SCSP - Sistema de Custos dos Serviços Públicos foi concebido como uma ferramenta para subsidiar a elaboração das peças orçamentárias, reforçando o conceito de gestão por resultados); e dispõe sobre a utilização das informações de custos no processo de </w:t>
      </w:r>
      <w:proofErr w:type="spellStart"/>
      <w:r w:rsidRPr="0072678C">
        <w:rPr>
          <w:rFonts w:asciiTheme="minorHAnsi" w:hAnsiTheme="minorHAnsi" w:cstheme="minorHAnsi"/>
          <w:sz w:val="22"/>
          <w:szCs w:val="22"/>
        </w:rPr>
        <w:t>macro-avaliações</w:t>
      </w:r>
      <w:proofErr w:type="spellEnd"/>
      <w:r w:rsidRPr="0072678C">
        <w:rPr>
          <w:rFonts w:asciiTheme="minorHAnsi" w:hAnsiTheme="minorHAnsi" w:cstheme="minorHAnsi"/>
          <w:sz w:val="22"/>
          <w:szCs w:val="22"/>
        </w:rPr>
        <w:t xml:space="preserve"> e tomada de decisões estratégicas.</w:t>
      </w:r>
    </w:p>
    <w:p w:rsidR="00A93D05" w:rsidRPr="0072678C" w:rsidRDefault="00A93D05" w:rsidP="00A93D05">
      <w:pPr>
        <w:jc w:val="both"/>
        <w:rPr>
          <w:rFonts w:asciiTheme="minorHAnsi" w:hAnsiTheme="minorHAnsi" w:cstheme="minorHAnsi"/>
          <w:sz w:val="22"/>
          <w:szCs w:val="22"/>
        </w:rPr>
      </w:pPr>
      <w:r w:rsidRPr="0072678C">
        <w:rPr>
          <w:rFonts w:asciiTheme="minorHAnsi" w:hAnsiTheme="minorHAnsi" w:cstheme="minorHAnsi"/>
          <w:sz w:val="22"/>
          <w:szCs w:val="22"/>
        </w:rPr>
        <w:t> </w:t>
      </w:r>
    </w:p>
    <w:p w:rsidR="00A93D05" w:rsidRPr="0072678C" w:rsidRDefault="00A93D05" w:rsidP="00A93D05">
      <w:pPr>
        <w:jc w:val="both"/>
        <w:rPr>
          <w:rFonts w:asciiTheme="minorHAnsi" w:hAnsiTheme="minorHAnsi" w:cstheme="minorHAnsi"/>
          <w:sz w:val="22"/>
          <w:szCs w:val="22"/>
        </w:rPr>
      </w:pPr>
      <w:r w:rsidRPr="0072678C">
        <w:rPr>
          <w:rFonts w:asciiTheme="minorHAnsi" w:hAnsiTheme="minorHAnsi" w:cstheme="minorHAnsi"/>
          <w:sz w:val="22"/>
          <w:szCs w:val="22"/>
        </w:rPr>
        <w:t xml:space="preserve">A </w:t>
      </w:r>
      <w:r w:rsidRPr="0072678C">
        <w:rPr>
          <w:rFonts w:asciiTheme="minorHAnsi" w:hAnsiTheme="minorHAnsi" w:cstheme="minorHAnsi"/>
          <w:b/>
          <w:bCs/>
          <w:i/>
          <w:iCs/>
          <w:sz w:val="22"/>
          <w:szCs w:val="22"/>
        </w:rPr>
        <w:t xml:space="preserve">apuração dos custos estaduais </w:t>
      </w:r>
      <w:r w:rsidRPr="0072678C">
        <w:rPr>
          <w:rFonts w:asciiTheme="minorHAnsi" w:hAnsiTheme="minorHAnsi" w:cstheme="minorHAnsi"/>
          <w:sz w:val="22"/>
          <w:szCs w:val="22"/>
        </w:rPr>
        <w:t xml:space="preserve">atende apenas 4 dentre 8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e obteve nível 1 de maturidade. Identifica os custos comuns e define metodologias específicas para o seu tratamento, por meio da NL Centro de Custos (SIAFEM Net) e atualmente com a implantação do SAM - Sistema de Administração de Materiais; define objetos de custo desenvolvidos a partir dos macroprocessos e dos processos da cadeia de valor da organização; identifica e seleciona os dados para gerar informação de custo comparável, verificável, tempestiva e compreensível; e define as bases de dados onde serão obtidas, de forma automatizada, as informações dos custos</w:t>
      </w:r>
    </w:p>
    <w:p w:rsidR="00A93D05" w:rsidRPr="0072678C" w:rsidRDefault="00A93D05" w:rsidP="00A93D05">
      <w:pPr>
        <w:jc w:val="both"/>
        <w:rPr>
          <w:rFonts w:asciiTheme="minorHAnsi" w:hAnsiTheme="minorHAnsi" w:cstheme="minorHAnsi"/>
          <w:sz w:val="22"/>
          <w:szCs w:val="22"/>
        </w:rPr>
      </w:pPr>
      <w:r w:rsidRPr="0072678C">
        <w:rPr>
          <w:rFonts w:asciiTheme="minorHAnsi" w:hAnsiTheme="minorHAnsi" w:cstheme="minorHAnsi"/>
          <w:sz w:val="22"/>
          <w:szCs w:val="22"/>
        </w:rPr>
        <w:t> </w:t>
      </w:r>
    </w:p>
    <w:p w:rsidR="00A93D05" w:rsidRPr="0072678C" w:rsidRDefault="00A93D05" w:rsidP="00A93D05">
      <w:pPr>
        <w:jc w:val="both"/>
        <w:rPr>
          <w:rFonts w:asciiTheme="minorHAnsi" w:hAnsiTheme="minorHAnsi" w:cstheme="minorHAnsi"/>
          <w:sz w:val="22"/>
          <w:szCs w:val="22"/>
        </w:rPr>
      </w:pPr>
      <w:r w:rsidRPr="0072678C">
        <w:rPr>
          <w:rFonts w:asciiTheme="minorHAnsi" w:hAnsiTheme="minorHAnsi" w:cstheme="minorHAnsi"/>
          <w:sz w:val="22"/>
          <w:szCs w:val="22"/>
        </w:rPr>
        <w:t xml:space="preserve">O </w:t>
      </w:r>
      <w:r w:rsidRPr="0072678C">
        <w:rPr>
          <w:rFonts w:asciiTheme="minorHAnsi" w:hAnsiTheme="minorHAnsi" w:cstheme="minorHAnsi"/>
          <w:b/>
          <w:bCs/>
          <w:i/>
          <w:iCs/>
          <w:sz w:val="22"/>
          <w:szCs w:val="22"/>
        </w:rPr>
        <w:t xml:space="preserve">sistema estadual de gestão de custos </w:t>
      </w:r>
      <w:r w:rsidRPr="0072678C">
        <w:rPr>
          <w:rFonts w:asciiTheme="minorHAnsi" w:hAnsiTheme="minorHAnsi" w:cstheme="minorHAnsi"/>
          <w:sz w:val="22"/>
          <w:szCs w:val="22"/>
        </w:rPr>
        <w:t xml:space="preserve">atende a 4 dentre 9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e obteve nível 1 de maturidade. Permite a comparabilidade entre os custos de órgãos e entidades públicas afins; acompanha a evolução dos custos, referenciada em base histórica</w:t>
      </w:r>
      <w:r w:rsidRPr="0072678C">
        <w:rPr>
          <w:rStyle w:val="FootnoteReference"/>
          <w:rFonts w:asciiTheme="minorHAnsi" w:hAnsiTheme="minorHAnsi" w:cstheme="minorHAnsi"/>
          <w:sz w:val="22"/>
          <w:szCs w:val="22"/>
        </w:rPr>
        <w:footnoteReference w:id="200"/>
      </w:r>
      <w:r w:rsidRPr="0072678C">
        <w:rPr>
          <w:rFonts w:asciiTheme="minorHAnsi" w:hAnsiTheme="minorHAnsi" w:cstheme="minorHAnsi"/>
          <w:sz w:val="22"/>
          <w:szCs w:val="22"/>
        </w:rPr>
        <w:t>; apoia as gestões orçamentária, financeira e patrimonial, dando suporte ao processo de tomada de decisão</w:t>
      </w:r>
      <w:r w:rsidRPr="0072678C">
        <w:rPr>
          <w:rStyle w:val="FootnoteReference"/>
          <w:rFonts w:asciiTheme="minorHAnsi" w:hAnsiTheme="minorHAnsi" w:cstheme="minorHAnsi"/>
          <w:sz w:val="22"/>
          <w:szCs w:val="22"/>
        </w:rPr>
        <w:footnoteReference w:id="201"/>
      </w:r>
      <w:r w:rsidRPr="0072678C">
        <w:rPr>
          <w:rFonts w:asciiTheme="minorHAnsi" w:hAnsiTheme="minorHAnsi" w:cstheme="minorHAnsi"/>
          <w:sz w:val="22"/>
          <w:szCs w:val="22"/>
        </w:rPr>
        <w:t>; orienta o controle de custos e gera informação para a avaliação da eficiência do gasto público</w:t>
      </w:r>
    </w:p>
    <w:p w:rsidR="00A93D05" w:rsidRPr="0072678C" w:rsidRDefault="00A93D05" w:rsidP="00A93D05">
      <w:pPr>
        <w:jc w:val="both"/>
        <w:rPr>
          <w:rFonts w:asciiTheme="minorHAnsi" w:hAnsiTheme="minorHAnsi" w:cstheme="minorHAnsi"/>
          <w:sz w:val="22"/>
          <w:szCs w:val="22"/>
        </w:rPr>
      </w:pPr>
      <w:r w:rsidRPr="0072678C">
        <w:rPr>
          <w:rFonts w:asciiTheme="minorHAnsi" w:hAnsiTheme="minorHAnsi" w:cstheme="minorHAnsi"/>
          <w:sz w:val="22"/>
          <w:szCs w:val="22"/>
        </w:rPr>
        <w:t> </w:t>
      </w:r>
    </w:p>
    <w:p w:rsidR="00A93D05" w:rsidRPr="0072678C" w:rsidRDefault="00064EE5" w:rsidP="00A93D05">
      <w:pPr>
        <w:jc w:val="both"/>
        <w:rPr>
          <w:rFonts w:asciiTheme="minorHAnsi" w:hAnsiTheme="minorHAnsi" w:cstheme="minorHAnsi"/>
          <w:sz w:val="22"/>
          <w:szCs w:val="22"/>
        </w:rPr>
      </w:pPr>
      <w:r w:rsidRPr="0072678C">
        <w:rPr>
          <w:rFonts w:asciiTheme="minorHAnsi" w:hAnsiTheme="minorHAnsi" w:cstheme="minorHAnsi"/>
          <w:sz w:val="22"/>
          <w:szCs w:val="22"/>
        </w:rPr>
        <w:t>Os</w:t>
      </w:r>
      <w:r w:rsidRPr="0072678C">
        <w:rPr>
          <w:rFonts w:asciiTheme="minorHAnsi" w:hAnsiTheme="minorHAnsi" w:cstheme="minorHAnsi"/>
          <w:b/>
          <w:bCs/>
          <w:sz w:val="22"/>
          <w:szCs w:val="22"/>
        </w:rPr>
        <w:t xml:space="preserve"> </w:t>
      </w:r>
      <w:r w:rsidRPr="0072678C">
        <w:rPr>
          <w:rFonts w:asciiTheme="minorHAnsi" w:hAnsiTheme="minorHAnsi" w:cstheme="minorHAnsi"/>
          <w:b/>
          <w:bCs/>
          <w:i/>
          <w:iCs/>
          <w:sz w:val="22"/>
          <w:szCs w:val="22"/>
        </w:rPr>
        <w:t>relatórios de custos</w:t>
      </w:r>
      <w:r w:rsidRPr="0072678C">
        <w:rPr>
          <w:rFonts w:asciiTheme="minorHAnsi" w:hAnsiTheme="minorHAnsi" w:cstheme="minorHAnsi"/>
          <w:sz w:val="22"/>
          <w:szCs w:val="22"/>
        </w:rPr>
        <w:t xml:space="preserve"> atendem</w:t>
      </w:r>
      <w:r w:rsidR="00A93D05" w:rsidRPr="0072678C">
        <w:rPr>
          <w:rFonts w:asciiTheme="minorHAnsi" w:hAnsiTheme="minorHAnsi" w:cstheme="minorHAnsi"/>
          <w:sz w:val="22"/>
          <w:szCs w:val="22"/>
        </w:rPr>
        <w:t xml:space="preserve"> </w:t>
      </w:r>
      <w:bookmarkStart w:id="31" w:name="_GoBack"/>
      <w:bookmarkEnd w:id="31"/>
      <w:r w:rsidR="00A93D05" w:rsidRPr="0072678C">
        <w:rPr>
          <w:rFonts w:asciiTheme="minorHAnsi" w:hAnsiTheme="minorHAnsi" w:cstheme="minorHAnsi"/>
          <w:sz w:val="22"/>
          <w:szCs w:val="22"/>
        </w:rPr>
        <w:t xml:space="preserve">a 3 dentre 6 </w:t>
      </w:r>
      <w:r w:rsidR="009B231A">
        <w:rPr>
          <w:rFonts w:asciiTheme="minorHAnsi" w:hAnsiTheme="minorHAnsi" w:cstheme="minorHAnsi"/>
          <w:sz w:val="22"/>
          <w:szCs w:val="22"/>
        </w:rPr>
        <w:t>requisitos</w:t>
      </w:r>
      <w:r w:rsidR="00A93D05" w:rsidRPr="0072678C">
        <w:rPr>
          <w:rFonts w:asciiTheme="minorHAnsi" w:hAnsiTheme="minorHAnsi" w:cstheme="minorHAnsi"/>
          <w:sz w:val="22"/>
          <w:szCs w:val="22"/>
        </w:rPr>
        <w:t xml:space="preserve"> das boas práticas da MD-GEFIS e obteve nível 1 de maturidade. Para tanto, identifica, por unidade organizacional, os itens de custos e as atividades, detalhando quanto, quem, o que e como está evoluindo o gasto na unidade</w:t>
      </w:r>
      <w:r w:rsidR="00A93D05" w:rsidRPr="0072678C">
        <w:rPr>
          <w:rStyle w:val="FootnoteReference"/>
          <w:rFonts w:asciiTheme="minorHAnsi" w:hAnsiTheme="minorHAnsi" w:cstheme="minorHAnsi"/>
          <w:sz w:val="22"/>
          <w:szCs w:val="22"/>
        </w:rPr>
        <w:footnoteReference w:id="202"/>
      </w:r>
      <w:r w:rsidR="00A93D05" w:rsidRPr="0072678C">
        <w:rPr>
          <w:rFonts w:asciiTheme="minorHAnsi" w:hAnsiTheme="minorHAnsi" w:cstheme="minorHAnsi"/>
          <w:sz w:val="22"/>
          <w:szCs w:val="22"/>
        </w:rPr>
        <w:t xml:space="preserve">; apresenta comparações das evoluções dos custos por item em diferentes períodos e unidades; e são utilizados na análise de resultados e </w:t>
      </w:r>
      <w:proofErr w:type="gramStart"/>
      <w:r w:rsidR="00A93D05" w:rsidRPr="0072678C">
        <w:rPr>
          <w:rFonts w:asciiTheme="minorHAnsi" w:hAnsiTheme="minorHAnsi" w:cstheme="minorHAnsi"/>
          <w:sz w:val="22"/>
          <w:szCs w:val="22"/>
        </w:rPr>
        <w:t>na  priorização</w:t>
      </w:r>
      <w:proofErr w:type="gramEnd"/>
      <w:r w:rsidR="00A93D05" w:rsidRPr="0072678C">
        <w:rPr>
          <w:rFonts w:asciiTheme="minorHAnsi" w:hAnsiTheme="minorHAnsi" w:cstheme="minorHAnsi"/>
          <w:sz w:val="22"/>
          <w:szCs w:val="22"/>
        </w:rPr>
        <w:t xml:space="preserve"> de alocação de recursos.</w:t>
      </w:r>
    </w:p>
    <w:p w:rsidR="00A93D05" w:rsidRPr="0072678C" w:rsidRDefault="00A93D05" w:rsidP="00A93D05">
      <w:pPr>
        <w:jc w:val="both"/>
        <w:rPr>
          <w:rFonts w:asciiTheme="minorHAnsi" w:hAnsiTheme="minorHAnsi" w:cstheme="minorHAnsi"/>
          <w:sz w:val="22"/>
          <w:szCs w:val="22"/>
        </w:rPr>
      </w:pPr>
      <w:r w:rsidRPr="0072678C">
        <w:rPr>
          <w:rFonts w:asciiTheme="minorHAnsi" w:hAnsiTheme="minorHAnsi" w:cstheme="minorHAnsi"/>
          <w:sz w:val="22"/>
          <w:szCs w:val="22"/>
        </w:rPr>
        <w:lastRenderedPageBreak/>
        <w:t> </w:t>
      </w:r>
    </w:p>
    <w:p w:rsidR="00A93D05" w:rsidRPr="0072678C" w:rsidRDefault="00A93D05" w:rsidP="00A93D05">
      <w:pPr>
        <w:jc w:val="both"/>
        <w:rPr>
          <w:rFonts w:asciiTheme="minorHAnsi" w:hAnsiTheme="minorHAnsi" w:cstheme="minorHAnsi"/>
          <w:sz w:val="22"/>
          <w:szCs w:val="22"/>
        </w:rPr>
      </w:pPr>
      <w:r w:rsidRPr="0072678C">
        <w:rPr>
          <w:rFonts w:asciiTheme="minorHAnsi" w:hAnsiTheme="minorHAnsi" w:cstheme="minorHAnsi"/>
          <w:sz w:val="22"/>
          <w:szCs w:val="22"/>
        </w:rPr>
        <w:t xml:space="preserve">A </w:t>
      </w:r>
      <w:r w:rsidRPr="0072678C">
        <w:rPr>
          <w:rFonts w:asciiTheme="minorHAnsi" w:hAnsiTheme="minorHAnsi" w:cstheme="minorHAnsi"/>
          <w:b/>
          <w:bCs/>
          <w:i/>
          <w:iCs/>
          <w:sz w:val="22"/>
          <w:szCs w:val="22"/>
        </w:rPr>
        <w:t xml:space="preserve">racionalização do gasto com pessoal </w:t>
      </w:r>
      <w:r w:rsidRPr="0072678C">
        <w:rPr>
          <w:rFonts w:asciiTheme="minorHAnsi" w:hAnsiTheme="minorHAnsi" w:cstheme="minorHAnsi"/>
          <w:sz w:val="22"/>
          <w:szCs w:val="22"/>
        </w:rPr>
        <w:t xml:space="preserve">atende a 2 dentre 7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e obteve nível 1 de maturidade. Monitora as revisões de planos de cargos e salários, as concessões de vantagens funcionais e a contratação temporária que impliquem em aumento da despesa de pessoal, por meio DDPE (Departamento de Despesa de Pessoal do Estado), que acompanha e controla as despesas com o pessoal da Administração Direta do Poder Executivo, além de outras atribuições previstas no art. 73 do Decreto nº 60.812/2014; e aciona a previdência social para transferência de contribuições do regime geral para o sistema estadual no momento da averbação do tempo de serviço no RGPS conforme Portaria 268/2017, que dispõe sobre o procedimento para encaminhamento de requerimento de Compensação Previdenciária</w:t>
      </w:r>
      <w:r w:rsidRPr="0072678C">
        <w:rPr>
          <w:rFonts w:asciiTheme="minorHAnsi" w:hAnsiTheme="minorHAnsi" w:cstheme="minorHAnsi"/>
          <w:sz w:val="22"/>
          <w:szCs w:val="22"/>
        </w:rPr>
        <w:br/>
      </w:r>
    </w:p>
    <w:p w:rsidR="00A93D05" w:rsidRPr="0072678C" w:rsidRDefault="00A93D05" w:rsidP="00A93D05">
      <w:pPr>
        <w:jc w:val="both"/>
        <w:rPr>
          <w:rFonts w:asciiTheme="minorHAnsi" w:hAnsiTheme="minorHAnsi" w:cstheme="minorHAnsi"/>
          <w:sz w:val="22"/>
          <w:szCs w:val="22"/>
        </w:rPr>
      </w:pPr>
      <w:r w:rsidRPr="0072678C">
        <w:rPr>
          <w:rFonts w:asciiTheme="minorHAnsi" w:hAnsiTheme="minorHAnsi" w:cstheme="minorHAnsi"/>
          <w:sz w:val="22"/>
          <w:szCs w:val="22"/>
        </w:rPr>
        <w:t xml:space="preserve">A </w:t>
      </w:r>
      <w:r w:rsidRPr="0072678C">
        <w:rPr>
          <w:rFonts w:asciiTheme="minorHAnsi" w:hAnsiTheme="minorHAnsi" w:cstheme="minorHAnsi"/>
          <w:b/>
          <w:bCs/>
          <w:sz w:val="22"/>
          <w:szCs w:val="22"/>
        </w:rPr>
        <w:t>racionalização do gasto nas compras governamentais</w:t>
      </w:r>
      <w:r w:rsidRPr="0072678C">
        <w:rPr>
          <w:rFonts w:asciiTheme="minorHAnsi" w:hAnsiTheme="minorHAnsi" w:cstheme="minorHAnsi"/>
          <w:sz w:val="22"/>
          <w:szCs w:val="22"/>
        </w:rPr>
        <w:t xml:space="preserve"> atende a 2 dentre 7 </w:t>
      </w:r>
      <w:r w:rsidR="009B231A">
        <w:rPr>
          <w:rFonts w:asciiTheme="minorHAnsi" w:hAnsiTheme="minorHAnsi" w:cstheme="minorHAnsi"/>
          <w:sz w:val="22"/>
          <w:szCs w:val="22"/>
        </w:rPr>
        <w:t>requisitos</w:t>
      </w:r>
      <w:r w:rsidRPr="0072678C">
        <w:rPr>
          <w:rFonts w:asciiTheme="minorHAnsi" w:hAnsiTheme="minorHAnsi" w:cstheme="minorHAnsi"/>
          <w:sz w:val="22"/>
          <w:szCs w:val="22"/>
        </w:rPr>
        <w:t xml:space="preserve"> das boas práticas da MD-GEFIS e obteve nível 0 (zero) de maturidade. Adota preço de referência, pregão eletrônico e atas de registro de preço, suportado por sistema informatizado de compras governamentais, com auditoria continuada</w:t>
      </w:r>
      <w:r w:rsidRPr="0072678C">
        <w:rPr>
          <w:rStyle w:val="FootnoteReference"/>
          <w:rFonts w:asciiTheme="minorHAnsi" w:hAnsiTheme="minorHAnsi" w:cstheme="minorHAnsi"/>
          <w:sz w:val="22"/>
          <w:szCs w:val="22"/>
        </w:rPr>
        <w:footnoteReference w:id="203"/>
      </w:r>
      <w:r w:rsidRPr="0072678C">
        <w:rPr>
          <w:rFonts w:asciiTheme="minorHAnsi" w:hAnsiTheme="minorHAnsi" w:cstheme="minorHAnsi"/>
          <w:sz w:val="22"/>
          <w:szCs w:val="22"/>
        </w:rPr>
        <w:t>; e utiliza catálogo de materiais e serviços específicos do sistema prisional e observa os preços praticados pelo mercado de lavanderia, saúde e alimentação</w:t>
      </w:r>
      <w:r w:rsidRPr="0072678C">
        <w:rPr>
          <w:rStyle w:val="FootnoteReference"/>
          <w:rFonts w:asciiTheme="minorHAnsi" w:hAnsiTheme="minorHAnsi" w:cstheme="minorHAnsi"/>
          <w:sz w:val="22"/>
          <w:szCs w:val="22"/>
        </w:rPr>
        <w:footnoteReference w:id="204"/>
      </w:r>
      <w:r w:rsidRPr="0072678C">
        <w:rPr>
          <w:rFonts w:asciiTheme="minorHAnsi" w:hAnsiTheme="minorHAnsi" w:cstheme="minorHAnsi"/>
          <w:sz w:val="22"/>
          <w:szCs w:val="22"/>
        </w:rPr>
        <w:t>.</w:t>
      </w:r>
    </w:p>
    <w:p w:rsidR="00DF1DE1" w:rsidRPr="0072678C" w:rsidRDefault="00A93D05" w:rsidP="00DF1DE1">
      <w:pPr>
        <w:jc w:val="both"/>
        <w:rPr>
          <w:rFonts w:asciiTheme="minorHAnsi" w:hAnsiTheme="minorHAnsi" w:cstheme="minorHAnsi"/>
          <w:sz w:val="22"/>
          <w:szCs w:val="22"/>
        </w:rPr>
      </w:pPr>
      <w:r w:rsidRPr="0072678C">
        <w:rPr>
          <w:rFonts w:asciiTheme="minorHAnsi" w:hAnsiTheme="minorHAnsi" w:cstheme="minorHAnsi"/>
          <w:sz w:val="22"/>
          <w:szCs w:val="22"/>
        </w:rPr>
        <w:t> </w:t>
      </w:r>
    </w:p>
    <w:p w:rsidR="00984AC9" w:rsidRPr="0072678C" w:rsidRDefault="00B44516" w:rsidP="00DF1DE1">
      <w:pPr>
        <w:jc w:val="both"/>
        <w:rPr>
          <w:rFonts w:asciiTheme="minorHAnsi" w:hAnsiTheme="minorHAnsi" w:cstheme="minorHAnsi"/>
          <w:iCs/>
          <w:sz w:val="22"/>
          <w:szCs w:val="22"/>
        </w:rPr>
      </w:pPr>
      <w:r w:rsidRPr="0072678C">
        <w:rPr>
          <w:rFonts w:asciiTheme="minorHAnsi" w:hAnsiTheme="minorHAnsi" w:cstheme="minorHAnsi"/>
          <w:iCs/>
          <w:sz w:val="22"/>
          <w:szCs w:val="22"/>
        </w:rPr>
        <w:t>Os indicadores da MD-GEFIS que medem o desempenho</w:t>
      </w:r>
      <w:r w:rsidR="00F30A02" w:rsidRPr="0072678C">
        <w:rPr>
          <w:rFonts w:asciiTheme="minorHAnsi" w:hAnsiTheme="minorHAnsi" w:cstheme="minorHAnsi"/>
          <w:iCs/>
          <w:sz w:val="22"/>
          <w:szCs w:val="22"/>
        </w:rPr>
        <w:t xml:space="preserve"> desta Dimensão são</w:t>
      </w:r>
      <w:r w:rsidRPr="0072678C">
        <w:rPr>
          <w:rFonts w:asciiTheme="minorHAnsi" w:hAnsiTheme="minorHAnsi" w:cstheme="minorHAnsi"/>
          <w:iCs/>
          <w:sz w:val="22"/>
          <w:szCs w:val="22"/>
        </w:rPr>
        <w:t xml:space="preserve">: </w:t>
      </w:r>
    </w:p>
    <w:p w:rsidR="00DF1DE1" w:rsidRPr="0072678C" w:rsidRDefault="00DF1DE1" w:rsidP="00DF1DE1">
      <w:pPr>
        <w:jc w:val="both"/>
        <w:rPr>
          <w:rFonts w:asciiTheme="minorHAnsi" w:hAnsiTheme="minorHAnsi" w:cstheme="minorHAnsi"/>
          <w:sz w:val="22"/>
          <w:szCs w:val="22"/>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57"/>
        <w:gridCol w:w="1559"/>
        <w:gridCol w:w="2373"/>
      </w:tblGrid>
      <w:tr w:rsidR="00092B87" w:rsidRPr="0072678C" w:rsidTr="00092B87">
        <w:trPr>
          <w:trHeight w:val="405"/>
        </w:trPr>
        <w:tc>
          <w:tcPr>
            <w:tcW w:w="4857" w:type="dxa"/>
            <w:shd w:val="clear" w:color="auto" w:fill="9CC2E5" w:themeFill="accent1" w:themeFillTint="99"/>
            <w:tcMar>
              <w:top w:w="0" w:type="dxa"/>
              <w:left w:w="70" w:type="dxa"/>
              <w:bottom w:w="0" w:type="dxa"/>
              <w:right w:w="70" w:type="dxa"/>
            </w:tcMar>
            <w:vAlign w:val="center"/>
            <w:hideMark/>
          </w:tcPr>
          <w:bookmarkEnd w:id="23"/>
          <w:p w:rsidR="00092B87" w:rsidRPr="0072678C" w:rsidRDefault="00092B87">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PARTE II - Indicadores de Desempenho</w:t>
            </w:r>
          </w:p>
        </w:tc>
        <w:tc>
          <w:tcPr>
            <w:tcW w:w="1559" w:type="dxa"/>
            <w:shd w:val="clear" w:color="auto" w:fill="9CC2E5" w:themeFill="accent1" w:themeFillTint="99"/>
            <w:tcMar>
              <w:top w:w="0" w:type="dxa"/>
              <w:left w:w="70" w:type="dxa"/>
              <w:bottom w:w="0" w:type="dxa"/>
              <w:right w:w="70" w:type="dxa"/>
            </w:tcMar>
            <w:vAlign w:val="center"/>
            <w:hideMark/>
          </w:tcPr>
          <w:p w:rsidR="00092B87" w:rsidRPr="0072678C" w:rsidRDefault="00092B87">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Apuração 2017</w:t>
            </w:r>
          </w:p>
        </w:tc>
        <w:tc>
          <w:tcPr>
            <w:tcW w:w="2373" w:type="dxa"/>
            <w:shd w:val="clear" w:color="auto" w:fill="9CC2E5" w:themeFill="accent1" w:themeFillTint="99"/>
            <w:tcMar>
              <w:top w:w="0" w:type="dxa"/>
              <w:left w:w="70" w:type="dxa"/>
              <w:bottom w:w="0" w:type="dxa"/>
              <w:right w:w="70" w:type="dxa"/>
            </w:tcMar>
            <w:vAlign w:val="center"/>
            <w:hideMark/>
          </w:tcPr>
          <w:p w:rsidR="00092B87" w:rsidRPr="0072678C" w:rsidRDefault="00092B87">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Fontes</w:t>
            </w:r>
          </w:p>
        </w:tc>
      </w:tr>
      <w:tr w:rsidR="00092B87" w:rsidRPr="0072678C" w:rsidTr="00DF1DE1">
        <w:trPr>
          <w:trHeight w:val="253"/>
        </w:trPr>
        <w:tc>
          <w:tcPr>
            <w:tcW w:w="4857" w:type="dxa"/>
            <w:shd w:val="clear" w:color="auto" w:fill="BDD6EE" w:themeFill="accent1" w:themeFillTint="66"/>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Custo da administração fiscal (tributária e financeira)</w:t>
            </w:r>
            <w:r w:rsidRPr="0072678C">
              <w:rPr>
                <w:rFonts w:asciiTheme="minorHAnsi" w:hAnsiTheme="minorHAnsi" w:cstheme="minorHAnsi"/>
                <w:sz w:val="20"/>
                <w:szCs w:val="20"/>
              </w:rPr>
              <w:t xml:space="preserve"> </w:t>
            </w:r>
          </w:p>
        </w:tc>
        <w:tc>
          <w:tcPr>
            <w:tcW w:w="1559" w:type="dxa"/>
            <w:shd w:val="clear" w:color="auto" w:fill="BDD6EE" w:themeFill="accent1" w:themeFillTint="66"/>
            <w:tcMar>
              <w:top w:w="0" w:type="dxa"/>
              <w:left w:w="70" w:type="dxa"/>
              <w:bottom w:w="0" w:type="dxa"/>
              <w:right w:w="70" w:type="dxa"/>
            </w:tcMar>
            <w:vAlign w:val="center"/>
            <w:hideMark/>
          </w:tcPr>
          <w:p w:rsidR="00092B87" w:rsidRPr="0072678C" w:rsidRDefault="00092B87">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 </w:t>
            </w:r>
          </w:p>
        </w:tc>
        <w:tc>
          <w:tcPr>
            <w:tcW w:w="2373" w:type="dxa"/>
            <w:shd w:val="clear" w:color="auto" w:fill="BDD6EE" w:themeFill="accent1" w:themeFillTint="66"/>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092B87" w:rsidRPr="0072678C" w:rsidTr="00092B87">
        <w:trPr>
          <w:trHeight w:val="70"/>
        </w:trPr>
        <w:tc>
          <w:tcPr>
            <w:tcW w:w="4857" w:type="dxa"/>
            <w:tcMar>
              <w:top w:w="0" w:type="dxa"/>
              <w:left w:w="70" w:type="dxa"/>
              <w:bottom w:w="0" w:type="dxa"/>
              <w:right w:w="70" w:type="dxa"/>
            </w:tcMar>
            <w:vAlign w:val="center"/>
            <w:hideMark/>
          </w:tcPr>
          <w:p w:rsidR="00092B87" w:rsidRPr="0072678C" w:rsidRDefault="00092B87" w:rsidP="00092B87">
            <w:pPr>
              <w:rPr>
                <w:rFonts w:asciiTheme="minorHAnsi" w:eastAsiaTheme="minorHAnsi" w:hAnsiTheme="minorHAnsi" w:cstheme="minorHAnsi"/>
                <w:iCs/>
                <w:sz w:val="20"/>
                <w:szCs w:val="20"/>
              </w:rPr>
            </w:pPr>
            <w:r w:rsidRPr="0072678C">
              <w:rPr>
                <w:rFonts w:asciiTheme="minorHAnsi" w:hAnsiTheme="minorHAnsi" w:cstheme="minorHAnsi"/>
                <w:iCs/>
                <w:sz w:val="20"/>
                <w:szCs w:val="20"/>
              </w:rPr>
              <w:t>Valor da despesa total da função fiscal (tributário e financeiro) / valor total da arrecadação tributária</w:t>
            </w:r>
          </w:p>
        </w:tc>
        <w:tc>
          <w:tcPr>
            <w:tcW w:w="1559" w:type="dxa"/>
            <w:shd w:val="clear" w:color="auto" w:fill="FFFFFF"/>
            <w:noWrap/>
            <w:tcMar>
              <w:top w:w="0" w:type="dxa"/>
              <w:left w:w="70" w:type="dxa"/>
              <w:bottom w:w="0" w:type="dxa"/>
              <w:right w:w="70" w:type="dxa"/>
            </w:tcMar>
            <w:vAlign w:val="center"/>
            <w:hideMark/>
          </w:tcPr>
          <w:p w:rsidR="00092B87" w:rsidRPr="0072678C" w:rsidRDefault="00092B87">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2,04%</w:t>
            </w:r>
          </w:p>
        </w:tc>
        <w:tc>
          <w:tcPr>
            <w:tcW w:w="2373" w:type="dxa"/>
            <w:shd w:val="clear" w:color="auto" w:fill="auto"/>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sz w:val="20"/>
                <w:szCs w:val="20"/>
              </w:rPr>
            </w:pPr>
            <w:r w:rsidRPr="0072678C">
              <w:rPr>
                <w:rFonts w:asciiTheme="minorHAnsi" w:hAnsiTheme="minorHAnsi" w:cstheme="minorHAnsi"/>
                <w:sz w:val="20"/>
                <w:szCs w:val="20"/>
              </w:rPr>
              <w:t xml:space="preserve">despesa: </w:t>
            </w:r>
            <w:hyperlink r:id="rId24" w:history="1">
              <w:r w:rsidRPr="0072678C">
                <w:rPr>
                  <w:rStyle w:val="Hyperlink"/>
                  <w:rFonts w:asciiTheme="minorHAnsi" w:eastAsiaTheme="majorEastAsia" w:hAnsiTheme="minorHAnsi" w:cstheme="minorHAnsi"/>
                  <w:color w:val="auto"/>
                  <w:sz w:val="20"/>
                  <w:szCs w:val="20"/>
                </w:rPr>
                <w:t>https://www.fazenda.sp.gov.br/SigeoLei131/Paginas/FlexConsDespesa.aspx</w:t>
              </w:r>
            </w:hyperlink>
          </w:p>
        </w:tc>
      </w:tr>
      <w:tr w:rsidR="00092B87" w:rsidRPr="0072678C" w:rsidTr="00092B87">
        <w:trPr>
          <w:trHeight w:val="900"/>
        </w:trPr>
        <w:tc>
          <w:tcPr>
            <w:tcW w:w="4857" w:type="dxa"/>
            <w:tcMar>
              <w:top w:w="0" w:type="dxa"/>
              <w:left w:w="70" w:type="dxa"/>
              <w:bottom w:w="0" w:type="dxa"/>
              <w:right w:w="70" w:type="dxa"/>
            </w:tcMar>
            <w:vAlign w:val="center"/>
            <w:hideMark/>
          </w:tcPr>
          <w:p w:rsidR="00092B87" w:rsidRPr="0072678C" w:rsidRDefault="00092B87" w:rsidP="00092B87">
            <w:pPr>
              <w:rPr>
                <w:rFonts w:asciiTheme="minorHAnsi" w:eastAsiaTheme="minorHAnsi" w:hAnsiTheme="minorHAnsi" w:cstheme="minorHAnsi"/>
                <w:iCs/>
                <w:sz w:val="20"/>
                <w:szCs w:val="20"/>
              </w:rPr>
            </w:pPr>
            <w:r w:rsidRPr="0072678C">
              <w:rPr>
                <w:rFonts w:asciiTheme="minorHAnsi" w:hAnsiTheme="minorHAnsi" w:cstheme="minorHAnsi"/>
                <w:iCs/>
                <w:sz w:val="20"/>
                <w:szCs w:val="20"/>
              </w:rPr>
              <w:t>Valor da despesa total da função fiscal (tributária e financeira) / quantidade total de contribuintes ativos no cadastro do ICMS</w:t>
            </w:r>
          </w:p>
        </w:tc>
        <w:tc>
          <w:tcPr>
            <w:tcW w:w="1559" w:type="dxa"/>
            <w:shd w:val="clear" w:color="auto" w:fill="FFFFFF"/>
            <w:tcMar>
              <w:top w:w="0" w:type="dxa"/>
              <w:left w:w="70" w:type="dxa"/>
              <w:bottom w:w="0" w:type="dxa"/>
              <w:right w:w="70" w:type="dxa"/>
            </w:tcMar>
            <w:vAlign w:val="center"/>
            <w:hideMark/>
          </w:tcPr>
          <w:p w:rsidR="00092B87" w:rsidRPr="0072678C" w:rsidRDefault="00092B87">
            <w:pPr>
              <w:jc w:val="center"/>
              <w:rPr>
                <w:rFonts w:asciiTheme="minorHAnsi" w:eastAsiaTheme="minorHAnsi" w:hAnsiTheme="minorHAnsi" w:cstheme="minorHAnsi"/>
                <w:bCs/>
                <w:sz w:val="20"/>
                <w:szCs w:val="20"/>
              </w:rPr>
            </w:pPr>
            <w:r w:rsidRPr="0072678C">
              <w:rPr>
                <w:rFonts w:asciiTheme="minorHAnsi" w:hAnsiTheme="minorHAnsi" w:cstheme="minorHAnsi"/>
                <w:bCs/>
                <w:sz w:val="20"/>
                <w:szCs w:val="20"/>
              </w:rPr>
              <w:t>1.114,25</w:t>
            </w:r>
          </w:p>
        </w:tc>
        <w:tc>
          <w:tcPr>
            <w:tcW w:w="2373" w:type="dxa"/>
            <w:shd w:val="clear" w:color="auto" w:fill="auto"/>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sz w:val="20"/>
                <w:szCs w:val="20"/>
              </w:rPr>
            </w:pPr>
            <w:r w:rsidRPr="0072678C">
              <w:rPr>
                <w:rFonts w:asciiTheme="minorHAnsi" w:hAnsiTheme="minorHAnsi" w:cstheme="minorHAnsi"/>
                <w:sz w:val="20"/>
                <w:szCs w:val="20"/>
              </w:rPr>
              <w:t xml:space="preserve">despesa: </w:t>
            </w:r>
            <w:hyperlink r:id="rId25" w:history="1">
              <w:r w:rsidRPr="0072678C">
                <w:rPr>
                  <w:rStyle w:val="Hyperlink"/>
                  <w:rFonts w:asciiTheme="minorHAnsi" w:eastAsiaTheme="majorEastAsia" w:hAnsiTheme="minorHAnsi" w:cstheme="minorHAnsi"/>
                  <w:color w:val="auto"/>
                  <w:sz w:val="20"/>
                  <w:szCs w:val="20"/>
                </w:rPr>
                <w:t>https://www.fazenda.sp.gov.br/SigeoLei131/Paginas/FlexConsDespesa.aspx</w:t>
              </w:r>
            </w:hyperlink>
          </w:p>
        </w:tc>
      </w:tr>
      <w:tr w:rsidR="00092B87" w:rsidRPr="0072678C" w:rsidTr="00DF1DE1">
        <w:trPr>
          <w:trHeight w:val="131"/>
        </w:trPr>
        <w:tc>
          <w:tcPr>
            <w:tcW w:w="4857" w:type="dxa"/>
            <w:shd w:val="clear" w:color="auto" w:fill="BDD6EE" w:themeFill="accent1" w:themeFillTint="66"/>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Custo da saúde per capita</w:t>
            </w:r>
          </w:p>
        </w:tc>
        <w:tc>
          <w:tcPr>
            <w:tcW w:w="1559" w:type="dxa"/>
            <w:shd w:val="clear" w:color="auto" w:fill="BDD6EE" w:themeFill="accent1" w:themeFillTint="66"/>
            <w:tcMar>
              <w:top w:w="0" w:type="dxa"/>
              <w:left w:w="70" w:type="dxa"/>
              <w:bottom w:w="0" w:type="dxa"/>
              <w:right w:w="70" w:type="dxa"/>
            </w:tcMar>
            <w:vAlign w:val="center"/>
            <w:hideMark/>
          </w:tcPr>
          <w:p w:rsidR="00092B87" w:rsidRPr="0072678C" w:rsidRDefault="00092B87">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 </w:t>
            </w:r>
          </w:p>
        </w:tc>
        <w:tc>
          <w:tcPr>
            <w:tcW w:w="2373" w:type="dxa"/>
            <w:shd w:val="clear" w:color="auto" w:fill="BDD6EE" w:themeFill="accent1" w:themeFillTint="66"/>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092B87" w:rsidRPr="0072678C" w:rsidTr="00092B87">
        <w:trPr>
          <w:trHeight w:val="405"/>
        </w:trPr>
        <w:tc>
          <w:tcPr>
            <w:tcW w:w="4857" w:type="dxa"/>
            <w:tcMar>
              <w:top w:w="0" w:type="dxa"/>
              <w:left w:w="70" w:type="dxa"/>
              <w:bottom w:w="0" w:type="dxa"/>
              <w:right w:w="70" w:type="dxa"/>
            </w:tcMar>
            <w:vAlign w:val="center"/>
            <w:hideMark/>
          </w:tcPr>
          <w:p w:rsidR="00092B87" w:rsidRPr="0072678C" w:rsidRDefault="00092B87" w:rsidP="00092B87">
            <w:pPr>
              <w:rPr>
                <w:rFonts w:asciiTheme="minorHAnsi" w:eastAsiaTheme="minorHAnsi" w:hAnsiTheme="minorHAnsi" w:cstheme="minorHAnsi"/>
                <w:iCs/>
                <w:sz w:val="20"/>
                <w:szCs w:val="20"/>
              </w:rPr>
            </w:pPr>
            <w:r w:rsidRPr="0072678C">
              <w:rPr>
                <w:rFonts w:asciiTheme="minorHAnsi" w:hAnsiTheme="minorHAnsi" w:cstheme="minorHAnsi"/>
                <w:iCs/>
                <w:sz w:val="20"/>
                <w:szCs w:val="20"/>
              </w:rPr>
              <w:t>Valor da despesa total da função saúde / quantidade total da população</w:t>
            </w:r>
          </w:p>
        </w:tc>
        <w:tc>
          <w:tcPr>
            <w:tcW w:w="1559" w:type="dxa"/>
            <w:shd w:val="clear" w:color="auto" w:fill="FFFFFF"/>
            <w:tcMar>
              <w:top w:w="0" w:type="dxa"/>
              <w:left w:w="70" w:type="dxa"/>
              <w:bottom w:w="0" w:type="dxa"/>
              <w:right w:w="70" w:type="dxa"/>
            </w:tcMar>
            <w:vAlign w:val="center"/>
            <w:hideMark/>
          </w:tcPr>
          <w:p w:rsidR="00092B87" w:rsidRPr="0072678C" w:rsidRDefault="00092B87">
            <w:pPr>
              <w:jc w:val="center"/>
              <w:rPr>
                <w:rFonts w:asciiTheme="minorHAnsi" w:eastAsiaTheme="minorHAnsi" w:hAnsiTheme="minorHAnsi" w:cstheme="minorHAnsi"/>
                <w:bCs/>
                <w:sz w:val="20"/>
                <w:szCs w:val="20"/>
              </w:rPr>
            </w:pPr>
            <w:r w:rsidRPr="0072678C">
              <w:rPr>
                <w:rFonts w:asciiTheme="minorHAnsi" w:hAnsiTheme="minorHAnsi" w:cstheme="minorHAnsi"/>
                <w:bCs/>
                <w:sz w:val="20"/>
                <w:szCs w:val="20"/>
              </w:rPr>
              <w:t>481,81</w:t>
            </w:r>
          </w:p>
        </w:tc>
        <w:tc>
          <w:tcPr>
            <w:tcW w:w="2373" w:type="dxa"/>
            <w:shd w:val="clear" w:color="auto" w:fill="auto"/>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092B87" w:rsidRPr="0072678C" w:rsidTr="00DF1DE1">
        <w:trPr>
          <w:trHeight w:val="216"/>
        </w:trPr>
        <w:tc>
          <w:tcPr>
            <w:tcW w:w="4857" w:type="dxa"/>
            <w:shd w:val="clear" w:color="auto" w:fill="BDD6EE" w:themeFill="accent1" w:themeFillTint="66"/>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Custo do ensino médio per capita</w:t>
            </w:r>
          </w:p>
        </w:tc>
        <w:tc>
          <w:tcPr>
            <w:tcW w:w="1559" w:type="dxa"/>
            <w:shd w:val="clear" w:color="auto" w:fill="BDD6EE" w:themeFill="accent1" w:themeFillTint="66"/>
            <w:tcMar>
              <w:top w:w="0" w:type="dxa"/>
              <w:left w:w="70" w:type="dxa"/>
              <w:bottom w:w="0" w:type="dxa"/>
              <w:right w:w="70" w:type="dxa"/>
            </w:tcMar>
            <w:vAlign w:val="center"/>
            <w:hideMark/>
          </w:tcPr>
          <w:p w:rsidR="00092B87" w:rsidRPr="0072678C" w:rsidRDefault="00092B87">
            <w:pPr>
              <w:jc w:val="center"/>
              <w:rPr>
                <w:rFonts w:asciiTheme="minorHAnsi" w:eastAsiaTheme="minorHAnsi" w:hAnsiTheme="minorHAnsi" w:cstheme="minorHAnsi"/>
                <w:bCs/>
                <w:sz w:val="20"/>
                <w:szCs w:val="20"/>
              </w:rPr>
            </w:pPr>
            <w:r w:rsidRPr="0072678C">
              <w:rPr>
                <w:rFonts w:asciiTheme="minorHAnsi" w:hAnsiTheme="minorHAnsi" w:cstheme="minorHAnsi"/>
                <w:bCs/>
                <w:sz w:val="20"/>
                <w:szCs w:val="20"/>
              </w:rPr>
              <w:t> </w:t>
            </w:r>
          </w:p>
        </w:tc>
        <w:tc>
          <w:tcPr>
            <w:tcW w:w="2373" w:type="dxa"/>
            <w:shd w:val="clear" w:color="auto" w:fill="BDD6EE" w:themeFill="accent1" w:themeFillTint="66"/>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092B87" w:rsidRPr="0072678C" w:rsidTr="00092B87">
        <w:trPr>
          <w:trHeight w:val="518"/>
        </w:trPr>
        <w:tc>
          <w:tcPr>
            <w:tcW w:w="4857" w:type="dxa"/>
            <w:tcMar>
              <w:top w:w="0" w:type="dxa"/>
              <w:left w:w="70" w:type="dxa"/>
              <w:bottom w:w="0" w:type="dxa"/>
              <w:right w:w="70" w:type="dxa"/>
            </w:tcMar>
            <w:vAlign w:val="center"/>
            <w:hideMark/>
          </w:tcPr>
          <w:p w:rsidR="00092B87" w:rsidRPr="0072678C" w:rsidRDefault="00092B87" w:rsidP="00092B87">
            <w:pPr>
              <w:rPr>
                <w:rFonts w:asciiTheme="minorHAnsi" w:eastAsiaTheme="minorHAnsi" w:hAnsiTheme="minorHAnsi" w:cstheme="minorHAnsi"/>
                <w:iCs/>
                <w:sz w:val="20"/>
                <w:szCs w:val="20"/>
              </w:rPr>
            </w:pPr>
            <w:r w:rsidRPr="0072678C">
              <w:rPr>
                <w:rFonts w:asciiTheme="minorHAnsi" w:hAnsiTheme="minorHAnsi" w:cstheme="minorHAnsi"/>
                <w:iCs/>
                <w:sz w:val="20"/>
                <w:szCs w:val="20"/>
              </w:rPr>
              <w:t>Valor da despesa total da função educação / quantidade de alunos matriculados no ensino médio público</w:t>
            </w:r>
          </w:p>
        </w:tc>
        <w:tc>
          <w:tcPr>
            <w:tcW w:w="1559" w:type="dxa"/>
            <w:shd w:val="clear" w:color="auto" w:fill="FFFFFF"/>
            <w:tcMar>
              <w:top w:w="0" w:type="dxa"/>
              <w:left w:w="70" w:type="dxa"/>
              <w:bottom w:w="0" w:type="dxa"/>
              <w:right w:w="70" w:type="dxa"/>
            </w:tcMar>
            <w:vAlign w:val="center"/>
            <w:hideMark/>
          </w:tcPr>
          <w:p w:rsidR="00092B87" w:rsidRPr="0072678C" w:rsidRDefault="00092B87">
            <w:pPr>
              <w:jc w:val="center"/>
              <w:rPr>
                <w:rFonts w:asciiTheme="minorHAnsi" w:eastAsiaTheme="minorHAnsi" w:hAnsiTheme="minorHAnsi" w:cstheme="minorHAnsi"/>
                <w:bCs/>
                <w:sz w:val="20"/>
                <w:szCs w:val="20"/>
              </w:rPr>
            </w:pPr>
            <w:r w:rsidRPr="0072678C">
              <w:rPr>
                <w:rFonts w:asciiTheme="minorHAnsi" w:hAnsiTheme="minorHAnsi" w:cstheme="minorHAnsi"/>
                <w:bCs/>
                <w:sz w:val="20"/>
                <w:szCs w:val="20"/>
              </w:rPr>
              <w:t>19.221,27</w:t>
            </w:r>
          </w:p>
        </w:tc>
        <w:tc>
          <w:tcPr>
            <w:tcW w:w="2373" w:type="dxa"/>
            <w:shd w:val="clear" w:color="auto" w:fill="auto"/>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iCs/>
                <w:sz w:val="20"/>
                <w:szCs w:val="20"/>
              </w:rPr>
            </w:pPr>
          </w:p>
        </w:tc>
      </w:tr>
      <w:tr w:rsidR="00092B87" w:rsidRPr="0072678C" w:rsidTr="00DF1DE1">
        <w:trPr>
          <w:trHeight w:val="271"/>
        </w:trPr>
        <w:tc>
          <w:tcPr>
            <w:tcW w:w="4857" w:type="dxa"/>
            <w:shd w:val="clear" w:color="auto" w:fill="BDD6EE" w:themeFill="accent1" w:themeFillTint="66"/>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Custo da segurança pública per capita</w:t>
            </w:r>
          </w:p>
        </w:tc>
        <w:tc>
          <w:tcPr>
            <w:tcW w:w="1559" w:type="dxa"/>
            <w:shd w:val="clear" w:color="auto" w:fill="BDD6EE" w:themeFill="accent1" w:themeFillTint="66"/>
            <w:tcMar>
              <w:top w:w="0" w:type="dxa"/>
              <w:left w:w="70" w:type="dxa"/>
              <w:bottom w:w="0" w:type="dxa"/>
              <w:right w:w="70" w:type="dxa"/>
            </w:tcMar>
            <w:vAlign w:val="center"/>
            <w:hideMark/>
          </w:tcPr>
          <w:p w:rsidR="00092B87" w:rsidRPr="0072678C" w:rsidRDefault="00092B87">
            <w:pPr>
              <w:jc w:val="center"/>
              <w:rPr>
                <w:rFonts w:asciiTheme="minorHAnsi" w:eastAsiaTheme="minorHAnsi" w:hAnsiTheme="minorHAnsi" w:cstheme="minorHAnsi"/>
                <w:bCs/>
                <w:sz w:val="20"/>
                <w:szCs w:val="20"/>
              </w:rPr>
            </w:pPr>
            <w:r w:rsidRPr="0072678C">
              <w:rPr>
                <w:rFonts w:asciiTheme="minorHAnsi" w:hAnsiTheme="minorHAnsi" w:cstheme="minorHAnsi"/>
                <w:bCs/>
                <w:sz w:val="20"/>
                <w:szCs w:val="20"/>
              </w:rPr>
              <w:t> </w:t>
            </w:r>
          </w:p>
        </w:tc>
        <w:tc>
          <w:tcPr>
            <w:tcW w:w="2373" w:type="dxa"/>
            <w:shd w:val="clear" w:color="auto" w:fill="BDD6EE" w:themeFill="accent1" w:themeFillTint="66"/>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092B87" w:rsidRPr="0072678C" w:rsidTr="00092B87">
        <w:trPr>
          <w:trHeight w:val="405"/>
        </w:trPr>
        <w:tc>
          <w:tcPr>
            <w:tcW w:w="4857" w:type="dxa"/>
            <w:tcMar>
              <w:top w:w="0" w:type="dxa"/>
              <w:left w:w="70" w:type="dxa"/>
              <w:bottom w:w="0" w:type="dxa"/>
              <w:right w:w="70" w:type="dxa"/>
            </w:tcMar>
            <w:vAlign w:val="center"/>
            <w:hideMark/>
          </w:tcPr>
          <w:p w:rsidR="00092B87" w:rsidRPr="0072678C" w:rsidRDefault="00092B87" w:rsidP="00092B87">
            <w:pPr>
              <w:rPr>
                <w:rFonts w:asciiTheme="minorHAnsi" w:eastAsiaTheme="minorHAnsi" w:hAnsiTheme="minorHAnsi" w:cstheme="minorHAnsi"/>
                <w:iCs/>
                <w:sz w:val="20"/>
                <w:szCs w:val="20"/>
              </w:rPr>
            </w:pPr>
            <w:r w:rsidRPr="0072678C">
              <w:rPr>
                <w:rFonts w:asciiTheme="minorHAnsi" w:hAnsiTheme="minorHAnsi" w:cstheme="minorHAnsi"/>
                <w:iCs/>
                <w:sz w:val="20"/>
                <w:szCs w:val="20"/>
              </w:rPr>
              <w:t xml:space="preserve">Valor da despesa total da função segurança / quantidade total da população </w:t>
            </w:r>
          </w:p>
        </w:tc>
        <w:tc>
          <w:tcPr>
            <w:tcW w:w="1559" w:type="dxa"/>
            <w:shd w:val="clear" w:color="auto" w:fill="FFFFFF"/>
            <w:tcMar>
              <w:top w:w="0" w:type="dxa"/>
              <w:left w:w="70" w:type="dxa"/>
              <w:bottom w:w="0" w:type="dxa"/>
              <w:right w:w="70" w:type="dxa"/>
            </w:tcMar>
            <w:vAlign w:val="center"/>
            <w:hideMark/>
          </w:tcPr>
          <w:p w:rsidR="00092B87" w:rsidRPr="0072678C" w:rsidRDefault="00092B87">
            <w:pPr>
              <w:jc w:val="center"/>
              <w:rPr>
                <w:rFonts w:asciiTheme="minorHAnsi" w:eastAsiaTheme="minorHAnsi" w:hAnsiTheme="minorHAnsi" w:cstheme="minorHAnsi"/>
                <w:bCs/>
                <w:sz w:val="20"/>
                <w:szCs w:val="20"/>
              </w:rPr>
            </w:pPr>
            <w:r w:rsidRPr="0072678C">
              <w:rPr>
                <w:rFonts w:asciiTheme="minorHAnsi" w:hAnsiTheme="minorHAnsi" w:cstheme="minorHAnsi"/>
                <w:bCs/>
                <w:sz w:val="20"/>
                <w:szCs w:val="20"/>
              </w:rPr>
              <w:t>451,22</w:t>
            </w:r>
          </w:p>
        </w:tc>
        <w:tc>
          <w:tcPr>
            <w:tcW w:w="2373" w:type="dxa"/>
            <w:shd w:val="clear" w:color="auto" w:fill="auto"/>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092B87" w:rsidRPr="0072678C" w:rsidTr="00DF1DE1">
        <w:trPr>
          <w:trHeight w:val="199"/>
        </w:trPr>
        <w:tc>
          <w:tcPr>
            <w:tcW w:w="4857" w:type="dxa"/>
            <w:shd w:val="clear" w:color="auto" w:fill="BDD6EE" w:themeFill="accent1" w:themeFillTint="66"/>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 xml:space="preserve">Custo sistema prisional </w:t>
            </w:r>
          </w:p>
        </w:tc>
        <w:tc>
          <w:tcPr>
            <w:tcW w:w="1559" w:type="dxa"/>
            <w:shd w:val="clear" w:color="auto" w:fill="BDD6EE" w:themeFill="accent1" w:themeFillTint="66"/>
            <w:tcMar>
              <w:top w:w="0" w:type="dxa"/>
              <w:left w:w="70" w:type="dxa"/>
              <w:bottom w:w="0" w:type="dxa"/>
              <w:right w:w="70" w:type="dxa"/>
            </w:tcMar>
            <w:vAlign w:val="center"/>
            <w:hideMark/>
          </w:tcPr>
          <w:p w:rsidR="00092B87" w:rsidRPr="0072678C" w:rsidRDefault="00092B87">
            <w:pPr>
              <w:jc w:val="center"/>
              <w:rPr>
                <w:rFonts w:asciiTheme="minorHAnsi" w:eastAsiaTheme="minorHAnsi" w:hAnsiTheme="minorHAnsi" w:cstheme="minorHAnsi"/>
                <w:bCs/>
                <w:sz w:val="20"/>
                <w:szCs w:val="20"/>
              </w:rPr>
            </w:pPr>
            <w:r w:rsidRPr="0072678C">
              <w:rPr>
                <w:rFonts w:asciiTheme="minorHAnsi" w:hAnsiTheme="minorHAnsi" w:cstheme="minorHAnsi"/>
                <w:bCs/>
                <w:sz w:val="20"/>
                <w:szCs w:val="20"/>
              </w:rPr>
              <w:t> </w:t>
            </w:r>
          </w:p>
        </w:tc>
        <w:tc>
          <w:tcPr>
            <w:tcW w:w="2373" w:type="dxa"/>
            <w:shd w:val="clear" w:color="auto" w:fill="BDD6EE" w:themeFill="accent1" w:themeFillTint="66"/>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092B87" w:rsidRPr="0072678C" w:rsidTr="00DF1DE1">
        <w:trPr>
          <w:trHeight w:val="347"/>
        </w:trPr>
        <w:tc>
          <w:tcPr>
            <w:tcW w:w="4857" w:type="dxa"/>
            <w:tcMar>
              <w:top w:w="0" w:type="dxa"/>
              <w:left w:w="70" w:type="dxa"/>
              <w:bottom w:w="0" w:type="dxa"/>
              <w:right w:w="70" w:type="dxa"/>
            </w:tcMar>
            <w:vAlign w:val="center"/>
            <w:hideMark/>
          </w:tcPr>
          <w:p w:rsidR="00092B87" w:rsidRPr="0072678C" w:rsidRDefault="00092B87" w:rsidP="00092B87">
            <w:pPr>
              <w:rPr>
                <w:rFonts w:asciiTheme="minorHAnsi" w:eastAsiaTheme="minorHAnsi" w:hAnsiTheme="minorHAnsi" w:cstheme="minorHAnsi"/>
                <w:iCs/>
                <w:sz w:val="20"/>
                <w:szCs w:val="20"/>
              </w:rPr>
            </w:pPr>
            <w:r w:rsidRPr="0072678C">
              <w:rPr>
                <w:rFonts w:asciiTheme="minorHAnsi" w:hAnsiTheme="minorHAnsi" w:cstheme="minorHAnsi"/>
                <w:iCs/>
                <w:sz w:val="20"/>
                <w:szCs w:val="20"/>
              </w:rPr>
              <w:t>Valor da despesa total do sistema prisional / quantidade total da população carcerária</w:t>
            </w:r>
          </w:p>
        </w:tc>
        <w:tc>
          <w:tcPr>
            <w:tcW w:w="1559" w:type="dxa"/>
            <w:shd w:val="clear" w:color="auto" w:fill="FFFFFF"/>
            <w:tcMar>
              <w:top w:w="0" w:type="dxa"/>
              <w:left w:w="70" w:type="dxa"/>
              <w:bottom w:w="0" w:type="dxa"/>
              <w:right w:w="70" w:type="dxa"/>
            </w:tcMar>
            <w:vAlign w:val="center"/>
            <w:hideMark/>
          </w:tcPr>
          <w:p w:rsidR="00092B87" w:rsidRPr="0072678C" w:rsidRDefault="00092B87">
            <w:pPr>
              <w:jc w:val="center"/>
              <w:rPr>
                <w:rFonts w:asciiTheme="minorHAnsi" w:eastAsiaTheme="minorHAnsi" w:hAnsiTheme="minorHAnsi" w:cstheme="minorHAnsi"/>
                <w:bCs/>
                <w:sz w:val="20"/>
                <w:szCs w:val="20"/>
              </w:rPr>
            </w:pPr>
            <w:r w:rsidRPr="0072678C">
              <w:rPr>
                <w:rFonts w:asciiTheme="minorHAnsi" w:hAnsiTheme="minorHAnsi" w:cstheme="minorHAnsi"/>
                <w:bCs/>
                <w:sz w:val="20"/>
                <w:szCs w:val="20"/>
              </w:rPr>
              <w:t>22.542,90</w:t>
            </w:r>
          </w:p>
        </w:tc>
        <w:tc>
          <w:tcPr>
            <w:tcW w:w="2373" w:type="dxa"/>
            <w:shd w:val="clear" w:color="auto" w:fill="auto"/>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092B87" w:rsidRPr="0072678C" w:rsidTr="00DF1DE1">
        <w:trPr>
          <w:trHeight w:val="282"/>
        </w:trPr>
        <w:tc>
          <w:tcPr>
            <w:tcW w:w="4857" w:type="dxa"/>
            <w:shd w:val="clear" w:color="auto" w:fill="BDD6EE" w:themeFill="accent1" w:themeFillTint="66"/>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Custo da terceirização de serviços</w:t>
            </w:r>
          </w:p>
        </w:tc>
        <w:tc>
          <w:tcPr>
            <w:tcW w:w="1559" w:type="dxa"/>
            <w:shd w:val="clear" w:color="auto" w:fill="BDD6EE" w:themeFill="accent1" w:themeFillTint="66"/>
            <w:tcMar>
              <w:top w:w="0" w:type="dxa"/>
              <w:left w:w="70" w:type="dxa"/>
              <w:bottom w:w="0" w:type="dxa"/>
              <w:right w:w="70" w:type="dxa"/>
            </w:tcMar>
            <w:vAlign w:val="center"/>
            <w:hideMark/>
          </w:tcPr>
          <w:p w:rsidR="00092B87" w:rsidRPr="0072678C" w:rsidRDefault="00092B87">
            <w:pPr>
              <w:jc w:val="center"/>
              <w:rPr>
                <w:rFonts w:asciiTheme="minorHAnsi" w:eastAsiaTheme="minorHAnsi" w:hAnsiTheme="minorHAnsi" w:cstheme="minorHAnsi"/>
                <w:b/>
                <w:bCs/>
                <w:sz w:val="20"/>
                <w:szCs w:val="20"/>
              </w:rPr>
            </w:pPr>
            <w:r w:rsidRPr="0072678C">
              <w:rPr>
                <w:rFonts w:asciiTheme="minorHAnsi" w:hAnsiTheme="minorHAnsi" w:cstheme="minorHAnsi"/>
                <w:b/>
                <w:bCs/>
                <w:sz w:val="20"/>
                <w:szCs w:val="20"/>
              </w:rPr>
              <w:t> </w:t>
            </w:r>
          </w:p>
        </w:tc>
        <w:tc>
          <w:tcPr>
            <w:tcW w:w="2373" w:type="dxa"/>
            <w:shd w:val="clear" w:color="auto" w:fill="BDD6EE" w:themeFill="accent1" w:themeFillTint="66"/>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r w:rsidR="00092B87" w:rsidRPr="0072678C" w:rsidTr="00DF1DE1">
        <w:trPr>
          <w:trHeight w:val="405"/>
        </w:trPr>
        <w:tc>
          <w:tcPr>
            <w:tcW w:w="4857" w:type="dxa"/>
            <w:tcMar>
              <w:top w:w="0" w:type="dxa"/>
              <w:left w:w="70" w:type="dxa"/>
              <w:bottom w:w="0" w:type="dxa"/>
              <w:right w:w="70" w:type="dxa"/>
            </w:tcMar>
            <w:vAlign w:val="center"/>
            <w:hideMark/>
          </w:tcPr>
          <w:p w:rsidR="00092B87" w:rsidRPr="0072678C" w:rsidRDefault="00092B87" w:rsidP="00DF1DE1">
            <w:pPr>
              <w:rPr>
                <w:rFonts w:asciiTheme="minorHAnsi" w:eastAsiaTheme="minorHAnsi" w:hAnsiTheme="minorHAnsi" w:cstheme="minorHAnsi"/>
                <w:iCs/>
                <w:sz w:val="20"/>
                <w:szCs w:val="20"/>
              </w:rPr>
            </w:pPr>
            <w:r w:rsidRPr="0072678C">
              <w:rPr>
                <w:rFonts w:asciiTheme="minorHAnsi" w:hAnsiTheme="minorHAnsi" w:cstheme="minorHAnsi"/>
                <w:iCs/>
                <w:sz w:val="20"/>
                <w:szCs w:val="20"/>
              </w:rPr>
              <w:t>Valor total da despesa com pessoal terceirizado / valor total da despesa com pessoal</w:t>
            </w:r>
          </w:p>
        </w:tc>
        <w:tc>
          <w:tcPr>
            <w:tcW w:w="1559" w:type="dxa"/>
            <w:shd w:val="clear" w:color="auto" w:fill="FFFFFF"/>
            <w:noWrap/>
            <w:tcMar>
              <w:top w:w="0" w:type="dxa"/>
              <w:left w:w="70" w:type="dxa"/>
              <w:bottom w:w="0" w:type="dxa"/>
              <w:right w:w="70" w:type="dxa"/>
            </w:tcMar>
            <w:vAlign w:val="center"/>
            <w:hideMark/>
          </w:tcPr>
          <w:p w:rsidR="00092B87" w:rsidRPr="0072678C" w:rsidRDefault="00092B87">
            <w:pPr>
              <w:jc w:val="center"/>
              <w:rPr>
                <w:rFonts w:asciiTheme="minorHAnsi" w:eastAsiaTheme="minorHAnsi" w:hAnsiTheme="minorHAnsi" w:cstheme="minorHAnsi"/>
                <w:sz w:val="20"/>
                <w:szCs w:val="20"/>
              </w:rPr>
            </w:pPr>
            <w:r w:rsidRPr="0072678C">
              <w:rPr>
                <w:rFonts w:asciiTheme="minorHAnsi" w:hAnsiTheme="minorHAnsi" w:cstheme="minorHAnsi"/>
                <w:sz w:val="20"/>
                <w:szCs w:val="20"/>
              </w:rPr>
              <w:t>18,86%</w:t>
            </w:r>
          </w:p>
        </w:tc>
        <w:tc>
          <w:tcPr>
            <w:tcW w:w="2373" w:type="dxa"/>
            <w:shd w:val="clear" w:color="auto" w:fill="auto"/>
            <w:tcMar>
              <w:top w:w="0" w:type="dxa"/>
              <w:left w:w="70" w:type="dxa"/>
              <w:bottom w:w="0" w:type="dxa"/>
              <w:right w:w="70" w:type="dxa"/>
            </w:tcMar>
            <w:vAlign w:val="center"/>
            <w:hideMark/>
          </w:tcPr>
          <w:p w:rsidR="00092B87" w:rsidRPr="0072678C" w:rsidRDefault="00092B87">
            <w:pPr>
              <w:rPr>
                <w:rFonts w:asciiTheme="minorHAnsi" w:eastAsiaTheme="minorHAnsi" w:hAnsiTheme="minorHAnsi" w:cstheme="minorHAnsi"/>
                <w:sz w:val="20"/>
                <w:szCs w:val="20"/>
              </w:rPr>
            </w:pPr>
            <w:r w:rsidRPr="0072678C">
              <w:rPr>
                <w:rFonts w:asciiTheme="minorHAnsi" w:hAnsiTheme="minorHAnsi" w:cstheme="minorHAnsi"/>
                <w:sz w:val="20"/>
                <w:szCs w:val="20"/>
              </w:rPr>
              <w:t> </w:t>
            </w:r>
          </w:p>
        </w:tc>
      </w:tr>
    </w:tbl>
    <w:p w:rsidR="00DF1DE1" w:rsidRPr="0072678C" w:rsidRDefault="00DF1DE1"/>
    <w:p w:rsidR="00DF1DE1" w:rsidRPr="0072678C" w:rsidRDefault="00DF1DE1">
      <w:pPr>
        <w:spacing w:after="160" w:line="259" w:lineRule="auto"/>
      </w:pPr>
      <w:r w:rsidRPr="0072678C">
        <w:br w:type="page"/>
      </w:r>
    </w:p>
    <w:tbl>
      <w:tblPr>
        <w:tblStyle w:val="TableGrid"/>
        <w:tblW w:w="0" w:type="auto"/>
        <w:tblLook w:val="04A0" w:firstRow="1" w:lastRow="0" w:firstColumn="1" w:lastColumn="0" w:noHBand="0" w:noVBand="1"/>
      </w:tblPr>
      <w:tblGrid>
        <w:gridCol w:w="8929"/>
      </w:tblGrid>
      <w:tr w:rsidR="00DF1DE1" w:rsidRPr="0072678C" w:rsidTr="003C0D08">
        <w:trPr>
          <w:trHeight w:val="140"/>
        </w:trPr>
        <w:tc>
          <w:tcPr>
            <w:tcW w:w="8929" w:type="dxa"/>
          </w:tcPr>
          <w:p w:rsidR="00DF1DE1" w:rsidRPr="0072678C" w:rsidRDefault="00DF1DE1" w:rsidP="003C0D08">
            <w:pPr>
              <w:pStyle w:val="Heading1"/>
              <w:numPr>
                <w:ilvl w:val="0"/>
                <w:numId w:val="3"/>
              </w:numPr>
              <w:spacing w:before="0"/>
              <w:ind w:left="425" w:hanging="425"/>
              <w:outlineLvl w:val="0"/>
              <w:rPr>
                <w:b/>
                <w:color w:val="auto"/>
                <w:sz w:val="22"/>
                <w:szCs w:val="22"/>
              </w:rPr>
            </w:pPr>
            <w:bookmarkStart w:id="32" w:name="_Toc518058461"/>
            <w:r w:rsidRPr="0072678C">
              <w:rPr>
                <w:rFonts w:asciiTheme="minorHAnsi" w:hAnsiTheme="minorHAnsi" w:cstheme="minorHAnsi"/>
                <w:b/>
                <w:color w:val="auto"/>
                <w:sz w:val="24"/>
                <w:szCs w:val="22"/>
              </w:rPr>
              <w:lastRenderedPageBreak/>
              <w:t>PARTE III – ANEXO</w:t>
            </w:r>
            <w:bookmarkEnd w:id="32"/>
            <w:r w:rsidRPr="0072678C">
              <w:rPr>
                <w:b/>
                <w:color w:val="auto"/>
              </w:rPr>
              <w:t xml:space="preserve"> </w:t>
            </w:r>
          </w:p>
        </w:tc>
      </w:tr>
    </w:tbl>
    <w:p w:rsidR="00D37B27" w:rsidRPr="0072678C" w:rsidRDefault="0044621A" w:rsidP="006F6D0A">
      <w:pPr>
        <w:pStyle w:val="Heading1"/>
        <w:rPr>
          <w:rFonts w:asciiTheme="minorHAnsi" w:hAnsiTheme="minorHAnsi" w:cstheme="minorHAnsi"/>
          <w:b/>
          <w:smallCaps/>
          <w:color w:val="auto"/>
          <w:sz w:val="24"/>
          <w:szCs w:val="22"/>
        </w:rPr>
      </w:pPr>
      <w:bookmarkStart w:id="33" w:name="_Toc518058462"/>
      <w:r w:rsidRPr="0072678C">
        <w:rPr>
          <w:rFonts w:asciiTheme="minorHAnsi" w:hAnsiTheme="minorHAnsi" w:cstheme="minorHAnsi"/>
          <w:b/>
          <w:smallCaps/>
          <w:color w:val="auto"/>
          <w:sz w:val="24"/>
          <w:szCs w:val="22"/>
        </w:rPr>
        <w:t>A</w:t>
      </w:r>
      <w:r w:rsidR="00206236" w:rsidRPr="0072678C">
        <w:rPr>
          <w:rFonts w:asciiTheme="minorHAnsi" w:hAnsiTheme="minorHAnsi" w:cstheme="minorHAnsi"/>
          <w:b/>
          <w:smallCaps/>
          <w:color w:val="auto"/>
          <w:sz w:val="24"/>
          <w:szCs w:val="22"/>
        </w:rPr>
        <w:t xml:space="preserve">nexo i </w:t>
      </w:r>
      <w:r w:rsidRPr="0072678C">
        <w:rPr>
          <w:rFonts w:asciiTheme="minorHAnsi" w:hAnsiTheme="minorHAnsi" w:cstheme="minorHAnsi"/>
          <w:b/>
          <w:smallCaps/>
          <w:color w:val="auto"/>
          <w:sz w:val="24"/>
          <w:szCs w:val="22"/>
        </w:rPr>
        <w:t>–</w:t>
      </w:r>
      <w:r w:rsidR="00206236" w:rsidRPr="0072678C">
        <w:rPr>
          <w:rFonts w:asciiTheme="minorHAnsi" w:hAnsiTheme="minorHAnsi" w:cstheme="minorHAnsi"/>
          <w:b/>
          <w:smallCaps/>
          <w:color w:val="auto"/>
          <w:sz w:val="24"/>
          <w:szCs w:val="22"/>
        </w:rPr>
        <w:t xml:space="preserve"> </w:t>
      </w:r>
      <w:r w:rsidR="00D37B27" w:rsidRPr="0072678C">
        <w:rPr>
          <w:rFonts w:asciiTheme="minorHAnsi" w:hAnsiTheme="minorHAnsi" w:cstheme="minorHAnsi"/>
          <w:b/>
          <w:smallCaps/>
          <w:color w:val="auto"/>
          <w:sz w:val="24"/>
          <w:szCs w:val="22"/>
        </w:rPr>
        <w:t>Metodologia: MD-GEFIS</w:t>
      </w:r>
      <w:bookmarkEnd w:id="33"/>
    </w:p>
    <w:p w:rsidR="00D37B27" w:rsidRPr="0072678C" w:rsidRDefault="00D37B27" w:rsidP="00200DA7">
      <w:pPr>
        <w:pStyle w:val="ListParagraph"/>
        <w:numPr>
          <w:ilvl w:val="0"/>
          <w:numId w:val="2"/>
        </w:numPr>
        <w:spacing w:before="240" w:after="240"/>
        <w:ind w:left="851" w:hanging="284"/>
        <w:jc w:val="both"/>
        <w:outlineLvl w:val="0"/>
        <w:rPr>
          <w:rFonts w:asciiTheme="minorHAnsi" w:hAnsiTheme="minorHAnsi" w:cstheme="minorHAnsi"/>
          <w:b/>
          <w:sz w:val="22"/>
          <w:szCs w:val="22"/>
        </w:rPr>
      </w:pPr>
      <w:bookmarkStart w:id="34" w:name="_Toc449459462"/>
      <w:bookmarkStart w:id="35" w:name="_Toc518058463"/>
      <w:r w:rsidRPr="0072678C">
        <w:rPr>
          <w:rFonts w:asciiTheme="minorHAnsi" w:hAnsiTheme="minorHAnsi" w:cstheme="minorHAnsi"/>
          <w:b/>
          <w:sz w:val="22"/>
          <w:szCs w:val="22"/>
        </w:rPr>
        <w:t>Diretrizes para a avaliação da gestão fiscal</w:t>
      </w:r>
      <w:bookmarkEnd w:id="34"/>
      <w:r w:rsidRPr="0072678C">
        <w:rPr>
          <w:rFonts w:asciiTheme="minorHAnsi" w:hAnsiTheme="minorHAnsi" w:cstheme="minorHAnsi"/>
          <w:b/>
          <w:sz w:val="22"/>
          <w:szCs w:val="22"/>
        </w:rPr>
        <w:t xml:space="preserve"> subnacional</w:t>
      </w:r>
      <w:bookmarkEnd w:id="35"/>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Durante o ano de 2014, atendendo a uma demanda do Conselho Nacional de Política Fazendária (CONFAZ) e da Secretaria Executiva do Ministério da Fazenda (SE/MF), o Banco Interamericano de Desenvolvimento (BID) apoiou a formulação de diretrizes e recomendações técnicas para o aperfeiçoamento da gestão fiscal brasileira</w:t>
      </w:r>
      <w:r w:rsidRPr="0072678C">
        <w:rPr>
          <w:rStyle w:val="ncoradanotaderodap"/>
          <w:rFonts w:asciiTheme="minorHAnsi" w:hAnsiTheme="minorHAnsi" w:cstheme="minorHAnsi"/>
          <w:sz w:val="22"/>
          <w:szCs w:val="22"/>
        </w:rPr>
        <w:footnoteReference w:id="205"/>
      </w:r>
      <w:r w:rsidRPr="0072678C">
        <w:rPr>
          <w:rFonts w:asciiTheme="minorHAnsi" w:hAnsiTheme="minorHAnsi" w:cstheme="minorHAnsi"/>
          <w:sz w:val="22"/>
          <w:szCs w:val="22"/>
        </w:rPr>
        <w:t>. Este documento abordou as dificuldades para monitoramento e avaliação de resultados dos programas financiados pelos BID. Considerou que os modelos disponíveis de avaliação da área fiscal não alcançavam, de forma integrada, a gestão fazendária e os distintos temas tratados pela administração tributária e pela administração financeira, além de terem sido formulados para entes nacionais, principalmente em países de estrutura fiscal centralizada. Destacou ainda que as informações disponíveis nas diversas bases de dados não eram completas ou não seguiam conceitos padronizados. Assim sendo, não permitiam analisar o Desempenho e a Maturidade da gestão fiscal subnacional e estabelecer parâmetros de comparação.</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Nesse contexto, o documento definiu um conjunto de resultados esperados para o terceiro ciclo de modernização da gestão fiscal e propôs a formulação de um modelo especifico de avaliação da gestão fiscal dos Estados brasileiros.</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A MD-GEFIS</w:t>
      </w:r>
      <w:r w:rsidR="008351B0" w:rsidRPr="0072678C">
        <w:rPr>
          <w:rFonts w:asciiTheme="minorHAnsi" w:hAnsiTheme="minorHAnsi" w:cstheme="minorHAnsi"/>
          <w:sz w:val="22"/>
          <w:szCs w:val="22"/>
        </w:rPr>
        <w:t xml:space="preserve"> é</w:t>
      </w:r>
      <w:r w:rsidR="00760D36" w:rsidRPr="0072678C">
        <w:rPr>
          <w:rFonts w:asciiTheme="minorHAnsi" w:hAnsiTheme="minorHAnsi" w:cstheme="minorHAnsi"/>
          <w:sz w:val="22"/>
          <w:szCs w:val="22"/>
        </w:rPr>
        <w:t xml:space="preserve"> uma metodologia de avaliação da gestão pública, voltada para a área fiscal, denominada Modelo de Avaliação da Maturidade e Desempenho da Gestão Fiscal (MD-GEFIS) que </w:t>
      </w:r>
      <w:r w:rsidR="0043517C" w:rsidRPr="0072678C">
        <w:rPr>
          <w:rFonts w:asciiTheme="minorHAnsi" w:hAnsiTheme="minorHAnsi" w:cstheme="minorHAnsi"/>
          <w:sz w:val="22"/>
          <w:szCs w:val="22"/>
        </w:rPr>
        <w:t xml:space="preserve">foi </w:t>
      </w:r>
      <w:r w:rsidRPr="0072678C">
        <w:rPr>
          <w:rFonts w:asciiTheme="minorHAnsi" w:hAnsiTheme="minorHAnsi" w:cstheme="minorHAnsi"/>
          <w:sz w:val="22"/>
          <w:szCs w:val="22"/>
        </w:rPr>
        <w:t>propost</w:t>
      </w:r>
      <w:r w:rsidR="00760D36" w:rsidRPr="0072678C">
        <w:rPr>
          <w:rFonts w:asciiTheme="minorHAnsi" w:hAnsiTheme="minorHAnsi" w:cstheme="minorHAnsi"/>
          <w:sz w:val="22"/>
          <w:szCs w:val="22"/>
        </w:rPr>
        <w:t>a</w:t>
      </w:r>
      <w:r w:rsidRPr="0072678C">
        <w:rPr>
          <w:rFonts w:asciiTheme="minorHAnsi" w:hAnsiTheme="minorHAnsi" w:cstheme="minorHAnsi"/>
          <w:sz w:val="22"/>
          <w:szCs w:val="22"/>
        </w:rPr>
        <w:t xml:space="preserve"> e desenhad</w:t>
      </w:r>
      <w:r w:rsidR="00760D36" w:rsidRPr="0072678C">
        <w:rPr>
          <w:rFonts w:asciiTheme="minorHAnsi" w:hAnsiTheme="minorHAnsi" w:cstheme="minorHAnsi"/>
          <w:sz w:val="22"/>
          <w:szCs w:val="22"/>
        </w:rPr>
        <w:t>a</w:t>
      </w:r>
      <w:r w:rsidRPr="0072678C">
        <w:rPr>
          <w:rFonts w:asciiTheme="minorHAnsi" w:hAnsiTheme="minorHAnsi" w:cstheme="minorHAnsi"/>
          <w:sz w:val="22"/>
          <w:szCs w:val="22"/>
        </w:rPr>
        <w:t xml:space="preserve"> prioritariamente para atender a essa deliberação.</w:t>
      </w:r>
    </w:p>
    <w:p w:rsidR="00D37B27" w:rsidRPr="0072678C" w:rsidRDefault="00D37B27" w:rsidP="00200DA7">
      <w:pPr>
        <w:pStyle w:val="ListParagraph"/>
        <w:numPr>
          <w:ilvl w:val="0"/>
          <w:numId w:val="2"/>
        </w:numPr>
        <w:spacing w:before="240" w:after="240"/>
        <w:ind w:left="851" w:hanging="284"/>
        <w:jc w:val="both"/>
        <w:outlineLvl w:val="0"/>
        <w:rPr>
          <w:rFonts w:asciiTheme="minorHAnsi" w:hAnsiTheme="minorHAnsi" w:cstheme="minorHAnsi"/>
          <w:b/>
          <w:sz w:val="22"/>
          <w:szCs w:val="22"/>
        </w:rPr>
      </w:pPr>
      <w:bookmarkStart w:id="36" w:name="_Toc518058464"/>
      <w:r w:rsidRPr="0072678C">
        <w:rPr>
          <w:rFonts w:asciiTheme="minorHAnsi" w:hAnsiTheme="minorHAnsi" w:cstheme="minorHAnsi"/>
          <w:b/>
          <w:sz w:val="22"/>
          <w:szCs w:val="22"/>
        </w:rPr>
        <w:t>Premissas e objetivos da MD-GEFIS</w:t>
      </w:r>
      <w:bookmarkEnd w:id="36"/>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A premissa básica do modelo proposto para a MD-GEFIS é que existe uma relação direta entre a utilização de um conjunto de Processos eficientes - que atendem aos Requisitos das melhores práticas observadas (benchmarking), e o desempenho da organização - medido por meio de um conjunto de indicadores confiáveis. Baseia-se, portanto, na crença de que as intervenções que buscam a aumentar o nível de Maturidade dos Processos contribuem para a melhoria do desempenho, que pode ser verificado por resultados mensuráveis.</w:t>
      </w:r>
    </w:p>
    <w:p w:rsidR="00B96BA3"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Os principais métodos e instrumentos de referência e fontes de melhores práticas pesquisadas e utilizadas pela MD-GEFIS para seleção de Processos e indicadores de Desempenho para a gestão fiscal subnacional foram: (i) Ferramenta Diagnóstica de Avaliação da Administração Tributária (</w:t>
      </w:r>
      <w:proofErr w:type="spellStart"/>
      <w:r w:rsidRPr="0072678C">
        <w:rPr>
          <w:rFonts w:asciiTheme="minorHAnsi" w:hAnsiTheme="minorHAnsi" w:cstheme="minorHAnsi"/>
          <w:sz w:val="22"/>
          <w:szCs w:val="22"/>
        </w:rPr>
        <w:t>Tax</w:t>
      </w:r>
      <w:proofErr w:type="spellEnd"/>
      <w:r w:rsidRPr="0072678C">
        <w:rPr>
          <w:rFonts w:asciiTheme="minorHAnsi" w:hAnsiTheme="minorHAnsi" w:cstheme="minorHAnsi"/>
          <w:sz w:val="22"/>
          <w:szCs w:val="22"/>
        </w:rPr>
        <w:t xml:space="preserve"> </w:t>
      </w:r>
      <w:proofErr w:type="spellStart"/>
      <w:r w:rsidRPr="0072678C">
        <w:rPr>
          <w:rFonts w:asciiTheme="minorHAnsi" w:hAnsiTheme="minorHAnsi" w:cstheme="minorHAnsi"/>
          <w:sz w:val="22"/>
          <w:szCs w:val="22"/>
        </w:rPr>
        <w:t>Administration</w:t>
      </w:r>
      <w:proofErr w:type="spellEnd"/>
      <w:r w:rsidRPr="0072678C">
        <w:rPr>
          <w:rFonts w:asciiTheme="minorHAnsi" w:hAnsiTheme="minorHAnsi" w:cstheme="minorHAnsi"/>
          <w:sz w:val="22"/>
          <w:szCs w:val="22"/>
        </w:rPr>
        <w:t xml:space="preserve"> </w:t>
      </w:r>
      <w:proofErr w:type="spellStart"/>
      <w:r w:rsidRPr="0072678C">
        <w:rPr>
          <w:rFonts w:asciiTheme="minorHAnsi" w:hAnsiTheme="minorHAnsi" w:cstheme="minorHAnsi"/>
          <w:sz w:val="22"/>
          <w:szCs w:val="22"/>
        </w:rPr>
        <w:t>Diagnostic</w:t>
      </w:r>
      <w:proofErr w:type="spellEnd"/>
      <w:r w:rsidRPr="0072678C">
        <w:rPr>
          <w:rFonts w:asciiTheme="minorHAnsi" w:hAnsiTheme="minorHAnsi" w:cstheme="minorHAnsi"/>
          <w:sz w:val="22"/>
          <w:szCs w:val="22"/>
        </w:rPr>
        <w:t xml:space="preserve"> Assessment Tool – TADAT/FMI); (</w:t>
      </w:r>
      <w:proofErr w:type="spellStart"/>
      <w:r w:rsidRPr="0072678C">
        <w:rPr>
          <w:rFonts w:asciiTheme="minorHAnsi" w:hAnsiTheme="minorHAnsi" w:cstheme="minorHAnsi"/>
          <w:sz w:val="22"/>
          <w:szCs w:val="22"/>
        </w:rPr>
        <w:t>ii</w:t>
      </w:r>
      <w:proofErr w:type="spellEnd"/>
      <w:r w:rsidRPr="0072678C">
        <w:rPr>
          <w:rFonts w:asciiTheme="minorHAnsi" w:hAnsiTheme="minorHAnsi" w:cstheme="minorHAnsi"/>
          <w:sz w:val="22"/>
          <w:szCs w:val="22"/>
        </w:rPr>
        <w:t>) Avaliação do Desempenho da Administração Tributária (RA-FIT/FMI); (</w:t>
      </w:r>
      <w:proofErr w:type="spellStart"/>
      <w:r w:rsidRPr="0072678C">
        <w:rPr>
          <w:rFonts w:asciiTheme="minorHAnsi" w:hAnsiTheme="minorHAnsi" w:cstheme="minorHAnsi"/>
          <w:sz w:val="22"/>
          <w:szCs w:val="22"/>
        </w:rPr>
        <w:t>iii</w:t>
      </w:r>
      <w:proofErr w:type="spellEnd"/>
      <w:r w:rsidRPr="0072678C">
        <w:rPr>
          <w:rFonts w:asciiTheme="minorHAnsi" w:hAnsiTheme="minorHAnsi" w:cstheme="minorHAnsi"/>
          <w:sz w:val="22"/>
          <w:szCs w:val="22"/>
        </w:rPr>
        <w:t>) Programa de Despesas Públicas e Responsabilidade Financeira (PEFA/BIRD); (</w:t>
      </w:r>
      <w:proofErr w:type="spellStart"/>
      <w:r w:rsidRPr="0072678C">
        <w:rPr>
          <w:rFonts w:asciiTheme="minorHAnsi" w:hAnsiTheme="minorHAnsi" w:cstheme="minorHAnsi"/>
          <w:sz w:val="22"/>
          <w:szCs w:val="22"/>
        </w:rPr>
        <w:t>iv</w:t>
      </w:r>
      <w:proofErr w:type="spellEnd"/>
      <w:r w:rsidRPr="0072678C">
        <w:rPr>
          <w:rFonts w:asciiTheme="minorHAnsi" w:hAnsiTheme="minorHAnsi" w:cstheme="minorHAnsi"/>
          <w:sz w:val="22"/>
          <w:szCs w:val="22"/>
        </w:rPr>
        <w:t>) Avaliação de Desempenho de Gestão da Dívida (</w:t>
      </w:r>
      <w:proofErr w:type="spellStart"/>
      <w:r w:rsidRPr="0072678C">
        <w:rPr>
          <w:rFonts w:asciiTheme="minorHAnsi" w:hAnsiTheme="minorHAnsi" w:cstheme="minorHAnsi"/>
          <w:sz w:val="22"/>
          <w:szCs w:val="22"/>
        </w:rPr>
        <w:t>DeMPA</w:t>
      </w:r>
      <w:proofErr w:type="spellEnd"/>
      <w:r w:rsidRPr="0072678C">
        <w:rPr>
          <w:rFonts w:asciiTheme="minorHAnsi" w:hAnsiTheme="minorHAnsi" w:cstheme="minorHAnsi"/>
          <w:sz w:val="22"/>
          <w:szCs w:val="22"/>
        </w:rPr>
        <w:t xml:space="preserve">/BIRD); (v) Avaliação da Transparência Fiscal (Fiscal </w:t>
      </w:r>
      <w:proofErr w:type="spellStart"/>
      <w:r w:rsidRPr="0072678C">
        <w:rPr>
          <w:rFonts w:asciiTheme="minorHAnsi" w:hAnsiTheme="minorHAnsi" w:cstheme="minorHAnsi"/>
          <w:sz w:val="22"/>
          <w:szCs w:val="22"/>
        </w:rPr>
        <w:t>Transparency</w:t>
      </w:r>
      <w:proofErr w:type="spellEnd"/>
      <w:r w:rsidRPr="0072678C">
        <w:rPr>
          <w:rFonts w:asciiTheme="minorHAnsi" w:hAnsiTheme="minorHAnsi" w:cstheme="minorHAnsi"/>
          <w:sz w:val="22"/>
          <w:szCs w:val="22"/>
        </w:rPr>
        <w:t xml:space="preserve"> </w:t>
      </w:r>
      <w:proofErr w:type="spellStart"/>
      <w:r w:rsidRPr="0072678C">
        <w:rPr>
          <w:rFonts w:asciiTheme="minorHAnsi" w:hAnsiTheme="minorHAnsi" w:cstheme="minorHAnsi"/>
          <w:sz w:val="22"/>
          <w:szCs w:val="22"/>
        </w:rPr>
        <w:t>Evaluation</w:t>
      </w:r>
      <w:proofErr w:type="spellEnd"/>
      <w:r w:rsidRPr="0072678C">
        <w:rPr>
          <w:rFonts w:asciiTheme="minorHAnsi" w:hAnsiTheme="minorHAnsi" w:cstheme="minorHAnsi"/>
          <w:sz w:val="22"/>
          <w:szCs w:val="22"/>
        </w:rPr>
        <w:t>-FTE/FMI); (vi) Índice de Transparência e Cidadania Fiscal (ITCF/COGEF);</w:t>
      </w:r>
      <w:r w:rsidR="008351B0" w:rsidRPr="0072678C">
        <w:rPr>
          <w:rFonts w:asciiTheme="minorHAnsi" w:hAnsiTheme="minorHAnsi" w:cstheme="minorHAnsi"/>
          <w:sz w:val="22"/>
          <w:szCs w:val="22"/>
        </w:rPr>
        <w:t xml:space="preserve"> </w:t>
      </w:r>
      <w:r w:rsidRPr="0072678C">
        <w:rPr>
          <w:rFonts w:asciiTheme="minorHAnsi" w:hAnsiTheme="minorHAnsi" w:cstheme="minorHAnsi"/>
          <w:sz w:val="22"/>
          <w:szCs w:val="22"/>
        </w:rPr>
        <w:t>(</w:t>
      </w:r>
      <w:proofErr w:type="spellStart"/>
      <w:r w:rsidRPr="0072678C">
        <w:rPr>
          <w:rFonts w:asciiTheme="minorHAnsi" w:hAnsiTheme="minorHAnsi" w:cstheme="minorHAnsi"/>
          <w:sz w:val="22"/>
          <w:szCs w:val="22"/>
        </w:rPr>
        <w:t>vii</w:t>
      </w:r>
      <w:proofErr w:type="spellEnd"/>
      <w:r w:rsidRPr="0072678C">
        <w:rPr>
          <w:rFonts w:asciiTheme="minorHAnsi" w:hAnsiTheme="minorHAnsi" w:cstheme="minorHAnsi"/>
          <w:sz w:val="22"/>
          <w:szCs w:val="22"/>
        </w:rPr>
        <w:t>) Governança Pública, Governança de TI</w:t>
      </w:r>
      <w:r w:rsidR="008351B0" w:rsidRPr="0072678C">
        <w:rPr>
          <w:rFonts w:asciiTheme="minorHAnsi" w:hAnsiTheme="minorHAnsi" w:cstheme="minorHAnsi"/>
          <w:sz w:val="22"/>
          <w:szCs w:val="22"/>
        </w:rPr>
        <w:t xml:space="preserve"> </w:t>
      </w:r>
      <w:r w:rsidRPr="0072678C">
        <w:rPr>
          <w:rFonts w:asciiTheme="minorHAnsi" w:hAnsiTheme="minorHAnsi" w:cstheme="minorHAnsi"/>
          <w:sz w:val="22"/>
          <w:szCs w:val="22"/>
        </w:rPr>
        <w:t>e Governança de Aquisições (TCU); (</w:t>
      </w:r>
      <w:proofErr w:type="spellStart"/>
      <w:r w:rsidRPr="0072678C">
        <w:rPr>
          <w:rFonts w:asciiTheme="minorHAnsi" w:hAnsiTheme="minorHAnsi" w:cstheme="minorHAnsi"/>
          <w:sz w:val="22"/>
          <w:szCs w:val="22"/>
        </w:rPr>
        <w:t>viii</w:t>
      </w:r>
      <w:proofErr w:type="spellEnd"/>
      <w:r w:rsidRPr="0072678C">
        <w:rPr>
          <w:rFonts w:asciiTheme="minorHAnsi" w:hAnsiTheme="minorHAnsi" w:cstheme="minorHAnsi"/>
          <w:sz w:val="22"/>
          <w:szCs w:val="22"/>
        </w:rPr>
        <w:t>) Programa Nacional de Gestão Pública e Desburocratização (GESPÚBLICA/MP); e, (</w:t>
      </w:r>
      <w:proofErr w:type="spellStart"/>
      <w:r w:rsidRPr="0072678C">
        <w:rPr>
          <w:rFonts w:asciiTheme="minorHAnsi" w:hAnsiTheme="minorHAnsi" w:cstheme="minorHAnsi"/>
          <w:sz w:val="22"/>
          <w:szCs w:val="22"/>
        </w:rPr>
        <w:t>ix</w:t>
      </w:r>
      <w:proofErr w:type="spellEnd"/>
      <w:r w:rsidRPr="0072678C">
        <w:rPr>
          <w:rFonts w:asciiTheme="minorHAnsi" w:hAnsiTheme="minorHAnsi" w:cstheme="minorHAnsi"/>
          <w:sz w:val="22"/>
          <w:szCs w:val="22"/>
        </w:rPr>
        <w:t>) Avaliação da Gestão para Resultados na Administração Fiscal (PRODEV-COGEF).</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A segunda premissa da MD-GEFIS é que o mapeamento da correlação entre os indicadores selecionados contribui para a priorização das ações e potencializa os ganhos de desempenho, ao apontar aqueles resultados com maior potencial para alavancar o conjunto da organização.</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lastRenderedPageBreak/>
        <w:t>Por fim, a terceira premissa da MD-GEFIS é que a avaliação eficiente da gestão fiscal no âmbito dos Estados e do Distrito Federal no Brasil deve apresentar uma visão integrada da gestão fazendária; da administração tributária e do contencioso fiscal; e, da administração financeira e do gasto público.</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A MD-GEFIS tem como principal objetivo contribuir para a melhoria dos resultados da gestão fiscal, em especial aqueles relacionados com o aumento da transparência, o incremento da arrecadação e a eficiência do gasto público.</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 xml:space="preserve">Construída sob medida para os estados brasileiros, sua utilização proporciona uma visão ampla e integrada da gestão fiscal, focalizando Processos e resultados, uniformizando conceitos e possibilitando a transferência de conhecimento. </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Para tanto, oferece aos órgãos responsáveis pela gestão fiscal subnacional um instrumento para autoavaliação do nível de Maturidade de seus Processos críticos e do seu Desempenho.</w:t>
      </w:r>
    </w:p>
    <w:p w:rsidR="00D37B27" w:rsidRPr="0072678C" w:rsidRDefault="00D37B27" w:rsidP="0069119E">
      <w:pPr>
        <w:spacing w:before="240" w:after="120"/>
        <w:jc w:val="both"/>
        <w:rPr>
          <w:rFonts w:asciiTheme="minorHAnsi" w:hAnsiTheme="minorHAnsi" w:cstheme="minorHAnsi"/>
          <w:sz w:val="22"/>
          <w:szCs w:val="22"/>
        </w:rPr>
      </w:pPr>
      <w:bookmarkStart w:id="37" w:name="_Hlk493754727"/>
      <w:r w:rsidRPr="0072678C">
        <w:rPr>
          <w:rFonts w:asciiTheme="minorHAnsi" w:hAnsiTheme="minorHAnsi" w:cstheme="minorHAnsi"/>
          <w:sz w:val="22"/>
          <w:szCs w:val="22"/>
        </w:rPr>
        <w:t>A utilização da MD-GEFIS busca ainda atender aos seguintes objetivos específicos:</w:t>
      </w:r>
    </w:p>
    <w:p w:rsidR="00D37B27" w:rsidRPr="0072678C" w:rsidRDefault="00D37B27" w:rsidP="00200DA7">
      <w:pPr>
        <w:pStyle w:val="ListParagraph"/>
        <w:numPr>
          <w:ilvl w:val="0"/>
          <w:numId w:val="6"/>
        </w:num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Identificar oportunidades de melhorias nos Processos da gestão fiscal, considerando as melhores práticas observadas (benchmarking) nas recentes iniciativas de modernização no Brasil, bem como nos relatos das experiências internacionais;</w:t>
      </w:r>
    </w:p>
    <w:p w:rsidR="00D37B27" w:rsidRPr="0072678C" w:rsidRDefault="00D37B27" w:rsidP="00200DA7">
      <w:pPr>
        <w:pStyle w:val="ListParagraph"/>
        <w:numPr>
          <w:ilvl w:val="0"/>
          <w:numId w:val="6"/>
        </w:num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Apoiar o monitoramento da evolução da Maturidade dos Processos da gestão fiscal e a avaliação da melhoria do desempenho, ao longo do tempo, considerando a linha de base identificada;</w:t>
      </w:r>
    </w:p>
    <w:p w:rsidR="00D37B27" w:rsidRPr="0072678C" w:rsidRDefault="00D37B27" w:rsidP="00200DA7">
      <w:pPr>
        <w:pStyle w:val="ListParagraph"/>
        <w:numPr>
          <w:ilvl w:val="0"/>
          <w:numId w:val="6"/>
        </w:num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Subsidiar a priorização de iniciativas de modernização e nortear a alocação dos recursos necessários à sua implementação;</w:t>
      </w:r>
    </w:p>
    <w:p w:rsidR="00D37B27" w:rsidRPr="0072678C" w:rsidRDefault="00D37B27" w:rsidP="00200DA7">
      <w:pPr>
        <w:pStyle w:val="ListParagraph"/>
        <w:numPr>
          <w:ilvl w:val="0"/>
          <w:numId w:val="6"/>
        </w:num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Apoiar o desenho de projetos de modernização e, quando necessário, o pleito de financiamento junto a organismos nacionais e internacionais de crédito;</w:t>
      </w:r>
    </w:p>
    <w:p w:rsidR="00D37B27" w:rsidRPr="0072678C" w:rsidRDefault="00D37B27" w:rsidP="00206236">
      <w:pPr>
        <w:pStyle w:val="ListParagraph"/>
        <w:numPr>
          <w:ilvl w:val="0"/>
          <w:numId w:val="6"/>
        </w:numPr>
        <w:spacing w:before="240" w:after="240"/>
        <w:contextualSpacing w:val="0"/>
        <w:jc w:val="both"/>
        <w:rPr>
          <w:rFonts w:asciiTheme="minorHAnsi" w:hAnsiTheme="minorHAnsi" w:cstheme="minorHAnsi"/>
          <w:sz w:val="22"/>
          <w:szCs w:val="22"/>
        </w:rPr>
      </w:pPr>
      <w:r w:rsidRPr="0072678C">
        <w:rPr>
          <w:rFonts w:asciiTheme="minorHAnsi" w:hAnsiTheme="minorHAnsi" w:cstheme="minorHAnsi"/>
          <w:sz w:val="22"/>
          <w:szCs w:val="22"/>
        </w:rPr>
        <w:t xml:space="preserve">Ampliar a </w:t>
      </w:r>
      <w:proofErr w:type="spellStart"/>
      <w:r w:rsidRPr="0072678C">
        <w:rPr>
          <w:rFonts w:asciiTheme="minorHAnsi" w:hAnsiTheme="minorHAnsi" w:cstheme="minorHAnsi"/>
          <w:sz w:val="22"/>
          <w:szCs w:val="22"/>
        </w:rPr>
        <w:t>accountability</w:t>
      </w:r>
      <w:proofErr w:type="spellEnd"/>
      <w:r w:rsidRPr="0072678C">
        <w:rPr>
          <w:rFonts w:asciiTheme="minorHAnsi" w:hAnsiTheme="minorHAnsi" w:cstheme="minorHAnsi"/>
          <w:sz w:val="22"/>
          <w:szCs w:val="22"/>
        </w:rPr>
        <w:t xml:space="preserve"> baseada em resultados, oferecendo feedback para a sociedade, dentro do conceito de transparência fiscal.</w:t>
      </w:r>
    </w:p>
    <w:p w:rsidR="00D37B27" w:rsidRPr="0072678C" w:rsidRDefault="00D37B27" w:rsidP="00200DA7">
      <w:pPr>
        <w:pStyle w:val="ListParagraph"/>
        <w:numPr>
          <w:ilvl w:val="0"/>
          <w:numId w:val="2"/>
        </w:numPr>
        <w:spacing w:before="240" w:after="240"/>
        <w:ind w:left="851" w:hanging="284"/>
        <w:jc w:val="both"/>
        <w:outlineLvl w:val="0"/>
        <w:rPr>
          <w:rFonts w:asciiTheme="minorHAnsi" w:hAnsiTheme="minorHAnsi" w:cstheme="minorHAnsi"/>
          <w:b/>
          <w:sz w:val="22"/>
          <w:szCs w:val="22"/>
        </w:rPr>
      </w:pPr>
      <w:bookmarkStart w:id="38" w:name="_Toc518058465"/>
      <w:bookmarkEnd w:id="37"/>
      <w:r w:rsidRPr="0072678C">
        <w:rPr>
          <w:rFonts w:asciiTheme="minorHAnsi" w:hAnsiTheme="minorHAnsi" w:cstheme="minorHAnsi"/>
          <w:b/>
          <w:sz w:val="22"/>
          <w:szCs w:val="22"/>
        </w:rPr>
        <w:t>A estrutura da MD-GEFIS</w:t>
      </w:r>
      <w:bookmarkEnd w:id="38"/>
    </w:p>
    <w:p w:rsidR="00EC68E4"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 xml:space="preserve">A MD-GEFIS considera que uma gestão fiscal eficiente compreende três Eixos de atuação, abrangendo seis dimensões críticas cada um, que devem ser avaliados de forma harmônica e integrada, apresentados no </w:t>
      </w:r>
      <w:r w:rsidRPr="0072678C">
        <w:rPr>
          <w:rFonts w:asciiTheme="minorHAnsi" w:hAnsiTheme="minorHAnsi" w:cstheme="minorHAnsi"/>
          <w:b/>
          <w:sz w:val="22"/>
          <w:szCs w:val="22"/>
        </w:rPr>
        <w:t xml:space="preserve">Quadro </w:t>
      </w:r>
      <w:r w:rsidR="003B190F" w:rsidRPr="0072678C">
        <w:rPr>
          <w:rFonts w:asciiTheme="minorHAnsi" w:hAnsiTheme="minorHAnsi" w:cstheme="minorHAnsi"/>
          <w:b/>
          <w:sz w:val="22"/>
          <w:szCs w:val="22"/>
        </w:rPr>
        <w:t>5</w:t>
      </w:r>
      <w:r w:rsidRPr="0072678C">
        <w:rPr>
          <w:rFonts w:asciiTheme="minorHAnsi" w:hAnsiTheme="minorHAnsi" w:cstheme="minorHAnsi"/>
          <w:sz w:val="22"/>
          <w:szCs w:val="22"/>
        </w:rPr>
        <w:t>, a seguir.</w:t>
      </w:r>
    </w:p>
    <w:p w:rsidR="00D37B27" w:rsidRPr="0072678C" w:rsidRDefault="009C5A8A" w:rsidP="00D37B27">
      <w:pPr>
        <w:spacing w:before="240" w:after="60"/>
        <w:ind w:left="567"/>
        <w:jc w:val="center"/>
        <w:rPr>
          <w:rFonts w:asciiTheme="minorHAnsi" w:hAnsiTheme="minorHAnsi" w:cstheme="minorHAnsi"/>
          <w:sz w:val="22"/>
          <w:szCs w:val="22"/>
        </w:rPr>
      </w:pPr>
      <w:r w:rsidRPr="0072678C">
        <w:rPr>
          <w:rFonts w:asciiTheme="minorHAnsi" w:hAnsiTheme="minorHAnsi" w:cstheme="minorHAnsi"/>
          <w:b/>
          <w:sz w:val="22"/>
          <w:szCs w:val="22"/>
        </w:rPr>
        <w:t xml:space="preserve">Quadro </w:t>
      </w:r>
      <w:r w:rsidR="003B190F" w:rsidRPr="0072678C">
        <w:rPr>
          <w:rFonts w:asciiTheme="minorHAnsi" w:hAnsiTheme="minorHAnsi" w:cstheme="minorHAnsi"/>
          <w:b/>
          <w:sz w:val="22"/>
          <w:szCs w:val="22"/>
        </w:rPr>
        <w:t>5</w:t>
      </w:r>
      <w:r w:rsidR="00D37B27" w:rsidRPr="0072678C">
        <w:rPr>
          <w:rFonts w:asciiTheme="minorHAnsi" w:hAnsiTheme="minorHAnsi" w:cstheme="minorHAnsi"/>
          <w:b/>
          <w:sz w:val="22"/>
          <w:szCs w:val="22"/>
        </w:rPr>
        <w:t xml:space="preserve">- </w:t>
      </w:r>
      <w:r w:rsidR="00D37B27" w:rsidRPr="0072678C">
        <w:rPr>
          <w:rFonts w:asciiTheme="minorHAnsi" w:hAnsiTheme="minorHAnsi" w:cstheme="minorHAnsi"/>
          <w:sz w:val="22"/>
          <w:szCs w:val="22"/>
        </w:rPr>
        <w:t>Eixos e dimensões da gestão fiscal</w:t>
      </w:r>
    </w:p>
    <w:tbl>
      <w:tblPr>
        <w:tblStyle w:val="TableGrid"/>
        <w:tblW w:w="8222" w:type="dxa"/>
        <w:jc w:val="center"/>
        <w:tblLook w:val="04A0" w:firstRow="1" w:lastRow="0" w:firstColumn="1" w:lastColumn="0" w:noHBand="0" w:noVBand="1"/>
      </w:tblPr>
      <w:tblGrid>
        <w:gridCol w:w="3828"/>
        <w:gridCol w:w="4394"/>
      </w:tblGrid>
      <w:tr w:rsidR="00D37B27" w:rsidRPr="0072678C" w:rsidTr="00227B85">
        <w:trPr>
          <w:tblHeader/>
          <w:jc w:val="center"/>
        </w:trPr>
        <w:tc>
          <w:tcPr>
            <w:tcW w:w="3828" w:type="dxa"/>
          </w:tcPr>
          <w:p w:rsidR="00D37B27" w:rsidRPr="0072678C" w:rsidRDefault="00D37B27" w:rsidP="00985FA2">
            <w:pPr>
              <w:spacing w:before="60" w:after="60"/>
              <w:jc w:val="center"/>
              <w:rPr>
                <w:rFonts w:asciiTheme="minorHAnsi" w:hAnsiTheme="minorHAnsi" w:cstheme="minorHAnsi"/>
                <w:b/>
                <w:smallCaps/>
                <w:sz w:val="20"/>
              </w:rPr>
            </w:pPr>
            <w:r w:rsidRPr="0072678C">
              <w:rPr>
                <w:rFonts w:asciiTheme="minorHAnsi" w:hAnsiTheme="minorHAnsi" w:cstheme="minorHAnsi"/>
                <w:b/>
                <w:smallCaps/>
                <w:sz w:val="20"/>
              </w:rPr>
              <w:t>Eixo da Gestão Fiscal</w:t>
            </w:r>
          </w:p>
        </w:tc>
        <w:tc>
          <w:tcPr>
            <w:tcW w:w="4394" w:type="dxa"/>
          </w:tcPr>
          <w:p w:rsidR="00D37B27" w:rsidRPr="0072678C" w:rsidRDefault="00D37B27" w:rsidP="00985FA2">
            <w:pPr>
              <w:spacing w:before="60" w:after="60"/>
              <w:jc w:val="center"/>
              <w:rPr>
                <w:rFonts w:asciiTheme="minorHAnsi" w:hAnsiTheme="minorHAnsi" w:cstheme="minorHAnsi"/>
                <w:b/>
                <w:smallCaps/>
                <w:sz w:val="20"/>
              </w:rPr>
            </w:pPr>
            <w:r w:rsidRPr="0072678C">
              <w:rPr>
                <w:rFonts w:asciiTheme="minorHAnsi" w:hAnsiTheme="minorHAnsi" w:cstheme="minorHAnsi"/>
                <w:b/>
                <w:smallCaps/>
                <w:sz w:val="20"/>
              </w:rPr>
              <w:t>Dimensões</w:t>
            </w:r>
          </w:p>
        </w:tc>
      </w:tr>
      <w:tr w:rsidR="00D37B27" w:rsidRPr="0072678C" w:rsidTr="00227B85">
        <w:trPr>
          <w:jc w:val="center"/>
        </w:trPr>
        <w:tc>
          <w:tcPr>
            <w:tcW w:w="3828" w:type="dxa"/>
            <w:shd w:val="clear" w:color="auto" w:fill="E2EFD9" w:themeFill="accent6" w:themeFillTint="33"/>
            <w:vAlign w:val="center"/>
          </w:tcPr>
          <w:p w:rsidR="00D37B27" w:rsidRPr="0072678C" w:rsidRDefault="00D37B27" w:rsidP="00985FA2">
            <w:pPr>
              <w:spacing w:before="60" w:after="60"/>
              <w:rPr>
                <w:rFonts w:asciiTheme="minorHAnsi" w:hAnsiTheme="minorHAnsi" w:cstheme="minorHAnsi"/>
                <w:sz w:val="20"/>
              </w:rPr>
            </w:pPr>
            <w:r w:rsidRPr="0072678C">
              <w:rPr>
                <w:rFonts w:asciiTheme="minorHAnsi" w:hAnsiTheme="minorHAnsi" w:cstheme="minorHAnsi"/>
                <w:sz w:val="20"/>
              </w:rPr>
              <w:t>I- Gestão Fazendária e Transparência Fiscal (GF)</w:t>
            </w:r>
          </w:p>
        </w:tc>
        <w:tc>
          <w:tcPr>
            <w:tcW w:w="4394" w:type="dxa"/>
            <w:shd w:val="clear" w:color="auto" w:fill="E2EFD9" w:themeFill="accent6" w:themeFillTint="33"/>
          </w:tcPr>
          <w:p w:rsidR="00D37B27" w:rsidRPr="0072678C" w:rsidRDefault="00D37B27" w:rsidP="00985FA2">
            <w:pPr>
              <w:shd w:val="clear" w:color="auto" w:fill="C5E0B3" w:themeFill="accent6" w:themeFillTint="66"/>
              <w:spacing w:before="60" w:after="60"/>
              <w:jc w:val="both"/>
              <w:rPr>
                <w:rFonts w:asciiTheme="minorHAnsi" w:hAnsiTheme="minorHAnsi" w:cstheme="minorHAnsi"/>
                <w:sz w:val="20"/>
              </w:rPr>
            </w:pPr>
            <w:r w:rsidRPr="0072678C">
              <w:rPr>
                <w:rFonts w:asciiTheme="minorHAnsi" w:hAnsiTheme="minorHAnsi" w:cstheme="minorHAnsi"/>
                <w:sz w:val="20"/>
              </w:rPr>
              <w:t xml:space="preserve">GF 1. Governança Pública </w:t>
            </w:r>
          </w:p>
          <w:p w:rsidR="00D37B27" w:rsidRPr="0072678C" w:rsidRDefault="00D37B27" w:rsidP="00985FA2">
            <w:pPr>
              <w:spacing w:before="60" w:after="60"/>
              <w:jc w:val="both"/>
              <w:rPr>
                <w:rFonts w:asciiTheme="minorHAnsi" w:hAnsiTheme="minorHAnsi" w:cstheme="minorHAnsi"/>
                <w:sz w:val="20"/>
              </w:rPr>
            </w:pPr>
            <w:r w:rsidRPr="0072678C">
              <w:rPr>
                <w:rFonts w:asciiTheme="minorHAnsi" w:hAnsiTheme="minorHAnsi" w:cstheme="minorHAnsi"/>
                <w:sz w:val="20"/>
              </w:rPr>
              <w:t>GF 2. Gestão para Resultados</w:t>
            </w:r>
          </w:p>
          <w:p w:rsidR="00D37B27" w:rsidRPr="0072678C" w:rsidRDefault="00D37B27" w:rsidP="00985FA2">
            <w:pPr>
              <w:spacing w:before="60" w:after="60"/>
              <w:jc w:val="both"/>
              <w:rPr>
                <w:rFonts w:asciiTheme="minorHAnsi" w:hAnsiTheme="minorHAnsi" w:cstheme="minorHAnsi"/>
                <w:sz w:val="20"/>
              </w:rPr>
            </w:pPr>
            <w:r w:rsidRPr="0072678C">
              <w:rPr>
                <w:rFonts w:asciiTheme="minorHAnsi" w:hAnsiTheme="minorHAnsi" w:cstheme="minorHAnsi"/>
                <w:sz w:val="20"/>
              </w:rPr>
              <w:t xml:space="preserve">GF 3. Gestão de Pessoas </w:t>
            </w:r>
          </w:p>
          <w:p w:rsidR="00D37B27" w:rsidRPr="0072678C" w:rsidRDefault="00D37B27" w:rsidP="00985FA2">
            <w:pPr>
              <w:spacing w:before="60" w:after="60"/>
              <w:jc w:val="both"/>
              <w:rPr>
                <w:rFonts w:asciiTheme="minorHAnsi" w:hAnsiTheme="minorHAnsi" w:cstheme="minorHAnsi"/>
                <w:sz w:val="20"/>
              </w:rPr>
            </w:pPr>
            <w:r w:rsidRPr="0072678C">
              <w:rPr>
                <w:rFonts w:asciiTheme="minorHAnsi" w:hAnsiTheme="minorHAnsi" w:cstheme="minorHAnsi"/>
                <w:sz w:val="20"/>
              </w:rPr>
              <w:t>GF 4. Gestão da Tecnologia da Informação</w:t>
            </w:r>
          </w:p>
          <w:p w:rsidR="00D37B27" w:rsidRPr="0072678C" w:rsidRDefault="00D37B27" w:rsidP="00985FA2">
            <w:pPr>
              <w:spacing w:before="60" w:after="60"/>
              <w:jc w:val="both"/>
              <w:rPr>
                <w:rFonts w:asciiTheme="minorHAnsi" w:hAnsiTheme="minorHAnsi" w:cstheme="minorHAnsi"/>
                <w:sz w:val="20"/>
              </w:rPr>
            </w:pPr>
            <w:r w:rsidRPr="0072678C">
              <w:rPr>
                <w:rFonts w:asciiTheme="minorHAnsi" w:hAnsiTheme="minorHAnsi" w:cstheme="minorHAnsi"/>
                <w:sz w:val="20"/>
              </w:rPr>
              <w:t xml:space="preserve">GF 5. Gestão de Aquisições e Materiais </w:t>
            </w:r>
          </w:p>
          <w:p w:rsidR="00D37B27" w:rsidRPr="0072678C" w:rsidRDefault="00D37B27" w:rsidP="00985FA2">
            <w:pPr>
              <w:spacing w:before="60" w:after="60"/>
              <w:jc w:val="both"/>
              <w:rPr>
                <w:rFonts w:asciiTheme="minorHAnsi" w:hAnsiTheme="minorHAnsi" w:cstheme="minorHAnsi"/>
                <w:sz w:val="20"/>
              </w:rPr>
            </w:pPr>
            <w:r w:rsidRPr="0072678C">
              <w:rPr>
                <w:rFonts w:asciiTheme="minorHAnsi" w:hAnsiTheme="minorHAnsi" w:cstheme="minorHAnsi"/>
                <w:sz w:val="20"/>
              </w:rPr>
              <w:t xml:space="preserve">GF 6. Transparência e Cidadania Fiscal </w:t>
            </w:r>
          </w:p>
        </w:tc>
      </w:tr>
      <w:tr w:rsidR="00D37B27" w:rsidRPr="0072678C" w:rsidTr="00227B85">
        <w:trPr>
          <w:jc w:val="center"/>
        </w:trPr>
        <w:tc>
          <w:tcPr>
            <w:tcW w:w="3828" w:type="dxa"/>
            <w:shd w:val="clear" w:color="auto" w:fill="FFF2CC" w:themeFill="accent4" w:themeFillTint="33"/>
            <w:vAlign w:val="center"/>
          </w:tcPr>
          <w:p w:rsidR="00D37B27" w:rsidRPr="0072678C" w:rsidRDefault="00D37B27" w:rsidP="00985FA2">
            <w:pPr>
              <w:spacing w:before="60" w:after="60"/>
              <w:rPr>
                <w:rFonts w:asciiTheme="minorHAnsi" w:hAnsiTheme="minorHAnsi" w:cstheme="minorHAnsi"/>
                <w:sz w:val="20"/>
              </w:rPr>
            </w:pPr>
            <w:r w:rsidRPr="0072678C">
              <w:rPr>
                <w:rFonts w:asciiTheme="minorHAnsi" w:hAnsiTheme="minorHAnsi" w:cstheme="minorHAnsi"/>
                <w:sz w:val="20"/>
              </w:rPr>
              <w:t>II- Administração Tributária e Contencioso Fiscal (AT)</w:t>
            </w:r>
          </w:p>
        </w:tc>
        <w:tc>
          <w:tcPr>
            <w:tcW w:w="4394" w:type="dxa"/>
            <w:shd w:val="clear" w:color="auto" w:fill="FFF2CC" w:themeFill="accent4" w:themeFillTint="33"/>
          </w:tcPr>
          <w:p w:rsidR="00D37B27" w:rsidRPr="0072678C" w:rsidRDefault="00D37B27" w:rsidP="00985FA2">
            <w:pPr>
              <w:shd w:val="clear" w:color="auto" w:fill="FFE599" w:themeFill="accent4" w:themeFillTint="66"/>
              <w:spacing w:before="60" w:after="60"/>
              <w:rPr>
                <w:rFonts w:asciiTheme="minorHAnsi" w:hAnsiTheme="minorHAnsi" w:cstheme="minorHAnsi"/>
                <w:sz w:val="20"/>
              </w:rPr>
            </w:pPr>
            <w:r w:rsidRPr="0072678C">
              <w:rPr>
                <w:rFonts w:asciiTheme="minorHAnsi" w:hAnsiTheme="minorHAnsi" w:cstheme="minorHAnsi"/>
                <w:sz w:val="20"/>
              </w:rPr>
              <w:t>AT 1. Políticas e Gasto Tributário</w:t>
            </w:r>
          </w:p>
          <w:p w:rsidR="00D37B27" w:rsidRPr="0072678C" w:rsidRDefault="00D37B27" w:rsidP="00985FA2">
            <w:pPr>
              <w:spacing w:before="60" w:after="60"/>
              <w:ind w:left="456" w:hanging="456"/>
              <w:rPr>
                <w:rFonts w:asciiTheme="minorHAnsi" w:hAnsiTheme="minorHAnsi" w:cstheme="minorHAnsi"/>
                <w:sz w:val="20"/>
              </w:rPr>
            </w:pPr>
            <w:r w:rsidRPr="0072678C">
              <w:rPr>
                <w:rFonts w:asciiTheme="minorHAnsi" w:hAnsiTheme="minorHAnsi" w:cstheme="minorHAnsi"/>
                <w:sz w:val="20"/>
              </w:rPr>
              <w:t>AT 2. Cadastro e Obrigação Tributária</w:t>
            </w:r>
          </w:p>
          <w:p w:rsidR="00D37B27" w:rsidRPr="0072678C" w:rsidRDefault="00D37B27" w:rsidP="00985FA2">
            <w:pPr>
              <w:spacing w:before="60" w:after="60"/>
              <w:ind w:left="456" w:hanging="456"/>
              <w:rPr>
                <w:rFonts w:asciiTheme="minorHAnsi" w:hAnsiTheme="minorHAnsi" w:cstheme="minorHAnsi"/>
                <w:sz w:val="20"/>
              </w:rPr>
            </w:pPr>
            <w:r w:rsidRPr="0072678C">
              <w:rPr>
                <w:rFonts w:asciiTheme="minorHAnsi" w:hAnsiTheme="minorHAnsi" w:cstheme="minorHAnsi"/>
                <w:sz w:val="20"/>
              </w:rPr>
              <w:t xml:space="preserve">AT 3. Fiscalização e Inteligência Fiscal </w:t>
            </w:r>
          </w:p>
          <w:p w:rsidR="00D37B27" w:rsidRPr="0072678C" w:rsidRDefault="00D37B27" w:rsidP="00985FA2">
            <w:pPr>
              <w:spacing w:before="60" w:after="60"/>
              <w:ind w:left="456" w:hanging="456"/>
              <w:rPr>
                <w:rFonts w:asciiTheme="minorHAnsi" w:hAnsiTheme="minorHAnsi" w:cstheme="minorHAnsi"/>
                <w:sz w:val="20"/>
              </w:rPr>
            </w:pPr>
            <w:bookmarkStart w:id="39" w:name="_Hlk493462973"/>
            <w:r w:rsidRPr="0072678C">
              <w:rPr>
                <w:rFonts w:asciiTheme="minorHAnsi" w:hAnsiTheme="minorHAnsi" w:cstheme="minorHAnsi"/>
                <w:sz w:val="20"/>
              </w:rPr>
              <w:t>AT 4. Contencioso Fiscal</w:t>
            </w:r>
          </w:p>
          <w:p w:rsidR="00D37B27" w:rsidRPr="0072678C" w:rsidRDefault="00D37B27" w:rsidP="00985FA2">
            <w:pPr>
              <w:spacing w:before="60" w:after="60"/>
              <w:ind w:left="456" w:hanging="456"/>
              <w:rPr>
                <w:rFonts w:asciiTheme="minorHAnsi" w:hAnsiTheme="minorHAnsi" w:cstheme="minorHAnsi"/>
                <w:sz w:val="20"/>
              </w:rPr>
            </w:pPr>
            <w:r w:rsidRPr="0072678C">
              <w:rPr>
                <w:rFonts w:asciiTheme="minorHAnsi" w:hAnsiTheme="minorHAnsi" w:cstheme="minorHAnsi"/>
                <w:sz w:val="20"/>
              </w:rPr>
              <w:t>AT 5. Serviços ao Contribuinte</w:t>
            </w:r>
          </w:p>
          <w:p w:rsidR="00D37B27" w:rsidRPr="0072678C" w:rsidRDefault="00D37B27" w:rsidP="00985FA2">
            <w:pPr>
              <w:spacing w:before="60" w:after="60"/>
              <w:ind w:left="456" w:hanging="456"/>
              <w:rPr>
                <w:rFonts w:asciiTheme="minorHAnsi" w:hAnsiTheme="minorHAnsi" w:cstheme="minorHAnsi"/>
                <w:sz w:val="20"/>
              </w:rPr>
            </w:pPr>
            <w:r w:rsidRPr="0072678C">
              <w:rPr>
                <w:rFonts w:asciiTheme="minorHAnsi" w:hAnsiTheme="minorHAnsi" w:cstheme="minorHAnsi"/>
                <w:sz w:val="20"/>
              </w:rPr>
              <w:lastRenderedPageBreak/>
              <w:t>AT 6. Cobrança e Arrecadação</w:t>
            </w:r>
            <w:bookmarkEnd w:id="39"/>
          </w:p>
        </w:tc>
      </w:tr>
      <w:tr w:rsidR="00D37B27" w:rsidRPr="0072678C" w:rsidTr="00227B85">
        <w:trPr>
          <w:jc w:val="center"/>
        </w:trPr>
        <w:tc>
          <w:tcPr>
            <w:tcW w:w="3828" w:type="dxa"/>
            <w:shd w:val="clear" w:color="auto" w:fill="D9E2F3" w:themeFill="accent5" w:themeFillTint="33"/>
            <w:vAlign w:val="center"/>
          </w:tcPr>
          <w:p w:rsidR="00D37B27" w:rsidRPr="0072678C" w:rsidRDefault="00D37B27" w:rsidP="00985FA2">
            <w:pPr>
              <w:spacing w:before="60" w:after="60"/>
              <w:rPr>
                <w:rFonts w:asciiTheme="minorHAnsi" w:hAnsiTheme="minorHAnsi" w:cstheme="minorHAnsi"/>
                <w:sz w:val="20"/>
              </w:rPr>
            </w:pPr>
            <w:r w:rsidRPr="0072678C">
              <w:rPr>
                <w:rFonts w:asciiTheme="minorHAnsi" w:hAnsiTheme="minorHAnsi" w:cstheme="minorHAnsi"/>
                <w:sz w:val="20"/>
              </w:rPr>
              <w:lastRenderedPageBreak/>
              <w:t>III- Administração Financeira e Gasto Público (AF)</w:t>
            </w:r>
          </w:p>
        </w:tc>
        <w:tc>
          <w:tcPr>
            <w:tcW w:w="4394" w:type="dxa"/>
            <w:shd w:val="clear" w:color="auto" w:fill="D9E2F3" w:themeFill="accent5" w:themeFillTint="33"/>
          </w:tcPr>
          <w:p w:rsidR="00D37B27" w:rsidRPr="0072678C" w:rsidRDefault="00D37B27" w:rsidP="00985FA2">
            <w:pPr>
              <w:shd w:val="clear" w:color="auto" w:fill="B4C6E7" w:themeFill="accent5" w:themeFillTint="66"/>
              <w:spacing w:before="60" w:after="60"/>
              <w:ind w:left="456" w:hanging="456"/>
              <w:rPr>
                <w:rFonts w:asciiTheme="minorHAnsi" w:hAnsiTheme="minorHAnsi" w:cstheme="minorHAnsi"/>
                <w:sz w:val="20"/>
              </w:rPr>
            </w:pPr>
            <w:r w:rsidRPr="0072678C">
              <w:rPr>
                <w:rFonts w:asciiTheme="minorHAnsi" w:hAnsiTheme="minorHAnsi" w:cstheme="minorHAnsi"/>
                <w:sz w:val="20"/>
              </w:rPr>
              <w:t>AF 1. Planejamento e Execução Orçamentária</w:t>
            </w:r>
          </w:p>
          <w:p w:rsidR="00D37B27" w:rsidRPr="0072678C" w:rsidRDefault="00D37B27" w:rsidP="00985FA2">
            <w:pPr>
              <w:spacing w:before="60" w:after="60"/>
              <w:ind w:left="456" w:hanging="456"/>
              <w:rPr>
                <w:rFonts w:asciiTheme="minorHAnsi" w:hAnsiTheme="minorHAnsi" w:cstheme="minorHAnsi"/>
                <w:sz w:val="20"/>
              </w:rPr>
            </w:pPr>
            <w:r w:rsidRPr="0072678C">
              <w:rPr>
                <w:rFonts w:asciiTheme="minorHAnsi" w:hAnsiTheme="minorHAnsi" w:cstheme="minorHAnsi"/>
                <w:sz w:val="20"/>
              </w:rPr>
              <w:t xml:space="preserve">AF 2. </w:t>
            </w:r>
            <w:proofErr w:type="gramStart"/>
            <w:r w:rsidRPr="0072678C">
              <w:rPr>
                <w:rFonts w:asciiTheme="minorHAnsi" w:hAnsiTheme="minorHAnsi" w:cstheme="minorHAnsi"/>
                <w:sz w:val="20"/>
              </w:rPr>
              <w:t>Políticas, Programação e Execução Financeira</w:t>
            </w:r>
            <w:proofErr w:type="gramEnd"/>
          </w:p>
          <w:p w:rsidR="00D37B27" w:rsidRPr="0072678C" w:rsidRDefault="00D37B27" w:rsidP="00985FA2">
            <w:pPr>
              <w:spacing w:before="60" w:after="60"/>
              <w:ind w:left="456" w:hanging="456"/>
              <w:rPr>
                <w:rFonts w:asciiTheme="minorHAnsi" w:hAnsiTheme="minorHAnsi" w:cstheme="minorHAnsi"/>
                <w:sz w:val="20"/>
              </w:rPr>
            </w:pPr>
            <w:r w:rsidRPr="0072678C">
              <w:rPr>
                <w:rFonts w:asciiTheme="minorHAnsi" w:hAnsiTheme="minorHAnsi" w:cstheme="minorHAnsi"/>
                <w:sz w:val="20"/>
              </w:rPr>
              <w:t>AF 3. Gestão de Ativos e Passivos</w:t>
            </w:r>
          </w:p>
          <w:p w:rsidR="00D37B27" w:rsidRPr="0072678C" w:rsidRDefault="00D37B27" w:rsidP="00985FA2">
            <w:pPr>
              <w:spacing w:before="60" w:after="60"/>
              <w:ind w:left="456" w:hanging="456"/>
              <w:rPr>
                <w:rFonts w:asciiTheme="minorHAnsi" w:hAnsiTheme="minorHAnsi" w:cstheme="minorHAnsi"/>
                <w:sz w:val="20"/>
              </w:rPr>
            </w:pPr>
            <w:r w:rsidRPr="0072678C">
              <w:rPr>
                <w:rFonts w:asciiTheme="minorHAnsi" w:hAnsiTheme="minorHAnsi" w:cstheme="minorHAnsi"/>
                <w:sz w:val="20"/>
              </w:rPr>
              <w:t>AF 4. Gestão Contábil</w:t>
            </w:r>
          </w:p>
          <w:p w:rsidR="00D37B27" w:rsidRPr="0072678C" w:rsidRDefault="00D37B27" w:rsidP="00985FA2">
            <w:pPr>
              <w:spacing w:before="60" w:after="60"/>
              <w:ind w:left="456" w:hanging="456"/>
              <w:rPr>
                <w:rFonts w:asciiTheme="minorHAnsi" w:hAnsiTheme="minorHAnsi" w:cstheme="minorHAnsi"/>
                <w:sz w:val="20"/>
              </w:rPr>
            </w:pPr>
            <w:r w:rsidRPr="0072678C">
              <w:rPr>
                <w:rFonts w:asciiTheme="minorHAnsi" w:hAnsiTheme="minorHAnsi" w:cstheme="minorHAnsi"/>
                <w:sz w:val="20"/>
              </w:rPr>
              <w:t>AF 5. Gestão da Dívida Pública</w:t>
            </w:r>
          </w:p>
          <w:p w:rsidR="00D37B27" w:rsidRPr="0072678C" w:rsidRDefault="00D37B27" w:rsidP="00985FA2">
            <w:pPr>
              <w:spacing w:before="60" w:after="60"/>
              <w:ind w:left="456" w:hanging="456"/>
              <w:rPr>
                <w:rFonts w:asciiTheme="minorHAnsi" w:hAnsiTheme="minorHAnsi" w:cstheme="minorHAnsi"/>
                <w:sz w:val="20"/>
              </w:rPr>
            </w:pPr>
            <w:r w:rsidRPr="0072678C">
              <w:rPr>
                <w:rFonts w:asciiTheme="minorHAnsi" w:hAnsiTheme="minorHAnsi" w:cstheme="minorHAnsi"/>
                <w:sz w:val="20"/>
              </w:rPr>
              <w:t>AF 6. Gestão de Custos e Gastos Públicos</w:t>
            </w:r>
          </w:p>
        </w:tc>
      </w:tr>
    </w:tbl>
    <w:p w:rsidR="00D37B27" w:rsidRPr="0072678C" w:rsidRDefault="00D37B27" w:rsidP="00D37B27">
      <w:pPr>
        <w:ind w:left="567"/>
        <w:jc w:val="both"/>
        <w:rPr>
          <w:rFonts w:asciiTheme="minorHAnsi" w:hAnsiTheme="minorHAnsi" w:cstheme="minorHAnsi"/>
          <w:sz w:val="20"/>
          <w:szCs w:val="22"/>
        </w:rPr>
      </w:pPr>
      <w:r w:rsidRPr="0072678C">
        <w:rPr>
          <w:rFonts w:asciiTheme="minorHAnsi" w:hAnsiTheme="minorHAnsi" w:cstheme="minorHAnsi"/>
          <w:sz w:val="20"/>
          <w:szCs w:val="22"/>
        </w:rPr>
        <w:t>Fonte: MD-GEFIS</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As primeiras dimensões de cada Eixo são transversais, ou seja, impactam e determinam as demais. São elas: GF 1- Governança Pública; AT 1- Políticas e Gasto Tributário; e, AF 1- Planejamento e Execução Orçamentária.</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 xml:space="preserve">Também, cada Eixo contempla Dimensões de maior interação e visibilidade na sociedade: </w:t>
      </w:r>
    </w:p>
    <w:p w:rsidR="00D37B27" w:rsidRPr="0072678C" w:rsidRDefault="00D37B27" w:rsidP="0030551B">
      <w:pPr>
        <w:pStyle w:val="ListParagraph"/>
        <w:numPr>
          <w:ilvl w:val="0"/>
          <w:numId w:val="8"/>
        </w:num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No Eixo I-Gestão Fazendária e Transparência Fiscal, a Dimensão GF 6- Transparência e Cidadania Fiscal;</w:t>
      </w:r>
    </w:p>
    <w:p w:rsidR="00D37B27" w:rsidRPr="0072678C" w:rsidRDefault="00D37B27" w:rsidP="0030551B">
      <w:pPr>
        <w:pStyle w:val="ListParagraph"/>
        <w:numPr>
          <w:ilvl w:val="0"/>
          <w:numId w:val="8"/>
        </w:num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No Eixo II-Administração Tributária e Contencioso Fiscal, as Dimensões AT 4- Contencioso Fiscal; AT 5- Serviços ao Contribuinte; e, AT 6- Cobrança e Arrecadação;</w:t>
      </w:r>
    </w:p>
    <w:p w:rsidR="00D37B27" w:rsidRPr="0072678C" w:rsidRDefault="00D37B27" w:rsidP="0030551B">
      <w:pPr>
        <w:pStyle w:val="ListParagraph"/>
        <w:numPr>
          <w:ilvl w:val="0"/>
          <w:numId w:val="8"/>
        </w:numPr>
        <w:spacing w:before="240" w:after="240"/>
        <w:jc w:val="both"/>
        <w:rPr>
          <w:rFonts w:asciiTheme="minorHAnsi" w:hAnsiTheme="minorHAnsi" w:cstheme="minorHAnsi"/>
          <w:sz w:val="22"/>
          <w:szCs w:val="22"/>
        </w:rPr>
      </w:pPr>
      <w:r w:rsidRPr="0072678C">
        <w:rPr>
          <w:rFonts w:asciiTheme="minorHAnsi" w:hAnsiTheme="minorHAnsi" w:cstheme="minorHAnsi"/>
          <w:sz w:val="22"/>
          <w:szCs w:val="22"/>
        </w:rPr>
        <w:t xml:space="preserve">No Eixo III-Administração Financeira e Gasto Público, as Dimensões AF 5- Gestão da Dívida Pública; e, AF 6. Gestão de Custos e Gastos Públicos. </w:t>
      </w:r>
    </w:p>
    <w:p w:rsidR="00D37B27" w:rsidRPr="0072678C" w:rsidRDefault="00D37B27" w:rsidP="00D37B27">
      <w:pPr>
        <w:spacing w:before="240" w:after="240"/>
        <w:ind w:left="567"/>
        <w:jc w:val="both"/>
        <w:rPr>
          <w:rFonts w:asciiTheme="minorHAnsi" w:hAnsiTheme="minorHAnsi" w:cstheme="minorHAnsi"/>
          <w:sz w:val="22"/>
          <w:szCs w:val="22"/>
        </w:rPr>
      </w:pPr>
      <w:r w:rsidRPr="0072678C">
        <w:rPr>
          <w:rFonts w:asciiTheme="minorHAnsi" w:hAnsiTheme="minorHAnsi" w:cstheme="minorHAnsi"/>
          <w:sz w:val="22"/>
          <w:szCs w:val="22"/>
        </w:rPr>
        <w:t xml:space="preserve">Todas as demais Dimensões tratam dos Processos internos da gestão fiscal. </w:t>
      </w:r>
    </w:p>
    <w:p w:rsidR="00D37B27" w:rsidRPr="0072678C" w:rsidRDefault="00D37B27" w:rsidP="00200DA7">
      <w:pPr>
        <w:pStyle w:val="ListParagraph"/>
        <w:numPr>
          <w:ilvl w:val="0"/>
          <w:numId w:val="2"/>
        </w:numPr>
        <w:spacing w:before="240" w:after="240"/>
        <w:ind w:left="851" w:hanging="284"/>
        <w:jc w:val="both"/>
        <w:outlineLvl w:val="0"/>
        <w:rPr>
          <w:rFonts w:asciiTheme="minorHAnsi" w:hAnsiTheme="minorHAnsi" w:cstheme="minorHAnsi"/>
          <w:b/>
          <w:sz w:val="22"/>
          <w:szCs w:val="22"/>
        </w:rPr>
      </w:pPr>
      <w:bookmarkStart w:id="40" w:name="_Toc518058466"/>
      <w:r w:rsidRPr="0072678C">
        <w:rPr>
          <w:rFonts w:asciiTheme="minorHAnsi" w:hAnsiTheme="minorHAnsi" w:cstheme="minorHAnsi"/>
          <w:b/>
          <w:sz w:val="22"/>
          <w:szCs w:val="22"/>
        </w:rPr>
        <w:t>Sistema de medição</w:t>
      </w:r>
      <w:bookmarkEnd w:id="40"/>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 xml:space="preserve">A estrutura de medição proposta pela MD-GEFIS contempla três níveis de análise. </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O primeiro nível de medição verifica a Maturidade dos Processos críticos da gestão fiscal. O segundo nível apura o Desempenho da gestão fiscal por meio de indicadores estabelecidos para cada Dimensão crítica. O terceiro nível compreende a avaliação de impacto que será realizada por uma entidade externa para garantir a desvinculação e isenção do processo, não sendo objeto deste relatório.</w:t>
      </w:r>
    </w:p>
    <w:p w:rsidR="00D37B27" w:rsidRPr="0072678C" w:rsidRDefault="00D37B27" w:rsidP="0069119E">
      <w:pPr>
        <w:spacing w:before="240" w:after="120"/>
        <w:jc w:val="both"/>
        <w:rPr>
          <w:rFonts w:asciiTheme="minorHAnsi" w:hAnsiTheme="minorHAnsi" w:cstheme="minorHAnsi"/>
          <w:bCs/>
          <w:sz w:val="22"/>
          <w:szCs w:val="22"/>
        </w:rPr>
      </w:pPr>
      <w:r w:rsidRPr="0072678C">
        <w:rPr>
          <w:rFonts w:asciiTheme="minorHAnsi" w:hAnsiTheme="minorHAnsi" w:cstheme="minorHAnsi"/>
          <w:sz w:val="22"/>
          <w:szCs w:val="22"/>
        </w:rPr>
        <w:t xml:space="preserve">Para mensuração da Maturidade, cada Dimensão foi detalhada em </w:t>
      </w:r>
      <w:r w:rsidRPr="0072678C">
        <w:rPr>
          <w:rFonts w:asciiTheme="minorHAnsi" w:hAnsiTheme="minorHAnsi" w:cstheme="minorHAnsi"/>
          <w:bCs/>
          <w:sz w:val="22"/>
          <w:szCs w:val="22"/>
        </w:rPr>
        <w:t>seus Processos críticos. Para cada Processo, foram descritos Requisitos do nível mais elevado de Maturidade. Estes Requisitos foram selecionados com base nas melhores práticas</w:t>
      </w:r>
      <w:r w:rsidRPr="0072678C">
        <w:rPr>
          <w:rFonts w:asciiTheme="minorHAnsi" w:hAnsiTheme="minorHAnsi" w:cstheme="minorHAnsi"/>
          <w:sz w:val="22"/>
          <w:szCs w:val="22"/>
        </w:rPr>
        <w:t xml:space="preserve">, nacionais e internacionais </w:t>
      </w:r>
      <w:r w:rsidRPr="0072678C">
        <w:rPr>
          <w:rFonts w:asciiTheme="minorHAnsi" w:hAnsiTheme="minorHAnsi" w:cstheme="minorHAnsi"/>
          <w:bCs/>
          <w:sz w:val="22"/>
          <w:szCs w:val="22"/>
        </w:rPr>
        <w:t>e numa visão de futuro da gestão fiscal.</w:t>
      </w:r>
    </w:p>
    <w:p w:rsidR="00253536" w:rsidRPr="0072678C" w:rsidRDefault="00253536">
      <w:pPr>
        <w:spacing w:after="160" w:line="259" w:lineRule="auto"/>
        <w:rPr>
          <w:rFonts w:asciiTheme="minorHAnsi" w:hAnsiTheme="minorHAnsi" w:cstheme="minorHAnsi"/>
          <w:bCs/>
          <w:sz w:val="22"/>
          <w:szCs w:val="22"/>
        </w:rPr>
      </w:pPr>
      <w:r w:rsidRPr="0072678C">
        <w:rPr>
          <w:rFonts w:asciiTheme="minorHAnsi" w:hAnsiTheme="minorHAnsi" w:cstheme="minorHAnsi"/>
          <w:bCs/>
          <w:sz w:val="22"/>
          <w:szCs w:val="22"/>
        </w:rPr>
        <w:br w:type="page"/>
      </w:r>
    </w:p>
    <w:p w:rsidR="00253536" w:rsidRPr="0072678C" w:rsidRDefault="00253536" w:rsidP="0069119E">
      <w:pPr>
        <w:spacing w:before="240" w:after="120"/>
        <w:jc w:val="both"/>
        <w:rPr>
          <w:rFonts w:asciiTheme="minorHAnsi" w:hAnsiTheme="minorHAnsi" w:cstheme="minorHAnsi"/>
          <w:bCs/>
          <w:sz w:val="22"/>
          <w:szCs w:val="22"/>
        </w:rPr>
      </w:pPr>
    </w:p>
    <w:p w:rsidR="00D37B27" w:rsidRPr="0072678C" w:rsidRDefault="00D37B27" w:rsidP="0069119E">
      <w:pPr>
        <w:spacing w:before="240" w:after="120"/>
        <w:jc w:val="both"/>
        <w:rPr>
          <w:rFonts w:asciiTheme="minorHAnsi" w:hAnsiTheme="minorHAnsi" w:cstheme="minorHAnsi"/>
          <w:bCs/>
          <w:sz w:val="22"/>
          <w:szCs w:val="22"/>
        </w:rPr>
      </w:pPr>
      <w:r w:rsidRPr="0072678C">
        <w:rPr>
          <w:rFonts w:asciiTheme="minorHAnsi" w:hAnsiTheme="minorHAnsi" w:cstheme="minorHAnsi"/>
          <w:bCs/>
          <w:sz w:val="22"/>
          <w:szCs w:val="22"/>
        </w:rPr>
        <w:t xml:space="preserve">Foram identificados 145 Processos críticos e 1.091 Requisitos de boas práticas, cuja distribuição encontra-se na </w:t>
      </w:r>
      <w:r w:rsidRPr="0072678C">
        <w:rPr>
          <w:rFonts w:asciiTheme="minorHAnsi" w:hAnsiTheme="minorHAnsi" w:cstheme="minorHAnsi"/>
          <w:b/>
          <w:bCs/>
          <w:sz w:val="22"/>
          <w:szCs w:val="22"/>
        </w:rPr>
        <w:t xml:space="preserve">Quadro </w:t>
      </w:r>
      <w:r w:rsidR="003B190F" w:rsidRPr="0072678C">
        <w:rPr>
          <w:rFonts w:asciiTheme="minorHAnsi" w:hAnsiTheme="minorHAnsi" w:cstheme="minorHAnsi"/>
          <w:b/>
          <w:bCs/>
          <w:sz w:val="22"/>
          <w:szCs w:val="22"/>
        </w:rPr>
        <w:t>6</w:t>
      </w:r>
      <w:r w:rsidRPr="0072678C">
        <w:rPr>
          <w:rFonts w:asciiTheme="minorHAnsi" w:hAnsiTheme="minorHAnsi" w:cstheme="minorHAnsi"/>
          <w:bCs/>
          <w:sz w:val="22"/>
          <w:szCs w:val="22"/>
        </w:rPr>
        <w:t xml:space="preserve">, a seguir: </w:t>
      </w:r>
    </w:p>
    <w:p w:rsidR="00D37B27" w:rsidRPr="0072678C" w:rsidRDefault="00D37B27" w:rsidP="00D37B27">
      <w:pPr>
        <w:spacing w:before="240" w:after="60"/>
        <w:ind w:left="567"/>
        <w:jc w:val="center"/>
        <w:rPr>
          <w:rFonts w:asciiTheme="minorHAnsi" w:hAnsiTheme="minorHAnsi" w:cstheme="minorHAnsi"/>
          <w:bCs/>
          <w:sz w:val="22"/>
          <w:szCs w:val="22"/>
        </w:rPr>
      </w:pPr>
      <w:r w:rsidRPr="0072678C">
        <w:rPr>
          <w:rFonts w:asciiTheme="minorHAnsi" w:hAnsiTheme="minorHAnsi" w:cstheme="minorHAnsi"/>
          <w:b/>
          <w:bCs/>
          <w:sz w:val="22"/>
          <w:szCs w:val="22"/>
        </w:rPr>
        <w:t xml:space="preserve">Quadro </w:t>
      </w:r>
      <w:r w:rsidR="003B190F" w:rsidRPr="0072678C">
        <w:rPr>
          <w:rFonts w:asciiTheme="minorHAnsi" w:hAnsiTheme="minorHAnsi" w:cstheme="minorHAnsi"/>
          <w:b/>
          <w:bCs/>
          <w:sz w:val="22"/>
          <w:szCs w:val="22"/>
        </w:rPr>
        <w:t>6</w:t>
      </w:r>
      <w:r w:rsidRPr="0072678C">
        <w:rPr>
          <w:rFonts w:asciiTheme="minorHAnsi" w:hAnsiTheme="minorHAnsi" w:cstheme="minorHAnsi"/>
          <w:b/>
          <w:bCs/>
          <w:sz w:val="22"/>
          <w:szCs w:val="22"/>
        </w:rPr>
        <w:t>-</w:t>
      </w:r>
      <w:r w:rsidRPr="0072678C">
        <w:rPr>
          <w:rFonts w:asciiTheme="minorHAnsi" w:hAnsiTheme="minorHAnsi" w:cstheme="minorHAnsi"/>
          <w:bCs/>
          <w:sz w:val="22"/>
          <w:szCs w:val="22"/>
        </w:rPr>
        <w:t xml:space="preserve"> Processos críticos e Requisitos por Eixo da gestão fiscal</w:t>
      </w:r>
    </w:p>
    <w:tbl>
      <w:tblPr>
        <w:tblStyle w:val="TableGrid"/>
        <w:tblW w:w="0" w:type="auto"/>
        <w:tblInd w:w="567" w:type="dxa"/>
        <w:tblLook w:val="04A0" w:firstRow="1" w:lastRow="0" w:firstColumn="1" w:lastColumn="0" w:noHBand="0" w:noVBand="1"/>
      </w:tblPr>
      <w:tblGrid>
        <w:gridCol w:w="4644"/>
        <w:gridCol w:w="1560"/>
        <w:gridCol w:w="1949"/>
      </w:tblGrid>
      <w:tr w:rsidR="00D37B27" w:rsidRPr="0072678C" w:rsidTr="00985FA2">
        <w:tc>
          <w:tcPr>
            <w:tcW w:w="4644" w:type="dxa"/>
            <w:shd w:val="clear" w:color="auto" w:fill="F2F2F2" w:themeFill="background1" w:themeFillShade="F2"/>
            <w:vAlign w:val="center"/>
          </w:tcPr>
          <w:p w:rsidR="00D37B27" w:rsidRPr="0072678C" w:rsidRDefault="00D37B27" w:rsidP="00985FA2">
            <w:pPr>
              <w:jc w:val="center"/>
              <w:rPr>
                <w:rFonts w:asciiTheme="minorHAnsi" w:hAnsiTheme="minorHAnsi" w:cstheme="minorHAnsi"/>
                <w:b/>
                <w:sz w:val="20"/>
              </w:rPr>
            </w:pPr>
            <w:r w:rsidRPr="0072678C">
              <w:rPr>
                <w:rFonts w:asciiTheme="minorHAnsi" w:hAnsiTheme="minorHAnsi" w:cstheme="minorHAnsi"/>
                <w:b/>
                <w:sz w:val="20"/>
              </w:rPr>
              <w:t>Eixo</w:t>
            </w:r>
          </w:p>
        </w:tc>
        <w:tc>
          <w:tcPr>
            <w:tcW w:w="1560" w:type="dxa"/>
            <w:shd w:val="clear" w:color="auto" w:fill="F2F2F2" w:themeFill="background1" w:themeFillShade="F2"/>
            <w:vAlign w:val="center"/>
          </w:tcPr>
          <w:p w:rsidR="00D37B27" w:rsidRPr="0072678C" w:rsidRDefault="00D37B27" w:rsidP="00985FA2">
            <w:pPr>
              <w:jc w:val="center"/>
              <w:rPr>
                <w:rFonts w:asciiTheme="minorHAnsi" w:hAnsiTheme="minorHAnsi" w:cstheme="minorHAnsi"/>
                <w:b/>
                <w:sz w:val="20"/>
              </w:rPr>
            </w:pPr>
            <w:r w:rsidRPr="0072678C">
              <w:rPr>
                <w:rFonts w:asciiTheme="minorHAnsi" w:hAnsiTheme="minorHAnsi" w:cstheme="minorHAnsi"/>
                <w:b/>
                <w:sz w:val="20"/>
              </w:rPr>
              <w:t>Quantidade de Processos críticos</w:t>
            </w:r>
          </w:p>
        </w:tc>
        <w:tc>
          <w:tcPr>
            <w:tcW w:w="1949" w:type="dxa"/>
            <w:shd w:val="clear" w:color="auto" w:fill="F2F2F2" w:themeFill="background1" w:themeFillShade="F2"/>
            <w:vAlign w:val="center"/>
          </w:tcPr>
          <w:p w:rsidR="00D37B27" w:rsidRPr="0072678C" w:rsidRDefault="00D37B27" w:rsidP="00985FA2">
            <w:pPr>
              <w:jc w:val="center"/>
              <w:rPr>
                <w:rFonts w:asciiTheme="minorHAnsi" w:hAnsiTheme="minorHAnsi" w:cstheme="minorHAnsi"/>
                <w:b/>
                <w:sz w:val="20"/>
              </w:rPr>
            </w:pPr>
            <w:r w:rsidRPr="0072678C">
              <w:rPr>
                <w:rFonts w:asciiTheme="minorHAnsi" w:hAnsiTheme="minorHAnsi" w:cstheme="minorHAnsi"/>
                <w:b/>
                <w:sz w:val="20"/>
              </w:rPr>
              <w:t>Quantidade de Requisitos (melhores práticas)</w:t>
            </w:r>
          </w:p>
        </w:tc>
      </w:tr>
      <w:tr w:rsidR="00D37B27" w:rsidRPr="0072678C" w:rsidTr="00985FA2">
        <w:tc>
          <w:tcPr>
            <w:tcW w:w="4644" w:type="dxa"/>
            <w:vAlign w:val="center"/>
          </w:tcPr>
          <w:p w:rsidR="00D37B27" w:rsidRPr="0072678C" w:rsidRDefault="00D37B27" w:rsidP="00985FA2">
            <w:pPr>
              <w:rPr>
                <w:rFonts w:asciiTheme="minorHAnsi" w:hAnsiTheme="minorHAnsi" w:cstheme="minorHAnsi"/>
                <w:sz w:val="20"/>
              </w:rPr>
            </w:pPr>
            <w:r w:rsidRPr="0072678C">
              <w:rPr>
                <w:rFonts w:asciiTheme="minorHAnsi" w:hAnsiTheme="minorHAnsi" w:cstheme="minorHAnsi"/>
                <w:sz w:val="20"/>
              </w:rPr>
              <w:t>I- Gestão Fazendária e Transparência Fiscal (GF)</w:t>
            </w:r>
          </w:p>
        </w:tc>
        <w:tc>
          <w:tcPr>
            <w:tcW w:w="1560" w:type="dxa"/>
            <w:vAlign w:val="center"/>
          </w:tcPr>
          <w:p w:rsidR="00D37B27" w:rsidRPr="0072678C" w:rsidRDefault="00D37B27" w:rsidP="00985FA2">
            <w:pPr>
              <w:jc w:val="center"/>
              <w:rPr>
                <w:rFonts w:asciiTheme="minorHAnsi" w:hAnsiTheme="minorHAnsi" w:cstheme="minorHAnsi"/>
                <w:sz w:val="20"/>
              </w:rPr>
            </w:pPr>
            <w:r w:rsidRPr="0072678C">
              <w:rPr>
                <w:rFonts w:asciiTheme="minorHAnsi" w:hAnsiTheme="minorHAnsi" w:cstheme="minorHAnsi"/>
                <w:sz w:val="20"/>
              </w:rPr>
              <w:t>55</w:t>
            </w:r>
          </w:p>
        </w:tc>
        <w:tc>
          <w:tcPr>
            <w:tcW w:w="1949" w:type="dxa"/>
            <w:vAlign w:val="center"/>
          </w:tcPr>
          <w:p w:rsidR="00D37B27" w:rsidRPr="0072678C" w:rsidRDefault="00D37B27" w:rsidP="00985FA2">
            <w:pPr>
              <w:jc w:val="center"/>
              <w:rPr>
                <w:rFonts w:asciiTheme="minorHAnsi" w:hAnsiTheme="minorHAnsi" w:cstheme="minorHAnsi"/>
                <w:sz w:val="20"/>
              </w:rPr>
            </w:pPr>
            <w:r w:rsidRPr="0072678C">
              <w:rPr>
                <w:rFonts w:asciiTheme="minorHAnsi" w:hAnsiTheme="minorHAnsi" w:cstheme="minorHAnsi"/>
                <w:sz w:val="20"/>
              </w:rPr>
              <w:t>379</w:t>
            </w:r>
          </w:p>
        </w:tc>
      </w:tr>
      <w:tr w:rsidR="00D37B27" w:rsidRPr="0072678C" w:rsidTr="00985FA2">
        <w:tc>
          <w:tcPr>
            <w:tcW w:w="4644" w:type="dxa"/>
            <w:vAlign w:val="center"/>
          </w:tcPr>
          <w:p w:rsidR="00D37B27" w:rsidRPr="0072678C" w:rsidRDefault="00D37B27" w:rsidP="00985FA2">
            <w:pPr>
              <w:rPr>
                <w:rFonts w:asciiTheme="minorHAnsi" w:hAnsiTheme="minorHAnsi" w:cstheme="minorHAnsi"/>
                <w:sz w:val="20"/>
              </w:rPr>
            </w:pPr>
            <w:r w:rsidRPr="0072678C">
              <w:rPr>
                <w:rFonts w:asciiTheme="minorHAnsi" w:hAnsiTheme="minorHAnsi" w:cstheme="minorHAnsi"/>
                <w:sz w:val="20"/>
              </w:rPr>
              <w:t>II- Administração Tributária e Contencioso Fiscal (AT)</w:t>
            </w:r>
          </w:p>
        </w:tc>
        <w:tc>
          <w:tcPr>
            <w:tcW w:w="1560" w:type="dxa"/>
            <w:vAlign w:val="center"/>
          </w:tcPr>
          <w:p w:rsidR="00D37B27" w:rsidRPr="0072678C" w:rsidRDefault="003677BC" w:rsidP="00985FA2">
            <w:pPr>
              <w:jc w:val="center"/>
              <w:rPr>
                <w:rFonts w:asciiTheme="minorHAnsi" w:hAnsiTheme="minorHAnsi" w:cstheme="minorHAnsi"/>
                <w:sz w:val="20"/>
              </w:rPr>
            </w:pPr>
            <w:r w:rsidRPr="0072678C">
              <w:rPr>
                <w:rFonts w:asciiTheme="minorHAnsi" w:hAnsiTheme="minorHAnsi" w:cstheme="minorHAnsi"/>
                <w:sz w:val="20"/>
              </w:rPr>
              <w:fldChar w:fldCharType="begin"/>
            </w:r>
            <w:r w:rsidR="00D37B27" w:rsidRPr="0072678C">
              <w:rPr>
                <w:rFonts w:asciiTheme="minorHAnsi" w:hAnsiTheme="minorHAnsi" w:cstheme="minorHAnsi"/>
                <w:sz w:val="20"/>
              </w:rPr>
              <w:instrText xml:space="preserve"> =SUM(ABOVE) </w:instrText>
            </w:r>
            <w:r w:rsidRPr="0072678C">
              <w:rPr>
                <w:rFonts w:asciiTheme="minorHAnsi" w:hAnsiTheme="minorHAnsi" w:cstheme="minorHAnsi"/>
                <w:sz w:val="20"/>
              </w:rPr>
              <w:fldChar w:fldCharType="separate"/>
            </w:r>
            <w:r w:rsidR="00D37B27" w:rsidRPr="0072678C">
              <w:rPr>
                <w:rFonts w:asciiTheme="minorHAnsi" w:hAnsiTheme="minorHAnsi" w:cstheme="minorHAnsi"/>
                <w:sz w:val="20"/>
              </w:rPr>
              <w:t>39</w:t>
            </w:r>
            <w:r w:rsidRPr="0072678C">
              <w:rPr>
                <w:rFonts w:asciiTheme="minorHAnsi" w:hAnsiTheme="minorHAnsi" w:cstheme="minorHAnsi"/>
                <w:sz w:val="20"/>
              </w:rPr>
              <w:fldChar w:fldCharType="end"/>
            </w:r>
          </w:p>
        </w:tc>
        <w:tc>
          <w:tcPr>
            <w:tcW w:w="1949" w:type="dxa"/>
            <w:vAlign w:val="center"/>
          </w:tcPr>
          <w:p w:rsidR="00D37B27" w:rsidRPr="0072678C" w:rsidRDefault="003677BC" w:rsidP="00985FA2">
            <w:pPr>
              <w:jc w:val="center"/>
              <w:rPr>
                <w:rFonts w:asciiTheme="minorHAnsi" w:hAnsiTheme="minorHAnsi" w:cstheme="minorHAnsi"/>
                <w:sz w:val="20"/>
              </w:rPr>
            </w:pPr>
            <w:r w:rsidRPr="0072678C">
              <w:rPr>
                <w:rFonts w:asciiTheme="minorHAnsi" w:hAnsiTheme="minorHAnsi" w:cstheme="minorHAnsi"/>
                <w:sz w:val="20"/>
              </w:rPr>
              <w:fldChar w:fldCharType="begin"/>
            </w:r>
            <w:r w:rsidR="00D37B27" w:rsidRPr="0072678C">
              <w:rPr>
                <w:rFonts w:asciiTheme="minorHAnsi" w:hAnsiTheme="minorHAnsi" w:cstheme="minorHAnsi"/>
                <w:sz w:val="20"/>
              </w:rPr>
              <w:instrText xml:space="preserve"> =SUM(ABOVE) </w:instrText>
            </w:r>
            <w:r w:rsidRPr="0072678C">
              <w:rPr>
                <w:rFonts w:asciiTheme="minorHAnsi" w:hAnsiTheme="minorHAnsi" w:cstheme="minorHAnsi"/>
                <w:sz w:val="20"/>
              </w:rPr>
              <w:fldChar w:fldCharType="separate"/>
            </w:r>
            <w:r w:rsidR="00D37B27" w:rsidRPr="0072678C">
              <w:rPr>
                <w:rFonts w:asciiTheme="minorHAnsi" w:hAnsiTheme="minorHAnsi" w:cstheme="minorHAnsi"/>
                <w:sz w:val="20"/>
              </w:rPr>
              <w:t>323</w:t>
            </w:r>
            <w:r w:rsidRPr="0072678C">
              <w:rPr>
                <w:rFonts w:asciiTheme="minorHAnsi" w:hAnsiTheme="minorHAnsi" w:cstheme="minorHAnsi"/>
                <w:sz w:val="20"/>
              </w:rPr>
              <w:fldChar w:fldCharType="end"/>
            </w:r>
          </w:p>
        </w:tc>
      </w:tr>
      <w:tr w:rsidR="00D37B27" w:rsidRPr="0072678C" w:rsidTr="00985FA2">
        <w:tc>
          <w:tcPr>
            <w:tcW w:w="4644" w:type="dxa"/>
            <w:vAlign w:val="center"/>
          </w:tcPr>
          <w:p w:rsidR="00D37B27" w:rsidRPr="0072678C" w:rsidRDefault="00D37B27" w:rsidP="00985FA2">
            <w:pPr>
              <w:rPr>
                <w:rFonts w:asciiTheme="minorHAnsi" w:hAnsiTheme="minorHAnsi" w:cstheme="minorHAnsi"/>
                <w:sz w:val="20"/>
              </w:rPr>
            </w:pPr>
            <w:r w:rsidRPr="0072678C">
              <w:rPr>
                <w:rFonts w:asciiTheme="minorHAnsi" w:hAnsiTheme="minorHAnsi" w:cstheme="minorHAnsi"/>
                <w:sz w:val="20"/>
              </w:rPr>
              <w:t>III- Administração Financeira e Gasto Público (AF)</w:t>
            </w:r>
          </w:p>
        </w:tc>
        <w:tc>
          <w:tcPr>
            <w:tcW w:w="1560" w:type="dxa"/>
            <w:vAlign w:val="center"/>
          </w:tcPr>
          <w:p w:rsidR="00D37B27" w:rsidRPr="0072678C" w:rsidRDefault="00D37B27" w:rsidP="00985FA2">
            <w:pPr>
              <w:jc w:val="center"/>
              <w:rPr>
                <w:rFonts w:asciiTheme="minorHAnsi" w:hAnsiTheme="minorHAnsi" w:cstheme="minorHAnsi"/>
                <w:sz w:val="20"/>
              </w:rPr>
            </w:pPr>
            <w:r w:rsidRPr="0072678C">
              <w:rPr>
                <w:rFonts w:asciiTheme="minorHAnsi" w:hAnsiTheme="minorHAnsi" w:cstheme="minorHAnsi"/>
                <w:sz w:val="20"/>
              </w:rPr>
              <w:t>51</w:t>
            </w:r>
          </w:p>
        </w:tc>
        <w:tc>
          <w:tcPr>
            <w:tcW w:w="1949" w:type="dxa"/>
            <w:vAlign w:val="center"/>
          </w:tcPr>
          <w:p w:rsidR="00D37B27" w:rsidRPr="0072678C" w:rsidRDefault="00D37B27" w:rsidP="00985FA2">
            <w:pPr>
              <w:jc w:val="center"/>
              <w:rPr>
                <w:rFonts w:asciiTheme="minorHAnsi" w:hAnsiTheme="minorHAnsi" w:cstheme="minorHAnsi"/>
                <w:sz w:val="20"/>
              </w:rPr>
            </w:pPr>
            <w:r w:rsidRPr="0072678C">
              <w:rPr>
                <w:rFonts w:asciiTheme="minorHAnsi" w:hAnsiTheme="minorHAnsi" w:cstheme="minorHAnsi"/>
                <w:sz w:val="20"/>
              </w:rPr>
              <w:t>389</w:t>
            </w:r>
          </w:p>
        </w:tc>
      </w:tr>
      <w:tr w:rsidR="00D37B27" w:rsidRPr="0072678C" w:rsidTr="00985FA2">
        <w:tc>
          <w:tcPr>
            <w:tcW w:w="4644" w:type="dxa"/>
            <w:vAlign w:val="center"/>
          </w:tcPr>
          <w:p w:rsidR="00D37B27" w:rsidRPr="0072678C" w:rsidRDefault="00D37B27" w:rsidP="00985FA2">
            <w:pPr>
              <w:jc w:val="center"/>
              <w:rPr>
                <w:rFonts w:asciiTheme="minorHAnsi" w:hAnsiTheme="minorHAnsi" w:cstheme="minorHAnsi"/>
                <w:b/>
                <w:sz w:val="20"/>
              </w:rPr>
            </w:pPr>
            <w:r w:rsidRPr="0072678C">
              <w:rPr>
                <w:rFonts w:asciiTheme="minorHAnsi" w:hAnsiTheme="minorHAnsi" w:cstheme="minorHAnsi"/>
                <w:b/>
                <w:sz w:val="20"/>
              </w:rPr>
              <w:t>Total</w:t>
            </w:r>
          </w:p>
        </w:tc>
        <w:tc>
          <w:tcPr>
            <w:tcW w:w="1560" w:type="dxa"/>
            <w:vAlign w:val="center"/>
          </w:tcPr>
          <w:p w:rsidR="00D37B27" w:rsidRPr="0072678C" w:rsidRDefault="003677BC" w:rsidP="00985FA2">
            <w:pPr>
              <w:jc w:val="center"/>
              <w:rPr>
                <w:rFonts w:asciiTheme="minorHAnsi" w:hAnsiTheme="minorHAnsi" w:cstheme="minorHAnsi"/>
                <w:b/>
                <w:sz w:val="20"/>
              </w:rPr>
            </w:pPr>
            <w:r w:rsidRPr="0072678C">
              <w:rPr>
                <w:rFonts w:asciiTheme="minorHAnsi" w:hAnsiTheme="minorHAnsi" w:cstheme="minorHAnsi"/>
                <w:b/>
                <w:sz w:val="20"/>
              </w:rPr>
              <w:fldChar w:fldCharType="begin"/>
            </w:r>
            <w:r w:rsidR="00D37B27" w:rsidRPr="0072678C">
              <w:rPr>
                <w:rFonts w:asciiTheme="minorHAnsi" w:hAnsiTheme="minorHAnsi" w:cstheme="minorHAnsi"/>
                <w:b/>
                <w:sz w:val="20"/>
              </w:rPr>
              <w:instrText xml:space="preserve"> =SUM(ABOVE) </w:instrText>
            </w:r>
            <w:r w:rsidRPr="0072678C">
              <w:rPr>
                <w:rFonts w:asciiTheme="minorHAnsi" w:hAnsiTheme="minorHAnsi" w:cstheme="minorHAnsi"/>
                <w:b/>
                <w:sz w:val="20"/>
              </w:rPr>
              <w:fldChar w:fldCharType="separate"/>
            </w:r>
            <w:r w:rsidR="00D37B27" w:rsidRPr="0072678C">
              <w:rPr>
                <w:rFonts w:asciiTheme="minorHAnsi" w:hAnsiTheme="minorHAnsi" w:cstheme="minorHAnsi"/>
                <w:b/>
                <w:sz w:val="20"/>
              </w:rPr>
              <w:t>145</w:t>
            </w:r>
            <w:r w:rsidRPr="0072678C">
              <w:rPr>
                <w:rFonts w:asciiTheme="minorHAnsi" w:hAnsiTheme="minorHAnsi" w:cstheme="minorHAnsi"/>
                <w:b/>
                <w:sz w:val="20"/>
              </w:rPr>
              <w:fldChar w:fldCharType="end"/>
            </w:r>
          </w:p>
        </w:tc>
        <w:tc>
          <w:tcPr>
            <w:tcW w:w="1949" w:type="dxa"/>
            <w:vAlign w:val="center"/>
          </w:tcPr>
          <w:p w:rsidR="00D37B27" w:rsidRPr="0072678C" w:rsidRDefault="003677BC" w:rsidP="00985FA2">
            <w:pPr>
              <w:jc w:val="center"/>
              <w:rPr>
                <w:rFonts w:asciiTheme="minorHAnsi" w:hAnsiTheme="minorHAnsi" w:cstheme="minorHAnsi"/>
                <w:b/>
                <w:sz w:val="20"/>
              </w:rPr>
            </w:pPr>
            <w:r w:rsidRPr="0072678C">
              <w:rPr>
                <w:rFonts w:asciiTheme="minorHAnsi" w:hAnsiTheme="minorHAnsi" w:cstheme="minorHAnsi"/>
                <w:b/>
                <w:sz w:val="20"/>
              </w:rPr>
              <w:fldChar w:fldCharType="begin"/>
            </w:r>
            <w:r w:rsidR="00D37B27" w:rsidRPr="0072678C">
              <w:rPr>
                <w:rFonts w:asciiTheme="minorHAnsi" w:hAnsiTheme="minorHAnsi" w:cstheme="minorHAnsi"/>
                <w:b/>
                <w:sz w:val="20"/>
              </w:rPr>
              <w:instrText xml:space="preserve"> =SUM(ABOVE) </w:instrText>
            </w:r>
            <w:r w:rsidRPr="0072678C">
              <w:rPr>
                <w:rFonts w:asciiTheme="minorHAnsi" w:hAnsiTheme="minorHAnsi" w:cstheme="minorHAnsi"/>
                <w:b/>
                <w:sz w:val="20"/>
              </w:rPr>
              <w:fldChar w:fldCharType="separate"/>
            </w:r>
            <w:r w:rsidR="00D37B27" w:rsidRPr="0072678C">
              <w:rPr>
                <w:rFonts w:asciiTheme="minorHAnsi" w:hAnsiTheme="minorHAnsi" w:cstheme="minorHAnsi"/>
                <w:b/>
                <w:sz w:val="20"/>
              </w:rPr>
              <w:t>1.091</w:t>
            </w:r>
            <w:r w:rsidRPr="0072678C">
              <w:rPr>
                <w:rFonts w:asciiTheme="minorHAnsi" w:hAnsiTheme="minorHAnsi" w:cstheme="minorHAnsi"/>
                <w:b/>
                <w:sz w:val="20"/>
              </w:rPr>
              <w:fldChar w:fldCharType="end"/>
            </w:r>
          </w:p>
        </w:tc>
      </w:tr>
    </w:tbl>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A medição dos avanços na Maturidade dos Processos é realizada por meio de respostas do tipo ‘sim’ ou ‘não’ que levam a uma pontuação de 0 (menor nível de avanço) a 3 (estado mais avançado), em relação aos Requisitos de melhor prática descritos para o Processo. Assim, as unidades da federação podem identificar quais e quantos Requisitos atendem e, consequentemente analisar o nível de Maturidade da gestão fiscal em cada Dimensão.</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Essa mensuração ajuda na identificação dos Processos nos quais é preciso avançar e uma visão das medidas que deverão ser adotadas para o progresso da Maturidade. Permite ainda identificar quais condições deverão estar satisfeitas para que se possa atingir níveis superiores de Maturidade, bem como definir estratégias e projetos para melhoria contínua desses Processos críticos.</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Já o nível de Maturidade de cada Dimensão é calculado de acordo com a proporção de Processos com maior nível de Maturidade (3), sendo estabelecidas restrições quando da existência de 1 ou mais Processos com o nível de Maturidade zero ou, ainda, com a proporção de Processos com nível de Maturidade 1.</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 xml:space="preserve">Assim, a metodologia estabelece uma escala crescente de Maturidade para a Dimensão composta de 6 níveis: Iniciante (-), Iniciante (+), Intermediário (-), Intermediário (+), Avançado (-) </w:t>
      </w:r>
      <w:proofErr w:type="gramStart"/>
      <w:r w:rsidRPr="0072678C">
        <w:rPr>
          <w:rFonts w:asciiTheme="minorHAnsi" w:hAnsiTheme="minorHAnsi" w:cstheme="minorHAnsi"/>
          <w:sz w:val="22"/>
          <w:szCs w:val="22"/>
        </w:rPr>
        <w:t>e Avançado</w:t>
      </w:r>
      <w:proofErr w:type="gramEnd"/>
      <w:r w:rsidRPr="0072678C">
        <w:rPr>
          <w:rFonts w:asciiTheme="minorHAnsi" w:hAnsiTheme="minorHAnsi" w:cstheme="minorHAnsi"/>
          <w:sz w:val="22"/>
          <w:szCs w:val="22"/>
        </w:rPr>
        <w:t xml:space="preserve"> (+).</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De outro lado, para medir o Desempenho foram selecionados indicadores para cada Dimensão, obrigatoriamente vinculados aos Processos listados. Para cada Dimensão, foram descritos em média quatro indicadores que avaliam quantitativamente os resultados alcançados com a Maturidade atual do conjunto dos Processos organizacionais (performance organizacional).</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A apuração dos níveis de Maturidade da gestão fiscal, juntamente com a apuração os indicadores de Desempenho selecionados, compõem a linha de base capaz de medir o progresso das iniciativas de modernização da gestão fiscal, geralmente focadas no aperfeiçoamento dos Processos operacionais.</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Ressalte-se que, devido à abrangência de cada Dimensão da gestão fiscal, os indicadores selecionados não contemplam os resultados de todos os seus Processos. Espera-se que, à medida que forem sendo conhecidos os comportamentos desses conjuntos de indicadores, bem como verificadas as vinculações com a Maturidade dos Processos, possa-se chegar a um conjunto mais eficaz de indicadores, ou mesmo à adoção de um índice capaz de expressar o Desempenho da Dimensão, de forma a considerar todo o conjunto de seus Processos operacionais.</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lastRenderedPageBreak/>
        <w:t xml:space="preserve">Com vistas à padronização e redução de ambiguidade na sua interpretação, os indicadores estão detalhados no documento da metodologia, contendo atributos tais como conceitos, dados, fontes, periodicidade e polaridade. </w:t>
      </w:r>
    </w:p>
    <w:p w:rsidR="00D37B27" w:rsidRPr="0072678C" w:rsidRDefault="00D37B27" w:rsidP="00200DA7">
      <w:pPr>
        <w:pStyle w:val="ListParagraph"/>
        <w:numPr>
          <w:ilvl w:val="0"/>
          <w:numId w:val="2"/>
        </w:numPr>
        <w:spacing w:before="240" w:after="240"/>
        <w:ind w:left="851" w:hanging="284"/>
        <w:jc w:val="both"/>
        <w:outlineLvl w:val="0"/>
        <w:rPr>
          <w:rFonts w:asciiTheme="minorHAnsi" w:hAnsiTheme="minorHAnsi" w:cstheme="minorHAnsi"/>
          <w:b/>
          <w:sz w:val="22"/>
          <w:szCs w:val="22"/>
        </w:rPr>
      </w:pPr>
      <w:bookmarkStart w:id="41" w:name="_Toc518058467"/>
      <w:r w:rsidRPr="0072678C">
        <w:rPr>
          <w:rFonts w:asciiTheme="minorHAnsi" w:hAnsiTheme="minorHAnsi" w:cstheme="minorHAnsi"/>
          <w:b/>
          <w:sz w:val="22"/>
          <w:szCs w:val="22"/>
        </w:rPr>
        <w:t>Síntese do modelo</w:t>
      </w:r>
      <w:bookmarkEnd w:id="41"/>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Definidos para cada um dos Eixos da MD-GEFIS, os indicadores de impacto são estabelecidos e analisados com base em metodologia específica de avaliação de impacto, que constitui um anexo da MD-GEFIS. A avaliação de impacto será realizada por especialistas independentes.</w:t>
      </w:r>
    </w:p>
    <w:p w:rsidR="00D37B27" w:rsidRPr="0072678C" w:rsidRDefault="00D37B27" w:rsidP="0069119E">
      <w:pPr>
        <w:spacing w:before="240" w:after="120"/>
        <w:jc w:val="both"/>
        <w:rPr>
          <w:rFonts w:asciiTheme="minorHAnsi" w:hAnsiTheme="minorHAnsi" w:cstheme="minorHAnsi"/>
          <w:sz w:val="22"/>
          <w:szCs w:val="22"/>
        </w:rPr>
      </w:pPr>
      <w:r w:rsidRPr="0072678C">
        <w:rPr>
          <w:rFonts w:asciiTheme="minorHAnsi" w:hAnsiTheme="minorHAnsi" w:cstheme="minorHAnsi"/>
          <w:sz w:val="22"/>
          <w:szCs w:val="22"/>
        </w:rPr>
        <w:t xml:space="preserve">A relação entre o modelo da MD-GEFIS e sua estrutura de medição é apresentada na </w:t>
      </w:r>
      <w:r w:rsidRPr="0072678C">
        <w:rPr>
          <w:rFonts w:asciiTheme="minorHAnsi" w:hAnsiTheme="minorHAnsi" w:cstheme="minorHAnsi"/>
          <w:b/>
          <w:sz w:val="22"/>
          <w:szCs w:val="22"/>
        </w:rPr>
        <w:t>Figura 1</w:t>
      </w:r>
      <w:r w:rsidRPr="0072678C">
        <w:rPr>
          <w:rFonts w:asciiTheme="minorHAnsi" w:hAnsiTheme="minorHAnsi" w:cstheme="minorHAnsi"/>
          <w:sz w:val="22"/>
          <w:szCs w:val="22"/>
        </w:rPr>
        <w:t>, onde são observadas as 3 camadas objeto de análise. A camada mais interna do modelo, Processos por Dimensão crítica, é analisada a partir de sua Maturidade. A camada intermediária, Dimensão crítica, é analisada por meio de indicadores de Desempenho. Por fim, a camada externa, eixos de atuação da gestão fiscal, é analisada por um conjunto de indicadores de impacto. Este relatório abrange essas duas camadas.</w:t>
      </w:r>
    </w:p>
    <w:p w:rsidR="00D37B27" w:rsidRPr="0072678C" w:rsidRDefault="00D37B27" w:rsidP="00D37B27">
      <w:pPr>
        <w:spacing w:before="240" w:after="240"/>
        <w:ind w:left="567"/>
        <w:jc w:val="both"/>
        <w:rPr>
          <w:rFonts w:asciiTheme="minorHAnsi" w:hAnsiTheme="minorHAnsi" w:cstheme="minorHAnsi"/>
          <w:sz w:val="22"/>
          <w:szCs w:val="22"/>
        </w:rPr>
      </w:pPr>
      <w:r w:rsidRPr="0072678C">
        <w:rPr>
          <w:rFonts w:asciiTheme="minorHAnsi" w:hAnsiTheme="minorHAnsi" w:cstheme="minorHAnsi"/>
          <w:noProof/>
          <w:sz w:val="22"/>
          <w:szCs w:val="22"/>
        </w:rPr>
        <w:drawing>
          <wp:inline distT="0" distB="0" distL="0" distR="0">
            <wp:extent cx="5010150" cy="2585950"/>
            <wp:effectExtent l="0" t="0" r="0" b="508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76917" cy="2620411"/>
                    </a:xfrm>
                    <a:prstGeom prst="rect">
                      <a:avLst/>
                    </a:prstGeom>
                    <a:noFill/>
                  </pic:spPr>
                </pic:pic>
              </a:graphicData>
            </a:graphic>
          </wp:inline>
        </w:drawing>
      </w:r>
    </w:p>
    <w:p w:rsidR="00D37B27" w:rsidRPr="0072678C" w:rsidRDefault="00D37B27" w:rsidP="00116EF7">
      <w:pPr>
        <w:spacing w:before="240"/>
        <w:ind w:left="567"/>
        <w:jc w:val="center"/>
        <w:rPr>
          <w:rFonts w:asciiTheme="minorHAnsi" w:hAnsiTheme="minorHAnsi" w:cstheme="minorHAnsi"/>
          <w:sz w:val="22"/>
          <w:szCs w:val="22"/>
        </w:rPr>
      </w:pPr>
      <w:r w:rsidRPr="0072678C">
        <w:rPr>
          <w:rFonts w:asciiTheme="minorHAnsi" w:hAnsiTheme="minorHAnsi" w:cstheme="minorHAnsi"/>
          <w:b/>
          <w:sz w:val="22"/>
          <w:szCs w:val="22"/>
        </w:rPr>
        <w:t>Figura 1-</w:t>
      </w:r>
      <w:r w:rsidRPr="0072678C">
        <w:rPr>
          <w:rFonts w:asciiTheme="minorHAnsi" w:hAnsiTheme="minorHAnsi" w:cstheme="minorHAnsi"/>
          <w:sz w:val="22"/>
          <w:szCs w:val="22"/>
        </w:rPr>
        <w:t xml:space="preserve"> Modelo da MD-GEFIS e estrutura de medição</w:t>
      </w:r>
    </w:p>
    <w:p w:rsidR="0044621A" w:rsidRPr="00267950" w:rsidRDefault="00D37B27" w:rsidP="003C0D08">
      <w:pPr>
        <w:spacing w:after="240"/>
        <w:ind w:left="2127"/>
        <w:jc w:val="center"/>
        <w:rPr>
          <w:rFonts w:asciiTheme="minorHAnsi" w:hAnsiTheme="minorHAnsi" w:cstheme="minorHAnsi"/>
          <w:sz w:val="20"/>
          <w:szCs w:val="22"/>
        </w:rPr>
      </w:pPr>
      <w:r w:rsidRPr="0072678C">
        <w:rPr>
          <w:rFonts w:asciiTheme="minorHAnsi" w:hAnsiTheme="minorHAnsi" w:cstheme="minorHAnsi"/>
          <w:sz w:val="20"/>
          <w:szCs w:val="22"/>
        </w:rPr>
        <w:t>Fonte: MD-GEFIS</w:t>
      </w:r>
      <w:bookmarkEnd w:id="1"/>
      <w:bookmarkEnd w:id="3"/>
    </w:p>
    <w:sectPr w:rsidR="0044621A" w:rsidRPr="00267950" w:rsidSect="003717DD">
      <w:headerReference w:type="default" r:id="rId27"/>
      <w:footerReference w:type="default" r:id="rId28"/>
      <w:type w:val="continuous"/>
      <w:pgSz w:w="11906" w:h="16838"/>
      <w:pgMar w:top="1418" w:right="1416"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47C5" w:rsidRDefault="00D247C5" w:rsidP="000C5E5E">
      <w:r>
        <w:separator/>
      </w:r>
    </w:p>
  </w:endnote>
  <w:endnote w:type="continuationSeparator" w:id="0">
    <w:p w:rsidR="00D247C5" w:rsidRDefault="00D247C5" w:rsidP="000C5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font386">
    <w:altName w:val="Calibri"/>
    <w:charset w:val="00"/>
    <w:family w:val="auto"/>
    <w:pitch w:val="variable"/>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Nyal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036508"/>
      <w:docPartObj>
        <w:docPartGallery w:val="Page Numbers (Bottom of Page)"/>
        <w:docPartUnique/>
      </w:docPartObj>
    </w:sdtPr>
    <w:sdtEndPr>
      <w:rPr>
        <w:rFonts w:asciiTheme="minorHAnsi" w:hAnsiTheme="minorHAnsi"/>
        <w:sz w:val="20"/>
        <w:szCs w:val="20"/>
      </w:rPr>
    </w:sdtEndPr>
    <w:sdtContent>
      <w:p w:rsidR="009D1337" w:rsidRPr="00821669" w:rsidRDefault="009D1337" w:rsidP="00C74151">
        <w:pPr>
          <w:pStyle w:val="Footer"/>
          <w:pBdr>
            <w:top w:val="single" w:sz="4" w:space="1" w:color="auto"/>
          </w:pBdr>
          <w:jc w:val="center"/>
          <w:rPr>
            <w:rFonts w:asciiTheme="minorHAnsi" w:hAnsiTheme="minorHAnsi"/>
            <w:sz w:val="20"/>
            <w:szCs w:val="20"/>
          </w:rPr>
        </w:pPr>
        <w:r w:rsidRPr="00821669">
          <w:rPr>
            <w:rFonts w:asciiTheme="minorHAnsi" w:hAnsiTheme="minorHAnsi"/>
            <w:sz w:val="20"/>
            <w:szCs w:val="20"/>
          </w:rPr>
          <w:fldChar w:fldCharType="begin"/>
        </w:r>
        <w:r w:rsidRPr="00821669">
          <w:rPr>
            <w:rFonts w:asciiTheme="minorHAnsi" w:hAnsiTheme="minorHAnsi"/>
            <w:sz w:val="20"/>
            <w:szCs w:val="20"/>
          </w:rPr>
          <w:instrText>PAGE   \* MERGEFORMAT</w:instrText>
        </w:r>
        <w:r w:rsidRPr="00821669">
          <w:rPr>
            <w:rFonts w:asciiTheme="minorHAnsi" w:hAnsiTheme="minorHAnsi"/>
            <w:sz w:val="20"/>
            <w:szCs w:val="20"/>
          </w:rPr>
          <w:fldChar w:fldCharType="separate"/>
        </w:r>
        <w:r>
          <w:rPr>
            <w:rFonts w:asciiTheme="minorHAnsi" w:hAnsiTheme="minorHAnsi"/>
            <w:noProof/>
            <w:sz w:val="20"/>
            <w:szCs w:val="20"/>
          </w:rPr>
          <w:t>2</w:t>
        </w:r>
        <w:r w:rsidRPr="00821669">
          <w:rPr>
            <w:rFonts w:asciiTheme="minorHAnsi" w:hAnsiTheme="minorHAnsi"/>
            <w:sz w:val="20"/>
            <w:szCs w:val="20"/>
          </w:rPr>
          <w:fldChar w:fldCharType="end"/>
        </w:r>
      </w:p>
    </w:sdtContent>
  </w:sdt>
  <w:p w:rsidR="009D1337" w:rsidRPr="00B05503" w:rsidRDefault="009D1337">
    <w:pPr>
      <w:pStyle w:val="Footer"/>
      <w:rPr>
        <w:rFonts w:asciiTheme="minorHAnsi" w:hAnsiTheme="minorHAnsi"/>
        <w:sz w:val="16"/>
        <w:szCs w:val="16"/>
      </w:rPr>
    </w:pPr>
    <w:r>
      <w:rPr>
        <w:rFonts w:asciiTheme="minorHAnsi" w:hAnsiTheme="minorHAnsi"/>
        <w:sz w:val="16"/>
        <w:szCs w:val="16"/>
      </w:rPr>
      <w:t>Flávio Galvão (30 de maio/2018)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47C5" w:rsidRDefault="00D247C5" w:rsidP="000C5E5E">
      <w:r>
        <w:separator/>
      </w:r>
    </w:p>
  </w:footnote>
  <w:footnote w:type="continuationSeparator" w:id="0">
    <w:p w:rsidR="00D247C5" w:rsidRDefault="00D247C5" w:rsidP="000C5E5E">
      <w:r>
        <w:continuationSeparator/>
      </w:r>
    </w:p>
  </w:footnote>
  <w:footnote w:id="1">
    <w:p w:rsidR="009D1337" w:rsidRPr="002B2471" w:rsidRDefault="009D1337" w:rsidP="00222819">
      <w:pPr>
        <w:pStyle w:val="FootnoteText"/>
        <w:rPr>
          <w:rFonts w:asciiTheme="majorHAnsi" w:hAnsiTheme="majorHAnsi"/>
          <w:sz w:val="16"/>
          <w:szCs w:val="16"/>
        </w:rPr>
      </w:pPr>
      <w:r>
        <w:rPr>
          <w:rStyle w:val="FootnoteReference"/>
        </w:rPr>
        <w:footnoteRef/>
      </w:r>
      <w:r>
        <w:t xml:space="preserve"> </w:t>
      </w:r>
      <w:r w:rsidRPr="002B2471">
        <w:rPr>
          <w:rFonts w:asciiTheme="majorHAnsi" w:hAnsiTheme="majorHAnsi"/>
          <w:sz w:val="16"/>
          <w:szCs w:val="16"/>
        </w:rPr>
        <w:t xml:space="preserve">Andrea </w:t>
      </w:r>
      <w:proofErr w:type="spellStart"/>
      <w:r w:rsidRPr="002B2471">
        <w:rPr>
          <w:rFonts w:asciiTheme="majorHAnsi" w:hAnsiTheme="majorHAnsi"/>
          <w:sz w:val="16"/>
          <w:szCs w:val="16"/>
        </w:rPr>
        <w:t>Lemgruber</w:t>
      </w:r>
      <w:proofErr w:type="spellEnd"/>
      <w:r w:rsidRPr="002B2471">
        <w:rPr>
          <w:rFonts w:asciiTheme="majorHAnsi" w:hAnsiTheme="majorHAnsi"/>
          <w:sz w:val="16"/>
          <w:szCs w:val="16"/>
        </w:rPr>
        <w:t xml:space="preserve"> </w:t>
      </w:r>
      <w:proofErr w:type="spellStart"/>
      <w:r w:rsidRPr="002B2471">
        <w:rPr>
          <w:rFonts w:asciiTheme="majorHAnsi" w:hAnsiTheme="majorHAnsi"/>
          <w:sz w:val="16"/>
          <w:szCs w:val="16"/>
        </w:rPr>
        <w:t>Viol</w:t>
      </w:r>
      <w:proofErr w:type="spellEnd"/>
      <w:r w:rsidRPr="002B2471">
        <w:rPr>
          <w:rFonts w:asciiTheme="majorHAnsi" w:hAnsiTheme="majorHAnsi"/>
          <w:sz w:val="16"/>
          <w:szCs w:val="16"/>
        </w:rPr>
        <w:t xml:space="preserve"> em A Administração Tributária Moderna </w:t>
      </w:r>
      <w:r>
        <w:rPr>
          <w:rFonts w:asciiTheme="majorHAnsi" w:hAnsiTheme="majorHAnsi"/>
          <w:sz w:val="16"/>
          <w:szCs w:val="16"/>
        </w:rPr>
        <w:t>e a m</w:t>
      </w:r>
      <w:r w:rsidRPr="002B2471">
        <w:rPr>
          <w:rFonts w:asciiTheme="majorHAnsi" w:hAnsiTheme="majorHAnsi"/>
          <w:sz w:val="16"/>
          <w:szCs w:val="16"/>
        </w:rPr>
        <w:t xml:space="preserve">aximização </w:t>
      </w:r>
      <w:r>
        <w:rPr>
          <w:rFonts w:asciiTheme="majorHAnsi" w:hAnsiTheme="majorHAnsi"/>
          <w:sz w:val="16"/>
          <w:szCs w:val="16"/>
        </w:rPr>
        <w:t>d</w:t>
      </w:r>
      <w:r w:rsidRPr="002B2471">
        <w:rPr>
          <w:rFonts w:asciiTheme="majorHAnsi" w:hAnsiTheme="majorHAnsi"/>
          <w:sz w:val="16"/>
          <w:szCs w:val="16"/>
        </w:rPr>
        <w:t xml:space="preserve">o </w:t>
      </w:r>
      <w:r>
        <w:rPr>
          <w:rFonts w:asciiTheme="majorHAnsi" w:hAnsiTheme="majorHAnsi"/>
          <w:sz w:val="16"/>
          <w:szCs w:val="16"/>
        </w:rPr>
        <w:t>c</w:t>
      </w:r>
      <w:r w:rsidRPr="002B2471">
        <w:rPr>
          <w:rFonts w:asciiTheme="majorHAnsi" w:hAnsiTheme="majorHAnsi"/>
          <w:sz w:val="16"/>
          <w:szCs w:val="16"/>
        </w:rPr>
        <w:t xml:space="preserve">umprimento </w:t>
      </w:r>
      <w:r>
        <w:rPr>
          <w:rFonts w:asciiTheme="majorHAnsi" w:hAnsiTheme="majorHAnsi"/>
          <w:sz w:val="16"/>
          <w:szCs w:val="16"/>
        </w:rPr>
        <w:t>t</w:t>
      </w:r>
      <w:r w:rsidRPr="002B2471">
        <w:rPr>
          <w:rFonts w:asciiTheme="majorHAnsi" w:hAnsiTheme="majorHAnsi"/>
          <w:sz w:val="16"/>
          <w:szCs w:val="16"/>
        </w:rPr>
        <w:t xml:space="preserve">ributário: Algumas </w:t>
      </w:r>
      <w:r>
        <w:rPr>
          <w:rFonts w:asciiTheme="majorHAnsi" w:hAnsiTheme="majorHAnsi"/>
          <w:sz w:val="16"/>
          <w:szCs w:val="16"/>
        </w:rPr>
        <w:t>r</w:t>
      </w:r>
      <w:r w:rsidRPr="002B2471">
        <w:rPr>
          <w:rFonts w:asciiTheme="majorHAnsi" w:hAnsiTheme="majorHAnsi"/>
          <w:sz w:val="16"/>
          <w:szCs w:val="16"/>
        </w:rPr>
        <w:t xml:space="preserve">eflexões </w:t>
      </w:r>
      <w:r>
        <w:rPr>
          <w:rFonts w:asciiTheme="majorHAnsi" w:hAnsiTheme="majorHAnsi"/>
          <w:sz w:val="16"/>
          <w:szCs w:val="16"/>
        </w:rPr>
        <w:t>s</w:t>
      </w:r>
      <w:r w:rsidRPr="002B2471">
        <w:rPr>
          <w:rFonts w:asciiTheme="majorHAnsi" w:hAnsiTheme="majorHAnsi"/>
          <w:sz w:val="16"/>
          <w:szCs w:val="16"/>
        </w:rPr>
        <w:t xml:space="preserve">obre </w:t>
      </w:r>
      <w:r>
        <w:rPr>
          <w:rFonts w:asciiTheme="majorHAnsi" w:hAnsiTheme="majorHAnsi"/>
          <w:sz w:val="16"/>
          <w:szCs w:val="16"/>
        </w:rPr>
        <w:t>o</w:t>
      </w:r>
      <w:r w:rsidRPr="002B2471">
        <w:rPr>
          <w:rFonts w:asciiTheme="majorHAnsi" w:hAnsiTheme="majorHAnsi"/>
          <w:sz w:val="16"/>
          <w:szCs w:val="16"/>
        </w:rPr>
        <w:t xml:space="preserve"> </w:t>
      </w:r>
      <w:r>
        <w:rPr>
          <w:rFonts w:asciiTheme="majorHAnsi" w:hAnsiTheme="majorHAnsi"/>
          <w:sz w:val="16"/>
          <w:szCs w:val="16"/>
        </w:rPr>
        <w:t>c</w:t>
      </w:r>
      <w:r w:rsidRPr="002B2471">
        <w:rPr>
          <w:rFonts w:asciiTheme="majorHAnsi" w:hAnsiTheme="majorHAnsi"/>
          <w:sz w:val="16"/>
          <w:szCs w:val="16"/>
        </w:rPr>
        <w:t xml:space="preserve">aso </w:t>
      </w:r>
      <w:r>
        <w:rPr>
          <w:rFonts w:asciiTheme="majorHAnsi" w:hAnsiTheme="majorHAnsi"/>
          <w:sz w:val="16"/>
          <w:szCs w:val="16"/>
        </w:rPr>
        <w:t>b</w:t>
      </w:r>
      <w:r w:rsidRPr="002B2471">
        <w:rPr>
          <w:rFonts w:asciiTheme="majorHAnsi" w:hAnsiTheme="majorHAnsi"/>
          <w:sz w:val="16"/>
          <w:szCs w:val="16"/>
        </w:rPr>
        <w:t>rasileiro</w:t>
      </w:r>
      <w:r>
        <w:rPr>
          <w:rFonts w:asciiTheme="majorHAnsi" w:hAnsiTheme="majorHAnsi"/>
          <w:sz w:val="16"/>
          <w:szCs w:val="16"/>
        </w:rPr>
        <w:t xml:space="preserve"> - </w:t>
      </w:r>
      <w:r w:rsidRPr="002B2471">
        <w:rPr>
          <w:rFonts w:asciiTheme="majorHAnsi" w:hAnsiTheme="majorHAnsi"/>
          <w:sz w:val="16"/>
          <w:szCs w:val="16"/>
        </w:rPr>
        <w:t>Revista da Receita Federal: estudos tributários e aduaneiros, Brasília-DF, v.1, n.2, p.50-82, jan./jul. 2015</w:t>
      </w:r>
    </w:p>
  </w:footnote>
  <w:footnote w:id="2">
    <w:p w:rsidR="009D1337" w:rsidRPr="003B2399" w:rsidRDefault="009D1337" w:rsidP="007F124B">
      <w:pPr>
        <w:pStyle w:val="FootnoteText"/>
        <w:jc w:val="both"/>
        <w:rPr>
          <w:rFonts w:asciiTheme="minorHAnsi" w:hAnsiTheme="minorHAnsi" w:cstheme="minorHAnsi"/>
          <w:sz w:val="16"/>
          <w:szCs w:val="16"/>
        </w:rPr>
      </w:pPr>
      <w:r w:rsidRPr="003B2399">
        <w:rPr>
          <w:rStyle w:val="FootnoteReference"/>
          <w:rFonts w:asciiTheme="minorHAnsi" w:hAnsiTheme="minorHAnsi" w:cstheme="minorHAnsi"/>
          <w:sz w:val="16"/>
          <w:szCs w:val="16"/>
        </w:rPr>
        <w:footnoteRef/>
      </w:r>
      <w:r w:rsidRPr="003B2399">
        <w:rPr>
          <w:rFonts w:asciiTheme="minorHAnsi" w:hAnsiTheme="minorHAnsi" w:cstheme="minorHAnsi"/>
          <w:sz w:val="16"/>
          <w:szCs w:val="16"/>
        </w:rPr>
        <w:t xml:space="preserve"> DECRETO Nº 60.812, DE 30 DE SETEMBRO DE 2014 http://www.al.sp.gov.br/repositorio/legislacao/decreto/2014/decreto-60812-30.09.2014.html e DECRETO Nº 62.640, DE 23 DE JUNHO DE 2017 https://www.al.sp.gov.br/norma/182180</w:t>
      </w:r>
    </w:p>
  </w:footnote>
  <w:footnote w:id="3">
    <w:p w:rsidR="009D1337" w:rsidRDefault="009D1337" w:rsidP="007F124B">
      <w:pPr>
        <w:pStyle w:val="FootnoteText"/>
        <w:jc w:val="both"/>
        <w:rPr>
          <w:rFonts w:asciiTheme="minorHAnsi" w:hAnsiTheme="minorHAnsi" w:cstheme="minorHAnsi"/>
          <w:sz w:val="16"/>
          <w:szCs w:val="16"/>
        </w:rPr>
      </w:pPr>
      <w:r w:rsidRPr="003B2399">
        <w:rPr>
          <w:rStyle w:val="FootnoteReference"/>
          <w:rFonts w:asciiTheme="minorHAnsi" w:hAnsiTheme="minorHAnsi" w:cstheme="minorHAnsi"/>
          <w:sz w:val="16"/>
          <w:szCs w:val="16"/>
        </w:rPr>
        <w:footnoteRef/>
      </w:r>
      <w:r w:rsidRPr="003B2399">
        <w:rPr>
          <w:rFonts w:asciiTheme="minorHAnsi" w:hAnsiTheme="minorHAnsi" w:cstheme="minorHAnsi"/>
          <w:sz w:val="16"/>
          <w:szCs w:val="16"/>
        </w:rPr>
        <w:t xml:space="preserve"> Legislação de plano de cargos, carreiras e remuneração é publicada no DOE para as diversas carreiras da pasta: - Lei Complementar nº 1.059, de 18/09/2008, para Agente Fiscal de Rendas (https://www.al.sp.gov.br/norma/137843); - Lei Complementar nº 1.034, de 04/01/2008, para Analista em Planejamento, Orçamento e Finanças Públicas ( https://www.al.sp.gov.br/norma/75009); - Lei Complementar nº 1.080, de 17/12/2008, para Executivo Público ( https://www.al.sp.gov.br/norma/157195 )- LEI COMPLEMENTAR Nº 1.122, DE 30 DE JUNHO DE 2010, para demais carreiras, conforme o Anexo da mesma Lei</w:t>
      </w:r>
    </w:p>
    <w:p w:rsidR="009D1337" w:rsidRPr="003B2399" w:rsidRDefault="009D1337" w:rsidP="007F124B">
      <w:pPr>
        <w:pStyle w:val="FootnoteText"/>
        <w:jc w:val="both"/>
        <w:rPr>
          <w:rFonts w:asciiTheme="minorHAnsi" w:hAnsiTheme="minorHAnsi" w:cstheme="minorHAnsi"/>
          <w:sz w:val="16"/>
          <w:szCs w:val="16"/>
        </w:rPr>
      </w:pPr>
      <w:r w:rsidRPr="003B2399">
        <w:rPr>
          <w:rFonts w:asciiTheme="minorHAnsi" w:hAnsiTheme="minorHAnsi" w:cstheme="minorHAnsi"/>
          <w:sz w:val="16"/>
          <w:szCs w:val="16"/>
        </w:rPr>
        <w:t>https://www.al.sp.gov.br/repositorio/legislacao/lei.complementar/2010/lei.complementar-1122-30.06.2010.html</w:t>
      </w:r>
    </w:p>
  </w:footnote>
  <w:footnote w:id="4">
    <w:p w:rsidR="009D1337" w:rsidRDefault="009D1337" w:rsidP="007F124B">
      <w:pPr>
        <w:pStyle w:val="FootnoteText"/>
        <w:jc w:val="both"/>
        <w:rPr>
          <w:rFonts w:asciiTheme="minorHAnsi" w:hAnsiTheme="minorHAnsi" w:cstheme="minorHAnsi"/>
          <w:sz w:val="16"/>
          <w:szCs w:val="16"/>
        </w:rPr>
      </w:pPr>
      <w:r w:rsidRPr="003B2399">
        <w:rPr>
          <w:rStyle w:val="FootnoteReference"/>
          <w:sz w:val="16"/>
          <w:szCs w:val="16"/>
        </w:rPr>
        <w:footnoteRef/>
      </w:r>
      <w:r w:rsidRPr="003B2399">
        <w:rPr>
          <w:sz w:val="16"/>
          <w:szCs w:val="16"/>
        </w:rPr>
        <w:t xml:space="preserve"> </w:t>
      </w:r>
      <w:r w:rsidRPr="003B2399">
        <w:rPr>
          <w:rFonts w:asciiTheme="minorHAnsi" w:hAnsiTheme="minorHAnsi" w:cstheme="minorHAnsi"/>
          <w:sz w:val="16"/>
          <w:szCs w:val="16"/>
        </w:rPr>
        <w:t xml:space="preserve">A LEI Nº 10.261, DE 28 DE OUTUBRO DE 1968 Dispõe sobre o Estatuto dos Funcionários Públicos Civis do Estado de São Paulo, a qual prevê tais situações. </w:t>
      </w:r>
    </w:p>
    <w:p w:rsidR="009D1337" w:rsidRPr="007F124B" w:rsidRDefault="009D1337" w:rsidP="007F124B">
      <w:pPr>
        <w:pStyle w:val="FootnoteText"/>
        <w:jc w:val="both"/>
        <w:rPr>
          <w:rFonts w:asciiTheme="minorHAnsi" w:hAnsiTheme="minorHAnsi" w:cstheme="minorHAnsi"/>
          <w:sz w:val="16"/>
          <w:szCs w:val="16"/>
        </w:rPr>
      </w:pPr>
      <w:r w:rsidRPr="007F124B">
        <w:rPr>
          <w:rFonts w:asciiTheme="minorHAnsi" w:hAnsiTheme="minorHAnsi" w:cstheme="minorHAnsi"/>
          <w:sz w:val="16"/>
          <w:szCs w:val="16"/>
        </w:rPr>
        <w:t>https://www.al.sp.gov.br/repositorio/legislacao/lei/1968/lei-10261-28.10.1968.html</w:t>
      </w:r>
      <w:r w:rsidRPr="007F124B">
        <w:rPr>
          <w:rFonts w:asciiTheme="minorHAnsi" w:hAnsiTheme="minorHAnsi" w:cstheme="minorHAnsi"/>
          <w:sz w:val="16"/>
          <w:szCs w:val="16"/>
        </w:rPr>
        <w:br/>
        <w:t xml:space="preserve">Vale ressaltar situações de aplicação geral, como ocorreu com o Decreto Nº 61.132, de 25 de </w:t>
      </w:r>
      <w:proofErr w:type="gramStart"/>
      <w:r w:rsidRPr="007F124B">
        <w:rPr>
          <w:rFonts w:asciiTheme="minorHAnsi" w:hAnsiTheme="minorHAnsi" w:cstheme="minorHAnsi"/>
          <w:sz w:val="16"/>
          <w:szCs w:val="16"/>
        </w:rPr>
        <w:t>Fevereiro</w:t>
      </w:r>
      <w:proofErr w:type="gramEnd"/>
      <w:r w:rsidRPr="007F124B">
        <w:rPr>
          <w:rFonts w:asciiTheme="minorHAnsi" w:hAnsiTheme="minorHAnsi" w:cstheme="minorHAnsi"/>
          <w:sz w:val="16"/>
          <w:szCs w:val="16"/>
        </w:rPr>
        <w:t xml:space="preserve"> de 2015, onde foram dispostas medidas de redução de despesas com pessoal.</w:t>
      </w:r>
    </w:p>
    <w:p w:rsidR="009D1337" w:rsidRPr="007F124B" w:rsidRDefault="009D1337" w:rsidP="007F124B">
      <w:pPr>
        <w:pStyle w:val="FootnoteText"/>
        <w:jc w:val="both"/>
        <w:rPr>
          <w:sz w:val="16"/>
          <w:szCs w:val="16"/>
        </w:rPr>
      </w:pPr>
      <w:r w:rsidRPr="007F124B">
        <w:rPr>
          <w:rFonts w:asciiTheme="minorHAnsi" w:hAnsiTheme="minorHAnsi" w:cstheme="minorHAnsi"/>
          <w:sz w:val="16"/>
          <w:szCs w:val="16"/>
        </w:rPr>
        <w:t>http://www.corregedoria.sp.gov.br/adm/App_Cadastro/Uploads/Visualizar.aspx?id=115</w:t>
      </w:r>
    </w:p>
  </w:footnote>
  <w:footnote w:id="5">
    <w:p w:rsidR="009D1337" w:rsidRPr="007F124B" w:rsidRDefault="009D1337" w:rsidP="007F124B">
      <w:pPr>
        <w:pStyle w:val="FootnoteText"/>
        <w:jc w:val="both"/>
        <w:rPr>
          <w:sz w:val="16"/>
          <w:szCs w:val="16"/>
        </w:rPr>
      </w:pPr>
      <w:r w:rsidRPr="007F124B">
        <w:rPr>
          <w:rStyle w:val="FootnoteReference"/>
          <w:sz w:val="16"/>
          <w:szCs w:val="16"/>
        </w:rPr>
        <w:footnoteRef/>
      </w:r>
      <w:r w:rsidRPr="007F124B">
        <w:rPr>
          <w:sz w:val="16"/>
          <w:szCs w:val="16"/>
        </w:rPr>
        <w:t xml:space="preserve"> </w:t>
      </w:r>
      <w:hyperlink r:id="rId1" w:history="1">
        <w:r w:rsidRPr="007F124B">
          <w:rPr>
            <w:rFonts w:asciiTheme="minorHAnsi" w:hAnsiTheme="minorHAnsi" w:cstheme="minorHAnsi"/>
            <w:sz w:val="16"/>
            <w:szCs w:val="16"/>
          </w:rPr>
          <w:t>Lei Orçamentária Anual - LOA: http://www.orcamento.planejamento.sp.gov.br/orcamentaria-anual</w:t>
        </w:r>
      </w:hyperlink>
    </w:p>
  </w:footnote>
  <w:footnote w:id="6">
    <w:p w:rsidR="009D1337" w:rsidRPr="007F124B" w:rsidRDefault="009D1337" w:rsidP="007F124B">
      <w:pPr>
        <w:pStyle w:val="FootnoteText"/>
        <w:jc w:val="both"/>
        <w:rPr>
          <w:rFonts w:asciiTheme="minorHAnsi" w:hAnsiTheme="minorHAnsi" w:cstheme="minorHAnsi"/>
          <w:sz w:val="16"/>
          <w:szCs w:val="16"/>
        </w:rPr>
      </w:pPr>
      <w:r w:rsidRPr="007F124B">
        <w:rPr>
          <w:rStyle w:val="FootnoteReference"/>
          <w:sz w:val="16"/>
          <w:szCs w:val="16"/>
        </w:rPr>
        <w:footnoteRef/>
      </w:r>
      <w:r w:rsidRPr="007F124B">
        <w:rPr>
          <w:sz w:val="16"/>
          <w:szCs w:val="16"/>
        </w:rPr>
        <w:t xml:space="preserve"> </w:t>
      </w:r>
      <w:r w:rsidRPr="007F124B">
        <w:rPr>
          <w:rFonts w:asciiTheme="minorHAnsi" w:hAnsiTheme="minorHAnsi" w:cstheme="minorHAnsi"/>
          <w:sz w:val="16"/>
          <w:szCs w:val="16"/>
        </w:rPr>
        <w:t>As metas estratégicas estão vinculadas com os indicadores de BR e PR, conforme anexo</w:t>
      </w:r>
      <w:r w:rsidRPr="007F124B">
        <w:rPr>
          <w:rFonts w:asciiTheme="minorHAnsi" w:hAnsiTheme="minorHAnsi" w:cstheme="minorHAnsi"/>
          <w:sz w:val="16"/>
          <w:szCs w:val="16"/>
        </w:rPr>
        <w:br/>
      </w:r>
      <w:r w:rsidRPr="007F124B">
        <w:rPr>
          <w:rFonts w:asciiTheme="minorHAnsi" w:hAnsiTheme="minorHAnsi" w:cstheme="minorHAnsi"/>
          <w:bCs/>
          <w:sz w:val="16"/>
          <w:szCs w:val="16"/>
        </w:rPr>
        <w:t>- PR:</w:t>
      </w:r>
      <w:r w:rsidRPr="007F124B">
        <w:rPr>
          <w:rFonts w:asciiTheme="minorHAnsi" w:hAnsiTheme="minorHAnsi" w:cstheme="minorHAnsi"/>
          <w:sz w:val="16"/>
          <w:szCs w:val="16"/>
        </w:rPr>
        <w:t xml:space="preserve"> Resolução Conjunta CC/SG/SPG-1, de 23-03-2017, </w:t>
      </w:r>
    </w:p>
    <w:p w:rsidR="009D1337" w:rsidRPr="003B2399" w:rsidRDefault="009D1337" w:rsidP="007F124B">
      <w:pPr>
        <w:pStyle w:val="FootnoteText"/>
        <w:jc w:val="both"/>
        <w:rPr>
          <w:sz w:val="16"/>
          <w:szCs w:val="16"/>
        </w:rPr>
      </w:pPr>
      <w:r w:rsidRPr="007F124B">
        <w:rPr>
          <w:rFonts w:asciiTheme="minorHAnsi" w:hAnsiTheme="minorHAnsi" w:cstheme="minorHAnsi"/>
          <w:sz w:val="16"/>
          <w:szCs w:val="16"/>
        </w:rPr>
        <w:t>https://www.imprensaoficial.com.br/DO/BuscaDO2001Documento_11_4.aspx?link=/2017/executivo%2520secao%2520i/marco/24/pag_0011_BA7RPM7I99TVDe89CP5P68SIK3H.pdf&amp;pagina=11&amp;data=24/03/2017&amp;caderno=Executivo%20I&amp;paginaordenacao=100011</w:t>
      </w:r>
      <w:r w:rsidRPr="007F124B">
        <w:rPr>
          <w:rFonts w:asciiTheme="minorHAnsi" w:hAnsiTheme="minorHAnsi" w:cstheme="minorHAnsi"/>
          <w:sz w:val="16"/>
          <w:szCs w:val="16"/>
        </w:rPr>
        <w:br/>
      </w:r>
      <w:r w:rsidRPr="007F124B">
        <w:rPr>
          <w:rFonts w:asciiTheme="minorHAnsi" w:hAnsiTheme="minorHAnsi" w:cstheme="minorHAnsi"/>
          <w:bCs/>
          <w:sz w:val="16"/>
          <w:szCs w:val="16"/>
        </w:rPr>
        <w:t>- BR:</w:t>
      </w:r>
      <w:r w:rsidRPr="007F124B">
        <w:rPr>
          <w:rFonts w:asciiTheme="minorHAnsi" w:hAnsiTheme="minorHAnsi" w:cstheme="minorHAnsi"/>
          <w:sz w:val="16"/>
          <w:szCs w:val="16"/>
        </w:rPr>
        <w:t xml:space="preserve"> Resoluções Conjuntas CC/SG-18 e CC/SG-19, ambas publicadas no Diário Oficial de 07-12-17 https://www.imprensaoficial.com.br/DO/BuscaDO2001Documento_11_4.aspx?link=/2017/executivo%2520secao%2520i/dezembro/07/pag_0007_7VCT839MF3263e6I4QJUBKGEME0.pdf&amp;pagina=7&amp;data=07/12/2017&amp;caderno=Executivo%20I&amp;paginaordenacao=10000</w:t>
      </w:r>
      <w:r w:rsidRPr="003B2399">
        <w:rPr>
          <w:rFonts w:asciiTheme="minorHAnsi" w:hAnsiTheme="minorHAnsi" w:cstheme="minorHAnsi"/>
          <w:sz w:val="16"/>
          <w:szCs w:val="16"/>
          <w:u w:val="single"/>
        </w:rPr>
        <w:t>7</w:t>
      </w:r>
    </w:p>
  </w:footnote>
  <w:footnote w:id="7">
    <w:p w:rsidR="009D1337" w:rsidRPr="003B2399" w:rsidRDefault="009D1337" w:rsidP="007F124B">
      <w:pPr>
        <w:pStyle w:val="FootnoteText"/>
        <w:jc w:val="both"/>
        <w:rPr>
          <w:sz w:val="16"/>
          <w:szCs w:val="16"/>
        </w:rPr>
      </w:pPr>
      <w:r w:rsidRPr="003B2399">
        <w:rPr>
          <w:rStyle w:val="FootnoteReference"/>
          <w:sz w:val="16"/>
          <w:szCs w:val="16"/>
        </w:rPr>
        <w:footnoteRef/>
      </w:r>
      <w:r w:rsidRPr="003B2399">
        <w:rPr>
          <w:sz w:val="16"/>
          <w:szCs w:val="16"/>
        </w:rPr>
        <w:t xml:space="preserve"> </w:t>
      </w:r>
      <w:r w:rsidRPr="003B2399">
        <w:rPr>
          <w:rFonts w:asciiTheme="minorHAnsi" w:hAnsiTheme="minorHAnsi" w:cstheme="minorHAnsi"/>
          <w:sz w:val="16"/>
          <w:szCs w:val="16"/>
        </w:rPr>
        <w:t>http://www.al.sp.gov.br/repositorio/legislacao/decreto/2014/decreto-60812-30.09.2014.html</w:t>
      </w:r>
    </w:p>
  </w:footnote>
  <w:footnote w:id="8">
    <w:p w:rsidR="009D1337" w:rsidRDefault="009D1337">
      <w:pPr>
        <w:pStyle w:val="FootnoteText"/>
      </w:pPr>
      <w:r>
        <w:rPr>
          <w:rStyle w:val="FootnoteReference"/>
        </w:rPr>
        <w:footnoteRef/>
      </w:r>
      <w:r>
        <w:t xml:space="preserve"> </w:t>
      </w:r>
      <w:r w:rsidRPr="00F9210A">
        <w:rPr>
          <w:rFonts w:asciiTheme="minorHAnsi" w:hAnsiTheme="minorHAnsi" w:cstheme="minorHAnsi"/>
          <w:sz w:val="16"/>
          <w:szCs w:val="16"/>
        </w:rPr>
        <w:t xml:space="preserve">Lei complementar Nº 1.281, de 14 de janeiro de 2016 - Institui na Secretaria da Fazenda do Estado de São Paulo a Corregedoria da Fiscalização Tributária – CORFISP e dá providências correlatas </w:t>
      </w:r>
      <w:r w:rsidRPr="00F9210A">
        <w:rPr>
          <w:rFonts w:asciiTheme="minorHAnsi" w:hAnsiTheme="minorHAnsi" w:cstheme="minorHAnsi"/>
          <w:sz w:val="16"/>
          <w:szCs w:val="16"/>
          <w:u w:val="single"/>
        </w:rPr>
        <w:t>https://www.imprensaoficial.com.br/DO/BuscaDO2001Documento_11_4.aspx?link=/2016/executivo%2520secao%2520i/janeiro/15/pag_0001_9FSLIVR8F78JJe6DR5BJRB4BRNS.pdf&amp;pagina=1&amp;data=15/01/2016&amp;caderno=Executivo%20I&amp;paginaordenacao=100001</w:t>
      </w:r>
    </w:p>
  </w:footnote>
  <w:footnote w:id="9">
    <w:p w:rsidR="009D1337" w:rsidRDefault="009D1337">
      <w:pPr>
        <w:pStyle w:val="FootnoteText"/>
      </w:pPr>
      <w:r>
        <w:rPr>
          <w:rStyle w:val="FootnoteReference"/>
        </w:rPr>
        <w:footnoteRef/>
      </w:r>
      <w:r>
        <w:t xml:space="preserve"> </w:t>
      </w:r>
      <w:r w:rsidRPr="005C0D49">
        <w:rPr>
          <w:rFonts w:asciiTheme="minorHAnsi" w:hAnsiTheme="minorHAnsi" w:cstheme="minorHAnsi"/>
          <w:color w:val="000000"/>
          <w:sz w:val="16"/>
          <w:szCs w:val="16"/>
        </w:rPr>
        <w:t>A</w:t>
      </w:r>
      <w:r w:rsidRPr="005C0D49">
        <w:rPr>
          <w:rFonts w:asciiTheme="minorHAnsi" w:hAnsiTheme="minorHAnsi" w:cstheme="minorHAnsi"/>
          <w:sz w:val="16"/>
          <w:szCs w:val="16"/>
        </w:rPr>
        <w:t>pós exercerem a função no período mínimo de dois anos pode ser escolhido local de trabalho, mediante disponibilidade (Dec. 61925/2016)</w:t>
      </w:r>
      <w:r w:rsidRPr="005C0D49">
        <w:rPr>
          <w:rFonts w:asciiTheme="minorHAnsi" w:hAnsiTheme="minorHAnsi" w:cstheme="minorHAnsi"/>
          <w:sz w:val="16"/>
          <w:szCs w:val="16"/>
        </w:rPr>
        <w:br/>
      </w:r>
      <w:r w:rsidRPr="005C0D49">
        <w:rPr>
          <w:rFonts w:asciiTheme="minorHAnsi" w:hAnsiTheme="minorHAnsi" w:cstheme="minorHAnsi"/>
          <w:sz w:val="16"/>
          <w:szCs w:val="16"/>
          <w:u w:val="single"/>
        </w:rPr>
        <w:t>https://www.al.sp.gov.br/repositorio/legislacao/decreto/2016/decreto-61925-12.04.2016.html</w:t>
      </w:r>
    </w:p>
  </w:footnote>
  <w:footnote w:id="10">
    <w:p w:rsidR="009D1337" w:rsidRDefault="009D1337">
      <w:pPr>
        <w:pStyle w:val="FootnoteText"/>
      </w:pPr>
      <w:r>
        <w:rPr>
          <w:rStyle w:val="FootnoteReference"/>
        </w:rPr>
        <w:footnoteRef/>
      </w:r>
      <w:r>
        <w:t xml:space="preserve"> </w:t>
      </w:r>
      <w:r w:rsidRPr="005C0D49">
        <w:rPr>
          <w:rFonts w:asciiTheme="minorHAnsi" w:hAnsiTheme="minorHAnsi" w:cstheme="minorHAnsi"/>
          <w:sz w:val="16"/>
          <w:szCs w:val="16"/>
        </w:rPr>
        <w:t xml:space="preserve">Os corregedores devem </w:t>
      </w:r>
      <w:proofErr w:type="gramStart"/>
      <w:r w:rsidRPr="005C0D49">
        <w:rPr>
          <w:rFonts w:asciiTheme="minorHAnsi" w:hAnsiTheme="minorHAnsi" w:cstheme="minorHAnsi"/>
          <w:sz w:val="16"/>
          <w:szCs w:val="16"/>
        </w:rPr>
        <w:t xml:space="preserve">ser  </w:t>
      </w:r>
      <w:proofErr w:type="spellStart"/>
      <w:r w:rsidRPr="005C0D49">
        <w:rPr>
          <w:rFonts w:asciiTheme="minorHAnsi" w:hAnsiTheme="minorHAnsi" w:cstheme="minorHAnsi"/>
          <w:sz w:val="16"/>
          <w:szCs w:val="16"/>
        </w:rPr>
        <w:t>AFR</w:t>
      </w:r>
      <w:proofErr w:type="gramEnd"/>
      <w:r w:rsidRPr="005C0D49">
        <w:rPr>
          <w:rFonts w:asciiTheme="minorHAnsi" w:hAnsiTheme="minorHAnsi" w:cstheme="minorHAnsi"/>
          <w:sz w:val="16"/>
          <w:szCs w:val="16"/>
        </w:rPr>
        <w:t>´s</w:t>
      </w:r>
      <w:proofErr w:type="spellEnd"/>
      <w:r w:rsidRPr="005C0D49">
        <w:rPr>
          <w:rFonts w:asciiTheme="minorHAnsi" w:hAnsiTheme="minorHAnsi" w:cstheme="minorHAnsi"/>
          <w:sz w:val="16"/>
          <w:szCs w:val="16"/>
        </w:rPr>
        <w:t xml:space="preserve"> com no mínimo 5 (cinco) anos de efetivo exercício no cargo e podem exercer a função no período máximo de 4 (quatro) anos.</w:t>
      </w:r>
    </w:p>
  </w:footnote>
  <w:footnote w:id="11">
    <w:p w:rsidR="009D1337" w:rsidRDefault="009D1337">
      <w:pPr>
        <w:pStyle w:val="FootnoteText"/>
      </w:pPr>
      <w:r>
        <w:rPr>
          <w:rStyle w:val="FootnoteReference"/>
        </w:rPr>
        <w:footnoteRef/>
      </w:r>
      <w:r>
        <w:t xml:space="preserve"> </w:t>
      </w:r>
      <w:r w:rsidRPr="000122F2">
        <w:rPr>
          <w:rFonts w:asciiTheme="minorHAnsi" w:hAnsiTheme="minorHAnsi" w:cstheme="minorHAnsi"/>
          <w:sz w:val="16"/>
          <w:szCs w:val="16"/>
        </w:rPr>
        <w:t>Utiliza o "SAEP - Sistema de Acompanhamento da Evolução Patrimonial", disponível no âmbito da intranet, conforme Resolução SF 90, de 19-10-2017</w:t>
      </w:r>
    </w:p>
  </w:footnote>
  <w:footnote w:id="12">
    <w:p w:rsidR="009D1337" w:rsidRPr="000122F2" w:rsidRDefault="009D1337" w:rsidP="000122F2">
      <w:pPr>
        <w:jc w:val="both"/>
        <w:rPr>
          <w:rFonts w:asciiTheme="minorHAnsi" w:hAnsiTheme="minorHAnsi" w:cstheme="minorHAnsi"/>
          <w:sz w:val="16"/>
          <w:szCs w:val="16"/>
        </w:rPr>
      </w:pPr>
      <w:r>
        <w:rPr>
          <w:rStyle w:val="FootnoteReference"/>
        </w:rPr>
        <w:footnoteRef/>
      </w:r>
      <w:r>
        <w:t xml:space="preserve"> </w:t>
      </w:r>
      <w:r w:rsidRPr="000122F2">
        <w:rPr>
          <w:rFonts w:asciiTheme="minorHAnsi" w:hAnsiTheme="minorHAnsi" w:cstheme="minorHAnsi"/>
          <w:sz w:val="16"/>
          <w:szCs w:val="16"/>
        </w:rPr>
        <w:t xml:space="preserve">Por meio de acesso ao ARISP </w:t>
      </w:r>
      <w:proofErr w:type="gramStart"/>
      <w:r w:rsidRPr="000122F2">
        <w:rPr>
          <w:rFonts w:asciiTheme="minorHAnsi" w:hAnsiTheme="minorHAnsi" w:cstheme="minorHAnsi"/>
          <w:sz w:val="16"/>
          <w:szCs w:val="16"/>
        </w:rPr>
        <w:t xml:space="preserve">( </w:t>
      </w:r>
      <w:r w:rsidRPr="000122F2">
        <w:rPr>
          <w:rFonts w:asciiTheme="minorHAnsi" w:hAnsiTheme="minorHAnsi" w:cstheme="minorHAnsi"/>
          <w:sz w:val="16"/>
          <w:szCs w:val="16"/>
          <w:u w:val="single"/>
        </w:rPr>
        <w:t>http://www.arisp.com.br/</w:t>
      </w:r>
      <w:proofErr w:type="gramEnd"/>
      <w:r w:rsidRPr="000122F2">
        <w:rPr>
          <w:rFonts w:asciiTheme="minorHAnsi" w:hAnsiTheme="minorHAnsi" w:cstheme="minorHAnsi"/>
          <w:sz w:val="16"/>
          <w:szCs w:val="16"/>
        </w:rPr>
        <w:t xml:space="preserve"> ), cadastro de Veículos automotores, folha de pagamento ( </w:t>
      </w:r>
      <w:r w:rsidRPr="000122F2">
        <w:rPr>
          <w:rFonts w:asciiTheme="minorHAnsi" w:hAnsiTheme="minorHAnsi" w:cstheme="minorHAnsi"/>
          <w:sz w:val="16"/>
          <w:szCs w:val="16"/>
          <w:u w:val="single"/>
        </w:rPr>
        <w:t>https://portal.fazenda.sp.gov.br/servicos/folha/Paginas/Sobre.aspx</w:t>
      </w:r>
      <w:r w:rsidRPr="000122F2">
        <w:rPr>
          <w:rFonts w:asciiTheme="minorHAnsi" w:hAnsiTheme="minorHAnsi" w:cstheme="minorHAnsi"/>
          <w:sz w:val="16"/>
          <w:szCs w:val="16"/>
        </w:rPr>
        <w:t xml:space="preserve"> ), declaração de bens enviado ao DRH (conforme o Decreto 41.865 / 1997</w:t>
      </w:r>
    </w:p>
    <w:p w:rsidR="009D1337" w:rsidRDefault="009D1337" w:rsidP="000122F2">
      <w:pPr>
        <w:pStyle w:val="FootnoteText"/>
      </w:pPr>
      <w:r w:rsidRPr="000122F2">
        <w:rPr>
          <w:rFonts w:asciiTheme="minorHAnsi" w:hAnsiTheme="minorHAnsi" w:cstheme="minorHAnsi"/>
          <w:sz w:val="16"/>
          <w:szCs w:val="16"/>
          <w:u w:val="single"/>
        </w:rPr>
        <w:t>https://www.al.sp.gov.br/repositorio/legislacao/decreto/1997/decreto-41865-16.06.1997.html</w:t>
      </w:r>
      <w:r w:rsidRPr="000122F2">
        <w:rPr>
          <w:rFonts w:asciiTheme="minorHAnsi" w:hAnsiTheme="minorHAnsi" w:cstheme="minorHAnsi"/>
          <w:sz w:val="16"/>
          <w:szCs w:val="16"/>
        </w:rPr>
        <w:t>)</w:t>
      </w:r>
    </w:p>
  </w:footnote>
  <w:footnote w:id="13">
    <w:p w:rsidR="009D1337" w:rsidRDefault="009D1337">
      <w:pPr>
        <w:pStyle w:val="FootnoteText"/>
      </w:pPr>
      <w:r>
        <w:rPr>
          <w:rStyle w:val="FootnoteReference"/>
        </w:rPr>
        <w:footnoteRef/>
      </w:r>
      <w:r>
        <w:t xml:space="preserve"> </w:t>
      </w:r>
      <w:r w:rsidRPr="000122F2">
        <w:rPr>
          <w:rFonts w:asciiTheme="minorHAnsi" w:hAnsiTheme="minorHAnsi" w:cstheme="minorHAnsi"/>
          <w:sz w:val="16"/>
          <w:szCs w:val="16"/>
          <w:u w:val="single"/>
        </w:rPr>
        <w:t>https://www.al.sp.gov.br/repositorio/legislacao/lei.complementar/2016/lei.complementar-1281-14.01.2016.html</w:t>
      </w:r>
    </w:p>
  </w:footnote>
  <w:footnote w:id="14">
    <w:p w:rsidR="009D1337" w:rsidRPr="000525F3" w:rsidRDefault="009D1337" w:rsidP="000525F3">
      <w:pPr>
        <w:jc w:val="both"/>
        <w:rPr>
          <w:rFonts w:asciiTheme="minorHAnsi" w:hAnsiTheme="minorHAnsi" w:cstheme="minorHAnsi"/>
          <w:sz w:val="16"/>
          <w:szCs w:val="16"/>
        </w:rPr>
      </w:pPr>
      <w:r>
        <w:rPr>
          <w:rStyle w:val="FootnoteReference"/>
        </w:rPr>
        <w:footnoteRef/>
      </w:r>
      <w:r>
        <w:t xml:space="preserve"> </w:t>
      </w:r>
      <w:r w:rsidRPr="000525F3">
        <w:rPr>
          <w:rFonts w:asciiTheme="minorHAnsi" w:hAnsiTheme="minorHAnsi" w:cstheme="minorHAnsi"/>
          <w:sz w:val="16"/>
          <w:szCs w:val="16"/>
        </w:rPr>
        <w:t>As diretrizes da Pasta estão integradas num mesmo Planejamento Estratégico, com seus 7 Objetivos Estratégicos, publicados pela Resolução SF95-2017.</w:t>
      </w:r>
    </w:p>
    <w:p w:rsidR="009D1337" w:rsidRDefault="009D1337" w:rsidP="000525F3">
      <w:pPr>
        <w:pStyle w:val="FootnoteText"/>
      </w:pPr>
      <w:r w:rsidRPr="000525F3">
        <w:rPr>
          <w:rFonts w:asciiTheme="minorHAnsi" w:hAnsiTheme="minorHAnsi" w:cstheme="minorHAnsi"/>
          <w:sz w:val="16"/>
          <w:szCs w:val="16"/>
          <w:u w:val="single"/>
        </w:rPr>
        <w:t>https://www.imprensaoficial.com.br/DO/BuscaDO2001Documento_11_4.aspx?link=/2013/executivo%2520secao%2520i/janeiro/17/pag_0037_AF4T1NA9641S8e4E0G18LCR39AS.pdf&amp;pagina=37&amp;data=17/01/2013&amp;caderno=Executivo%20I&amp;paginaordenacao=100037</w:t>
      </w:r>
    </w:p>
  </w:footnote>
  <w:footnote w:id="15">
    <w:p w:rsidR="009D1337" w:rsidRPr="000525F3" w:rsidRDefault="009D1337" w:rsidP="000525F3">
      <w:pPr>
        <w:jc w:val="both"/>
        <w:rPr>
          <w:rFonts w:asciiTheme="minorHAnsi" w:hAnsiTheme="minorHAnsi" w:cstheme="minorHAnsi"/>
          <w:sz w:val="16"/>
          <w:szCs w:val="16"/>
        </w:rPr>
      </w:pPr>
      <w:r>
        <w:rPr>
          <w:rStyle w:val="FootnoteReference"/>
        </w:rPr>
        <w:footnoteRef/>
      </w:r>
      <w:r>
        <w:t xml:space="preserve"> </w:t>
      </w:r>
      <w:r w:rsidRPr="000525F3">
        <w:rPr>
          <w:rFonts w:asciiTheme="minorHAnsi" w:hAnsiTheme="minorHAnsi" w:cstheme="minorHAnsi"/>
          <w:sz w:val="16"/>
          <w:szCs w:val="16"/>
        </w:rPr>
        <w:t>Indicadores definidos para o efeito da Participação nos Resultados - PR, conforme Resolução Conjunta CC/SG/SPG-1, de 23-03-2017.</w:t>
      </w:r>
    </w:p>
    <w:p w:rsidR="009D1337" w:rsidRDefault="009D1337" w:rsidP="000525F3">
      <w:pPr>
        <w:pStyle w:val="FootnoteText"/>
      </w:pPr>
      <w:r w:rsidRPr="000525F3">
        <w:rPr>
          <w:rFonts w:asciiTheme="minorHAnsi" w:hAnsiTheme="minorHAnsi" w:cstheme="minorHAnsi"/>
          <w:sz w:val="16"/>
          <w:szCs w:val="16"/>
          <w:u w:val="single"/>
        </w:rPr>
        <w:t>https://www.imprensaoficial.com.br/DO/BuscaDO2001Documento_11_4.aspx?link=/2017/executivo%2520secao%2520i/marco/24/pag_0011_BA7RPM7I99TVDe89CP5P68SIK3H.pdf&amp;pagina=11&amp;data=24/03/2017&amp;caderno=Executivo%20I&amp;paginaordenacao=100011</w:t>
      </w:r>
    </w:p>
  </w:footnote>
  <w:footnote w:id="16">
    <w:p w:rsidR="009D1337" w:rsidRPr="002D36FB" w:rsidRDefault="009D1337">
      <w:pPr>
        <w:pStyle w:val="FootnoteText"/>
        <w:rPr>
          <w:rFonts w:asciiTheme="minorHAnsi" w:hAnsiTheme="minorHAnsi" w:cstheme="minorHAnsi"/>
          <w:sz w:val="16"/>
          <w:szCs w:val="16"/>
        </w:rPr>
      </w:pPr>
      <w:r w:rsidRPr="002D36FB">
        <w:rPr>
          <w:rStyle w:val="FootnoteReference"/>
          <w:rFonts w:asciiTheme="minorHAnsi" w:hAnsiTheme="minorHAnsi" w:cstheme="minorHAnsi"/>
          <w:sz w:val="16"/>
          <w:szCs w:val="16"/>
        </w:rPr>
        <w:footnoteRef/>
      </w:r>
      <w:r w:rsidRPr="002D36FB">
        <w:rPr>
          <w:rFonts w:asciiTheme="minorHAnsi" w:hAnsiTheme="minorHAnsi" w:cstheme="minorHAnsi"/>
          <w:sz w:val="16"/>
          <w:szCs w:val="16"/>
        </w:rPr>
        <w:t xml:space="preserve"> - MONITORAMENTO DO PLAN. ESTR.: O monitoramento é executado pelos </w:t>
      </w:r>
      <w:proofErr w:type="spellStart"/>
      <w:r w:rsidRPr="002D36FB">
        <w:rPr>
          <w:rFonts w:asciiTheme="minorHAnsi" w:hAnsiTheme="minorHAnsi" w:cstheme="minorHAnsi"/>
          <w:sz w:val="16"/>
          <w:szCs w:val="16"/>
        </w:rPr>
        <w:t>EGEs</w:t>
      </w:r>
      <w:proofErr w:type="spellEnd"/>
      <w:r w:rsidRPr="002D36FB">
        <w:rPr>
          <w:rFonts w:asciiTheme="minorHAnsi" w:hAnsiTheme="minorHAnsi" w:cstheme="minorHAnsi"/>
          <w:sz w:val="16"/>
          <w:szCs w:val="16"/>
        </w:rPr>
        <w:t xml:space="preserve"> (Equipes de Gestão da Estratégia), figura criada pela Resolução SF 05, de 16-01-2013 </w:t>
      </w:r>
      <w:proofErr w:type="gramStart"/>
      <w:r w:rsidRPr="002D36FB">
        <w:rPr>
          <w:rFonts w:asciiTheme="minorHAnsi" w:hAnsiTheme="minorHAnsi" w:cstheme="minorHAnsi"/>
          <w:sz w:val="16"/>
          <w:szCs w:val="16"/>
        </w:rPr>
        <w:t>( https://www.imprensaoficial.com.br/DO/BuscaDO2001Documento_11_4.aspx?link=/2013/executivo%2520secao%2520i/janeiro/17/pag_0037_AF4T1NA9641S8e4E0G18LCR39AS.pdf&amp;pagina=37&amp;data=17/01/2013&amp;caderno=Executivo%20I&amp;paginaordenacao=100037</w:t>
      </w:r>
      <w:proofErr w:type="gramEnd"/>
      <w:r w:rsidRPr="002D36FB">
        <w:rPr>
          <w:rFonts w:asciiTheme="minorHAnsi" w:hAnsiTheme="minorHAnsi" w:cstheme="minorHAnsi"/>
          <w:sz w:val="16"/>
          <w:szCs w:val="16"/>
        </w:rPr>
        <w:t xml:space="preserve"> )</w:t>
      </w:r>
    </w:p>
    <w:p w:rsidR="009D1337" w:rsidRDefault="009D1337">
      <w:pPr>
        <w:pStyle w:val="FootnoteText"/>
      </w:pPr>
    </w:p>
  </w:footnote>
  <w:footnote w:id="17">
    <w:p w:rsidR="009D1337" w:rsidRPr="003C792B" w:rsidRDefault="009D1337">
      <w:pPr>
        <w:pStyle w:val="FootnoteText"/>
        <w:rPr>
          <w:rFonts w:asciiTheme="minorHAnsi" w:hAnsiTheme="minorHAnsi" w:cstheme="minorHAnsi"/>
          <w:sz w:val="16"/>
          <w:szCs w:val="16"/>
        </w:rPr>
      </w:pPr>
      <w:r w:rsidRPr="003C792B">
        <w:rPr>
          <w:rStyle w:val="FootnoteReference"/>
          <w:rFonts w:asciiTheme="minorHAnsi" w:hAnsiTheme="minorHAnsi" w:cstheme="minorHAnsi"/>
          <w:sz w:val="16"/>
          <w:szCs w:val="16"/>
        </w:rPr>
        <w:footnoteRef/>
      </w:r>
      <w:r w:rsidRPr="003C792B">
        <w:rPr>
          <w:rFonts w:asciiTheme="minorHAnsi" w:hAnsiTheme="minorHAnsi" w:cstheme="minorHAnsi"/>
          <w:sz w:val="16"/>
          <w:szCs w:val="16"/>
        </w:rPr>
        <w:t xml:space="preserve"> </w:t>
      </w:r>
      <w:r w:rsidRPr="003C792B">
        <w:rPr>
          <w:rFonts w:asciiTheme="minorHAnsi" w:hAnsiTheme="minorHAnsi" w:cstheme="minorHAnsi"/>
          <w:sz w:val="16"/>
          <w:szCs w:val="16"/>
          <w:u w:val="single"/>
        </w:rPr>
        <w:t>http://www.al.sp.gov.br/repositorio/legislacao/decreto/2014/decreto-60812-30.09.2014.html</w:t>
      </w:r>
    </w:p>
  </w:footnote>
  <w:footnote w:id="18">
    <w:p w:rsidR="009D1337" w:rsidRPr="0090778E" w:rsidRDefault="009D1337" w:rsidP="007F7BBD">
      <w:pPr>
        <w:jc w:val="both"/>
        <w:rPr>
          <w:rFonts w:asciiTheme="minorHAnsi" w:hAnsiTheme="minorHAnsi" w:cstheme="minorHAnsi"/>
          <w:sz w:val="16"/>
          <w:szCs w:val="16"/>
        </w:rPr>
      </w:pPr>
      <w:r w:rsidRPr="0090778E">
        <w:rPr>
          <w:rStyle w:val="FootnoteReference"/>
          <w:rFonts w:asciiTheme="minorHAnsi" w:hAnsiTheme="minorHAnsi" w:cstheme="minorHAnsi"/>
          <w:sz w:val="16"/>
          <w:szCs w:val="16"/>
        </w:rPr>
        <w:footnoteRef/>
      </w:r>
      <w:r w:rsidRPr="0090778E">
        <w:rPr>
          <w:rFonts w:asciiTheme="minorHAnsi" w:hAnsiTheme="minorHAnsi" w:cstheme="minorHAnsi"/>
          <w:sz w:val="16"/>
          <w:szCs w:val="16"/>
        </w:rPr>
        <w:t xml:space="preserve"> https://portal.fazenda.sp.gov.br/acessoinformacao/Paginas/Auditoria-Baseada-em-Risco.aspx</w:t>
      </w:r>
    </w:p>
  </w:footnote>
  <w:footnote w:id="19">
    <w:p w:rsidR="009D1337" w:rsidRPr="0090778E" w:rsidRDefault="009D1337" w:rsidP="007F7BBD">
      <w:pPr>
        <w:jc w:val="both"/>
        <w:rPr>
          <w:rFonts w:asciiTheme="minorHAnsi" w:hAnsiTheme="minorHAnsi" w:cstheme="minorHAnsi"/>
          <w:sz w:val="16"/>
          <w:szCs w:val="16"/>
        </w:rPr>
      </w:pPr>
      <w:r w:rsidRPr="0090778E">
        <w:rPr>
          <w:rStyle w:val="FootnoteReference"/>
          <w:rFonts w:asciiTheme="minorHAnsi" w:hAnsiTheme="minorHAnsi" w:cstheme="minorHAnsi"/>
          <w:sz w:val="16"/>
          <w:szCs w:val="16"/>
        </w:rPr>
        <w:footnoteRef/>
      </w:r>
      <w:r w:rsidRPr="0090778E">
        <w:rPr>
          <w:rFonts w:asciiTheme="minorHAnsi" w:hAnsiTheme="minorHAnsi" w:cstheme="minorHAnsi"/>
          <w:sz w:val="16"/>
          <w:szCs w:val="16"/>
        </w:rPr>
        <w:t xml:space="preserve"> http://www.al.sp.gov.br/repositorio/legislacao/decreto/2014/decreto-60812-30.09.2014.html</w:t>
      </w:r>
    </w:p>
  </w:footnote>
  <w:footnote w:id="20">
    <w:p w:rsidR="009D1337" w:rsidRPr="007F7BBD" w:rsidRDefault="009D1337" w:rsidP="00260FF9">
      <w:pPr>
        <w:jc w:val="both"/>
        <w:rPr>
          <w:rFonts w:asciiTheme="minorHAnsi" w:hAnsiTheme="minorHAnsi" w:cstheme="minorHAnsi"/>
          <w:sz w:val="16"/>
          <w:szCs w:val="16"/>
        </w:rPr>
      </w:pPr>
      <w:r w:rsidRPr="0090778E">
        <w:rPr>
          <w:rStyle w:val="FootnoteReference"/>
          <w:rFonts w:asciiTheme="minorHAnsi" w:hAnsiTheme="minorHAnsi" w:cstheme="minorHAnsi"/>
          <w:sz w:val="16"/>
          <w:szCs w:val="16"/>
        </w:rPr>
        <w:footnoteRef/>
      </w:r>
      <w:r w:rsidRPr="0090778E">
        <w:rPr>
          <w:rFonts w:asciiTheme="minorHAnsi" w:hAnsiTheme="minorHAnsi" w:cstheme="minorHAnsi"/>
          <w:sz w:val="16"/>
          <w:szCs w:val="16"/>
        </w:rPr>
        <w:t xml:space="preserve"> Resolu</w:t>
      </w:r>
      <w:r>
        <w:rPr>
          <w:rFonts w:asciiTheme="minorHAnsi" w:hAnsiTheme="minorHAnsi" w:cstheme="minorHAnsi"/>
          <w:sz w:val="16"/>
          <w:szCs w:val="16"/>
        </w:rPr>
        <w:t>ção SF 95, de 06-11-2017</w:t>
      </w:r>
    </w:p>
  </w:footnote>
  <w:footnote w:id="21">
    <w:p w:rsidR="009D1337" w:rsidRDefault="009D1337">
      <w:pPr>
        <w:pStyle w:val="FootnoteText"/>
      </w:pPr>
    </w:p>
  </w:footnote>
  <w:footnote w:id="22">
    <w:p w:rsidR="009D1337" w:rsidRPr="002A5A9F" w:rsidRDefault="009D1337">
      <w:pPr>
        <w:pStyle w:val="FootnoteText"/>
        <w:rPr>
          <w:rFonts w:asciiTheme="minorHAnsi" w:hAnsiTheme="minorHAnsi" w:cstheme="minorHAnsi"/>
          <w:sz w:val="16"/>
          <w:szCs w:val="16"/>
        </w:rPr>
      </w:pPr>
      <w:r w:rsidRPr="002A5A9F">
        <w:rPr>
          <w:rStyle w:val="FootnoteReference"/>
          <w:rFonts w:asciiTheme="minorHAnsi" w:hAnsiTheme="minorHAnsi" w:cstheme="minorHAnsi"/>
          <w:sz w:val="16"/>
          <w:szCs w:val="16"/>
        </w:rPr>
        <w:footnoteRef/>
      </w:r>
      <w:r w:rsidRPr="002A5A9F">
        <w:rPr>
          <w:rFonts w:asciiTheme="minorHAnsi" w:hAnsiTheme="minorHAnsi" w:cstheme="minorHAnsi"/>
          <w:sz w:val="16"/>
          <w:szCs w:val="16"/>
        </w:rPr>
        <w:t xml:space="preserve"> </w:t>
      </w:r>
      <w:r w:rsidRPr="002A5A9F">
        <w:rPr>
          <w:rFonts w:asciiTheme="minorHAnsi" w:hAnsiTheme="minorHAnsi" w:cstheme="minorHAnsi"/>
          <w:sz w:val="16"/>
          <w:szCs w:val="16"/>
        </w:rPr>
        <w:object w:dxaOrig="1534" w:dyaOrig="997">
          <v:shape id="_x0000_i1028" type="#_x0000_t75" style="width:76.2pt;height:49.8pt" o:ole="">
            <v:imagedata r:id="rId2" o:title=""/>
          </v:shape>
          <o:OLEObject Type="Embed" ProgID="Excel.Sheet.12" ShapeID="_x0000_i1028" DrawAspect="Icon" ObjectID="_1591802652" r:id="rId3"/>
        </w:object>
      </w:r>
    </w:p>
  </w:footnote>
  <w:footnote w:id="23">
    <w:p w:rsidR="009D1337" w:rsidRPr="002A5A9F" w:rsidRDefault="009D1337">
      <w:pPr>
        <w:pStyle w:val="FootnoteText"/>
        <w:rPr>
          <w:rFonts w:asciiTheme="minorHAnsi" w:hAnsiTheme="minorHAnsi" w:cstheme="minorHAnsi"/>
          <w:sz w:val="16"/>
          <w:szCs w:val="16"/>
        </w:rPr>
      </w:pPr>
      <w:r w:rsidRPr="002A5A9F">
        <w:rPr>
          <w:rStyle w:val="FootnoteReference"/>
          <w:rFonts w:asciiTheme="minorHAnsi" w:hAnsiTheme="minorHAnsi" w:cstheme="minorHAnsi"/>
          <w:sz w:val="16"/>
          <w:szCs w:val="16"/>
        </w:rPr>
        <w:footnoteRef/>
      </w:r>
      <w:r w:rsidRPr="002A5A9F">
        <w:rPr>
          <w:rFonts w:asciiTheme="minorHAnsi" w:hAnsiTheme="minorHAnsi" w:cstheme="minorHAnsi"/>
          <w:sz w:val="16"/>
          <w:szCs w:val="16"/>
        </w:rPr>
        <w:t xml:space="preserve"> </w:t>
      </w:r>
      <w:r w:rsidRPr="00E61E32">
        <w:rPr>
          <w:rFonts w:asciiTheme="minorHAnsi" w:hAnsiTheme="minorHAnsi" w:cstheme="minorHAnsi"/>
          <w:color w:val="000000"/>
          <w:sz w:val="16"/>
          <w:szCs w:val="16"/>
        </w:rPr>
        <w:t>http://etc.intra.fazenda.sp.gov.br/sites/desenho/SitePages/Informa%C3%A7%C3%B5es%20sobre%20o%20COORD.aspx</w:t>
      </w:r>
      <w:r w:rsidRPr="00E61E32">
        <w:rPr>
          <w:rFonts w:asciiTheme="minorHAnsi" w:hAnsiTheme="minorHAnsi" w:cstheme="minorHAnsi"/>
          <w:color w:val="000000"/>
          <w:sz w:val="16"/>
          <w:szCs w:val="16"/>
        </w:rPr>
        <w:br/>
      </w:r>
    </w:p>
  </w:footnote>
  <w:footnote w:id="24">
    <w:p w:rsidR="009D1337" w:rsidRPr="002A5A9F" w:rsidRDefault="009D1337">
      <w:pPr>
        <w:pStyle w:val="FootnoteText"/>
        <w:rPr>
          <w:rFonts w:asciiTheme="minorHAnsi" w:hAnsiTheme="minorHAnsi" w:cstheme="minorHAnsi"/>
          <w:sz w:val="16"/>
          <w:szCs w:val="16"/>
        </w:rPr>
      </w:pPr>
      <w:r w:rsidRPr="002A5A9F">
        <w:rPr>
          <w:rStyle w:val="FootnoteReference"/>
          <w:rFonts w:asciiTheme="minorHAnsi" w:hAnsiTheme="minorHAnsi" w:cstheme="minorHAnsi"/>
          <w:sz w:val="16"/>
          <w:szCs w:val="16"/>
        </w:rPr>
        <w:footnoteRef/>
      </w:r>
      <w:r w:rsidRPr="002A5A9F">
        <w:rPr>
          <w:rFonts w:asciiTheme="minorHAnsi" w:hAnsiTheme="minorHAnsi" w:cstheme="minorHAnsi"/>
          <w:sz w:val="16"/>
          <w:szCs w:val="16"/>
        </w:rPr>
        <w:t xml:space="preserve"> </w:t>
      </w:r>
      <w:r w:rsidRPr="00E61E32">
        <w:rPr>
          <w:rFonts w:asciiTheme="minorHAnsi" w:hAnsiTheme="minorHAnsi" w:cstheme="minorHAnsi"/>
          <w:color w:val="000000"/>
          <w:sz w:val="16"/>
          <w:szCs w:val="16"/>
          <w:u w:val="single"/>
        </w:rPr>
        <w:t>https://portal.fazenda.sp.gov.br/Paginas/default.aspx</w:t>
      </w:r>
    </w:p>
  </w:footnote>
  <w:footnote w:id="25">
    <w:p w:rsidR="009D1337" w:rsidRPr="00B83728" w:rsidRDefault="009D1337">
      <w:pPr>
        <w:pStyle w:val="FootnoteText"/>
        <w:rPr>
          <w:rFonts w:asciiTheme="minorHAnsi" w:hAnsiTheme="minorHAnsi" w:cstheme="minorHAnsi"/>
          <w:sz w:val="16"/>
          <w:szCs w:val="16"/>
        </w:rPr>
      </w:pPr>
    </w:p>
  </w:footnote>
  <w:footnote w:id="26">
    <w:p w:rsidR="009D1337" w:rsidRDefault="009D1337">
      <w:pPr>
        <w:pStyle w:val="FootnoteText"/>
      </w:pPr>
    </w:p>
  </w:footnote>
  <w:footnote w:id="27">
    <w:p w:rsidR="009D1337" w:rsidRDefault="009D1337">
      <w:pPr>
        <w:pStyle w:val="FootnoteText"/>
      </w:pPr>
    </w:p>
  </w:footnote>
  <w:footnote w:id="28">
    <w:p w:rsidR="009D1337" w:rsidRPr="00DC0686" w:rsidRDefault="009D1337" w:rsidP="00AC3F74">
      <w:pPr>
        <w:rPr>
          <w:rFonts w:asciiTheme="minorHAnsi" w:hAnsiTheme="minorHAnsi" w:cstheme="minorHAnsi"/>
          <w:sz w:val="16"/>
          <w:szCs w:val="16"/>
        </w:rPr>
      </w:pPr>
      <w:r w:rsidRPr="00AE57C1">
        <w:rPr>
          <w:rStyle w:val="FootnoteReference"/>
          <w:rFonts w:asciiTheme="minorHAnsi" w:hAnsiTheme="minorHAnsi" w:cstheme="minorHAnsi"/>
          <w:sz w:val="16"/>
          <w:szCs w:val="16"/>
        </w:rPr>
        <w:footnoteRef/>
      </w:r>
      <w:r w:rsidRPr="00AE57C1">
        <w:rPr>
          <w:rFonts w:asciiTheme="minorHAnsi" w:hAnsiTheme="minorHAnsi" w:cstheme="minorHAnsi"/>
          <w:color w:val="000000"/>
          <w:sz w:val="16"/>
          <w:szCs w:val="16"/>
        </w:rPr>
        <w:t>Resolução SF - 51, de 20-9-2007</w:t>
      </w:r>
      <w:r>
        <w:rPr>
          <w:rFonts w:asciiTheme="minorHAnsi" w:hAnsiTheme="minorHAnsi" w:cstheme="minorHAnsi"/>
          <w:color w:val="000000"/>
          <w:sz w:val="16"/>
          <w:szCs w:val="16"/>
        </w:rPr>
        <w:t xml:space="preserve"> </w:t>
      </w:r>
      <w:r w:rsidRPr="00AE57C1">
        <w:rPr>
          <w:rFonts w:asciiTheme="minorHAnsi" w:hAnsiTheme="minorHAnsi" w:cstheme="minorHAnsi"/>
          <w:color w:val="000000"/>
          <w:sz w:val="16"/>
          <w:szCs w:val="16"/>
        </w:rPr>
        <w:t>Institui o Código de Ética da Secretaria da Fazenda do Estado de São Paulo</w:t>
      </w:r>
      <w:r>
        <w:rPr>
          <w:rFonts w:asciiTheme="minorHAnsi" w:hAnsiTheme="minorHAnsi" w:cstheme="minorHAnsi"/>
          <w:color w:val="000000"/>
          <w:sz w:val="16"/>
          <w:szCs w:val="16"/>
        </w:rPr>
        <w:t xml:space="preserve"> </w:t>
      </w:r>
      <w:r w:rsidRPr="00AE57C1">
        <w:rPr>
          <w:rFonts w:asciiTheme="minorHAnsi" w:hAnsiTheme="minorHAnsi" w:cstheme="minorHAnsi"/>
          <w:color w:val="000000"/>
          <w:sz w:val="16"/>
          <w:szCs w:val="16"/>
        </w:rPr>
        <w:t>http://info.fazenda.sp.gov.br/NXT/gateway.dll/legislacao_financeira/financ_estadual/Resolu%C3%A7%C3%A3o%20SF%2051-07.pdf?f=templates$fn=default.htm&amp;vid=sefaz_financeira:vfinanc</w:t>
      </w:r>
    </w:p>
  </w:footnote>
  <w:footnote w:id="29">
    <w:p w:rsidR="009D1337" w:rsidRPr="005B1065" w:rsidRDefault="009D1337" w:rsidP="005B1065">
      <w:pPr>
        <w:jc w:val="both"/>
        <w:rPr>
          <w:rFonts w:asciiTheme="minorHAnsi" w:hAnsiTheme="minorHAnsi" w:cstheme="minorHAnsi"/>
          <w:sz w:val="16"/>
          <w:szCs w:val="16"/>
        </w:rPr>
      </w:pPr>
      <w:r w:rsidRPr="005B1065">
        <w:rPr>
          <w:rStyle w:val="FootnoteReference"/>
          <w:rFonts w:asciiTheme="minorHAnsi" w:hAnsiTheme="minorHAnsi" w:cstheme="minorHAnsi"/>
          <w:sz w:val="16"/>
          <w:szCs w:val="16"/>
        </w:rPr>
        <w:footnoteRef/>
      </w:r>
      <w:r w:rsidRPr="005B1065">
        <w:rPr>
          <w:rFonts w:asciiTheme="minorHAnsi" w:hAnsiTheme="minorHAnsi" w:cstheme="minorHAnsi"/>
          <w:sz w:val="16"/>
          <w:szCs w:val="16"/>
        </w:rPr>
        <w:t xml:space="preserve"> </w:t>
      </w:r>
      <w:r w:rsidRPr="00AE57C1">
        <w:rPr>
          <w:rFonts w:asciiTheme="minorHAnsi" w:hAnsiTheme="minorHAnsi" w:cstheme="minorHAnsi"/>
          <w:color w:val="000000"/>
          <w:sz w:val="16"/>
          <w:szCs w:val="16"/>
        </w:rPr>
        <w:t>Decreto Nº 41</w:t>
      </w:r>
      <w:r w:rsidRPr="005B1065">
        <w:rPr>
          <w:rFonts w:asciiTheme="minorHAnsi" w:hAnsiTheme="minorHAnsi" w:cstheme="minorHAnsi"/>
          <w:color w:val="000000"/>
          <w:sz w:val="16"/>
          <w:szCs w:val="16"/>
        </w:rPr>
        <w:t xml:space="preserve">.865, de 16 de junho de 1997 </w:t>
      </w:r>
      <w:r w:rsidRPr="00AE57C1">
        <w:rPr>
          <w:rFonts w:asciiTheme="minorHAnsi" w:hAnsiTheme="minorHAnsi" w:cstheme="minorHAnsi"/>
          <w:color w:val="000000"/>
          <w:sz w:val="16"/>
          <w:szCs w:val="16"/>
        </w:rPr>
        <w:t>https://www.al.sp.gov.br/repositorio/legislacao/decreto/1997/decreto-41865-16.06.1997.html</w:t>
      </w:r>
    </w:p>
  </w:footnote>
  <w:footnote w:id="30">
    <w:p w:rsidR="009D1337" w:rsidRPr="005B1065" w:rsidRDefault="009D1337" w:rsidP="005B1065">
      <w:pPr>
        <w:pStyle w:val="FootnoteText"/>
        <w:rPr>
          <w:rFonts w:asciiTheme="minorHAnsi" w:hAnsiTheme="minorHAnsi" w:cstheme="minorHAnsi"/>
          <w:sz w:val="16"/>
          <w:szCs w:val="16"/>
        </w:rPr>
      </w:pPr>
      <w:r w:rsidRPr="005B1065">
        <w:rPr>
          <w:rStyle w:val="FootnoteReference"/>
          <w:rFonts w:asciiTheme="minorHAnsi" w:hAnsiTheme="minorHAnsi" w:cstheme="minorHAnsi"/>
          <w:sz w:val="16"/>
          <w:szCs w:val="16"/>
        </w:rPr>
        <w:footnoteRef/>
      </w:r>
      <w:r w:rsidRPr="005B1065">
        <w:rPr>
          <w:rFonts w:asciiTheme="minorHAnsi" w:hAnsiTheme="minorHAnsi" w:cstheme="minorHAnsi"/>
          <w:sz w:val="16"/>
          <w:szCs w:val="16"/>
        </w:rPr>
        <w:t xml:space="preserve"> </w:t>
      </w:r>
      <w:r w:rsidRPr="00AE57C1">
        <w:rPr>
          <w:rFonts w:asciiTheme="minorHAnsi" w:hAnsiTheme="minorHAnsi" w:cstheme="minorHAnsi"/>
          <w:color w:val="000000"/>
          <w:sz w:val="16"/>
          <w:szCs w:val="16"/>
        </w:rPr>
        <w:t>https://www.al.sp.gov.br/repositorio/legislacao/decreto/2006/decreto-50656-30.03.2006.html</w:t>
      </w:r>
    </w:p>
  </w:footnote>
  <w:footnote w:id="31">
    <w:p w:rsidR="009D1337" w:rsidRPr="005B1065" w:rsidRDefault="009D1337" w:rsidP="005B1065">
      <w:pPr>
        <w:pStyle w:val="FootnoteText"/>
        <w:rPr>
          <w:rFonts w:asciiTheme="minorHAnsi" w:hAnsiTheme="minorHAnsi" w:cstheme="minorHAnsi"/>
          <w:sz w:val="16"/>
          <w:szCs w:val="16"/>
        </w:rPr>
      </w:pPr>
      <w:r w:rsidRPr="005B1065">
        <w:rPr>
          <w:rStyle w:val="FootnoteReference"/>
          <w:rFonts w:asciiTheme="minorHAnsi" w:hAnsiTheme="minorHAnsi" w:cstheme="minorHAnsi"/>
          <w:sz w:val="16"/>
          <w:szCs w:val="16"/>
        </w:rPr>
        <w:footnoteRef/>
      </w:r>
      <w:r w:rsidRPr="005B1065">
        <w:rPr>
          <w:rFonts w:asciiTheme="minorHAnsi" w:hAnsiTheme="minorHAnsi" w:cstheme="minorHAnsi"/>
          <w:sz w:val="16"/>
          <w:szCs w:val="16"/>
        </w:rPr>
        <w:t>h</w:t>
      </w:r>
      <w:r w:rsidRPr="004F30E6">
        <w:rPr>
          <w:rFonts w:asciiTheme="minorHAnsi" w:hAnsiTheme="minorHAnsi" w:cstheme="minorHAnsi"/>
          <w:sz w:val="16"/>
          <w:szCs w:val="16"/>
        </w:rPr>
        <w:t>ttp://www.legislacao.sp.gov.br/legislacao/dg280202.nsf/a2dc3f553380ee0f83256cfb00501463/46e2576658b1c52903256d63004f305a?OpenDocument</w:t>
      </w:r>
    </w:p>
  </w:footnote>
  <w:footnote w:id="32">
    <w:p w:rsidR="009D1337" w:rsidRPr="005B1065" w:rsidRDefault="009D1337" w:rsidP="005B1065">
      <w:pPr>
        <w:rPr>
          <w:rFonts w:asciiTheme="minorHAnsi" w:hAnsiTheme="minorHAnsi" w:cstheme="minorHAnsi"/>
          <w:sz w:val="16"/>
          <w:szCs w:val="16"/>
        </w:rPr>
      </w:pPr>
      <w:r w:rsidRPr="005B1065">
        <w:rPr>
          <w:rStyle w:val="FootnoteReference"/>
          <w:rFonts w:asciiTheme="minorHAnsi" w:hAnsiTheme="minorHAnsi" w:cstheme="minorHAnsi"/>
          <w:sz w:val="16"/>
          <w:szCs w:val="16"/>
        </w:rPr>
        <w:footnoteRef/>
      </w:r>
      <w:r w:rsidRPr="005B1065">
        <w:rPr>
          <w:rFonts w:asciiTheme="minorHAnsi" w:hAnsiTheme="minorHAnsi" w:cstheme="minorHAnsi"/>
          <w:sz w:val="16"/>
          <w:szCs w:val="16"/>
        </w:rPr>
        <w:t xml:space="preserve"> </w:t>
      </w:r>
      <w:r w:rsidRPr="004F30E6">
        <w:rPr>
          <w:rFonts w:asciiTheme="minorHAnsi" w:hAnsiTheme="minorHAnsi" w:cstheme="minorHAnsi"/>
          <w:sz w:val="16"/>
          <w:szCs w:val="16"/>
        </w:rPr>
        <w:t>https://www.al.sp.gov.br/repositorio/legislacao/lei.complementar/1984/lei.complementar-343-06.01.1984.html</w:t>
      </w:r>
    </w:p>
  </w:footnote>
  <w:footnote w:id="33">
    <w:p w:rsidR="009D1337" w:rsidRPr="005B1065" w:rsidRDefault="009D1337" w:rsidP="005B1065">
      <w:pPr>
        <w:pStyle w:val="FootnoteText"/>
        <w:rPr>
          <w:rFonts w:asciiTheme="minorHAnsi" w:hAnsiTheme="minorHAnsi" w:cstheme="minorHAnsi"/>
          <w:sz w:val="16"/>
          <w:szCs w:val="16"/>
        </w:rPr>
      </w:pPr>
      <w:r w:rsidRPr="005B1065">
        <w:rPr>
          <w:rStyle w:val="FootnoteReference"/>
          <w:rFonts w:asciiTheme="minorHAnsi" w:hAnsiTheme="minorHAnsi" w:cstheme="minorHAnsi"/>
          <w:sz w:val="16"/>
          <w:szCs w:val="16"/>
        </w:rPr>
        <w:footnoteRef/>
      </w:r>
      <w:r w:rsidRPr="005B1065">
        <w:rPr>
          <w:rFonts w:asciiTheme="minorHAnsi" w:hAnsiTheme="minorHAnsi" w:cstheme="minorHAnsi"/>
          <w:sz w:val="16"/>
          <w:szCs w:val="16"/>
        </w:rPr>
        <w:t xml:space="preserve"> </w:t>
      </w:r>
      <w:hyperlink r:id="rId4" w:history="1">
        <w:r w:rsidRPr="005B1065">
          <w:rPr>
            <w:rFonts w:asciiTheme="minorHAnsi" w:hAnsiTheme="minorHAnsi" w:cstheme="minorHAnsi"/>
            <w:sz w:val="16"/>
            <w:szCs w:val="16"/>
          </w:rPr>
          <w:t>Portal da Transparência Estadual: http://www.transparencia.sp.gov.br/remunera.html</w:t>
        </w:r>
      </w:hyperlink>
    </w:p>
  </w:footnote>
  <w:footnote w:id="34">
    <w:p w:rsidR="009D1337" w:rsidRPr="00B26D03" w:rsidRDefault="009D1337">
      <w:pPr>
        <w:pStyle w:val="FootnoteText"/>
        <w:rPr>
          <w:rFonts w:asciiTheme="minorHAnsi" w:hAnsiTheme="minorHAnsi" w:cstheme="minorHAnsi"/>
          <w:sz w:val="16"/>
          <w:szCs w:val="16"/>
        </w:rPr>
      </w:pPr>
      <w:r w:rsidRPr="00B26D03">
        <w:rPr>
          <w:rStyle w:val="FootnoteReference"/>
          <w:rFonts w:asciiTheme="minorHAnsi" w:hAnsiTheme="minorHAnsi" w:cstheme="minorHAnsi"/>
          <w:sz w:val="16"/>
          <w:szCs w:val="16"/>
        </w:rPr>
        <w:footnoteRef/>
      </w:r>
      <w:r w:rsidRPr="00B26D03">
        <w:rPr>
          <w:rFonts w:asciiTheme="minorHAnsi" w:hAnsiTheme="minorHAnsi" w:cstheme="minorHAnsi"/>
          <w:sz w:val="16"/>
          <w:szCs w:val="16"/>
        </w:rPr>
        <w:t xml:space="preserve"> </w:t>
      </w:r>
      <w:r w:rsidRPr="00B26D03">
        <w:rPr>
          <w:rFonts w:asciiTheme="minorHAnsi" w:hAnsiTheme="minorHAnsi" w:cstheme="minorHAnsi"/>
          <w:color w:val="000000"/>
          <w:sz w:val="16"/>
          <w:szCs w:val="16"/>
        </w:rPr>
        <w:t>https://www.al.sp.gov.br/repositorio/legislacao/lei.complementar/2008/lei.complementar-1079-17.12.2008.html</w:t>
      </w:r>
    </w:p>
  </w:footnote>
  <w:footnote w:id="35">
    <w:p w:rsidR="009D1337" w:rsidRPr="007270BA" w:rsidRDefault="009D1337" w:rsidP="006453F1">
      <w:pPr>
        <w:pStyle w:val="FootnoteText"/>
        <w:jc w:val="both"/>
        <w:rPr>
          <w:rFonts w:asciiTheme="minorHAnsi" w:hAnsiTheme="minorHAnsi" w:cstheme="minorHAnsi"/>
          <w:sz w:val="16"/>
          <w:szCs w:val="16"/>
        </w:rPr>
      </w:pPr>
      <w:r w:rsidRPr="007270BA">
        <w:rPr>
          <w:rStyle w:val="FootnoteReference"/>
          <w:rFonts w:asciiTheme="minorHAnsi" w:hAnsiTheme="minorHAnsi" w:cstheme="minorHAnsi"/>
          <w:sz w:val="16"/>
          <w:szCs w:val="16"/>
        </w:rPr>
        <w:footnoteRef/>
      </w:r>
      <w:r w:rsidRPr="007270BA">
        <w:rPr>
          <w:rFonts w:asciiTheme="minorHAnsi" w:hAnsiTheme="minorHAnsi" w:cstheme="minorHAnsi"/>
          <w:sz w:val="16"/>
          <w:szCs w:val="16"/>
        </w:rPr>
        <w:t xml:space="preserve"> </w:t>
      </w:r>
      <w:r w:rsidRPr="00D40606">
        <w:rPr>
          <w:rFonts w:asciiTheme="minorHAnsi" w:hAnsiTheme="minorHAnsi" w:cstheme="minorHAnsi"/>
          <w:color w:val="000000"/>
          <w:sz w:val="16"/>
          <w:szCs w:val="16"/>
        </w:rPr>
        <w:t>https://www.al.sp.gov.br/repositorio/legislacao/decreto/2010/decreto-55806-12.05.2010.html</w:t>
      </w:r>
    </w:p>
  </w:footnote>
  <w:footnote w:id="36">
    <w:p w:rsidR="009D1337" w:rsidRPr="007270BA" w:rsidRDefault="009D1337" w:rsidP="006453F1">
      <w:pPr>
        <w:pStyle w:val="FootnoteText"/>
        <w:jc w:val="both"/>
        <w:rPr>
          <w:rFonts w:asciiTheme="minorHAnsi" w:hAnsiTheme="minorHAnsi" w:cstheme="minorHAnsi"/>
          <w:sz w:val="16"/>
          <w:szCs w:val="16"/>
        </w:rPr>
      </w:pPr>
      <w:r w:rsidRPr="007270BA">
        <w:rPr>
          <w:rStyle w:val="FootnoteReference"/>
          <w:rFonts w:asciiTheme="minorHAnsi" w:hAnsiTheme="minorHAnsi" w:cstheme="minorHAnsi"/>
          <w:sz w:val="16"/>
          <w:szCs w:val="16"/>
        </w:rPr>
        <w:footnoteRef/>
      </w:r>
      <w:r w:rsidRPr="007270BA">
        <w:rPr>
          <w:rFonts w:asciiTheme="minorHAnsi" w:hAnsiTheme="minorHAnsi" w:cstheme="minorHAnsi"/>
          <w:sz w:val="16"/>
          <w:szCs w:val="16"/>
        </w:rPr>
        <w:t xml:space="preserve"> </w:t>
      </w:r>
      <w:r w:rsidRPr="00D40606">
        <w:rPr>
          <w:rFonts w:asciiTheme="minorHAnsi" w:hAnsiTheme="minorHAnsi" w:cstheme="minorHAnsi"/>
          <w:color w:val="000000"/>
          <w:sz w:val="16"/>
          <w:szCs w:val="16"/>
        </w:rPr>
        <w:t>http://www.al.sp.gov.br/repositorio/legislacao/decreto/2014/decreto-60812-30.09.2014.html</w:t>
      </w:r>
    </w:p>
  </w:footnote>
  <w:footnote w:id="37">
    <w:p w:rsidR="009D1337" w:rsidRPr="007270BA" w:rsidRDefault="009D1337" w:rsidP="006453F1">
      <w:pPr>
        <w:pStyle w:val="FootnoteText"/>
        <w:jc w:val="both"/>
        <w:rPr>
          <w:rFonts w:asciiTheme="minorHAnsi" w:hAnsiTheme="minorHAnsi" w:cstheme="minorHAnsi"/>
          <w:sz w:val="16"/>
          <w:szCs w:val="16"/>
        </w:rPr>
      </w:pPr>
      <w:r w:rsidRPr="007270BA">
        <w:rPr>
          <w:rStyle w:val="FootnoteReference"/>
          <w:rFonts w:asciiTheme="minorHAnsi" w:hAnsiTheme="minorHAnsi" w:cstheme="minorHAnsi"/>
          <w:sz w:val="16"/>
          <w:szCs w:val="16"/>
        </w:rPr>
        <w:footnoteRef/>
      </w:r>
      <w:r w:rsidRPr="007270BA">
        <w:rPr>
          <w:rFonts w:asciiTheme="minorHAnsi" w:hAnsiTheme="minorHAnsi" w:cstheme="minorHAnsi"/>
          <w:sz w:val="16"/>
          <w:szCs w:val="16"/>
        </w:rPr>
        <w:t xml:space="preserve"> </w:t>
      </w:r>
      <w:r w:rsidRPr="00D40606">
        <w:rPr>
          <w:rFonts w:asciiTheme="minorHAnsi" w:hAnsiTheme="minorHAnsi" w:cstheme="minorHAnsi"/>
          <w:color w:val="000000"/>
          <w:sz w:val="16"/>
          <w:szCs w:val="16"/>
        </w:rPr>
        <w:t xml:space="preserve">A compra de vagas existe e é regida pelas regras da RESOLUÇÃO SF </w:t>
      </w:r>
      <w:proofErr w:type="gramStart"/>
      <w:r w:rsidRPr="00D40606">
        <w:rPr>
          <w:rFonts w:asciiTheme="minorHAnsi" w:hAnsiTheme="minorHAnsi" w:cstheme="minorHAnsi"/>
          <w:color w:val="000000"/>
          <w:sz w:val="16"/>
          <w:szCs w:val="16"/>
        </w:rPr>
        <w:t>32 ,</w:t>
      </w:r>
      <w:proofErr w:type="gramEnd"/>
      <w:r w:rsidRPr="00D40606">
        <w:rPr>
          <w:rFonts w:asciiTheme="minorHAnsi" w:hAnsiTheme="minorHAnsi" w:cstheme="minorHAnsi"/>
          <w:color w:val="000000"/>
          <w:sz w:val="16"/>
          <w:szCs w:val="16"/>
        </w:rPr>
        <w:t xml:space="preserve"> DE 02 / 07 / 2008, que institui a Política de Participação em Eventos Externos, no âmbito da Secretaria da Fazenda</w:t>
      </w:r>
    </w:p>
  </w:footnote>
  <w:footnote w:id="38">
    <w:p w:rsidR="009D1337" w:rsidRPr="007270BA" w:rsidRDefault="009D1337" w:rsidP="006453F1">
      <w:pPr>
        <w:pStyle w:val="FootnoteText"/>
        <w:jc w:val="both"/>
        <w:rPr>
          <w:rFonts w:asciiTheme="minorHAnsi" w:hAnsiTheme="minorHAnsi" w:cstheme="minorHAnsi"/>
          <w:sz w:val="16"/>
          <w:szCs w:val="16"/>
        </w:rPr>
      </w:pPr>
      <w:r w:rsidRPr="007270BA">
        <w:rPr>
          <w:rStyle w:val="FootnoteReference"/>
          <w:rFonts w:asciiTheme="minorHAnsi" w:hAnsiTheme="minorHAnsi" w:cstheme="minorHAnsi"/>
          <w:sz w:val="16"/>
          <w:szCs w:val="16"/>
        </w:rPr>
        <w:footnoteRef/>
      </w:r>
      <w:r w:rsidRPr="007270BA">
        <w:rPr>
          <w:rFonts w:asciiTheme="minorHAnsi" w:hAnsiTheme="minorHAnsi" w:cstheme="minorHAnsi"/>
          <w:sz w:val="16"/>
          <w:szCs w:val="16"/>
        </w:rPr>
        <w:t xml:space="preserve"> </w:t>
      </w:r>
      <w:r w:rsidRPr="00D40606">
        <w:rPr>
          <w:rFonts w:asciiTheme="minorHAnsi" w:hAnsiTheme="minorHAnsi" w:cstheme="minorHAnsi"/>
          <w:color w:val="000000"/>
          <w:sz w:val="16"/>
          <w:szCs w:val="16"/>
        </w:rPr>
        <w:t xml:space="preserve"> - Existe </w:t>
      </w:r>
      <w:r w:rsidRPr="007270BA">
        <w:rPr>
          <w:rFonts w:asciiTheme="minorHAnsi" w:hAnsiTheme="minorHAnsi" w:cstheme="minorHAnsi"/>
          <w:color w:val="000000"/>
          <w:sz w:val="16"/>
          <w:szCs w:val="16"/>
        </w:rPr>
        <w:t xml:space="preserve">na </w:t>
      </w:r>
      <w:proofErr w:type="spellStart"/>
      <w:r w:rsidRPr="00D40606">
        <w:rPr>
          <w:rFonts w:asciiTheme="minorHAnsi" w:hAnsiTheme="minorHAnsi" w:cstheme="minorHAnsi"/>
          <w:color w:val="000000"/>
          <w:sz w:val="16"/>
          <w:szCs w:val="16"/>
        </w:rPr>
        <w:t>Fazesp</w:t>
      </w:r>
      <w:proofErr w:type="spellEnd"/>
      <w:r w:rsidRPr="007270BA">
        <w:rPr>
          <w:rFonts w:asciiTheme="minorHAnsi" w:hAnsiTheme="minorHAnsi" w:cstheme="minorHAnsi"/>
          <w:color w:val="000000"/>
          <w:sz w:val="16"/>
          <w:szCs w:val="16"/>
        </w:rPr>
        <w:t xml:space="preserve"> </w:t>
      </w:r>
      <w:r w:rsidRPr="00D40606">
        <w:rPr>
          <w:rFonts w:asciiTheme="minorHAnsi" w:hAnsiTheme="minorHAnsi" w:cstheme="minorHAnsi"/>
          <w:color w:val="000000"/>
          <w:sz w:val="16"/>
          <w:szCs w:val="16"/>
        </w:rPr>
        <w:t xml:space="preserve">o Ambiente Virtual de </w:t>
      </w:r>
      <w:proofErr w:type="gramStart"/>
      <w:r w:rsidRPr="00D40606">
        <w:rPr>
          <w:rFonts w:asciiTheme="minorHAnsi" w:hAnsiTheme="minorHAnsi" w:cstheme="minorHAnsi"/>
          <w:color w:val="000000"/>
          <w:sz w:val="16"/>
          <w:szCs w:val="16"/>
        </w:rPr>
        <w:t>Aprendizagem</w:t>
      </w:r>
      <w:r w:rsidRPr="007270BA">
        <w:rPr>
          <w:rFonts w:asciiTheme="minorHAnsi" w:hAnsiTheme="minorHAnsi" w:cstheme="minorHAnsi"/>
          <w:color w:val="000000"/>
          <w:sz w:val="16"/>
          <w:szCs w:val="16"/>
        </w:rPr>
        <w:t>(</w:t>
      </w:r>
      <w:proofErr w:type="gramEnd"/>
      <w:r w:rsidRPr="00D40606">
        <w:rPr>
          <w:rFonts w:asciiTheme="minorHAnsi" w:hAnsiTheme="minorHAnsi" w:cstheme="minorHAnsi"/>
          <w:color w:val="000000"/>
          <w:sz w:val="16"/>
          <w:szCs w:val="16"/>
        </w:rPr>
        <w:t>https://fazesp.fazenda.sp.gov.br/login/index.php );</w:t>
      </w:r>
      <w:r w:rsidRPr="007270BA">
        <w:rPr>
          <w:rFonts w:asciiTheme="minorHAnsi" w:hAnsiTheme="minorHAnsi" w:cstheme="minorHAnsi"/>
          <w:color w:val="000000"/>
          <w:sz w:val="16"/>
          <w:szCs w:val="16"/>
        </w:rPr>
        <w:t xml:space="preserve"> </w:t>
      </w:r>
      <w:r w:rsidRPr="00D40606">
        <w:rPr>
          <w:rFonts w:asciiTheme="minorHAnsi" w:hAnsiTheme="minorHAnsi" w:cstheme="minorHAnsi"/>
          <w:color w:val="000000"/>
          <w:sz w:val="16"/>
          <w:szCs w:val="16"/>
        </w:rPr>
        <w:t>O Programa de Ensino a Distânc</w:t>
      </w:r>
      <w:r w:rsidRPr="007270BA">
        <w:rPr>
          <w:rFonts w:asciiTheme="minorHAnsi" w:hAnsiTheme="minorHAnsi" w:cstheme="minorHAnsi"/>
          <w:color w:val="000000"/>
          <w:sz w:val="16"/>
          <w:szCs w:val="16"/>
        </w:rPr>
        <w:t xml:space="preserve">ia foi implantado no Profisco I. Existe ainda, </w:t>
      </w:r>
      <w:r w:rsidRPr="00D40606">
        <w:rPr>
          <w:rFonts w:asciiTheme="minorHAnsi" w:hAnsiTheme="minorHAnsi" w:cstheme="minorHAnsi"/>
          <w:color w:val="000000"/>
          <w:sz w:val="16"/>
          <w:szCs w:val="16"/>
        </w:rPr>
        <w:t>a Resolução SF n° 143, de 28-12-2010, que estabelece diretrizes para a implementação da metodologia de Educação à Distância — EAD, no âmbito da Secretaria da Fazenda do Estado de São Paulo.</w:t>
      </w:r>
    </w:p>
  </w:footnote>
  <w:footnote w:id="39">
    <w:p w:rsidR="009D1337" w:rsidRDefault="009D1337" w:rsidP="006453F1">
      <w:pPr>
        <w:pStyle w:val="FootnoteText"/>
        <w:jc w:val="both"/>
        <w:rPr>
          <w:rFonts w:asciiTheme="minorHAnsi" w:hAnsiTheme="minorHAnsi" w:cstheme="minorHAnsi"/>
          <w:color w:val="000000"/>
          <w:sz w:val="16"/>
          <w:szCs w:val="16"/>
        </w:rPr>
      </w:pPr>
      <w:r w:rsidRPr="00173090">
        <w:rPr>
          <w:rStyle w:val="FootnoteReference"/>
          <w:rFonts w:asciiTheme="minorHAnsi" w:hAnsiTheme="minorHAnsi" w:cstheme="minorHAnsi"/>
          <w:sz w:val="16"/>
          <w:szCs w:val="16"/>
        </w:rPr>
        <w:footnoteRef/>
      </w:r>
      <w:r w:rsidRPr="00173090">
        <w:rPr>
          <w:rFonts w:asciiTheme="minorHAnsi" w:hAnsiTheme="minorHAnsi" w:cstheme="minorHAnsi"/>
          <w:sz w:val="16"/>
          <w:szCs w:val="16"/>
        </w:rPr>
        <w:t xml:space="preserve"> </w:t>
      </w:r>
      <w:r w:rsidRPr="008566A1">
        <w:rPr>
          <w:rFonts w:asciiTheme="minorHAnsi" w:hAnsiTheme="minorHAnsi" w:cstheme="minorHAnsi"/>
          <w:color w:val="000000"/>
          <w:sz w:val="16"/>
          <w:szCs w:val="16"/>
        </w:rPr>
        <w:t xml:space="preserve">Lei Complementar nº 1.010, de 01/06/2007- Dispõe sobre a criação da SÃO PAULO PREVIDÊNCIA - SPPREV, entidade gestora do Regime Próprio de Previdência dos Servidores Públicos - RPPS e do Regime Próprio de Previdência dos Militares do Estado de São Paulo </w:t>
      </w:r>
      <w:r>
        <w:rPr>
          <w:rFonts w:asciiTheme="minorHAnsi" w:hAnsiTheme="minorHAnsi" w:cstheme="minorHAnsi"/>
          <w:color w:val="000000"/>
          <w:sz w:val="16"/>
          <w:szCs w:val="16"/>
        </w:rPr>
        <w:t>–</w:t>
      </w:r>
      <w:r w:rsidRPr="008566A1">
        <w:rPr>
          <w:rFonts w:asciiTheme="minorHAnsi" w:hAnsiTheme="minorHAnsi" w:cstheme="minorHAnsi"/>
          <w:color w:val="000000"/>
          <w:sz w:val="16"/>
          <w:szCs w:val="16"/>
        </w:rPr>
        <w:t xml:space="preserve"> RPPM</w:t>
      </w:r>
    </w:p>
    <w:p w:rsidR="009D1337" w:rsidRPr="006453F1" w:rsidRDefault="009D1337" w:rsidP="006453F1">
      <w:pPr>
        <w:pStyle w:val="FootnoteText"/>
        <w:jc w:val="both"/>
        <w:rPr>
          <w:rFonts w:asciiTheme="minorHAnsi" w:hAnsiTheme="minorHAnsi" w:cstheme="minorHAnsi"/>
          <w:sz w:val="16"/>
          <w:szCs w:val="16"/>
        </w:rPr>
      </w:pPr>
      <w:r w:rsidRPr="008566A1">
        <w:rPr>
          <w:rFonts w:asciiTheme="minorHAnsi" w:hAnsiTheme="minorHAnsi" w:cstheme="minorHAnsi"/>
          <w:color w:val="000000"/>
          <w:sz w:val="16"/>
          <w:szCs w:val="16"/>
        </w:rPr>
        <w:t>https://www.al.sp.gov.br/repositorio/legislacao/lei.complementar/2007/alteracao-lei.complementar-1010-01.06.2007.html</w:t>
      </w:r>
    </w:p>
  </w:footnote>
  <w:footnote w:id="40">
    <w:p w:rsidR="009D1337" w:rsidRPr="006453F1" w:rsidRDefault="009D1337" w:rsidP="006453F1">
      <w:pPr>
        <w:pStyle w:val="FootnoteText"/>
        <w:jc w:val="both"/>
        <w:rPr>
          <w:rFonts w:asciiTheme="minorHAnsi" w:hAnsiTheme="minorHAnsi" w:cstheme="minorHAnsi"/>
          <w:sz w:val="16"/>
          <w:szCs w:val="16"/>
        </w:rPr>
      </w:pPr>
      <w:r w:rsidRPr="006453F1">
        <w:rPr>
          <w:rStyle w:val="FootnoteReference"/>
          <w:rFonts w:asciiTheme="minorHAnsi" w:hAnsiTheme="minorHAnsi" w:cstheme="minorHAnsi"/>
          <w:sz w:val="16"/>
          <w:szCs w:val="16"/>
        </w:rPr>
        <w:footnoteRef/>
      </w:r>
      <w:r w:rsidRPr="006453F1">
        <w:rPr>
          <w:rFonts w:asciiTheme="minorHAnsi" w:hAnsiTheme="minorHAnsi" w:cstheme="minorHAnsi"/>
          <w:sz w:val="16"/>
          <w:szCs w:val="16"/>
        </w:rPr>
        <w:t xml:space="preserve"> </w:t>
      </w:r>
      <w:r w:rsidRPr="008566A1">
        <w:rPr>
          <w:rFonts w:asciiTheme="minorHAnsi" w:hAnsiTheme="minorHAnsi" w:cstheme="minorHAnsi"/>
          <w:color w:val="000000"/>
          <w:sz w:val="16"/>
          <w:szCs w:val="16"/>
        </w:rPr>
        <w:t>Serviços on-line no site da SPPREV:</w:t>
      </w:r>
      <w:r>
        <w:rPr>
          <w:rFonts w:asciiTheme="minorHAnsi" w:hAnsiTheme="minorHAnsi" w:cstheme="minorHAnsi"/>
          <w:color w:val="000000"/>
          <w:sz w:val="16"/>
          <w:szCs w:val="16"/>
        </w:rPr>
        <w:t xml:space="preserve"> </w:t>
      </w:r>
      <w:r w:rsidRPr="008566A1">
        <w:rPr>
          <w:rFonts w:asciiTheme="minorHAnsi" w:hAnsiTheme="minorHAnsi" w:cstheme="minorHAnsi"/>
          <w:color w:val="000000"/>
          <w:sz w:val="16"/>
          <w:szCs w:val="16"/>
        </w:rPr>
        <w:t>http://www.spprev.sp.gov.br/informativo_spprev.aspx</w:t>
      </w:r>
    </w:p>
  </w:footnote>
  <w:footnote w:id="41">
    <w:p w:rsidR="009D1337" w:rsidRPr="00D8081F" w:rsidRDefault="009D1337" w:rsidP="00D8081F">
      <w:pPr>
        <w:pStyle w:val="FootnoteText"/>
        <w:jc w:val="both"/>
        <w:rPr>
          <w:rFonts w:asciiTheme="minorHAnsi" w:hAnsiTheme="minorHAnsi" w:cstheme="minorHAnsi"/>
          <w:sz w:val="16"/>
          <w:szCs w:val="16"/>
        </w:rPr>
      </w:pPr>
      <w:r w:rsidRPr="00D8081F">
        <w:rPr>
          <w:rStyle w:val="FootnoteReference"/>
          <w:rFonts w:asciiTheme="minorHAnsi" w:hAnsiTheme="minorHAnsi" w:cstheme="minorHAnsi"/>
          <w:sz w:val="16"/>
          <w:szCs w:val="16"/>
        </w:rPr>
        <w:footnoteRef/>
      </w:r>
      <w:r w:rsidRPr="00D8081F">
        <w:rPr>
          <w:rFonts w:asciiTheme="minorHAnsi" w:hAnsiTheme="minorHAnsi" w:cstheme="minorHAnsi"/>
          <w:sz w:val="16"/>
          <w:szCs w:val="16"/>
        </w:rPr>
        <w:t xml:space="preserve"> </w:t>
      </w:r>
      <w:r w:rsidRPr="00AC0E9A">
        <w:rPr>
          <w:rFonts w:asciiTheme="minorHAnsi" w:hAnsiTheme="minorHAnsi" w:cstheme="minorHAnsi"/>
          <w:sz w:val="16"/>
          <w:szCs w:val="16"/>
        </w:rPr>
        <w:t>"Resolução SF 50 de 29-07-2014"</w:t>
      </w:r>
      <w:r w:rsidRPr="00D8081F">
        <w:rPr>
          <w:rFonts w:asciiTheme="minorHAnsi" w:hAnsiTheme="minorHAnsi" w:cstheme="minorHAnsi"/>
          <w:sz w:val="16"/>
          <w:szCs w:val="16"/>
        </w:rPr>
        <w:t>, A SEFAZ/</w:t>
      </w:r>
      <w:proofErr w:type="gramStart"/>
      <w:r w:rsidRPr="00D8081F">
        <w:rPr>
          <w:rFonts w:asciiTheme="minorHAnsi" w:hAnsiTheme="minorHAnsi" w:cstheme="minorHAnsi"/>
          <w:sz w:val="16"/>
          <w:szCs w:val="16"/>
        </w:rPr>
        <w:t>SP  segue</w:t>
      </w:r>
      <w:proofErr w:type="gramEnd"/>
      <w:r w:rsidRPr="00D8081F">
        <w:rPr>
          <w:rFonts w:asciiTheme="minorHAnsi" w:hAnsiTheme="minorHAnsi" w:cstheme="minorHAnsi"/>
          <w:sz w:val="16"/>
          <w:szCs w:val="16"/>
        </w:rPr>
        <w:t xml:space="preserve"> </w:t>
      </w:r>
      <w:r w:rsidRPr="00AC0E9A">
        <w:rPr>
          <w:rFonts w:asciiTheme="minorHAnsi" w:hAnsiTheme="minorHAnsi" w:cstheme="minorHAnsi"/>
          <w:sz w:val="16"/>
          <w:szCs w:val="16"/>
        </w:rPr>
        <w:t>as orientações da lei de licitações 866</w:t>
      </w:r>
      <w:r w:rsidRPr="00D8081F">
        <w:rPr>
          <w:rFonts w:asciiTheme="minorHAnsi" w:hAnsiTheme="minorHAnsi" w:cstheme="minorHAnsi"/>
          <w:sz w:val="16"/>
          <w:szCs w:val="16"/>
        </w:rPr>
        <w:t xml:space="preserve">6/94 e portanto seus princípios, </w:t>
      </w:r>
      <w:r w:rsidRPr="00AC0E9A">
        <w:rPr>
          <w:rFonts w:asciiTheme="minorHAnsi" w:hAnsiTheme="minorHAnsi" w:cstheme="minorHAnsi"/>
          <w:sz w:val="16"/>
          <w:szCs w:val="16"/>
        </w:rPr>
        <w:t>Resolução SF 50, de 29-07-2014</w:t>
      </w:r>
      <w:r w:rsidRPr="00D8081F">
        <w:rPr>
          <w:rFonts w:asciiTheme="minorHAnsi" w:hAnsiTheme="minorHAnsi" w:cstheme="minorHAnsi"/>
          <w:sz w:val="16"/>
          <w:szCs w:val="16"/>
        </w:rPr>
        <w:t>, que d</w:t>
      </w:r>
      <w:r w:rsidRPr="00AC0E9A">
        <w:rPr>
          <w:rFonts w:asciiTheme="minorHAnsi" w:hAnsiTheme="minorHAnsi" w:cstheme="minorHAnsi"/>
          <w:sz w:val="16"/>
          <w:szCs w:val="16"/>
        </w:rPr>
        <w:t>ispõe  sobre  a  política  de  aquisição,  distribuição  e  recolhimento de ativos de tecnologia da informação no âmbito da Secretaria da Fazenda</w:t>
      </w:r>
    </w:p>
  </w:footnote>
  <w:footnote w:id="42">
    <w:p w:rsidR="009D1337" w:rsidRPr="00903E4C" w:rsidRDefault="009D1337" w:rsidP="00903E4C">
      <w:pPr>
        <w:pStyle w:val="FootnoteText"/>
        <w:jc w:val="both"/>
        <w:rPr>
          <w:rFonts w:asciiTheme="minorHAnsi" w:hAnsiTheme="minorHAnsi" w:cstheme="minorHAnsi"/>
          <w:sz w:val="16"/>
          <w:szCs w:val="16"/>
        </w:rPr>
      </w:pPr>
      <w:r w:rsidRPr="00903E4C">
        <w:rPr>
          <w:rStyle w:val="FootnoteReference"/>
          <w:rFonts w:asciiTheme="minorHAnsi" w:hAnsiTheme="minorHAnsi" w:cstheme="minorHAnsi"/>
          <w:sz w:val="16"/>
          <w:szCs w:val="16"/>
        </w:rPr>
        <w:footnoteRef/>
      </w:r>
      <w:r w:rsidRPr="00903E4C">
        <w:rPr>
          <w:rFonts w:asciiTheme="minorHAnsi" w:hAnsiTheme="minorHAnsi" w:cstheme="minorHAnsi"/>
          <w:sz w:val="16"/>
          <w:szCs w:val="16"/>
        </w:rPr>
        <w:t xml:space="preserve"> </w:t>
      </w:r>
      <w:r w:rsidRPr="00EC487D">
        <w:rPr>
          <w:rFonts w:asciiTheme="minorHAnsi" w:hAnsiTheme="minorHAnsi" w:cstheme="minorHAnsi"/>
          <w:sz w:val="16"/>
          <w:szCs w:val="16"/>
        </w:rPr>
        <w:t>https://portal.fazenda.sp.gov.br/servicos/Paginas/catalogo-de-servicos.aspx</w:t>
      </w:r>
    </w:p>
  </w:footnote>
  <w:footnote w:id="43">
    <w:p w:rsidR="009D1337" w:rsidRDefault="009D1337" w:rsidP="00903E4C">
      <w:pPr>
        <w:pStyle w:val="FootnoteText"/>
        <w:jc w:val="both"/>
        <w:rPr>
          <w:rFonts w:asciiTheme="minorHAnsi" w:hAnsiTheme="minorHAnsi" w:cstheme="minorHAnsi"/>
          <w:sz w:val="16"/>
          <w:szCs w:val="16"/>
        </w:rPr>
      </w:pPr>
      <w:r w:rsidRPr="00903E4C">
        <w:rPr>
          <w:rStyle w:val="FootnoteReference"/>
          <w:rFonts w:asciiTheme="minorHAnsi" w:hAnsiTheme="minorHAnsi" w:cstheme="minorHAnsi"/>
          <w:sz w:val="16"/>
          <w:szCs w:val="16"/>
        </w:rPr>
        <w:footnoteRef/>
      </w:r>
      <w:r w:rsidRPr="00903E4C">
        <w:rPr>
          <w:rFonts w:asciiTheme="minorHAnsi" w:hAnsiTheme="minorHAnsi" w:cstheme="minorHAnsi"/>
          <w:sz w:val="16"/>
          <w:szCs w:val="16"/>
        </w:rPr>
        <w:t xml:space="preserve"> </w:t>
      </w:r>
      <w:r w:rsidRPr="00EC487D">
        <w:rPr>
          <w:rFonts w:asciiTheme="minorHAnsi" w:hAnsiTheme="minorHAnsi" w:cstheme="minorHAnsi"/>
          <w:sz w:val="16"/>
          <w:szCs w:val="16"/>
        </w:rPr>
        <w:t>NF-e: Aumento do percentual de OSF (Ordem de Serviço Fiscal) de auditoria concluídas em cada semestre, e para as quais houve consulta aos relatórios existentes que mostram os dados de NF-e (Nota Fiscal Eletrônica) para o respectivo contribuinte, dentro do período da auditoria.</w:t>
      </w:r>
    </w:p>
    <w:p w:rsidR="009D1337" w:rsidRDefault="009D1337" w:rsidP="00903E4C">
      <w:pPr>
        <w:pStyle w:val="FootnoteText"/>
        <w:jc w:val="both"/>
        <w:rPr>
          <w:rFonts w:asciiTheme="minorHAnsi" w:hAnsiTheme="minorHAnsi" w:cstheme="minorHAnsi"/>
          <w:sz w:val="16"/>
          <w:szCs w:val="16"/>
        </w:rPr>
      </w:pPr>
      <w:r w:rsidRPr="00EC487D">
        <w:rPr>
          <w:rFonts w:asciiTheme="minorHAnsi" w:hAnsiTheme="minorHAnsi" w:cstheme="minorHAnsi"/>
          <w:sz w:val="16"/>
          <w:szCs w:val="16"/>
        </w:rPr>
        <w:t>ECD: a execução das auditorias contábeis mostra a seguinte evolução:</w:t>
      </w:r>
    </w:p>
    <w:p w:rsidR="009D1337" w:rsidRDefault="009D1337" w:rsidP="00903E4C">
      <w:pPr>
        <w:pStyle w:val="FootnoteText"/>
        <w:jc w:val="both"/>
        <w:rPr>
          <w:rFonts w:asciiTheme="minorHAnsi" w:hAnsiTheme="minorHAnsi" w:cstheme="minorHAnsi"/>
          <w:sz w:val="16"/>
          <w:szCs w:val="16"/>
        </w:rPr>
      </w:pPr>
      <w:r w:rsidRPr="00EC487D">
        <w:rPr>
          <w:rFonts w:asciiTheme="minorHAnsi" w:hAnsiTheme="minorHAnsi" w:cstheme="minorHAnsi"/>
          <w:sz w:val="16"/>
          <w:szCs w:val="16"/>
        </w:rPr>
        <w:t>• 2013: 36 auditorias contábeis;</w:t>
      </w:r>
    </w:p>
    <w:p w:rsidR="009D1337" w:rsidRDefault="009D1337" w:rsidP="00903E4C">
      <w:pPr>
        <w:pStyle w:val="FootnoteText"/>
        <w:jc w:val="both"/>
        <w:rPr>
          <w:rFonts w:asciiTheme="minorHAnsi" w:hAnsiTheme="minorHAnsi" w:cstheme="minorHAnsi"/>
          <w:sz w:val="16"/>
          <w:szCs w:val="16"/>
        </w:rPr>
      </w:pPr>
      <w:r w:rsidRPr="00EC487D">
        <w:rPr>
          <w:rFonts w:asciiTheme="minorHAnsi" w:hAnsiTheme="minorHAnsi" w:cstheme="minorHAnsi"/>
          <w:sz w:val="16"/>
          <w:szCs w:val="16"/>
        </w:rPr>
        <w:t>• 2014: realizadas 66 auditorias contábeis (acumulando 102 auditorias);</w:t>
      </w:r>
    </w:p>
    <w:p w:rsidR="009D1337" w:rsidRDefault="009D1337" w:rsidP="00903E4C">
      <w:pPr>
        <w:pStyle w:val="FootnoteText"/>
        <w:jc w:val="both"/>
        <w:rPr>
          <w:rFonts w:asciiTheme="minorHAnsi" w:hAnsiTheme="minorHAnsi" w:cstheme="minorHAnsi"/>
          <w:sz w:val="16"/>
          <w:szCs w:val="16"/>
        </w:rPr>
      </w:pPr>
      <w:r w:rsidRPr="00EC487D">
        <w:rPr>
          <w:rFonts w:asciiTheme="minorHAnsi" w:hAnsiTheme="minorHAnsi" w:cstheme="minorHAnsi"/>
          <w:sz w:val="16"/>
          <w:szCs w:val="16"/>
        </w:rPr>
        <w:t>• 2015: realizadas 215 auditorias contábeis (acumulando 317 auditorias);</w:t>
      </w:r>
    </w:p>
    <w:p w:rsidR="009D1337" w:rsidRDefault="009D1337" w:rsidP="00903E4C">
      <w:pPr>
        <w:pStyle w:val="FootnoteText"/>
        <w:jc w:val="both"/>
        <w:rPr>
          <w:rFonts w:asciiTheme="minorHAnsi" w:hAnsiTheme="minorHAnsi" w:cstheme="minorHAnsi"/>
          <w:sz w:val="16"/>
          <w:szCs w:val="16"/>
        </w:rPr>
      </w:pPr>
      <w:r w:rsidRPr="00EC487D">
        <w:rPr>
          <w:rFonts w:asciiTheme="minorHAnsi" w:hAnsiTheme="minorHAnsi" w:cstheme="minorHAnsi"/>
          <w:sz w:val="16"/>
          <w:szCs w:val="16"/>
        </w:rPr>
        <w:t>• 2016: realizadas 355 auditorias contábeis (acumulando 672 auditorias).</w:t>
      </w:r>
    </w:p>
    <w:p w:rsidR="009D1337" w:rsidRDefault="009D1337" w:rsidP="00903E4C">
      <w:pPr>
        <w:pStyle w:val="FootnoteText"/>
        <w:jc w:val="both"/>
        <w:rPr>
          <w:rFonts w:asciiTheme="minorHAnsi" w:hAnsiTheme="minorHAnsi" w:cstheme="minorHAnsi"/>
          <w:sz w:val="16"/>
          <w:szCs w:val="16"/>
        </w:rPr>
      </w:pPr>
      <w:r w:rsidRPr="00EC487D">
        <w:rPr>
          <w:rFonts w:asciiTheme="minorHAnsi" w:hAnsiTheme="minorHAnsi" w:cstheme="minorHAnsi"/>
          <w:sz w:val="16"/>
          <w:szCs w:val="16"/>
        </w:rPr>
        <w:t xml:space="preserve">O software Auditor Contábil Digital (ACD) tem como objetivo atender às necessidades de planejamento, controle e fiscalização direta de tributos nas auditorias de contas contábeis utilizando arquivos transmitidos pelos contribuintes ao ambiente nacional do Sistema Público de Escrituração Digital - </w:t>
      </w:r>
      <w:proofErr w:type="spellStart"/>
      <w:r w:rsidRPr="00EC487D">
        <w:rPr>
          <w:rFonts w:asciiTheme="minorHAnsi" w:hAnsiTheme="minorHAnsi" w:cstheme="minorHAnsi"/>
          <w:sz w:val="16"/>
          <w:szCs w:val="16"/>
        </w:rPr>
        <w:t>Sped</w:t>
      </w:r>
      <w:proofErr w:type="spellEnd"/>
      <w:r w:rsidRPr="00EC487D">
        <w:rPr>
          <w:rFonts w:asciiTheme="minorHAnsi" w:hAnsiTheme="minorHAnsi" w:cstheme="minorHAnsi"/>
          <w:sz w:val="16"/>
          <w:szCs w:val="16"/>
        </w:rPr>
        <w:t>.</w:t>
      </w:r>
    </w:p>
    <w:p w:rsidR="009D1337" w:rsidRDefault="009D1337" w:rsidP="00903E4C">
      <w:pPr>
        <w:pStyle w:val="FootnoteText"/>
        <w:jc w:val="both"/>
        <w:rPr>
          <w:rFonts w:asciiTheme="minorHAnsi" w:hAnsiTheme="minorHAnsi" w:cstheme="minorHAnsi"/>
          <w:sz w:val="16"/>
          <w:szCs w:val="16"/>
        </w:rPr>
      </w:pPr>
      <w:r w:rsidRPr="00EC487D">
        <w:rPr>
          <w:rFonts w:asciiTheme="minorHAnsi" w:hAnsiTheme="minorHAnsi" w:cstheme="minorHAnsi"/>
          <w:sz w:val="16"/>
          <w:szCs w:val="16"/>
        </w:rPr>
        <w:t>O sistema trabalha com as informações contábeis prestadas pelos contribuintes, por cruzamento de informações oriundas de fontes internas e externas e daquelas coletadas junto a terceiros.</w:t>
      </w:r>
    </w:p>
    <w:p w:rsidR="009D1337" w:rsidRDefault="009D1337" w:rsidP="00903E4C">
      <w:pPr>
        <w:pStyle w:val="FootnoteText"/>
        <w:jc w:val="both"/>
        <w:rPr>
          <w:rFonts w:asciiTheme="minorHAnsi" w:hAnsiTheme="minorHAnsi" w:cstheme="minorHAnsi"/>
          <w:sz w:val="16"/>
          <w:szCs w:val="16"/>
        </w:rPr>
      </w:pPr>
      <w:r w:rsidRPr="00EC487D">
        <w:rPr>
          <w:rFonts w:asciiTheme="minorHAnsi" w:hAnsiTheme="minorHAnsi" w:cstheme="minorHAnsi"/>
          <w:sz w:val="16"/>
          <w:szCs w:val="16"/>
        </w:rPr>
        <w:t xml:space="preserve">As principais funcionalidades da aplicação estão na capacidade de validação, pesquisa e filtro dos dados contábeis do contribuinte para geração de relatórios e </w:t>
      </w:r>
      <w:proofErr w:type="gramStart"/>
      <w:r w:rsidRPr="00EC487D">
        <w:rPr>
          <w:rFonts w:asciiTheme="minorHAnsi" w:hAnsiTheme="minorHAnsi" w:cstheme="minorHAnsi"/>
          <w:sz w:val="16"/>
          <w:szCs w:val="16"/>
        </w:rPr>
        <w:t>gráficos.​</w:t>
      </w:r>
      <w:proofErr w:type="gramEnd"/>
    </w:p>
    <w:p w:rsidR="009D1337" w:rsidRPr="00903E4C" w:rsidRDefault="009D1337" w:rsidP="00903E4C">
      <w:pPr>
        <w:pStyle w:val="FootnoteText"/>
        <w:jc w:val="both"/>
        <w:rPr>
          <w:rFonts w:asciiTheme="minorHAnsi" w:hAnsiTheme="minorHAnsi" w:cstheme="minorHAnsi"/>
          <w:sz w:val="16"/>
          <w:szCs w:val="16"/>
        </w:rPr>
      </w:pPr>
      <w:r w:rsidRPr="00EC487D">
        <w:rPr>
          <w:rFonts w:asciiTheme="minorHAnsi" w:hAnsiTheme="minorHAnsi" w:cstheme="minorHAnsi"/>
          <w:sz w:val="16"/>
          <w:szCs w:val="16"/>
        </w:rPr>
        <w:t xml:space="preserve">EFD: A partir de 01/01/2014, todos os contribuintes paulistas sujeitos ao Regime Periódico de Apuração estão obrigados à EFD. A consulta aos obrigados à EFD pode ser feita no site da Secretaria da Fazenda, pelo link </w:t>
      </w:r>
      <w:r w:rsidRPr="00903E4C">
        <w:rPr>
          <w:rFonts w:asciiTheme="minorHAnsi" w:hAnsiTheme="minorHAnsi" w:cstheme="minorHAnsi"/>
          <w:sz w:val="16"/>
          <w:szCs w:val="16"/>
        </w:rPr>
        <w:t>h</w:t>
      </w:r>
      <w:r w:rsidRPr="00EC487D">
        <w:rPr>
          <w:rFonts w:asciiTheme="minorHAnsi" w:hAnsiTheme="minorHAnsi" w:cstheme="minorHAnsi"/>
          <w:sz w:val="16"/>
          <w:szCs w:val="16"/>
        </w:rPr>
        <w:t>ttps://www.fazenda.sp.gov.br/sped/obrigados/obrigados.asp, informando o número do CNPJ base da empresa.</w:t>
      </w:r>
      <w:r w:rsidRPr="00903E4C">
        <w:rPr>
          <w:rFonts w:asciiTheme="minorHAnsi" w:hAnsiTheme="minorHAnsi" w:cstheme="minorHAnsi"/>
          <w:sz w:val="16"/>
          <w:szCs w:val="16"/>
        </w:rPr>
        <w:t xml:space="preserve"> </w:t>
      </w:r>
      <w:r w:rsidRPr="00EC487D">
        <w:rPr>
          <w:rFonts w:asciiTheme="minorHAnsi" w:hAnsiTheme="minorHAnsi" w:cstheme="minorHAnsi"/>
          <w:sz w:val="16"/>
          <w:szCs w:val="16"/>
        </w:rPr>
        <w:t>Os dados da EFD poderão ser consultados no link: https://www.fazenda.sp.gov.br/sped/default.asp</w:t>
      </w:r>
    </w:p>
  </w:footnote>
  <w:footnote w:id="44">
    <w:p w:rsidR="009D1337" w:rsidRDefault="009D1337">
      <w:pPr>
        <w:pStyle w:val="FootnoteText"/>
      </w:pPr>
      <w:r>
        <w:rPr>
          <w:rStyle w:val="FootnoteReference"/>
        </w:rPr>
        <w:footnoteRef/>
      </w:r>
      <w:r>
        <w:t xml:space="preserve"> </w:t>
      </w:r>
      <w:r w:rsidRPr="00EC487D">
        <w:rPr>
          <w:rFonts w:asciiTheme="minorHAnsi" w:hAnsiTheme="minorHAnsi" w:cstheme="minorHAnsi"/>
          <w:sz w:val="16"/>
          <w:szCs w:val="16"/>
        </w:rPr>
        <w:t>https://portal.fazenda.sp.gov.br/servicos/tit/Paginas/Servicos.aspx</w:t>
      </w:r>
    </w:p>
  </w:footnote>
  <w:footnote w:id="45">
    <w:p w:rsidR="009D1337" w:rsidRDefault="009D1337">
      <w:pPr>
        <w:pStyle w:val="FootnoteText"/>
      </w:pPr>
      <w:r>
        <w:rPr>
          <w:rStyle w:val="FootnoteReference"/>
        </w:rPr>
        <w:footnoteRef/>
      </w:r>
      <w:r>
        <w:t xml:space="preserve"> </w:t>
      </w:r>
      <w:r w:rsidRPr="00EC487D">
        <w:rPr>
          <w:rFonts w:asciiTheme="minorHAnsi" w:hAnsiTheme="minorHAnsi" w:cstheme="minorHAnsi"/>
          <w:sz w:val="16"/>
          <w:szCs w:val="16"/>
        </w:rPr>
        <w:t>http://www.premioinnovare.com.br/proposta/projeto-pgenet-processo-digital-na-procuradoria-geral-do-estado-de-sao-paulo/print</w:t>
      </w:r>
    </w:p>
  </w:footnote>
  <w:footnote w:id="46">
    <w:p w:rsidR="009D1337" w:rsidRDefault="009D1337" w:rsidP="006B690F">
      <w:pPr>
        <w:jc w:val="both"/>
      </w:pPr>
      <w:r w:rsidRPr="0034475D">
        <w:rPr>
          <w:rStyle w:val="FootnoteReference"/>
          <w:rFonts w:asciiTheme="minorHAnsi" w:hAnsiTheme="minorHAnsi" w:cstheme="minorHAnsi"/>
          <w:sz w:val="16"/>
          <w:szCs w:val="16"/>
        </w:rPr>
        <w:footnoteRef/>
      </w:r>
      <w:r w:rsidRPr="0034475D">
        <w:rPr>
          <w:rFonts w:asciiTheme="minorHAnsi" w:hAnsiTheme="minorHAnsi" w:cstheme="minorHAnsi"/>
          <w:sz w:val="16"/>
          <w:szCs w:val="16"/>
        </w:rPr>
        <w:t xml:space="preserve"> </w:t>
      </w:r>
      <w:r w:rsidRPr="00EC487D">
        <w:rPr>
          <w:rFonts w:asciiTheme="minorHAnsi" w:hAnsiTheme="minorHAnsi" w:cstheme="minorHAnsi"/>
          <w:sz w:val="16"/>
          <w:szCs w:val="16"/>
        </w:rPr>
        <w:t xml:space="preserve">Dados extraídos do sistema SIAFEM/SP </w:t>
      </w:r>
      <w:r w:rsidRPr="0034475D">
        <w:rPr>
          <w:rFonts w:asciiTheme="minorHAnsi" w:hAnsiTheme="minorHAnsi" w:cstheme="minorHAnsi"/>
          <w:sz w:val="16"/>
          <w:szCs w:val="16"/>
        </w:rPr>
        <w:t xml:space="preserve">são </w:t>
      </w:r>
      <w:r w:rsidRPr="00EC487D">
        <w:rPr>
          <w:rFonts w:asciiTheme="minorHAnsi" w:hAnsiTheme="minorHAnsi" w:cstheme="minorHAnsi"/>
          <w:sz w:val="16"/>
          <w:szCs w:val="16"/>
        </w:rPr>
        <w:t>atualizados diariamente.</w:t>
      </w:r>
      <w:r w:rsidRPr="0034475D">
        <w:rPr>
          <w:rFonts w:asciiTheme="minorHAnsi" w:hAnsiTheme="minorHAnsi" w:cstheme="minorHAnsi"/>
          <w:sz w:val="16"/>
          <w:szCs w:val="16"/>
        </w:rPr>
        <w:t xml:space="preserve"> As informações </w:t>
      </w:r>
      <w:r w:rsidRPr="00EC487D">
        <w:rPr>
          <w:rFonts w:asciiTheme="minorHAnsi" w:hAnsiTheme="minorHAnsi" w:cstheme="minorHAnsi"/>
          <w:sz w:val="16"/>
          <w:szCs w:val="16"/>
        </w:rPr>
        <w:t>da execução orçamentária e financeira dos órgãos e entidades da Administração Direta e Indireta do Estado a partir de 2010</w:t>
      </w:r>
      <w:r w:rsidRPr="0034475D">
        <w:rPr>
          <w:rFonts w:asciiTheme="minorHAnsi" w:hAnsiTheme="minorHAnsi" w:cstheme="minorHAnsi"/>
          <w:sz w:val="16"/>
          <w:szCs w:val="16"/>
        </w:rPr>
        <w:t xml:space="preserve"> são disponibilizadas diariamente</w:t>
      </w:r>
      <w:r w:rsidRPr="00EC487D">
        <w:rPr>
          <w:rFonts w:asciiTheme="minorHAnsi" w:hAnsiTheme="minorHAnsi" w:cstheme="minorHAnsi"/>
          <w:sz w:val="16"/>
          <w:szCs w:val="16"/>
        </w:rPr>
        <w:t xml:space="preserve">, com detalhamento das despesas empenhadas, liquidadas e pagas (do ano e de restos a pagar), incluídas as </w:t>
      </w:r>
      <w:proofErr w:type="spellStart"/>
      <w:r w:rsidRPr="00EC487D">
        <w:rPr>
          <w:rFonts w:asciiTheme="minorHAnsi" w:hAnsiTheme="minorHAnsi" w:cstheme="minorHAnsi"/>
          <w:sz w:val="16"/>
          <w:szCs w:val="16"/>
        </w:rPr>
        <w:t>intra-orçamentárias</w:t>
      </w:r>
      <w:proofErr w:type="spellEnd"/>
      <w:r w:rsidRPr="00EC487D">
        <w:rPr>
          <w:rFonts w:asciiTheme="minorHAnsi" w:hAnsiTheme="minorHAnsi" w:cstheme="minorHAnsi"/>
          <w:sz w:val="16"/>
          <w:szCs w:val="16"/>
        </w:rPr>
        <w:t>.</w:t>
      </w:r>
      <w:r w:rsidRPr="00EC487D">
        <w:rPr>
          <w:rFonts w:asciiTheme="minorHAnsi" w:hAnsiTheme="minorHAnsi" w:cstheme="minorHAnsi"/>
          <w:sz w:val="16"/>
          <w:szCs w:val="16"/>
        </w:rPr>
        <w:br/>
        <w:t>https://www.fazenda.sp.gov.br/SigeoLei131/Paginas/FlexConsDespesa.aspx</w:t>
      </w:r>
    </w:p>
  </w:footnote>
  <w:footnote w:id="47">
    <w:p w:rsidR="009D1337" w:rsidRDefault="009D1337" w:rsidP="006B690F">
      <w:pPr>
        <w:pStyle w:val="FootnoteText"/>
        <w:jc w:val="both"/>
      </w:pPr>
      <w:r>
        <w:rPr>
          <w:rStyle w:val="FootnoteReference"/>
        </w:rPr>
        <w:footnoteRef/>
      </w:r>
      <w:r>
        <w:t xml:space="preserve"> </w:t>
      </w:r>
      <w:r w:rsidRPr="006B690F">
        <w:rPr>
          <w:rFonts w:asciiTheme="minorHAnsi" w:hAnsiTheme="minorHAnsi" w:cstheme="minorHAnsi"/>
          <w:sz w:val="16"/>
          <w:szCs w:val="16"/>
        </w:rPr>
        <w:t>As atividades padronizadas para as contratações são definidas pelas leis Federal 8666/94 e estadual 6544/89, e resumidas em nossos fluxos de trabalho publicados no ETC.</w:t>
      </w:r>
      <w:r>
        <w:rPr>
          <w:rFonts w:asciiTheme="minorHAnsi" w:hAnsiTheme="minorHAnsi" w:cstheme="minorHAnsi"/>
          <w:sz w:val="16"/>
          <w:szCs w:val="16"/>
        </w:rPr>
        <w:t xml:space="preserve"> Os i</w:t>
      </w:r>
      <w:r w:rsidRPr="006B690F">
        <w:rPr>
          <w:rFonts w:asciiTheme="minorHAnsi" w:hAnsiTheme="minorHAnsi" w:cstheme="minorHAnsi"/>
          <w:sz w:val="16"/>
          <w:szCs w:val="16"/>
        </w:rPr>
        <w:t>ndicadores quantitativos: prazos para as prorrogações/contratações são controlados pelo CGC.</w:t>
      </w:r>
      <w:r>
        <w:rPr>
          <w:rFonts w:asciiTheme="minorHAnsi" w:hAnsiTheme="minorHAnsi" w:cstheme="minorHAnsi"/>
          <w:sz w:val="16"/>
          <w:szCs w:val="16"/>
        </w:rPr>
        <w:t xml:space="preserve"> As m</w:t>
      </w:r>
      <w:r w:rsidRPr="006B690F">
        <w:rPr>
          <w:rFonts w:asciiTheme="minorHAnsi" w:hAnsiTheme="minorHAnsi" w:cstheme="minorHAnsi"/>
          <w:sz w:val="16"/>
          <w:szCs w:val="16"/>
        </w:rPr>
        <w:t xml:space="preserve">etas </w:t>
      </w:r>
      <w:proofErr w:type="gramStart"/>
      <w:r>
        <w:rPr>
          <w:rFonts w:asciiTheme="minorHAnsi" w:hAnsiTheme="minorHAnsi" w:cstheme="minorHAnsi"/>
          <w:sz w:val="16"/>
          <w:szCs w:val="16"/>
        </w:rPr>
        <w:t xml:space="preserve">do </w:t>
      </w:r>
      <w:r w:rsidRPr="006B690F">
        <w:rPr>
          <w:rFonts w:asciiTheme="minorHAnsi" w:hAnsiTheme="minorHAnsi" w:cstheme="minorHAnsi"/>
          <w:sz w:val="16"/>
          <w:szCs w:val="16"/>
        </w:rPr>
        <w:t xml:space="preserve"> planejamento</w:t>
      </w:r>
      <w:proofErr w:type="gramEnd"/>
      <w:r w:rsidRPr="006B690F">
        <w:rPr>
          <w:rFonts w:asciiTheme="minorHAnsi" w:hAnsiTheme="minorHAnsi" w:cstheme="minorHAnsi"/>
          <w:sz w:val="16"/>
          <w:szCs w:val="16"/>
        </w:rPr>
        <w:t xml:space="preserve"> das contratações: não cabe ao CGC e sim ao gestor do contrato.</w:t>
      </w:r>
    </w:p>
  </w:footnote>
  <w:footnote w:id="48">
    <w:p w:rsidR="009D1337" w:rsidRDefault="009D1337" w:rsidP="00201BC2">
      <w:pPr>
        <w:jc w:val="both"/>
      </w:pPr>
      <w:r>
        <w:rPr>
          <w:rStyle w:val="FootnoteReference"/>
        </w:rPr>
        <w:footnoteRef/>
      </w:r>
      <w:r>
        <w:t xml:space="preserve"> </w:t>
      </w:r>
      <w:r w:rsidRPr="00201BC2">
        <w:rPr>
          <w:rFonts w:asciiTheme="minorHAnsi" w:hAnsiTheme="minorHAnsi" w:cstheme="minorHAnsi"/>
          <w:sz w:val="16"/>
          <w:szCs w:val="16"/>
        </w:rPr>
        <w:t xml:space="preserve">Toda contratação de infraestrutura passa pelo processo de licitação, onde é criada a justificativa da </w:t>
      </w:r>
      <w:proofErr w:type="spellStart"/>
      <w:proofErr w:type="gramStart"/>
      <w:r w:rsidRPr="00201BC2">
        <w:rPr>
          <w:rFonts w:asciiTheme="minorHAnsi" w:hAnsiTheme="minorHAnsi" w:cstheme="minorHAnsi"/>
          <w:sz w:val="16"/>
          <w:szCs w:val="16"/>
        </w:rPr>
        <w:t>aquisição,memorial</w:t>
      </w:r>
      <w:proofErr w:type="spellEnd"/>
      <w:proofErr w:type="gramEnd"/>
      <w:r w:rsidRPr="00201BC2">
        <w:rPr>
          <w:rFonts w:asciiTheme="minorHAnsi" w:hAnsiTheme="minorHAnsi" w:cstheme="minorHAnsi"/>
          <w:sz w:val="16"/>
          <w:szCs w:val="16"/>
        </w:rPr>
        <w:t xml:space="preserve"> descritivo  e também a pesquisa de preços. No caso de aquisições internas no DTI, existe um processo em que as aquisições passam por uma assessoria do CIA, onde também são avaliadas questões de segurança, disponibilidade e avaliação de possíveis alternativas.</w:t>
      </w:r>
      <w:r>
        <w:rPr>
          <w:rFonts w:asciiTheme="minorHAnsi" w:hAnsiTheme="minorHAnsi" w:cstheme="minorHAnsi"/>
          <w:sz w:val="16"/>
          <w:szCs w:val="16"/>
        </w:rPr>
        <w:t xml:space="preserve"> </w:t>
      </w:r>
      <w:r w:rsidRPr="00201BC2">
        <w:rPr>
          <w:rFonts w:asciiTheme="minorHAnsi" w:hAnsiTheme="minorHAnsi" w:cstheme="minorHAnsi"/>
          <w:sz w:val="16"/>
          <w:szCs w:val="16"/>
        </w:rPr>
        <w:t>Há também o processo de Assessorias CIA (Provas de Conceito, Pesquisas Tecnológicas, Arquitetura Corporativa em Projetos e Outras Assessorias), onde são avaliadas alternativas, como o exemplo de nuvens.</w:t>
      </w:r>
    </w:p>
  </w:footnote>
  <w:footnote w:id="49">
    <w:p w:rsidR="009D1337" w:rsidRDefault="009D1337">
      <w:pPr>
        <w:pStyle w:val="FootnoteText"/>
      </w:pPr>
      <w:r>
        <w:rPr>
          <w:rStyle w:val="FootnoteReference"/>
        </w:rPr>
        <w:footnoteRef/>
      </w:r>
      <w:r>
        <w:t xml:space="preserve"> </w:t>
      </w:r>
      <w:r w:rsidRPr="00657F80">
        <w:rPr>
          <w:rFonts w:asciiTheme="minorHAnsi" w:hAnsiTheme="minorHAnsi" w:cstheme="minorHAnsi"/>
          <w:sz w:val="16"/>
          <w:szCs w:val="16"/>
        </w:rPr>
        <w:t xml:space="preserve">No caso de contratação de TI para atendimento a uma demanda específica da Administração Tributária (CAT), existe o processo de Gestão de Projetos da CAT, onde acontece a vinculação com </w:t>
      </w:r>
      <w:proofErr w:type="gramStart"/>
      <w:r w:rsidRPr="00657F80">
        <w:rPr>
          <w:rFonts w:asciiTheme="minorHAnsi" w:hAnsiTheme="minorHAnsi" w:cstheme="minorHAnsi"/>
          <w:sz w:val="16"/>
          <w:szCs w:val="16"/>
        </w:rPr>
        <w:t>o projetos</w:t>
      </w:r>
      <w:proofErr w:type="gramEnd"/>
      <w:r w:rsidRPr="00657F80">
        <w:rPr>
          <w:rFonts w:asciiTheme="minorHAnsi" w:hAnsiTheme="minorHAnsi" w:cstheme="minorHAnsi"/>
          <w:sz w:val="16"/>
          <w:szCs w:val="16"/>
        </w:rPr>
        <w:t xml:space="preserve"> do </w:t>
      </w:r>
      <w:proofErr w:type="spellStart"/>
      <w:r w:rsidRPr="00657F80">
        <w:rPr>
          <w:rFonts w:asciiTheme="minorHAnsi" w:hAnsiTheme="minorHAnsi" w:cstheme="minorHAnsi"/>
          <w:sz w:val="16"/>
          <w:szCs w:val="16"/>
        </w:rPr>
        <w:t>potfólio</w:t>
      </w:r>
      <w:proofErr w:type="spellEnd"/>
      <w:r w:rsidRPr="00657F80">
        <w:rPr>
          <w:rFonts w:asciiTheme="minorHAnsi" w:hAnsiTheme="minorHAnsi" w:cstheme="minorHAnsi"/>
          <w:sz w:val="16"/>
          <w:szCs w:val="16"/>
        </w:rPr>
        <w:t xml:space="preserve"> aos planos estratégicos da SEFAZ e respectiva análise de valor.                                                      </w:t>
      </w:r>
    </w:p>
  </w:footnote>
  <w:footnote w:id="50">
    <w:p w:rsidR="009D1337" w:rsidRPr="00D2673B" w:rsidRDefault="009D1337" w:rsidP="00025B9B">
      <w:pPr>
        <w:pStyle w:val="FootnoteText"/>
        <w:rPr>
          <w:rFonts w:asciiTheme="minorHAnsi" w:hAnsiTheme="minorHAnsi" w:cstheme="minorHAnsi"/>
          <w:sz w:val="16"/>
          <w:szCs w:val="16"/>
        </w:rPr>
      </w:pPr>
      <w:r>
        <w:rPr>
          <w:rStyle w:val="FootnoteReference"/>
        </w:rPr>
        <w:footnoteRef/>
      </w:r>
      <w:r>
        <w:t xml:space="preserve"> </w:t>
      </w:r>
      <w:r w:rsidRPr="00D2673B">
        <w:rPr>
          <w:rFonts w:asciiTheme="minorHAnsi" w:hAnsiTheme="minorHAnsi" w:cstheme="minorHAnsi"/>
          <w:sz w:val="16"/>
          <w:szCs w:val="16"/>
        </w:rPr>
        <w:t>Equipe de monitoração disponível em regime 24x7 para avaliação contínua do funcionamento dos sistemas de informação.</w:t>
      </w:r>
      <w:r w:rsidRPr="00D2673B">
        <w:rPr>
          <w:rFonts w:asciiTheme="minorHAnsi" w:hAnsiTheme="minorHAnsi" w:cstheme="minorHAnsi"/>
          <w:sz w:val="16"/>
          <w:szCs w:val="16"/>
        </w:rPr>
        <w:br/>
        <w:t>Equipe técnica disponível em horário comercial, podendo ser acionada em regime 24x7.</w:t>
      </w:r>
      <w:r>
        <w:rPr>
          <w:rFonts w:asciiTheme="minorHAnsi" w:hAnsiTheme="minorHAnsi" w:cstheme="minorHAnsi"/>
          <w:sz w:val="16"/>
          <w:szCs w:val="16"/>
        </w:rPr>
        <w:t xml:space="preserve"> </w:t>
      </w:r>
      <w:r w:rsidRPr="00D2673B">
        <w:rPr>
          <w:rFonts w:asciiTheme="minorHAnsi" w:hAnsiTheme="minorHAnsi" w:cstheme="minorHAnsi"/>
          <w:sz w:val="16"/>
          <w:szCs w:val="16"/>
        </w:rPr>
        <w:t>Ferramentas de monitoração de sistemas (SCOM) e ferramentas de monitoração da infraestrutura com emissão de alertas para equipe de monitoração.</w:t>
      </w:r>
      <w:r>
        <w:rPr>
          <w:rFonts w:asciiTheme="minorHAnsi" w:hAnsiTheme="minorHAnsi" w:cstheme="minorHAnsi"/>
          <w:sz w:val="16"/>
          <w:szCs w:val="16"/>
        </w:rPr>
        <w:t xml:space="preserve"> </w:t>
      </w:r>
      <w:r w:rsidRPr="00D2673B">
        <w:rPr>
          <w:rFonts w:asciiTheme="minorHAnsi" w:hAnsiTheme="minorHAnsi" w:cstheme="minorHAnsi"/>
          <w:sz w:val="16"/>
          <w:szCs w:val="16"/>
        </w:rPr>
        <w:t>Testes periódicos para avaliação do ambiente: testes de carga, testes de sistemas e ferramentas de infraestrutura, testes de restauração de backup.</w:t>
      </w:r>
      <w:r w:rsidRPr="00D2673B">
        <w:rPr>
          <w:rFonts w:asciiTheme="minorHAnsi" w:hAnsiTheme="minorHAnsi" w:cstheme="minorHAnsi"/>
          <w:sz w:val="16"/>
          <w:szCs w:val="16"/>
        </w:rPr>
        <w:br/>
        <w:t xml:space="preserve">A avaliação contínua do funcionamento dos sistemas de informação é realizada pelo Centro de Operação de Infraestrutura, que possui equipe técnica especializada e ferramentas que monitoram a saúde do ambiente computacional em regime 24x7, e atuam no gerenciamento do ambiente de infraestrutura computacional, atuando na resolução de incidentes, problemas e requisições, executando mudanças e atuando em atividades preventivas e reativas.    </w:t>
      </w:r>
    </w:p>
    <w:p w:rsidR="009D1337" w:rsidRDefault="009D1337" w:rsidP="003E59A7">
      <w:pPr>
        <w:jc w:val="both"/>
      </w:pPr>
      <w:r w:rsidRPr="00D2673B">
        <w:rPr>
          <w:rFonts w:asciiTheme="minorHAnsi" w:hAnsiTheme="minorHAnsi" w:cstheme="minorHAnsi"/>
          <w:sz w:val="16"/>
          <w:szCs w:val="16"/>
        </w:rPr>
        <w:t>Boletim Mensal CSIRT (Centro de Tratamento e Resposta a Incidentes de Segurança da Informação) de alguns meses de 2017 a janeiro de 2018.  (Obs.: Como são informações classificadas como restritas, foram colocadas só as páginas iniciais de cada boletim, mas se precisar serão colocados os arquivos inteiros).</w:t>
      </w:r>
    </w:p>
  </w:footnote>
  <w:footnote w:id="51">
    <w:p w:rsidR="009D1337" w:rsidRDefault="009D1337">
      <w:pPr>
        <w:pStyle w:val="FootnoteText"/>
      </w:pPr>
      <w:r>
        <w:rPr>
          <w:rStyle w:val="FootnoteReference"/>
        </w:rPr>
        <w:footnoteRef/>
      </w:r>
      <w:r>
        <w:t xml:space="preserve"> </w:t>
      </w:r>
      <w:r w:rsidRPr="00D2673B">
        <w:rPr>
          <w:rFonts w:asciiTheme="minorHAnsi" w:hAnsiTheme="minorHAnsi" w:cstheme="minorHAnsi"/>
          <w:sz w:val="16"/>
          <w:szCs w:val="16"/>
        </w:rPr>
        <w:t>Indicadores de Satisfação de 2017 e 2018     http://etc.intra.fazenda.sp.gov.br/sites/indicdti/P/DILA/Indicadores.aspx</w:t>
      </w:r>
    </w:p>
  </w:footnote>
  <w:footnote w:id="52">
    <w:p w:rsidR="009D1337" w:rsidRPr="00613D4D" w:rsidRDefault="009D1337">
      <w:pPr>
        <w:pStyle w:val="FootnoteText"/>
        <w:rPr>
          <w:rFonts w:asciiTheme="minorHAnsi" w:hAnsiTheme="minorHAnsi" w:cstheme="minorHAnsi"/>
          <w:sz w:val="16"/>
          <w:szCs w:val="16"/>
        </w:rPr>
      </w:pPr>
      <w:r w:rsidRPr="00613D4D">
        <w:rPr>
          <w:rStyle w:val="FootnoteReference"/>
          <w:rFonts w:asciiTheme="minorHAnsi" w:hAnsiTheme="minorHAnsi" w:cstheme="minorHAnsi"/>
          <w:sz w:val="16"/>
          <w:szCs w:val="16"/>
        </w:rPr>
        <w:footnoteRef/>
      </w:r>
      <w:r w:rsidRPr="00613D4D">
        <w:rPr>
          <w:rFonts w:asciiTheme="minorHAnsi" w:hAnsiTheme="minorHAnsi" w:cstheme="minorHAnsi"/>
          <w:sz w:val="16"/>
          <w:szCs w:val="16"/>
        </w:rPr>
        <w:t xml:space="preserve"> http://etc.intra.fazenda.sp.gov.br/sites/dtiprocessos/SitePages/Documentos%20dos%20Processos.aspx</w:t>
      </w:r>
    </w:p>
  </w:footnote>
  <w:footnote w:id="53">
    <w:p w:rsidR="009D1337" w:rsidRPr="00613D4D" w:rsidRDefault="009D1337">
      <w:pPr>
        <w:pStyle w:val="FootnoteText"/>
        <w:rPr>
          <w:rFonts w:asciiTheme="minorHAnsi" w:hAnsiTheme="minorHAnsi" w:cstheme="minorHAnsi"/>
          <w:sz w:val="16"/>
          <w:szCs w:val="16"/>
        </w:rPr>
      </w:pPr>
      <w:r w:rsidRPr="00613D4D">
        <w:rPr>
          <w:rStyle w:val="FootnoteReference"/>
          <w:rFonts w:asciiTheme="minorHAnsi" w:hAnsiTheme="minorHAnsi" w:cstheme="minorHAnsi"/>
          <w:sz w:val="16"/>
          <w:szCs w:val="16"/>
        </w:rPr>
        <w:footnoteRef/>
      </w:r>
      <w:r w:rsidRPr="00613D4D">
        <w:rPr>
          <w:rFonts w:asciiTheme="minorHAnsi" w:hAnsiTheme="minorHAnsi" w:cstheme="minorHAnsi"/>
          <w:sz w:val="16"/>
          <w:szCs w:val="16"/>
        </w:rPr>
        <w:t xml:space="preserve"> https://sefaznetvirtual.intra.fazenda.sp.gov.br/arsys/forms/arsapp/SRS%3AServiceRequestConsole/enduser/?cacheid=3c849fe1&amp;format=html</w:t>
      </w:r>
    </w:p>
  </w:footnote>
  <w:footnote w:id="54">
    <w:p w:rsidR="009D1337" w:rsidRPr="00613D4D" w:rsidRDefault="009D1337">
      <w:pPr>
        <w:pStyle w:val="FootnoteText"/>
        <w:rPr>
          <w:rFonts w:asciiTheme="minorHAnsi" w:hAnsiTheme="minorHAnsi" w:cstheme="minorHAnsi"/>
          <w:sz w:val="16"/>
          <w:szCs w:val="16"/>
        </w:rPr>
      </w:pPr>
      <w:r w:rsidRPr="00613D4D">
        <w:rPr>
          <w:rStyle w:val="FootnoteReference"/>
          <w:rFonts w:asciiTheme="minorHAnsi" w:hAnsiTheme="minorHAnsi" w:cstheme="minorHAnsi"/>
          <w:sz w:val="16"/>
          <w:szCs w:val="16"/>
        </w:rPr>
        <w:footnoteRef/>
      </w:r>
      <w:r w:rsidRPr="00613D4D">
        <w:rPr>
          <w:rFonts w:asciiTheme="minorHAnsi" w:hAnsiTheme="minorHAnsi" w:cstheme="minorHAnsi"/>
          <w:sz w:val="16"/>
          <w:szCs w:val="16"/>
        </w:rPr>
        <w:t xml:space="preserve"> http://srv10303/ReportServer/Pages/ReportViewer.aspx?/Remedy+Report/Catalogo+Implantado</w:t>
      </w:r>
    </w:p>
  </w:footnote>
  <w:footnote w:id="55">
    <w:p w:rsidR="009D1337" w:rsidRPr="00613D4D" w:rsidRDefault="009D1337" w:rsidP="006C50E9">
      <w:pPr>
        <w:pStyle w:val="FootnoteText"/>
        <w:jc w:val="both"/>
        <w:rPr>
          <w:rFonts w:asciiTheme="minorHAnsi" w:hAnsiTheme="minorHAnsi" w:cstheme="minorHAnsi"/>
          <w:sz w:val="16"/>
          <w:szCs w:val="16"/>
        </w:rPr>
      </w:pPr>
      <w:r w:rsidRPr="00613D4D">
        <w:rPr>
          <w:rStyle w:val="FootnoteReference"/>
          <w:rFonts w:asciiTheme="minorHAnsi" w:hAnsiTheme="minorHAnsi" w:cstheme="minorHAnsi"/>
          <w:sz w:val="16"/>
          <w:szCs w:val="16"/>
        </w:rPr>
        <w:footnoteRef/>
      </w:r>
      <w:r w:rsidRPr="00613D4D">
        <w:rPr>
          <w:rFonts w:asciiTheme="minorHAnsi" w:hAnsiTheme="minorHAnsi" w:cstheme="minorHAnsi"/>
          <w:sz w:val="16"/>
          <w:szCs w:val="16"/>
        </w:rPr>
        <w:t xml:space="preserve"> Página na intranet da equipe DW, destacando as ferramentas SAP-BO e Tableau. As informações mais gerenciais estão em formato de Painéis Tableau e as mais operacionais estão em formato de relatórios SAP-BO. Importante restringir que essa evidência se refere somente aos dados tributários, sendo que o próprio DTI é responsável pelo ambiente de BI Oracle para Folha de Pagamento, BEC e SIGEO. http://etc.intra.fazenda.sp.gov.br/sites/siscat/sistemas/dw/Paginas/sobre.aspx</w:t>
      </w:r>
    </w:p>
  </w:footnote>
  <w:footnote w:id="56">
    <w:p w:rsidR="009D1337" w:rsidRPr="00613D4D" w:rsidRDefault="009D1337" w:rsidP="00A422BC">
      <w:pPr>
        <w:jc w:val="both"/>
        <w:rPr>
          <w:rFonts w:asciiTheme="minorHAnsi" w:hAnsiTheme="minorHAnsi" w:cstheme="minorHAnsi"/>
          <w:sz w:val="16"/>
          <w:szCs w:val="16"/>
        </w:rPr>
      </w:pPr>
      <w:r w:rsidRPr="00613D4D">
        <w:rPr>
          <w:rStyle w:val="FootnoteReference"/>
          <w:rFonts w:asciiTheme="minorHAnsi" w:hAnsiTheme="minorHAnsi" w:cstheme="minorHAnsi"/>
          <w:sz w:val="16"/>
          <w:szCs w:val="16"/>
        </w:rPr>
        <w:footnoteRef/>
      </w:r>
      <w:r w:rsidRPr="00613D4D">
        <w:rPr>
          <w:rFonts w:asciiTheme="minorHAnsi" w:hAnsiTheme="minorHAnsi" w:cstheme="minorHAnsi"/>
          <w:sz w:val="16"/>
          <w:szCs w:val="16"/>
        </w:rPr>
        <w:t xml:space="preserve"> Em específico, é utilizado o Banco de Dados colunar </w:t>
      </w:r>
      <w:proofErr w:type="spellStart"/>
      <w:r w:rsidRPr="00613D4D">
        <w:rPr>
          <w:rFonts w:asciiTheme="minorHAnsi" w:hAnsiTheme="minorHAnsi" w:cstheme="minorHAnsi"/>
          <w:sz w:val="16"/>
          <w:szCs w:val="16"/>
        </w:rPr>
        <w:t>SybaseIQ</w:t>
      </w:r>
      <w:proofErr w:type="spellEnd"/>
      <w:r w:rsidRPr="00613D4D">
        <w:rPr>
          <w:rFonts w:asciiTheme="minorHAnsi" w:hAnsiTheme="minorHAnsi" w:cstheme="minorHAnsi"/>
          <w:sz w:val="16"/>
          <w:szCs w:val="16"/>
        </w:rPr>
        <w:t xml:space="preserve"> para tratar somente grandes volumes de dados estruturados, não havendo hoje na arquitetura o tratamento de grande volume de dados não estruturados ou </w:t>
      </w:r>
      <w:proofErr w:type="spellStart"/>
      <w:proofErr w:type="gramStart"/>
      <w:r w:rsidRPr="00613D4D">
        <w:rPr>
          <w:rFonts w:asciiTheme="minorHAnsi" w:hAnsiTheme="minorHAnsi" w:cstheme="minorHAnsi"/>
          <w:sz w:val="16"/>
          <w:szCs w:val="16"/>
        </w:rPr>
        <w:t>semi</w:t>
      </w:r>
      <w:proofErr w:type="spellEnd"/>
      <w:r w:rsidRPr="00613D4D">
        <w:rPr>
          <w:rFonts w:asciiTheme="minorHAnsi" w:hAnsiTheme="minorHAnsi" w:cstheme="minorHAnsi"/>
          <w:sz w:val="16"/>
          <w:szCs w:val="16"/>
        </w:rPr>
        <w:t xml:space="preserve"> estruturados</w:t>
      </w:r>
      <w:proofErr w:type="gramEnd"/>
      <w:r w:rsidRPr="00613D4D">
        <w:rPr>
          <w:rFonts w:asciiTheme="minorHAnsi" w:hAnsiTheme="minorHAnsi" w:cstheme="minorHAnsi"/>
          <w:sz w:val="16"/>
          <w:szCs w:val="16"/>
        </w:rPr>
        <w:t>.</w:t>
      </w:r>
    </w:p>
  </w:footnote>
  <w:footnote w:id="57">
    <w:p w:rsidR="009D1337" w:rsidRPr="009B49E1" w:rsidRDefault="009D1337" w:rsidP="009B49E1">
      <w:pPr>
        <w:jc w:val="both"/>
        <w:rPr>
          <w:rFonts w:asciiTheme="minorHAnsi" w:hAnsiTheme="minorHAnsi" w:cstheme="minorHAnsi"/>
          <w:sz w:val="16"/>
          <w:szCs w:val="16"/>
        </w:rPr>
      </w:pPr>
      <w:r w:rsidRPr="009B49E1">
        <w:rPr>
          <w:rStyle w:val="FootnoteReference"/>
          <w:rFonts w:asciiTheme="minorHAnsi" w:hAnsiTheme="minorHAnsi" w:cstheme="minorHAnsi"/>
          <w:sz w:val="16"/>
          <w:szCs w:val="16"/>
        </w:rPr>
        <w:footnoteRef/>
      </w:r>
      <w:r w:rsidRPr="009B49E1">
        <w:rPr>
          <w:rFonts w:asciiTheme="minorHAnsi" w:hAnsiTheme="minorHAnsi" w:cstheme="minorHAnsi"/>
          <w:sz w:val="16"/>
          <w:szCs w:val="16"/>
        </w:rPr>
        <w:t xml:space="preserve"> </w:t>
      </w:r>
      <w:r w:rsidRPr="00244643">
        <w:rPr>
          <w:rFonts w:asciiTheme="minorHAnsi" w:hAnsiTheme="minorHAnsi" w:cstheme="minorHAnsi"/>
          <w:sz w:val="16"/>
          <w:szCs w:val="16"/>
        </w:rPr>
        <w:t>O Centro de Suprimentos, em decisões estratégicas, aciona o Diretor do DSI - Departamento de Suprimentos e Infraestrutura (dirigente máximo deste departamento).</w:t>
      </w:r>
      <w:r w:rsidRPr="009B49E1">
        <w:rPr>
          <w:rFonts w:asciiTheme="minorHAnsi" w:hAnsiTheme="minorHAnsi" w:cstheme="minorHAnsi"/>
          <w:sz w:val="16"/>
          <w:szCs w:val="16"/>
        </w:rPr>
        <w:t xml:space="preserve"> </w:t>
      </w:r>
      <w:r w:rsidRPr="00244643">
        <w:rPr>
          <w:rFonts w:asciiTheme="minorHAnsi" w:hAnsiTheme="minorHAnsi" w:cstheme="minorHAnsi"/>
          <w:sz w:val="16"/>
          <w:szCs w:val="16"/>
        </w:rPr>
        <w:t>Artigos 129 e 130 do Decreto nº 60.812/2014.</w:t>
      </w:r>
    </w:p>
  </w:footnote>
  <w:footnote w:id="58">
    <w:p w:rsidR="009D1337" w:rsidRPr="009B49E1" w:rsidRDefault="009D1337" w:rsidP="009B49E1">
      <w:pPr>
        <w:jc w:val="both"/>
        <w:rPr>
          <w:rFonts w:asciiTheme="minorHAnsi" w:hAnsiTheme="minorHAnsi" w:cstheme="minorHAnsi"/>
          <w:sz w:val="16"/>
          <w:szCs w:val="16"/>
        </w:rPr>
      </w:pPr>
      <w:r w:rsidRPr="009B49E1">
        <w:rPr>
          <w:rStyle w:val="FootnoteReference"/>
          <w:rFonts w:asciiTheme="minorHAnsi" w:hAnsiTheme="minorHAnsi" w:cstheme="minorHAnsi"/>
          <w:sz w:val="16"/>
          <w:szCs w:val="16"/>
        </w:rPr>
        <w:footnoteRef/>
      </w:r>
      <w:r w:rsidRPr="009B49E1">
        <w:rPr>
          <w:rFonts w:asciiTheme="minorHAnsi" w:hAnsiTheme="minorHAnsi" w:cstheme="minorHAnsi"/>
          <w:sz w:val="16"/>
          <w:szCs w:val="16"/>
        </w:rPr>
        <w:t xml:space="preserve"> </w:t>
      </w:r>
      <w:r w:rsidRPr="00244643">
        <w:rPr>
          <w:rFonts w:asciiTheme="minorHAnsi" w:hAnsiTheme="minorHAnsi" w:cstheme="minorHAnsi"/>
          <w:sz w:val="16"/>
          <w:szCs w:val="16"/>
        </w:rPr>
        <w:t>https://www.al.sp.gov.br/repositorio/legislacao/decreto/2014/decreto-60812-30.09.2014.html</w:t>
      </w:r>
    </w:p>
  </w:footnote>
  <w:footnote w:id="59">
    <w:p w:rsidR="009D1337" w:rsidRPr="009B49E1" w:rsidRDefault="009D1337" w:rsidP="009B49E1">
      <w:pPr>
        <w:jc w:val="both"/>
        <w:rPr>
          <w:rFonts w:asciiTheme="minorHAnsi" w:hAnsiTheme="minorHAnsi" w:cstheme="minorHAnsi"/>
          <w:sz w:val="16"/>
          <w:szCs w:val="16"/>
        </w:rPr>
      </w:pPr>
      <w:r w:rsidRPr="009B49E1">
        <w:rPr>
          <w:rStyle w:val="FootnoteReference"/>
          <w:rFonts w:asciiTheme="minorHAnsi" w:hAnsiTheme="minorHAnsi" w:cstheme="minorHAnsi"/>
          <w:sz w:val="16"/>
          <w:szCs w:val="16"/>
        </w:rPr>
        <w:footnoteRef/>
      </w:r>
      <w:r w:rsidRPr="009B49E1">
        <w:rPr>
          <w:rFonts w:asciiTheme="minorHAnsi" w:hAnsiTheme="minorHAnsi" w:cstheme="minorHAnsi"/>
          <w:sz w:val="16"/>
          <w:szCs w:val="16"/>
        </w:rPr>
        <w:t xml:space="preserve"> </w:t>
      </w:r>
      <w:r w:rsidRPr="00244643">
        <w:rPr>
          <w:rFonts w:asciiTheme="minorHAnsi" w:hAnsiTheme="minorHAnsi" w:cstheme="minorHAnsi"/>
          <w:sz w:val="16"/>
          <w:szCs w:val="16"/>
        </w:rPr>
        <w:t> Disponível na Bolsa Eletrônica de Compras/SP: www.bec.sp.gov.br</w:t>
      </w:r>
    </w:p>
  </w:footnote>
  <w:footnote w:id="60">
    <w:p w:rsidR="009D1337" w:rsidRDefault="009D1337" w:rsidP="009B49E1">
      <w:pPr>
        <w:jc w:val="both"/>
        <w:rPr>
          <w:rFonts w:asciiTheme="minorHAnsi" w:hAnsiTheme="minorHAnsi" w:cstheme="minorHAnsi"/>
          <w:sz w:val="16"/>
          <w:szCs w:val="16"/>
        </w:rPr>
      </w:pPr>
      <w:r w:rsidRPr="009B49E1">
        <w:rPr>
          <w:rStyle w:val="FootnoteReference"/>
          <w:rFonts w:asciiTheme="minorHAnsi" w:hAnsiTheme="minorHAnsi" w:cstheme="minorHAnsi"/>
          <w:sz w:val="16"/>
          <w:szCs w:val="16"/>
        </w:rPr>
        <w:footnoteRef/>
      </w:r>
      <w:r w:rsidRPr="009B49E1">
        <w:rPr>
          <w:rFonts w:asciiTheme="minorHAnsi" w:hAnsiTheme="minorHAnsi" w:cstheme="minorHAnsi"/>
          <w:sz w:val="16"/>
          <w:szCs w:val="16"/>
        </w:rPr>
        <w:t xml:space="preserve"> </w:t>
      </w:r>
      <w:r w:rsidRPr="00244643">
        <w:rPr>
          <w:rFonts w:asciiTheme="minorHAnsi" w:hAnsiTheme="minorHAnsi" w:cstheme="minorHAnsi"/>
          <w:sz w:val="16"/>
          <w:szCs w:val="16"/>
        </w:rPr>
        <w:t> Disponível no Sistema Integrado de Planejamento e Gestão Orçamentária:</w:t>
      </w:r>
      <w:r w:rsidRPr="00244643">
        <w:rPr>
          <w:rFonts w:asciiTheme="minorHAnsi" w:hAnsiTheme="minorHAnsi" w:cstheme="minorHAnsi"/>
          <w:sz w:val="16"/>
          <w:szCs w:val="16"/>
        </w:rPr>
        <w:br/>
        <w:t>https://sefaznet8.sede.fazenda.sp.gov.br/orcamento/Base/Paginas/Login.aspx</w:t>
      </w:r>
    </w:p>
    <w:p w:rsidR="009D1337" w:rsidRDefault="009D1337" w:rsidP="00134F58">
      <w:pPr>
        <w:jc w:val="both"/>
      </w:pPr>
      <w:r w:rsidRPr="00244643">
        <w:rPr>
          <w:rFonts w:asciiTheme="minorHAnsi" w:hAnsiTheme="minorHAnsi" w:cstheme="minorHAnsi"/>
          <w:sz w:val="16"/>
          <w:szCs w:val="16"/>
        </w:rPr>
        <w:t>O estoque é definido de acordo com a população e a informação do consumo médio disponível no Sistema de Administração de Materiais: www.sam.prodesp.sp.gov.br/estoque</w:t>
      </w:r>
    </w:p>
  </w:footnote>
  <w:footnote w:id="61">
    <w:p w:rsidR="009D1337" w:rsidRDefault="009D1337" w:rsidP="00134F58">
      <w:pPr>
        <w:jc w:val="both"/>
        <w:rPr>
          <w:rFonts w:asciiTheme="minorHAnsi" w:hAnsiTheme="minorHAnsi" w:cstheme="minorHAnsi"/>
          <w:sz w:val="16"/>
          <w:szCs w:val="16"/>
        </w:rPr>
      </w:pPr>
      <w:r>
        <w:rPr>
          <w:rStyle w:val="FootnoteReference"/>
        </w:rPr>
        <w:footnoteRef/>
      </w:r>
      <w:r>
        <w:t xml:space="preserve"> </w:t>
      </w:r>
      <w:r w:rsidRPr="00244643">
        <w:rPr>
          <w:rFonts w:asciiTheme="minorHAnsi" w:hAnsiTheme="minorHAnsi" w:cstheme="minorHAnsi"/>
          <w:sz w:val="16"/>
          <w:szCs w:val="16"/>
        </w:rPr>
        <w:t>Conforme o artigo 10 do decreto 42.857 de 11.02.98, uma das atribuições do gestor de contratos é atestar nas condições contratuais, a execução dos serviços ou</w:t>
      </w:r>
      <w:r w:rsidRPr="00134F58">
        <w:rPr>
          <w:rFonts w:asciiTheme="minorHAnsi" w:hAnsiTheme="minorHAnsi" w:cstheme="minorHAnsi"/>
          <w:sz w:val="16"/>
          <w:szCs w:val="16"/>
        </w:rPr>
        <w:t xml:space="preserve"> a entrega dos materiais.</w:t>
      </w:r>
    </w:p>
    <w:p w:rsidR="009D1337" w:rsidRDefault="009D1337" w:rsidP="00613D4D">
      <w:pPr>
        <w:jc w:val="both"/>
      </w:pPr>
      <w:r w:rsidRPr="00134F58">
        <w:rPr>
          <w:rFonts w:asciiTheme="minorHAnsi" w:hAnsiTheme="minorHAnsi" w:cstheme="minorHAnsi"/>
          <w:sz w:val="16"/>
          <w:szCs w:val="16"/>
        </w:rPr>
        <w:t>LINK:</w:t>
      </w:r>
      <w:r w:rsidRPr="00244643">
        <w:rPr>
          <w:rFonts w:asciiTheme="minorHAnsi" w:hAnsiTheme="minorHAnsi" w:cstheme="minorHAnsi"/>
          <w:sz w:val="16"/>
          <w:szCs w:val="16"/>
        </w:rPr>
        <w:t>https://www.al.sp.gov.br/repositorio/legislacao/decreto/1998/decreto-42857-11.02.1998.html</w:t>
      </w:r>
      <w:r w:rsidRPr="00244643">
        <w:rPr>
          <w:rFonts w:asciiTheme="minorHAnsi" w:hAnsiTheme="minorHAnsi" w:cstheme="minorHAnsi"/>
          <w:sz w:val="16"/>
          <w:szCs w:val="16"/>
        </w:rPr>
        <w:br/>
        <w:t>O gestor do contrato é o responsável por emitir o Termo de Recebimento Provisório e, posteriormente, o Termo de Aceite Definitivo.</w:t>
      </w:r>
    </w:p>
  </w:footnote>
  <w:footnote w:id="62">
    <w:p w:rsidR="009D1337" w:rsidRPr="00613D4D" w:rsidRDefault="009D1337">
      <w:pPr>
        <w:pStyle w:val="FootnoteText"/>
        <w:rPr>
          <w:rFonts w:asciiTheme="minorHAnsi" w:hAnsiTheme="minorHAnsi" w:cstheme="minorHAnsi"/>
          <w:sz w:val="16"/>
          <w:szCs w:val="16"/>
        </w:rPr>
      </w:pPr>
      <w:r w:rsidRPr="00613D4D">
        <w:rPr>
          <w:rStyle w:val="FootnoteReference"/>
          <w:rFonts w:asciiTheme="minorHAnsi" w:hAnsiTheme="minorHAnsi" w:cstheme="minorHAnsi"/>
          <w:sz w:val="16"/>
          <w:szCs w:val="16"/>
        </w:rPr>
        <w:footnoteRef/>
      </w:r>
      <w:r w:rsidRPr="00613D4D">
        <w:rPr>
          <w:rFonts w:asciiTheme="minorHAnsi" w:hAnsiTheme="minorHAnsi" w:cstheme="minorHAnsi"/>
          <w:sz w:val="16"/>
          <w:szCs w:val="16"/>
        </w:rPr>
        <w:t xml:space="preserve"> </w:t>
      </w:r>
      <w:r w:rsidRPr="00613D4D">
        <w:rPr>
          <w:rFonts w:asciiTheme="minorHAnsi" w:hAnsiTheme="minorHAnsi" w:cstheme="minorHAnsi"/>
          <w:color w:val="000000"/>
          <w:sz w:val="16"/>
          <w:szCs w:val="16"/>
        </w:rPr>
        <w:t>www.sam.prodesp.sp.gov.br/estoque</w:t>
      </w:r>
    </w:p>
  </w:footnote>
  <w:footnote w:id="63">
    <w:p w:rsidR="009D1337" w:rsidRDefault="009D1337">
      <w:pPr>
        <w:pStyle w:val="FootnoteText"/>
      </w:pPr>
      <w:r>
        <w:rPr>
          <w:rStyle w:val="FootnoteReference"/>
        </w:rPr>
        <w:footnoteRef/>
      </w:r>
      <w:r>
        <w:t xml:space="preserve"> </w:t>
      </w:r>
      <w:r w:rsidRPr="00134F58">
        <w:rPr>
          <w:rFonts w:asciiTheme="minorHAnsi" w:hAnsiTheme="minorHAnsi" w:cstheme="minorHAnsi"/>
          <w:sz w:val="16"/>
          <w:szCs w:val="16"/>
        </w:rPr>
        <w:t>www.bec.sp.gov.br</w:t>
      </w:r>
    </w:p>
  </w:footnote>
  <w:footnote w:id="64">
    <w:p w:rsidR="009D1337" w:rsidRDefault="009D1337">
      <w:pPr>
        <w:pStyle w:val="FootnoteText"/>
      </w:pPr>
      <w:r>
        <w:rPr>
          <w:rStyle w:val="FootnoteReference"/>
        </w:rPr>
        <w:footnoteRef/>
      </w:r>
      <w:r>
        <w:t xml:space="preserve"> </w:t>
      </w:r>
      <w:r w:rsidRPr="00134F58">
        <w:rPr>
          <w:rFonts w:asciiTheme="minorHAnsi" w:hAnsiTheme="minorHAnsi" w:cstheme="minorHAnsi"/>
          <w:color w:val="000000"/>
          <w:sz w:val="16"/>
          <w:szCs w:val="16"/>
        </w:rPr>
        <w:t>Disponível no Sistema de Inf</w:t>
      </w:r>
      <w:r>
        <w:rPr>
          <w:rFonts w:asciiTheme="minorHAnsi" w:hAnsiTheme="minorHAnsi" w:cstheme="minorHAnsi"/>
          <w:color w:val="000000"/>
          <w:sz w:val="16"/>
          <w:szCs w:val="16"/>
        </w:rPr>
        <w:t>ormações Gerenciais da Execução o</w:t>
      </w:r>
      <w:r w:rsidRPr="00134F58">
        <w:rPr>
          <w:rFonts w:asciiTheme="minorHAnsi" w:hAnsiTheme="minorHAnsi" w:cstheme="minorHAnsi"/>
          <w:color w:val="000000"/>
          <w:sz w:val="16"/>
          <w:szCs w:val="16"/>
        </w:rPr>
        <w:t>rçamentária: </w:t>
      </w:r>
      <w:r>
        <w:rPr>
          <w:rFonts w:asciiTheme="minorHAnsi" w:hAnsiTheme="minorHAnsi" w:cstheme="minorHAnsi"/>
          <w:color w:val="000000"/>
          <w:sz w:val="16"/>
          <w:szCs w:val="16"/>
        </w:rPr>
        <w:t xml:space="preserve"> </w:t>
      </w:r>
      <w:r w:rsidRPr="00134F58">
        <w:rPr>
          <w:rFonts w:asciiTheme="minorHAnsi" w:hAnsiTheme="minorHAnsi" w:cstheme="minorHAnsi"/>
          <w:color w:val="000000"/>
          <w:sz w:val="16"/>
          <w:szCs w:val="16"/>
        </w:rPr>
        <w:t>www.sigeo.fazenda.sp.gov.br/analytics/saw.dll?dashboard</w:t>
      </w:r>
    </w:p>
  </w:footnote>
  <w:footnote w:id="65">
    <w:p w:rsidR="009D1337" w:rsidRPr="00B632CD" w:rsidRDefault="009D1337">
      <w:pPr>
        <w:pStyle w:val="FootnoteText"/>
        <w:rPr>
          <w:rFonts w:asciiTheme="minorHAnsi" w:hAnsiTheme="minorHAnsi" w:cstheme="minorHAnsi"/>
          <w:sz w:val="16"/>
          <w:szCs w:val="16"/>
        </w:rPr>
      </w:pPr>
      <w:r w:rsidRPr="00B632CD">
        <w:rPr>
          <w:rStyle w:val="FootnoteReference"/>
          <w:rFonts w:asciiTheme="minorHAnsi" w:hAnsiTheme="minorHAnsi" w:cstheme="minorHAnsi"/>
          <w:sz w:val="16"/>
          <w:szCs w:val="16"/>
        </w:rPr>
        <w:footnoteRef/>
      </w:r>
      <w:r w:rsidRPr="00B632CD">
        <w:rPr>
          <w:rFonts w:asciiTheme="minorHAnsi" w:hAnsiTheme="minorHAnsi" w:cstheme="minorHAnsi"/>
          <w:sz w:val="16"/>
          <w:szCs w:val="16"/>
        </w:rPr>
        <w:t xml:space="preserve"> </w:t>
      </w:r>
      <w:r w:rsidRPr="00134F58">
        <w:rPr>
          <w:rFonts w:asciiTheme="minorHAnsi" w:hAnsiTheme="minorHAnsi" w:cstheme="minorHAnsi"/>
          <w:sz w:val="16"/>
          <w:szCs w:val="16"/>
          <w:u w:val="single"/>
        </w:rPr>
        <w:t>https://www.al.sp.gov.br/repositorio/legislacao/decreto/1991/decreto-34350-11.12.1991.html</w:t>
      </w:r>
    </w:p>
  </w:footnote>
  <w:footnote w:id="66">
    <w:p w:rsidR="009D1337" w:rsidRDefault="009D1337">
      <w:pPr>
        <w:pStyle w:val="FootnoteText"/>
      </w:pPr>
      <w:r>
        <w:rPr>
          <w:rStyle w:val="FootnoteReference"/>
        </w:rPr>
        <w:footnoteRef/>
      </w:r>
      <w:r>
        <w:t xml:space="preserve"> </w:t>
      </w:r>
      <w:r w:rsidRPr="00134F58">
        <w:rPr>
          <w:rFonts w:asciiTheme="minorHAnsi" w:hAnsiTheme="minorHAnsi" w:cstheme="minorHAnsi"/>
          <w:color w:val="000000"/>
          <w:sz w:val="16"/>
          <w:szCs w:val="16"/>
        </w:rPr>
        <w:t>Manuais disponíveis em https://www.bec.sp.gov.br/becsp/aspx/Downloads_Editais_Minuta_Antigo.aspx?chave=</w:t>
      </w:r>
    </w:p>
  </w:footnote>
  <w:footnote w:id="67">
    <w:p w:rsidR="009D1337" w:rsidRDefault="009D1337">
      <w:pPr>
        <w:pStyle w:val="FootnoteText"/>
      </w:pPr>
      <w:r>
        <w:rPr>
          <w:rStyle w:val="FootnoteReference"/>
        </w:rPr>
        <w:footnoteRef/>
      </w:r>
      <w:r>
        <w:t xml:space="preserve"> </w:t>
      </w:r>
      <w:r w:rsidRPr="00D323EE">
        <w:rPr>
          <w:rFonts w:asciiTheme="minorHAnsi" w:hAnsiTheme="minorHAnsi" w:cstheme="minorHAnsi"/>
          <w:sz w:val="16"/>
          <w:szCs w:val="16"/>
        </w:rPr>
        <w:t> www.bec.sp.gov.br e no CADTERC – Estudos Técnicos de Serviços Terceirizados: www.cadterc.sp.gov.br</w:t>
      </w:r>
    </w:p>
  </w:footnote>
  <w:footnote w:id="68">
    <w:p w:rsidR="009D1337" w:rsidRDefault="009D1337">
      <w:pPr>
        <w:pStyle w:val="FootnoteText"/>
      </w:pPr>
      <w:r>
        <w:rPr>
          <w:rStyle w:val="FootnoteReference"/>
        </w:rPr>
        <w:footnoteRef/>
      </w:r>
      <w:r>
        <w:t xml:space="preserve"> </w:t>
      </w:r>
      <w:r w:rsidRPr="00D323EE">
        <w:rPr>
          <w:rFonts w:asciiTheme="minorHAnsi" w:hAnsiTheme="minorHAnsi" w:cstheme="minorHAnsi"/>
          <w:sz w:val="16"/>
          <w:szCs w:val="16"/>
        </w:rPr>
        <w:t>São utilizados os pareceres da Consultoria Jurídica para verificação dos editais.</w:t>
      </w:r>
      <w:r w:rsidRPr="00D323EE">
        <w:rPr>
          <w:rFonts w:asciiTheme="minorHAnsi" w:hAnsiTheme="minorHAnsi" w:cstheme="minorHAnsi"/>
          <w:sz w:val="16"/>
          <w:szCs w:val="16"/>
        </w:rPr>
        <w:br/>
      </w:r>
      <w:r w:rsidRPr="00D323EE">
        <w:rPr>
          <w:rFonts w:asciiTheme="minorHAnsi" w:hAnsiTheme="minorHAnsi" w:cstheme="minorHAnsi"/>
          <w:sz w:val="16"/>
          <w:szCs w:val="16"/>
          <w:u w:val="single"/>
        </w:rPr>
        <w:t>https://www.bec.sp.gov.br/becsp/Aspx/Minutas.aspx?chave=</w:t>
      </w:r>
    </w:p>
  </w:footnote>
  <w:footnote w:id="69">
    <w:p w:rsidR="009D1337" w:rsidRDefault="009D1337">
      <w:pPr>
        <w:pStyle w:val="FootnoteText"/>
      </w:pPr>
      <w:r>
        <w:rPr>
          <w:rStyle w:val="FootnoteReference"/>
        </w:rPr>
        <w:footnoteRef/>
      </w:r>
      <w:r>
        <w:t xml:space="preserve"> </w:t>
      </w:r>
      <w:r w:rsidRPr="00D323EE">
        <w:rPr>
          <w:rFonts w:asciiTheme="minorHAnsi" w:hAnsiTheme="minorHAnsi" w:cstheme="minorHAnsi"/>
          <w:sz w:val="16"/>
          <w:szCs w:val="16"/>
        </w:rPr>
        <w:t>www.transparência.sp.gov.br e Imprensa Oficial do Estado: www.imesp.com.br</w:t>
      </w:r>
    </w:p>
  </w:footnote>
  <w:footnote w:id="70">
    <w:p w:rsidR="009D1337" w:rsidRDefault="009D1337">
      <w:pPr>
        <w:pStyle w:val="FootnoteText"/>
      </w:pPr>
      <w:r>
        <w:rPr>
          <w:rStyle w:val="FootnoteReference"/>
        </w:rPr>
        <w:footnoteRef/>
      </w:r>
      <w:r>
        <w:t xml:space="preserve"> </w:t>
      </w:r>
      <w:r w:rsidRPr="007C443E">
        <w:rPr>
          <w:rFonts w:asciiTheme="minorHAnsi" w:hAnsiTheme="minorHAnsi" w:cstheme="minorHAnsi"/>
          <w:sz w:val="16"/>
          <w:szCs w:val="16"/>
        </w:rPr>
        <w:t>Plano Anual de Atividades de Auditoria Interna (Procedimento 04 – Aquisições e Contratações)</w:t>
      </w:r>
    </w:p>
  </w:footnote>
  <w:footnote w:id="71">
    <w:p w:rsidR="009D1337" w:rsidRDefault="009D1337">
      <w:pPr>
        <w:pStyle w:val="FootnoteText"/>
      </w:pPr>
      <w:r>
        <w:rPr>
          <w:rStyle w:val="FootnoteReference"/>
        </w:rPr>
        <w:footnoteRef/>
      </w:r>
      <w:r>
        <w:t xml:space="preserve"> </w:t>
      </w:r>
      <w:r w:rsidRPr="0071032D">
        <w:rPr>
          <w:rFonts w:asciiTheme="minorHAnsi" w:hAnsiTheme="minorHAnsi" w:cstheme="minorHAnsi"/>
          <w:sz w:val="16"/>
          <w:szCs w:val="16"/>
        </w:rPr>
        <w:t xml:space="preserve">A SEFAZ/SP dispõe de um </w:t>
      </w:r>
      <w:r w:rsidRPr="007C443E">
        <w:rPr>
          <w:rFonts w:asciiTheme="minorHAnsi" w:hAnsiTheme="minorHAnsi" w:cstheme="minorHAnsi"/>
          <w:sz w:val="16"/>
          <w:szCs w:val="16"/>
        </w:rPr>
        <w:t>Mapa de Riscos (Impacto e Vulnerabilidade)</w:t>
      </w:r>
    </w:p>
  </w:footnote>
  <w:footnote w:id="72">
    <w:p w:rsidR="009D1337" w:rsidRDefault="009D1337">
      <w:pPr>
        <w:pStyle w:val="FootnoteText"/>
      </w:pPr>
      <w:r>
        <w:rPr>
          <w:rStyle w:val="FootnoteReference"/>
        </w:rPr>
        <w:footnoteRef/>
      </w:r>
      <w:r>
        <w:t xml:space="preserve"> </w:t>
      </w:r>
      <w:r w:rsidRPr="009836FA">
        <w:rPr>
          <w:rFonts w:asciiTheme="minorHAnsi" w:hAnsiTheme="minorHAnsi" w:cstheme="minorHAnsi"/>
          <w:sz w:val="16"/>
          <w:szCs w:val="16"/>
        </w:rPr>
        <w:t>Disponível no Sistema de Administração de Materiais: www.sam.prodesp.sp.gov.br/estoque</w:t>
      </w:r>
    </w:p>
  </w:footnote>
  <w:footnote w:id="73">
    <w:p w:rsidR="009D1337" w:rsidRDefault="009D1337">
      <w:pPr>
        <w:pStyle w:val="FootnoteText"/>
      </w:pPr>
      <w:r>
        <w:rPr>
          <w:rStyle w:val="FootnoteReference"/>
        </w:rPr>
        <w:footnoteRef/>
      </w:r>
      <w:r>
        <w:t xml:space="preserve"> </w:t>
      </w:r>
      <w:r w:rsidRPr="009836FA">
        <w:rPr>
          <w:rFonts w:asciiTheme="minorHAnsi" w:hAnsiTheme="minorHAnsi" w:cstheme="minorHAnsi"/>
          <w:sz w:val="16"/>
          <w:szCs w:val="16"/>
        </w:rPr>
        <w:t xml:space="preserve">É utilizado o método da antecipação em materiais destinados a obras e reformas e o estoque de segurança nos demais itens. A curva ABC também é </w:t>
      </w:r>
      <w:proofErr w:type="gramStart"/>
      <w:r w:rsidRPr="009836FA">
        <w:rPr>
          <w:rFonts w:asciiTheme="minorHAnsi" w:hAnsiTheme="minorHAnsi" w:cstheme="minorHAnsi"/>
          <w:sz w:val="16"/>
          <w:szCs w:val="16"/>
        </w:rPr>
        <w:t>utilizado</w:t>
      </w:r>
      <w:proofErr w:type="gramEnd"/>
      <w:r w:rsidRPr="009836FA">
        <w:rPr>
          <w:rFonts w:asciiTheme="minorHAnsi" w:hAnsiTheme="minorHAnsi" w:cstheme="minorHAnsi"/>
          <w:sz w:val="16"/>
          <w:szCs w:val="16"/>
        </w:rPr>
        <w:t xml:space="preserve">, </w:t>
      </w:r>
      <w:r w:rsidRPr="00ED3835">
        <w:rPr>
          <w:rFonts w:asciiTheme="minorHAnsi" w:hAnsiTheme="minorHAnsi" w:cstheme="minorHAnsi"/>
          <w:sz w:val="16"/>
          <w:szCs w:val="16"/>
        </w:rPr>
        <w:t xml:space="preserve">por meio </w:t>
      </w:r>
      <w:r w:rsidRPr="009836FA">
        <w:rPr>
          <w:rFonts w:asciiTheme="minorHAnsi" w:hAnsiTheme="minorHAnsi" w:cstheme="minorHAnsi"/>
          <w:sz w:val="16"/>
          <w:szCs w:val="16"/>
        </w:rPr>
        <w:t>deste método é identificado os itens essenciais a Administração e consequentemente a sua priorização na aquisição.</w:t>
      </w:r>
    </w:p>
  </w:footnote>
  <w:footnote w:id="74">
    <w:p w:rsidR="009D1337" w:rsidRDefault="009D1337">
      <w:pPr>
        <w:pStyle w:val="FootnoteText"/>
      </w:pPr>
      <w:r>
        <w:rPr>
          <w:rStyle w:val="FootnoteReference"/>
        </w:rPr>
        <w:footnoteRef/>
      </w:r>
      <w:r>
        <w:t xml:space="preserve"> </w:t>
      </w:r>
      <w:r w:rsidRPr="009836FA">
        <w:rPr>
          <w:rFonts w:asciiTheme="minorHAnsi" w:hAnsiTheme="minorHAnsi" w:cstheme="minorHAnsi"/>
          <w:sz w:val="16"/>
          <w:szCs w:val="16"/>
        </w:rPr>
        <w:t>O Sistema de Administração de Materiais, como padrão, aplica o método do Custo Médio. Disponível no Sistema de Administração de Materiais: www.sam.prodesp.sp.gov.br/estoque</w:t>
      </w:r>
    </w:p>
  </w:footnote>
  <w:footnote w:id="75">
    <w:p w:rsidR="009D1337" w:rsidRDefault="009D1337">
      <w:pPr>
        <w:pStyle w:val="FootnoteText"/>
      </w:pPr>
      <w:r>
        <w:rPr>
          <w:rStyle w:val="FootnoteReference"/>
        </w:rPr>
        <w:footnoteRef/>
      </w:r>
      <w:r>
        <w:t xml:space="preserve"> </w:t>
      </w:r>
      <w:r w:rsidRPr="00F6640C">
        <w:rPr>
          <w:rFonts w:asciiTheme="minorHAnsi" w:hAnsiTheme="minorHAnsi" w:cstheme="minorHAnsi"/>
          <w:color w:val="000000"/>
          <w:sz w:val="16"/>
          <w:szCs w:val="16"/>
        </w:rPr>
        <w:t xml:space="preserve">A SEFA/SP realiza </w:t>
      </w:r>
      <w:r w:rsidRPr="00094F82">
        <w:rPr>
          <w:rFonts w:asciiTheme="minorHAnsi" w:hAnsiTheme="minorHAnsi" w:cstheme="minorHAnsi"/>
          <w:color w:val="000000"/>
          <w:sz w:val="16"/>
          <w:szCs w:val="16"/>
        </w:rPr>
        <w:t>o controle patrimonial, ond</w:t>
      </w:r>
      <w:r w:rsidRPr="00F6640C">
        <w:rPr>
          <w:rFonts w:asciiTheme="minorHAnsi" w:hAnsiTheme="minorHAnsi" w:cstheme="minorHAnsi"/>
          <w:color w:val="000000"/>
          <w:sz w:val="16"/>
          <w:szCs w:val="16"/>
        </w:rPr>
        <w:t xml:space="preserve">e todos os bens são etiquetados conforme </w:t>
      </w:r>
      <w:r w:rsidRPr="00094F82">
        <w:rPr>
          <w:rFonts w:asciiTheme="minorHAnsi" w:hAnsiTheme="minorHAnsi" w:cstheme="minorHAnsi"/>
          <w:color w:val="000000"/>
          <w:sz w:val="16"/>
          <w:szCs w:val="16"/>
        </w:rPr>
        <w:t>Manual de controle patrimonial</w:t>
      </w:r>
    </w:p>
  </w:footnote>
  <w:footnote w:id="76">
    <w:p w:rsidR="009D1337" w:rsidRDefault="009D1337">
      <w:pPr>
        <w:pStyle w:val="FootnoteText"/>
      </w:pPr>
      <w:r>
        <w:rPr>
          <w:rStyle w:val="FootnoteReference"/>
        </w:rPr>
        <w:footnoteRef/>
      </w:r>
      <w:r>
        <w:t xml:space="preserve"> </w:t>
      </w:r>
      <w:r w:rsidRPr="00094F82">
        <w:rPr>
          <w:rFonts w:asciiTheme="minorHAnsi" w:hAnsiTheme="minorHAnsi" w:cstheme="minorHAnsi"/>
          <w:bCs/>
          <w:iCs/>
          <w:color w:val="000000"/>
          <w:sz w:val="16"/>
          <w:szCs w:val="16"/>
        </w:rPr>
        <w:t>https://www.al.sp.gov.br/repositorio/legislacao/decreto/2014/decreto-60812-30.09.2014.html</w:t>
      </w:r>
    </w:p>
  </w:footnote>
  <w:footnote w:id="77">
    <w:p w:rsidR="009D1337" w:rsidRPr="009127C9" w:rsidRDefault="009D1337" w:rsidP="009127C9">
      <w:pPr>
        <w:rPr>
          <w:rFonts w:asciiTheme="minorHAnsi" w:hAnsiTheme="minorHAnsi" w:cstheme="minorHAnsi"/>
          <w:sz w:val="16"/>
          <w:szCs w:val="16"/>
        </w:rPr>
      </w:pPr>
      <w:r w:rsidRPr="009127C9">
        <w:rPr>
          <w:rStyle w:val="FootnoteReference"/>
          <w:rFonts w:asciiTheme="minorHAnsi" w:hAnsiTheme="minorHAnsi" w:cstheme="minorHAnsi"/>
          <w:sz w:val="16"/>
          <w:szCs w:val="16"/>
        </w:rPr>
        <w:footnoteRef/>
      </w:r>
      <w:r w:rsidRPr="009127C9">
        <w:rPr>
          <w:rFonts w:asciiTheme="minorHAnsi" w:hAnsiTheme="minorHAnsi" w:cstheme="minorHAnsi"/>
          <w:sz w:val="16"/>
          <w:szCs w:val="16"/>
        </w:rPr>
        <w:t xml:space="preserve"> http://www.educacaofiscal.sp.gov.br/pages/O_Programa/No_Estado/Programa_Estado_Atividades.shtm</w:t>
      </w:r>
    </w:p>
  </w:footnote>
  <w:footnote w:id="78">
    <w:p w:rsidR="009D1337" w:rsidRPr="009127C9" w:rsidRDefault="009D1337">
      <w:pPr>
        <w:pStyle w:val="FootnoteText"/>
        <w:rPr>
          <w:rFonts w:asciiTheme="minorHAnsi" w:hAnsiTheme="minorHAnsi" w:cstheme="minorHAnsi"/>
          <w:sz w:val="16"/>
          <w:szCs w:val="16"/>
        </w:rPr>
      </w:pPr>
      <w:r w:rsidRPr="009127C9">
        <w:rPr>
          <w:rStyle w:val="FootnoteReference"/>
          <w:rFonts w:asciiTheme="minorHAnsi" w:hAnsiTheme="minorHAnsi" w:cstheme="minorHAnsi"/>
          <w:sz w:val="16"/>
          <w:szCs w:val="16"/>
        </w:rPr>
        <w:footnoteRef/>
      </w:r>
      <w:r w:rsidRPr="009127C9">
        <w:rPr>
          <w:rFonts w:asciiTheme="minorHAnsi" w:hAnsiTheme="minorHAnsi" w:cstheme="minorHAnsi"/>
          <w:sz w:val="16"/>
          <w:szCs w:val="16"/>
        </w:rPr>
        <w:t xml:space="preserve"> http://saopaulo.osbrasil.org.br/</w:t>
      </w:r>
    </w:p>
  </w:footnote>
  <w:footnote w:id="79">
    <w:p w:rsidR="009D1337" w:rsidRPr="00927DB2" w:rsidRDefault="009D1337" w:rsidP="008E1FFF">
      <w:pPr>
        <w:tabs>
          <w:tab w:val="left" w:pos="1849"/>
        </w:tabs>
        <w:ind w:left="70"/>
        <w:jc w:val="both"/>
        <w:rPr>
          <w:rFonts w:asciiTheme="minorHAnsi" w:hAnsiTheme="minorHAnsi" w:cstheme="minorHAnsi"/>
          <w:sz w:val="16"/>
          <w:szCs w:val="16"/>
        </w:rPr>
      </w:pPr>
      <w:r w:rsidRPr="008E1FFF">
        <w:rPr>
          <w:rStyle w:val="FootnoteReference"/>
          <w:rFonts w:asciiTheme="minorHAnsi" w:hAnsiTheme="minorHAnsi" w:cstheme="minorHAnsi"/>
          <w:sz w:val="16"/>
          <w:szCs w:val="16"/>
        </w:rPr>
        <w:footnoteRef/>
      </w:r>
      <w:r w:rsidRPr="008E1FFF">
        <w:rPr>
          <w:rFonts w:asciiTheme="minorHAnsi" w:hAnsiTheme="minorHAnsi" w:cstheme="minorHAnsi"/>
          <w:sz w:val="16"/>
          <w:szCs w:val="16"/>
        </w:rPr>
        <w:t xml:space="preserve"> Os canais de comunicação utilizados pela Fazenda são o Portal da Internet (https://portal.fazenda.sp.gov.br) a Intranet </w:t>
      </w:r>
      <w:r w:rsidRPr="00927DB2">
        <w:rPr>
          <w:rFonts w:asciiTheme="minorHAnsi" w:hAnsiTheme="minorHAnsi" w:cstheme="minorHAnsi"/>
          <w:sz w:val="16"/>
          <w:szCs w:val="16"/>
        </w:rPr>
        <w:t>(http://sefaznet.sede.fazenda.sp.gov.br), o Avisos Gerais e a Distribuidor de Releases (www.imcgrupo.com). Atualmente toda a solicitação e encaminhamento de informações é realizada pelo e-mail imprensa@fazenda.sp.gov.br</w:t>
      </w:r>
      <w:r w:rsidRPr="00927DB2">
        <w:rPr>
          <w:rFonts w:asciiTheme="minorHAnsi" w:hAnsiTheme="minorHAnsi" w:cstheme="minorHAnsi"/>
          <w:color w:val="1F497D"/>
          <w:sz w:val="16"/>
          <w:szCs w:val="16"/>
        </w:rPr>
        <w:t>.</w:t>
      </w:r>
      <w:r w:rsidRPr="00927DB2">
        <w:rPr>
          <w:rFonts w:asciiTheme="minorHAnsi" w:hAnsiTheme="minorHAnsi" w:cstheme="minorHAnsi"/>
          <w:color w:val="000000"/>
          <w:sz w:val="16"/>
          <w:szCs w:val="16"/>
        </w:rPr>
        <w:t xml:space="preserve"> </w:t>
      </w:r>
    </w:p>
  </w:footnote>
  <w:footnote w:id="80">
    <w:p w:rsidR="009D1337" w:rsidRPr="00927DB2" w:rsidRDefault="009D1337" w:rsidP="00927DB2">
      <w:pPr>
        <w:tabs>
          <w:tab w:val="left" w:pos="1849"/>
        </w:tabs>
        <w:ind w:left="70"/>
        <w:jc w:val="both"/>
        <w:rPr>
          <w:rFonts w:asciiTheme="minorHAnsi" w:hAnsiTheme="minorHAnsi" w:cstheme="minorHAnsi"/>
          <w:sz w:val="16"/>
          <w:szCs w:val="16"/>
        </w:rPr>
      </w:pPr>
      <w:r w:rsidRPr="00927DB2">
        <w:rPr>
          <w:rStyle w:val="FootnoteReference"/>
          <w:rFonts w:asciiTheme="minorHAnsi" w:hAnsiTheme="minorHAnsi" w:cstheme="minorHAnsi"/>
          <w:sz w:val="16"/>
          <w:szCs w:val="16"/>
        </w:rPr>
        <w:footnoteRef/>
      </w:r>
      <w:r w:rsidRPr="00927DB2">
        <w:rPr>
          <w:rFonts w:asciiTheme="minorHAnsi" w:hAnsiTheme="minorHAnsi" w:cstheme="minorHAnsi"/>
          <w:sz w:val="16"/>
          <w:szCs w:val="16"/>
        </w:rPr>
        <w:t xml:space="preserve"> </w:t>
      </w:r>
      <w:r w:rsidRPr="00927DB2">
        <w:rPr>
          <w:rFonts w:asciiTheme="minorHAnsi" w:hAnsiTheme="minorHAnsi" w:cstheme="minorHAnsi"/>
          <w:bCs/>
          <w:color w:val="000000"/>
          <w:sz w:val="16"/>
          <w:szCs w:val="16"/>
        </w:rPr>
        <w:t xml:space="preserve">Quanto especificamente à Secretaria da Educação já existe um trabalho para o envolvimento dos professores da rede </w:t>
      </w:r>
      <w:proofErr w:type="spellStart"/>
      <w:r w:rsidRPr="00927DB2">
        <w:rPr>
          <w:rFonts w:asciiTheme="minorHAnsi" w:hAnsiTheme="minorHAnsi" w:cstheme="minorHAnsi"/>
          <w:bCs/>
          <w:color w:val="000000"/>
          <w:sz w:val="16"/>
          <w:szCs w:val="16"/>
        </w:rPr>
        <w:t>publica</w:t>
      </w:r>
      <w:proofErr w:type="spellEnd"/>
      <w:r w:rsidRPr="00927DB2">
        <w:rPr>
          <w:rFonts w:asciiTheme="minorHAnsi" w:hAnsiTheme="minorHAnsi" w:cstheme="minorHAnsi"/>
          <w:bCs/>
          <w:color w:val="000000"/>
          <w:sz w:val="16"/>
          <w:szCs w:val="16"/>
        </w:rPr>
        <w:t xml:space="preserve"> de ensino do Estado, conforme podemos observa as notícias publicadas no site da própria Secretaria da Educação. </w:t>
      </w:r>
      <w:r w:rsidRPr="00927DB2">
        <w:rPr>
          <w:rFonts w:asciiTheme="minorHAnsi" w:hAnsiTheme="minorHAnsi" w:cstheme="minorHAnsi"/>
          <w:color w:val="000000"/>
          <w:sz w:val="16"/>
          <w:szCs w:val="16"/>
          <w:u w:val="single"/>
        </w:rPr>
        <w:br/>
        <w:t>http://www.educacao.sp.gov.br/noticias/inscricoes-para-curso-online-e-gratuito-de-disseminadores-de-educacao-fiscal-terminam-domingo-21/</w:t>
      </w:r>
      <w:r w:rsidRPr="00927DB2">
        <w:rPr>
          <w:rFonts w:asciiTheme="minorHAnsi" w:hAnsiTheme="minorHAnsi" w:cstheme="minorHAnsi"/>
          <w:color w:val="000000"/>
          <w:sz w:val="16"/>
          <w:szCs w:val="16"/>
          <w:u w:val="single"/>
        </w:rPr>
        <w:br/>
        <w:t>http://www.educacao.sp.gov.br/noticias/educacao-fiscal-e-tema-de-curso-online-e-gratuito-para-servidores/</w:t>
      </w:r>
      <w:r w:rsidRPr="00927DB2">
        <w:rPr>
          <w:rFonts w:asciiTheme="minorHAnsi" w:hAnsiTheme="minorHAnsi" w:cstheme="minorHAnsi"/>
          <w:color w:val="000000"/>
          <w:sz w:val="16"/>
          <w:szCs w:val="16"/>
          <w:u w:val="single"/>
        </w:rPr>
        <w:br/>
        <w:t>http://www.educacao.sp.gov.br/noticias/professores-tem-ate-essa-sexta-feira-12-para-se-inscreverem-em-curso-sobre-educacao-fiscal/</w:t>
      </w:r>
      <w:r w:rsidRPr="00927DB2">
        <w:rPr>
          <w:rFonts w:asciiTheme="minorHAnsi" w:hAnsiTheme="minorHAnsi" w:cstheme="minorHAnsi"/>
          <w:color w:val="000000"/>
          <w:sz w:val="16"/>
          <w:szCs w:val="16"/>
          <w:u w:val="single"/>
        </w:rPr>
        <w:br/>
        <w:t>http://www.educacao.sp.gov.br/noticias/premio-que-reconhece-projetos-voltados-a-educacao-fiscal-esta-com-inscricoes-abertas/</w:t>
      </w:r>
    </w:p>
  </w:footnote>
  <w:footnote w:id="81">
    <w:p w:rsidR="009D1337" w:rsidRPr="00927DB2" w:rsidRDefault="009D1337" w:rsidP="00927DB2">
      <w:pPr>
        <w:tabs>
          <w:tab w:val="left" w:pos="1849"/>
        </w:tabs>
        <w:ind w:left="70"/>
        <w:rPr>
          <w:rFonts w:asciiTheme="minorHAnsi" w:hAnsiTheme="minorHAnsi" w:cstheme="minorHAnsi"/>
          <w:sz w:val="16"/>
          <w:szCs w:val="16"/>
        </w:rPr>
      </w:pPr>
      <w:r w:rsidRPr="00927DB2">
        <w:rPr>
          <w:rStyle w:val="FootnoteReference"/>
          <w:rFonts w:asciiTheme="minorHAnsi" w:hAnsiTheme="minorHAnsi" w:cstheme="minorHAnsi"/>
          <w:sz w:val="16"/>
          <w:szCs w:val="16"/>
        </w:rPr>
        <w:footnoteRef/>
      </w:r>
      <w:r w:rsidRPr="00927DB2">
        <w:rPr>
          <w:rFonts w:asciiTheme="minorHAnsi" w:hAnsiTheme="minorHAnsi" w:cstheme="minorHAnsi"/>
          <w:sz w:val="16"/>
          <w:szCs w:val="16"/>
        </w:rPr>
        <w:t xml:space="preserve"> </w:t>
      </w:r>
      <w:r w:rsidRPr="00927DB2">
        <w:rPr>
          <w:rFonts w:asciiTheme="minorHAnsi" w:hAnsiTheme="minorHAnsi" w:cstheme="minorHAnsi"/>
          <w:bCs/>
          <w:color w:val="000000"/>
          <w:sz w:val="16"/>
          <w:szCs w:val="16"/>
        </w:rPr>
        <w:t>http://www.enat.receita.fazenda.gov.br/pt-br/protocolos/x-4</w:t>
      </w:r>
    </w:p>
  </w:footnote>
  <w:footnote w:id="82">
    <w:p w:rsidR="009D1337" w:rsidRDefault="009D1337" w:rsidP="00870AED">
      <w:pPr>
        <w:tabs>
          <w:tab w:val="left" w:pos="1849"/>
        </w:tabs>
        <w:ind w:left="70"/>
      </w:pPr>
      <w:r w:rsidRPr="00927DB2">
        <w:rPr>
          <w:rStyle w:val="FootnoteReference"/>
          <w:rFonts w:asciiTheme="minorHAnsi" w:hAnsiTheme="minorHAnsi" w:cstheme="minorHAnsi"/>
          <w:sz w:val="16"/>
          <w:szCs w:val="16"/>
        </w:rPr>
        <w:footnoteRef/>
      </w:r>
      <w:r w:rsidRPr="00927DB2">
        <w:rPr>
          <w:rFonts w:asciiTheme="minorHAnsi" w:hAnsiTheme="minorHAnsi" w:cstheme="minorHAnsi"/>
          <w:sz w:val="16"/>
          <w:szCs w:val="16"/>
        </w:rPr>
        <w:t xml:space="preserve"> </w:t>
      </w:r>
      <w:r w:rsidRPr="00927DB2">
        <w:rPr>
          <w:rFonts w:asciiTheme="minorHAnsi" w:hAnsiTheme="minorHAnsi" w:cstheme="minorHAnsi"/>
          <w:bCs/>
          <w:sz w:val="16"/>
          <w:szCs w:val="16"/>
        </w:rPr>
        <w:t>Disciplina Eletiva Política Fiscal e Cidadania</w:t>
      </w:r>
      <w:r w:rsidRPr="00927DB2">
        <w:rPr>
          <w:rFonts w:asciiTheme="minorHAnsi" w:hAnsiTheme="minorHAnsi" w:cstheme="minorHAnsi"/>
          <w:sz w:val="16"/>
          <w:szCs w:val="16"/>
        </w:rPr>
        <w:t xml:space="preserve"> (</w:t>
      </w:r>
      <w:r w:rsidRPr="00927DB2">
        <w:rPr>
          <w:rFonts w:asciiTheme="minorHAnsi" w:hAnsiTheme="minorHAnsi" w:cstheme="minorHAnsi"/>
          <w:sz w:val="16"/>
          <w:szCs w:val="16"/>
          <w:u w:val="single"/>
        </w:rPr>
        <w:t>http://www.educacaofiscal.sp.gov.br/contents/CEF%20-%20Plano%20de%20Trabalho%20de%202017%20-%20DOE%20de%2020jan2017.pdf</w:t>
      </w:r>
      <w:r w:rsidRPr="00927DB2">
        <w:rPr>
          <w:rFonts w:asciiTheme="minorHAnsi" w:hAnsiTheme="minorHAnsi" w:cstheme="minorHAnsi"/>
          <w:sz w:val="16"/>
          <w:szCs w:val="16"/>
        </w:rPr>
        <w:t>)</w:t>
      </w:r>
      <w:r>
        <w:rPr>
          <w:rFonts w:asciiTheme="minorHAnsi" w:hAnsiTheme="minorHAnsi" w:cstheme="minorHAnsi"/>
          <w:sz w:val="16"/>
          <w:szCs w:val="16"/>
        </w:rPr>
        <w:t xml:space="preserve"> </w:t>
      </w:r>
      <w:r w:rsidRPr="00927DB2">
        <w:rPr>
          <w:rFonts w:asciiTheme="minorHAnsi" w:hAnsiTheme="minorHAnsi" w:cstheme="minorHAnsi"/>
          <w:sz w:val="16"/>
          <w:szCs w:val="16"/>
        </w:rPr>
        <w:t>na UNIFESP</w:t>
      </w:r>
    </w:p>
  </w:footnote>
  <w:footnote w:id="83">
    <w:p w:rsidR="009D1337" w:rsidRPr="00490AFE" w:rsidRDefault="009D1337" w:rsidP="000C7BB6">
      <w:pPr>
        <w:tabs>
          <w:tab w:val="left" w:pos="1849"/>
        </w:tabs>
        <w:rPr>
          <w:rFonts w:asciiTheme="minorHAnsi" w:hAnsiTheme="minorHAnsi" w:cstheme="minorHAnsi"/>
          <w:sz w:val="16"/>
          <w:szCs w:val="16"/>
        </w:rPr>
      </w:pPr>
      <w:r w:rsidRPr="00490AFE">
        <w:rPr>
          <w:rStyle w:val="FootnoteReference"/>
          <w:rFonts w:asciiTheme="minorHAnsi" w:hAnsiTheme="minorHAnsi" w:cstheme="minorHAnsi"/>
          <w:sz w:val="16"/>
          <w:szCs w:val="16"/>
        </w:rPr>
        <w:footnoteRef/>
      </w:r>
      <w:r w:rsidRPr="00490AFE">
        <w:rPr>
          <w:rFonts w:asciiTheme="minorHAnsi" w:hAnsiTheme="minorHAnsi" w:cstheme="minorHAnsi"/>
          <w:sz w:val="16"/>
          <w:szCs w:val="16"/>
        </w:rPr>
        <w:t xml:space="preserve"> </w:t>
      </w:r>
      <w:hyperlink r:id="rId5" w:history="1">
        <w:r w:rsidRPr="00490AFE">
          <w:rPr>
            <w:rFonts w:asciiTheme="minorHAnsi" w:hAnsiTheme="minorHAnsi" w:cstheme="minorHAnsi"/>
            <w:bCs/>
            <w:sz w:val="16"/>
            <w:szCs w:val="16"/>
          </w:rPr>
          <w:t>Resolução SF 06, de 19-01-2017</w:t>
        </w:r>
        <w:r w:rsidRPr="00490AFE">
          <w:rPr>
            <w:rFonts w:asciiTheme="minorHAnsi" w:hAnsiTheme="minorHAnsi" w:cstheme="minorHAnsi"/>
            <w:sz w:val="16"/>
            <w:szCs w:val="16"/>
          </w:rPr>
          <w:br/>
          <w:t>http://www.educacaofiscal.sp.gov.br/contents/CEF%20-%20Plano%20de%20Trabalho%20de%202017%20-%20DOE%20de%2020jan2017.pdf</w:t>
        </w:r>
      </w:hyperlink>
    </w:p>
  </w:footnote>
  <w:footnote w:id="84">
    <w:p w:rsidR="009D1337" w:rsidRPr="00490AFE" w:rsidRDefault="009D1337" w:rsidP="000C7BB6">
      <w:pPr>
        <w:tabs>
          <w:tab w:val="left" w:pos="1849"/>
        </w:tabs>
        <w:rPr>
          <w:rFonts w:asciiTheme="minorHAnsi" w:hAnsiTheme="minorHAnsi" w:cstheme="minorHAnsi"/>
          <w:sz w:val="16"/>
          <w:szCs w:val="16"/>
        </w:rPr>
      </w:pPr>
      <w:r w:rsidRPr="00490AFE">
        <w:rPr>
          <w:rStyle w:val="FootnoteReference"/>
          <w:rFonts w:asciiTheme="minorHAnsi" w:hAnsiTheme="minorHAnsi" w:cstheme="minorHAnsi"/>
          <w:sz w:val="16"/>
          <w:szCs w:val="16"/>
        </w:rPr>
        <w:footnoteRef/>
      </w:r>
      <w:r w:rsidRPr="00490AFE">
        <w:rPr>
          <w:rFonts w:asciiTheme="minorHAnsi" w:hAnsiTheme="minorHAnsi" w:cstheme="minorHAnsi"/>
          <w:sz w:val="16"/>
          <w:szCs w:val="16"/>
        </w:rPr>
        <w:t xml:space="preserve"> Materiais: </w:t>
      </w:r>
      <w:r w:rsidRPr="00490AFE">
        <w:rPr>
          <w:rFonts w:asciiTheme="minorHAnsi" w:hAnsiTheme="minorHAnsi" w:cstheme="minorHAnsi"/>
          <w:sz w:val="16"/>
          <w:szCs w:val="16"/>
          <w:u w:val="single"/>
        </w:rPr>
        <w:t>http://www.educacaofiscal.sp.gov.br/pages/Materiais_Did%C3%A1ticos/cartilhas_folders.shtm</w:t>
      </w:r>
    </w:p>
  </w:footnote>
  <w:footnote w:id="85">
    <w:p w:rsidR="009D1337" w:rsidRPr="00490AFE" w:rsidRDefault="009D1337" w:rsidP="000C7BB6">
      <w:pPr>
        <w:tabs>
          <w:tab w:val="left" w:pos="1849"/>
        </w:tabs>
        <w:rPr>
          <w:rFonts w:asciiTheme="minorHAnsi" w:hAnsiTheme="minorHAnsi" w:cstheme="minorHAnsi"/>
          <w:sz w:val="16"/>
          <w:szCs w:val="16"/>
        </w:rPr>
      </w:pPr>
      <w:r w:rsidRPr="00490AFE">
        <w:rPr>
          <w:rStyle w:val="FootnoteReference"/>
          <w:rFonts w:asciiTheme="minorHAnsi" w:hAnsiTheme="minorHAnsi" w:cstheme="minorHAnsi"/>
          <w:sz w:val="16"/>
          <w:szCs w:val="16"/>
        </w:rPr>
        <w:footnoteRef/>
      </w:r>
      <w:r w:rsidRPr="00490AFE">
        <w:rPr>
          <w:rFonts w:asciiTheme="minorHAnsi" w:hAnsiTheme="minorHAnsi" w:cstheme="minorHAnsi"/>
          <w:sz w:val="16"/>
          <w:szCs w:val="16"/>
        </w:rPr>
        <w:t xml:space="preserve"> </w:t>
      </w:r>
      <w:hyperlink r:id="rId6" w:history="1">
        <w:r w:rsidRPr="00490AFE">
          <w:rPr>
            <w:rFonts w:asciiTheme="minorHAnsi" w:hAnsiTheme="minorHAnsi" w:cstheme="minorHAnsi"/>
            <w:sz w:val="16"/>
            <w:szCs w:val="16"/>
          </w:rPr>
          <w:t>http://www.educacaofiscal.sp.gov.br/pages/Materiais_Did%C3%A1ticos/Cursos.shtm</w:t>
        </w:r>
      </w:hyperlink>
    </w:p>
  </w:footnote>
  <w:footnote w:id="86">
    <w:p w:rsidR="009D1337" w:rsidRPr="00490AFE" w:rsidRDefault="009D1337">
      <w:pPr>
        <w:pStyle w:val="FootnoteText"/>
        <w:rPr>
          <w:rFonts w:asciiTheme="minorHAnsi" w:hAnsiTheme="minorHAnsi" w:cstheme="minorHAnsi"/>
          <w:sz w:val="16"/>
          <w:szCs w:val="16"/>
        </w:rPr>
      </w:pPr>
      <w:r w:rsidRPr="00490AFE">
        <w:rPr>
          <w:rStyle w:val="FootnoteReference"/>
          <w:rFonts w:asciiTheme="minorHAnsi" w:hAnsiTheme="minorHAnsi" w:cstheme="minorHAnsi"/>
          <w:sz w:val="16"/>
          <w:szCs w:val="16"/>
        </w:rPr>
        <w:footnoteRef/>
      </w:r>
      <w:r w:rsidRPr="00490AFE">
        <w:rPr>
          <w:rFonts w:asciiTheme="minorHAnsi" w:hAnsiTheme="minorHAnsi" w:cstheme="minorHAnsi"/>
          <w:sz w:val="16"/>
          <w:szCs w:val="16"/>
        </w:rPr>
        <w:t xml:space="preserve"> 1) Decreto nº 50.656/06; 2) Decreto nº 60.399/14; 3) Decreto nº 60.812/14 – artigos 212 e 213</w:t>
      </w:r>
      <w:r w:rsidRPr="00490AFE">
        <w:rPr>
          <w:rFonts w:asciiTheme="minorHAnsi" w:hAnsiTheme="minorHAnsi" w:cstheme="minorHAnsi"/>
          <w:sz w:val="16"/>
          <w:szCs w:val="16"/>
        </w:rPr>
        <w:br/>
        <w:t>4) Decreto nº 52.216 – artigos 12 a 18 – Comissão de Ética; 5) Decreto nº 58.052/12 – Acesso a Informações</w:t>
      </w:r>
    </w:p>
  </w:footnote>
  <w:footnote w:id="87">
    <w:p w:rsidR="009D1337" w:rsidRPr="00490AFE" w:rsidRDefault="009D1337">
      <w:pPr>
        <w:pStyle w:val="FootnoteText"/>
        <w:rPr>
          <w:rFonts w:asciiTheme="minorHAnsi" w:hAnsiTheme="minorHAnsi" w:cstheme="minorHAnsi"/>
          <w:sz w:val="16"/>
          <w:szCs w:val="16"/>
        </w:rPr>
      </w:pPr>
      <w:r w:rsidRPr="00490AFE">
        <w:rPr>
          <w:rStyle w:val="FootnoteReference"/>
          <w:rFonts w:asciiTheme="minorHAnsi" w:hAnsiTheme="minorHAnsi" w:cstheme="minorHAnsi"/>
          <w:sz w:val="16"/>
          <w:szCs w:val="16"/>
        </w:rPr>
        <w:footnoteRef/>
      </w:r>
      <w:r w:rsidRPr="00490AFE">
        <w:rPr>
          <w:rFonts w:asciiTheme="minorHAnsi" w:hAnsiTheme="minorHAnsi" w:cstheme="minorHAnsi"/>
          <w:sz w:val="16"/>
          <w:szCs w:val="16"/>
        </w:rPr>
        <w:t xml:space="preserve"> 1) Decreto nº 60.399/14; 2) https://portal.fazenda.sp.gov.br/Institucional/Paginas/ouvidoria.aspx</w:t>
      </w:r>
    </w:p>
  </w:footnote>
  <w:footnote w:id="88">
    <w:p w:rsidR="009D1337" w:rsidRPr="00490AFE" w:rsidRDefault="009D1337">
      <w:pPr>
        <w:pStyle w:val="FootnoteText"/>
        <w:rPr>
          <w:rFonts w:asciiTheme="minorHAnsi" w:hAnsiTheme="minorHAnsi" w:cstheme="minorHAnsi"/>
          <w:sz w:val="16"/>
          <w:szCs w:val="16"/>
        </w:rPr>
      </w:pPr>
      <w:r w:rsidRPr="00490AFE">
        <w:rPr>
          <w:rStyle w:val="FootnoteReference"/>
          <w:rFonts w:asciiTheme="minorHAnsi" w:hAnsiTheme="minorHAnsi" w:cstheme="minorHAnsi"/>
          <w:sz w:val="16"/>
          <w:szCs w:val="16"/>
        </w:rPr>
        <w:footnoteRef/>
      </w:r>
      <w:r w:rsidRPr="00490AFE">
        <w:rPr>
          <w:rFonts w:asciiTheme="minorHAnsi" w:hAnsiTheme="minorHAnsi" w:cstheme="minorHAnsi"/>
          <w:sz w:val="16"/>
          <w:szCs w:val="16"/>
        </w:rPr>
        <w:t xml:space="preserve"> 1) Decreto nº 60.399/14</w:t>
      </w:r>
    </w:p>
  </w:footnote>
  <w:footnote w:id="89">
    <w:p w:rsidR="009D1337" w:rsidRPr="00490AFE" w:rsidRDefault="009D1337">
      <w:pPr>
        <w:pStyle w:val="FootnoteText"/>
        <w:rPr>
          <w:rFonts w:asciiTheme="minorHAnsi" w:hAnsiTheme="minorHAnsi" w:cstheme="minorHAnsi"/>
          <w:sz w:val="16"/>
          <w:szCs w:val="16"/>
        </w:rPr>
      </w:pPr>
      <w:r w:rsidRPr="00490AFE">
        <w:rPr>
          <w:rStyle w:val="FootnoteReference"/>
          <w:rFonts w:asciiTheme="minorHAnsi" w:hAnsiTheme="minorHAnsi" w:cstheme="minorHAnsi"/>
          <w:sz w:val="16"/>
          <w:szCs w:val="16"/>
        </w:rPr>
        <w:footnoteRef/>
      </w:r>
      <w:r w:rsidRPr="00490AFE">
        <w:rPr>
          <w:rFonts w:asciiTheme="minorHAnsi" w:hAnsiTheme="minorHAnsi" w:cstheme="minorHAnsi"/>
          <w:sz w:val="16"/>
          <w:szCs w:val="16"/>
        </w:rPr>
        <w:t xml:space="preserve"> https://portal.fazenda.sp.gov.br/Institucional/Paginas/ouvidoria.aspx</w:t>
      </w:r>
    </w:p>
  </w:footnote>
  <w:footnote w:id="90">
    <w:p w:rsidR="009D1337" w:rsidRPr="00490AFE" w:rsidRDefault="009D1337">
      <w:pPr>
        <w:pStyle w:val="FootnoteText"/>
        <w:rPr>
          <w:rFonts w:asciiTheme="minorHAnsi" w:hAnsiTheme="minorHAnsi" w:cstheme="minorHAnsi"/>
          <w:sz w:val="16"/>
          <w:szCs w:val="16"/>
        </w:rPr>
      </w:pPr>
      <w:r w:rsidRPr="00490AFE">
        <w:rPr>
          <w:rStyle w:val="FootnoteReference"/>
          <w:rFonts w:asciiTheme="minorHAnsi" w:hAnsiTheme="minorHAnsi" w:cstheme="minorHAnsi"/>
          <w:sz w:val="16"/>
          <w:szCs w:val="16"/>
        </w:rPr>
        <w:footnoteRef/>
      </w:r>
      <w:r w:rsidRPr="00490AFE">
        <w:rPr>
          <w:rFonts w:asciiTheme="minorHAnsi" w:hAnsiTheme="minorHAnsi" w:cstheme="minorHAnsi"/>
          <w:sz w:val="16"/>
          <w:szCs w:val="16"/>
        </w:rPr>
        <w:t xml:space="preserve"> </w:t>
      </w:r>
      <w:hyperlink r:id="rId7" w:history="1">
        <w:r w:rsidRPr="00490AFE">
          <w:rPr>
            <w:rFonts w:asciiTheme="minorHAnsi" w:hAnsiTheme="minorHAnsi" w:cstheme="minorHAnsi"/>
            <w:sz w:val="16"/>
            <w:szCs w:val="16"/>
            <w:u w:val="single"/>
          </w:rPr>
          <w:t>https://www.al.sp.gov.br/spl/2017/09/Propositura/1000171074_1000107594_Propositura.pdf</w:t>
        </w:r>
        <w:r w:rsidRPr="00490AFE">
          <w:rPr>
            <w:rFonts w:asciiTheme="minorHAnsi" w:hAnsiTheme="minorHAnsi" w:cstheme="minorHAnsi"/>
            <w:sz w:val="16"/>
            <w:szCs w:val="16"/>
          </w:rPr>
          <w:br/>
          <w:t>Foi Publicado no Diário da Assembleia, página 9 em 30/09/2017</w:t>
        </w:r>
      </w:hyperlink>
    </w:p>
  </w:footnote>
  <w:footnote w:id="91">
    <w:p w:rsidR="009D1337" w:rsidRPr="00490AFE" w:rsidRDefault="009D1337" w:rsidP="007E2EAD">
      <w:pPr>
        <w:rPr>
          <w:rFonts w:asciiTheme="minorHAnsi" w:hAnsiTheme="minorHAnsi" w:cstheme="minorHAnsi"/>
          <w:sz w:val="16"/>
          <w:szCs w:val="16"/>
        </w:rPr>
      </w:pPr>
      <w:r w:rsidRPr="00490AFE">
        <w:rPr>
          <w:rStyle w:val="FootnoteReference"/>
          <w:rFonts w:asciiTheme="minorHAnsi" w:hAnsiTheme="minorHAnsi" w:cstheme="minorHAnsi"/>
          <w:sz w:val="16"/>
          <w:szCs w:val="16"/>
        </w:rPr>
        <w:footnoteRef/>
      </w:r>
      <w:r w:rsidRPr="00490AFE">
        <w:rPr>
          <w:rFonts w:asciiTheme="minorHAnsi" w:hAnsiTheme="minorHAnsi" w:cstheme="minorHAnsi"/>
          <w:sz w:val="16"/>
          <w:szCs w:val="16"/>
        </w:rPr>
        <w:t xml:space="preserve"> Página de acesso à informação: https://portal.fazenda.sp.gov.br/acessoinformacao/Paginas/default.aspx</w:t>
      </w:r>
    </w:p>
  </w:footnote>
  <w:footnote w:id="92">
    <w:p w:rsidR="009D1337" w:rsidRPr="00490AFE" w:rsidRDefault="009D1337">
      <w:pPr>
        <w:pStyle w:val="FootnoteText"/>
        <w:rPr>
          <w:rFonts w:asciiTheme="minorHAnsi" w:hAnsiTheme="minorHAnsi" w:cstheme="minorHAnsi"/>
          <w:sz w:val="16"/>
          <w:szCs w:val="16"/>
        </w:rPr>
      </w:pPr>
      <w:r w:rsidRPr="00490AFE">
        <w:rPr>
          <w:rStyle w:val="FootnoteReference"/>
          <w:rFonts w:asciiTheme="minorHAnsi" w:hAnsiTheme="minorHAnsi" w:cstheme="minorHAnsi"/>
          <w:sz w:val="16"/>
          <w:szCs w:val="16"/>
        </w:rPr>
        <w:footnoteRef/>
      </w:r>
      <w:r w:rsidRPr="00490AFE">
        <w:rPr>
          <w:rFonts w:asciiTheme="minorHAnsi" w:hAnsiTheme="minorHAnsi" w:cstheme="minorHAnsi"/>
          <w:sz w:val="16"/>
          <w:szCs w:val="16"/>
        </w:rPr>
        <w:t xml:space="preserve"> Serviço de Informações ao Cidadão: O Decreto nº 58.052, de 16 de maio de 2012, define procedimentos a serem observados pelos órgãos e entidades da Administração Pública do Estado de São Paulo, e pelas entidades privadas sem fins lucrativos que recebam recursos públicos estaduais para a realização de atividades de interesse público, à vista das normas gerais estabelecidas na "Lei de Acesso à Informação". </w:t>
      </w:r>
      <w:r w:rsidRPr="00490AFE">
        <w:rPr>
          <w:rFonts w:asciiTheme="minorHAnsi" w:hAnsiTheme="minorHAnsi" w:cstheme="minorHAnsi"/>
          <w:sz w:val="16"/>
          <w:szCs w:val="16"/>
          <w:u w:val="single"/>
        </w:rPr>
        <w:t>https://portal.fazenda.sp.gov.br/servicos/sic/Paginas/Sobre.aspx</w:t>
      </w:r>
      <w:r w:rsidRPr="00490AFE">
        <w:rPr>
          <w:rFonts w:asciiTheme="minorHAnsi" w:hAnsiTheme="minorHAnsi" w:cstheme="minorHAnsi"/>
          <w:sz w:val="16"/>
          <w:szCs w:val="16"/>
        </w:rPr>
        <w:br/>
        <w:t xml:space="preserve">Portal da </w:t>
      </w:r>
      <w:proofErr w:type="gramStart"/>
      <w:r w:rsidRPr="00490AFE">
        <w:rPr>
          <w:rFonts w:asciiTheme="minorHAnsi" w:hAnsiTheme="minorHAnsi" w:cstheme="minorHAnsi"/>
          <w:sz w:val="16"/>
          <w:szCs w:val="16"/>
        </w:rPr>
        <w:t xml:space="preserve">Transparência  </w:t>
      </w:r>
      <w:r w:rsidRPr="00490AFE">
        <w:rPr>
          <w:rFonts w:asciiTheme="minorHAnsi" w:hAnsiTheme="minorHAnsi" w:cstheme="minorHAnsi"/>
          <w:sz w:val="16"/>
          <w:szCs w:val="16"/>
          <w:u w:val="single"/>
        </w:rPr>
        <w:t>http://www.transparencia.sp.gov.br</w:t>
      </w:r>
      <w:proofErr w:type="gramEnd"/>
    </w:p>
  </w:footnote>
  <w:footnote w:id="93">
    <w:p w:rsidR="009D1337" w:rsidRPr="00490AFE" w:rsidRDefault="009D1337" w:rsidP="00517A15">
      <w:pPr>
        <w:tabs>
          <w:tab w:val="left" w:pos="418"/>
        </w:tabs>
        <w:rPr>
          <w:rFonts w:asciiTheme="minorHAnsi" w:hAnsiTheme="minorHAnsi" w:cstheme="minorHAnsi"/>
          <w:sz w:val="16"/>
          <w:szCs w:val="16"/>
        </w:rPr>
      </w:pPr>
      <w:r w:rsidRPr="00490AFE">
        <w:rPr>
          <w:rStyle w:val="FootnoteReference"/>
          <w:rFonts w:asciiTheme="minorHAnsi" w:hAnsiTheme="minorHAnsi" w:cstheme="minorHAnsi"/>
          <w:sz w:val="16"/>
          <w:szCs w:val="16"/>
        </w:rPr>
        <w:footnoteRef/>
      </w:r>
      <w:r w:rsidRPr="00490AFE">
        <w:rPr>
          <w:rFonts w:asciiTheme="minorHAnsi" w:hAnsiTheme="minorHAnsi" w:cstheme="minorHAnsi"/>
          <w:sz w:val="16"/>
          <w:szCs w:val="16"/>
        </w:rPr>
        <w:t xml:space="preserve"> Programa de Estímulo à Cidadania Fiscal do Estado de São Paulo: http://www.nfp.fazenda.sp.gov.br/pdf/pec_nfp.pdf</w:t>
      </w:r>
    </w:p>
  </w:footnote>
  <w:footnote w:id="94">
    <w:p w:rsidR="009D1337" w:rsidRPr="00490AFE" w:rsidRDefault="009D1337" w:rsidP="00517A15">
      <w:pPr>
        <w:rPr>
          <w:rFonts w:asciiTheme="minorHAnsi" w:hAnsiTheme="minorHAnsi" w:cstheme="minorHAnsi"/>
          <w:sz w:val="16"/>
          <w:szCs w:val="16"/>
        </w:rPr>
      </w:pPr>
      <w:r w:rsidRPr="00490AFE">
        <w:rPr>
          <w:rStyle w:val="FootnoteReference"/>
          <w:rFonts w:asciiTheme="minorHAnsi" w:hAnsiTheme="minorHAnsi" w:cstheme="minorHAnsi"/>
          <w:sz w:val="16"/>
          <w:szCs w:val="16"/>
        </w:rPr>
        <w:footnoteRef/>
      </w:r>
      <w:r w:rsidRPr="00490AFE">
        <w:rPr>
          <w:rFonts w:asciiTheme="minorHAnsi" w:hAnsiTheme="minorHAnsi" w:cstheme="minorHAnsi"/>
          <w:sz w:val="16"/>
          <w:szCs w:val="16"/>
        </w:rPr>
        <w:t xml:space="preserve"> </w:t>
      </w:r>
      <w:hyperlink r:id="rId8" w:history="1">
        <w:r w:rsidRPr="00490AFE">
          <w:rPr>
            <w:rFonts w:asciiTheme="minorHAnsi" w:hAnsiTheme="minorHAnsi" w:cstheme="minorHAnsi"/>
            <w:sz w:val="16"/>
            <w:szCs w:val="16"/>
          </w:rPr>
          <w:t>https://www.nfp.fazenda.sp.gov.br/login.aspx?ReturnUrl=%2fPrincipal.aspx</w:t>
        </w:r>
      </w:hyperlink>
    </w:p>
  </w:footnote>
  <w:footnote w:id="95">
    <w:p w:rsidR="009D1337" w:rsidRPr="00B95508" w:rsidRDefault="009D1337" w:rsidP="00B95508">
      <w:pPr>
        <w:jc w:val="both"/>
        <w:rPr>
          <w:rFonts w:asciiTheme="minorHAnsi" w:hAnsiTheme="minorHAnsi" w:cstheme="minorHAnsi"/>
          <w:sz w:val="16"/>
          <w:szCs w:val="16"/>
        </w:rPr>
      </w:pPr>
      <w:r w:rsidRPr="00B95508">
        <w:rPr>
          <w:rStyle w:val="FootnoteReference"/>
          <w:rFonts w:asciiTheme="minorHAnsi" w:hAnsiTheme="minorHAnsi" w:cstheme="minorHAnsi"/>
          <w:sz w:val="16"/>
          <w:szCs w:val="16"/>
        </w:rPr>
        <w:footnoteRef/>
      </w:r>
      <w:r w:rsidRPr="00B95508">
        <w:rPr>
          <w:rFonts w:asciiTheme="minorHAnsi" w:hAnsiTheme="minorHAnsi" w:cstheme="minorHAnsi"/>
          <w:sz w:val="16"/>
          <w:szCs w:val="16"/>
        </w:rPr>
        <w:t xml:space="preserve"> </w:t>
      </w:r>
      <w:hyperlink r:id="rId9" w:history="1">
        <w:r w:rsidRPr="00B95508">
          <w:rPr>
            <w:rFonts w:asciiTheme="minorHAnsi" w:hAnsiTheme="minorHAnsi" w:cstheme="minorHAnsi"/>
            <w:sz w:val="16"/>
            <w:szCs w:val="16"/>
          </w:rPr>
          <w:t>https://portal.fazenda.sp.gov.br/acessoinformacao/Paginas/Quadros-Demonstrativos-da-Lei-de-Responsabilidade-Fiscal.aspx</w:t>
        </w:r>
      </w:hyperlink>
    </w:p>
  </w:footnote>
  <w:footnote w:id="96">
    <w:p w:rsidR="009D1337" w:rsidRPr="00B95508" w:rsidRDefault="009D1337" w:rsidP="00B95508">
      <w:pPr>
        <w:jc w:val="both"/>
        <w:rPr>
          <w:rFonts w:asciiTheme="minorHAnsi" w:hAnsiTheme="minorHAnsi" w:cstheme="minorHAnsi"/>
          <w:sz w:val="16"/>
          <w:szCs w:val="16"/>
        </w:rPr>
      </w:pPr>
      <w:r w:rsidRPr="00B95508">
        <w:rPr>
          <w:rStyle w:val="FootnoteReference"/>
          <w:rFonts w:asciiTheme="minorHAnsi" w:hAnsiTheme="minorHAnsi" w:cstheme="minorHAnsi"/>
          <w:sz w:val="16"/>
          <w:szCs w:val="16"/>
        </w:rPr>
        <w:footnoteRef/>
      </w:r>
      <w:hyperlink r:id="rId10" w:history="1">
        <w:r w:rsidRPr="00B95508">
          <w:rPr>
            <w:rFonts w:asciiTheme="minorHAnsi" w:hAnsiTheme="minorHAnsi" w:cstheme="minorHAnsi"/>
            <w:sz w:val="16"/>
            <w:szCs w:val="16"/>
          </w:rPr>
          <w:t>https://portal.fazenda.sp.gov.br/acessoinformacao/Paginas/Balan%C3%A7o-Geral-do-Estado.aspx</w:t>
        </w:r>
      </w:hyperlink>
    </w:p>
  </w:footnote>
  <w:footnote w:id="97">
    <w:p w:rsidR="009D1337" w:rsidRPr="00B95508" w:rsidRDefault="009D1337" w:rsidP="00B95508">
      <w:pPr>
        <w:jc w:val="both"/>
        <w:rPr>
          <w:rFonts w:asciiTheme="minorHAnsi" w:hAnsiTheme="minorHAnsi" w:cstheme="minorHAnsi"/>
          <w:sz w:val="16"/>
          <w:szCs w:val="16"/>
        </w:rPr>
      </w:pPr>
      <w:r w:rsidRPr="00B95508">
        <w:rPr>
          <w:rStyle w:val="FootnoteReference"/>
          <w:rFonts w:asciiTheme="minorHAnsi" w:hAnsiTheme="minorHAnsi" w:cstheme="minorHAnsi"/>
          <w:sz w:val="16"/>
          <w:szCs w:val="16"/>
        </w:rPr>
        <w:footnoteRef/>
      </w:r>
      <w:hyperlink r:id="rId11" w:history="1">
        <w:r w:rsidRPr="00B95508">
          <w:rPr>
            <w:rFonts w:asciiTheme="minorHAnsi" w:hAnsiTheme="minorHAnsi" w:cstheme="minorHAnsi"/>
            <w:sz w:val="16"/>
            <w:szCs w:val="16"/>
          </w:rPr>
          <w:t>https://portal.fazenda.sp.gov.br/acessoinformacao/Paginas/Balan%C3%A7o-Geral-do-Estado.aspx</w:t>
        </w:r>
      </w:hyperlink>
    </w:p>
  </w:footnote>
  <w:footnote w:id="98">
    <w:p w:rsidR="009D1337" w:rsidRPr="00B95508" w:rsidRDefault="009D1337" w:rsidP="00B95508">
      <w:pPr>
        <w:jc w:val="both"/>
        <w:rPr>
          <w:rFonts w:asciiTheme="minorHAnsi" w:hAnsiTheme="minorHAnsi" w:cstheme="minorHAnsi"/>
          <w:sz w:val="16"/>
          <w:szCs w:val="16"/>
        </w:rPr>
      </w:pPr>
      <w:r w:rsidRPr="00B95508">
        <w:rPr>
          <w:rStyle w:val="FootnoteReference"/>
          <w:rFonts w:asciiTheme="minorHAnsi" w:hAnsiTheme="minorHAnsi" w:cstheme="minorHAnsi"/>
          <w:sz w:val="16"/>
          <w:szCs w:val="16"/>
        </w:rPr>
        <w:footnoteRef/>
      </w:r>
      <w:hyperlink r:id="rId12" w:history="1">
        <w:r w:rsidRPr="00B95508">
          <w:rPr>
            <w:rFonts w:asciiTheme="minorHAnsi" w:hAnsiTheme="minorHAnsi" w:cstheme="minorHAnsi"/>
            <w:sz w:val="16"/>
            <w:szCs w:val="16"/>
          </w:rPr>
          <w:t>https://portal.fazenda.sp.gov.br/acessoinformacao/Paginas/Balan%C3%A7o-Geral-do-Estado.aspx</w:t>
        </w:r>
      </w:hyperlink>
    </w:p>
  </w:footnote>
  <w:footnote w:id="99">
    <w:p w:rsidR="009D1337" w:rsidRPr="00B95508" w:rsidRDefault="009D1337">
      <w:pPr>
        <w:pStyle w:val="FootnoteText"/>
        <w:rPr>
          <w:rFonts w:asciiTheme="minorHAnsi" w:hAnsiTheme="minorHAnsi" w:cstheme="minorHAnsi"/>
          <w:sz w:val="16"/>
          <w:szCs w:val="16"/>
        </w:rPr>
      </w:pPr>
      <w:r w:rsidRPr="00B95508">
        <w:rPr>
          <w:rStyle w:val="FootnoteReference"/>
          <w:rFonts w:asciiTheme="minorHAnsi" w:hAnsiTheme="minorHAnsi" w:cstheme="minorHAnsi"/>
          <w:sz w:val="16"/>
          <w:szCs w:val="16"/>
        </w:rPr>
        <w:footnoteRef/>
      </w:r>
      <w:r w:rsidRPr="00B95508">
        <w:rPr>
          <w:rFonts w:asciiTheme="minorHAnsi" w:hAnsiTheme="minorHAnsi" w:cstheme="minorHAnsi"/>
          <w:sz w:val="16"/>
          <w:szCs w:val="16"/>
        </w:rPr>
        <w:t xml:space="preserve"> Pesquisa sobre percepção da população em relação aos tributos e gastos públicos na Região Metropolitana de São Paulo – Fundação SEADE (2016).</w:t>
      </w:r>
    </w:p>
  </w:footnote>
  <w:footnote w:id="100">
    <w:p w:rsidR="009D1337" w:rsidRPr="00C501FC" w:rsidRDefault="009D1337" w:rsidP="00042D6B">
      <w:pPr>
        <w:jc w:val="both"/>
        <w:rPr>
          <w:rFonts w:asciiTheme="minorHAnsi" w:hAnsiTheme="minorHAnsi" w:cstheme="minorHAnsi"/>
          <w:sz w:val="16"/>
          <w:szCs w:val="16"/>
        </w:rPr>
      </w:pPr>
      <w:r w:rsidRPr="00C501FC">
        <w:rPr>
          <w:rStyle w:val="FootnoteReference"/>
          <w:rFonts w:asciiTheme="minorHAnsi" w:hAnsiTheme="minorHAnsi" w:cstheme="minorHAnsi"/>
          <w:sz w:val="16"/>
          <w:szCs w:val="16"/>
        </w:rPr>
        <w:footnoteRef/>
      </w:r>
      <w:r w:rsidRPr="00C501FC">
        <w:rPr>
          <w:rFonts w:asciiTheme="minorHAnsi" w:hAnsiTheme="minorHAnsi" w:cstheme="minorHAnsi"/>
          <w:sz w:val="16"/>
          <w:szCs w:val="16"/>
        </w:rPr>
        <w:t xml:space="preserve"> </w:t>
      </w:r>
      <w:r w:rsidRPr="001B561F">
        <w:rPr>
          <w:rFonts w:asciiTheme="minorHAnsi" w:hAnsiTheme="minorHAnsi" w:cstheme="minorHAnsi"/>
          <w:sz w:val="16"/>
          <w:szCs w:val="16"/>
        </w:rPr>
        <w:t>DECRETO Nº 60.399, DE 29 DE ABRIL DE</w:t>
      </w:r>
      <w:r w:rsidRPr="00C501FC">
        <w:rPr>
          <w:rFonts w:asciiTheme="minorHAnsi" w:hAnsiTheme="minorHAnsi" w:cstheme="minorHAnsi"/>
          <w:sz w:val="16"/>
          <w:szCs w:val="16"/>
        </w:rPr>
        <w:t xml:space="preserve"> </w:t>
      </w:r>
      <w:r w:rsidRPr="001B561F">
        <w:rPr>
          <w:rFonts w:asciiTheme="minorHAnsi" w:hAnsiTheme="minorHAnsi" w:cstheme="minorHAnsi"/>
          <w:sz w:val="16"/>
          <w:szCs w:val="16"/>
        </w:rPr>
        <w:t>2014 - Artigo 20 – O prazo máximo de</w:t>
      </w:r>
      <w:r w:rsidRPr="00C501FC">
        <w:rPr>
          <w:rFonts w:asciiTheme="minorHAnsi" w:hAnsiTheme="minorHAnsi" w:cstheme="minorHAnsi"/>
          <w:sz w:val="16"/>
          <w:szCs w:val="16"/>
        </w:rPr>
        <w:t xml:space="preserve"> </w:t>
      </w:r>
      <w:r w:rsidRPr="001B561F">
        <w:rPr>
          <w:rFonts w:asciiTheme="minorHAnsi" w:hAnsiTheme="minorHAnsi" w:cstheme="minorHAnsi"/>
          <w:sz w:val="16"/>
          <w:szCs w:val="16"/>
        </w:rPr>
        <w:t>resposta ao usuário</w:t>
      </w:r>
      <w:r w:rsidRPr="00C501FC">
        <w:rPr>
          <w:rFonts w:asciiTheme="minorHAnsi" w:hAnsiTheme="minorHAnsi" w:cstheme="minorHAnsi"/>
          <w:sz w:val="16"/>
          <w:szCs w:val="16"/>
        </w:rPr>
        <w:t xml:space="preserve"> </w:t>
      </w:r>
      <w:r w:rsidRPr="001B561F">
        <w:rPr>
          <w:rFonts w:asciiTheme="minorHAnsi" w:hAnsiTheme="minorHAnsi" w:cstheme="minorHAnsi"/>
          <w:sz w:val="16"/>
          <w:szCs w:val="16"/>
        </w:rPr>
        <w:t>será de 20 (vinte) dias</w:t>
      </w:r>
      <w:r w:rsidRPr="00C501FC">
        <w:rPr>
          <w:rFonts w:asciiTheme="minorHAnsi" w:hAnsiTheme="minorHAnsi" w:cstheme="minorHAnsi"/>
          <w:sz w:val="16"/>
          <w:szCs w:val="16"/>
        </w:rPr>
        <w:t xml:space="preserve"> </w:t>
      </w:r>
      <w:r w:rsidRPr="001B561F">
        <w:rPr>
          <w:rFonts w:asciiTheme="minorHAnsi" w:hAnsiTheme="minorHAnsi" w:cstheme="minorHAnsi"/>
          <w:sz w:val="16"/>
          <w:szCs w:val="16"/>
        </w:rPr>
        <w:t>corridos.§ 1º – O prazo deverá ser informado com a</w:t>
      </w:r>
      <w:r w:rsidRPr="00C501FC">
        <w:rPr>
          <w:rFonts w:asciiTheme="minorHAnsi" w:hAnsiTheme="minorHAnsi" w:cstheme="minorHAnsi"/>
          <w:sz w:val="16"/>
          <w:szCs w:val="16"/>
        </w:rPr>
        <w:t xml:space="preserve"> </w:t>
      </w:r>
      <w:r w:rsidRPr="001B561F">
        <w:rPr>
          <w:rFonts w:asciiTheme="minorHAnsi" w:hAnsiTheme="minorHAnsi" w:cstheme="minorHAnsi"/>
          <w:sz w:val="16"/>
          <w:szCs w:val="16"/>
        </w:rPr>
        <w:t>respectiva forma de acompanhamento.§ 2º - O prazo referido no “caput” deste</w:t>
      </w:r>
      <w:r w:rsidRPr="00C501FC">
        <w:rPr>
          <w:rFonts w:asciiTheme="minorHAnsi" w:hAnsiTheme="minorHAnsi" w:cstheme="minorHAnsi"/>
          <w:sz w:val="16"/>
          <w:szCs w:val="16"/>
        </w:rPr>
        <w:t xml:space="preserve"> </w:t>
      </w:r>
      <w:r w:rsidRPr="001B561F">
        <w:rPr>
          <w:rFonts w:asciiTheme="minorHAnsi" w:hAnsiTheme="minorHAnsi" w:cstheme="minorHAnsi"/>
          <w:sz w:val="16"/>
          <w:szCs w:val="16"/>
        </w:rPr>
        <w:t>artigo poderá ser prorrogado por mais 10</w:t>
      </w:r>
      <w:r w:rsidRPr="00C501FC">
        <w:rPr>
          <w:rFonts w:asciiTheme="minorHAnsi" w:hAnsiTheme="minorHAnsi" w:cstheme="minorHAnsi"/>
          <w:sz w:val="16"/>
          <w:szCs w:val="16"/>
        </w:rPr>
        <w:t xml:space="preserve"> </w:t>
      </w:r>
      <w:r w:rsidRPr="001B561F">
        <w:rPr>
          <w:rFonts w:asciiTheme="minorHAnsi" w:hAnsiTheme="minorHAnsi" w:cstheme="minorHAnsi"/>
          <w:sz w:val="16"/>
          <w:szCs w:val="16"/>
        </w:rPr>
        <w:t>(dez) dias, mediante justificativa expressa,</w:t>
      </w:r>
      <w:r w:rsidRPr="00C501FC">
        <w:rPr>
          <w:rFonts w:asciiTheme="minorHAnsi" w:hAnsiTheme="minorHAnsi" w:cstheme="minorHAnsi"/>
          <w:sz w:val="16"/>
          <w:szCs w:val="16"/>
        </w:rPr>
        <w:t xml:space="preserve"> </w:t>
      </w:r>
      <w:r w:rsidRPr="001B561F">
        <w:rPr>
          <w:rFonts w:asciiTheme="minorHAnsi" w:hAnsiTheme="minorHAnsi" w:cstheme="minorHAnsi"/>
          <w:sz w:val="16"/>
          <w:szCs w:val="16"/>
        </w:rPr>
        <w:t>da qual será cientificado o interessado.§ 3º - A tramitação interna das</w:t>
      </w:r>
      <w:r w:rsidRPr="00C501FC">
        <w:rPr>
          <w:rFonts w:asciiTheme="minorHAnsi" w:hAnsiTheme="minorHAnsi" w:cstheme="minorHAnsi"/>
          <w:sz w:val="16"/>
          <w:szCs w:val="16"/>
        </w:rPr>
        <w:t xml:space="preserve"> </w:t>
      </w:r>
      <w:r w:rsidRPr="001B561F">
        <w:rPr>
          <w:rFonts w:asciiTheme="minorHAnsi" w:hAnsiTheme="minorHAnsi" w:cstheme="minorHAnsi"/>
          <w:sz w:val="16"/>
          <w:szCs w:val="16"/>
        </w:rPr>
        <w:t>manifestações recebidas pela Ouvidoria</w:t>
      </w:r>
      <w:r w:rsidRPr="00C501FC">
        <w:rPr>
          <w:rFonts w:asciiTheme="minorHAnsi" w:hAnsiTheme="minorHAnsi" w:cstheme="minorHAnsi"/>
          <w:sz w:val="16"/>
          <w:szCs w:val="16"/>
        </w:rPr>
        <w:t xml:space="preserve"> </w:t>
      </w:r>
      <w:r w:rsidRPr="001B561F">
        <w:rPr>
          <w:rFonts w:asciiTheme="minorHAnsi" w:hAnsiTheme="minorHAnsi" w:cstheme="minorHAnsi"/>
          <w:sz w:val="16"/>
          <w:szCs w:val="16"/>
        </w:rPr>
        <w:t>deverá considerar o prazo estabelecido no</w:t>
      </w:r>
      <w:r w:rsidRPr="00C501FC">
        <w:rPr>
          <w:rFonts w:asciiTheme="minorHAnsi" w:hAnsiTheme="minorHAnsi" w:cstheme="minorHAnsi"/>
          <w:sz w:val="16"/>
          <w:szCs w:val="16"/>
        </w:rPr>
        <w:t xml:space="preserve"> </w:t>
      </w:r>
      <w:r w:rsidRPr="001B561F">
        <w:rPr>
          <w:rFonts w:asciiTheme="minorHAnsi" w:hAnsiTheme="minorHAnsi" w:cstheme="minorHAnsi"/>
          <w:sz w:val="16"/>
          <w:szCs w:val="16"/>
        </w:rPr>
        <w:t>“caput” deste artigo.</w:t>
      </w:r>
    </w:p>
    <w:p w:rsidR="009D1337" w:rsidRPr="00C501FC" w:rsidRDefault="009D1337" w:rsidP="00042D6B">
      <w:pPr>
        <w:jc w:val="both"/>
        <w:rPr>
          <w:rFonts w:asciiTheme="minorHAnsi" w:hAnsiTheme="minorHAnsi" w:cstheme="minorHAnsi"/>
          <w:iCs/>
          <w:color w:val="0000CC"/>
          <w:sz w:val="16"/>
          <w:szCs w:val="16"/>
        </w:rPr>
      </w:pPr>
      <w:r w:rsidRPr="001B561F">
        <w:rPr>
          <w:rFonts w:asciiTheme="minorHAnsi" w:hAnsiTheme="minorHAnsi" w:cstheme="minorHAnsi"/>
          <w:color w:val="000000"/>
          <w:sz w:val="16"/>
          <w:szCs w:val="16"/>
        </w:rPr>
        <w:t>DECRETO Nº 58.052, DE 16 DE MAIO DE</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2012 Artigo 15 - O Serviço de Informações</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ao Cidadão - SIC do órgão ou entidade</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responsável pelas informações solicitadas</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deverá conceder o acesso imediato àquelas</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disponíveis.</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1º - Na impossibilidade de conceder o</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acesso imediato, o Serviço de Informações</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ao Cidadão - SIC do órgão ou entidade, em</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prazo não superior a 20 (vinte) dias, deverá:1. comunicar a data, local e modo para se</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realizar a consulta, efetuar a reprodução ou</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obter a certidão;</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2. indicar as razões de fato ou de direito da</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recusa, total ou parcial, do acesso</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pretendido;</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3. comunicar que não possui a informação,</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indicar, se for do seu conhecimento, o órgão</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ou a entidade que a detém, ou, ainda,</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remeter o requerimento a esse órgão ou</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entidade, cientificando o interessado da</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remessa de seu pedido de informação.</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 2º - O prazo referido no § 1º deste artigo</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poderá ser prorrogado por mais 10 (dez)</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dias, mediante justificativa expressa, da qual</w:t>
      </w:r>
      <w:r w:rsidRPr="00C501FC">
        <w:rPr>
          <w:rFonts w:asciiTheme="minorHAnsi" w:hAnsiTheme="minorHAnsi" w:cstheme="minorHAnsi"/>
          <w:color w:val="000000"/>
          <w:sz w:val="16"/>
          <w:szCs w:val="16"/>
        </w:rPr>
        <w:t xml:space="preserve"> </w:t>
      </w:r>
      <w:r w:rsidRPr="001B561F">
        <w:rPr>
          <w:rFonts w:asciiTheme="minorHAnsi" w:hAnsiTheme="minorHAnsi" w:cstheme="minorHAnsi"/>
          <w:color w:val="000000"/>
          <w:sz w:val="16"/>
          <w:szCs w:val="16"/>
        </w:rPr>
        <w:t>será cientificado o interessado</w:t>
      </w:r>
      <w:r w:rsidRPr="00C501FC">
        <w:rPr>
          <w:rFonts w:asciiTheme="minorHAnsi" w:hAnsiTheme="minorHAnsi" w:cstheme="minorHAnsi"/>
          <w:color w:val="000000"/>
          <w:sz w:val="16"/>
          <w:szCs w:val="16"/>
        </w:rPr>
        <w:t>.</w:t>
      </w:r>
    </w:p>
    <w:p w:rsidR="009D1337" w:rsidRDefault="009D1337">
      <w:pPr>
        <w:pStyle w:val="FootnoteText"/>
      </w:pPr>
    </w:p>
  </w:footnote>
  <w:footnote w:id="101">
    <w:p w:rsidR="009D1337" w:rsidRDefault="009D1337">
      <w:pPr>
        <w:pStyle w:val="FootnoteText"/>
      </w:pPr>
      <w:r>
        <w:rPr>
          <w:rStyle w:val="FootnoteReference"/>
        </w:rPr>
        <w:footnoteRef/>
      </w:r>
      <w:r>
        <w:t xml:space="preserve"> </w:t>
      </w:r>
      <w:r w:rsidRPr="00283FD5">
        <w:rPr>
          <w:rFonts w:asciiTheme="minorHAnsi" w:hAnsiTheme="minorHAnsi" w:cstheme="minorHAnsi"/>
          <w:color w:val="000000"/>
          <w:sz w:val="16"/>
          <w:szCs w:val="16"/>
        </w:rPr>
        <w:t xml:space="preserve">As informações sobre as políticas e normas são encontradas no link: </w:t>
      </w:r>
      <w:r w:rsidRPr="00283FD5">
        <w:rPr>
          <w:rFonts w:asciiTheme="minorHAnsi" w:hAnsiTheme="minorHAnsi" w:cstheme="minorHAnsi"/>
          <w:color w:val="000000"/>
          <w:sz w:val="16"/>
          <w:szCs w:val="16"/>
        </w:rPr>
        <w:br/>
      </w:r>
      <w:r w:rsidRPr="00283FD5">
        <w:rPr>
          <w:rFonts w:asciiTheme="minorHAnsi" w:hAnsiTheme="minorHAnsi" w:cstheme="minorHAnsi"/>
          <w:color w:val="000000"/>
          <w:sz w:val="16"/>
          <w:szCs w:val="16"/>
          <w:u w:val="single"/>
        </w:rPr>
        <w:t>http://info.fazenda.sp.gov.br/nxt/gateway.dll?f=templates&amp;fn=default.htm&amp;vid=sefaz_tributaria:vtribut</w:t>
      </w:r>
      <w:r w:rsidRPr="00283FD5">
        <w:rPr>
          <w:rFonts w:asciiTheme="minorHAnsi" w:hAnsiTheme="minorHAnsi" w:cstheme="minorHAnsi"/>
          <w:color w:val="000000"/>
          <w:sz w:val="16"/>
          <w:szCs w:val="16"/>
        </w:rPr>
        <w:br/>
        <w:t xml:space="preserve">Os resultados poderão ser verificados no site dos Indicadores da Administração Tributária: </w:t>
      </w:r>
      <w:r w:rsidRPr="00283FD5">
        <w:rPr>
          <w:rFonts w:asciiTheme="minorHAnsi" w:hAnsiTheme="minorHAnsi" w:cstheme="minorHAnsi"/>
          <w:color w:val="000000"/>
          <w:sz w:val="16"/>
          <w:szCs w:val="16"/>
          <w:u w:val="single"/>
        </w:rPr>
        <w:t>https://portal.fazenda.sp.gov.br/acessoinformacao/Paginas/Indicadores-da-Administra%C3%A7%C3%A3o-Tribut%C3%A1ria.aspx</w:t>
      </w:r>
      <w:r w:rsidRPr="00283FD5">
        <w:rPr>
          <w:rFonts w:asciiTheme="minorHAnsi" w:hAnsiTheme="minorHAnsi" w:cstheme="minorHAnsi"/>
          <w:color w:val="000000"/>
          <w:sz w:val="16"/>
          <w:szCs w:val="16"/>
        </w:rPr>
        <w:br/>
        <w:t xml:space="preserve">Outro local que apresenta os resultados é o site dos Relatórios da Receita Tributária: </w:t>
      </w:r>
      <w:r w:rsidRPr="00283FD5">
        <w:rPr>
          <w:rFonts w:asciiTheme="minorHAnsi" w:hAnsiTheme="minorHAnsi" w:cstheme="minorHAnsi"/>
          <w:color w:val="000000"/>
          <w:sz w:val="16"/>
          <w:szCs w:val="16"/>
          <w:u w:val="single"/>
        </w:rPr>
        <w:t>https://portal.fazenda.sp.gov.br/acessoinformacao/Paginas/Relat%C3%B3rios-da-Receita-Tribut%C3%A1ria.aspx</w:t>
      </w:r>
    </w:p>
  </w:footnote>
  <w:footnote w:id="102">
    <w:p w:rsidR="009D1337" w:rsidRPr="00BC6A64" w:rsidRDefault="009D1337">
      <w:pPr>
        <w:pStyle w:val="FootnoteText"/>
        <w:rPr>
          <w:rFonts w:asciiTheme="minorHAnsi" w:hAnsiTheme="minorHAnsi" w:cstheme="minorHAnsi"/>
          <w:sz w:val="16"/>
          <w:szCs w:val="16"/>
        </w:rPr>
      </w:pPr>
      <w:r w:rsidRPr="00BC6A64">
        <w:rPr>
          <w:rStyle w:val="FootnoteReference"/>
          <w:rFonts w:asciiTheme="minorHAnsi" w:hAnsiTheme="minorHAnsi" w:cstheme="minorHAnsi"/>
          <w:sz w:val="16"/>
          <w:szCs w:val="16"/>
        </w:rPr>
        <w:footnoteRef/>
      </w:r>
      <w:r w:rsidRPr="00BC6A64">
        <w:rPr>
          <w:rFonts w:asciiTheme="minorHAnsi" w:hAnsiTheme="minorHAnsi" w:cstheme="minorHAnsi"/>
          <w:sz w:val="16"/>
          <w:szCs w:val="16"/>
        </w:rPr>
        <w:t xml:space="preserve"> </w:t>
      </w:r>
      <w:r w:rsidRPr="00BC6A64">
        <w:rPr>
          <w:rFonts w:asciiTheme="minorHAnsi" w:hAnsiTheme="minorHAnsi" w:cstheme="minorHAnsi"/>
          <w:bCs/>
          <w:sz w:val="16"/>
          <w:szCs w:val="16"/>
          <w:u w:val="single"/>
        </w:rPr>
        <w:t>https://portal.fazenda.sp.gov.br/servicos/pac-pie/Paginas/Sobre.aspx</w:t>
      </w:r>
    </w:p>
  </w:footnote>
  <w:footnote w:id="103">
    <w:p w:rsidR="009D1337" w:rsidRPr="00BC6A64" w:rsidRDefault="009D1337">
      <w:pPr>
        <w:pStyle w:val="FootnoteText"/>
        <w:rPr>
          <w:rFonts w:asciiTheme="minorHAnsi" w:hAnsiTheme="minorHAnsi" w:cstheme="minorHAnsi"/>
          <w:sz w:val="16"/>
          <w:szCs w:val="16"/>
        </w:rPr>
      </w:pPr>
      <w:r w:rsidRPr="00BC6A64">
        <w:rPr>
          <w:rStyle w:val="FootnoteReference"/>
          <w:rFonts w:asciiTheme="minorHAnsi" w:hAnsiTheme="minorHAnsi" w:cstheme="minorHAnsi"/>
          <w:sz w:val="16"/>
          <w:szCs w:val="16"/>
        </w:rPr>
        <w:footnoteRef/>
      </w:r>
      <w:r w:rsidRPr="00BC6A64">
        <w:rPr>
          <w:rFonts w:asciiTheme="minorHAnsi" w:hAnsiTheme="minorHAnsi" w:cstheme="minorHAnsi"/>
          <w:sz w:val="16"/>
          <w:szCs w:val="16"/>
        </w:rPr>
        <w:t xml:space="preserve"> </w:t>
      </w:r>
      <w:r w:rsidRPr="00BC6A64">
        <w:rPr>
          <w:rFonts w:asciiTheme="minorHAnsi" w:hAnsiTheme="minorHAnsi" w:cstheme="minorHAnsi"/>
          <w:bCs/>
          <w:sz w:val="16"/>
          <w:szCs w:val="16"/>
          <w:u w:val="single"/>
        </w:rPr>
        <w:t>https://www3.fazenda.sp.gov.br/sivei</w:t>
      </w:r>
    </w:p>
  </w:footnote>
  <w:footnote w:id="104">
    <w:p w:rsidR="009D1337" w:rsidRDefault="009D1337">
      <w:pPr>
        <w:pStyle w:val="FootnoteText"/>
      </w:pPr>
      <w:r>
        <w:rPr>
          <w:rStyle w:val="FootnoteReference"/>
        </w:rPr>
        <w:footnoteRef/>
      </w:r>
      <w:r>
        <w:t xml:space="preserve"> </w:t>
      </w:r>
      <w:hyperlink r:id="rId13" w:history="1">
        <w:r w:rsidRPr="00BC6A64">
          <w:rPr>
            <w:rFonts w:asciiTheme="minorHAnsi" w:hAnsiTheme="minorHAnsi" w:cstheme="minorHAnsi"/>
            <w:sz w:val="16"/>
            <w:szCs w:val="16"/>
            <w:u w:val="single"/>
          </w:rPr>
          <w:t>https://portal.fazenda.sp.gov.br/acessoinformacao/Paginas/Relat%C3%B3rios-da-Receita-Tribut%C3%A1ria.aspx</w:t>
        </w:r>
      </w:hyperlink>
    </w:p>
  </w:footnote>
  <w:footnote w:id="105">
    <w:p w:rsidR="009D1337" w:rsidRDefault="009D1337">
      <w:pPr>
        <w:pStyle w:val="FootnoteText"/>
      </w:pPr>
      <w:r>
        <w:rPr>
          <w:rStyle w:val="FootnoteReference"/>
        </w:rPr>
        <w:footnoteRef/>
      </w:r>
      <w:r>
        <w:t xml:space="preserve"> </w:t>
      </w:r>
      <w:r w:rsidRPr="00BC6A64">
        <w:rPr>
          <w:rFonts w:asciiTheme="minorHAnsi" w:hAnsiTheme="minorHAnsi" w:cstheme="minorHAnsi"/>
          <w:color w:val="000000"/>
          <w:sz w:val="16"/>
          <w:szCs w:val="16"/>
          <w:u w:val="single"/>
        </w:rPr>
        <w:t>https://www.fazenda.sp.gov.br/eCT/Consulta_Entrada/InformarTipoAcesso.aspx</w:t>
      </w:r>
      <w:r w:rsidRPr="00BC6A64">
        <w:rPr>
          <w:rFonts w:asciiTheme="minorHAnsi" w:hAnsiTheme="minorHAnsi" w:cstheme="minorHAnsi"/>
          <w:color w:val="000000"/>
          <w:sz w:val="16"/>
          <w:szCs w:val="16"/>
        </w:rPr>
        <w:br/>
        <w:t>Banco de dados de consultas efetuadas:</w:t>
      </w:r>
      <w:r>
        <w:rPr>
          <w:rFonts w:asciiTheme="minorHAnsi" w:hAnsiTheme="minorHAnsi" w:cstheme="minorHAnsi"/>
          <w:color w:val="000000"/>
          <w:sz w:val="16"/>
          <w:szCs w:val="16"/>
        </w:rPr>
        <w:t xml:space="preserve"> </w:t>
      </w:r>
      <w:r w:rsidRPr="00BC6A64">
        <w:rPr>
          <w:rFonts w:asciiTheme="minorHAnsi" w:hAnsiTheme="minorHAnsi" w:cstheme="minorHAnsi"/>
          <w:color w:val="000000"/>
          <w:sz w:val="16"/>
          <w:szCs w:val="16"/>
          <w:u w:val="single"/>
        </w:rPr>
        <w:t>https://portal.fazenda.sp.gov.br/acessoinformacao/Paginas/Consultas-Tribut%C3%A1rias.aspx</w:t>
      </w:r>
    </w:p>
  </w:footnote>
  <w:footnote w:id="106">
    <w:p w:rsidR="009D1337" w:rsidRDefault="009D1337">
      <w:pPr>
        <w:pStyle w:val="FootnoteText"/>
      </w:pPr>
      <w:r>
        <w:rPr>
          <w:rStyle w:val="FootnoteReference"/>
        </w:rPr>
        <w:footnoteRef/>
      </w:r>
      <w:r>
        <w:t xml:space="preserve"> </w:t>
      </w:r>
      <w:r w:rsidRPr="00BC6A64">
        <w:rPr>
          <w:rFonts w:asciiTheme="minorHAnsi" w:hAnsiTheme="minorHAnsi" w:cstheme="minorHAnsi"/>
          <w:color w:val="000000"/>
          <w:sz w:val="16"/>
          <w:szCs w:val="16"/>
          <w:u w:val="single"/>
        </w:rPr>
        <w:t>http://info.fazenda.sp.gov.br/NXT/gateway.dll/Respostas_CT/icms/Indice_RCs_ICMS_2016.html?vid=sefaz_respct:vrespct</w:t>
      </w:r>
    </w:p>
  </w:footnote>
  <w:footnote w:id="107">
    <w:p w:rsidR="009D1337" w:rsidRDefault="009D1337" w:rsidP="002D0A7A">
      <w:r>
        <w:rPr>
          <w:rStyle w:val="FootnoteReference"/>
        </w:rPr>
        <w:footnoteRef/>
      </w:r>
      <w:r>
        <w:t xml:space="preserve"> </w:t>
      </w:r>
      <w:r w:rsidRPr="00BC6A64">
        <w:rPr>
          <w:rFonts w:asciiTheme="minorHAnsi" w:hAnsiTheme="minorHAnsi" w:cstheme="minorHAnsi"/>
          <w:color w:val="000000"/>
          <w:sz w:val="16"/>
          <w:szCs w:val="16"/>
        </w:rPr>
        <w:t>DECRETO Nº 60.392, DE 24 DE ABRIL DE 2014</w:t>
      </w:r>
      <w:r>
        <w:rPr>
          <w:rFonts w:asciiTheme="minorHAnsi" w:hAnsiTheme="minorHAnsi" w:cstheme="minorHAnsi"/>
          <w:color w:val="000000"/>
          <w:sz w:val="16"/>
          <w:szCs w:val="16"/>
        </w:rPr>
        <w:t xml:space="preserve"> - </w:t>
      </w:r>
      <w:r w:rsidRPr="00BC6A64">
        <w:rPr>
          <w:rFonts w:asciiTheme="minorHAnsi" w:hAnsiTheme="minorHAnsi" w:cstheme="minorHAnsi"/>
          <w:color w:val="000000"/>
          <w:sz w:val="16"/>
          <w:szCs w:val="16"/>
        </w:rPr>
        <w:t>“Artigo 515 - A consulta deverá ser respondida dentro do prazo de 30 (trinta) dias, contados da data indicada no protocolo</w:t>
      </w:r>
      <w:r>
        <w:rPr>
          <w:rFonts w:asciiTheme="minorHAnsi" w:hAnsiTheme="minorHAnsi" w:cstheme="minorHAnsi"/>
          <w:color w:val="000000"/>
          <w:sz w:val="16"/>
          <w:szCs w:val="16"/>
        </w:rPr>
        <w:t xml:space="preserve"> (Lei 6.374/89, art. 104). (NR).</w:t>
      </w:r>
    </w:p>
  </w:footnote>
  <w:footnote w:id="108">
    <w:p w:rsidR="009D1337" w:rsidRDefault="009D1337">
      <w:pPr>
        <w:pStyle w:val="FootnoteText"/>
      </w:pPr>
      <w:r>
        <w:rPr>
          <w:rStyle w:val="FootnoteReference"/>
        </w:rPr>
        <w:footnoteRef/>
      </w:r>
      <w:r>
        <w:t xml:space="preserve"> </w:t>
      </w:r>
      <w:r w:rsidRPr="003A736E">
        <w:rPr>
          <w:rFonts w:asciiTheme="minorHAnsi" w:hAnsiTheme="minorHAnsi" w:cstheme="minorHAnsi"/>
          <w:color w:val="000000"/>
          <w:sz w:val="16"/>
          <w:szCs w:val="16"/>
        </w:rPr>
        <w:t>No momento, existe uma projeto em andamento (CAT/</w:t>
      </w:r>
      <w:proofErr w:type="gramStart"/>
      <w:r w:rsidRPr="003A736E">
        <w:rPr>
          <w:rFonts w:asciiTheme="minorHAnsi" w:hAnsiTheme="minorHAnsi" w:cstheme="minorHAnsi"/>
          <w:color w:val="000000"/>
          <w:sz w:val="16"/>
          <w:szCs w:val="16"/>
        </w:rPr>
        <w:t>DETEC)  para</w:t>
      </w:r>
      <w:proofErr w:type="gramEnd"/>
      <w:r w:rsidRPr="003A736E">
        <w:rPr>
          <w:rFonts w:asciiTheme="minorHAnsi" w:hAnsiTheme="minorHAnsi" w:cstheme="minorHAnsi"/>
          <w:color w:val="000000"/>
          <w:sz w:val="16"/>
          <w:szCs w:val="16"/>
        </w:rPr>
        <w:t xml:space="preserve"> desenvolver e adaptar ao ICMS metodologias de aferição de indicadores de efetividade da gestão tributária.</w:t>
      </w:r>
    </w:p>
  </w:footnote>
  <w:footnote w:id="109">
    <w:p w:rsidR="009D1337" w:rsidRDefault="009D1337">
      <w:pPr>
        <w:pStyle w:val="FootnoteText"/>
      </w:pPr>
      <w:r>
        <w:rPr>
          <w:rStyle w:val="FootnoteReference"/>
        </w:rPr>
        <w:footnoteRef/>
      </w:r>
      <w:r>
        <w:t xml:space="preserve"> </w:t>
      </w:r>
      <w:r w:rsidRPr="003A736E">
        <w:rPr>
          <w:rFonts w:asciiTheme="minorHAnsi" w:hAnsiTheme="minorHAnsi" w:cstheme="minorHAnsi"/>
          <w:color w:val="000000"/>
          <w:sz w:val="16"/>
          <w:szCs w:val="16"/>
        </w:rPr>
        <w:t>Valor referente a 2017, conforme publicado nas Leis de Diretrizes Orçamentárias (LDO) de 2017 e 2018, que apresentam estimativas para o ICMS e IPVA.</w:t>
      </w:r>
    </w:p>
  </w:footnote>
  <w:footnote w:id="110">
    <w:p w:rsidR="009D1337" w:rsidRPr="003A736E" w:rsidRDefault="009D1337">
      <w:pPr>
        <w:pStyle w:val="FootnoteText"/>
        <w:rPr>
          <w:rFonts w:asciiTheme="minorHAnsi" w:hAnsiTheme="minorHAnsi" w:cstheme="minorHAnsi"/>
          <w:sz w:val="16"/>
          <w:szCs w:val="16"/>
        </w:rPr>
      </w:pPr>
      <w:r w:rsidRPr="003A736E">
        <w:rPr>
          <w:rStyle w:val="FootnoteReference"/>
          <w:rFonts w:asciiTheme="minorHAnsi" w:hAnsiTheme="minorHAnsi" w:cstheme="minorHAnsi"/>
          <w:sz w:val="16"/>
          <w:szCs w:val="16"/>
        </w:rPr>
        <w:footnoteRef/>
      </w:r>
      <w:r w:rsidRPr="003A736E">
        <w:rPr>
          <w:rFonts w:asciiTheme="minorHAnsi" w:hAnsiTheme="minorHAnsi" w:cstheme="minorHAnsi"/>
          <w:sz w:val="16"/>
          <w:szCs w:val="16"/>
        </w:rPr>
        <w:t xml:space="preserve"> </w:t>
      </w:r>
      <w:r w:rsidRPr="003A736E">
        <w:rPr>
          <w:rFonts w:asciiTheme="minorHAnsi" w:hAnsiTheme="minorHAnsi" w:cstheme="minorHAnsi"/>
          <w:color w:val="000000"/>
          <w:sz w:val="16"/>
          <w:szCs w:val="16"/>
        </w:rPr>
        <w:t xml:space="preserve">A CT não trabalha com o indicador de consultas respondidas dentro do prazo. </w:t>
      </w:r>
    </w:p>
  </w:footnote>
  <w:footnote w:id="111">
    <w:p w:rsidR="009D1337" w:rsidRDefault="009D1337">
      <w:pPr>
        <w:pStyle w:val="FootnoteText"/>
      </w:pPr>
      <w:r>
        <w:rPr>
          <w:rStyle w:val="FootnoteReference"/>
        </w:rPr>
        <w:footnoteRef/>
      </w:r>
      <w:r>
        <w:t xml:space="preserve"> </w:t>
      </w:r>
      <w:r w:rsidRPr="006B579C">
        <w:rPr>
          <w:rFonts w:asciiTheme="minorHAnsi" w:hAnsiTheme="minorHAnsi" w:cstheme="minorHAnsi"/>
          <w:color w:val="000000"/>
          <w:sz w:val="16"/>
          <w:szCs w:val="16"/>
        </w:rPr>
        <w:br/>
        <w:t>http://info.fazenda.sp.gov.br/NXT/gateway.dll/legislacao_tributaria/portaria_cat/pcat552009.htm?f=templates&amp;fn=default.htm&amp;vid=sefaz_tributaria:vtribut</w:t>
      </w:r>
      <w:r w:rsidRPr="006B579C">
        <w:rPr>
          <w:rFonts w:asciiTheme="minorHAnsi" w:hAnsiTheme="minorHAnsi" w:cstheme="minorHAnsi"/>
          <w:color w:val="000000"/>
          <w:sz w:val="16"/>
          <w:szCs w:val="16"/>
        </w:rPr>
        <w:br/>
        <w:t>https://www.fazenda.sp.gov.br/cte/</w:t>
      </w:r>
    </w:p>
  </w:footnote>
  <w:footnote w:id="112">
    <w:p w:rsidR="009D1337" w:rsidRDefault="009D1337">
      <w:pPr>
        <w:pStyle w:val="FootnoteText"/>
      </w:pPr>
      <w:r>
        <w:rPr>
          <w:rStyle w:val="FootnoteReference"/>
        </w:rPr>
        <w:footnoteRef/>
      </w:r>
      <w:r>
        <w:t xml:space="preserve"> </w:t>
      </w:r>
      <w:r w:rsidRPr="006B579C">
        <w:rPr>
          <w:rFonts w:asciiTheme="minorHAnsi" w:hAnsiTheme="minorHAnsi" w:cstheme="minorHAnsi"/>
          <w:color w:val="000000"/>
          <w:sz w:val="16"/>
          <w:szCs w:val="16"/>
          <w:u w:val="single"/>
        </w:rPr>
        <w:t>http://info.fazenda.sp.gov.br/NXT/gateway.dll/legislacao_tributaria/portaria_cat/pcat1022013.htm</w:t>
      </w:r>
    </w:p>
  </w:footnote>
  <w:footnote w:id="113">
    <w:p w:rsidR="009D1337" w:rsidRDefault="009D1337">
      <w:pPr>
        <w:pStyle w:val="FootnoteText"/>
      </w:pPr>
      <w:r>
        <w:rPr>
          <w:rStyle w:val="FootnoteReference"/>
        </w:rPr>
        <w:footnoteRef/>
      </w:r>
      <w:r>
        <w:t xml:space="preserve"> </w:t>
      </w:r>
      <w:r w:rsidRPr="006B579C">
        <w:rPr>
          <w:rFonts w:asciiTheme="minorHAnsi" w:hAnsiTheme="minorHAnsi" w:cstheme="minorHAnsi"/>
          <w:color w:val="000000"/>
          <w:sz w:val="16"/>
          <w:szCs w:val="16"/>
          <w:u w:val="single"/>
        </w:rPr>
        <w:t>http://info.fazenda.sp.gov.br/NXT/gateway.dll/legislacao_tributaria/portaria_cat/pcat122015.htm</w:t>
      </w:r>
    </w:p>
  </w:footnote>
  <w:footnote w:id="114">
    <w:p w:rsidR="009D1337" w:rsidRDefault="009D1337">
      <w:pPr>
        <w:pStyle w:val="FootnoteText"/>
      </w:pPr>
      <w:r>
        <w:rPr>
          <w:rStyle w:val="FootnoteReference"/>
        </w:rPr>
        <w:footnoteRef/>
      </w:r>
      <w:r>
        <w:t xml:space="preserve"> </w:t>
      </w:r>
      <w:r w:rsidRPr="006B579C">
        <w:rPr>
          <w:rFonts w:asciiTheme="minorHAnsi" w:hAnsiTheme="minorHAnsi" w:cstheme="minorHAnsi"/>
          <w:color w:val="000000"/>
          <w:sz w:val="16"/>
          <w:szCs w:val="16"/>
          <w:u w:val="single"/>
        </w:rPr>
        <w:t>http://info.fazenda.sp.gov.br/NXT/gateway.dll/legislacao_tributaria/portaria_cat/pcat1022014.htm?f=templates&amp;fn=default.htm&amp;vid=sefaz_tributaria:vtribut</w:t>
      </w:r>
    </w:p>
  </w:footnote>
  <w:footnote w:id="115">
    <w:p w:rsidR="009D1337" w:rsidRDefault="009D1337">
      <w:pPr>
        <w:pStyle w:val="FootnoteText"/>
      </w:pPr>
      <w:r>
        <w:rPr>
          <w:rStyle w:val="FootnoteReference"/>
        </w:rPr>
        <w:footnoteRef/>
      </w:r>
      <w:r>
        <w:t xml:space="preserve"> </w:t>
      </w:r>
      <w:r w:rsidRPr="0093180B">
        <w:rPr>
          <w:rFonts w:asciiTheme="minorHAnsi" w:hAnsiTheme="minorHAnsi" w:cstheme="minorHAnsi"/>
          <w:color w:val="000000"/>
          <w:sz w:val="16"/>
          <w:szCs w:val="16"/>
          <w:u w:val="single"/>
        </w:rPr>
        <w:t>http://info.fazenda.sp.gov.br/nxt/gateway.dll?f=templates&amp;fn=default.htm&amp;vid=sefaz_tributaria:vtribut</w:t>
      </w:r>
    </w:p>
  </w:footnote>
  <w:footnote w:id="116">
    <w:p w:rsidR="009D1337" w:rsidRDefault="009D1337">
      <w:pPr>
        <w:pStyle w:val="FootnoteText"/>
      </w:pPr>
      <w:r>
        <w:rPr>
          <w:rStyle w:val="FootnoteReference"/>
        </w:rPr>
        <w:footnoteRef/>
      </w:r>
      <w:r>
        <w:t xml:space="preserve"> </w:t>
      </w:r>
      <w:r w:rsidRPr="0093180B">
        <w:rPr>
          <w:rFonts w:asciiTheme="minorHAnsi" w:hAnsiTheme="minorHAnsi" w:cstheme="minorHAnsi"/>
          <w:color w:val="000000"/>
          <w:sz w:val="16"/>
          <w:szCs w:val="16"/>
        </w:rPr>
        <w:t>Em SP não existe a nota fiscal avulsa, e somente o contribuinte inscrito no cadastro de contribuintes do ICMS pode emitir a NF-e. Em SP os produtores rurais precisam ter CNPJ (Não pode ser emitida nota fiscal eletrônica por CPF e por contribuinte não inscrito).</w:t>
      </w:r>
    </w:p>
  </w:footnote>
  <w:footnote w:id="117">
    <w:p w:rsidR="009D1337" w:rsidRDefault="009D1337">
      <w:pPr>
        <w:pStyle w:val="FootnoteText"/>
      </w:pPr>
      <w:r>
        <w:rPr>
          <w:rStyle w:val="FootnoteReference"/>
        </w:rPr>
        <w:footnoteRef/>
      </w:r>
      <w:r>
        <w:t xml:space="preserve"> </w:t>
      </w:r>
      <w:r w:rsidRPr="0093180B">
        <w:rPr>
          <w:rFonts w:asciiTheme="minorHAnsi" w:hAnsiTheme="minorHAnsi" w:cstheme="minorHAnsi"/>
          <w:color w:val="000000"/>
          <w:sz w:val="16"/>
          <w:szCs w:val="16"/>
          <w:u w:val="single"/>
        </w:rPr>
        <w:t>Utiliza a ferramenta de auditoria ACD</w:t>
      </w:r>
      <w:r w:rsidRPr="0093180B">
        <w:rPr>
          <w:rFonts w:asciiTheme="minorHAnsi" w:hAnsiTheme="minorHAnsi" w:cstheme="minorHAnsi"/>
          <w:color w:val="000000"/>
          <w:sz w:val="16"/>
          <w:szCs w:val="16"/>
        </w:rPr>
        <w:t xml:space="preserve">: O desenvolvimento desta ferramenta de auditoria visa atender às necessidades da Sefaz. Ela importa a escrituração contábil e fiscal digital a partir dos arquivos do </w:t>
      </w:r>
      <w:proofErr w:type="spellStart"/>
      <w:r w:rsidRPr="0093180B">
        <w:rPr>
          <w:rFonts w:asciiTheme="minorHAnsi" w:hAnsiTheme="minorHAnsi" w:cstheme="minorHAnsi"/>
          <w:color w:val="000000"/>
          <w:sz w:val="16"/>
          <w:szCs w:val="16"/>
        </w:rPr>
        <w:t>Sped</w:t>
      </w:r>
      <w:proofErr w:type="spellEnd"/>
      <w:r w:rsidRPr="0093180B">
        <w:rPr>
          <w:rFonts w:asciiTheme="minorHAnsi" w:hAnsiTheme="minorHAnsi" w:cstheme="minorHAnsi"/>
          <w:color w:val="000000"/>
          <w:sz w:val="16"/>
          <w:szCs w:val="16"/>
        </w:rPr>
        <w:t xml:space="preserve"> (ECD e EFD), e tem cruzamentos específicos para as auditorias de interesse da fiscalização dos tributos estaduais. Adotada como ferramenta para o curso de Auditoria Contábil Tributária Digital. As principais funcionalidades da aplicação estão na capacidade de validação, pesquisa e filtro dos dados contábeis do contribuinte para geração de relatórios e </w:t>
      </w:r>
      <w:proofErr w:type="gramStart"/>
      <w:r w:rsidRPr="0093180B">
        <w:rPr>
          <w:rFonts w:asciiTheme="minorHAnsi" w:hAnsiTheme="minorHAnsi" w:cstheme="minorHAnsi"/>
          <w:color w:val="000000"/>
          <w:sz w:val="16"/>
          <w:szCs w:val="16"/>
        </w:rPr>
        <w:t>gráficos.​</w:t>
      </w:r>
      <w:proofErr w:type="gramEnd"/>
      <w:r w:rsidRPr="0093180B">
        <w:rPr>
          <w:rFonts w:asciiTheme="minorHAnsi" w:hAnsiTheme="minorHAnsi" w:cstheme="minorHAnsi"/>
          <w:color w:val="000000"/>
          <w:sz w:val="16"/>
          <w:szCs w:val="16"/>
        </w:rPr>
        <w:br/>
      </w:r>
      <w:r w:rsidRPr="0093180B">
        <w:rPr>
          <w:rFonts w:asciiTheme="minorHAnsi" w:hAnsiTheme="minorHAnsi" w:cstheme="minorHAnsi"/>
          <w:color w:val="000000"/>
          <w:sz w:val="16"/>
          <w:szCs w:val="16"/>
          <w:u w:val="single"/>
        </w:rPr>
        <w:t>http://etc.intra.fazenda.sp.gov.br/sites/siscat/sistemas/acd/Paginas/sobre.aspx</w:t>
      </w:r>
    </w:p>
  </w:footnote>
  <w:footnote w:id="118">
    <w:p w:rsidR="009D1337" w:rsidRPr="00BB1F8D" w:rsidRDefault="009D1337">
      <w:pPr>
        <w:pStyle w:val="FootnoteText"/>
        <w:rPr>
          <w:rFonts w:asciiTheme="minorHAnsi" w:hAnsiTheme="minorHAnsi" w:cstheme="minorHAnsi"/>
          <w:sz w:val="16"/>
          <w:szCs w:val="16"/>
        </w:rPr>
      </w:pPr>
      <w:r w:rsidRPr="00BB1F8D">
        <w:rPr>
          <w:rStyle w:val="FootnoteReference"/>
          <w:rFonts w:asciiTheme="minorHAnsi" w:hAnsiTheme="minorHAnsi" w:cstheme="minorHAnsi"/>
          <w:sz w:val="16"/>
          <w:szCs w:val="16"/>
        </w:rPr>
        <w:footnoteRef/>
      </w:r>
      <w:r w:rsidRPr="00BB1F8D">
        <w:rPr>
          <w:rFonts w:asciiTheme="minorHAnsi" w:hAnsiTheme="minorHAnsi" w:cstheme="minorHAnsi"/>
          <w:sz w:val="16"/>
          <w:szCs w:val="16"/>
        </w:rPr>
        <w:t xml:space="preserve"> </w:t>
      </w:r>
      <w:r w:rsidRPr="00BB1F8D">
        <w:rPr>
          <w:rFonts w:asciiTheme="minorHAnsi" w:hAnsiTheme="minorHAnsi" w:cstheme="minorHAnsi"/>
          <w:color w:val="000000"/>
          <w:sz w:val="16"/>
          <w:szCs w:val="16"/>
          <w:u w:val="single"/>
        </w:rPr>
        <w:t>http://info.fazenda.sp.gov.br/NXT/gateway.dll/legislacao_tributaria/portaria_cat/pcat1022014.htm?f=templates&amp;fn=default.htm&amp;vid=sefaz_tributaria:vtribut</w:t>
      </w:r>
    </w:p>
  </w:footnote>
  <w:footnote w:id="119">
    <w:p w:rsidR="009D1337" w:rsidRPr="00BB1F8D" w:rsidRDefault="009D1337">
      <w:pPr>
        <w:pStyle w:val="FootnoteText"/>
        <w:rPr>
          <w:rFonts w:asciiTheme="minorHAnsi" w:hAnsiTheme="minorHAnsi" w:cstheme="minorHAnsi"/>
          <w:sz w:val="16"/>
          <w:szCs w:val="16"/>
        </w:rPr>
      </w:pPr>
      <w:r w:rsidRPr="00BB1F8D">
        <w:rPr>
          <w:rStyle w:val="FootnoteReference"/>
          <w:rFonts w:asciiTheme="minorHAnsi" w:hAnsiTheme="minorHAnsi" w:cstheme="minorHAnsi"/>
          <w:sz w:val="16"/>
          <w:szCs w:val="16"/>
        </w:rPr>
        <w:footnoteRef/>
      </w:r>
      <w:r w:rsidRPr="00BB1F8D">
        <w:rPr>
          <w:rFonts w:asciiTheme="minorHAnsi" w:hAnsiTheme="minorHAnsi" w:cstheme="minorHAnsi"/>
          <w:sz w:val="16"/>
          <w:szCs w:val="16"/>
        </w:rPr>
        <w:t xml:space="preserve"> </w:t>
      </w:r>
      <w:r w:rsidRPr="00BB1F8D">
        <w:rPr>
          <w:rFonts w:asciiTheme="minorHAnsi" w:hAnsiTheme="minorHAnsi" w:cstheme="minorHAnsi"/>
          <w:color w:val="000000"/>
          <w:sz w:val="16"/>
          <w:szCs w:val="16"/>
          <w:u w:val="single"/>
        </w:rPr>
        <w:t>http://info.fazenda.sp.gov.br/NXT/gateway.dll/legislacao_tributaria/portaria_cat/pcat1022014.htm?f=templates&amp;fn=default.htm&amp;vid=sefaz_tributaria:vtribut</w:t>
      </w:r>
    </w:p>
  </w:footnote>
  <w:footnote w:id="120">
    <w:p w:rsidR="009D1337" w:rsidRPr="00BB1F8D" w:rsidRDefault="009D1337">
      <w:pPr>
        <w:pStyle w:val="FootnoteText"/>
        <w:rPr>
          <w:rFonts w:asciiTheme="minorHAnsi" w:hAnsiTheme="minorHAnsi" w:cstheme="minorHAnsi"/>
          <w:sz w:val="16"/>
          <w:szCs w:val="16"/>
        </w:rPr>
      </w:pPr>
      <w:r w:rsidRPr="00BB1F8D">
        <w:rPr>
          <w:rStyle w:val="FootnoteReference"/>
          <w:rFonts w:asciiTheme="minorHAnsi" w:hAnsiTheme="minorHAnsi" w:cstheme="minorHAnsi"/>
          <w:sz w:val="16"/>
          <w:szCs w:val="16"/>
        </w:rPr>
        <w:footnoteRef/>
      </w:r>
      <w:r w:rsidRPr="00BB1F8D">
        <w:rPr>
          <w:rFonts w:asciiTheme="minorHAnsi" w:hAnsiTheme="minorHAnsi" w:cstheme="minorHAnsi"/>
          <w:sz w:val="16"/>
          <w:szCs w:val="16"/>
        </w:rPr>
        <w:t xml:space="preserve"> </w:t>
      </w:r>
      <w:r w:rsidRPr="00BB1F8D">
        <w:rPr>
          <w:rFonts w:asciiTheme="minorHAnsi" w:hAnsiTheme="minorHAnsi" w:cstheme="minorHAnsi"/>
          <w:color w:val="000000"/>
          <w:sz w:val="16"/>
          <w:szCs w:val="16"/>
          <w:u w:val="single"/>
        </w:rPr>
        <w:t>http://info.fazenda.sp.gov.br/NXT/gateway.dll/legislacao_tributaria/portaria_cat/pcat1022014.htm?f=templates&amp;fn=default.htm&amp;vid=sefaz_tributaria:vtribut</w:t>
      </w:r>
    </w:p>
  </w:footnote>
  <w:footnote w:id="121">
    <w:p w:rsidR="009D1337" w:rsidRPr="00BB1F8D" w:rsidRDefault="009D1337">
      <w:pPr>
        <w:pStyle w:val="FootnoteText"/>
        <w:rPr>
          <w:rFonts w:asciiTheme="minorHAnsi" w:hAnsiTheme="minorHAnsi" w:cstheme="minorHAnsi"/>
          <w:sz w:val="16"/>
          <w:szCs w:val="16"/>
        </w:rPr>
      </w:pPr>
      <w:r w:rsidRPr="00BB1F8D">
        <w:rPr>
          <w:rStyle w:val="FootnoteReference"/>
          <w:rFonts w:asciiTheme="minorHAnsi" w:hAnsiTheme="minorHAnsi" w:cstheme="minorHAnsi"/>
          <w:sz w:val="16"/>
          <w:szCs w:val="16"/>
        </w:rPr>
        <w:footnoteRef/>
      </w:r>
      <w:r w:rsidRPr="00BB1F8D">
        <w:rPr>
          <w:rFonts w:asciiTheme="minorHAnsi" w:hAnsiTheme="minorHAnsi" w:cstheme="minorHAnsi"/>
          <w:sz w:val="16"/>
          <w:szCs w:val="16"/>
        </w:rPr>
        <w:t xml:space="preserve"> </w:t>
      </w:r>
      <w:r w:rsidRPr="00BB1F8D">
        <w:rPr>
          <w:rFonts w:asciiTheme="minorHAnsi" w:hAnsiTheme="minorHAnsi" w:cstheme="minorHAnsi"/>
          <w:color w:val="000000"/>
          <w:sz w:val="16"/>
          <w:szCs w:val="16"/>
        </w:rPr>
        <w:t>O MEI está dispensado da emissão de documento fiscal.</w:t>
      </w:r>
      <w:r w:rsidRPr="00BB1F8D">
        <w:rPr>
          <w:rFonts w:asciiTheme="minorHAnsi" w:hAnsiTheme="minorHAnsi" w:cstheme="minorHAnsi"/>
          <w:color w:val="000000"/>
          <w:sz w:val="16"/>
          <w:szCs w:val="16"/>
        </w:rPr>
        <w:br/>
        <w:t>Atualmente o MEI que deseja emitir se credencia à emissão de documento fiscal eletrônico ou emitir a modelo 2 (em papel) ou a NFVC online (modelo 2 emitida eletronicamente no site na Nota Fiscal Paulista).</w:t>
      </w:r>
    </w:p>
  </w:footnote>
  <w:footnote w:id="122">
    <w:p w:rsidR="009D1337" w:rsidRPr="008F165E" w:rsidRDefault="009D1337" w:rsidP="000B5AFD">
      <w:pPr>
        <w:pStyle w:val="FootnoteText"/>
        <w:jc w:val="both"/>
        <w:rPr>
          <w:rFonts w:asciiTheme="minorHAnsi" w:hAnsiTheme="minorHAnsi" w:cstheme="minorHAnsi"/>
          <w:sz w:val="16"/>
          <w:szCs w:val="16"/>
        </w:rPr>
      </w:pPr>
      <w:r w:rsidRPr="008F165E">
        <w:rPr>
          <w:rStyle w:val="FootnoteReference"/>
          <w:rFonts w:asciiTheme="minorHAnsi" w:hAnsiTheme="minorHAnsi" w:cstheme="minorHAnsi"/>
          <w:sz w:val="16"/>
          <w:szCs w:val="16"/>
        </w:rPr>
        <w:footnoteRef/>
      </w:r>
      <w:r w:rsidRPr="008F165E">
        <w:rPr>
          <w:rFonts w:asciiTheme="minorHAnsi" w:hAnsiTheme="minorHAnsi" w:cstheme="minorHAnsi"/>
          <w:sz w:val="16"/>
          <w:szCs w:val="16"/>
        </w:rPr>
        <w:t xml:space="preserve"> </w:t>
      </w:r>
      <w:r w:rsidRPr="008F165E">
        <w:rPr>
          <w:rFonts w:asciiTheme="minorHAnsi" w:hAnsiTheme="minorHAnsi" w:cstheme="minorHAnsi"/>
          <w:color w:val="000000"/>
          <w:sz w:val="16"/>
          <w:szCs w:val="16"/>
        </w:rPr>
        <w:t>Existiu no passado um projeto para fazer uma conta fiscal do SN que foi interrompida. De qualquer forma as PGDAS-D são carregadas em um universo do DW para consulta.</w:t>
      </w:r>
    </w:p>
  </w:footnote>
  <w:footnote w:id="123">
    <w:p w:rsidR="009D1337" w:rsidRDefault="009D1337">
      <w:pPr>
        <w:pStyle w:val="FootnoteText"/>
      </w:pPr>
      <w:r>
        <w:rPr>
          <w:rStyle w:val="FootnoteReference"/>
        </w:rPr>
        <w:footnoteRef/>
      </w:r>
      <w:r>
        <w:t xml:space="preserve"> </w:t>
      </w:r>
      <w:hyperlink r:id="rId14" w:history="1">
        <w:r w:rsidRPr="00192E92">
          <w:rPr>
            <w:rFonts w:ascii="Calibri" w:hAnsi="Calibri" w:cs="Calibri"/>
            <w:sz w:val="16"/>
            <w:szCs w:val="16"/>
            <w:u w:val="single"/>
          </w:rPr>
          <w:t>https://portal.fazenda.sp.gov.br/servicos/itcmd/Paginas/Sobre.aspx</w:t>
        </w:r>
      </w:hyperlink>
    </w:p>
  </w:footnote>
  <w:footnote w:id="124">
    <w:p w:rsidR="009D1337" w:rsidRDefault="009D1337">
      <w:pPr>
        <w:pStyle w:val="FootnoteText"/>
      </w:pPr>
      <w:r>
        <w:rPr>
          <w:rStyle w:val="FootnoteReference"/>
        </w:rPr>
        <w:footnoteRef/>
      </w:r>
      <w:r>
        <w:t xml:space="preserve"> </w:t>
      </w:r>
      <w:r w:rsidRPr="00A13E79">
        <w:rPr>
          <w:rFonts w:asciiTheme="minorHAnsi" w:hAnsiTheme="minorHAnsi" w:cstheme="minorHAnsi"/>
          <w:color w:val="000000"/>
          <w:sz w:val="16"/>
          <w:szCs w:val="16"/>
        </w:rPr>
        <w:t>TITULO V, Das Penalidades, do RICMS (LEI 6.374/89).</w:t>
      </w:r>
      <w:r w:rsidRPr="00A13E79">
        <w:rPr>
          <w:rFonts w:asciiTheme="minorHAnsi" w:hAnsiTheme="minorHAnsi" w:cstheme="minorHAnsi"/>
          <w:color w:val="000000"/>
          <w:sz w:val="16"/>
          <w:szCs w:val="16"/>
        </w:rPr>
        <w:br/>
        <w:t>http://info.fazenda.sp.gov.br/nxt/gateway.dll?f=templates&amp;fn=default.htm&amp;vid=sefaz_tributaria:vtribut</w:t>
      </w:r>
    </w:p>
  </w:footnote>
  <w:footnote w:id="125">
    <w:p w:rsidR="009D1337" w:rsidRPr="00BB1F8D" w:rsidRDefault="009D1337">
      <w:pPr>
        <w:pStyle w:val="FootnoteText"/>
        <w:rPr>
          <w:rFonts w:asciiTheme="minorHAnsi" w:hAnsiTheme="minorHAnsi" w:cstheme="minorHAnsi"/>
          <w:sz w:val="16"/>
          <w:szCs w:val="16"/>
        </w:rPr>
      </w:pPr>
      <w:r w:rsidRPr="00BB1F8D">
        <w:rPr>
          <w:rStyle w:val="FootnoteReference"/>
          <w:rFonts w:asciiTheme="minorHAnsi" w:hAnsiTheme="minorHAnsi" w:cstheme="minorHAnsi"/>
          <w:sz w:val="16"/>
          <w:szCs w:val="16"/>
        </w:rPr>
        <w:footnoteRef/>
      </w:r>
      <w:r w:rsidRPr="00BB1F8D">
        <w:rPr>
          <w:rFonts w:asciiTheme="minorHAnsi" w:hAnsiTheme="minorHAnsi" w:cstheme="minorHAnsi"/>
          <w:sz w:val="16"/>
          <w:szCs w:val="16"/>
        </w:rPr>
        <w:t xml:space="preserve"> </w:t>
      </w:r>
      <w:r w:rsidRPr="00BB1F8D">
        <w:rPr>
          <w:rFonts w:asciiTheme="minorHAnsi" w:hAnsiTheme="minorHAnsi" w:cstheme="minorHAnsi"/>
          <w:color w:val="000000"/>
          <w:sz w:val="16"/>
          <w:szCs w:val="16"/>
        </w:rPr>
        <w:t>http://info.fazenda.sp.gov.br/nxt/gateway.dll?f=templates&amp;fn=default.htm&amp;vid=sefaz_tributaria:vtribut</w:t>
      </w:r>
      <w:r w:rsidRPr="00BB1F8D">
        <w:rPr>
          <w:rFonts w:asciiTheme="minorHAnsi" w:hAnsiTheme="minorHAnsi" w:cstheme="minorHAnsi"/>
          <w:color w:val="000000"/>
          <w:sz w:val="16"/>
          <w:szCs w:val="16"/>
        </w:rPr>
        <w:br/>
        <w:t>https://www.legisweb.com.br/legislacao/?id=276662</w:t>
      </w:r>
    </w:p>
  </w:footnote>
  <w:footnote w:id="126">
    <w:p w:rsidR="009D1337" w:rsidRPr="00BB1F8D" w:rsidRDefault="009D1337">
      <w:pPr>
        <w:pStyle w:val="FootnoteText"/>
        <w:rPr>
          <w:rFonts w:asciiTheme="minorHAnsi" w:hAnsiTheme="minorHAnsi" w:cstheme="minorHAnsi"/>
          <w:sz w:val="16"/>
          <w:szCs w:val="16"/>
        </w:rPr>
      </w:pPr>
      <w:r w:rsidRPr="00BB1F8D">
        <w:rPr>
          <w:rStyle w:val="FootnoteReference"/>
          <w:rFonts w:asciiTheme="minorHAnsi" w:hAnsiTheme="minorHAnsi" w:cstheme="minorHAnsi"/>
          <w:sz w:val="16"/>
          <w:szCs w:val="16"/>
        </w:rPr>
        <w:footnoteRef/>
      </w:r>
      <w:r w:rsidRPr="00BB1F8D">
        <w:rPr>
          <w:rFonts w:asciiTheme="minorHAnsi" w:hAnsiTheme="minorHAnsi" w:cstheme="minorHAnsi"/>
          <w:sz w:val="16"/>
          <w:szCs w:val="16"/>
        </w:rPr>
        <w:t xml:space="preserve"> </w:t>
      </w:r>
      <w:r w:rsidRPr="00BB1F8D">
        <w:rPr>
          <w:rFonts w:asciiTheme="minorHAnsi" w:hAnsiTheme="minorHAnsi" w:cstheme="minorHAnsi"/>
          <w:sz w:val="16"/>
          <w:szCs w:val="16"/>
          <w:u w:val="single"/>
        </w:rPr>
        <w:t>https://www.al.sp.gov.br/repositorio/legislacao/decreto/2008/decreto-53455-19.09.2008.html</w:t>
      </w:r>
    </w:p>
  </w:footnote>
  <w:footnote w:id="127">
    <w:p w:rsidR="009D1337" w:rsidRPr="00BB1F8D" w:rsidRDefault="009D1337" w:rsidP="00B30DCB">
      <w:pPr>
        <w:tabs>
          <w:tab w:val="left" w:pos="3124"/>
        </w:tabs>
        <w:jc w:val="both"/>
        <w:rPr>
          <w:rFonts w:asciiTheme="minorHAnsi" w:hAnsiTheme="minorHAnsi" w:cstheme="minorHAnsi"/>
          <w:sz w:val="16"/>
          <w:szCs w:val="16"/>
        </w:rPr>
      </w:pPr>
      <w:r w:rsidRPr="00BB1F8D">
        <w:rPr>
          <w:rStyle w:val="FootnoteReference"/>
          <w:rFonts w:asciiTheme="minorHAnsi" w:hAnsiTheme="minorHAnsi" w:cstheme="minorHAnsi"/>
          <w:sz w:val="16"/>
          <w:szCs w:val="16"/>
        </w:rPr>
        <w:footnoteRef/>
      </w:r>
      <w:r w:rsidRPr="00BB1F8D">
        <w:rPr>
          <w:rFonts w:asciiTheme="minorHAnsi" w:hAnsiTheme="minorHAnsi" w:cstheme="minorHAnsi"/>
          <w:sz w:val="16"/>
          <w:szCs w:val="16"/>
        </w:rPr>
        <w:t xml:space="preserve"> Equipes da DEAT (Supervisão Setorial, Monitoramento, AFIAC)</w:t>
      </w:r>
    </w:p>
  </w:footnote>
  <w:footnote w:id="128">
    <w:p w:rsidR="009D1337" w:rsidRPr="009D1337" w:rsidRDefault="009D1337" w:rsidP="005C2161">
      <w:pPr>
        <w:rPr>
          <w:rFonts w:asciiTheme="minorHAnsi" w:hAnsiTheme="minorHAnsi" w:cstheme="minorHAnsi"/>
          <w:sz w:val="16"/>
          <w:szCs w:val="16"/>
          <w:lang w:val="en-US"/>
        </w:rPr>
      </w:pPr>
      <w:r w:rsidRPr="00BB1F8D">
        <w:rPr>
          <w:rStyle w:val="FootnoteReference"/>
          <w:rFonts w:asciiTheme="minorHAnsi" w:hAnsiTheme="minorHAnsi" w:cstheme="minorHAnsi"/>
          <w:sz w:val="16"/>
          <w:szCs w:val="16"/>
        </w:rPr>
        <w:footnoteRef/>
      </w:r>
      <w:r w:rsidRPr="009D1337">
        <w:rPr>
          <w:rFonts w:asciiTheme="minorHAnsi" w:hAnsiTheme="minorHAnsi" w:cstheme="minorHAnsi"/>
          <w:sz w:val="16"/>
          <w:szCs w:val="16"/>
          <w:lang w:val="en-US"/>
        </w:rPr>
        <w:t xml:space="preserve"> </w:t>
      </w:r>
      <w:r w:rsidRPr="009D1337">
        <w:rPr>
          <w:rFonts w:asciiTheme="minorHAnsi" w:hAnsiTheme="minorHAnsi" w:cstheme="minorHAnsi"/>
          <w:sz w:val="16"/>
          <w:szCs w:val="16"/>
          <w:lang w:val="en-US"/>
        </w:rPr>
        <w:t>RICMS - ART 527 http://info.fazenda.sp.gov.br/nxt/gateway.dll?f=templates&amp;fn=default.htm&amp;vid=sefaz_tributaria:vtribut</w:t>
      </w:r>
    </w:p>
  </w:footnote>
  <w:footnote w:id="129">
    <w:p w:rsidR="009D1337" w:rsidRPr="00BB1F8D" w:rsidRDefault="009D1337">
      <w:pPr>
        <w:pStyle w:val="FootnoteText"/>
        <w:rPr>
          <w:rFonts w:asciiTheme="minorHAnsi" w:hAnsiTheme="minorHAnsi" w:cstheme="minorHAnsi"/>
          <w:color w:val="000000"/>
          <w:sz w:val="16"/>
          <w:szCs w:val="16"/>
        </w:rPr>
      </w:pPr>
      <w:r w:rsidRPr="00BB1F8D">
        <w:rPr>
          <w:rStyle w:val="FootnoteReference"/>
          <w:rFonts w:asciiTheme="minorHAnsi" w:hAnsiTheme="minorHAnsi" w:cstheme="minorHAnsi"/>
          <w:sz w:val="16"/>
          <w:szCs w:val="16"/>
        </w:rPr>
        <w:footnoteRef/>
      </w:r>
      <w:r w:rsidRPr="00BB1F8D">
        <w:rPr>
          <w:rFonts w:asciiTheme="minorHAnsi" w:hAnsiTheme="minorHAnsi" w:cstheme="minorHAnsi"/>
          <w:sz w:val="16"/>
          <w:szCs w:val="16"/>
        </w:rPr>
        <w:t xml:space="preserve"> </w:t>
      </w:r>
      <w:r w:rsidRPr="00BB1F8D">
        <w:rPr>
          <w:rFonts w:asciiTheme="minorHAnsi" w:hAnsiTheme="minorHAnsi" w:cstheme="minorHAnsi"/>
          <w:color w:val="000000"/>
          <w:sz w:val="16"/>
          <w:szCs w:val="16"/>
        </w:rPr>
        <w:t xml:space="preserve">Decreto Nº 60.812, de 30 de setembro de 2014 - Artigo 37 - A </w:t>
      </w:r>
      <w:r w:rsidRPr="00BB1F8D">
        <w:rPr>
          <w:rFonts w:asciiTheme="minorHAnsi" w:hAnsiTheme="minorHAnsi" w:cstheme="minorHAnsi"/>
          <w:bCs/>
          <w:color w:val="000000"/>
          <w:sz w:val="16"/>
          <w:szCs w:val="16"/>
          <w:u w:val="single"/>
        </w:rPr>
        <w:t>Assistência de Inteligência Fiscal</w:t>
      </w:r>
      <w:r w:rsidRPr="00BB1F8D">
        <w:rPr>
          <w:rFonts w:asciiTheme="minorHAnsi" w:hAnsiTheme="minorHAnsi" w:cstheme="minorHAnsi"/>
          <w:color w:val="000000"/>
          <w:sz w:val="16"/>
          <w:szCs w:val="16"/>
        </w:rPr>
        <w:t xml:space="preserve"> tem, além das previstas no artigo 139 deste decreto, as seguintes atribuições: I - investigar fraudes de natureza penal tributária; II - propor a adoção de procedimentos administrativos, técnicos ou fiscais, que permitam a inibição de fraudes fiscais.</w:t>
      </w:r>
    </w:p>
    <w:p w:rsidR="009D1337" w:rsidRPr="00BB1F8D" w:rsidRDefault="009D1337">
      <w:pPr>
        <w:pStyle w:val="FootnoteText"/>
        <w:rPr>
          <w:rFonts w:asciiTheme="minorHAnsi" w:hAnsiTheme="minorHAnsi" w:cstheme="minorHAnsi"/>
          <w:sz w:val="16"/>
          <w:szCs w:val="16"/>
        </w:rPr>
      </w:pPr>
      <w:r w:rsidRPr="00BB1F8D">
        <w:rPr>
          <w:rFonts w:asciiTheme="minorHAnsi" w:hAnsiTheme="minorHAnsi" w:cstheme="minorHAnsi"/>
          <w:color w:val="000000"/>
          <w:sz w:val="16"/>
          <w:szCs w:val="16"/>
          <w:u w:val="single"/>
        </w:rPr>
        <w:t>https://www.al.sp.gov.br/repositorio/legislacao/decreto/2014/decreto-60812-30.09.2014.html</w:t>
      </w:r>
    </w:p>
  </w:footnote>
  <w:footnote w:id="130">
    <w:p w:rsidR="009D1337" w:rsidRPr="00BB1F8D" w:rsidRDefault="009D1337">
      <w:pPr>
        <w:pStyle w:val="FootnoteText"/>
        <w:rPr>
          <w:rFonts w:asciiTheme="minorHAnsi" w:hAnsiTheme="minorHAnsi" w:cstheme="minorHAnsi"/>
          <w:sz w:val="16"/>
          <w:szCs w:val="16"/>
        </w:rPr>
      </w:pPr>
      <w:r w:rsidRPr="00BB1F8D">
        <w:rPr>
          <w:rStyle w:val="FootnoteReference"/>
          <w:rFonts w:asciiTheme="minorHAnsi" w:hAnsiTheme="minorHAnsi" w:cstheme="minorHAnsi"/>
          <w:sz w:val="16"/>
          <w:szCs w:val="16"/>
        </w:rPr>
        <w:footnoteRef/>
      </w:r>
      <w:r w:rsidRPr="00BB1F8D">
        <w:rPr>
          <w:rFonts w:asciiTheme="minorHAnsi" w:hAnsiTheme="minorHAnsi" w:cstheme="minorHAnsi"/>
          <w:sz w:val="16"/>
          <w:szCs w:val="16"/>
        </w:rPr>
        <w:t xml:space="preserve"> </w:t>
      </w:r>
      <w:r w:rsidRPr="00BB1F8D">
        <w:rPr>
          <w:rFonts w:asciiTheme="minorHAnsi" w:hAnsiTheme="minorHAnsi" w:cstheme="minorHAnsi"/>
          <w:b/>
          <w:bCs/>
          <w:color w:val="000000"/>
          <w:sz w:val="16"/>
          <w:szCs w:val="16"/>
        </w:rPr>
        <w:t>Ciclo de Inteligência</w:t>
      </w:r>
      <w:r w:rsidRPr="00BB1F8D">
        <w:rPr>
          <w:rFonts w:asciiTheme="minorHAnsi" w:hAnsiTheme="minorHAnsi" w:cstheme="minorHAnsi"/>
          <w:color w:val="000000"/>
          <w:sz w:val="16"/>
          <w:szCs w:val="16"/>
        </w:rPr>
        <w:t xml:space="preserve"> adotado pela Assistência de Inteligência Fiscal na Secretaria da Fazenda</w:t>
      </w:r>
      <w:r w:rsidRPr="00BB1F8D">
        <w:rPr>
          <w:rFonts w:asciiTheme="minorHAnsi" w:hAnsiTheme="minorHAnsi" w:cstheme="minorHAnsi"/>
          <w:color w:val="000000"/>
          <w:sz w:val="16"/>
          <w:szCs w:val="16"/>
        </w:rPr>
        <w:br/>
        <w:t xml:space="preserve">Link da Intranet: </w:t>
      </w:r>
      <w:r w:rsidRPr="00BB1F8D">
        <w:rPr>
          <w:rFonts w:asciiTheme="minorHAnsi" w:hAnsiTheme="minorHAnsi" w:cstheme="minorHAnsi"/>
          <w:color w:val="000000"/>
          <w:sz w:val="16"/>
          <w:szCs w:val="16"/>
          <w:u w:val="single"/>
        </w:rPr>
        <w:t>http://etc.intra.fazenda.sp.gov.br/sites/deat_aif/SitePages/Fluxo%20de%20Trabalho.aspx</w:t>
      </w:r>
    </w:p>
  </w:footnote>
  <w:footnote w:id="131">
    <w:p w:rsidR="009D1337" w:rsidRPr="00BB1F8D" w:rsidRDefault="009D1337">
      <w:pPr>
        <w:pStyle w:val="FootnoteText"/>
        <w:rPr>
          <w:rFonts w:asciiTheme="minorHAnsi" w:hAnsiTheme="minorHAnsi" w:cstheme="minorHAnsi"/>
          <w:color w:val="000000"/>
          <w:sz w:val="16"/>
          <w:szCs w:val="16"/>
        </w:rPr>
      </w:pPr>
      <w:r w:rsidRPr="00BB1F8D">
        <w:rPr>
          <w:rStyle w:val="FootnoteReference"/>
          <w:rFonts w:asciiTheme="minorHAnsi" w:hAnsiTheme="minorHAnsi" w:cstheme="minorHAnsi"/>
          <w:sz w:val="16"/>
          <w:szCs w:val="16"/>
        </w:rPr>
        <w:footnoteRef/>
      </w:r>
      <w:r w:rsidRPr="00BB1F8D">
        <w:rPr>
          <w:rFonts w:asciiTheme="minorHAnsi" w:hAnsiTheme="minorHAnsi" w:cstheme="minorHAnsi"/>
          <w:sz w:val="16"/>
          <w:szCs w:val="16"/>
        </w:rPr>
        <w:t xml:space="preserve"> </w:t>
      </w:r>
      <w:r w:rsidRPr="00BB1F8D">
        <w:rPr>
          <w:rFonts w:asciiTheme="minorHAnsi" w:hAnsiTheme="minorHAnsi" w:cstheme="minorHAnsi"/>
          <w:color w:val="000000"/>
          <w:sz w:val="16"/>
          <w:szCs w:val="16"/>
        </w:rPr>
        <w:t xml:space="preserve">O Protocolo ICMS 66/09, institui o Sistema de Inteligência Fiscal - SIF -, integrado pelas Unidades de Inteligência Fiscal - </w:t>
      </w:r>
      <w:proofErr w:type="spellStart"/>
      <w:r w:rsidRPr="00BB1F8D">
        <w:rPr>
          <w:rFonts w:asciiTheme="minorHAnsi" w:hAnsiTheme="minorHAnsi" w:cstheme="minorHAnsi"/>
          <w:color w:val="000000"/>
          <w:sz w:val="16"/>
          <w:szCs w:val="16"/>
        </w:rPr>
        <w:t>UnIF</w:t>
      </w:r>
      <w:proofErr w:type="spellEnd"/>
      <w:r w:rsidRPr="00BB1F8D">
        <w:rPr>
          <w:rFonts w:asciiTheme="minorHAnsi" w:hAnsiTheme="minorHAnsi" w:cstheme="minorHAnsi"/>
          <w:color w:val="000000"/>
          <w:sz w:val="16"/>
          <w:szCs w:val="16"/>
        </w:rPr>
        <w:t xml:space="preserve"> - da União, dos Estados e do Distrito </w:t>
      </w:r>
      <w:proofErr w:type="gramStart"/>
      <w:r w:rsidRPr="00BB1F8D">
        <w:rPr>
          <w:rFonts w:asciiTheme="minorHAnsi" w:hAnsiTheme="minorHAnsi" w:cstheme="minorHAnsi"/>
          <w:color w:val="000000"/>
          <w:sz w:val="16"/>
          <w:szCs w:val="16"/>
        </w:rPr>
        <w:t>Federal,  com</w:t>
      </w:r>
      <w:proofErr w:type="gramEnd"/>
      <w:r w:rsidRPr="00BB1F8D">
        <w:rPr>
          <w:rFonts w:asciiTheme="minorHAnsi" w:hAnsiTheme="minorHAnsi" w:cstheme="minorHAnsi"/>
          <w:color w:val="000000"/>
          <w:sz w:val="16"/>
          <w:szCs w:val="16"/>
        </w:rPr>
        <w:t xml:space="preserve"> o objetivo de promover a cooperação técnica, o intercâmbio de informações e facilitar o desenvolvimento de ações de Inteligência Fiscal, conjuntas e integradas, entre os participantes do Sistema.</w:t>
      </w:r>
    </w:p>
    <w:p w:rsidR="009D1337" w:rsidRPr="00BB1F8D" w:rsidRDefault="009D1337">
      <w:pPr>
        <w:pStyle w:val="FootnoteText"/>
        <w:rPr>
          <w:rFonts w:asciiTheme="minorHAnsi" w:hAnsiTheme="minorHAnsi" w:cstheme="minorHAnsi"/>
          <w:sz w:val="16"/>
          <w:szCs w:val="16"/>
        </w:rPr>
      </w:pPr>
      <w:r w:rsidRPr="00BB1F8D">
        <w:rPr>
          <w:rFonts w:asciiTheme="minorHAnsi" w:hAnsiTheme="minorHAnsi" w:cstheme="minorHAnsi"/>
          <w:color w:val="000000"/>
          <w:sz w:val="16"/>
          <w:szCs w:val="16"/>
          <w:u w:val="single"/>
        </w:rPr>
        <w:t>https://www.confaz.fazenda.gov.br/legislacao/protocolos/2009/pt066_09</w:t>
      </w:r>
    </w:p>
  </w:footnote>
  <w:footnote w:id="132">
    <w:p w:rsidR="009D1337" w:rsidRPr="00BB1F8D" w:rsidRDefault="009D1337" w:rsidP="00FA2CB3">
      <w:pPr>
        <w:tabs>
          <w:tab w:val="left" w:pos="3124"/>
        </w:tabs>
        <w:jc w:val="both"/>
        <w:rPr>
          <w:rFonts w:asciiTheme="minorHAnsi" w:hAnsiTheme="minorHAnsi" w:cstheme="minorHAnsi"/>
          <w:sz w:val="16"/>
          <w:szCs w:val="16"/>
        </w:rPr>
      </w:pPr>
      <w:r w:rsidRPr="00BB1F8D">
        <w:rPr>
          <w:rStyle w:val="FootnoteReference"/>
          <w:rFonts w:asciiTheme="minorHAnsi" w:hAnsiTheme="minorHAnsi" w:cstheme="minorHAnsi"/>
          <w:sz w:val="16"/>
          <w:szCs w:val="16"/>
        </w:rPr>
        <w:footnoteRef/>
      </w:r>
      <w:r w:rsidRPr="00BB1F8D">
        <w:rPr>
          <w:rFonts w:asciiTheme="minorHAnsi" w:hAnsiTheme="minorHAnsi" w:cstheme="minorHAnsi"/>
          <w:sz w:val="16"/>
          <w:szCs w:val="16"/>
        </w:rPr>
        <w:t xml:space="preserve"> </w:t>
      </w:r>
      <w:r w:rsidRPr="00BB1F8D">
        <w:rPr>
          <w:rFonts w:asciiTheme="minorHAnsi" w:hAnsiTheme="minorHAnsi" w:cstheme="minorHAnsi"/>
          <w:color w:val="000000"/>
          <w:sz w:val="16"/>
          <w:szCs w:val="16"/>
        </w:rPr>
        <w:t>Em 2013, foram adquiridos atualização e suporte dos programas "</w:t>
      </w:r>
      <w:proofErr w:type="spellStart"/>
      <w:r w:rsidRPr="00BB1F8D">
        <w:rPr>
          <w:rFonts w:asciiTheme="minorHAnsi" w:hAnsiTheme="minorHAnsi" w:cstheme="minorHAnsi"/>
          <w:color w:val="000000"/>
          <w:sz w:val="16"/>
          <w:szCs w:val="16"/>
        </w:rPr>
        <w:t>suite</w:t>
      </w:r>
      <w:proofErr w:type="spellEnd"/>
      <w:r w:rsidRPr="00BB1F8D">
        <w:rPr>
          <w:rFonts w:asciiTheme="minorHAnsi" w:hAnsiTheme="minorHAnsi" w:cstheme="minorHAnsi"/>
          <w:color w:val="000000"/>
          <w:sz w:val="16"/>
          <w:szCs w:val="16"/>
        </w:rPr>
        <w:t xml:space="preserve">" </w:t>
      </w:r>
      <w:proofErr w:type="spellStart"/>
      <w:r w:rsidRPr="00BB1F8D">
        <w:rPr>
          <w:rFonts w:asciiTheme="minorHAnsi" w:hAnsiTheme="minorHAnsi" w:cstheme="minorHAnsi"/>
          <w:color w:val="000000"/>
          <w:sz w:val="16"/>
          <w:szCs w:val="16"/>
        </w:rPr>
        <w:t>Accessdata</w:t>
      </w:r>
      <w:proofErr w:type="spellEnd"/>
      <w:r w:rsidRPr="00BB1F8D">
        <w:rPr>
          <w:rFonts w:asciiTheme="minorHAnsi" w:hAnsiTheme="minorHAnsi" w:cstheme="minorHAnsi"/>
          <w:color w:val="000000"/>
          <w:sz w:val="16"/>
          <w:szCs w:val="16"/>
        </w:rPr>
        <w:t xml:space="preserve"> </w:t>
      </w:r>
      <w:proofErr w:type="spellStart"/>
      <w:r w:rsidRPr="00BB1F8D">
        <w:rPr>
          <w:rFonts w:asciiTheme="minorHAnsi" w:hAnsiTheme="minorHAnsi" w:cstheme="minorHAnsi"/>
          <w:color w:val="000000"/>
          <w:sz w:val="16"/>
          <w:szCs w:val="16"/>
        </w:rPr>
        <w:t>Forensic</w:t>
      </w:r>
      <w:proofErr w:type="spellEnd"/>
      <w:r w:rsidRPr="00BB1F8D">
        <w:rPr>
          <w:rFonts w:asciiTheme="minorHAnsi" w:hAnsiTheme="minorHAnsi" w:cstheme="minorHAnsi"/>
          <w:color w:val="000000"/>
          <w:sz w:val="16"/>
          <w:szCs w:val="16"/>
        </w:rPr>
        <w:t xml:space="preserve"> Toolkit (FTK) para 12 licenças por um período de 36 </w:t>
      </w:r>
      <w:proofErr w:type="spellStart"/>
      <w:proofErr w:type="gramStart"/>
      <w:r w:rsidRPr="00BB1F8D">
        <w:rPr>
          <w:rFonts w:asciiTheme="minorHAnsi" w:hAnsiTheme="minorHAnsi" w:cstheme="minorHAnsi"/>
          <w:color w:val="000000"/>
          <w:sz w:val="16"/>
          <w:szCs w:val="16"/>
        </w:rPr>
        <w:t>meses.Em</w:t>
      </w:r>
      <w:proofErr w:type="spellEnd"/>
      <w:proofErr w:type="gramEnd"/>
      <w:r w:rsidRPr="00BB1F8D">
        <w:rPr>
          <w:rFonts w:asciiTheme="minorHAnsi" w:hAnsiTheme="minorHAnsi" w:cstheme="minorHAnsi"/>
          <w:color w:val="000000"/>
          <w:sz w:val="16"/>
          <w:szCs w:val="16"/>
        </w:rPr>
        <w:t xml:space="preserve"> 2015, conforme contrato 94113-SAAC-00081-2015, foram adquiridos atualização e suporte dos programas "</w:t>
      </w:r>
      <w:proofErr w:type="spellStart"/>
      <w:r w:rsidRPr="00BB1F8D">
        <w:rPr>
          <w:rFonts w:asciiTheme="minorHAnsi" w:hAnsiTheme="minorHAnsi" w:cstheme="minorHAnsi"/>
          <w:color w:val="000000"/>
          <w:sz w:val="16"/>
          <w:szCs w:val="16"/>
        </w:rPr>
        <w:t>suite</w:t>
      </w:r>
      <w:proofErr w:type="spellEnd"/>
      <w:r w:rsidRPr="00BB1F8D">
        <w:rPr>
          <w:rFonts w:asciiTheme="minorHAnsi" w:hAnsiTheme="minorHAnsi" w:cstheme="minorHAnsi"/>
          <w:color w:val="000000"/>
          <w:sz w:val="16"/>
          <w:szCs w:val="16"/>
        </w:rPr>
        <w:t xml:space="preserve">" </w:t>
      </w:r>
      <w:proofErr w:type="spellStart"/>
      <w:r w:rsidRPr="00BB1F8D">
        <w:rPr>
          <w:rFonts w:asciiTheme="minorHAnsi" w:hAnsiTheme="minorHAnsi" w:cstheme="minorHAnsi"/>
          <w:color w:val="000000"/>
          <w:sz w:val="16"/>
          <w:szCs w:val="16"/>
        </w:rPr>
        <w:t>Accessdata</w:t>
      </w:r>
      <w:proofErr w:type="spellEnd"/>
      <w:r w:rsidRPr="00BB1F8D">
        <w:rPr>
          <w:rFonts w:asciiTheme="minorHAnsi" w:hAnsiTheme="minorHAnsi" w:cstheme="minorHAnsi"/>
          <w:color w:val="000000"/>
          <w:sz w:val="16"/>
          <w:szCs w:val="16"/>
        </w:rPr>
        <w:t xml:space="preserve"> </w:t>
      </w:r>
      <w:proofErr w:type="spellStart"/>
      <w:r w:rsidRPr="00BB1F8D">
        <w:rPr>
          <w:rFonts w:asciiTheme="minorHAnsi" w:hAnsiTheme="minorHAnsi" w:cstheme="minorHAnsi"/>
          <w:color w:val="000000"/>
          <w:sz w:val="16"/>
          <w:szCs w:val="16"/>
        </w:rPr>
        <w:t>Forensic</w:t>
      </w:r>
      <w:proofErr w:type="spellEnd"/>
      <w:r w:rsidRPr="00BB1F8D">
        <w:rPr>
          <w:rFonts w:asciiTheme="minorHAnsi" w:hAnsiTheme="minorHAnsi" w:cstheme="minorHAnsi"/>
          <w:color w:val="000000"/>
          <w:sz w:val="16"/>
          <w:szCs w:val="16"/>
        </w:rPr>
        <w:t xml:space="preserve"> Toolkit (FTK) para 12 licenças por um período de 36 meses. Em 2016, conforme NF 319, foram adquiridos 23 computadores (Workstation Dell </w:t>
      </w:r>
      <w:proofErr w:type="spellStart"/>
      <w:r w:rsidRPr="00BB1F8D">
        <w:rPr>
          <w:rFonts w:asciiTheme="minorHAnsi" w:hAnsiTheme="minorHAnsi" w:cstheme="minorHAnsi"/>
          <w:color w:val="000000"/>
          <w:sz w:val="16"/>
          <w:szCs w:val="16"/>
        </w:rPr>
        <w:t>Precision</w:t>
      </w:r>
      <w:proofErr w:type="spellEnd"/>
      <w:r w:rsidRPr="00BB1F8D">
        <w:rPr>
          <w:rFonts w:asciiTheme="minorHAnsi" w:hAnsiTheme="minorHAnsi" w:cstheme="minorHAnsi"/>
          <w:color w:val="000000"/>
          <w:sz w:val="16"/>
          <w:szCs w:val="16"/>
        </w:rPr>
        <w:t xml:space="preserve"> T7910). O laboratório de informática forense possui 24 licenças de programas de perícia forense, sendo que 12 delas encontram-se vencidas ou outras 12 vencerão em junho de 2018. Licenças vencidas não permitem atualização dos programas, impedindo assim utilização de novos recursos e compatibilidades com sistemas que estão em constante evolução. Os 23 computadores foram especificados conforme recomendação ideal do fabricante do programa FTK. Utiliza laboratórios de auditoria digital para análise e preparação de provas e identificação de fraudes fiscais com registros em meio digital</w:t>
      </w:r>
      <w:r w:rsidRPr="00BB1F8D">
        <w:rPr>
          <w:rFonts w:asciiTheme="minorHAnsi" w:hAnsiTheme="minorHAnsi" w:cstheme="minorHAnsi"/>
          <w:color w:val="000000"/>
          <w:sz w:val="16"/>
          <w:szCs w:val="16"/>
        </w:rPr>
        <w:tab/>
      </w:r>
    </w:p>
  </w:footnote>
  <w:footnote w:id="133">
    <w:p w:rsidR="009D1337" w:rsidRPr="00BB1F8D" w:rsidRDefault="009D1337">
      <w:pPr>
        <w:pStyle w:val="FootnoteText"/>
        <w:rPr>
          <w:rFonts w:asciiTheme="minorHAnsi" w:hAnsiTheme="minorHAnsi" w:cstheme="minorHAnsi"/>
          <w:sz w:val="16"/>
          <w:szCs w:val="16"/>
        </w:rPr>
      </w:pPr>
      <w:r w:rsidRPr="00BB1F8D">
        <w:rPr>
          <w:rStyle w:val="FootnoteReference"/>
          <w:rFonts w:asciiTheme="minorHAnsi" w:hAnsiTheme="minorHAnsi" w:cstheme="minorHAnsi"/>
          <w:sz w:val="16"/>
          <w:szCs w:val="16"/>
        </w:rPr>
        <w:footnoteRef/>
      </w:r>
      <w:r w:rsidRPr="00BB1F8D">
        <w:rPr>
          <w:rFonts w:asciiTheme="minorHAnsi" w:hAnsiTheme="minorHAnsi" w:cstheme="minorHAnsi"/>
          <w:sz w:val="16"/>
          <w:szCs w:val="16"/>
        </w:rPr>
        <w:t xml:space="preserve"> </w:t>
      </w:r>
      <w:r w:rsidRPr="00BB1F8D">
        <w:rPr>
          <w:rFonts w:asciiTheme="minorHAnsi" w:hAnsiTheme="minorHAnsi" w:cstheme="minorHAnsi"/>
          <w:color w:val="000000"/>
          <w:sz w:val="16"/>
          <w:szCs w:val="16"/>
          <w:u w:val="single"/>
        </w:rPr>
        <w:t>https://www.fazenda.sp.gov.br/cte/credenciamento/credenciamento.asp</w:t>
      </w:r>
      <w:r w:rsidRPr="00BB1F8D">
        <w:rPr>
          <w:rFonts w:asciiTheme="minorHAnsi" w:hAnsiTheme="minorHAnsi" w:cstheme="minorHAnsi"/>
          <w:color w:val="000000"/>
          <w:sz w:val="16"/>
          <w:szCs w:val="16"/>
          <w:u w:val="single"/>
        </w:rPr>
        <w:br/>
        <w:t>https://www.fazenda.sp.gov.br/mdfe/</w:t>
      </w:r>
    </w:p>
  </w:footnote>
  <w:footnote w:id="134">
    <w:p w:rsidR="009D1337" w:rsidRPr="00BB1F8D" w:rsidRDefault="009D1337" w:rsidP="00BB1F8D">
      <w:pPr>
        <w:tabs>
          <w:tab w:val="left" w:pos="418"/>
          <w:tab w:val="left" w:pos="3472"/>
        </w:tabs>
        <w:ind w:left="70"/>
        <w:jc w:val="both"/>
        <w:rPr>
          <w:rFonts w:asciiTheme="minorHAnsi" w:hAnsiTheme="minorHAnsi" w:cstheme="minorHAnsi"/>
          <w:sz w:val="16"/>
          <w:szCs w:val="16"/>
        </w:rPr>
      </w:pPr>
      <w:r w:rsidRPr="00BB1F8D">
        <w:rPr>
          <w:rStyle w:val="FootnoteReference"/>
          <w:rFonts w:asciiTheme="minorHAnsi" w:hAnsiTheme="minorHAnsi" w:cstheme="minorHAnsi"/>
          <w:sz w:val="16"/>
          <w:szCs w:val="16"/>
        </w:rPr>
        <w:footnoteRef/>
      </w:r>
      <w:r w:rsidRPr="00BB1F8D">
        <w:rPr>
          <w:rFonts w:asciiTheme="minorHAnsi" w:hAnsiTheme="minorHAnsi" w:cstheme="minorHAnsi"/>
          <w:sz w:val="16"/>
          <w:szCs w:val="16"/>
        </w:rPr>
        <w:t xml:space="preserve"> </w:t>
      </w:r>
      <w:r w:rsidRPr="00BB1F8D">
        <w:rPr>
          <w:rFonts w:asciiTheme="minorHAnsi" w:hAnsiTheme="minorHAnsi" w:cstheme="minorHAnsi"/>
          <w:color w:val="000000"/>
          <w:sz w:val="16"/>
          <w:szCs w:val="16"/>
        </w:rPr>
        <w:t xml:space="preserve">Os </w:t>
      </w:r>
      <w:proofErr w:type="spellStart"/>
      <w:r w:rsidRPr="00BB1F8D">
        <w:rPr>
          <w:rFonts w:asciiTheme="minorHAnsi" w:hAnsiTheme="minorHAnsi" w:cstheme="minorHAnsi"/>
          <w:color w:val="000000"/>
          <w:sz w:val="16"/>
          <w:szCs w:val="16"/>
        </w:rPr>
        <w:t>AFRs</w:t>
      </w:r>
      <w:proofErr w:type="spellEnd"/>
      <w:r w:rsidRPr="00BB1F8D">
        <w:rPr>
          <w:rFonts w:asciiTheme="minorHAnsi" w:hAnsiTheme="minorHAnsi" w:cstheme="minorHAnsi"/>
          <w:color w:val="000000"/>
          <w:sz w:val="16"/>
          <w:szCs w:val="16"/>
        </w:rPr>
        <w:t xml:space="preserve"> da Fiscalização Direta de Tributos podem gerar relatórios contendo dados dos documentos fiscais emitidos pelos contribuintes para acompanhar o trânsito das mercadorias através do </w:t>
      </w:r>
      <w:proofErr w:type="spellStart"/>
      <w:r w:rsidRPr="00BB1F8D">
        <w:rPr>
          <w:rFonts w:asciiTheme="minorHAnsi" w:hAnsiTheme="minorHAnsi" w:cstheme="minorHAnsi"/>
          <w:color w:val="000000"/>
          <w:sz w:val="16"/>
          <w:szCs w:val="16"/>
        </w:rPr>
        <w:t>Infoview</w:t>
      </w:r>
      <w:proofErr w:type="spellEnd"/>
      <w:r w:rsidRPr="00BB1F8D">
        <w:rPr>
          <w:rFonts w:asciiTheme="minorHAnsi" w:hAnsiTheme="minorHAnsi" w:cstheme="minorHAnsi"/>
          <w:color w:val="000000"/>
          <w:sz w:val="16"/>
          <w:szCs w:val="16"/>
        </w:rPr>
        <w:t xml:space="preserve">. O acesso ao </w:t>
      </w:r>
      <w:proofErr w:type="spellStart"/>
      <w:r w:rsidRPr="00BB1F8D">
        <w:rPr>
          <w:rFonts w:asciiTheme="minorHAnsi" w:hAnsiTheme="minorHAnsi" w:cstheme="minorHAnsi"/>
          <w:color w:val="000000"/>
          <w:sz w:val="16"/>
          <w:szCs w:val="16"/>
        </w:rPr>
        <w:t>Infoview</w:t>
      </w:r>
      <w:proofErr w:type="spellEnd"/>
      <w:r w:rsidRPr="00BB1F8D">
        <w:rPr>
          <w:rFonts w:asciiTheme="minorHAnsi" w:hAnsiTheme="minorHAnsi" w:cstheme="minorHAnsi"/>
          <w:color w:val="000000"/>
          <w:sz w:val="16"/>
          <w:szCs w:val="16"/>
        </w:rPr>
        <w:t xml:space="preserve"> só pode ser feito </w:t>
      </w:r>
      <w:proofErr w:type="gramStart"/>
      <w:r w:rsidRPr="00BB1F8D">
        <w:rPr>
          <w:rFonts w:asciiTheme="minorHAnsi" w:hAnsiTheme="minorHAnsi" w:cstheme="minorHAnsi"/>
          <w:color w:val="000000"/>
          <w:sz w:val="16"/>
          <w:szCs w:val="16"/>
        </w:rPr>
        <w:t>mediante  login</w:t>
      </w:r>
      <w:proofErr w:type="gramEnd"/>
      <w:r w:rsidRPr="00BB1F8D">
        <w:rPr>
          <w:rFonts w:asciiTheme="minorHAnsi" w:hAnsiTheme="minorHAnsi" w:cstheme="minorHAnsi"/>
          <w:color w:val="000000"/>
          <w:sz w:val="16"/>
          <w:szCs w:val="16"/>
        </w:rPr>
        <w:t xml:space="preserve"> e senha, sendo que o relatório só pode ser gerado se houver Ordem de Serviço Fiscalização em execução.</w:t>
      </w:r>
    </w:p>
  </w:footnote>
  <w:footnote w:id="135">
    <w:p w:rsidR="009D1337" w:rsidRPr="00492698" w:rsidRDefault="009D1337" w:rsidP="00492698">
      <w:pPr>
        <w:tabs>
          <w:tab w:val="left" w:pos="1874"/>
        </w:tabs>
        <w:ind w:left="70"/>
        <w:jc w:val="both"/>
        <w:rPr>
          <w:sz w:val="16"/>
          <w:szCs w:val="16"/>
        </w:rPr>
      </w:pPr>
      <w:r>
        <w:rPr>
          <w:rStyle w:val="FootnoteReference"/>
        </w:rPr>
        <w:footnoteRef/>
      </w:r>
      <w:r>
        <w:t xml:space="preserve"> </w:t>
      </w:r>
      <w:r w:rsidRPr="00B15254">
        <w:rPr>
          <w:rFonts w:asciiTheme="minorHAnsi" w:hAnsiTheme="minorHAnsi" w:cstheme="minorHAnsi"/>
          <w:color w:val="000000"/>
          <w:sz w:val="16"/>
          <w:szCs w:val="16"/>
        </w:rPr>
        <w:t>https://www.fazenda.sp.gov.br/epat/extratoprocesso/PesquisarExtrato.aspx</w:t>
      </w:r>
    </w:p>
  </w:footnote>
  <w:footnote w:id="136">
    <w:p w:rsidR="009D1337" w:rsidRDefault="009D1337" w:rsidP="00E120D2">
      <w:pPr>
        <w:tabs>
          <w:tab w:val="left" w:pos="1874"/>
        </w:tabs>
        <w:ind w:left="70"/>
        <w:jc w:val="both"/>
      </w:pPr>
      <w:r w:rsidRPr="00492698">
        <w:rPr>
          <w:rStyle w:val="FootnoteReference"/>
          <w:sz w:val="16"/>
          <w:szCs w:val="16"/>
        </w:rPr>
        <w:footnoteRef/>
      </w:r>
      <w:r w:rsidRPr="00492698">
        <w:rPr>
          <w:sz w:val="16"/>
          <w:szCs w:val="16"/>
        </w:rPr>
        <w:t xml:space="preserve"> </w:t>
      </w:r>
      <w:r w:rsidRPr="00B15254">
        <w:rPr>
          <w:rFonts w:asciiTheme="minorHAnsi" w:hAnsiTheme="minorHAnsi" w:cstheme="minorHAnsi"/>
          <w:color w:val="000000"/>
          <w:sz w:val="16"/>
          <w:szCs w:val="16"/>
        </w:rPr>
        <w:t>Não é competência da Procuradoria Geral do Estado a defesa oral em matérias relevantes. O artigo 72, da Lei nº 13.457/2009 confere essa competência à Representação Fiscal.</w:t>
      </w:r>
    </w:p>
  </w:footnote>
  <w:footnote w:id="137">
    <w:p w:rsidR="009D1337" w:rsidRPr="00E60090" w:rsidRDefault="009D1337" w:rsidP="00E60090">
      <w:pPr>
        <w:tabs>
          <w:tab w:val="left" w:pos="1874"/>
        </w:tabs>
        <w:ind w:left="70"/>
        <w:jc w:val="both"/>
        <w:rPr>
          <w:rFonts w:asciiTheme="minorHAnsi" w:hAnsiTheme="minorHAnsi" w:cstheme="minorHAnsi"/>
          <w:sz w:val="16"/>
          <w:szCs w:val="16"/>
        </w:rPr>
      </w:pPr>
      <w:r>
        <w:rPr>
          <w:rStyle w:val="FootnoteReference"/>
        </w:rPr>
        <w:footnoteRef/>
      </w:r>
      <w:r>
        <w:t xml:space="preserve"> </w:t>
      </w:r>
      <w:hyperlink r:id="rId15" w:history="1">
        <w:r w:rsidRPr="00E120D2">
          <w:rPr>
            <w:rFonts w:asciiTheme="minorHAnsi" w:hAnsiTheme="minorHAnsi" w:cstheme="minorHAnsi"/>
            <w:color w:val="000000"/>
            <w:sz w:val="16"/>
            <w:szCs w:val="16"/>
          </w:rPr>
          <w:t>https://portal.fazenda.sp.gov.br/acessoinformacao/Paginas/Tribunal-de-Impostos-e-Taxas.aspx</w:t>
        </w:r>
      </w:hyperlink>
    </w:p>
  </w:footnote>
  <w:footnote w:id="138">
    <w:p w:rsidR="009D1337" w:rsidRPr="00E60090" w:rsidRDefault="009D1337">
      <w:pPr>
        <w:pStyle w:val="FootnoteText"/>
        <w:rPr>
          <w:rFonts w:asciiTheme="minorHAnsi" w:hAnsiTheme="minorHAnsi" w:cstheme="minorHAnsi"/>
          <w:sz w:val="16"/>
          <w:szCs w:val="16"/>
        </w:rPr>
      </w:pPr>
      <w:r w:rsidRPr="00E60090">
        <w:rPr>
          <w:rStyle w:val="FootnoteReference"/>
          <w:rFonts w:asciiTheme="minorHAnsi" w:hAnsiTheme="minorHAnsi" w:cstheme="minorHAnsi"/>
          <w:sz w:val="16"/>
          <w:szCs w:val="16"/>
        </w:rPr>
        <w:footnoteRef/>
      </w:r>
      <w:r w:rsidRPr="00E60090">
        <w:rPr>
          <w:rFonts w:asciiTheme="minorHAnsi" w:hAnsiTheme="minorHAnsi" w:cstheme="minorHAnsi"/>
          <w:sz w:val="16"/>
          <w:szCs w:val="16"/>
        </w:rPr>
        <w:t xml:space="preserve"> </w:t>
      </w:r>
      <w:r w:rsidRPr="00E60090">
        <w:rPr>
          <w:rFonts w:asciiTheme="minorHAnsi" w:hAnsiTheme="minorHAnsi" w:cstheme="minorHAnsi"/>
          <w:color w:val="000000"/>
          <w:sz w:val="16"/>
          <w:szCs w:val="16"/>
        </w:rPr>
        <w:t>https://portal.fazenda.sp.gov.br/servicos/tit/Paginas/produtividade.aspx</w:t>
      </w:r>
    </w:p>
  </w:footnote>
  <w:footnote w:id="139">
    <w:p w:rsidR="009D1337" w:rsidRDefault="009D1337" w:rsidP="00572589">
      <w:pPr>
        <w:tabs>
          <w:tab w:val="left" w:pos="1874"/>
        </w:tabs>
        <w:ind w:left="70"/>
      </w:pPr>
      <w:r w:rsidRPr="00E60090">
        <w:rPr>
          <w:rStyle w:val="FootnoteReference"/>
          <w:rFonts w:asciiTheme="minorHAnsi" w:hAnsiTheme="minorHAnsi" w:cstheme="minorHAnsi"/>
          <w:sz w:val="16"/>
          <w:szCs w:val="16"/>
        </w:rPr>
        <w:footnoteRef/>
      </w:r>
      <w:r w:rsidRPr="00E60090">
        <w:rPr>
          <w:rFonts w:asciiTheme="minorHAnsi" w:hAnsiTheme="minorHAnsi" w:cstheme="minorHAnsi"/>
          <w:sz w:val="16"/>
          <w:szCs w:val="16"/>
        </w:rPr>
        <w:t xml:space="preserve"> </w:t>
      </w:r>
      <w:r w:rsidRPr="00E60090">
        <w:rPr>
          <w:rFonts w:asciiTheme="minorHAnsi" w:hAnsiTheme="minorHAnsi" w:cstheme="minorHAnsi"/>
          <w:color w:val="000000"/>
          <w:sz w:val="16"/>
          <w:szCs w:val="16"/>
        </w:rPr>
        <w:t>https://portal.fazenda.sp.gov.br/servicos/tit/Paginas/Jurisprudência-Súmulas.aspx</w:t>
      </w:r>
    </w:p>
  </w:footnote>
  <w:footnote w:id="140">
    <w:p w:rsidR="009D1337" w:rsidRPr="009F2019" w:rsidRDefault="009D1337" w:rsidP="009F2019">
      <w:pPr>
        <w:tabs>
          <w:tab w:val="left" w:pos="1874"/>
        </w:tabs>
        <w:ind w:left="70"/>
        <w:rPr>
          <w:rFonts w:asciiTheme="minorHAnsi" w:hAnsiTheme="minorHAnsi" w:cstheme="minorHAnsi"/>
          <w:sz w:val="16"/>
          <w:szCs w:val="16"/>
        </w:rPr>
      </w:pPr>
      <w:r w:rsidRPr="009F2019">
        <w:rPr>
          <w:rStyle w:val="FootnoteReference"/>
          <w:rFonts w:asciiTheme="minorHAnsi" w:hAnsiTheme="minorHAnsi" w:cstheme="minorHAnsi"/>
          <w:sz w:val="16"/>
          <w:szCs w:val="16"/>
        </w:rPr>
        <w:footnoteRef/>
      </w:r>
      <w:r w:rsidRPr="009F2019">
        <w:rPr>
          <w:rFonts w:asciiTheme="minorHAnsi" w:hAnsiTheme="minorHAnsi" w:cstheme="minorHAnsi"/>
          <w:sz w:val="16"/>
          <w:szCs w:val="16"/>
        </w:rPr>
        <w:t xml:space="preserve"> </w:t>
      </w:r>
      <w:r w:rsidRPr="009F2019">
        <w:rPr>
          <w:rFonts w:asciiTheme="minorHAnsi" w:hAnsiTheme="minorHAnsi" w:cstheme="minorHAnsi"/>
          <w:color w:val="000000"/>
          <w:sz w:val="16"/>
          <w:szCs w:val="16"/>
        </w:rPr>
        <w:t>https://www.fazenda.sp.gov.br/ePAT/portal/</w:t>
      </w:r>
    </w:p>
  </w:footnote>
  <w:footnote w:id="141">
    <w:p w:rsidR="009D1337" w:rsidRPr="009F2019" w:rsidRDefault="009D1337" w:rsidP="009F2019">
      <w:pPr>
        <w:tabs>
          <w:tab w:val="left" w:pos="1874"/>
        </w:tabs>
        <w:ind w:left="70"/>
        <w:rPr>
          <w:rFonts w:asciiTheme="minorHAnsi" w:hAnsiTheme="minorHAnsi" w:cstheme="minorHAnsi"/>
          <w:sz w:val="16"/>
          <w:szCs w:val="16"/>
        </w:rPr>
      </w:pPr>
      <w:r w:rsidRPr="009F2019">
        <w:rPr>
          <w:rStyle w:val="FootnoteReference"/>
          <w:rFonts w:asciiTheme="minorHAnsi" w:hAnsiTheme="minorHAnsi" w:cstheme="minorHAnsi"/>
          <w:sz w:val="16"/>
          <w:szCs w:val="16"/>
        </w:rPr>
        <w:footnoteRef/>
      </w:r>
      <w:r w:rsidRPr="009F2019">
        <w:rPr>
          <w:rFonts w:asciiTheme="minorHAnsi" w:hAnsiTheme="minorHAnsi" w:cstheme="minorHAnsi"/>
          <w:sz w:val="16"/>
          <w:szCs w:val="16"/>
        </w:rPr>
        <w:t xml:space="preserve"> </w:t>
      </w:r>
      <w:r w:rsidRPr="009F2019">
        <w:rPr>
          <w:rFonts w:asciiTheme="minorHAnsi" w:hAnsiTheme="minorHAnsi" w:cstheme="minorHAnsi"/>
          <w:color w:val="000000"/>
          <w:sz w:val="16"/>
          <w:szCs w:val="16"/>
        </w:rPr>
        <w:t>https://www.fazenda.sp.gov.br/epat/PortalContribuinte/FAQ/Manual_ePAT.htm e https://www.fazenda.sp.gov.br/epat/PortalContribuinte/FAQ/ePAT_Orientacoes_Gerais.htm</w:t>
      </w:r>
    </w:p>
  </w:footnote>
  <w:footnote w:id="142">
    <w:p w:rsidR="009D1337" w:rsidRPr="009F2019" w:rsidRDefault="009D1337" w:rsidP="009F2019">
      <w:pPr>
        <w:tabs>
          <w:tab w:val="left" w:pos="1874"/>
        </w:tabs>
        <w:ind w:left="70"/>
        <w:rPr>
          <w:rFonts w:asciiTheme="minorHAnsi" w:hAnsiTheme="minorHAnsi" w:cstheme="minorHAnsi"/>
          <w:color w:val="000000"/>
          <w:sz w:val="16"/>
          <w:szCs w:val="16"/>
        </w:rPr>
      </w:pPr>
      <w:r w:rsidRPr="009F2019">
        <w:rPr>
          <w:rStyle w:val="FootnoteReference"/>
          <w:rFonts w:asciiTheme="minorHAnsi" w:hAnsiTheme="minorHAnsi" w:cstheme="minorHAnsi"/>
          <w:sz w:val="16"/>
          <w:szCs w:val="16"/>
        </w:rPr>
        <w:footnoteRef/>
      </w:r>
      <w:r w:rsidRPr="009F2019">
        <w:rPr>
          <w:rFonts w:asciiTheme="minorHAnsi" w:hAnsiTheme="minorHAnsi" w:cstheme="minorHAnsi"/>
          <w:sz w:val="16"/>
          <w:szCs w:val="16"/>
        </w:rPr>
        <w:t xml:space="preserve"> </w:t>
      </w:r>
      <w:hyperlink r:id="rId16" w:history="1">
        <w:r w:rsidRPr="009F2019">
          <w:rPr>
            <w:rFonts w:asciiTheme="minorHAnsi" w:hAnsiTheme="minorHAnsi" w:cstheme="minorHAnsi"/>
            <w:color w:val="000000"/>
            <w:sz w:val="16"/>
            <w:szCs w:val="16"/>
          </w:rPr>
          <w:t xml:space="preserve">Extrato do processo: </w:t>
        </w:r>
        <w:r w:rsidRPr="009F2019">
          <w:rPr>
            <w:rFonts w:asciiTheme="minorHAnsi" w:hAnsiTheme="minorHAnsi" w:cstheme="minorHAnsi"/>
            <w:color w:val="000000"/>
            <w:sz w:val="16"/>
            <w:szCs w:val="16"/>
          </w:rPr>
          <w:br/>
          <w:t>https://www.fazenda.sp.gov.br/epat/extratoprocesso/PesquisarExtrato.aspx</w:t>
        </w:r>
      </w:hyperlink>
    </w:p>
    <w:p w:rsidR="009D1337" w:rsidRDefault="009D1337">
      <w:pPr>
        <w:pStyle w:val="FootnoteText"/>
      </w:pPr>
    </w:p>
  </w:footnote>
  <w:footnote w:id="143">
    <w:p w:rsidR="009D1337" w:rsidRPr="000E2286" w:rsidRDefault="009D1337" w:rsidP="000E2286">
      <w:pPr>
        <w:tabs>
          <w:tab w:val="left" w:pos="1795"/>
        </w:tabs>
        <w:jc w:val="both"/>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color w:val="000000"/>
          <w:sz w:val="16"/>
          <w:szCs w:val="16"/>
        </w:rPr>
        <w:t>https://portal.fazenda.sp.gov.br/servicos/Paginas/Cidadao.aspx - https://portal.fazenda.sp.gov.br/servicos/Paginas/Empresa.aspx</w:t>
      </w:r>
    </w:p>
  </w:footnote>
  <w:footnote w:id="144">
    <w:p w:rsidR="009D1337" w:rsidRPr="000E2286" w:rsidRDefault="009D1337" w:rsidP="000E2286">
      <w:pPr>
        <w:tabs>
          <w:tab w:val="left" w:pos="1795"/>
        </w:tabs>
        <w:jc w:val="both"/>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color w:val="000000"/>
          <w:sz w:val="16"/>
          <w:szCs w:val="16"/>
        </w:rPr>
        <w:t>Avaliação do Atendimento Presencial, a saber: Média das notas atribuídas, arredondadas na terceira casa decimal, que variam de 1 a 4, conforme a seguinte correspondência:1 = deixa a desejar (ruim); 2 = regular; 3 = bom e 4 = ótimo.</w:t>
      </w:r>
    </w:p>
  </w:footnote>
  <w:footnote w:id="145">
    <w:p w:rsidR="009D1337" w:rsidRPr="000E2286" w:rsidRDefault="009D1337" w:rsidP="000E2286">
      <w:pPr>
        <w:tabs>
          <w:tab w:val="left" w:pos="1795"/>
        </w:tabs>
        <w:jc w:val="both"/>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color w:val="000000"/>
          <w:sz w:val="16"/>
          <w:szCs w:val="16"/>
        </w:rPr>
        <w:t>https://portal.fazenda.sp.gov.br/servicos/Paginas/Cidadao.aspx - https://portal.fazenda.sp.gov.br/servicos/Paginas/Empresa.aspx</w:t>
      </w:r>
    </w:p>
  </w:footnote>
  <w:footnote w:id="146">
    <w:p w:rsidR="009D1337" w:rsidRPr="000E2286" w:rsidRDefault="009D1337" w:rsidP="00B02433">
      <w:pPr>
        <w:pStyle w:val="FootnoteText"/>
        <w:jc w:val="both"/>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r w:rsidRPr="000E2286">
        <w:rPr>
          <w:rFonts w:asciiTheme="minorHAnsi" w:hAnsiTheme="minorHAnsi" w:cstheme="minorHAnsi"/>
          <w:color w:val="000000"/>
          <w:sz w:val="16"/>
          <w:szCs w:val="16"/>
        </w:rPr>
        <w:t xml:space="preserve">Assistência Fiscal de Atendimento ao Público e Cadastro, conforme art. 40 do Decreto 60.812/2014. Artigo 40 - A Assistência Fiscal de Atendimento ao Público e Cadastro tem, além das previstas no artigo 139 deste decreto, as seguintes atribuições: I planejar, coordenar e supervisionar as atividades de atendimento presencial e a distância dos contribuintes e demais usuários dos serviços da Secretaria da Fazenda; II gerir: a) as equipes, os canais de relacionamento e o conteúdo relacionado ao atendimento da Secretaria da Fazenda; b) os sistemas da Secretaria da Fazenda, relacionados a: 1. gestão, utilizados pelos canais de relacionamento; 2. atividades de atendimento; III - dar suporte às unidades de atendimento; IV - </w:t>
      </w:r>
      <w:proofErr w:type="gramStart"/>
      <w:r w:rsidRPr="000E2286">
        <w:rPr>
          <w:rFonts w:asciiTheme="minorHAnsi" w:hAnsiTheme="minorHAnsi" w:cstheme="minorHAnsi"/>
          <w:color w:val="000000"/>
          <w:sz w:val="16"/>
          <w:szCs w:val="16"/>
        </w:rPr>
        <w:t>estabelecer</w:t>
      </w:r>
      <w:proofErr w:type="gramEnd"/>
      <w:r w:rsidRPr="000E2286">
        <w:rPr>
          <w:rFonts w:asciiTheme="minorHAnsi" w:hAnsiTheme="minorHAnsi" w:cstheme="minorHAnsi"/>
          <w:color w:val="000000"/>
          <w:sz w:val="16"/>
          <w:szCs w:val="16"/>
        </w:rPr>
        <w:t xml:space="preserve"> padrões e aprovar os conteúdos das bases de informações, dos manuais e guias de serviços disponíveis para os diversos canais de relacionamento; V - </w:t>
      </w:r>
      <w:proofErr w:type="gramStart"/>
      <w:r w:rsidRPr="000E2286">
        <w:rPr>
          <w:rFonts w:asciiTheme="minorHAnsi" w:hAnsiTheme="minorHAnsi" w:cstheme="minorHAnsi"/>
          <w:color w:val="000000"/>
          <w:sz w:val="16"/>
          <w:szCs w:val="16"/>
        </w:rPr>
        <w:t>definir</w:t>
      </w:r>
      <w:proofErr w:type="gramEnd"/>
      <w:r w:rsidRPr="000E2286">
        <w:rPr>
          <w:rFonts w:asciiTheme="minorHAnsi" w:hAnsiTheme="minorHAnsi" w:cstheme="minorHAnsi"/>
          <w:color w:val="000000"/>
          <w:sz w:val="16"/>
          <w:szCs w:val="16"/>
        </w:rPr>
        <w:t xml:space="preserve"> indicadores e relatórios para avaliação e acompanhamento do desempenho do atendimento nos canais de relacionamento; VI- </w:t>
      </w:r>
      <w:proofErr w:type="gramStart"/>
      <w:r w:rsidRPr="000E2286">
        <w:rPr>
          <w:rFonts w:asciiTheme="minorHAnsi" w:hAnsiTheme="minorHAnsi" w:cstheme="minorHAnsi"/>
          <w:color w:val="000000"/>
          <w:sz w:val="16"/>
          <w:szCs w:val="16"/>
        </w:rPr>
        <w:t>propor</w:t>
      </w:r>
      <w:proofErr w:type="gramEnd"/>
      <w:r w:rsidRPr="000E2286">
        <w:rPr>
          <w:rFonts w:asciiTheme="minorHAnsi" w:hAnsiTheme="minorHAnsi" w:cstheme="minorHAnsi"/>
          <w:color w:val="000000"/>
          <w:sz w:val="16"/>
          <w:szCs w:val="16"/>
        </w:rPr>
        <w:t xml:space="preserve"> a elaboração ou alteração dos atos normativos relacionados aos serviços prestados pelos diversos canais de relacionamento com o usuário; VII estabelecer rotinas para o desenvolvimento das atividades da Central de Pronto Atendimento e dos Serviços de Pronto Atendimento.</w:t>
      </w:r>
    </w:p>
  </w:footnote>
  <w:footnote w:id="147">
    <w:p w:rsidR="009D1337" w:rsidRPr="000E2286" w:rsidRDefault="009D1337" w:rsidP="00B02433">
      <w:pPr>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r w:rsidRPr="000E2286">
        <w:rPr>
          <w:rFonts w:asciiTheme="minorHAnsi" w:hAnsiTheme="minorHAnsi" w:cstheme="minorHAnsi"/>
          <w:color w:val="000000"/>
          <w:sz w:val="16"/>
          <w:szCs w:val="16"/>
        </w:rPr>
        <w:t xml:space="preserve">Resolução SF 135, de 17 de dezembro de 2010, </w:t>
      </w:r>
      <w:proofErr w:type="gramStart"/>
      <w:r w:rsidRPr="000E2286">
        <w:rPr>
          <w:rFonts w:asciiTheme="minorHAnsi" w:hAnsiTheme="minorHAnsi" w:cstheme="minorHAnsi"/>
          <w:color w:val="000000"/>
          <w:sz w:val="16"/>
          <w:szCs w:val="16"/>
        </w:rPr>
        <w:t>que  disciplina</w:t>
      </w:r>
      <w:proofErr w:type="gramEnd"/>
      <w:r w:rsidRPr="000E2286">
        <w:rPr>
          <w:rFonts w:asciiTheme="minorHAnsi" w:hAnsiTheme="minorHAnsi" w:cstheme="minorHAnsi"/>
          <w:color w:val="000000"/>
          <w:sz w:val="16"/>
          <w:szCs w:val="16"/>
        </w:rPr>
        <w:t xml:space="preserve"> a concessão do Abono por Satisfação do Usuário - ASU, instituído pela Lei Complementar nº 887, de 19 de dezembro de 2000, e dá providências correlatas.</w:t>
      </w:r>
    </w:p>
  </w:footnote>
  <w:footnote w:id="148">
    <w:p w:rsidR="009D1337" w:rsidRPr="000E2286" w:rsidRDefault="009D1337" w:rsidP="00574566">
      <w:pPr>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r w:rsidRPr="000E2286">
        <w:rPr>
          <w:rFonts w:asciiTheme="minorHAnsi" w:hAnsiTheme="minorHAnsi" w:cstheme="minorHAnsi"/>
          <w:color w:val="000000"/>
          <w:sz w:val="16"/>
          <w:szCs w:val="16"/>
        </w:rPr>
        <w:t>Sistema de Gestão do Atendimento - SIGAWEB, ver manual anexo</w:t>
      </w:r>
    </w:p>
  </w:footnote>
  <w:footnote w:id="149">
    <w:p w:rsidR="009D1337" w:rsidRPr="000E2286" w:rsidRDefault="009D1337" w:rsidP="00574566">
      <w:pPr>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proofErr w:type="gramStart"/>
      <w:r w:rsidRPr="000E2286">
        <w:rPr>
          <w:rFonts w:asciiTheme="minorHAnsi" w:hAnsiTheme="minorHAnsi" w:cstheme="minorHAnsi"/>
          <w:color w:val="000000"/>
          <w:sz w:val="16"/>
          <w:szCs w:val="16"/>
        </w:rPr>
        <w:t>https://portal.fazenda.sp.gov.br/Paginas/default.aspx .</w:t>
      </w:r>
      <w:proofErr w:type="gramEnd"/>
      <w:r w:rsidRPr="000E2286">
        <w:rPr>
          <w:rFonts w:asciiTheme="minorHAnsi" w:hAnsiTheme="minorHAnsi" w:cstheme="minorHAnsi"/>
          <w:color w:val="000000"/>
          <w:sz w:val="16"/>
          <w:szCs w:val="16"/>
        </w:rPr>
        <w:t xml:space="preserve"> De acordo com o site da ASES, do Governo Federal (</w:t>
      </w:r>
      <w:proofErr w:type="gramStart"/>
      <w:r w:rsidRPr="000E2286">
        <w:rPr>
          <w:rFonts w:asciiTheme="minorHAnsi" w:hAnsiTheme="minorHAnsi" w:cstheme="minorHAnsi"/>
          <w:color w:val="000000"/>
          <w:sz w:val="16"/>
          <w:szCs w:val="16"/>
        </w:rPr>
        <w:t>http://asesweb.governoeletronico.gov.br/ases/avaliar )</w:t>
      </w:r>
      <w:proofErr w:type="gramEnd"/>
      <w:r w:rsidRPr="000E2286">
        <w:rPr>
          <w:rFonts w:asciiTheme="minorHAnsi" w:hAnsiTheme="minorHAnsi" w:cstheme="minorHAnsi"/>
          <w:color w:val="000000"/>
          <w:sz w:val="16"/>
          <w:szCs w:val="16"/>
        </w:rPr>
        <w:t xml:space="preserve"> o portal da Sefaz está avaliado em 84,07%</w:t>
      </w:r>
    </w:p>
  </w:footnote>
  <w:footnote w:id="150">
    <w:p w:rsidR="009D1337" w:rsidRPr="000E2286" w:rsidRDefault="009D1337">
      <w:pPr>
        <w:pStyle w:val="FootnoteText"/>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https://portal.fazenda.sp.gov.br/Paginas/default.aspx</w:t>
      </w:r>
    </w:p>
  </w:footnote>
  <w:footnote w:id="151">
    <w:p w:rsidR="009D1337" w:rsidRPr="000E2286" w:rsidRDefault="009D1337">
      <w:pPr>
        <w:pStyle w:val="FootnoteText"/>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hyperlink r:id="rId17" w:history="1">
        <w:r w:rsidRPr="000E2286">
          <w:rPr>
            <w:rFonts w:asciiTheme="minorHAnsi" w:hAnsiTheme="minorHAnsi" w:cstheme="minorHAnsi"/>
            <w:bCs/>
            <w:sz w:val="16"/>
            <w:szCs w:val="16"/>
          </w:rPr>
          <w:t xml:space="preserve">Consulta Tributária Eletrônica (e-CT) </w:t>
        </w:r>
        <w:r w:rsidRPr="000E2286">
          <w:rPr>
            <w:rFonts w:asciiTheme="minorHAnsi" w:hAnsiTheme="minorHAnsi" w:cstheme="minorHAnsi"/>
            <w:sz w:val="16"/>
            <w:szCs w:val="16"/>
            <w:u w:val="single"/>
          </w:rPr>
          <w:t>https://portal.fazenda.sp.gov.br/servicos/ct/Paginas/Consulta-Tribut%C3%A1ria-Eletr%C3%B4nica-(e-CT).aspx</w:t>
        </w:r>
      </w:hyperlink>
    </w:p>
  </w:footnote>
  <w:footnote w:id="152">
    <w:p w:rsidR="009D1337" w:rsidRPr="000E2286" w:rsidRDefault="009D1337">
      <w:pPr>
        <w:pStyle w:val="FootnoteText"/>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https://portal.fazenda.sp.gov.br/Paginas/perguntas-frequentes.aspx</w:t>
      </w:r>
    </w:p>
  </w:footnote>
  <w:footnote w:id="153">
    <w:p w:rsidR="009D1337" w:rsidRPr="000E2286" w:rsidRDefault="009D1337">
      <w:pPr>
        <w:pStyle w:val="FootnoteText"/>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hyperlink r:id="rId18" w:history="1">
        <w:r w:rsidRPr="000E2286">
          <w:rPr>
            <w:rFonts w:asciiTheme="minorHAnsi" w:hAnsiTheme="minorHAnsi" w:cstheme="minorHAnsi"/>
            <w:sz w:val="16"/>
            <w:szCs w:val="16"/>
          </w:rPr>
          <w:t>https://portal.fazenda.sp.gov.br/Paginas/fale-conosco.aspx</w:t>
        </w:r>
      </w:hyperlink>
    </w:p>
  </w:footnote>
  <w:footnote w:id="154">
    <w:p w:rsidR="009D1337" w:rsidRPr="000E2286" w:rsidRDefault="009D1337">
      <w:pPr>
        <w:pStyle w:val="FootnoteText"/>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hyperlink r:id="rId19" w:history="1">
        <w:r w:rsidRPr="000E2286">
          <w:rPr>
            <w:rFonts w:asciiTheme="minorHAnsi" w:hAnsiTheme="minorHAnsi" w:cstheme="minorHAnsi"/>
            <w:sz w:val="16"/>
            <w:szCs w:val="16"/>
          </w:rPr>
          <w:t>http://www.fazenda.sp.gov.br/ouvidoria/ouvidoria.asp</w:t>
        </w:r>
      </w:hyperlink>
    </w:p>
  </w:footnote>
  <w:footnote w:id="155">
    <w:p w:rsidR="009D1337" w:rsidRPr="000E2286" w:rsidRDefault="009D1337">
      <w:pPr>
        <w:pStyle w:val="FootnoteText"/>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r w:rsidRPr="000E2286">
        <w:rPr>
          <w:rFonts w:asciiTheme="minorHAnsi" w:hAnsiTheme="minorHAnsi" w:cstheme="minorHAnsi"/>
          <w:bCs/>
          <w:sz w:val="16"/>
          <w:szCs w:val="16"/>
        </w:rPr>
        <w:t>DEC - Domicílio Eletrônico do Contribuinte</w:t>
      </w:r>
      <w:r w:rsidRPr="000E2286">
        <w:rPr>
          <w:rFonts w:asciiTheme="minorHAnsi" w:hAnsiTheme="minorHAnsi" w:cstheme="minorHAnsi"/>
          <w:sz w:val="16"/>
          <w:szCs w:val="16"/>
        </w:rPr>
        <w:t xml:space="preserve"> - ​Apenas os contribuintes credenciados e seus sócios poderão criar procuração eletrônica para terceiros acessarem seu DEC. A procuração eletrônica só pode ser criada no próprio DEC, na funcionalidade Procuração Eletrônica" e após o credenciamento do contribuinte, não existe a possibilidade de se fazer isso por meio do Posto Fiscal. https://sefaznet11.intra.fazenda.sp.gov.br/DEC/UCLogin/login.aspx</w:t>
      </w:r>
    </w:p>
  </w:footnote>
  <w:footnote w:id="156">
    <w:p w:rsidR="009D1337" w:rsidRPr="000E2286" w:rsidRDefault="009D1337">
      <w:pPr>
        <w:pStyle w:val="FootnoteText"/>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https://sefaznet11.intra.fazenda.sp.gov.br/DEC/UCLogin/login.aspx</w:t>
      </w:r>
    </w:p>
  </w:footnote>
  <w:footnote w:id="157">
    <w:p w:rsidR="009D1337" w:rsidRPr="000E2286" w:rsidRDefault="009D1337" w:rsidP="007333C1">
      <w:pPr>
        <w:pStyle w:val="FootnoteText"/>
        <w:jc w:val="both"/>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r w:rsidRPr="000E2286">
        <w:rPr>
          <w:rFonts w:asciiTheme="minorHAnsi" w:hAnsiTheme="minorHAnsi" w:cstheme="minorHAnsi"/>
          <w:bCs/>
          <w:sz w:val="16"/>
          <w:szCs w:val="16"/>
        </w:rPr>
        <w:t xml:space="preserve">Portaria CAT 140, de 09-9-2010: </w:t>
      </w:r>
      <w:r w:rsidRPr="000E2286">
        <w:rPr>
          <w:rFonts w:asciiTheme="minorHAnsi" w:hAnsiTheme="minorHAnsi" w:cstheme="minorHAnsi"/>
          <w:sz w:val="16"/>
          <w:szCs w:val="16"/>
        </w:rPr>
        <w:t xml:space="preserve">Artigo 1º - para recebimento de comunicação eletrônica por meio do Domicílio Eletrônico do Contribuinte - DEC, a pessoa jurídica, na condição de sujeito passivo de tributos estaduais, deverá estar previamente credenciada perante a Secretaria da Fazenda. Parágrafo único - Entende-se por Domicílio Eletrônico do Contribuinte - DEC o ambiente na rede mundial de computadores, próprio para que o sujeito passivo de tributos estaduais receba comunicação eletrônica enviada pela Secretaria da Fazenda. </w:t>
      </w:r>
    </w:p>
    <w:p w:rsidR="009D1337" w:rsidRPr="000E2286" w:rsidRDefault="009D1337" w:rsidP="007333C1">
      <w:pPr>
        <w:pStyle w:val="FootnoteText"/>
        <w:jc w:val="both"/>
        <w:rPr>
          <w:rFonts w:asciiTheme="minorHAnsi" w:hAnsiTheme="minorHAnsi" w:cstheme="minorHAnsi"/>
          <w:sz w:val="16"/>
          <w:szCs w:val="16"/>
        </w:rPr>
      </w:pPr>
      <w:r w:rsidRPr="000E2286">
        <w:rPr>
          <w:rFonts w:asciiTheme="minorHAnsi" w:hAnsiTheme="minorHAnsi" w:cstheme="minorHAnsi"/>
          <w:sz w:val="16"/>
          <w:szCs w:val="16"/>
        </w:rPr>
        <w:t>http://info.fazenda.sp.gov.br/NXT/gateway.dll/legislacao_tributaria/portaria_cat/pcat1402010.htm?f=templates&amp;fn=default.htm&amp;vid=sefaz_tributaria:vtribut</w:t>
      </w:r>
    </w:p>
  </w:footnote>
  <w:footnote w:id="158">
    <w:p w:rsidR="009D1337" w:rsidRPr="000E2286" w:rsidRDefault="009D1337" w:rsidP="00811092">
      <w:pPr>
        <w:pStyle w:val="FootnoteText"/>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r w:rsidRPr="000E2286">
        <w:rPr>
          <w:rFonts w:asciiTheme="minorHAnsi" w:hAnsiTheme="minorHAnsi" w:cstheme="minorHAnsi"/>
          <w:color w:val="000000"/>
          <w:sz w:val="16"/>
          <w:szCs w:val="16"/>
        </w:rPr>
        <w:t>https://portal.fazenda.sp.gov.br/servicos/certidoes/Downloads/requerimento%20de%20certid%C3%A3o%20negativa%20de%20d%C3%A9bito.pdf</w:t>
      </w:r>
    </w:p>
  </w:footnote>
  <w:footnote w:id="159">
    <w:p w:rsidR="009D1337" w:rsidRPr="000E2286" w:rsidRDefault="009D1337" w:rsidP="00811092">
      <w:pPr>
        <w:pStyle w:val="FootnoteText"/>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r w:rsidRPr="000E2286">
        <w:rPr>
          <w:rFonts w:asciiTheme="minorHAnsi" w:hAnsiTheme="minorHAnsi" w:cstheme="minorHAnsi"/>
          <w:color w:val="000000"/>
          <w:sz w:val="16"/>
          <w:szCs w:val="16"/>
        </w:rPr>
        <w:t>http://www.dividaativa.pge.sp.gov.br/da-ic-web/inicio.do</w:t>
      </w:r>
      <w:r w:rsidRPr="000E2286">
        <w:rPr>
          <w:rFonts w:asciiTheme="minorHAnsi" w:hAnsiTheme="minorHAnsi" w:cstheme="minorHAnsi"/>
          <w:color w:val="000000"/>
          <w:sz w:val="16"/>
          <w:szCs w:val="16"/>
        </w:rPr>
        <w:br/>
        <w:t>https://portal.fazenda.sp.gov.br/acessoinformacao/Paginas/D%C3%ADvida-Ativa.aspx</w:t>
      </w:r>
    </w:p>
  </w:footnote>
  <w:footnote w:id="160">
    <w:p w:rsidR="009D1337" w:rsidRPr="000E2286" w:rsidRDefault="009D1337" w:rsidP="00811092">
      <w:pPr>
        <w:pStyle w:val="FootnoteText"/>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r w:rsidRPr="000E2286">
        <w:rPr>
          <w:rFonts w:asciiTheme="minorHAnsi" w:hAnsiTheme="minorHAnsi" w:cstheme="minorHAnsi"/>
          <w:color w:val="000000"/>
          <w:sz w:val="16"/>
          <w:szCs w:val="16"/>
        </w:rPr>
        <w:t>Cadastro Informativo dos Créditos não Quitados de Órgãos e Entidades Estaduais - CADIN Estadual</w:t>
      </w:r>
      <w:r w:rsidRPr="000E2286">
        <w:rPr>
          <w:rFonts w:asciiTheme="minorHAnsi" w:hAnsiTheme="minorHAnsi" w:cstheme="minorHAnsi"/>
          <w:color w:val="000000"/>
          <w:sz w:val="16"/>
          <w:szCs w:val="16"/>
        </w:rPr>
        <w:br/>
      </w:r>
      <w:r w:rsidRPr="000E2286">
        <w:rPr>
          <w:rFonts w:asciiTheme="minorHAnsi" w:hAnsiTheme="minorHAnsi" w:cstheme="minorHAnsi"/>
          <w:color w:val="000000"/>
          <w:sz w:val="16"/>
          <w:szCs w:val="16"/>
          <w:u w:val="single"/>
        </w:rPr>
        <w:t>https://portal.fazenda.sp.gov.br/servicos/cadin/Paginas/Sobre.aspx</w:t>
      </w:r>
    </w:p>
  </w:footnote>
  <w:footnote w:id="161">
    <w:p w:rsidR="009D1337" w:rsidRPr="000E2286" w:rsidRDefault="009D1337" w:rsidP="00811092">
      <w:pPr>
        <w:pStyle w:val="FootnoteText"/>
        <w:jc w:val="both"/>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r w:rsidRPr="000E2286">
        <w:rPr>
          <w:rFonts w:asciiTheme="minorHAnsi" w:hAnsiTheme="minorHAnsi" w:cstheme="minorHAnsi"/>
          <w:color w:val="000000"/>
          <w:sz w:val="16"/>
          <w:szCs w:val="16"/>
        </w:rPr>
        <w:t>No Sistema E-SANÇÕES, instituído e regulamentado pelo Decreto nº 61.751, de 23 de dezembro de 2015, devem ser registradas as seguintes penalidades aplicadas pelos Órgãos da Administração Pública do Governo do Estado de São Paulo: QUE RESTRINGEM A CONTRATAÇÃO DA EMPRESA PUNIDA OU AINDA SUA PARTICIPAÇÃO EM LICITAÇÃO: 1º Suspensão Temporária estabelecida no inciso III, do artigo 87, da Lei Federal nº 8.666, de 21 de junho de 1993; 2º Declaração de Inidoneidade estabelecida no inciso IV, do artigo 87, da Lei Federal nº 8.666, de 21 de junho de 1993; 3º Impedimento de Licitar e Contratar de acordo com o artigo 7º, da Lei Federal nº 10.520, de 17 de julho de 2002; 4º Decisão Judicial conforme Lei nº 8.429, de 02 de junho de 1992, artigos 9º, 10, 11 e 12</w:t>
      </w:r>
    </w:p>
  </w:footnote>
  <w:footnote w:id="162">
    <w:p w:rsidR="009D1337" w:rsidRPr="000E2286" w:rsidRDefault="009D1337" w:rsidP="00811092">
      <w:pPr>
        <w:pStyle w:val="FootnoteText"/>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r w:rsidRPr="000E2286">
        <w:rPr>
          <w:rFonts w:asciiTheme="minorHAnsi" w:hAnsiTheme="minorHAnsi" w:cstheme="minorHAnsi"/>
          <w:color w:val="000000"/>
          <w:sz w:val="16"/>
          <w:szCs w:val="16"/>
        </w:rPr>
        <w:t>Cadastro Informativo dos Créditos não Quitados de Órgãos e Entidades Estaduais - CADIN Estadual</w:t>
      </w:r>
      <w:r w:rsidRPr="000E2286">
        <w:rPr>
          <w:rFonts w:asciiTheme="minorHAnsi" w:hAnsiTheme="minorHAnsi" w:cstheme="minorHAnsi"/>
          <w:color w:val="000000"/>
          <w:sz w:val="16"/>
          <w:szCs w:val="16"/>
        </w:rPr>
        <w:br/>
      </w:r>
      <w:r w:rsidRPr="000E2286">
        <w:rPr>
          <w:rFonts w:asciiTheme="minorHAnsi" w:hAnsiTheme="minorHAnsi" w:cstheme="minorHAnsi"/>
          <w:color w:val="000000"/>
          <w:sz w:val="16"/>
          <w:szCs w:val="16"/>
          <w:u w:val="single"/>
        </w:rPr>
        <w:t>https://portal.fazenda.sp.gov.br/servicos/cadin/Paginas/Sobre.aspx</w:t>
      </w:r>
    </w:p>
  </w:footnote>
  <w:footnote w:id="163">
    <w:p w:rsidR="009D1337" w:rsidRPr="000E2286" w:rsidRDefault="009D1337" w:rsidP="00B63DA9">
      <w:pPr>
        <w:pStyle w:val="FootnoteText"/>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hyperlink r:id="rId20" w:history="1">
        <w:r w:rsidRPr="000E2286">
          <w:rPr>
            <w:rFonts w:asciiTheme="minorHAnsi" w:hAnsiTheme="minorHAnsi" w:cstheme="minorHAnsi"/>
            <w:color w:val="000000"/>
            <w:sz w:val="16"/>
            <w:szCs w:val="16"/>
          </w:rPr>
          <w:t>https://portal.fazenda.sp.gov.br/Institucional/Paginas/DA.aspx</w:t>
        </w:r>
      </w:hyperlink>
    </w:p>
  </w:footnote>
  <w:footnote w:id="164">
    <w:p w:rsidR="009D1337" w:rsidRPr="000E2286" w:rsidRDefault="009D1337" w:rsidP="00572589">
      <w:pPr>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r w:rsidRPr="000E2286">
        <w:rPr>
          <w:rFonts w:asciiTheme="minorHAnsi" w:hAnsiTheme="minorHAnsi" w:cstheme="minorHAnsi"/>
          <w:color w:val="000000"/>
          <w:sz w:val="16"/>
          <w:szCs w:val="16"/>
        </w:rPr>
        <w:t xml:space="preserve">Cadastro Informativo dos Créditos não Quitados de Órgãos e Entidades Estaduais - CADIN Estadual estão disponíveis </w:t>
      </w:r>
      <w:r w:rsidRPr="000E2286">
        <w:rPr>
          <w:rFonts w:asciiTheme="minorHAnsi" w:hAnsiTheme="minorHAnsi" w:cstheme="minorHAnsi"/>
          <w:color w:val="000000"/>
          <w:sz w:val="16"/>
          <w:szCs w:val="16"/>
        </w:rPr>
        <w:br/>
      </w:r>
      <w:r w:rsidRPr="000E2286">
        <w:rPr>
          <w:rFonts w:asciiTheme="minorHAnsi" w:hAnsiTheme="minorHAnsi" w:cstheme="minorHAnsi"/>
          <w:color w:val="000000"/>
          <w:sz w:val="16"/>
          <w:szCs w:val="16"/>
          <w:u w:val="single"/>
        </w:rPr>
        <w:t>https://portal.fazenda.sp.gov.br/servicos/cadin/Paginas/Sobre.aspx</w:t>
      </w:r>
    </w:p>
  </w:footnote>
  <w:footnote w:id="165">
    <w:p w:rsidR="009D1337" w:rsidRPr="000E2286" w:rsidRDefault="009D1337" w:rsidP="00B63DA9">
      <w:pPr>
        <w:pStyle w:val="FootnoteText"/>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hyperlink r:id="rId21" w:history="1">
        <w:r w:rsidRPr="000E2286">
          <w:rPr>
            <w:rFonts w:asciiTheme="minorHAnsi" w:hAnsiTheme="minorHAnsi" w:cstheme="minorHAnsi"/>
            <w:color w:val="000000"/>
            <w:sz w:val="16"/>
            <w:szCs w:val="16"/>
          </w:rPr>
          <w:t>https://www.fazenda.sp.gov.br/calculadoraeletronica/</w:t>
        </w:r>
      </w:hyperlink>
    </w:p>
  </w:footnote>
  <w:footnote w:id="166">
    <w:p w:rsidR="009D1337" w:rsidRPr="000E2286" w:rsidRDefault="009D1337">
      <w:pPr>
        <w:pStyle w:val="FootnoteText"/>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r w:rsidRPr="000E2286">
        <w:rPr>
          <w:rFonts w:asciiTheme="minorHAnsi" w:hAnsiTheme="minorHAnsi" w:cstheme="minorHAnsi"/>
          <w:color w:val="000000"/>
          <w:sz w:val="16"/>
          <w:szCs w:val="16"/>
        </w:rPr>
        <w:t>GARE - Guia de Arrecadação de Receitas Estaduais</w:t>
      </w:r>
      <w:r w:rsidRPr="000E2286">
        <w:rPr>
          <w:rFonts w:asciiTheme="minorHAnsi" w:hAnsiTheme="minorHAnsi" w:cstheme="minorHAnsi"/>
          <w:color w:val="000000"/>
          <w:sz w:val="16"/>
          <w:szCs w:val="16"/>
        </w:rPr>
        <w:br/>
      </w:r>
      <w:r w:rsidRPr="000E2286">
        <w:rPr>
          <w:rFonts w:asciiTheme="minorHAnsi" w:hAnsiTheme="minorHAnsi" w:cstheme="minorHAnsi"/>
          <w:color w:val="000000"/>
          <w:sz w:val="16"/>
          <w:szCs w:val="16"/>
          <w:u w:val="single"/>
        </w:rPr>
        <w:t>https://portal.fazenda.sp.gov.br/servicos/gare/Paginas/Sobre.aspx</w:t>
      </w:r>
    </w:p>
  </w:footnote>
  <w:footnote w:id="167">
    <w:p w:rsidR="009D1337" w:rsidRPr="000E2286" w:rsidRDefault="009D1337">
      <w:pPr>
        <w:pStyle w:val="FootnoteText"/>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r w:rsidRPr="000E2286">
        <w:rPr>
          <w:rFonts w:asciiTheme="minorHAnsi" w:hAnsiTheme="minorHAnsi" w:cstheme="minorHAnsi"/>
          <w:color w:val="000000"/>
          <w:sz w:val="16"/>
          <w:szCs w:val="16"/>
        </w:rPr>
        <w:t>http://www.ipva2.fazenda.sp.gov.br/ipvanet/paginas/banco_ipva.shtm</w:t>
      </w:r>
      <w:r w:rsidRPr="000E2286">
        <w:rPr>
          <w:rFonts w:asciiTheme="minorHAnsi" w:hAnsiTheme="minorHAnsi" w:cstheme="minorHAnsi"/>
          <w:color w:val="000000"/>
          <w:sz w:val="16"/>
          <w:szCs w:val="16"/>
        </w:rPr>
        <w:br/>
        <w:t>https://portal.fazenda.sp.gov.br/servicos/dare/Paginas/perguntas-frequentes.aspx</w:t>
      </w:r>
    </w:p>
  </w:footnote>
  <w:footnote w:id="168">
    <w:p w:rsidR="009D1337" w:rsidRPr="000E2286" w:rsidRDefault="009D1337">
      <w:pPr>
        <w:pStyle w:val="FootnoteText"/>
        <w:rPr>
          <w:rFonts w:asciiTheme="minorHAnsi" w:hAnsiTheme="minorHAnsi" w:cstheme="minorHAnsi"/>
          <w:sz w:val="16"/>
          <w:szCs w:val="16"/>
        </w:rPr>
      </w:pPr>
      <w:r w:rsidRPr="000E2286">
        <w:rPr>
          <w:rStyle w:val="FootnoteReference"/>
          <w:rFonts w:asciiTheme="minorHAnsi" w:hAnsiTheme="minorHAnsi" w:cstheme="minorHAnsi"/>
          <w:sz w:val="16"/>
          <w:szCs w:val="16"/>
        </w:rPr>
        <w:footnoteRef/>
      </w:r>
      <w:r w:rsidRPr="000E2286">
        <w:rPr>
          <w:rFonts w:asciiTheme="minorHAnsi" w:hAnsiTheme="minorHAnsi" w:cstheme="minorHAnsi"/>
          <w:sz w:val="16"/>
          <w:szCs w:val="16"/>
        </w:rPr>
        <w:t xml:space="preserve"> </w:t>
      </w:r>
      <w:hyperlink r:id="rId22" w:history="1">
        <w:r w:rsidRPr="000E2286">
          <w:rPr>
            <w:rFonts w:asciiTheme="minorHAnsi" w:hAnsiTheme="minorHAnsi" w:cstheme="minorHAnsi"/>
            <w:color w:val="000000"/>
            <w:sz w:val="16"/>
            <w:szCs w:val="16"/>
          </w:rPr>
          <w:t>https://portal.fazenda.sp.gov.br/servicos/gnre/Paginas/Restitui%C3%A7%C3%A3o-de-GNRE.aspx</w:t>
        </w:r>
      </w:hyperlink>
    </w:p>
  </w:footnote>
  <w:footnote w:id="169">
    <w:p w:rsidR="009D1337" w:rsidRDefault="009D1337" w:rsidP="00E41F6B">
      <w:pPr>
        <w:pStyle w:val="FootnoteText"/>
        <w:jc w:val="both"/>
      </w:pPr>
      <w:r>
        <w:rPr>
          <w:rStyle w:val="FootnoteReference"/>
        </w:rPr>
        <w:footnoteRef/>
      </w:r>
      <w:r>
        <w:t xml:space="preserve"> </w:t>
      </w:r>
      <w:r w:rsidRPr="00F14584">
        <w:rPr>
          <w:rFonts w:asciiTheme="minorHAnsi" w:hAnsiTheme="minorHAnsi" w:cstheme="minorHAnsi"/>
          <w:sz w:val="16"/>
          <w:szCs w:val="16"/>
        </w:rPr>
        <w:t xml:space="preserve">SIAFEM = </w:t>
      </w:r>
      <w:r w:rsidRPr="00F14584">
        <w:rPr>
          <w:rFonts w:asciiTheme="minorHAnsi" w:hAnsiTheme="minorHAnsi" w:cstheme="minorHAnsi"/>
          <w:sz w:val="16"/>
          <w:szCs w:val="16"/>
          <w:u w:val="single"/>
        </w:rPr>
        <w:t>https://www.contabilizasp.fazenda.sp.gov.br/SIAFEMNET/Publico/ApresentacaoSIAFEMNET.aspx</w:t>
      </w:r>
    </w:p>
  </w:footnote>
  <w:footnote w:id="170">
    <w:p w:rsidR="009D1337" w:rsidRDefault="009D1337" w:rsidP="00E41F6B">
      <w:pPr>
        <w:pStyle w:val="FootnoteText"/>
        <w:jc w:val="both"/>
      </w:pPr>
      <w:r>
        <w:rPr>
          <w:rStyle w:val="FootnoteReference"/>
        </w:rPr>
        <w:footnoteRef/>
      </w:r>
      <w:r>
        <w:rPr>
          <w:rFonts w:asciiTheme="minorHAnsi" w:hAnsiTheme="minorHAnsi" w:cstheme="minorHAnsi"/>
          <w:sz w:val="16"/>
          <w:szCs w:val="16"/>
        </w:rPr>
        <w:t>Siedec</w:t>
      </w:r>
      <w:r w:rsidRPr="00F14584">
        <w:rPr>
          <w:rFonts w:asciiTheme="minorHAnsi" w:hAnsiTheme="minorHAnsi" w:cstheme="minorHAnsi"/>
          <w:sz w:val="16"/>
          <w:szCs w:val="16"/>
        </w:rPr>
        <w:t>=</w:t>
      </w:r>
      <w:r w:rsidRPr="00F14584">
        <w:rPr>
          <w:rFonts w:asciiTheme="minorHAnsi" w:hAnsiTheme="minorHAnsi" w:cstheme="minorHAnsi"/>
          <w:sz w:val="16"/>
          <w:szCs w:val="16"/>
          <w:u w:val="single"/>
        </w:rPr>
        <w:t>https://portal.fazenda.sp.gov.br/servicos/siedesc/Paginas/Módulo-Financeiro.aspx</w:t>
      </w:r>
      <w:r w:rsidRPr="00F14584">
        <w:rPr>
          <w:rFonts w:asciiTheme="minorHAnsi" w:hAnsiTheme="minorHAnsi" w:cstheme="minorHAnsi"/>
          <w:sz w:val="16"/>
          <w:szCs w:val="16"/>
        </w:rPr>
        <w:br/>
        <w:t xml:space="preserve">SEF = </w:t>
      </w:r>
      <w:r w:rsidRPr="00F14584">
        <w:rPr>
          <w:rFonts w:asciiTheme="minorHAnsi" w:hAnsiTheme="minorHAnsi" w:cstheme="minorHAnsi"/>
          <w:sz w:val="16"/>
          <w:szCs w:val="16"/>
          <w:u w:val="single"/>
        </w:rPr>
        <w:t>https://www.contabilizasp.fazenda.sp.gov.br/SIAFEMNET/Publico/ApresentacaoSEF.aspx</w:t>
      </w:r>
    </w:p>
  </w:footnote>
  <w:footnote w:id="171">
    <w:p w:rsidR="009D1337" w:rsidRPr="009D1337" w:rsidRDefault="009D1337" w:rsidP="00E41F6B">
      <w:pPr>
        <w:pStyle w:val="FootnoteText"/>
        <w:jc w:val="both"/>
        <w:rPr>
          <w:lang w:val="en-US"/>
        </w:rPr>
      </w:pPr>
      <w:r>
        <w:rPr>
          <w:rStyle w:val="FootnoteReference"/>
        </w:rPr>
        <w:footnoteRef/>
      </w:r>
      <w:r w:rsidRPr="009D1337">
        <w:rPr>
          <w:lang w:val="en-US"/>
        </w:rPr>
        <w:t xml:space="preserve"> </w:t>
      </w:r>
      <w:r w:rsidRPr="009D1337">
        <w:rPr>
          <w:rFonts w:asciiTheme="minorHAnsi" w:hAnsiTheme="minorHAnsi" w:cstheme="minorHAnsi"/>
          <w:sz w:val="16"/>
          <w:szCs w:val="16"/>
          <w:lang w:val="en-US"/>
        </w:rPr>
        <w:t xml:space="preserve">SEF = </w:t>
      </w:r>
      <w:r w:rsidRPr="009D1337">
        <w:rPr>
          <w:rFonts w:asciiTheme="minorHAnsi" w:hAnsiTheme="minorHAnsi" w:cstheme="minorHAnsi"/>
          <w:sz w:val="16"/>
          <w:szCs w:val="16"/>
          <w:u w:val="single"/>
          <w:lang w:val="en-US"/>
        </w:rPr>
        <w:t>https://www.contabilizasp.fazenda.sp.gov.br/SIAFEMNET/Publico/ApresentacaoSEF.aspx</w:t>
      </w:r>
    </w:p>
  </w:footnote>
  <w:footnote w:id="172">
    <w:p w:rsidR="009D1337" w:rsidRDefault="009D1337" w:rsidP="00E41F6B">
      <w:pPr>
        <w:pStyle w:val="FootnoteText"/>
        <w:jc w:val="both"/>
      </w:pPr>
      <w:r>
        <w:rPr>
          <w:rStyle w:val="FootnoteReference"/>
        </w:rPr>
        <w:footnoteRef/>
      </w:r>
      <w:r>
        <w:t xml:space="preserve"> </w:t>
      </w:r>
      <w:r w:rsidRPr="00F14584">
        <w:rPr>
          <w:rFonts w:asciiTheme="minorHAnsi" w:hAnsiTheme="minorHAnsi" w:cstheme="minorHAnsi"/>
          <w:sz w:val="16"/>
          <w:szCs w:val="16"/>
        </w:rPr>
        <w:t xml:space="preserve">SIAFEM = </w:t>
      </w:r>
      <w:r w:rsidRPr="00F14584">
        <w:rPr>
          <w:rFonts w:asciiTheme="minorHAnsi" w:hAnsiTheme="minorHAnsi" w:cstheme="minorHAnsi"/>
          <w:sz w:val="16"/>
          <w:szCs w:val="16"/>
          <w:u w:val="single"/>
        </w:rPr>
        <w:t>https://www.contabilizasp.fazenda.sp.gov.br/SIAFEMNET/Publico/ApresentacaoSIAFEMNET.aspx</w:t>
      </w:r>
    </w:p>
  </w:footnote>
  <w:footnote w:id="173">
    <w:p w:rsidR="009D1337" w:rsidRPr="009D1337" w:rsidRDefault="009D1337" w:rsidP="00E41F6B">
      <w:pPr>
        <w:pStyle w:val="FootnoteText"/>
        <w:jc w:val="both"/>
        <w:rPr>
          <w:lang w:val="en-US"/>
        </w:rPr>
      </w:pPr>
      <w:r>
        <w:rPr>
          <w:rStyle w:val="FootnoteReference"/>
        </w:rPr>
        <w:footnoteRef/>
      </w:r>
      <w:r w:rsidRPr="009D1337">
        <w:rPr>
          <w:lang w:val="en-US"/>
        </w:rPr>
        <w:t xml:space="preserve"> </w:t>
      </w:r>
      <w:r w:rsidRPr="009D1337">
        <w:rPr>
          <w:rFonts w:asciiTheme="minorHAnsi" w:hAnsiTheme="minorHAnsi" w:cstheme="minorHAnsi"/>
          <w:sz w:val="16"/>
          <w:szCs w:val="16"/>
          <w:lang w:val="en-US"/>
        </w:rPr>
        <w:t xml:space="preserve">SEF = </w:t>
      </w:r>
      <w:r w:rsidRPr="009D1337">
        <w:rPr>
          <w:rFonts w:asciiTheme="minorHAnsi" w:hAnsiTheme="minorHAnsi" w:cstheme="minorHAnsi"/>
          <w:sz w:val="16"/>
          <w:szCs w:val="16"/>
          <w:u w:val="single"/>
          <w:lang w:val="en-US"/>
        </w:rPr>
        <w:t>https://www.contabilizasp.fazenda.sp.gov.br/SIAFEMNET/Publico/ApresentacaoSEF.aspx</w:t>
      </w:r>
    </w:p>
  </w:footnote>
  <w:footnote w:id="174">
    <w:p w:rsidR="009D1337" w:rsidRDefault="009D1337" w:rsidP="00E41F6B">
      <w:pPr>
        <w:pStyle w:val="FootnoteText"/>
        <w:jc w:val="both"/>
      </w:pPr>
      <w:r>
        <w:rPr>
          <w:rStyle w:val="FootnoteReference"/>
        </w:rPr>
        <w:footnoteRef/>
      </w:r>
      <w:r>
        <w:t xml:space="preserve"> </w:t>
      </w:r>
      <w:r w:rsidRPr="00F14584">
        <w:rPr>
          <w:rFonts w:asciiTheme="minorHAnsi" w:hAnsiTheme="minorHAnsi" w:cstheme="minorHAnsi"/>
          <w:sz w:val="16"/>
          <w:szCs w:val="16"/>
        </w:rPr>
        <w:t xml:space="preserve">Consulta pronta no </w:t>
      </w:r>
      <w:proofErr w:type="spellStart"/>
      <w:r w:rsidRPr="00F14584">
        <w:rPr>
          <w:rFonts w:asciiTheme="minorHAnsi" w:hAnsiTheme="minorHAnsi" w:cstheme="minorHAnsi"/>
          <w:sz w:val="16"/>
          <w:szCs w:val="16"/>
        </w:rPr>
        <w:t>Sigeo</w:t>
      </w:r>
      <w:proofErr w:type="spellEnd"/>
      <w:r w:rsidRPr="00F14584">
        <w:rPr>
          <w:rFonts w:asciiTheme="minorHAnsi" w:hAnsiTheme="minorHAnsi" w:cstheme="minorHAnsi"/>
          <w:sz w:val="16"/>
          <w:szCs w:val="16"/>
        </w:rPr>
        <w:t xml:space="preserve"> </w:t>
      </w:r>
      <w:r w:rsidRPr="00F14584">
        <w:rPr>
          <w:rFonts w:asciiTheme="minorHAnsi" w:hAnsiTheme="minorHAnsi" w:cstheme="minorHAnsi"/>
          <w:sz w:val="16"/>
          <w:szCs w:val="16"/>
          <w:u w:val="single"/>
        </w:rPr>
        <w:t>https://www.contabilizasp.fazenda.sp.gov.br/SIAFEMNET/Publico/ApresentacaoSIGEO.aspx</w:t>
      </w:r>
    </w:p>
  </w:footnote>
  <w:footnote w:id="175">
    <w:p w:rsidR="009D1337" w:rsidRDefault="009D1337">
      <w:pPr>
        <w:pStyle w:val="FootnoteText"/>
      </w:pPr>
      <w:r>
        <w:rPr>
          <w:rStyle w:val="FootnoteReference"/>
        </w:rPr>
        <w:footnoteRef/>
      </w:r>
      <w:r>
        <w:t xml:space="preserve"> </w:t>
      </w:r>
      <w:r w:rsidRPr="00C0080B">
        <w:rPr>
          <w:rFonts w:asciiTheme="minorHAnsi" w:hAnsiTheme="minorHAnsi" w:cstheme="minorHAnsi"/>
          <w:sz w:val="16"/>
          <w:szCs w:val="16"/>
        </w:rPr>
        <w:t xml:space="preserve">Todos </w:t>
      </w:r>
      <w:r>
        <w:rPr>
          <w:rFonts w:asciiTheme="minorHAnsi" w:hAnsiTheme="minorHAnsi" w:cstheme="minorHAnsi"/>
          <w:sz w:val="16"/>
          <w:szCs w:val="16"/>
        </w:rPr>
        <w:t xml:space="preserve">os </w:t>
      </w:r>
      <w:r w:rsidRPr="00C0080B">
        <w:rPr>
          <w:rFonts w:asciiTheme="minorHAnsi" w:hAnsiTheme="minorHAnsi" w:cstheme="minorHAnsi"/>
          <w:sz w:val="16"/>
          <w:szCs w:val="16"/>
        </w:rPr>
        <w:t xml:space="preserve">eleitos atendem os requisitos e vedações estabelecidos na Lei 6.404/76, Lei 13.303/16 e Decreto 62.349/16 e estatuto social. </w:t>
      </w:r>
      <w:proofErr w:type="gramStart"/>
      <w:r w:rsidRPr="00C0080B">
        <w:rPr>
          <w:rFonts w:asciiTheme="minorHAnsi" w:hAnsiTheme="minorHAnsi" w:cstheme="minorHAnsi"/>
          <w:sz w:val="16"/>
          <w:szCs w:val="16"/>
        </w:rPr>
        <w:t>http://www.fazenda.sp.gov.br/legislacao/codec/default.shtm ,</w:t>
      </w:r>
      <w:proofErr w:type="gramEnd"/>
      <w:r w:rsidRPr="00C0080B">
        <w:rPr>
          <w:rFonts w:asciiTheme="minorHAnsi" w:hAnsiTheme="minorHAnsi" w:cstheme="minorHAnsi"/>
          <w:sz w:val="16"/>
          <w:szCs w:val="16"/>
        </w:rPr>
        <w:t xml:space="preserve"> itens Societário e indicação para admin</w:t>
      </w:r>
      <w:r w:rsidRPr="000B17CD">
        <w:rPr>
          <w:rFonts w:asciiTheme="minorHAnsi" w:hAnsiTheme="minorHAnsi" w:cstheme="minorHAnsi"/>
          <w:sz w:val="16"/>
          <w:szCs w:val="16"/>
        </w:rPr>
        <w:t>istradores e conselheiros. As a</w:t>
      </w:r>
      <w:r w:rsidRPr="00C0080B">
        <w:rPr>
          <w:rFonts w:asciiTheme="minorHAnsi" w:hAnsiTheme="minorHAnsi" w:cstheme="minorHAnsi"/>
          <w:sz w:val="16"/>
          <w:szCs w:val="16"/>
        </w:rPr>
        <w:t>tas de eleição são registradas na JUCESP</w:t>
      </w:r>
    </w:p>
  </w:footnote>
  <w:footnote w:id="176">
    <w:p w:rsidR="009D1337" w:rsidRDefault="009D1337" w:rsidP="00F11285">
      <w:pPr>
        <w:pStyle w:val="FootnoteText"/>
      </w:pPr>
      <w:r>
        <w:rPr>
          <w:rStyle w:val="FootnoteReference"/>
        </w:rPr>
        <w:footnoteRef/>
      </w:r>
      <w:r>
        <w:t xml:space="preserve"> </w:t>
      </w:r>
      <w:r w:rsidRPr="008174E6">
        <w:rPr>
          <w:rFonts w:asciiTheme="minorHAnsi" w:hAnsiTheme="minorHAnsi" w:cstheme="minorHAnsi"/>
          <w:sz w:val="16"/>
          <w:szCs w:val="16"/>
          <w:u w:val="single"/>
        </w:rPr>
        <w:t>http://www.tjsp.jus.br/cac/scp/webmenupesquisa.aspx</w:t>
      </w:r>
    </w:p>
  </w:footnote>
  <w:footnote w:id="177">
    <w:p w:rsidR="009D1337" w:rsidRDefault="009D1337" w:rsidP="00F11285">
      <w:pPr>
        <w:pStyle w:val="FootnoteText"/>
      </w:pPr>
      <w:r>
        <w:rPr>
          <w:rStyle w:val="FootnoteReference"/>
        </w:rPr>
        <w:footnoteRef/>
      </w:r>
      <w:r>
        <w:t xml:space="preserve"> </w:t>
      </w:r>
      <w:r w:rsidRPr="008174E6">
        <w:rPr>
          <w:rFonts w:asciiTheme="minorHAnsi" w:hAnsiTheme="minorHAnsi" w:cstheme="minorHAnsi"/>
          <w:sz w:val="16"/>
          <w:szCs w:val="16"/>
        </w:rPr>
        <w:t>Lei 16.646 de 11/01/2018 páginas 554 e 718.</w:t>
      </w:r>
      <w:r w:rsidRPr="008174E6">
        <w:rPr>
          <w:rFonts w:asciiTheme="minorHAnsi" w:hAnsiTheme="minorHAnsi" w:cstheme="minorHAnsi"/>
          <w:sz w:val="16"/>
          <w:szCs w:val="16"/>
        </w:rPr>
        <w:br/>
      </w:r>
      <w:r w:rsidRPr="008174E6">
        <w:rPr>
          <w:rFonts w:asciiTheme="minorHAnsi" w:hAnsiTheme="minorHAnsi" w:cstheme="minorHAnsi"/>
          <w:sz w:val="16"/>
          <w:szCs w:val="16"/>
          <w:u w:val="single"/>
        </w:rPr>
        <w:t>https://www.al.sp.gov.br/repositorio/legislacao/lei/2018/lei-16646-11.01.2018.pdf</w:t>
      </w:r>
    </w:p>
  </w:footnote>
  <w:footnote w:id="178">
    <w:p w:rsidR="009D1337" w:rsidRDefault="009D1337" w:rsidP="00F11285">
      <w:pPr>
        <w:pStyle w:val="FootnoteText"/>
      </w:pPr>
      <w:r>
        <w:rPr>
          <w:rStyle w:val="FootnoteReference"/>
        </w:rPr>
        <w:footnoteRef/>
      </w:r>
      <w:r>
        <w:t xml:space="preserve"> </w:t>
      </w:r>
      <w:hyperlink r:id="rId23" w:history="1">
        <w:r w:rsidRPr="002E496E">
          <w:rPr>
            <w:rFonts w:asciiTheme="minorHAnsi" w:hAnsiTheme="minorHAnsi" w:cstheme="minorHAnsi"/>
            <w:sz w:val="16"/>
            <w:szCs w:val="16"/>
          </w:rPr>
          <w:t>A Administração Geral do Estado efetua o registro orçamentário das baixas dos pagamentos efetuados pelo Tribunal de Justiça, discriminando os pagamentos por despesas correntes e de capital mediante informações enviadas pela Procuradoria Geral do Estado.</w:t>
        </w:r>
        <w:r w:rsidRPr="002E496E">
          <w:rPr>
            <w:rFonts w:asciiTheme="minorHAnsi" w:hAnsiTheme="minorHAnsi" w:cstheme="minorHAnsi"/>
            <w:sz w:val="16"/>
            <w:szCs w:val="16"/>
            <w:u w:val="single"/>
          </w:rPr>
          <w:br/>
          <w:t>https://portal.fazenda.sp.gov.br/acessoinformacao/Paginas/Quadro-resumo-precatorio-pequeno-valor.aspx</w:t>
        </w:r>
      </w:hyperlink>
    </w:p>
  </w:footnote>
  <w:footnote w:id="179">
    <w:p w:rsidR="009D1337" w:rsidRDefault="009D1337" w:rsidP="00F11285">
      <w:pPr>
        <w:pStyle w:val="FootnoteText"/>
      </w:pPr>
      <w:r>
        <w:rPr>
          <w:rStyle w:val="FootnoteReference"/>
        </w:rPr>
        <w:footnoteRef/>
      </w:r>
      <w:r>
        <w:t xml:space="preserve"> </w:t>
      </w:r>
      <w:hyperlink r:id="rId24" w:history="1">
        <w:r w:rsidRPr="00F11285">
          <w:rPr>
            <w:rFonts w:asciiTheme="minorHAnsi" w:hAnsiTheme="minorHAnsi" w:cstheme="minorHAnsi"/>
            <w:sz w:val="16"/>
            <w:szCs w:val="16"/>
            <w:u w:val="single"/>
          </w:rPr>
          <w:t>https://portal.fazenda.sp.gov.br/acessoinformacao/Paginas/Quadro-resumo-do-estoque-de-precat%c3%b3rios-do-Estado-de-S%c3%a3o-Paulo.aspx</w:t>
        </w:r>
      </w:hyperlink>
    </w:p>
  </w:footnote>
  <w:footnote w:id="180">
    <w:p w:rsidR="009D1337" w:rsidRDefault="009D1337">
      <w:pPr>
        <w:pStyle w:val="FootnoteText"/>
      </w:pPr>
      <w:r>
        <w:rPr>
          <w:rStyle w:val="FootnoteReference"/>
        </w:rPr>
        <w:footnoteRef/>
      </w:r>
      <w:r>
        <w:t xml:space="preserve"> </w:t>
      </w:r>
      <w:r w:rsidRPr="00872FB3">
        <w:rPr>
          <w:rFonts w:asciiTheme="minorHAnsi" w:hAnsiTheme="minorHAnsi" w:cstheme="minorHAnsi"/>
          <w:sz w:val="16"/>
          <w:szCs w:val="16"/>
        </w:rPr>
        <w:t>Art. 1º do Parágrafo único da Lei nº 11.688 de 2004</w:t>
      </w:r>
    </w:p>
  </w:footnote>
  <w:footnote w:id="181">
    <w:p w:rsidR="009D1337" w:rsidRDefault="009D1337">
      <w:pPr>
        <w:pStyle w:val="FootnoteText"/>
      </w:pPr>
      <w:r>
        <w:rPr>
          <w:rStyle w:val="FootnoteReference"/>
        </w:rPr>
        <w:footnoteRef/>
      </w:r>
      <w:r>
        <w:t xml:space="preserve"> </w:t>
      </w:r>
      <w:r w:rsidRPr="00872FB3">
        <w:rPr>
          <w:rFonts w:asciiTheme="minorHAnsi" w:hAnsiTheme="minorHAnsi" w:cstheme="minorHAnsi"/>
          <w:sz w:val="16"/>
          <w:szCs w:val="16"/>
        </w:rPr>
        <w:t>Parágrafo 8º do Art. 3º da Lei nº 11.688, de 2004 e inciso III do Artigo 16 do Decreto 61.036 de 2015</w:t>
      </w:r>
    </w:p>
  </w:footnote>
  <w:footnote w:id="182">
    <w:p w:rsidR="009D1337" w:rsidRDefault="009D1337">
      <w:pPr>
        <w:pStyle w:val="FootnoteText"/>
      </w:pPr>
      <w:r>
        <w:rPr>
          <w:rStyle w:val="FootnoteReference"/>
        </w:rPr>
        <w:footnoteRef/>
      </w:r>
      <w:r>
        <w:t xml:space="preserve"> </w:t>
      </w:r>
      <w:r w:rsidRPr="00872FB3">
        <w:rPr>
          <w:rFonts w:asciiTheme="minorHAnsi" w:hAnsiTheme="minorHAnsi" w:cstheme="minorHAnsi"/>
          <w:sz w:val="16"/>
          <w:szCs w:val="16"/>
        </w:rPr>
        <w:t xml:space="preserve">As </w:t>
      </w:r>
      <w:proofErr w:type="spellStart"/>
      <w:r w:rsidRPr="00872FB3">
        <w:rPr>
          <w:rFonts w:asciiTheme="minorHAnsi" w:hAnsiTheme="minorHAnsi" w:cstheme="minorHAnsi"/>
          <w:sz w:val="16"/>
          <w:szCs w:val="16"/>
        </w:rPr>
        <w:t>PPPs</w:t>
      </w:r>
      <w:proofErr w:type="spellEnd"/>
      <w:r w:rsidRPr="00872FB3">
        <w:rPr>
          <w:rFonts w:asciiTheme="minorHAnsi" w:hAnsiTheme="minorHAnsi" w:cstheme="minorHAnsi"/>
          <w:sz w:val="16"/>
          <w:szCs w:val="16"/>
        </w:rPr>
        <w:t xml:space="preserve"> se sujeitam às normas de Licitação (Lei nº 8.666 de 1993) e às normas de concessão (Lei nº 8987 de 1995). Logo, o regramento da seleção pode ser encontrado nestas leis, em especial, no capítulo V da Lei nº 8987 de 1995.</w:t>
      </w:r>
    </w:p>
  </w:footnote>
  <w:footnote w:id="183">
    <w:p w:rsidR="009D1337" w:rsidRDefault="009D1337">
      <w:pPr>
        <w:pStyle w:val="FootnoteText"/>
      </w:pPr>
      <w:r>
        <w:rPr>
          <w:rStyle w:val="FootnoteReference"/>
        </w:rPr>
        <w:footnoteRef/>
      </w:r>
      <w:r>
        <w:t xml:space="preserve"> </w:t>
      </w:r>
      <w:r w:rsidRPr="00872FB3">
        <w:rPr>
          <w:rFonts w:asciiTheme="minorHAnsi" w:hAnsiTheme="minorHAnsi" w:cstheme="minorHAnsi"/>
          <w:sz w:val="16"/>
          <w:szCs w:val="16"/>
        </w:rPr>
        <w:t>Inciso III do Art. 4º da Lei 11.688 de 2004 e Art. 10 da Lei Federal 11.079 de 2004</w:t>
      </w:r>
    </w:p>
  </w:footnote>
  <w:footnote w:id="184">
    <w:p w:rsidR="009D1337" w:rsidRPr="00D5009A" w:rsidRDefault="009D1337" w:rsidP="00D5009A">
      <w:pPr>
        <w:rPr>
          <w:rFonts w:asciiTheme="minorHAnsi" w:hAnsiTheme="minorHAnsi" w:cstheme="minorHAnsi"/>
          <w:sz w:val="16"/>
          <w:szCs w:val="16"/>
        </w:rPr>
      </w:pPr>
      <w:r w:rsidRPr="00D5009A">
        <w:rPr>
          <w:rStyle w:val="FootnoteReference"/>
          <w:rFonts w:asciiTheme="minorHAnsi" w:hAnsiTheme="minorHAnsi" w:cstheme="minorHAnsi"/>
          <w:sz w:val="16"/>
          <w:szCs w:val="16"/>
        </w:rPr>
        <w:footnoteRef/>
      </w:r>
      <w:r w:rsidRPr="00D5009A">
        <w:rPr>
          <w:rFonts w:asciiTheme="minorHAnsi" w:hAnsiTheme="minorHAnsi" w:cstheme="minorHAnsi"/>
          <w:sz w:val="16"/>
          <w:szCs w:val="16"/>
        </w:rPr>
        <w:t xml:space="preserve"> </w:t>
      </w:r>
      <w:proofErr w:type="gramStart"/>
      <w:r w:rsidRPr="00E56125">
        <w:rPr>
          <w:rFonts w:asciiTheme="minorHAnsi" w:hAnsiTheme="minorHAnsi" w:cstheme="minorHAnsi"/>
          <w:sz w:val="16"/>
          <w:szCs w:val="16"/>
        </w:rPr>
        <w:t>Informação/Haveres e Dívida Pública</w:t>
      </w:r>
      <w:proofErr w:type="gramEnd"/>
      <w:r w:rsidRPr="00E56125">
        <w:rPr>
          <w:rFonts w:asciiTheme="minorHAnsi" w:hAnsiTheme="minorHAnsi" w:cstheme="minorHAnsi"/>
          <w:sz w:val="16"/>
          <w:szCs w:val="16"/>
        </w:rPr>
        <w:t xml:space="preserve"> (com atualização quadrimestral) (link: https://portal.fazenda.sp.gov.br/acessoinformacao/Paginas/Garantias.aspx)</w:t>
      </w:r>
    </w:p>
  </w:footnote>
  <w:footnote w:id="185">
    <w:p w:rsidR="009D1337" w:rsidRPr="00D5009A" w:rsidRDefault="009D1337" w:rsidP="00D5009A">
      <w:pPr>
        <w:rPr>
          <w:rFonts w:asciiTheme="minorHAnsi" w:hAnsiTheme="minorHAnsi" w:cstheme="minorHAnsi"/>
          <w:sz w:val="16"/>
          <w:szCs w:val="16"/>
        </w:rPr>
      </w:pPr>
      <w:r w:rsidRPr="00D5009A">
        <w:rPr>
          <w:rStyle w:val="FootnoteReference"/>
          <w:rFonts w:asciiTheme="minorHAnsi" w:hAnsiTheme="minorHAnsi" w:cstheme="minorHAnsi"/>
          <w:sz w:val="16"/>
          <w:szCs w:val="16"/>
        </w:rPr>
        <w:footnoteRef/>
      </w:r>
      <w:r w:rsidRPr="00D5009A">
        <w:rPr>
          <w:rFonts w:asciiTheme="minorHAnsi" w:hAnsiTheme="minorHAnsi" w:cstheme="minorHAnsi"/>
          <w:sz w:val="16"/>
          <w:szCs w:val="16"/>
        </w:rPr>
        <w:t xml:space="preserve"> </w:t>
      </w:r>
      <w:r w:rsidRPr="0061021A">
        <w:rPr>
          <w:rFonts w:asciiTheme="minorHAnsi" w:hAnsiTheme="minorHAnsi" w:cstheme="minorHAnsi"/>
          <w:sz w:val="16"/>
          <w:szCs w:val="16"/>
        </w:rPr>
        <w:t>A LDO, em seu ANEXO II (RISCOS FISCAIS) aborda este item. Na LDO 2018 pode-se verificar a partir da página 35, onde o item "V – PASSIVOS CONTINGENTES" é abordado na página 45.</w:t>
      </w:r>
    </w:p>
    <w:p w:rsidR="009D1337" w:rsidRDefault="009D1337">
      <w:pPr>
        <w:pStyle w:val="FootnoteText"/>
      </w:pPr>
    </w:p>
  </w:footnote>
  <w:footnote w:id="186">
    <w:p w:rsidR="009D1337" w:rsidRPr="00426ED6" w:rsidRDefault="009D1337">
      <w:pPr>
        <w:pStyle w:val="FootnoteText"/>
        <w:rPr>
          <w:rFonts w:asciiTheme="minorHAnsi" w:hAnsiTheme="minorHAnsi" w:cstheme="minorHAnsi"/>
          <w:sz w:val="16"/>
          <w:szCs w:val="16"/>
        </w:rPr>
      </w:pPr>
      <w:r w:rsidRPr="00426ED6">
        <w:rPr>
          <w:rStyle w:val="FootnoteReference"/>
          <w:rFonts w:asciiTheme="minorHAnsi" w:hAnsiTheme="minorHAnsi" w:cstheme="minorHAnsi"/>
          <w:sz w:val="16"/>
          <w:szCs w:val="16"/>
        </w:rPr>
        <w:footnoteRef/>
      </w:r>
      <w:r w:rsidRPr="00426ED6">
        <w:rPr>
          <w:rFonts w:asciiTheme="minorHAnsi" w:hAnsiTheme="minorHAnsi" w:cstheme="minorHAnsi"/>
          <w:sz w:val="16"/>
          <w:szCs w:val="16"/>
        </w:rPr>
        <w:t xml:space="preserve"> Limite legal da Lei Federal 11.079/2004 e alterações: 5% da RCL</w:t>
      </w:r>
    </w:p>
  </w:footnote>
  <w:footnote w:id="187">
    <w:p w:rsidR="009D1337" w:rsidRPr="002B1C4D" w:rsidRDefault="009D1337" w:rsidP="008F3695">
      <w:pPr>
        <w:pStyle w:val="FootnoteText"/>
        <w:jc w:val="both"/>
        <w:rPr>
          <w:rFonts w:asciiTheme="minorHAnsi" w:hAnsiTheme="minorHAnsi" w:cstheme="minorHAnsi"/>
          <w:sz w:val="16"/>
          <w:szCs w:val="16"/>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w:t>
      </w:r>
      <w:r w:rsidRPr="002B1C4D">
        <w:rPr>
          <w:rFonts w:asciiTheme="minorHAnsi" w:hAnsiTheme="minorHAnsi" w:cstheme="minorHAnsi"/>
          <w:color w:val="000000"/>
          <w:sz w:val="16"/>
          <w:szCs w:val="16"/>
        </w:rPr>
        <w:t>O indicador utilizado se baseou na quantidade de imóveis ao invés de computar o percentual sobre os valores dos imóveis, pois o SGI não contempla informações de valores consistentes dos imóveis cadastrados em seu banco de dados, uma vez que seu enfoque é voltado mais para informações qualitativas (cadastrais) do que quantitativas</w:t>
      </w:r>
    </w:p>
  </w:footnote>
  <w:footnote w:id="188">
    <w:p w:rsidR="009D1337" w:rsidRPr="002B1C4D" w:rsidRDefault="009D1337" w:rsidP="008F3695">
      <w:pPr>
        <w:pStyle w:val="FootnoteText"/>
        <w:jc w:val="both"/>
        <w:rPr>
          <w:rFonts w:asciiTheme="minorHAnsi" w:hAnsiTheme="minorHAnsi" w:cstheme="minorHAnsi"/>
          <w:sz w:val="16"/>
          <w:szCs w:val="16"/>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Dificuldade de apuração: </w:t>
      </w:r>
      <w:r w:rsidRPr="002B1C4D">
        <w:rPr>
          <w:rFonts w:asciiTheme="minorHAnsi" w:hAnsiTheme="minorHAnsi" w:cstheme="minorHAnsi"/>
          <w:color w:val="000000"/>
          <w:sz w:val="16"/>
          <w:szCs w:val="16"/>
        </w:rPr>
        <w:t xml:space="preserve">Em decorrência da limitação atual do SGI, em fornecer informações atualizadas dos valores dos imóveis cadastrados em seu banco de dados e da necessidade de a Contadoria Geral do Estado (CGE) fazer o reconhecimento dos imóveis do Estado, conforme estabelece a Portaria da Secretaria do Tesouro Nacional (STN) nº 548/2015, a CGE contratou a consultoria FIPECAFI em 2016 para fazer o levantamento inicial e parcial dos imóveis, principalmente os classificados como especializados. Essa contratação resultou no reconhecimento contábil patrimonial de 1984 imóveis, que em termos de valores consolidados corresponderam a </w:t>
      </w:r>
      <w:r w:rsidRPr="002B1C4D">
        <w:rPr>
          <w:rFonts w:asciiTheme="minorHAnsi" w:hAnsiTheme="minorHAnsi" w:cstheme="minorHAnsi"/>
          <w:bCs/>
          <w:color w:val="000000"/>
          <w:sz w:val="16"/>
          <w:szCs w:val="16"/>
        </w:rPr>
        <w:t>R$ 54.182.955,35 registrados no Balanço do Estado de 2016.</w:t>
      </w:r>
    </w:p>
  </w:footnote>
  <w:footnote w:id="189">
    <w:p w:rsidR="009D1337" w:rsidRPr="002B1C4D" w:rsidRDefault="009D1337" w:rsidP="008F3695">
      <w:pPr>
        <w:jc w:val="both"/>
        <w:rPr>
          <w:rFonts w:asciiTheme="minorHAnsi" w:hAnsiTheme="minorHAnsi" w:cstheme="minorHAnsi"/>
          <w:color w:val="000000"/>
          <w:sz w:val="16"/>
          <w:szCs w:val="16"/>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w:t>
      </w:r>
      <w:r w:rsidRPr="002B1C4D">
        <w:rPr>
          <w:rFonts w:asciiTheme="minorHAnsi" w:hAnsiTheme="minorHAnsi" w:cstheme="minorHAnsi"/>
          <w:color w:val="000000"/>
          <w:sz w:val="16"/>
          <w:szCs w:val="16"/>
        </w:rPr>
        <w:t>1984 imóveis reavaliados em 2016</w:t>
      </w:r>
    </w:p>
  </w:footnote>
  <w:footnote w:id="190">
    <w:p w:rsidR="009D1337" w:rsidRPr="002B1C4D" w:rsidRDefault="009D1337" w:rsidP="008F3695">
      <w:pPr>
        <w:pStyle w:val="FootnoteText"/>
        <w:jc w:val="both"/>
        <w:rPr>
          <w:rFonts w:asciiTheme="minorHAnsi" w:hAnsiTheme="minorHAnsi" w:cstheme="minorHAnsi"/>
          <w:sz w:val="16"/>
          <w:szCs w:val="16"/>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w:t>
      </w:r>
      <w:r w:rsidRPr="002B1C4D">
        <w:rPr>
          <w:rFonts w:asciiTheme="minorHAnsi" w:hAnsiTheme="minorHAnsi" w:cstheme="minorHAnsi"/>
          <w:color w:val="000000"/>
          <w:sz w:val="16"/>
          <w:szCs w:val="16"/>
        </w:rPr>
        <w:t>Total de imóveis do Estado 30.034 (SGI)</w:t>
      </w:r>
    </w:p>
  </w:footnote>
  <w:footnote w:id="191">
    <w:p w:rsidR="009D1337" w:rsidRPr="002B1C4D" w:rsidRDefault="009D1337" w:rsidP="008F3695">
      <w:pPr>
        <w:jc w:val="both"/>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w:t>
      </w:r>
      <w:r w:rsidRPr="002B1C4D">
        <w:rPr>
          <w:rFonts w:asciiTheme="minorHAnsi" w:hAnsiTheme="minorHAnsi" w:cstheme="minorHAnsi"/>
          <w:color w:val="000000"/>
          <w:sz w:val="16"/>
          <w:szCs w:val="16"/>
        </w:rPr>
        <w:t>Anexo I do Produto 4 entregue pela FIPECAFI - O Sistema de Gerenciamento de Imóveis (SGI) atualmente é basicamente um banco de dados do Sistema de Gestão do Patrimônio Imobiliário (SGPI), instituído pelo Decreto nº 39.980/1995 e reformulado pelo Decreto nº 53.712/2008, que contempla o Conselho de Patrimônio Imobiliário (CPI), subordinado à Secretaria de Governo do Estado de São Paulo e responsável pela gestão do SGI.</w:t>
      </w:r>
    </w:p>
  </w:footnote>
  <w:footnote w:id="192">
    <w:p w:rsidR="009D1337" w:rsidRPr="002B1C4D" w:rsidRDefault="009D1337" w:rsidP="008F3695">
      <w:pPr>
        <w:jc w:val="both"/>
        <w:rPr>
          <w:rFonts w:asciiTheme="minorHAnsi" w:hAnsiTheme="minorHAnsi" w:cstheme="minorHAnsi"/>
          <w:sz w:val="16"/>
          <w:szCs w:val="16"/>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w:t>
      </w:r>
      <w:r w:rsidRPr="002B1C4D">
        <w:rPr>
          <w:rFonts w:asciiTheme="minorHAnsi" w:hAnsiTheme="minorHAnsi" w:cstheme="minorHAnsi"/>
          <w:color w:val="000000"/>
          <w:sz w:val="16"/>
          <w:szCs w:val="16"/>
        </w:rPr>
        <w:t>A CGE tem cumprido com o prazo estabelecido pela Instrução 02/2016 do Tribunal de Contas do Estado de São Paulo (TCE/SP), no que tange prestação de contas e publicação dos demonstrativos contábeis.</w:t>
      </w:r>
    </w:p>
  </w:footnote>
  <w:footnote w:id="193">
    <w:p w:rsidR="009D1337" w:rsidRPr="002B1C4D" w:rsidRDefault="009D1337" w:rsidP="008D4363">
      <w:pPr>
        <w:pStyle w:val="FootnoteText"/>
        <w:jc w:val="both"/>
        <w:rPr>
          <w:rFonts w:asciiTheme="minorHAnsi" w:hAnsiTheme="minorHAnsi" w:cstheme="minorHAnsi"/>
          <w:sz w:val="16"/>
          <w:szCs w:val="16"/>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w:t>
      </w:r>
      <w:r w:rsidRPr="002B1C4D">
        <w:rPr>
          <w:rFonts w:asciiTheme="minorHAnsi" w:hAnsiTheme="minorHAnsi" w:cstheme="minorHAnsi"/>
          <w:color w:val="000000"/>
          <w:sz w:val="16"/>
          <w:szCs w:val="16"/>
        </w:rPr>
        <w:t xml:space="preserve">Não houve </w:t>
      </w:r>
      <w:proofErr w:type="gramStart"/>
      <w:r w:rsidRPr="002B1C4D">
        <w:rPr>
          <w:rFonts w:asciiTheme="minorHAnsi" w:hAnsiTheme="minorHAnsi" w:cstheme="minorHAnsi"/>
          <w:color w:val="000000"/>
          <w:sz w:val="16"/>
          <w:szCs w:val="16"/>
        </w:rPr>
        <w:t>ressalvas  do</w:t>
      </w:r>
      <w:proofErr w:type="gramEnd"/>
      <w:r w:rsidRPr="002B1C4D">
        <w:rPr>
          <w:rFonts w:asciiTheme="minorHAnsi" w:hAnsiTheme="minorHAnsi" w:cstheme="minorHAnsi"/>
          <w:color w:val="000000"/>
          <w:sz w:val="16"/>
          <w:szCs w:val="16"/>
        </w:rPr>
        <w:t xml:space="preserve"> TCE/SP, no tocante à prestação de contas do Exercício de 2016</w:t>
      </w:r>
    </w:p>
  </w:footnote>
  <w:footnote w:id="194">
    <w:p w:rsidR="009D1337" w:rsidRPr="002B1C4D" w:rsidRDefault="009D1337" w:rsidP="002E2145">
      <w:pPr>
        <w:pStyle w:val="FootnoteText"/>
        <w:rPr>
          <w:rFonts w:asciiTheme="minorHAnsi" w:hAnsiTheme="minorHAnsi" w:cstheme="minorHAnsi"/>
          <w:sz w:val="16"/>
          <w:szCs w:val="16"/>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w:t>
      </w:r>
      <w:hyperlink r:id="rId25" w:anchor="!/n/EXPECMERCADO" w:history="1">
        <w:r w:rsidRPr="002B1C4D">
          <w:rPr>
            <w:rFonts w:asciiTheme="minorHAnsi" w:hAnsiTheme="minorHAnsi" w:cstheme="minorHAnsi"/>
            <w:sz w:val="16"/>
            <w:szCs w:val="16"/>
          </w:rPr>
          <w:t>http://www.bcb.gov.br/pt-br/#!/n/EXPECMERCADO</w:t>
        </w:r>
      </w:hyperlink>
    </w:p>
  </w:footnote>
  <w:footnote w:id="195">
    <w:p w:rsidR="009D1337" w:rsidRPr="002B1C4D" w:rsidRDefault="009D1337" w:rsidP="002E2145">
      <w:pPr>
        <w:pStyle w:val="FootnoteText"/>
        <w:rPr>
          <w:rFonts w:asciiTheme="minorHAnsi" w:hAnsiTheme="minorHAnsi" w:cstheme="minorHAnsi"/>
          <w:sz w:val="16"/>
          <w:szCs w:val="16"/>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A Prodesp está desenvolvendo o sistema de Gestão da Dívida Pública, com um módulo de análise e cenários da dívida com data prevista para janeiro de 2021.</w:t>
      </w:r>
    </w:p>
  </w:footnote>
  <w:footnote w:id="196">
    <w:p w:rsidR="009D1337" w:rsidRPr="002B1C4D" w:rsidRDefault="009D1337" w:rsidP="002E2145">
      <w:pPr>
        <w:pStyle w:val="FootnoteText"/>
        <w:rPr>
          <w:rFonts w:asciiTheme="minorHAnsi" w:hAnsiTheme="minorHAnsi" w:cstheme="minorHAnsi"/>
          <w:sz w:val="16"/>
          <w:szCs w:val="16"/>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https://sadipem.tesouro.gov.br/sadipem/private/pages/index.jsf</w:t>
      </w:r>
    </w:p>
  </w:footnote>
  <w:footnote w:id="197">
    <w:p w:rsidR="009D1337" w:rsidRPr="002B1C4D" w:rsidRDefault="009D1337" w:rsidP="00A93D05">
      <w:pPr>
        <w:pStyle w:val="FootnoteText"/>
        <w:rPr>
          <w:rFonts w:asciiTheme="minorHAnsi" w:hAnsiTheme="minorHAnsi" w:cstheme="minorHAnsi"/>
          <w:sz w:val="16"/>
          <w:szCs w:val="16"/>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w:t>
      </w:r>
      <w:r w:rsidRPr="002B1C4D">
        <w:rPr>
          <w:rFonts w:asciiTheme="minorHAnsi" w:hAnsiTheme="minorHAnsi" w:cstheme="minorHAnsi"/>
          <w:color w:val="000000"/>
          <w:sz w:val="16"/>
          <w:szCs w:val="16"/>
        </w:rPr>
        <w:t>- Ofício Conjunto SG/SPG/SF nº 0001/2017; - Memorando nº 13/2018 - GS; - SPPREV, autarquia vinculada à Sefaz/SP passou a utilizar a estrutura predial da Secretaria da Fazenda, desde 19/02/2018. Anteriormente a SPPREV estava em um edifico alugado. Serão economizados R$ 1 milhão por mês.</w:t>
      </w:r>
    </w:p>
  </w:footnote>
  <w:footnote w:id="198">
    <w:p w:rsidR="009D1337" w:rsidRPr="002B1C4D" w:rsidRDefault="009D1337" w:rsidP="00A93D05">
      <w:pPr>
        <w:pStyle w:val="FootnoteText"/>
        <w:rPr>
          <w:rFonts w:asciiTheme="minorHAnsi" w:hAnsiTheme="minorHAnsi" w:cstheme="minorHAnsi"/>
          <w:sz w:val="16"/>
          <w:szCs w:val="16"/>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Já está em implantação o projeto "Impressão Corporativa", que objetiva a ativação de impressoras corporativas por meio da instalação de equipamentos multifuncionais com software de gerenciamento, inventário e contabilização.</w:t>
      </w:r>
    </w:p>
  </w:footnote>
  <w:footnote w:id="199">
    <w:p w:rsidR="009D1337" w:rsidRPr="002B1C4D" w:rsidRDefault="009D1337" w:rsidP="00A93D05">
      <w:pPr>
        <w:pStyle w:val="FootnoteText"/>
        <w:rPr>
          <w:rFonts w:asciiTheme="minorHAnsi" w:hAnsiTheme="minorHAnsi" w:cstheme="minorHAnsi"/>
          <w:sz w:val="16"/>
          <w:szCs w:val="16"/>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w:t>
      </w:r>
      <w:r w:rsidRPr="002B1C4D">
        <w:rPr>
          <w:rFonts w:asciiTheme="minorHAnsi" w:hAnsiTheme="minorHAnsi" w:cstheme="minorHAnsi"/>
          <w:color w:val="000000"/>
          <w:sz w:val="16"/>
          <w:szCs w:val="16"/>
        </w:rPr>
        <w:t>Desde que haja a consolidação e institucionalização do SCSP no âmbito do GESP, a evolução do seu uso será como uma ferramenta de apoio, subsidiando com informações as peças orçamentárias (PPA/LDO/LOA). Destacamos que o momento atual da utilização pelos setoriais que possuem o SCSP implantado. Ainda não há essa maturidade.</w:t>
      </w:r>
    </w:p>
  </w:footnote>
  <w:footnote w:id="200">
    <w:p w:rsidR="009D1337" w:rsidRPr="002B1C4D" w:rsidRDefault="009D1337">
      <w:pPr>
        <w:pStyle w:val="FootnoteText"/>
        <w:rPr>
          <w:rFonts w:asciiTheme="minorHAnsi" w:hAnsiTheme="minorHAnsi" w:cstheme="minorHAnsi"/>
          <w:sz w:val="16"/>
          <w:szCs w:val="16"/>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w:t>
      </w:r>
      <w:r w:rsidRPr="002B1C4D">
        <w:rPr>
          <w:rFonts w:asciiTheme="minorHAnsi" w:hAnsiTheme="minorHAnsi" w:cstheme="minorHAnsi"/>
          <w:color w:val="000000"/>
          <w:sz w:val="16"/>
          <w:szCs w:val="16"/>
        </w:rPr>
        <w:t>A evolução dos custos em base histórica se dará a partir do momento em que determinado órgão passar a utilizar o SCSP, não havendo possibilidade/viabilidade de processamento de dados anteriores à implantação do SCSP.</w:t>
      </w:r>
    </w:p>
  </w:footnote>
  <w:footnote w:id="201">
    <w:p w:rsidR="009D1337" w:rsidRPr="002B1C4D" w:rsidRDefault="009D1337">
      <w:pPr>
        <w:pStyle w:val="FootnoteText"/>
        <w:rPr>
          <w:rFonts w:asciiTheme="minorHAnsi" w:hAnsiTheme="minorHAnsi" w:cstheme="minorHAnsi"/>
          <w:sz w:val="16"/>
          <w:szCs w:val="16"/>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w:t>
      </w:r>
      <w:r w:rsidRPr="002B1C4D">
        <w:rPr>
          <w:rFonts w:asciiTheme="minorHAnsi" w:hAnsiTheme="minorHAnsi" w:cstheme="minorHAnsi"/>
          <w:color w:val="000000"/>
          <w:sz w:val="16"/>
          <w:szCs w:val="16"/>
        </w:rPr>
        <w:t xml:space="preserve">O SCSP é um modelo de sistema voltado a melhoria da gestão pública </w:t>
      </w:r>
      <w:proofErr w:type="gramStart"/>
      <w:r w:rsidRPr="002B1C4D">
        <w:rPr>
          <w:rFonts w:asciiTheme="minorHAnsi" w:hAnsiTheme="minorHAnsi" w:cstheme="minorHAnsi"/>
          <w:color w:val="000000"/>
          <w:sz w:val="16"/>
          <w:szCs w:val="16"/>
        </w:rPr>
        <w:t>e também</w:t>
      </w:r>
      <w:proofErr w:type="gramEnd"/>
      <w:r w:rsidRPr="002B1C4D">
        <w:rPr>
          <w:rFonts w:asciiTheme="minorHAnsi" w:hAnsiTheme="minorHAnsi" w:cstheme="minorHAnsi"/>
          <w:color w:val="000000"/>
          <w:sz w:val="16"/>
          <w:szCs w:val="16"/>
        </w:rPr>
        <w:t xml:space="preserve"> do gasto público.</w:t>
      </w:r>
    </w:p>
  </w:footnote>
  <w:footnote w:id="202">
    <w:p w:rsidR="009D1337" w:rsidRPr="002B1C4D" w:rsidRDefault="009D1337">
      <w:pPr>
        <w:pStyle w:val="FootnoteText"/>
        <w:rPr>
          <w:rFonts w:asciiTheme="minorHAnsi" w:hAnsiTheme="minorHAnsi" w:cstheme="minorHAnsi"/>
          <w:sz w:val="16"/>
          <w:szCs w:val="16"/>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w:t>
      </w:r>
      <w:r w:rsidRPr="002B1C4D">
        <w:rPr>
          <w:rFonts w:asciiTheme="minorHAnsi" w:hAnsiTheme="minorHAnsi" w:cstheme="minorHAnsi"/>
          <w:color w:val="000000"/>
          <w:sz w:val="16"/>
          <w:szCs w:val="16"/>
        </w:rPr>
        <w:t>O SCSP - Sistema de Cistos dos serviços Públicos é utilizado como ferramenta de gestão por resultados; p.e. na SAP - Secretaria de Administração Penitenciária e Fundação CASA. Atendendo esses critérios.</w:t>
      </w:r>
    </w:p>
  </w:footnote>
  <w:footnote w:id="203">
    <w:p w:rsidR="009D1337" w:rsidRPr="002B1C4D" w:rsidRDefault="009D1337">
      <w:pPr>
        <w:pStyle w:val="FootnoteText"/>
        <w:rPr>
          <w:rFonts w:asciiTheme="minorHAnsi" w:hAnsiTheme="minorHAnsi" w:cstheme="minorHAnsi"/>
          <w:color w:val="000000"/>
          <w:sz w:val="16"/>
          <w:szCs w:val="16"/>
          <w:u w:val="single"/>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w:t>
      </w:r>
      <w:r w:rsidRPr="002B1C4D">
        <w:rPr>
          <w:rFonts w:asciiTheme="minorHAnsi" w:hAnsiTheme="minorHAnsi" w:cstheme="minorHAnsi"/>
          <w:color w:val="000000"/>
          <w:sz w:val="16"/>
          <w:szCs w:val="16"/>
        </w:rPr>
        <w:t>Preço de referência pode ser obtido pela Nota de Empenho da BEC, basta procurar o material no sistema e clicar em PREÇO.</w:t>
      </w:r>
      <w:r w:rsidRPr="002B1C4D">
        <w:rPr>
          <w:rFonts w:asciiTheme="minorHAnsi" w:hAnsiTheme="minorHAnsi" w:cstheme="minorHAnsi"/>
          <w:color w:val="000000"/>
          <w:sz w:val="16"/>
          <w:szCs w:val="16"/>
        </w:rPr>
        <w:br/>
      </w:r>
      <w:r w:rsidRPr="002B1C4D">
        <w:rPr>
          <w:rFonts w:asciiTheme="minorHAnsi" w:hAnsiTheme="minorHAnsi" w:cstheme="minorHAnsi"/>
          <w:color w:val="000000"/>
          <w:sz w:val="16"/>
          <w:szCs w:val="16"/>
          <w:u w:val="single"/>
        </w:rPr>
        <w:t>https://www.bec.sp.gov.br/BEC_Catalogo_ui/CatalogoPesquisa3.aspx?chave=</w:t>
      </w:r>
    </w:p>
    <w:p w:rsidR="009D1337" w:rsidRPr="002B1C4D" w:rsidRDefault="009D1337">
      <w:pPr>
        <w:pStyle w:val="FootnoteText"/>
        <w:rPr>
          <w:rFonts w:asciiTheme="minorHAnsi" w:hAnsiTheme="minorHAnsi" w:cstheme="minorHAnsi"/>
          <w:sz w:val="16"/>
          <w:szCs w:val="16"/>
        </w:rPr>
      </w:pPr>
      <w:r w:rsidRPr="002B1C4D">
        <w:rPr>
          <w:rFonts w:asciiTheme="minorHAnsi" w:hAnsiTheme="minorHAnsi" w:cstheme="minorHAnsi"/>
          <w:color w:val="000000"/>
          <w:sz w:val="16"/>
          <w:szCs w:val="16"/>
        </w:rPr>
        <w:t>O Pregão Eletrônico é suportado por sistema</w:t>
      </w:r>
      <w:r w:rsidRPr="002B1C4D">
        <w:rPr>
          <w:rFonts w:asciiTheme="minorHAnsi" w:hAnsiTheme="minorHAnsi" w:cstheme="minorHAnsi"/>
          <w:color w:val="000000"/>
          <w:sz w:val="16"/>
          <w:szCs w:val="16"/>
        </w:rPr>
        <w:br/>
      </w:r>
      <w:r w:rsidRPr="002B1C4D">
        <w:rPr>
          <w:rFonts w:asciiTheme="minorHAnsi" w:hAnsiTheme="minorHAnsi" w:cstheme="minorHAnsi"/>
          <w:color w:val="000000"/>
          <w:sz w:val="16"/>
          <w:szCs w:val="16"/>
          <w:u w:val="single"/>
        </w:rPr>
        <w:t>https://www2.bec.sp.gov.br/bec_pregao_UI/OC/pesquisa_publica.aspx?chave=</w:t>
      </w:r>
    </w:p>
  </w:footnote>
  <w:footnote w:id="204">
    <w:p w:rsidR="009D1337" w:rsidRPr="002B1C4D" w:rsidRDefault="009D1337">
      <w:pPr>
        <w:pStyle w:val="FootnoteText"/>
        <w:rPr>
          <w:rFonts w:asciiTheme="minorHAnsi" w:hAnsiTheme="minorHAnsi" w:cstheme="minorHAnsi"/>
          <w:sz w:val="16"/>
          <w:szCs w:val="16"/>
        </w:rPr>
      </w:pPr>
      <w:r w:rsidRPr="002B1C4D">
        <w:rPr>
          <w:rStyle w:val="FootnoteReference"/>
          <w:rFonts w:asciiTheme="minorHAnsi" w:hAnsiTheme="minorHAnsi" w:cstheme="minorHAnsi"/>
          <w:sz w:val="16"/>
          <w:szCs w:val="16"/>
        </w:rPr>
        <w:footnoteRef/>
      </w:r>
      <w:r w:rsidRPr="002B1C4D">
        <w:rPr>
          <w:rFonts w:asciiTheme="minorHAnsi" w:hAnsiTheme="minorHAnsi" w:cstheme="minorHAnsi"/>
          <w:sz w:val="16"/>
          <w:szCs w:val="16"/>
        </w:rPr>
        <w:t xml:space="preserve"> https://www.bec.sp.gov.br/BEC_Servicos_UI/CadTerc/ui_CadTercApresentacao.aspx</w:t>
      </w:r>
      <w:r w:rsidRPr="002B1C4D">
        <w:rPr>
          <w:rFonts w:asciiTheme="minorHAnsi" w:hAnsiTheme="minorHAnsi" w:cstheme="minorHAnsi"/>
          <w:sz w:val="16"/>
          <w:szCs w:val="16"/>
        </w:rPr>
        <w:br/>
        <w:t>https://www.bec.sp.gov.br/BEC_Catalogo_ui/CatalogoPesquisa3.aspx?chave=</w:t>
      </w:r>
    </w:p>
  </w:footnote>
  <w:footnote w:id="205">
    <w:p w:rsidR="009D1337" w:rsidRPr="00EC23FF" w:rsidRDefault="009D1337" w:rsidP="00D37B27">
      <w:pPr>
        <w:pStyle w:val="Notaderodap"/>
        <w:spacing w:after="0" w:line="240" w:lineRule="auto"/>
        <w:ind w:left="142" w:hanging="142"/>
        <w:rPr>
          <w:rFonts w:cstheme="minorHAnsi"/>
          <w:sz w:val="16"/>
          <w:szCs w:val="16"/>
        </w:rPr>
      </w:pPr>
      <w:r w:rsidRPr="00EC23FF">
        <w:rPr>
          <w:rStyle w:val="FootnoteReference"/>
          <w:rFonts w:cstheme="minorHAnsi"/>
          <w:sz w:val="16"/>
          <w:szCs w:val="16"/>
        </w:rPr>
        <w:footnoteRef/>
      </w:r>
      <w:r w:rsidRPr="00EC23FF">
        <w:rPr>
          <w:rFonts w:cstheme="minorHAnsi"/>
          <w:sz w:val="16"/>
          <w:szCs w:val="16"/>
        </w:rPr>
        <w:t>Convênio CONFAZ, de dezembro de 2014 que aprovou as Diretrizes para o Aperfeiçoamento da Gestão Fiscal dos Estados Brasileiros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337" w:rsidRDefault="009D1337" w:rsidP="002B20CC">
    <w:pPr>
      <w:pStyle w:val="Header"/>
      <w:pBdr>
        <w:bottom w:val="single" w:sz="4" w:space="1" w:color="auto"/>
      </w:pBdr>
      <w:jc w:val="right"/>
      <w:rPr>
        <w:rFonts w:asciiTheme="majorHAnsi" w:hAnsiTheme="majorHAnsi" w:cstheme="majorHAnsi"/>
        <w:sz w:val="20"/>
      </w:rPr>
    </w:pPr>
    <w:r w:rsidRPr="002B20CC">
      <w:rPr>
        <w:rFonts w:asciiTheme="majorHAnsi" w:hAnsiTheme="majorHAnsi" w:cstheme="majorHAnsi"/>
        <w:sz w:val="20"/>
      </w:rPr>
      <w:t>Avaliação da Maturidade e Desempenho da Gestão Fiscal</w:t>
    </w:r>
    <w:r>
      <w:rPr>
        <w:rFonts w:asciiTheme="majorHAnsi" w:hAnsiTheme="majorHAnsi" w:cstheme="majorHAnsi"/>
        <w:sz w:val="20"/>
      </w:rPr>
      <w:t xml:space="preserve"> – MD-</w:t>
    </w:r>
    <w:r w:rsidRPr="002B20CC">
      <w:rPr>
        <w:rFonts w:asciiTheme="majorHAnsi" w:hAnsiTheme="majorHAnsi" w:cstheme="majorHAnsi"/>
        <w:sz w:val="20"/>
      </w:rPr>
      <w:t>GEFIS</w:t>
    </w:r>
  </w:p>
  <w:p w:rsidR="009D1337" w:rsidRPr="002B20CC" w:rsidRDefault="009D1337" w:rsidP="002B20CC">
    <w:pPr>
      <w:pStyle w:val="Header"/>
      <w:pBdr>
        <w:bottom w:val="single" w:sz="4" w:space="1" w:color="auto"/>
      </w:pBdr>
      <w:jc w:val="right"/>
      <w:rPr>
        <w:rFonts w:asciiTheme="majorHAnsi" w:hAnsiTheme="majorHAnsi" w:cstheme="majorHAnsi"/>
        <w:sz w:val="20"/>
      </w:rPr>
    </w:pPr>
    <w:r>
      <w:rPr>
        <w:rFonts w:asciiTheme="majorHAnsi" w:hAnsiTheme="majorHAnsi" w:cstheme="majorHAnsi"/>
        <w:sz w:val="20"/>
      </w:rPr>
      <w:t xml:space="preserve">Estado de São Paulo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581D"/>
    <w:multiLevelType w:val="multilevel"/>
    <w:tmpl w:val="46709A0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85"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864147E"/>
    <w:multiLevelType w:val="hybridMultilevel"/>
    <w:tmpl w:val="D1E610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8A95C65"/>
    <w:multiLevelType w:val="hybridMultilevel"/>
    <w:tmpl w:val="D674A11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 w15:restartNumberingAfterBreak="0">
    <w:nsid w:val="0A587B50"/>
    <w:multiLevelType w:val="hybridMultilevel"/>
    <w:tmpl w:val="C04E1C8A"/>
    <w:lvl w:ilvl="0" w:tplc="38FEDDA4">
      <w:start w:val="1"/>
      <w:numFmt w:val="upperLetter"/>
      <w:lvlText w:val="%1."/>
      <w:lvlJc w:val="left"/>
      <w:pPr>
        <w:ind w:left="360" w:hanging="360"/>
      </w:pPr>
      <w:rPr>
        <w:rFonts w:asciiTheme="minorHAnsi" w:eastAsia="Times New Roman" w:hAnsiTheme="minorHAnsi" w:cstheme="minorHAnsi" w:hint="default"/>
        <w:b/>
        <w:color w:val="auto"/>
        <w:sz w:val="22"/>
        <w:szCs w:val="22"/>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0CB47818"/>
    <w:multiLevelType w:val="hybridMultilevel"/>
    <w:tmpl w:val="E480AE1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102E5E97"/>
    <w:multiLevelType w:val="hybridMultilevel"/>
    <w:tmpl w:val="BB2C0D40"/>
    <w:lvl w:ilvl="0" w:tplc="51DA721A">
      <w:start w:val="1"/>
      <w:numFmt w:val="lowerLetter"/>
      <w:lvlText w:val="%1)"/>
      <w:lvlJc w:val="left"/>
      <w:pPr>
        <w:tabs>
          <w:tab w:val="num" w:pos="360"/>
        </w:tabs>
        <w:ind w:left="360" w:hanging="360"/>
      </w:pPr>
    </w:lvl>
    <w:lvl w:ilvl="1" w:tplc="04160019">
      <w:start w:val="1"/>
      <w:numFmt w:val="decimal"/>
      <w:lvlText w:val="%2."/>
      <w:lvlJc w:val="left"/>
      <w:pPr>
        <w:tabs>
          <w:tab w:val="num" w:pos="0"/>
        </w:tabs>
        <w:ind w:left="0" w:hanging="360"/>
      </w:pPr>
    </w:lvl>
    <w:lvl w:ilvl="2" w:tplc="0416001B">
      <w:start w:val="1"/>
      <w:numFmt w:val="decimal"/>
      <w:lvlText w:val="%3."/>
      <w:lvlJc w:val="left"/>
      <w:pPr>
        <w:tabs>
          <w:tab w:val="num" w:pos="720"/>
        </w:tabs>
        <w:ind w:left="720" w:hanging="360"/>
      </w:pPr>
    </w:lvl>
    <w:lvl w:ilvl="3" w:tplc="0416000F">
      <w:start w:val="1"/>
      <w:numFmt w:val="decimal"/>
      <w:lvlText w:val="%4."/>
      <w:lvlJc w:val="left"/>
      <w:pPr>
        <w:tabs>
          <w:tab w:val="num" w:pos="1440"/>
        </w:tabs>
        <w:ind w:left="1440" w:hanging="360"/>
      </w:pPr>
    </w:lvl>
    <w:lvl w:ilvl="4" w:tplc="04160019">
      <w:start w:val="1"/>
      <w:numFmt w:val="decimal"/>
      <w:lvlText w:val="%5."/>
      <w:lvlJc w:val="left"/>
      <w:pPr>
        <w:tabs>
          <w:tab w:val="num" w:pos="2160"/>
        </w:tabs>
        <w:ind w:left="2160" w:hanging="360"/>
      </w:pPr>
    </w:lvl>
    <w:lvl w:ilvl="5" w:tplc="0416001B">
      <w:start w:val="1"/>
      <w:numFmt w:val="decimal"/>
      <w:lvlText w:val="%6."/>
      <w:lvlJc w:val="left"/>
      <w:pPr>
        <w:tabs>
          <w:tab w:val="num" w:pos="2880"/>
        </w:tabs>
        <w:ind w:left="2880" w:hanging="360"/>
      </w:pPr>
    </w:lvl>
    <w:lvl w:ilvl="6" w:tplc="0416000F">
      <w:start w:val="1"/>
      <w:numFmt w:val="decimal"/>
      <w:lvlText w:val="%7."/>
      <w:lvlJc w:val="left"/>
      <w:pPr>
        <w:tabs>
          <w:tab w:val="num" w:pos="3600"/>
        </w:tabs>
        <w:ind w:left="3600" w:hanging="360"/>
      </w:pPr>
    </w:lvl>
    <w:lvl w:ilvl="7" w:tplc="04160019">
      <w:start w:val="1"/>
      <w:numFmt w:val="decimal"/>
      <w:lvlText w:val="%8."/>
      <w:lvlJc w:val="left"/>
      <w:pPr>
        <w:tabs>
          <w:tab w:val="num" w:pos="4320"/>
        </w:tabs>
        <w:ind w:left="4320" w:hanging="360"/>
      </w:pPr>
    </w:lvl>
    <w:lvl w:ilvl="8" w:tplc="0416001B">
      <w:start w:val="1"/>
      <w:numFmt w:val="decimal"/>
      <w:lvlText w:val="%9."/>
      <w:lvlJc w:val="left"/>
      <w:pPr>
        <w:tabs>
          <w:tab w:val="num" w:pos="5040"/>
        </w:tabs>
        <w:ind w:left="5040" w:hanging="360"/>
      </w:pPr>
    </w:lvl>
  </w:abstractNum>
  <w:abstractNum w:abstractNumId="6" w15:restartNumberingAfterBreak="0">
    <w:nsid w:val="14373251"/>
    <w:multiLevelType w:val="multilevel"/>
    <w:tmpl w:val="29FC26C2"/>
    <w:lvl w:ilvl="0">
      <w:start w:val="1"/>
      <w:numFmt w:val="decimal"/>
      <w:lvlText w:val="%1"/>
      <w:lvlJc w:val="left"/>
      <w:pPr>
        <w:ind w:left="360" w:hanging="360"/>
      </w:pPr>
      <w:rPr>
        <w:rFonts w:cs="font386" w:hint="default"/>
        <w:b/>
      </w:rPr>
    </w:lvl>
    <w:lvl w:ilvl="1">
      <w:start w:val="2"/>
      <w:numFmt w:val="decimal"/>
      <w:lvlText w:val="%1.%2"/>
      <w:lvlJc w:val="left"/>
      <w:pPr>
        <w:ind w:left="360" w:hanging="360"/>
      </w:pPr>
      <w:rPr>
        <w:rFonts w:cs="font386" w:hint="default"/>
        <w:b/>
      </w:rPr>
    </w:lvl>
    <w:lvl w:ilvl="2">
      <w:start w:val="1"/>
      <w:numFmt w:val="decimal"/>
      <w:lvlText w:val="%1.%2.%3"/>
      <w:lvlJc w:val="left"/>
      <w:pPr>
        <w:ind w:left="360" w:hanging="360"/>
      </w:pPr>
      <w:rPr>
        <w:rFonts w:cs="font386" w:hint="default"/>
        <w:b w:val="0"/>
      </w:rPr>
    </w:lvl>
    <w:lvl w:ilvl="3">
      <w:start w:val="1"/>
      <w:numFmt w:val="decimal"/>
      <w:lvlText w:val="%1.%2.%3.%4"/>
      <w:lvlJc w:val="left"/>
      <w:pPr>
        <w:ind w:left="720" w:hanging="720"/>
      </w:pPr>
      <w:rPr>
        <w:rFonts w:cs="font386" w:hint="default"/>
        <w:b/>
      </w:rPr>
    </w:lvl>
    <w:lvl w:ilvl="4">
      <w:start w:val="1"/>
      <w:numFmt w:val="decimal"/>
      <w:lvlText w:val="%1.%2.%3.%4.%5"/>
      <w:lvlJc w:val="left"/>
      <w:pPr>
        <w:ind w:left="720" w:hanging="720"/>
      </w:pPr>
      <w:rPr>
        <w:rFonts w:cs="font386" w:hint="default"/>
        <w:b/>
      </w:rPr>
    </w:lvl>
    <w:lvl w:ilvl="5">
      <w:start w:val="1"/>
      <w:numFmt w:val="decimal"/>
      <w:lvlText w:val="%1.%2.%3.%4.%5.%6"/>
      <w:lvlJc w:val="left"/>
      <w:pPr>
        <w:ind w:left="1080" w:hanging="1080"/>
      </w:pPr>
      <w:rPr>
        <w:rFonts w:cs="font386" w:hint="default"/>
        <w:b/>
      </w:rPr>
    </w:lvl>
    <w:lvl w:ilvl="6">
      <w:start w:val="1"/>
      <w:numFmt w:val="decimal"/>
      <w:lvlText w:val="%1.%2.%3.%4.%5.%6.%7"/>
      <w:lvlJc w:val="left"/>
      <w:pPr>
        <w:ind w:left="1080" w:hanging="1080"/>
      </w:pPr>
      <w:rPr>
        <w:rFonts w:cs="font386" w:hint="default"/>
        <w:b/>
      </w:rPr>
    </w:lvl>
    <w:lvl w:ilvl="7">
      <w:start w:val="1"/>
      <w:numFmt w:val="decimal"/>
      <w:lvlText w:val="%1.%2.%3.%4.%5.%6.%7.%8"/>
      <w:lvlJc w:val="left"/>
      <w:pPr>
        <w:ind w:left="1080" w:hanging="1080"/>
      </w:pPr>
      <w:rPr>
        <w:rFonts w:cs="font386" w:hint="default"/>
        <w:b/>
      </w:rPr>
    </w:lvl>
    <w:lvl w:ilvl="8">
      <w:start w:val="1"/>
      <w:numFmt w:val="decimal"/>
      <w:lvlText w:val="%1.%2.%3.%4.%5.%6.%7.%8.%9"/>
      <w:lvlJc w:val="left"/>
      <w:pPr>
        <w:ind w:left="1440" w:hanging="1440"/>
      </w:pPr>
      <w:rPr>
        <w:rFonts w:cs="font386" w:hint="default"/>
        <w:b/>
      </w:rPr>
    </w:lvl>
  </w:abstractNum>
  <w:abstractNum w:abstractNumId="7" w15:restartNumberingAfterBreak="0">
    <w:nsid w:val="18897390"/>
    <w:multiLevelType w:val="multilevel"/>
    <w:tmpl w:val="9D24020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B967E0A"/>
    <w:multiLevelType w:val="multilevel"/>
    <w:tmpl w:val="97089E40"/>
    <w:styleLink w:val="Estilo12"/>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9" w15:restartNumberingAfterBreak="0">
    <w:nsid w:val="220C6021"/>
    <w:multiLevelType w:val="multilevel"/>
    <w:tmpl w:val="2BB87EE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40501B6"/>
    <w:multiLevelType w:val="multilevel"/>
    <w:tmpl w:val="1BAAAFC6"/>
    <w:lvl w:ilvl="0">
      <w:start w:val="3"/>
      <w:numFmt w:val="decimal"/>
      <w:lvlText w:val="%1"/>
      <w:lvlJc w:val="left"/>
      <w:pPr>
        <w:ind w:left="360" w:hanging="360"/>
      </w:pPr>
      <w:rPr>
        <w:rFonts w:cs="font386" w:hint="default"/>
        <w:b/>
      </w:rPr>
    </w:lvl>
    <w:lvl w:ilvl="1">
      <w:start w:val="1"/>
      <w:numFmt w:val="decimal"/>
      <w:lvlText w:val="%1.%2"/>
      <w:lvlJc w:val="left"/>
      <w:pPr>
        <w:ind w:left="360" w:hanging="360"/>
      </w:pPr>
      <w:rPr>
        <w:rFonts w:cs="font386" w:hint="default"/>
        <w:b/>
      </w:rPr>
    </w:lvl>
    <w:lvl w:ilvl="2">
      <w:start w:val="1"/>
      <w:numFmt w:val="decimal"/>
      <w:lvlText w:val="%1.%2.%3"/>
      <w:lvlJc w:val="left"/>
      <w:pPr>
        <w:ind w:left="360" w:hanging="360"/>
      </w:pPr>
      <w:rPr>
        <w:rFonts w:cs="font386" w:hint="default"/>
        <w:b w:val="0"/>
      </w:rPr>
    </w:lvl>
    <w:lvl w:ilvl="3">
      <w:start w:val="1"/>
      <w:numFmt w:val="decimal"/>
      <w:lvlText w:val="%1.%2.%3.%4"/>
      <w:lvlJc w:val="left"/>
      <w:pPr>
        <w:ind w:left="720" w:hanging="720"/>
      </w:pPr>
      <w:rPr>
        <w:rFonts w:cs="font386" w:hint="default"/>
        <w:b/>
      </w:rPr>
    </w:lvl>
    <w:lvl w:ilvl="4">
      <w:start w:val="1"/>
      <w:numFmt w:val="decimal"/>
      <w:lvlText w:val="%1.%2.%3.%4.%5"/>
      <w:lvlJc w:val="left"/>
      <w:pPr>
        <w:ind w:left="720" w:hanging="720"/>
      </w:pPr>
      <w:rPr>
        <w:rFonts w:cs="font386" w:hint="default"/>
        <w:b/>
      </w:rPr>
    </w:lvl>
    <w:lvl w:ilvl="5">
      <w:start w:val="1"/>
      <w:numFmt w:val="decimal"/>
      <w:lvlText w:val="%1.%2.%3.%4.%5.%6"/>
      <w:lvlJc w:val="left"/>
      <w:pPr>
        <w:ind w:left="1080" w:hanging="1080"/>
      </w:pPr>
      <w:rPr>
        <w:rFonts w:cs="font386" w:hint="default"/>
        <w:b/>
      </w:rPr>
    </w:lvl>
    <w:lvl w:ilvl="6">
      <w:start w:val="1"/>
      <w:numFmt w:val="decimal"/>
      <w:lvlText w:val="%1.%2.%3.%4.%5.%6.%7"/>
      <w:lvlJc w:val="left"/>
      <w:pPr>
        <w:ind w:left="1080" w:hanging="1080"/>
      </w:pPr>
      <w:rPr>
        <w:rFonts w:cs="font386" w:hint="default"/>
        <w:b/>
      </w:rPr>
    </w:lvl>
    <w:lvl w:ilvl="7">
      <w:start w:val="1"/>
      <w:numFmt w:val="decimal"/>
      <w:lvlText w:val="%1.%2.%3.%4.%5.%6.%7.%8"/>
      <w:lvlJc w:val="left"/>
      <w:pPr>
        <w:ind w:left="1080" w:hanging="1080"/>
      </w:pPr>
      <w:rPr>
        <w:rFonts w:cs="font386" w:hint="default"/>
        <w:b/>
      </w:rPr>
    </w:lvl>
    <w:lvl w:ilvl="8">
      <w:start w:val="1"/>
      <w:numFmt w:val="decimal"/>
      <w:lvlText w:val="%1.%2.%3.%4.%5.%6.%7.%8.%9"/>
      <w:lvlJc w:val="left"/>
      <w:pPr>
        <w:ind w:left="1440" w:hanging="1440"/>
      </w:pPr>
      <w:rPr>
        <w:rFonts w:cs="font386" w:hint="default"/>
        <w:b/>
      </w:rPr>
    </w:lvl>
  </w:abstractNum>
  <w:abstractNum w:abstractNumId="11" w15:restartNumberingAfterBreak="0">
    <w:nsid w:val="26065E6A"/>
    <w:multiLevelType w:val="multilevel"/>
    <w:tmpl w:val="0416001F"/>
    <w:styleLink w:val="Estilo2"/>
    <w:lvl w:ilvl="0">
      <w:start w:val="2"/>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72440C9"/>
    <w:multiLevelType w:val="hybridMultilevel"/>
    <w:tmpl w:val="8090B700"/>
    <w:lvl w:ilvl="0" w:tplc="2DA8F102">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730141F"/>
    <w:multiLevelType w:val="multilevel"/>
    <w:tmpl w:val="D1645E5C"/>
    <w:styleLink w:val="Estilo6"/>
    <w:lvl w:ilvl="0">
      <w:start w:val="3"/>
      <w:numFmt w:val="decimal"/>
      <w:lvlText w:val="%1"/>
      <w:lvlJc w:val="left"/>
      <w:pPr>
        <w:ind w:left="405" w:hanging="405"/>
      </w:pPr>
      <w:rPr>
        <w:rFonts w:hint="default"/>
        <w:b w:val="0"/>
      </w:rPr>
    </w:lvl>
    <w:lvl w:ilvl="1">
      <w:start w:val="5"/>
      <w:numFmt w:val="decimal"/>
      <w:lvlText w:val="%1.5"/>
      <w:lvlJc w:val="left"/>
      <w:pPr>
        <w:ind w:left="405" w:hanging="405"/>
      </w:pPr>
      <w:rPr>
        <w:rFonts w:hint="default"/>
        <w:b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4" w15:restartNumberingAfterBreak="0">
    <w:nsid w:val="2A6636C6"/>
    <w:multiLevelType w:val="multilevel"/>
    <w:tmpl w:val="270A163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A9131E3"/>
    <w:multiLevelType w:val="hybridMultilevel"/>
    <w:tmpl w:val="3DB490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BA75805"/>
    <w:multiLevelType w:val="multilevel"/>
    <w:tmpl w:val="1646EC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CE05989"/>
    <w:multiLevelType w:val="multilevel"/>
    <w:tmpl w:val="3B6E565C"/>
    <w:lvl w:ilvl="0">
      <w:start w:val="2"/>
      <w:numFmt w:val="decimal"/>
      <w:lvlText w:val="%1"/>
      <w:lvlJc w:val="left"/>
      <w:pPr>
        <w:ind w:left="360" w:hanging="360"/>
      </w:pPr>
      <w:rPr>
        <w:rFonts w:cs="font386" w:hint="default"/>
      </w:rPr>
    </w:lvl>
    <w:lvl w:ilvl="1">
      <w:start w:val="2"/>
      <w:numFmt w:val="decimal"/>
      <w:lvlText w:val="%1.%2"/>
      <w:lvlJc w:val="left"/>
      <w:pPr>
        <w:ind w:left="360" w:hanging="360"/>
      </w:pPr>
      <w:rPr>
        <w:rFonts w:cs="font386" w:hint="default"/>
      </w:rPr>
    </w:lvl>
    <w:lvl w:ilvl="2">
      <w:start w:val="1"/>
      <w:numFmt w:val="decimal"/>
      <w:lvlText w:val="%1.%2.%3"/>
      <w:lvlJc w:val="left"/>
      <w:pPr>
        <w:ind w:left="720" w:hanging="720"/>
      </w:pPr>
      <w:rPr>
        <w:rFonts w:cs="font386" w:hint="default"/>
      </w:rPr>
    </w:lvl>
    <w:lvl w:ilvl="3">
      <w:start w:val="1"/>
      <w:numFmt w:val="decimal"/>
      <w:lvlText w:val="%1.%2.%3.%4"/>
      <w:lvlJc w:val="left"/>
      <w:pPr>
        <w:ind w:left="720" w:hanging="720"/>
      </w:pPr>
      <w:rPr>
        <w:rFonts w:cs="font386" w:hint="default"/>
      </w:rPr>
    </w:lvl>
    <w:lvl w:ilvl="4">
      <w:start w:val="1"/>
      <w:numFmt w:val="decimal"/>
      <w:lvlText w:val="%1.%2.%3.%4.%5"/>
      <w:lvlJc w:val="left"/>
      <w:pPr>
        <w:ind w:left="720" w:hanging="720"/>
      </w:pPr>
      <w:rPr>
        <w:rFonts w:cs="font386" w:hint="default"/>
      </w:rPr>
    </w:lvl>
    <w:lvl w:ilvl="5">
      <w:start w:val="1"/>
      <w:numFmt w:val="decimal"/>
      <w:lvlText w:val="%1.%2.%3.%4.%5.%6"/>
      <w:lvlJc w:val="left"/>
      <w:pPr>
        <w:ind w:left="1080" w:hanging="1080"/>
      </w:pPr>
      <w:rPr>
        <w:rFonts w:cs="font386" w:hint="default"/>
      </w:rPr>
    </w:lvl>
    <w:lvl w:ilvl="6">
      <w:start w:val="1"/>
      <w:numFmt w:val="decimal"/>
      <w:lvlText w:val="%1.%2.%3.%4.%5.%6.%7"/>
      <w:lvlJc w:val="left"/>
      <w:pPr>
        <w:ind w:left="1080" w:hanging="1080"/>
      </w:pPr>
      <w:rPr>
        <w:rFonts w:cs="font386" w:hint="default"/>
      </w:rPr>
    </w:lvl>
    <w:lvl w:ilvl="7">
      <w:start w:val="1"/>
      <w:numFmt w:val="decimal"/>
      <w:lvlText w:val="%1.%2.%3.%4.%5.%6.%7.%8"/>
      <w:lvlJc w:val="left"/>
      <w:pPr>
        <w:ind w:left="1080" w:hanging="1080"/>
      </w:pPr>
      <w:rPr>
        <w:rFonts w:cs="font386" w:hint="default"/>
      </w:rPr>
    </w:lvl>
    <w:lvl w:ilvl="8">
      <w:start w:val="1"/>
      <w:numFmt w:val="decimal"/>
      <w:lvlText w:val="%1.%2.%3.%4.%5.%6.%7.%8.%9"/>
      <w:lvlJc w:val="left"/>
      <w:pPr>
        <w:ind w:left="1440" w:hanging="1440"/>
      </w:pPr>
      <w:rPr>
        <w:rFonts w:cs="font386" w:hint="default"/>
      </w:rPr>
    </w:lvl>
  </w:abstractNum>
  <w:abstractNum w:abstractNumId="18" w15:restartNumberingAfterBreak="0">
    <w:nsid w:val="2D974724"/>
    <w:multiLevelType w:val="hybridMultilevel"/>
    <w:tmpl w:val="3D266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FA221FD"/>
    <w:multiLevelType w:val="hybridMultilevel"/>
    <w:tmpl w:val="40CAF026"/>
    <w:lvl w:ilvl="0" w:tplc="7584C7BE">
      <w:start w:val="1"/>
      <w:numFmt w:val="bullet"/>
      <w:lvlText w:val=""/>
      <w:lvlJc w:val="left"/>
      <w:pPr>
        <w:ind w:left="644" w:hanging="360"/>
      </w:pPr>
      <w:rPr>
        <w:rFonts w:ascii="Symbol" w:hAnsi="Symbol" w:hint="default"/>
        <w:color w:val="auto"/>
      </w:rPr>
    </w:lvl>
    <w:lvl w:ilvl="1" w:tplc="04160003">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20" w15:restartNumberingAfterBreak="0">
    <w:nsid w:val="30881E7F"/>
    <w:multiLevelType w:val="hybridMultilevel"/>
    <w:tmpl w:val="D6620BE0"/>
    <w:lvl w:ilvl="0" w:tplc="04160015">
      <w:start w:val="1"/>
      <w:numFmt w:val="upp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15:restartNumberingAfterBreak="0">
    <w:nsid w:val="3105440D"/>
    <w:multiLevelType w:val="hybridMultilevel"/>
    <w:tmpl w:val="DB62C966"/>
    <w:lvl w:ilvl="0" w:tplc="5C84BE52">
      <w:start w:val="1"/>
      <w:numFmt w:val="decimal"/>
      <w:lvlText w:val="%1."/>
      <w:lvlJc w:val="left"/>
      <w:pPr>
        <w:ind w:left="360" w:hanging="360"/>
      </w:pPr>
      <w:rPr>
        <w:rFonts w:eastAsia="Times New Roman" w:hint="default"/>
        <w:b/>
        <w:color w:val="00000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15:restartNumberingAfterBreak="0">
    <w:nsid w:val="33505045"/>
    <w:multiLevelType w:val="hybridMultilevel"/>
    <w:tmpl w:val="BFD02072"/>
    <w:lvl w:ilvl="0" w:tplc="E892A7F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4D0495A"/>
    <w:multiLevelType w:val="hybridMultilevel"/>
    <w:tmpl w:val="86AE4F18"/>
    <w:lvl w:ilvl="0" w:tplc="EF2E3C4A">
      <w:start w:val="1"/>
      <w:numFmt w:val="upperLetter"/>
      <w:lvlText w:val="%1."/>
      <w:lvlJc w:val="left"/>
      <w:pPr>
        <w:ind w:left="106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7015380"/>
    <w:multiLevelType w:val="hybridMultilevel"/>
    <w:tmpl w:val="17928F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D953C93"/>
    <w:multiLevelType w:val="hybridMultilevel"/>
    <w:tmpl w:val="4172224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6" w15:restartNumberingAfterBreak="0">
    <w:nsid w:val="4FA65C4A"/>
    <w:multiLevelType w:val="hybridMultilevel"/>
    <w:tmpl w:val="C9649360"/>
    <w:lvl w:ilvl="0" w:tplc="6EBED096">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7" w15:restartNumberingAfterBreak="0">
    <w:nsid w:val="54E817D9"/>
    <w:multiLevelType w:val="hybridMultilevel"/>
    <w:tmpl w:val="4B4E4144"/>
    <w:lvl w:ilvl="0" w:tplc="04160015">
      <w:start w:val="1"/>
      <w:numFmt w:val="upp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8" w15:restartNumberingAfterBreak="0">
    <w:nsid w:val="55F30486"/>
    <w:multiLevelType w:val="hybridMultilevel"/>
    <w:tmpl w:val="96DCE5AC"/>
    <w:lvl w:ilvl="0" w:tplc="896C67E6">
      <w:start w:val="1"/>
      <w:numFmt w:val="upperRoman"/>
      <w:lvlText w:val="%1."/>
      <w:lvlJc w:val="left"/>
      <w:pPr>
        <w:ind w:left="1080" w:hanging="720"/>
      </w:pPr>
      <w:rPr>
        <w:rFonts w:hint="default"/>
        <w:b/>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7594B44"/>
    <w:multiLevelType w:val="hybridMultilevel"/>
    <w:tmpl w:val="A10CC44A"/>
    <w:lvl w:ilvl="0" w:tplc="E6F0373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86617E2"/>
    <w:multiLevelType w:val="multilevel"/>
    <w:tmpl w:val="2AE05C1A"/>
    <w:styleLink w:val="Estilo4"/>
    <w:lvl w:ilvl="0">
      <w:start w:val="3"/>
      <w:numFmt w:val="decimal"/>
      <w:lvlText w:val="%1"/>
      <w:lvlJc w:val="left"/>
      <w:pPr>
        <w:ind w:left="405" w:hanging="405"/>
      </w:pPr>
      <w:rPr>
        <w:rFonts w:hint="default"/>
        <w:b w:val="0"/>
      </w:rPr>
    </w:lvl>
    <w:lvl w:ilvl="1">
      <w:start w:val="2"/>
      <w:numFmt w:val="decimal"/>
      <w:lvlText w:val="%1.%2"/>
      <w:lvlJc w:val="left"/>
      <w:pPr>
        <w:ind w:left="405" w:hanging="405"/>
      </w:pPr>
      <w:rPr>
        <w:rFonts w:hint="default"/>
        <w:b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1" w15:restartNumberingAfterBreak="0">
    <w:nsid w:val="5A3A2546"/>
    <w:multiLevelType w:val="hybridMultilevel"/>
    <w:tmpl w:val="737CC53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2" w15:restartNumberingAfterBreak="0">
    <w:nsid w:val="61FF37AD"/>
    <w:multiLevelType w:val="hybridMultilevel"/>
    <w:tmpl w:val="8270939E"/>
    <w:lvl w:ilvl="0" w:tplc="654234EE">
      <w:start w:val="1"/>
      <w:numFmt w:val="upp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3" w15:restartNumberingAfterBreak="0">
    <w:nsid w:val="63197682"/>
    <w:multiLevelType w:val="hybridMultilevel"/>
    <w:tmpl w:val="4412F17A"/>
    <w:lvl w:ilvl="0" w:tplc="BDE80B6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4" w15:restartNumberingAfterBreak="0">
    <w:nsid w:val="677F3390"/>
    <w:multiLevelType w:val="hybridMultilevel"/>
    <w:tmpl w:val="12220158"/>
    <w:lvl w:ilvl="0" w:tplc="04160015">
      <w:start w:val="1"/>
      <w:numFmt w:val="upp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5" w15:restartNumberingAfterBreak="0">
    <w:nsid w:val="68E61611"/>
    <w:multiLevelType w:val="hybridMultilevel"/>
    <w:tmpl w:val="BB58D490"/>
    <w:lvl w:ilvl="0" w:tplc="4B7090AC">
      <w:start w:val="1"/>
      <w:numFmt w:val="lowerLetter"/>
      <w:lvlText w:val="%1."/>
      <w:lvlJc w:val="left"/>
      <w:pPr>
        <w:ind w:left="1068" w:hanging="360"/>
      </w:pPr>
      <w:rPr>
        <w:rFonts w:hint="default"/>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6" w15:restartNumberingAfterBreak="0">
    <w:nsid w:val="69151DC8"/>
    <w:multiLevelType w:val="multilevel"/>
    <w:tmpl w:val="70CCBB1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A021284"/>
    <w:multiLevelType w:val="multilevel"/>
    <w:tmpl w:val="2A1E4FA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BB253AF"/>
    <w:multiLevelType w:val="hybridMultilevel"/>
    <w:tmpl w:val="4AFAB1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E4C3C05"/>
    <w:multiLevelType w:val="multilevel"/>
    <w:tmpl w:val="D9EE408E"/>
    <w:lvl w:ilvl="0">
      <w:start w:val="1"/>
      <w:numFmt w:val="upperRoman"/>
      <w:pStyle w:val="Chapter"/>
      <w:lvlText w:val="%1."/>
      <w:lvlJc w:val="center"/>
      <w:pPr>
        <w:tabs>
          <w:tab w:val="num" w:pos="648"/>
        </w:tabs>
        <w:ind w:left="0" w:firstLine="288"/>
      </w:pPr>
      <w:rPr>
        <w:rFonts w:hint="default"/>
        <w:b/>
        <w:i w:val="0"/>
      </w:rPr>
    </w:lvl>
    <w:lvl w:ilvl="1">
      <w:start w:val="1"/>
      <w:numFmt w:val="decimal"/>
      <w:pStyle w:val="Paragraph"/>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pStyle w:val="SubSubPar"/>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40" w15:restartNumberingAfterBreak="0">
    <w:nsid w:val="6FA3153F"/>
    <w:multiLevelType w:val="multilevel"/>
    <w:tmpl w:val="97089E40"/>
    <w:styleLink w:val="Estilo1"/>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0FF25B9"/>
    <w:multiLevelType w:val="hybridMultilevel"/>
    <w:tmpl w:val="F9CCB812"/>
    <w:lvl w:ilvl="0" w:tplc="04160011">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1785D87"/>
    <w:multiLevelType w:val="hybridMultilevel"/>
    <w:tmpl w:val="B76E7018"/>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3" w15:restartNumberingAfterBreak="0">
    <w:nsid w:val="75953913"/>
    <w:multiLevelType w:val="multilevel"/>
    <w:tmpl w:val="972AADDE"/>
    <w:styleLink w:val="Estilo3"/>
    <w:lvl w:ilvl="0">
      <w:start w:val="3"/>
      <w:numFmt w:val="decimal"/>
      <w:lvlText w:val="%1"/>
      <w:lvlJc w:val="left"/>
      <w:pPr>
        <w:ind w:left="405" w:hanging="405"/>
      </w:pPr>
      <w:rPr>
        <w:rFonts w:hint="default"/>
        <w:b w:val="0"/>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4" w15:restartNumberingAfterBreak="0">
    <w:nsid w:val="76F73350"/>
    <w:multiLevelType w:val="hybridMultilevel"/>
    <w:tmpl w:val="8270939E"/>
    <w:lvl w:ilvl="0" w:tplc="654234EE">
      <w:start w:val="1"/>
      <w:numFmt w:val="upp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27"/>
  </w:num>
  <w:num w:numId="2">
    <w:abstractNumId w:val="35"/>
  </w:num>
  <w:num w:numId="3">
    <w:abstractNumId w:val="28"/>
  </w:num>
  <w:num w:numId="4">
    <w:abstractNumId w:val="33"/>
  </w:num>
  <w:num w:numId="5">
    <w:abstractNumId w:val="44"/>
  </w:num>
  <w:num w:numId="6">
    <w:abstractNumId w:val="31"/>
  </w:num>
  <w:num w:numId="7">
    <w:abstractNumId w:val="39"/>
  </w:num>
  <w:num w:numId="8">
    <w:abstractNumId w:val="2"/>
  </w:num>
  <w:num w:numId="9">
    <w:abstractNumId w:val="23"/>
  </w:num>
  <w:num w:numId="10">
    <w:abstractNumId w:val="26"/>
  </w:num>
  <w:num w:numId="11">
    <w:abstractNumId w:val="18"/>
  </w:num>
  <w:num w:numId="12">
    <w:abstractNumId w:val="11"/>
  </w:num>
  <w:num w:numId="13">
    <w:abstractNumId w:val="40"/>
  </w:num>
  <w:num w:numId="14">
    <w:abstractNumId w:val="30"/>
  </w:num>
  <w:num w:numId="15">
    <w:abstractNumId w:val="42"/>
  </w:num>
  <w:num w:numId="16">
    <w:abstractNumId w:val="8"/>
  </w:num>
  <w:num w:numId="17">
    <w:abstractNumId w:val="41"/>
  </w:num>
  <w:num w:numId="18">
    <w:abstractNumId w:val="13"/>
  </w:num>
  <w:num w:numId="19">
    <w:abstractNumId w:val="43"/>
  </w:num>
  <w:num w:numId="20">
    <w:abstractNumId w:val="1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8"/>
  </w:num>
  <w:num w:numId="24">
    <w:abstractNumId w:val="19"/>
  </w:num>
  <w:num w:numId="25">
    <w:abstractNumId w:val="6"/>
  </w:num>
  <w:num w:numId="26">
    <w:abstractNumId w:val="24"/>
  </w:num>
  <w:num w:numId="27">
    <w:abstractNumId w:val="7"/>
  </w:num>
  <w:num w:numId="28">
    <w:abstractNumId w:val="1"/>
  </w:num>
  <w:num w:numId="29">
    <w:abstractNumId w:val="37"/>
  </w:num>
  <w:num w:numId="30">
    <w:abstractNumId w:val="29"/>
  </w:num>
  <w:num w:numId="31">
    <w:abstractNumId w:val="17"/>
  </w:num>
  <w:num w:numId="32">
    <w:abstractNumId w:val="25"/>
  </w:num>
  <w:num w:numId="33">
    <w:abstractNumId w:val="10"/>
  </w:num>
  <w:num w:numId="34">
    <w:abstractNumId w:val="14"/>
  </w:num>
  <w:num w:numId="35">
    <w:abstractNumId w:val="32"/>
  </w:num>
  <w:num w:numId="36">
    <w:abstractNumId w:val="20"/>
  </w:num>
  <w:num w:numId="37">
    <w:abstractNumId w:val="3"/>
  </w:num>
  <w:num w:numId="38">
    <w:abstractNumId w:val="16"/>
  </w:num>
  <w:num w:numId="39">
    <w:abstractNumId w:val="36"/>
  </w:num>
  <w:num w:numId="40">
    <w:abstractNumId w:val="12"/>
  </w:num>
  <w:num w:numId="41">
    <w:abstractNumId w:val="9"/>
  </w:num>
  <w:num w:numId="42">
    <w:abstractNumId w:val="34"/>
  </w:num>
  <w:num w:numId="43">
    <w:abstractNumId w:val="0"/>
  </w:num>
  <w:num w:numId="44">
    <w:abstractNumId w:val="22"/>
  </w:num>
  <w:num w:numId="45">
    <w:abstractNumId w:val="21"/>
  </w:num>
  <w:num w:numId="46">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B0509"/>
    <w:rsid w:val="000002AA"/>
    <w:rsid w:val="00000DBE"/>
    <w:rsid w:val="00001C6F"/>
    <w:rsid w:val="000026AA"/>
    <w:rsid w:val="00002BCA"/>
    <w:rsid w:val="00002D4B"/>
    <w:rsid w:val="000036CE"/>
    <w:rsid w:val="00003AA8"/>
    <w:rsid w:val="000041CD"/>
    <w:rsid w:val="0000445E"/>
    <w:rsid w:val="00004FF4"/>
    <w:rsid w:val="00005A25"/>
    <w:rsid w:val="00005D3F"/>
    <w:rsid w:val="00005DFA"/>
    <w:rsid w:val="00005E20"/>
    <w:rsid w:val="00005ECC"/>
    <w:rsid w:val="000064B7"/>
    <w:rsid w:val="000070EE"/>
    <w:rsid w:val="00007557"/>
    <w:rsid w:val="000076AA"/>
    <w:rsid w:val="00007976"/>
    <w:rsid w:val="00010C8D"/>
    <w:rsid w:val="00011A67"/>
    <w:rsid w:val="000122F2"/>
    <w:rsid w:val="000125E7"/>
    <w:rsid w:val="000132EE"/>
    <w:rsid w:val="000142A6"/>
    <w:rsid w:val="00014541"/>
    <w:rsid w:val="00014607"/>
    <w:rsid w:val="000147FC"/>
    <w:rsid w:val="0001485B"/>
    <w:rsid w:val="00014A31"/>
    <w:rsid w:val="00015181"/>
    <w:rsid w:val="00015B26"/>
    <w:rsid w:val="00016391"/>
    <w:rsid w:val="000176CA"/>
    <w:rsid w:val="00017A43"/>
    <w:rsid w:val="000203F3"/>
    <w:rsid w:val="00020991"/>
    <w:rsid w:val="00020EDC"/>
    <w:rsid w:val="000218F1"/>
    <w:rsid w:val="000218FF"/>
    <w:rsid w:val="00022037"/>
    <w:rsid w:val="000223AF"/>
    <w:rsid w:val="00022424"/>
    <w:rsid w:val="00022A8E"/>
    <w:rsid w:val="00022CBB"/>
    <w:rsid w:val="00023015"/>
    <w:rsid w:val="00023347"/>
    <w:rsid w:val="00023AA8"/>
    <w:rsid w:val="00023B20"/>
    <w:rsid w:val="000241DA"/>
    <w:rsid w:val="000242B8"/>
    <w:rsid w:val="00024DCB"/>
    <w:rsid w:val="0002525B"/>
    <w:rsid w:val="0002571D"/>
    <w:rsid w:val="000259A9"/>
    <w:rsid w:val="00025B9B"/>
    <w:rsid w:val="00027D43"/>
    <w:rsid w:val="00030D05"/>
    <w:rsid w:val="00031A5D"/>
    <w:rsid w:val="00031B36"/>
    <w:rsid w:val="00031B5D"/>
    <w:rsid w:val="0003318F"/>
    <w:rsid w:val="00033FFD"/>
    <w:rsid w:val="0003490B"/>
    <w:rsid w:val="00037106"/>
    <w:rsid w:val="000372BC"/>
    <w:rsid w:val="00037351"/>
    <w:rsid w:val="0004058D"/>
    <w:rsid w:val="00040772"/>
    <w:rsid w:val="000407D6"/>
    <w:rsid w:val="000416D4"/>
    <w:rsid w:val="00041B74"/>
    <w:rsid w:val="00041CEC"/>
    <w:rsid w:val="0004286E"/>
    <w:rsid w:val="00042D6B"/>
    <w:rsid w:val="00042E4D"/>
    <w:rsid w:val="00042F7B"/>
    <w:rsid w:val="00043FE9"/>
    <w:rsid w:val="00044506"/>
    <w:rsid w:val="00044C9D"/>
    <w:rsid w:val="00046C75"/>
    <w:rsid w:val="00046F07"/>
    <w:rsid w:val="00047047"/>
    <w:rsid w:val="00047889"/>
    <w:rsid w:val="00050114"/>
    <w:rsid w:val="0005047E"/>
    <w:rsid w:val="000504D7"/>
    <w:rsid w:val="0005165C"/>
    <w:rsid w:val="0005176B"/>
    <w:rsid w:val="000519D2"/>
    <w:rsid w:val="00051CBD"/>
    <w:rsid w:val="00052031"/>
    <w:rsid w:val="00052358"/>
    <w:rsid w:val="000525F3"/>
    <w:rsid w:val="000532BF"/>
    <w:rsid w:val="000538AA"/>
    <w:rsid w:val="00053D6F"/>
    <w:rsid w:val="000542BF"/>
    <w:rsid w:val="00054E6B"/>
    <w:rsid w:val="0005580A"/>
    <w:rsid w:val="00055B84"/>
    <w:rsid w:val="00055BF5"/>
    <w:rsid w:val="00055CB9"/>
    <w:rsid w:val="000567C5"/>
    <w:rsid w:val="00056C3B"/>
    <w:rsid w:val="000573DD"/>
    <w:rsid w:val="00057573"/>
    <w:rsid w:val="000603C9"/>
    <w:rsid w:val="00060B58"/>
    <w:rsid w:val="00060C23"/>
    <w:rsid w:val="000610A1"/>
    <w:rsid w:val="00061EAA"/>
    <w:rsid w:val="0006238D"/>
    <w:rsid w:val="00063557"/>
    <w:rsid w:val="000637E1"/>
    <w:rsid w:val="00063A0F"/>
    <w:rsid w:val="00063C07"/>
    <w:rsid w:val="000643C4"/>
    <w:rsid w:val="00064631"/>
    <w:rsid w:val="00064EE5"/>
    <w:rsid w:val="00065CB1"/>
    <w:rsid w:val="00065E6C"/>
    <w:rsid w:val="000663A7"/>
    <w:rsid w:val="00066587"/>
    <w:rsid w:val="00066EE2"/>
    <w:rsid w:val="00067AAB"/>
    <w:rsid w:val="00070FD4"/>
    <w:rsid w:val="0007104F"/>
    <w:rsid w:val="000711A5"/>
    <w:rsid w:val="00071F1B"/>
    <w:rsid w:val="00072A62"/>
    <w:rsid w:val="00072C3D"/>
    <w:rsid w:val="000730D5"/>
    <w:rsid w:val="0007310F"/>
    <w:rsid w:val="00073CD4"/>
    <w:rsid w:val="00074441"/>
    <w:rsid w:val="00074B55"/>
    <w:rsid w:val="00075090"/>
    <w:rsid w:val="00075263"/>
    <w:rsid w:val="00075F24"/>
    <w:rsid w:val="00076052"/>
    <w:rsid w:val="00076551"/>
    <w:rsid w:val="00077041"/>
    <w:rsid w:val="00077060"/>
    <w:rsid w:val="0007750F"/>
    <w:rsid w:val="00077882"/>
    <w:rsid w:val="00080755"/>
    <w:rsid w:val="000821A4"/>
    <w:rsid w:val="00082854"/>
    <w:rsid w:val="000829A3"/>
    <w:rsid w:val="0008480A"/>
    <w:rsid w:val="000859B4"/>
    <w:rsid w:val="00086B84"/>
    <w:rsid w:val="00086BDE"/>
    <w:rsid w:val="00086F6E"/>
    <w:rsid w:val="000873FE"/>
    <w:rsid w:val="000879A0"/>
    <w:rsid w:val="00087D2F"/>
    <w:rsid w:val="00090647"/>
    <w:rsid w:val="0009117C"/>
    <w:rsid w:val="00091518"/>
    <w:rsid w:val="00091E5C"/>
    <w:rsid w:val="000928F3"/>
    <w:rsid w:val="00092B87"/>
    <w:rsid w:val="0009324B"/>
    <w:rsid w:val="0009338E"/>
    <w:rsid w:val="000935E2"/>
    <w:rsid w:val="0009410C"/>
    <w:rsid w:val="000948AF"/>
    <w:rsid w:val="000948C1"/>
    <w:rsid w:val="00094D51"/>
    <w:rsid w:val="00094F82"/>
    <w:rsid w:val="00095174"/>
    <w:rsid w:val="00096112"/>
    <w:rsid w:val="000961D9"/>
    <w:rsid w:val="00096710"/>
    <w:rsid w:val="000970FA"/>
    <w:rsid w:val="000971C0"/>
    <w:rsid w:val="000A03A9"/>
    <w:rsid w:val="000A0B2F"/>
    <w:rsid w:val="000A0D66"/>
    <w:rsid w:val="000A131F"/>
    <w:rsid w:val="000A146C"/>
    <w:rsid w:val="000A181C"/>
    <w:rsid w:val="000A18BE"/>
    <w:rsid w:val="000A2CB8"/>
    <w:rsid w:val="000A2F76"/>
    <w:rsid w:val="000A3598"/>
    <w:rsid w:val="000A4630"/>
    <w:rsid w:val="000A50BE"/>
    <w:rsid w:val="000A54D6"/>
    <w:rsid w:val="000A5B7D"/>
    <w:rsid w:val="000B03AD"/>
    <w:rsid w:val="000B08D1"/>
    <w:rsid w:val="000B0ECE"/>
    <w:rsid w:val="000B10D2"/>
    <w:rsid w:val="000B1546"/>
    <w:rsid w:val="000B1653"/>
    <w:rsid w:val="000B17CD"/>
    <w:rsid w:val="000B1E0D"/>
    <w:rsid w:val="000B2DAF"/>
    <w:rsid w:val="000B33AC"/>
    <w:rsid w:val="000B3885"/>
    <w:rsid w:val="000B3D56"/>
    <w:rsid w:val="000B4245"/>
    <w:rsid w:val="000B4ACF"/>
    <w:rsid w:val="000B4BEC"/>
    <w:rsid w:val="000B5329"/>
    <w:rsid w:val="000B587F"/>
    <w:rsid w:val="000B5AFD"/>
    <w:rsid w:val="000B60C3"/>
    <w:rsid w:val="000B6572"/>
    <w:rsid w:val="000B6882"/>
    <w:rsid w:val="000B6921"/>
    <w:rsid w:val="000B6CF0"/>
    <w:rsid w:val="000B7BC2"/>
    <w:rsid w:val="000C056C"/>
    <w:rsid w:val="000C0770"/>
    <w:rsid w:val="000C0A55"/>
    <w:rsid w:val="000C1CAE"/>
    <w:rsid w:val="000C272C"/>
    <w:rsid w:val="000C28C7"/>
    <w:rsid w:val="000C3F64"/>
    <w:rsid w:val="000C4445"/>
    <w:rsid w:val="000C46CC"/>
    <w:rsid w:val="000C52D5"/>
    <w:rsid w:val="000C53D8"/>
    <w:rsid w:val="000C55D7"/>
    <w:rsid w:val="000C5D53"/>
    <w:rsid w:val="000C5E5E"/>
    <w:rsid w:val="000C6504"/>
    <w:rsid w:val="000C6841"/>
    <w:rsid w:val="000C6D69"/>
    <w:rsid w:val="000C6FE9"/>
    <w:rsid w:val="000C7420"/>
    <w:rsid w:val="000C7875"/>
    <w:rsid w:val="000C7BB6"/>
    <w:rsid w:val="000C7C00"/>
    <w:rsid w:val="000D1B38"/>
    <w:rsid w:val="000D1B5B"/>
    <w:rsid w:val="000D2952"/>
    <w:rsid w:val="000D2B90"/>
    <w:rsid w:val="000D363F"/>
    <w:rsid w:val="000D3781"/>
    <w:rsid w:val="000D3F19"/>
    <w:rsid w:val="000D4912"/>
    <w:rsid w:val="000D4C84"/>
    <w:rsid w:val="000D50C6"/>
    <w:rsid w:val="000D5123"/>
    <w:rsid w:val="000D5622"/>
    <w:rsid w:val="000D5C73"/>
    <w:rsid w:val="000D6181"/>
    <w:rsid w:val="000D6221"/>
    <w:rsid w:val="000D63E3"/>
    <w:rsid w:val="000D64CB"/>
    <w:rsid w:val="000D6A23"/>
    <w:rsid w:val="000D6FFB"/>
    <w:rsid w:val="000D7323"/>
    <w:rsid w:val="000D7DB0"/>
    <w:rsid w:val="000E041B"/>
    <w:rsid w:val="000E13E4"/>
    <w:rsid w:val="000E2286"/>
    <w:rsid w:val="000E2892"/>
    <w:rsid w:val="000E2A8B"/>
    <w:rsid w:val="000E2E74"/>
    <w:rsid w:val="000E3A76"/>
    <w:rsid w:val="000E3AB2"/>
    <w:rsid w:val="000E4310"/>
    <w:rsid w:val="000E4573"/>
    <w:rsid w:val="000E4654"/>
    <w:rsid w:val="000E4A37"/>
    <w:rsid w:val="000E4C74"/>
    <w:rsid w:val="000E53F3"/>
    <w:rsid w:val="000E726B"/>
    <w:rsid w:val="000E779B"/>
    <w:rsid w:val="000F0D61"/>
    <w:rsid w:val="000F170B"/>
    <w:rsid w:val="000F1813"/>
    <w:rsid w:val="000F21D2"/>
    <w:rsid w:val="000F2466"/>
    <w:rsid w:val="000F333F"/>
    <w:rsid w:val="000F35C6"/>
    <w:rsid w:val="000F50C1"/>
    <w:rsid w:val="000F5117"/>
    <w:rsid w:val="000F5D72"/>
    <w:rsid w:val="000F65B7"/>
    <w:rsid w:val="000F6970"/>
    <w:rsid w:val="000F78AB"/>
    <w:rsid w:val="0010009A"/>
    <w:rsid w:val="00100897"/>
    <w:rsid w:val="00100A0B"/>
    <w:rsid w:val="00100A7B"/>
    <w:rsid w:val="00100EC6"/>
    <w:rsid w:val="0010107C"/>
    <w:rsid w:val="0010186F"/>
    <w:rsid w:val="00101B46"/>
    <w:rsid w:val="00101B75"/>
    <w:rsid w:val="00103413"/>
    <w:rsid w:val="00104009"/>
    <w:rsid w:val="001051A8"/>
    <w:rsid w:val="001056E8"/>
    <w:rsid w:val="00105D80"/>
    <w:rsid w:val="001065E2"/>
    <w:rsid w:val="001069DA"/>
    <w:rsid w:val="00106B3A"/>
    <w:rsid w:val="001101DB"/>
    <w:rsid w:val="00110C15"/>
    <w:rsid w:val="001112FB"/>
    <w:rsid w:val="001119A8"/>
    <w:rsid w:val="00111E34"/>
    <w:rsid w:val="00111FC5"/>
    <w:rsid w:val="001126B0"/>
    <w:rsid w:val="001137DE"/>
    <w:rsid w:val="001153BC"/>
    <w:rsid w:val="001153FA"/>
    <w:rsid w:val="001157F8"/>
    <w:rsid w:val="00115CD1"/>
    <w:rsid w:val="001165DD"/>
    <w:rsid w:val="001167CE"/>
    <w:rsid w:val="00116EF7"/>
    <w:rsid w:val="0011780D"/>
    <w:rsid w:val="00117EB9"/>
    <w:rsid w:val="00117FBC"/>
    <w:rsid w:val="00120022"/>
    <w:rsid w:val="0012071B"/>
    <w:rsid w:val="00121202"/>
    <w:rsid w:val="00121C90"/>
    <w:rsid w:val="00121CE6"/>
    <w:rsid w:val="001227CC"/>
    <w:rsid w:val="0012294A"/>
    <w:rsid w:val="00123044"/>
    <w:rsid w:val="00123603"/>
    <w:rsid w:val="00123BF6"/>
    <w:rsid w:val="00125D9E"/>
    <w:rsid w:val="001263F8"/>
    <w:rsid w:val="001264D5"/>
    <w:rsid w:val="00126D63"/>
    <w:rsid w:val="00127351"/>
    <w:rsid w:val="00127AC2"/>
    <w:rsid w:val="0013010C"/>
    <w:rsid w:val="001308CD"/>
    <w:rsid w:val="00131BE4"/>
    <w:rsid w:val="00131F00"/>
    <w:rsid w:val="00132551"/>
    <w:rsid w:val="00133398"/>
    <w:rsid w:val="00134F58"/>
    <w:rsid w:val="00135E7D"/>
    <w:rsid w:val="0013668A"/>
    <w:rsid w:val="0013672F"/>
    <w:rsid w:val="00136A9B"/>
    <w:rsid w:val="00137053"/>
    <w:rsid w:val="0013774D"/>
    <w:rsid w:val="00137B1A"/>
    <w:rsid w:val="00137CF1"/>
    <w:rsid w:val="001404E8"/>
    <w:rsid w:val="00141BEA"/>
    <w:rsid w:val="001421CA"/>
    <w:rsid w:val="0014227E"/>
    <w:rsid w:val="001425AF"/>
    <w:rsid w:val="001428CF"/>
    <w:rsid w:val="00142B6E"/>
    <w:rsid w:val="00142C24"/>
    <w:rsid w:val="00143805"/>
    <w:rsid w:val="001438A4"/>
    <w:rsid w:val="00143D30"/>
    <w:rsid w:val="00144624"/>
    <w:rsid w:val="00144CE2"/>
    <w:rsid w:val="00145165"/>
    <w:rsid w:val="0014550C"/>
    <w:rsid w:val="00146347"/>
    <w:rsid w:val="00146AC4"/>
    <w:rsid w:val="00146C4A"/>
    <w:rsid w:val="00146E7D"/>
    <w:rsid w:val="00146EBB"/>
    <w:rsid w:val="001472A5"/>
    <w:rsid w:val="00147821"/>
    <w:rsid w:val="00147D8F"/>
    <w:rsid w:val="001505A8"/>
    <w:rsid w:val="001505D8"/>
    <w:rsid w:val="00150CC6"/>
    <w:rsid w:val="0015123C"/>
    <w:rsid w:val="001517F4"/>
    <w:rsid w:val="00151AD8"/>
    <w:rsid w:val="00151C24"/>
    <w:rsid w:val="00153813"/>
    <w:rsid w:val="00153DC4"/>
    <w:rsid w:val="00154659"/>
    <w:rsid w:val="00154E39"/>
    <w:rsid w:val="00155159"/>
    <w:rsid w:val="00155BBB"/>
    <w:rsid w:val="00155DA1"/>
    <w:rsid w:val="001562B4"/>
    <w:rsid w:val="001565A4"/>
    <w:rsid w:val="00156C7C"/>
    <w:rsid w:val="00157771"/>
    <w:rsid w:val="00157810"/>
    <w:rsid w:val="00157B74"/>
    <w:rsid w:val="00157F95"/>
    <w:rsid w:val="00160150"/>
    <w:rsid w:val="001605D8"/>
    <w:rsid w:val="00160656"/>
    <w:rsid w:val="00160B6C"/>
    <w:rsid w:val="00160C1B"/>
    <w:rsid w:val="0016166E"/>
    <w:rsid w:val="00161A7E"/>
    <w:rsid w:val="001620EB"/>
    <w:rsid w:val="00162ACA"/>
    <w:rsid w:val="00162AED"/>
    <w:rsid w:val="00162B12"/>
    <w:rsid w:val="00162E42"/>
    <w:rsid w:val="00163386"/>
    <w:rsid w:val="001633F1"/>
    <w:rsid w:val="00163688"/>
    <w:rsid w:val="001636BE"/>
    <w:rsid w:val="00163933"/>
    <w:rsid w:val="00163C74"/>
    <w:rsid w:val="00163EB2"/>
    <w:rsid w:val="00165480"/>
    <w:rsid w:val="00165680"/>
    <w:rsid w:val="00165D0E"/>
    <w:rsid w:val="00166429"/>
    <w:rsid w:val="0016662E"/>
    <w:rsid w:val="0016673B"/>
    <w:rsid w:val="0016676E"/>
    <w:rsid w:val="001667C1"/>
    <w:rsid w:val="00166E4B"/>
    <w:rsid w:val="00166E4E"/>
    <w:rsid w:val="00166F03"/>
    <w:rsid w:val="001678F8"/>
    <w:rsid w:val="00167BA5"/>
    <w:rsid w:val="0017033A"/>
    <w:rsid w:val="00170572"/>
    <w:rsid w:val="00170EC4"/>
    <w:rsid w:val="001710F6"/>
    <w:rsid w:val="00171F54"/>
    <w:rsid w:val="00172AE5"/>
    <w:rsid w:val="00172B76"/>
    <w:rsid w:val="00173090"/>
    <w:rsid w:val="001738CD"/>
    <w:rsid w:val="00173B58"/>
    <w:rsid w:val="00173C4E"/>
    <w:rsid w:val="00173E81"/>
    <w:rsid w:val="00173F04"/>
    <w:rsid w:val="00173FDC"/>
    <w:rsid w:val="0017458E"/>
    <w:rsid w:val="00175833"/>
    <w:rsid w:val="0017655D"/>
    <w:rsid w:val="00176F7F"/>
    <w:rsid w:val="00180712"/>
    <w:rsid w:val="00181845"/>
    <w:rsid w:val="00182138"/>
    <w:rsid w:val="001824C6"/>
    <w:rsid w:val="00183930"/>
    <w:rsid w:val="001847CB"/>
    <w:rsid w:val="00184B4E"/>
    <w:rsid w:val="00185626"/>
    <w:rsid w:val="001859ED"/>
    <w:rsid w:val="0018674F"/>
    <w:rsid w:val="001873C7"/>
    <w:rsid w:val="00191903"/>
    <w:rsid w:val="00192D9F"/>
    <w:rsid w:val="00192E2B"/>
    <w:rsid w:val="00192E92"/>
    <w:rsid w:val="001930FB"/>
    <w:rsid w:val="00194816"/>
    <w:rsid w:val="00194E2E"/>
    <w:rsid w:val="00195309"/>
    <w:rsid w:val="001953FA"/>
    <w:rsid w:val="0019553A"/>
    <w:rsid w:val="00195EE6"/>
    <w:rsid w:val="001964A4"/>
    <w:rsid w:val="001965DA"/>
    <w:rsid w:val="00197415"/>
    <w:rsid w:val="001974F2"/>
    <w:rsid w:val="0019761D"/>
    <w:rsid w:val="00197645"/>
    <w:rsid w:val="001A0984"/>
    <w:rsid w:val="001A0D9C"/>
    <w:rsid w:val="001A14A2"/>
    <w:rsid w:val="001A15A4"/>
    <w:rsid w:val="001A3950"/>
    <w:rsid w:val="001A464E"/>
    <w:rsid w:val="001A4C2C"/>
    <w:rsid w:val="001A57EA"/>
    <w:rsid w:val="001A6B2B"/>
    <w:rsid w:val="001A7C4A"/>
    <w:rsid w:val="001A7EE1"/>
    <w:rsid w:val="001B0AE3"/>
    <w:rsid w:val="001B1892"/>
    <w:rsid w:val="001B2297"/>
    <w:rsid w:val="001B22D8"/>
    <w:rsid w:val="001B2467"/>
    <w:rsid w:val="001B33CD"/>
    <w:rsid w:val="001B38ED"/>
    <w:rsid w:val="001B4BF7"/>
    <w:rsid w:val="001B561F"/>
    <w:rsid w:val="001B564A"/>
    <w:rsid w:val="001B5A7D"/>
    <w:rsid w:val="001B5D5E"/>
    <w:rsid w:val="001B6432"/>
    <w:rsid w:val="001B6943"/>
    <w:rsid w:val="001B747B"/>
    <w:rsid w:val="001B74A7"/>
    <w:rsid w:val="001B7A37"/>
    <w:rsid w:val="001C04AA"/>
    <w:rsid w:val="001C0546"/>
    <w:rsid w:val="001C11A6"/>
    <w:rsid w:val="001C12C3"/>
    <w:rsid w:val="001C1BE4"/>
    <w:rsid w:val="001C210C"/>
    <w:rsid w:val="001C21BB"/>
    <w:rsid w:val="001C2310"/>
    <w:rsid w:val="001C2311"/>
    <w:rsid w:val="001C4FE1"/>
    <w:rsid w:val="001C5D39"/>
    <w:rsid w:val="001C6117"/>
    <w:rsid w:val="001C62B9"/>
    <w:rsid w:val="001C66DB"/>
    <w:rsid w:val="001D0B59"/>
    <w:rsid w:val="001D1240"/>
    <w:rsid w:val="001D1767"/>
    <w:rsid w:val="001D2B87"/>
    <w:rsid w:val="001D2F60"/>
    <w:rsid w:val="001D31FE"/>
    <w:rsid w:val="001D3B86"/>
    <w:rsid w:val="001D4420"/>
    <w:rsid w:val="001D5EB5"/>
    <w:rsid w:val="001D5F6F"/>
    <w:rsid w:val="001D66CE"/>
    <w:rsid w:val="001D6975"/>
    <w:rsid w:val="001E093A"/>
    <w:rsid w:val="001E15D8"/>
    <w:rsid w:val="001E2683"/>
    <w:rsid w:val="001E26E3"/>
    <w:rsid w:val="001E271E"/>
    <w:rsid w:val="001E2EBB"/>
    <w:rsid w:val="001E38B4"/>
    <w:rsid w:val="001E3F2C"/>
    <w:rsid w:val="001E4045"/>
    <w:rsid w:val="001E4608"/>
    <w:rsid w:val="001E4C0A"/>
    <w:rsid w:val="001E5054"/>
    <w:rsid w:val="001E52FB"/>
    <w:rsid w:val="001E5A7C"/>
    <w:rsid w:val="001E62E4"/>
    <w:rsid w:val="001E727F"/>
    <w:rsid w:val="001E7B33"/>
    <w:rsid w:val="001F19E4"/>
    <w:rsid w:val="001F2196"/>
    <w:rsid w:val="001F2677"/>
    <w:rsid w:val="001F2C8A"/>
    <w:rsid w:val="001F3502"/>
    <w:rsid w:val="001F4110"/>
    <w:rsid w:val="001F438F"/>
    <w:rsid w:val="001F4757"/>
    <w:rsid w:val="001F4DC4"/>
    <w:rsid w:val="001F4E2D"/>
    <w:rsid w:val="001F529C"/>
    <w:rsid w:val="001F5466"/>
    <w:rsid w:val="001F5C47"/>
    <w:rsid w:val="001F629F"/>
    <w:rsid w:val="001F7D00"/>
    <w:rsid w:val="001F7D4C"/>
    <w:rsid w:val="00200DA7"/>
    <w:rsid w:val="002019A9"/>
    <w:rsid w:val="00201BC2"/>
    <w:rsid w:val="00202F15"/>
    <w:rsid w:val="00203F73"/>
    <w:rsid w:val="002057CC"/>
    <w:rsid w:val="00205970"/>
    <w:rsid w:val="0020611C"/>
    <w:rsid w:val="00206236"/>
    <w:rsid w:val="00206BD9"/>
    <w:rsid w:val="0020738A"/>
    <w:rsid w:val="00207AC2"/>
    <w:rsid w:val="00210034"/>
    <w:rsid w:val="00210137"/>
    <w:rsid w:val="0021056E"/>
    <w:rsid w:val="00210973"/>
    <w:rsid w:val="002109CA"/>
    <w:rsid w:val="00211A47"/>
    <w:rsid w:val="00211BC6"/>
    <w:rsid w:val="00212040"/>
    <w:rsid w:val="00212391"/>
    <w:rsid w:val="002125BD"/>
    <w:rsid w:val="00212901"/>
    <w:rsid w:val="00212CDD"/>
    <w:rsid w:val="0021393F"/>
    <w:rsid w:val="00213D55"/>
    <w:rsid w:val="00214FA9"/>
    <w:rsid w:val="002158AC"/>
    <w:rsid w:val="00215ECC"/>
    <w:rsid w:val="0021653B"/>
    <w:rsid w:val="002166EC"/>
    <w:rsid w:val="00216B03"/>
    <w:rsid w:val="0021709C"/>
    <w:rsid w:val="002177DA"/>
    <w:rsid w:val="002201F1"/>
    <w:rsid w:val="00220827"/>
    <w:rsid w:val="00220C11"/>
    <w:rsid w:val="00220D6A"/>
    <w:rsid w:val="002216D6"/>
    <w:rsid w:val="00222819"/>
    <w:rsid w:val="0022289E"/>
    <w:rsid w:val="00222973"/>
    <w:rsid w:val="002238F5"/>
    <w:rsid w:val="00224CD1"/>
    <w:rsid w:val="00224CE6"/>
    <w:rsid w:val="00226107"/>
    <w:rsid w:val="00226197"/>
    <w:rsid w:val="00226803"/>
    <w:rsid w:val="00227900"/>
    <w:rsid w:val="00227B85"/>
    <w:rsid w:val="00227D59"/>
    <w:rsid w:val="00227D7C"/>
    <w:rsid w:val="00230723"/>
    <w:rsid w:val="002307E5"/>
    <w:rsid w:val="002308FE"/>
    <w:rsid w:val="00230BB5"/>
    <w:rsid w:val="0023181C"/>
    <w:rsid w:val="00232111"/>
    <w:rsid w:val="0023228B"/>
    <w:rsid w:val="002325ED"/>
    <w:rsid w:val="0023289F"/>
    <w:rsid w:val="00232BBE"/>
    <w:rsid w:val="002334B9"/>
    <w:rsid w:val="00233526"/>
    <w:rsid w:val="002337A8"/>
    <w:rsid w:val="00233ACE"/>
    <w:rsid w:val="002349C4"/>
    <w:rsid w:val="00235C3C"/>
    <w:rsid w:val="00236BB0"/>
    <w:rsid w:val="00237C48"/>
    <w:rsid w:val="00237E19"/>
    <w:rsid w:val="00237E2B"/>
    <w:rsid w:val="0024028D"/>
    <w:rsid w:val="002407D8"/>
    <w:rsid w:val="00240AA6"/>
    <w:rsid w:val="00240CBF"/>
    <w:rsid w:val="00241632"/>
    <w:rsid w:val="00241AF5"/>
    <w:rsid w:val="0024240F"/>
    <w:rsid w:val="00242C81"/>
    <w:rsid w:val="00243932"/>
    <w:rsid w:val="00243FE9"/>
    <w:rsid w:val="00244164"/>
    <w:rsid w:val="00244643"/>
    <w:rsid w:val="00244D9F"/>
    <w:rsid w:val="0024518B"/>
    <w:rsid w:val="00246EC4"/>
    <w:rsid w:val="00247150"/>
    <w:rsid w:val="00247709"/>
    <w:rsid w:val="00250035"/>
    <w:rsid w:val="00250879"/>
    <w:rsid w:val="00250B3E"/>
    <w:rsid w:val="00251781"/>
    <w:rsid w:val="00251835"/>
    <w:rsid w:val="00251AC0"/>
    <w:rsid w:val="00251BE1"/>
    <w:rsid w:val="00252710"/>
    <w:rsid w:val="00252994"/>
    <w:rsid w:val="00252E0C"/>
    <w:rsid w:val="00252F42"/>
    <w:rsid w:val="0025306F"/>
    <w:rsid w:val="00253536"/>
    <w:rsid w:val="00253F85"/>
    <w:rsid w:val="002548C9"/>
    <w:rsid w:val="0025645D"/>
    <w:rsid w:val="00256A23"/>
    <w:rsid w:val="00256A8B"/>
    <w:rsid w:val="00256ACE"/>
    <w:rsid w:val="00256F06"/>
    <w:rsid w:val="00256FCB"/>
    <w:rsid w:val="002571BB"/>
    <w:rsid w:val="00260476"/>
    <w:rsid w:val="00260A74"/>
    <w:rsid w:val="00260C37"/>
    <w:rsid w:val="00260FF9"/>
    <w:rsid w:val="0026180D"/>
    <w:rsid w:val="00261C34"/>
    <w:rsid w:val="002625F7"/>
    <w:rsid w:val="00262CD7"/>
    <w:rsid w:val="00262E00"/>
    <w:rsid w:val="00262E6F"/>
    <w:rsid w:val="0026349E"/>
    <w:rsid w:val="002644A7"/>
    <w:rsid w:val="002646D0"/>
    <w:rsid w:val="00265245"/>
    <w:rsid w:val="00265249"/>
    <w:rsid w:val="002654B4"/>
    <w:rsid w:val="00265519"/>
    <w:rsid w:val="00265543"/>
    <w:rsid w:val="00265AB0"/>
    <w:rsid w:val="00265D90"/>
    <w:rsid w:val="00266EC5"/>
    <w:rsid w:val="0026728E"/>
    <w:rsid w:val="00267950"/>
    <w:rsid w:val="00267E9E"/>
    <w:rsid w:val="002706CA"/>
    <w:rsid w:val="00270807"/>
    <w:rsid w:val="00271860"/>
    <w:rsid w:val="00272033"/>
    <w:rsid w:val="0027204F"/>
    <w:rsid w:val="002727EA"/>
    <w:rsid w:val="00273077"/>
    <w:rsid w:val="002734EC"/>
    <w:rsid w:val="00273739"/>
    <w:rsid w:val="002739F7"/>
    <w:rsid w:val="00273FC5"/>
    <w:rsid w:val="0027413E"/>
    <w:rsid w:val="00274B77"/>
    <w:rsid w:val="00274FBE"/>
    <w:rsid w:val="00275AD7"/>
    <w:rsid w:val="002764A6"/>
    <w:rsid w:val="00276B77"/>
    <w:rsid w:val="00276E49"/>
    <w:rsid w:val="002770F9"/>
    <w:rsid w:val="002778B4"/>
    <w:rsid w:val="00277AB3"/>
    <w:rsid w:val="00277B32"/>
    <w:rsid w:val="0028150F"/>
    <w:rsid w:val="0028190B"/>
    <w:rsid w:val="0028204D"/>
    <w:rsid w:val="002826CC"/>
    <w:rsid w:val="00282C9E"/>
    <w:rsid w:val="0028300B"/>
    <w:rsid w:val="00283354"/>
    <w:rsid w:val="002838E5"/>
    <w:rsid w:val="00283FD5"/>
    <w:rsid w:val="0028408F"/>
    <w:rsid w:val="00284C0F"/>
    <w:rsid w:val="00285124"/>
    <w:rsid w:val="002851EC"/>
    <w:rsid w:val="002854D9"/>
    <w:rsid w:val="0028594F"/>
    <w:rsid w:val="00285C02"/>
    <w:rsid w:val="00285E11"/>
    <w:rsid w:val="00286085"/>
    <w:rsid w:val="00286AB2"/>
    <w:rsid w:val="00287DE1"/>
    <w:rsid w:val="00291960"/>
    <w:rsid w:val="002933EF"/>
    <w:rsid w:val="00293D42"/>
    <w:rsid w:val="002940D1"/>
    <w:rsid w:val="002945AE"/>
    <w:rsid w:val="00294942"/>
    <w:rsid w:val="00294964"/>
    <w:rsid w:val="00294E81"/>
    <w:rsid w:val="00294FD6"/>
    <w:rsid w:val="00295B9F"/>
    <w:rsid w:val="00295C55"/>
    <w:rsid w:val="00295C5E"/>
    <w:rsid w:val="002965FA"/>
    <w:rsid w:val="002975A9"/>
    <w:rsid w:val="0029764F"/>
    <w:rsid w:val="00297CFF"/>
    <w:rsid w:val="00297EDA"/>
    <w:rsid w:val="002A04F4"/>
    <w:rsid w:val="002A092B"/>
    <w:rsid w:val="002A09FC"/>
    <w:rsid w:val="002A0A3D"/>
    <w:rsid w:val="002A1111"/>
    <w:rsid w:val="002A2821"/>
    <w:rsid w:val="002A32A3"/>
    <w:rsid w:val="002A3374"/>
    <w:rsid w:val="002A36EF"/>
    <w:rsid w:val="002A38D1"/>
    <w:rsid w:val="002A38DA"/>
    <w:rsid w:val="002A3AC2"/>
    <w:rsid w:val="002A3FB6"/>
    <w:rsid w:val="002A4245"/>
    <w:rsid w:val="002A4D83"/>
    <w:rsid w:val="002A4F38"/>
    <w:rsid w:val="002A5A19"/>
    <w:rsid w:val="002A5A9F"/>
    <w:rsid w:val="002A6075"/>
    <w:rsid w:val="002A6123"/>
    <w:rsid w:val="002A6170"/>
    <w:rsid w:val="002A6815"/>
    <w:rsid w:val="002A7479"/>
    <w:rsid w:val="002A747A"/>
    <w:rsid w:val="002A772C"/>
    <w:rsid w:val="002A77FC"/>
    <w:rsid w:val="002A7AAA"/>
    <w:rsid w:val="002B04EB"/>
    <w:rsid w:val="002B07FD"/>
    <w:rsid w:val="002B0B99"/>
    <w:rsid w:val="002B0D48"/>
    <w:rsid w:val="002B0F40"/>
    <w:rsid w:val="002B15B9"/>
    <w:rsid w:val="002B198F"/>
    <w:rsid w:val="002B1C4D"/>
    <w:rsid w:val="002B1D10"/>
    <w:rsid w:val="002B20B8"/>
    <w:rsid w:val="002B20CC"/>
    <w:rsid w:val="002B2471"/>
    <w:rsid w:val="002B252D"/>
    <w:rsid w:val="002B361B"/>
    <w:rsid w:val="002B3B42"/>
    <w:rsid w:val="002B3EF5"/>
    <w:rsid w:val="002B412E"/>
    <w:rsid w:val="002B50F7"/>
    <w:rsid w:val="002B6064"/>
    <w:rsid w:val="002B6E38"/>
    <w:rsid w:val="002B759D"/>
    <w:rsid w:val="002B77C8"/>
    <w:rsid w:val="002C040E"/>
    <w:rsid w:val="002C083E"/>
    <w:rsid w:val="002C17C5"/>
    <w:rsid w:val="002C1D47"/>
    <w:rsid w:val="002C2042"/>
    <w:rsid w:val="002C214A"/>
    <w:rsid w:val="002C26A8"/>
    <w:rsid w:val="002C2B77"/>
    <w:rsid w:val="002C433F"/>
    <w:rsid w:val="002C45F8"/>
    <w:rsid w:val="002C4C46"/>
    <w:rsid w:val="002C4DCF"/>
    <w:rsid w:val="002C4E8F"/>
    <w:rsid w:val="002C5411"/>
    <w:rsid w:val="002C6E6D"/>
    <w:rsid w:val="002C786A"/>
    <w:rsid w:val="002C7E3E"/>
    <w:rsid w:val="002D0179"/>
    <w:rsid w:val="002D0188"/>
    <w:rsid w:val="002D0A7A"/>
    <w:rsid w:val="002D140E"/>
    <w:rsid w:val="002D164F"/>
    <w:rsid w:val="002D1983"/>
    <w:rsid w:val="002D1F8F"/>
    <w:rsid w:val="002D2166"/>
    <w:rsid w:val="002D2D44"/>
    <w:rsid w:val="002D2E62"/>
    <w:rsid w:val="002D314E"/>
    <w:rsid w:val="002D315B"/>
    <w:rsid w:val="002D36FB"/>
    <w:rsid w:val="002D42A0"/>
    <w:rsid w:val="002D4640"/>
    <w:rsid w:val="002D4BE9"/>
    <w:rsid w:val="002D5D36"/>
    <w:rsid w:val="002D5FFA"/>
    <w:rsid w:val="002D7166"/>
    <w:rsid w:val="002D7D67"/>
    <w:rsid w:val="002E082B"/>
    <w:rsid w:val="002E0895"/>
    <w:rsid w:val="002E0AC6"/>
    <w:rsid w:val="002E1C3A"/>
    <w:rsid w:val="002E2145"/>
    <w:rsid w:val="002E21A4"/>
    <w:rsid w:val="002E2572"/>
    <w:rsid w:val="002E276E"/>
    <w:rsid w:val="002E2C13"/>
    <w:rsid w:val="002E3577"/>
    <w:rsid w:val="002E3B41"/>
    <w:rsid w:val="002E42AE"/>
    <w:rsid w:val="002E496E"/>
    <w:rsid w:val="002E4F7A"/>
    <w:rsid w:val="002E51CD"/>
    <w:rsid w:val="002E7A5C"/>
    <w:rsid w:val="002F0797"/>
    <w:rsid w:val="002F0809"/>
    <w:rsid w:val="002F0B9B"/>
    <w:rsid w:val="002F1A8D"/>
    <w:rsid w:val="002F20C8"/>
    <w:rsid w:val="002F26DA"/>
    <w:rsid w:val="002F2B12"/>
    <w:rsid w:val="002F3B4A"/>
    <w:rsid w:val="002F50BE"/>
    <w:rsid w:val="002F5213"/>
    <w:rsid w:val="002F5332"/>
    <w:rsid w:val="002F5C8C"/>
    <w:rsid w:val="002F79D5"/>
    <w:rsid w:val="002F7D6B"/>
    <w:rsid w:val="0030038D"/>
    <w:rsid w:val="00300C65"/>
    <w:rsid w:val="003013A2"/>
    <w:rsid w:val="003018AB"/>
    <w:rsid w:val="00301CD5"/>
    <w:rsid w:val="0030236B"/>
    <w:rsid w:val="0030274C"/>
    <w:rsid w:val="00302EF2"/>
    <w:rsid w:val="0030375E"/>
    <w:rsid w:val="00303E3F"/>
    <w:rsid w:val="0030551B"/>
    <w:rsid w:val="00306134"/>
    <w:rsid w:val="003061ED"/>
    <w:rsid w:val="003112F2"/>
    <w:rsid w:val="0031170C"/>
    <w:rsid w:val="00312183"/>
    <w:rsid w:val="00312395"/>
    <w:rsid w:val="00312E71"/>
    <w:rsid w:val="00313766"/>
    <w:rsid w:val="00313B8A"/>
    <w:rsid w:val="00313F7A"/>
    <w:rsid w:val="00313FBC"/>
    <w:rsid w:val="003142C1"/>
    <w:rsid w:val="00314301"/>
    <w:rsid w:val="003148B8"/>
    <w:rsid w:val="003148CB"/>
    <w:rsid w:val="00314DA5"/>
    <w:rsid w:val="003152EE"/>
    <w:rsid w:val="003152FB"/>
    <w:rsid w:val="003155F3"/>
    <w:rsid w:val="0031669F"/>
    <w:rsid w:val="00316974"/>
    <w:rsid w:val="00316E63"/>
    <w:rsid w:val="00317723"/>
    <w:rsid w:val="00317BA8"/>
    <w:rsid w:val="003202BB"/>
    <w:rsid w:val="0032048A"/>
    <w:rsid w:val="003207EC"/>
    <w:rsid w:val="0032099A"/>
    <w:rsid w:val="0032134E"/>
    <w:rsid w:val="00321A53"/>
    <w:rsid w:val="003225C0"/>
    <w:rsid w:val="00322738"/>
    <w:rsid w:val="0032428E"/>
    <w:rsid w:val="00324719"/>
    <w:rsid w:val="00324A76"/>
    <w:rsid w:val="00325214"/>
    <w:rsid w:val="003257C8"/>
    <w:rsid w:val="00325FF6"/>
    <w:rsid w:val="0032673D"/>
    <w:rsid w:val="003268F4"/>
    <w:rsid w:val="00330062"/>
    <w:rsid w:val="003305FA"/>
    <w:rsid w:val="00330B3B"/>
    <w:rsid w:val="00331435"/>
    <w:rsid w:val="00331526"/>
    <w:rsid w:val="003327C6"/>
    <w:rsid w:val="00332B72"/>
    <w:rsid w:val="00332BBF"/>
    <w:rsid w:val="0033307E"/>
    <w:rsid w:val="00334718"/>
    <w:rsid w:val="003352FA"/>
    <w:rsid w:val="003353A4"/>
    <w:rsid w:val="00336E9E"/>
    <w:rsid w:val="00337254"/>
    <w:rsid w:val="0034069B"/>
    <w:rsid w:val="00340B9D"/>
    <w:rsid w:val="003418A9"/>
    <w:rsid w:val="00342009"/>
    <w:rsid w:val="003430B9"/>
    <w:rsid w:val="003432CB"/>
    <w:rsid w:val="003433B8"/>
    <w:rsid w:val="003434A0"/>
    <w:rsid w:val="00343759"/>
    <w:rsid w:val="003437FB"/>
    <w:rsid w:val="00343C12"/>
    <w:rsid w:val="003445B7"/>
    <w:rsid w:val="0034475D"/>
    <w:rsid w:val="003448CF"/>
    <w:rsid w:val="00344F2A"/>
    <w:rsid w:val="00344F41"/>
    <w:rsid w:val="003457DB"/>
    <w:rsid w:val="00345C55"/>
    <w:rsid w:val="00346783"/>
    <w:rsid w:val="003470D9"/>
    <w:rsid w:val="00347707"/>
    <w:rsid w:val="0034782A"/>
    <w:rsid w:val="00347CAD"/>
    <w:rsid w:val="00350A6A"/>
    <w:rsid w:val="00351B81"/>
    <w:rsid w:val="00353352"/>
    <w:rsid w:val="00353D4D"/>
    <w:rsid w:val="00354342"/>
    <w:rsid w:val="00360690"/>
    <w:rsid w:val="00360C10"/>
    <w:rsid w:val="00361F1D"/>
    <w:rsid w:val="00362AA1"/>
    <w:rsid w:val="00362EE1"/>
    <w:rsid w:val="0036300B"/>
    <w:rsid w:val="0036352E"/>
    <w:rsid w:val="00363972"/>
    <w:rsid w:val="00363A97"/>
    <w:rsid w:val="003640A7"/>
    <w:rsid w:val="003642AD"/>
    <w:rsid w:val="00365601"/>
    <w:rsid w:val="00365689"/>
    <w:rsid w:val="00365DFE"/>
    <w:rsid w:val="0036622B"/>
    <w:rsid w:val="00367074"/>
    <w:rsid w:val="0036715A"/>
    <w:rsid w:val="003676F1"/>
    <w:rsid w:val="003677BC"/>
    <w:rsid w:val="0037127E"/>
    <w:rsid w:val="003717DD"/>
    <w:rsid w:val="003718F3"/>
    <w:rsid w:val="00371F44"/>
    <w:rsid w:val="00372882"/>
    <w:rsid w:val="00373207"/>
    <w:rsid w:val="00373510"/>
    <w:rsid w:val="00373BFC"/>
    <w:rsid w:val="003742B1"/>
    <w:rsid w:val="00374A29"/>
    <w:rsid w:val="003750D8"/>
    <w:rsid w:val="00375B5B"/>
    <w:rsid w:val="00376A75"/>
    <w:rsid w:val="0037738E"/>
    <w:rsid w:val="00377771"/>
    <w:rsid w:val="003779B4"/>
    <w:rsid w:val="00377ADC"/>
    <w:rsid w:val="003804A6"/>
    <w:rsid w:val="00382A75"/>
    <w:rsid w:val="003831E8"/>
    <w:rsid w:val="00383A86"/>
    <w:rsid w:val="0038435F"/>
    <w:rsid w:val="003844F6"/>
    <w:rsid w:val="0038477B"/>
    <w:rsid w:val="003848D4"/>
    <w:rsid w:val="00384E0B"/>
    <w:rsid w:val="00385B47"/>
    <w:rsid w:val="00386491"/>
    <w:rsid w:val="00386E09"/>
    <w:rsid w:val="003877B0"/>
    <w:rsid w:val="00387BF4"/>
    <w:rsid w:val="003902C1"/>
    <w:rsid w:val="0039181B"/>
    <w:rsid w:val="00391BCA"/>
    <w:rsid w:val="003932B7"/>
    <w:rsid w:val="003940B9"/>
    <w:rsid w:val="0039475B"/>
    <w:rsid w:val="003948A8"/>
    <w:rsid w:val="00394B17"/>
    <w:rsid w:val="00395293"/>
    <w:rsid w:val="003A0444"/>
    <w:rsid w:val="003A087A"/>
    <w:rsid w:val="003A0918"/>
    <w:rsid w:val="003A12C0"/>
    <w:rsid w:val="003A19ED"/>
    <w:rsid w:val="003A1A6F"/>
    <w:rsid w:val="003A1C56"/>
    <w:rsid w:val="003A270C"/>
    <w:rsid w:val="003A2CE9"/>
    <w:rsid w:val="003A3738"/>
    <w:rsid w:val="003A414E"/>
    <w:rsid w:val="003A5BA8"/>
    <w:rsid w:val="003A6357"/>
    <w:rsid w:val="003A64BD"/>
    <w:rsid w:val="003A677F"/>
    <w:rsid w:val="003A736E"/>
    <w:rsid w:val="003A7833"/>
    <w:rsid w:val="003B0394"/>
    <w:rsid w:val="003B0509"/>
    <w:rsid w:val="003B0C9E"/>
    <w:rsid w:val="003B1497"/>
    <w:rsid w:val="003B190F"/>
    <w:rsid w:val="003B2399"/>
    <w:rsid w:val="003B28B6"/>
    <w:rsid w:val="003B2FB7"/>
    <w:rsid w:val="003B3388"/>
    <w:rsid w:val="003B3B74"/>
    <w:rsid w:val="003B501F"/>
    <w:rsid w:val="003B5BA7"/>
    <w:rsid w:val="003B5C56"/>
    <w:rsid w:val="003B5E06"/>
    <w:rsid w:val="003B654E"/>
    <w:rsid w:val="003B6BB5"/>
    <w:rsid w:val="003B7099"/>
    <w:rsid w:val="003B7299"/>
    <w:rsid w:val="003B7897"/>
    <w:rsid w:val="003B7A33"/>
    <w:rsid w:val="003B7E7A"/>
    <w:rsid w:val="003C0D08"/>
    <w:rsid w:val="003C0FCC"/>
    <w:rsid w:val="003C1DBD"/>
    <w:rsid w:val="003C2780"/>
    <w:rsid w:val="003C4067"/>
    <w:rsid w:val="003C4137"/>
    <w:rsid w:val="003C438B"/>
    <w:rsid w:val="003C6D77"/>
    <w:rsid w:val="003C75CC"/>
    <w:rsid w:val="003C792B"/>
    <w:rsid w:val="003D00CB"/>
    <w:rsid w:val="003D01D4"/>
    <w:rsid w:val="003D022C"/>
    <w:rsid w:val="003D0268"/>
    <w:rsid w:val="003D051E"/>
    <w:rsid w:val="003D197A"/>
    <w:rsid w:val="003D1E61"/>
    <w:rsid w:val="003D3253"/>
    <w:rsid w:val="003D3FEC"/>
    <w:rsid w:val="003D4B08"/>
    <w:rsid w:val="003D4F6D"/>
    <w:rsid w:val="003D5685"/>
    <w:rsid w:val="003D5723"/>
    <w:rsid w:val="003D58BD"/>
    <w:rsid w:val="003D5CE4"/>
    <w:rsid w:val="003D7456"/>
    <w:rsid w:val="003D7ABF"/>
    <w:rsid w:val="003D7B39"/>
    <w:rsid w:val="003D7BE0"/>
    <w:rsid w:val="003E0177"/>
    <w:rsid w:val="003E01A0"/>
    <w:rsid w:val="003E0FB2"/>
    <w:rsid w:val="003E1105"/>
    <w:rsid w:val="003E1578"/>
    <w:rsid w:val="003E18E4"/>
    <w:rsid w:val="003E1C8B"/>
    <w:rsid w:val="003E216D"/>
    <w:rsid w:val="003E2328"/>
    <w:rsid w:val="003E2836"/>
    <w:rsid w:val="003E2BC3"/>
    <w:rsid w:val="003E2E2B"/>
    <w:rsid w:val="003E2FA1"/>
    <w:rsid w:val="003E311A"/>
    <w:rsid w:val="003E3BE3"/>
    <w:rsid w:val="003E4178"/>
    <w:rsid w:val="003E42F3"/>
    <w:rsid w:val="003E4426"/>
    <w:rsid w:val="003E59A7"/>
    <w:rsid w:val="003E5D3E"/>
    <w:rsid w:val="003E5D52"/>
    <w:rsid w:val="003E622F"/>
    <w:rsid w:val="003E6B1E"/>
    <w:rsid w:val="003E72F4"/>
    <w:rsid w:val="003E7A2A"/>
    <w:rsid w:val="003F05E3"/>
    <w:rsid w:val="003F0DE5"/>
    <w:rsid w:val="003F120A"/>
    <w:rsid w:val="003F1544"/>
    <w:rsid w:val="003F1B44"/>
    <w:rsid w:val="003F2051"/>
    <w:rsid w:val="003F2595"/>
    <w:rsid w:val="003F2C0E"/>
    <w:rsid w:val="003F2CD8"/>
    <w:rsid w:val="003F362E"/>
    <w:rsid w:val="003F3933"/>
    <w:rsid w:val="003F3DC8"/>
    <w:rsid w:val="003F478D"/>
    <w:rsid w:val="003F49DB"/>
    <w:rsid w:val="003F538F"/>
    <w:rsid w:val="003F5714"/>
    <w:rsid w:val="003F5CBA"/>
    <w:rsid w:val="003F5FE2"/>
    <w:rsid w:val="003F64E3"/>
    <w:rsid w:val="003F6A79"/>
    <w:rsid w:val="004001E8"/>
    <w:rsid w:val="00400200"/>
    <w:rsid w:val="00400B3D"/>
    <w:rsid w:val="00401140"/>
    <w:rsid w:val="004012CA"/>
    <w:rsid w:val="00401E5D"/>
    <w:rsid w:val="004032FE"/>
    <w:rsid w:val="004033BC"/>
    <w:rsid w:val="00403638"/>
    <w:rsid w:val="00403E22"/>
    <w:rsid w:val="00404C94"/>
    <w:rsid w:val="00404D6D"/>
    <w:rsid w:val="00404DB0"/>
    <w:rsid w:val="004054DF"/>
    <w:rsid w:val="00405686"/>
    <w:rsid w:val="00405BA4"/>
    <w:rsid w:val="00406A79"/>
    <w:rsid w:val="004077CA"/>
    <w:rsid w:val="00410A0A"/>
    <w:rsid w:val="00411462"/>
    <w:rsid w:val="00414814"/>
    <w:rsid w:val="0041509B"/>
    <w:rsid w:val="004152C3"/>
    <w:rsid w:val="004157FA"/>
    <w:rsid w:val="004163DA"/>
    <w:rsid w:val="00416EA3"/>
    <w:rsid w:val="004177BA"/>
    <w:rsid w:val="00417907"/>
    <w:rsid w:val="00420B99"/>
    <w:rsid w:val="0042358A"/>
    <w:rsid w:val="004236B4"/>
    <w:rsid w:val="00423913"/>
    <w:rsid w:val="00424DC4"/>
    <w:rsid w:val="00424E14"/>
    <w:rsid w:val="004250C1"/>
    <w:rsid w:val="004252E5"/>
    <w:rsid w:val="004253D1"/>
    <w:rsid w:val="00425AB4"/>
    <w:rsid w:val="004262C4"/>
    <w:rsid w:val="0042653C"/>
    <w:rsid w:val="00426ED6"/>
    <w:rsid w:val="00427B1D"/>
    <w:rsid w:val="00427E66"/>
    <w:rsid w:val="00430D4B"/>
    <w:rsid w:val="00431284"/>
    <w:rsid w:val="0043162C"/>
    <w:rsid w:val="0043201A"/>
    <w:rsid w:val="004327F8"/>
    <w:rsid w:val="004328C8"/>
    <w:rsid w:val="00432E35"/>
    <w:rsid w:val="004335A3"/>
    <w:rsid w:val="00434839"/>
    <w:rsid w:val="0043517C"/>
    <w:rsid w:val="0043526C"/>
    <w:rsid w:val="00435478"/>
    <w:rsid w:val="004356E1"/>
    <w:rsid w:val="00435AA0"/>
    <w:rsid w:val="0043630A"/>
    <w:rsid w:val="00436A29"/>
    <w:rsid w:val="00436A7B"/>
    <w:rsid w:val="004372AC"/>
    <w:rsid w:val="0043746C"/>
    <w:rsid w:val="00437720"/>
    <w:rsid w:val="004378FD"/>
    <w:rsid w:val="004402E5"/>
    <w:rsid w:val="004404C9"/>
    <w:rsid w:val="00440D0A"/>
    <w:rsid w:val="00441A22"/>
    <w:rsid w:val="00441CD0"/>
    <w:rsid w:val="00441FE7"/>
    <w:rsid w:val="0044338E"/>
    <w:rsid w:val="004433AC"/>
    <w:rsid w:val="004442D2"/>
    <w:rsid w:val="004454AC"/>
    <w:rsid w:val="00445695"/>
    <w:rsid w:val="00445DCA"/>
    <w:rsid w:val="0044621A"/>
    <w:rsid w:val="00447779"/>
    <w:rsid w:val="004502A3"/>
    <w:rsid w:val="004518C7"/>
    <w:rsid w:val="00452B5A"/>
    <w:rsid w:val="00453F33"/>
    <w:rsid w:val="00453FE0"/>
    <w:rsid w:val="0045439A"/>
    <w:rsid w:val="00454882"/>
    <w:rsid w:val="00455020"/>
    <w:rsid w:val="00455970"/>
    <w:rsid w:val="00455AD0"/>
    <w:rsid w:val="0045655A"/>
    <w:rsid w:val="00457730"/>
    <w:rsid w:val="00460885"/>
    <w:rsid w:val="00460A2C"/>
    <w:rsid w:val="00460E15"/>
    <w:rsid w:val="00461475"/>
    <w:rsid w:val="00461769"/>
    <w:rsid w:val="00462268"/>
    <w:rsid w:val="0046306F"/>
    <w:rsid w:val="00463C2C"/>
    <w:rsid w:val="00464025"/>
    <w:rsid w:val="004642EF"/>
    <w:rsid w:val="00464361"/>
    <w:rsid w:val="004645C7"/>
    <w:rsid w:val="004646A5"/>
    <w:rsid w:val="004647E8"/>
    <w:rsid w:val="00464F0C"/>
    <w:rsid w:val="00465D83"/>
    <w:rsid w:val="004662DE"/>
    <w:rsid w:val="004667A2"/>
    <w:rsid w:val="00466EAA"/>
    <w:rsid w:val="00467857"/>
    <w:rsid w:val="0047002E"/>
    <w:rsid w:val="00470545"/>
    <w:rsid w:val="00470554"/>
    <w:rsid w:val="00470A33"/>
    <w:rsid w:val="00470BD9"/>
    <w:rsid w:val="00470C60"/>
    <w:rsid w:val="00471AB5"/>
    <w:rsid w:val="00471B92"/>
    <w:rsid w:val="004722C6"/>
    <w:rsid w:val="0047407C"/>
    <w:rsid w:val="004746B1"/>
    <w:rsid w:val="0047489A"/>
    <w:rsid w:val="004749D2"/>
    <w:rsid w:val="00474C5C"/>
    <w:rsid w:val="004750D2"/>
    <w:rsid w:val="00476E77"/>
    <w:rsid w:val="00477279"/>
    <w:rsid w:val="00477384"/>
    <w:rsid w:val="0047744C"/>
    <w:rsid w:val="00477980"/>
    <w:rsid w:val="0048036B"/>
    <w:rsid w:val="00480627"/>
    <w:rsid w:val="00480678"/>
    <w:rsid w:val="00480EE9"/>
    <w:rsid w:val="00480F93"/>
    <w:rsid w:val="00481B14"/>
    <w:rsid w:val="00482907"/>
    <w:rsid w:val="004843B9"/>
    <w:rsid w:val="00485491"/>
    <w:rsid w:val="004861CC"/>
    <w:rsid w:val="00487633"/>
    <w:rsid w:val="00487829"/>
    <w:rsid w:val="00487D2F"/>
    <w:rsid w:val="00487F98"/>
    <w:rsid w:val="0049025A"/>
    <w:rsid w:val="00490AFE"/>
    <w:rsid w:val="00490F1C"/>
    <w:rsid w:val="00490F67"/>
    <w:rsid w:val="0049148A"/>
    <w:rsid w:val="00491814"/>
    <w:rsid w:val="00491A21"/>
    <w:rsid w:val="00492062"/>
    <w:rsid w:val="004921CA"/>
    <w:rsid w:val="00492698"/>
    <w:rsid w:val="00492EA1"/>
    <w:rsid w:val="004931E6"/>
    <w:rsid w:val="004936F4"/>
    <w:rsid w:val="004938D5"/>
    <w:rsid w:val="00493C55"/>
    <w:rsid w:val="0049403D"/>
    <w:rsid w:val="0049456C"/>
    <w:rsid w:val="004948DC"/>
    <w:rsid w:val="004955DD"/>
    <w:rsid w:val="004962CF"/>
    <w:rsid w:val="004969A1"/>
    <w:rsid w:val="004970BF"/>
    <w:rsid w:val="004972E4"/>
    <w:rsid w:val="004A134C"/>
    <w:rsid w:val="004A2549"/>
    <w:rsid w:val="004A30D2"/>
    <w:rsid w:val="004A405B"/>
    <w:rsid w:val="004A42B2"/>
    <w:rsid w:val="004A5588"/>
    <w:rsid w:val="004A5BA3"/>
    <w:rsid w:val="004A642D"/>
    <w:rsid w:val="004A660F"/>
    <w:rsid w:val="004A693C"/>
    <w:rsid w:val="004B0097"/>
    <w:rsid w:val="004B0367"/>
    <w:rsid w:val="004B14FF"/>
    <w:rsid w:val="004B1A11"/>
    <w:rsid w:val="004B21D0"/>
    <w:rsid w:val="004B2244"/>
    <w:rsid w:val="004B2CCA"/>
    <w:rsid w:val="004B3816"/>
    <w:rsid w:val="004B3B9F"/>
    <w:rsid w:val="004B3C87"/>
    <w:rsid w:val="004B46CF"/>
    <w:rsid w:val="004B4E11"/>
    <w:rsid w:val="004B54AB"/>
    <w:rsid w:val="004B61FF"/>
    <w:rsid w:val="004B6512"/>
    <w:rsid w:val="004B71CA"/>
    <w:rsid w:val="004B7C5D"/>
    <w:rsid w:val="004B7FCB"/>
    <w:rsid w:val="004C0490"/>
    <w:rsid w:val="004C04C7"/>
    <w:rsid w:val="004C1DD4"/>
    <w:rsid w:val="004C2134"/>
    <w:rsid w:val="004C2397"/>
    <w:rsid w:val="004C2A6C"/>
    <w:rsid w:val="004C2E0A"/>
    <w:rsid w:val="004C307B"/>
    <w:rsid w:val="004C3AFC"/>
    <w:rsid w:val="004C3B9D"/>
    <w:rsid w:val="004C4709"/>
    <w:rsid w:val="004C474E"/>
    <w:rsid w:val="004C4788"/>
    <w:rsid w:val="004C51CF"/>
    <w:rsid w:val="004C5573"/>
    <w:rsid w:val="004C59CC"/>
    <w:rsid w:val="004C5CCF"/>
    <w:rsid w:val="004C5EA9"/>
    <w:rsid w:val="004C6094"/>
    <w:rsid w:val="004C6D98"/>
    <w:rsid w:val="004C7428"/>
    <w:rsid w:val="004C75AB"/>
    <w:rsid w:val="004C7637"/>
    <w:rsid w:val="004C7F6A"/>
    <w:rsid w:val="004D110A"/>
    <w:rsid w:val="004D1DA3"/>
    <w:rsid w:val="004D25A8"/>
    <w:rsid w:val="004D2C1A"/>
    <w:rsid w:val="004D2DD2"/>
    <w:rsid w:val="004D3B69"/>
    <w:rsid w:val="004D3BC5"/>
    <w:rsid w:val="004D4967"/>
    <w:rsid w:val="004D5A47"/>
    <w:rsid w:val="004D6D05"/>
    <w:rsid w:val="004D6E45"/>
    <w:rsid w:val="004D6FD0"/>
    <w:rsid w:val="004D7545"/>
    <w:rsid w:val="004D7B80"/>
    <w:rsid w:val="004E0244"/>
    <w:rsid w:val="004E0BB2"/>
    <w:rsid w:val="004E10BD"/>
    <w:rsid w:val="004E127D"/>
    <w:rsid w:val="004E1BC3"/>
    <w:rsid w:val="004E295A"/>
    <w:rsid w:val="004E3299"/>
    <w:rsid w:val="004E47B9"/>
    <w:rsid w:val="004E4CA3"/>
    <w:rsid w:val="004E4F88"/>
    <w:rsid w:val="004E5412"/>
    <w:rsid w:val="004E5456"/>
    <w:rsid w:val="004E70B9"/>
    <w:rsid w:val="004E71D7"/>
    <w:rsid w:val="004F00F5"/>
    <w:rsid w:val="004F071B"/>
    <w:rsid w:val="004F0B48"/>
    <w:rsid w:val="004F166C"/>
    <w:rsid w:val="004F22E2"/>
    <w:rsid w:val="004F2BD7"/>
    <w:rsid w:val="004F30E6"/>
    <w:rsid w:val="004F3202"/>
    <w:rsid w:val="004F34F9"/>
    <w:rsid w:val="004F3648"/>
    <w:rsid w:val="004F50A9"/>
    <w:rsid w:val="004F57D4"/>
    <w:rsid w:val="004F6FAD"/>
    <w:rsid w:val="004F7F65"/>
    <w:rsid w:val="00500297"/>
    <w:rsid w:val="005002BC"/>
    <w:rsid w:val="00500682"/>
    <w:rsid w:val="00500A91"/>
    <w:rsid w:val="00501397"/>
    <w:rsid w:val="00501576"/>
    <w:rsid w:val="00501804"/>
    <w:rsid w:val="005029B7"/>
    <w:rsid w:val="00503941"/>
    <w:rsid w:val="005040CE"/>
    <w:rsid w:val="005042BF"/>
    <w:rsid w:val="005050B0"/>
    <w:rsid w:val="00505369"/>
    <w:rsid w:val="00505B62"/>
    <w:rsid w:val="00505CC7"/>
    <w:rsid w:val="0050644C"/>
    <w:rsid w:val="00506527"/>
    <w:rsid w:val="00506689"/>
    <w:rsid w:val="0050690A"/>
    <w:rsid w:val="00506B3C"/>
    <w:rsid w:val="005075A4"/>
    <w:rsid w:val="005104E8"/>
    <w:rsid w:val="0051058E"/>
    <w:rsid w:val="005112E7"/>
    <w:rsid w:val="005120D7"/>
    <w:rsid w:val="00512549"/>
    <w:rsid w:val="0051262C"/>
    <w:rsid w:val="00512E5A"/>
    <w:rsid w:val="00514519"/>
    <w:rsid w:val="0051501E"/>
    <w:rsid w:val="0051549F"/>
    <w:rsid w:val="00515785"/>
    <w:rsid w:val="00516907"/>
    <w:rsid w:val="00516BE8"/>
    <w:rsid w:val="00516FDD"/>
    <w:rsid w:val="005178BF"/>
    <w:rsid w:val="00517A15"/>
    <w:rsid w:val="00517D28"/>
    <w:rsid w:val="00521CBF"/>
    <w:rsid w:val="0052227A"/>
    <w:rsid w:val="00522688"/>
    <w:rsid w:val="0052361B"/>
    <w:rsid w:val="005236D6"/>
    <w:rsid w:val="005238E8"/>
    <w:rsid w:val="00523937"/>
    <w:rsid w:val="00523D4B"/>
    <w:rsid w:val="005249D7"/>
    <w:rsid w:val="00524A83"/>
    <w:rsid w:val="00524D99"/>
    <w:rsid w:val="005252BD"/>
    <w:rsid w:val="0052696D"/>
    <w:rsid w:val="00526DDA"/>
    <w:rsid w:val="00527166"/>
    <w:rsid w:val="00527777"/>
    <w:rsid w:val="00527978"/>
    <w:rsid w:val="005300D6"/>
    <w:rsid w:val="00530198"/>
    <w:rsid w:val="00530589"/>
    <w:rsid w:val="00530607"/>
    <w:rsid w:val="00532735"/>
    <w:rsid w:val="005328E5"/>
    <w:rsid w:val="005333BB"/>
    <w:rsid w:val="00533DF5"/>
    <w:rsid w:val="00533E7E"/>
    <w:rsid w:val="00534010"/>
    <w:rsid w:val="005341E3"/>
    <w:rsid w:val="005345F3"/>
    <w:rsid w:val="0053490E"/>
    <w:rsid w:val="00535134"/>
    <w:rsid w:val="005354EF"/>
    <w:rsid w:val="00535CED"/>
    <w:rsid w:val="0053623E"/>
    <w:rsid w:val="00536A7A"/>
    <w:rsid w:val="00536AB6"/>
    <w:rsid w:val="005375DF"/>
    <w:rsid w:val="00537792"/>
    <w:rsid w:val="00537D9F"/>
    <w:rsid w:val="00540674"/>
    <w:rsid w:val="00541694"/>
    <w:rsid w:val="00541969"/>
    <w:rsid w:val="005423CB"/>
    <w:rsid w:val="00543301"/>
    <w:rsid w:val="00543EF0"/>
    <w:rsid w:val="00543FA9"/>
    <w:rsid w:val="00544292"/>
    <w:rsid w:val="0054438C"/>
    <w:rsid w:val="00544A60"/>
    <w:rsid w:val="00545154"/>
    <w:rsid w:val="0054556F"/>
    <w:rsid w:val="00545E2E"/>
    <w:rsid w:val="00545F54"/>
    <w:rsid w:val="005465EA"/>
    <w:rsid w:val="00546612"/>
    <w:rsid w:val="00546E27"/>
    <w:rsid w:val="00546FAA"/>
    <w:rsid w:val="005474E3"/>
    <w:rsid w:val="00547CFC"/>
    <w:rsid w:val="00550132"/>
    <w:rsid w:val="00550982"/>
    <w:rsid w:val="00550DEC"/>
    <w:rsid w:val="00551219"/>
    <w:rsid w:val="00551AF8"/>
    <w:rsid w:val="00551DB9"/>
    <w:rsid w:val="00552918"/>
    <w:rsid w:val="00552EC5"/>
    <w:rsid w:val="00552F31"/>
    <w:rsid w:val="005537CC"/>
    <w:rsid w:val="00554024"/>
    <w:rsid w:val="00554B2D"/>
    <w:rsid w:val="00554F00"/>
    <w:rsid w:val="00555AC1"/>
    <w:rsid w:val="005568F7"/>
    <w:rsid w:val="00556A55"/>
    <w:rsid w:val="00556AEA"/>
    <w:rsid w:val="005573EF"/>
    <w:rsid w:val="00557BB7"/>
    <w:rsid w:val="0056049A"/>
    <w:rsid w:val="0056053B"/>
    <w:rsid w:val="005610D0"/>
    <w:rsid w:val="0056170D"/>
    <w:rsid w:val="00562B8D"/>
    <w:rsid w:val="00563288"/>
    <w:rsid w:val="005634DF"/>
    <w:rsid w:val="00563ECF"/>
    <w:rsid w:val="0056515B"/>
    <w:rsid w:val="005651F0"/>
    <w:rsid w:val="0056579A"/>
    <w:rsid w:val="00565B2E"/>
    <w:rsid w:val="00565B60"/>
    <w:rsid w:val="0056614D"/>
    <w:rsid w:val="00566655"/>
    <w:rsid w:val="0056755E"/>
    <w:rsid w:val="00567F4E"/>
    <w:rsid w:val="005712FC"/>
    <w:rsid w:val="00571647"/>
    <w:rsid w:val="0057191B"/>
    <w:rsid w:val="00571A39"/>
    <w:rsid w:val="00572589"/>
    <w:rsid w:val="0057288B"/>
    <w:rsid w:val="00572E66"/>
    <w:rsid w:val="00573EA7"/>
    <w:rsid w:val="00574566"/>
    <w:rsid w:val="005747DC"/>
    <w:rsid w:val="0057496C"/>
    <w:rsid w:val="00574F38"/>
    <w:rsid w:val="005757C6"/>
    <w:rsid w:val="005758F2"/>
    <w:rsid w:val="005768EA"/>
    <w:rsid w:val="00577509"/>
    <w:rsid w:val="0057755E"/>
    <w:rsid w:val="00577668"/>
    <w:rsid w:val="00577A3A"/>
    <w:rsid w:val="0058003C"/>
    <w:rsid w:val="00580258"/>
    <w:rsid w:val="00580EAE"/>
    <w:rsid w:val="0058165F"/>
    <w:rsid w:val="005817FF"/>
    <w:rsid w:val="0058218B"/>
    <w:rsid w:val="00582819"/>
    <w:rsid w:val="00582EEA"/>
    <w:rsid w:val="0058339D"/>
    <w:rsid w:val="005833A9"/>
    <w:rsid w:val="00584BAE"/>
    <w:rsid w:val="0058526B"/>
    <w:rsid w:val="005859E1"/>
    <w:rsid w:val="00585B99"/>
    <w:rsid w:val="0058684B"/>
    <w:rsid w:val="00586A78"/>
    <w:rsid w:val="00586B8C"/>
    <w:rsid w:val="00586DE7"/>
    <w:rsid w:val="005875C1"/>
    <w:rsid w:val="00587941"/>
    <w:rsid w:val="00590362"/>
    <w:rsid w:val="00590E07"/>
    <w:rsid w:val="00591481"/>
    <w:rsid w:val="00591AFA"/>
    <w:rsid w:val="00591DBB"/>
    <w:rsid w:val="00592617"/>
    <w:rsid w:val="00592C07"/>
    <w:rsid w:val="005935B8"/>
    <w:rsid w:val="005939C5"/>
    <w:rsid w:val="0059524B"/>
    <w:rsid w:val="00595583"/>
    <w:rsid w:val="00595764"/>
    <w:rsid w:val="00595A15"/>
    <w:rsid w:val="005963FF"/>
    <w:rsid w:val="0059678E"/>
    <w:rsid w:val="0059698B"/>
    <w:rsid w:val="00596EFE"/>
    <w:rsid w:val="005971BB"/>
    <w:rsid w:val="005973E5"/>
    <w:rsid w:val="00597858"/>
    <w:rsid w:val="00597CA4"/>
    <w:rsid w:val="00597D25"/>
    <w:rsid w:val="005A0246"/>
    <w:rsid w:val="005A1517"/>
    <w:rsid w:val="005A187A"/>
    <w:rsid w:val="005A2147"/>
    <w:rsid w:val="005A289A"/>
    <w:rsid w:val="005A31C8"/>
    <w:rsid w:val="005A3AB1"/>
    <w:rsid w:val="005A46EB"/>
    <w:rsid w:val="005A4A0B"/>
    <w:rsid w:val="005A5010"/>
    <w:rsid w:val="005A550B"/>
    <w:rsid w:val="005A578A"/>
    <w:rsid w:val="005A61FB"/>
    <w:rsid w:val="005A6C8D"/>
    <w:rsid w:val="005A7827"/>
    <w:rsid w:val="005A7DB1"/>
    <w:rsid w:val="005B0765"/>
    <w:rsid w:val="005B0893"/>
    <w:rsid w:val="005B0C19"/>
    <w:rsid w:val="005B0C3E"/>
    <w:rsid w:val="005B0D82"/>
    <w:rsid w:val="005B1065"/>
    <w:rsid w:val="005B1900"/>
    <w:rsid w:val="005B1C32"/>
    <w:rsid w:val="005B25A2"/>
    <w:rsid w:val="005B27BD"/>
    <w:rsid w:val="005B37B4"/>
    <w:rsid w:val="005B3A46"/>
    <w:rsid w:val="005B3D82"/>
    <w:rsid w:val="005B63C2"/>
    <w:rsid w:val="005B6ACD"/>
    <w:rsid w:val="005B6CB8"/>
    <w:rsid w:val="005B718B"/>
    <w:rsid w:val="005B7815"/>
    <w:rsid w:val="005B7C55"/>
    <w:rsid w:val="005B7F50"/>
    <w:rsid w:val="005C01EE"/>
    <w:rsid w:val="005C085B"/>
    <w:rsid w:val="005C0946"/>
    <w:rsid w:val="005C0D49"/>
    <w:rsid w:val="005C169D"/>
    <w:rsid w:val="005C1F9E"/>
    <w:rsid w:val="005C20F8"/>
    <w:rsid w:val="005C2161"/>
    <w:rsid w:val="005C2477"/>
    <w:rsid w:val="005C29BB"/>
    <w:rsid w:val="005C424C"/>
    <w:rsid w:val="005C45DC"/>
    <w:rsid w:val="005C45F0"/>
    <w:rsid w:val="005C48F7"/>
    <w:rsid w:val="005C4B0F"/>
    <w:rsid w:val="005C4DAC"/>
    <w:rsid w:val="005C4E03"/>
    <w:rsid w:val="005C54A5"/>
    <w:rsid w:val="005C585F"/>
    <w:rsid w:val="005C605B"/>
    <w:rsid w:val="005C68F1"/>
    <w:rsid w:val="005C7AF5"/>
    <w:rsid w:val="005D07A1"/>
    <w:rsid w:val="005D0A31"/>
    <w:rsid w:val="005D0C15"/>
    <w:rsid w:val="005D0FAD"/>
    <w:rsid w:val="005D2610"/>
    <w:rsid w:val="005D2FF8"/>
    <w:rsid w:val="005D3012"/>
    <w:rsid w:val="005D33F0"/>
    <w:rsid w:val="005D4084"/>
    <w:rsid w:val="005D45C2"/>
    <w:rsid w:val="005D488E"/>
    <w:rsid w:val="005D4B74"/>
    <w:rsid w:val="005D6128"/>
    <w:rsid w:val="005D639E"/>
    <w:rsid w:val="005D6727"/>
    <w:rsid w:val="005D7087"/>
    <w:rsid w:val="005D77FB"/>
    <w:rsid w:val="005D7D33"/>
    <w:rsid w:val="005E0A0A"/>
    <w:rsid w:val="005E1711"/>
    <w:rsid w:val="005E25CD"/>
    <w:rsid w:val="005E2A61"/>
    <w:rsid w:val="005E335D"/>
    <w:rsid w:val="005E3626"/>
    <w:rsid w:val="005E448B"/>
    <w:rsid w:val="005E486F"/>
    <w:rsid w:val="005E6153"/>
    <w:rsid w:val="005E79F4"/>
    <w:rsid w:val="005E7EEA"/>
    <w:rsid w:val="005F093C"/>
    <w:rsid w:val="005F0992"/>
    <w:rsid w:val="005F14EB"/>
    <w:rsid w:val="005F17FB"/>
    <w:rsid w:val="005F1D7E"/>
    <w:rsid w:val="005F21B5"/>
    <w:rsid w:val="005F29E8"/>
    <w:rsid w:val="005F3681"/>
    <w:rsid w:val="005F38E0"/>
    <w:rsid w:val="005F4C5D"/>
    <w:rsid w:val="005F52B6"/>
    <w:rsid w:val="005F5A35"/>
    <w:rsid w:val="005F6987"/>
    <w:rsid w:val="005F6F71"/>
    <w:rsid w:val="005F7CF0"/>
    <w:rsid w:val="00600185"/>
    <w:rsid w:val="00600DE6"/>
    <w:rsid w:val="006010CF"/>
    <w:rsid w:val="0060196A"/>
    <w:rsid w:val="0060254A"/>
    <w:rsid w:val="00602824"/>
    <w:rsid w:val="00602F65"/>
    <w:rsid w:val="006036E4"/>
    <w:rsid w:val="00603AEB"/>
    <w:rsid w:val="00604154"/>
    <w:rsid w:val="006046CD"/>
    <w:rsid w:val="00604E93"/>
    <w:rsid w:val="00605017"/>
    <w:rsid w:val="0060558A"/>
    <w:rsid w:val="0060594B"/>
    <w:rsid w:val="00606207"/>
    <w:rsid w:val="00607A54"/>
    <w:rsid w:val="00610145"/>
    <w:rsid w:val="0061021A"/>
    <w:rsid w:val="00610DA2"/>
    <w:rsid w:val="00610F49"/>
    <w:rsid w:val="00610FC9"/>
    <w:rsid w:val="00611D10"/>
    <w:rsid w:val="006124BF"/>
    <w:rsid w:val="00612D56"/>
    <w:rsid w:val="00613430"/>
    <w:rsid w:val="00613BA4"/>
    <w:rsid w:val="00613D4D"/>
    <w:rsid w:val="00613E44"/>
    <w:rsid w:val="00614585"/>
    <w:rsid w:val="006156A6"/>
    <w:rsid w:val="00616559"/>
    <w:rsid w:val="006178A7"/>
    <w:rsid w:val="00623234"/>
    <w:rsid w:val="00623704"/>
    <w:rsid w:val="00623A9A"/>
    <w:rsid w:val="00623D21"/>
    <w:rsid w:val="00623E42"/>
    <w:rsid w:val="00623F39"/>
    <w:rsid w:val="006244BA"/>
    <w:rsid w:val="0062456C"/>
    <w:rsid w:val="00624F97"/>
    <w:rsid w:val="00625531"/>
    <w:rsid w:val="0062574D"/>
    <w:rsid w:val="00625AEA"/>
    <w:rsid w:val="00625BAF"/>
    <w:rsid w:val="00626193"/>
    <w:rsid w:val="006303CC"/>
    <w:rsid w:val="00630592"/>
    <w:rsid w:val="006305E6"/>
    <w:rsid w:val="00630CD6"/>
    <w:rsid w:val="00630E47"/>
    <w:rsid w:val="00631A4C"/>
    <w:rsid w:val="00631F2F"/>
    <w:rsid w:val="0063233F"/>
    <w:rsid w:val="006323FC"/>
    <w:rsid w:val="00632FB3"/>
    <w:rsid w:val="00633016"/>
    <w:rsid w:val="00633324"/>
    <w:rsid w:val="0063462B"/>
    <w:rsid w:val="00634BBB"/>
    <w:rsid w:val="00634C70"/>
    <w:rsid w:val="00634C87"/>
    <w:rsid w:val="00635118"/>
    <w:rsid w:val="006357D3"/>
    <w:rsid w:val="00635D0D"/>
    <w:rsid w:val="00635F36"/>
    <w:rsid w:val="006360A5"/>
    <w:rsid w:val="0063671A"/>
    <w:rsid w:val="00636B89"/>
    <w:rsid w:val="00637233"/>
    <w:rsid w:val="0063757F"/>
    <w:rsid w:val="00637AC7"/>
    <w:rsid w:val="00637F26"/>
    <w:rsid w:val="00637F74"/>
    <w:rsid w:val="006400B3"/>
    <w:rsid w:val="006404A3"/>
    <w:rsid w:val="00640C2B"/>
    <w:rsid w:val="00640E24"/>
    <w:rsid w:val="00640FD0"/>
    <w:rsid w:val="00641609"/>
    <w:rsid w:val="00642165"/>
    <w:rsid w:val="006425C8"/>
    <w:rsid w:val="00643329"/>
    <w:rsid w:val="0064491A"/>
    <w:rsid w:val="0064514D"/>
    <w:rsid w:val="006453F1"/>
    <w:rsid w:val="00646A58"/>
    <w:rsid w:val="00646FDB"/>
    <w:rsid w:val="006479FE"/>
    <w:rsid w:val="00647B95"/>
    <w:rsid w:val="00650996"/>
    <w:rsid w:val="00651C0D"/>
    <w:rsid w:val="00652C38"/>
    <w:rsid w:val="0065381B"/>
    <w:rsid w:val="00653CC7"/>
    <w:rsid w:val="00653EB3"/>
    <w:rsid w:val="00654433"/>
    <w:rsid w:val="006548FC"/>
    <w:rsid w:val="00654941"/>
    <w:rsid w:val="00655302"/>
    <w:rsid w:val="00656375"/>
    <w:rsid w:val="00656C3B"/>
    <w:rsid w:val="00657186"/>
    <w:rsid w:val="0065723C"/>
    <w:rsid w:val="00657F80"/>
    <w:rsid w:val="0066167A"/>
    <w:rsid w:val="00661A2C"/>
    <w:rsid w:val="006623D9"/>
    <w:rsid w:val="006626FC"/>
    <w:rsid w:val="006630E8"/>
    <w:rsid w:val="00663632"/>
    <w:rsid w:val="00663DC6"/>
    <w:rsid w:val="00665A02"/>
    <w:rsid w:val="00666622"/>
    <w:rsid w:val="00666A9F"/>
    <w:rsid w:val="00670BB9"/>
    <w:rsid w:val="00670DD0"/>
    <w:rsid w:val="0067242A"/>
    <w:rsid w:val="0067284B"/>
    <w:rsid w:val="00672C63"/>
    <w:rsid w:val="0067309A"/>
    <w:rsid w:val="00673CD6"/>
    <w:rsid w:val="0067449A"/>
    <w:rsid w:val="0067544C"/>
    <w:rsid w:val="00676517"/>
    <w:rsid w:val="00676B5E"/>
    <w:rsid w:val="00676CC9"/>
    <w:rsid w:val="00677B4B"/>
    <w:rsid w:val="006805FF"/>
    <w:rsid w:val="00680B8C"/>
    <w:rsid w:val="006811F1"/>
    <w:rsid w:val="00682529"/>
    <w:rsid w:val="006825BE"/>
    <w:rsid w:val="006829B1"/>
    <w:rsid w:val="00683162"/>
    <w:rsid w:val="006831CA"/>
    <w:rsid w:val="006831F8"/>
    <w:rsid w:val="0068360F"/>
    <w:rsid w:val="00683685"/>
    <w:rsid w:val="006838F3"/>
    <w:rsid w:val="00683DF6"/>
    <w:rsid w:val="00684127"/>
    <w:rsid w:val="006841BA"/>
    <w:rsid w:val="006852FD"/>
    <w:rsid w:val="00685811"/>
    <w:rsid w:val="00685B9E"/>
    <w:rsid w:val="0069119E"/>
    <w:rsid w:val="006920DF"/>
    <w:rsid w:val="00692E29"/>
    <w:rsid w:val="006932B4"/>
    <w:rsid w:val="00693857"/>
    <w:rsid w:val="0069444B"/>
    <w:rsid w:val="006947B4"/>
    <w:rsid w:val="006947E4"/>
    <w:rsid w:val="00694A5F"/>
    <w:rsid w:val="00695396"/>
    <w:rsid w:val="00695786"/>
    <w:rsid w:val="00695AEB"/>
    <w:rsid w:val="0069605F"/>
    <w:rsid w:val="0069631F"/>
    <w:rsid w:val="006976F6"/>
    <w:rsid w:val="00697DB7"/>
    <w:rsid w:val="00697DF6"/>
    <w:rsid w:val="006A036A"/>
    <w:rsid w:val="006A03FF"/>
    <w:rsid w:val="006A0A66"/>
    <w:rsid w:val="006A0C77"/>
    <w:rsid w:val="006A0D56"/>
    <w:rsid w:val="006A18E2"/>
    <w:rsid w:val="006A27DB"/>
    <w:rsid w:val="006A2ADE"/>
    <w:rsid w:val="006A2B2E"/>
    <w:rsid w:val="006A2EBC"/>
    <w:rsid w:val="006A42C2"/>
    <w:rsid w:val="006A5BDD"/>
    <w:rsid w:val="006A5D10"/>
    <w:rsid w:val="006A6751"/>
    <w:rsid w:val="006A6AFE"/>
    <w:rsid w:val="006A773A"/>
    <w:rsid w:val="006B0036"/>
    <w:rsid w:val="006B023E"/>
    <w:rsid w:val="006B0E61"/>
    <w:rsid w:val="006B1784"/>
    <w:rsid w:val="006B1CA9"/>
    <w:rsid w:val="006B204F"/>
    <w:rsid w:val="006B22B0"/>
    <w:rsid w:val="006B275B"/>
    <w:rsid w:val="006B338F"/>
    <w:rsid w:val="006B401B"/>
    <w:rsid w:val="006B44F5"/>
    <w:rsid w:val="006B454C"/>
    <w:rsid w:val="006B4984"/>
    <w:rsid w:val="006B49AD"/>
    <w:rsid w:val="006B517E"/>
    <w:rsid w:val="006B51F6"/>
    <w:rsid w:val="006B5596"/>
    <w:rsid w:val="006B579C"/>
    <w:rsid w:val="006B59C0"/>
    <w:rsid w:val="006B690F"/>
    <w:rsid w:val="006B6AB4"/>
    <w:rsid w:val="006B7615"/>
    <w:rsid w:val="006B7FDF"/>
    <w:rsid w:val="006C0AB1"/>
    <w:rsid w:val="006C0DBA"/>
    <w:rsid w:val="006C1C1E"/>
    <w:rsid w:val="006C23DA"/>
    <w:rsid w:val="006C384A"/>
    <w:rsid w:val="006C387D"/>
    <w:rsid w:val="006C3BC4"/>
    <w:rsid w:val="006C4206"/>
    <w:rsid w:val="006C4269"/>
    <w:rsid w:val="006C4CA3"/>
    <w:rsid w:val="006C4E16"/>
    <w:rsid w:val="006C50E9"/>
    <w:rsid w:val="006C549B"/>
    <w:rsid w:val="006C5D94"/>
    <w:rsid w:val="006C6C31"/>
    <w:rsid w:val="006C7CC8"/>
    <w:rsid w:val="006D02B4"/>
    <w:rsid w:val="006D121C"/>
    <w:rsid w:val="006D16B9"/>
    <w:rsid w:val="006D1778"/>
    <w:rsid w:val="006D1A8B"/>
    <w:rsid w:val="006D3516"/>
    <w:rsid w:val="006D3A74"/>
    <w:rsid w:val="006D4000"/>
    <w:rsid w:val="006D4FBA"/>
    <w:rsid w:val="006D59EC"/>
    <w:rsid w:val="006D5D62"/>
    <w:rsid w:val="006D6198"/>
    <w:rsid w:val="006D6480"/>
    <w:rsid w:val="006D648D"/>
    <w:rsid w:val="006D6A93"/>
    <w:rsid w:val="006D6D10"/>
    <w:rsid w:val="006D7E16"/>
    <w:rsid w:val="006E09F5"/>
    <w:rsid w:val="006E12F6"/>
    <w:rsid w:val="006E17CE"/>
    <w:rsid w:val="006E1B96"/>
    <w:rsid w:val="006E24CB"/>
    <w:rsid w:val="006E250F"/>
    <w:rsid w:val="006E2CF1"/>
    <w:rsid w:val="006E2E87"/>
    <w:rsid w:val="006E328E"/>
    <w:rsid w:val="006E331B"/>
    <w:rsid w:val="006E4576"/>
    <w:rsid w:val="006E464C"/>
    <w:rsid w:val="006E4E84"/>
    <w:rsid w:val="006E534D"/>
    <w:rsid w:val="006E5449"/>
    <w:rsid w:val="006E56B4"/>
    <w:rsid w:val="006E5846"/>
    <w:rsid w:val="006E6CA9"/>
    <w:rsid w:val="006E727F"/>
    <w:rsid w:val="006E76F0"/>
    <w:rsid w:val="006E7A5A"/>
    <w:rsid w:val="006F00A4"/>
    <w:rsid w:val="006F0FAE"/>
    <w:rsid w:val="006F16FA"/>
    <w:rsid w:val="006F20F1"/>
    <w:rsid w:val="006F41FD"/>
    <w:rsid w:val="006F4276"/>
    <w:rsid w:val="006F43EF"/>
    <w:rsid w:val="006F4DC5"/>
    <w:rsid w:val="006F51B3"/>
    <w:rsid w:val="006F5307"/>
    <w:rsid w:val="006F5D57"/>
    <w:rsid w:val="006F6872"/>
    <w:rsid w:val="006F6D0A"/>
    <w:rsid w:val="006F7072"/>
    <w:rsid w:val="006F7311"/>
    <w:rsid w:val="006F7331"/>
    <w:rsid w:val="006F77E7"/>
    <w:rsid w:val="006F7A9C"/>
    <w:rsid w:val="00700283"/>
    <w:rsid w:val="00700319"/>
    <w:rsid w:val="0070040E"/>
    <w:rsid w:val="00700978"/>
    <w:rsid w:val="00701575"/>
    <w:rsid w:val="00701CD9"/>
    <w:rsid w:val="00701FCD"/>
    <w:rsid w:val="0070237D"/>
    <w:rsid w:val="0070264C"/>
    <w:rsid w:val="00702742"/>
    <w:rsid w:val="007028B2"/>
    <w:rsid w:val="00702DF1"/>
    <w:rsid w:val="00702E85"/>
    <w:rsid w:val="00703005"/>
    <w:rsid w:val="007030DB"/>
    <w:rsid w:val="00703CB9"/>
    <w:rsid w:val="00704439"/>
    <w:rsid w:val="00705355"/>
    <w:rsid w:val="00705832"/>
    <w:rsid w:val="00705837"/>
    <w:rsid w:val="0070586F"/>
    <w:rsid w:val="00705C8A"/>
    <w:rsid w:val="007067D9"/>
    <w:rsid w:val="00707322"/>
    <w:rsid w:val="00707475"/>
    <w:rsid w:val="00707E47"/>
    <w:rsid w:val="0071018A"/>
    <w:rsid w:val="007101AA"/>
    <w:rsid w:val="007101F0"/>
    <w:rsid w:val="0071032D"/>
    <w:rsid w:val="00710725"/>
    <w:rsid w:val="007109CA"/>
    <w:rsid w:val="0071125D"/>
    <w:rsid w:val="00712019"/>
    <w:rsid w:val="00712599"/>
    <w:rsid w:val="007125C7"/>
    <w:rsid w:val="007134F6"/>
    <w:rsid w:val="00714086"/>
    <w:rsid w:val="00714149"/>
    <w:rsid w:val="00715CC4"/>
    <w:rsid w:val="00715D81"/>
    <w:rsid w:val="00716293"/>
    <w:rsid w:val="00716806"/>
    <w:rsid w:val="00716C74"/>
    <w:rsid w:val="00717465"/>
    <w:rsid w:val="007202C1"/>
    <w:rsid w:val="00721244"/>
    <w:rsid w:val="007212B1"/>
    <w:rsid w:val="00721FA7"/>
    <w:rsid w:val="00722279"/>
    <w:rsid w:val="00722922"/>
    <w:rsid w:val="00723863"/>
    <w:rsid w:val="0072678C"/>
    <w:rsid w:val="007270BA"/>
    <w:rsid w:val="007300C5"/>
    <w:rsid w:val="00730C6F"/>
    <w:rsid w:val="00731D32"/>
    <w:rsid w:val="00732DD8"/>
    <w:rsid w:val="007333C1"/>
    <w:rsid w:val="00733D4F"/>
    <w:rsid w:val="00734654"/>
    <w:rsid w:val="007358BF"/>
    <w:rsid w:val="00735DC0"/>
    <w:rsid w:val="00737B7E"/>
    <w:rsid w:val="00737C50"/>
    <w:rsid w:val="0074050D"/>
    <w:rsid w:val="00740CCF"/>
    <w:rsid w:val="007416A5"/>
    <w:rsid w:val="00741D2A"/>
    <w:rsid w:val="007427D4"/>
    <w:rsid w:val="00742A86"/>
    <w:rsid w:val="00742E6C"/>
    <w:rsid w:val="007430E4"/>
    <w:rsid w:val="00743801"/>
    <w:rsid w:val="00745562"/>
    <w:rsid w:val="007464C9"/>
    <w:rsid w:val="00747A81"/>
    <w:rsid w:val="00747B05"/>
    <w:rsid w:val="00750C9F"/>
    <w:rsid w:val="00751654"/>
    <w:rsid w:val="00752381"/>
    <w:rsid w:val="00752519"/>
    <w:rsid w:val="007532A2"/>
    <w:rsid w:val="00753463"/>
    <w:rsid w:val="00754EB9"/>
    <w:rsid w:val="00755800"/>
    <w:rsid w:val="00755877"/>
    <w:rsid w:val="007559EE"/>
    <w:rsid w:val="00755E65"/>
    <w:rsid w:val="0075600B"/>
    <w:rsid w:val="007564B0"/>
    <w:rsid w:val="0075666A"/>
    <w:rsid w:val="0075782E"/>
    <w:rsid w:val="00757C5B"/>
    <w:rsid w:val="00760653"/>
    <w:rsid w:val="00760978"/>
    <w:rsid w:val="00760D36"/>
    <w:rsid w:val="00761080"/>
    <w:rsid w:val="0076155D"/>
    <w:rsid w:val="007615E7"/>
    <w:rsid w:val="00762495"/>
    <w:rsid w:val="007627BD"/>
    <w:rsid w:val="00762BE1"/>
    <w:rsid w:val="00762CEC"/>
    <w:rsid w:val="00762E07"/>
    <w:rsid w:val="007634F7"/>
    <w:rsid w:val="00763E51"/>
    <w:rsid w:val="007643DC"/>
    <w:rsid w:val="00764DA8"/>
    <w:rsid w:val="007651D9"/>
    <w:rsid w:val="007663A2"/>
    <w:rsid w:val="00766FEF"/>
    <w:rsid w:val="0076776D"/>
    <w:rsid w:val="007678CA"/>
    <w:rsid w:val="00770436"/>
    <w:rsid w:val="007704B1"/>
    <w:rsid w:val="0077057B"/>
    <w:rsid w:val="0077080F"/>
    <w:rsid w:val="007708E9"/>
    <w:rsid w:val="00770CF4"/>
    <w:rsid w:val="00771C1F"/>
    <w:rsid w:val="007721FE"/>
    <w:rsid w:val="007722A5"/>
    <w:rsid w:val="0077277B"/>
    <w:rsid w:val="00772C3B"/>
    <w:rsid w:val="007730C4"/>
    <w:rsid w:val="007749FA"/>
    <w:rsid w:val="00774C45"/>
    <w:rsid w:val="007758EB"/>
    <w:rsid w:val="007759AA"/>
    <w:rsid w:val="00775B60"/>
    <w:rsid w:val="00776E39"/>
    <w:rsid w:val="00777BEA"/>
    <w:rsid w:val="00777F2B"/>
    <w:rsid w:val="00780E5E"/>
    <w:rsid w:val="00783316"/>
    <w:rsid w:val="00784488"/>
    <w:rsid w:val="0078465B"/>
    <w:rsid w:val="007864EB"/>
    <w:rsid w:val="007868EB"/>
    <w:rsid w:val="00786AF8"/>
    <w:rsid w:val="00786B8C"/>
    <w:rsid w:val="00786BA0"/>
    <w:rsid w:val="00786D04"/>
    <w:rsid w:val="0078713A"/>
    <w:rsid w:val="00787437"/>
    <w:rsid w:val="007878A3"/>
    <w:rsid w:val="00787AD9"/>
    <w:rsid w:val="00787BE5"/>
    <w:rsid w:val="00792D84"/>
    <w:rsid w:val="00793BDD"/>
    <w:rsid w:val="0079421F"/>
    <w:rsid w:val="0079480E"/>
    <w:rsid w:val="007948AB"/>
    <w:rsid w:val="007952F5"/>
    <w:rsid w:val="00795381"/>
    <w:rsid w:val="007955D7"/>
    <w:rsid w:val="007962DB"/>
    <w:rsid w:val="007963AF"/>
    <w:rsid w:val="00796705"/>
    <w:rsid w:val="00797235"/>
    <w:rsid w:val="007A02FB"/>
    <w:rsid w:val="007A053B"/>
    <w:rsid w:val="007A0EAE"/>
    <w:rsid w:val="007A1AF5"/>
    <w:rsid w:val="007A1C77"/>
    <w:rsid w:val="007A2602"/>
    <w:rsid w:val="007A2D57"/>
    <w:rsid w:val="007A3BDF"/>
    <w:rsid w:val="007A4353"/>
    <w:rsid w:val="007A4C66"/>
    <w:rsid w:val="007A4E89"/>
    <w:rsid w:val="007A5795"/>
    <w:rsid w:val="007A591A"/>
    <w:rsid w:val="007A5C6B"/>
    <w:rsid w:val="007A658B"/>
    <w:rsid w:val="007A7D9F"/>
    <w:rsid w:val="007B0EBD"/>
    <w:rsid w:val="007B11F8"/>
    <w:rsid w:val="007B173C"/>
    <w:rsid w:val="007B1865"/>
    <w:rsid w:val="007B1DF7"/>
    <w:rsid w:val="007B2BF0"/>
    <w:rsid w:val="007B34BB"/>
    <w:rsid w:val="007B3762"/>
    <w:rsid w:val="007B395D"/>
    <w:rsid w:val="007B39C7"/>
    <w:rsid w:val="007B3E91"/>
    <w:rsid w:val="007B48A1"/>
    <w:rsid w:val="007B51B0"/>
    <w:rsid w:val="007B5D2F"/>
    <w:rsid w:val="007B6038"/>
    <w:rsid w:val="007B6FAF"/>
    <w:rsid w:val="007C0842"/>
    <w:rsid w:val="007C0A0A"/>
    <w:rsid w:val="007C0DEA"/>
    <w:rsid w:val="007C0E65"/>
    <w:rsid w:val="007C1592"/>
    <w:rsid w:val="007C1786"/>
    <w:rsid w:val="007C1931"/>
    <w:rsid w:val="007C2192"/>
    <w:rsid w:val="007C21BA"/>
    <w:rsid w:val="007C27C2"/>
    <w:rsid w:val="007C2850"/>
    <w:rsid w:val="007C3074"/>
    <w:rsid w:val="007C3440"/>
    <w:rsid w:val="007C35D8"/>
    <w:rsid w:val="007C439E"/>
    <w:rsid w:val="007C443E"/>
    <w:rsid w:val="007C5286"/>
    <w:rsid w:val="007C5423"/>
    <w:rsid w:val="007C5E9B"/>
    <w:rsid w:val="007C6149"/>
    <w:rsid w:val="007C62B9"/>
    <w:rsid w:val="007C66DB"/>
    <w:rsid w:val="007C748C"/>
    <w:rsid w:val="007D0875"/>
    <w:rsid w:val="007D0988"/>
    <w:rsid w:val="007D141C"/>
    <w:rsid w:val="007D1BB8"/>
    <w:rsid w:val="007D267B"/>
    <w:rsid w:val="007D2E0F"/>
    <w:rsid w:val="007D2EB7"/>
    <w:rsid w:val="007D30C9"/>
    <w:rsid w:val="007D3190"/>
    <w:rsid w:val="007D3425"/>
    <w:rsid w:val="007D3BB4"/>
    <w:rsid w:val="007D3DFE"/>
    <w:rsid w:val="007D4676"/>
    <w:rsid w:val="007D4FA0"/>
    <w:rsid w:val="007D5884"/>
    <w:rsid w:val="007D69CA"/>
    <w:rsid w:val="007D6A0A"/>
    <w:rsid w:val="007D6C75"/>
    <w:rsid w:val="007E02A6"/>
    <w:rsid w:val="007E03AF"/>
    <w:rsid w:val="007E05B7"/>
    <w:rsid w:val="007E0885"/>
    <w:rsid w:val="007E0D66"/>
    <w:rsid w:val="007E2235"/>
    <w:rsid w:val="007E2EAD"/>
    <w:rsid w:val="007E318D"/>
    <w:rsid w:val="007E31CF"/>
    <w:rsid w:val="007E31DE"/>
    <w:rsid w:val="007E4084"/>
    <w:rsid w:val="007E40CE"/>
    <w:rsid w:val="007E52C8"/>
    <w:rsid w:val="007E54E1"/>
    <w:rsid w:val="007E5DD4"/>
    <w:rsid w:val="007E5ED2"/>
    <w:rsid w:val="007E659D"/>
    <w:rsid w:val="007E67BF"/>
    <w:rsid w:val="007E6856"/>
    <w:rsid w:val="007E693A"/>
    <w:rsid w:val="007E6EE0"/>
    <w:rsid w:val="007E6EF6"/>
    <w:rsid w:val="007E7ACA"/>
    <w:rsid w:val="007F03C1"/>
    <w:rsid w:val="007F11B4"/>
    <w:rsid w:val="007F1224"/>
    <w:rsid w:val="007F124B"/>
    <w:rsid w:val="007F1905"/>
    <w:rsid w:val="007F1F33"/>
    <w:rsid w:val="007F20C4"/>
    <w:rsid w:val="007F326E"/>
    <w:rsid w:val="007F369C"/>
    <w:rsid w:val="007F3C4B"/>
    <w:rsid w:val="007F44E5"/>
    <w:rsid w:val="007F4B09"/>
    <w:rsid w:val="007F4B46"/>
    <w:rsid w:val="007F573E"/>
    <w:rsid w:val="007F5D51"/>
    <w:rsid w:val="007F5DC8"/>
    <w:rsid w:val="007F5E3E"/>
    <w:rsid w:val="007F5F92"/>
    <w:rsid w:val="007F72D6"/>
    <w:rsid w:val="007F7BBD"/>
    <w:rsid w:val="007F7E7C"/>
    <w:rsid w:val="008007EB"/>
    <w:rsid w:val="008018E2"/>
    <w:rsid w:val="00801C2D"/>
    <w:rsid w:val="00801DDE"/>
    <w:rsid w:val="0080206C"/>
    <w:rsid w:val="008022E0"/>
    <w:rsid w:val="008023D2"/>
    <w:rsid w:val="008024CC"/>
    <w:rsid w:val="008036C4"/>
    <w:rsid w:val="00804927"/>
    <w:rsid w:val="00804C18"/>
    <w:rsid w:val="00805246"/>
    <w:rsid w:val="00806879"/>
    <w:rsid w:val="00807279"/>
    <w:rsid w:val="00807287"/>
    <w:rsid w:val="00807A90"/>
    <w:rsid w:val="00807D5D"/>
    <w:rsid w:val="00810158"/>
    <w:rsid w:val="008101EF"/>
    <w:rsid w:val="008104F7"/>
    <w:rsid w:val="00810A7F"/>
    <w:rsid w:val="00811092"/>
    <w:rsid w:val="00811DA2"/>
    <w:rsid w:val="00812DAD"/>
    <w:rsid w:val="00813FA6"/>
    <w:rsid w:val="00814D93"/>
    <w:rsid w:val="00814DC2"/>
    <w:rsid w:val="008153CB"/>
    <w:rsid w:val="0081651A"/>
    <w:rsid w:val="008166BE"/>
    <w:rsid w:val="00816DBC"/>
    <w:rsid w:val="008174E6"/>
    <w:rsid w:val="0082044C"/>
    <w:rsid w:val="008208DF"/>
    <w:rsid w:val="00820A2A"/>
    <w:rsid w:val="0082101C"/>
    <w:rsid w:val="00821669"/>
    <w:rsid w:val="00821725"/>
    <w:rsid w:val="00821963"/>
    <w:rsid w:val="00822492"/>
    <w:rsid w:val="00823DC0"/>
    <w:rsid w:val="00824430"/>
    <w:rsid w:val="00825806"/>
    <w:rsid w:val="00825C1F"/>
    <w:rsid w:val="00825D4F"/>
    <w:rsid w:val="00826AB8"/>
    <w:rsid w:val="00827ED2"/>
    <w:rsid w:val="00827F66"/>
    <w:rsid w:val="0083017A"/>
    <w:rsid w:val="0083029F"/>
    <w:rsid w:val="00830346"/>
    <w:rsid w:val="00830BEE"/>
    <w:rsid w:val="008310D6"/>
    <w:rsid w:val="00831CD9"/>
    <w:rsid w:val="0083212C"/>
    <w:rsid w:val="00832FAB"/>
    <w:rsid w:val="008338C9"/>
    <w:rsid w:val="00833914"/>
    <w:rsid w:val="00834293"/>
    <w:rsid w:val="00834AA7"/>
    <w:rsid w:val="008351B0"/>
    <w:rsid w:val="00836581"/>
    <w:rsid w:val="0083696A"/>
    <w:rsid w:val="00836ABC"/>
    <w:rsid w:val="00836D45"/>
    <w:rsid w:val="00837040"/>
    <w:rsid w:val="00837211"/>
    <w:rsid w:val="008375E0"/>
    <w:rsid w:val="00837810"/>
    <w:rsid w:val="008379D1"/>
    <w:rsid w:val="00837F20"/>
    <w:rsid w:val="00840840"/>
    <w:rsid w:val="00840C8D"/>
    <w:rsid w:val="008417DF"/>
    <w:rsid w:val="00841D86"/>
    <w:rsid w:val="008421B0"/>
    <w:rsid w:val="0084292E"/>
    <w:rsid w:val="00843A6A"/>
    <w:rsid w:val="008444BA"/>
    <w:rsid w:val="00844ACB"/>
    <w:rsid w:val="00846439"/>
    <w:rsid w:val="00846D1B"/>
    <w:rsid w:val="00846D79"/>
    <w:rsid w:val="0084708B"/>
    <w:rsid w:val="00847BC0"/>
    <w:rsid w:val="0085048D"/>
    <w:rsid w:val="00852A9D"/>
    <w:rsid w:val="00852CC0"/>
    <w:rsid w:val="00853EA6"/>
    <w:rsid w:val="008546ED"/>
    <w:rsid w:val="00854957"/>
    <w:rsid w:val="00856171"/>
    <w:rsid w:val="00856497"/>
    <w:rsid w:val="008566A1"/>
    <w:rsid w:val="0085697E"/>
    <w:rsid w:val="00857249"/>
    <w:rsid w:val="008573D9"/>
    <w:rsid w:val="00857615"/>
    <w:rsid w:val="0085792D"/>
    <w:rsid w:val="0086003E"/>
    <w:rsid w:val="0086004E"/>
    <w:rsid w:val="00862D6D"/>
    <w:rsid w:val="0086313D"/>
    <w:rsid w:val="00864044"/>
    <w:rsid w:val="0086470F"/>
    <w:rsid w:val="00864772"/>
    <w:rsid w:val="00864876"/>
    <w:rsid w:val="00864A77"/>
    <w:rsid w:val="00864C06"/>
    <w:rsid w:val="0086518F"/>
    <w:rsid w:val="00865B46"/>
    <w:rsid w:val="008679A2"/>
    <w:rsid w:val="00867B6B"/>
    <w:rsid w:val="00867C13"/>
    <w:rsid w:val="0087065F"/>
    <w:rsid w:val="00870AED"/>
    <w:rsid w:val="00872930"/>
    <w:rsid w:val="00872EA9"/>
    <w:rsid w:val="00872F67"/>
    <w:rsid w:val="00872FB3"/>
    <w:rsid w:val="00873109"/>
    <w:rsid w:val="008737EC"/>
    <w:rsid w:val="00873B25"/>
    <w:rsid w:val="00873D75"/>
    <w:rsid w:val="00875D71"/>
    <w:rsid w:val="00876244"/>
    <w:rsid w:val="00876D08"/>
    <w:rsid w:val="0087796F"/>
    <w:rsid w:val="00877D0F"/>
    <w:rsid w:val="00880BD3"/>
    <w:rsid w:val="00881294"/>
    <w:rsid w:val="0088152E"/>
    <w:rsid w:val="00881721"/>
    <w:rsid w:val="00881A4F"/>
    <w:rsid w:val="00881B86"/>
    <w:rsid w:val="008821E3"/>
    <w:rsid w:val="00882244"/>
    <w:rsid w:val="00884997"/>
    <w:rsid w:val="00884B31"/>
    <w:rsid w:val="00890450"/>
    <w:rsid w:val="008912FD"/>
    <w:rsid w:val="0089148E"/>
    <w:rsid w:val="008915BC"/>
    <w:rsid w:val="00892154"/>
    <w:rsid w:val="008932D9"/>
    <w:rsid w:val="00893395"/>
    <w:rsid w:val="00893707"/>
    <w:rsid w:val="00893A09"/>
    <w:rsid w:val="00893CE2"/>
    <w:rsid w:val="00894E5A"/>
    <w:rsid w:val="008953C5"/>
    <w:rsid w:val="00895592"/>
    <w:rsid w:val="00895618"/>
    <w:rsid w:val="00895D83"/>
    <w:rsid w:val="00895F8A"/>
    <w:rsid w:val="00896470"/>
    <w:rsid w:val="008A021F"/>
    <w:rsid w:val="008A0287"/>
    <w:rsid w:val="008A0FC3"/>
    <w:rsid w:val="008A205D"/>
    <w:rsid w:val="008A3C50"/>
    <w:rsid w:val="008A4451"/>
    <w:rsid w:val="008A4960"/>
    <w:rsid w:val="008A4CC8"/>
    <w:rsid w:val="008A5480"/>
    <w:rsid w:val="008A5545"/>
    <w:rsid w:val="008A643D"/>
    <w:rsid w:val="008A71C8"/>
    <w:rsid w:val="008B00CA"/>
    <w:rsid w:val="008B3202"/>
    <w:rsid w:val="008B3605"/>
    <w:rsid w:val="008B3CCF"/>
    <w:rsid w:val="008B4EEF"/>
    <w:rsid w:val="008B52A9"/>
    <w:rsid w:val="008B5E02"/>
    <w:rsid w:val="008B5E64"/>
    <w:rsid w:val="008B5E84"/>
    <w:rsid w:val="008B65E4"/>
    <w:rsid w:val="008B6A56"/>
    <w:rsid w:val="008B7DBA"/>
    <w:rsid w:val="008C0110"/>
    <w:rsid w:val="008C0257"/>
    <w:rsid w:val="008C1BA1"/>
    <w:rsid w:val="008C1E86"/>
    <w:rsid w:val="008C2B8B"/>
    <w:rsid w:val="008C2E43"/>
    <w:rsid w:val="008C33CA"/>
    <w:rsid w:val="008C3536"/>
    <w:rsid w:val="008C487F"/>
    <w:rsid w:val="008C4E60"/>
    <w:rsid w:val="008C5C54"/>
    <w:rsid w:val="008C5E25"/>
    <w:rsid w:val="008C6357"/>
    <w:rsid w:val="008C6757"/>
    <w:rsid w:val="008C6D03"/>
    <w:rsid w:val="008C6E71"/>
    <w:rsid w:val="008C72DC"/>
    <w:rsid w:val="008C73D6"/>
    <w:rsid w:val="008C7731"/>
    <w:rsid w:val="008C7845"/>
    <w:rsid w:val="008D0E5C"/>
    <w:rsid w:val="008D1525"/>
    <w:rsid w:val="008D194D"/>
    <w:rsid w:val="008D1FB4"/>
    <w:rsid w:val="008D2C22"/>
    <w:rsid w:val="008D362C"/>
    <w:rsid w:val="008D4363"/>
    <w:rsid w:val="008D467B"/>
    <w:rsid w:val="008D4D6F"/>
    <w:rsid w:val="008D5940"/>
    <w:rsid w:val="008D5FBA"/>
    <w:rsid w:val="008D7543"/>
    <w:rsid w:val="008D78EE"/>
    <w:rsid w:val="008E0420"/>
    <w:rsid w:val="008E09C6"/>
    <w:rsid w:val="008E0B3D"/>
    <w:rsid w:val="008E13CC"/>
    <w:rsid w:val="008E1B93"/>
    <w:rsid w:val="008E1FFF"/>
    <w:rsid w:val="008E23AD"/>
    <w:rsid w:val="008E287A"/>
    <w:rsid w:val="008E3DAC"/>
    <w:rsid w:val="008E43F7"/>
    <w:rsid w:val="008E473D"/>
    <w:rsid w:val="008E55A6"/>
    <w:rsid w:val="008E6248"/>
    <w:rsid w:val="008E665D"/>
    <w:rsid w:val="008E67B9"/>
    <w:rsid w:val="008E6B41"/>
    <w:rsid w:val="008E7113"/>
    <w:rsid w:val="008E7498"/>
    <w:rsid w:val="008E757E"/>
    <w:rsid w:val="008E7793"/>
    <w:rsid w:val="008E7D27"/>
    <w:rsid w:val="008E7F85"/>
    <w:rsid w:val="008F02CE"/>
    <w:rsid w:val="008F0E39"/>
    <w:rsid w:val="008F127D"/>
    <w:rsid w:val="008F153C"/>
    <w:rsid w:val="008F165E"/>
    <w:rsid w:val="008F1A5B"/>
    <w:rsid w:val="008F1BD8"/>
    <w:rsid w:val="008F22BD"/>
    <w:rsid w:val="008F2E77"/>
    <w:rsid w:val="008F3695"/>
    <w:rsid w:val="008F3942"/>
    <w:rsid w:val="008F396C"/>
    <w:rsid w:val="008F42D4"/>
    <w:rsid w:val="008F4740"/>
    <w:rsid w:val="008F482B"/>
    <w:rsid w:val="008F4F14"/>
    <w:rsid w:val="008F50A6"/>
    <w:rsid w:val="008F63F9"/>
    <w:rsid w:val="008F709E"/>
    <w:rsid w:val="009022A7"/>
    <w:rsid w:val="00902503"/>
    <w:rsid w:val="00902626"/>
    <w:rsid w:val="00902BFA"/>
    <w:rsid w:val="009037D8"/>
    <w:rsid w:val="00903A42"/>
    <w:rsid w:val="00903E4C"/>
    <w:rsid w:val="00904480"/>
    <w:rsid w:val="00904492"/>
    <w:rsid w:val="00904989"/>
    <w:rsid w:val="00904D2C"/>
    <w:rsid w:val="00904D80"/>
    <w:rsid w:val="00905573"/>
    <w:rsid w:val="00905643"/>
    <w:rsid w:val="00905A87"/>
    <w:rsid w:val="00905E2B"/>
    <w:rsid w:val="0090624B"/>
    <w:rsid w:val="009067E6"/>
    <w:rsid w:val="00906E3C"/>
    <w:rsid w:val="00907065"/>
    <w:rsid w:val="0090778E"/>
    <w:rsid w:val="0091209D"/>
    <w:rsid w:val="00912135"/>
    <w:rsid w:val="00912348"/>
    <w:rsid w:val="009127C9"/>
    <w:rsid w:val="00912D52"/>
    <w:rsid w:val="00913534"/>
    <w:rsid w:val="0091378F"/>
    <w:rsid w:val="0091400F"/>
    <w:rsid w:val="009142E6"/>
    <w:rsid w:val="0091495F"/>
    <w:rsid w:val="009149F3"/>
    <w:rsid w:val="00914F69"/>
    <w:rsid w:val="009151BD"/>
    <w:rsid w:val="009155B6"/>
    <w:rsid w:val="00915B03"/>
    <w:rsid w:val="00915D3C"/>
    <w:rsid w:val="00916431"/>
    <w:rsid w:val="009164BD"/>
    <w:rsid w:val="00916689"/>
    <w:rsid w:val="00916B5F"/>
    <w:rsid w:val="00920197"/>
    <w:rsid w:val="0092081C"/>
    <w:rsid w:val="00920825"/>
    <w:rsid w:val="00920965"/>
    <w:rsid w:val="00920A31"/>
    <w:rsid w:val="00920C00"/>
    <w:rsid w:val="00920D3B"/>
    <w:rsid w:val="00921554"/>
    <w:rsid w:val="00921866"/>
    <w:rsid w:val="00922842"/>
    <w:rsid w:val="009238C7"/>
    <w:rsid w:val="00924379"/>
    <w:rsid w:val="00924747"/>
    <w:rsid w:val="0092508A"/>
    <w:rsid w:val="009260AF"/>
    <w:rsid w:val="00926737"/>
    <w:rsid w:val="00926EF4"/>
    <w:rsid w:val="00927235"/>
    <w:rsid w:val="00927733"/>
    <w:rsid w:val="00927DB2"/>
    <w:rsid w:val="00930B4B"/>
    <w:rsid w:val="0093121C"/>
    <w:rsid w:val="00931571"/>
    <w:rsid w:val="0093165C"/>
    <w:rsid w:val="0093180B"/>
    <w:rsid w:val="009327D6"/>
    <w:rsid w:val="00932882"/>
    <w:rsid w:val="00933AF6"/>
    <w:rsid w:val="00934E33"/>
    <w:rsid w:val="00934F57"/>
    <w:rsid w:val="009350D0"/>
    <w:rsid w:val="00935311"/>
    <w:rsid w:val="009359EA"/>
    <w:rsid w:val="00935F10"/>
    <w:rsid w:val="009364C7"/>
    <w:rsid w:val="00936611"/>
    <w:rsid w:val="009368A8"/>
    <w:rsid w:val="00937A3E"/>
    <w:rsid w:val="00937AC4"/>
    <w:rsid w:val="00940109"/>
    <w:rsid w:val="00940A1B"/>
    <w:rsid w:val="0094176A"/>
    <w:rsid w:val="00941DDA"/>
    <w:rsid w:val="009421FF"/>
    <w:rsid w:val="009423E2"/>
    <w:rsid w:val="009427EE"/>
    <w:rsid w:val="00942B7B"/>
    <w:rsid w:val="00942BE5"/>
    <w:rsid w:val="00943453"/>
    <w:rsid w:val="00943953"/>
    <w:rsid w:val="00944344"/>
    <w:rsid w:val="009445A2"/>
    <w:rsid w:val="00944997"/>
    <w:rsid w:val="00945079"/>
    <w:rsid w:val="009451A2"/>
    <w:rsid w:val="009451E2"/>
    <w:rsid w:val="00945540"/>
    <w:rsid w:val="009456BA"/>
    <w:rsid w:val="00945A8D"/>
    <w:rsid w:val="00945ED4"/>
    <w:rsid w:val="00946264"/>
    <w:rsid w:val="00946AD6"/>
    <w:rsid w:val="00946BF2"/>
    <w:rsid w:val="009475B9"/>
    <w:rsid w:val="00947E00"/>
    <w:rsid w:val="00947F0F"/>
    <w:rsid w:val="00950A1E"/>
    <w:rsid w:val="00950F7B"/>
    <w:rsid w:val="00952041"/>
    <w:rsid w:val="009522F3"/>
    <w:rsid w:val="00952B68"/>
    <w:rsid w:val="00953D52"/>
    <w:rsid w:val="00953EB3"/>
    <w:rsid w:val="00954737"/>
    <w:rsid w:val="00954EBC"/>
    <w:rsid w:val="00954F46"/>
    <w:rsid w:val="00955369"/>
    <w:rsid w:val="00955BB6"/>
    <w:rsid w:val="009570D8"/>
    <w:rsid w:val="00960455"/>
    <w:rsid w:val="009604A5"/>
    <w:rsid w:val="00960A8F"/>
    <w:rsid w:val="00960C75"/>
    <w:rsid w:val="00960DDD"/>
    <w:rsid w:val="00960FE9"/>
    <w:rsid w:val="00961209"/>
    <w:rsid w:val="009623AE"/>
    <w:rsid w:val="009628FC"/>
    <w:rsid w:val="00962A8E"/>
    <w:rsid w:val="00963073"/>
    <w:rsid w:val="009636CB"/>
    <w:rsid w:val="009636FE"/>
    <w:rsid w:val="0096442A"/>
    <w:rsid w:val="009665FF"/>
    <w:rsid w:val="00966E89"/>
    <w:rsid w:val="009673FB"/>
    <w:rsid w:val="00967995"/>
    <w:rsid w:val="00970551"/>
    <w:rsid w:val="0097092F"/>
    <w:rsid w:val="00971126"/>
    <w:rsid w:val="009723DE"/>
    <w:rsid w:val="00972B96"/>
    <w:rsid w:val="00973056"/>
    <w:rsid w:val="00973E92"/>
    <w:rsid w:val="009741BB"/>
    <w:rsid w:val="009744E3"/>
    <w:rsid w:val="00975165"/>
    <w:rsid w:val="00975955"/>
    <w:rsid w:val="00976B90"/>
    <w:rsid w:val="00976C5F"/>
    <w:rsid w:val="00977A08"/>
    <w:rsid w:val="00977B2C"/>
    <w:rsid w:val="009811E4"/>
    <w:rsid w:val="0098275A"/>
    <w:rsid w:val="009836FA"/>
    <w:rsid w:val="00983923"/>
    <w:rsid w:val="0098450F"/>
    <w:rsid w:val="00984AC9"/>
    <w:rsid w:val="009855D1"/>
    <w:rsid w:val="00985641"/>
    <w:rsid w:val="00985B1A"/>
    <w:rsid w:val="00985FA2"/>
    <w:rsid w:val="0098602A"/>
    <w:rsid w:val="009863AF"/>
    <w:rsid w:val="00986969"/>
    <w:rsid w:val="00986B0B"/>
    <w:rsid w:val="0099136D"/>
    <w:rsid w:val="00991DFA"/>
    <w:rsid w:val="0099270F"/>
    <w:rsid w:val="00992BC4"/>
    <w:rsid w:val="0099350D"/>
    <w:rsid w:val="00993F08"/>
    <w:rsid w:val="0099401C"/>
    <w:rsid w:val="00995381"/>
    <w:rsid w:val="00995474"/>
    <w:rsid w:val="00995727"/>
    <w:rsid w:val="00995F73"/>
    <w:rsid w:val="00996519"/>
    <w:rsid w:val="009973D1"/>
    <w:rsid w:val="009A0310"/>
    <w:rsid w:val="009A0A81"/>
    <w:rsid w:val="009A1F89"/>
    <w:rsid w:val="009A2403"/>
    <w:rsid w:val="009A282F"/>
    <w:rsid w:val="009A323D"/>
    <w:rsid w:val="009A3244"/>
    <w:rsid w:val="009A3689"/>
    <w:rsid w:val="009A3A37"/>
    <w:rsid w:val="009A4280"/>
    <w:rsid w:val="009A539B"/>
    <w:rsid w:val="009A59BA"/>
    <w:rsid w:val="009A5B22"/>
    <w:rsid w:val="009A5DE8"/>
    <w:rsid w:val="009A6222"/>
    <w:rsid w:val="009A64F8"/>
    <w:rsid w:val="009A72D1"/>
    <w:rsid w:val="009A7552"/>
    <w:rsid w:val="009A76A5"/>
    <w:rsid w:val="009A7795"/>
    <w:rsid w:val="009A79DA"/>
    <w:rsid w:val="009A7D68"/>
    <w:rsid w:val="009B231A"/>
    <w:rsid w:val="009B2571"/>
    <w:rsid w:val="009B29EE"/>
    <w:rsid w:val="009B3471"/>
    <w:rsid w:val="009B3B4C"/>
    <w:rsid w:val="009B48CA"/>
    <w:rsid w:val="009B49E1"/>
    <w:rsid w:val="009B56C4"/>
    <w:rsid w:val="009B5D61"/>
    <w:rsid w:val="009B6560"/>
    <w:rsid w:val="009B6793"/>
    <w:rsid w:val="009B6B18"/>
    <w:rsid w:val="009B6C71"/>
    <w:rsid w:val="009B6FFB"/>
    <w:rsid w:val="009B793A"/>
    <w:rsid w:val="009B7BB8"/>
    <w:rsid w:val="009B7F0A"/>
    <w:rsid w:val="009C038C"/>
    <w:rsid w:val="009C069F"/>
    <w:rsid w:val="009C0ABF"/>
    <w:rsid w:val="009C1011"/>
    <w:rsid w:val="009C1254"/>
    <w:rsid w:val="009C15C6"/>
    <w:rsid w:val="009C2015"/>
    <w:rsid w:val="009C20E6"/>
    <w:rsid w:val="009C219C"/>
    <w:rsid w:val="009C2670"/>
    <w:rsid w:val="009C317A"/>
    <w:rsid w:val="009C4279"/>
    <w:rsid w:val="009C4465"/>
    <w:rsid w:val="009C58A3"/>
    <w:rsid w:val="009C5A8A"/>
    <w:rsid w:val="009C6436"/>
    <w:rsid w:val="009C66BE"/>
    <w:rsid w:val="009C6D3B"/>
    <w:rsid w:val="009C712A"/>
    <w:rsid w:val="009C7F15"/>
    <w:rsid w:val="009D1337"/>
    <w:rsid w:val="009D1416"/>
    <w:rsid w:val="009D194C"/>
    <w:rsid w:val="009D2C25"/>
    <w:rsid w:val="009D31E7"/>
    <w:rsid w:val="009D3359"/>
    <w:rsid w:val="009D3A37"/>
    <w:rsid w:val="009D3AA4"/>
    <w:rsid w:val="009D41D9"/>
    <w:rsid w:val="009D4B46"/>
    <w:rsid w:val="009D4D39"/>
    <w:rsid w:val="009D4FBC"/>
    <w:rsid w:val="009D6066"/>
    <w:rsid w:val="009D6CD0"/>
    <w:rsid w:val="009D6EC1"/>
    <w:rsid w:val="009D72C9"/>
    <w:rsid w:val="009D7420"/>
    <w:rsid w:val="009D7DCD"/>
    <w:rsid w:val="009E0411"/>
    <w:rsid w:val="009E08B4"/>
    <w:rsid w:val="009E0AB8"/>
    <w:rsid w:val="009E107A"/>
    <w:rsid w:val="009E2904"/>
    <w:rsid w:val="009E291A"/>
    <w:rsid w:val="009E33B3"/>
    <w:rsid w:val="009E413D"/>
    <w:rsid w:val="009E4652"/>
    <w:rsid w:val="009E4B8E"/>
    <w:rsid w:val="009E52DB"/>
    <w:rsid w:val="009E534B"/>
    <w:rsid w:val="009E5563"/>
    <w:rsid w:val="009E5842"/>
    <w:rsid w:val="009E58D8"/>
    <w:rsid w:val="009E6349"/>
    <w:rsid w:val="009E663E"/>
    <w:rsid w:val="009E681A"/>
    <w:rsid w:val="009E7A51"/>
    <w:rsid w:val="009E7D5C"/>
    <w:rsid w:val="009F00F5"/>
    <w:rsid w:val="009F0CA0"/>
    <w:rsid w:val="009F14C9"/>
    <w:rsid w:val="009F17EA"/>
    <w:rsid w:val="009F19ED"/>
    <w:rsid w:val="009F1A5D"/>
    <w:rsid w:val="009F1A5F"/>
    <w:rsid w:val="009F2019"/>
    <w:rsid w:val="009F2CCF"/>
    <w:rsid w:val="009F2F53"/>
    <w:rsid w:val="009F3E9F"/>
    <w:rsid w:val="009F4994"/>
    <w:rsid w:val="009F4CFC"/>
    <w:rsid w:val="009F6C32"/>
    <w:rsid w:val="009F6F46"/>
    <w:rsid w:val="009F70B3"/>
    <w:rsid w:val="009F74E4"/>
    <w:rsid w:val="00A009AE"/>
    <w:rsid w:val="00A013A7"/>
    <w:rsid w:val="00A01741"/>
    <w:rsid w:val="00A01D9F"/>
    <w:rsid w:val="00A0252B"/>
    <w:rsid w:val="00A033E5"/>
    <w:rsid w:val="00A03EE3"/>
    <w:rsid w:val="00A04F72"/>
    <w:rsid w:val="00A0552B"/>
    <w:rsid w:val="00A0563A"/>
    <w:rsid w:val="00A05821"/>
    <w:rsid w:val="00A05C65"/>
    <w:rsid w:val="00A0650B"/>
    <w:rsid w:val="00A06643"/>
    <w:rsid w:val="00A06757"/>
    <w:rsid w:val="00A06F3F"/>
    <w:rsid w:val="00A06F90"/>
    <w:rsid w:val="00A07463"/>
    <w:rsid w:val="00A07650"/>
    <w:rsid w:val="00A0781C"/>
    <w:rsid w:val="00A0790A"/>
    <w:rsid w:val="00A10151"/>
    <w:rsid w:val="00A10AEE"/>
    <w:rsid w:val="00A10DCF"/>
    <w:rsid w:val="00A111D1"/>
    <w:rsid w:val="00A115DB"/>
    <w:rsid w:val="00A1200E"/>
    <w:rsid w:val="00A120DF"/>
    <w:rsid w:val="00A12847"/>
    <w:rsid w:val="00A12F97"/>
    <w:rsid w:val="00A13A1B"/>
    <w:rsid w:val="00A13E79"/>
    <w:rsid w:val="00A14146"/>
    <w:rsid w:val="00A1478E"/>
    <w:rsid w:val="00A14940"/>
    <w:rsid w:val="00A14BDE"/>
    <w:rsid w:val="00A15049"/>
    <w:rsid w:val="00A15131"/>
    <w:rsid w:val="00A1538C"/>
    <w:rsid w:val="00A167D0"/>
    <w:rsid w:val="00A16942"/>
    <w:rsid w:val="00A169F4"/>
    <w:rsid w:val="00A16C79"/>
    <w:rsid w:val="00A16DB9"/>
    <w:rsid w:val="00A1767D"/>
    <w:rsid w:val="00A20192"/>
    <w:rsid w:val="00A201F8"/>
    <w:rsid w:val="00A2148E"/>
    <w:rsid w:val="00A217D7"/>
    <w:rsid w:val="00A22C0A"/>
    <w:rsid w:val="00A22EE4"/>
    <w:rsid w:val="00A233DD"/>
    <w:rsid w:val="00A233DE"/>
    <w:rsid w:val="00A23645"/>
    <w:rsid w:val="00A241E9"/>
    <w:rsid w:val="00A24572"/>
    <w:rsid w:val="00A248DA"/>
    <w:rsid w:val="00A24A7E"/>
    <w:rsid w:val="00A24A9D"/>
    <w:rsid w:val="00A24BC1"/>
    <w:rsid w:val="00A25A38"/>
    <w:rsid w:val="00A274E7"/>
    <w:rsid w:val="00A276C9"/>
    <w:rsid w:val="00A27A6E"/>
    <w:rsid w:val="00A30300"/>
    <w:rsid w:val="00A3033B"/>
    <w:rsid w:val="00A305EC"/>
    <w:rsid w:val="00A30991"/>
    <w:rsid w:val="00A313CC"/>
    <w:rsid w:val="00A31989"/>
    <w:rsid w:val="00A3297E"/>
    <w:rsid w:val="00A32E63"/>
    <w:rsid w:val="00A32E99"/>
    <w:rsid w:val="00A332B8"/>
    <w:rsid w:val="00A33889"/>
    <w:rsid w:val="00A3433B"/>
    <w:rsid w:val="00A34A01"/>
    <w:rsid w:val="00A35BEF"/>
    <w:rsid w:val="00A3690E"/>
    <w:rsid w:val="00A36F37"/>
    <w:rsid w:val="00A36F95"/>
    <w:rsid w:val="00A37793"/>
    <w:rsid w:val="00A37DB1"/>
    <w:rsid w:val="00A41486"/>
    <w:rsid w:val="00A418DC"/>
    <w:rsid w:val="00A41B67"/>
    <w:rsid w:val="00A41F2B"/>
    <w:rsid w:val="00A422BC"/>
    <w:rsid w:val="00A42713"/>
    <w:rsid w:val="00A4275D"/>
    <w:rsid w:val="00A42B6F"/>
    <w:rsid w:val="00A42D31"/>
    <w:rsid w:val="00A43A95"/>
    <w:rsid w:val="00A43BDE"/>
    <w:rsid w:val="00A43F85"/>
    <w:rsid w:val="00A44E00"/>
    <w:rsid w:val="00A4542D"/>
    <w:rsid w:val="00A45A18"/>
    <w:rsid w:val="00A46205"/>
    <w:rsid w:val="00A46649"/>
    <w:rsid w:val="00A46AB9"/>
    <w:rsid w:val="00A4758D"/>
    <w:rsid w:val="00A47804"/>
    <w:rsid w:val="00A501FB"/>
    <w:rsid w:val="00A50292"/>
    <w:rsid w:val="00A504AD"/>
    <w:rsid w:val="00A504C8"/>
    <w:rsid w:val="00A5079B"/>
    <w:rsid w:val="00A50DBC"/>
    <w:rsid w:val="00A51518"/>
    <w:rsid w:val="00A515EE"/>
    <w:rsid w:val="00A533CE"/>
    <w:rsid w:val="00A5404C"/>
    <w:rsid w:val="00A541D7"/>
    <w:rsid w:val="00A5424D"/>
    <w:rsid w:val="00A54667"/>
    <w:rsid w:val="00A54D79"/>
    <w:rsid w:val="00A5680F"/>
    <w:rsid w:val="00A568C9"/>
    <w:rsid w:val="00A56910"/>
    <w:rsid w:val="00A57397"/>
    <w:rsid w:val="00A57FE8"/>
    <w:rsid w:val="00A60971"/>
    <w:rsid w:val="00A60A8E"/>
    <w:rsid w:val="00A6156E"/>
    <w:rsid w:val="00A617D4"/>
    <w:rsid w:val="00A6317C"/>
    <w:rsid w:val="00A63244"/>
    <w:rsid w:val="00A63994"/>
    <w:rsid w:val="00A63B1E"/>
    <w:rsid w:val="00A63F45"/>
    <w:rsid w:val="00A6565C"/>
    <w:rsid w:val="00A66024"/>
    <w:rsid w:val="00A6602B"/>
    <w:rsid w:val="00A67F66"/>
    <w:rsid w:val="00A7008C"/>
    <w:rsid w:val="00A7077D"/>
    <w:rsid w:val="00A70DFB"/>
    <w:rsid w:val="00A711FC"/>
    <w:rsid w:val="00A71B1E"/>
    <w:rsid w:val="00A720C0"/>
    <w:rsid w:val="00A729A3"/>
    <w:rsid w:val="00A73163"/>
    <w:rsid w:val="00A73953"/>
    <w:rsid w:val="00A73B13"/>
    <w:rsid w:val="00A7420C"/>
    <w:rsid w:val="00A7459B"/>
    <w:rsid w:val="00A749A3"/>
    <w:rsid w:val="00A755EE"/>
    <w:rsid w:val="00A7601D"/>
    <w:rsid w:val="00A7610E"/>
    <w:rsid w:val="00A762D0"/>
    <w:rsid w:val="00A7642C"/>
    <w:rsid w:val="00A764D4"/>
    <w:rsid w:val="00A76B3A"/>
    <w:rsid w:val="00A76DE1"/>
    <w:rsid w:val="00A7769D"/>
    <w:rsid w:val="00A810C5"/>
    <w:rsid w:val="00A8147A"/>
    <w:rsid w:val="00A81928"/>
    <w:rsid w:val="00A823F7"/>
    <w:rsid w:val="00A83518"/>
    <w:rsid w:val="00A85165"/>
    <w:rsid w:val="00A85477"/>
    <w:rsid w:val="00A856E4"/>
    <w:rsid w:val="00A85E67"/>
    <w:rsid w:val="00A87679"/>
    <w:rsid w:val="00A87A6E"/>
    <w:rsid w:val="00A904CE"/>
    <w:rsid w:val="00A90971"/>
    <w:rsid w:val="00A90ACE"/>
    <w:rsid w:val="00A90E25"/>
    <w:rsid w:val="00A91103"/>
    <w:rsid w:val="00A917B5"/>
    <w:rsid w:val="00A9262A"/>
    <w:rsid w:val="00A93211"/>
    <w:rsid w:val="00A9322A"/>
    <w:rsid w:val="00A93384"/>
    <w:rsid w:val="00A93885"/>
    <w:rsid w:val="00A93980"/>
    <w:rsid w:val="00A93D05"/>
    <w:rsid w:val="00A947D4"/>
    <w:rsid w:val="00A94DAE"/>
    <w:rsid w:val="00A94E12"/>
    <w:rsid w:val="00A954C7"/>
    <w:rsid w:val="00A957D5"/>
    <w:rsid w:val="00A96062"/>
    <w:rsid w:val="00A96361"/>
    <w:rsid w:val="00A963F5"/>
    <w:rsid w:val="00AA0C30"/>
    <w:rsid w:val="00AA24FE"/>
    <w:rsid w:val="00AA2798"/>
    <w:rsid w:val="00AA2D61"/>
    <w:rsid w:val="00AA48F3"/>
    <w:rsid w:val="00AA5BD1"/>
    <w:rsid w:val="00AA66B4"/>
    <w:rsid w:val="00AA67AA"/>
    <w:rsid w:val="00AA6A7C"/>
    <w:rsid w:val="00AA713A"/>
    <w:rsid w:val="00AA74C0"/>
    <w:rsid w:val="00AA74FC"/>
    <w:rsid w:val="00AA7510"/>
    <w:rsid w:val="00AB0692"/>
    <w:rsid w:val="00AB0AED"/>
    <w:rsid w:val="00AB2D0B"/>
    <w:rsid w:val="00AB3015"/>
    <w:rsid w:val="00AB39AC"/>
    <w:rsid w:val="00AB3C67"/>
    <w:rsid w:val="00AB3DF0"/>
    <w:rsid w:val="00AB3F87"/>
    <w:rsid w:val="00AB4882"/>
    <w:rsid w:val="00AB4D1F"/>
    <w:rsid w:val="00AB4DDD"/>
    <w:rsid w:val="00AB4E22"/>
    <w:rsid w:val="00AB5FEB"/>
    <w:rsid w:val="00AB6141"/>
    <w:rsid w:val="00AB6162"/>
    <w:rsid w:val="00AB66FB"/>
    <w:rsid w:val="00AB6FA0"/>
    <w:rsid w:val="00AB7823"/>
    <w:rsid w:val="00AB7A29"/>
    <w:rsid w:val="00AB7C86"/>
    <w:rsid w:val="00AC0555"/>
    <w:rsid w:val="00AC07BD"/>
    <w:rsid w:val="00AC0AB1"/>
    <w:rsid w:val="00AC0E9A"/>
    <w:rsid w:val="00AC1051"/>
    <w:rsid w:val="00AC1310"/>
    <w:rsid w:val="00AC2404"/>
    <w:rsid w:val="00AC274A"/>
    <w:rsid w:val="00AC312C"/>
    <w:rsid w:val="00AC3557"/>
    <w:rsid w:val="00AC3653"/>
    <w:rsid w:val="00AC36FD"/>
    <w:rsid w:val="00AC3CDD"/>
    <w:rsid w:val="00AC3F74"/>
    <w:rsid w:val="00AC40EE"/>
    <w:rsid w:val="00AC4952"/>
    <w:rsid w:val="00AC51C9"/>
    <w:rsid w:val="00AC51E5"/>
    <w:rsid w:val="00AC6070"/>
    <w:rsid w:val="00AC66EA"/>
    <w:rsid w:val="00AC6E71"/>
    <w:rsid w:val="00AC7311"/>
    <w:rsid w:val="00AC7746"/>
    <w:rsid w:val="00AC7AE6"/>
    <w:rsid w:val="00AC7E91"/>
    <w:rsid w:val="00AD05CF"/>
    <w:rsid w:val="00AD2C7C"/>
    <w:rsid w:val="00AD2EB0"/>
    <w:rsid w:val="00AD36BE"/>
    <w:rsid w:val="00AD3D6B"/>
    <w:rsid w:val="00AD3F63"/>
    <w:rsid w:val="00AD44BF"/>
    <w:rsid w:val="00AD473C"/>
    <w:rsid w:val="00AD4AAD"/>
    <w:rsid w:val="00AD4DB5"/>
    <w:rsid w:val="00AD4E7D"/>
    <w:rsid w:val="00AD54FB"/>
    <w:rsid w:val="00AD6984"/>
    <w:rsid w:val="00AD6A6A"/>
    <w:rsid w:val="00AD6E08"/>
    <w:rsid w:val="00AD70B1"/>
    <w:rsid w:val="00AD724C"/>
    <w:rsid w:val="00AD732F"/>
    <w:rsid w:val="00AD757C"/>
    <w:rsid w:val="00AD77A0"/>
    <w:rsid w:val="00AD789A"/>
    <w:rsid w:val="00AD7F9E"/>
    <w:rsid w:val="00AE0BCE"/>
    <w:rsid w:val="00AE2608"/>
    <w:rsid w:val="00AE278E"/>
    <w:rsid w:val="00AE291E"/>
    <w:rsid w:val="00AE2C89"/>
    <w:rsid w:val="00AE2D34"/>
    <w:rsid w:val="00AE2E0F"/>
    <w:rsid w:val="00AE2F38"/>
    <w:rsid w:val="00AE3176"/>
    <w:rsid w:val="00AE336D"/>
    <w:rsid w:val="00AE36EF"/>
    <w:rsid w:val="00AE380D"/>
    <w:rsid w:val="00AE3AEA"/>
    <w:rsid w:val="00AE3CBB"/>
    <w:rsid w:val="00AE4C0D"/>
    <w:rsid w:val="00AE543D"/>
    <w:rsid w:val="00AE57C1"/>
    <w:rsid w:val="00AE5938"/>
    <w:rsid w:val="00AE5AA8"/>
    <w:rsid w:val="00AE60D1"/>
    <w:rsid w:val="00AE62FA"/>
    <w:rsid w:val="00AE65EA"/>
    <w:rsid w:val="00AE6F8E"/>
    <w:rsid w:val="00AE79B1"/>
    <w:rsid w:val="00AE7FBB"/>
    <w:rsid w:val="00AF0451"/>
    <w:rsid w:val="00AF0747"/>
    <w:rsid w:val="00AF1FBD"/>
    <w:rsid w:val="00AF27C3"/>
    <w:rsid w:val="00AF3521"/>
    <w:rsid w:val="00AF3C53"/>
    <w:rsid w:val="00AF50AB"/>
    <w:rsid w:val="00AF5806"/>
    <w:rsid w:val="00AF661D"/>
    <w:rsid w:val="00AF7CE4"/>
    <w:rsid w:val="00AF7D2F"/>
    <w:rsid w:val="00B00220"/>
    <w:rsid w:val="00B00A8D"/>
    <w:rsid w:val="00B00B03"/>
    <w:rsid w:val="00B0100D"/>
    <w:rsid w:val="00B01B3D"/>
    <w:rsid w:val="00B02433"/>
    <w:rsid w:val="00B02B14"/>
    <w:rsid w:val="00B03333"/>
    <w:rsid w:val="00B034EF"/>
    <w:rsid w:val="00B035FA"/>
    <w:rsid w:val="00B0378C"/>
    <w:rsid w:val="00B03859"/>
    <w:rsid w:val="00B03CD0"/>
    <w:rsid w:val="00B03F54"/>
    <w:rsid w:val="00B05503"/>
    <w:rsid w:val="00B05562"/>
    <w:rsid w:val="00B055DB"/>
    <w:rsid w:val="00B05F19"/>
    <w:rsid w:val="00B061B8"/>
    <w:rsid w:val="00B06609"/>
    <w:rsid w:val="00B072BE"/>
    <w:rsid w:val="00B07FD7"/>
    <w:rsid w:val="00B1024B"/>
    <w:rsid w:val="00B11A01"/>
    <w:rsid w:val="00B11D6B"/>
    <w:rsid w:val="00B124B2"/>
    <w:rsid w:val="00B134CA"/>
    <w:rsid w:val="00B1394C"/>
    <w:rsid w:val="00B14D00"/>
    <w:rsid w:val="00B1507B"/>
    <w:rsid w:val="00B15254"/>
    <w:rsid w:val="00B16094"/>
    <w:rsid w:val="00B16182"/>
    <w:rsid w:val="00B16902"/>
    <w:rsid w:val="00B16EC1"/>
    <w:rsid w:val="00B17DE8"/>
    <w:rsid w:val="00B17E9F"/>
    <w:rsid w:val="00B21BB7"/>
    <w:rsid w:val="00B22544"/>
    <w:rsid w:val="00B227F6"/>
    <w:rsid w:val="00B228C6"/>
    <w:rsid w:val="00B22B11"/>
    <w:rsid w:val="00B23AF0"/>
    <w:rsid w:val="00B24450"/>
    <w:rsid w:val="00B248E5"/>
    <w:rsid w:val="00B248FA"/>
    <w:rsid w:val="00B24BA2"/>
    <w:rsid w:val="00B24C34"/>
    <w:rsid w:val="00B2562C"/>
    <w:rsid w:val="00B25B58"/>
    <w:rsid w:val="00B25ED6"/>
    <w:rsid w:val="00B26A27"/>
    <w:rsid w:val="00B26CBD"/>
    <w:rsid w:val="00B26D03"/>
    <w:rsid w:val="00B26D86"/>
    <w:rsid w:val="00B30197"/>
    <w:rsid w:val="00B30362"/>
    <w:rsid w:val="00B306B3"/>
    <w:rsid w:val="00B30DCB"/>
    <w:rsid w:val="00B31191"/>
    <w:rsid w:val="00B31876"/>
    <w:rsid w:val="00B32413"/>
    <w:rsid w:val="00B339FC"/>
    <w:rsid w:val="00B33D01"/>
    <w:rsid w:val="00B340B1"/>
    <w:rsid w:val="00B3452E"/>
    <w:rsid w:val="00B371E7"/>
    <w:rsid w:val="00B372D9"/>
    <w:rsid w:val="00B37A7D"/>
    <w:rsid w:val="00B404EA"/>
    <w:rsid w:val="00B40BA5"/>
    <w:rsid w:val="00B423FE"/>
    <w:rsid w:val="00B4312D"/>
    <w:rsid w:val="00B4317B"/>
    <w:rsid w:val="00B433E4"/>
    <w:rsid w:val="00B43696"/>
    <w:rsid w:val="00B43C3D"/>
    <w:rsid w:val="00B440D0"/>
    <w:rsid w:val="00B442C6"/>
    <w:rsid w:val="00B44516"/>
    <w:rsid w:val="00B46495"/>
    <w:rsid w:val="00B464D4"/>
    <w:rsid w:val="00B465ED"/>
    <w:rsid w:val="00B46D5D"/>
    <w:rsid w:val="00B47CCF"/>
    <w:rsid w:val="00B47E5F"/>
    <w:rsid w:val="00B50E39"/>
    <w:rsid w:val="00B51CB4"/>
    <w:rsid w:val="00B51E43"/>
    <w:rsid w:val="00B52153"/>
    <w:rsid w:val="00B527EE"/>
    <w:rsid w:val="00B52A36"/>
    <w:rsid w:val="00B53233"/>
    <w:rsid w:val="00B534F5"/>
    <w:rsid w:val="00B53D9C"/>
    <w:rsid w:val="00B53F00"/>
    <w:rsid w:val="00B5417C"/>
    <w:rsid w:val="00B543C9"/>
    <w:rsid w:val="00B5466D"/>
    <w:rsid w:val="00B56531"/>
    <w:rsid w:val="00B57684"/>
    <w:rsid w:val="00B6068B"/>
    <w:rsid w:val="00B60702"/>
    <w:rsid w:val="00B60BD6"/>
    <w:rsid w:val="00B613AE"/>
    <w:rsid w:val="00B61D4E"/>
    <w:rsid w:val="00B62AA7"/>
    <w:rsid w:val="00B62B1A"/>
    <w:rsid w:val="00B62E2A"/>
    <w:rsid w:val="00B62E85"/>
    <w:rsid w:val="00B63110"/>
    <w:rsid w:val="00B632CD"/>
    <w:rsid w:val="00B63D06"/>
    <w:rsid w:val="00B63DA9"/>
    <w:rsid w:val="00B64B1C"/>
    <w:rsid w:val="00B65382"/>
    <w:rsid w:val="00B65C04"/>
    <w:rsid w:val="00B66811"/>
    <w:rsid w:val="00B66F19"/>
    <w:rsid w:val="00B670C0"/>
    <w:rsid w:val="00B67359"/>
    <w:rsid w:val="00B67463"/>
    <w:rsid w:val="00B67465"/>
    <w:rsid w:val="00B679E1"/>
    <w:rsid w:val="00B700F7"/>
    <w:rsid w:val="00B718CB"/>
    <w:rsid w:val="00B71A5C"/>
    <w:rsid w:val="00B72288"/>
    <w:rsid w:val="00B725C0"/>
    <w:rsid w:val="00B726D0"/>
    <w:rsid w:val="00B72A59"/>
    <w:rsid w:val="00B741D5"/>
    <w:rsid w:val="00B742B6"/>
    <w:rsid w:val="00B742E0"/>
    <w:rsid w:val="00B74653"/>
    <w:rsid w:val="00B749F6"/>
    <w:rsid w:val="00B74C0A"/>
    <w:rsid w:val="00B75060"/>
    <w:rsid w:val="00B753B1"/>
    <w:rsid w:val="00B75C94"/>
    <w:rsid w:val="00B765A7"/>
    <w:rsid w:val="00B77126"/>
    <w:rsid w:val="00B7752B"/>
    <w:rsid w:val="00B80526"/>
    <w:rsid w:val="00B8160E"/>
    <w:rsid w:val="00B8244D"/>
    <w:rsid w:val="00B83429"/>
    <w:rsid w:val="00B83728"/>
    <w:rsid w:val="00B83B4D"/>
    <w:rsid w:val="00B83EC3"/>
    <w:rsid w:val="00B843F3"/>
    <w:rsid w:val="00B845F3"/>
    <w:rsid w:val="00B8503E"/>
    <w:rsid w:val="00B85969"/>
    <w:rsid w:val="00B85981"/>
    <w:rsid w:val="00B865E5"/>
    <w:rsid w:val="00B8697A"/>
    <w:rsid w:val="00B87021"/>
    <w:rsid w:val="00B872C2"/>
    <w:rsid w:val="00B87412"/>
    <w:rsid w:val="00B87DFE"/>
    <w:rsid w:val="00B90133"/>
    <w:rsid w:val="00B9053B"/>
    <w:rsid w:val="00B90CAA"/>
    <w:rsid w:val="00B917C9"/>
    <w:rsid w:val="00B92907"/>
    <w:rsid w:val="00B92FB2"/>
    <w:rsid w:val="00B944F2"/>
    <w:rsid w:val="00B9484C"/>
    <w:rsid w:val="00B949FE"/>
    <w:rsid w:val="00B950CB"/>
    <w:rsid w:val="00B95398"/>
    <w:rsid w:val="00B95508"/>
    <w:rsid w:val="00B9598B"/>
    <w:rsid w:val="00B9696B"/>
    <w:rsid w:val="00B96BA3"/>
    <w:rsid w:val="00B972B1"/>
    <w:rsid w:val="00B973B7"/>
    <w:rsid w:val="00B9776E"/>
    <w:rsid w:val="00B97D71"/>
    <w:rsid w:val="00BA0747"/>
    <w:rsid w:val="00BA0A26"/>
    <w:rsid w:val="00BA15AB"/>
    <w:rsid w:val="00BA1854"/>
    <w:rsid w:val="00BA1B53"/>
    <w:rsid w:val="00BA2CF9"/>
    <w:rsid w:val="00BA42BC"/>
    <w:rsid w:val="00BA5E7D"/>
    <w:rsid w:val="00BA7AD8"/>
    <w:rsid w:val="00BA7ED2"/>
    <w:rsid w:val="00BB01EF"/>
    <w:rsid w:val="00BB11C7"/>
    <w:rsid w:val="00BB163C"/>
    <w:rsid w:val="00BB1F8D"/>
    <w:rsid w:val="00BB2241"/>
    <w:rsid w:val="00BB242A"/>
    <w:rsid w:val="00BB2993"/>
    <w:rsid w:val="00BB3418"/>
    <w:rsid w:val="00BB365F"/>
    <w:rsid w:val="00BB3751"/>
    <w:rsid w:val="00BB3C31"/>
    <w:rsid w:val="00BB4733"/>
    <w:rsid w:val="00BB4C5F"/>
    <w:rsid w:val="00BB599F"/>
    <w:rsid w:val="00BB60B2"/>
    <w:rsid w:val="00BB6558"/>
    <w:rsid w:val="00BB6790"/>
    <w:rsid w:val="00BB73B3"/>
    <w:rsid w:val="00BB7665"/>
    <w:rsid w:val="00BB7736"/>
    <w:rsid w:val="00BB7891"/>
    <w:rsid w:val="00BC03BA"/>
    <w:rsid w:val="00BC10AB"/>
    <w:rsid w:val="00BC1789"/>
    <w:rsid w:val="00BC1D17"/>
    <w:rsid w:val="00BC23AF"/>
    <w:rsid w:val="00BC2AD3"/>
    <w:rsid w:val="00BC2C03"/>
    <w:rsid w:val="00BC2CA2"/>
    <w:rsid w:val="00BC3529"/>
    <w:rsid w:val="00BC359E"/>
    <w:rsid w:val="00BC3BB5"/>
    <w:rsid w:val="00BC4543"/>
    <w:rsid w:val="00BC5EAF"/>
    <w:rsid w:val="00BC5F32"/>
    <w:rsid w:val="00BC6A64"/>
    <w:rsid w:val="00BC7225"/>
    <w:rsid w:val="00BC739A"/>
    <w:rsid w:val="00BD1B62"/>
    <w:rsid w:val="00BD28A3"/>
    <w:rsid w:val="00BD3D5B"/>
    <w:rsid w:val="00BD4026"/>
    <w:rsid w:val="00BD4ADD"/>
    <w:rsid w:val="00BD4DD8"/>
    <w:rsid w:val="00BD51E5"/>
    <w:rsid w:val="00BD6E32"/>
    <w:rsid w:val="00BE16A4"/>
    <w:rsid w:val="00BE1BBB"/>
    <w:rsid w:val="00BE2277"/>
    <w:rsid w:val="00BE2309"/>
    <w:rsid w:val="00BE2C96"/>
    <w:rsid w:val="00BE324B"/>
    <w:rsid w:val="00BE3933"/>
    <w:rsid w:val="00BE3BA5"/>
    <w:rsid w:val="00BE3D81"/>
    <w:rsid w:val="00BE4224"/>
    <w:rsid w:val="00BE482B"/>
    <w:rsid w:val="00BE6424"/>
    <w:rsid w:val="00BE6ED2"/>
    <w:rsid w:val="00BE70F5"/>
    <w:rsid w:val="00BE7461"/>
    <w:rsid w:val="00BF1326"/>
    <w:rsid w:val="00BF1BC6"/>
    <w:rsid w:val="00BF241A"/>
    <w:rsid w:val="00BF2607"/>
    <w:rsid w:val="00BF2B5E"/>
    <w:rsid w:val="00BF2B61"/>
    <w:rsid w:val="00BF2E9A"/>
    <w:rsid w:val="00BF4D0C"/>
    <w:rsid w:val="00BF5486"/>
    <w:rsid w:val="00BF564F"/>
    <w:rsid w:val="00BF6FB0"/>
    <w:rsid w:val="00BF737A"/>
    <w:rsid w:val="00BF7398"/>
    <w:rsid w:val="00C0030B"/>
    <w:rsid w:val="00C004DA"/>
    <w:rsid w:val="00C004E0"/>
    <w:rsid w:val="00C00544"/>
    <w:rsid w:val="00C005A5"/>
    <w:rsid w:val="00C0080B"/>
    <w:rsid w:val="00C019B2"/>
    <w:rsid w:val="00C021C7"/>
    <w:rsid w:val="00C03AEA"/>
    <w:rsid w:val="00C045F4"/>
    <w:rsid w:val="00C05632"/>
    <w:rsid w:val="00C05D31"/>
    <w:rsid w:val="00C0620F"/>
    <w:rsid w:val="00C068FF"/>
    <w:rsid w:val="00C06E2C"/>
    <w:rsid w:val="00C075F8"/>
    <w:rsid w:val="00C07734"/>
    <w:rsid w:val="00C07CE7"/>
    <w:rsid w:val="00C101BF"/>
    <w:rsid w:val="00C106A0"/>
    <w:rsid w:val="00C11903"/>
    <w:rsid w:val="00C1191E"/>
    <w:rsid w:val="00C1221D"/>
    <w:rsid w:val="00C12D08"/>
    <w:rsid w:val="00C12F85"/>
    <w:rsid w:val="00C133A9"/>
    <w:rsid w:val="00C13764"/>
    <w:rsid w:val="00C13B72"/>
    <w:rsid w:val="00C14048"/>
    <w:rsid w:val="00C14601"/>
    <w:rsid w:val="00C14C87"/>
    <w:rsid w:val="00C15688"/>
    <w:rsid w:val="00C16DC5"/>
    <w:rsid w:val="00C175A8"/>
    <w:rsid w:val="00C200BB"/>
    <w:rsid w:val="00C20581"/>
    <w:rsid w:val="00C208BF"/>
    <w:rsid w:val="00C21228"/>
    <w:rsid w:val="00C21BF6"/>
    <w:rsid w:val="00C22EC3"/>
    <w:rsid w:val="00C234CD"/>
    <w:rsid w:val="00C23778"/>
    <w:rsid w:val="00C23F73"/>
    <w:rsid w:val="00C2415D"/>
    <w:rsid w:val="00C25A85"/>
    <w:rsid w:val="00C25C5B"/>
    <w:rsid w:val="00C25E20"/>
    <w:rsid w:val="00C26429"/>
    <w:rsid w:val="00C2739F"/>
    <w:rsid w:val="00C275DC"/>
    <w:rsid w:val="00C27704"/>
    <w:rsid w:val="00C27CB7"/>
    <w:rsid w:val="00C27D20"/>
    <w:rsid w:val="00C27E30"/>
    <w:rsid w:val="00C304A3"/>
    <w:rsid w:val="00C30E7A"/>
    <w:rsid w:val="00C317FA"/>
    <w:rsid w:val="00C3180D"/>
    <w:rsid w:val="00C31AEF"/>
    <w:rsid w:val="00C31E23"/>
    <w:rsid w:val="00C320F6"/>
    <w:rsid w:val="00C32564"/>
    <w:rsid w:val="00C32FC0"/>
    <w:rsid w:val="00C330AD"/>
    <w:rsid w:val="00C34EE8"/>
    <w:rsid w:val="00C3517B"/>
    <w:rsid w:val="00C35570"/>
    <w:rsid w:val="00C36AB2"/>
    <w:rsid w:val="00C36DDF"/>
    <w:rsid w:val="00C3714A"/>
    <w:rsid w:val="00C37229"/>
    <w:rsid w:val="00C403DC"/>
    <w:rsid w:val="00C40490"/>
    <w:rsid w:val="00C40F1B"/>
    <w:rsid w:val="00C4148C"/>
    <w:rsid w:val="00C415C1"/>
    <w:rsid w:val="00C417A9"/>
    <w:rsid w:val="00C421C4"/>
    <w:rsid w:val="00C42A9E"/>
    <w:rsid w:val="00C43997"/>
    <w:rsid w:val="00C43C31"/>
    <w:rsid w:val="00C44A38"/>
    <w:rsid w:val="00C44EE3"/>
    <w:rsid w:val="00C44F34"/>
    <w:rsid w:val="00C454BA"/>
    <w:rsid w:val="00C45505"/>
    <w:rsid w:val="00C45C6D"/>
    <w:rsid w:val="00C4677B"/>
    <w:rsid w:val="00C47BAC"/>
    <w:rsid w:val="00C501FC"/>
    <w:rsid w:val="00C506E2"/>
    <w:rsid w:val="00C5095D"/>
    <w:rsid w:val="00C50AB7"/>
    <w:rsid w:val="00C51096"/>
    <w:rsid w:val="00C51B14"/>
    <w:rsid w:val="00C51BB2"/>
    <w:rsid w:val="00C52377"/>
    <w:rsid w:val="00C54279"/>
    <w:rsid w:val="00C551EB"/>
    <w:rsid w:val="00C557C8"/>
    <w:rsid w:val="00C5647D"/>
    <w:rsid w:val="00C56C8B"/>
    <w:rsid w:val="00C56D9B"/>
    <w:rsid w:val="00C5742C"/>
    <w:rsid w:val="00C57554"/>
    <w:rsid w:val="00C57F5F"/>
    <w:rsid w:val="00C605AA"/>
    <w:rsid w:val="00C60636"/>
    <w:rsid w:val="00C606B8"/>
    <w:rsid w:val="00C6076A"/>
    <w:rsid w:val="00C60B44"/>
    <w:rsid w:val="00C61BE3"/>
    <w:rsid w:val="00C6210A"/>
    <w:rsid w:val="00C63B7E"/>
    <w:rsid w:val="00C64528"/>
    <w:rsid w:val="00C66EED"/>
    <w:rsid w:val="00C67263"/>
    <w:rsid w:val="00C67CB4"/>
    <w:rsid w:val="00C67F55"/>
    <w:rsid w:val="00C701AA"/>
    <w:rsid w:val="00C706B9"/>
    <w:rsid w:val="00C710C8"/>
    <w:rsid w:val="00C7116C"/>
    <w:rsid w:val="00C71243"/>
    <w:rsid w:val="00C716C5"/>
    <w:rsid w:val="00C720E4"/>
    <w:rsid w:val="00C728BB"/>
    <w:rsid w:val="00C72AC7"/>
    <w:rsid w:val="00C74151"/>
    <w:rsid w:val="00C74168"/>
    <w:rsid w:val="00C747E8"/>
    <w:rsid w:val="00C74D14"/>
    <w:rsid w:val="00C753FE"/>
    <w:rsid w:val="00C75728"/>
    <w:rsid w:val="00C76844"/>
    <w:rsid w:val="00C76A51"/>
    <w:rsid w:val="00C770F8"/>
    <w:rsid w:val="00C77A26"/>
    <w:rsid w:val="00C80AC2"/>
    <w:rsid w:val="00C82130"/>
    <w:rsid w:val="00C83216"/>
    <w:rsid w:val="00C83D14"/>
    <w:rsid w:val="00C83D69"/>
    <w:rsid w:val="00C84040"/>
    <w:rsid w:val="00C840FC"/>
    <w:rsid w:val="00C84247"/>
    <w:rsid w:val="00C84AF4"/>
    <w:rsid w:val="00C84BC2"/>
    <w:rsid w:val="00C84E3E"/>
    <w:rsid w:val="00C85808"/>
    <w:rsid w:val="00C85BE6"/>
    <w:rsid w:val="00C86055"/>
    <w:rsid w:val="00C869DD"/>
    <w:rsid w:val="00C86E5C"/>
    <w:rsid w:val="00C875C3"/>
    <w:rsid w:val="00C87764"/>
    <w:rsid w:val="00C87989"/>
    <w:rsid w:val="00C90020"/>
    <w:rsid w:val="00C90374"/>
    <w:rsid w:val="00C903F6"/>
    <w:rsid w:val="00C90469"/>
    <w:rsid w:val="00C90C20"/>
    <w:rsid w:val="00C92145"/>
    <w:rsid w:val="00C92868"/>
    <w:rsid w:val="00C92FBD"/>
    <w:rsid w:val="00C93146"/>
    <w:rsid w:val="00C93EA9"/>
    <w:rsid w:val="00C95232"/>
    <w:rsid w:val="00C9545E"/>
    <w:rsid w:val="00C96586"/>
    <w:rsid w:val="00C96C18"/>
    <w:rsid w:val="00C96EF0"/>
    <w:rsid w:val="00C970C2"/>
    <w:rsid w:val="00C97C4E"/>
    <w:rsid w:val="00C97DD2"/>
    <w:rsid w:val="00CA0C22"/>
    <w:rsid w:val="00CA0D33"/>
    <w:rsid w:val="00CA13C7"/>
    <w:rsid w:val="00CA158E"/>
    <w:rsid w:val="00CA1CD6"/>
    <w:rsid w:val="00CA2183"/>
    <w:rsid w:val="00CA29DF"/>
    <w:rsid w:val="00CA2BF1"/>
    <w:rsid w:val="00CA2D3B"/>
    <w:rsid w:val="00CA2F7F"/>
    <w:rsid w:val="00CA3528"/>
    <w:rsid w:val="00CA3BD5"/>
    <w:rsid w:val="00CA4192"/>
    <w:rsid w:val="00CA4609"/>
    <w:rsid w:val="00CA53FB"/>
    <w:rsid w:val="00CA5467"/>
    <w:rsid w:val="00CA678D"/>
    <w:rsid w:val="00CA69BC"/>
    <w:rsid w:val="00CA6C9B"/>
    <w:rsid w:val="00CA7303"/>
    <w:rsid w:val="00CB033D"/>
    <w:rsid w:val="00CB05E7"/>
    <w:rsid w:val="00CB111A"/>
    <w:rsid w:val="00CB11F5"/>
    <w:rsid w:val="00CB13FC"/>
    <w:rsid w:val="00CB16B1"/>
    <w:rsid w:val="00CB1E15"/>
    <w:rsid w:val="00CB1E6C"/>
    <w:rsid w:val="00CB21DF"/>
    <w:rsid w:val="00CB3E84"/>
    <w:rsid w:val="00CB45E9"/>
    <w:rsid w:val="00CB4A6E"/>
    <w:rsid w:val="00CB59F6"/>
    <w:rsid w:val="00CB5E85"/>
    <w:rsid w:val="00CB7649"/>
    <w:rsid w:val="00CC0546"/>
    <w:rsid w:val="00CC07C0"/>
    <w:rsid w:val="00CC1899"/>
    <w:rsid w:val="00CC2371"/>
    <w:rsid w:val="00CC2417"/>
    <w:rsid w:val="00CC2F74"/>
    <w:rsid w:val="00CC3173"/>
    <w:rsid w:val="00CC41C6"/>
    <w:rsid w:val="00CC4DCC"/>
    <w:rsid w:val="00CC4E0A"/>
    <w:rsid w:val="00CC54DC"/>
    <w:rsid w:val="00CC562A"/>
    <w:rsid w:val="00CC57EC"/>
    <w:rsid w:val="00CC5BA8"/>
    <w:rsid w:val="00CC6CC8"/>
    <w:rsid w:val="00CC713F"/>
    <w:rsid w:val="00CC7FEB"/>
    <w:rsid w:val="00CD072E"/>
    <w:rsid w:val="00CD0C70"/>
    <w:rsid w:val="00CD0D3D"/>
    <w:rsid w:val="00CD2022"/>
    <w:rsid w:val="00CD2ABF"/>
    <w:rsid w:val="00CD2B4B"/>
    <w:rsid w:val="00CD2C55"/>
    <w:rsid w:val="00CD2C73"/>
    <w:rsid w:val="00CD2E3C"/>
    <w:rsid w:val="00CD4023"/>
    <w:rsid w:val="00CD4FF1"/>
    <w:rsid w:val="00CD5C0B"/>
    <w:rsid w:val="00CD6330"/>
    <w:rsid w:val="00CD641C"/>
    <w:rsid w:val="00CD667D"/>
    <w:rsid w:val="00CD67AE"/>
    <w:rsid w:val="00CD7110"/>
    <w:rsid w:val="00CD7192"/>
    <w:rsid w:val="00CE080E"/>
    <w:rsid w:val="00CE0B3F"/>
    <w:rsid w:val="00CE120C"/>
    <w:rsid w:val="00CE1594"/>
    <w:rsid w:val="00CE1C11"/>
    <w:rsid w:val="00CE1D95"/>
    <w:rsid w:val="00CE2184"/>
    <w:rsid w:val="00CE23BA"/>
    <w:rsid w:val="00CE267F"/>
    <w:rsid w:val="00CE2BD6"/>
    <w:rsid w:val="00CE2CF3"/>
    <w:rsid w:val="00CE2E87"/>
    <w:rsid w:val="00CE323D"/>
    <w:rsid w:val="00CE3353"/>
    <w:rsid w:val="00CE355A"/>
    <w:rsid w:val="00CE37D0"/>
    <w:rsid w:val="00CE3B0B"/>
    <w:rsid w:val="00CE49A9"/>
    <w:rsid w:val="00CE4DD8"/>
    <w:rsid w:val="00CE5177"/>
    <w:rsid w:val="00CE57D0"/>
    <w:rsid w:val="00CE5E32"/>
    <w:rsid w:val="00CE6C9D"/>
    <w:rsid w:val="00CE6E13"/>
    <w:rsid w:val="00CE7674"/>
    <w:rsid w:val="00CE772F"/>
    <w:rsid w:val="00CE7AE0"/>
    <w:rsid w:val="00CE7C74"/>
    <w:rsid w:val="00CF0144"/>
    <w:rsid w:val="00CF03A2"/>
    <w:rsid w:val="00CF0834"/>
    <w:rsid w:val="00CF136B"/>
    <w:rsid w:val="00CF15DD"/>
    <w:rsid w:val="00CF1DB9"/>
    <w:rsid w:val="00CF2870"/>
    <w:rsid w:val="00CF2CA0"/>
    <w:rsid w:val="00CF2CC9"/>
    <w:rsid w:val="00CF2F50"/>
    <w:rsid w:val="00CF30A8"/>
    <w:rsid w:val="00CF3448"/>
    <w:rsid w:val="00CF54BB"/>
    <w:rsid w:val="00CF6430"/>
    <w:rsid w:val="00CF6CF7"/>
    <w:rsid w:val="00CF6E9F"/>
    <w:rsid w:val="00CF73D3"/>
    <w:rsid w:val="00D0012D"/>
    <w:rsid w:val="00D0029B"/>
    <w:rsid w:val="00D0053F"/>
    <w:rsid w:val="00D019DD"/>
    <w:rsid w:val="00D02335"/>
    <w:rsid w:val="00D024E8"/>
    <w:rsid w:val="00D02A31"/>
    <w:rsid w:val="00D02C15"/>
    <w:rsid w:val="00D03B20"/>
    <w:rsid w:val="00D046A0"/>
    <w:rsid w:val="00D0523E"/>
    <w:rsid w:val="00D057B7"/>
    <w:rsid w:val="00D05952"/>
    <w:rsid w:val="00D05E8D"/>
    <w:rsid w:val="00D05FBA"/>
    <w:rsid w:val="00D060B5"/>
    <w:rsid w:val="00D07AC7"/>
    <w:rsid w:val="00D07D1F"/>
    <w:rsid w:val="00D10D2E"/>
    <w:rsid w:val="00D110EF"/>
    <w:rsid w:val="00D11EBF"/>
    <w:rsid w:val="00D12F9E"/>
    <w:rsid w:val="00D1344E"/>
    <w:rsid w:val="00D13DA2"/>
    <w:rsid w:val="00D14279"/>
    <w:rsid w:val="00D16ABB"/>
    <w:rsid w:val="00D170CF"/>
    <w:rsid w:val="00D17106"/>
    <w:rsid w:val="00D176E3"/>
    <w:rsid w:val="00D17743"/>
    <w:rsid w:val="00D17924"/>
    <w:rsid w:val="00D211A9"/>
    <w:rsid w:val="00D2175F"/>
    <w:rsid w:val="00D21BCA"/>
    <w:rsid w:val="00D238C8"/>
    <w:rsid w:val="00D24326"/>
    <w:rsid w:val="00D243EC"/>
    <w:rsid w:val="00D247C5"/>
    <w:rsid w:val="00D25141"/>
    <w:rsid w:val="00D25C34"/>
    <w:rsid w:val="00D2673B"/>
    <w:rsid w:val="00D2747F"/>
    <w:rsid w:val="00D27AE4"/>
    <w:rsid w:val="00D3083E"/>
    <w:rsid w:val="00D31269"/>
    <w:rsid w:val="00D319F1"/>
    <w:rsid w:val="00D32091"/>
    <w:rsid w:val="00D3221F"/>
    <w:rsid w:val="00D323EE"/>
    <w:rsid w:val="00D324DE"/>
    <w:rsid w:val="00D33149"/>
    <w:rsid w:val="00D3372E"/>
    <w:rsid w:val="00D33D5F"/>
    <w:rsid w:val="00D3474B"/>
    <w:rsid w:val="00D348BE"/>
    <w:rsid w:val="00D359C3"/>
    <w:rsid w:val="00D35C3B"/>
    <w:rsid w:val="00D36189"/>
    <w:rsid w:val="00D373CC"/>
    <w:rsid w:val="00D375BB"/>
    <w:rsid w:val="00D37B27"/>
    <w:rsid w:val="00D40606"/>
    <w:rsid w:val="00D418BB"/>
    <w:rsid w:val="00D41BB0"/>
    <w:rsid w:val="00D42429"/>
    <w:rsid w:val="00D43B3C"/>
    <w:rsid w:val="00D43E01"/>
    <w:rsid w:val="00D44227"/>
    <w:rsid w:val="00D45459"/>
    <w:rsid w:val="00D454B4"/>
    <w:rsid w:val="00D4550C"/>
    <w:rsid w:val="00D4572E"/>
    <w:rsid w:val="00D46EFC"/>
    <w:rsid w:val="00D47532"/>
    <w:rsid w:val="00D4771E"/>
    <w:rsid w:val="00D5009A"/>
    <w:rsid w:val="00D50E13"/>
    <w:rsid w:val="00D522EF"/>
    <w:rsid w:val="00D52710"/>
    <w:rsid w:val="00D52C38"/>
    <w:rsid w:val="00D534F1"/>
    <w:rsid w:val="00D53770"/>
    <w:rsid w:val="00D537E8"/>
    <w:rsid w:val="00D53B48"/>
    <w:rsid w:val="00D53DF6"/>
    <w:rsid w:val="00D540BE"/>
    <w:rsid w:val="00D5473B"/>
    <w:rsid w:val="00D54902"/>
    <w:rsid w:val="00D5505D"/>
    <w:rsid w:val="00D5609A"/>
    <w:rsid w:val="00D560E2"/>
    <w:rsid w:val="00D566F3"/>
    <w:rsid w:val="00D57BFB"/>
    <w:rsid w:val="00D60277"/>
    <w:rsid w:val="00D61279"/>
    <w:rsid w:val="00D613E7"/>
    <w:rsid w:val="00D61E65"/>
    <w:rsid w:val="00D61FCC"/>
    <w:rsid w:val="00D624CA"/>
    <w:rsid w:val="00D62EA4"/>
    <w:rsid w:val="00D6307C"/>
    <w:rsid w:val="00D63A03"/>
    <w:rsid w:val="00D63EE1"/>
    <w:rsid w:val="00D64D54"/>
    <w:rsid w:val="00D651F0"/>
    <w:rsid w:val="00D67C4F"/>
    <w:rsid w:val="00D712C2"/>
    <w:rsid w:val="00D719D1"/>
    <w:rsid w:val="00D728E4"/>
    <w:rsid w:val="00D7357A"/>
    <w:rsid w:val="00D73AEE"/>
    <w:rsid w:val="00D73C4B"/>
    <w:rsid w:val="00D745A1"/>
    <w:rsid w:val="00D74ADC"/>
    <w:rsid w:val="00D74F92"/>
    <w:rsid w:val="00D75C55"/>
    <w:rsid w:val="00D7600F"/>
    <w:rsid w:val="00D761A3"/>
    <w:rsid w:val="00D76705"/>
    <w:rsid w:val="00D76B3E"/>
    <w:rsid w:val="00D77FDC"/>
    <w:rsid w:val="00D8081F"/>
    <w:rsid w:val="00D80EA9"/>
    <w:rsid w:val="00D82780"/>
    <w:rsid w:val="00D83998"/>
    <w:rsid w:val="00D84DE2"/>
    <w:rsid w:val="00D853BB"/>
    <w:rsid w:val="00D85A3A"/>
    <w:rsid w:val="00D860F1"/>
    <w:rsid w:val="00D86549"/>
    <w:rsid w:val="00D875F3"/>
    <w:rsid w:val="00D90078"/>
    <w:rsid w:val="00D90D1D"/>
    <w:rsid w:val="00D913E6"/>
    <w:rsid w:val="00D921CE"/>
    <w:rsid w:val="00D9397F"/>
    <w:rsid w:val="00D94CC1"/>
    <w:rsid w:val="00D957D8"/>
    <w:rsid w:val="00D95DA9"/>
    <w:rsid w:val="00D9659B"/>
    <w:rsid w:val="00D976EA"/>
    <w:rsid w:val="00D97DB5"/>
    <w:rsid w:val="00D97FBB"/>
    <w:rsid w:val="00DA08FF"/>
    <w:rsid w:val="00DA0D8A"/>
    <w:rsid w:val="00DA134C"/>
    <w:rsid w:val="00DA154B"/>
    <w:rsid w:val="00DA155E"/>
    <w:rsid w:val="00DA17A6"/>
    <w:rsid w:val="00DA1D3C"/>
    <w:rsid w:val="00DA26A8"/>
    <w:rsid w:val="00DA270B"/>
    <w:rsid w:val="00DA3430"/>
    <w:rsid w:val="00DA363E"/>
    <w:rsid w:val="00DA3CDF"/>
    <w:rsid w:val="00DA40A7"/>
    <w:rsid w:val="00DA41B5"/>
    <w:rsid w:val="00DA4894"/>
    <w:rsid w:val="00DA537D"/>
    <w:rsid w:val="00DA577B"/>
    <w:rsid w:val="00DA58C5"/>
    <w:rsid w:val="00DA6211"/>
    <w:rsid w:val="00DA6C4C"/>
    <w:rsid w:val="00DA6FD6"/>
    <w:rsid w:val="00DA75C2"/>
    <w:rsid w:val="00DA7C1B"/>
    <w:rsid w:val="00DA7D11"/>
    <w:rsid w:val="00DB0BF8"/>
    <w:rsid w:val="00DB0CF6"/>
    <w:rsid w:val="00DB14A0"/>
    <w:rsid w:val="00DB1A29"/>
    <w:rsid w:val="00DB1CDE"/>
    <w:rsid w:val="00DB1ECA"/>
    <w:rsid w:val="00DB3827"/>
    <w:rsid w:val="00DB382E"/>
    <w:rsid w:val="00DB3CA9"/>
    <w:rsid w:val="00DB52DC"/>
    <w:rsid w:val="00DB5BE4"/>
    <w:rsid w:val="00DB70CE"/>
    <w:rsid w:val="00DB77D3"/>
    <w:rsid w:val="00DC01E2"/>
    <w:rsid w:val="00DC0489"/>
    <w:rsid w:val="00DC0686"/>
    <w:rsid w:val="00DC1011"/>
    <w:rsid w:val="00DC12FD"/>
    <w:rsid w:val="00DC1442"/>
    <w:rsid w:val="00DC15C5"/>
    <w:rsid w:val="00DC1905"/>
    <w:rsid w:val="00DC255D"/>
    <w:rsid w:val="00DC39B4"/>
    <w:rsid w:val="00DC4C30"/>
    <w:rsid w:val="00DC5CA7"/>
    <w:rsid w:val="00DC5D77"/>
    <w:rsid w:val="00DC6B43"/>
    <w:rsid w:val="00DC6C1D"/>
    <w:rsid w:val="00DC7685"/>
    <w:rsid w:val="00DC7A9E"/>
    <w:rsid w:val="00DD0A12"/>
    <w:rsid w:val="00DD129B"/>
    <w:rsid w:val="00DD16F9"/>
    <w:rsid w:val="00DD3479"/>
    <w:rsid w:val="00DD3571"/>
    <w:rsid w:val="00DD474F"/>
    <w:rsid w:val="00DD4799"/>
    <w:rsid w:val="00DD4A03"/>
    <w:rsid w:val="00DD4BBD"/>
    <w:rsid w:val="00DD4FC9"/>
    <w:rsid w:val="00DD538C"/>
    <w:rsid w:val="00DD570A"/>
    <w:rsid w:val="00DD6736"/>
    <w:rsid w:val="00DD6BC3"/>
    <w:rsid w:val="00DD7206"/>
    <w:rsid w:val="00DD73F2"/>
    <w:rsid w:val="00DD751D"/>
    <w:rsid w:val="00DD7AEC"/>
    <w:rsid w:val="00DE02D8"/>
    <w:rsid w:val="00DE1617"/>
    <w:rsid w:val="00DE1A5C"/>
    <w:rsid w:val="00DE2664"/>
    <w:rsid w:val="00DE297F"/>
    <w:rsid w:val="00DE2D0B"/>
    <w:rsid w:val="00DE3149"/>
    <w:rsid w:val="00DE4EA2"/>
    <w:rsid w:val="00DE6128"/>
    <w:rsid w:val="00DE6401"/>
    <w:rsid w:val="00DE683C"/>
    <w:rsid w:val="00DE6889"/>
    <w:rsid w:val="00DE6D3A"/>
    <w:rsid w:val="00DE6EE7"/>
    <w:rsid w:val="00DE728D"/>
    <w:rsid w:val="00DE779F"/>
    <w:rsid w:val="00DE787F"/>
    <w:rsid w:val="00DF03DD"/>
    <w:rsid w:val="00DF0D10"/>
    <w:rsid w:val="00DF0FEF"/>
    <w:rsid w:val="00DF137D"/>
    <w:rsid w:val="00DF1580"/>
    <w:rsid w:val="00DF1DC4"/>
    <w:rsid w:val="00DF1DE1"/>
    <w:rsid w:val="00DF231A"/>
    <w:rsid w:val="00DF28A8"/>
    <w:rsid w:val="00DF2B6F"/>
    <w:rsid w:val="00DF2F92"/>
    <w:rsid w:val="00DF38FF"/>
    <w:rsid w:val="00DF3B34"/>
    <w:rsid w:val="00DF6FDB"/>
    <w:rsid w:val="00E00466"/>
    <w:rsid w:val="00E004CE"/>
    <w:rsid w:val="00E0092A"/>
    <w:rsid w:val="00E00F27"/>
    <w:rsid w:val="00E011AC"/>
    <w:rsid w:val="00E01404"/>
    <w:rsid w:val="00E01507"/>
    <w:rsid w:val="00E01CF8"/>
    <w:rsid w:val="00E0232F"/>
    <w:rsid w:val="00E03243"/>
    <w:rsid w:val="00E0418A"/>
    <w:rsid w:val="00E04868"/>
    <w:rsid w:val="00E04D4A"/>
    <w:rsid w:val="00E050FF"/>
    <w:rsid w:val="00E053C0"/>
    <w:rsid w:val="00E05C68"/>
    <w:rsid w:val="00E066CC"/>
    <w:rsid w:val="00E06C03"/>
    <w:rsid w:val="00E074D2"/>
    <w:rsid w:val="00E0756C"/>
    <w:rsid w:val="00E07732"/>
    <w:rsid w:val="00E10B17"/>
    <w:rsid w:val="00E10E88"/>
    <w:rsid w:val="00E11604"/>
    <w:rsid w:val="00E120D2"/>
    <w:rsid w:val="00E12A5F"/>
    <w:rsid w:val="00E1389A"/>
    <w:rsid w:val="00E13A4E"/>
    <w:rsid w:val="00E13EEB"/>
    <w:rsid w:val="00E142AE"/>
    <w:rsid w:val="00E148B1"/>
    <w:rsid w:val="00E15718"/>
    <w:rsid w:val="00E15F0D"/>
    <w:rsid w:val="00E16F6E"/>
    <w:rsid w:val="00E1781C"/>
    <w:rsid w:val="00E17827"/>
    <w:rsid w:val="00E20ACD"/>
    <w:rsid w:val="00E20DD8"/>
    <w:rsid w:val="00E211C2"/>
    <w:rsid w:val="00E21B8D"/>
    <w:rsid w:val="00E2205B"/>
    <w:rsid w:val="00E23DB1"/>
    <w:rsid w:val="00E23E8C"/>
    <w:rsid w:val="00E244B7"/>
    <w:rsid w:val="00E25273"/>
    <w:rsid w:val="00E255B4"/>
    <w:rsid w:val="00E25FC8"/>
    <w:rsid w:val="00E263F3"/>
    <w:rsid w:val="00E263F6"/>
    <w:rsid w:val="00E26634"/>
    <w:rsid w:val="00E26A4D"/>
    <w:rsid w:val="00E26AD8"/>
    <w:rsid w:val="00E272CE"/>
    <w:rsid w:val="00E301D7"/>
    <w:rsid w:val="00E308D4"/>
    <w:rsid w:val="00E3187C"/>
    <w:rsid w:val="00E318FE"/>
    <w:rsid w:val="00E319AB"/>
    <w:rsid w:val="00E31C06"/>
    <w:rsid w:val="00E31FE6"/>
    <w:rsid w:val="00E324DD"/>
    <w:rsid w:val="00E32C01"/>
    <w:rsid w:val="00E32C28"/>
    <w:rsid w:val="00E33255"/>
    <w:rsid w:val="00E3395B"/>
    <w:rsid w:val="00E34151"/>
    <w:rsid w:val="00E34257"/>
    <w:rsid w:val="00E34A74"/>
    <w:rsid w:val="00E35609"/>
    <w:rsid w:val="00E3653B"/>
    <w:rsid w:val="00E3686F"/>
    <w:rsid w:val="00E36BFF"/>
    <w:rsid w:val="00E37F1E"/>
    <w:rsid w:val="00E401AD"/>
    <w:rsid w:val="00E40AD6"/>
    <w:rsid w:val="00E41F6B"/>
    <w:rsid w:val="00E43F35"/>
    <w:rsid w:val="00E44702"/>
    <w:rsid w:val="00E4472B"/>
    <w:rsid w:val="00E44AAE"/>
    <w:rsid w:val="00E44B24"/>
    <w:rsid w:val="00E45A30"/>
    <w:rsid w:val="00E46F5C"/>
    <w:rsid w:val="00E477E9"/>
    <w:rsid w:val="00E50A12"/>
    <w:rsid w:val="00E51891"/>
    <w:rsid w:val="00E51C92"/>
    <w:rsid w:val="00E522F6"/>
    <w:rsid w:val="00E52743"/>
    <w:rsid w:val="00E52E56"/>
    <w:rsid w:val="00E53491"/>
    <w:rsid w:val="00E53653"/>
    <w:rsid w:val="00E53BF1"/>
    <w:rsid w:val="00E5467D"/>
    <w:rsid w:val="00E54CB9"/>
    <w:rsid w:val="00E54D58"/>
    <w:rsid w:val="00E55601"/>
    <w:rsid w:val="00E55C66"/>
    <w:rsid w:val="00E56125"/>
    <w:rsid w:val="00E56ABF"/>
    <w:rsid w:val="00E56AE4"/>
    <w:rsid w:val="00E56C44"/>
    <w:rsid w:val="00E57365"/>
    <w:rsid w:val="00E57644"/>
    <w:rsid w:val="00E57984"/>
    <w:rsid w:val="00E60052"/>
    <w:rsid w:val="00E60090"/>
    <w:rsid w:val="00E601EA"/>
    <w:rsid w:val="00E603B4"/>
    <w:rsid w:val="00E61A09"/>
    <w:rsid w:val="00E61D33"/>
    <w:rsid w:val="00E61E32"/>
    <w:rsid w:val="00E6212C"/>
    <w:rsid w:val="00E62702"/>
    <w:rsid w:val="00E6281B"/>
    <w:rsid w:val="00E62A66"/>
    <w:rsid w:val="00E62AB7"/>
    <w:rsid w:val="00E63947"/>
    <w:rsid w:val="00E64075"/>
    <w:rsid w:val="00E64470"/>
    <w:rsid w:val="00E64C03"/>
    <w:rsid w:val="00E64D84"/>
    <w:rsid w:val="00E655E3"/>
    <w:rsid w:val="00E65830"/>
    <w:rsid w:val="00E67580"/>
    <w:rsid w:val="00E67D19"/>
    <w:rsid w:val="00E700FE"/>
    <w:rsid w:val="00E70702"/>
    <w:rsid w:val="00E707A3"/>
    <w:rsid w:val="00E70F8D"/>
    <w:rsid w:val="00E726A8"/>
    <w:rsid w:val="00E72755"/>
    <w:rsid w:val="00E74798"/>
    <w:rsid w:val="00E74973"/>
    <w:rsid w:val="00E74FA8"/>
    <w:rsid w:val="00E764D8"/>
    <w:rsid w:val="00E76AC5"/>
    <w:rsid w:val="00E77059"/>
    <w:rsid w:val="00E770FF"/>
    <w:rsid w:val="00E775CB"/>
    <w:rsid w:val="00E779F5"/>
    <w:rsid w:val="00E77E1A"/>
    <w:rsid w:val="00E8009A"/>
    <w:rsid w:val="00E80401"/>
    <w:rsid w:val="00E823AF"/>
    <w:rsid w:val="00E8257A"/>
    <w:rsid w:val="00E8310D"/>
    <w:rsid w:val="00E832F1"/>
    <w:rsid w:val="00E83652"/>
    <w:rsid w:val="00E837C3"/>
    <w:rsid w:val="00E842E5"/>
    <w:rsid w:val="00E8448A"/>
    <w:rsid w:val="00E84AE0"/>
    <w:rsid w:val="00E852F8"/>
    <w:rsid w:val="00E86207"/>
    <w:rsid w:val="00E862B6"/>
    <w:rsid w:val="00E8641D"/>
    <w:rsid w:val="00E87428"/>
    <w:rsid w:val="00E874AB"/>
    <w:rsid w:val="00E8791E"/>
    <w:rsid w:val="00E87B00"/>
    <w:rsid w:val="00E87D89"/>
    <w:rsid w:val="00E90E12"/>
    <w:rsid w:val="00E914BE"/>
    <w:rsid w:val="00E9184E"/>
    <w:rsid w:val="00E9389C"/>
    <w:rsid w:val="00E944C2"/>
    <w:rsid w:val="00E950A7"/>
    <w:rsid w:val="00E954CE"/>
    <w:rsid w:val="00E957F2"/>
    <w:rsid w:val="00E963B3"/>
    <w:rsid w:val="00E978B0"/>
    <w:rsid w:val="00E97A23"/>
    <w:rsid w:val="00E97BF9"/>
    <w:rsid w:val="00EA00EE"/>
    <w:rsid w:val="00EA0160"/>
    <w:rsid w:val="00EA0382"/>
    <w:rsid w:val="00EA09D9"/>
    <w:rsid w:val="00EA0B72"/>
    <w:rsid w:val="00EA113C"/>
    <w:rsid w:val="00EA1466"/>
    <w:rsid w:val="00EA2A93"/>
    <w:rsid w:val="00EA3014"/>
    <w:rsid w:val="00EA30EF"/>
    <w:rsid w:val="00EA34B4"/>
    <w:rsid w:val="00EA3B97"/>
    <w:rsid w:val="00EA3DCD"/>
    <w:rsid w:val="00EA4AF3"/>
    <w:rsid w:val="00EA5436"/>
    <w:rsid w:val="00EA5D0D"/>
    <w:rsid w:val="00EA6497"/>
    <w:rsid w:val="00EA78A1"/>
    <w:rsid w:val="00EA7A97"/>
    <w:rsid w:val="00EA7ADA"/>
    <w:rsid w:val="00EB0613"/>
    <w:rsid w:val="00EB1C69"/>
    <w:rsid w:val="00EB1F3F"/>
    <w:rsid w:val="00EB204C"/>
    <w:rsid w:val="00EB2F46"/>
    <w:rsid w:val="00EB332A"/>
    <w:rsid w:val="00EB3658"/>
    <w:rsid w:val="00EB3F79"/>
    <w:rsid w:val="00EB405C"/>
    <w:rsid w:val="00EB4398"/>
    <w:rsid w:val="00EB4DCA"/>
    <w:rsid w:val="00EB64C8"/>
    <w:rsid w:val="00EB77B6"/>
    <w:rsid w:val="00EC0C00"/>
    <w:rsid w:val="00EC2050"/>
    <w:rsid w:val="00EC20AE"/>
    <w:rsid w:val="00EC24BD"/>
    <w:rsid w:val="00EC2AF0"/>
    <w:rsid w:val="00EC2BB2"/>
    <w:rsid w:val="00EC3152"/>
    <w:rsid w:val="00EC34B9"/>
    <w:rsid w:val="00EC3F07"/>
    <w:rsid w:val="00EC43B8"/>
    <w:rsid w:val="00EC441A"/>
    <w:rsid w:val="00EC487D"/>
    <w:rsid w:val="00EC4EBC"/>
    <w:rsid w:val="00EC4FE2"/>
    <w:rsid w:val="00EC6132"/>
    <w:rsid w:val="00EC62D6"/>
    <w:rsid w:val="00EC64A5"/>
    <w:rsid w:val="00EC68E4"/>
    <w:rsid w:val="00EC7023"/>
    <w:rsid w:val="00EC72B2"/>
    <w:rsid w:val="00ED0BE4"/>
    <w:rsid w:val="00ED0C8D"/>
    <w:rsid w:val="00ED193C"/>
    <w:rsid w:val="00ED210F"/>
    <w:rsid w:val="00ED2D1A"/>
    <w:rsid w:val="00ED3011"/>
    <w:rsid w:val="00ED3085"/>
    <w:rsid w:val="00ED344B"/>
    <w:rsid w:val="00ED34B1"/>
    <w:rsid w:val="00ED3835"/>
    <w:rsid w:val="00ED3D51"/>
    <w:rsid w:val="00ED4158"/>
    <w:rsid w:val="00ED45EF"/>
    <w:rsid w:val="00ED5295"/>
    <w:rsid w:val="00ED58B2"/>
    <w:rsid w:val="00ED5A4B"/>
    <w:rsid w:val="00ED5BCF"/>
    <w:rsid w:val="00ED6A00"/>
    <w:rsid w:val="00ED7675"/>
    <w:rsid w:val="00ED79BF"/>
    <w:rsid w:val="00ED7AA5"/>
    <w:rsid w:val="00ED7D90"/>
    <w:rsid w:val="00EE0661"/>
    <w:rsid w:val="00EE1579"/>
    <w:rsid w:val="00EE1B5B"/>
    <w:rsid w:val="00EE288B"/>
    <w:rsid w:val="00EE326F"/>
    <w:rsid w:val="00EE3A9D"/>
    <w:rsid w:val="00EE424C"/>
    <w:rsid w:val="00EE5844"/>
    <w:rsid w:val="00EE69C0"/>
    <w:rsid w:val="00EE7025"/>
    <w:rsid w:val="00EE7B80"/>
    <w:rsid w:val="00EF0243"/>
    <w:rsid w:val="00EF0752"/>
    <w:rsid w:val="00EF1721"/>
    <w:rsid w:val="00EF2621"/>
    <w:rsid w:val="00EF2CB5"/>
    <w:rsid w:val="00EF330E"/>
    <w:rsid w:val="00EF43ED"/>
    <w:rsid w:val="00EF47D5"/>
    <w:rsid w:val="00EF4E15"/>
    <w:rsid w:val="00EF5005"/>
    <w:rsid w:val="00EF570D"/>
    <w:rsid w:val="00EF5AD0"/>
    <w:rsid w:val="00EF619A"/>
    <w:rsid w:val="00EF6820"/>
    <w:rsid w:val="00EF6CB0"/>
    <w:rsid w:val="00EF70E1"/>
    <w:rsid w:val="00EF725C"/>
    <w:rsid w:val="00EF754C"/>
    <w:rsid w:val="00EF75C5"/>
    <w:rsid w:val="00EF7BFE"/>
    <w:rsid w:val="00EF7CF5"/>
    <w:rsid w:val="00F0063E"/>
    <w:rsid w:val="00F01290"/>
    <w:rsid w:val="00F01401"/>
    <w:rsid w:val="00F01953"/>
    <w:rsid w:val="00F0291D"/>
    <w:rsid w:val="00F0370F"/>
    <w:rsid w:val="00F03FB5"/>
    <w:rsid w:val="00F04090"/>
    <w:rsid w:val="00F050B8"/>
    <w:rsid w:val="00F05176"/>
    <w:rsid w:val="00F0522B"/>
    <w:rsid w:val="00F05B18"/>
    <w:rsid w:val="00F06B41"/>
    <w:rsid w:val="00F06D0E"/>
    <w:rsid w:val="00F077A2"/>
    <w:rsid w:val="00F11285"/>
    <w:rsid w:val="00F116A3"/>
    <w:rsid w:val="00F11AAB"/>
    <w:rsid w:val="00F12146"/>
    <w:rsid w:val="00F125A9"/>
    <w:rsid w:val="00F12614"/>
    <w:rsid w:val="00F12F2D"/>
    <w:rsid w:val="00F1311C"/>
    <w:rsid w:val="00F1328C"/>
    <w:rsid w:val="00F1346B"/>
    <w:rsid w:val="00F1356C"/>
    <w:rsid w:val="00F13BBB"/>
    <w:rsid w:val="00F142D0"/>
    <w:rsid w:val="00F14584"/>
    <w:rsid w:val="00F145C2"/>
    <w:rsid w:val="00F151AC"/>
    <w:rsid w:val="00F15379"/>
    <w:rsid w:val="00F15CD5"/>
    <w:rsid w:val="00F15D4B"/>
    <w:rsid w:val="00F15D82"/>
    <w:rsid w:val="00F1602F"/>
    <w:rsid w:val="00F169A1"/>
    <w:rsid w:val="00F16DE3"/>
    <w:rsid w:val="00F16E1A"/>
    <w:rsid w:val="00F17A09"/>
    <w:rsid w:val="00F17C24"/>
    <w:rsid w:val="00F17D71"/>
    <w:rsid w:val="00F17DE6"/>
    <w:rsid w:val="00F20137"/>
    <w:rsid w:val="00F2117F"/>
    <w:rsid w:val="00F216D7"/>
    <w:rsid w:val="00F21774"/>
    <w:rsid w:val="00F222C4"/>
    <w:rsid w:val="00F23C21"/>
    <w:rsid w:val="00F240E8"/>
    <w:rsid w:val="00F2422D"/>
    <w:rsid w:val="00F2428E"/>
    <w:rsid w:val="00F24C9F"/>
    <w:rsid w:val="00F25621"/>
    <w:rsid w:val="00F27248"/>
    <w:rsid w:val="00F27904"/>
    <w:rsid w:val="00F27F5E"/>
    <w:rsid w:val="00F302F4"/>
    <w:rsid w:val="00F30A02"/>
    <w:rsid w:val="00F30D90"/>
    <w:rsid w:val="00F30F7B"/>
    <w:rsid w:val="00F32420"/>
    <w:rsid w:val="00F329AD"/>
    <w:rsid w:val="00F32E49"/>
    <w:rsid w:val="00F32F65"/>
    <w:rsid w:val="00F3430C"/>
    <w:rsid w:val="00F34778"/>
    <w:rsid w:val="00F3493A"/>
    <w:rsid w:val="00F34EB8"/>
    <w:rsid w:val="00F355C6"/>
    <w:rsid w:val="00F35D34"/>
    <w:rsid w:val="00F35F4F"/>
    <w:rsid w:val="00F3646F"/>
    <w:rsid w:val="00F367A2"/>
    <w:rsid w:val="00F36C93"/>
    <w:rsid w:val="00F37539"/>
    <w:rsid w:val="00F3757C"/>
    <w:rsid w:val="00F4146F"/>
    <w:rsid w:val="00F41570"/>
    <w:rsid w:val="00F4393E"/>
    <w:rsid w:val="00F43C8A"/>
    <w:rsid w:val="00F444E7"/>
    <w:rsid w:val="00F451B6"/>
    <w:rsid w:val="00F46AA6"/>
    <w:rsid w:val="00F46B62"/>
    <w:rsid w:val="00F46F8D"/>
    <w:rsid w:val="00F4711E"/>
    <w:rsid w:val="00F47F0C"/>
    <w:rsid w:val="00F50B8C"/>
    <w:rsid w:val="00F512A8"/>
    <w:rsid w:val="00F517D3"/>
    <w:rsid w:val="00F51A5E"/>
    <w:rsid w:val="00F51B8A"/>
    <w:rsid w:val="00F51BE0"/>
    <w:rsid w:val="00F51C14"/>
    <w:rsid w:val="00F51F29"/>
    <w:rsid w:val="00F527CF"/>
    <w:rsid w:val="00F52F0E"/>
    <w:rsid w:val="00F558A5"/>
    <w:rsid w:val="00F568AA"/>
    <w:rsid w:val="00F56C56"/>
    <w:rsid w:val="00F57951"/>
    <w:rsid w:val="00F57BE6"/>
    <w:rsid w:val="00F57F12"/>
    <w:rsid w:val="00F60853"/>
    <w:rsid w:val="00F60E18"/>
    <w:rsid w:val="00F610EF"/>
    <w:rsid w:val="00F61923"/>
    <w:rsid w:val="00F61F9E"/>
    <w:rsid w:val="00F62BC8"/>
    <w:rsid w:val="00F6317D"/>
    <w:rsid w:val="00F634CD"/>
    <w:rsid w:val="00F639A3"/>
    <w:rsid w:val="00F63F1F"/>
    <w:rsid w:val="00F642B7"/>
    <w:rsid w:val="00F64450"/>
    <w:rsid w:val="00F64C17"/>
    <w:rsid w:val="00F651FE"/>
    <w:rsid w:val="00F662E8"/>
    <w:rsid w:val="00F6640C"/>
    <w:rsid w:val="00F666A3"/>
    <w:rsid w:val="00F66E02"/>
    <w:rsid w:val="00F66F3F"/>
    <w:rsid w:val="00F67D7D"/>
    <w:rsid w:val="00F719E3"/>
    <w:rsid w:val="00F71A8D"/>
    <w:rsid w:val="00F72916"/>
    <w:rsid w:val="00F7328E"/>
    <w:rsid w:val="00F7375E"/>
    <w:rsid w:val="00F73865"/>
    <w:rsid w:val="00F74CB3"/>
    <w:rsid w:val="00F7521F"/>
    <w:rsid w:val="00F75A7D"/>
    <w:rsid w:val="00F76FF9"/>
    <w:rsid w:val="00F77B2D"/>
    <w:rsid w:val="00F77CC4"/>
    <w:rsid w:val="00F77F33"/>
    <w:rsid w:val="00F8177D"/>
    <w:rsid w:val="00F81D10"/>
    <w:rsid w:val="00F821D2"/>
    <w:rsid w:val="00F82574"/>
    <w:rsid w:val="00F82D3F"/>
    <w:rsid w:val="00F83949"/>
    <w:rsid w:val="00F83E32"/>
    <w:rsid w:val="00F840E1"/>
    <w:rsid w:val="00F851C7"/>
    <w:rsid w:val="00F858F8"/>
    <w:rsid w:val="00F8594F"/>
    <w:rsid w:val="00F85DE6"/>
    <w:rsid w:val="00F8668E"/>
    <w:rsid w:val="00F87338"/>
    <w:rsid w:val="00F902B4"/>
    <w:rsid w:val="00F90AEB"/>
    <w:rsid w:val="00F9210A"/>
    <w:rsid w:val="00F93817"/>
    <w:rsid w:val="00F93914"/>
    <w:rsid w:val="00F94200"/>
    <w:rsid w:val="00F9459D"/>
    <w:rsid w:val="00F94737"/>
    <w:rsid w:val="00F947D1"/>
    <w:rsid w:val="00F94BEC"/>
    <w:rsid w:val="00F94BF9"/>
    <w:rsid w:val="00F94CED"/>
    <w:rsid w:val="00F9518D"/>
    <w:rsid w:val="00F958C7"/>
    <w:rsid w:val="00F95C73"/>
    <w:rsid w:val="00F9779D"/>
    <w:rsid w:val="00FA0384"/>
    <w:rsid w:val="00FA1152"/>
    <w:rsid w:val="00FA1761"/>
    <w:rsid w:val="00FA17DD"/>
    <w:rsid w:val="00FA191D"/>
    <w:rsid w:val="00FA1A57"/>
    <w:rsid w:val="00FA2128"/>
    <w:rsid w:val="00FA2CB3"/>
    <w:rsid w:val="00FA3075"/>
    <w:rsid w:val="00FA3A78"/>
    <w:rsid w:val="00FA3A8A"/>
    <w:rsid w:val="00FA405F"/>
    <w:rsid w:val="00FA4915"/>
    <w:rsid w:val="00FA4BE5"/>
    <w:rsid w:val="00FA5EBC"/>
    <w:rsid w:val="00FA604E"/>
    <w:rsid w:val="00FA6924"/>
    <w:rsid w:val="00FA6CDC"/>
    <w:rsid w:val="00FA7D2E"/>
    <w:rsid w:val="00FB0767"/>
    <w:rsid w:val="00FB07A7"/>
    <w:rsid w:val="00FB183C"/>
    <w:rsid w:val="00FB1FA5"/>
    <w:rsid w:val="00FB2103"/>
    <w:rsid w:val="00FB21BB"/>
    <w:rsid w:val="00FB2D37"/>
    <w:rsid w:val="00FB3ED0"/>
    <w:rsid w:val="00FB4935"/>
    <w:rsid w:val="00FB4F30"/>
    <w:rsid w:val="00FB513D"/>
    <w:rsid w:val="00FB51DE"/>
    <w:rsid w:val="00FB5A43"/>
    <w:rsid w:val="00FB5C67"/>
    <w:rsid w:val="00FB63C5"/>
    <w:rsid w:val="00FB6A9D"/>
    <w:rsid w:val="00FB6BB3"/>
    <w:rsid w:val="00FB6FE0"/>
    <w:rsid w:val="00FB7554"/>
    <w:rsid w:val="00FB7FD9"/>
    <w:rsid w:val="00FC0720"/>
    <w:rsid w:val="00FC0EC6"/>
    <w:rsid w:val="00FC0F5B"/>
    <w:rsid w:val="00FC184B"/>
    <w:rsid w:val="00FC251A"/>
    <w:rsid w:val="00FC2C94"/>
    <w:rsid w:val="00FC36D6"/>
    <w:rsid w:val="00FC38B2"/>
    <w:rsid w:val="00FC3F74"/>
    <w:rsid w:val="00FC4915"/>
    <w:rsid w:val="00FC4B9B"/>
    <w:rsid w:val="00FC51C1"/>
    <w:rsid w:val="00FC5242"/>
    <w:rsid w:val="00FC5D12"/>
    <w:rsid w:val="00FC65AB"/>
    <w:rsid w:val="00FC69DB"/>
    <w:rsid w:val="00FC72A2"/>
    <w:rsid w:val="00FD06EF"/>
    <w:rsid w:val="00FD168C"/>
    <w:rsid w:val="00FD24E5"/>
    <w:rsid w:val="00FD265E"/>
    <w:rsid w:val="00FD3385"/>
    <w:rsid w:val="00FD3507"/>
    <w:rsid w:val="00FD40DB"/>
    <w:rsid w:val="00FD4569"/>
    <w:rsid w:val="00FD483F"/>
    <w:rsid w:val="00FD4E6E"/>
    <w:rsid w:val="00FD5473"/>
    <w:rsid w:val="00FD68AC"/>
    <w:rsid w:val="00FD6CCD"/>
    <w:rsid w:val="00FD78A9"/>
    <w:rsid w:val="00FE0468"/>
    <w:rsid w:val="00FE0A1D"/>
    <w:rsid w:val="00FE170B"/>
    <w:rsid w:val="00FE1A37"/>
    <w:rsid w:val="00FE3005"/>
    <w:rsid w:val="00FE3619"/>
    <w:rsid w:val="00FE3DD9"/>
    <w:rsid w:val="00FE410E"/>
    <w:rsid w:val="00FE4246"/>
    <w:rsid w:val="00FE48E3"/>
    <w:rsid w:val="00FE5483"/>
    <w:rsid w:val="00FE600F"/>
    <w:rsid w:val="00FE6D5C"/>
    <w:rsid w:val="00FE7593"/>
    <w:rsid w:val="00FE79A6"/>
    <w:rsid w:val="00FF19A0"/>
    <w:rsid w:val="00FF1E32"/>
    <w:rsid w:val="00FF2FB9"/>
    <w:rsid w:val="00FF392E"/>
    <w:rsid w:val="00FF3E6A"/>
    <w:rsid w:val="00FF3E91"/>
    <w:rsid w:val="00FF4767"/>
    <w:rsid w:val="00FF4B36"/>
    <w:rsid w:val="00FF542B"/>
    <w:rsid w:val="00FF5538"/>
    <w:rsid w:val="00FF55A3"/>
    <w:rsid w:val="00FF5BA4"/>
    <w:rsid w:val="00FF6A63"/>
    <w:rsid w:val="00FF7C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ABFCA"/>
  <w15:docId w15:val="{096F83B0-CF2B-48D9-A721-F775AC8F3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650B"/>
    <w:pPr>
      <w:spacing w:after="0" w:line="240" w:lineRule="auto"/>
    </w:pPr>
    <w:rPr>
      <w:rFonts w:ascii="Times New Roman" w:eastAsia="Times New Roman" w:hAnsi="Times New Roman" w:cs="Times New Roman"/>
      <w:sz w:val="24"/>
      <w:szCs w:val="24"/>
      <w:lang w:eastAsia="pt-BR"/>
    </w:rPr>
  </w:style>
  <w:style w:type="paragraph" w:styleId="Heading1">
    <w:name w:val="heading 1"/>
    <w:basedOn w:val="Normal"/>
    <w:next w:val="Normal"/>
    <w:link w:val="Heading1Char"/>
    <w:uiPriority w:val="9"/>
    <w:qFormat/>
    <w:rsid w:val="009C20E6"/>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9C20E6"/>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qFormat/>
    <w:rsid w:val="003B0509"/>
    <w:pPr>
      <w:keepNext/>
      <w:ind w:left="360"/>
      <w:outlineLvl w:val="2"/>
    </w:pPr>
    <w:rPr>
      <w:b/>
      <w:lang w:eastAsia="en-US"/>
    </w:rPr>
  </w:style>
  <w:style w:type="paragraph" w:styleId="Heading4">
    <w:name w:val="heading 4"/>
    <w:basedOn w:val="Normal"/>
    <w:next w:val="Normal"/>
    <w:link w:val="Heading4Char"/>
    <w:qFormat/>
    <w:rsid w:val="003B0509"/>
    <w:pPr>
      <w:keepNext/>
      <w:ind w:left="1080"/>
      <w:outlineLvl w:val="3"/>
    </w:pPr>
    <w:rPr>
      <w:b/>
      <w:bCs/>
      <w:sz w:val="22"/>
      <w:lang w:eastAsia="en-US"/>
    </w:rPr>
  </w:style>
  <w:style w:type="paragraph" w:styleId="Heading6">
    <w:name w:val="heading 6"/>
    <w:basedOn w:val="Normal"/>
    <w:next w:val="Normal"/>
    <w:link w:val="Heading6Char"/>
    <w:qFormat/>
    <w:rsid w:val="003B0509"/>
    <w:pPr>
      <w:keepNext/>
      <w:ind w:left="360" w:hanging="540"/>
      <w:outlineLvl w:val="5"/>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0E6"/>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9C20E6"/>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rsid w:val="003B0509"/>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3B0509"/>
    <w:rPr>
      <w:rFonts w:ascii="Times New Roman" w:eastAsia="Times New Roman" w:hAnsi="Times New Roman" w:cs="Times New Roman"/>
      <w:b/>
      <w:bCs/>
      <w:szCs w:val="24"/>
      <w:lang w:val="en-US"/>
    </w:rPr>
  </w:style>
  <w:style w:type="character" w:customStyle="1" w:styleId="Heading6Char">
    <w:name w:val="Heading 6 Char"/>
    <w:basedOn w:val="DefaultParagraphFont"/>
    <w:link w:val="Heading6"/>
    <w:rsid w:val="003B0509"/>
    <w:rPr>
      <w:rFonts w:ascii="Times New Roman" w:eastAsia="Times New Roman" w:hAnsi="Times New Roman" w:cs="Times New Roman"/>
      <w:b/>
      <w:sz w:val="24"/>
      <w:szCs w:val="24"/>
    </w:rPr>
  </w:style>
  <w:style w:type="character" w:styleId="Hyperlink">
    <w:name w:val="Hyperlink"/>
    <w:basedOn w:val="DefaultParagraphFont"/>
    <w:uiPriority w:val="99"/>
    <w:rsid w:val="003B0509"/>
    <w:rPr>
      <w:color w:val="0000FF"/>
      <w:u w:val="single"/>
    </w:rPr>
  </w:style>
  <w:style w:type="paragraph" w:styleId="BodyTextIndent2">
    <w:name w:val="Body Text Indent 2"/>
    <w:basedOn w:val="Normal"/>
    <w:link w:val="BodyTextIndent2Char"/>
    <w:rsid w:val="009C20E6"/>
    <w:pPr>
      <w:ind w:left="-180" w:firstLine="708"/>
      <w:jc w:val="both"/>
    </w:pPr>
    <w:rPr>
      <w:rFonts w:ascii="Verdana" w:hAnsi="Verdana"/>
      <w:sz w:val="20"/>
      <w:szCs w:val="20"/>
      <w:lang w:eastAsia="en-US"/>
    </w:rPr>
  </w:style>
  <w:style w:type="character" w:customStyle="1" w:styleId="BodyTextIndent2Char">
    <w:name w:val="Body Text Indent 2 Char"/>
    <w:basedOn w:val="DefaultParagraphFont"/>
    <w:link w:val="BodyTextIndent2"/>
    <w:rsid w:val="009C20E6"/>
    <w:rPr>
      <w:rFonts w:ascii="Verdana" w:eastAsia="Times New Roman" w:hAnsi="Verdana" w:cs="Times New Roman"/>
      <w:sz w:val="20"/>
      <w:szCs w:val="20"/>
    </w:rPr>
  </w:style>
  <w:style w:type="paragraph" w:styleId="ListParagraph">
    <w:name w:val="List Paragraph"/>
    <w:basedOn w:val="Normal"/>
    <w:link w:val="ListParagraphChar"/>
    <w:uiPriority w:val="34"/>
    <w:qFormat/>
    <w:rsid w:val="00B67463"/>
    <w:pPr>
      <w:ind w:left="720"/>
      <w:contextualSpacing/>
    </w:pPr>
    <w:rPr>
      <w:lang w:eastAsia="en-US"/>
    </w:rPr>
  </w:style>
  <w:style w:type="paragraph" w:styleId="TOCHeading">
    <w:name w:val="TOC Heading"/>
    <w:basedOn w:val="Heading1"/>
    <w:next w:val="Normal"/>
    <w:uiPriority w:val="39"/>
    <w:unhideWhenUsed/>
    <w:qFormat/>
    <w:rsid w:val="00B67463"/>
    <w:pPr>
      <w:spacing w:line="259" w:lineRule="auto"/>
      <w:outlineLvl w:val="9"/>
    </w:pPr>
    <w:rPr>
      <w:lang w:eastAsia="pt-BR"/>
    </w:rPr>
  </w:style>
  <w:style w:type="paragraph" w:styleId="TOC1">
    <w:name w:val="toc 1"/>
    <w:basedOn w:val="Normal"/>
    <w:next w:val="Normal"/>
    <w:autoRedefine/>
    <w:uiPriority w:val="39"/>
    <w:unhideWhenUsed/>
    <w:rsid w:val="008B5E84"/>
    <w:pPr>
      <w:tabs>
        <w:tab w:val="left" w:pos="480"/>
        <w:tab w:val="right" w:leader="dot" w:pos="8494"/>
      </w:tabs>
      <w:spacing w:after="100"/>
    </w:pPr>
    <w:rPr>
      <w:rFonts w:asciiTheme="minorHAnsi" w:hAnsiTheme="minorHAnsi" w:cstheme="minorHAnsi"/>
      <w:b/>
      <w:noProof/>
      <w:sz w:val="20"/>
      <w:szCs w:val="20"/>
      <w:lang w:eastAsia="en-US"/>
    </w:rPr>
  </w:style>
  <w:style w:type="paragraph" w:styleId="TOC2">
    <w:name w:val="toc 2"/>
    <w:basedOn w:val="Normal"/>
    <w:next w:val="Normal"/>
    <w:autoRedefine/>
    <w:uiPriority w:val="39"/>
    <w:unhideWhenUsed/>
    <w:rsid w:val="00B67463"/>
    <w:pPr>
      <w:spacing w:after="100"/>
      <w:ind w:left="240"/>
    </w:pPr>
    <w:rPr>
      <w:lang w:eastAsia="en-US"/>
    </w:rPr>
  </w:style>
  <w:style w:type="paragraph" w:styleId="TOC3">
    <w:name w:val="toc 3"/>
    <w:basedOn w:val="Normal"/>
    <w:next w:val="Normal"/>
    <w:autoRedefine/>
    <w:uiPriority w:val="39"/>
    <w:unhideWhenUsed/>
    <w:rsid w:val="00B67463"/>
    <w:pPr>
      <w:spacing w:after="100"/>
      <w:ind w:left="480"/>
    </w:pPr>
    <w:rPr>
      <w:lang w:eastAsia="en-US"/>
    </w:rPr>
  </w:style>
  <w:style w:type="paragraph" w:styleId="BalloonText">
    <w:name w:val="Balloon Text"/>
    <w:basedOn w:val="Normal"/>
    <w:link w:val="BalloonTextChar"/>
    <w:unhideWhenUsed/>
    <w:rsid w:val="00DE3149"/>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DE3149"/>
    <w:rPr>
      <w:rFonts w:ascii="Tahoma" w:eastAsia="Times New Roman" w:hAnsi="Tahoma" w:cs="Tahoma"/>
      <w:sz w:val="16"/>
      <w:szCs w:val="16"/>
      <w:lang w:val="en-US"/>
    </w:rPr>
  </w:style>
  <w:style w:type="character" w:styleId="FootnoteReference">
    <w:name w:val="footnote reference"/>
    <w:aliases w:val="Footnotes refss,ftref,Ref. de nota al pie.,Ref,de nota al pie,referencia nota al pie,16 Point,Superscript 6 Point,(Ref. de nota al pie),Texto de nota al pie,Fußnotenzeichen DISS,FC,Style 24,Footnote Reference1,Referência de rodapé"/>
    <w:basedOn w:val="DefaultParagraphFont"/>
    <w:link w:val="Char2"/>
    <w:unhideWhenUsed/>
    <w:qFormat/>
    <w:rsid w:val="000C5E5E"/>
    <w:rPr>
      <w:vertAlign w:val="superscript"/>
    </w:rPr>
  </w:style>
  <w:style w:type="character" w:customStyle="1" w:styleId="ncoradanotaderodap">
    <w:name w:val="Âncora da nota de rodapé"/>
    <w:rsid w:val="000C5E5E"/>
    <w:rPr>
      <w:vertAlign w:val="superscript"/>
    </w:rPr>
  </w:style>
  <w:style w:type="paragraph" w:customStyle="1" w:styleId="Notaderodap">
    <w:name w:val="Nota de rodapé"/>
    <w:basedOn w:val="Normal"/>
    <w:rsid w:val="000C5E5E"/>
    <w:pPr>
      <w:suppressAutoHyphens/>
      <w:spacing w:after="200" w:line="276" w:lineRule="auto"/>
    </w:pPr>
    <w:rPr>
      <w:rFonts w:asciiTheme="minorHAnsi" w:eastAsiaTheme="minorHAnsi" w:hAnsiTheme="minorHAnsi" w:cstheme="minorBidi"/>
      <w:sz w:val="22"/>
      <w:szCs w:val="22"/>
      <w:lang w:eastAsia="en-US"/>
    </w:rPr>
  </w:style>
  <w:style w:type="paragraph" w:styleId="Header">
    <w:name w:val="header"/>
    <w:basedOn w:val="Normal"/>
    <w:link w:val="HeaderChar"/>
    <w:unhideWhenUsed/>
    <w:rsid w:val="00B21BB7"/>
    <w:pPr>
      <w:tabs>
        <w:tab w:val="center" w:pos="4252"/>
        <w:tab w:val="right" w:pos="8504"/>
      </w:tabs>
    </w:pPr>
    <w:rPr>
      <w:lang w:eastAsia="en-US"/>
    </w:rPr>
  </w:style>
  <w:style w:type="character" w:customStyle="1" w:styleId="HeaderChar">
    <w:name w:val="Header Char"/>
    <w:basedOn w:val="DefaultParagraphFont"/>
    <w:link w:val="Header"/>
    <w:uiPriority w:val="99"/>
    <w:rsid w:val="00B21BB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B21BB7"/>
    <w:pPr>
      <w:tabs>
        <w:tab w:val="center" w:pos="4252"/>
        <w:tab w:val="right" w:pos="8504"/>
      </w:tabs>
    </w:pPr>
    <w:rPr>
      <w:lang w:eastAsia="en-US"/>
    </w:rPr>
  </w:style>
  <w:style w:type="character" w:customStyle="1" w:styleId="FooterChar">
    <w:name w:val="Footer Char"/>
    <w:basedOn w:val="DefaultParagraphFont"/>
    <w:link w:val="Footer"/>
    <w:uiPriority w:val="99"/>
    <w:rsid w:val="00B21BB7"/>
    <w:rPr>
      <w:rFonts w:ascii="Times New Roman" w:eastAsia="Times New Roman" w:hAnsi="Times New Roman" w:cs="Times New Roman"/>
      <w:sz w:val="24"/>
      <w:szCs w:val="24"/>
      <w:lang w:val="en-US"/>
    </w:rPr>
  </w:style>
  <w:style w:type="table" w:styleId="TableGrid">
    <w:name w:val="Table Grid"/>
    <w:basedOn w:val="TableNormal"/>
    <w:uiPriority w:val="39"/>
    <w:rsid w:val="00640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77060"/>
    <w:rPr>
      <w:color w:val="808080"/>
    </w:rPr>
  </w:style>
  <w:style w:type="paragraph" w:customStyle="1" w:styleId="Chapter">
    <w:name w:val="Chapter"/>
    <w:basedOn w:val="Normal"/>
    <w:next w:val="Normal"/>
    <w:autoRedefine/>
    <w:rsid w:val="00DF1580"/>
    <w:pPr>
      <w:numPr>
        <w:numId w:val="7"/>
      </w:numPr>
      <w:tabs>
        <w:tab w:val="left" w:pos="1440"/>
      </w:tabs>
      <w:spacing w:after="240"/>
      <w:jc w:val="center"/>
    </w:pPr>
    <w:rPr>
      <w:rFonts w:cs="Arial"/>
      <w:b/>
      <w:smallCaps/>
      <w:noProof/>
      <w:szCs w:val="20"/>
      <w:lang w:eastAsia="en-US"/>
    </w:rPr>
  </w:style>
  <w:style w:type="paragraph" w:customStyle="1" w:styleId="Paragraph">
    <w:name w:val="Paragraph"/>
    <w:aliases w:val="paragraph,p,PARAGRAPH,PG,pa,at"/>
    <w:basedOn w:val="BodyTextIndent"/>
    <w:link w:val="ParagraphChar"/>
    <w:qFormat/>
    <w:rsid w:val="00DF1580"/>
    <w:pPr>
      <w:numPr>
        <w:ilvl w:val="1"/>
        <w:numId w:val="7"/>
      </w:numPr>
      <w:tabs>
        <w:tab w:val="clear" w:pos="720"/>
      </w:tabs>
      <w:spacing w:before="120"/>
      <w:ind w:left="1440" w:hanging="360"/>
      <w:jc w:val="both"/>
      <w:outlineLvl w:val="1"/>
    </w:pPr>
    <w:rPr>
      <w:szCs w:val="20"/>
    </w:rPr>
  </w:style>
  <w:style w:type="paragraph" w:styleId="BodyTextIndent">
    <w:name w:val="Body Text Indent"/>
    <w:basedOn w:val="Normal"/>
    <w:link w:val="BodyTextIndentChar"/>
    <w:uiPriority w:val="99"/>
    <w:semiHidden/>
    <w:unhideWhenUsed/>
    <w:rsid w:val="00DF1580"/>
    <w:pPr>
      <w:spacing w:after="120"/>
      <w:ind w:left="283"/>
    </w:pPr>
    <w:rPr>
      <w:lang w:eastAsia="en-US"/>
    </w:rPr>
  </w:style>
  <w:style w:type="character" w:customStyle="1" w:styleId="BodyTextIndentChar">
    <w:name w:val="Body Text Indent Char"/>
    <w:basedOn w:val="DefaultParagraphFont"/>
    <w:link w:val="BodyTextIndent"/>
    <w:uiPriority w:val="99"/>
    <w:semiHidden/>
    <w:rsid w:val="00DF1580"/>
    <w:rPr>
      <w:rFonts w:ascii="Times New Roman" w:eastAsia="Times New Roman" w:hAnsi="Times New Roman" w:cs="Times New Roman"/>
      <w:sz w:val="24"/>
      <w:szCs w:val="24"/>
      <w:lang w:val="en-US"/>
    </w:rPr>
  </w:style>
  <w:style w:type="paragraph" w:customStyle="1" w:styleId="subpar">
    <w:name w:val="subpar"/>
    <w:basedOn w:val="BodyTextIndent3"/>
    <w:uiPriority w:val="99"/>
    <w:rsid w:val="00DF1580"/>
    <w:pPr>
      <w:numPr>
        <w:ilvl w:val="2"/>
        <w:numId w:val="7"/>
      </w:numPr>
      <w:tabs>
        <w:tab w:val="clear" w:pos="1152"/>
      </w:tabs>
      <w:spacing w:before="120"/>
      <w:ind w:left="2160" w:hanging="180"/>
      <w:jc w:val="both"/>
      <w:outlineLvl w:val="2"/>
    </w:pPr>
    <w:rPr>
      <w:sz w:val="24"/>
      <w:szCs w:val="20"/>
    </w:rPr>
  </w:style>
  <w:style w:type="paragraph" w:styleId="BodyTextIndent3">
    <w:name w:val="Body Text Indent 3"/>
    <w:basedOn w:val="Normal"/>
    <w:link w:val="BodyTextIndent3Char"/>
    <w:uiPriority w:val="99"/>
    <w:semiHidden/>
    <w:unhideWhenUsed/>
    <w:rsid w:val="00DF1580"/>
    <w:pPr>
      <w:spacing w:after="120"/>
      <w:ind w:left="283"/>
    </w:pPr>
    <w:rPr>
      <w:sz w:val="16"/>
      <w:szCs w:val="16"/>
      <w:lang w:eastAsia="en-US"/>
    </w:rPr>
  </w:style>
  <w:style w:type="character" w:customStyle="1" w:styleId="BodyTextIndent3Char">
    <w:name w:val="Body Text Indent 3 Char"/>
    <w:basedOn w:val="DefaultParagraphFont"/>
    <w:link w:val="BodyTextIndent3"/>
    <w:uiPriority w:val="99"/>
    <w:semiHidden/>
    <w:rsid w:val="00DF1580"/>
    <w:rPr>
      <w:rFonts w:ascii="Times New Roman" w:eastAsia="Times New Roman" w:hAnsi="Times New Roman" w:cs="Times New Roman"/>
      <w:sz w:val="16"/>
      <w:szCs w:val="16"/>
      <w:lang w:val="en-US"/>
    </w:rPr>
  </w:style>
  <w:style w:type="paragraph" w:customStyle="1" w:styleId="SubSubPar">
    <w:name w:val="SubSubPar"/>
    <w:basedOn w:val="subpar"/>
    <w:rsid w:val="00DF1580"/>
    <w:pPr>
      <w:numPr>
        <w:ilvl w:val="3"/>
      </w:numPr>
      <w:tabs>
        <w:tab w:val="clear" w:pos="1584"/>
        <w:tab w:val="left" w:pos="0"/>
      </w:tabs>
      <w:ind w:left="2880" w:hanging="360"/>
    </w:pPr>
  </w:style>
  <w:style w:type="paragraph" w:styleId="NoSpacing">
    <w:name w:val="No Spacing"/>
    <w:uiPriority w:val="1"/>
    <w:qFormat/>
    <w:rsid w:val="007D3BB4"/>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F05176"/>
    <w:pPr>
      <w:spacing w:before="100" w:beforeAutospacing="1" w:after="100" w:afterAutospacing="1"/>
    </w:pPr>
  </w:style>
  <w:style w:type="paragraph" w:customStyle="1" w:styleId="Default">
    <w:name w:val="Default"/>
    <w:rsid w:val="00500682"/>
    <w:pPr>
      <w:autoSpaceDE w:val="0"/>
      <w:autoSpaceDN w:val="0"/>
      <w:adjustRightInd w:val="0"/>
      <w:spacing w:after="0" w:line="240" w:lineRule="auto"/>
    </w:pPr>
    <w:rPr>
      <w:rFonts w:ascii="Verdana" w:hAnsi="Verdana" w:cs="Verdana"/>
      <w:color w:val="000000"/>
      <w:sz w:val="24"/>
      <w:szCs w:val="24"/>
    </w:rPr>
  </w:style>
  <w:style w:type="paragraph" w:styleId="FootnoteText">
    <w:name w:val="footnote text"/>
    <w:aliases w:val="fn,Texto de rodapé,nota_rodapé,nota de rodapé,FOOTNOTES,single space,footnote text,Footnote Text Char Char,footnote,ADB,foottextfra,F,Texto nota pie Car Car,Texto nota pie IIRSA,Style 25,Texto nota piepddes Car Car,f,ft,Char"/>
    <w:basedOn w:val="Normal"/>
    <w:link w:val="FootnoteTextChar"/>
    <w:unhideWhenUsed/>
    <w:qFormat/>
    <w:rsid w:val="00500682"/>
    <w:rPr>
      <w:sz w:val="20"/>
      <w:szCs w:val="20"/>
      <w:lang w:eastAsia="en-US"/>
    </w:rPr>
  </w:style>
  <w:style w:type="character" w:customStyle="1" w:styleId="FootnoteTextChar">
    <w:name w:val="Footnote Text Char"/>
    <w:aliases w:val="fn Char,Texto de rodapé Char,nota_rodapé Char,nota de rodapé Char,FOOTNOTES Char,single space Char,footnote text Char,Footnote Text Char Char Char,footnote Char,ADB Char,foottextfra Char,F Char,Texto nota pie Car Car Char,f Char"/>
    <w:basedOn w:val="DefaultParagraphFont"/>
    <w:link w:val="FootnoteText"/>
    <w:qFormat/>
    <w:rsid w:val="00500682"/>
    <w:rPr>
      <w:rFonts w:ascii="Times New Roman" w:eastAsia="Times New Roman" w:hAnsi="Times New Roman" w:cs="Times New Roman"/>
      <w:sz w:val="20"/>
      <w:szCs w:val="20"/>
      <w:lang w:val="en-US"/>
    </w:rPr>
  </w:style>
  <w:style w:type="character" w:styleId="Strong">
    <w:name w:val="Strong"/>
    <w:basedOn w:val="DefaultParagraphFont"/>
    <w:uiPriority w:val="22"/>
    <w:qFormat/>
    <w:rsid w:val="00500682"/>
    <w:rPr>
      <w:b/>
      <w:bCs/>
    </w:rPr>
  </w:style>
  <w:style w:type="character" w:customStyle="1" w:styleId="UnresolvedMention1">
    <w:name w:val="Unresolved Mention1"/>
    <w:basedOn w:val="DefaultParagraphFont"/>
    <w:uiPriority w:val="99"/>
    <w:semiHidden/>
    <w:unhideWhenUsed/>
    <w:rsid w:val="00CF6CF7"/>
    <w:rPr>
      <w:color w:val="808080"/>
      <w:shd w:val="clear" w:color="auto" w:fill="E6E6E6"/>
    </w:rPr>
  </w:style>
  <w:style w:type="paragraph" w:styleId="BodyText">
    <w:name w:val="Body Text"/>
    <w:basedOn w:val="Normal"/>
    <w:link w:val="BodyTextChar"/>
    <w:uiPriority w:val="99"/>
    <w:unhideWhenUsed/>
    <w:rsid w:val="00AD4E7D"/>
    <w:pPr>
      <w:spacing w:after="120"/>
    </w:pPr>
    <w:rPr>
      <w:lang w:eastAsia="en-US"/>
    </w:rPr>
  </w:style>
  <w:style w:type="character" w:customStyle="1" w:styleId="BodyTextChar">
    <w:name w:val="Body Text Char"/>
    <w:basedOn w:val="DefaultParagraphFont"/>
    <w:link w:val="BodyText"/>
    <w:uiPriority w:val="99"/>
    <w:rsid w:val="00AD4E7D"/>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5D488E"/>
    <w:rPr>
      <w:sz w:val="16"/>
      <w:szCs w:val="16"/>
    </w:rPr>
  </w:style>
  <w:style w:type="paragraph" w:styleId="CommentText">
    <w:name w:val="annotation text"/>
    <w:basedOn w:val="Normal"/>
    <w:link w:val="CommentTextChar"/>
    <w:uiPriority w:val="99"/>
    <w:semiHidden/>
    <w:unhideWhenUsed/>
    <w:rsid w:val="005D488E"/>
    <w:rPr>
      <w:sz w:val="20"/>
      <w:szCs w:val="20"/>
      <w:lang w:eastAsia="en-US"/>
    </w:rPr>
  </w:style>
  <w:style w:type="character" w:customStyle="1" w:styleId="CommentTextChar">
    <w:name w:val="Comment Text Char"/>
    <w:basedOn w:val="DefaultParagraphFont"/>
    <w:link w:val="CommentText"/>
    <w:uiPriority w:val="99"/>
    <w:semiHidden/>
    <w:rsid w:val="005D488E"/>
    <w:rPr>
      <w:rFonts w:ascii="Times New Roman" w:eastAsia="Times New Roman" w:hAnsi="Times New Roman" w:cs="Times New Roman"/>
      <w:sz w:val="20"/>
      <w:szCs w:val="20"/>
      <w:lang w:val="en-US"/>
    </w:rPr>
  </w:style>
  <w:style w:type="character" w:customStyle="1" w:styleId="ParagraphChar">
    <w:name w:val="Paragraph Char"/>
    <w:aliases w:val="p Char,PARAGRAPH Char,PG Char,pa Char,at Char,paragraph Char"/>
    <w:basedOn w:val="DefaultParagraphFont"/>
    <w:link w:val="Paragraph"/>
    <w:rsid w:val="00295B9F"/>
    <w:rPr>
      <w:rFonts w:ascii="Times New Roman" w:eastAsia="Times New Roman" w:hAnsi="Times New Roman" w:cs="Times New Roman"/>
      <w:sz w:val="24"/>
      <w:szCs w:val="20"/>
    </w:rPr>
  </w:style>
  <w:style w:type="paragraph" w:customStyle="1" w:styleId="Char2">
    <w:name w:val="Char2"/>
    <w:basedOn w:val="Normal"/>
    <w:link w:val="FootnoteReference"/>
    <w:qFormat/>
    <w:rsid w:val="00295B9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elacomgrade1">
    <w:name w:val="Tabela com grade1"/>
    <w:basedOn w:val="TableNormal"/>
    <w:next w:val="TableGrid"/>
    <w:uiPriority w:val="39"/>
    <w:rsid w:val="001D69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55B84"/>
    <w:rPr>
      <w:b/>
      <w:bCs/>
    </w:rPr>
  </w:style>
  <w:style w:type="character" w:customStyle="1" w:styleId="CommentSubjectChar">
    <w:name w:val="Comment Subject Char"/>
    <w:basedOn w:val="CommentTextChar"/>
    <w:link w:val="CommentSubject"/>
    <w:uiPriority w:val="99"/>
    <w:semiHidden/>
    <w:rsid w:val="00055B84"/>
    <w:rPr>
      <w:rFonts w:ascii="Times New Roman" w:eastAsia="Times New Roman" w:hAnsi="Times New Roman" w:cs="Times New Roman"/>
      <w:b/>
      <w:bCs/>
      <w:sz w:val="20"/>
      <w:szCs w:val="20"/>
      <w:lang w:val="en-US"/>
    </w:rPr>
  </w:style>
  <w:style w:type="character" w:customStyle="1" w:styleId="hps">
    <w:name w:val="hps"/>
    <w:basedOn w:val="DefaultParagraphFont"/>
    <w:rsid w:val="006F20F1"/>
  </w:style>
  <w:style w:type="numbering" w:customStyle="1" w:styleId="Estilo2">
    <w:name w:val="Estilo2"/>
    <w:uiPriority w:val="99"/>
    <w:rsid w:val="007C35D8"/>
    <w:pPr>
      <w:numPr>
        <w:numId w:val="12"/>
      </w:numPr>
    </w:pPr>
  </w:style>
  <w:style w:type="numbering" w:customStyle="1" w:styleId="Estilo1">
    <w:name w:val="Estilo1"/>
    <w:uiPriority w:val="99"/>
    <w:rsid w:val="00DA270B"/>
    <w:pPr>
      <w:numPr>
        <w:numId w:val="13"/>
      </w:numPr>
    </w:pPr>
  </w:style>
  <w:style w:type="numbering" w:customStyle="1" w:styleId="Estilo4">
    <w:name w:val="Estilo4"/>
    <w:uiPriority w:val="99"/>
    <w:rsid w:val="00490F67"/>
    <w:pPr>
      <w:numPr>
        <w:numId w:val="14"/>
      </w:numPr>
    </w:pPr>
  </w:style>
  <w:style w:type="character" w:customStyle="1" w:styleId="ListParagraphChar">
    <w:name w:val="List Paragraph Char"/>
    <w:link w:val="ListParagraph"/>
    <w:uiPriority w:val="34"/>
    <w:locked/>
    <w:rsid w:val="00022CBB"/>
    <w:rPr>
      <w:rFonts w:ascii="Times New Roman" w:eastAsia="Times New Roman" w:hAnsi="Times New Roman" w:cs="Times New Roman"/>
      <w:sz w:val="24"/>
      <w:szCs w:val="24"/>
    </w:rPr>
  </w:style>
  <w:style w:type="numbering" w:customStyle="1" w:styleId="Estilo12">
    <w:name w:val="Estilo12"/>
    <w:uiPriority w:val="99"/>
    <w:rsid w:val="00904D80"/>
    <w:pPr>
      <w:numPr>
        <w:numId w:val="16"/>
      </w:numPr>
    </w:pPr>
  </w:style>
  <w:style w:type="numbering" w:customStyle="1" w:styleId="Estilo6">
    <w:name w:val="Estilo6"/>
    <w:uiPriority w:val="99"/>
    <w:rsid w:val="00630592"/>
    <w:pPr>
      <w:numPr>
        <w:numId w:val="18"/>
      </w:numPr>
    </w:pPr>
  </w:style>
  <w:style w:type="numbering" w:customStyle="1" w:styleId="Estilo3">
    <w:name w:val="Estilo3"/>
    <w:uiPriority w:val="99"/>
    <w:rsid w:val="007721FE"/>
    <w:pPr>
      <w:numPr>
        <w:numId w:val="19"/>
      </w:numPr>
    </w:pPr>
  </w:style>
  <w:style w:type="paragraph" w:customStyle="1" w:styleId="western">
    <w:name w:val="western"/>
    <w:basedOn w:val="Normal"/>
    <w:rsid w:val="00CF2CC9"/>
    <w:pPr>
      <w:spacing w:before="100" w:beforeAutospacing="1" w:after="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669">
      <w:bodyDiv w:val="1"/>
      <w:marLeft w:val="0"/>
      <w:marRight w:val="0"/>
      <w:marTop w:val="0"/>
      <w:marBottom w:val="0"/>
      <w:divBdr>
        <w:top w:val="none" w:sz="0" w:space="0" w:color="auto"/>
        <w:left w:val="none" w:sz="0" w:space="0" w:color="auto"/>
        <w:bottom w:val="none" w:sz="0" w:space="0" w:color="auto"/>
        <w:right w:val="none" w:sz="0" w:space="0" w:color="auto"/>
      </w:divBdr>
    </w:div>
    <w:div w:id="9913914">
      <w:bodyDiv w:val="1"/>
      <w:marLeft w:val="0"/>
      <w:marRight w:val="0"/>
      <w:marTop w:val="0"/>
      <w:marBottom w:val="0"/>
      <w:divBdr>
        <w:top w:val="none" w:sz="0" w:space="0" w:color="auto"/>
        <w:left w:val="none" w:sz="0" w:space="0" w:color="auto"/>
        <w:bottom w:val="none" w:sz="0" w:space="0" w:color="auto"/>
        <w:right w:val="none" w:sz="0" w:space="0" w:color="auto"/>
      </w:divBdr>
    </w:div>
    <w:div w:id="11493080">
      <w:bodyDiv w:val="1"/>
      <w:marLeft w:val="0"/>
      <w:marRight w:val="0"/>
      <w:marTop w:val="0"/>
      <w:marBottom w:val="0"/>
      <w:divBdr>
        <w:top w:val="none" w:sz="0" w:space="0" w:color="auto"/>
        <w:left w:val="none" w:sz="0" w:space="0" w:color="auto"/>
        <w:bottom w:val="none" w:sz="0" w:space="0" w:color="auto"/>
        <w:right w:val="none" w:sz="0" w:space="0" w:color="auto"/>
      </w:divBdr>
    </w:div>
    <w:div w:id="21904964">
      <w:bodyDiv w:val="1"/>
      <w:marLeft w:val="0"/>
      <w:marRight w:val="0"/>
      <w:marTop w:val="0"/>
      <w:marBottom w:val="0"/>
      <w:divBdr>
        <w:top w:val="none" w:sz="0" w:space="0" w:color="auto"/>
        <w:left w:val="none" w:sz="0" w:space="0" w:color="auto"/>
        <w:bottom w:val="none" w:sz="0" w:space="0" w:color="auto"/>
        <w:right w:val="none" w:sz="0" w:space="0" w:color="auto"/>
      </w:divBdr>
    </w:div>
    <w:div w:id="23412799">
      <w:bodyDiv w:val="1"/>
      <w:marLeft w:val="0"/>
      <w:marRight w:val="0"/>
      <w:marTop w:val="0"/>
      <w:marBottom w:val="0"/>
      <w:divBdr>
        <w:top w:val="none" w:sz="0" w:space="0" w:color="auto"/>
        <w:left w:val="none" w:sz="0" w:space="0" w:color="auto"/>
        <w:bottom w:val="none" w:sz="0" w:space="0" w:color="auto"/>
        <w:right w:val="none" w:sz="0" w:space="0" w:color="auto"/>
      </w:divBdr>
    </w:div>
    <w:div w:id="25449451">
      <w:bodyDiv w:val="1"/>
      <w:marLeft w:val="0"/>
      <w:marRight w:val="0"/>
      <w:marTop w:val="0"/>
      <w:marBottom w:val="0"/>
      <w:divBdr>
        <w:top w:val="none" w:sz="0" w:space="0" w:color="auto"/>
        <w:left w:val="none" w:sz="0" w:space="0" w:color="auto"/>
        <w:bottom w:val="none" w:sz="0" w:space="0" w:color="auto"/>
        <w:right w:val="none" w:sz="0" w:space="0" w:color="auto"/>
      </w:divBdr>
    </w:div>
    <w:div w:id="25521988">
      <w:bodyDiv w:val="1"/>
      <w:marLeft w:val="0"/>
      <w:marRight w:val="0"/>
      <w:marTop w:val="0"/>
      <w:marBottom w:val="0"/>
      <w:divBdr>
        <w:top w:val="none" w:sz="0" w:space="0" w:color="auto"/>
        <w:left w:val="none" w:sz="0" w:space="0" w:color="auto"/>
        <w:bottom w:val="none" w:sz="0" w:space="0" w:color="auto"/>
        <w:right w:val="none" w:sz="0" w:space="0" w:color="auto"/>
      </w:divBdr>
    </w:div>
    <w:div w:id="27264077">
      <w:bodyDiv w:val="1"/>
      <w:marLeft w:val="0"/>
      <w:marRight w:val="0"/>
      <w:marTop w:val="0"/>
      <w:marBottom w:val="0"/>
      <w:divBdr>
        <w:top w:val="none" w:sz="0" w:space="0" w:color="auto"/>
        <w:left w:val="none" w:sz="0" w:space="0" w:color="auto"/>
        <w:bottom w:val="none" w:sz="0" w:space="0" w:color="auto"/>
        <w:right w:val="none" w:sz="0" w:space="0" w:color="auto"/>
      </w:divBdr>
    </w:div>
    <w:div w:id="27723860">
      <w:bodyDiv w:val="1"/>
      <w:marLeft w:val="0"/>
      <w:marRight w:val="0"/>
      <w:marTop w:val="0"/>
      <w:marBottom w:val="0"/>
      <w:divBdr>
        <w:top w:val="none" w:sz="0" w:space="0" w:color="auto"/>
        <w:left w:val="none" w:sz="0" w:space="0" w:color="auto"/>
        <w:bottom w:val="none" w:sz="0" w:space="0" w:color="auto"/>
        <w:right w:val="none" w:sz="0" w:space="0" w:color="auto"/>
      </w:divBdr>
    </w:div>
    <w:div w:id="31466843">
      <w:bodyDiv w:val="1"/>
      <w:marLeft w:val="0"/>
      <w:marRight w:val="0"/>
      <w:marTop w:val="0"/>
      <w:marBottom w:val="0"/>
      <w:divBdr>
        <w:top w:val="none" w:sz="0" w:space="0" w:color="auto"/>
        <w:left w:val="none" w:sz="0" w:space="0" w:color="auto"/>
        <w:bottom w:val="none" w:sz="0" w:space="0" w:color="auto"/>
        <w:right w:val="none" w:sz="0" w:space="0" w:color="auto"/>
      </w:divBdr>
    </w:div>
    <w:div w:id="33387317">
      <w:bodyDiv w:val="1"/>
      <w:marLeft w:val="0"/>
      <w:marRight w:val="0"/>
      <w:marTop w:val="0"/>
      <w:marBottom w:val="0"/>
      <w:divBdr>
        <w:top w:val="none" w:sz="0" w:space="0" w:color="auto"/>
        <w:left w:val="none" w:sz="0" w:space="0" w:color="auto"/>
        <w:bottom w:val="none" w:sz="0" w:space="0" w:color="auto"/>
        <w:right w:val="none" w:sz="0" w:space="0" w:color="auto"/>
      </w:divBdr>
    </w:div>
    <w:div w:id="34165156">
      <w:bodyDiv w:val="1"/>
      <w:marLeft w:val="0"/>
      <w:marRight w:val="0"/>
      <w:marTop w:val="0"/>
      <w:marBottom w:val="0"/>
      <w:divBdr>
        <w:top w:val="none" w:sz="0" w:space="0" w:color="auto"/>
        <w:left w:val="none" w:sz="0" w:space="0" w:color="auto"/>
        <w:bottom w:val="none" w:sz="0" w:space="0" w:color="auto"/>
        <w:right w:val="none" w:sz="0" w:space="0" w:color="auto"/>
      </w:divBdr>
    </w:div>
    <w:div w:id="34811622">
      <w:bodyDiv w:val="1"/>
      <w:marLeft w:val="0"/>
      <w:marRight w:val="0"/>
      <w:marTop w:val="0"/>
      <w:marBottom w:val="0"/>
      <w:divBdr>
        <w:top w:val="none" w:sz="0" w:space="0" w:color="auto"/>
        <w:left w:val="none" w:sz="0" w:space="0" w:color="auto"/>
        <w:bottom w:val="none" w:sz="0" w:space="0" w:color="auto"/>
        <w:right w:val="none" w:sz="0" w:space="0" w:color="auto"/>
      </w:divBdr>
    </w:div>
    <w:div w:id="37779307">
      <w:bodyDiv w:val="1"/>
      <w:marLeft w:val="0"/>
      <w:marRight w:val="0"/>
      <w:marTop w:val="0"/>
      <w:marBottom w:val="0"/>
      <w:divBdr>
        <w:top w:val="none" w:sz="0" w:space="0" w:color="auto"/>
        <w:left w:val="none" w:sz="0" w:space="0" w:color="auto"/>
        <w:bottom w:val="none" w:sz="0" w:space="0" w:color="auto"/>
        <w:right w:val="none" w:sz="0" w:space="0" w:color="auto"/>
      </w:divBdr>
    </w:div>
    <w:div w:id="42874039">
      <w:bodyDiv w:val="1"/>
      <w:marLeft w:val="0"/>
      <w:marRight w:val="0"/>
      <w:marTop w:val="0"/>
      <w:marBottom w:val="0"/>
      <w:divBdr>
        <w:top w:val="none" w:sz="0" w:space="0" w:color="auto"/>
        <w:left w:val="none" w:sz="0" w:space="0" w:color="auto"/>
        <w:bottom w:val="none" w:sz="0" w:space="0" w:color="auto"/>
        <w:right w:val="none" w:sz="0" w:space="0" w:color="auto"/>
      </w:divBdr>
    </w:div>
    <w:div w:id="45688133">
      <w:bodyDiv w:val="1"/>
      <w:marLeft w:val="0"/>
      <w:marRight w:val="0"/>
      <w:marTop w:val="0"/>
      <w:marBottom w:val="0"/>
      <w:divBdr>
        <w:top w:val="none" w:sz="0" w:space="0" w:color="auto"/>
        <w:left w:val="none" w:sz="0" w:space="0" w:color="auto"/>
        <w:bottom w:val="none" w:sz="0" w:space="0" w:color="auto"/>
        <w:right w:val="none" w:sz="0" w:space="0" w:color="auto"/>
      </w:divBdr>
    </w:div>
    <w:div w:id="45955399">
      <w:bodyDiv w:val="1"/>
      <w:marLeft w:val="0"/>
      <w:marRight w:val="0"/>
      <w:marTop w:val="0"/>
      <w:marBottom w:val="0"/>
      <w:divBdr>
        <w:top w:val="none" w:sz="0" w:space="0" w:color="auto"/>
        <w:left w:val="none" w:sz="0" w:space="0" w:color="auto"/>
        <w:bottom w:val="none" w:sz="0" w:space="0" w:color="auto"/>
        <w:right w:val="none" w:sz="0" w:space="0" w:color="auto"/>
      </w:divBdr>
    </w:div>
    <w:div w:id="46997637">
      <w:bodyDiv w:val="1"/>
      <w:marLeft w:val="0"/>
      <w:marRight w:val="0"/>
      <w:marTop w:val="0"/>
      <w:marBottom w:val="0"/>
      <w:divBdr>
        <w:top w:val="none" w:sz="0" w:space="0" w:color="auto"/>
        <w:left w:val="none" w:sz="0" w:space="0" w:color="auto"/>
        <w:bottom w:val="none" w:sz="0" w:space="0" w:color="auto"/>
        <w:right w:val="none" w:sz="0" w:space="0" w:color="auto"/>
      </w:divBdr>
    </w:div>
    <w:div w:id="51543476">
      <w:bodyDiv w:val="1"/>
      <w:marLeft w:val="0"/>
      <w:marRight w:val="0"/>
      <w:marTop w:val="0"/>
      <w:marBottom w:val="0"/>
      <w:divBdr>
        <w:top w:val="none" w:sz="0" w:space="0" w:color="auto"/>
        <w:left w:val="none" w:sz="0" w:space="0" w:color="auto"/>
        <w:bottom w:val="none" w:sz="0" w:space="0" w:color="auto"/>
        <w:right w:val="none" w:sz="0" w:space="0" w:color="auto"/>
      </w:divBdr>
    </w:div>
    <w:div w:id="52430465">
      <w:bodyDiv w:val="1"/>
      <w:marLeft w:val="0"/>
      <w:marRight w:val="0"/>
      <w:marTop w:val="0"/>
      <w:marBottom w:val="0"/>
      <w:divBdr>
        <w:top w:val="none" w:sz="0" w:space="0" w:color="auto"/>
        <w:left w:val="none" w:sz="0" w:space="0" w:color="auto"/>
        <w:bottom w:val="none" w:sz="0" w:space="0" w:color="auto"/>
        <w:right w:val="none" w:sz="0" w:space="0" w:color="auto"/>
      </w:divBdr>
    </w:div>
    <w:div w:id="56131186">
      <w:bodyDiv w:val="1"/>
      <w:marLeft w:val="0"/>
      <w:marRight w:val="0"/>
      <w:marTop w:val="0"/>
      <w:marBottom w:val="0"/>
      <w:divBdr>
        <w:top w:val="none" w:sz="0" w:space="0" w:color="auto"/>
        <w:left w:val="none" w:sz="0" w:space="0" w:color="auto"/>
        <w:bottom w:val="none" w:sz="0" w:space="0" w:color="auto"/>
        <w:right w:val="none" w:sz="0" w:space="0" w:color="auto"/>
      </w:divBdr>
    </w:div>
    <w:div w:id="56244587">
      <w:bodyDiv w:val="1"/>
      <w:marLeft w:val="0"/>
      <w:marRight w:val="0"/>
      <w:marTop w:val="0"/>
      <w:marBottom w:val="0"/>
      <w:divBdr>
        <w:top w:val="none" w:sz="0" w:space="0" w:color="auto"/>
        <w:left w:val="none" w:sz="0" w:space="0" w:color="auto"/>
        <w:bottom w:val="none" w:sz="0" w:space="0" w:color="auto"/>
        <w:right w:val="none" w:sz="0" w:space="0" w:color="auto"/>
      </w:divBdr>
    </w:div>
    <w:div w:id="60640981">
      <w:bodyDiv w:val="1"/>
      <w:marLeft w:val="0"/>
      <w:marRight w:val="0"/>
      <w:marTop w:val="0"/>
      <w:marBottom w:val="0"/>
      <w:divBdr>
        <w:top w:val="none" w:sz="0" w:space="0" w:color="auto"/>
        <w:left w:val="none" w:sz="0" w:space="0" w:color="auto"/>
        <w:bottom w:val="none" w:sz="0" w:space="0" w:color="auto"/>
        <w:right w:val="none" w:sz="0" w:space="0" w:color="auto"/>
      </w:divBdr>
    </w:div>
    <w:div w:id="73745187">
      <w:bodyDiv w:val="1"/>
      <w:marLeft w:val="0"/>
      <w:marRight w:val="0"/>
      <w:marTop w:val="0"/>
      <w:marBottom w:val="0"/>
      <w:divBdr>
        <w:top w:val="none" w:sz="0" w:space="0" w:color="auto"/>
        <w:left w:val="none" w:sz="0" w:space="0" w:color="auto"/>
        <w:bottom w:val="none" w:sz="0" w:space="0" w:color="auto"/>
        <w:right w:val="none" w:sz="0" w:space="0" w:color="auto"/>
      </w:divBdr>
    </w:div>
    <w:div w:id="74981538">
      <w:bodyDiv w:val="1"/>
      <w:marLeft w:val="0"/>
      <w:marRight w:val="0"/>
      <w:marTop w:val="0"/>
      <w:marBottom w:val="0"/>
      <w:divBdr>
        <w:top w:val="none" w:sz="0" w:space="0" w:color="auto"/>
        <w:left w:val="none" w:sz="0" w:space="0" w:color="auto"/>
        <w:bottom w:val="none" w:sz="0" w:space="0" w:color="auto"/>
        <w:right w:val="none" w:sz="0" w:space="0" w:color="auto"/>
      </w:divBdr>
    </w:div>
    <w:div w:id="79789860">
      <w:bodyDiv w:val="1"/>
      <w:marLeft w:val="0"/>
      <w:marRight w:val="0"/>
      <w:marTop w:val="0"/>
      <w:marBottom w:val="0"/>
      <w:divBdr>
        <w:top w:val="none" w:sz="0" w:space="0" w:color="auto"/>
        <w:left w:val="none" w:sz="0" w:space="0" w:color="auto"/>
        <w:bottom w:val="none" w:sz="0" w:space="0" w:color="auto"/>
        <w:right w:val="none" w:sz="0" w:space="0" w:color="auto"/>
      </w:divBdr>
    </w:div>
    <w:div w:id="81686432">
      <w:bodyDiv w:val="1"/>
      <w:marLeft w:val="0"/>
      <w:marRight w:val="0"/>
      <w:marTop w:val="0"/>
      <w:marBottom w:val="0"/>
      <w:divBdr>
        <w:top w:val="none" w:sz="0" w:space="0" w:color="auto"/>
        <w:left w:val="none" w:sz="0" w:space="0" w:color="auto"/>
        <w:bottom w:val="none" w:sz="0" w:space="0" w:color="auto"/>
        <w:right w:val="none" w:sz="0" w:space="0" w:color="auto"/>
      </w:divBdr>
    </w:div>
    <w:div w:id="84114157">
      <w:bodyDiv w:val="1"/>
      <w:marLeft w:val="0"/>
      <w:marRight w:val="0"/>
      <w:marTop w:val="0"/>
      <w:marBottom w:val="0"/>
      <w:divBdr>
        <w:top w:val="none" w:sz="0" w:space="0" w:color="auto"/>
        <w:left w:val="none" w:sz="0" w:space="0" w:color="auto"/>
        <w:bottom w:val="none" w:sz="0" w:space="0" w:color="auto"/>
        <w:right w:val="none" w:sz="0" w:space="0" w:color="auto"/>
      </w:divBdr>
    </w:div>
    <w:div w:id="89085541">
      <w:bodyDiv w:val="1"/>
      <w:marLeft w:val="0"/>
      <w:marRight w:val="0"/>
      <w:marTop w:val="0"/>
      <w:marBottom w:val="0"/>
      <w:divBdr>
        <w:top w:val="none" w:sz="0" w:space="0" w:color="auto"/>
        <w:left w:val="none" w:sz="0" w:space="0" w:color="auto"/>
        <w:bottom w:val="none" w:sz="0" w:space="0" w:color="auto"/>
        <w:right w:val="none" w:sz="0" w:space="0" w:color="auto"/>
      </w:divBdr>
    </w:div>
    <w:div w:id="100347851">
      <w:bodyDiv w:val="1"/>
      <w:marLeft w:val="0"/>
      <w:marRight w:val="0"/>
      <w:marTop w:val="0"/>
      <w:marBottom w:val="0"/>
      <w:divBdr>
        <w:top w:val="none" w:sz="0" w:space="0" w:color="auto"/>
        <w:left w:val="none" w:sz="0" w:space="0" w:color="auto"/>
        <w:bottom w:val="none" w:sz="0" w:space="0" w:color="auto"/>
        <w:right w:val="none" w:sz="0" w:space="0" w:color="auto"/>
      </w:divBdr>
    </w:div>
    <w:div w:id="103119060">
      <w:bodyDiv w:val="1"/>
      <w:marLeft w:val="0"/>
      <w:marRight w:val="0"/>
      <w:marTop w:val="0"/>
      <w:marBottom w:val="0"/>
      <w:divBdr>
        <w:top w:val="none" w:sz="0" w:space="0" w:color="auto"/>
        <w:left w:val="none" w:sz="0" w:space="0" w:color="auto"/>
        <w:bottom w:val="none" w:sz="0" w:space="0" w:color="auto"/>
        <w:right w:val="none" w:sz="0" w:space="0" w:color="auto"/>
      </w:divBdr>
    </w:div>
    <w:div w:id="105779621">
      <w:bodyDiv w:val="1"/>
      <w:marLeft w:val="0"/>
      <w:marRight w:val="0"/>
      <w:marTop w:val="0"/>
      <w:marBottom w:val="0"/>
      <w:divBdr>
        <w:top w:val="none" w:sz="0" w:space="0" w:color="auto"/>
        <w:left w:val="none" w:sz="0" w:space="0" w:color="auto"/>
        <w:bottom w:val="none" w:sz="0" w:space="0" w:color="auto"/>
        <w:right w:val="none" w:sz="0" w:space="0" w:color="auto"/>
      </w:divBdr>
    </w:div>
    <w:div w:id="106777244">
      <w:bodyDiv w:val="1"/>
      <w:marLeft w:val="0"/>
      <w:marRight w:val="0"/>
      <w:marTop w:val="0"/>
      <w:marBottom w:val="0"/>
      <w:divBdr>
        <w:top w:val="none" w:sz="0" w:space="0" w:color="auto"/>
        <w:left w:val="none" w:sz="0" w:space="0" w:color="auto"/>
        <w:bottom w:val="none" w:sz="0" w:space="0" w:color="auto"/>
        <w:right w:val="none" w:sz="0" w:space="0" w:color="auto"/>
      </w:divBdr>
    </w:div>
    <w:div w:id="109321214">
      <w:bodyDiv w:val="1"/>
      <w:marLeft w:val="0"/>
      <w:marRight w:val="0"/>
      <w:marTop w:val="0"/>
      <w:marBottom w:val="0"/>
      <w:divBdr>
        <w:top w:val="none" w:sz="0" w:space="0" w:color="auto"/>
        <w:left w:val="none" w:sz="0" w:space="0" w:color="auto"/>
        <w:bottom w:val="none" w:sz="0" w:space="0" w:color="auto"/>
        <w:right w:val="none" w:sz="0" w:space="0" w:color="auto"/>
      </w:divBdr>
    </w:div>
    <w:div w:id="111215744">
      <w:bodyDiv w:val="1"/>
      <w:marLeft w:val="0"/>
      <w:marRight w:val="0"/>
      <w:marTop w:val="0"/>
      <w:marBottom w:val="0"/>
      <w:divBdr>
        <w:top w:val="none" w:sz="0" w:space="0" w:color="auto"/>
        <w:left w:val="none" w:sz="0" w:space="0" w:color="auto"/>
        <w:bottom w:val="none" w:sz="0" w:space="0" w:color="auto"/>
        <w:right w:val="none" w:sz="0" w:space="0" w:color="auto"/>
      </w:divBdr>
    </w:div>
    <w:div w:id="115485951">
      <w:bodyDiv w:val="1"/>
      <w:marLeft w:val="0"/>
      <w:marRight w:val="0"/>
      <w:marTop w:val="0"/>
      <w:marBottom w:val="0"/>
      <w:divBdr>
        <w:top w:val="none" w:sz="0" w:space="0" w:color="auto"/>
        <w:left w:val="none" w:sz="0" w:space="0" w:color="auto"/>
        <w:bottom w:val="none" w:sz="0" w:space="0" w:color="auto"/>
        <w:right w:val="none" w:sz="0" w:space="0" w:color="auto"/>
      </w:divBdr>
    </w:div>
    <w:div w:id="117530935">
      <w:bodyDiv w:val="1"/>
      <w:marLeft w:val="0"/>
      <w:marRight w:val="0"/>
      <w:marTop w:val="0"/>
      <w:marBottom w:val="0"/>
      <w:divBdr>
        <w:top w:val="none" w:sz="0" w:space="0" w:color="auto"/>
        <w:left w:val="none" w:sz="0" w:space="0" w:color="auto"/>
        <w:bottom w:val="none" w:sz="0" w:space="0" w:color="auto"/>
        <w:right w:val="none" w:sz="0" w:space="0" w:color="auto"/>
      </w:divBdr>
    </w:div>
    <w:div w:id="118451011">
      <w:bodyDiv w:val="1"/>
      <w:marLeft w:val="0"/>
      <w:marRight w:val="0"/>
      <w:marTop w:val="0"/>
      <w:marBottom w:val="0"/>
      <w:divBdr>
        <w:top w:val="none" w:sz="0" w:space="0" w:color="auto"/>
        <w:left w:val="none" w:sz="0" w:space="0" w:color="auto"/>
        <w:bottom w:val="none" w:sz="0" w:space="0" w:color="auto"/>
        <w:right w:val="none" w:sz="0" w:space="0" w:color="auto"/>
      </w:divBdr>
    </w:div>
    <w:div w:id="119960721">
      <w:bodyDiv w:val="1"/>
      <w:marLeft w:val="0"/>
      <w:marRight w:val="0"/>
      <w:marTop w:val="0"/>
      <w:marBottom w:val="0"/>
      <w:divBdr>
        <w:top w:val="none" w:sz="0" w:space="0" w:color="auto"/>
        <w:left w:val="none" w:sz="0" w:space="0" w:color="auto"/>
        <w:bottom w:val="none" w:sz="0" w:space="0" w:color="auto"/>
        <w:right w:val="none" w:sz="0" w:space="0" w:color="auto"/>
      </w:divBdr>
    </w:div>
    <w:div w:id="126359308">
      <w:bodyDiv w:val="1"/>
      <w:marLeft w:val="0"/>
      <w:marRight w:val="0"/>
      <w:marTop w:val="0"/>
      <w:marBottom w:val="0"/>
      <w:divBdr>
        <w:top w:val="none" w:sz="0" w:space="0" w:color="auto"/>
        <w:left w:val="none" w:sz="0" w:space="0" w:color="auto"/>
        <w:bottom w:val="none" w:sz="0" w:space="0" w:color="auto"/>
        <w:right w:val="none" w:sz="0" w:space="0" w:color="auto"/>
      </w:divBdr>
    </w:div>
    <w:div w:id="131757930">
      <w:bodyDiv w:val="1"/>
      <w:marLeft w:val="0"/>
      <w:marRight w:val="0"/>
      <w:marTop w:val="0"/>
      <w:marBottom w:val="0"/>
      <w:divBdr>
        <w:top w:val="none" w:sz="0" w:space="0" w:color="auto"/>
        <w:left w:val="none" w:sz="0" w:space="0" w:color="auto"/>
        <w:bottom w:val="none" w:sz="0" w:space="0" w:color="auto"/>
        <w:right w:val="none" w:sz="0" w:space="0" w:color="auto"/>
      </w:divBdr>
    </w:div>
    <w:div w:id="137501567">
      <w:bodyDiv w:val="1"/>
      <w:marLeft w:val="0"/>
      <w:marRight w:val="0"/>
      <w:marTop w:val="0"/>
      <w:marBottom w:val="0"/>
      <w:divBdr>
        <w:top w:val="none" w:sz="0" w:space="0" w:color="auto"/>
        <w:left w:val="none" w:sz="0" w:space="0" w:color="auto"/>
        <w:bottom w:val="none" w:sz="0" w:space="0" w:color="auto"/>
        <w:right w:val="none" w:sz="0" w:space="0" w:color="auto"/>
      </w:divBdr>
    </w:div>
    <w:div w:id="137842882">
      <w:bodyDiv w:val="1"/>
      <w:marLeft w:val="0"/>
      <w:marRight w:val="0"/>
      <w:marTop w:val="0"/>
      <w:marBottom w:val="0"/>
      <w:divBdr>
        <w:top w:val="none" w:sz="0" w:space="0" w:color="auto"/>
        <w:left w:val="none" w:sz="0" w:space="0" w:color="auto"/>
        <w:bottom w:val="none" w:sz="0" w:space="0" w:color="auto"/>
        <w:right w:val="none" w:sz="0" w:space="0" w:color="auto"/>
      </w:divBdr>
    </w:div>
    <w:div w:id="139345186">
      <w:bodyDiv w:val="1"/>
      <w:marLeft w:val="0"/>
      <w:marRight w:val="0"/>
      <w:marTop w:val="0"/>
      <w:marBottom w:val="0"/>
      <w:divBdr>
        <w:top w:val="none" w:sz="0" w:space="0" w:color="auto"/>
        <w:left w:val="none" w:sz="0" w:space="0" w:color="auto"/>
        <w:bottom w:val="none" w:sz="0" w:space="0" w:color="auto"/>
        <w:right w:val="none" w:sz="0" w:space="0" w:color="auto"/>
      </w:divBdr>
    </w:div>
    <w:div w:id="142435002">
      <w:bodyDiv w:val="1"/>
      <w:marLeft w:val="0"/>
      <w:marRight w:val="0"/>
      <w:marTop w:val="0"/>
      <w:marBottom w:val="0"/>
      <w:divBdr>
        <w:top w:val="none" w:sz="0" w:space="0" w:color="auto"/>
        <w:left w:val="none" w:sz="0" w:space="0" w:color="auto"/>
        <w:bottom w:val="none" w:sz="0" w:space="0" w:color="auto"/>
        <w:right w:val="none" w:sz="0" w:space="0" w:color="auto"/>
      </w:divBdr>
    </w:div>
    <w:div w:id="143402373">
      <w:bodyDiv w:val="1"/>
      <w:marLeft w:val="0"/>
      <w:marRight w:val="0"/>
      <w:marTop w:val="0"/>
      <w:marBottom w:val="0"/>
      <w:divBdr>
        <w:top w:val="none" w:sz="0" w:space="0" w:color="auto"/>
        <w:left w:val="none" w:sz="0" w:space="0" w:color="auto"/>
        <w:bottom w:val="none" w:sz="0" w:space="0" w:color="auto"/>
        <w:right w:val="none" w:sz="0" w:space="0" w:color="auto"/>
      </w:divBdr>
    </w:div>
    <w:div w:id="147402673">
      <w:bodyDiv w:val="1"/>
      <w:marLeft w:val="0"/>
      <w:marRight w:val="0"/>
      <w:marTop w:val="0"/>
      <w:marBottom w:val="0"/>
      <w:divBdr>
        <w:top w:val="none" w:sz="0" w:space="0" w:color="auto"/>
        <w:left w:val="none" w:sz="0" w:space="0" w:color="auto"/>
        <w:bottom w:val="none" w:sz="0" w:space="0" w:color="auto"/>
        <w:right w:val="none" w:sz="0" w:space="0" w:color="auto"/>
      </w:divBdr>
    </w:div>
    <w:div w:id="151802094">
      <w:bodyDiv w:val="1"/>
      <w:marLeft w:val="0"/>
      <w:marRight w:val="0"/>
      <w:marTop w:val="0"/>
      <w:marBottom w:val="0"/>
      <w:divBdr>
        <w:top w:val="none" w:sz="0" w:space="0" w:color="auto"/>
        <w:left w:val="none" w:sz="0" w:space="0" w:color="auto"/>
        <w:bottom w:val="none" w:sz="0" w:space="0" w:color="auto"/>
        <w:right w:val="none" w:sz="0" w:space="0" w:color="auto"/>
      </w:divBdr>
    </w:div>
    <w:div w:id="156969399">
      <w:bodyDiv w:val="1"/>
      <w:marLeft w:val="0"/>
      <w:marRight w:val="0"/>
      <w:marTop w:val="0"/>
      <w:marBottom w:val="0"/>
      <w:divBdr>
        <w:top w:val="none" w:sz="0" w:space="0" w:color="auto"/>
        <w:left w:val="none" w:sz="0" w:space="0" w:color="auto"/>
        <w:bottom w:val="none" w:sz="0" w:space="0" w:color="auto"/>
        <w:right w:val="none" w:sz="0" w:space="0" w:color="auto"/>
      </w:divBdr>
    </w:div>
    <w:div w:id="164981048">
      <w:bodyDiv w:val="1"/>
      <w:marLeft w:val="0"/>
      <w:marRight w:val="0"/>
      <w:marTop w:val="0"/>
      <w:marBottom w:val="0"/>
      <w:divBdr>
        <w:top w:val="none" w:sz="0" w:space="0" w:color="auto"/>
        <w:left w:val="none" w:sz="0" w:space="0" w:color="auto"/>
        <w:bottom w:val="none" w:sz="0" w:space="0" w:color="auto"/>
        <w:right w:val="none" w:sz="0" w:space="0" w:color="auto"/>
      </w:divBdr>
    </w:div>
    <w:div w:id="167866026">
      <w:bodyDiv w:val="1"/>
      <w:marLeft w:val="0"/>
      <w:marRight w:val="0"/>
      <w:marTop w:val="0"/>
      <w:marBottom w:val="0"/>
      <w:divBdr>
        <w:top w:val="none" w:sz="0" w:space="0" w:color="auto"/>
        <w:left w:val="none" w:sz="0" w:space="0" w:color="auto"/>
        <w:bottom w:val="none" w:sz="0" w:space="0" w:color="auto"/>
        <w:right w:val="none" w:sz="0" w:space="0" w:color="auto"/>
      </w:divBdr>
    </w:div>
    <w:div w:id="171605469">
      <w:bodyDiv w:val="1"/>
      <w:marLeft w:val="0"/>
      <w:marRight w:val="0"/>
      <w:marTop w:val="0"/>
      <w:marBottom w:val="0"/>
      <w:divBdr>
        <w:top w:val="none" w:sz="0" w:space="0" w:color="auto"/>
        <w:left w:val="none" w:sz="0" w:space="0" w:color="auto"/>
        <w:bottom w:val="none" w:sz="0" w:space="0" w:color="auto"/>
        <w:right w:val="none" w:sz="0" w:space="0" w:color="auto"/>
      </w:divBdr>
    </w:div>
    <w:div w:id="173886023">
      <w:bodyDiv w:val="1"/>
      <w:marLeft w:val="0"/>
      <w:marRight w:val="0"/>
      <w:marTop w:val="0"/>
      <w:marBottom w:val="0"/>
      <w:divBdr>
        <w:top w:val="none" w:sz="0" w:space="0" w:color="auto"/>
        <w:left w:val="none" w:sz="0" w:space="0" w:color="auto"/>
        <w:bottom w:val="none" w:sz="0" w:space="0" w:color="auto"/>
        <w:right w:val="none" w:sz="0" w:space="0" w:color="auto"/>
      </w:divBdr>
    </w:div>
    <w:div w:id="176817695">
      <w:bodyDiv w:val="1"/>
      <w:marLeft w:val="0"/>
      <w:marRight w:val="0"/>
      <w:marTop w:val="0"/>
      <w:marBottom w:val="0"/>
      <w:divBdr>
        <w:top w:val="none" w:sz="0" w:space="0" w:color="auto"/>
        <w:left w:val="none" w:sz="0" w:space="0" w:color="auto"/>
        <w:bottom w:val="none" w:sz="0" w:space="0" w:color="auto"/>
        <w:right w:val="none" w:sz="0" w:space="0" w:color="auto"/>
      </w:divBdr>
    </w:div>
    <w:div w:id="179704199">
      <w:bodyDiv w:val="1"/>
      <w:marLeft w:val="0"/>
      <w:marRight w:val="0"/>
      <w:marTop w:val="0"/>
      <w:marBottom w:val="0"/>
      <w:divBdr>
        <w:top w:val="none" w:sz="0" w:space="0" w:color="auto"/>
        <w:left w:val="none" w:sz="0" w:space="0" w:color="auto"/>
        <w:bottom w:val="none" w:sz="0" w:space="0" w:color="auto"/>
        <w:right w:val="none" w:sz="0" w:space="0" w:color="auto"/>
      </w:divBdr>
    </w:div>
    <w:div w:id="179784525">
      <w:bodyDiv w:val="1"/>
      <w:marLeft w:val="0"/>
      <w:marRight w:val="0"/>
      <w:marTop w:val="0"/>
      <w:marBottom w:val="0"/>
      <w:divBdr>
        <w:top w:val="none" w:sz="0" w:space="0" w:color="auto"/>
        <w:left w:val="none" w:sz="0" w:space="0" w:color="auto"/>
        <w:bottom w:val="none" w:sz="0" w:space="0" w:color="auto"/>
        <w:right w:val="none" w:sz="0" w:space="0" w:color="auto"/>
      </w:divBdr>
    </w:div>
    <w:div w:id="181479572">
      <w:bodyDiv w:val="1"/>
      <w:marLeft w:val="0"/>
      <w:marRight w:val="0"/>
      <w:marTop w:val="0"/>
      <w:marBottom w:val="0"/>
      <w:divBdr>
        <w:top w:val="none" w:sz="0" w:space="0" w:color="auto"/>
        <w:left w:val="none" w:sz="0" w:space="0" w:color="auto"/>
        <w:bottom w:val="none" w:sz="0" w:space="0" w:color="auto"/>
        <w:right w:val="none" w:sz="0" w:space="0" w:color="auto"/>
      </w:divBdr>
    </w:div>
    <w:div w:id="183979491">
      <w:bodyDiv w:val="1"/>
      <w:marLeft w:val="0"/>
      <w:marRight w:val="0"/>
      <w:marTop w:val="0"/>
      <w:marBottom w:val="0"/>
      <w:divBdr>
        <w:top w:val="none" w:sz="0" w:space="0" w:color="auto"/>
        <w:left w:val="none" w:sz="0" w:space="0" w:color="auto"/>
        <w:bottom w:val="none" w:sz="0" w:space="0" w:color="auto"/>
        <w:right w:val="none" w:sz="0" w:space="0" w:color="auto"/>
      </w:divBdr>
    </w:div>
    <w:div w:id="188878589">
      <w:bodyDiv w:val="1"/>
      <w:marLeft w:val="0"/>
      <w:marRight w:val="0"/>
      <w:marTop w:val="0"/>
      <w:marBottom w:val="0"/>
      <w:divBdr>
        <w:top w:val="none" w:sz="0" w:space="0" w:color="auto"/>
        <w:left w:val="none" w:sz="0" w:space="0" w:color="auto"/>
        <w:bottom w:val="none" w:sz="0" w:space="0" w:color="auto"/>
        <w:right w:val="none" w:sz="0" w:space="0" w:color="auto"/>
      </w:divBdr>
    </w:div>
    <w:div w:id="191654495">
      <w:bodyDiv w:val="1"/>
      <w:marLeft w:val="0"/>
      <w:marRight w:val="0"/>
      <w:marTop w:val="0"/>
      <w:marBottom w:val="0"/>
      <w:divBdr>
        <w:top w:val="none" w:sz="0" w:space="0" w:color="auto"/>
        <w:left w:val="none" w:sz="0" w:space="0" w:color="auto"/>
        <w:bottom w:val="none" w:sz="0" w:space="0" w:color="auto"/>
        <w:right w:val="none" w:sz="0" w:space="0" w:color="auto"/>
      </w:divBdr>
    </w:div>
    <w:div w:id="193276621">
      <w:bodyDiv w:val="1"/>
      <w:marLeft w:val="0"/>
      <w:marRight w:val="0"/>
      <w:marTop w:val="0"/>
      <w:marBottom w:val="0"/>
      <w:divBdr>
        <w:top w:val="none" w:sz="0" w:space="0" w:color="auto"/>
        <w:left w:val="none" w:sz="0" w:space="0" w:color="auto"/>
        <w:bottom w:val="none" w:sz="0" w:space="0" w:color="auto"/>
        <w:right w:val="none" w:sz="0" w:space="0" w:color="auto"/>
      </w:divBdr>
    </w:div>
    <w:div w:id="196282287">
      <w:bodyDiv w:val="1"/>
      <w:marLeft w:val="0"/>
      <w:marRight w:val="0"/>
      <w:marTop w:val="0"/>
      <w:marBottom w:val="0"/>
      <w:divBdr>
        <w:top w:val="none" w:sz="0" w:space="0" w:color="auto"/>
        <w:left w:val="none" w:sz="0" w:space="0" w:color="auto"/>
        <w:bottom w:val="none" w:sz="0" w:space="0" w:color="auto"/>
        <w:right w:val="none" w:sz="0" w:space="0" w:color="auto"/>
      </w:divBdr>
    </w:div>
    <w:div w:id="197083275">
      <w:bodyDiv w:val="1"/>
      <w:marLeft w:val="0"/>
      <w:marRight w:val="0"/>
      <w:marTop w:val="0"/>
      <w:marBottom w:val="0"/>
      <w:divBdr>
        <w:top w:val="none" w:sz="0" w:space="0" w:color="auto"/>
        <w:left w:val="none" w:sz="0" w:space="0" w:color="auto"/>
        <w:bottom w:val="none" w:sz="0" w:space="0" w:color="auto"/>
        <w:right w:val="none" w:sz="0" w:space="0" w:color="auto"/>
      </w:divBdr>
    </w:div>
    <w:div w:id="197132626">
      <w:bodyDiv w:val="1"/>
      <w:marLeft w:val="0"/>
      <w:marRight w:val="0"/>
      <w:marTop w:val="0"/>
      <w:marBottom w:val="0"/>
      <w:divBdr>
        <w:top w:val="none" w:sz="0" w:space="0" w:color="auto"/>
        <w:left w:val="none" w:sz="0" w:space="0" w:color="auto"/>
        <w:bottom w:val="none" w:sz="0" w:space="0" w:color="auto"/>
        <w:right w:val="none" w:sz="0" w:space="0" w:color="auto"/>
      </w:divBdr>
    </w:div>
    <w:div w:id="199902303">
      <w:bodyDiv w:val="1"/>
      <w:marLeft w:val="0"/>
      <w:marRight w:val="0"/>
      <w:marTop w:val="0"/>
      <w:marBottom w:val="0"/>
      <w:divBdr>
        <w:top w:val="none" w:sz="0" w:space="0" w:color="auto"/>
        <w:left w:val="none" w:sz="0" w:space="0" w:color="auto"/>
        <w:bottom w:val="none" w:sz="0" w:space="0" w:color="auto"/>
        <w:right w:val="none" w:sz="0" w:space="0" w:color="auto"/>
      </w:divBdr>
    </w:div>
    <w:div w:id="213544063">
      <w:bodyDiv w:val="1"/>
      <w:marLeft w:val="0"/>
      <w:marRight w:val="0"/>
      <w:marTop w:val="0"/>
      <w:marBottom w:val="0"/>
      <w:divBdr>
        <w:top w:val="none" w:sz="0" w:space="0" w:color="auto"/>
        <w:left w:val="none" w:sz="0" w:space="0" w:color="auto"/>
        <w:bottom w:val="none" w:sz="0" w:space="0" w:color="auto"/>
        <w:right w:val="none" w:sz="0" w:space="0" w:color="auto"/>
      </w:divBdr>
    </w:div>
    <w:div w:id="218446379">
      <w:bodyDiv w:val="1"/>
      <w:marLeft w:val="0"/>
      <w:marRight w:val="0"/>
      <w:marTop w:val="0"/>
      <w:marBottom w:val="0"/>
      <w:divBdr>
        <w:top w:val="none" w:sz="0" w:space="0" w:color="auto"/>
        <w:left w:val="none" w:sz="0" w:space="0" w:color="auto"/>
        <w:bottom w:val="none" w:sz="0" w:space="0" w:color="auto"/>
        <w:right w:val="none" w:sz="0" w:space="0" w:color="auto"/>
      </w:divBdr>
    </w:div>
    <w:div w:id="220529438">
      <w:bodyDiv w:val="1"/>
      <w:marLeft w:val="0"/>
      <w:marRight w:val="0"/>
      <w:marTop w:val="0"/>
      <w:marBottom w:val="0"/>
      <w:divBdr>
        <w:top w:val="none" w:sz="0" w:space="0" w:color="auto"/>
        <w:left w:val="none" w:sz="0" w:space="0" w:color="auto"/>
        <w:bottom w:val="none" w:sz="0" w:space="0" w:color="auto"/>
        <w:right w:val="none" w:sz="0" w:space="0" w:color="auto"/>
      </w:divBdr>
    </w:div>
    <w:div w:id="228422341">
      <w:bodyDiv w:val="1"/>
      <w:marLeft w:val="0"/>
      <w:marRight w:val="0"/>
      <w:marTop w:val="0"/>
      <w:marBottom w:val="0"/>
      <w:divBdr>
        <w:top w:val="none" w:sz="0" w:space="0" w:color="auto"/>
        <w:left w:val="none" w:sz="0" w:space="0" w:color="auto"/>
        <w:bottom w:val="none" w:sz="0" w:space="0" w:color="auto"/>
        <w:right w:val="none" w:sz="0" w:space="0" w:color="auto"/>
      </w:divBdr>
    </w:div>
    <w:div w:id="228465412">
      <w:bodyDiv w:val="1"/>
      <w:marLeft w:val="0"/>
      <w:marRight w:val="0"/>
      <w:marTop w:val="0"/>
      <w:marBottom w:val="0"/>
      <w:divBdr>
        <w:top w:val="none" w:sz="0" w:space="0" w:color="auto"/>
        <w:left w:val="none" w:sz="0" w:space="0" w:color="auto"/>
        <w:bottom w:val="none" w:sz="0" w:space="0" w:color="auto"/>
        <w:right w:val="none" w:sz="0" w:space="0" w:color="auto"/>
      </w:divBdr>
    </w:div>
    <w:div w:id="229929395">
      <w:bodyDiv w:val="1"/>
      <w:marLeft w:val="0"/>
      <w:marRight w:val="0"/>
      <w:marTop w:val="0"/>
      <w:marBottom w:val="0"/>
      <w:divBdr>
        <w:top w:val="none" w:sz="0" w:space="0" w:color="auto"/>
        <w:left w:val="none" w:sz="0" w:space="0" w:color="auto"/>
        <w:bottom w:val="none" w:sz="0" w:space="0" w:color="auto"/>
        <w:right w:val="none" w:sz="0" w:space="0" w:color="auto"/>
      </w:divBdr>
    </w:div>
    <w:div w:id="230387688">
      <w:bodyDiv w:val="1"/>
      <w:marLeft w:val="0"/>
      <w:marRight w:val="0"/>
      <w:marTop w:val="0"/>
      <w:marBottom w:val="0"/>
      <w:divBdr>
        <w:top w:val="none" w:sz="0" w:space="0" w:color="auto"/>
        <w:left w:val="none" w:sz="0" w:space="0" w:color="auto"/>
        <w:bottom w:val="none" w:sz="0" w:space="0" w:color="auto"/>
        <w:right w:val="none" w:sz="0" w:space="0" w:color="auto"/>
      </w:divBdr>
    </w:div>
    <w:div w:id="235169147">
      <w:bodyDiv w:val="1"/>
      <w:marLeft w:val="0"/>
      <w:marRight w:val="0"/>
      <w:marTop w:val="0"/>
      <w:marBottom w:val="0"/>
      <w:divBdr>
        <w:top w:val="none" w:sz="0" w:space="0" w:color="auto"/>
        <w:left w:val="none" w:sz="0" w:space="0" w:color="auto"/>
        <w:bottom w:val="none" w:sz="0" w:space="0" w:color="auto"/>
        <w:right w:val="none" w:sz="0" w:space="0" w:color="auto"/>
      </w:divBdr>
    </w:div>
    <w:div w:id="237443179">
      <w:bodyDiv w:val="1"/>
      <w:marLeft w:val="0"/>
      <w:marRight w:val="0"/>
      <w:marTop w:val="0"/>
      <w:marBottom w:val="0"/>
      <w:divBdr>
        <w:top w:val="none" w:sz="0" w:space="0" w:color="auto"/>
        <w:left w:val="none" w:sz="0" w:space="0" w:color="auto"/>
        <w:bottom w:val="none" w:sz="0" w:space="0" w:color="auto"/>
        <w:right w:val="none" w:sz="0" w:space="0" w:color="auto"/>
      </w:divBdr>
    </w:div>
    <w:div w:id="238560835">
      <w:bodyDiv w:val="1"/>
      <w:marLeft w:val="0"/>
      <w:marRight w:val="0"/>
      <w:marTop w:val="0"/>
      <w:marBottom w:val="0"/>
      <w:divBdr>
        <w:top w:val="none" w:sz="0" w:space="0" w:color="auto"/>
        <w:left w:val="none" w:sz="0" w:space="0" w:color="auto"/>
        <w:bottom w:val="none" w:sz="0" w:space="0" w:color="auto"/>
        <w:right w:val="none" w:sz="0" w:space="0" w:color="auto"/>
      </w:divBdr>
    </w:div>
    <w:div w:id="250240752">
      <w:bodyDiv w:val="1"/>
      <w:marLeft w:val="0"/>
      <w:marRight w:val="0"/>
      <w:marTop w:val="0"/>
      <w:marBottom w:val="0"/>
      <w:divBdr>
        <w:top w:val="none" w:sz="0" w:space="0" w:color="auto"/>
        <w:left w:val="none" w:sz="0" w:space="0" w:color="auto"/>
        <w:bottom w:val="none" w:sz="0" w:space="0" w:color="auto"/>
        <w:right w:val="none" w:sz="0" w:space="0" w:color="auto"/>
      </w:divBdr>
    </w:div>
    <w:div w:id="251935710">
      <w:bodyDiv w:val="1"/>
      <w:marLeft w:val="0"/>
      <w:marRight w:val="0"/>
      <w:marTop w:val="0"/>
      <w:marBottom w:val="0"/>
      <w:divBdr>
        <w:top w:val="none" w:sz="0" w:space="0" w:color="auto"/>
        <w:left w:val="none" w:sz="0" w:space="0" w:color="auto"/>
        <w:bottom w:val="none" w:sz="0" w:space="0" w:color="auto"/>
        <w:right w:val="none" w:sz="0" w:space="0" w:color="auto"/>
      </w:divBdr>
    </w:div>
    <w:div w:id="258223863">
      <w:bodyDiv w:val="1"/>
      <w:marLeft w:val="0"/>
      <w:marRight w:val="0"/>
      <w:marTop w:val="0"/>
      <w:marBottom w:val="0"/>
      <w:divBdr>
        <w:top w:val="none" w:sz="0" w:space="0" w:color="auto"/>
        <w:left w:val="none" w:sz="0" w:space="0" w:color="auto"/>
        <w:bottom w:val="none" w:sz="0" w:space="0" w:color="auto"/>
        <w:right w:val="none" w:sz="0" w:space="0" w:color="auto"/>
      </w:divBdr>
    </w:div>
    <w:div w:id="262998798">
      <w:bodyDiv w:val="1"/>
      <w:marLeft w:val="0"/>
      <w:marRight w:val="0"/>
      <w:marTop w:val="0"/>
      <w:marBottom w:val="0"/>
      <w:divBdr>
        <w:top w:val="none" w:sz="0" w:space="0" w:color="auto"/>
        <w:left w:val="none" w:sz="0" w:space="0" w:color="auto"/>
        <w:bottom w:val="none" w:sz="0" w:space="0" w:color="auto"/>
        <w:right w:val="none" w:sz="0" w:space="0" w:color="auto"/>
      </w:divBdr>
    </w:div>
    <w:div w:id="268509910">
      <w:bodyDiv w:val="1"/>
      <w:marLeft w:val="0"/>
      <w:marRight w:val="0"/>
      <w:marTop w:val="0"/>
      <w:marBottom w:val="0"/>
      <w:divBdr>
        <w:top w:val="none" w:sz="0" w:space="0" w:color="auto"/>
        <w:left w:val="none" w:sz="0" w:space="0" w:color="auto"/>
        <w:bottom w:val="none" w:sz="0" w:space="0" w:color="auto"/>
        <w:right w:val="none" w:sz="0" w:space="0" w:color="auto"/>
      </w:divBdr>
    </w:div>
    <w:div w:id="270937737">
      <w:bodyDiv w:val="1"/>
      <w:marLeft w:val="0"/>
      <w:marRight w:val="0"/>
      <w:marTop w:val="0"/>
      <w:marBottom w:val="0"/>
      <w:divBdr>
        <w:top w:val="none" w:sz="0" w:space="0" w:color="auto"/>
        <w:left w:val="none" w:sz="0" w:space="0" w:color="auto"/>
        <w:bottom w:val="none" w:sz="0" w:space="0" w:color="auto"/>
        <w:right w:val="none" w:sz="0" w:space="0" w:color="auto"/>
      </w:divBdr>
    </w:div>
    <w:div w:id="271673483">
      <w:bodyDiv w:val="1"/>
      <w:marLeft w:val="0"/>
      <w:marRight w:val="0"/>
      <w:marTop w:val="0"/>
      <w:marBottom w:val="0"/>
      <w:divBdr>
        <w:top w:val="none" w:sz="0" w:space="0" w:color="auto"/>
        <w:left w:val="none" w:sz="0" w:space="0" w:color="auto"/>
        <w:bottom w:val="none" w:sz="0" w:space="0" w:color="auto"/>
        <w:right w:val="none" w:sz="0" w:space="0" w:color="auto"/>
      </w:divBdr>
    </w:div>
    <w:div w:id="280573142">
      <w:bodyDiv w:val="1"/>
      <w:marLeft w:val="0"/>
      <w:marRight w:val="0"/>
      <w:marTop w:val="0"/>
      <w:marBottom w:val="0"/>
      <w:divBdr>
        <w:top w:val="none" w:sz="0" w:space="0" w:color="auto"/>
        <w:left w:val="none" w:sz="0" w:space="0" w:color="auto"/>
        <w:bottom w:val="none" w:sz="0" w:space="0" w:color="auto"/>
        <w:right w:val="none" w:sz="0" w:space="0" w:color="auto"/>
      </w:divBdr>
    </w:div>
    <w:div w:id="281038146">
      <w:bodyDiv w:val="1"/>
      <w:marLeft w:val="0"/>
      <w:marRight w:val="0"/>
      <w:marTop w:val="0"/>
      <w:marBottom w:val="0"/>
      <w:divBdr>
        <w:top w:val="none" w:sz="0" w:space="0" w:color="auto"/>
        <w:left w:val="none" w:sz="0" w:space="0" w:color="auto"/>
        <w:bottom w:val="none" w:sz="0" w:space="0" w:color="auto"/>
        <w:right w:val="none" w:sz="0" w:space="0" w:color="auto"/>
      </w:divBdr>
    </w:div>
    <w:div w:id="281885228">
      <w:bodyDiv w:val="1"/>
      <w:marLeft w:val="0"/>
      <w:marRight w:val="0"/>
      <w:marTop w:val="0"/>
      <w:marBottom w:val="0"/>
      <w:divBdr>
        <w:top w:val="none" w:sz="0" w:space="0" w:color="auto"/>
        <w:left w:val="none" w:sz="0" w:space="0" w:color="auto"/>
        <w:bottom w:val="none" w:sz="0" w:space="0" w:color="auto"/>
        <w:right w:val="none" w:sz="0" w:space="0" w:color="auto"/>
      </w:divBdr>
    </w:div>
    <w:div w:id="283391017">
      <w:bodyDiv w:val="1"/>
      <w:marLeft w:val="0"/>
      <w:marRight w:val="0"/>
      <w:marTop w:val="0"/>
      <w:marBottom w:val="0"/>
      <w:divBdr>
        <w:top w:val="none" w:sz="0" w:space="0" w:color="auto"/>
        <w:left w:val="none" w:sz="0" w:space="0" w:color="auto"/>
        <w:bottom w:val="none" w:sz="0" w:space="0" w:color="auto"/>
        <w:right w:val="none" w:sz="0" w:space="0" w:color="auto"/>
      </w:divBdr>
    </w:div>
    <w:div w:id="286205996">
      <w:bodyDiv w:val="1"/>
      <w:marLeft w:val="0"/>
      <w:marRight w:val="0"/>
      <w:marTop w:val="0"/>
      <w:marBottom w:val="0"/>
      <w:divBdr>
        <w:top w:val="none" w:sz="0" w:space="0" w:color="auto"/>
        <w:left w:val="none" w:sz="0" w:space="0" w:color="auto"/>
        <w:bottom w:val="none" w:sz="0" w:space="0" w:color="auto"/>
        <w:right w:val="none" w:sz="0" w:space="0" w:color="auto"/>
      </w:divBdr>
    </w:div>
    <w:div w:id="286740463">
      <w:bodyDiv w:val="1"/>
      <w:marLeft w:val="0"/>
      <w:marRight w:val="0"/>
      <w:marTop w:val="0"/>
      <w:marBottom w:val="0"/>
      <w:divBdr>
        <w:top w:val="none" w:sz="0" w:space="0" w:color="auto"/>
        <w:left w:val="none" w:sz="0" w:space="0" w:color="auto"/>
        <w:bottom w:val="none" w:sz="0" w:space="0" w:color="auto"/>
        <w:right w:val="none" w:sz="0" w:space="0" w:color="auto"/>
      </w:divBdr>
    </w:div>
    <w:div w:id="288362886">
      <w:bodyDiv w:val="1"/>
      <w:marLeft w:val="0"/>
      <w:marRight w:val="0"/>
      <w:marTop w:val="0"/>
      <w:marBottom w:val="0"/>
      <w:divBdr>
        <w:top w:val="none" w:sz="0" w:space="0" w:color="auto"/>
        <w:left w:val="none" w:sz="0" w:space="0" w:color="auto"/>
        <w:bottom w:val="none" w:sz="0" w:space="0" w:color="auto"/>
        <w:right w:val="none" w:sz="0" w:space="0" w:color="auto"/>
      </w:divBdr>
    </w:div>
    <w:div w:id="291716518">
      <w:bodyDiv w:val="1"/>
      <w:marLeft w:val="0"/>
      <w:marRight w:val="0"/>
      <w:marTop w:val="0"/>
      <w:marBottom w:val="0"/>
      <w:divBdr>
        <w:top w:val="none" w:sz="0" w:space="0" w:color="auto"/>
        <w:left w:val="none" w:sz="0" w:space="0" w:color="auto"/>
        <w:bottom w:val="none" w:sz="0" w:space="0" w:color="auto"/>
        <w:right w:val="none" w:sz="0" w:space="0" w:color="auto"/>
      </w:divBdr>
    </w:div>
    <w:div w:id="292517310">
      <w:bodyDiv w:val="1"/>
      <w:marLeft w:val="0"/>
      <w:marRight w:val="0"/>
      <w:marTop w:val="0"/>
      <w:marBottom w:val="0"/>
      <w:divBdr>
        <w:top w:val="none" w:sz="0" w:space="0" w:color="auto"/>
        <w:left w:val="none" w:sz="0" w:space="0" w:color="auto"/>
        <w:bottom w:val="none" w:sz="0" w:space="0" w:color="auto"/>
        <w:right w:val="none" w:sz="0" w:space="0" w:color="auto"/>
      </w:divBdr>
    </w:div>
    <w:div w:id="292835362">
      <w:bodyDiv w:val="1"/>
      <w:marLeft w:val="0"/>
      <w:marRight w:val="0"/>
      <w:marTop w:val="0"/>
      <w:marBottom w:val="0"/>
      <w:divBdr>
        <w:top w:val="none" w:sz="0" w:space="0" w:color="auto"/>
        <w:left w:val="none" w:sz="0" w:space="0" w:color="auto"/>
        <w:bottom w:val="none" w:sz="0" w:space="0" w:color="auto"/>
        <w:right w:val="none" w:sz="0" w:space="0" w:color="auto"/>
      </w:divBdr>
    </w:div>
    <w:div w:id="295062849">
      <w:bodyDiv w:val="1"/>
      <w:marLeft w:val="0"/>
      <w:marRight w:val="0"/>
      <w:marTop w:val="0"/>
      <w:marBottom w:val="0"/>
      <w:divBdr>
        <w:top w:val="none" w:sz="0" w:space="0" w:color="auto"/>
        <w:left w:val="none" w:sz="0" w:space="0" w:color="auto"/>
        <w:bottom w:val="none" w:sz="0" w:space="0" w:color="auto"/>
        <w:right w:val="none" w:sz="0" w:space="0" w:color="auto"/>
      </w:divBdr>
    </w:div>
    <w:div w:id="295915944">
      <w:bodyDiv w:val="1"/>
      <w:marLeft w:val="0"/>
      <w:marRight w:val="0"/>
      <w:marTop w:val="0"/>
      <w:marBottom w:val="0"/>
      <w:divBdr>
        <w:top w:val="none" w:sz="0" w:space="0" w:color="auto"/>
        <w:left w:val="none" w:sz="0" w:space="0" w:color="auto"/>
        <w:bottom w:val="none" w:sz="0" w:space="0" w:color="auto"/>
        <w:right w:val="none" w:sz="0" w:space="0" w:color="auto"/>
      </w:divBdr>
    </w:div>
    <w:div w:id="298150527">
      <w:bodyDiv w:val="1"/>
      <w:marLeft w:val="0"/>
      <w:marRight w:val="0"/>
      <w:marTop w:val="0"/>
      <w:marBottom w:val="0"/>
      <w:divBdr>
        <w:top w:val="none" w:sz="0" w:space="0" w:color="auto"/>
        <w:left w:val="none" w:sz="0" w:space="0" w:color="auto"/>
        <w:bottom w:val="none" w:sz="0" w:space="0" w:color="auto"/>
        <w:right w:val="none" w:sz="0" w:space="0" w:color="auto"/>
      </w:divBdr>
    </w:div>
    <w:div w:id="302660946">
      <w:bodyDiv w:val="1"/>
      <w:marLeft w:val="0"/>
      <w:marRight w:val="0"/>
      <w:marTop w:val="0"/>
      <w:marBottom w:val="0"/>
      <w:divBdr>
        <w:top w:val="none" w:sz="0" w:space="0" w:color="auto"/>
        <w:left w:val="none" w:sz="0" w:space="0" w:color="auto"/>
        <w:bottom w:val="none" w:sz="0" w:space="0" w:color="auto"/>
        <w:right w:val="none" w:sz="0" w:space="0" w:color="auto"/>
      </w:divBdr>
    </w:div>
    <w:div w:id="306474694">
      <w:bodyDiv w:val="1"/>
      <w:marLeft w:val="0"/>
      <w:marRight w:val="0"/>
      <w:marTop w:val="0"/>
      <w:marBottom w:val="0"/>
      <w:divBdr>
        <w:top w:val="none" w:sz="0" w:space="0" w:color="auto"/>
        <w:left w:val="none" w:sz="0" w:space="0" w:color="auto"/>
        <w:bottom w:val="none" w:sz="0" w:space="0" w:color="auto"/>
        <w:right w:val="none" w:sz="0" w:space="0" w:color="auto"/>
      </w:divBdr>
    </w:div>
    <w:div w:id="307638982">
      <w:bodyDiv w:val="1"/>
      <w:marLeft w:val="0"/>
      <w:marRight w:val="0"/>
      <w:marTop w:val="0"/>
      <w:marBottom w:val="0"/>
      <w:divBdr>
        <w:top w:val="none" w:sz="0" w:space="0" w:color="auto"/>
        <w:left w:val="none" w:sz="0" w:space="0" w:color="auto"/>
        <w:bottom w:val="none" w:sz="0" w:space="0" w:color="auto"/>
        <w:right w:val="none" w:sz="0" w:space="0" w:color="auto"/>
      </w:divBdr>
    </w:div>
    <w:div w:id="310211061">
      <w:bodyDiv w:val="1"/>
      <w:marLeft w:val="0"/>
      <w:marRight w:val="0"/>
      <w:marTop w:val="0"/>
      <w:marBottom w:val="0"/>
      <w:divBdr>
        <w:top w:val="none" w:sz="0" w:space="0" w:color="auto"/>
        <w:left w:val="none" w:sz="0" w:space="0" w:color="auto"/>
        <w:bottom w:val="none" w:sz="0" w:space="0" w:color="auto"/>
        <w:right w:val="none" w:sz="0" w:space="0" w:color="auto"/>
      </w:divBdr>
    </w:div>
    <w:div w:id="311250045">
      <w:bodyDiv w:val="1"/>
      <w:marLeft w:val="0"/>
      <w:marRight w:val="0"/>
      <w:marTop w:val="0"/>
      <w:marBottom w:val="0"/>
      <w:divBdr>
        <w:top w:val="none" w:sz="0" w:space="0" w:color="auto"/>
        <w:left w:val="none" w:sz="0" w:space="0" w:color="auto"/>
        <w:bottom w:val="none" w:sz="0" w:space="0" w:color="auto"/>
        <w:right w:val="none" w:sz="0" w:space="0" w:color="auto"/>
      </w:divBdr>
    </w:div>
    <w:div w:id="312762864">
      <w:bodyDiv w:val="1"/>
      <w:marLeft w:val="0"/>
      <w:marRight w:val="0"/>
      <w:marTop w:val="0"/>
      <w:marBottom w:val="0"/>
      <w:divBdr>
        <w:top w:val="none" w:sz="0" w:space="0" w:color="auto"/>
        <w:left w:val="none" w:sz="0" w:space="0" w:color="auto"/>
        <w:bottom w:val="none" w:sz="0" w:space="0" w:color="auto"/>
        <w:right w:val="none" w:sz="0" w:space="0" w:color="auto"/>
      </w:divBdr>
    </w:div>
    <w:div w:id="316304407">
      <w:bodyDiv w:val="1"/>
      <w:marLeft w:val="0"/>
      <w:marRight w:val="0"/>
      <w:marTop w:val="0"/>
      <w:marBottom w:val="0"/>
      <w:divBdr>
        <w:top w:val="none" w:sz="0" w:space="0" w:color="auto"/>
        <w:left w:val="none" w:sz="0" w:space="0" w:color="auto"/>
        <w:bottom w:val="none" w:sz="0" w:space="0" w:color="auto"/>
        <w:right w:val="none" w:sz="0" w:space="0" w:color="auto"/>
      </w:divBdr>
    </w:div>
    <w:div w:id="321155045">
      <w:bodyDiv w:val="1"/>
      <w:marLeft w:val="0"/>
      <w:marRight w:val="0"/>
      <w:marTop w:val="0"/>
      <w:marBottom w:val="0"/>
      <w:divBdr>
        <w:top w:val="none" w:sz="0" w:space="0" w:color="auto"/>
        <w:left w:val="none" w:sz="0" w:space="0" w:color="auto"/>
        <w:bottom w:val="none" w:sz="0" w:space="0" w:color="auto"/>
        <w:right w:val="none" w:sz="0" w:space="0" w:color="auto"/>
      </w:divBdr>
    </w:div>
    <w:div w:id="323821086">
      <w:bodyDiv w:val="1"/>
      <w:marLeft w:val="0"/>
      <w:marRight w:val="0"/>
      <w:marTop w:val="0"/>
      <w:marBottom w:val="0"/>
      <w:divBdr>
        <w:top w:val="none" w:sz="0" w:space="0" w:color="auto"/>
        <w:left w:val="none" w:sz="0" w:space="0" w:color="auto"/>
        <w:bottom w:val="none" w:sz="0" w:space="0" w:color="auto"/>
        <w:right w:val="none" w:sz="0" w:space="0" w:color="auto"/>
      </w:divBdr>
    </w:div>
    <w:div w:id="325517475">
      <w:bodyDiv w:val="1"/>
      <w:marLeft w:val="0"/>
      <w:marRight w:val="0"/>
      <w:marTop w:val="0"/>
      <w:marBottom w:val="0"/>
      <w:divBdr>
        <w:top w:val="none" w:sz="0" w:space="0" w:color="auto"/>
        <w:left w:val="none" w:sz="0" w:space="0" w:color="auto"/>
        <w:bottom w:val="none" w:sz="0" w:space="0" w:color="auto"/>
        <w:right w:val="none" w:sz="0" w:space="0" w:color="auto"/>
      </w:divBdr>
    </w:div>
    <w:div w:id="328027524">
      <w:bodyDiv w:val="1"/>
      <w:marLeft w:val="0"/>
      <w:marRight w:val="0"/>
      <w:marTop w:val="0"/>
      <w:marBottom w:val="0"/>
      <w:divBdr>
        <w:top w:val="none" w:sz="0" w:space="0" w:color="auto"/>
        <w:left w:val="none" w:sz="0" w:space="0" w:color="auto"/>
        <w:bottom w:val="none" w:sz="0" w:space="0" w:color="auto"/>
        <w:right w:val="none" w:sz="0" w:space="0" w:color="auto"/>
      </w:divBdr>
    </w:div>
    <w:div w:id="328218308">
      <w:bodyDiv w:val="1"/>
      <w:marLeft w:val="0"/>
      <w:marRight w:val="0"/>
      <w:marTop w:val="0"/>
      <w:marBottom w:val="0"/>
      <w:divBdr>
        <w:top w:val="none" w:sz="0" w:space="0" w:color="auto"/>
        <w:left w:val="none" w:sz="0" w:space="0" w:color="auto"/>
        <w:bottom w:val="none" w:sz="0" w:space="0" w:color="auto"/>
        <w:right w:val="none" w:sz="0" w:space="0" w:color="auto"/>
      </w:divBdr>
    </w:div>
    <w:div w:id="331222757">
      <w:bodyDiv w:val="1"/>
      <w:marLeft w:val="0"/>
      <w:marRight w:val="0"/>
      <w:marTop w:val="0"/>
      <w:marBottom w:val="0"/>
      <w:divBdr>
        <w:top w:val="none" w:sz="0" w:space="0" w:color="auto"/>
        <w:left w:val="none" w:sz="0" w:space="0" w:color="auto"/>
        <w:bottom w:val="none" w:sz="0" w:space="0" w:color="auto"/>
        <w:right w:val="none" w:sz="0" w:space="0" w:color="auto"/>
      </w:divBdr>
    </w:div>
    <w:div w:id="339233416">
      <w:bodyDiv w:val="1"/>
      <w:marLeft w:val="0"/>
      <w:marRight w:val="0"/>
      <w:marTop w:val="0"/>
      <w:marBottom w:val="0"/>
      <w:divBdr>
        <w:top w:val="none" w:sz="0" w:space="0" w:color="auto"/>
        <w:left w:val="none" w:sz="0" w:space="0" w:color="auto"/>
        <w:bottom w:val="none" w:sz="0" w:space="0" w:color="auto"/>
        <w:right w:val="none" w:sz="0" w:space="0" w:color="auto"/>
      </w:divBdr>
    </w:div>
    <w:div w:id="352388271">
      <w:bodyDiv w:val="1"/>
      <w:marLeft w:val="0"/>
      <w:marRight w:val="0"/>
      <w:marTop w:val="0"/>
      <w:marBottom w:val="0"/>
      <w:divBdr>
        <w:top w:val="none" w:sz="0" w:space="0" w:color="auto"/>
        <w:left w:val="none" w:sz="0" w:space="0" w:color="auto"/>
        <w:bottom w:val="none" w:sz="0" w:space="0" w:color="auto"/>
        <w:right w:val="none" w:sz="0" w:space="0" w:color="auto"/>
      </w:divBdr>
    </w:div>
    <w:div w:id="356195944">
      <w:bodyDiv w:val="1"/>
      <w:marLeft w:val="0"/>
      <w:marRight w:val="0"/>
      <w:marTop w:val="0"/>
      <w:marBottom w:val="0"/>
      <w:divBdr>
        <w:top w:val="none" w:sz="0" w:space="0" w:color="auto"/>
        <w:left w:val="none" w:sz="0" w:space="0" w:color="auto"/>
        <w:bottom w:val="none" w:sz="0" w:space="0" w:color="auto"/>
        <w:right w:val="none" w:sz="0" w:space="0" w:color="auto"/>
      </w:divBdr>
    </w:div>
    <w:div w:id="358970309">
      <w:bodyDiv w:val="1"/>
      <w:marLeft w:val="0"/>
      <w:marRight w:val="0"/>
      <w:marTop w:val="0"/>
      <w:marBottom w:val="0"/>
      <w:divBdr>
        <w:top w:val="none" w:sz="0" w:space="0" w:color="auto"/>
        <w:left w:val="none" w:sz="0" w:space="0" w:color="auto"/>
        <w:bottom w:val="none" w:sz="0" w:space="0" w:color="auto"/>
        <w:right w:val="none" w:sz="0" w:space="0" w:color="auto"/>
      </w:divBdr>
    </w:div>
    <w:div w:id="361129850">
      <w:bodyDiv w:val="1"/>
      <w:marLeft w:val="0"/>
      <w:marRight w:val="0"/>
      <w:marTop w:val="0"/>
      <w:marBottom w:val="0"/>
      <w:divBdr>
        <w:top w:val="none" w:sz="0" w:space="0" w:color="auto"/>
        <w:left w:val="none" w:sz="0" w:space="0" w:color="auto"/>
        <w:bottom w:val="none" w:sz="0" w:space="0" w:color="auto"/>
        <w:right w:val="none" w:sz="0" w:space="0" w:color="auto"/>
      </w:divBdr>
    </w:div>
    <w:div w:id="362561062">
      <w:bodyDiv w:val="1"/>
      <w:marLeft w:val="0"/>
      <w:marRight w:val="0"/>
      <w:marTop w:val="0"/>
      <w:marBottom w:val="0"/>
      <w:divBdr>
        <w:top w:val="none" w:sz="0" w:space="0" w:color="auto"/>
        <w:left w:val="none" w:sz="0" w:space="0" w:color="auto"/>
        <w:bottom w:val="none" w:sz="0" w:space="0" w:color="auto"/>
        <w:right w:val="none" w:sz="0" w:space="0" w:color="auto"/>
      </w:divBdr>
    </w:div>
    <w:div w:id="364403794">
      <w:bodyDiv w:val="1"/>
      <w:marLeft w:val="0"/>
      <w:marRight w:val="0"/>
      <w:marTop w:val="0"/>
      <w:marBottom w:val="0"/>
      <w:divBdr>
        <w:top w:val="none" w:sz="0" w:space="0" w:color="auto"/>
        <w:left w:val="none" w:sz="0" w:space="0" w:color="auto"/>
        <w:bottom w:val="none" w:sz="0" w:space="0" w:color="auto"/>
        <w:right w:val="none" w:sz="0" w:space="0" w:color="auto"/>
      </w:divBdr>
    </w:div>
    <w:div w:id="369573182">
      <w:bodyDiv w:val="1"/>
      <w:marLeft w:val="0"/>
      <w:marRight w:val="0"/>
      <w:marTop w:val="0"/>
      <w:marBottom w:val="0"/>
      <w:divBdr>
        <w:top w:val="none" w:sz="0" w:space="0" w:color="auto"/>
        <w:left w:val="none" w:sz="0" w:space="0" w:color="auto"/>
        <w:bottom w:val="none" w:sz="0" w:space="0" w:color="auto"/>
        <w:right w:val="none" w:sz="0" w:space="0" w:color="auto"/>
      </w:divBdr>
      <w:divsChild>
        <w:div w:id="1295915081">
          <w:marLeft w:val="0"/>
          <w:marRight w:val="0"/>
          <w:marTop w:val="0"/>
          <w:marBottom w:val="0"/>
          <w:divBdr>
            <w:top w:val="none" w:sz="0" w:space="0" w:color="auto"/>
            <w:left w:val="none" w:sz="0" w:space="0" w:color="auto"/>
            <w:bottom w:val="none" w:sz="0" w:space="0" w:color="auto"/>
            <w:right w:val="none" w:sz="0" w:space="0" w:color="auto"/>
          </w:divBdr>
          <w:divsChild>
            <w:div w:id="1116364872">
              <w:marLeft w:val="0"/>
              <w:marRight w:val="0"/>
              <w:marTop w:val="0"/>
              <w:marBottom w:val="0"/>
              <w:divBdr>
                <w:top w:val="none" w:sz="0" w:space="0" w:color="auto"/>
                <w:left w:val="none" w:sz="0" w:space="0" w:color="auto"/>
                <w:bottom w:val="none" w:sz="0" w:space="0" w:color="auto"/>
                <w:right w:val="none" w:sz="0" w:space="0" w:color="auto"/>
              </w:divBdr>
            </w:div>
            <w:div w:id="1486623424">
              <w:marLeft w:val="0"/>
              <w:marRight w:val="0"/>
              <w:marTop w:val="0"/>
              <w:marBottom w:val="0"/>
              <w:divBdr>
                <w:top w:val="none" w:sz="0" w:space="0" w:color="auto"/>
                <w:left w:val="none" w:sz="0" w:space="0" w:color="auto"/>
                <w:bottom w:val="none" w:sz="0" w:space="0" w:color="auto"/>
                <w:right w:val="none" w:sz="0" w:space="0" w:color="auto"/>
              </w:divBdr>
            </w:div>
            <w:div w:id="1773208076">
              <w:marLeft w:val="0"/>
              <w:marRight w:val="0"/>
              <w:marTop w:val="0"/>
              <w:marBottom w:val="0"/>
              <w:divBdr>
                <w:top w:val="none" w:sz="0" w:space="0" w:color="auto"/>
                <w:left w:val="none" w:sz="0" w:space="0" w:color="auto"/>
                <w:bottom w:val="none" w:sz="0" w:space="0" w:color="auto"/>
                <w:right w:val="none" w:sz="0" w:space="0" w:color="auto"/>
              </w:divBdr>
            </w:div>
            <w:div w:id="280962399">
              <w:marLeft w:val="0"/>
              <w:marRight w:val="0"/>
              <w:marTop w:val="0"/>
              <w:marBottom w:val="0"/>
              <w:divBdr>
                <w:top w:val="none" w:sz="0" w:space="0" w:color="auto"/>
                <w:left w:val="none" w:sz="0" w:space="0" w:color="auto"/>
                <w:bottom w:val="none" w:sz="0" w:space="0" w:color="auto"/>
                <w:right w:val="none" w:sz="0" w:space="0" w:color="auto"/>
              </w:divBdr>
            </w:div>
          </w:divsChild>
        </w:div>
        <w:div w:id="1979187864">
          <w:marLeft w:val="0"/>
          <w:marRight w:val="0"/>
          <w:marTop w:val="0"/>
          <w:marBottom w:val="0"/>
          <w:divBdr>
            <w:top w:val="none" w:sz="0" w:space="0" w:color="auto"/>
            <w:left w:val="none" w:sz="0" w:space="0" w:color="auto"/>
            <w:bottom w:val="none" w:sz="0" w:space="0" w:color="auto"/>
            <w:right w:val="none" w:sz="0" w:space="0" w:color="auto"/>
          </w:divBdr>
          <w:divsChild>
            <w:div w:id="2063367093">
              <w:marLeft w:val="0"/>
              <w:marRight w:val="0"/>
              <w:marTop w:val="0"/>
              <w:marBottom w:val="0"/>
              <w:divBdr>
                <w:top w:val="none" w:sz="0" w:space="0" w:color="auto"/>
                <w:left w:val="none" w:sz="0" w:space="0" w:color="auto"/>
                <w:bottom w:val="none" w:sz="0" w:space="0" w:color="auto"/>
                <w:right w:val="none" w:sz="0" w:space="0" w:color="auto"/>
              </w:divBdr>
            </w:div>
            <w:div w:id="215171042">
              <w:marLeft w:val="0"/>
              <w:marRight w:val="0"/>
              <w:marTop w:val="0"/>
              <w:marBottom w:val="0"/>
              <w:divBdr>
                <w:top w:val="none" w:sz="0" w:space="0" w:color="auto"/>
                <w:left w:val="none" w:sz="0" w:space="0" w:color="auto"/>
                <w:bottom w:val="none" w:sz="0" w:space="0" w:color="auto"/>
                <w:right w:val="none" w:sz="0" w:space="0" w:color="auto"/>
              </w:divBdr>
            </w:div>
            <w:div w:id="1653756070">
              <w:marLeft w:val="0"/>
              <w:marRight w:val="0"/>
              <w:marTop w:val="0"/>
              <w:marBottom w:val="0"/>
              <w:divBdr>
                <w:top w:val="none" w:sz="0" w:space="0" w:color="auto"/>
                <w:left w:val="none" w:sz="0" w:space="0" w:color="auto"/>
                <w:bottom w:val="none" w:sz="0" w:space="0" w:color="auto"/>
                <w:right w:val="none" w:sz="0" w:space="0" w:color="auto"/>
              </w:divBdr>
            </w:div>
            <w:div w:id="379018955">
              <w:marLeft w:val="0"/>
              <w:marRight w:val="0"/>
              <w:marTop w:val="0"/>
              <w:marBottom w:val="0"/>
              <w:divBdr>
                <w:top w:val="none" w:sz="0" w:space="0" w:color="auto"/>
                <w:left w:val="none" w:sz="0" w:space="0" w:color="auto"/>
                <w:bottom w:val="none" w:sz="0" w:space="0" w:color="auto"/>
                <w:right w:val="none" w:sz="0" w:space="0" w:color="auto"/>
              </w:divBdr>
            </w:div>
            <w:div w:id="6651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352">
      <w:bodyDiv w:val="1"/>
      <w:marLeft w:val="0"/>
      <w:marRight w:val="0"/>
      <w:marTop w:val="0"/>
      <w:marBottom w:val="0"/>
      <w:divBdr>
        <w:top w:val="none" w:sz="0" w:space="0" w:color="auto"/>
        <w:left w:val="none" w:sz="0" w:space="0" w:color="auto"/>
        <w:bottom w:val="none" w:sz="0" w:space="0" w:color="auto"/>
        <w:right w:val="none" w:sz="0" w:space="0" w:color="auto"/>
      </w:divBdr>
    </w:div>
    <w:div w:id="371417327">
      <w:bodyDiv w:val="1"/>
      <w:marLeft w:val="0"/>
      <w:marRight w:val="0"/>
      <w:marTop w:val="0"/>
      <w:marBottom w:val="0"/>
      <w:divBdr>
        <w:top w:val="none" w:sz="0" w:space="0" w:color="auto"/>
        <w:left w:val="none" w:sz="0" w:space="0" w:color="auto"/>
        <w:bottom w:val="none" w:sz="0" w:space="0" w:color="auto"/>
        <w:right w:val="none" w:sz="0" w:space="0" w:color="auto"/>
      </w:divBdr>
    </w:div>
    <w:div w:id="375860427">
      <w:bodyDiv w:val="1"/>
      <w:marLeft w:val="0"/>
      <w:marRight w:val="0"/>
      <w:marTop w:val="0"/>
      <w:marBottom w:val="0"/>
      <w:divBdr>
        <w:top w:val="none" w:sz="0" w:space="0" w:color="auto"/>
        <w:left w:val="none" w:sz="0" w:space="0" w:color="auto"/>
        <w:bottom w:val="none" w:sz="0" w:space="0" w:color="auto"/>
        <w:right w:val="none" w:sz="0" w:space="0" w:color="auto"/>
      </w:divBdr>
    </w:div>
    <w:div w:id="378013125">
      <w:bodyDiv w:val="1"/>
      <w:marLeft w:val="0"/>
      <w:marRight w:val="0"/>
      <w:marTop w:val="0"/>
      <w:marBottom w:val="0"/>
      <w:divBdr>
        <w:top w:val="none" w:sz="0" w:space="0" w:color="auto"/>
        <w:left w:val="none" w:sz="0" w:space="0" w:color="auto"/>
        <w:bottom w:val="none" w:sz="0" w:space="0" w:color="auto"/>
        <w:right w:val="none" w:sz="0" w:space="0" w:color="auto"/>
      </w:divBdr>
    </w:div>
    <w:div w:id="385758103">
      <w:bodyDiv w:val="1"/>
      <w:marLeft w:val="0"/>
      <w:marRight w:val="0"/>
      <w:marTop w:val="0"/>
      <w:marBottom w:val="0"/>
      <w:divBdr>
        <w:top w:val="none" w:sz="0" w:space="0" w:color="auto"/>
        <w:left w:val="none" w:sz="0" w:space="0" w:color="auto"/>
        <w:bottom w:val="none" w:sz="0" w:space="0" w:color="auto"/>
        <w:right w:val="none" w:sz="0" w:space="0" w:color="auto"/>
      </w:divBdr>
    </w:div>
    <w:div w:id="389354547">
      <w:bodyDiv w:val="1"/>
      <w:marLeft w:val="0"/>
      <w:marRight w:val="0"/>
      <w:marTop w:val="0"/>
      <w:marBottom w:val="0"/>
      <w:divBdr>
        <w:top w:val="none" w:sz="0" w:space="0" w:color="auto"/>
        <w:left w:val="none" w:sz="0" w:space="0" w:color="auto"/>
        <w:bottom w:val="none" w:sz="0" w:space="0" w:color="auto"/>
        <w:right w:val="none" w:sz="0" w:space="0" w:color="auto"/>
      </w:divBdr>
    </w:div>
    <w:div w:id="390468288">
      <w:bodyDiv w:val="1"/>
      <w:marLeft w:val="0"/>
      <w:marRight w:val="0"/>
      <w:marTop w:val="0"/>
      <w:marBottom w:val="0"/>
      <w:divBdr>
        <w:top w:val="none" w:sz="0" w:space="0" w:color="auto"/>
        <w:left w:val="none" w:sz="0" w:space="0" w:color="auto"/>
        <w:bottom w:val="none" w:sz="0" w:space="0" w:color="auto"/>
        <w:right w:val="none" w:sz="0" w:space="0" w:color="auto"/>
      </w:divBdr>
    </w:div>
    <w:div w:id="393042718">
      <w:bodyDiv w:val="1"/>
      <w:marLeft w:val="0"/>
      <w:marRight w:val="0"/>
      <w:marTop w:val="0"/>
      <w:marBottom w:val="0"/>
      <w:divBdr>
        <w:top w:val="none" w:sz="0" w:space="0" w:color="auto"/>
        <w:left w:val="none" w:sz="0" w:space="0" w:color="auto"/>
        <w:bottom w:val="none" w:sz="0" w:space="0" w:color="auto"/>
        <w:right w:val="none" w:sz="0" w:space="0" w:color="auto"/>
      </w:divBdr>
    </w:div>
    <w:div w:id="393502573">
      <w:bodyDiv w:val="1"/>
      <w:marLeft w:val="0"/>
      <w:marRight w:val="0"/>
      <w:marTop w:val="0"/>
      <w:marBottom w:val="0"/>
      <w:divBdr>
        <w:top w:val="none" w:sz="0" w:space="0" w:color="auto"/>
        <w:left w:val="none" w:sz="0" w:space="0" w:color="auto"/>
        <w:bottom w:val="none" w:sz="0" w:space="0" w:color="auto"/>
        <w:right w:val="none" w:sz="0" w:space="0" w:color="auto"/>
      </w:divBdr>
    </w:div>
    <w:div w:id="393504472">
      <w:bodyDiv w:val="1"/>
      <w:marLeft w:val="0"/>
      <w:marRight w:val="0"/>
      <w:marTop w:val="0"/>
      <w:marBottom w:val="0"/>
      <w:divBdr>
        <w:top w:val="none" w:sz="0" w:space="0" w:color="auto"/>
        <w:left w:val="none" w:sz="0" w:space="0" w:color="auto"/>
        <w:bottom w:val="none" w:sz="0" w:space="0" w:color="auto"/>
        <w:right w:val="none" w:sz="0" w:space="0" w:color="auto"/>
      </w:divBdr>
    </w:div>
    <w:div w:id="397486088">
      <w:bodyDiv w:val="1"/>
      <w:marLeft w:val="0"/>
      <w:marRight w:val="0"/>
      <w:marTop w:val="0"/>
      <w:marBottom w:val="0"/>
      <w:divBdr>
        <w:top w:val="none" w:sz="0" w:space="0" w:color="auto"/>
        <w:left w:val="none" w:sz="0" w:space="0" w:color="auto"/>
        <w:bottom w:val="none" w:sz="0" w:space="0" w:color="auto"/>
        <w:right w:val="none" w:sz="0" w:space="0" w:color="auto"/>
      </w:divBdr>
    </w:div>
    <w:div w:id="399013916">
      <w:bodyDiv w:val="1"/>
      <w:marLeft w:val="0"/>
      <w:marRight w:val="0"/>
      <w:marTop w:val="0"/>
      <w:marBottom w:val="0"/>
      <w:divBdr>
        <w:top w:val="none" w:sz="0" w:space="0" w:color="auto"/>
        <w:left w:val="none" w:sz="0" w:space="0" w:color="auto"/>
        <w:bottom w:val="none" w:sz="0" w:space="0" w:color="auto"/>
        <w:right w:val="none" w:sz="0" w:space="0" w:color="auto"/>
      </w:divBdr>
    </w:div>
    <w:div w:id="409080577">
      <w:bodyDiv w:val="1"/>
      <w:marLeft w:val="0"/>
      <w:marRight w:val="0"/>
      <w:marTop w:val="0"/>
      <w:marBottom w:val="0"/>
      <w:divBdr>
        <w:top w:val="none" w:sz="0" w:space="0" w:color="auto"/>
        <w:left w:val="none" w:sz="0" w:space="0" w:color="auto"/>
        <w:bottom w:val="none" w:sz="0" w:space="0" w:color="auto"/>
        <w:right w:val="none" w:sz="0" w:space="0" w:color="auto"/>
      </w:divBdr>
    </w:div>
    <w:div w:id="410928745">
      <w:bodyDiv w:val="1"/>
      <w:marLeft w:val="0"/>
      <w:marRight w:val="0"/>
      <w:marTop w:val="0"/>
      <w:marBottom w:val="0"/>
      <w:divBdr>
        <w:top w:val="none" w:sz="0" w:space="0" w:color="auto"/>
        <w:left w:val="none" w:sz="0" w:space="0" w:color="auto"/>
        <w:bottom w:val="none" w:sz="0" w:space="0" w:color="auto"/>
        <w:right w:val="none" w:sz="0" w:space="0" w:color="auto"/>
      </w:divBdr>
    </w:div>
    <w:div w:id="412046690">
      <w:bodyDiv w:val="1"/>
      <w:marLeft w:val="0"/>
      <w:marRight w:val="0"/>
      <w:marTop w:val="0"/>
      <w:marBottom w:val="0"/>
      <w:divBdr>
        <w:top w:val="none" w:sz="0" w:space="0" w:color="auto"/>
        <w:left w:val="none" w:sz="0" w:space="0" w:color="auto"/>
        <w:bottom w:val="none" w:sz="0" w:space="0" w:color="auto"/>
        <w:right w:val="none" w:sz="0" w:space="0" w:color="auto"/>
      </w:divBdr>
    </w:div>
    <w:div w:id="416944300">
      <w:bodyDiv w:val="1"/>
      <w:marLeft w:val="0"/>
      <w:marRight w:val="0"/>
      <w:marTop w:val="0"/>
      <w:marBottom w:val="0"/>
      <w:divBdr>
        <w:top w:val="none" w:sz="0" w:space="0" w:color="auto"/>
        <w:left w:val="none" w:sz="0" w:space="0" w:color="auto"/>
        <w:bottom w:val="none" w:sz="0" w:space="0" w:color="auto"/>
        <w:right w:val="none" w:sz="0" w:space="0" w:color="auto"/>
      </w:divBdr>
    </w:div>
    <w:div w:id="421147895">
      <w:bodyDiv w:val="1"/>
      <w:marLeft w:val="0"/>
      <w:marRight w:val="0"/>
      <w:marTop w:val="0"/>
      <w:marBottom w:val="0"/>
      <w:divBdr>
        <w:top w:val="none" w:sz="0" w:space="0" w:color="auto"/>
        <w:left w:val="none" w:sz="0" w:space="0" w:color="auto"/>
        <w:bottom w:val="none" w:sz="0" w:space="0" w:color="auto"/>
        <w:right w:val="none" w:sz="0" w:space="0" w:color="auto"/>
      </w:divBdr>
    </w:div>
    <w:div w:id="426199757">
      <w:bodyDiv w:val="1"/>
      <w:marLeft w:val="0"/>
      <w:marRight w:val="0"/>
      <w:marTop w:val="0"/>
      <w:marBottom w:val="0"/>
      <w:divBdr>
        <w:top w:val="none" w:sz="0" w:space="0" w:color="auto"/>
        <w:left w:val="none" w:sz="0" w:space="0" w:color="auto"/>
        <w:bottom w:val="none" w:sz="0" w:space="0" w:color="auto"/>
        <w:right w:val="none" w:sz="0" w:space="0" w:color="auto"/>
      </w:divBdr>
    </w:div>
    <w:div w:id="430859664">
      <w:bodyDiv w:val="1"/>
      <w:marLeft w:val="0"/>
      <w:marRight w:val="0"/>
      <w:marTop w:val="0"/>
      <w:marBottom w:val="0"/>
      <w:divBdr>
        <w:top w:val="none" w:sz="0" w:space="0" w:color="auto"/>
        <w:left w:val="none" w:sz="0" w:space="0" w:color="auto"/>
        <w:bottom w:val="none" w:sz="0" w:space="0" w:color="auto"/>
        <w:right w:val="none" w:sz="0" w:space="0" w:color="auto"/>
      </w:divBdr>
    </w:div>
    <w:div w:id="433942735">
      <w:bodyDiv w:val="1"/>
      <w:marLeft w:val="0"/>
      <w:marRight w:val="0"/>
      <w:marTop w:val="0"/>
      <w:marBottom w:val="0"/>
      <w:divBdr>
        <w:top w:val="none" w:sz="0" w:space="0" w:color="auto"/>
        <w:left w:val="none" w:sz="0" w:space="0" w:color="auto"/>
        <w:bottom w:val="none" w:sz="0" w:space="0" w:color="auto"/>
        <w:right w:val="none" w:sz="0" w:space="0" w:color="auto"/>
      </w:divBdr>
    </w:div>
    <w:div w:id="438912718">
      <w:bodyDiv w:val="1"/>
      <w:marLeft w:val="0"/>
      <w:marRight w:val="0"/>
      <w:marTop w:val="0"/>
      <w:marBottom w:val="0"/>
      <w:divBdr>
        <w:top w:val="none" w:sz="0" w:space="0" w:color="auto"/>
        <w:left w:val="none" w:sz="0" w:space="0" w:color="auto"/>
        <w:bottom w:val="none" w:sz="0" w:space="0" w:color="auto"/>
        <w:right w:val="none" w:sz="0" w:space="0" w:color="auto"/>
      </w:divBdr>
    </w:div>
    <w:div w:id="439222911">
      <w:bodyDiv w:val="1"/>
      <w:marLeft w:val="0"/>
      <w:marRight w:val="0"/>
      <w:marTop w:val="0"/>
      <w:marBottom w:val="0"/>
      <w:divBdr>
        <w:top w:val="none" w:sz="0" w:space="0" w:color="auto"/>
        <w:left w:val="none" w:sz="0" w:space="0" w:color="auto"/>
        <w:bottom w:val="none" w:sz="0" w:space="0" w:color="auto"/>
        <w:right w:val="none" w:sz="0" w:space="0" w:color="auto"/>
      </w:divBdr>
    </w:div>
    <w:div w:id="443423857">
      <w:bodyDiv w:val="1"/>
      <w:marLeft w:val="0"/>
      <w:marRight w:val="0"/>
      <w:marTop w:val="0"/>
      <w:marBottom w:val="0"/>
      <w:divBdr>
        <w:top w:val="none" w:sz="0" w:space="0" w:color="auto"/>
        <w:left w:val="none" w:sz="0" w:space="0" w:color="auto"/>
        <w:bottom w:val="none" w:sz="0" w:space="0" w:color="auto"/>
        <w:right w:val="none" w:sz="0" w:space="0" w:color="auto"/>
      </w:divBdr>
    </w:div>
    <w:div w:id="443501463">
      <w:bodyDiv w:val="1"/>
      <w:marLeft w:val="0"/>
      <w:marRight w:val="0"/>
      <w:marTop w:val="0"/>
      <w:marBottom w:val="0"/>
      <w:divBdr>
        <w:top w:val="none" w:sz="0" w:space="0" w:color="auto"/>
        <w:left w:val="none" w:sz="0" w:space="0" w:color="auto"/>
        <w:bottom w:val="none" w:sz="0" w:space="0" w:color="auto"/>
        <w:right w:val="none" w:sz="0" w:space="0" w:color="auto"/>
      </w:divBdr>
    </w:div>
    <w:div w:id="462121929">
      <w:bodyDiv w:val="1"/>
      <w:marLeft w:val="0"/>
      <w:marRight w:val="0"/>
      <w:marTop w:val="0"/>
      <w:marBottom w:val="0"/>
      <w:divBdr>
        <w:top w:val="none" w:sz="0" w:space="0" w:color="auto"/>
        <w:left w:val="none" w:sz="0" w:space="0" w:color="auto"/>
        <w:bottom w:val="none" w:sz="0" w:space="0" w:color="auto"/>
        <w:right w:val="none" w:sz="0" w:space="0" w:color="auto"/>
      </w:divBdr>
    </w:div>
    <w:div w:id="465318757">
      <w:bodyDiv w:val="1"/>
      <w:marLeft w:val="0"/>
      <w:marRight w:val="0"/>
      <w:marTop w:val="0"/>
      <w:marBottom w:val="0"/>
      <w:divBdr>
        <w:top w:val="none" w:sz="0" w:space="0" w:color="auto"/>
        <w:left w:val="none" w:sz="0" w:space="0" w:color="auto"/>
        <w:bottom w:val="none" w:sz="0" w:space="0" w:color="auto"/>
        <w:right w:val="none" w:sz="0" w:space="0" w:color="auto"/>
      </w:divBdr>
    </w:div>
    <w:div w:id="465896711">
      <w:bodyDiv w:val="1"/>
      <w:marLeft w:val="0"/>
      <w:marRight w:val="0"/>
      <w:marTop w:val="0"/>
      <w:marBottom w:val="0"/>
      <w:divBdr>
        <w:top w:val="none" w:sz="0" w:space="0" w:color="auto"/>
        <w:left w:val="none" w:sz="0" w:space="0" w:color="auto"/>
        <w:bottom w:val="none" w:sz="0" w:space="0" w:color="auto"/>
        <w:right w:val="none" w:sz="0" w:space="0" w:color="auto"/>
      </w:divBdr>
    </w:div>
    <w:div w:id="466822473">
      <w:bodyDiv w:val="1"/>
      <w:marLeft w:val="0"/>
      <w:marRight w:val="0"/>
      <w:marTop w:val="0"/>
      <w:marBottom w:val="0"/>
      <w:divBdr>
        <w:top w:val="none" w:sz="0" w:space="0" w:color="auto"/>
        <w:left w:val="none" w:sz="0" w:space="0" w:color="auto"/>
        <w:bottom w:val="none" w:sz="0" w:space="0" w:color="auto"/>
        <w:right w:val="none" w:sz="0" w:space="0" w:color="auto"/>
      </w:divBdr>
      <w:divsChild>
        <w:div w:id="1224488818">
          <w:marLeft w:val="0"/>
          <w:marRight w:val="0"/>
          <w:marTop w:val="0"/>
          <w:marBottom w:val="0"/>
          <w:divBdr>
            <w:top w:val="none" w:sz="0" w:space="0" w:color="auto"/>
            <w:left w:val="none" w:sz="0" w:space="0" w:color="auto"/>
            <w:bottom w:val="none" w:sz="0" w:space="0" w:color="auto"/>
            <w:right w:val="none" w:sz="0" w:space="0" w:color="auto"/>
          </w:divBdr>
        </w:div>
        <w:div w:id="1734545247">
          <w:marLeft w:val="0"/>
          <w:marRight w:val="0"/>
          <w:marTop w:val="0"/>
          <w:marBottom w:val="0"/>
          <w:divBdr>
            <w:top w:val="none" w:sz="0" w:space="0" w:color="auto"/>
            <w:left w:val="none" w:sz="0" w:space="0" w:color="auto"/>
            <w:bottom w:val="none" w:sz="0" w:space="0" w:color="auto"/>
            <w:right w:val="none" w:sz="0" w:space="0" w:color="auto"/>
          </w:divBdr>
        </w:div>
      </w:divsChild>
    </w:div>
    <w:div w:id="467868512">
      <w:bodyDiv w:val="1"/>
      <w:marLeft w:val="0"/>
      <w:marRight w:val="0"/>
      <w:marTop w:val="0"/>
      <w:marBottom w:val="0"/>
      <w:divBdr>
        <w:top w:val="none" w:sz="0" w:space="0" w:color="auto"/>
        <w:left w:val="none" w:sz="0" w:space="0" w:color="auto"/>
        <w:bottom w:val="none" w:sz="0" w:space="0" w:color="auto"/>
        <w:right w:val="none" w:sz="0" w:space="0" w:color="auto"/>
      </w:divBdr>
    </w:div>
    <w:div w:id="475227589">
      <w:bodyDiv w:val="1"/>
      <w:marLeft w:val="0"/>
      <w:marRight w:val="0"/>
      <w:marTop w:val="0"/>
      <w:marBottom w:val="0"/>
      <w:divBdr>
        <w:top w:val="none" w:sz="0" w:space="0" w:color="auto"/>
        <w:left w:val="none" w:sz="0" w:space="0" w:color="auto"/>
        <w:bottom w:val="none" w:sz="0" w:space="0" w:color="auto"/>
        <w:right w:val="none" w:sz="0" w:space="0" w:color="auto"/>
      </w:divBdr>
    </w:div>
    <w:div w:id="475535856">
      <w:bodyDiv w:val="1"/>
      <w:marLeft w:val="0"/>
      <w:marRight w:val="0"/>
      <w:marTop w:val="0"/>
      <w:marBottom w:val="0"/>
      <w:divBdr>
        <w:top w:val="none" w:sz="0" w:space="0" w:color="auto"/>
        <w:left w:val="none" w:sz="0" w:space="0" w:color="auto"/>
        <w:bottom w:val="none" w:sz="0" w:space="0" w:color="auto"/>
        <w:right w:val="none" w:sz="0" w:space="0" w:color="auto"/>
      </w:divBdr>
    </w:div>
    <w:div w:id="476727051">
      <w:bodyDiv w:val="1"/>
      <w:marLeft w:val="0"/>
      <w:marRight w:val="0"/>
      <w:marTop w:val="0"/>
      <w:marBottom w:val="0"/>
      <w:divBdr>
        <w:top w:val="none" w:sz="0" w:space="0" w:color="auto"/>
        <w:left w:val="none" w:sz="0" w:space="0" w:color="auto"/>
        <w:bottom w:val="none" w:sz="0" w:space="0" w:color="auto"/>
        <w:right w:val="none" w:sz="0" w:space="0" w:color="auto"/>
      </w:divBdr>
    </w:div>
    <w:div w:id="480658908">
      <w:bodyDiv w:val="1"/>
      <w:marLeft w:val="0"/>
      <w:marRight w:val="0"/>
      <w:marTop w:val="0"/>
      <w:marBottom w:val="0"/>
      <w:divBdr>
        <w:top w:val="none" w:sz="0" w:space="0" w:color="auto"/>
        <w:left w:val="none" w:sz="0" w:space="0" w:color="auto"/>
        <w:bottom w:val="none" w:sz="0" w:space="0" w:color="auto"/>
        <w:right w:val="none" w:sz="0" w:space="0" w:color="auto"/>
      </w:divBdr>
    </w:div>
    <w:div w:id="483740042">
      <w:bodyDiv w:val="1"/>
      <w:marLeft w:val="0"/>
      <w:marRight w:val="0"/>
      <w:marTop w:val="0"/>
      <w:marBottom w:val="0"/>
      <w:divBdr>
        <w:top w:val="none" w:sz="0" w:space="0" w:color="auto"/>
        <w:left w:val="none" w:sz="0" w:space="0" w:color="auto"/>
        <w:bottom w:val="none" w:sz="0" w:space="0" w:color="auto"/>
        <w:right w:val="none" w:sz="0" w:space="0" w:color="auto"/>
      </w:divBdr>
    </w:div>
    <w:div w:id="483860804">
      <w:bodyDiv w:val="1"/>
      <w:marLeft w:val="0"/>
      <w:marRight w:val="0"/>
      <w:marTop w:val="0"/>
      <w:marBottom w:val="0"/>
      <w:divBdr>
        <w:top w:val="none" w:sz="0" w:space="0" w:color="auto"/>
        <w:left w:val="none" w:sz="0" w:space="0" w:color="auto"/>
        <w:bottom w:val="none" w:sz="0" w:space="0" w:color="auto"/>
        <w:right w:val="none" w:sz="0" w:space="0" w:color="auto"/>
      </w:divBdr>
    </w:div>
    <w:div w:id="488055472">
      <w:bodyDiv w:val="1"/>
      <w:marLeft w:val="0"/>
      <w:marRight w:val="0"/>
      <w:marTop w:val="0"/>
      <w:marBottom w:val="0"/>
      <w:divBdr>
        <w:top w:val="none" w:sz="0" w:space="0" w:color="auto"/>
        <w:left w:val="none" w:sz="0" w:space="0" w:color="auto"/>
        <w:bottom w:val="none" w:sz="0" w:space="0" w:color="auto"/>
        <w:right w:val="none" w:sz="0" w:space="0" w:color="auto"/>
      </w:divBdr>
    </w:div>
    <w:div w:id="489179007">
      <w:bodyDiv w:val="1"/>
      <w:marLeft w:val="0"/>
      <w:marRight w:val="0"/>
      <w:marTop w:val="0"/>
      <w:marBottom w:val="0"/>
      <w:divBdr>
        <w:top w:val="none" w:sz="0" w:space="0" w:color="auto"/>
        <w:left w:val="none" w:sz="0" w:space="0" w:color="auto"/>
        <w:bottom w:val="none" w:sz="0" w:space="0" w:color="auto"/>
        <w:right w:val="none" w:sz="0" w:space="0" w:color="auto"/>
      </w:divBdr>
    </w:div>
    <w:div w:id="491140144">
      <w:bodyDiv w:val="1"/>
      <w:marLeft w:val="0"/>
      <w:marRight w:val="0"/>
      <w:marTop w:val="0"/>
      <w:marBottom w:val="0"/>
      <w:divBdr>
        <w:top w:val="none" w:sz="0" w:space="0" w:color="auto"/>
        <w:left w:val="none" w:sz="0" w:space="0" w:color="auto"/>
        <w:bottom w:val="none" w:sz="0" w:space="0" w:color="auto"/>
        <w:right w:val="none" w:sz="0" w:space="0" w:color="auto"/>
      </w:divBdr>
    </w:div>
    <w:div w:id="492306587">
      <w:bodyDiv w:val="1"/>
      <w:marLeft w:val="0"/>
      <w:marRight w:val="0"/>
      <w:marTop w:val="0"/>
      <w:marBottom w:val="0"/>
      <w:divBdr>
        <w:top w:val="none" w:sz="0" w:space="0" w:color="auto"/>
        <w:left w:val="none" w:sz="0" w:space="0" w:color="auto"/>
        <w:bottom w:val="none" w:sz="0" w:space="0" w:color="auto"/>
        <w:right w:val="none" w:sz="0" w:space="0" w:color="auto"/>
      </w:divBdr>
    </w:div>
    <w:div w:id="496002700">
      <w:bodyDiv w:val="1"/>
      <w:marLeft w:val="0"/>
      <w:marRight w:val="0"/>
      <w:marTop w:val="0"/>
      <w:marBottom w:val="0"/>
      <w:divBdr>
        <w:top w:val="none" w:sz="0" w:space="0" w:color="auto"/>
        <w:left w:val="none" w:sz="0" w:space="0" w:color="auto"/>
        <w:bottom w:val="none" w:sz="0" w:space="0" w:color="auto"/>
        <w:right w:val="none" w:sz="0" w:space="0" w:color="auto"/>
      </w:divBdr>
    </w:div>
    <w:div w:id="496306547">
      <w:bodyDiv w:val="1"/>
      <w:marLeft w:val="0"/>
      <w:marRight w:val="0"/>
      <w:marTop w:val="0"/>
      <w:marBottom w:val="0"/>
      <w:divBdr>
        <w:top w:val="none" w:sz="0" w:space="0" w:color="auto"/>
        <w:left w:val="none" w:sz="0" w:space="0" w:color="auto"/>
        <w:bottom w:val="none" w:sz="0" w:space="0" w:color="auto"/>
        <w:right w:val="none" w:sz="0" w:space="0" w:color="auto"/>
      </w:divBdr>
    </w:div>
    <w:div w:id="503202090">
      <w:bodyDiv w:val="1"/>
      <w:marLeft w:val="0"/>
      <w:marRight w:val="0"/>
      <w:marTop w:val="0"/>
      <w:marBottom w:val="0"/>
      <w:divBdr>
        <w:top w:val="none" w:sz="0" w:space="0" w:color="auto"/>
        <w:left w:val="none" w:sz="0" w:space="0" w:color="auto"/>
        <w:bottom w:val="none" w:sz="0" w:space="0" w:color="auto"/>
        <w:right w:val="none" w:sz="0" w:space="0" w:color="auto"/>
      </w:divBdr>
    </w:div>
    <w:div w:id="503400758">
      <w:bodyDiv w:val="1"/>
      <w:marLeft w:val="0"/>
      <w:marRight w:val="0"/>
      <w:marTop w:val="0"/>
      <w:marBottom w:val="0"/>
      <w:divBdr>
        <w:top w:val="none" w:sz="0" w:space="0" w:color="auto"/>
        <w:left w:val="none" w:sz="0" w:space="0" w:color="auto"/>
        <w:bottom w:val="none" w:sz="0" w:space="0" w:color="auto"/>
        <w:right w:val="none" w:sz="0" w:space="0" w:color="auto"/>
      </w:divBdr>
    </w:div>
    <w:div w:id="507988666">
      <w:bodyDiv w:val="1"/>
      <w:marLeft w:val="0"/>
      <w:marRight w:val="0"/>
      <w:marTop w:val="0"/>
      <w:marBottom w:val="0"/>
      <w:divBdr>
        <w:top w:val="none" w:sz="0" w:space="0" w:color="auto"/>
        <w:left w:val="none" w:sz="0" w:space="0" w:color="auto"/>
        <w:bottom w:val="none" w:sz="0" w:space="0" w:color="auto"/>
        <w:right w:val="none" w:sz="0" w:space="0" w:color="auto"/>
      </w:divBdr>
    </w:div>
    <w:div w:id="508493850">
      <w:bodyDiv w:val="1"/>
      <w:marLeft w:val="0"/>
      <w:marRight w:val="0"/>
      <w:marTop w:val="0"/>
      <w:marBottom w:val="0"/>
      <w:divBdr>
        <w:top w:val="none" w:sz="0" w:space="0" w:color="auto"/>
        <w:left w:val="none" w:sz="0" w:space="0" w:color="auto"/>
        <w:bottom w:val="none" w:sz="0" w:space="0" w:color="auto"/>
        <w:right w:val="none" w:sz="0" w:space="0" w:color="auto"/>
      </w:divBdr>
    </w:div>
    <w:div w:id="510874942">
      <w:bodyDiv w:val="1"/>
      <w:marLeft w:val="0"/>
      <w:marRight w:val="0"/>
      <w:marTop w:val="0"/>
      <w:marBottom w:val="0"/>
      <w:divBdr>
        <w:top w:val="none" w:sz="0" w:space="0" w:color="auto"/>
        <w:left w:val="none" w:sz="0" w:space="0" w:color="auto"/>
        <w:bottom w:val="none" w:sz="0" w:space="0" w:color="auto"/>
        <w:right w:val="none" w:sz="0" w:space="0" w:color="auto"/>
      </w:divBdr>
    </w:div>
    <w:div w:id="513034077">
      <w:bodyDiv w:val="1"/>
      <w:marLeft w:val="0"/>
      <w:marRight w:val="0"/>
      <w:marTop w:val="0"/>
      <w:marBottom w:val="0"/>
      <w:divBdr>
        <w:top w:val="none" w:sz="0" w:space="0" w:color="auto"/>
        <w:left w:val="none" w:sz="0" w:space="0" w:color="auto"/>
        <w:bottom w:val="none" w:sz="0" w:space="0" w:color="auto"/>
        <w:right w:val="none" w:sz="0" w:space="0" w:color="auto"/>
      </w:divBdr>
    </w:div>
    <w:div w:id="513805938">
      <w:bodyDiv w:val="1"/>
      <w:marLeft w:val="0"/>
      <w:marRight w:val="0"/>
      <w:marTop w:val="0"/>
      <w:marBottom w:val="0"/>
      <w:divBdr>
        <w:top w:val="none" w:sz="0" w:space="0" w:color="auto"/>
        <w:left w:val="none" w:sz="0" w:space="0" w:color="auto"/>
        <w:bottom w:val="none" w:sz="0" w:space="0" w:color="auto"/>
        <w:right w:val="none" w:sz="0" w:space="0" w:color="auto"/>
      </w:divBdr>
    </w:div>
    <w:div w:id="514273088">
      <w:bodyDiv w:val="1"/>
      <w:marLeft w:val="0"/>
      <w:marRight w:val="0"/>
      <w:marTop w:val="0"/>
      <w:marBottom w:val="0"/>
      <w:divBdr>
        <w:top w:val="none" w:sz="0" w:space="0" w:color="auto"/>
        <w:left w:val="none" w:sz="0" w:space="0" w:color="auto"/>
        <w:bottom w:val="none" w:sz="0" w:space="0" w:color="auto"/>
        <w:right w:val="none" w:sz="0" w:space="0" w:color="auto"/>
      </w:divBdr>
    </w:div>
    <w:div w:id="518356321">
      <w:bodyDiv w:val="1"/>
      <w:marLeft w:val="0"/>
      <w:marRight w:val="0"/>
      <w:marTop w:val="0"/>
      <w:marBottom w:val="0"/>
      <w:divBdr>
        <w:top w:val="none" w:sz="0" w:space="0" w:color="auto"/>
        <w:left w:val="none" w:sz="0" w:space="0" w:color="auto"/>
        <w:bottom w:val="none" w:sz="0" w:space="0" w:color="auto"/>
        <w:right w:val="none" w:sz="0" w:space="0" w:color="auto"/>
      </w:divBdr>
    </w:div>
    <w:div w:id="519004099">
      <w:bodyDiv w:val="1"/>
      <w:marLeft w:val="0"/>
      <w:marRight w:val="0"/>
      <w:marTop w:val="0"/>
      <w:marBottom w:val="0"/>
      <w:divBdr>
        <w:top w:val="none" w:sz="0" w:space="0" w:color="auto"/>
        <w:left w:val="none" w:sz="0" w:space="0" w:color="auto"/>
        <w:bottom w:val="none" w:sz="0" w:space="0" w:color="auto"/>
        <w:right w:val="none" w:sz="0" w:space="0" w:color="auto"/>
      </w:divBdr>
    </w:div>
    <w:div w:id="520319867">
      <w:bodyDiv w:val="1"/>
      <w:marLeft w:val="0"/>
      <w:marRight w:val="0"/>
      <w:marTop w:val="0"/>
      <w:marBottom w:val="0"/>
      <w:divBdr>
        <w:top w:val="none" w:sz="0" w:space="0" w:color="auto"/>
        <w:left w:val="none" w:sz="0" w:space="0" w:color="auto"/>
        <w:bottom w:val="none" w:sz="0" w:space="0" w:color="auto"/>
        <w:right w:val="none" w:sz="0" w:space="0" w:color="auto"/>
      </w:divBdr>
    </w:div>
    <w:div w:id="520902599">
      <w:bodyDiv w:val="1"/>
      <w:marLeft w:val="0"/>
      <w:marRight w:val="0"/>
      <w:marTop w:val="0"/>
      <w:marBottom w:val="0"/>
      <w:divBdr>
        <w:top w:val="none" w:sz="0" w:space="0" w:color="auto"/>
        <w:left w:val="none" w:sz="0" w:space="0" w:color="auto"/>
        <w:bottom w:val="none" w:sz="0" w:space="0" w:color="auto"/>
        <w:right w:val="none" w:sz="0" w:space="0" w:color="auto"/>
      </w:divBdr>
    </w:div>
    <w:div w:id="528835508">
      <w:bodyDiv w:val="1"/>
      <w:marLeft w:val="0"/>
      <w:marRight w:val="0"/>
      <w:marTop w:val="0"/>
      <w:marBottom w:val="0"/>
      <w:divBdr>
        <w:top w:val="none" w:sz="0" w:space="0" w:color="auto"/>
        <w:left w:val="none" w:sz="0" w:space="0" w:color="auto"/>
        <w:bottom w:val="none" w:sz="0" w:space="0" w:color="auto"/>
        <w:right w:val="none" w:sz="0" w:space="0" w:color="auto"/>
      </w:divBdr>
    </w:div>
    <w:div w:id="540481402">
      <w:bodyDiv w:val="1"/>
      <w:marLeft w:val="0"/>
      <w:marRight w:val="0"/>
      <w:marTop w:val="0"/>
      <w:marBottom w:val="0"/>
      <w:divBdr>
        <w:top w:val="none" w:sz="0" w:space="0" w:color="auto"/>
        <w:left w:val="none" w:sz="0" w:space="0" w:color="auto"/>
        <w:bottom w:val="none" w:sz="0" w:space="0" w:color="auto"/>
        <w:right w:val="none" w:sz="0" w:space="0" w:color="auto"/>
      </w:divBdr>
    </w:div>
    <w:div w:id="550924125">
      <w:bodyDiv w:val="1"/>
      <w:marLeft w:val="0"/>
      <w:marRight w:val="0"/>
      <w:marTop w:val="0"/>
      <w:marBottom w:val="0"/>
      <w:divBdr>
        <w:top w:val="none" w:sz="0" w:space="0" w:color="auto"/>
        <w:left w:val="none" w:sz="0" w:space="0" w:color="auto"/>
        <w:bottom w:val="none" w:sz="0" w:space="0" w:color="auto"/>
        <w:right w:val="none" w:sz="0" w:space="0" w:color="auto"/>
      </w:divBdr>
    </w:div>
    <w:div w:id="555312057">
      <w:bodyDiv w:val="1"/>
      <w:marLeft w:val="0"/>
      <w:marRight w:val="0"/>
      <w:marTop w:val="0"/>
      <w:marBottom w:val="0"/>
      <w:divBdr>
        <w:top w:val="none" w:sz="0" w:space="0" w:color="auto"/>
        <w:left w:val="none" w:sz="0" w:space="0" w:color="auto"/>
        <w:bottom w:val="none" w:sz="0" w:space="0" w:color="auto"/>
        <w:right w:val="none" w:sz="0" w:space="0" w:color="auto"/>
      </w:divBdr>
    </w:div>
    <w:div w:id="557866790">
      <w:bodyDiv w:val="1"/>
      <w:marLeft w:val="0"/>
      <w:marRight w:val="0"/>
      <w:marTop w:val="0"/>
      <w:marBottom w:val="0"/>
      <w:divBdr>
        <w:top w:val="none" w:sz="0" w:space="0" w:color="auto"/>
        <w:left w:val="none" w:sz="0" w:space="0" w:color="auto"/>
        <w:bottom w:val="none" w:sz="0" w:space="0" w:color="auto"/>
        <w:right w:val="none" w:sz="0" w:space="0" w:color="auto"/>
      </w:divBdr>
    </w:div>
    <w:div w:id="564296258">
      <w:bodyDiv w:val="1"/>
      <w:marLeft w:val="0"/>
      <w:marRight w:val="0"/>
      <w:marTop w:val="0"/>
      <w:marBottom w:val="0"/>
      <w:divBdr>
        <w:top w:val="none" w:sz="0" w:space="0" w:color="auto"/>
        <w:left w:val="none" w:sz="0" w:space="0" w:color="auto"/>
        <w:bottom w:val="none" w:sz="0" w:space="0" w:color="auto"/>
        <w:right w:val="none" w:sz="0" w:space="0" w:color="auto"/>
      </w:divBdr>
    </w:div>
    <w:div w:id="565183740">
      <w:bodyDiv w:val="1"/>
      <w:marLeft w:val="0"/>
      <w:marRight w:val="0"/>
      <w:marTop w:val="0"/>
      <w:marBottom w:val="0"/>
      <w:divBdr>
        <w:top w:val="none" w:sz="0" w:space="0" w:color="auto"/>
        <w:left w:val="none" w:sz="0" w:space="0" w:color="auto"/>
        <w:bottom w:val="none" w:sz="0" w:space="0" w:color="auto"/>
        <w:right w:val="none" w:sz="0" w:space="0" w:color="auto"/>
      </w:divBdr>
    </w:div>
    <w:div w:id="569118117">
      <w:bodyDiv w:val="1"/>
      <w:marLeft w:val="0"/>
      <w:marRight w:val="0"/>
      <w:marTop w:val="0"/>
      <w:marBottom w:val="0"/>
      <w:divBdr>
        <w:top w:val="none" w:sz="0" w:space="0" w:color="auto"/>
        <w:left w:val="none" w:sz="0" w:space="0" w:color="auto"/>
        <w:bottom w:val="none" w:sz="0" w:space="0" w:color="auto"/>
        <w:right w:val="none" w:sz="0" w:space="0" w:color="auto"/>
      </w:divBdr>
    </w:div>
    <w:div w:id="574626853">
      <w:bodyDiv w:val="1"/>
      <w:marLeft w:val="0"/>
      <w:marRight w:val="0"/>
      <w:marTop w:val="0"/>
      <w:marBottom w:val="0"/>
      <w:divBdr>
        <w:top w:val="none" w:sz="0" w:space="0" w:color="auto"/>
        <w:left w:val="none" w:sz="0" w:space="0" w:color="auto"/>
        <w:bottom w:val="none" w:sz="0" w:space="0" w:color="auto"/>
        <w:right w:val="none" w:sz="0" w:space="0" w:color="auto"/>
      </w:divBdr>
    </w:div>
    <w:div w:id="575287697">
      <w:bodyDiv w:val="1"/>
      <w:marLeft w:val="0"/>
      <w:marRight w:val="0"/>
      <w:marTop w:val="0"/>
      <w:marBottom w:val="0"/>
      <w:divBdr>
        <w:top w:val="none" w:sz="0" w:space="0" w:color="auto"/>
        <w:left w:val="none" w:sz="0" w:space="0" w:color="auto"/>
        <w:bottom w:val="none" w:sz="0" w:space="0" w:color="auto"/>
        <w:right w:val="none" w:sz="0" w:space="0" w:color="auto"/>
      </w:divBdr>
    </w:div>
    <w:div w:id="575434013">
      <w:bodyDiv w:val="1"/>
      <w:marLeft w:val="0"/>
      <w:marRight w:val="0"/>
      <w:marTop w:val="0"/>
      <w:marBottom w:val="0"/>
      <w:divBdr>
        <w:top w:val="none" w:sz="0" w:space="0" w:color="auto"/>
        <w:left w:val="none" w:sz="0" w:space="0" w:color="auto"/>
        <w:bottom w:val="none" w:sz="0" w:space="0" w:color="auto"/>
        <w:right w:val="none" w:sz="0" w:space="0" w:color="auto"/>
      </w:divBdr>
    </w:div>
    <w:div w:id="578945936">
      <w:bodyDiv w:val="1"/>
      <w:marLeft w:val="0"/>
      <w:marRight w:val="0"/>
      <w:marTop w:val="0"/>
      <w:marBottom w:val="0"/>
      <w:divBdr>
        <w:top w:val="none" w:sz="0" w:space="0" w:color="auto"/>
        <w:left w:val="none" w:sz="0" w:space="0" w:color="auto"/>
        <w:bottom w:val="none" w:sz="0" w:space="0" w:color="auto"/>
        <w:right w:val="none" w:sz="0" w:space="0" w:color="auto"/>
      </w:divBdr>
    </w:div>
    <w:div w:id="582303190">
      <w:bodyDiv w:val="1"/>
      <w:marLeft w:val="0"/>
      <w:marRight w:val="0"/>
      <w:marTop w:val="0"/>
      <w:marBottom w:val="0"/>
      <w:divBdr>
        <w:top w:val="none" w:sz="0" w:space="0" w:color="auto"/>
        <w:left w:val="none" w:sz="0" w:space="0" w:color="auto"/>
        <w:bottom w:val="none" w:sz="0" w:space="0" w:color="auto"/>
        <w:right w:val="none" w:sz="0" w:space="0" w:color="auto"/>
      </w:divBdr>
    </w:div>
    <w:div w:id="586958750">
      <w:bodyDiv w:val="1"/>
      <w:marLeft w:val="0"/>
      <w:marRight w:val="0"/>
      <w:marTop w:val="0"/>
      <w:marBottom w:val="0"/>
      <w:divBdr>
        <w:top w:val="none" w:sz="0" w:space="0" w:color="auto"/>
        <w:left w:val="none" w:sz="0" w:space="0" w:color="auto"/>
        <w:bottom w:val="none" w:sz="0" w:space="0" w:color="auto"/>
        <w:right w:val="none" w:sz="0" w:space="0" w:color="auto"/>
      </w:divBdr>
    </w:div>
    <w:div w:id="592016002">
      <w:bodyDiv w:val="1"/>
      <w:marLeft w:val="0"/>
      <w:marRight w:val="0"/>
      <w:marTop w:val="0"/>
      <w:marBottom w:val="0"/>
      <w:divBdr>
        <w:top w:val="none" w:sz="0" w:space="0" w:color="auto"/>
        <w:left w:val="none" w:sz="0" w:space="0" w:color="auto"/>
        <w:bottom w:val="none" w:sz="0" w:space="0" w:color="auto"/>
        <w:right w:val="none" w:sz="0" w:space="0" w:color="auto"/>
      </w:divBdr>
    </w:div>
    <w:div w:id="593585779">
      <w:bodyDiv w:val="1"/>
      <w:marLeft w:val="0"/>
      <w:marRight w:val="0"/>
      <w:marTop w:val="0"/>
      <w:marBottom w:val="0"/>
      <w:divBdr>
        <w:top w:val="none" w:sz="0" w:space="0" w:color="auto"/>
        <w:left w:val="none" w:sz="0" w:space="0" w:color="auto"/>
        <w:bottom w:val="none" w:sz="0" w:space="0" w:color="auto"/>
        <w:right w:val="none" w:sz="0" w:space="0" w:color="auto"/>
      </w:divBdr>
    </w:div>
    <w:div w:id="594090855">
      <w:bodyDiv w:val="1"/>
      <w:marLeft w:val="0"/>
      <w:marRight w:val="0"/>
      <w:marTop w:val="0"/>
      <w:marBottom w:val="0"/>
      <w:divBdr>
        <w:top w:val="none" w:sz="0" w:space="0" w:color="auto"/>
        <w:left w:val="none" w:sz="0" w:space="0" w:color="auto"/>
        <w:bottom w:val="none" w:sz="0" w:space="0" w:color="auto"/>
        <w:right w:val="none" w:sz="0" w:space="0" w:color="auto"/>
      </w:divBdr>
    </w:div>
    <w:div w:id="596450783">
      <w:bodyDiv w:val="1"/>
      <w:marLeft w:val="0"/>
      <w:marRight w:val="0"/>
      <w:marTop w:val="0"/>
      <w:marBottom w:val="0"/>
      <w:divBdr>
        <w:top w:val="none" w:sz="0" w:space="0" w:color="auto"/>
        <w:left w:val="none" w:sz="0" w:space="0" w:color="auto"/>
        <w:bottom w:val="none" w:sz="0" w:space="0" w:color="auto"/>
        <w:right w:val="none" w:sz="0" w:space="0" w:color="auto"/>
      </w:divBdr>
    </w:div>
    <w:div w:id="596909259">
      <w:bodyDiv w:val="1"/>
      <w:marLeft w:val="0"/>
      <w:marRight w:val="0"/>
      <w:marTop w:val="0"/>
      <w:marBottom w:val="0"/>
      <w:divBdr>
        <w:top w:val="none" w:sz="0" w:space="0" w:color="auto"/>
        <w:left w:val="none" w:sz="0" w:space="0" w:color="auto"/>
        <w:bottom w:val="none" w:sz="0" w:space="0" w:color="auto"/>
        <w:right w:val="none" w:sz="0" w:space="0" w:color="auto"/>
      </w:divBdr>
    </w:div>
    <w:div w:id="608316696">
      <w:bodyDiv w:val="1"/>
      <w:marLeft w:val="0"/>
      <w:marRight w:val="0"/>
      <w:marTop w:val="0"/>
      <w:marBottom w:val="0"/>
      <w:divBdr>
        <w:top w:val="none" w:sz="0" w:space="0" w:color="auto"/>
        <w:left w:val="none" w:sz="0" w:space="0" w:color="auto"/>
        <w:bottom w:val="none" w:sz="0" w:space="0" w:color="auto"/>
        <w:right w:val="none" w:sz="0" w:space="0" w:color="auto"/>
      </w:divBdr>
    </w:div>
    <w:div w:id="609901227">
      <w:bodyDiv w:val="1"/>
      <w:marLeft w:val="0"/>
      <w:marRight w:val="0"/>
      <w:marTop w:val="0"/>
      <w:marBottom w:val="0"/>
      <w:divBdr>
        <w:top w:val="none" w:sz="0" w:space="0" w:color="auto"/>
        <w:left w:val="none" w:sz="0" w:space="0" w:color="auto"/>
        <w:bottom w:val="none" w:sz="0" w:space="0" w:color="auto"/>
        <w:right w:val="none" w:sz="0" w:space="0" w:color="auto"/>
      </w:divBdr>
    </w:div>
    <w:div w:id="610089783">
      <w:bodyDiv w:val="1"/>
      <w:marLeft w:val="0"/>
      <w:marRight w:val="0"/>
      <w:marTop w:val="0"/>
      <w:marBottom w:val="0"/>
      <w:divBdr>
        <w:top w:val="none" w:sz="0" w:space="0" w:color="auto"/>
        <w:left w:val="none" w:sz="0" w:space="0" w:color="auto"/>
        <w:bottom w:val="none" w:sz="0" w:space="0" w:color="auto"/>
        <w:right w:val="none" w:sz="0" w:space="0" w:color="auto"/>
      </w:divBdr>
    </w:div>
    <w:div w:id="610287155">
      <w:bodyDiv w:val="1"/>
      <w:marLeft w:val="0"/>
      <w:marRight w:val="0"/>
      <w:marTop w:val="0"/>
      <w:marBottom w:val="0"/>
      <w:divBdr>
        <w:top w:val="none" w:sz="0" w:space="0" w:color="auto"/>
        <w:left w:val="none" w:sz="0" w:space="0" w:color="auto"/>
        <w:bottom w:val="none" w:sz="0" w:space="0" w:color="auto"/>
        <w:right w:val="none" w:sz="0" w:space="0" w:color="auto"/>
      </w:divBdr>
    </w:div>
    <w:div w:id="614092359">
      <w:bodyDiv w:val="1"/>
      <w:marLeft w:val="0"/>
      <w:marRight w:val="0"/>
      <w:marTop w:val="0"/>
      <w:marBottom w:val="0"/>
      <w:divBdr>
        <w:top w:val="none" w:sz="0" w:space="0" w:color="auto"/>
        <w:left w:val="none" w:sz="0" w:space="0" w:color="auto"/>
        <w:bottom w:val="none" w:sz="0" w:space="0" w:color="auto"/>
        <w:right w:val="none" w:sz="0" w:space="0" w:color="auto"/>
      </w:divBdr>
    </w:div>
    <w:div w:id="614363682">
      <w:bodyDiv w:val="1"/>
      <w:marLeft w:val="0"/>
      <w:marRight w:val="0"/>
      <w:marTop w:val="0"/>
      <w:marBottom w:val="0"/>
      <w:divBdr>
        <w:top w:val="none" w:sz="0" w:space="0" w:color="auto"/>
        <w:left w:val="none" w:sz="0" w:space="0" w:color="auto"/>
        <w:bottom w:val="none" w:sz="0" w:space="0" w:color="auto"/>
        <w:right w:val="none" w:sz="0" w:space="0" w:color="auto"/>
      </w:divBdr>
    </w:div>
    <w:div w:id="614942717">
      <w:bodyDiv w:val="1"/>
      <w:marLeft w:val="0"/>
      <w:marRight w:val="0"/>
      <w:marTop w:val="0"/>
      <w:marBottom w:val="0"/>
      <w:divBdr>
        <w:top w:val="none" w:sz="0" w:space="0" w:color="auto"/>
        <w:left w:val="none" w:sz="0" w:space="0" w:color="auto"/>
        <w:bottom w:val="none" w:sz="0" w:space="0" w:color="auto"/>
        <w:right w:val="none" w:sz="0" w:space="0" w:color="auto"/>
      </w:divBdr>
    </w:div>
    <w:div w:id="617879713">
      <w:bodyDiv w:val="1"/>
      <w:marLeft w:val="0"/>
      <w:marRight w:val="0"/>
      <w:marTop w:val="0"/>
      <w:marBottom w:val="0"/>
      <w:divBdr>
        <w:top w:val="none" w:sz="0" w:space="0" w:color="auto"/>
        <w:left w:val="none" w:sz="0" w:space="0" w:color="auto"/>
        <w:bottom w:val="none" w:sz="0" w:space="0" w:color="auto"/>
        <w:right w:val="none" w:sz="0" w:space="0" w:color="auto"/>
      </w:divBdr>
    </w:div>
    <w:div w:id="625165839">
      <w:bodyDiv w:val="1"/>
      <w:marLeft w:val="0"/>
      <w:marRight w:val="0"/>
      <w:marTop w:val="0"/>
      <w:marBottom w:val="0"/>
      <w:divBdr>
        <w:top w:val="none" w:sz="0" w:space="0" w:color="auto"/>
        <w:left w:val="none" w:sz="0" w:space="0" w:color="auto"/>
        <w:bottom w:val="none" w:sz="0" w:space="0" w:color="auto"/>
        <w:right w:val="none" w:sz="0" w:space="0" w:color="auto"/>
      </w:divBdr>
    </w:div>
    <w:div w:id="632831312">
      <w:bodyDiv w:val="1"/>
      <w:marLeft w:val="0"/>
      <w:marRight w:val="0"/>
      <w:marTop w:val="0"/>
      <w:marBottom w:val="0"/>
      <w:divBdr>
        <w:top w:val="none" w:sz="0" w:space="0" w:color="auto"/>
        <w:left w:val="none" w:sz="0" w:space="0" w:color="auto"/>
        <w:bottom w:val="none" w:sz="0" w:space="0" w:color="auto"/>
        <w:right w:val="none" w:sz="0" w:space="0" w:color="auto"/>
      </w:divBdr>
    </w:div>
    <w:div w:id="635178934">
      <w:bodyDiv w:val="1"/>
      <w:marLeft w:val="0"/>
      <w:marRight w:val="0"/>
      <w:marTop w:val="0"/>
      <w:marBottom w:val="0"/>
      <w:divBdr>
        <w:top w:val="none" w:sz="0" w:space="0" w:color="auto"/>
        <w:left w:val="none" w:sz="0" w:space="0" w:color="auto"/>
        <w:bottom w:val="none" w:sz="0" w:space="0" w:color="auto"/>
        <w:right w:val="none" w:sz="0" w:space="0" w:color="auto"/>
      </w:divBdr>
    </w:div>
    <w:div w:id="636838835">
      <w:bodyDiv w:val="1"/>
      <w:marLeft w:val="0"/>
      <w:marRight w:val="0"/>
      <w:marTop w:val="0"/>
      <w:marBottom w:val="0"/>
      <w:divBdr>
        <w:top w:val="none" w:sz="0" w:space="0" w:color="auto"/>
        <w:left w:val="none" w:sz="0" w:space="0" w:color="auto"/>
        <w:bottom w:val="none" w:sz="0" w:space="0" w:color="auto"/>
        <w:right w:val="none" w:sz="0" w:space="0" w:color="auto"/>
      </w:divBdr>
    </w:div>
    <w:div w:id="640231287">
      <w:bodyDiv w:val="1"/>
      <w:marLeft w:val="0"/>
      <w:marRight w:val="0"/>
      <w:marTop w:val="0"/>
      <w:marBottom w:val="0"/>
      <w:divBdr>
        <w:top w:val="none" w:sz="0" w:space="0" w:color="auto"/>
        <w:left w:val="none" w:sz="0" w:space="0" w:color="auto"/>
        <w:bottom w:val="none" w:sz="0" w:space="0" w:color="auto"/>
        <w:right w:val="none" w:sz="0" w:space="0" w:color="auto"/>
      </w:divBdr>
    </w:div>
    <w:div w:id="641929587">
      <w:bodyDiv w:val="1"/>
      <w:marLeft w:val="0"/>
      <w:marRight w:val="0"/>
      <w:marTop w:val="0"/>
      <w:marBottom w:val="0"/>
      <w:divBdr>
        <w:top w:val="none" w:sz="0" w:space="0" w:color="auto"/>
        <w:left w:val="none" w:sz="0" w:space="0" w:color="auto"/>
        <w:bottom w:val="none" w:sz="0" w:space="0" w:color="auto"/>
        <w:right w:val="none" w:sz="0" w:space="0" w:color="auto"/>
      </w:divBdr>
    </w:div>
    <w:div w:id="645472405">
      <w:bodyDiv w:val="1"/>
      <w:marLeft w:val="0"/>
      <w:marRight w:val="0"/>
      <w:marTop w:val="0"/>
      <w:marBottom w:val="0"/>
      <w:divBdr>
        <w:top w:val="none" w:sz="0" w:space="0" w:color="auto"/>
        <w:left w:val="none" w:sz="0" w:space="0" w:color="auto"/>
        <w:bottom w:val="none" w:sz="0" w:space="0" w:color="auto"/>
        <w:right w:val="none" w:sz="0" w:space="0" w:color="auto"/>
      </w:divBdr>
    </w:div>
    <w:div w:id="646009658">
      <w:bodyDiv w:val="1"/>
      <w:marLeft w:val="0"/>
      <w:marRight w:val="0"/>
      <w:marTop w:val="0"/>
      <w:marBottom w:val="0"/>
      <w:divBdr>
        <w:top w:val="none" w:sz="0" w:space="0" w:color="auto"/>
        <w:left w:val="none" w:sz="0" w:space="0" w:color="auto"/>
        <w:bottom w:val="none" w:sz="0" w:space="0" w:color="auto"/>
        <w:right w:val="none" w:sz="0" w:space="0" w:color="auto"/>
      </w:divBdr>
    </w:div>
    <w:div w:id="650669598">
      <w:bodyDiv w:val="1"/>
      <w:marLeft w:val="0"/>
      <w:marRight w:val="0"/>
      <w:marTop w:val="0"/>
      <w:marBottom w:val="0"/>
      <w:divBdr>
        <w:top w:val="none" w:sz="0" w:space="0" w:color="auto"/>
        <w:left w:val="none" w:sz="0" w:space="0" w:color="auto"/>
        <w:bottom w:val="none" w:sz="0" w:space="0" w:color="auto"/>
        <w:right w:val="none" w:sz="0" w:space="0" w:color="auto"/>
      </w:divBdr>
    </w:div>
    <w:div w:id="654794396">
      <w:bodyDiv w:val="1"/>
      <w:marLeft w:val="0"/>
      <w:marRight w:val="0"/>
      <w:marTop w:val="0"/>
      <w:marBottom w:val="0"/>
      <w:divBdr>
        <w:top w:val="none" w:sz="0" w:space="0" w:color="auto"/>
        <w:left w:val="none" w:sz="0" w:space="0" w:color="auto"/>
        <w:bottom w:val="none" w:sz="0" w:space="0" w:color="auto"/>
        <w:right w:val="none" w:sz="0" w:space="0" w:color="auto"/>
      </w:divBdr>
    </w:div>
    <w:div w:id="656229684">
      <w:bodyDiv w:val="1"/>
      <w:marLeft w:val="0"/>
      <w:marRight w:val="0"/>
      <w:marTop w:val="0"/>
      <w:marBottom w:val="0"/>
      <w:divBdr>
        <w:top w:val="none" w:sz="0" w:space="0" w:color="auto"/>
        <w:left w:val="none" w:sz="0" w:space="0" w:color="auto"/>
        <w:bottom w:val="none" w:sz="0" w:space="0" w:color="auto"/>
        <w:right w:val="none" w:sz="0" w:space="0" w:color="auto"/>
      </w:divBdr>
    </w:div>
    <w:div w:id="656499906">
      <w:bodyDiv w:val="1"/>
      <w:marLeft w:val="0"/>
      <w:marRight w:val="0"/>
      <w:marTop w:val="0"/>
      <w:marBottom w:val="0"/>
      <w:divBdr>
        <w:top w:val="none" w:sz="0" w:space="0" w:color="auto"/>
        <w:left w:val="none" w:sz="0" w:space="0" w:color="auto"/>
        <w:bottom w:val="none" w:sz="0" w:space="0" w:color="auto"/>
        <w:right w:val="none" w:sz="0" w:space="0" w:color="auto"/>
      </w:divBdr>
    </w:div>
    <w:div w:id="658927599">
      <w:bodyDiv w:val="1"/>
      <w:marLeft w:val="0"/>
      <w:marRight w:val="0"/>
      <w:marTop w:val="0"/>
      <w:marBottom w:val="0"/>
      <w:divBdr>
        <w:top w:val="none" w:sz="0" w:space="0" w:color="auto"/>
        <w:left w:val="none" w:sz="0" w:space="0" w:color="auto"/>
        <w:bottom w:val="none" w:sz="0" w:space="0" w:color="auto"/>
        <w:right w:val="none" w:sz="0" w:space="0" w:color="auto"/>
      </w:divBdr>
    </w:div>
    <w:div w:id="659239886">
      <w:bodyDiv w:val="1"/>
      <w:marLeft w:val="0"/>
      <w:marRight w:val="0"/>
      <w:marTop w:val="0"/>
      <w:marBottom w:val="0"/>
      <w:divBdr>
        <w:top w:val="none" w:sz="0" w:space="0" w:color="auto"/>
        <w:left w:val="none" w:sz="0" w:space="0" w:color="auto"/>
        <w:bottom w:val="none" w:sz="0" w:space="0" w:color="auto"/>
        <w:right w:val="none" w:sz="0" w:space="0" w:color="auto"/>
      </w:divBdr>
    </w:div>
    <w:div w:id="660430615">
      <w:bodyDiv w:val="1"/>
      <w:marLeft w:val="0"/>
      <w:marRight w:val="0"/>
      <w:marTop w:val="0"/>
      <w:marBottom w:val="0"/>
      <w:divBdr>
        <w:top w:val="none" w:sz="0" w:space="0" w:color="auto"/>
        <w:left w:val="none" w:sz="0" w:space="0" w:color="auto"/>
        <w:bottom w:val="none" w:sz="0" w:space="0" w:color="auto"/>
        <w:right w:val="none" w:sz="0" w:space="0" w:color="auto"/>
      </w:divBdr>
    </w:div>
    <w:div w:id="663433899">
      <w:bodyDiv w:val="1"/>
      <w:marLeft w:val="0"/>
      <w:marRight w:val="0"/>
      <w:marTop w:val="0"/>
      <w:marBottom w:val="0"/>
      <w:divBdr>
        <w:top w:val="none" w:sz="0" w:space="0" w:color="auto"/>
        <w:left w:val="none" w:sz="0" w:space="0" w:color="auto"/>
        <w:bottom w:val="none" w:sz="0" w:space="0" w:color="auto"/>
        <w:right w:val="none" w:sz="0" w:space="0" w:color="auto"/>
      </w:divBdr>
    </w:div>
    <w:div w:id="665599512">
      <w:bodyDiv w:val="1"/>
      <w:marLeft w:val="0"/>
      <w:marRight w:val="0"/>
      <w:marTop w:val="0"/>
      <w:marBottom w:val="0"/>
      <w:divBdr>
        <w:top w:val="none" w:sz="0" w:space="0" w:color="auto"/>
        <w:left w:val="none" w:sz="0" w:space="0" w:color="auto"/>
        <w:bottom w:val="none" w:sz="0" w:space="0" w:color="auto"/>
        <w:right w:val="none" w:sz="0" w:space="0" w:color="auto"/>
      </w:divBdr>
    </w:div>
    <w:div w:id="667561378">
      <w:bodyDiv w:val="1"/>
      <w:marLeft w:val="0"/>
      <w:marRight w:val="0"/>
      <w:marTop w:val="0"/>
      <w:marBottom w:val="0"/>
      <w:divBdr>
        <w:top w:val="none" w:sz="0" w:space="0" w:color="auto"/>
        <w:left w:val="none" w:sz="0" w:space="0" w:color="auto"/>
        <w:bottom w:val="none" w:sz="0" w:space="0" w:color="auto"/>
        <w:right w:val="none" w:sz="0" w:space="0" w:color="auto"/>
      </w:divBdr>
    </w:div>
    <w:div w:id="668171267">
      <w:bodyDiv w:val="1"/>
      <w:marLeft w:val="0"/>
      <w:marRight w:val="0"/>
      <w:marTop w:val="0"/>
      <w:marBottom w:val="0"/>
      <w:divBdr>
        <w:top w:val="none" w:sz="0" w:space="0" w:color="auto"/>
        <w:left w:val="none" w:sz="0" w:space="0" w:color="auto"/>
        <w:bottom w:val="none" w:sz="0" w:space="0" w:color="auto"/>
        <w:right w:val="none" w:sz="0" w:space="0" w:color="auto"/>
      </w:divBdr>
    </w:div>
    <w:div w:id="676495100">
      <w:bodyDiv w:val="1"/>
      <w:marLeft w:val="0"/>
      <w:marRight w:val="0"/>
      <w:marTop w:val="0"/>
      <w:marBottom w:val="0"/>
      <w:divBdr>
        <w:top w:val="none" w:sz="0" w:space="0" w:color="auto"/>
        <w:left w:val="none" w:sz="0" w:space="0" w:color="auto"/>
        <w:bottom w:val="none" w:sz="0" w:space="0" w:color="auto"/>
        <w:right w:val="none" w:sz="0" w:space="0" w:color="auto"/>
      </w:divBdr>
    </w:div>
    <w:div w:id="678237582">
      <w:bodyDiv w:val="1"/>
      <w:marLeft w:val="0"/>
      <w:marRight w:val="0"/>
      <w:marTop w:val="0"/>
      <w:marBottom w:val="0"/>
      <w:divBdr>
        <w:top w:val="none" w:sz="0" w:space="0" w:color="auto"/>
        <w:left w:val="none" w:sz="0" w:space="0" w:color="auto"/>
        <w:bottom w:val="none" w:sz="0" w:space="0" w:color="auto"/>
        <w:right w:val="none" w:sz="0" w:space="0" w:color="auto"/>
      </w:divBdr>
    </w:div>
    <w:div w:id="681054899">
      <w:bodyDiv w:val="1"/>
      <w:marLeft w:val="0"/>
      <w:marRight w:val="0"/>
      <w:marTop w:val="0"/>
      <w:marBottom w:val="0"/>
      <w:divBdr>
        <w:top w:val="none" w:sz="0" w:space="0" w:color="auto"/>
        <w:left w:val="none" w:sz="0" w:space="0" w:color="auto"/>
        <w:bottom w:val="none" w:sz="0" w:space="0" w:color="auto"/>
        <w:right w:val="none" w:sz="0" w:space="0" w:color="auto"/>
      </w:divBdr>
    </w:div>
    <w:div w:id="684982456">
      <w:bodyDiv w:val="1"/>
      <w:marLeft w:val="0"/>
      <w:marRight w:val="0"/>
      <w:marTop w:val="0"/>
      <w:marBottom w:val="0"/>
      <w:divBdr>
        <w:top w:val="none" w:sz="0" w:space="0" w:color="auto"/>
        <w:left w:val="none" w:sz="0" w:space="0" w:color="auto"/>
        <w:bottom w:val="none" w:sz="0" w:space="0" w:color="auto"/>
        <w:right w:val="none" w:sz="0" w:space="0" w:color="auto"/>
      </w:divBdr>
    </w:div>
    <w:div w:id="688870214">
      <w:bodyDiv w:val="1"/>
      <w:marLeft w:val="0"/>
      <w:marRight w:val="0"/>
      <w:marTop w:val="0"/>
      <w:marBottom w:val="0"/>
      <w:divBdr>
        <w:top w:val="none" w:sz="0" w:space="0" w:color="auto"/>
        <w:left w:val="none" w:sz="0" w:space="0" w:color="auto"/>
        <w:bottom w:val="none" w:sz="0" w:space="0" w:color="auto"/>
        <w:right w:val="none" w:sz="0" w:space="0" w:color="auto"/>
      </w:divBdr>
    </w:div>
    <w:div w:id="689185448">
      <w:bodyDiv w:val="1"/>
      <w:marLeft w:val="0"/>
      <w:marRight w:val="0"/>
      <w:marTop w:val="0"/>
      <w:marBottom w:val="0"/>
      <w:divBdr>
        <w:top w:val="none" w:sz="0" w:space="0" w:color="auto"/>
        <w:left w:val="none" w:sz="0" w:space="0" w:color="auto"/>
        <w:bottom w:val="none" w:sz="0" w:space="0" w:color="auto"/>
        <w:right w:val="none" w:sz="0" w:space="0" w:color="auto"/>
      </w:divBdr>
    </w:div>
    <w:div w:id="693653814">
      <w:bodyDiv w:val="1"/>
      <w:marLeft w:val="0"/>
      <w:marRight w:val="0"/>
      <w:marTop w:val="0"/>
      <w:marBottom w:val="0"/>
      <w:divBdr>
        <w:top w:val="none" w:sz="0" w:space="0" w:color="auto"/>
        <w:left w:val="none" w:sz="0" w:space="0" w:color="auto"/>
        <w:bottom w:val="none" w:sz="0" w:space="0" w:color="auto"/>
        <w:right w:val="none" w:sz="0" w:space="0" w:color="auto"/>
      </w:divBdr>
    </w:div>
    <w:div w:id="697001379">
      <w:bodyDiv w:val="1"/>
      <w:marLeft w:val="0"/>
      <w:marRight w:val="0"/>
      <w:marTop w:val="0"/>
      <w:marBottom w:val="0"/>
      <w:divBdr>
        <w:top w:val="none" w:sz="0" w:space="0" w:color="auto"/>
        <w:left w:val="none" w:sz="0" w:space="0" w:color="auto"/>
        <w:bottom w:val="none" w:sz="0" w:space="0" w:color="auto"/>
        <w:right w:val="none" w:sz="0" w:space="0" w:color="auto"/>
      </w:divBdr>
    </w:div>
    <w:div w:id="698550266">
      <w:bodyDiv w:val="1"/>
      <w:marLeft w:val="0"/>
      <w:marRight w:val="0"/>
      <w:marTop w:val="0"/>
      <w:marBottom w:val="0"/>
      <w:divBdr>
        <w:top w:val="none" w:sz="0" w:space="0" w:color="auto"/>
        <w:left w:val="none" w:sz="0" w:space="0" w:color="auto"/>
        <w:bottom w:val="none" w:sz="0" w:space="0" w:color="auto"/>
        <w:right w:val="none" w:sz="0" w:space="0" w:color="auto"/>
      </w:divBdr>
    </w:div>
    <w:div w:id="698775868">
      <w:bodyDiv w:val="1"/>
      <w:marLeft w:val="0"/>
      <w:marRight w:val="0"/>
      <w:marTop w:val="0"/>
      <w:marBottom w:val="0"/>
      <w:divBdr>
        <w:top w:val="none" w:sz="0" w:space="0" w:color="auto"/>
        <w:left w:val="none" w:sz="0" w:space="0" w:color="auto"/>
        <w:bottom w:val="none" w:sz="0" w:space="0" w:color="auto"/>
        <w:right w:val="none" w:sz="0" w:space="0" w:color="auto"/>
      </w:divBdr>
    </w:div>
    <w:div w:id="708146131">
      <w:bodyDiv w:val="1"/>
      <w:marLeft w:val="0"/>
      <w:marRight w:val="0"/>
      <w:marTop w:val="0"/>
      <w:marBottom w:val="0"/>
      <w:divBdr>
        <w:top w:val="none" w:sz="0" w:space="0" w:color="auto"/>
        <w:left w:val="none" w:sz="0" w:space="0" w:color="auto"/>
        <w:bottom w:val="none" w:sz="0" w:space="0" w:color="auto"/>
        <w:right w:val="none" w:sz="0" w:space="0" w:color="auto"/>
      </w:divBdr>
    </w:div>
    <w:div w:id="719942226">
      <w:bodyDiv w:val="1"/>
      <w:marLeft w:val="0"/>
      <w:marRight w:val="0"/>
      <w:marTop w:val="0"/>
      <w:marBottom w:val="0"/>
      <w:divBdr>
        <w:top w:val="none" w:sz="0" w:space="0" w:color="auto"/>
        <w:left w:val="none" w:sz="0" w:space="0" w:color="auto"/>
        <w:bottom w:val="none" w:sz="0" w:space="0" w:color="auto"/>
        <w:right w:val="none" w:sz="0" w:space="0" w:color="auto"/>
      </w:divBdr>
    </w:div>
    <w:div w:id="725564330">
      <w:bodyDiv w:val="1"/>
      <w:marLeft w:val="0"/>
      <w:marRight w:val="0"/>
      <w:marTop w:val="0"/>
      <w:marBottom w:val="0"/>
      <w:divBdr>
        <w:top w:val="none" w:sz="0" w:space="0" w:color="auto"/>
        <w:left w:val="none" w:sz="0" w:space="0" w:color="auto"/>
        <w:bottom w:val="none" w:sz="0" w:space="0" w:color="auto"/>
        <w:right w:val="none" w:sz="0" w:space="0" w:color="auto"/>
      </w:divBdr>
    </w:div>
    <w:div w:id="734622811">
      <w:bodyDiv w:val="1"/>
      <w:marLeft w:val="0"/>
      <w:marRight w:val="0"/>
      <w:marTop w:val="0"/>
      <w:marBottom w:val="0"/>
      <w:divBdr>
        <w:top w:val="none" w:sz="0" w:space="0" w:color="auto"/>
        <w:left w:val="none" w:sz="0" w:space="0" w:color="auto"/>
        <w:bottom w:val="none" w:sz="0" w:space="0" w:color="auto"/>
        <w:right w:val="none" w:sz="0" w:space="0" w:color="auto"/>
      </w:divBdr>
    </w:div>
    <w:div w:id="739986364">
      <w:bodyDiv w:val="1"/>
      <w:marLeft w:val="0"/>
      <w:marRight w:val="0"/>
      <w:marTop w:val="0"/>
      <w:marBottom w:val="0"/>
      <w:divBdr>
        <w:top w:val="none" w:sz="0" w:space="0" w:color="auto"/>
        <w:left w:val="none" w:sz="0" w:space="0" w:color="auto"/>
        <w:bottom w:val="none" w:sz="0" w:space="0" w:color="auto"/>
        <w:right w:val="none" w:sz="0" w:space="0" w:color="auto"/>
      </w:divBdr>
    </w:div>
    <w:div w:id="747994180">
      <w:bodyDiv w:val="1"/>
      <w:marLeft w:val="0"/>
      <w:marRight w:val="0"/>
      <w:marTop w:val="0"/>
      <w:marBottom w:val="0"/>
      <w:divBdr>
        <w:top w:val="none" w:sz="0" w:space="0" w:color="auto"/>
        <w:left w:val="none" w:sz="0" w:space="0" w:color="auto"/>
        <w:bottom w:val="none" w:sz="0" w:space="0" w:color="auto"/>
        <w:right w:val="none" w:sz="0" w:space="0" w:color="auto"/>
      </w:divBdr>
    </w:div>
    <w:div w:id="748581286">
      <w:bodyDiv w:val="1"/>
      <w:marLeft w:val="0"/>
      <w:marRight w:val="0"/>
      <w:marTop w:val="0"/>
      <w:marBottom w:val="0"/>
      <w:divBdr>
        <w:top w:val="none" w:sz="0" w:space="0" w:color="auto"/>
        <w:left w:val="none" w:sz="0" w:space="0" w:color="auto"/>
        <w:bottom w:val="none" w:sz="0" w:space="0" w:color="auto"/>
        <w:right w:val="none" w:sz="0" w:space="0" w:color="auto"/>
      </w:divBdr>
    </w:div>
    <w:div w:id="748844178">
      <w:bodyDiv w:val="1"/>
      <w:marLeft w:val="0"/>
      <w:marRight w:val="0"/>
      <w:marTop w:val="0"/>
      <w:marBottom w:val="0"/>
      <w:divBdr>
        <w:top w:val="none" w:sz="0" w:space="0" w:color="auto"/>
        <w:left w:val="none" w:sz="0" w:space="0" w:color="auto"/>
        <w:bottom w:val="none" w:sz="0" w:space="0" w:color="auto"/>
        <w:right w:val="none" w:sz="0" w:space="0" w:color="auto"/>
      </w:divBdr>
    </w:div>
    <w:div w:id="750585877">
      <w:bodyDiv w:val="1"/>
      <w:marLeft w:val="0"/>
      <w:marRight w:val="0"/>
      <w:marTop w:val="0"/>
      <w:marBottom w:val="0"/>
      <w:divBdr>
        <w:top w:val="none" w:sz="0" w:space="0" w:color="auto"/>
        <w:left w:val="none" w:sz="0" w:space="0" w:color="auto"/>
        <w:bottom w:val="none" w:sz="0" w:space="0" w:color="auto"/>
        <w:right w:val="none" w:sz="0" w:space="0" w:color="auto"/>
      </w:divBdr>
    </w:div>
    <w:div w:id="753163568">
      <w:bodyDiv w:val="1"/>
      <w:marLeft w:val="0"/>
      <w:marRight w:val="0"/>
      <w:marTop w:val="0"/>
      <w:marBottom w:val="0"/>
      <w:divBdr>
        <w:top w:val="none" w:sz="0" w:space="0" w:color="auto"/>
        <w:left w:val="none" w:sz="0" w:space="0" w:color="auto"/>
        <w:bottom w:val="none" w:sz="0" w:space="0" w:color="auto"/>
        <w:right w:val="none" w:sz="0" w:space="0" w:color="auto"/>
      </w:divBdr>
    </w:div>
    <w:div w:id="755827156">
      <w:bodyDiv w:val="1"/>
      <w:marLeft w:val="0"/>
      <w:marRight w:val="0"/>
      <w:marTop w:val="0"/>
      <w:marBottom w:val="0"/>
      <w:divBdr>
        <w:top w:val="none" w:sz="0" w:space="0" w:color="auto"/>
        <w:left w:val="none" w:sz="0" w:space="0" w:color="auto"/>
        <w:bottom w:val="none" w:sz="0" w:space="0" w:color="auto"/>
        <w:right w:val="none" w:sz="0" w:space="0" w:color="auto"/>
      </w:divBdr>
    </w:div>
    <w:div w:id="757561973">
      <w:bodyDiv w:val="1"/>
      <w:marLeft w:val="0"/>
      <w:marRight w:val="0"/>
      <w:marTop w:val="0"/>
      <w:marBottom w:val="0"/>
      <w:divBdr>
        <w:top w:val="none" w:sz="0" w:space="0" w:color="auto"/>
        <w:left w:val="none" w:sz="0" w:space="0" w:color="auto"/>
        <w:bottom w:val="none" w:sz="0" w:space="0" w:color="auto"/>
        <w:right w:val="none" w:sz="0" w:space="0" w:color="auto"/>
      </w:divBdr>
    </w:div>
    <w:div w:id="765269990">
      <w:bodyDiv w:val="1"/>
      <w:marLeft w:val="0"/>
      <w:marRight w:val="0"/>
      <w:marTop w:val="0"/>
      <w:marBottom w:val="0"/>
      <w:divBdr>
        <w:top w:val="none" w:sz="0" w:space="0" w:color="auto"/>
        <w:left w:val="none" w:sz="0" w:space="0" w:color="auto"/>
        <w:bottom w:val="none" w:sz="0" w:space="0" w:color="auto"/>
        <w:right w:val="none" w:sz="0" w:space="0" w:color="auto"/>
      </w:divBdr>
    </w:div>
    <w:div w:id="767845686">
      <w:bodyDiv w:val="1"/>
      <w:marLeft w:val="0"/>
      <w:marRight w:val="0"/>
      <w:marTop w:val="0"/>
      <w:marBottom w:val="0"/>
      <w:divBdr>
        <w:top w:val="none" w:sz="0" w:space="0" w:color="auto"/>
        <w:left w:val="none" w:sz="0" w:space="0" w:color="auto"/>
        <w:bottom w:val="none" w:sz="0" w:space="0" w:color="auto"/>
        <w:right w:val="none" w:sz="0" w:space="0" w:color="auto"/>
      </w:divBdr>
    </w:div>
    <w:div w:id="769617519">
      <w:bodyDiv w:val="1"/>
      <w:marLeft w:val="0"/>
      <w:marRight w:val="0"/>
      <w:marTop w:val="0"/>
      <w:marBottom w:val="0"/>
      <w:divBdr>
        <w:top w:val="none" w:sz="0" w:space="0" w:color="auto"/>
        <w:left w:val="none" w:sz="0" w:space="0" w:color="auto"/>
        <w:bottom w:val="none" w:sz="0" w:space="0" w:color="auto"/>
        <w:right w:val="none" w:sz="0" w:space="0" w:color="auto"/>
      </w:divBdr>
    </w:div>
    <w:div w:id="771709582">
      <w:bodyDiv w:val="1"/>
      <w:marLeft w:val="0"/>
      <w:marRight w:val="0"/>
      <w:marTop w:val="0"/>
      <w:marBottom w:val="0"/>
      <w:divBdr>
        <w:top w:val="none" w:sz="0" w:space="0" w:color="auto"/>
        <w:left w:val="none" w:sz="0" w:space="0" w:color="auto"/>
        <w:bottom w:val="none" w:sz="0" w:space="0" w:color="auto"/>
        <w:right w:val="none" w:sz="0" w:space="0" w:color="auto"/>
      </w:divBdr>
    </w:div>
    <w:div w:id="773521727">
      <w:bodyDiv w:val="1"/>
      <w:marLeft w:val="0"/>
      <w:marRight w:val="0"/>
      <w:marTop w:val="0"/>
      <w:marBottom w:val="0"/>
      <w:divBdr>
        <w:top w:val="none" w:sz="0" w:space="0" w:color="auto"/>
        <w:left w:val="none" w:sz="0" w:space="0" w:color="auto"/>
        <w:bottom w:val="none" w:sz="0" w:space="0" w:color="auto"/>
        <w:right w:val="none" w:sz="0" w:space="0" w:color="auto"/>
      </w:divBdr>
    </w:div>
    <w:div w:id="774447047">
      <w:bodyDiv w:val="1"/>
      <w:marLeft w:val="0"/>
      <w:marRight w:val="0"/>
      <w:marTop w:val="0"/>
      <w:marBottom w:val="0"/>
      <w:divBdr>
        <w:top w:val="none" w:sz="0" w:space="0" w:color="auto"/>
        <w:left w:val="none" w:sz="0" w:space="0" w:color="auto"/>
        <w:bottom w:val="none" w:sz="0" w:space="0" w:color="auto"/>
        <w:right w:val="none" w:sz="0" w:space="0" w:color="auto"/>
      </w:divBdr>
    </w:div>
    <w:div w:id="778380992">
      <w:bodyDiv w:val="1"/>
      <w:marLeft w:val="0"/>
      <w:marRight w:val="0"/>
      <w:marTop w:val="0"/>
      <w:marBottom w:val="0"/>
      <w:divBdr>
        <w:top w:val="none" w:sz="0" w:space="0" w:color="auto"/>
        <w:left w:val="none" w:sz="0" w:space="0" w:color="auto"/>
        <w:bottom w:val="none" w:sz="0" w:space="0" w:color="auto"/>
        <w:right w:val="none" w:sz="0" w:space="0" w:color="auto"/>
      </w:divBdr>
    </w:div>
    <w:div w:id="778448669">
      <w:bodyDiv w:val="1"/>
      <w:marLeft w:val="0"/>
      <w:marRight w:val="0"/>
      <w:marTop w:val="0"/>
      <w:marBottom w:val="0"/>
      <w:divBdr>
        <w:top w:val="none" w:sz="0" w:space="0" w:color="auto"/>
        <w:left w:val="none" w:sz="0" w:space="0" w:color="auto"/>
        <w:bottom w:val="none" w:sz="0" w:space="0" w:color="auto"/>
        <w:right w:val="none" w:sz="0" w:space="0" w:color="auto"/>
      </w:divBdr>
    </w:div>
    <w:div w:id="784622494">
      <w:bodyDiv w:val="1"/>
      <w:marLeft w:val="0"/>
      <w:marRight w:val="0"/>
      <w:marTop w:val="0"/>
      <w:marBottom w:val="0"/>
      <w:divBdr>
        <w:top w:val="none" w:sz="0" w:space="0" w:color="auto"/>
        <w:left w:val="none" w:sz="0" w:space="0" w:color="auto"/>
        <w:bottom w:val="none" w:sz="0" w:space="0" w:color="auto"/>
        <w:right w:val="none" w:sz="0" w:space="0" w:color="auto"/>
      </w:divBdr>
    </w:div>
    <w:div w:id="785197082">
      <w:bodyDiv w:val="1"/>
      <w:marLeft w:val="0"/>
      <w:marRight w:val="0"/>
      <w:marTop w:val="0"/>
      <w:marBottom w:val="0"/>
      <w:divBdr>
        <w:top w:val="none" w:sz="0" w:space="0" w:color="auto"/>
        <w:left w:val="none" w:sz="0" w:space="0" w:color="auto"/>
        <w:bottom w:val="none" w:sz="0" w:space="0" w:color="auto"/>
        <w:right w:val="none" w:sz="0" w:space="0" w:color="auto"/>
      </w:divBdr>
    </w:div>
    <w:div w:id="786586995">
      <w:bodyDiv w:val="1"/>
      <w:marLeft w:val="0"/>
      <w:marRight w:val="0"/>
      <w:marTop w:val="0"/>
      <w:marBottom w:val="0"/>
      <w:divBdr>
        <w:top w:val="none" w:sz="0" w:space="0" w:color="auto"/>
        <w:left w:val="none" w:sz="0" w:space="0" w:color="auto"/>
        <w:bottom w:val="none" w:sz="0" w:space="0" w:color="auto"/>
        <w:right w:val="none" w:sz="0" w:space="0" w:color="auto"/>
      </w:divBdr>
    </w:div>
    <w:div w:id="788739239">
      <w:bodyDiv w:val="1"/>
      <w:marLeft w:val="0"/>
      <w:marRight w:val="0"/>
      <w:marTop w:val="0"/>
      <w:marBottom w:val="0"/>
      <w:divBdr>
        <w:top w:val="none" w:sz="0" w:space="0" w:color="auto"/>
        <w:left w:val="none" w:sz="0" w:space="0" w:color="auto"/>
        <w:bottom w:val="none" w:sz="0" w:space="0" w:color="auto"/>
        <w:right w:val="none" w:sz="0" w:space="0" w:color="auto"/>
      </w:divBdr>
    </w:div>
    <w:div w:id="795415996">
      <w:bodyDiv w:val="1"/>
      <w:marLeft w:val="0"/>
      <w:marRight w:val="0"/>
      <w:marTop w:val="0"/>
      <w:marBottom w:val="0"/>
      <w:divBdr>
        <w:top w:val="none" w:sz="0" w:space="0" w:color="auto"/>
        <w:left w:val="none" w:sz="0" w:space="0" w:color="auto"/>
        <w:bottom w:val="none" w:sz="0" w:space="0" w:color="auto"/>
        <w:right w:val="none" w:sz="0" w:space="0" w:color="auto"/>
      </w:divBdr>
    </w:div>
    <w:div w:id="798112432">
      <w:bodyDiv w:val="1"/>
      <w:marLeft w:val="0"/>
      <w:marRight w:val="0"/>
      <w:marTop w:val="0"/>
      <w:marBottom w:val="0"/>
      <w:divBdr>
        <w:top w:val="none" w:sz="0" w:space="0" w:color="auto"/>
        <w:left w:val="none" w:sz="0" w:space="0" w:color="auto"/>
        <w:bottom w:val="none" w:sz="0" w:space="0" w:color="auto"/>
        <w:right w:val="none" w:sz="0" w:space="0" w:color="auto"/>
      </w:divBdr>
    </w:div>
    <w:div w:id="801266005">
      <w:bodyDiv w:val="1"/>
      <w:marLeft w:val="0"/>
      <w:marRight w:val="0"/>
      <w:marTop w:val="0"/>
      <w:marBottom w:val="0"/>
      <w:divBdr>
        <w:top w:val="none" w:sz="0" w:space="0" w:color="auto"/>
        <w:left w:val="none" w:sz="0" w:space="0" w:color="auto"/>
        <w:bottom w:val="none" w:sz="0" w:space="0" w:color="auto"/>
        <w:right w:val="none" w:sz="0" w:space="0" w:color="auto"/>
      </w:divBdr>
    </w:div>
    <w:div w:id="804859492">
      <w:bodyDiv w:val="1"/>
      <w:marLeft w:val="0"/>
      <w:marRight w:val="0"/>
      <w:marTop w:val="0"/>
      <w:marBottom w:val="0"/>
      <w:divBdr>
        <w:top w:val="none" w:sz="0" w:space="0" w:color="auto"/>
        <w:left w:val="none" w:sz="0" w:space="0" w:color="auto"/>
        <w:bottom w:val="none" w:sz="0" w:space="0" w:color="auto"/>
        <w:right w:val="none" w:sz="0" w:space="0" w:color="auto"/>
      </w:divBdr>
    </w:div>
    <w:div w:id="808060802">
      <w:bodyDiv w:val="1"/>
      <w:marLeft w:val="0"/>
      <w:marRight w:val="0"/>
      <w:marTop w:val="0"/>
      <w:marBottom w:val="0"/>
      <w:divBdr>
        <w:top w:val="none" w:sz="0" w:space="0" w:color="auto"/>
        <w:left w:val="none" w:sz="0" w:space="0" w:color="auto"/>
        <w:bottom w:val="none" w:sz="0" w:space="0" w:color="auto"/>
        <w:right w:val="none" w:sz="0" w:space="0" w:color="auto"/>
      </w:divBdr>
    </w:div>
    <w:div w:id="811019864">
      <w:bodyDiv w:val="1"/>
      <w:marLeft w:val="0"/>
      <w:marRight w:val="0"/>
      <w:marTop w:val="0"/>
      <w:marBottom w:val="0"/>
      <w:divBdr>
        <w:top w:val="none" w:sz="0" w:space="0" w:color="auto"/>
        <w:left w:val="none" w:sz="0" w:space="0" w:color="auto"/>
        <w:bottom w:val="none" w:sz="0" w:space="0" w:color="auto"/>
        <w:right w:val="none" w:sz="0" w:space="0" w:color="auto"/>
      </w:divBdr>
    </w:div>
    <w:div w:id="815335413">
      <w:bodyDiv w:val="1"/>
      <w:marLeft w:val="0"/>
      <w:marRight w:val="0"/>
      <w:marTop w:val="0"/>
      <w:marBottom w:val="0"/>
      <w:divBdr>
        <w:top w:val="none" w:sz="0" w:space="0" w:color="auto"/>
        <w:left w:val="none" w:sz="0" w:space="0" w:color="auto"/>
        <w:bottom w:val="none" w:sz="0" w:space="0" w:color="auto"/>
        <w:right w:val="none" w:sz="0" w:space="0" w:color="auto"/>
      </w:divBdr>
    </w:div>
    <w:div w:id="817771576">
      <w:bodyDiv w:val="1"/>
      <w:marLeft w:val="0"/>
      <w:marRight w:val="0"/>
      <w:marTop w:val="0"/>
      <w:marBottom w:val="0"/>
      <w:divBdr>
        <w:top w:val="none" w:sz="0" w:space="0" w:color="auto"/>
        <w:left w:val="none" w:sz="0" w:space="0" w:color="auto"/>
        <w:bottom w:val="none" w:sz="0" w:space="0" w:color="auto"/>
        <w:right w:val="none" w:sz="0" w:space="0" w:color="auto"/>
      </w:divBdr>
    </w:div>
    <w:div w:id="823199476">
      <w:bodyDiv w:val="1"/>
      <w:marLeft w:val="0"/>
      <w:marRight w:val="0"/>
      <w:marTop w:val="0"/>
      <w:marBottom w:val="0"/>
      <w:divBdr>
        <w:top w:val="none" w:sz="0" w:space="0" w:color="auto"/>
        <w:left w:val="none" w:sz="0" w:space="0" w:color="auto"/>
        <w:bottom w:val="none" w:sz="0" w:space="0" w:color="auto"/>
        <w:right w:val="none" w:sz="0" w:space="0" w:color="auto"/>
      </w:divBdr>
    </w:div>
    <w:div w:id="826357908">
      <w:bodyDiv w:val="1"/>
      <w:marLeft w:val="0"/>
      <w:marRight w:val="0"/>
      <w:marTop w:val="0"/>
      <w:marBottom w:val="0"/>
      <w:divBdr>
        <w:top w:val="none" w:sz="0" w:space="0" w:color="auto"/>
        <w:left w:val="none" w:sz="0" w:space="0" w:color="auto"/>
        <w:bottom w:val="none" w:sz="0" w:space="0" w:color="auto"/>
        <w:right w:val="none" w:sz="0" w:space="0" w:color="auto"/>
      </w:divBdr>
    </w:div>
    <w:div w:id="826899417">
      <w:bodyDiv w:val="1"/>
      <w:marLeft w:val="0"/>
      <w:marRight w:val="0"/>
      <w:marTop w:val="0"/>
      <w:marBottom w:val="0"/>
      <w:divBdr>
        <w:top w:val="none" w:sz="0" w:space="0" w:color="auto"/>
        <w:left w:val="none" w:sz="0" w:space="0" w:color="auto"/>
        <w:bottom w:val="none" w:sz="0" w:space="0" w:color="auto"/>
        <w:right w:val="none" w:sz="0" w:space="0" w:color="auto"/>
      </w:divBdr>
    </w:div>
    <w:div w:id="828638910">
      <w:bodyDiv w:val="1"/>
      <w:marLeft w:val="0"/>
      <w:marRight w:val="0"/>
      <w:marTop w:val="0"/>
      <w:marBottom w:val="0"/>
      <w:divBdr>
        <w:top w:val="none" w:sz="0" w:space="0" w:color="auto"/>
        <w:left w:val="none" w:sz="0" w:space="0" w:color="auto"/>
        <w:bottom w:val="none" w:sz="0" w:space="0" w:color="auto"/>
        <w:right w:val="none" w:sz="0" w:space="0" w:color="auto"/>
      </w:divBdr>
    </w:div>
    <w:div w:id="828669028">
      <w:bodyDiv w:val="1"/>
      <w:marLeft w:val="0"/>
      <w:marRight w:val="0"/>
      <w:marTop w:val="0"/>
      <w:marBottom w:val="0"/>
      <w:divBdr>
        <w:top w:val="none" w:sz="0" w:space="0" w:color="auto"/>
        <w:left w:val="none" w:sz="0" w:space="0" w:color="auto"/>
        <w:bottom w:val="none" w:sz="0" w:space="0" w:color="auto"/>
        <w:right w:val="none" w:sz="0" w:space="0" w:color="auto"/>
      </w:divBdr>
    </w:div>
    <w:div w:id="828787431">
      <w:bodyDiv w:val="1"/>
      <w:marLeft w:val="0"/>
      <w:marRight w:val="0"/>
      <w:marTop w:val="0"/>
      <w:marBottom w:val="0"/>
      <w:divBdr>
        <w:top w:val="none" w:sz="0" w:space="0" w:color="auto"/>
        <w:left w:val="none" w:sz="0" w:space="0" w:color="auto"/>
        <w:bottom w:val="none" w:sz="0" w:space="0" w:color="auto"/>
        <w:right w:val="none" w:sz="0" w:space="0" w:color="auto"/>
      </w:divBdr>
    </w:div>
    <w:div w:id="831214870">
      <w:bodyDiv w:val="1"/>
      <w:marLeft w:val="0"/>
      <w:marRight w:val="0"/>
      <w:marTop w:val="0"/>
      <w:marBottom w:val="0"/>
      <w:divBdr>
        <w:top w:val="none" w:sz="0" w:space="0" w:color="auto"/>
        <w:left w:val="none" w:sz="0" w:space="0" w:color="auto"/>
        <w:bottom w:val="none" w:sz="0" w:space="0" w:color="auto"/>
        <w:right w:val="none" w:sz="0" w:space="0" w:color="auto"/>
      </w:divBdr>
    </w:div>
    <w:div w:id="833373726">
      <w:bodyDiv w:val="1"/>
      <w:marLeft w:val="0"/>
      <w:marRight w:val="0"/>
      <w:marTop w:val="0"/>
      <w:marBottom w:val="0"/>
      <w:divBdr>
        <w:top w:val="none" w:sz="0" w:space="0" w:color="auto"/>
        <w:left w:val="none" w:sz="0" w:space="0" w:color="auto"/>
        <w:bottom w:val="none" w:sz="0" w:space="0" w:color="auto"/>
        <w:right w:val="none" w:sz="0" w:space="0" w:color="auto"/>
      </w:divBdr>
    </w:div>
    <w:div w:id="834224671">
      <w:bodyDiv w:val="1"/>
      <w:marLeft w:val="0"/>
      <w:marRight w:val="0"/>
      <w:marTop w:val="0"/>
      <w:marBottom w:val="0"/>
      <w:divBdr>
        <w:top w:val="none" w:sz="0" w:space="0" w:color="auto"/>
        <w:left w:val="none" w:sz="0" w:space="0" w:color="auto"/>
        <w:bottom w:val="none" w:sz="0" w:space="0" w:color="auto"/>
        <w:right w:val="none" w:sz="0" w:space="0" w:color="auto"/>
      </w:divBdr>
    </w:div>
    <w:div w:id="834301641">
      <w:bodyDiv w:val="1"/>
      <w:marLeft w:val="0"/>
      <w:marRight w:val="0"/>
      <w:marTop w:val="0"/>
      <w:marBottom w:val="0"/>
      <w:divBdr>
        <w:top w:val="none" w:sz="0" w:space="0" w:color="auto"/>
        <w:left w:val="none" w:sz="0" w:space="0" w:color="auto"/>
        <w:bottom w:val="none" w:sz="0" w:space="0" w:color="auto"/>
        <w:right w:val="none" w:sz="0" w:space="0" w:color="auto"/>
      </w:divBdr>
    </w:div>
    <w:div w:id="836193436">
      <w:bodyDiv w:val="1"/>
      <w:marLeft w:val="0"/>
      <w:marRight w:val="0"/>
      <w:marTop w:val="0"/>
      <w:marBottom w:val="0"/>
      <w:divBdr>
        <w:top w:val="none" w:sz="0" w:space="0" w:color="auto"/>
        <w:left w:val="none" w:sz="0" w:space="0" w:color="auto"/>
        <w:bottom w:val="none" w:sz="0" w:space="0" w:color="auto"/>
        <w:right w:val="none" w:sz="0" w:space="0" w:color="auto"/>
      </w:divBdr>
    </w:div>
    <w:div w:id="850797236">
      <w:bodyDiv w:val="1"/>
      <w:marLeft w:val="0"/>
      <w:marRight w:val="0"/>
      <w:marTop w:val="0"/>
      <w:marBottom w:val="0"/>
      <w:divBdr>
        <w:top w:val="none" w:sz="0" w:space="0" w:color="auto"/>
        <w:left w:val="none" w:sz="0" w:space="0" w:color="auto"/>
        <w:bottom w:val="none" w:sz="0" w:space="0" w:color="auto"/>
        <w:right w:val="none" w:sz="0" w:space="0" w:color="auto"/>
      </w:divBdr>
    </w:div>
    <w:div w:id="862596983">
      <w:bodyDiv w:val="1"/>
      <w:marLeft w:val="0"/>
      <w:marRight w:val="0"/>
      <w:marTop w:val="0"/>
      <w:marBottom w:val="0"/>
      <w:divBdr>
        <w:top w:val="none" w:sz="0" w:space="0" w:color="auto"/>
        <w:left w:val="none" w:sz="0" w:space="0" w:color="auto"/>
        <w:bottom w:val="none" w:sz="0" w:space="0" w:color="auto"/>
        <w:right w:val="none" w:sz="0" w:space="0" w:color="auto"/>
      </w:divBdr>
    </w:div>
    <w:div w:id="869878886">
      <w:bodyDiv w:val="1"/>
      <w:marLeft w:val="0"/>
      <w:marRight w:val="0"/>
      <w:marTop w:val="0"/>
      <w:marBottom w:val="0"/>
      <w:divBdr>
        <w:top w:val="none" w:sz="0" w:space="0" w:color="auto"/>
        <w:left w:val="none" w:sz="0" w:space="0" w:color="auto"/>
        <w:bottom w:val="none" w:sz="0" w:space="0" w:color="auto"/>
        <w:right w:val="none" w:sz="0" w:space="0" w:color="auto"/>
      </w:divBdr>
    </w:div>
    <w:div w:id="870146884">
      <w:bodyDiv w:val="1"/>
      <w:marLeft w:val="0"/>
      <w:marRight w:val="0"/>
      <w:marTop w:val="0"/>
      <w:marBottom w:val="0"/>
      <w:divBdr>
        <w:top w:val="none" w:sz="0" w:space="0" w:color="auto"/>
        <w:left w:val="none" w:sz="0" w:space="0" w:color="auto"/>
        <w:bottom w:val="none" w:sz="0" w:space="0" w:color="auto"/>
        <w:right w:val="none" w:sz="0" w:space="0" w:color="auto"/>
      </w:divBdr>
    </w:div>
    <w:div w:id="871652536">
      <w:bodyDiv w:val="1"/>
      <w:marLeft w:val="0"/>
      <w:marRight w:val="0"/>
      <w:marTop w:val="0"/>
      <w:marBottom w:val="0"/>
      <w:divBdr>
        <w:top w:val="none" w:sz="0" w:space="0" w:color="auto"/>
        <w:left w:val="none" w:sz="0" w:space="0" w:color="auto"/>
        <w:bottom w:val="none" w:sz="0" w:space="0" w:color="auto"/>
        <w:right w:val="none" w:sz="0" w:space="0" w:color="auto"/>
      </w:divBdr>
    </w:div>
    <w:div w:id="871962700">
      <w:bodyDiv w:val="1"/>
      <w:marLeft w:val="0"/>
      <w:marRight w:val="0"/>
      <w:marTop w:val="0"/>
      <w:marBottom w:val="0"/>
      <w:divBdr>
        <w:top w:val="none" w:sz="0" w:space="0" w:color="auto"/>
        <w:left w:val="none" w:sz="0" w:space="0" w:color="auto"/>
        <w:bottom w:val="none" w:sz="0" w:space="0" w:color="auto"/>
        <w:right w:val="none" w:sz="0" w:space="0" w:color="auto"/>
      </w:divBdr>
    </w:div>
    <w:div w:id="878930838">
      <w:bodyDiv w:val="1"/>
      <w:marLeft w:val="0"/>
      <w:marRight w:val="0"/>
      <w:marTop w:val="0"/>
      <w:marBottom w:val="0"/>
      <w:divBdr>
        <w:top w:val="none" w:sz="0" w:space="0" w:color="auto"/>
        <w:left w:val="none" w:sz="0" w:space="0" w:color="auto"/>
        <w:bottom w:val="none" w:sz="0" w:space="0" w:color="auto"/>
        <w:right w:val="none" w:sz="0" w:space="0" w:color="auto"/>
      </w:divBdr>
    </w:div>
    <w:div w:id="880442024">
      <w:bodyDiv w:val="1"/>
      <w:marLeft w:val="0"/>
      <w:marRight w:val="0"/>
      <w:marTop w:val="0"/>
      <w:marBottom w:val="0"/>
      <w:divBdr>
        <w:top w:val="none" w:sz="0" w:space="0" w:color="auto"/>
        <w:left w:val="none" w:sz="0" w:space="0" w:color="auto"/>
        <w:bottom w:val="none" w:sz="0" w:space="0" w:color="auto"/>
        <w:right w:val="none" w:sz="0" w:space="0" w:color="auto"/>
      </w:divBdr>
    </w:div>
    <w:div w:id="888493561">
      <w:bodyDiv w:val="1"/>
      <w:marLeft w:val="0"/>
      <w:marRight w:val="0"/>
      <w:marTop w:val="0"/>
      <w:marBottom w:val="0"/>
      <w:divBdr>
        <w:top w:val="none" w:sz="0" w:space="0" w:color="auto"/>
        <w:left w:val="none" w:sz="0" w:space="0" w:color="auto"/>
        <w:bottom w:val="none" w:sz="0" w:space="0" w:color="auto"/>
        <w:right w:val="none" w:sz="0" w:space="0" w:color="auto"/>
      </w:divBdr>
    </w:div>
    <w:div w:id="888539513">
      <w:bodyDiv w:val="1"/>
      <w:marLeft w:val="0"/>
      <w:marRight w:val="0"/>
      <w:marTop w:val="0"/>
      <w:marBottom w:val="0"/>
      <w:divBdr>
        <w:top w:val="none" w:sz="0" w:space="0" w:color="auto"/>
        <w:left w:val="none" w:sz="0" w:space="0" w:color="auto"/>
        <w:bottom w:val="none" w:sz="0" w:space="0" w:color="auto"/>
        <w:right w:val="none" w:sz="0" w:space="0" w:color="auto"/>
      </w:divBdr>
    </w:div>
    <w:div w:id="888687752">
      <w:bodyDiv w:val="1"/>
      <w:marLeft w:val="0"/>
      <w:marRight w:val="0"/>
      <w:marTop w:val="0"/>
      <w:marBottom w:val="0"/>
      <w:divBdr>
        <w:top w:val="none" w:sz="0" w:space="0" w:color="auto"/>
        <w:left w:val="none" w:sz="0" w:space="0" w:color="auto"/>
        <w:bottom w:val="none" w:sz="0" w:space="0" w:color="auto"/>
        <w:right w:val="none" w:sz="0" w:space="0" w:color="auto"/>
      </w:divBdr>
    </w:div>
    <w:div w:id="892349227">
      <w:bodyDiv w:val="1"/>
      <w:marLeft w:val="0"/>
      <w:marRight w:val="0"/>
      <w:marTop w:val="0"/>
      <w:marBottom w:val="0"/>
      <w:divBdr>
        <w:top w:val="none" w:sz="0" w:space="0" w:color="auto"/>
        <w:left w:val="none" w:sz="0" w:space="0" w:color="auto"/>
        <w:bottom w:val="none" w:sz="0" w:space="0" w:color="auto"/>
        <w:right w:val="none" w:sz="0" w:space="0" w:color="auto"/>
      </w:divBdr>
    </w:div>
    <w:div w:id="893394567">
      <w:bodyDiv w:val="1"/>
      <w:marLeft w:val="0"/>
      <w:marRight w:val="0"/>
      <w:marTop w:val="0"/>
      <w:marBottom w:val="0"/>
      <w:divBdr>
        <w:top w:val="none" w:sz="0" w:space="0" w:color="auto"/>
        <w:left w:val="none" w:sz="0" w:space="0" w:color="auto"/>
        <w:bottom w:val="none" w:sz="0" w:space="0" w:color="auto"/>
        <w:right w:val="none" w:sz="0" w:space="0" w:color="auto"/>
      </w:divBdr>
    </w:div>
    <w:div w:id="894393563">
      <w:bodyDiv w:val="1"/>
      <w:marLeft w:val="0"/>
      <w:marRight w:val="0"/>
      <w:marTop w:val="0"/>
      <w:marBottom w:val="0"/>
      <w:divBdr>
        <w:top w:val="none" w:sz="0" w:space="0" w:color="auto"/>
        <w:left w:val="none" w:sz="0" w:space="0" w:color="auto"/>
        <w:bottom w:val="none" w:sz="0" w:space="0" w:color="auto"/>
        <w:right w:val="none" w:sz="0" w:space="0" w:color="auto"/>
      </w:divBdr>
    </w:div>
    <w:div w:id="895701261">
      <w:bodyDiv w:val="1"/>
      <w:marLeft w:val="0"/>
      <w:marRight w:val="0"/>
      <w:marTop w:val="0"/>
      <w:marBottom w:val="0"/>
      <w:divBdr>
        <w:top w:val="none" w:sz="0" w:space="0" w:color="auto"/>
        <w:left w:val="none" w:sz="0" w:space="0" w:color="auto"/>
        <w:bottom w:val="none" w:sz="0" w:space="0" w:color="auto"/>
        <w:right w:val="none" w:sz="0" w:space="0" w:color="auto"/>
      </w:divBdr>
    </w:div>
    <w:div w:id="897983463">
      <w:bodyDiv w:val="1"/>
      <w:marLeft w:val="0"/>
      <w:marRight w:val="0"/>
      <w:marTop w:val="0"/>
      <w:marBottom w:val="0"/>
      <w:divBdr>
        <w:top w:val="none" w:sz="0" w:space="0" w:color="auto"/>
        <w:left w:val="none" w:sz="0" w:space="0" w:color="auto"/>
        <w:bottom w:val="none" w:sz="0" w:space="0" w:color="auto"/>
        <w:right w:val="none" w:sz="0" w:space="0" w:color="auto"/>
      </w:divBdr>
    </w:div>
    <w:div w:id="900796613">
      <w:bodyDiv w:val="1"/>
      <w:marLeft w:val="0"/>
      <w:marRight w:val="0"/>
      <w:marTop w:val="0"/>
      <w:marBottom w:val="0"/>
      <w:divBdr>
        <w:top w:val="none" w:sz="0" w:space="0" w:color="auto"/>
        <w:left w:val="none" w:sz="0" w:space="0" w:color="auto"/>
        <w:bottom w:val="none" w:sz="0" w:space="0" w:color="auto"/>
        <w:right w:val="none" w:sz="0" w:space="0" w:color="auto"/>
      </w:divBdr>
    </w:div>
    <w:div w:id="902569467">
      <w:bodyDiv w:val="1"/>
      <w:marLeft w:val="0"/>
      <w:marRight w:val="0"/>
      <w:marTop w:val="0"/>
      <w:marBottom w:val="0"/>
      <w:divBdr>
        <w:top w:val="none" w:sz="0" w:space="0" w:color="auto"/>
        <w:left w:val="none" w:sz="0" w:space="0" w:color="auto"/>
        <w:bottom w:val="none" w:sz="0" w:space="0" w:color="auto"/>
        <w:right w:val="none" w:sz="0" w:space="0" w:color="auto"/>
      </w:divBdr>
    </w:div>
    <w:div w:id="911625084">
      <w:bodyDiv w:val="1"/>
      <w:marLeft w:val="0"/>
      <w:marRight w:val="0"/>
      <w:marTop w:val="0"/>
      <w:marBottom w:val="0"/>
      <w:divBdr>
        <w:top w:val="none" w:sz="0" w:space="0" w:color="auto"/>
        <w:left w:val="none" w:sz="0" w:space="0" w:color="auto"/>
        <w:bottom w:val="none" w:sz="0" w:space="0" w:color="auto"/>
        <w:right w:val="none" w:sz="0" w:space="0" w:color="auto"/>
      </w:divBdr>
    </w:div>
    <w:div w:id="914633359">
      <w:bodyDiv w:val="1"/>
      <w:marLeft w:val="0"/>
      <w:marRight w:val="0"/>
      <w:marTop w:val="0"/>
      <w:marBottom w:val="0"/>
      <w:divBdr>
        <w:top w:val="none" w:sz="0" w:space="0" w:color="auto"/>
        <w:left w:val="none" w:sz="0" w:space="0" w:color="auto"/>
        <w:bottom w:val="none" w:sz="0" w:space="0" w:color="auto"/>
        <w:right w:val="none" w:sz="0" w:space="0" w:color="auto"/>
      </w:divBdr>
    </w:div>
    <w:div w:id="920482996">
      <w:bodyDiv w:val="1"/>
      <w:marLeft w:val="0"/>
      <w:marRight w:val="0"/>
      <w:marTop w:val="0"/>
      <w:marBottom w:val="0"/>
      <w:divBdr>
        <w:top w:val="none" w:sz="0" w:space="0" w:color="auto"/>
        <w:left w:val="none" w:sz="0" w:space="0" w:color="auto"/>
        <w:bottom w:val="none" w:sz="0" w:space="0" w:color="auto"/>
        <w:right w:val="none" w:sz="0" w:space="0" w:color="auto"/>
      </w:divBdr>
    </w:div>
    <w:div w:id="920990824">
      <w:bodyDiv w:val="1"/>
      <w:marLeft w:val="0"/>
      <w:marRight w:val="0"/>
      <w:marTop w:val="0"/>
      <w:marBottom w:val="0"/>
      <w:divBdr>
        <w:top w:val="none" w:sz="0" w:space="0" w:color="auto"/>
        <w:left w:val="none" w:sz="0" w:space="0" w:color="auto"/>
        <w:bottom w:val="none" w:sz="0" w:space="0" w:color="auto"/>
        <w:right w:val="none" w:sz="0" w:space="0" w:color="auto"/>
      </w:divBdr>
    </w:div>
    <w:div w:id="923690035">
      <w:bodyDiv w:val="1"/>
      <w:marLeft w:val="0"/>
      <w:marRight w:val="0"/>
      <w:marTop w:val="0"/>
      <w:marBottom w:val="0"/>
      <w:divBdr>
        <w:top w:val="none" w:sz="0" w:space="0" w:color="auto"/>
        <w:left w:val="none" w:sz="0" w:space="0" w:color="auto"/>
        <w:bottom w:val="none" w:sz="0" w:space="0" w:color="auto"/>
        <w:right w:val="none" w:sz="0" w:space="0" w:color="auto"/>
      </w:divBdr>
    </w:div>
    <w:div w:id="928076152">
      <w:bodyDiv w:val="1"/>
      <w:marLeft w:val="0"/>
      <w:marRight w:val="0"/>
      <w:marTop w:val="0"/>
      <w:marBottom w:val="0"/>
      <w:divBdr>
        <w:top w:val="none" w:sz="0" w:space="0" w:color="auto"/>
        <w:left w:val="none" w:sz="0" w:space="0" w:color="auto"/>
        <w:bottom w:val="none" w:sz="0" w:space="0" w:color="auto"/>
        <w:right w:val="none" w:sz="0" w:space="0" w:color="auto"/>
      </w:divBdr>
    </w:div>
    <w:div w:id="930628388">
      <w:bodyDiv w:val="1"/>
      <w:marLeft w:val="0"/>
      <w:marRight w:val="0"/>
      <w:marTop w:val="0"/>
      <w:marBottom w:val="0"/>
      <w:divBdr>
        <w:top w:val="none" w:sz="0" w:space="0" w:color="auto"/>
        <w:left w:val="none" w:sz="0" w:space="0" w:color="auto"/>
        <w:bottom w:val="none" w:sz="0" w:space="0" w:color="auto"/>
        <w:right w:val="none" w:sz="0" w:space="0" w:color="auto"/>
      </w:divBdr>
    </w:div>
    <w:div w:id="932976143">
      <w:bodyDiv w:val="1"/>
      <w:marLeft w:val="0"/>
      <w:marRight w:val="0"/>
      <w:marTop w:val="0"/>
      <w:marBottom w:val="0"/>
      <w:divBdr>
        <w:top w:val="none" w:sz="0" w:space="0" w:color="auto"/>
        <w:left w:val="none" w:sz="0" w:space="0" w:color="auto"/>
        <w:bottom w:val="none" w:sz="0" w:space="0" w:color="auto"/>
        <w:right w:val="none" w:sz="0" w:space="0" w:color="auto"/>
      </w:divBdr>
    </w:div>
    <w:div w:id="935597924">
      <w:bodyDiv w:val="1"/>
      <w:marLeft w:val="0"/>
      <w:marRight w:val="0"/>
      <w:marTop w:val="0"/>
      <w:marBottom w:val="0"/>
      <w:divBdr>
        <w:top w:val="none" w:sz="0" w:space="0" w:color="auto"/>
        <w:left w:val="none" w:sz="0" w:space="0" w:color="auto"/>
        <w:bottom w:val="none" w:sz="0" w:space="0" w:color="auto"/>
        <w:right w:val="none" w:sz="0" w:space="0" w:color="auto"/>
      </w:divBdr>
    </w:div>
    <w:div w:id="941255303">
      <w:bodyDiv w:val="1"/>
      <w:marLeft w:val="0"/>
      <w:marRight w:val="0"/>
      <w:marTop w:val="0"/>
      <w:marBottom w:val="0"/>
      <w:divBdr>
        <w:top w:val="none" w:sz="0" w:space="0" w:color="auto"/>
        <w:left w:val="none" w:sz="0" w:space="0" w:color="auto"/>
        <w:bottom w:val="none" w:sz="0" w:space="0" w:color="auto"/>
        <w:right w:val="none" w:sz="0" w:space="0" w:color="auto"/>
      </w:divBdr>
    </w:div>
    <w:div w:id="947464073">
      <w:bodyDiv w:val="1"/>
      <w:marLeft w:val="0"/>
      <w:marRight w:val="0"/>
      <w:marTop w:val="0"/>
      <w:marBottom w:val="0"/>
      <w:divBdr>
        <w:top w:val="none" w:sz="0" w:space="0" w:color="auto"/>
        <w:left w:val="none" w:sz="0" w:space="0" w:color="auto"/>
        <w:bottom w:val="none" w:sz="0" w:space="0" w:color="auto"/>
        <w:right w:val="none" w:sz="0" w:space="0" w:color="auto"/>
      </w:divBdr>
    </w:div>
    <w:div w:id="956838701">
      <w:bodyDiv w:val="1"/>
      <w:marLeft w:val="0"/>
      <w:marRight w:val="0"/>
      <w:marTop w:val="0"/>
      <w:marBottom w:val="0"/>
      <w:divBdr>
        <w:top w:val="none" w:sz="0" w:space="0" w:color="auto"/>
        <w:left w:val="none" w:sz="0" w:space="0" w:color="auto"/>
        <w:bottom w:val="none" w:sz="0" w:space="0" w:color="auto"/>
        <w:right w:val="none" w:sz="0" w:space="0" w:color="auto"/>
      </w:divBdr>
    </w:div>
    <w:div w:id="960189396">
      <w:bodyDiv w:val="1"/>
      <w:marLeft w:val="0"/>
      <w:marRight w:val="0"/>
      <w:marTop w:val="0"/>
      <w:marBottom w:val="0"/>
      <w:divBdr>
        <w:top w:val="none" w:sz="0" w:space="0" w:color="auto"/>
        <w:left w:val="none" w:sz="0" w:space="0" w:color="auto"/>
        <w:bottom w:val="none" w:sz="0" w:space="0" w:color="auto"/>
        <w:right w:val="none" w:sz="0" w:space="0" w:color="auto"/>
      </w:divBdr>
    </w:div>
    <w:div w:id="961568566">
      <w:bodyDiv w:val="1"/>
      <w:marLeft w:val="0"/>
      <w:marRight w:val="0"/>
      <w:marTop w:val="0"/>
      <w:marBottom w:val="0"/>
      <w:divBdr>
        <w:top w:val="none" w:sz="0" w:space="0" w:color="auto"/>
        <w:left w:val="none" w:sz="0" w:space="0" w:color="auto"/>
        <w:bottom w:val="none" w:sz="0" w:space="0" w:color="auto"/>
        <w:right w:val="none" w:sz="0" w:space="0" w:color="auto"/>
      </w:divBdr>
    </w:div>
    <w:div w:id="963002474">
      <w:bodyDiv w:val="1"/>
      <w:marLeft w:val="0"/>
      <w:marRight w:val="0"/>
      <w:marTop w:val="0"/>
      <w:marBottom w:val="0"/>
      <w:divBdr>
        <w:top w:val="none" w:sz="0" w:space="0" w:color="auto"/>
        <w:left w:val="none" w:sz="0" w:space="0" w:color="auto"/>
        <w:bottom w:val="none" w:sz="0" w:space="0" w:color="auto"/>
        <w:right w:val="none" w:sz="0" w:space="0" w:color="auto"/>
      </w:divBdr>
    </w:div>
    <w:div w:id="971861622">
      <w:bodyDiv w:val="1"/>
      <w:marLeft w:val="0"/>
      <w:marRight w:val="0"/>
      <w:marTop w:val="0"/>
      <w:marBottom w:val="0"/>
      <w:divBdr>
        <w:top w:val="none" w:sz="0" w:space="0" w:color="auto"/>
        <w:left w:val="none" w:sz="0" w:space="0" w:color="auto"/>
        <w:bottom w:val="none" w:sz="0" w:space="0" w:color="auto"/>
        <w:right w:val="none" w:sz="0" w:space="0" w:color="auto"/>
      </w:divBdr>
    </w:div>
    <w:div w:id="975914917">
      <w:bodyDiv w:val="1"/>
      <w:marLeft w:val="0"/>
      <w:marRight w:val="0"/>
      <w:marTop w:val="0"/>
      <w:marBottom w:val="0"/>
      <w:divBdr>
        <w:top w:val="none" w:sz="0" w:space="0" w:color="auto"/>
        <w:left w:val="none" w:sz="0" w:space="0" w:color="auto"/>
        <w:bottom w:val="none" w:sz="0" w:space="0" w:color="auto"/>
        <w:right w:val="none" w:sz="0" w:space="0" w:color="auto"/>
      </w:divBdr>
    </w:div>
    <w:div w:id="979269545">
      <w:bodyDiv w:val="1"/>
      <w:marLeft w:val="0"/>
      <w:marRight w:val="0"/>
      <w:marTop w:val="0"/>
      <w:marBottom w:val="0"/>
      <w:divBdr>
        <w:top w:val="none" w:sz="0" w:space="0" w:color="auto"/>
        <w:left w:val="none" w:sz="0" w:space="0" w:color="auto"/>
        <w:bottom w:val="none" w:sz="0" w:space="0" w:color="auto"/>
        <w:right w:val="none" w:sz="0" w:space="0" w:color="auto"/>
      </w:divBdr>
    </w:div>
    <w:div w:id="983658407">
      <w:bodyDiv w:val="1"/>
      <w:marLeft w:val="0"/>
      <w:marRight w:val="0"/>
      <w:marTop w:val="0"/>
      <w:marBottom w:val="0"/>
      <w:divBdr>
        <w:top w:val="none" w:sz="0" w:space="0" w:color="auto"/>
        <w:left w:val="none" w:sz="0" w:space="0" w:color="auto"/>
        <w:bottom w:val="none" w:sz="0" w:space="0" w:color="auto"/>
        <w:right w:val="none" w:sz="0" w:space="0" w:color="auto"/>
      </w:divBdr>
    </w:div>
    <w:div w:id="985402967">
      <w:bodyDiv w:val="1"/>
      <w:marLeft w:val="0"/>
      <w:marRight w:val="0"/>
      <w:marTop w:val="0"/>
      <w:marBottom w:val="0"/>
      <w:divBdr>
        <w:top w:val="none" w:sz="0" w:space="0" w:color="auto"/>
        <w:left w:val="none" w:sz="0" w:space="0" w:color="auto"/>
        <w:bottom w:val="none" w:sz="0" w:space="0" w:color="auto"/>
        <w:right w:val="none" w:sz="0" w:space="0" w:color="auto"/>
      </w:divBdr>
    </w:div>
    <w:div w:id="986056178">
      <w:bodyDiv w:val="1"/>
      <w:marLeft w:val="0"/>
      <w:marRight w:val="0"/>
      <w:marTop w:val="0"/>
      <w:marBottom w:val="0"/>
      <w:divBdr>
        <w:top w:val="none" w:sz="0" w:space="0" w:color="auto"/>
        <w:left w:val="none" w:sz="0" w:space="0" w:color="auto"/>
        <w:bottom w:val="none" w:sz="0" w:space="0" w:color="auto"/>
        <w:right w:val="none" w:sz="0" w:space="0" w:color="auto"/>
      </w:divBdr>
    </w:div>
    <w:div w:id="999237611">
      <w:bodyDiv w:val="1"/>
      <w:marLeft w:val="0"/>
      <w:marRight w:val="0"/>
      <w:marTop w:val="0"/>
      <w:marBottom w:val="0"/>
      <w:divBdr>
        <w:top w:val="none" w:sz="0" w:space="0" w:color="auto"/>
        <w:left w:val="none" w:sz="0" w:space="0" w:color="auto"/>
        <w:bottom w:val="none" w:sz="0" w:space="0" w:color="auto"/>
        <w:right w:val="none" w:sz="0" w:space="0" w:color="auto"/>
      </w:divBdr>
    </w:div>
    <w:div w:id="1003246682">
      <w:bodyDiv w:val="1"/>
      <w:marLeft w:val="0"/>
      <w:marRight w:val="0"/>
      <w:marTop w:val="0"/>
      <w:marBottom w:val="0"/>
      <w:divBdr>
        <w:top w:val="none" w:sz="0" w:space="0" w:color="auto"/>
        <w:left w:val="none" w:sz="0" w:space="0" w:color="auto"/>
        <w:bottom w:val="none" w:sz="0" w:space="0" w:color="auto"/>
        <w:right w:val="none" w:sz="0" w:space="0" w:color="auto"/>
      </w:divBdr>
    </w:div>
    <w:div w:id="1008408687">
      <w:bodyDiv w:val="1"/>
      <w:marLeft w:val="0"/>
      <w:marRight w:val="0"/>
      <w:marTop w:val="0"/>
      <w:marBottom w:val="0"/>
      <w:divBdr>
        <w:top w:val="none" w:sz="0" w:space="0" w:color="auto"/>
        <w:left w:val="none" w:sz="0" w:space="0" w:color="auto"/>
        <w:bottom w:val="none" w:sz="0" w:space="0" w:color="auto"/>
        <w:right w:val="none" w:sz="0" w:space="0" w:color="auto"/>
      </w:divBdr>
    </w:div>
    <w:div w:id="1009874204">
      <w:bodyDiv w:val="1"/>
      <w:marLeft w:val="0"/>
      <w:marRight w:val="0"/>
      <w:marTop w:val="0"/>
      <w:marBottom w:val="0"/>
      <w:divBdr>
        <w:top w:val="none" w:sz="0" w:space="0" w:color="auto"/>
        <w:left w:val="none" w:sz="0" w:space="0" w:color="auto"/>
        <w:bottom w:val="none" w:sz="0" w:space="0" w:color="auto"/>
        <w:right w:val="none" w:sz="0" w:space="0" w:color="auto"/>
      </w:divBdr>
    </w:div>
    <w:div w:id="1017924787">
      <w:bodyDiv w:val="1"/>
      <w:marLeft w:val="0"/>
      <w:marRight w:val="0"/>
      <w:marTop w:val="0"/>
      <w:marBottom w:val="0"/>
      <w:divBdr>
        <w:top w:val="none" w:sz="0" w:space="0" w:color="auto"/>
        <w:left w:val="none" w:sz="0" w:space="0" w:color="auto"/>
        <w:bottom w:val="none" w:sz="0" w:space="0" w:color="auto"/>
        <w:right w:val="none" w:sz="0" w:space="0" w:color="auto"/>
      </w:divBdr>
    </w:div>
    <w:div w:id="1019043487">
      <w:bodyDiv w:val="1"/>
      <w:marLeft w:val="0"/>
      <w:marRight w:val="0"/>
      <w:marTop w:val="0"/>
      <w:marBottom w:val="0"/>
      <w:divBdr>
        <w:top w:val="none" w:sz="0" w:space="0" w:color="auto"/>
        <w:left w:val="none" w:sz="0" w:space="0" w:color="auto"/>
        <w:bottom w:val="none" w:sz="0" w:space="0" w:color="auto"/>
        <w:right w:val="none" w:sz="0" w:space="0" w:color="auto"/>
      </w:divBdr>
    </w:div>
    <w:div w:id="1020861290">
      <w:bodyDiv w:val="1"/>
      <w:marLeft w:val="0"/>
      <w:marRight w:val="0"/>
      <w:marTop w:val="0"/>
      <w:marBottom w:val="0"/>
      <w:divBdr>
        <w:top w:val="none" w:sz="0" w:space="0" w:color="auto"/>
        <w:left w:val="none" w:sz="0" w:space="0" w:color="auto"/>
        <w:bottom w:val="none" w:sz="0" w:space="0" w:color="auto"/>
        <w:right w:val="none" w:sz="0" w:space="0" w:color="auto"/>
      </w:divBdr>
    </w:div>
    <w:div w:id="1023366074">
      <w:bodyDiv w:val="1"/>
      <w:marLeft w:val="0"/>
      <w:marRight w:val="0"/>
      <w:marTop w:val="0"/>
      <w:marBottom w:val="0"/>
      <w:divBdr>
        <w:top w:val="none" w:sz="0" w:space="0" w:color="auto"/>
        <w:left w:val="none" w:sz="0" w:space="0" w:color="auto"/>
        <w:bottom w:val="none" w:sz="0" w:space="0" w:color="auto"/>
        <w:right w:val="none" w:sz="0" w:space="0" w:color="auto"/>
      </w:divBdr>
    </w:div>
    <w:div w:id="1026828208">
      <w:bodyDiv w:val="1"/>
      <w:marLeft w:val="0"/>
      <w:marRight w:val="0"/>
      <w:marTop w:val="0"/>
      <w:marBottom w:val="0"/>
      <w:divBdr>
        <w:top w:val="none" w:sz="0" w:space="0" w:color="auto"/>
        <w:left w:val="none" w:sz="0" w:space="0" w:color="auto"/>
        <w:bottom w:val="none" w:sz="0" w:space="0" w:color="auto"/>
        <w:right w:val="none" w:sz="0" w:space="0" w:color="auto"/>
      </w:divBdr>
    </w:div>
    <w:div w:id="1028682936">
      <w:bodyDiv w:val="1"/>
      <w:marLeft w:val="0"/>
      <w:marRight w:val="0"/>
      <w:marTop w:val="0"/>
      <w:marBottom w:val="0"/>
      <w:divBdr>
        <w:top w:val="none" w:sz="0" w:space="0" w:color="auto"/>
        <w:left w:val="none" w:sz="0" w:space="0" w:color="auto"/>
        <w:bottom w:val="none" w:sz="0" w:space="0" w:color="auto"/>
        <w:right w:val="none" w:sz="0" w:space="0" w:color="auto"/>
      </w:divBdr>
    </w:div>
    <w:div w:id="1029599965">
      <w:bodyDiv w:val="1"/>
      <w:marLeft w:val="0"/>
      <w:marRight w:val="0"/>
      <w:marTop w:val="0"/>
      <w:marBottom w:val="0"/>
      <w:divBdr>
        <w:top w:val="none" w:sz="0" w:space="0" w:color="auto"/>
        <w:left w:val="none" w:sz="0" w:space="0" w:color="auto"/>
        <w:bottom w:val="none" w:sz="0" w:space="0" w:color="auto"/>
        <w:right w:val="none" w:sz="0" w:space="0" w:color="auto"/>
      </w:divBdr>
    </w:div>
    <w:div w:id="1035497762">
      <w:bodyDiv w:val="1"/>
      <w:marLeft w:val="0"/>
      <w:marRight w:val="0"/>
      <w:marTop w:val="0"/>
      <w:marBottom w:val="0"/>
      <w:divBdr>
        <w:top w:val="none" w:sz="0" w:space="0" w:color="auto"/>
        <w:left w:val="none" w:sz="0" w:space="0" w:color="auto"/>
        <w:bottom w:val="none" w:sz="0" w:space="0" w:color="auto"/>
        <w:right w:val="none" w:sz="0" w:space="0" w:color="auto"/>
      </w:divBdr>
    </w:div>
    <w:div w:id="1036010009">
      <w:bodyDiv w:val="1"/>
      <w:marLeft w:val="0"/>
      <w:marRight w:val="0"/>
      <w:marTop w:val="0"/>
      <w:marBottom w:val="0"/>
      <w:divBdr>
        <w:top w:val="none" w:sz="0" w:space="0" w:color="auto"/>
        <w:left w:val="none" w:sz="0" w:space="0" w:color="auto"/>
        <w:bottom w:val="none" w:sz="0" w:space="0" w:color="auto"/>
        <w:right w:val="none" w:sz="0" w:space="0" w:color="auto"/>
      </w:divBdr>
    </w:div>
    <w:div w:id="1036924559">
      <w:bodyDiv w:val="1"/>
      <w:marLeft w:val="0"/>
      <w:marRight w:val="0"/>
      <w:marTop w:val="0"/>
      <w:marBottom w:val="0"/>
      <w:divBdr>
        <w:top w:val="none" w:sz="0" w:space="0" w:color="auto"/>
        <w:left w:val="none" w:sz="0" w:space="0" w:color="auto"/>
        <w:bottom w:val="none" w:sz="0" w:space="0" w:color="auto"/>
        <w:right w:val="none" w:sz="0" w:space="0" w:color="auto"/>
      </w:divBdr>
    </w:div>
    <w:div w:id="1048526470">
      <w:bodyDiv w:val="1"/>
      <w:marLeft w:val="0"/>
      <w:marRight w:val="0"/>
      <w:marTop w:val="0"/>
      <w:marBottom w:val="0"/>
      <w:divBdr>
        <w:top w:val="none" w:sz="0" w:space="0" w:color="auto"/>
        <w:left w:val="none" w:sz="0" w:space="0" w:color="auto"/>
        <w:bottom w:val="none" w:sz="0" w:space="0" w:color="auto"/>
        <w:right w:val="none" w:sz="0" w:space="0" w:color="auto"/>
      </w:divBdr>
    </w:div>
    <w:div w:id="1050500848">
      <w:bodyDiv w:val="1"/>
      <w:marLeft w:val="0"/>
      <w:marRight w:val="0"/>
      <w:marTop w:val="0"/>
      <w:marBottom w:val="0"/>
      <w:divBdr>
        <w:top w:val="none" w:sz="0" w:space="0" w:color="auto"/>
        <w:left w:val="none" w:sz="0" w:space="0" w:color="auto"/>
        <w:bottom w:val="none" w:sz="0" w:space="0" w:color="auto"/>
        <w:right w:val="none" w:sz="0" w:space="0" w:color="auto"/>
      </w:divBdr>
    </w:div>
    <w:div w:id="1054159352">
      <w:bodyDiv w:val="1"/>
      <w:marLeft w:val="0"/>
      <w:marRight w:val="0"/>
      <w:marTop w:val="0"/>
      <w:marBottom w:val="0"/>
      <w:divBdr>
        <w:top w:val="none" w:sz="0" w:space="0" w:color="auto"/>
        <w:left w:val="none" w:sz="0" w:space="0" w:color="auto"/>
        <w:bottom w:val="none" w:sz="0" w:space="0" w:color="auto"/>
        <w:right w:val="none" w:sz="0" w:space="0" w:color="auto"/>
      </w:divBdr>
    </w:div>
    <w:div w:id="1056776552">
      <w:bodyDiv w:val="1"/>
      <w:marLeft w:val="0"/>
      <w:marRight w:val="0"/>
      <w:marTop w:val="0"/>
      <w:marBottom w:val="0"/>
      <w:divBdr>
        <w:top w:val="none" w:sz="0" w:space="0" w:color="auto"/>
        <w:left w:val="none" w:sz="0" w:space="0" w:color="auto"/>
        <w:bottom w:val="none" w:sz="0" w:space="0" w:color="auto"/>
        <w:right w:val="none" w:sz="0" w:space="0" w:color="auto"/>
      </w:divBdr>
    </w:div>
    <w:div w:id="1061174031">
      <w:bodyDiv w:val="1"/>
      <w:marLeft w:val="0"/>
      <w:marRight w:val="0"/>
      <w:marTop w:val="0"/>
      <w:marBottom w:val="0"/>
      <w:divBdr>
        <w:top w:val="none" w:sz="0" w:space="0" w:color="auto"/>
        <w:left w:val="none" w:sz="0" w:space="0" w:color="auto"/>
        <w:bottom w:val="none" w:sz="0" w:space="0" w:color="auto"/>
        <w:right w:val="none" w:sz="0" w:space="0" w:color="auto"/>
      </w:divBdr>
    </w:div>
    <w:div w:id="1065878594">
      <w:bodyDiv w:val="1"/>
      <w:marLeft w:val="0"/>
      <w:marRight w:val="0"/>
      <w:marTop w:val="0"/>
      <w:marBottom w:val="0"/>
      <w:divBdr>
        <w:top w:val="none" w:sz="0" w:space="0" w:color="auto"/>
        <w:left w:val="none" w:sz="0" w:space="0" w:color="auto"/>
        <w:bottom w:val="none" w:sz="0" w:space="0" w:color="auto"/>
        <w:right w:val="none" w:sz="0" w:space="0" w:color="auto"/>
      </w:divBdr>
    </w:div>
    <w:div w:id="1067456190">
      <w:bodyDiv w:val="1"/>
      <w:marLeft w:val="0"/>
      <w:marRight w:val="0"/>
      <w:marTop w:val="0"/>
      <w:marBottom w:val="0"/>
      <w:divBdr>
        <w:top w:val="none" w:sz="0" w:space="0" w:color="auto"/>
        <w:left w:val="none" w:sz="0" w:space="0" w:color="auto"/>
        <w:bottom w:val="none" w:sz="0" w:space="0" w:color="auto"/>
        <w:right w:val="none" w:sz="0" w:space="0" w:color="auto"/>
      </w:divBdr>
    </w:div>
    <w:div w:id="1069184038">
      <w:bodyDiv w:val="1"/>
      <w:marLeft w:val="0"/>
      <w:marRight w:val="0"/>
      <w:marTop w:val="0"/>
      <w:marBottom w:val="0"/>
      <w:divBdr>
        <w:top w:val="none" w:sz="0" w:space="0" w:color="auto"/>
        <w:left w:val="none" w:sz="0" w:space="0" w:color="auto"/>
        <w:bottom w:val="none" w:sz="0" w:space="0" w:color="auto"/>
        <w:right w:val="none" w:sz="0" w:space="0" w:color="auto"/>
      </w:divBdr>
    </w:div>
    <w:div w:id="1069887444">
      <w:bodyDiv w:val="1"/>
      <w:marLeft w:val="0"/>
      <w:marRight w:val="0"/>
      <w:marTop w:val="0"/>
      <w:marBottom w:val="0"/>
      <w:divBdr>
        <w:top w:val="none" w:sz="0" w:space="0" w:color="auto"/>
        <w:left w:val="none" w:sz="0" w:space="0" w:color="auto"/>
        <w:bottom w:val="none" w:sz="0" w:space="0" w:color="auto"/>
        <w:right w:val="none" w:sz="0" w:space="0" w:color="auto"/>
      </w:divBdr>
    </w:div>
    <w:div w:id="1070888916">
      <w:bodyDiv w:val="1"/>
      <w:marLeft w:val="0"/>
      <w:marRight w:val="0"/>
      <w:marTop w:val="0"/>
      <w:marBottom w:val="0"/>
      <w:divBdr>
        <w:top w:val="none" w:sz="0" w:space="0" w:color="auto"/>
        <w:left w:val="none" w:sz="0" w:space="0" w:color="auto"/>
        <w:bottom w:val="none" w:sz="0" w:space="0" w:color="auto"/>
        <w:right w:val="none" w:sz="0" w:space="0" w:color="auto"/>
      </w:divBdr>
    </w:div>
    <w:div w:id="1072049272">
      <w:bodyDiv w:val="1"/>
      <w:marLeft w:val="0"/>
      <w:marRight w:val="0"/>
      <w:marTop w:val="0"/>
      <w:marBottom w:val="0"/>
      <w:divBdr>
        <w:top w:val="none" w:sz="0" w:space="0" w:color="auto"/>
        <w:left w:val="none" w:sz="0" w:space="0" w:color="auto"/>
        <w:bottom w:val="none" w:sz="0" w:space="0" w:color="auto"/>
        <w:right w:val="none" w:sz="0" w:space="0" w:color="auto"/>
      </w:divBdr>
    </w:div>
    <w:div w:id="1074619103">
      <w:bodyDiv w:val="1"/>
      <w:marLeft w:val="0"/>
      <w:marRight w:val="0"/>
      <w:marTop w:val="0"/>
      <w:marBottom w:val="0"/>
      <w:divBdr>
        <w:top w:val="none" w:sz="0" w:space="0" w:color="auto"/>
        <w:left w:val="none" w:sz="0" w:space="0" w:color="auto"/>
        <w:bottom w:val="none" w:sz="0" w:space="0" w:color="auto"/>
        <w:right w:val="none" w:sz="0" w:space="0" w:color="auto"/>
      </w:divBdr>
    </w:div>
    <w:div w:id="1080568172">
      <w:bodyDiv w:val="1"/>
      <w:marLeft w:val="0"/>
      <w:marRight w:val="0"/>
      <w:marTop w:val="0"/>
      <w:marBottom w:val="0"/>
      <w:divBdr>
        <w:top w:val="none" w:sz="0" w:space="0" w:color="auto"/>
        <w:left w:val="none" w:sz="0" w:space="0" w:color="auto"/>
        <w:bottom w:val="none" w:sz="0" w:space="0" w:color="auto"/>
        <w:right w:val="none" w:sz="0" w:space="0" w:color="auto"/>
      </w:divBdr>
    </w:div>
    <w:div w:id="1083524421">
      <w:bodyDiv w:val="1"/>
      <w:marLeft w:val="0"/>
      <w:marRight w:val="0"/>
      <w:marTop w:val="0"/>
      <w:marBottom w:val="0"/>
      <w:divBdr>
        <w:top w:val="none" w:sz="0" w:space="0" w:color="auto"/>
        <w:left w:val="none" w:sz="0" w:space="0" w:color="auto"/>
        <w:bottom w:val="none" w:sz="0" w:space="0" w:color="auto"/>
        <w:right w:val="none" w:sz="0" w:space="0" w:color="auto"/>
      </w:divBdr>
    </w:div>
    <w:div w:id="1087455416">
      <w:bodyDiv w:val="1"/>
      <w:marLeft w:val="0"/>
      <w:marRight w:val="0"/>
      <w:marTop w:val="0"/>
      <w:marBottom w:val="0"/>
      <w:divBdr>
        <w:top w:val="none" w:sz="0" w:space="0" w:color="auto"/>
        <w:left w:val="none" w:sz="0" w:space="0" w:color="auto"/>
        <w:bottom w:val="none" w:sz="0" w:space="0" w:color="auto"/>
        <w:right w:val="none" w:sz="0" w:space="0" w:color="auto"/>
      </w:divBdr>
    </w:div>
    <w:div w:id="1092236859">
      <w:bodyDiv w:val="1"/>
      <w:marLeft w:val="0"/>
      <w:marRight w:val="0"/>
      <w:marTop w:val="0"/>
      <w:marBottom w:val="0"/>
      <w:divBdr>
        <w:top w:val="none" w:sz="0" w:space="0" w:color="auto"/>
        <w:left w:val="none" w:sz="0" w:space="0" w:color="auto"/>
        <w:bottom w:val="none" w:sz="0" w:space="0" w:color="auto"/>
        <w:right w:val="none" w:sz="0" w:space="0" w:color="auto"/>
      </w:divBdr>
    </w:div>
    <w:div w:id="1093935568">
      <w:bodyDiv w:val="1"/>
      <w:marLeft w:val="0"/>
      <w:marRight w:val="0"/>
      <w:marTop w:val="0"/>
      <w:marBottom w:val="0"/>
      <w:divBdr>
        <w:top w:val="none" w:sz="0" w:space="0" w:color="auto"/>
        <w:left w:val="none" w:sz="0" w:space="0" w:color="auto"/>
        <w:bottom w:val="none" w:sz="0" w:space="0" w:color="auto"/>
        <w:right w:val="none" w:sz="0" w:space="0" w:color="auto"/>
      </w:divBdr>
    </w:div>
    <w:div w:id="1094940172">
      <w:bodyDiv w:val="1"/>
      <w:marLeft w:val="0"/>
      <w:marRight w:val="0"/>
      <w:marTop w:val="0"/>
      <w:marBottom w:val="0"/>
      <w:divBdr>
        <w:top w:val="none" w:sz="0" w:space="0" w:color="auto"/>
        <w:left w:val="none" w:sz="0" w:space="0" w:color="auto"/>
        <w:bottom w:val="none" w:sz="0" w:space="0" w:color="auto"/>
        <w:right w:val="none" w:sz="0" w:space="0" w:color="auto"/>
      </w:divBdr>
    </w:div>
    <w:div w:id="1102458508">
      <w:bodyDiv w:val="1"/>
      <w:marLeft w:val="0"/>
      <w:marRight w:val="0"/>
      <w:marTop w:val="0"/>
      <w:marBottom w:val="0"/>
      <w:divBdr>
        <w:top w:val="none" w:sz="0" w:space="0" w:color="auto"/>
        <w:left w:val="none" w:sz="0" w:space="0" w:color="auto"/>
        <w:bottom w:val="none" w:sz="0" w:space="0" w:color="auto"/>
        <w:right w:val="none" w:sz="0" w:space="0" w:color="auto"/>
      </w:divBdr>
    </w:div>
    <w:div w:id="1102530532">
      <w:bodyDiv w:val="1"/>
      <w:marLeft w:val="0"/>
      <w:marRight w:val="0"/>
      <w:marTop w:val="0"/>
      <w:marBottom w:val="0"/>
      <w:divBdr>
        <w:top w:val="none" w:sz="0" w:space="0" w:color="auto"/>
        <w:left w:val="none" w:sz="0" w:space="0" w:color="auto"/>
        <w:bottom w:val="none" w:sz="0" w:space="0" w:color="auto"/>
        <w:right w:val="none" w:sz="0" w:space="0" w:color="auto"/>
      </w:divBdr>
    </w:div>
    <w:div w:id="1113473544">
      <w:bodyDiv w:val="1"/>
      <w:marLeft w:val="0"/>
      <w:marRight w:val="0"/>
      <w:marTop w:val="0"/>
      <w:marBottom w:val="0"/>
      <w:divBdr>
        <w:top w:val="none" w:sz="0" w:space="0" w:color="auto"/>
        <w:left w:val="none" w:sz="0" w:space="0" w:color="auto"/>
        <w:bottom w:val="none" w:sz="0" w:space="0" w:color="auto"/>
        <w:right w:val="none" w:sz="0" w:space="0" w:color="auto"/>
      </w:divBdr>
    </w:div>
    <w:div w:id="1116409351">
      <w:bodyDiv w:val="1"/>
      <w:marLeft w:val="0"/>
      <w:marRight w:val="0"/>
      <w:marTop w:val="0"/>
      <w:marBottom w:val="0"/>
      <w:divBdr>
        <w:top w:val="none" w:sz="0" w:space="0" w:color="auto"/>
        <w:left w:val="none" w:sz="0" w:space="0" w:color="auto"/>
        <w:bottom w:val="none" w:sz="0" w:space="0" w:color="auto"/>
        <w:right w:val="none" w:sz="0" w:space="0" w:color="auto"/>
      </w:divBdr>
    </w:div>
    <w:div w:id="1141268227">
      <w:bodyDiv w:val="1"/>
      <w:marLeft w:val="0"/>
      <w:marRight w:val="0"/>
      <w:marTop w:val="0"/>
      <w:marBottom w:val="0"/>
      <w:divBdr>
        <w:top w:val="none" w:sz="0" w:space="0" w:color="auto"/>
        <w:left w:val="none" w:sz="0" w:space="0" w:color="auto"/>
        <w:bottom w:val="none" w:sz="0" w:space="0" w:color="auto"/>
        <w:right w:val="none" w:sz="0" w:space="0" w:color="auto"/>
      </w:divBdr>
    </w:div>
    <w:div w:id="1143540007">
      <w:bodyDiv w:val="1"/>
      <w:marLeft w:val="0"/>
      <w:marRight w:val="0"/>
      <w:marTop w:val="0"/>
      <w:marBottom w:val="0"/>
      <w:divBdr>
        <w:top w:val="none" w:sz="0" w:space="0" w:color="auto"/>
        <w:left w:val="none" w:sz="0" w:space="0" w:color="auto"/>
        <w:bottom w:val="none" w:sz="0" w:space="0" w:color="auto"/>
        <w:right w:val="none" w:sz="0" w:space="0" w:color="auto"/>
      </w:divBdr>
    </w:div>
    <w:div w:id="1144853395">
      <w:bodyDiv w:val="1"/>
      <w:marLeft w:val="0"/>
      <w:marRight w:val="0"/>
      <w:marTop w:val="0"/>
      <w:marBottom w:val="0"/>
      <w:divBdr>
        <w:top w:val="none" w:sz="0" w:space="0" w:color="auto"/>
        <w:left w:val="none" w:sz="0" w:space="0" w:color="auto"/>
        <w:bottom w:val="none" w:sz="0" w:space="0" w:color="auto"/>
        <w:right w:val="none" w:sz="0" w:space="0" w:color="auto"/>
      </w:divBdr>
    </w:div>
    <w:div w:id="1146430572">
      <w:bodyDiv w:val="1"/>
      <w:marLeft w:val="0"/>
      <w:marRight w:val="0"/>
      <w:marTop w:val="0"/>
      <w:marBottom w:val="0"/>
      <w:divBdr>
        <w:top w:val="none" w:sz="0" w:space="0" w:color="auto"/>
        <w:left w:val="none" w:sz="0" w:space="0" w:color="auto"/>
        <w:bottom w:val="none" w:sz="0" w:space="0" w:color="auto"/>
        <w:right w:val="none" w:sz="0" w:space="0" w:color="auto"/>
      </w:divBdr>
    </w:div>
    <w:div w:id="1146625350">
      <w:bodyDiv w:val="1"/>
      <w:marLeft w:val="0"/>
      <w:marRight w:val="0"/>
      <w:marTop w:val="0"/>
      <w:marBottom w:val="0"/>
      <w:divBdr>
        <w:top w:val="none" w:sz="0" w:space="0" w:color="auto"/>
        <w:left w:val="none" w:sz="0" w:space="0" w:color="auto"/>
        <w:bottom w:val="none" w:sz="0" w:space="0" w:color="auto"/>
        <w:right w:val="none" w:sz="0" w:space="0" w:color="auto"/>
      </w:divBdr>
    </w:div>
    <w:div w:id="1151210133">
      <w:bodyDiv w:val="1"/>
      <w:marLeft w:val="0"/>
      <w:marRight w:val="0"/>
      <w:marTop w:val="0"/>
      <w:marBottom w:val="0"/>
      <w:divBdr>
        <w:top w:val="none" w:sz="0" w:space="0" w:color="auto"/>
        <w:left w:val="none" w:sz="0" w:space="0" w:color="auto"/>
        <w:bottom w:val="none" w:sz="0" w:space="0" w:color="auto"/>
        <w:right w:val="none" w:sz="0" w:space="0" w:color="auto"/>
      </w:divBdr>
    </w:div>
    <w:div w:id="1153177390">
      <w:bodyDiv w:val="1"/>
      <w:marLeft w:val="0"/>
      <w:marRight w:val="0"/>
      <w:marTop w:val="0"/>
      <w:marBottom w:val="0"/>
      <w:divBdr>
        <w:top w:val="none" w:sz="0" w:space="0" w:color="auto"/>
        <w:left w:val="none" w:sz="0" w:space="0" w:color="auto"/>
        <w:bottom w:val="none" w:sz="0" w:space="0" w:color="auto"/>
        <w:right w:val="none" w:sz="0" w:space="0" w:color="auto"/>
      </w:divBdr>
    </w:div>
    <w:div w:id="1153252116">
      <w:bodyDiv w:val="1"/>
      <w:marLeft w:val="0"/>
      <w:marRight w:val="0"/>
      <w:marTop w:val="0"/>
      <w:marBottom w:val="0"/>
      <w:divBdr>
        <w:top w:val="none" w:sz="0" w:space="0" w:color="auto"/>
        <w:left w:val="none" w:sz="0" w:space="0" w:color="auto"/>
        <w:bottom w:val="none" w:sz="0" w:space="0" w:color="auto"/>
        <w:right w:val="none" w:sz="0" w:space="0" w:color="auto"/>
      </w:divBdr>
    </w:div>
    <w:div w:id="1164467264">
      <w:bodyDiv w:val="1"/>
      <w:marLeft w:val="0"/>
      <w:marRight w:val="0"/>
      <w:marTop w:val="0"/>
      <w:marBottom w:val="0"/>
      <w:divBdr>
        <w:top w:val="none" w:sz="0" w:space="0" w:color="auto"/>
        <w:left w:val="none" w:sz="0" w:space="0" w:color="auto"/>
        <w:bottom w:val="none" w:sz="0" w:space="0" w:color="auto"/>
        <w:right w:val="none" w:sz="0" w:space="0" w:color="auto"/>
      </w:divBdr>
    </w:div>
    <w:div w:id="1165558396">
      <w:bodyDiv w:val="1"/>
      <w:marLeft w:val="0"/>
      <w:marRight w:val="0"/>
      <w:marTop w:val="0"/>
      <w:marBottom w:val="0"/>
      <w:divBdr>
        <w:top w:val="none" w:sz="0" w:space="0" w:color="auto"/>
        <w:left w:val="none" w:sz="0" w:space="0" w:color="auto"/>
        <w:bottom w:val="none" w:sz="0" w:space="0" w:color="auto"/>
        <w:right w:val="none" w:sz="0" w:space="0" w:color="auto"/>
      </w:divBdr>
    </w:div>
    <w:div w:id="1169057092">
      <w:bodyDiv w:val="1"/>
      <w:marLeft w:val="0"/>
      <w:marRight w:val="0"/>
      <w:marTop w:val="0"/>
      <w:marBottom w:val="0"/>
      <w:divBdr>
        <w:top w:val="none" w:sz="0" w:space="0" w:color="auto"/>
        <w:left w:val="none" w:sz="0" w:space="0" w:color="auto"/>
        <w:bottom w:val="none" w:sz="0" w:space="0" w:color="auto"/>
        <w:right w:val="none" w:sz="0" w:space="0" w:color="auto"/>
      </w:divBdr>
    </w:div>
    <w:div w:id="1173109748">
      <w:bodyDiv w:val="1"/>
      <w:marLeft w:val="0"/>
      <w:marRight w:val="0"/>
      <w:marTop w:val="0"/>
      <w:marBottom w:val="0"/>
      <w:divBdr>
        <w:top w:val="none" w:sz="0" w:space="0" w:color="auto"/>
        <w:left w:val="none" w:sz="0" w:space="0" w:color="auto"/>
        <w:bottom w:val="none" w:sz="0" w:space="0" w:color="auto"/>
        <w:right w:val="none" w:sz="0" w:space="0" w:color="auto"/>
      </w:divBdr>
    </w:div>
    <w:div w:id="1179461666">
      <w:bodyDiv w:val="1"/>
      <w:marLeft w:val="0"/>
      <w:marRight w:val="0"/>
      <w:marTop w:val="0"/>
      <w:marBottom w:val="0"/>
      <w:divBdr>
        <w:top w:val="none" w:sz="0" w:space="0" w:color="auto"/>
        <w:left w:val="none" w:sz="0" w:space="0" w:color="auto"/>
        <w:bottom w:val="none" w:sz="0" w:space="0" w:color="auto"/>
        <w:right w:val="none" w:sz="0" w:space="0" w:color="auto"/>
      </w:divBdr>
    </w:div>
    <w:div w:id="1181816469">
      <w:bodyDiv w:val="1"/>
      <w:marLeft w:val="0"/>
      <w:marRight w:val="0"/>
      <w:marTop w:val="0"/>
      <w:marBottom w:val="0"/>
      <w:divBdr>
        <w:top w:val="none" w:sz="0" w:space="0" w:color="auto"/>
        <w:left w:val="none" w:sz="0" w:space="0" w:color="auto"/>
        <w:bottom w:val="none" w:sz="0" w:space="0" w:color="auto"/>
        <w:right w:val="none" w:sz="0" w:space="0" w:color="auto"/>
      </w:divBdr>
    </w:div>
    <w:div w:id="1183741256">
      <w:bodyDiv w:val="1"/>
      <w:marLeft w:val="0"/>
      <w:marRight w:val="0"/>
      <w:marTop w:val="0"/>
      <w:marBottom w:val="0"/>
      <w:divBdr>
        <w:top w:val="none" w:sz="0" w:space="0" w:color="auto"/>
        <w:left w:val="none" w:sz="0" w:space="0" w:color="auto"/>
        <w:bottom w:val="none" w:sz="0" w:space="0" w:color="auto"/>
        <w:right w:val="none" w:sz="0" w:space="0" w:color="auto"/>
      </w:divBdr>
    </w:div>
    <w:div w:id="1185896520">
      <w:bodyDiv w:val="1"/>
      <w:marLeft w:val="0"/>
      <w:marRight w:val="0"/>
      <w:marTop w:val="0"/>
      <w:marBottom w:val="0"/>
      <w:divBdr>
        <w:top w:val="none" w:sz="0" w:space="0" w:color="auto"/>
        <w:left w:val="none" w:sz="0" w:space="0" w:color="auto"/>
        <w:bottom w:val="none" w:sz="0" w:space="0" w:color="auto"/>
        <w:right w:val="none" w:sz="0" w:space="0" w:color="auto"/>
      </w:divBdr>
    </w:div>
    <w:div w:id="1215628031">
      <w:bodyDiv w:val="1"/>
      <w:marLeft w:val="0"/>
      <w:marRight w:val="0"/>
      <w:marTop w:val="0"/>
      <w:marBottom w:val="0"/>
      <w:divBdr>
        <w:top w:val="none" w:sz="0" w:space="0" w:color="auto"/>
        <w:left w:val="none" w:sz="0" w:space="0" w:color="auto"/>
        <w:bottom w:val="none" w:sz="0" w:space="0" w:color="auto"/>
        <w:right w:val="none" w:sz="0" w:space="0" w:color="auto"/>
      </w:divBdr>
    </w:div>
    <w:div w:id="1219123090">
      <w:bodyDiv w:val="1"/>
      <w:marLeft w:val="0"/>
      <w:marRight w:val="0"/>
      <w:marTop w:val="0"/>
      <w:marBottom w:val="0"/>
      <w:divBdr>
        <w:top w:val="none" w:sz="0" w:space="0" w:color="auto"/>
        <w:left w:val="none" w:sz="0" w:space="0" w:color="auto"/>
        <w:bottom w:val="none" w:sz="0" w:space="0" w:color="auto"/>
        <w:right w:val="none" w:sz="0" w:space="0" w:color="auto"/>
      </w:divBdr>
    </w:div>
    <w:div w:id="1224950261">
      <w:bodyDiv w:val="1"/>
      <w:marLeft w:val="0"/>
      <w:marRight w:val="0"/>
      <w:marTop w:val="0"/>
      <w:marBottom w:val="0"/>
      <w:divBdr>
        <w:top w:val="none" w:sz="0" w:space="0" w:color="auto"/>
        <w:left w:val="none" w:sz="0" w:space="0" w:color="auto"/>
        <w:bottom w:val="none" w:sz="0" w:space="0" w:color="auto"/>
        <w:right w:val="none" w:sz="0" w:space="0" w:color="auto"/>
      </w:divBdr>
    </w:div>
    <w:div w:id="1230186314">
      <w:bodyDiv w:val="1"/>
      <w:marLeft w:val="0"/>
      <w:marRight w:val="0"/>
      <w:marTop w:val="0"/>
      <w:marBottom w:val="0"/>
      <w:divBdr>
        <w:top w:val="none" w:sz="0" w:space="0" w:color="auto"/>
        <w:left w:val="none" w:sz="0" w:space="0" w:color="auto"/>
        <w:bottom w:val="none" w:sz="0" w:space="0" w:color="auto"/>
        <w:right w:val="none" w:sz="0" w:space="0" w:color="auto"/>
      </w:divBdr>
    </w:div>
    <w:div w:id="1230340076">
      <w:bodyDiv w:val="1"/>
      <w:marLeft w:val="0"/>
      <w:marRight w:val="0"/>
      <w:marTop w:val="0"/>
      <w:marBottom w:val="0"/>
      <w:divBdr>
        <w:top w:val="none" w:sz="0" w:space="0" w:color="auto"/>
        <w:left w:val="none" w:sz="0" w:space="0" w:color="auto"/>
        <w:bottom w:val="none" w:sz="0" w:space="0" w:color="auto"/>
        <w:right w:val="none" w:sz="0" w:space="0" w:color="auto"/>
      </w:divBdr>
    </w:div>
    <w:div w:id="1234777950">
      <w:bodyDiv w:val="1"/>
      <w:marLeft w:val="0"/>
      <w:marRight w:val="0"/>
      <w:marTop w:val="0"/>
      <w:marBottom w:val="0"/>
      <w:divBdr>
        <w:top w:val="none" w:sz="0" w:space="0" w:color="auto"/>
        <w:left w:val="none" w:sz="0" w:space="0" w:color="auto"/>
        <w:bottom w:val="none" w:sz="0" w:space="0" w:color="auto"/>
        <w:right w:val="none" w:sz="0" w:space="0" w:color="auto"/>
      </w:divBdr>
    </w:div>
    <w:div w:id="1239360969">
      <w:bodyDiv w:val="1"/>
      <w:marLeft w:val="0"/>
      <w:marRight w:val="0"/>
      <w:marTop w:val="0"/>
      <w:marBottom w:val="0"/>
      <w:divBdr>
        <w:top w:val="none" w:sz="0" w:space="0" w:color="auto"/>
        <w:left w:val="none" w:sz="0" w:space="0" w:color="auto"/>
        <w:bottom w:val="none" w:sz="0" w:space="0" w:color="auto"/>
        <w:right w:val="none" w:sz="0" w:space="0" w:color="auto"/>
      </w:divBdr>
    </w:div>
    <w:div w:id="1246302806">
      <w:bodyDiv w:val="1"/>
      <w:marLeft w:val="0"/>
      <w:marRight w:val="0"/>
      <w:marTop w:val="0"/>
      <w:marBottom w:val="0"/>
      <w:divBdr>
        <w:top w:val="none" w:sz="0" w:space="0" w:color="auto"/>
        <w:left w:val="none" w:sz="0" w:space="0" w:color="auto"/>
        <w:bottom w:val="none" w:sz="0" w:space="0" w:color="auto"/>
        <w:right w:val="none" w:sz="0" w:space="0" w:color="auto"/>
      </w:divBdr>
    </w:div>
    <w:div w:id="1250581405">
      <w:bodyDiv w:val="1"/>
      <w:marLeft w:val="0"/>
      <w:marRight w:val="0"/>
      <w:marTop w:val="0"/>
      <w:marBottom w:val="0"/>
      <w:divBdr>
        <w:top w:val="none" w:sz="0" w:space="0" w:color="auto"/>
        <w:left w:val="none" w:sz="0" w:space="0" w:color="auto"/>
        <w:bottom w:val="none" w:sz="0" w:space="0" w:color="auto"/>
        <w:right w:val="none" w:sz="0" w:space="0" w:color="auto"/>
      </w:divBdr>
    </w:div>
    <w:div w:id="1250889683">
      <w:bodyDiv w:val="1"/>
      <w:marLeft w:val="0"/>
      <w:marRight w:val="0"/>
      <w:marTop w:val="0"/>
      <w:marBottom w:val="0"/>
      <w:divBdr>
        <w:top w:val="none" w:sz="0" w:space="0" w:color="auto"/>
        <w:left w:val="none" w:sz="0" w:space="0" w:color="auto"/>
        <w:bottom w:val="none" w:sz="0" w:space="0" w:color="auto"/>
        <w:right w:val="none" w:sz="0" w:space="0" w:color="auto"/>
      </w:divBdr>
    </w:div>
    <w:div w:id="1251231478">
      <w:bodyDiv w:val="1"/>
      <w:marLeft w:val="0"/>
      <w:marRight w:val="0"/>
      <w:marTop w:val="0"/>
      <w:marBottom w:val="0"/>
      <w:divBdr>
        <w:top w:val="none" w:sz="0" w:space="0" w:color="auto"/>
        <w:left w:val="none" w:sz="0" w:space="0" w:color="auto"/>
        <w:bottom w:val="none" w:sz="0" w:space="0" w:color="auto"/>
        <w:right w:val="none" w:sz="0" w:space="0" w:color="auto"/>
      </w:divBdr>
    </w:div>
    <w:div w:id="1259100324">
      <w:bodyDiv w:val="1"/>
      <w:marLeft w:val="0"/>
      <w:marRight w:val="0"/>
      <w:marTop w:val="0"/>
      <w:marBottom w:val="0"/>
      <w:divBdr>
        <w:top w:val="none" w:sz="0" w:space="0" w:color="auto"/>
        <w:left w:val="none" w:sz="0" w:space="0" w:color="auto"/>
        <w:bottom w:val="none" w:sz="0" w:space="0" w:color="auto"/>
        <w:right w:val="none" w:sz="0" w:space="0" w:color="auto"/>
      </w:divBdr>
    </w:div>
    <w:div w:id="1259366600">
      <w:bodyDiv w:val="1"/>
      <w:marLeft w:val="0"/>
      <w:marRight w:val="0"/>
      <w:marTop w:val="0"/>
      <w:marBottom w:val="0"/>
      <w:divBdr>
        <w:top w:val="none" w:sz="0" w:space="0" w:color="auto"/>
        <w:left w:val="none" w:sz="0" w:space="0" w:color="auto"/>
        <w:bottom w:val="none" w:sz="0" w:space="0" w:color="auto"/>
        <w:right w:val="none" w:sz="0" w:space="0" w:color="auto"/>
      </w:divBdr>
    </w:div>
    <w:div w:id="1260023117">
      <w:bodyDiv w:val="1"/>
      <w:marLeft w:val="0"/>
      <w:marRight w:val="0"/>
      <w:marTop w:val="0"/>
      <w:marBottom w:val="0"/>
      <w:divBdr>
        <w:top w:val="none" w:sz="0" w:space="0" w:color="auto"/>
        <w:left w:val="none" w:sz="0" w:space="0" w:color="auto"/>
        <w:bottom w:val="none" w:sz="0" w:space="0" w:color="auto"/>
        <w:right w:val="none" w:sz="0" w:space="0" w:color="auto"/>
      </w:divBdr>
    </w:div>
    <w:div w:id="1262833313">
      <w:bodyDiv w:val="1"/>
      <w:marLeft w:val="0"/>
      <w:marRight w:val="0"/>
      <w:marTop w:val="0"/>
      <w:marBottom w:val="0"/>
      <w:divBdr>
        <w:top w:val="none" w:sz="0" w:space="0" w:color="auto"/>
        <w:left w:val="none" w:sz="0" w:space="0" w:color="auto"/>
        <w:bottom w:val="none" w:sz="0" w:space="0" w:color="auto"/>
        <w:right w:val="none" w:sz="0" w:space="0" w:color="auto"/>
      </w:divBdr>
    </w:div>
    <w:div w:id="1271015467">
      <w:bodyDiv w:val="1"/>
      <w:marLeft w:val="0"/>
      <w:marRight w:val="0"/>
      <w:marTop w:val="0"/>
      <w:marBottom w:val="0"/>
      <w:divBdr>
        <w:top w:val="none" w:sz="0" w:space="0" w:color="auto"/>
        <w:left w:val="none" w:sz="0" w:space="0" w:color="auto"/>
        <w:bottom w:val="none" w:sz="0" w:space="0" w:color="auto"/>
        <w:right w:val="none" w:sz="0" w:space="0" w:color="auto"/>
      </w:divBdr>
    </w:div>
    <w:div w:id="1276476315">
      <w:bodyDiv w:val="1"/>
      <w:marLeft w:val="0"/>
      <w:marRight w:val="0"/>
      <w:marTop w:val="0"/>
      <w:marBottom w:val="0"/>
      <w:divBdr>
        <w:top w:val="none" w:sz="0" w:space="0" w:color="auto"/>
        <w:left w:val="none" w:sz="0" w:space="0" w:color="auto"/>
        <w:bottom w:val="none" w:sz="0" w:space="0" w:color="auto"/>
        <w:right w:val="none" w:sz="0" w:space="0" w:color="auto"/>
      </w:divBdr>
    </w:div>
    <w:div w:id="1282760722">
      <w:bodyDiv w:val="1"/>
      <w:marLeft w:val="0"/>
      <w:marRight w:val="0"/>
      <w:marTop w:val="0"/>
      <w:marBottom w:val="0"/>
      <w:divBdr>
        <w:top w:val="none" w:sz="0" w:space="0" w:color="auto"/>
        <w:left w:val="none" w:sz="0" w:space="0" w:color="auto"/>
        <w:bottom w:val="none" w:sz="0" w:space="0" w:color="auto"/>
        <w:right w:val="none" w:sz="0" w:space="0" w:color="auto"/>
      </w:divBdr>
    </w:div>
    <w:div w:id="1284993199">
      <w:bodyDiv w:val="1"/>
      <w:marLeft w:val="0"/>
      <w:marRight w:val="0"/>
      <w:marTop w:val="0"/>
      <w:marBottom w:val="0"/>
      <w:divBdr>
        <w:top w:val="none" w:sz="0" w:space="0" w:color="auto"/>
        <w:left w:val="none" w:sz="0" w:space="0" w:color="auto"/>
        <w:bottom w:val="none" w:sz="0" w:space="0" w:color="auto"/>
        <w:right w:val="none" w:sz="0" w:space="0" w:color="auto"/>
      </w:divBdr>
    </w:div>
    <w:div w:id="1288005753">
      <w:bodyDiv w:val="1"/>
      <w:marLeft w:val="0"/>
      <w:marRight w:val="0"/>
      <w:marTop w:val="0"/>
      <w:marBottom w:val="0"/>
      <w:divBdr>
        <w:top w:val="none" w:sz="0" w:space="0" w:color="auto"/>
        <w:left w:val="none" w:sz="0" w:space="0" w:color="auto"/>
        <w:bottom w:val="none" w:sz="0" w:space="0" w:color="auto"/>
        <w:right w:val="none" w:sz="0" w:space="0" w:color="auto"/>
      </w:divBdr>
    </w:div>
    <w:div w:id="1293561261">
      <w:bodyDiv w:val="1"/>
      <w:marLeft w:val="0"/>
      <w:marRight w:val="0"/>
      <w:marTop w:val="0"/>
      <w:marBottom w:val="0"/>
      <w:divBdr>
        <w:top w:val="none" w:sz="0" w:space="0" w:color="auto"/>
        <w:left w:val="none" w:sz="0" w:space="0" w:color="auto"/>
        <w:bottom w:val="none" w:sz="0" w:space="0" w:color="auto"/>
        <w:right w:val="none" w:sz="0" w:space="0" w:color="auto"/>
      </w:divBdr>
    </w:div>
    <w:div w:id="1294020626">
      <w:bodyDiv w:val="1"/>
      <w:marLeft w:val="0"/>
      <w:marRight w:val="0"/>
      <w:marTop w:val="0"/>
      <w:marBottom w:val="0"/>
      <w:divBdr>
        <w:top w:val="none" w:sz="0" w:space="0" w:color="auto"/>
        <w:left w:val="none" w:sz="0" w:space="0" w:color="auto"/>
        <w:bottom w:val="none" w:sz="0" w:space="0" w:color="auto"/>
        <w:right w:val="none" w:sz="0" w:space="0" w:color="auto"/>
      </w:divBdr>
    </w:div>
    <w:div w:id="1301226177">
      <w:bodyDiv w:val="1"/>
      <w:marLeft w:val="0"/>
      <w:marRight w:val="0"/>
      <w:marTop w:val="0"/>
      <w:marBottom w:val="0"/>
      <w:divBdr>
        <w:top w:val="none" w:sz="0" w:space="0" w:color="auto"/>
        <w:left w:val="none" w:sz="0" w:space="0" w:color="auto"/>
        <w:bottom w:val="none" w:sz="0" w:space="0" w:color="auto"/>
        <w:right w:val="none" w:sz="0" w:space="0" w:color="auto"/>
      </w:divBdr>
    </w:div>
    <w:div w:id="1303927395">
      <w:bodyDiv w:val="1"/>
      <w:marLeft w:val="0"/>
      <w:marRight w:val="0"/>
      <w:marTop w:val="0"/>
      <w:marBottom w:val="0"/>
      <w:divBdr>
        <w:top w:val="none" w:sz="0" w:space="0" w:color="auto"/>
        <w:left w:val="none" w:sz="0" w:space="0" w:color="auto"/>
        <w:bottom w:val="none" w:sz="0" w:space="0" w:color="auto"/>
        <w:right w:val="none" w:sz="0" w:space="0" w:color="auto"/>
      </w:divBdr>
    </w:div>
    <w:div w:id="1308783853">
      <w:bodyDiv w:val="1"/>
      <w:marLeft w:val="0"/>
      <w:marRight w:val="0"/>
      <w:marTop w:val="0"/>
      <w:marBottom w:val="0"/>
      <w:divBdr>
        <w:top w:val="none" w:sz="0" w:space="0" w:color="auto"/>
        <w:left w:val="none" w:sz="0" w:space="0" w:color="auto"/>
        <w:bottom w:val="none" w:sz="0" w:space="0" w:color="auto"/>
        <w:right w:val="none" w:sz="0" w:space="0" w:color="auto"/>
      </w:divBdr>
    </w:div>
    <w:div w:id="1312783275">
      <w:bodyDiv w:val="1"/>
      <w:marLeft w:val="0"/>
      <w:marRight w:val="0"/>
      <w:marTop w:val="0"/>
      <w:marBottom w:val="0"/>
      <w:divBdr>
        <w:top w:val="none" w:sz="0" w:space="0" w:color="auto"/>
        <w:left w:val="none" w:sz="0" w:space="0" w:color="auto"/>
        <w:bottom w:val="none" w:sz="0" w:space="0" w:color="auto"/>
        <w:right w:val="none" w:sz="0" w:space="0" w:color="auto"/>
      </w:divBdr>
    </w:div>
    <w:div w:id="1316298905">
      <w:bodyDiv w:val="1"/>
      <w:marLeft w:val="0"/>
      <w:marRight w:val="0"/>
      <w:marTop w:val="0"/>
      <w:marBottom w:val="0"/>
      <w:divBdr>
        <w:top w:val="none" w:sz="0" w:space="0" w:color="auto"/>
        <w:left w:val="none" w:sz="0" w:space="0" w:color="auto"/>
        <w:bottom w:val="none" w:sz="0" w:space="0" w:color="auto"/>
        <w:right w:val="none" w:sz="0" w:space="0" w:color="auto"/>
      </w:divBdr>
    </w:div>
    <w:div w:id="1319186647">
      <w:bodyDiv w:val="1"/>
      <w:marLeft w:val="0"/>
      <w:marRight w:val="0"/>
      <w:marTop w:val="0"/>
      <w:marBottom w:val="0"/>
      <w:divBdr>
        <w:top w:val="none" w:sz="0" w:space="0" w:color="auto"/>
        <w:left w:val="none" w:sz="0" w:space="0" w:color="auto"/>
        <w:bottom w:val="none" w:sz="0" w:space="0" w:color="auto"/>
        <w:right w:val="none" w:sz="0" w:space="0" w:color="auto"/>
      </w:divBdr>
    </w:div>
    <w:div w:id="1320188775">
      <w:bodyDiv w:val="1"/>
      <w:marLeft w:val="0"/>
      <w:marRight w:val="0"/>
      <w:marTop w:val="0"/>
      <w:marBottom w:val="0"/>
      <w:divBdr>
        <w:top w:val="none" w:sz="0" w:space="0" w:color="auto"/>
        <w:left w:val="none" w:sz="0" w:space="0" w:color="auto"/>
        <w:bottom w:val="none" w:sz="0" w:space="0" w:color="auto"/>
        <w:right w:val="none" w:sz="0" w:space="0" w:color="auto"/>
      </w:divBdr>
    </w:div>
    <w:div w:id="1323586197">
      <w:bodyDiv w:val="1"/>
      <w:marLeft w:val="0"/>
      <w:marRight w:val="0"/>
      <w:marTop w:val="0"/>
      <w:marBottom w:val="0"/>
      <w:divBdr>
        <w:top w:val="none" w:sz="0" w:space="0" w:color="auto"/>
        <w:left w:val="none" w:sz="0" w:space="0" w:color="auto"/>
        <w:bottom w:val="none" w:sz="0" w:space="0" w:color="auto"/>
        <w:right w:val="none" w:sz="0" w:space="0" w:color="auto"/>
      </w:divBdr>
    </w:div>
    <w:div w:id="1325932932">
      <w:bodyDiv w:val="1"/>
      <w:marLeft w:val="0"/>
      <w:marRight w:val="0"/>
      <w:marTop w:val="0"/>
      <w:marBottom w:val="0"/>
      <w:divBdr>
        <w:top w:val="none" w:sz="0" w:space="0" w:color="auto"/>
        <w:left w:val="none" w:sz="0" w:space="0" w:color="auto"/>
        <w:bottom w:val="none" w:sz="0" w:space="0" w:color="auto"/>
        <w:right w:val="none" w:sz="0" w:space="0" w:color="auto"/>
      </w:divBdr>
    </w:div>
    <w:div w:id="1327318927">
      <w:bodyDiv w:val="1"/>
      <w:marLeft w:val="0"/>
      <w:marRight w:val="0"/>
      <w:marTop w:val="0"/>
      <w:marBottom w:val="0"/>
      <w:divBdr>
        <w:top w:val="none" w:sz="0" w:space="0" w:color="auto"/>
        <w:left w:val="none" w:sz="0" w:space="0" w:color="auto"/>
        <w:bottom w:val="none" w:sz="0" w:space="0" w:color="auto"/>
        <w:right w:val="none" w:sz="0" w:space="0" w:color="auto"/>
      </w:divBdr>
    </w:div>
    <w:div w:id="1342321034">
      <w:bodyDiv w:val="1"/>
      <w:marLeft w:val="0"/>
      <w:marRight w:val="0"/>
      <w:marTop w:val="0"/>
      <w:marBottom w:val="0"/>
      <w:divBdr>
        <w:top w:val="none" w:sz="0" w:space="0" w:color="auto"/>
        <w:left w:val="none" w:sz="0" w:space="0" w:color="auto"/>
        <w:bottom w:val="none" w:sz="0" w:space="0" w:color="auto"/>
        <w:right w:val="none" w:sz="0" w:space="0" w:color="auto"/>
      </w:divBdr>
    </w:div>
    <w:div w:id="1344241134">
      <w:bodyDiv w:val="1"/>
      <w:marLeft w:val="0"/>
      <w:marRight w:val="0"/>
      <w:marTop w:val="0"/>
      <w:marBottom w:val="0"/>
      <w:divBdr>
        <w:top w:val="none" w:sz="0" w:space="0" w:color="auto"/>
        <w:left w:val="none" w:sz="0" w:space="0" w:color="auto"/>
        <w:bottom w:val="none" w:sz="0" w:space="0" w:color="auto"/>
        <w:right w:val="none" w:sz="0" w:space="0" w:color="auto"/>
      </w:divBdr>
    </w:div>
    <w:div w:id="1348363807">
      <w:bodyDiv w:val="1"/>
      <w:marLeft w:val="0"/>
      <w:marRight w:val="0"/>
      <w:marTop w:val="0"/>
      <w:marBottom w:val="0"/>
      <w:divBdr>
        <w:top w:val="none" w:sz="0" w:space="0" w:color="auto"/>
        <w:left w:val="none" w:sz="0" w:space="0" w:color="auto"/>
        <w:bottom w:val="none" w:sz="0" w:space="0" w:color="auto"/>
        <w:right w:val="none" w:sz="0" w:space="0" w:color="auto"/>
      </w:divBdr>
    </w:div>
    <w:div w:id="1348369504">
      <w:bodyDiv w:val="1"/>
      <w:marLeft w:val="0"/>
      <w:marRight w:val="0"/>
      <w:marTop w:val="0"/>
      <w:marBottom w:val="0"/>
      <w:divBdr>
        <w:top w:val="none" w:sz="0" w:space="0" w:color="auto"/>
        <w:left w:val="none" w:sz="0" w:space="0" w:color="auto"/>
        <w:bottom w:val="none" w:sz="0" w:space="0" w:color="auto"/>
        <w:right w:val="none" w:sz="0" w:space="0" w:color="auto"/>
      </w:divBdr>
    </w:div>
    <w:div w:id="1350519998">
      <w:bodyDiv w:val="1"/>
      <w:marLeft w:val="0"/>
      <w:marRight w:val="0"/>
      <w:marTop w:val="0"/>
      <w:marBottom w:val="0"/>
      <w:divBdr>
        <w:top w:val="none" w:sz="0" w:space="0" w:color="auto"/>
        <w:left w:val="none" w:sz="0" w:space="0" w:color="auto"/>
        <w:bottom w:val="none" w:sz="0" w:space="0" w:color="auto"/>
        <w:right w:val="none" w:sz="0" w:space="0" w:color="auto"/>
      </w:divBdr>
    </w:div>
    <w:div w:id="1350988912">
      <w:bodyDiv w:val="1"/>
      <w:marLeft w:val="0"/>
      <w:marRight w:val="0"/>
      <w:marTop w:val="0"/>
      <w:marBottom w:val="0"/>
      <w:divBdr>
        <w:top w:val="none" w:sz="0" w:space="0" w:color="auto"/>
        <w:left w:val="none" w:sz="0" w:space="0" w:color="auto"/>
        <w:bottom w:val="none" w:sz="0" w:space="0" w:color="auto"/>
        <w:right w:val="none" w:sz="0" w:space="0" w:color="auto"/>
      </w:divBdr>
    </w:div>
    <w:div w:id="1356345022">
      <w:bodyDiv w:val="1"/>
      <w:marLeft w:val="0"/>
      <w:marRight w:val="0"/>
      <w:marTop w:val="0"/>
      <w:marBottom w:val="0"/>
      <w:divBdr>
        <w:top w:val="none" w:sz="0" w:space="0" w:color="auto"/>
        <w:left w:val="none" w:sz="0" w:space="0" w:color="auto"/>
        <w:bottom w:val="none" w:sz="0" w:space="0" w:color="auto"/>
        <w:right w:val="none" w:sz="0" w:space="0" w:color="auto"/>
      </w:divBdr>
    </w:div>
    <w:div w:id="1371344687">
      <w:bodyDiv w:val="1"/>
      <w:marLeft w:val="0"/>
      <w:marRight w:val="0"/>
      <w:marTop w:val="0"/>
      <w:marBottom w:val="0"/>
      <w:divBdr>
        <w:top w:val="none" w:sz="0" w:space="0" w:color="auto"/>
        <w:left w:val="none" w:sz="0" w:space="0" w:color="auto"/>
        <w:bottom w:val="none" w:sz="0" w:space="0" w:color="auto"/>
        <w:right w:val="none" w:sz="0" w:space="0" w:color="auto"/>
      </w:divBdr>
    </w:div>
    <w:div w:id="1371413700">
      <w:bodyDiv w:val="1"/>
      <w:marLeft w:val="0"/>
      <w:marRight w:val="0"/>
      <w:marTop w:val="0"/>
      <w:marBottom w:val="0"/>
      <w:divBdr>
        <w:top w:val="none" w:sz="0" w:space="0" w:color="auto"/>
        <w:left w:val="none" w:sz="0" w:space="0" w:color="auto"/>
        <w:bottom w:val="none" w:sz="0" w:space="0" w:color="auto"/>
        <w:right w:val="none" w:sz="0" w:space="0" w:color="auto"/>
      </w:divBdr>
    </w:div>
    <w:div w:id="1374841087">
      <w:bodyDiv w:val="1"/>
      <w:marLeft w:val="0"/>
      <w:marRight w:val="0"/>
      <w:marTop w:val="0"/>
      <w:marBottom w:val="0"/>
      <w:divBdr>
        <w:top w:val="none" w:sz="0" w:space="0" w:color="auto"/>
        <w:left w:val="none" w:sz="0" w:space="0" w:color="auto"/>
        <w:bottom w:val="none" w:sz="0" w:space="0" w:color="auto"/>
        <w:right w:val="none" w:sz="0" w:space="0" w:color="auto"/>
      </w:divBdr>
    </w:div>
    <w:div w:id="1383361765">
      <w:bodyDiv w:val="1"/>
      <w:marLeft w:val="0"/>
      <w:marRight w:val="0"/>
      <w:marTop w:val="0"/>
      <w:marBottom w:val="0"/>
      <w:divBdr>
        <w:top w:val="none" w:sz="0" w:space="0" w:color="auto"/>
        <w:left w:val="none" w:sz="0" w:space="0" w:color="auto"/>
        <w:bottom w:val="none" w:sz="0" w:space="0" w:color="auto"/>
        <w:right w:val="none" w:sz="0" w:space="0" w:color="auto"/>
      </w:divBdr>
    </w:div>
    <w:div w:id="1391881803">
      <w:bodyDiv w:val="1"/>
      <w:marLeft w:val="0"/>
      <w:marRight w:val="0"/>
      <w:marTop w:val="0"/>
      <w:marBottom w:val="0"/>
      <w:divBdr>
        <w:top w:val="none" w:sz="0" w:space="0" w:color="auto"/>
        <w:left w:val="none" w:sz="0" w:space="0" w:color="auto"/>
        <w:bottom w:val="none" w:sz="0" w:space="0" w:color="auto"/>
        <w:right w:val="none" w:sz="0" w:space="0" w:color="auto"/>
      </w:divBdr>
    </w:div>
    <w:div w:id="1406609790">
      <w:bodyDiv w:val="1"/>
      <w:marLeft w:val="0"/>
      <w:marRight w:val="0"/>
      <w:marTop w:val="0"/>
      <w:marBottom w:val="0"/>
      <w:divBdr>
        <w:top w:val="none" w:sz="0" w:space="0" w:color="auto"/>
        <w:left w:val="none" w:sz="0" w:space="0" w:color="auto"/>
        <w:bottom w:val="none" w:sz="0" w:space="0" w:color="auto"/>
        <w:right w:val="none" w:sz="0" w:space="0" w:color="auto"/>
      </w:divBdr>
    </w:div>
    <w:div w:id="1410420155">
      <w:bodyDiv w:val="1"/>
      <w:marLeft w:val="0"/>
      <w:marRight w:val="0"/>
      <w:marTop w:val="0"/>
      <w:marBottom w:val="0"/>
      <w:divBdr>
        <w:top w:val="none" w:sz="0" w:space="0" w:color="auto"/>
        <w:left w:val="none" w:sz="0" w:space="0" w:color="auto"/>
        <w:bottom w:val="none" w:sz="0" w:space="0" w:color="auto"/>
        <w:right w:val="none" w:sz="0" w:space="0" w:color="auto"/>
      </w:divBdr>
    </w:div>
    <w:div w:id="1414473641">
      <w:bodyDiv w:val="1"/>
      <w:marLeft w:val="0"/>
      <w:marRight w:val="0"/>
      <w:marTop w:val="0"/>
      <w:marBottom w:val="0"/>
      <w:divBdr>
        <w:top w:val="none" w:sz="0" w:space="0" w:color="auto"/>
        <w:left w:val="none" w:sz="0" w:space="0" w:color="auto"/>
        <w:bottom w:val="none" w:sz="0" w:space="0" w:color="auto"/>
        <w:right w:val="none" w:sz="0" w:space="0" w:color="auto"/>
      </w:divBdr>
    </w:div>
    <w:div w:id="1415006654">
      <w:bodyDiv w:val="1"/>
      <w:marLeft w:val="0"/>
      <w:marRight w:val="0"/>
      <w:marTop w:val="0"/>
      <w:marBottom w:val="0"/>
      <w:divBdr>
        <w:top w:val="none" w:sz="0" w:space="0" w:color="auto"/>
        <w:left w:val="none" w:sz="0" w:space="0" w:color="auto"/>
        <w:bottom w:val="none" w:sz="0" w:space="0" w:color="auto"/>
        <w:right w:val="none" w:sz="0" w:space="0" w:color="auto"/>
      </w:divBdr>
    </w:div>
    <w:div w:id="1415932428">
      <w:bodyDiv w:val="1"/>
      <w:marLeft w:val="0"/>
      <w:marRight w:val="0"/>
      <w:marTop w:val="0"/>
      <w:marBottom w:val="0"/>
      <w:divBdr>
        <w:top w:val="none" w:sz="0" w:space="0" w:color="auto"/>
        <w:left w:val="none" w:sz="0" w:space="0" w:color="auto"/>
        <w:bottom w:val="none" w:sz="0" w:space="0" w:color="auto"/>
        <w:right w:val="none" w:sz="0" w:space="0" w:color="auto"/>
      </w:divBdr>
    </w:div>
    <w:div w:id="1435855426">
      <w:bodyDiv w:val="1"/>
      <w:marLeft w:val="0"/>
      <w:marRight w:val="0"/>
      <w:marTop w:val="0"/>
      <w:marBottom w:val="0"/>
      <w:divBdr>
        <w:top w:val="none" w:sz="0" w:space="0" w:color="auto"/>
        <w:left w:val="none" w:sz="0" w:space="0" w:color="auto"/>
        <w:bottom w:val="none" w:sz="0" w:space="0" w:color="auto"/>
        <w:right w:val="none" w:sz="0" w:space="0" w:color="auto"/>
      </w:divBdr>
    </w:div>
    <w:div w:id="1439372253">
      <w:bodyDiv w:val="1"/>
      <w:marLeft w:val="0"/>
      <w:marRight w:val="0"/>
      <w:marTop w:val="0"/>
      <w:marBottom w:val="0"/>
      <w:divBdr>
        <w:top w:val="none" w:sz="0" w:space="0" w:color="auto"/>
        <w:left w:val="none" w:sz="0" w:space="0" w:color="auto"/>
        <w:bottom w:val="none" w:sz="0" w:space="0" w:color="auto"/>
        <w:right w:val="none" w:sz="0" w:space="0" w:color="auto"/>
      </w:divBdr>
    </w:div>
    <w:div w:id="1444569112">
      <w:bodyDiv w:val="1"/>
      <w:marLeft w:val="0"/>
      <w:marRight w:val="0"/>
      <w:marTop w:val="0"/>
      <w:marBottom w:val="0"/>
      <w:divBdr>
        <w:top w:val="none" w:sz="0" w:space="0" w:color="auto"/>
        <w:left w:val="none" w:sz="0" w:space="0" w:color="auto"/>
        <w:bottom w:val="none" w:sz="0" w:space="0" w:color="auto"/>
        <w:right w:val="none" w:sz="0" w:space="0" w:color="auto"/>
      </w:divBdr>
    </w:div>
    <w:div w:id="1445617166">
      <w:bodyDiv w:val="1"/>
      <w:marLeft w:val="0"/>
      <w:marRight w:val="0"/>
      <w:marTop w:val="0"/>
      <w:marBottom w:val="0"/>
      <w:divBdr>
        <w:top w:val="none" w:sz="0" w:space="0" w:color="auto"/>
        <w:left w:val="none" w:sz="0" w:space="0" w:color="auto"/>
        <w:bottom w:val="none" w:sz="0" w:space="0" w:color="auto"/>
        <w:right w:val="none" w:sz="0" w:space="0" w:color="auto"/>
      </w:divBdr>
    </w:div>
    <w:div w:id="1452091098">
      <w:bodyDiv w:val="1"/>
      <w:marLeft w:val="0"/>
      <w:marRight w:val="0"/>
      <w:marTop w:val="0"/>
      <w:marBottom w:val="0"/>
      <w:divBdr>
        <w:top w:val="none" w:sz="0" w:space="0" w:color="auto"/>
        <w:left w:val="none" w:sz="0" w:space="0" w:color="auto"/>
        <w:bottom w:val="none" w:sz="0" w:space="0" w:color="auto"/>
        <w:right w:val="none" w:sz="0" w:space="0" w:color="auto"/>
      </w:divBdr>
      <w:divsChild>
        <w:div w:id="736395242">
          <w:marLeft w:val="0"/>
          <w:marRight w:val="0"/>
          <w:marTop w:val="0"/>
          <w:marBottom w:val="0"/>
          <w:divBdr>
            <w:top w:val="none" w:sz="0" w:space="0" w:color="auto"/>
            <w:left w:val="none" w:sz="0" w:space="0" w:color="auto"/>
            <w:bottom w:val="none" w:sz="0" w:space="0" w:color="auto"/>
            <w:right w:val="none" w:sz="0" w:space="0" w:color="auto"/>
          </w:divBdr>
        </w:div>
      </w:divsChild>
    </w:div>
    <w:div w:id="1452548881">
      <w:bodyDiv w:val="1"/>
      <w:marLeft w:val="0"/>
      <w:marRight w:val="0"/>
      <w:marTop w:val="0"/>
      <w:marBottom w:val="0"/>
      <w:divBdr>
        <w:top w:val="none" w:sz="0" w:space="0" w:color="auto"/>
        <w:left w:val="none" w:sz="0" w:space="0" w:color="auto"/>
        <w:bottom w:val="none" w:sz="0" w:space="0" w:color="auto"/>
        <w:right w:val="none" w:sz="0" w:space="0" w:color="auto"/>
      </w:divBdr>
    </w:div>
    <w:div w:id="1455826807">
      <w:bodyDiv w:val="1"/>
      <w:marLeft w:val="0"/>
      <w:marRight w:val="0"/>
      <w:marTop w:val="0"/>
      <w:marBottom w:val="0"/>
      <w:divBdr>
        <w:top w:val="none" w:sz="0" w:space="0" w:color="auto"/>
        <w:left w:val="none" w:sz="0" w:space="0" w:color="auto"/>
        <w:bottom w:val="none" w:sz="0" w:space="0" w:color="auto"/>
        <w:right w:val="none" w:sz="0" w:space="0" w:color="auto"/>
      </w:divBdr>
    </w:div>
    <w:div w:id="1457022579">
      <w:bodyDiv w:val="1"/>
      <w:marLeft w:val="0"/>
      <w:marRight w:val="0"/>
      <w:marTop w:val="0"/>
      <w:marBottom w:val="0"/>
      <w:divBdr>
        <w:top w:val="none" w:sz="0" w:space="0" w:color="auto"/>
        <w:left w:val="none" w:sz="0" w:space="0" w:color="auto"/>
        <w:bottom w:val="none" w:sz="0" w:space="0" w:color="auto"/>
        <w:right w:val="none" w:sz="0" w:space="0" w:color="auto"/>
      </w:divBdr>
    </w:div>
    <w:div w:id="1457486566">
      <w:bodyDiv w:val="1"/>
      <w:marLeft w:val="0"/>
      <w:marRight w:val="0"/>
      <w:marTop w:val="0"/>
      <w:marBottom w:val="0"/>
      <w:divBdr>
        <w:top w:val="none" w:sz="0" w:space="0" w:color="auto"/>
        <w:left w:val="none" w:sz="0" w:space="0" w:color="auto"/>
        <w:bottom w:val="none" w:sz="0" w:space="0" w:color="auto"/>
        <w:right w:val="none" w:sz="0" w:space="0" w:color="auto"/>
      </w:divBdr>
    </w:div>
    <w:div w:id="1458330231">
      <w:bodyDiv w:val="1"/>
      <w:marLeft w:val="0"/>
      <w:marRight w:val="0"/>
      <w:marTop w:val="0"/>
      <w:marBottom w:val="0"/>
      <w:divBdr>
        <w:top w:val="none" w:sz="0" w:space="0" w:color="auto"/>
        <w:left w:val="none" w:sz="0" w:space="0" w:color="auto"/>
        <w:bottom w:val="none" w:sz="0" w:space="0" w:color="auto"/>
        <w:right w:val="none" w:sz="0" w:space="0" w:color="auto"/>
      </w:divBdr>
    </w:div>
    <w:div w:id="1461993892">
      <w:bodyDiv w:val="1"/>
      <w:marLeft w:val="0"/>
      <w:marRight w:val="0"/>
      <w:marTop w:val="0"/>
      <w:marBottom w:val="0"/>
      <w:divBdr>
        <w:top w:val="none" w:sz="0" w:space="0" w:color="auto"/>
        <w:left w:val="none" w:sz="0" w:space="0" w:color="auto"/>
        <w:bottom w:val="none" w:sz="0" w:space="0" w:color="auto"/>
        <w:right w:val="none" w:sz="0" w:space="0" w:color="auto"/>
      </w:divBdr>
    </w:div>
    <w:div w:id="1467770761">
      <w:bodyDiv w:val="1"/>
      <w:marLeft w:val="0"/>
      <w:marRight w:val="0"/>
      <w:marTop w:val="0"/>
      <w:marBottom w:val="0"/>
      <w:divBdr>
        <w:top w:val="none" w:sz="0" w:space="0" w:color="auto"/>
        <w:left w:val="none" w:sz="0" w:space="0" w:color="auto"/>
        <w:bottom w:val="none" w:sz="0" w:space="0" w:color="auto"/>
        <w:right w:val="none" w:sz="0" w:space="0" w:color="auto"/>
      </w:divBdr>
    </w:div>
    <w:div w:id="1468012453">
      <w:bodyDiv w:val="1"/>
      <w:marLeft w:val="0"/>
      <w:marRight w:val="0"/>
      <w:marTop w:val="0"/>
      <w:marBottom w:val="0"/>
      <w:divBdr>
        <w:top w:val="none" w:sz="0" w:space="0" w:color="auto"/>
        <w:left w:val="none" w:sz="0" w:space="0" w:color="auto"/>
        <w:bottom w:val="none" w:sz="0" w:space="0" w:color="auto"/>
        <w:right w:val="none" w:sz="0" w:space="0" w:color="auto"/>
      </w:divBdr>
    </w:div>
    <w:div w:id="1471441815">
      <w:bodyDiv w:val="1"/>
      <w:marLeft w:val="0"/>
      <w:marRight w:val="0"/>
      <w:marTop w:val="0"/>
      <w:marBottom w:val="0"/>
      <w:divBdr>
        <w:top w:val="none" w:sz="0" w:space="0" w:color="auto"/>
        <w:left w:val="none" w:sz="0" w:space="0" w:color="auto"/>
        <w:bottom w:val="none" w:sz="0" w:space="0" w:color="auto"/>
        <w:right w:val="none" w:sz="0" w:space="0" w:color="auto"/>
      </w:divBdr>
    </w:div>
    <w:div w:id="1481338371">
      <w:bodyDiv w:val="1"/>
      <w:marLeft w:val="0"/>
      <w:marRight w:val="0"/>
      <w:marTop w:val="0"/>
      <w:marBottom w:val="0"/>
      <w:divBdr>
        <w:top w:val="none" w:sz="0" w:space="0" w:color="auto"/>
        <w:left w:val="none" w:sz="0" w:space="0" w:color="auto"/>
        <w:bottom w:val="none" w:sz="0" w:space="0" w:color="auto"/>
        <w:right w:val="none" w:sz="0" w:space="0" w:color="auto"/>
      </w:divBdr>
    </w:div>
    <w:div w:id="1485581606">
      <w:bodyDiv w:val="1"/>
      <w:marLeft w:val="0"/>
      <w:marRight w:val="0"/>
      <w:marTop w:val="0"/>
      <w:marBottom w:val="0"/>
      <w:divBdr>
        <w:top w:val="none" w:sz="0" w:space="0" w:color="auto"/>
        <w:left w:val="none" w:sz="0" w:space="0" w:color="auto"/>
        <w:bottom w:val="none" w:sz="0" w:space="0" w:color="auto"/>
        <w:right w:val="none" w:sz="0" w:space="0" w:color="auto"/>
      </w:divBdr>
    </w:div>
    <w:div w:id="1487819274">
      <w:bodyDiv w:val="1"/>
      <w:marLeft w:val="0"/>
      <w:marRight w:val="0"/>
      <w:marTop w:val="0"/>
      <w:marBottom w:val="0"/>
      <w:divBdr>
        <w:top w:val="none" w:sz="0" w:space="0" w:color="auto"/>
        <w:left w:val="none" w:sz="0" w:space="0" w:color="auto"/>
        <w:bottom w:val="none" w:sz="0" w:space="0" w:color="auto"/>
        <w:right w:val="none" w:sz="0" w:space="0" w:color="auto"/>
      </w:divBdr>
    </w:div>
    <w:div w:id="1488547921">
      <w:bodyDiv w:val="1"/>
      <w:marLeft w:val="0"/>
      <w:marRight w:val="0"/>
      <w:marTop w:val="0"/>
      <w:marBottom w:val="0"/>
      <w:divBdr>
        <w:top w:val="none" w:sz="0" w:space="0" w:color="auto"/>
        <w:left w:val="none" w:sz="0" w:space="0" w:color="auto"/>
        <w:bottom w:val="none" w:sz="0" w:space="0" w:color="auto"/>
        <w:right w:val="none" w:sz="0" w:space="0" w:color="auto"/>
      </w:divBdr>
    </w:div>
    <w:div w:id="1490636362">
      <w:bodyDiv w:val="1"/>
      <w:marLeft w:val="0"/>
      <w:marRight w:val="0"/>
      <w:marTop w:val="0"/>
      <w:marBottom w:val="0"/>
      <w:divBdr>
        <w:top w:val="none" w:sz="0" w:space="0" w:color="auto"/>
        <w:left w:val="none" w:sz="0" w:space="0" w:color="auto"/>
        <w:bottom w:val="none" w:sz="0" w:space="0" w:color="auto"/>
        <w:right w:val="none" w:sz="0" w:space="0" w:color="auto"/>
      </w:divBdr>
    </w:div>
    <w:div w:id="1495800083">
      <w:bodyDiv w:val="1"/>
      <w:marLeft w:val="0"/>
      <w:marRight w:val="0"/>
      <w:marTop w:val="0"/>
      <w:marBottom w:val="0"/>
      <w:divBdr>
        <w:top w:val="none" w:sz="0" w:space="0" w:color="auto"/>
        <w:left w:val="none" w:sz="0" w:space="0" w:color="auto"/>
        <w:bottom w:val="none" w:sz="0" w:space="0" w:color="auto"/>
        <w:right w:val="none" w:sz="0" w:space="0" w:color="auto"/>
      </w:divBdr>
    </w:div>
    <w:div w:id="1497695783">
      <w:bodyDiv w:val="1"/>
      <w:marLeft w:val="0"/>
      <w:marRight w:val="0"/>
      <w:marTop w:val="0"/>
      <w:marBottom w:val="0"/>
      <w:divBdr>
        <w:top w:val="none" w:sz="0" w:space="0" w:color="auto"/>
        <w:left w:val="none" w:sz="0" w:space="0" w:color="auto"/>
        <w:bottom w:val="none" w:sz="0" w:space="0" w:color="auto"/>
        <w:right w:val="none" w:sz="0" w:space="0" w:color="auto"/>
      </w:divBdr>
    </w:div>
    <w:div w:id="1502086306">
      <w:bodyDiv w:val="1"/>
      <w:marLeft w:val="0"/>
      <w:marRight w:val="0"/>
      <w:marTop w:val="0"/>
      <w:marBottom w:val="0"/>
      <w:divBdr>
        <w:top w:val="none" w:sz="0" w:space="0" w:color="auto"/>
        <w:left w:val="none" w:sz="0" w:space="0" w:color="auto"/>
        <w:bottom w:val="none" w:sz="0" w:space="0" w:color="auto"/>
        <w:right w:val="none" w:sz="0" w:space="0" w:color="auto"/>
      </w:divBdr>
    </w:div>
    <w:div w:id="1503275901">
      <w:bodyDiv w:val="1"/>
      <w:marLeft w:val="0"/>
      <w:marRight w:val="0"/>
      <w:marTop w:val="0"/>
      <w:marBottom w:val="0"/>
      <w:divBdr>
        <w:top w:val="none" w:sz="0" w:space="0" w:color="auto"/>
        <w:left w:val="none" w:sz="0" w:space="0" w:color="auto"/>
        <w:bottom w:val="none" w:sz="0" w:space="0" w:color="auto"/>
        <w:right w:val="none" w:sz="0" w:space="0" w:color="auto"/>
      </w:divBdr>
    </w:div>
    <w:div w:id="1507403223">
      <w:bodyDiv w:val="1"/>
      <w:marLeft w:val="0"/>
      <w:marRight w:val="0"/>
      <w:marTop w:val="0"/>
      <w:marBottom w:val="0"/>
      <w:divBdr>
        <w:top w:val="none" w:sz="0" w:space="0" w:color="auto"/>
        <w:left w:val="none" w:sz="0" w:space="0" w:color="auto"/>
        <w:bottom w:val="none" w:sz="0" w:space="0" w:color="auto"/>
        <w:right w:val="none" w:sz="0" w:space="0" w:color="auto"/>
      </w:divBdr>
    </w:div>
    <w:div w:id="1507593401">
      <w:bodyDiv w:val="1"/>
      <w:marLeft w:val="0"/>
      <w:marRight w:val="0"/>
      <w:marTop w:val="0"/>
      <w:marBottom w:val="0"/>
      <w:divBdr>
        <w:top w:val="none" w:sz="0" w:space="0" w:color="auto"/>
        <w:left w:val="none" w:sz="0" w:space="0" w:color="auto"/>
        <w:bottom w:val="none" w:sz="0" w:space="0" w:color="auto"/>
        <w:right w:val="none" w:sz="0" w:space="0" w:color="auto"/>
      </w:divBdr>
    </w:div>
    <w:div w:id="1515223243">
      <w:bodyDiv w:val="1"/>
      <w:marLeft w:val="0"/>
      <w:marRight w:val="0"/>
      <w:marTop w:val="0"/>
      <w:marBottom w:val="0"/>
      <w:divBdr>
        <w:top w:val="none" w:sz="0" w:space="0" w:color="auto"/>
        <w:left w:val="none" w:sz="0" w:space="0" w:color="auto"/>
        <w:bottom w:val="none" w:sz="0" w:space="0" w:color="auto"/>
        <w:right w:val="none" w:sz="0" w:space="0" w:color="auto"/>
      </w:divBdr>
    </w:div>
    <w:div w:id="1518350952">
      <w:bodyDiv w:val="1"/>
      <w:marLeft w:val="0"/>
      <w:marRight w:val="0"/>
      <w:marTop w:val="0"/>
      <w:marBottom w:val="0"/>
      <w:divBdr>
        <w:top w:val="none" w:sz="0" w:space="0" w:color="auto"/>
        <w:left w:val="none" w:sz="0" w:space="0" w:color="auto"/>
        <w:bottom w:val="none" w:sz="0" w:space="0" w:color="auto"/>
        <w:right w:val="none" w:sz="0" w:space="0" w:color="auto"/>
      </w:divBdr>
    </w:div>
    <w:div w:id="1521897140">
      <w:bodyDiv w:val="1"/>
      <w:marLeft w:val="0"/>
      <w:marRight w:val="0"/>
      <w:marTop w:val="0"/>
      <w:marBottom w:val="0"/>
      <w:divBdr>
        <w:top w:val="none" w:sz="0" w:space="0" w:color="auto"/>
        <w:left w:val="none" w:sz="0" w:space="0" w:color="auto"/>
        <w:bottom w:val="none" w:sz="0" w:space="0" w:color="auto"/>
        <w:right w:val="none" w:sz="0" w:space="0" w:color="auto"/>
      </w:divBdr>
    </w:div>
    <w:div w:id="1527213866">
      <w:bodyDiv w:val="1"/>
      <w:marLeft w:val="0"/>
      <w:marRight w:val="0"/>
      <w:marTop w:val="0"/>
      <w:marBottom w:val="0"/>
      <w:divBdr>
        <w:top w:val="none" w:sz="0" w:space="0" w:color="auto"/>
        <w:left w:val="none" w:sz="0" w:space="0" w:color="auto"/>
        <w:bottom w:val="none" w:sz="0" w:space="0" w:color="auto"/>
        <w:right w:val="none" w:sz="0" w:space="0" w:color="auto"/>
      </w:divBdr>
    </w:div>
    <w:div w:id="1527674916">
      <w:bodyDiv w:val="1"/>
      <w:marLeft w:val="0"/>
      <w:marRight w:val="0"/>
      <w:marTop w:val="0"/>
      <w:marBottom w:val="0"/>
      <w:divBdr>
        <w:top w:val="none" w:sz="0" w:space="0" w:color="auto"/>
        <w:left w:val="none" w:sz="0" w:space="0" w:color="auto"/>
        <w:bottom w:val="none" w:sz="0" w:space="0" w:color="auto"/>
        <w:right w:val="none" w:sz="0" w:space="0" w:color="auto"/>
      </w:divBdr>
    </w:div>
    <w:div w:id="1539389550">
      <w:bodyDiv w:val="1"/>
      <w:marLeft w:val="0"/>
      <w:marRight w:val="0"/>
      <w:marTop w:val="0"/>
      <w:marBottom w:val="0"/>
      <w:divBdr>
        <w:top w:val="none" w:sz="0" w:space="0" w:color="auto"/>
        <w:left w:val="none" w:sz="0" w:space="0" w:color="auto"/>
        <w:bottom w:val="none" w:sz="0" w:space="0" w:color="auto"/>
        <w:right w:val="none" w:sz="0" w:space="0" w:color="auto"/>
      </w:divBdr>
    </w:div>
    <w:div w:id="1542520881">
      <w:bodyDiv w:val="1"/>
      <w:marLeft w:val="0"/>
      <w:marRight w:val="0"/>
      <w:marTop w:val="0"/>
      <w:marBottom w:val="0"/>
      <w:divBdr>
        <w:top w:val="none" w:sz="0" w:space="0" w:color="auto"/>
        <w:left w:val="none" w:sz="0" w:space="0" w:color="auto"/>
        <w:bottom w:val="none" w:sz="0" w:space="0" w:color="auto"/>
        <w:right w:val="none" w:sz="0" w:space="0" w:color="auto"/>
      </w:divBdr>
    </w:div>
    <w:div w:id="1542547881">
      <w:bodyDiv w:val="1"/>
      <w:marLeft w:val="0"/>
      <w:marRight w:val="0"/>
      <w:marTop w:val="0"/>
      <w:marBottom w:val="0"/>
      <w:divBdr>
        <w:top w:val="none" w:sz="0" w:space="0" w:color="auto"/>
        <w:left w:val="none" w:sz="0" w:space="0" w:color="auto"/>
        <w:bottom w:val="none" w:sz="0" w:space="0" w:color="auto"/>
        <w:right w:val="none" w:sz="0" w:space="0" w:color="auto"/>
      </w:divBdr>
    </w:div>
    <w:div w:id="1542935928">
      <w:bodyDiv w:val="1"/>
      <w:marLeft w:val="0"/>
      <w:marRight w:val="0"/>
      <w:marTop w:val="0"/>
      <w:marBottom w:val="0"/>
      <w:divBdr>
        <w:top w:val="none" w:sz="0" w:space="0" w:color="auto"/>
        <w:left w:val="none" w:sz="0" w:space="0" w:color="auto"/>
        <w:bottom w:val="none" w:sz="0" w:space="0" w:color="auto"/>
        <w:right w:val="none" w:sz="0" w:space="0" w:color="auto"/>
      </w:divBdr>
    </w:div>
    <w:div w:id="1547177164">
      <w:bodyDiv w:val="1"/>
      <w:marLeft w:val="0"/>
      <w:marRight w:val="0"/>
      <w:marTop w:val="0"/>
      <w:marBottom w:val="0"/>
      <w:divBdr>
        <w:top w:val="none" w:sz="0" w:space="0" w:color="auto"/>
        <w:left w:val="none" w:sz="0" w:space="0" w:color="auto"/>
        <w:bottom w:val="none" w:sz="0" w:space="0" w:color="auto"/>
        <w:right w:val="none" w:sz="0" w:space="0" w:color="auto"/>
      </w:divBdr>
    </w:div>
    <w:div w:id="1547376787">
      <w:bodyDiv w:val="1"/>
      <w:marLeft w:val="0"/>
      <w:marRight w:val="0"/>
      <w:marTop w:val="0"/>
      <w:marBottom w:val="0"/>
      <w:divBdr>
        <w:top w:val="none" w:sz="0" w:space="0" w:color="auto"/>
        <w:left w:val="none" w:sz="0" w:space="0" w:color="auto"/>
        <w:bottom w:val="none" w:sz="0" w:space="0" w:color="auto"/>
        <w:right w:val="none" w:sz="0" w:space="0" w:color="auto"/>
      </w:divBdr>
    </w:div>
    <w:div w:id="1551916237">
      <w:bodyDiv w:val="1"/>
      <w:marLeft w:val="0"/>
      <w:marRight w:val="0"/>
      <w:marTop w:val="0"/>
      <w:marBottom w:val="0"/>
      <w:divBdr>
        <w:top w:val="none" w:sz="0" w:space="0" w:color="auto"/>
        <w:left w:val="none" w:sz="0" w:space="0" w:color="auto"/>
        <w:bottom w:val="none" w:sz="0" w:space="0" w:color="auto"/>
        <w:right w:val="none" w:sz="0" w:space="0" w:color="auto"/>
      </w:divBdr>
    </w:div>
    <w:div w:id="1555117661">
      <w:bodyDiv w:val="1"/>
      <w:marLeft w:val="0"/>
      <w:marRight w:val="0"/>
      <w:marTop w:val="0"/>
      <w:marBottom w:val="0"/>
      <w:divBdr>
        <w:top w:val="none" w:sz="0" w:space="0" w:color="auto"/>
        <w:left w:val="none" w:sz="0" w:space="0" w:color="auto"/>
        <w:bottom w:val="none" w:sz="0" w:space="0" w:color="auto"/>
        <w:right w:val="none" w:sz="0" w:space="0" w:color="auto"/>
      </w:divBdr>
    </w:div>
    <w:div w:id="1555315718">
      <w:bodyDiv w:val="1"/>
      <w:marLeft w:val="0"/>
      <w:marRight w:val="0"/>
      <w:marTop w:val="0"/>
      <w:marBottom w:val="0"/>
      <w:divBdr>
        <w:top w:val="none" w:sz="0" w:space="0" w:color="auto"/>
        <w:left w:val="none" w:sz="0" w:space="0" w:color="auto"/>
        <w:bottom w:val="none" w:sz="0" w:space="0" w:color="auto"/>
        <w:right w:val="none" w:sz="0" w:space="0" w:color="auto"/>
      </w:divBdr>
    </w:div>
    <w:div w:id="1556311868">
      <w:bodyDiv w:val="1"/>
      <w:marLeft w:val="0"/>
      <w:marRight w:val="0"/>
      <w:marTop w:val="0"/>
      <w:marBottom w:val="0"/>
      <w:divBdr>
        <w:top w:val="none" w:sz="0" w:space="0" w:color="auto"/>
        <w:left w:val="none" w:sz="0" w:space="0" w:color="auto"/>
        <w:bottom w:val="none" w:sz="0" w:space="0" w:color="auto"/>
        <w:right w:val="none" w:sz="0" w:space="0" w:color="auto"/>
      </w:divBdr>
    </w:div>
    <w:div w:id="1560941667">
      <w:bodyDiv w:val="1"/>
      <w:marLeft w:val="0"/>
      <w:marRight w:val="0"/>
      <w:marTop w:val="0"/>
      <w:marBottom w:val="0"/>
      <w:divBdr>
        <w:top w:val="none" w:sz="0" w:space="0" w:color="auto"/>
        <w:left w:val="none" w:sz="0" w:space="0" w:color="auto"/>
        <w:bottom w:val="none" w:sz="0" w:space="0" w:color="auto"/>
        <w:right w:val="none" w:sz="0" w:space="0" w:color="auto"/>
      </w:divBdr>
    </w:div>
    <w:div w:id="1575093211">
      <w:bodyDiv w:val="1"/>
      <w:marLeft w:val="0"/>
      <w:marRight w:val="0"/>
      <w:marTop w:val="0"/>
      <w:marBottom w:val="0"/>
      <w:divBdr>
        <w:top w:val="none" w:sz="0" w:space="0" w:color="auto"/>
        <w:left w:val="none" w:sz="0" w:space="0" w:color="auto"/>
        <w:bottom w:val="none" w:sz="0" w:space="0" w:color="auto"/>
        <w:right w:val="none" w:sz="0" w:space="0" w:color="auto"/>
      </w:divBdr>
    </w:div>
    <w:div w:id="1576427652">
      <w:bodyDiv w:val="1"/>
      <w:marLeft w:val="0"/>
      <w:marRight w:val="0"/>
      <w:marTop w:val="0"/>
      <w:marBottom w:val="0"/>
      <w:divBdr>
        <w:top w:val="none" w:sz="0" w:space="0" w:color="auto"/>
        <w:left w:val="none" w:sz="0" w:space="0" w:color="auto"/>
        <w:bottom w:val="none" w:sz="0" w:space="0" w:color="auto"/>
        <w:right w:val="none" w:sz="0" w:space="0" w:color="auto"/>
      </w:divBdr>
    </w:div>
    <w:div w:id="1584535087">
      <w:bodyDiv w:val="1"/>
      <w:marLeft w:val="0"/>
      <w:marRight w:val="0"/>
      <w:marTop w:val="0"/>
      <w:marBottom w:val="0"/>
      <w:divBdr>
        <w:top w:val="none" w:sz="0" w:space="0" w:color="auto"/>
        <w:left w:val="none" w:sz="0" w:space="0" w:color="auto"/>
        <w:bottom w:val="none" w:sz="0" w:space="0" w:color="auto"/>
        <w:right w:val="none" w:sz="0" w:space="0" w:color="auto"/>
      </w:divBdr>
    </w:div>
    <w:div w:id="1584996379">
      <w:bodyDiv w:val="1"/>
      <w:marLeft w:val="0"/>
      <w:marRight w:val="0"/>
      <w:marTop w:val="0"/>
      <w:marBottom w:val="0"/>
      <w:divBdr>
        <w:top w:val="none" w:sz="0" w:space="0" w:color="auto"/>
        <w:left w:val="none" w:sz="0" w:space="0" w:color="auto"/>
        <w:bottom w:val="none" w:sz="0" w:space="0" w:color="auto"/>
        <w:right w:val="none" w:sz="0" w:space="0" w:color="auto"/>
      </w:divBdr>
    </w:div>
    <w:div w:id="1591501481">
      <w:bodyDiv w:val="1"/>
      <w:marLeft w:val="0"/>
      <w:marRight w:val="0"/>
      <w:marTop w:val="0"/>
      <w:marBottom w:val="0"/>
      <w:divBdr>
        <w:top w:val="none" w:sz="0" w:space="0" w:color="auto"/>
        <w:left w:val="none" w:sz="0" w:space="0" w:color="auto"/>
        <w:bottom w:val="none" w:sz="0" w:space="0" w:color="auto"/>
        <w:right w:val="none" w:sz="0" w:space="0" w:color="auto"/>
      </w:divBdr>
    </w:div>
    <w:div w:id="1592271595">
      <w:bodyDiv w:val="1"/>
      <w:marLeft w:val="0"/>
      <w:marRight w:val="0"/>
      <w:marTop w:val="0"/>
      <w:marBottom w:val="0"/>
      <w:divBdr>
        <w:top w:val="none" w:sz="0" w:space="0" w:color="auto"/>
        <w:left w:val="none" w:sz="0" w:space="0" w:color="auto"/>
        <w:bottom w:val="none" w:sz="0" w:space="0" w:color="auto"/>
        <w:right w:val="none" w:sz="0" w:space="0" w:color="auto"/>
      </w:divBdr>
    </w:div>
    <w:div w:id="1593397801">
      <w:bodyDiv w:val="1"/>
      <w:marLeft w:val="0"/>
      <w:marRight w:val="0"/>
      <w:marTop w:val="0"/>
      <w:marBottom w:val="0"/>
      <w:divBdr>
        <w:top w:val="none" w:sz="0" w:space="0" w:color="auto"/>
        <w:left w:val="none" w:sz="0" w:space="0" w:color="auto"/>
        <w:bottom w:val="none" w:sz="0" w:space="0" w:color="auto"/>
        <w:right w:val="none" w:sz="0" w:space="0" w:color="auto"/>
      </w:divBdr>
    </w:div>
    <w:div w:id="1599630455">
      <w:bodyDiv w:val="1"/>
      <w:marLeft w:val="0"/>
      <w:marRight w:val="0"/>
      <w:marTop w:val="0"/>
      <w:marBottom w:val="0"/>
      <w:divBdr>
        <w:top w:val="none" w:sz="0" w:space="0" w:color="auto"/>
        <w:left w:val="none" w:sz="0" w:space="0" w:color="auto"/>
        <w:bottom w:val="none" w:sz="0" w:space="0" w:color="auto"/>
        <w:right w:val="none" w:sz="0" w:space="0" w:color="auto"/>
      </w:divBdr>
    </w:div>
    <w:div w:id="1603567095">
      <w:bodyDiv w:val="1"/>
      <w:marLeft w:val="0"/>
      <w:marRight w:val="0"/>
      <w:marTop w:val="0"/>
      <w:marBottom w:val="0"/>
      <w:divBdr>
        <w:top w:val="none" w:sz="0" w:space="0" w:color="auto"/>
        <w:left w:val="none" w:sz="0" w:space="0" w:color="auto"/>
        <w:bottom w:val="none" w:sz="0" w:space="0" w:color="auto"/>
        <w:right w:val="none" w:sz="0" w:space="0" w:color="auto"/>
      </w:divBdr>
    </w:div>
    <w:div w:id="1605847294">
      <w:bodyDiv w:val="1"/>
      <w:marLeft w:val="0"/>
      <w:marRight w:val="0"/>
      <w:marTop w:val="0"/>
      <w:marBottom w:val="0"/>
      <w:divBdr>
        <w:top w:val="none" w:sz="0" w:space="0" w:color="auto"/>
        <w:left w:val="none" w:sz="0" w:space="0" w:color="auto"/>
        <w:bottom w:val="none" w:sz="0" w:space="0" w:color="auto"/>
        <w:right w:val="none" w:sz="0" w:space="0" w:color="auto"/>
      </w:divBdr>
    </w:div>
    <w:div w:id="1609003371">
      <w:bodyDiv w:val="1"/>
      <w:marLeft w:val="0"/>
      <w:marRight w:val="0"/>
      <w:marTop w:val="0"/>
      <w:marBottom w:val="0"/>
      <w:divBdr>
        <w:top w:val="none" w:sz="0" w:space="0" w:color="auto"/>
        <w:left w:val="none" w:sz="0" w:space="0" w:color="auto"/>
        <w:bottom w:val="none" w:sz="0" w:space="0" w:color="auto"/>
        <w:right w:val="none" w:sz="0" w:space="0" w:color="auto"/>
      </w:divBdr>
    </w:div>
    <w:div w:id="1612054858">
      <w:bodyDiv w:val="1"/>
      <w:marLeft w:val="0"/>
      <w:marRight w:val="0"/>
      <w:marTop w:val="0"/>
      <w:marBottom w:val="0"/>
      <w:divBdr>
        <w:top w:val="none" w:sz="0" w:space="0" w:color="auto"/>
        <w:left w:val="none" w:sz="0" w:space="0" w:color="auto"/>
        <w:bottom w:val="none" w:sz="0" w:space="0" w:color="auto"/>
        <w:right w:val="none" w:sz="0" w:space="0" w:color="auto"/>
      </w:divBdr>
    </w:div>
    <w:div w:id="1617369363">
      <w:bodyDiv w:val="1"/>
      <w:marLeft w:val="0"/>
      <w:marRight w:val="0"/>
      <w:marTop w:val="0"/>
      <w:marBottom w:val="0"/>
      <w:divBdr>
        <w:top w:val="none" w:sz="0" w:space="0" w:color="auto"/>
        <w:left w:val="none" w:sz="0" w:space="0" w:color="auto"/>
        <w:bottom w:val="none" w:sz="0" w:space="0" w:color="auto"/>
        <w:right w:val="none" w:sz="0" w:space="0" w:color="auto"/>
      </w:divBdr>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
    <w:div w:id="1621759184">
      <w:bodyDiv w:val="1"/>
      <w:marLeft w:val="0"/>
      <w:marRight w:val="0"/>
      <w:marTop w:val="0"/>
      <w:marBottom w:val="0"/>
      <w:divBdr>
        <w:top w:val="none" w:sz="0" w:space="0" w:color="auto"/>
        <w:left w:val="none" w:sz="0" w:space="0" w:color="auto"/>
        <w:bottom w:val="none" w:sz="0" w:space="0" w:color="auto"/>
        <w:right w:val="none" w:sz="0" w:space="0" w:color="auto"/>
      </w:divBdr>
    </w:div>
    <w:div w:id="1633100244">
      <w:bodyDiv w:val="1"/>
      <w:marLeft w:val="0"/>
      <w:marRight w:val="0"/>
      <w:marTop w:val="0"/>
      <w:marBottom w:val="0"/>
      <w:divBdr>
        <w:top w:val="none" w:sz="0" w:space="0" w:color="auto"/>
        <w:left w:val="none" w:sz="0" w:space="0" w:color="auto"/>
        <w:bottom w:val="none" w:sz="0" w:space="0" w:color="auto"/>
        <w:right w:val="none" w:sz="0" w:space="0" w:color="auto"/>
      </w:divBdr>
    </w:div>
    <w:div w:id="1633172618">
      <w:bodyDiv w:val="1"/>
      <w:marLeft w:val="0"/>
      <w:marRight w:val="0"/>
      <w:marTop w:val="0"/>
      <w:marBottom w:val="0"/>
      <w:divBdr>
        <w:top w:val="none" w:sz="0" w:space="0" w:color="auto"/>
        <w:left w:val="none" w:sz="0" w:space="0" w:color="auto"/>
        <w:bottom w:val="none" w:sz="0" w:space="0" w:color="auto"/>
        <w:right w:val="none" w:sz="0" w:space="0" w:color="auto"/>
      </w:divBdr>
    </w:div>
    <w:div w:id="1636985941">
      <w:bodyDiv w:val="1"/>
      <w:marLeft w:val="0"/>
      <w:marRight w:val="0"/>
      <w:marTop w:val="0"/>
      <w:marBottom w:val="0"/>
      <w:divBdr>
        <w:top w:val="none" w:sz="0" w:space="0" w:color="auto"/>
        <w:left w:val="none" w:sz="0" w:space="0" w:color="auto"/>
        <w:bottom w:val="none" w:sz="0" w:space="0" w:color="auto"/>
        <w:right w:val="none" w:sz="0" w:space="0" w:color="auto"/>
      </w:divBdr>
    </w:div>
    <w:div w:id="1640109883">
      <w:bodyDiv w:val="1"/>
      <w:marLeft w:val="0"/>
      <w:marRight w:val="0"/>
      <w:marTop w:val="0"/>
      <w:marBottom w:val="0"/>
      <w:divBdr>
        <w:top w:val="none" w:sz="0" w:space="0" w:color="auto"/>
        <w:left w:val="none" w:sz="0" w:space="0" w:color="auto"/>
        <w:bottom w:val="none" w:sz="0" w:space="0" w:color="auto"/>
        <w:right w:val="none" w:sz="0" w:space="0" w:color="auto"/>
      </w:divBdr>
    </w:div>
    <w:div w:id="1643148760">
      <w:bodyDiv w:val="1"/>
      <w:marLeft w:val="0"/>
      <w:marRight w:val="0"/>
      <w:marTop w:val="0"/>
      <w:marBottom w:val="0"/>
      <w:divBdr>
        <w:top w:val="none" w:sz="0" w:space="0" w:color="auto"/>
        <w:left w:val="none" w:sz="0" w:space="0" w:color="auto"/>
        <w:bottom w:val="none" w:sz="0" w:space="0" w:color="auto"/>
        <w:right w:val="none" w:sz="0" w:space="0" w:color="auto"/>
      </w:divBdr>
    </w:div>
    <w:div w:id="1643198030">
      <w:bodyDiv w:val="1"/>
      <w:marLeft w:val="0"/>
      <w:marRight w:val="0"/>
      <w:marTop w:val="0"/>
      <w:marBottom w:val="0"/>
      <w:divBdr>
        <w:top w:val="none" w:sz="0" w:space="0" w:color="auto"/>
        <w:left w:val="none" w:sz="0" w:space="0" w:color="auto"/>
        <w:bottom w:val="none" w:sz="0" w:space="0" w:color="auto"/>
        <w:right w:val="none" w:sz="0" w:space="0" w:color="auto"/>
      </w:divBdr>
    </w:div>
    <w:div w:id="1645430854">
      <w:bodyDiv w:val="1"/>
      <w:marLeft w:val="0"/>
      <w:marRight w:val="0"/>
      <w:marTop w:val="0"/>
      <w:marBottom w:val="0"/>
      <w:divBdr>
        <w:top w:val="none" w:sz="0" w:space="0" w:color="auto"/>
        <w:left w:val="none" w:sz="0" w:space="0" w:color="auto"/>
        <w:bottom w:val="none" w:sz="0" w:space="0" w:color="auto"/>
        <w:right w:val="none" w:sz="0" w:space="0" w:color="auto"/>
      </w:divBdr>
    </w:div>
    <w:div w:id="1646663185">
      <w:bodyDiv w:val="1"/>
      <w:marLeft w:val="0"/>
      <w:marRight w:val="0"/>
      <w:marTop w:val="0"/>
      <w:marBottom w:val="0"/>
      <w:divBdr>
        <w:top w:val="none" w:sz="0" w:space="0" w:color="auto"/>
        <w:left w:val="none" w:sz="0" w:space="0" w:color="auto"/>
        <w:bottom w:val="none" w:sz="0" w:space="0" w:color="auto"/>
        <w:right w:val="none" w:sz="0" w:space="0" w:color="auto"/>
      </w:divBdr>
    </w:div>
    <w:div w:id="1647969222">
      <w:bodyDiv w:val="1"/>
      <w:marLeft w:val="0"/>
      <w:marRight w:val="0"/>
      <w:marTop w:val="0"/>
      <w:marBottom w:val="0"/>
      <w:divBdr>
        <w:top w:val="none" w:sz="0" w:space="0" w:color="auto"/>
        <w:left w:val="none" w:sz="0" w:space="0" w:color="auto"/>
        <w:bottom w:val="none" w:sz="0" w:space="0" w:color="auto"/>
        <w:right w:val="none" w:sz="0" w:space="0" w:color="auto"/>
      </w:divBdr>
    </w:div>
    <w:div w:id="1649703785">
      <w:bodyDiv w:val="1"/>
      <w:marLeft w:val="0"/>
      <w:marRight w:val="0"/>
      <w:marTop w:val="0"/>
      <w:marBottom w:val="0"/>
      <w:divBdr>
        <w:top w:val="none" w:sz="0" w:space="0" w:color="auto"/>
        <w:left w:val="none" w:sz="0" w:space="0" w:color="auto"/>
        <w:bottom w:val="none" w:sz="0" w:space="0" w:color="auto"/>
        <w:right w:val="none" w:sz="0" w:space="0" w:color="auto"/>
      </w:divBdr>
    </w:div>
    <w:div w:id="1650594558">
      <w:bodyDiv w:val="1"/>
      <w:marLeft w:val="0"/>
      <w:marRight w:val="0"/>
      <w:marTop w:val="0"/>
      <w:marBottom w:val="0"/>
      <w:divBdr>
        <w:top w:val="none" w:sz="0" w:space="0" w:color="auto"/>
        <w:left w:val="none" w:sz="0" w:space="0" w:color="auto"/>
        <w:bottom w:val="none" w:sz="0" w:space="0" w:color="auto"/>
        <w:right w:val="none" w:sz="0" w:space="0" w:color="auto"/>
      </w:divBdr>
    </w:div>
    <w:div w:id="1654210811">
      <w:bodyDiv w:val="1"/>
      <w:marLeft w:val="0"/>
      <w:marRight w:val="0"/>
      <w:marTop w:val="0"/>
      <w:marBottom w:val="0"/>
      <w:divBdr>
        <w:top w:val="none" w:sz="0" w:space="0" w:color="auto"/>
        <w:left w:val="none" w:sz="0" w:space="0" w:color="auto"/>
        <w:bottom w:val="none" w:sz="0" w:space="0" w:color="auto"/>
        <w:right w:val="none" w:sz="0" w:space="0" w:color="auto"/>
      </w:divBdr>
    </w:div>
    <w:div w:id="1656376926">
      <w:bodyDiv w:val="1"/>
      <w:marLeft w:val="0"/>
      <w:marRight w:val="0"/>
      <w:marTop w:val="0"/>
      <w:marBottom w:val="0"/>
      <w:divBdr>
        <w:top w:val="none" w:sz="0" w:space="0" w:color="auto"/>
        <w:left w:val="none" w:sz="0" w:space="0" w:color="auto"/>
        <w:bottom w:val="none" w:sz="0" w:space="0" w:color="auto"/>
        <w:right w:val="none" w:sz="0" w:space="0" w:color="auto"/>
      </w:divBdr>
    </w:div>
    <w:div w:id="1656496736">
      <w:bodyDiv w:val="1"/>
      <w:marLeft w:val="0"/>
      <w:marRight w:val="0"/>
      <w:marTop w:val="0"/>
      <w:marBottom w:val="0"/>
      <w:divBdr>
        <w:top w:val="none" w:sz="0" w:space="0" w:color="auto"/>
        <w:left w:val="none" w:sz="0" w:space="0" w:color="auto"/>
        <w:bottom w:val="none" w:sz="0" w:space="0" w:color="auto"/>
        <w:right w:val="none" w:sz="0" w:space="0" w:color="auto"/>
      </w:divBdr>
    </w:div>
    <w:div w:id="1658145132">
      <w:bodyDiv w:val="1"/>
      <w:marLeft w:val="0"/>
      <w:marRight w:val="0"/>
      <w:marTop w:val="0"/>
      <w:marBottom w:val="0"/>
      <w:divBdr>
        <w:top w:val="none" w:sz="0" w:space="0" w:color="auto"/>
        <w:left w:val="none" w:sz="0" w:space="0" w:color="auto"/>
        <w:bottom w:val="none" w:sz="0" w:space="0" w:color="auto"/>
        <w:right w:val="none" w:sz="0" w:space="0" w:color="auto"/>
      </w:divBdr>
    </w:div>
    <w:div w:id="1678922927">
      <w:bodyDiv w:val="1"/>
      <w:marLeft w:val="0"/>
      <w:marRight w:val="0"/>
      <w:marTop w:val="0"/>
      <w:marBottom w:val="0"/>
      <w:divBdr>
        <w:top w:val="none" w:sz="0" w:space="0" w:color="auto"/>
        <w:left w:val="none" w:sz="0" w:space="0" w:color="auto"/>
        <w:bottom w:val="none" w:sz="0" w:space="0" w:color="auto"/>
        <w:right w:val="none" w:sz="0" w:space="0" w:color="auto"/>
      </w:divBdr>
    </w:div>
    <w:div w:id="1684429602">
      <w:bodyDiv w:val="1"/>
      <w:marLeft w:val="0"/>
      <w:marRight w:val="0"/>
      <w:marTop w:val="0"/>
      <w:marBottom w:val="0"/>
      <w:divBdr>
        <w:top w:val="none" w:sz="0" w:space="0" w:color="auto"/>
        <w:left w:val="none" w:sz="0" w:space="0" w:color="auto"/>
        <w:bottom w:val="none" w:sz="0" w:space="0" w:color="auto"/>
        <w:right w:val="none" w:sz="0" w:space="0" w:color="auto"/>
      </w:divBdr>
    </w:div>
    <w:div w:id="1696882356">
      <w:bodyDiv w:val="1"/>
      <w:marLeft w:val="0"/>
      <w:marRight w:val="0"/>
      <w:marTop w:val="0"/>
      <w:marBottom w:val="0"/>
      <w:divBdr>
        <w:top w:val="none" w:sz="0" w:space="0" w:color="auto"/>
        <w:left w:val="none" w:sz="0" w:space="0" w:color="auto"/>
        <w:bottom w:val="none" w:sz="0" w:space="0" w:color="auto"/>
        <w:right w:val="none" w:sz="0" w:space="0" w:color="auto"/>
      </w:divBdr>
    </w:div>
    <w:div w:id="1698042571">
      <w:bodyDiv w:val="1"/>
      <w:marLeft w:val="0"/>
      <w:marRight w:val="0"/>
      <w:marTop w:val="0"/>
      <w:marBottom w:val="0"/>
      <w:divBdr>
        <w:top w:val="none" w:sz="0" w:space="0" w:color="auto"/>
        <w:left w:val="none" w:sz="0" w:space="0" w:color="auto"/>
        <w:bottom w:val="none" w:sz="0" w:space="0" w:color="auto"/>
        <w:right w:val="none" w:sz="0" w:space="0" w:color="auto"/>
      </w:divBdr>
    </w:div>
    <w:div w:id="1703818896">
      <w:bodyDiv w:val="1"/>
      <w:marLeft w:val="0"/>
      <w:marRight w:val="0"/>
      <w:marTop w:val="0"/>
      <w:marBottom w:val="0"/>
      <w:divBdr>
        <w:top w:val="none" w:sz="0" w:space="0" w:color="auto"/>
        <w:left w:val="none" w:sz="0" w:space="0" w:color="auto"/>
        <w:bottom w:val="none" w:sz="0" w:space="0" w:color="auto"/>
        <w:right w:val="none" w:sz="0" w:space="0" w:color="auto"/>
      </w:divBdr>
    </w:div>
    <w:div w:id="1706758596">
      <w:bodyDiv w:val="1"/>
      <w:marLeft w:val="0"/>
      <w:marRight w:val="0"/>
      <w:marTop w:val="0"/>
      <w:marBottom w:val="0"/>
      <w:divBdr>
        <w:top w:val="none" w:sz="0" w:space="0" w:color="auto"/>
        <w:left w:val="none" w:sz="0" w:space="0" w:color="auto"/>
        <w:bottom w:val="none" w:sz="0" w:space="0" w:color="auto"/>
        <w:right w:val="none" w:sz="0" w:space="0" w:color="auto"/>
      </w:divBdr>
    </w:div>
    <w:div w:id="1709604369">
      <w:bodyDiv w:val="1"/>
      <w:marLeft w:val="0"/>
      <w:marRight w:val="0"/>
      <w:marTop w:val="0"/>
      <w:marBottom w:val="0"/>
      <w:divBdr>
        <w:top w:val="none" w:sz="0" w:space="0" w:color="auto"/>
        <w:left w:val="none" w:sz="0" w:space="0" w:color="auto"/>
        <w:bottom w:val="none" w:sz="0" w:space="0" w:color="auto"/>
        <w:right w:val="none" w:sz="0" w:space="0" w:color="auto"/>
      </w:divBdr>
    </w:div>
    <w:div w:id="1717847857">
      <w:bodyDiv w:val="1"/>
      <w:marLeft w:val="0"/>
      <w:marRight w:val="0"/>
      <w:marTop w:val="0"/>
      <w:marBottom w:val="0"/>
      <w:divBdr>
        <w:top w:val="none" w:sz="0" w:space="0" w:color="auto"/>
        <w:left w:val="none" w:sz="0" w:space="0" w:color="auto"/>
        <w:bottom w:val="none" w:sz="0" w:space="0" w:color="auto"/>
        <w:right w:val="none" w:sz="0" w:space="0" w:color="auto"/>
      </w:divBdr>
    </w:div>
    <w:div w:id="1720594310">
      <w:bodyDiv w:val="1"/>
      <w:marLeft w:val="0"/>
      <w:marRight w:val="0"/>
      <w:marTop w:val="0"/>
      <w:marBottom w:val="0"/>
      <w:divBdr>
        <w:top w:val="none" w:sz="0" w:space="0" w:color="auto"/>
        <w:left w:val="none" w:sz="0" w:space="0" w:color="auto"/>
        <w:bottom w:val="none" w:sz="0" w:space="0" w:color="auto"/>
        <w:right w:val="none" w:sz="0" w:space="0" w:color="auto"/>
      </w:divBdr>
    </w:div>
    <w:div w:id="1720786104">
      <w:bodyDiv w:val="1"/>
      <w:marLeft w:val="0"/>
      <w:marRight w:val="0"/>
      <w:marTop w:val="0"/>
      <w:marBottom w:val="0"/>
      <w:divBdr>
        <w:top w:val="none" w:sz="0" w:space="0" w:color="auto"/>
        <w:left w:val="none" w:sz="0" w:space="0" w:color="auto"/>
        <w:bottom w:val="none" w:sz="0" w:space="0" w:color="auto"/>
        <w:right w:val="none" w:sz="0" w:space="0" w:color="auto"/>
      </w:divBdr>
    </w:div>
    <w:div w:id="1720933020">
      <w:bodyDiv w:val="1"/>
      <w:marLeft w:val="0"/>
      <w:marRight w:val="0"/>
      <w:marTop w:val="0"/>
      <w:marBottom w:val="0"/>
      <w:divBdr>
        <w:top w:val="none" w:sz="0" w:space="0" w:color="auto"/>
        <w:left w:val="none" w:sz="0" w:space="0" w:color="auto"/>
        <w:bottom w:val="none" w:sz="0" w:space="0" w:color="auto"/>
        <w:right w:val="none" w:sz="0" w:space="0" w:color="auto"/>
      </w:divBdr>
    </w:div>
    <w:div w:id="1724333912">
      <w:bodyDiv w:val="1"/>
      <w:marLeft w:val="0"/>
      <w:marRight w:val="0"/>
      <w:marTop w:val="0"/>
      <w:marBottom w:val="0"/>
      <w:divBdr>
        <w:top w:val="none" w:sz="0" w:space="0" w:color="auto"/>
        <w:left w:val="none" w:sz="0" w:space="0" w:color="auto"/>
        <w:bottom w:val="none" w:sz="0" w:space="0" w:color="auto"/>
        <w:right w:val="none" w:sz="0" w:space="0" w:color="auto"/>
      </w:divBdr>
    </w:div>
    <w:div w:id="1728332259">
      <w:bodyDiv w:val="1"/>
      <w:marLeft w:val="0"/>
      <w:marRight w:val="0"/>
      <w:marTop w:val="0"/>
      <w:marBottom w:val="0"/>
      <w:divBdr>
        <w:top w:val="none" w:sz="0" w:space="0" w:color="auto"/>
        <w:left w:val="none" w:sz="0" w:space="0" w:color="auto"/>
        <w:bottom w:val="none" w:sz="0" w:space="0" w:color="auto"/>
        <w:right w:val="none" w:sz="0" w:space="0" w:color="auto"/>
      </w:divBdr>
    </w:div>
    <w:div w:id="1734040975">
      <w:bodyDiv w:val="1"/>
      <w:marLeft w:val="0"/>
      <w:marRight w:val="0"/>
      <w:marTop w:val="0"/>
      <w:marBottom w:val="0"/>
      <w:divBdr>
        <w:top w:val="none" w:sz="0" w:space="0" w:color="auto"/>
        <w:left w:val="none" w:sz="0" w:space="0" w:color="auto"/>
        <w:bottom w:val="none" w:sz="0" w:space="0" w:color="auto"/>
        <w:right w:val="none" w:sz="0" w:space="0" w:color="auto"/>
      </w:divBdr>
    </w:div>
    <w:div w:id="1738429916">
      <w:bodyDiv w:val="1"/>
      <w:marLeft w:val="0"/>
      <w:marRight w:val="0"/>
      <w:marTop w:val="0"/>
      <w:marBottom w:val="0"/>
      <w:divBdr>
        <w:top w:val="none" w:sz="0" w:space="0" w:color="auto"/>
        <w:left w:val="none" w:sz="0" w:space="0" w:color="auto"/>
        <w:bottom w:val="none" w:sz="0" w:space="0" w:color="auto"/>
        <w:right w:val="none" w:sz="0" w:space="0" w:color="auto"/>
      </w:divBdr>
    </w:div>
    <w:div w:id="1740668664">
      <w:bodyDiv w:val="1"/>
      <w:marLeft w:val="0"/>
      <w:marRight w:val="0"/>
      <w:marTop w:val="0"/>
      <w:marBottom w:val="0"/>
      <w:divBdr>
        <w:top w:val="none" w:sz="0" w:space="0" w:color="auto"/>
        <w:left w:val="none" w:sz="0" w:space="0" w:color="auto"/>
        <w:bottom w:val="none" w:sz="0" w:space="0" w:color="auto"/>
        <w:right w:val="none" w:sz="0" w:space="0" w:color="auto"/>
      </w:divBdr>
    </w:div>
    <w:div w:id="1745570785">
      <w:bodyDiv w:val="1"/>
      <w:marLeft w:val="0"/>
      <w:marRight w:val="0"/>
      <w:marTop w:val="0"/>
      <w:marBottom w:val="0"/>
      <w:divBdr>
        <w:top w:val="none" w:sz="0" w:space="0" w:color="auto"/>
        <w:left w:val="none" w:sz="0" w:space="0" w:color="auto"/>
        <w:bottom w:val="none" w:sz="0" w:space="0" w:color="auto"/>
        <w:right w:val="none" w:sz="0" w:space="0" w:color="auto"/>
      </w:divBdr>
    </w:div>
    <w:div w:id="1747650728">
      <w:bodyDiv w:val="1"/>
      <w:marLeft w:val="0"/>
      <w:marRight w:val="0"/>
      <w:marTop w:val="0"/>
      <w:marBottom w:val="0"/>
      <w:divBdr>
        <w:top w:val="none" w:sz="0" w:space="0" w:color="auto"/>
        <w:left w:val="none" w:sz="0" w:space="0" w:color="auto"/>
        <w:bottom w:val="none" w:sz="0" w:space="0" w:color="auto"/>
        <w:right w:val="none" w:sz="0" w:space="0" w:color="auto"/>
      </w:divBdr>
    </w:div>
    <w:div w:id="1748305998">
      <w:bodyDiv w:val="1"/>
      <w:marLeft w:val="0"/>
      <w:marRight w:val="0"/>
      <w:marTop w:val="0"/>
      <w:marBottom w:val="0"/>
      <w:divBdr>
        <w:top w:val="none" w:sz="0" w:space="0" w:color="auto"/>
        <w:left w:val="none" w:sz="0" w:space="0" w:color="auto"/>
        <w:bottom w:val="none" w:sz="0" w:space="0" w:color="auto"/>
        <w:right w:val="none" w:sz="0" w:space="0" w:color="auto"/>
      </w:divBdr>
    </w:div>
    <w:div w:id="1753043743">
      <w:bodyDiv w:val="1"/>
      <w:marLeft w:val="0"/>
      <w:marRight w:val="0"/>
      <w:marTop w:val="0"/>
      <w:marBottom w:val="0"/>
      <w:divBdr>
        <w:top w:val="none" w:sz="0" w:space="0" w:color="auto"/>
        <w:left w:val="none" w:sz="0" w:space="0" w:color="auto"/>
        <w:bottom w:val="none" w:sz="0" w:space="0" w:color="auto"/>
        <w:right w:val="none" w:sz="0" w:space="0" w:color="auto"/>
      </w:divBdr>
    </w:div>
    <w:div w:id="1759905690">
      <w:bodyDiv w:val="1"/>
      <w:marLeft w:val="0"/>
      <w:marRight w:val="0"/>
      <w:marTop w:val="0"/>
      <w:marBottom w:val="0"/>
      <w:divBdr>
        <w:top w:val="none" w:sz="0" w:space="0" w:color="auto"/>
        <w:left w:val="none" w:sz="0" w:space="0" w:color="auto"/>
        <w:bottom w:val="none" w:sz="0" w:space="0" w:color="auto"/>
        <w:right w:val="none" w:sz="0" w:space="0" w:color="auto"/>
      </w:divBdr>
    </w:div>
    <w:div w:id="1762919342">
      <w:bodyDiv w:val="1"/>
      <w:marLeft w:val="0"/>
      <w:marRight w:val="0"/>
      <w:marTop w:val="0"/>
      <w:marBottom w:val="0"/>
      <w:divBdr>
        <w:top w:val="none" w:sz="0" w:space="0" w:color="auto"/>
        <w:left w:val="none" w:sz="0" w:space="0" w:color="auto"/>
        <w:bottom w:val="none" w:sz="0" w:space="0" w:color="auto"/>
        <w:right w:val="none" w:sz="0" w:space="0" w:color="auto"/>
      </w:divBdr>
    </w:div>
    <w:div w:id="1766539131">
      <w:bodyDiv w:val="1"/>
      <w:marLeft w:val="0"/>
      <w:marRight w:val="0"/>
      <w:marTop w:val="0"/>
      <w:marBottom w:val="0"/>
      <w:divBdr>
        <w:top w:val="none" w:sz="0" w:space="0" w:color="auto"/>
        <w:left w:val="none" w:sz="0" w:space="0" w:color="auto"/>
        <w:bottom w:val="none" w:sz="0" w:space="0" w:color="auto"/>
        <w:right w:val="none" w:sz="0" w:space="0" w:color="auto"/>
      </w:divBdr>
    </w:div>
    <w:div w:id="1766850689">
      <w:bodyDiv w:val="1"/>
      <w:marLeft w:val="0"/>
      <w:marRight w:val="0"/>
      <w:marTop w:val="0"/>
      <w:marBottom w:val="0"/>
      <w:divBdr>
        <w:top w:val="none" w:sz="0" w:space="0" w:color="auto"/>
        <w:left w:val="none" w:sz="0" w:space="0" w:color="auto"/>
        <w:bottom w:val="none" w:sz="0" w:space="0" w:color="auto"/>
        <w:right w:val="none" w:sz="0" w:space="0" w:color="auto"/>
      </w:divBdr>
    </w:div>
    <w:div w:id="1773015393">
      <w:bodyDiv w:val="1"/>
      <w:marLeft w:val="0"/>
      <w:marRight w:val="0"/>
      <w:marTop w:val="0"/>
      <w:marBottom w:val="0"/>
      <w:divBdr>
        <w:top w:val="none" w:sz="0" w:space="0" w:color="auto"/>
        <w:left w:val="none" w:sz="0" w:space="0" w:color="auto"/>
        <w:bottom w:val="none" w:sz="0" w:space="0" w:color="auto"/>
        <w:right w:val="none" w:sz="0" w:space="0" w:color="auto"/>
      </w:divBdr>
    </w:div>
    <w:div w:id="1776361446">
      <w:bodyDiv w:val="1"/>
      <w:marLeft w:val="0"/>
      <w:marRight w:val="0"/>
      <w:marTop w:val="0"/>
      <w:marBottom w:val="0"/>
      <w:divBdr>
        <w:top w:val="none" w:sz="0" w:space="0" w:color="auto"/>
        <w:left w:val="none" w:sz="0" w:space="0" w:color="auto"/>
        <w:bottom w:val="none" w:sz="0" w:space="0" w:color="auto"/>
        <w:right w:val="none" w:sz="0" w:space="0" w:color="auto"/>
      </w:divBdr>
    </w:div>
    <w:div w:id="1777947267">
      <w:bodyDiv w:val="1"/>
      <w:marLeft w:val="0"/>
      <w:marRight w:val="0"/>
      <w:marTop w:val="0"/>
      <w:marBottom w:val="0"/>
      <w:divBdr>
        <w:top w:val="none" w:sz="0" w:space="0" w:color="auto"/>
        <w:left w:val="none" w:sz="0" w:space="0" w:color="auto"/>
        <w:bottom w:val="none" w:sz="0" w:space="0" w:color="auto"/>
        <w:right w:val="none" w:sz="0" w:space="0" w:color="auto"/>
      </w:divBdr>
      <w:divsChild>
        <w:div w:id="170150736">
          <w:marLeft w:val="-11485"/>
          <w:marRight w:val="0"/>
          <w:marTop w:val="0"/>
          <w:marBottom w:val="0"/>
          <w:divBdr>
            <w:top w:val="none" w:sz="0" w:space="0" w:color="auto"/>
            <w:left w:val="none" w:sz="0" w:space="0" w:color="auto"/>
            <w:bottom w:val="none" w:sz="0" w:space="0" w:color="auto"/>
            <w:right w:val="none" w:sz="0" w:space="0" w:color="auto"/>
          </w:divBdr>
          <w:divsChild>
            <w:div w:id="2127575181">
              <w:marLeft w:val="0"/>
              <w:marRight w:val="0"/>
              <w:marTop w:val="0"/>
              <w:marBottom w:val="0"/>
              <w:divBdr>
                <w:top w:val="none" w:sz="0" w:space="0" w:color="auto"/>
                <w:left w:val="none" w:sz="0" w:space="0" w:color="auto"/>
                <w:bottom w:val="none" w:sz="0" w:space="0" w:color="auto"/>
                <w:right w:val="none" w:sz="0" w:space="0" w:color="auto"/>
              </w:divBdr>
              <w:divsChild>
                <w:div w:id="481390096">
                  <w:marLeft w:val="0"/>
                  <w:marRight w:val="0"/>
                  <w:marTop w:val="0"/>
                  <w:marBottom w:val="0"/>
                  <w:divBdr>
                    <w:top w:val="none" w:sz="0" w:space="0" w:color="auto"/>
                    <w:left w:val="none" w:sz="0" w:space="0" w:color="auto"/>
                    <w:bottom w:val="none" w:sz="0" w:space="0" w:color="auto"/>
                    <w:right w:val="none" w:sz="0" w:space="0" w:color="auto"/>
                  </w:divBdr>
                  <w:divsChild>
                    <w:div w:id="1615286879">
                      <w:marLeft w:val="0"/>
                      <w:marRight w:val="0"/>
                      <w:marTop w:val="600"/>
                      <w:marBottom w:val="0"/>
                      <w:divBdr>
                        <w:top w:val="none" w:sz="0" w:space="0" w:color="auto"/>
                        <w:left w:val="none" w:sz="0" w:space="0" w:color="auto"/>
                        <w:bottom w:val="none" w:sz="0" w:space="0" w:color="auto"/>
                        <w:right w:val="none" w:sz="0" w:space="0" w:color="auto"/>
                      </w:divBdr>
                      <w:divsChild>
                        <w:div w:id="16221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43837">
          <w:marLeft w:val="0"/>
          <w:marRight w:val="0"/>
          <w:marTop w:val="0"/>
          <w:marBottom w:val="0"/>
          <w:divBdr>
            <w:top w:val="none" w:sz="0" w:space="0" w:color="auto"/>
            <w:left w:val="none" w:sz="0" w:space="0" w:color="auto"/>
            <w:bottom w:val="none" w:sz="0" w:space="0" w:color="auto"/>
            <w:right w:val="none" w:sz="0" w:space="0" w:color="auto"/>
          </w:divBdr>
          <w:divsChild>
            <w:div w:id="13501147">
              <w:marLeft w:val="-14400"/>
              <w:marRight w:val="0"/>
              <w:marTop w:val="0"/>
              <w:marBottom w:val="0"/>
              <w:divBdr>
                <w:top w:val="none" w:sz="0" w:space="0" w:color="auto"/>
                <w:left w:val="none" w:sz="0" w:space="0" w:color="auto"/>
                <w:bottom w:val="none" w:sz="0" w:space="0" w:color="auto"/>
                <w:right w:val="none" w:sz="0" w:space="0" w:color="auto"/>
              </w:divBdr>
              <w:divsChild>
                <w:div w:id="10402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58889">
          <w:marLeft w:val="0"/>
          <w:marRight w:val="0"/>
          <w:marTop w:val="0"/>
          <w:marBottom w:val="0"/>
          <w:divBdr>
            <w:top w:val="none" w:sz="0" w:space="0" w:color="auto"/>
            <w:left w:val="none" w:sz="0" w:space="0" w:color="auto"/>
            <w:bottom w:val="none" w:sz="0" w:space="0" w:color="auto"/>
            <w:right w:val="none" w:sz="0" w:space="0" w:color="auto"/>
          </w:divBdr>
          <w:divsChild>
            <w:div w:id="1493448385">
              <w:marLeft w:val="60"/>
              <w:marRight w:val="0"/>
              <w:marTop w:val="462"/>
              <w:marBottom w:val="462"/>
              <w:divBdr>
                <w:top w:val="none" w:sz="0" w:space="0" w:color="auto"/>
                <w:left w:val="none" w:sz="0" w:space="0" w:color="auto"/>
                <w:bottom w:val="none" w:sz="0" w:space="0" w:color="auto"/>
                <w:right w:val="none" w:sz="0" w:space="0" w:color="auto"/>
              </w:divBdr>
            </w:div>
          </w:divsChild>
        </w:div>
      </w:divsChild>
    </w:div>
    <w:div w:id="1779565830">
      <w:bodyDiv w:val="1"/>
      <w:marLeft w:val="0"/>
      <w:marRight w:val="0"/>
      <w:marTop w:val="0"/>
      <w:marBottom w:val="0"/>
      <w:divBdr>
        <w:top w:val="none" w:sz="0" w:space="0" w:color="auto"/>
        <w:left w:val="none" w:sz="0" w:space="0" w:color="auto"/>
        <w:bottom w:val="none" w:sz="0" w:space="0" w:color="auto"/>
        <w:right w:val="none" w:sz="0" w:space="0" w:color="auto"/>
      </w:divBdr>
    </w:div>
    <w:div w:id="1779986329">
      <w:bodyDiv w:val="1"/>
      <w:marLeft w:val="0"/>
      <w:marRight w:val="0"/>
      <w:marTop w:val="0"/>
      <w:marBottom w:val="0"/>
      <w:divBdr>
        <w:top w:val="none" w:sz="0" w:space="0" w:color="auto"/>
        <w:left w:val="none" w:sz="0" w:space="0" w:color="auto"/>
        <w:bottom w:val="none" w:sz="0" w:space="0" w:color="auto"/>
        <w:right w:val="none" w:sz="0" w:space="0" w:color="auto"/>
      </w:divBdr>
    </w:div>
    <w:div w:id="1783377849">
      <w:bodyDiv w:val="1"/>
      <w:marLeft w:val="0"/>
      <w:marRight w:val="0"/>
      <w:marTop w:val="0"/>
      <w:marBottom w:val="0"/>
      <w:divBdr>
        <w:top w:val="none" w:sz="0" w:space="0" w:color="auto"/>
        <w:left w:val="none" w:sz="0" w:space="0" w:color="auto"/>
        <w:bottom w:val="none" w:sz="0" w:space="0" w:color="auto"/>
        <w:right w:val="none" w:sz="0" w:space="0" w:color="auto"/>
      </w:divBdr>
    </w:div>
    <w:div w:id="1786731501">
      <w:bodyDiv w:val="1"/>
      <w:marLeft w:val="0"/>
      <w:marRight w:val="0"/>
      <w:marTop w:val="0"/>
      <w:marBottom w:val="0"/>
      <w:divBdr>
        <w:top w:val="none" w:sz="0" w:space="0" w:color="auto"/>
        <w:left w:val="none" w:sz="0" w:space="0" w:color="auto"/>
        <w:bottom w:val="none" w:sz="0" w:space="0" w:color="auto"/>
        <w:right w:val="none" w:sz="0" w:space="0" w:color="auto"/>
      </w:divBdr>
    </w:div>
    <w:div w:id="1787768569">
      <w:bodyDiv w:val="1"/>
      <w:marLeft w:val="0"/>
      <w:marRight w:val="0"/>
      <w:marTop w:val="0"/>
      <w:marBottom w:val="0"/>
      <w:divBdr>
        <w:top w:val="none" w:sz="0" w:space="0" w:color="auto"/>
        <w:left w:val="none" w:sz="0" w:space="0" w:color="auto"/>
        <w:bottom w:val="none" w:sz="0" w:space="0" w:color="auto"/>
        <w:right w:val="none" w:sz="0" w:space="0" w:color="auto"/>
      </w:divBdr>
    </w:div>
    <w:div w:id="1790195647">
      <w:bodyDiv w:val="1"/>
      <w:marLeft w:val="0"/>
      <w:marRight w:val="0"/>
      <w:marTop w:val="0"/>
      <w:marBottom w:val="0"/>
      <w:divBdr>
        <w:top w:val="none" w:sz="0" w:space="0" w:color="auto"/>
        <w:left w:val="none" w:sz="0" w:space="0" w:color="auto"/>
        <w:bottom w:val="none" w:sz="0" w:space="0" w:color="auto"/>
        <w:right w:val="none" w:sz="0" w:space="0" w:color="auto"/>
      </w:divBdr>
    </w:div>
    <w:div w:id="1796024375">
      <w:bodyDiv w:val="1"/>
      <w:marLeft w:val="0"/>
      <w:marRight w:val="0"/>
      <w:marTop w:val="0"/>
      <w:marBottom w:val="0"/>
      <w:divBdr>
        <w:top w:val="none" w:sz="0" w:space="0" w:color="auto"/>
        <w:left w:val="none" w:sz="0" w:space="0" w:color="auto"/>
        <w:bottom w:val="none" w:sz="0" w:space="0" w:color="auto"/>
        <w:right w:val="none" w:sz="0" w:space="0" w:color="auto"/>
      </w:divBdr>
    </w:div>
    <w:div w:id="1798522695">
      <w:bodyDiv w:val="1"/>
      <w:marLeft w:val="0"/>
      <w:marRight w:val="0"/>
      <w:marTop w:val="0"/>
      <w:marBottom w:val="0"/>
      <w:divBdr>
        <w:top w:val="none" w:sz="0" w:space="0" w:color="auto"/>
        <w:left w:val="none" w:sz="0" w:space="0" w:color="auto"/>
        <w:bottom w:val="none" w:sz="0" w:space="0" w:color="auto"/>
        <w:right w:val="none" w:sz="0" w:space="0" w:color="auto"/>
      </w:divBdr>
    </w:div>
    <w:div w:id="1804733189">
      <w:bodyDiv w:val="1"/>
      <w:marLeft w:val="0"/>
      <w:marRight w:val="0"/>
      <w:marTop w:val="0"/>
      <w:marBottom w:val="0"/>
      <w:divBdr>
        <w:top w:val="none" w:sz="0" w:space="0" w:color="auto"/>
        <w:left w:val="none" w:sz="0" w:space="0" w:color="auto"/>
        <w:bottom w:val="none" w:sz="0" w:space="0" w:color="auto"/>
        <w:right w:val="none" w:sz="0" w:space="0" w:color="auto"/>
      </w:divBdr>
    </w:div>
    <w:div w:id="1807894718">
      <w:bodyDiv w:val="1"/>
      <w:marLeft w:val="0"/>
      <w:marRight w:val="0"/>
      <w:marTop w:val="0"/>
      <w:marBottom w:val="0"/>
      <w:divBdr>
        <w:top w:val="none" w:sz="0" w:space="0" w:color="auto"/>
        <w:left w:val="none" w:sz="0" w:space="0" w:color="auto"/>
        <w:bottom w:val="none" w:sz="0" w:space="0" w:color="auto"/>
        <w:right w:val="none" w:sz="0" w:space="0" w:color="auto"/>
      </w:divBdr>
    </w:div>
    <w:div w:id="1818064259">
      <w:bodyDiv w:val="1"/>
      <w:marLeft w:val="0"/>
      <w:marRight w:val="0"/>
      <w:marTop w:val="0"/>
      <w:marBottom w:val="0"/>
      <w:divBdr>
        <w:top w:val="none" w:sz="0" w:space="0" w:color="auto"/>
        <w:left w:val="none" w:sz="0" w:space="0" w:color="auto"/>
        <w:bottom w:val="none" w:sz="0" w:space="0" w:color="auto"/>
        <w:right w:val="none" w:sz="0" w:space="0" w:color="auto"/>
      </w:divBdr>
    </w:div>
    <w:div w:id="1819225591">
      <w:bodyDiv w:val="1"/>
      <w:marLeft w:val="0"/>
      <w:marRight w:val="0"/>
      <w:marTop w:val="0"/>
      <w:marBottom w:val="0"/>
      <w:divBdr>
        <w:top w:val="none" w:sz="0" w:space="0" w:color="auto"/>
        <w:left w:val="none" w:sz="0" w:space="0" w:color="auto"/>
        <w:bottom w:val="none" w:sz="0" w:space="0" w:color="auto"/>
        <w:right w:val="none" w:sz="0" w:space="0" w:color="auto"/>
      </w:divBdr>
    </w:div>
    <w:div w:id="1823158094">
      <w:bodyDiv w:val="1"/>
      <w:marLeft w:val="0"/>
      <w:marRight w:val="0"/>
      <w:marTop w:val="0"/>
      <w:marBottom w:val="0"/>
      <w:divBdr>
        <w:top w:val="none" w:sz="0" w:space="0" w:color="auto"/>
        <w:left w:val="none" w:sz="0" w:space="0" w:color="auto"/>
        <w:bottom w:val="none" w:sz="0" w:space="0" w:color="auto"/>
        <w:right w:val="none" w:sz="0" w:space="0" w:color="auto"/>
      </w:divBdr>
    </w:div>
    <w:div w:id="1826630604">
      <w:bodyDiv w:val="1"/>
      <w:marLeft w:val="0"/>
      <w:marRight w:val="0"/>
      <w:marTop w:val="0"/>
      <w:marBottom w:val="0"/>
      <w:divBdr>
        <w:top w:val="none" w:sz="0" w:space="0" w:color="auto"/>
        <w:left w:val="none" w:sz="0" w:space="0" w:color="auto"/>
        <w:bottom w:val="none" w:sz="0" w:space="0" w:color="auto"/>
        <w:right w:val="none" w:sz="0" w:space="0" w:color="auto"/>
      </w:divBdr>
    </w:div>
    <w:div w:id="1828740590">
      <w:bodyDiv w:val="1"/>
      <w:marLeft w:val="0"/>
      <w:marRight w:val="0"/>
      <w:marTop w:val="0"/>
      <w:marBottom w:val="0"/>
      <w:divBdr>
        <w:top w:val="none" w:sz="0" w:space="0" w:color="auto"/>
        <w:left w:val="none" w:sz="0" w:space="0" w:color="auto"/>
        <w:bottom w:val="none" w:sz="0" w:space="0" w:color="auto"/>
        <w:right w:val="none" w:sz="0" w:space="0" w:color="auto"/>
      </w:divBdr>
    </w:div>
    <w:div w:id="1830748601">
      <w:bodyDiv w:val="1"/>
      <w:marLeft w:val="0"/>
      <w:marRight w:val="0"/>
      <w:marTop w:val="0"/>
      <w:marBottom w:val="0"/>
      <w:divBdr>
        <w:top w:val="none" w:sz="0" w:space="0" w:color="auto"/>
        <w:left w:val="none" w:sz="0" w:space="0" w:color="auto"/>
        <w:bottom w:val="none" w:sz="0" w:space="0" w:color="auto"/>
        <w:right w:val="none" w:sz="0" w:space="0" w:color="auto"/>
      </w:divBdr>
    </w:div>
    <w:div w:id="1831868928">
      <w:bodyDiv w:val="1"/>
      <w:marLeft w:val="0"/>
      <w:marRight w:val="0"/>
      <w:marTop w:val="0"/>
      <w:marBottom w:val="0"/>
      <w:divBdr>
        <w:top w:val="none" w:sz="0" w:space="0" w:color="auto"/>
        <w:left w:val="none" w:sz="0" w:space="0" w:color="auto"/>
        <w:bottom w:val="none" w:sz="0" w:space="0" w:color="auto"/>
        <w:right w:val="none" w:sz="0" w:space="0" w:color="auto"/>
      </w:divBdr>
    </w:div>
    <w:div w:id="1839878041">
      <w:bodyDiv w:val="1"/>
      <w:marLeft w:val="0"/>
      <w:marRight w:val="0"/>
      <w:marTop w:val="0"/>
      <w:marBottom w:val="0"/>
      <w:divBdr>
        <w:top w:val="none" w:sz="0" w:space="0" w:color="auto"/>
        <w:left w:val="none" w:sz="0" w:space="0" w:color="auto"/>
        <w:bottom w:val="none" w:sz="0" w:space="0" w:color="auto"/>
        <w:right w:val="none" w:sz="0" w:space="0" w:color="auto"/>
      </w:divBdr>
    </w:div>
    <w:div w:id="1840272926">
      <w:bodyDiv w:val="1"/>
      <w:marLeft w:val="0"/>
      <w:marRight w:val="0"/>
      <w:marTop w:val="0"/>
      <w:marBottom w:val="0"/>
      <w:divBdr>
        <w:top w:val="none" w:sz="0" w:space="0" w:color="auto"/>
        <w:left w:val="none" w:sz="0" w:space="0" w:color="auto"/>
        <w:bottom w:val="none" w:sz="0" w:space="0" w:color="auto"/>
        <w:right w:val="none" w:sz="0" w:space="0" w:color="auto"/>
      </w:divBdr>
    </w:div>
    <w:div w:id="1842161830">
      <w:bodyDiv w:val="1"/>
      <w:marLeft w:val="0"/>
      <w:marRight w:val="0"/>
      <w:marTop w:val="0"/>
      <w:marBottom w:val="0"/>
      <w:divBdr>
        <w:top w:val="none" w:sz="0" w:space="0" w:color="auto"/>
        <w:left w:val="none" w:sz="0" w:space="0" w:color="auto"/>
        <w:bottom w:val="none" w:sz="0" w:space="0" w:color="auto"/>
        <w:right w:val="none" w:sz="0" w:space="0" w:color="auto"/>
      </w:divBdr>
    </w:div>
    <w:div w:id="1842696284">
      <w:bodyDiv w:val="1"/>
      <w:marLeft w:val="0"/>
      <w:marRight w:val="0"/>
      <w:marTop w:val="0"/>
      <w:marBottom w:val="0"/>
      <w:divBdr>
        <w:top w:val="none" w:sz="0" w:space="0" w:color="auto"/>
        <w:left w:val="none" w:sz="0" w:space="0" w:color="auto"/>
        <w:bottom w:val="none" w:sz="0" w:space="0" w:color="auto"/>
        <w:right w:val="none" w:sz="0" w:space="0" w:color="auto"/>
      </w:divBdr>
    </w:div>
    <w:div w:id="1842886394">
      <w:bodyDiv w:val="1"/>
      <w:marLeft w:val="0"/>
      <w:marRight w:val="0"/>
      <w:marTop w:val="0"/>
      <w:marBottom w:val="0"/>
      <w:divBdr>
        <w:top w:val="none" w:sz="0" w:space="0" w:color="auto"/>
        <w:left w:val="none" w:sz="0" w:space="0" w:color="auto"/>
        <w:bottom w:val="none" w:sz="0" w:space="0" w:color="auto"/>
        <w:right w:val="none" w:sz="0" w:space="0" w:color="auto"/>
      </w:divBdr>
    </w:div>
    <w:div w:id="1850370755">
      <w:bodyDiv w:val="1"/>
      <w:marLeft w:val="0"/>
      <w:marRight w:val="0"/>
      <w:marTop w:val="0"/>
      <w:marBottom w:val="0"/>
      <w:divBdr>
        <w:top w:val="none" w:sz="0" w:space="0" w:color="auto"/>
        <w:left w:val="none" w:sz="0" w:space="0" w:color="auto"/>
        <w:bottom w:val="none" w:sz="0" w:space="0" w:color="auto"/>
        <w:right w:val="none" w:sz="0" w:space="0" w:color="auto"/>
      </w:divBdr>
    </w:div>
    <w:div w:id="1850556995">
      <w:bodyDiv w:val="1"/>
      <w:marLeft w:val="0"/>
      <w:marRight w:val="0"/>
      <w:marTop w:val="0"/>
      <w:marBottom w:val="0"/>
      <w:divBdr>
        <w:top w:val="none" w:sz="0" w:space="0" w:color="auto"/>
        <w:left w:val="none" w:sz="0" w:space="0" w:color="auto"/>
        <w:bottom w:val="none" w:sz="0" w:space="0" w:color="auto"/>
        <w:right w:val="none" w:sz="0" w:space="0" w:color="auto"/>
      </w:divBdr>
    </w:div>
    <w:div w:id="1854684316">
      <w:bodyDiv w:val="1"/>
      <w:marLeft w:val="0"/>
      <w:marRight w:val="0"/>
      <w:marTop w:val="0"/>
      <w:marBottom w:val="0"/>
      <w:divBdr>
        <w:top w:val="none" w:sz="0" w:space="0" w:color="auto"/>
        <w:left w:val="none" w:sz="0" w:space="0" w:color="auto"/>
        <w:bottom w:val="none" w:sz="0" w:space="0" w:color="auto"/>
        <w:right w:val="none" w:sz="0" w:space="0" w:color="auto"/>
      </w:divBdr>
    </w:div>
    <w:div w:id="1855881202">
      <w:bodyDiv w:val="1"/>
      <w:marLeft w:val="0"/>
      <w:marRight w:val="0"/>
      <w:marTop w:val="0"/>
      <w:marBottom w:val="0"/>
      <w:divBdr>
        <w:top w:val="none" w:sz="0" w:space="0" w:color="auto"/>
        <w:left w:val="none" w:sz="0" w:space="0" w:color="auto"/>
        <w:bottom w:val="none" w:sz="0" w:space="0" w:color="auto"/>
        <w:right w:val="none" w:sz="0" w:space="0" w:color="auto"/>
      </w:divBdr>
    </w:div>
    <w:div w:id="1856117574">
      <w:bodyDiv w:val="1"/>
      <w:marLeft w:val="0"/>
      <w:marRight w:val="0"/>
      <w:marTop w:val="0"/>
      <w:marBottom w:val="0"/>
      <w:divBdr>
        <w:top w:val="none" w:sz="0" w:space="0" w:color="auto"/>
        <w:left w:val="none" w:sz="0" w:space="0" w:color="auto"/>
        <w:bottom w:val="none" w:sz="0" w:space="0" w:color="auto"/>
        <w:right w:val="none" w:sz="0" w:space="0" w:color="auto"/>
      </w:divBdr>
    </w:div>
    <w:div w:id="1862012287">
      <w:bodyDiv w:val="1"/>
      <w:marLeft w:val="0"/>
      <w:marRight w:val="0"/>
      <w:marTop w:val="0"/>
      <w:marBottom w:val="0"/>
      <w:divBdr>
        <w:top w:val="none" w:sz="0" w:space="0" w:color="auto"/>
        <w:left w:val="none" w:sz="0" w:space="0" w:color="auto"/>
        <w:bottom w:val="none" w:sz="0" w:space="0" w:color="auto"/>
        <w:right w:val="none" w:sz="0" w:space="0" w:color="auto"/>
      </w:divBdr>
    </w:div>
    <w:div w:id="1864053632">
      <w:bodyDiv w:val="1"/>
      <w:marLeft w:val="0"/>
      <w:marRight w:val="0"/>
      <w:marTop w:val="0"/>
      <w:marBottom w:val="0"/>
      <w:divBdr>
        <w:top w:val="none" w:sz="0" w:space="0" w:color="auto"/>
        <w:left w:val="none" w:sz="0" w:space="0" w:color="auto"/>
        <w:bottom w:val="none" w:sz="0" w:space="0" w:color="auto"/>
        <w:right w:val="none" w:sz="0" w:space="0" w:color="auto"/>
      </w:divBdr>
    </w:div>
    <w:div w:id="1868448284">
      <w:bodyDiv w:val="1"/>
      <w:marLeft w:val="0"/>
      <w:marRight w:val="0"/>
      <w:marTop w:val="0"/>
      <w:marBottom w:val="0"/>
      <w:divBdr>
        <w:top w:val="none" w:sz="0" w:space="0" w:color="auto"/>
        <w:left w:val="none" w:sz="0" w:space="0" w:color="auto"/>
        <w:bottom w:val="none" w:sz="0" w:space="0" w:color="auto"/>
        <w:right w:val="none" w:sz="0" w:space="0" w:color="auto"/>
      </w:divBdr>
    </w:div>
    <w:div w:id="1869368495">
      <w:bodyDiv w:val="1"/>
      <w:marLeft w:val="0"/>
      <w:marRight w:val="0"/>
      <w:marTop w:val="0"/>
      <w:marBottom w:val="0"/>
      <w:divBdr>
        <w:top w:val="none" w:sz="0" w:space="0" w:color="auto"/>
        <w:left w:val="none" w:sz="0" w:space="0" w:color="auto"/>
        <w:bottom w:val="none" w:sz="0" w:space="0" w:color="auto"/>
        <w:right w:val="none" w:sz="0" w:space="0" w:color="auto"/>
      </w:divBdr>
    </w:div>
    <w:div w:id="1870872134">
      <w:bodyDiv w:val="1"/>
      <w:marLeft w:val="0"/>
      <w:marRight w:val="0"/>
      <w:marTop w:val="0"/>
      <w:marBottom w:val="0"/>
      <w:divBdr>
        <w:top w:val="none" w:sz="0" w:space="0" w:color="auto"/>
        <w:left w:val="none" w:sz="0" w:space="0" w:color="auto"/>
        <w:bottom w:val="none" w:sz="0" w:space="0" w:color="auto"/>
        <w:right w:val="none" w:sz="0" w:space="0" w:color="auto"/>
      </w:divBdr>
    </w:div>
    <w:div w:id="1878350430">
      <w:bodyDiv w:val="1"/>
      <w:marLeft w:val="0"/>
      <w:marRight w:val="0"/>
      <w:marTop w:val="0"/>
      <w:marBottom w:val="0"/>
      <w:divBdr>
        <w:top w:val="none" w:sz="0" w:space="0" w:color="auto"/>
        <w:left w:val="none" w:sz="0" w:space="0" w:color="auto"/>
        <w:bottom w:val="none" w:sz="0" w:space="0" w:color="auto"/>
        <w:right w:val="none" w:sz="0" w:space="0" w:color="auto"/>
      </w:divBdr>
    </w:div>
    <w:div w:id="1888905301">
      <w:bodyDiv w:val="1"/>
      <w:marLeft w:val="0"/>
      <w:marRight w:val="0"/>
      <w:marTop w:val="0"/>
      <w:marBottom w:val="0"/>
      <w:divBdr>
        <w:top w:val="none" w:sz="0" w:space="0" w:color="auto"/>
        <w:left w:val="none" w:sz="0" w:space="0" w:color="auto"/>
        <w:bottom w:val="none" w:sz="0" w:space="0" w:color="auto"/>
        <w:right w:val="none" w:sz="0" w:space="0" w:color="auto"/>
      </w:divBdr>
    </w:div>
    <w:div w:id="1889687888">
      <w:bodyDiv w:val="1"/>
      <w:marLeft w:val="0"/>
      <w:marRight w:val="0"/>
      <w:marTop w:val="0"/>
      <w:marBottom w:val="0"/>
      <w:divBdr>
        <w:top w:val="none" w:sz="0" w:space="0" w:color="auto"/>
        <w:left w:val="none" w:sz="0" w:space="0" w:color="auto"/>
        <w:bottom w:val="none" w:sz="0" w:space="0" w:color="auto"/>
        <w:right w:val="none" w:sz="0" w:space="0" w:color="auto"/>
      </w:divBdr>
    </w:div>
    <w:div w:id="1897468948">
      <w:bodyDiv w:val="1"/>
      <w:marLeft w:val="0"/>
      <w:marRight w:val="0"/>
      <w:marTop w:val="0"/>
      <w:marBottom w:val="0"/>
      <w:divBdr>
        <w:top w:val="none" w:sz="0" w:space="0" w:color="auto"/>
        <w:left w:val="none" w:sz="0" w:space="0" w:color="auto"/>
        <w:bottom w:val="none" w:sz="0" w:space="0" w:color="auto"/>
        <w:right w:val="none" w:sz="0" w:space="0" w:color="auto"/>
      </w:divBdr>
    </w:div>
    <w:div w:id="1897625810">
      <w:bodyDiv w:val="1"/>
      <w:marLeft w:val="0"/>
      <w:marRight w:val="0"/>
      <w:marTop w:val="0"/>
      <w:marBottom w:val="0"/>
      <w:divBdr>
        <w:top w:val="none" w:sz="0" w:space="0" w:color="auto"/>
        <w:left w:val="none" w:sz="0" w:space="0" w:color="auto"/>
        <w:bottom w:val="none" w:sz="0" w:space="0" w:color="auto"/>
        <w:right w:val="none" w:sz="0" w:space="0" w:color="auto"/>
      </w:divBdr>
    </w:div>
    <w:div w:id="1899321979">
      <w:bodyDiv w:val="1"/>
      <w:marLeft w:val="0"/>
      <w:marRight w:val="0"/>
      <w:marTop w:val="0"/>
      <w:marBottom w:val="0"/>
      <w:divBdr>
        <w:top w:val="none" w:sz="0" w:space="0" w:color="auto"/>
        <w:left w:val="none" w:sz="0" w:space="0" w:color="auto"/>
        <w:bottom w:val="none" w:sz="0" w:space="0" w:color="auto"/>
        <w:right w:val="none" w:sz="0" w:space="0" w:color="auto"/>
      </w:divBdr>
    </w:div>
    <w:div w:id="1901792443">
      <w:bodyDiv w:val="1"/>
      <w:marLeft w:val="0"/>
      <w:marRight w:val="0"/>
      <w:marTop w:val="0"/>
      <w:marBottom w:val="0"/>
      <w:divBdr>
        <w:top w:val="none" w:sz="0" w:space="0" w:color="auto"/>
        <w:left w:val="none" w:sz="0" w:space="0" w:color="auto"/>
        <w:bottom w:val="none" w:sz="0" w:space="0" w:color="auto"/>
        <w:right w:val="none" w:sz="0" w:space="0" w:color="auto"/>
      </w:divBdr>
    </w:div>
    <w:div w:id="1912348298">
      <w:bodyDiv w:val="1"/>
      <w:marLeft w:val="0"/>
      <w:marRight w:val="0"/>
      <w:marTop w:val="0"/>
      <w:marBottom w:val="0"/>
      <w:divBdr>
        <w:top w:val="none" w:sz="0" w:space="0" w:color="auto"/>
        <w:left w:val="none" w:sz="0" w:space="0" w:color="auto"/>
        <w:bottom w:val="none" w:sz="0" w:space="0" w:color="auto"/>
        <w:right w:val="none" w:sz="0" w:space="0" w:color="auto"/>
      </w:divBdr>
    </w:div>
    <w:div w:id="1913271285">
      <w:bodyDiv w:val="1"/>
      <w:marLeft w:val="0"/>
      <w:marRight w:val="0"/>
      <w:marTop w:val="0"/>
      <w:marBottom w:val="0"/>
      <w:divBdr>
        <w:top w:val="none" w:sz="0" w:space="0" w:color="auto"/>
        <w:left w:val="none" w:sz="0" w:space="0" w:color="auto"/>
        <w:bottom w:val="none" w:sz="0" w:space="0" w:color="auto"/>
        <w:right w:val="none" w:sz="0" w:space="0" w:color="auto"/>
      </w:divBdr>
    </w:div>
    <w:div w:id="1914732528">
      <w:bodyDiv w:val="1"/>
      <w:marLeft w:val="0"/>
      <w:marRight w:val="0"/>
      <w:marTop w:val="0"/>
      <w:marBottom w:val="0"/>
      <w:divBdr>
        <w:top w:val="none" w:sz="0" w:space="0" w:color="auto"/>
        <w:left w:val="none" w:sz="0" w:space="0" w:color="auto"/>
        <w:bottom w:val="none" w:sz="0" w:space="0" w:color="auto"/>
        <w:right w:val="none" w:sz="0" w:space="0" w:color="auto"/>
      </w:divBdr>
    </w:div>
    <w:div w:id="1921675632">
      <w:bodyDiv w:val="1"/>
      <w:marLeft w:val="0"/>
      <w:marRight w:val="0"/>
      <w:marTop w:val="0"/>
      <w:marBottom w:val="0"/>
      <w:divBdr>
        <w:top w:val="none" w:sz="0" w:space="0" w:color="auto"/>
        <w:left w:val="none" w:sz="0" w:space="0" w:color="auto"/>
        <w:bottom w:val="none" w:sz="0" w:space="0" w:color="auto"/>
        <w:right w:val="none" w:sz="0" w:space="0" w:color="auto"/>
      </w:divBdr>
    </w:div>
    <w:div w:id="1926961486">
      <w:bodyDiv w:val="1"/>
      <w:marLeft w:val="0"/>
      <w:marRight w:val="0"/>
      <w:marTop w:val="0"/>
      <w:marBottom w:val="0"/>
      <w:divBdr>
        <w:top w:val="none" w:sz="0" w:space="0" w:color="auto"/>
        <w:left w:val="none" w:sz="0" w:space="0" w:color="auto"/>
        <w:bottom w:val="none" w:sz="0" w:space="0" w:color="auto"/>
        <w:right w:val="none" w:sz="0" w:space="0" w:color="auto"/>
      </w:divBdr>
    </w:div>
    <w:div w:id="1928227210">
      <w:bodyDiv w:val="1"/>
      <w:marLeft w:val="0"/>
      <w:marRight w:val="0"/>
      <w:marTop w:val="0"/>
      <w:marBottom w:val="0"/>
      <w:divBdr>
        <w:top w:val="none" w:sz="0" w:space="0" w:color="auto"/>
        <w:left w:val="none" w:sz="0" w:space="0" w:color="auto"/>
        <w:bottom w:val="none" w:sz="0" w:space="0" w:color="auto"/>
        <w:right w:val="none" w:sz="0" w:space="0" w:color="auto"/>
      </w:divBdr>
    </w:div>
    <w:div w:id="1929580295">
      <w:bodyDiv w:val="1"/>
      <w:marLeft w:val="0"/>
      <w:marRight w:val="0"/>
      <w:marTop w:val="0"/>
      <w:marBottom w:val="0"/>
      <w:divBdr>
        <w:top w:val="none" w:sz="0" w:space="0" w:color="auto"/>
        <w:left w:val="none" w:sz="0" w:space="0" w:color="auto"/>
        <w:bottom w:val="none" w:sz="0" w:space="0" w:color="auto"/>
        <w:right w:val="none" w:sz="0" w:space="0" w:color="auto"/>
      </w:divBdr>
    </w:div>
    <w:div w:id="1930112092">
      <w:bodyDiv w:val="1"/>
      <w:marLeft w:val="0"/>
      <w:marRight w:val="0"/>
      <w:marTop w:val="0"/>
      <w:marBottom w:val="0"/>
      <w:divBdr>
        <w:top w:val="none" w:sz="0" w:space="0" w:color="auto"/>
        <w:left w:val="none" w:sz="0" w:space="0" w:color="auto"/>
        <w:bottom w:val="none" w:sz="0" w:space="0" w:color="auto"/>
        <w:right w:val="none" w:sz="0" w:space="0" w:color="auto"/>
      </w:divBdr>
    </w:div>
    <w:div w:id="1934167426">
      <w:bodyDiv w:val="1"/>
      <w:marLeft w:val="0"/>
      <w:marRight w:val="0"/>
      <w:marTop w:val="0"/>
      <w:marBottom w:val="0"/>
      <w:divBdr>
        <w:top w:val="none" w:sz="0" w:space="0" w:color="auto"/>
        <w:left w:val="none" w:sz="0" w:space="0" w:color="auto"/>
        <w:bottom w:val="none" w:sz="0" w:space="0" w:color="auto"/>
        <w:right w:val="none" w:sz="0" w:space="0" w:color="auto"/>
      </w:divBdr>
    </w:div>
    <w:div w:id="1938518657">
      <w:bodyDiv w:val="1"/>
      <w:marLeft w:val="0"/>
      <w:marRight w:val="0"/>
      <w:marTop w:val="0"/>
      <w:marBottom w:val="0"/>
      <w:divBdr>
        <w:top w:val="none" w:sz="0" w:space="0" w:color="auto"/>
        <w:left w:val="none" w:sz="0" w:space="0" w:color="auto"/>
        <w:bottom w:val="none" w:sz="0" w:space="0" w:color="auto"/>
        <w:right w:val="none" w:sz="0" w:space="0" w:color="auto"/>
      </w:divBdr>
    </w:div>
    <w:div w:id="1942645860">
      <w:bodyDiv w:val="1"/>
      <w:marLeft w:val="0"/>
      <w:marRight w:val="0"/>
      <w:marTop w:val="0"/>
      <w:marBottom w:val="0"/>
      <w:divBdr>
        <w:top w:val="none" w:sz="0" w:space="0" w:color="auto"/>
        <w:left w:val="none" w:sz="0" w:space="0" w:color="auto"/>
        <w:bottom w:val="none" w:sz="0" w:space="0" w:color="auto"/>
        <w:right w:val="none" w:sz="0" w:space="0" w:color="auto"/>
      </w:divBdr>
    </w:div>
    <w:div w:id="1948464649">
      <w:bodyDiv w:val="1"/>
      <w:marLeft w:val="0"/>
      <w:marRight w:val="0"/>
      <w:marTop w:val="0"/>
      <w:marBottom w:val="0"/>
      <w:divBdr>
        <w:top w:val="none" w:sz="0" w:space="0" w:color="auto"/>
        <w:left w:val="none" w:sz="0" w:space="0" w:color="auto"/>
        <w:bottom w:val="none" w:sz="0" w:space="0" w:color="auto"/>
        <w:right w:val="none" w:sz="0" w:space="0" w:color="auto"/>
      </w:divBdr>
    </w:div>
    <w:div w:id="1955284845">
      <w:bodyDiv w:val="1"/>
      <w:marLeft w:val="0"/>
      <w:marRight w:val="0"/>
      <w:marTop w:val="0"/>
      <w:marBottom w:val="0"/>
      <w:divBdr>
        <w:top w:val="none" w:sz="0" w:space="0" w:color="auto"/>
        <w:left w:val="none" w:sz="0" w:space="0" w:color="auto"/>
        <w:bottom w:val="none" w:sz="0" w:space="0" w:color="auto"/>
        <w:right w:val="none" w:sz="0" w:space="0" w:color="auto"/>
      </w:divBdr>
    </w:div>
    <w:div w:id="1955820964">
      <w:bodyDiv w:val="1"/>
      <w:marLeft w:val="0"/>
      <w:marRight w:val="0"/>
      <w:marTop w:val="0"/>
      <w:marBottom w:val="0"/>
      <w:divBdr>
        <w:top w:val="none" w:sz="0" w:space="0" w:color="auto"/>
        <w:left w:val="none" w:sz="0" w:space="0" w:color="auto"/>
        <w:bottom w:val="none" w:sz="0" w:space="0" w:color="auto"/>
        <w:right w:val="none" w:sz="0" w:space="0" w:color="auto"/>
      </w:divBdr>
    </w:div>
    <w:div w:id="1956011296">
      <w:bodyDiv w:val="1"/>
      <w:marLeft w:val="0"/>
      <w:marRight w:val="0"/>
      <w:marTop w:val="0"/>
      <w:marBottom w:val="0"/>
      <w:divBdr>
        <w:top w:val="none" w:sz="0" w:space="0" w:color="auto"/>
        <w:left w:val="none" w:sz="0" w:space="0" w:color="auto"/>
        <w:bottom w:val="none" w:sz="0" w:space="0" w:color="auto"/>
        <w:right w:val="none" w:sz="0" w:space="0" w:color="auto"/>
      </w:divBdr>
    </w:div>
    <w:div w:id="1956251426">
      <w:bodyDiv w:val="1"/>
      <w:marLeft w:val="0"/>
      <w:marRight w:val="0"/>
      <w:marTop w:val="0"/>
      <w:marBottom w:val="0"/>
      <w:divBdr>
        <w:top w:val="none" w:sz="0" w:space="0" w:color="auto"/>
        <w:left w:val="none" w:sz="0" w:space="0" w:color="auto"/>
        <w:bottom w:val="none" w:sz="0" w:space="0" w:color="auto"/>
        <w:right w:val="none" w:sz="0" w:space="0" w:color="auto"/>
      </w:divBdr>
    </w:div>
    <w:div w:id="1959070175">
      <w:bodyDiv w:val="1"/>
      <w:marLeft w:val="0"/>
      <w:marRight w:val="0"/>
      <w:marTop w:val="0"/>
      <w:marBottom w:val="0"/>
      <w:divBdr>
        <w:top w:val="none" w:sz="0" w:space="0" w:color="auto"/>
        <w:left w:val="none" w:sz="0" w:space="0" w:color="auto"/>
        <w:bottom w:val="none" w:sz="0" w:space="0" w:color="auto"/>
        <w:right w:val="none" w:sz="0" w:space="0" w:color="auto"/>
      </w:divBdr>
    </w:div>
    <w:div w:id="1960793668">
      <w:bodyDiv w:val="1"/>
      <w:marLeft w:val="0"/>
      <w:marRight w:val="0"/>
      <w:marTop w:val="0"/>
      <w:marBottom w:val="0"/>
      <w:divBdr>
        <w:top w:val="none" w:sz="0" w:space="0" w:color="auto"/>
        <w:left w:val="none" w:sz="0" w:space="0" w:color="auto"/>
        <w:bottom w:val="none" w:sz="0" w:space="0" w:color="auto"/>
        <w:right w:val="none" w:sz="0" w:space="0" w:color="auto"/>
      </w:divBdr>
    </w:div>
    <w:div w:id="1963418208">
      <w:bodyDiv w:val="1"/>
      <w:marLeft w:val="0"/>
      <w:marRight w:val="0"/>
      <w:marTop w:val="0"/>
      <w:marBottom w:val="0"/>
      <w:divBdr>
        <w:top w:val="none" w:sz="0" w:space="0" w:color="auto"/>
        <w:left w:val="none" w:sz="0" w:space="0" w:color="auto"/>
        <w:bottom w:val="none" w:sz="0" w:space="0" w:color="auto"/>
        <w:right w:val="none" w:sz="0" w:space="0" w:color="auto"/>
      </w:divBdr>
    </w:div>
    <w:div w:id="1966613769">
      <w:bodyDiv w:val="1"/>
      <w:marLeft w:val="0"/>
      <w:marRight w:val="0"/>
      <w:marTop w:val="0"/>
      <w:marBottom w:val="0"/>
      <w:divBdr>
        <w:top w:val="none" w:sz="0" w:space="0" w:color="auto"/>
        <w:left w:val="none" w:sz="0" w:space="0" w:color="auto"/>
        <w:bottom w:val="none" w:sz="0" w:space="0" w:color="auto"/>
        <w:right w:val="none" w:sz="0" w:space="0" w:color="auto"/>
      </w:divBdr>
    </w:div>
    <w:div w:id="1968967690">
      <w:bodyDiv w:val="1"/>
      <w:marLeft w:val="0"/>
      <w:marRight w:val="0"/>
      <w:marTop w:val="0"/>
      <w:marBottom w:val="0"/>
      <w:divBdr>
        <w:top w:val="none" w:sz="0" w:space="0" w:color="auto"/>
        <w:left w:val="none" w:sz="0" w:space="0" w:color="auto"/>
        <w:bottom w:val="none" w:sz="0" w:space="0" w:color="auto"/>
        <w:right w:val="none" w:sz="0" w:space="0" w:color="auto"/>
      </w:divBdr>
    </w:div>
    <w:div w:id="1969506485">
      <w:bodyDiv w:val="1"/>
      <w:marLeft w:val="0"/>
      <w:marRight w:val="0"/>
      <w:marTop w:val="0"/>
      <w:marBottom w:val="0"/>
      <w:divBdr>
        <w:top w:val="none" w:sz="0" w:space="0" w:color="auto"/>
        <w:left w:val="none" w:sz="0" w:space="0" w:color="auto"/>
        <w:bottom w:val="none" w:sz="0" w:space="0" w:color="auto"/>
        <w:right w:val="none" w:sz="0" w:space="0" w:color="auto"/>
      </w:divBdr>
    </w:div>
    <w:div w:id="1970042274">
      <w:bodyDiv w:val="1"/>
      <w:marLeft w:val="0"/>
      <w:marRight w:val="0"/>
      <w:marTop w:val="0"/>
      <w:marBottom w:val="0"/>
      <w:divBdr>
        <w:top w:val="none" w:sz="0" w:space="0" w:color="auto"/>
        <w:left w:val="none" w:sz="0" w:space="0" w:color="auto"/>
        <w:bottom w:val="none" w:sz="0" w:space="0" w:color="auto"/>
        <w:right w:val="none" w:sz="0" w:space="0" w:color="auto"/>
      </w:divBdr>
    </w:div>
    <w:div w:id="1971323995">
      <w:bodyDiv w:val="1"/>
      <w:marLeft w:val="0"/>
      <w:marRight w:val="0"/>
      <w:marTop w:val="0"/>
      <w:marBottom w:val="0"/>
      <w:divBdr>
        <w:top w:val="none" w:sz="0" w:space="0" w:color="auto"/>
        <w:left w:val="none" w:sz="0" w:space="0" w:color="auto"/>
        <w:bottom w:val="none" w:sz="0" w:space="0" w:color="auto"/>
        <w:right w:val="none" w:sz="0" w:space="0" w:color="auto"/>
      </w:divBdr>
    </w:div>
    <w:div w:id="1972130291">
      <w:bodyDiv w:val="1"/>
      <w:marLeft w:val="0"/>
      <w:marRight w:val="0"/>
      <w:marTop w:val="0"/>
      <w:marBottom w:val="0"/>
      <w:divBdr>
        <w:top w:val="none" w:sz="0" w:space="0" w:color="auto"/>
        <w:left w:val="none" w:sz="0" w:space="0" w:color="auto"/>
        <w:bottom w:val="none" w:sz="0" w:space="0" w:color="auto"/>
        <w:right w:val="none" w:sz="0" w:space="0" w:color="auto"/>
      </w:divBdr>
    </w:div>
    <w:div w:id="1972978618">
      <w:bodyDiv w:val="1"/>
      <w:marLeft w:val="0"/>
      <w:marRight w:val="0"/>
      <w:marTop w:val="0"/>
      <w:marBottom w:val="0"/>
      <w:divBdr>
        <w:top w:val="none" w:sz="0" w:space="0" w:color="auto"/>
        <w:left w:val="none" w:sz="0" w:space="0" w:color="auto"/>
        <w:bottom w:val="none" w:sz="0" w:space="0" w:color="auto"/>
        <w:right w:val="none" w:sz="0" w:space="0" w:color="auto"/>
      </w:divBdr>
    </w:div>
    <w:div w:id="1975480583">
      <w:bodyDiv w:val="1"/>
      <w:marLeft w:val="0"/>
      <w:marRight w:val="0"/>
      <w:marTop w:val="0"/>
      <w:marBottom w:val="0"/>
      <w:divBdr>
        <w:top w:val="none" w:sz="0" w:space="0" w:color="auto"/>
        <w:left w:val="none" w:sz="0" w:space="0" w:color="auto"/>
        <w:bottom w:val="none" w:sz="0" w:space="0" w:color="auto"/>
        <w:right w:val="none" w:sz="0" w:space="0" w:color="auto"/>
      </w:divBdr>
    </w:div>
    <w:div w:id="1976374390">
      <w:bodyDiv w:val="1"/>
      <w:marLeft w:val="0"/>
      <w:marRight w:val="0"/>
      <w:marTop w:val="0"/>
      <w:marBottom w:val="0"/>
      <w:divBdr>
        <w:top w:val="none" w:sz="0" w:space="0" w:color="auto"/>
        <w:left w:val="none" w:sz="0" w:space="0" w:color="auto"/>
        <w:bottom w:val="none" w:sz="0" w:space="0" w:color="auto"/>
        <w:right w:val="none" w:sz="0" w:space="0" w:color="auto"/>
      </w:divBdr>
    </w:div>
    <w:div w:id="1989094718">
      <w:bodyDiv w:val="1"/>
      <w:marLeft w:val="0"/>
      <w:marRight w:val="0"/>
      <w:marTop w:val="0"/>
      <w:marBottom w:val="0"/>
      <w:divBdr>
        <w:top w:val="none" w:sz="0" w:space="0" w:color="auto"/>
        <w:left w:val="none" w:sz="0" w:space="0" w:color="auto"/>
        <w:bottom w:val="none" w:sz="0" w:space="0" w:color="auto"/>
        <w:right w:val="none" w:sz="0" w:space="0" w:color="auto"/>
      </w:divBdr>
    </w:div>
    <w:div w:id="1994136250">
      <w:bodyDiv w:val="1"/>
      <w:marLeft w:val="0"/>
      <w:marRight w:val="0"/>
      <w:marTop w:val="0"/>
      <w:marBottom w:val="0"/>
      <w:divBdr>
        <w:top w:val="none" w:sz="0" w:space="0" w:color="auto"/>
        <w:left w:val="none" w:sz="0" w:space="0" w:color="auto"/>
        <w:bottom w:val="none" w:sz="0" w:space="0" w:color="auto"/>
        <w:right w:val="none" w:sz="0" w:space="0" w:color="auto"/>
      </w:divBdr>
    </w:div>
    <w:div w:id="1995640115">
      <w:bodyDiv w:val="1"/>
      <w:marLeft w:val="0"/>
      <w:marRight w:val="0"/>
      <w:marTop w:val="0"/>
      <w:marBottom w:val="0"/>
      <w:divBdr>
        <w:top w:val="none" w:sz="0" w:space="0" w:color="auto"/>
        <w:left w:val="none" w:sz="0" w:space="0" w:color="auto"/>
        <w:bottom w:val="none" w:sz="0" w:space="0" w:color="auto"/>
        <w:right w:val="none" w:sz="0" w:space="0" w:color="auto"/>
      </w:divBdr>
    </w:div>
    <w:div w:id="1997028033">
      <w:bodyDiv w:val="1"/>
      <w:marLeft w:val="0"/>
      <w:marRight w:val="0"/>
      <w:marTop w:val="0"/>
      <w:marBottom w:val="0"/>
      <w:divBdr>
        <w:top w:val="none" w:sz="0" w:space="0" w:color="auto"/>
        <w:left w:val="none" w:sz="0" w:space="0" w:color="auto"/>
        <w:bottom w:val="none" w:sz="0" w:space="0" w:color="auto"/>
        <w:right w:val="none" w:sz="0" w:space="0" w:color="auto"/>
      </w:divBdr>
    </w:div>
    <w:div w:id="1998267523">
      <w:bodyDiv w:val="1"/>
      <w:marLeft w:val="0"/>
      <w:marRight w:val="0"/>
      <w:marTop w:val="0"/>
      <w:marBottom w:val="0"/>
      <w:divBdr>
        <w:top w:val="none" w:sz="0" w:space="0" w:color="auto"/>
        <w:left w:val="none" w:sz="0" w:space="0" w:color="auto"/>
        <w:bottom w:val="none" w:sz="0" w:space="0" w:color="auto"/>
        <w:right w:val="none" w:sz="0" w:space="0" w:color="auto"/>
      </w:divBdr>
    </w:div>
    <w:div w:id="2004503805">
      <w:bodyDiv w:val="1"/>
      <w:marLeft w:val="0"/>
      <w:marRight w:val="0"/>
      <w:marTop w:val="0"/>
      <w:marBottom w:val="0"/>
      <w:divBdr>
        <w:top w:val="none" w:sz="0" w:space="0" w:color="auto"/>
        <w:left w:val="none" w:sz="0" w:space="0" w:color="auto"/>
        <w:bottom w:val="none" w:sz="0" w:space="0" w:color="auto"/>
        <w:right w:val="none" w:sz="0" w:space="0" w:color="auto"/>
      </w:divBdr>
    </w:div>
    <w:div w:id="2007709361">
      <w:bodyDiv w:val="1"/>
      <w:marLeft w:val="0"/>
      <w:marRight w:val="0"/>
      <w:marTop w:val="0"/>
      <w:marBottom w:val="0"/>
      <w:divBdr>
        <w:top w:val="none" w:sz="0" w:space="0" w:color="auto"/>
        <w:left w:val="none" w:sz="0" w:space="0" w:color="auto"/>
        <w:bottom w:val="none" w:sz="0" w:space="0" w:color="auto"/>
        <w:right w:val="none" w:sz="0" w:space="0" w:color="auto"/>
      </w:divBdr>
    </w:div>
    <w:div w:id="2018531277">
      <w:bodyDiv w:val="1"/>
      <w:marLeft w:val="0"/>
      <w:marRight w:val="0"/>
      <w:marTop w:val="0"/>
      <w:marBottom w:val="0"/>
      <w:divBdr>
        <w:top w:val="none" w:sz="0" w:space="0" w:color="auto"/>
        <w:left w:val="none" w:sz="0" w:space="0" w:color="auto"/>
        <w:bottom w:val="none" w:sz="0" w:space="0" w:color="auto"/>
        <w:right w:val="none" w:sz="0" w:space="0" w:color="auto"/>
      </w:divBdr>
    </w:div>
    <w:div w:id="2019041141">
      <w:bodyDiv w:val="1"/>
      <w:marLeft w:val="0"/>
      <w:marRight w:val="0"/>
      <w:marTop w:val="0"/>
      <w:marBottom w:val="0"/>
      <w:divBdr>
        <w:top w:val="none" w:sz="0" w:space="0" w:color="auto"/>
        <w:left w:val="none" w:sz="0" w:space="0" w:color="auto"/>
        <w:bottom w:val="none" w:sz="0" w:space="0" w:color="auto"/>
        <w:right w:val="none" w:sz="0" w:space="0" w:color="auto"/>
      </w:divBdr>
    </w:div>
    <w:div w:id="2025400282">
      <w:bodyDiv w:val="1"/>
      <w:marLeft w:val="0"/>
      <w:marRight w:val="0"/>
      <w:marTop w:val="0"/>
      <w:marBottom w:val="0"/>
      <w:divBdr>
        <w:top w:val="none" w:sz="0" w:space="0" w:color="auto"/>
        <w:left w:val="none" w:sz="0" w:space="0" w:color="auto"/>
        <w:bottom w:val="none" w:sz="0" w:space="0" w:color="auto"/>
        <w:right w:val="none" w:sz="0" w:space="0" w:color="auto"/>
      </w:divBdr>
    </w:div>
    <w:div w:id="2026596556">
      <w:bodyDiv w:val="1"/>
      <w:marLeft w:val="0"/>
      <w:marRight w:val="0"/>
      <w:marTop w:val="0"/>
      <w:marBottom w:val="0"/>
      <w:divBdr>
        <w:top w:val="none" w:sz="0" w:space="0" w:color="auto"/>
        <w:left w:val="none" w:sz="0" w:space="0" w:color="auto"/>
        <w:bottom w:val="none" w:sz="0" w:space="0" w:color="auto"/>
        <w:right w:val="none" w:sz="0" w:space="0" w:color="auto"/>
      </w:divBdr>
    </w:div>
    <w:div w:id="2028482737">
      <w:bodyDiv w:val="1"/>
      <w:marLeft w:val="0"/>
      <w:marRight w:val="0"/>
      <w:marTop w:val="0"/>
      <w:marBottom w:val="0"/>
      <w:divBdr>
        <w:top w:val="none" w:sz="0" w:space="0" w:color="auto"/>
        <w:left w:val="none" w:sz="0" w:space="0" w:color="auto"/>
        <w:bottom w:val="none" w:sz="0" w:space="0" w:color="auto"/>
        <w:right w:val="none" w:sz="0" w:space="0" w:color="auto"/>
      </w:divBdr>
    </w:div>
    <w:div w:id="2029485984">
      <w:bodyDiv w:val="1"/>
      <w:marLeft w:val="0"/>
      <w:marRight w:val="0"/>
      <w:marTop w:val="0"/>
      <w:marBottom w:val="0"/>
      <w:divBdr>
        <w:top w:val="none" w:sz="0" w:space="0" w:color="auto"/>
        <w:left w:val="none" w:sz="0" w:space="0" w:color="auto"/>
        <w:bottom w:val="none" w:sz="0" w:space="0" w:color="auto"/>
        <w:right w:val="none" w:sz="0" w:space="0" w:color="auto"/>
      </w:divBdr>
    </w:div>
    <w:div w:id="2031224461">
      <w:bodyDiv w:val="1"/>
      <w:marLeft w:val="0"/>
      <w:marRight w:val="0"/>
      <w:marTop w:val="0"/>
      <w:marBottom w:val="0"/>
      <w:divBdr>
        <w:top w:val="none" w:sz="0" w:space="0" w:color="auto"/>
        <w:left w:val="none" w:sz="0" w:space="0" w:color="auto"/>
        <w:bottom w:val="none" w:sz="0" w:space="0" w:color="auto"/>
        <w:right w:val="none" w:sz="0" w:space="0" w:color="auto"/>
      </w:divBdr>
    </w:div>
    <w:div w:id="2036269912">
      <w:bodyDiv w:val="1"/>
      <w:marLeft w:val="0"/>
      <w:marRight w:val="0"/>
      <w:marTop w:val="0"/>
      <w:marBottom w:val="0"/>
      <w:divBdr>
        <w:top w:val="none" w:sz="0" w:space="0" w:color="auto"/>
        <w:left w:val="none" w:sz="0" w:space="0" w:color="auto"/>
        <w:bottom w:val="none" w:sz="0" w:space="0" w:color="auto"/>
        <w:right w:val="none" w:sz="0" w:space="0" w:color="auto"/>
      </w:divBdr>
    </w:div>
    <w:div w:id="2042627707">
      <w:bodyDiv w:val="1"/>
      <w:marLeft w:val="0"/>
      <w:marRight w:val="0"/>
      <w:marTop w:val="0"/>
      <w:marBottom w:val="0"/>
      <w:divBdr>
        <w:top w:val="none" w:sz="0" w:space="0" w:color="auto"/>
        <w:left w:val="none" w:sz="0" w:space="0" w:color="auto"/>
        <w:bottom w:val="none" w:sz="0" w:space="0" w:color="auto"/>
        <w:right w:val="none" w:sz="0" w:space="0" w:color="auto"/>
      </w:divBdr>
    </w:div>
    <w:div w:id="2042899353">
      <w:bodyDiv w:val="1"/>
      <w:marLeft w:val="0"/>
      <w:marRight w:val="0"/>
      <w:marTop w:val="0"/>
      <w:marBottom w:val="0"/>
      <w:divBdr>
        <w:top w:val="none" w:sz="0" w:space="0" w:color="auto"/>
        <w:left w:val="none" w:sz="0" w:space="0" w:color="auto"/>
        <w:bottom w:val="none" w:sz="0" w:space="0" w:color="auto"/>
        <w:right w:val="none" w:sz="0" w:space="0" w:color="auto"/>
      </w:divBdr>
    </w:div>
    <w:div w:id="2045475052">
      <w:bodyDiv w:val="1"/>
      <w:marLeft w:val="0"/>
      <w:marRight w:val="0"/>
      <w:marTop w:val="0"/>
      <w:marBottom w:val="0"/>
      <w:divBdr>
        <w:top w:val="none" w:sz="0" w:space="0" w:color="auto"/>
        <w:left w:val="none" w:sz="0" w:space="0" w:color="auto"/>
        <w:bottom w:val="none" w:sz="0" w:space="0" w:color="auto"/>
        <w:right w:val="none" w:sz="0" w:space="0" w:color="auto"/>
      </w:divBdr>
    </w:div>
    <w:div w:id="2047949008">
      <w:bodyDiv w:val="1"/>
      <w:marLeft w:val="0"/>
      <w:marRight w:val="0"/>
      <w:marTop w:val="0"/>
      <w:marBottom w:val="0"/>
      <w:divBdr>
        <w:top w:val="none" w:sz="0" w:space="0" w:color="auto"/>
        <w:left w:val="none" w:sz="0" w:space="0" w:color="auto"/>
        <w:bottom w:val="none" w:sz="0" w:space="0" w:color="auto"/>
        <w:right w:val="none" w:sz="0" w:space="0" w:color="auto"/>
      </w:divBdr>
    </w:div>
    <w:div w:id="2048866937">
      <w:bodyDiv w:val="1"/>
      <w:marLeft w:val="0"/>
      <w:marRight w:val="0"/>
      <w:marTop w:val="0"/>
      <w:marBottom w:val="0"/>
      <w:divBdr>
        <w:top w:val="none" w:sz="0" w:space="0" w:color="auto"/>
        <w:left w:val="none" w:sz="0" w:space="0" w:color="auto"/>
        <w:bottom w:val="none" w:sz="0" w:space="0" w:color="auto"/>
        <w:right w:val="none" w:sz="0" w:space="0" w:color="auto"/>
      </w:divBdr>
    </w:div>
    <w:div w:id="2056268170">
      <w:bodyDiv w:val="1"/>
      <w:marLeft w:val="0"/>
      <w:marRight w:val="0"/>
      <w:marTop w:val="0"/>
      <w:marBottom w:val="0"/>
      <w:divBdr>
        <w:top w:val="none" w:sz="0" w:space="0" w:color="auto"/>
        <w:left w:val="none" w:sz="0" w:space="0" w:color="auto"/>
        <w:bottom w:val="none" w:sz="0" w:space="0" w:color="auto"/>
        <w:right w:val="none" w:sz="0" w:space="0" w:color="auto"/>
      </w:divBdr>
    </w:div>
    <w:div w:id="2056394128">
      <w:bodyDiv w:val="1"/>
      <w:marLeft w:val="0"/>
      <w:marRight w:val="0"/>
      <w:marTop w:val="0"/>
      <w:marBottom w:val="0"/>
      <w:divBdr>
        <w:top w:val="none" w:sz="0" w:space="0" w:color="auto"/>
        <w:left w:val="none" w:sz="0" w:space="0" w:color="auto"/>
        <w:bottom w:val="none" w:sz="0" w:space="0" w:color="auto"/>
        <w:right w:val="none" w:sz="0" w:space="0" w:color="auto"/>
      </w:divBdr>
    </w:div>
    <w:div w:id="2076857890">
      <w:bodyDiv w:val="1"/>
      <w:marLeft w:val="0"/>
      <w:marRight w:val="0"/>
      <w:marTop w:val="0"/>
      <w:marBottom w:val="0"/>
      <w:divBdr>
        <w:top w:val="none" w:sz="0" w:space="0" w:color="auto"/>
        <w:left w:val="none" w:sz="0" w:space="0" w:color="auto"/>
        <w:bottom w:val="none" w:sz="0" w:space="0" w:color="auto"/>
        <w:right w:val="none" w:sz="0" w:space="0" w:color="auto"/>
      </w:divBdr>
    </w:div>
    <w:div w:id="2081783033">
      <w:bodyDiv w:val="1"/>
      <w:marLeft w:val="0"/>
      <w:marRight w:val="0"/>
      <w:marTop w:val="0"/>
      <w:marBottom w:val="0"/>
      <w:divBdr>
        <w:top w:val="none" w:sz="0" w:space="0" w:color="auto"/>
        <w:left w:val="none" w:sz="0" w:space="0" w:color="auto"/>
        <w:bottom w:val="none" w:sz="0" w:space="0" w:color="auto"/>
        <w:right w:val="none" w:sz="0" w:space="0" w:color="auto"/>
      </w:divBdr>
    </w:div>
    <w:div w:id="2083483710">
      <w:bodyDiv w:val="1"/>
      <w:marLeft w:val="0"/>
      <w:marRight w:val="0"/>
      <w:marTop w:val="0"/>
      <w:marBottom w:val="0"/>
      <w:divBdr>
        <w:top w:val="none" w:sz="0" w:space="0" w:color="auto"/>
        <w:left w:val="none" w:sz="0" w:space="0" w:color="auto"/>
        <w:bottom w:val="none" w:sz="0" w:space="0" w:color="auto"/>
        <w:right w:val="none" w:sz="0" w:space="0" w:color="auto"/>
      </w:divBdr>
    </w:div>
    <w:div w:id="2083722392">
      <w:bodyDiv w:val="1"/>
      <w:marLeft w:val="0"/>
      <w:marRight w:val="0"/>
      <w:marTop w:val="0"/>
      <w:marBottom w:val="0"/>
      <w:divBdr>
        <w:top w:val="none" w:sz="0" w:space="0" w:color="auto"/>
        <w:left w:val="none" w:sz="0" w:space="0" w:color="auto"/>
        <w:bottom w:val="none" w:sz="0" w:space="0" w:color="auto"/>
        <w:right w:val="none" w:sz="0" w:space="0" w:color="auto"/>
      </w:divBdr>
    </w:div>
    <w:div w:id="2089885040">
      <w:bodyDiv w:val="1"/>
      <w:marLeft w:val="0"/>
      <w:marRight w:val="0"/>
      <w:marTop w:val="0"/>
      <w:marBottom w:val="0"/>
      <w:divBdr>
        <w:top w:val="none" w:sz="0" w:space="0" w:color="auto"/>
        <w:left w:val="none" w:sz="0" w:space="0" w:color="auto"/>
        <w:bottom w:val="none" w:sz="0" w:space="0" w:color="auto"/>
        <w:right w:val="none" w:sz="0" w:space="0" w:color="auto"/>
      </w:divBdr>
    </w:div>
    <w:div w:id="2094621447">
      <w:bodyDiv w:val="1"/>
      <w:marLeft w:val="0"/>
      <w:marRight w:val="0"/>
      <w:marTop w:val="0"/>
      <w:marBottom w:val="0"/>
      <w:divBdr>
        <w:top w:val="none" w:sz="0" w:space="0" w:color="auto"/>
        <w:left w:val="none" w:sz="0" w:space="0" w:color="auto"/>
        <w:bottom w:val="none" w:sz="0" w:space="0" w:color="auto"/>
        <w:right w:val="none" w:sz="0" w:space="0" w:color="auto"/>
      </w:divBdr>
    </w:div>
    <w:div w:id="2097358172">
      <w:bodyDiv w:val="1"/>
      <w:marLeft w:val="0"/>
      <w:marRight w:val="0"/>
      <w:marTop w:val="0"/>
      <w:marBottom w:val="0"/>
      <w:divBdr>
        <w:top w:val="none" w:sz="0" w:space="0" w:color="auto"/>
        <w:left w:val="none" w:sz="0" w:space="0" w:color="auto"/>
        <w:bottom w:val="none" w:sz="0" w:space="0" w:color="auto"/>
        <w:right w:val="none" w:sz="0" w:space="0" w:color="auto"/>
      </w:divBdr>
    </w:div>
    <w:div w:id="2097624758">
      <w:bodyDiv w:val="1"/>
      <w:marLeft w:val="0"/>
      <w:marRight w:val="0"/>
      <w:marTop w:val="0"/>
      <w:marBottom w:val="0"/>
      <w:divBdr>
        <w:top w:val="none" w:sz="0" w:space="0" w:color="auto"/>
        <w:left w:val="none" w:sz="0" w:space="0" w:color="auto"/>
        <w:bottom w:val="none" w:sz="0" w:space="0" w:color="auto"/>
        <w:right w:val="none" w:sz="0" w:space="0" w:color="auto"/>
      </w:divBdr>
    </w:div>
    <w:div w:id="2099905801">
      <w:bodyDiv w:val="1"/>
      <w:marLeft w:val="0"/>
      <w:marRight w:val="0"/>
      <w:marTop w:val="0"/>
      <w:marBottom w:val="0"/>
      <w:divBdr>
        <w:top w:val="none" w:sz="0" w:space="0" w:color="auto"/>
        <w:left w:val="none" w:sz="0" w:space="0" w:color="auto"/>
        <w:bottom w:val="none" w:sz="0" w:space="0" w:color="auto"/>
        <w:right w:val="none" w:sz="0" w:space="0" w:color="auto"/>
      </w:divBdr>
    </w:div>
    <w:div w:id="2112627390">
      <w:bodyDiv w:val="1"/>
      <w:marLeft w:val="0"/>
      <w:marRight w:val="0"/>
      <w:marTop w:val="0"/>
      <w:marBottom w:val="0"/>
      <w:divBdr>
        <w:top w:val="none" w:sz="0" w:space="0" w:color="auto"/>
        <w:left w:val="none" w:sz="0" w:space="0" w:color="auto"/>
        <w:bottom w:val="none" w:sz="0" w:space="0" w:color="auto"/>
        <w:right w:val="none" w:sz="0" w:space="0" w:color="auto"/>
      </w:divBdr>
    </w:div>
    <w:div w:id="2118131590">
      <w:bodyDiv w:val="1"/>
      <w:marLeft w:val="0"/>
      <w:marRight w:val="0"/>
      <w:marTop w:val="0"/>
      <w:marBottom w:val="0"/>
      <w:divBdr>
        <w:top w:val="none" w:sz="0" w:space="0" w:color="auto"/>
        <w:left w:val="none" w:sz="0" w:space="0" w:color="auto"/>
        <w:bottom w:val="none" w:sz="0" w:space="0" w:color="auto"/>
        <w:right w:val="none" w:sz="0" w:space="0" w:color="auto"/>
      </w:divBdr>
    </w:div>
    <w:div w:id="2119517142">
      <w:bodyDiv w:val="1"/>
      <w:marLeft w:val="0"/>
      <w:marRight w:val="0"/>
      <w:marTop w:val="0"/>
      <w:marBottom w:val="0"/>
      <w:divBdr>
        <w:top w:val="none" w:sz="0" w:space="0" w:color="auto"/>
        <w:left w:val="none" w:sz="0" w:space="0" w:color="auto"/>
        <w:bottom w:val="none" w:sz="0" w:space="0" w:color="auto"/>
        <w:right w:val="none" w:sz="0" w:space="0" w:color="auto"/>
      </w:divBdr>
    </w:div>
    <w:div w:id="2119762318">
      <w:bodyDiv w:val="1"/>
      <w:marLeft w:val="0"/>
      <w:marRight w:val="0"/>
      <w:marTop w:val="0"/>
      <w:marBottom w:val="0"/>
      <w:divBdr>
        <w:top w:val="none" w:sz="0" w:space="0" w:color="auto"/>
        <w:left w:val="none" w:sz="0" w:space="0" w:color="auto"/>
        <w:bottom w:val="none" w:sz="0" w:space="0" w:color="auto"/>
        <w:right w:val="none" w:sz="0" w:space="0" w:color="auto"/>
      </w:divBdr>
    </w:div>
    <w:div w:id="2121532033">
      <w:bodyDiv w:val="1"/>
      <w:marLeft w:val="0"/>
      <w:marRight w:val="0"/>
      <w:marTop w:val="0"/>
      <w:marBottom w:val="0"/>
      <w:divBdr>
        <w:top w:val="none" w:sz="0" w:space="0" w:color="auto"/>
        <w:left w:val="none" w:sz="0" w:space="0" w:color="auto"/>
        <w:bottom w:val="none" w:sz="0" w:space="0" w:color="auto"/>
        <w:right w:val="none" w:sz="0" w:space="0" w:color="auto"/>
      </w:divBdr>
    </w:div>
    <w:div w:id="2126076451">
      <w:bodyDiv w:val="1"/>
      <w:marLeft w:val="0"/>
      <w:marRight w:val="0"/>
      <w:marTop w:val="0"/>
      <w:marBottom w:val="0"/>
      <w:divBdr>
        <w:top w:val="none" w:sz="0" w:space="0" w:color="auto"/>
        <w:left w:val="none" w:sz="0" w:space="0" w:color="auto"/>
        <w:bottom w:val="none" w:sz="0" w:space="0" w:color="auto"/>
        <w:right w:val="none" w:sz="0" w:space="0" w:color="auto"/>
      </w:divBdr>
    </w:div>
    <w:div w:id="2126121088">
      <w:bodyDiv w:val="1"/>
      <w:marLeft w:val="0"/>
      <w:marRight w:val="0"/>
      <w:marTop w:val="0"/>
      <w:marBottom w:val="0"/>
      <w:divBdr>
        <w:top w:val="none" w:sz="0" w:space="0" w:color="auto"/>
        <w:left w:val="none" w:sz="0" w:space="0" w:color="auto"/>
        <w:bottom w:val="none" w:sz="0" w:space="0" w:color="auto"/>
        <w:right w:val="none" w:sz="0" w:space="0" w:color="auto"/>
      </w:divBdr>
    </w:div>
    <w:div w:id="2133598038">
      <w:bodyDiv w:val="1"/>
      <w:marLeft w:val="0"/>
      <w:marRight w:val="0"/>
      <w:marTop w:val="0"/>
      <w:marBottom w:val="0"/>
      <w:divBdr>
        <w:top w:val="none" w:sz="0" w:space="0" w:color="auto"/>
        <w:left w:val="none" w:sz="0" w:space="0" w:color="auto"/>
        <w:bottom w:val="none" w:sz="0" w:space="0" w:color="auto"/>
        <w:right w:val="none" w:sz="0" w:space="0" w:color="auto"/>
      </w:divBdr>
    </w:div>
    <w:div w:id="2137142501">
      <w:bodyDiv w:val="1"/>
      <w:marLeft w:val="0"/>
      <w:marRight w:val="0"/>
      <w:marTop w:val="0"/>
      <w:marBottom w:val="0"/>
      <w:divBdr>
        <w:top w:val="none" w:sz="0" w:space="0" w:color="auto"/>
        <w:left w:val="none" w:sz="0" w:space="0" w:color="auto"/>
        <w:bottom w:val="none" w:sz="0" w:space="0" w:color="auto"/>
        <w:right w:val="none" w:sz="0" w:space="0" w:color="auto"/>
      </w:divBdr>
    </w:div>
    <w:div w:id="214578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oleObject" Target="embeddings/oleObject2.bin"/><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al.sp.gov.br/norma/11639" TargetMode="External"/><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2.emf"/><Relationship Id="rId25" Type="http://schemas.openxmlformats.org/officeDocument/2006/relationships/hyperlink" Target="https://www.fazenda.sp.gov.br/SigeoLei131/Paginas/FlexConsDespesa.aspx"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www.fazenda.sp.gov.br/SigeoLei131/Paginas/FlexConsDespesa.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fazenda.sp.gov.br/SigeoLei131/Paginas/FlexConsDespesa.aspx"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http://www4.tce.sp.gov.br/legislacoes-e-normas/instrucoes" TargetMode="External"/><Relationship Id="rId28" Type="http://schemas.openxmlformats.org/officeDocument/2006/relationships/footer" Target="footer1.xml"/><Relationship Id="rId36" Type="http://schemas.openxmlformats.org/officeDocument/2006/relationships/customXml" Target="../customXml/item7.xml"/><Relationship Id="rId10" Type="http://schemas.openxmlformats.org/officeDocument/2006/relationships/hyperlink" Target="https://portal.fazenda.sp.gov.br/servicos/itcmd/Paginas/Sobre.aspx" TargetMode="External"/><Relationship Id="rId19" Type="http://schemas.openxmlformats.org/officeDocument/2006/relationships/hyperlink" Target="https://www.fazenda.sp.gov.br/SigeoLei131/Paginas/FlexConsDespesa.aspx"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portal.fazenda.sp.gov.br/servicos/ipva/Paginas/Sobre.aspx" TargetMode="External"/><Relationship Id="rId14" Type="http://schemas.openxmlformats.org/officeDocument/2006/relationships/chart" Target="charts/chart4.xml"/><Relationship Id="rId22" Type="http://schemas.openxmlformats.org/officeDocument/2006/relationships/hyperlink" Target="https://www.al.sp.gov.br/norma/142419" TargetMode="External"/><Relationship Id="rId27" Type="http://schemas.openxmlformats.org/officeDocument/2006/relationships/header" Target="header1.xml"/><Relationship Id="rId30" Type="http://schemas.openxmlformats.org/officeDocument/2006/relationships/theme" Target="theme/theme1.xml"/><Relationship Id="rId35" Type="http://schemas.openxmlformats.org/officeDocument/2006/relationships/customXml" Target="../customXml/item6.xml"/><Relationship Id="rId8" Type="http://schemas.openxmlformats.org/officeDocument/2006/relationships/hyperlink" Target="https://portal.fazenda.sp.gov.br/servicos/isencao-icms-veiculos/Paginas/Sobre.asp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nfp.fazenda.sp.gov.br/login.aspx?ReturnUrl=%2fPrincipal.aspx" TargetMode="External"/><Relationship Id="rId13" Type="http://schemas.openxmlformats.org/officeDocument/2006/relationships/hyperlink" Target="https://portal.fazenda.sp.gov.br/acessoinformacao/Paginas/Relat%C3%B3rios-da-Receita-Tribut%C3%A1ria.aspx" TargetMode="External"/><Relationship Id="rId18" Type="http://schemas.openxmlformats.org/officeDocument/2006/relationships/hyperlink" Target="https://portal.fazenda.sp.gov.br/Paginas/fale-conosco.aspx" TargetMode="External"/><Relationship Id="rId3" Type="http://schemas.openxmlformats.org/officeDocument/2006/relationships/package" Target="embeddings/Microsoft_Excel_Worksheet.xlsx"/><Relationship Id="rId21" Type="http://schemas.openxmlformats.org/officeDocument/2006/relationships/hyperlink" Target="https://www.fazenda.sp.gov.br/calculadoraeletronica/" TargetMode="External"/><Relationship Id="rId7" Type="http://schemas.openxmlformats.org/officeDocument/2006/relationships/hyperlink" Target="https://www.al.sp.gov.br/spl/2017/09/Propositura/1000171074_1000107594_Propositura.pdf" TargetMode="External"/><Relationship Id="rId12" Type="http://schemas.openxmlformats.org/officeDocument/2006/relationships/hyperlink" Target="https://portal.fazenda.sp.gov.br/acessoinformacao/Paginas/Balan%C3%A7o-Geral-do-Estado.aspx" TargetMode="External"/><Relationship Id="rId17" Type="http://schemas.openxmlformats.org/officeDocument/2006/relationships/hyperlink" Target="https://portal.fazenda.sp.gov.br/servicos/ct/Paginas/Consulta-Tribut%C3%A1ria-Eletr%C3%B4nica-(e-CT).aspx" TargetMode="External"/><Relationship Id="rId25" Type="http://schemas.openxmlformats.org/officeDocument/2006/relationships/hyperlink" Target="http://www.bcb.gov.br/pt-br/" TargetMode="External"/><Relationship Id="rId2" Type="http://schemas.openxmlformats.org/officeDocument/2006/relationships/image" Target="media/image3.emf"/><Relationship Id="rId16" Type="http://schemas.openxmlformats.org/officeDocument/2006/relationships/hyperlink" Target="https://www.fazenda.sp.gov.br/epat/extratoprocesso/PesquisarExtrato.aspx" TargetMode="External"/><Relationship Id="rId20" Type="http://schemas.openxmlformats.org/officeDocument/2006/relationships/hyperlink" Target="https://portal.fazenda.sp.gov.br/Institucional/Paginas/DA.aspx" TargetMode="External"/><Relationship Id="rId1" Type="http://schemas.openxmlformats.org/officeDocument/2006/relationships/hyperlink" Target="http://www.orcamento.planejamento.sp.gov.br/orcamentaria-anual" TargetMode="External"/><Relationship Id="rId6" Type="http://schemas.openxmlformats.org/officeDocument/2006/relationships/hyperlink" Target="http://www.educacaofiscal.sp.gov.br/pages/Materiais_Did%C3%A1ticos/Cursos.shtm" TargetMode="External"/><Relationship Id="rId11" Type="http://schemas.openxmlformats.org/officeDocument/2006/relationships/hyperlink" Target="https://portal.fazenda.sp.gov.br/acessoinformacao/Paginas/Balan%C3%A7o-Geral-do-Estado.aspx" TargetMode="External"/><Relationship Id="rId24" Type="http://schemas.openxmlformats.org/officeDocument/2006/relationships/hyperlink" Target="https://portal.fazenda.sp.gov.br/acessoinformacao/Paginas/Quadro-resumo-do-estoque-de-precat%c3%b3rios-do-Estado-de-S%c3%a3o-Paulo.aspx" TargetMode="External"/><Relationship Id="rId5" Type="http://schemas.openxmlformats.org/officeDocument/2006/relationships/hyperlink" Target="http://www.educacaofiscal.sp.gov.br/contents/CEF%20-%20Plano%20de%20Trabalho%20de%202017%20-%20DOE%20de%2020jan2017.pdf" TargetMode="External"/><Relationship Id="rId15" Type="http://schemas.openxmlformats.org/officeDocument/2006/relationships/hyperlink" Target="https://portal.fazenda.sp.gov.br/acessoinformacao/Paginas/Tribunal-de-Impostos-e-Taxas.aspx" TargetMode="External"/><Relationship Id="rId23" Type="http://schemas.openxmlformats.org/officeDocument/2006/relationships/hyperlink" Target="https://portal.fazenda.sp.gov.br/acessoinformacao/Paginas/Quadro-resumo-precatorio-pequeno-valor.aspx" TargetMode="External"/><Relationship Id="rId10" Type="http://schemas.openxmlformats.org/officeDocument/2006/relationships/hyperlink" Target="https://portal.fazenda.sp.gov.br/acessoinformacao/Paginas/Balan%C3%A7o-Geral-do-Estado.aspx" TargetMode="External"/><Relationship Id="rId19" Type="http://schemas.openxmlformats.org/officeDocument/2006/relationships/hyperlink" Target="http://www.fazenda.sp.gov.br/ouvidoria/ouvidoria.asp" TargetMode="External"/><Relationship Id="rId4" Type="http://schemas.openxmlformats.org/officeDocument/2006/relationships/hyperlink" Target="http://www.transparencia.sp.gov.br/remunera.html" TargetMode="External"/><Relationship Id="rId9" Type="http://schemas.openxmlformats.org/officeDocument/2006/relationships/hyperlink" Target="https://portal.fazenda.sp.gov.br/acessoinformacao/Paginas/Quadros-Demonstrativos-da-Lei-de-Responsabilidade-Fiscal.aspx" TargetMode="External"/><Relationship Id="rId14" Type="http://schemas.openxmlformats.org/officeDocument/2006/relationships/hyperlink" Target="https://portal.fazenda.sp.gov.br/servicos/itcmd/Paginas/Sobre.aspx" TargetMode="External"/><Relationship Id="rId22" Type="http://schemas.openxmlformats.org/officeDocument/2006/relationships/hyperlink" Target="https://portal.fazenda.sp.gov.br/servicos/gnre/Paginas/Restitui%C3%A7%C3%A3o-de-GNRE.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OS\Dropbox\BID%20CCLIP%20PROFISCO%20II%20BR-X1039%20PREPARA&#199;&#195;O\81.2%20PROJETOS%20GRUPO%202%20OUTUBRO2017\05%20PROFISCO%20SP%20BR\05%20MD-GEFIS%20-%20SP\PROFISCO%20II%20%20S&#227;o%20Paulo%20Matriz%20MD%20GEFIS%2024Jul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S\Dropbox\BID%20CCLIP%20PROFISCO%20II%20BR-X1039%20PREPARA&#199;&#195;O\81.2%20PROJETOS%20GRUPO%202%20OUTUBRO2017\05%20PROFISCO%20SP%20BR\05%20MD-GEFIS%20-%20SP\PROFISCO%20II%20%20S&#227;o%20Paulo%20Matriz%20MD%20GEFIS%2024Jul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S\Dropbox\BID%20CCLIP%20PROFISCO%20II%20BR-X1039%20PREPARA&#199;&#195;O\81.2%20PROJETOS%20GRUPO%202%20OUTUBRO2017\05%20PROFISCO%20SP%20BR\05%20MD-GEFIS%20-%20SP\PROFISCO%20II%20%20S&#227;o%20Paulo%20Matriz%20MD%20GEFIS%2024Jul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S\Dropbox\BID%20CCLIP%20PROFISCO%20II%20BR-X1039%20PREPARA&#199;&#195;O\81.2%20PROJETOS%20GRUPO%202%20OUTUBRO2017\05%20PROFISCO%20SP%20BR\05%20MD-GEFIS%20-%20SP\PROFISCO%20II%20%20S&#227;o%20Paulo%20Matriz%20MD%20GEFIS%2024Jul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Segoe UI Light" panose="020B0502040204020203" pitchFamily="34" charset="0"/>
              </a:defRPr>
            </a:pPr>
            <a:r>
              <a:rPr lang="pt-BR" sz="1100" b="0" i="0">
                <a:latin typeface="+mn-lt"/>
                <a:cs typeface="Segoe UI Light" panose="020B0502040204020203" pitchFamily="34" charset="0"/>
              </a:rPr>
              <a:t>Visão Geral da Maturidade dos Processos </a:t>
            </a:r>
          </a:p>
          <a:p>
            <a:pPr>
              <a:defRPr sz="1100" b="0" i="0" u="none" strike="noStrike" kern="1200" spc="0" baseline="0">
                <a:solidFill>
                  <a:sysClr val="windowText" lastClr="000000"/>
                </a:solidFill>
                <a:latin typeface="+mn-lt"/>
                <a:ea typeface="+mn-ea"/>
                <a:cs typeface="Segoe UI Light" panose="020B0502040204020203" pitchFamily="34" charset="0"/>
              </a:defRPr>
            </a:pPr>
            <a:r>
              <a:rPr lang="pt-BR" sz="1100" b="0" i="0">
                <a:latin typeface="+mn-lt"/>
                <a:cs typeface="Segoe UI Light" panose="020B0502040204020203" pitchFamily="34" charset="0"/>
              </a:rPr>
              <a:t>da MD-GEFIS - SP </a:t>
            </a:r>
          </a:p>
        </c:rich>
      </c:tx>
      <c:overlay val="0"/>
      <c:spPr>
        <a:solidFill>
          <a:sysClr val="window" lastClr="FFFFFF"/>
        </a:solidFill>
        <a:ln>
          <a:noFill/>
        </a:ln>
        <a:effectLst/>
      </c:spPr>
    </c:title>
    <c:autoTitleDeleted val="0"/>
    <c:plotArea>
      <c:layout/>
      <c:radarChart>
        <c:radarStyle val="marker"/>
        <c:varyColors val="0"/>
        <c:ser>
          <c:idx val="0"/>
          <c:order val="0"/>
          <c:tx>
            <c:strRef>
              <c:f>'GRÁFICOS DE MATURIDADE (2)'!$E$5</c:f>
              <c:strCache>
                <c:ptCount val="1"/>
                <c:pt idx="0">
                  <c:v>SÃO PAULO</c:v>
                </c:pt>
              </c:strCache>
            </c:strRef>
          </c:tx>
          <c:spPr>
            <a:ln w="28575" cap="rnd">
              <a:solidFill>
                <a:srgbClr val="FF0000"/>
              </a:solidFill>
              <a:round/>
            </a:ln>
            <a:effectLst/>
          </c:spPr>
          <c:marker>
            <c:symbol val="circle"/>
            <c:size val="5"/>
            <c:spPr>
              <a:solidFill>
                <a:srgbClr val="00B050"/>
              </a:solidFill>
              <a:ln w="9525">
                <a:solidFill>
                  <a:srgbClr val="FF0000"/>
                </a:solidFill>
              </a:ln>
              <a:effectLst/>
            </c:spPr>
          </c:marker>
          <c:cat>
            <c:strRef>
              <c:f>'GRÁFICOS DE MATURIDADE (2)'!$C$6:$C$23</c:f>
              <c:strCache>
                <c:ptCount val="18"/>
                <c:pt idx="0">
                  <c:v>GF 1. Governança Pública </c:v>
                </c:pt>
                <c:pt idx="1">
                  <c:v>GF 2. Gestão para Resultados</c:v>
                </c:pt>
                <c:pt idx="2">
                  <c:v>GF 3. Gestão de Pessoas </c:v>
                </c:pt>
                <c:pt idx="3">
                  <c:v>GF 4. Gestão da Tecnologia da Informação</c:v>
                </c:pt>
                <c:pt idx="4">
                  <c:v>GF 5. Gestão de Aquisições e Materiais </c:v>
                </c:pt>
                <c:pt idx="5">
                  <c:v>GF 6. Transparência e Cidadania Fiscal </c:v>
                </c:pt>
                <c:pt idx="6">
                  <c:v>AT 1. Políticas e Gasto Tributário</c:v>
                </c:pt>
                <c:pt idx="7">
                  <c:v>AT 2. Cadastro e Obrigação Tributária</c:v>
                </c:pt>
                <c:pt idx="8">
                  <c:v>AT 3. Fiscalização e Inteligência Fiscal </c:v>
                </c:pt>
                <c:pt idx="9">
                  <c:v>AT 4. Contencioso Fiscal</c:v>
                </c:pt>
                <c:pt idx="10">
                  <c:v>AT 5. Serviços ao Contribuinte</c:v>
                </c:pt>
                <c:pt idx="11">
                  <c:v>AT 6. Cobrança e Arrecadação</c:v>
                </c:pt>
                <c:pt idx="12">
                  <c:v>AF 1. Planejamento e Execução Orçamentária</c:v>
                </c:pt>
                <c:pt idx="13">
                  <c:v>AF 2. Políticas, Programação e Execução Financeira</c:v>
                </c:pt>
                <c:pt idx="14">
                  <c:v>AF 3. Gestão de Ativos e Passivos</c:v>
                </c:pt>
                <c:pt idx="15">
                  <c:v>AF 4. Gestão Contábil</c:v>
                </c:pt>
                <c:pt idx="16">
                  <c:v>AF 5. Gestão da Dívida Pública</c:v>
                </c:pt>
                <c:pt idx="17">
                  <c:v>AF 6. Gestão de Custos e Gastos Públicos</c:v>
                </c:pt>
              </c:strCache>
            </c:strRef>
          </c:cat>
          <c:val>
            <c:numRef>
              <c:f>'GRÁFICOS DE MATURIDADE (2)'!$E$6:$E$23</c:f>
              <c:numCache>
                <c:formatCode>General</c:formatCode>
                <c:ptCount val="18"/>
                <c:pt idx="0">
                  <c:v>3</c:v>
                </c:pt>
                <c:pt idx="1">
                  <c:v>2</c:v>
                </c:pt>
                <c:pt idx="2">
                  <c:v>2</c:v>
                </c:pt>
                <c:pt idx="3">
                  <c:v>3</c:v>
                </c:pt>
                <c:pt idx="4">
                  <c:v>6</c:v>
                </c:pt>
                <c:pt idx="5">
                  <c:v>5</c:v>
                </c:pt>
                <c:pt idx="6">
                  <c:v>3</c:v>
                </c:pt>
                <c:pt idx="7">
                  <c:v>2</c:v>
                </c:pt>
                <c:pt idx="8">
                  <c:v>3</c:v>
                </c:pt>
                <c:pt idx="9">
                  <c:v>3</c:v>
                </c:pt>
                <c:pt idx="10">
                  <c:v>3</c:v>
                </c:pt>
                <c:pt idx="11">
                  <c:v>3</c:v>
                </c:pt>
                <c:pt idx="12">
                  <c:v>5</c:v>
                </c:pt>
                <c:pt idx="13">
                  <c:v>6</c:v>
                </c:pt>
                <c:pt idx="14">
                  <c:v>3</c:v>
                </c:pt>
                <c:pt idx="15">
                  <c:v>3</c:v>
                </c:pt>
                <c:pt idx="16">
                  <c:v>3</c:v>
                </c:pt>
                <c:pt idx="17">
                  <c:v>1</c:v>
                </c:pt>
              </c:numCache>
            </c:numRef>
          </c:val>
          <c:extLst>
            <c:ext xmlns:c16="http://schemas.microsoft.com/office/drawing/2014/chart" uri="{C3380CC4-5D6E-409C-BE32-E72D297353CC}">
              <c16:uniqueId val="{00000000-788D-4F1D-B5AC-61081DCD57CE}"/>
            </c:ext>
          </c:extLst>
        </c:ser>
        <c:dLbls>
          <c:showLegendKey val="0"/>
          <c:showVal val="0"/>
          <c:showCatName val="0"/>
          <c:showSerName val="0"/>
          <c:showPercent val="0"/>
          <c:showBubbleSize val="0"/>
        </c:dLbls>
        <c:axId val="155953792"/>
        <c:axId val="157725824"/>
      </c:radarChart>
      <c:catAx>
        <c:axId val="15595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Segoe UI Light" panose="020B0502040204020203" pitchFamily="34" charset="0"/>
              </a:defRPr>
            </a:pPr>
            <a:endParaRPr lang="en-US"/>
          </a:p>
        </c:txPr>
        <c:crossAx val="157725824"/>
        <c:crosses val="autoZero"/>
        <c:auto val="1"/>
        <c:lblAlgn val="ctr"/>
        <c:lblOffset val="100"/>
        <c:noMultiLvlLbl val="0"/>
      </c:catAx>
      <c:valAx>
        <c:axId val="157725824"/>
        <c:scaling>
          <c:orientation val="minMax"/>
          <c:max val="6"/>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w="22225">
            <a:solidFill>
              <a:srgbClr val="0099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en-US"/>
          </a:p>
        </c:txPr>
        <c:crossAx val="155953792"/>
        <c:crosses val="autoZero"/>
        <c:crossBetween val="between"/>
        <c:minorUnit val="0.1"/>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Segoe UI Light" panose="020B0502040204020203" pitchFamily="34" charset="0"/>
            </a:defRPr>
          </a:pPr>
          <a:endParaRPr lang="en-US"/>
        </a:p>
      </c:txPr>
    </c:legend>
    <c:plotVisOnly val="1"/>
    <c:dispBlanksAs val="gap"/>
    <c:showDLblsOverMax val="0"/>
  </c:chart>
  <c:spPr>
    <a:no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pt-BR" sz="1100" b="0"/>
              <a:t>Maturidade dos Processos por Dimensão </a:t>
            </a:r>
          </a:p>
          <a:p>
            <a:pPr>
              <a:defRPr sz="1100" b="0"/>
            </a:pPr>
            <a:r>
              <a:rPr lang="pt-BR" sz="1100" b="0"/>
              <a:t>Eixo I - Gestão Fazendária e Transparência Fiscal</a:t>
            </a:r>
          </a:p>
        </c:rich>
      </c:tx>
      <c:overlay val="0"/>
      <c:spPr>
        <a:solidFill>
          <a:sysClr val="window" lastClr="FFFFFF"/>
        </a:solidFill>
        <a:ln>
          <a:noFill/>
        </a:ln>
        <a:effectLst/>
      </c:spPr>
    </c:title>
    <c:autoTitleDeleted val="0"/>
    <c:plotArea>
      <c:layout/>
      <c:radarChart>
        <c:radarStyle val="marker"/>
        <c:varyColors val="0"/>
        <c:ser>
          <c:idx val="0"/>
          <c:order val="0"/>
          <c:tx>
            <c:strRef>
              <c:f>'GRÁFICOS DE MATURIDADE'!$E$5</c:f>
              <c:strCache>
                <c:ptCount val="1"/>
                <c:pt idx="0">
                  <c:v>SÃO PAULO</c:v>
                </c:pt>
              </c:strCache>
            </c:strRef>
          </c:tx>
          <c:spPr>
            <a:ln w="28575" cap="rnd">
              <a:solidFill>
                <a:srgbClr val="FF0000"/>
              </a:solidFill>
              <a:round/>
            </a:ln>
            <a:effectLst/>
          </c:spPr>
          <c:marker>
            <c:symbol val="circle"/>
            <c:size val="5"/>
            <c:spPr>
              <a:solidFill>
                <a:srgbClr val="00B050"/>
              </a:solidFill>
              <a:ln w="9525">
                <a:solidFill>
                  <a:srgbClr val="FF0000"/>
                </a:solidFill>
              </a:ln>
              <a:effectLst/>
            </c:spPr>
          </c:marker>
          <c:cat>
            <c:strRef>
              <c:f>'GRÁFICOS DE MATURIDADE'!$C$6:$C$11</c:f>
              <c:strCache>
                <c:ptCount val="6"/>
                <c:pt idx="0">
                  <c:v>GF 1. Governança Pública </c:v>
                </c:pt>
                <c:pt idx="1">
                  <c:v>GF 2. Gestão para Resultados</c:v>
                </c:pt>
                <c:pt idx="2">
                  <c:v>GF 3. Gestão de Pessoas </c:v>
                </c:pt>
                <c:pt idx="3">
                  <c:v>GF 4. Gestão da Tecnologia da Informação</c:v>
                </c:pt>
                <c:pt idx="4">
                  <c:v>GF 5. Gestão de Aquisições e Materiais </c:v>
                </c:pt>
                <c:pt idx="5">
                  <c:v>GF 6. Transparência e Cidadania Fiscal </c:v>
                </c:pt>
              </c:strCache>
            </c:strRef>
          </c:cat>
          <c:val>
            <c:numRef>
              <c:f>'GRÁFICOS DE MATURIDADE'!$E$6:$E$11</c:f>
              <c:numCache>
                <c:formatCode>General</c:formatCode>
                <c:ptCount val="6"/>
                <c:pt idx="0">
                  <c:v>3</c:v>
                </c:pt>
                <c:pt idx="1">
                  <c:v>2</c:v>
                </c:pt>
                <c:pt idx="2">
                  <c:v>2</c:v>
                </c:pt>
                <c:pt idx="3">
                  <c:v>3</c:v>
                </c:pt>
                <c:pt idx="4">
                  <c:v>6</c:v>
                </c:pt>
                <c:pt idx="5">
                  <c:v>5</c:v>
                </c:pt>
              </c:numCache>
            </c:numRef>
          </c:val>
          <c:extLst>
            <c:ext xmlns:c16="http://schemas.microsoft.com/office/drawing/2014/chart" uri="{C3380CC4-5D6E-409C-BE32-E72D297353CC}">
              <c16:uniqueId val="{00000000-788D-4F1D-B5AC-61081DCD57CE}"/>
            </c:ext>
          </c:extLst>
        </c:ser>
        <c:dLbls>
          <c:showLegendKey val="0"/>
          <c:showVal val="0"/>
          <c:showCatName val="0"/>
          <c:showSerName val="0"/>
          <c:showPercent val="0"/>
          <c:showBubbleSize val="0"/>
        </c:dLbls>
        <c:axId val="165745792"/>
        <c:axId val="177988736"/>
      </c:radarChart>
      <c:catAx>
        <c:axId val="16574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b="0"/>
            </a:pPr>
            <a:endParaRPr lang="en-US"/>
          </a:p>
        </c:txPr>
        <c:crossAx val="177988736"/>
        <c:crosses val="autoZero"/>
        <c:auto val="1"/>
        <c:lblAlgn val="ctr"/>
        <c:lblOffset val="100"/>
        <c:noMultiLvlLbl val="0"/>
      </c:catAx>
      <c:valAx>
        <c:axId val="177988736"/>
        <c:scaling>
          <c:orientation val="minMax"/>
          <c:max val="6"/>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w="22225">
            <a:solidFill>
              <a:srgbClr val="009900"/>
            </a:solidFill>
          </a:ln>
          <a:effectLst/>
        </c:spPr>
        <c:txPr>
          <a:bodyPr rot="-60000000" vert="horz"/>
          <a:lstStyle/>
          <a:p>
            <a:pPr>
              <a:defRPr b="1"/>
            </a:pPr>
            <a:endParaRPr lang="en-US"/>
          </a:p>
        </c:txPr>
        <c:crossAx val="165745792"/>
        <c:crosses val="autoZero"/>
        <c:crossBetween val="between"/>
        <c:minorUnit val="0.1"/>
      </c:valAx>
      <c:spPr>
        <a:solidFill>
          <a:schemeClr val="bg1"/>
        </a:solid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noFill/>
    <a:ln w="9525" cap="flat" cmpd="sng" algn="ctr">
      <a:solidFill>
        <a:schemeClr val="tx1"/>
      </a:solidFill>
      <a:round/>
    </a:ln>
    <a:effectLst/>
  </c:spPr>
  <c:txPr>
    <a:bodyPr/>
    <a:lstStyle/>
    <a:p>
      <a:pPr>
        <a:defRPr>
          <a:solidFill>
            <a:sysClr val="windowText" lastClr="000000"/>
          </a:solidFill>
          <a:latin typeface="+mn-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Segoe UI Light" panose="020B0502040204020203" pitchFamily="34" charset="0"/>
              </a:defRPr>
            </a:pPr>
            <a:r>
              <a:rPr lang="pt-BR" sz="1100" b="0" i="0">
                <a:latin typeface="+mn-lt"/>
                <a:cs typeface="Segoe UI Light" panose="020B0502040204020203" pitchFamily="34" charset="0"/>
              </a:rPr>
              <a:t>Maturidade dos Processos por</a:t>
            </a:r>
            <a:r>
              <a:rPr lang="pt-BR" sz="1100" b="0" i="0" baseline="0">
                <a:latin typeface="+mn-lt"/>
                <a:cs typeface="Segoe UI Light" panose="020B0502040204020203" pitchFamily="34" charset="0"/>
              </a:rPr>
              <a:t> Dimensão</a:t>
            </a:r>
            <a:r>
              <a:rPr lang="pt-BR" sz="1100" b="0" i="0">
                <a:latin typeface="+mn-lt"/>
                <a:cs typeface="Segoe UI Light" panose="020B0502040204020203" pitchFamily="34" charset="0"/>
              </a:rPr>
              <a:t> </a:t>
            </a:r>
          </a:p>
          <a:p>
            <a:pPr>
              <a:defRPr sz="1100" b="0" i="0" u="none" strike="noStrike" kern="1200" spc="0" baseline="0">
                <a:solidFill>
                  <a:sysClr val="windowText" lastClr="000000"/>
                </a:solidFill>
                <a:latin typeface="+mn-lt"/>
                <a:ea typeface="+mn-ea"/>
                <a:cs typeface="Segoe UI Light" panose="020B0502040204020203" pitchFamily="34" charset="0"/>
              </a:defRPr>
            </a:pPr>
            <a:r>
              <a:rPr lang="pt-BR" sz="1100" b="0" i="0">
                <a:latin typeface="+mn-lt"/>
                <a:cs typeface="Segoe UI Light" panose="020B0502040204020203" pitchFamily="34" charset="0"/>
              </a:rPr>
              <a:t>Eixo II - Administração</a:t>
            </a:r>
            <a:r>
              <a:rPr lang="pt-BR" sz="1100" b="0" i="0" baseline="0">
                <a:latin typeface="+mn-lt"/>
                <a:cs typeface="Segoe UI Light" panose="020B0502040204020203" pitchFamily="34" charset="0"/>
              </a:rPr>
              <a:t> Tributária e Contencioso Fiscal </a:t>
            </a:r>
            <a:endParaRPr lang="pt-BR" sz="1100" b="0" i="0">
              <a:latin typeface="+mn-lt"/>
              <a:cs typeface="Segoe UI Light" panose="020B0502040204020203" pitchFamily="34" charset="0"/>
            </a:endParaRPr>
          </a:p>
        </c:rich>
      </c:tx>
      <c:overlay val="0"/>
      <c:spPr>
        <a:solidFill>
          <a:sysClr val="window" lastClr="FFFFFF"/>
        </a:solidFill>
        <a:ln>
          <a:noFill/>
        </a:ln>
        <a:effectLst/>
      </c:spPr>
    </c:title>
    <c:autoTitleDeleted val="0"/>
    <c:plotArea>
      <c:layout/>
      <c:radarChart>
        <c:radarStyle val="marker"/>
        <c:varyColors val="0"/>
        <c:ser>
          <c:idx val="0"/>
          <c:order val="0"/>
          <c:tx>
            <c:strRef>
              <c:f>'GRÁFICOS DE MATURIDADE'!$E$5</c:f>
              <c:strCache>
                <c:ptCount val="1"/>
                <c:pt idx="0">
                  <c:v>SÃO PAULO</c:v>
                </c:pt>
              </c:strCache>
            </c:strRef>
          </c:tx>
          <c:spPr>
            <a:ln w="28575" cap="rnd">
              <a:solidFill>
                <a:srgbClr val="FF0000"/>
              </a:solidFill>
              <a:round/>
            </a:ln>
            <a:effectLst/>
          </c:spPr>
          <c:marker>
            <c:symbol val="circle"/>
            <c:size val="5"/>
            <c:spPr>
              <a:solidFill>
                <a:srgbClr val="00B050"/>
              </a:solidFill>
              <a:ln w="9525">
                <a:solidFill>
                  <a:srgbClr val="FF0000"/>
                </a:solidFill>
              </a:ln>
              <a:effectLst/>
            </c:spPr>
          </c:marker>
          <c:cat>
            <c:strRef>
              <c:f>'GRÁFICOS DE MATURIDADE'!$C$13:$C$18</c:f>
              <c:strCache>
                <c:ptCount val="6"/>
                <c:pt idx="0">
                  <c:v>AT 1. Políticas e Gasto Tributário</c:v>
                </c:pt>
                <c:pt idx="1">
                  <c:v>AT 2. Cadastro e Obrigação Tributária</c:v>
                </c:pt>
                <c:pt idx="2">
                  <c:v>AT 3. Fiscalização e Inteligência Fiscal </c:v>
                </c:pt>
                <c:pt idx="3">
                  <c:v>AT 4. Contencioso Fiscal</c:v>
                </c:pt>
                <c:pt idx="4">
                  <c:v>AT 5. Serviços ao Contribuinte</c:v>
                </c:pt>
                <c:pt idx="5">
                  <c:v>AT 6. Cobrança e Arrecadação</c:v>
                </c:pt>
              </c:strCache>
            </c:strRef>
          </c:cat>
          <c:val>
            <c:numRef>
              <c:f>'GRÁFICOS DE MATURIDADE'!$E$13:$E$18</c:f>
              <c:numCache>
                <c:formatCode>General</c:formatCode>
                <c:ptCount val="6"/>
                <c:pt idx="0">
                  <c:v>3</c:v>
                </c:pt>
                <c:pt idx="1">
                  <c:v>2</c:v>
                </c:pt>
                <c:pt idx="2">
                  <c:v>3</c:v>
                </c:pt>
                <c:pt idx="3">
                  <c:v>3</c:v>
                </c:pt>
                <c:pt idx="4">
                  <c:v>3</c:v>
                </c:pt>
                <c:pt idx="5">
                  <c:v>3</c:v>
                </c:pt>
              </c:numCache>
            </c:numRef>
          </c:val>
          <c:extLst>
            <c:ext xmlns:c16="http://schemas.microsoft.com/office/drawing/2014/chart" uri="{C3380CC4-5D6E-409C-BE32-E72D297353CC}">
              <c16:uniqueId val="{00000000-788D-4F1D-B5AC-61081DCD57CE}"/>
            </c:ext>
          </c:extLst>
        </c:ser>
        <c:dLbls>
          <c:showLegendKey val="0"/>
          <c:showVal val="0"/>
          <c:showCatName val="0"/>
          <c:showSerName val="0"/>
          <c:showPercent val="0"/>
          <c:showBubbleSize val="0"/>
        </c:dLbls>
        <c:axId val="206051200"/>
        <c:axId val="206069120"/>
      </c:radarChart>
      <c:catAx>
        <c:axId val="20605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Segoe UI Light" panose="020B0502040204020203" pitchFamily="34" charset="0"/>
              </a:defRPr>
            </a:pPr>
            <a:endParaRPr lang="en-US"/>
          </a:p>
        </c:txPr>
        <c:crossAx val="206069120"/>
        <c:crosses val="autoZero"/>
        <c:auto val="1"/>
        <c:lblAlgn val="ctr"/>
        <c:lblOffset val="100"/>
        <c:noMultiLvlLbl val="0"/>
      </c:catAx>
      <c:valAx>
        <c:axId val="206069120"/>
        <c:scaling>
          <c:orientation val="minMax"/>
          <c:max val="6"/>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w="22225">
            <a:solidFill>
              <a:srgbClr val="009900"/>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Segoe UI Light" panose="020B0502040204020203" pitchFamily="34" charset="0"/>
                <a:ea typeface="+mn-ea"/>
                <a:cs typeface="Segoe UI Light" panose="020B0502040204020203" pitchFamily="34" charset="0"/>
              </a:defRPr>
            </a:pPr>
            <a:endParaRPr lang="en-US"/>
          </a:p>
        </c:txPr>
        <c:crossAx val="206051200"/>
        <c:crosses val="autoZero"/>
        <c:crossBetween val="between"/>
        <c:minorUnit val="0.1"/>
      </c:valAx>
      <c:spPr>
        <a:solidFill>
          <a:schemeClr val="bg1"/>
        </a:solidFill>
        <a:ln>
          <a:noFill/>
        </a:ln>
        <a:effectLst/>
      </c:spPr>
    </c:plotArea>
    <c:legend>
      <c:legendPos val="b"/>
      <c:layout>
        <c:manualLayout>
          <c:xMode val="edge"/>
          <c:yMode val="edge"/>
          <c:x val="0.39563644785043978"/>
          <c:y val="0.86715718793792529"/>
          <c:w val="0.21407469788201641"/>
          <c:h val="4.321413088408763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Segoe UI Light" panose="020B0502040204020203" pitchFamily="34" charset="0"/>
            </a:defRPr>
          </a:pPr>
          <a:endParaRPr lang="en-US"/>
        </a:p>
      </c:txPr>
    </c:legend>
    <c:plotVisOnly val="1"/>
    <c:dispBlanksAs val="gap"/>
    <c:showDLblsOverMax val="0"/>
  </c:chart>
  <c:spPr>
    <a:no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pt-BR" sz="1100" b="0"/>
              <a:t>Maturidade dos Processos por Dimensão </a:t>
            </a:r>
          </a:p>
          <a:p>
            <a:pPr>
              <a:defRPr sz="1100" b="0"/>
            </a:pPr>
            <a:r>
              <a:rPr lang="pt-BR" sz="1100" b="0"/>
              <a:t>Eixo III- Administração Financeira e Gasto Público </a:t>
            </a:r>
          </a:p>
        </c:rich>
      </c:tx>
      <c:overlay val="0"/>
      <c:spPr>
        <a:solidFill>
          <a:sysClr val="window" lastClr="FFFFFF"/>
        </a:solidFill>
        <a:ln>
          <a:noFill/>
        </a:ln>
        <a:effectLst/>
      </c:spPr>
    </c:title>
    <c:autoTitleDeleted val="0"/>
    <c:plotArea>
      <c:layout/>
      <c:radarChart>
        <c:radarStyle val="marker"/>
        <c:varyColors val="0"/>
        <c:ser>
          <c:idx val="0"/>
          <c:order val="0"/>
          <c:tx>
            <c:strRef>
              <c:f>'GRÁFICOS DE MATURIDADE'!$E$5</c:f>
              <c:strCache>
                <c:ptCount val="1"/>
                <c:pt idx="0">
                  <c:v>SÃO PAULO</c:v>
                </c:pt>
              </c:strCache>
            </c:strRef>
          </c:tx>
          <c:spPr>
            <a:ln w="28575" cap="rnd">
              <a:solidFill>
                <a:srgbClr val="FF0000"/>
              </a:solidFill>
              <a:round/>
            </a:ln>
            <a:effectLst/>
          </c:spPr>
          <c:marker>
            <c:symbol val="circle"/>
            <c:size val="5"/>
            <c:spPr>
              <a:solidFill>
                <a:srgbClr val="00B050"/>
              </a:solidFill>
              <a:ln w="9525">
                <a:solidFill>
                  <a:srgbClr val="FF0000"/>
                </a:solidFill>
              </a:ln>
              <a:effectLst/>
            </c:spPr>
          </c:marker>
          <c:cat>
            <c:strRef>
              <c:f>'GRÁFICOS DE MATURIDADE'!$C$20:$C$25</c:f>
              <c:strCache>
                <c:ptCount val="6"/>
                <c:pt idx="0">
                  <c:v>AF 1. Planejamento e Execução Orçamentária</c:v>
                </c:pt>
                <c:pt idx="1">
                  <c:v>AF 2. Políticas, Programação e Execução Financeira</c:v>
                </c:pt>
                <c:pt idx="2">
                  <c:v>AF 3. Gestão de Ativos e Passivos</c:v>
                </c:pt>
                <c:pt idx="3">
                  <c:v>AF 4. Gestão Contábil</c:v>
                </c:pt>
                <c:pt idx="4">
                  <c:v>AF 5. Gestão da Dívida Pública</c:v>
                </c:pt>
                <c:pt idx="5">
                  <c:v>AF 6. Gestão de Custos e Gastos Públicos</c:v>
                </c:pt>
              </c:strCache>
            </c:strRef>
          </c:cat>
          <c:val>
            <c:numRef>
              <c:f>'GRÁFICOS DE MATURIDADE'!$E$20:$E$25</c:f>
              <c:numCache>
                <c:formatCode>General</c:formatCode>
                <c:ptCount val="6"/>
                <c:pt idx="0">
                  <c:v>5</c:v>
                </c:pt>
                <c:pt idx="1">
                  <c:v>6</c:v>
                </c:pt>
                <c:pt idx="2">
                  <c:v>3</c:v>
                </c:pt>
                <c:pt idx="3">
                  <c:v>3</c:v>
                </c:pt>
                <c:pt idx="4">
                  <c:v>3</c:v>
                </c:pt>
                <c:pt idx="5">
                  <c:v>1</c:v>
                </c:pt>
              </c:numCache>
            </c:numRef>
          </c:val>
          <c:extLst>
            <c:ext xmlns:c16="http://schemas.microsoft.com/office/drawing/2014/chart" uri="{C3380CC4-5D6E-409C-BE32-E72D297353CC}">
              <c16:uniqueId val="{00000000-788D-4F1D-B5AC-61081DCD57CE}"/>
            </c:ext>
          </c:extLst>
        </c:ser>
        <c:dLbls>
          <c:showLegendKey val="0"/>
          <c:showVal val="0"/>
          <c:showCatName val="0"/>
          <c:showSerName val="0"/>
          <c:showPercent val="0"/>
          <c:showBubbleSize val="0"/>
        </c:dLbls>
        <c:axId val="98768000"/>
        <c:axId val="98769920"/>
      </c:radarChart>
      <c:catAx>
        <c:axId val="9876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latin typeface="+mn-lt"/>
              </a:defRPr>
            </a:pPr>
            <a:endParaRPr lang="en-US"/>
          </a:p>
        </c:txPr>
        <c:crossAx val="98769920"/>
        <c:crosses val="autoZero"/>
        <c:auto val="1"/>
        <c:lblAlgn val="ctr"/>
        <c:lblOffset val="100"/>
        <c:noMultiLvlLbl val="0"/>
      </c:catAx>
      <c:valAx>
        <c:axId val="98769920"/>
        <c:scaling>
          <c:orientation val="minMax"/>
          <c:max val="6"/>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w="22225">
            <a:solidFill>
              <a:srgbClr val="009900"/>
            </a:solidFill>
          </a:ln>
          <a:effectLst/>
        </c:spPr>
        <c:txPr>
          <a:bodyPr rot="-60000000" vert="horz"/>
          <a:lstStyle/>
          <a:p>
            <a:pPr>
              <a:defRPr b="1"/>
            </a:pPr>
            <a:endParaRPr lang="en-US"/>
          </a:p>
        </c:txPr>
        <c:crossAx val="98768000"/>
        <c:crosses val="autoZero"/>
        <c:crossBetween val="between"/>
        <c:minorUnit val="0.1"/>
      </c:valAx>
      <c:spPr>
        <a:solidFill>
          <a:schemeClr val="bg1"/>
        </a:solidFill>
        <a:ln>
          <a:noFill/>
        </a:ln>
        <a:effectLst/>
      </c:spPr>
    </c:plotArea>
    <c:legend>
      <c:legendPos val="b"/>
      <c:layout>
        <c:manualLayout>
          <c:xMode val="edge"/>
          <c:yMode val="edge"/>
          <c:x val="0.39144820533797869"/>
          <c:y val="0.88838691035180239"/>
          <c:w val="0.22228886295842951"/>
          <c:h val="6.2049210203442562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solidFill>
        <a:schemeClr val="tx1"/>
      </a:solidFill>
      <a:round/>
    </a:ln>
    <a:effectLst/>
  </c:spPr>
  <c:txPr>
    <a:bodyPr/>
    <a:lstStyle/>
    <a:p>
      <a:pPr>
        <a:defRPr>
          <a:solidFill>
            <a:sysClr val="windowText" lastClr="000000"/>
          </a:solidFill>
          <a:latin typeface="+mn-lt"/>
        </a:defRPr>
      </a:pPr>
      <a:endParaRPr lang="en-US"/>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ae61f9b1-e23d-4f49-b3d7-56b991556c4b" ContentTypeId="0x0101001A458A224826124E8B45B1D613300CFC" PreviousValue="false"/>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3E623B350CFE5749AF3B80120C03890A" ma:contentTypeVersion="1939" ma:contentTypeDescription="A content type to manage public (operations) IDB documents" ma:contentTypeScope="" ma:versionID="fa9ba51c0da3b70ee42efdf622d24056">
  <xsd:schema xmlns:xsd="http://www.w3.org/2001/XMLSchema" xmlns:xs="http://www.w3.org/2001/XMLSchema" xmlns:p="http://schemas.microsoft.com/office/2006/metadata/properties" xmlns:ns2="cdc7663a-08f0-4737-9e8c-148ce897a09c" targetNamespace="http://schemas.microsoft.com/office/2006/metadata/properties" ma:root="true" ma:fieldsID="16eea9b89b642c60eb6b3f130d1ec1ab"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BR-L1516"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default="Loan Operation"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7.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 - Simultaneous Disclosure</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Brazil</TermName>
          <TermId xmlns="http://schemas.microsoft.com/office/infopath/2007/PartnerControls">7deb27ec-6837-4974-9aa8-6cfbac841ef8</TermId>
        </TermInfo>
      </Terms>
    </ic46d7e087fd4a108fb86518ca413cc6>
    <IDBDocs_x0020_Number xmlns="cdc7663a-08f0-4737-9e8c-148ce897a09c" xsi:nil="true"/>
    <Division_x0020_or_x0020_Unit xmlns="cdc7663a-08f0-4737-9e8c-148ce897a09c">IFD/FMM</Division_x0020_or_x0020_Unit>
    <Fiscal_x0020_Year_x0020_IDB xmlns="cdc7663a-08f0-4737-9e8c-148ce897a09c">2018</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Maria Kevish</Other_x0020_Author>
    <Migration_x0020_Info xmlns="cdc7663a-08f0-4737-9e8c-148ce897a09c" xsi:nil="true"/>
    <Approval_x0020_Number xmlns="cdc7663a-08f0-4737-9e8c-148ce897a09c" xsi:nil="true"/>
    <Phase xmlns="cdc7663a-08f0-4737-9e8c-148ce897a09c" xsi:nil="true"/>
    <Document_x0020_Author xmlns="cdc7663a-08f0-4737-9e8c-148ce897a09c">Maria Crsitina Mac Dowell</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REFORM / MODERNIZATION OF THE STATE</TermName>
          <TermId xmlns="http://schemas.microsoft.com/office/infopath/2007/PartnerControls">2a848641-6d37-4d5e-b2b0-f391eeec3133</TermId>
        </TermInfo>
      </Terms>
    </b2ec7cfb18674cb8803df6b262e8b107>
    <Business_x0020_Area xmlns="cdc7663a-08f0-4737-9e8c-148ce897a09c" xsi:nil="true"/>
    <Key_x0020_Document xmlns="cdc7663a-08f0-4737-9e8c-148ce897a09c">false</Key_x0020_Document>
    <Document_x0020_Language_x0020_IDB xmlns="cdc7663a-08f0-4737-9e8c-148ce897a09c">Portuguese</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axCatchAll xmlns="cdc7663a-08f0-4737-9e8c-148ce897a09c">
      <Value>33</Value>
      <Value>30</Value>
      <Value>31</Value>
      <Value>317</Value>
      <Value>1</Value>
    </TaxCatchAll>
    <Operation_x0020_Type xmlns="cdc7663a-08f0-4737-9e8c-148ce897a09c">Loan Operation</Operation_x0020_Type>
    <Package_x0020_Code xmlns="cdc7663a-08f0-4737-9e8c-148ce897a09c" xsi:nil="true"/>
    <Identifier xmlns="cdc7663a-08f0-4737-9e8c-148ce897a09c" xsi:nil="true"/>
    <Project_x0020_Number xmlns="cdc7663a-08f0-4737-9e8c-148ce897a09c">BR-L1516</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REFORM / MODERNIZATION OF THE STATE</TermName>
          <TermId xmlns="http://schemas.microsoft.com/office/infopath/2007/PartnerControls">c8fda4a7-691a-4c65-b227-9825197b5cd2</TermId>
        </TermInfo>
      </Terms>
    </nddeef1749674d76abdbe4b239a70bc6>
    <Record_x0020_Number xmlns="cdc7663a-08f0-4737-9e8c-148ce897a09c">R0002431137</Record_x0020_Number>
    <_dlc_DocId xmlns="cdc7663a-08f0-4737-9e8c-148ce897a09c">EZSHARE-975933420-33</_dlc_DocId>
    <_dlc_DocIdUrl xmlns="cdc7663a-08f0-4737-9e8c-148ce897a09c">
      <Url>https://idbg.sharepoint.com/teams/EZ-BR-LON/BR-L1516/_layouts/15/DocIdRedir.aspx?ID=EZSHARE-975933420-33</Url>
      <Description>EZSHARE-975933420-33</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E4392EF1-656C-4AA4-A006-7B926F623512}">
  <ds:schemaRefs>
    <ds:schemaRef ds:uri="http://schemas.openxmlformats.org/officeDocument/2006/bibliography"/>
  </ds:schemaRefs>
</ds:datastoreItem>
</file>

<file path=customXml/itemProps2.xml><?xml version="1.0" encoding="utf-8"?>
<ds:datastoreItem xmlns:ds="http://schemas.openxmlformats.org/officeDocument/2006/customXml" ds:itemID="{A22BF6B0-756F-42AB-91A7-225D5847ED12}"/>
</file>

<file path=customXml/itemProps3.xml><?xml version="1.0" encoding="utf-8"?>
<ds:datastoreItem xmlns:ds="http://schemas.openxmlformats.org/officeDocument/2006/customXml" ds:itemID="{2B97B6F9-1615-40CA-9282-697FFE4143F5}"/>
</file>

<file path=customXml/itemProps4.xml><?xml version="1.0" encoding="utf-8"?>
<ds:datastoreItem xmlns:ds="http://schemas.openxmlformats.org/officeDocument/2006/customXml" ds:itemID="{8B16B095-25F1-412C-9D4D-D1EEFD12B1E0}"/>
</file>

<file path=customXml/itemProps5.xml><?xml version="1.0" encoding="utf-8"?>
<ds:datastoreItem xmlns:ds="http://schemas.openxmlformats.org/officeDocument/2006/customXml" ds:itemID="{412966B6-EA5B-4F4D-8276-CCFF8F9F484E}"/>
</file>

<file path=customXml/itemProps6.xml><?xml version="1.0" encoding="utf-8"?>
<ds:datastoreItem xmlns:ds="http://schemas.openxmlformats.org/officeDocument/2006/customXml" ds:itemID="{9D81BA77-730C-4C81-A77F-AF9818289F20}"/>
</file>

<file path=customXml/itemProps7.xml><?xml version="1.0" encoding="utf-8"?>
<ds:datastoreItem xmlns:ds="http://schemas.openxmlformats.org/officeDocument/2006/customXml" ds:itemID="{3258268F-D617-4A51-A15C-EF72989DA40C}"/>
</file>

<file path=docProps/app.xml><?xml version="1.0" encoding="utf-8"?>
<Properties xmlns="http://schemas.openxmlformats.org/officeDocument/2006/extended-properties" xmlns:vt="http://schemas.openxmlformats.org/officeDocument/2006/docPropsVTypes">
  <Template>Normal.dotm</Template>
  <TotalTime>2632</TotalTime>
  <Pages>81</Pages>
  <Words>35031</Words>
  <Characters>199677</Characters>
  <Application>Microsoft Office Word</Application>
  <DocSecurity>0</DocSecurity>
  <Lines>1663</Lines>
  <Paragraphs>468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234240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keywords/>
  <cp:lastModifiedBy>Maria Cristina Mac Dowell</cp:lastModifiedBy>
  <cp:revision>33</cp:revision>
  <dcterms:created xsi:type="dcterms:W3CDTF">2018-06-05T14:53:00Z</dcterms:created>
  <dcterms:modified xsi:type="dcterms:W3CDTF">2018-06-29T21:35:00Z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317;#REFORM / MODERNIZATION OF THE STATE|2a848641-6d37-4d5e-b2b0-f391eeec3133</vt:lpwstr>
  </property>
  <property fmtid="{D5CDD505-2E9C-101B-9397-08002B2CF9AE}" pid="7" name="Fund IDB">
    <vt:lpwstr>33;#ORC|c028a4b2-ad8b-4cf4-9cac-a2ae6a778e23</vt:lpwstr>
  </property>
  <property fmtid="{D5CDD505-2E9C-101B-9397-08002B2CF9AE}" pid="8" name="Country">
    <vt:lpwstr>30;#Brazil|7deb27ec-6837-4974-9aa8-6cfbac841ef8</vt:lpwstr>
  </property>
  <property fmtid="{D5CDD505-2E9C-101B-9397-08002B2CF9AE}" pid="9" name="Sector IDB">
    <vt:lpwstr>31;#REFORM / MODERNIZATION OF THE STATE|c8fda4a7-691a-4c65-b227-9825197b5cd2</vt:lpwstr>
  </property>
  <property fmtid="{D5CDD505-2E9C-101B-9397-08002B2CF9AE}" pid="10" name="Function Operations IDB">
    <vt:lpwstr>1;#Project Preparation, Planning and Design|29ca0c72-1fc4-435f-a09c-28585cb5eac9</vt:lpwstr>
  </property>
  <property fmtid="{D5CDD505-2E9C-101B-9397-08002B2CF9AE}" pid="11" name="_dlc_DocIdItemGuid">
    <vt:lpwstr>1b32bb81-9992-413e-8b93-c127a29ee1a6</vt:lpwstr>
  </property>
  <property fmtid="{D5CDD505-2E9C-101B-9397-08002B2CF9AE}" pid="12" name="Disclosure Activity">
    <vt:lpwstr>Loan Proposal</vt:lpwstr>
  </property>
  <property fmtid="{D5CDD505-2E9C-101B-9397-08002B2CF9AE}" pid="13" name="ContentTypeId">
    <vt:lpwstr>0x0101001A458A224826124E8B45B1D613300CFC003E623B350CFE5749AF3B80120C03890A</vt:lpwstr>
  </property>
</Properties>
</file>