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6F" w:rsidRPr="00BF286F" w:rsidRDefault="00BF286F" w:rsidP="00BF286F">
      <w:pPr>
        <w:keepNext/>
        <w:tabs>
          <w:tab w:val="left" w:pos="1440"/>
          <w:tab w:val="left" w:pos="3060"/>
        </w:tabs>
        <w:spacing w:after="0" w:line="240" w:lineRule="auto"/>
        <w:jc w:val="center"/>
        <w:outlineLvl w:val="0"/>
        <w:rPr>
          <w:rFonts w:ascii="Cambria" w:eastAsia="Times New Roman" w:hAnsi="Cambria" w:cs="Times New Roman"/>
          <w:smallCaps/>
          <w:sz w:val="24"/>
          <w:szCs w:val="20"/>
          <w:lang w:val="es-ES"/>
        </w:rPr>
      </w:pPr>
      <w:bookmarkStart w:id="0" w:name="_GoBack"/>
      <w:bookmarkEnd w:id="0"/>
      <w:r w:rsidRPr="00BF286F">
        <w:rPr>
          <w:rFonts w:ascii="Cambria" w:eastAsia="Times New Roman" w:hAnsi="Cambria" w:cs="Times New Roman"/>
          <w:smallCaps/>
          <w:sz w:val="24"/>
          <w:szCs w:val="20"/>
          <w:lang w:val="es-ES"/>
        </w:rPr>
        <w:t>Documento preparado para el Banco Interamericano de Desarrollo</w:t>
      </w: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Default="00BF286F" w:rsidP="00DD0A41">
      <w:pPr>
        <w:keepNext/>
        <w:spacing w:after="0" w:line="240" w:lineRule="auto"/>
        <w:jc w:val="center"/>
        <w:rPr>
          <w:rFonts w:ascii="Times New Roman" w:eastAsia="Times New Roman" w:hAnsi="Times New Roman"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Default="00BF286F" w:rsidP="00DD0A41">
      <w:pPr>
        <w:keepNext/>
        <w:spacing w:after="0" w:line="240" w:lineRule="auto"/>
        <w:jc w:val="center"/>
        <w:rPr>
          <w:rFonts w:ascii="Cambria" w:eastAsia="Times New Roman" w:hAnsi="Cambria" w:cs="Times New Roman"/>
          <w:b/>
          <w:smallCaps/>
          <w:sz w:val="28"/>
          <w:szCs w:val="28"/>
          <w:lang w:val="es-ES"/>
        </w:rPr>
      </w:pPr>
    </w:p>
    <w:p w:rsidR="00A46CB9" w:rsidRPr="00A46CB9" w:rsidRDefault="00A46CB9" w:rsidP="00DD0A41">
      <w:pPr>
        <w:keepNext/>
        <w:spacing w:after="0" w:line="240" w:lineRule="auto"/>
        <w:jc w:val="center"/>
        <w:rPr>
          <w:rFonts w:ascii="Cambria" w:eastAsia="Times New Roman" w:hAnsi="Cambria" w:cs="Times New Roman"/>
          <w:b/>
          <w:smallCaps/>
          <w:sz w:val="28"/>
          <w:szCs w:val="28"/>
          <w:lang w:val="es-ES"/>
        </w:rPr>
      </w:pPr>
    </w:p>
    <w:p w:rsidR="00DD0A41" w:rsidRPr="00DD0A41" w:rsidRDefault="00B41B8E" w:rsidP="00DD0A41">
      <w:pPr>
        <w:keepNext/>
        <w:spacing w:after="0" w:line="240" w:lineRule="auto"/>
        <w:jc w:val="center"/>
        <w:rPr>
          <w:rFonts w:ascii="Cambria" w:eastAsia="Times New Roman" w:hAnsi="Cambria" w:cs="Times New Roman"/>
          <w:b/>
          <w:smallCaps/>
          <w:sz w:val="32"/>
          <w:szCs w:val="32"/>
          <w:lang w:val="es-ES"/>
        </w:rPr>
      </w:pPr>
      <w:r>
        <w:rPr>
          <w:rFonts w:ascii="Cambria" w:eastAsia="Times New Roman" w:hAnsi="Cambria" w:cs="Times New Roman"/>
          <w:b/>
          <w:smallCaps/>
          <w:sz w:val="32"/>
          <w:szCs w:val="32"/>
          <w:lang w:val="es-ES"/>
        </w:rPr>
        <w:t>COLOMBIA</w:t>
      </w:r>
    </w:p>
    <w:p w:rsidR="00DD0A41" w:rsidRPr="00BF286F" w:rsidRDefault="00DD0A41" w:rsidP="00DD0A41">
      <w:pPr>
        <w:keepNext/>
        <w:spacing w:after="0" w:line="240" w:lineRule="auto"/>
        <w:jc w:val="center"/>
        <w:rPr>
          <w:rFonts w:ascii="Cambria" w:eastAsia="Times New Roman" w:hAnsi="Cambria"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Pr="00BF286F" w:rsidRDefault="00BF286F" w:rsidP="00DD0A41">
      <w:pPr>
        <w:keepNext/>
        <w:spacing w:after="0" w:line="240" w:lineRule="auto"/>
        <w:jc w:val="center"/>
        <w:rPr>
          <w:rFonts w:ascii="Cambria" w:eastAsia="Times New Roman" w:hAnsi="Cambria" w:cs="Times New Roman"/>
          <w:b/>
          <w:smallCaps/>
          <w:sz w:val="32"/>
          <w:szCs w:val="32"/>
          <w:lang w:val="es-ES"/>
        </w:rPr>
      </w:pPr>
    </w:p>
    <w:p w:rsidR="00BF286F" w:rsidRPr="00DD0A41" w:rsidRDefault="00BF286F" w:rsidP="00DD0A41">
      <w:pPr>
        <w:keepNext/>
        <w:spacing w:after="0" w:line="240" w:lineRule="auto"/>
        <w:jc w:val="center"/>
        <w:rPr>
          <w:rFonts w:ascii="Cambria" w:eastAsia="Times New Roman" w:hAnsi="Cambria" w:cs="Times New Roman"/>
          <w:b/>
          <w:smallCaps/>
          <w:sz w:val="32"/>
          <w:szCs w:val="32"/>
          <w:lang w:val="es-ES"/>
        </w:rPr>
      </w:pPr>
    </w:p>
    <w:p w:rsidR="00DD0A41" w:rsidRPr="00DD0A41" w:rsidRDefault="00DD0A41" w:rsidP="00DD0A41">
      <w:pPr>
        <w:keepNext/>
        <w:spacing w:after="0" w:line="240" w:lineRule="auto"/>
        <w:jc w:val="center"/>
        <w:rPr>
          <w:rFonts w:ascii="Cambria" w:eastAsia="Times New Roman" w:hAnsi="Cambria" w:cs="Times New Roman"/>
          <w:b/>
          <w:smallCaps/>
          <w:sz w:val="32"/>
          <w:szCs w:val="32"/>
          <w:lang w:val="es-ES"/>
        </w:rPr>
      </w:pPr>
    </w:p>
    <w:p w:rsidR="00DD0A41" w:rsidRPr="00DD0A41" w:rsidRDefault="0026578D" w:rsidP="00DD0A41">
      <w:pPr>
        <w:keepNext/>
        <w:spacing w:after="0" w:line="240" w:lineRule="auto"/>
        <w:jc w:val="center"/>
        <w:rPr>
          <w:rFonts w:ascii="Cambria" w:eastAsia="Times New Roman" w:hAnsi="Cambria" w:cs="Times New Roman"/>
          <w:b/>
          <w:smallCaps/>
          <w:sz w:val="32"/>
          <w:szCs w:val="32"/>
          <w:lang w:val="es-ES"/>
        </w:rPr>
      </w:pPr>
      <w:r>
        <w:rPr>
          <w:rFonts w:ascii="Cambria" w:eastAsia="Times New Roman" w:hAnsi="Cambria" w:cs="Times New Roman"/>
          <w:b/>
          <w:smallCaps/>
          <w:sz w:val="32"/>
          <w:szCs w:val="32"/>
          <w:lang w:val="es-ES"/>
        </w:rPr>
        <w:t>Eval</w:t>
      </w:r>
      <w:r w:rsidR="00B41B8E">
        <w:rPr>
          <w:rFonts w:ascii="Cambria" w:eastAsia="Times New Roman" w:hAnsi="Cambria" w:cs="Times New Roman"/>
          <w:b/>
          <w:smallCaps/>
          <w:sz w:val="32"/>
          <w:szCs w:val="32"/>
          <w:lang w:val="es-ES"/>
        </w:rPr>
        <w:t xml:space="preserve">uación Económica </w:t>
      </w:r>
      <w:r w:rsidR="00BF286F" w:rsidRPr="00BF286F">
        <w:rPr>
          <w:rFonts w:ascii="Cambria" w:eastAsia="Times New Roman" w:hAnsi="Cambria" w:cs="Times New Roman"/>
          <w:b/>
          <w:smallCaps/>
          <w:sz w:val="32"/>
          <w:szCs w:val="32"/>
          <w:lang w:val="es-ES"/>
        </w:rPr>
        <w:t>del</w:t>
      </w:r>
    </w:p>
    <w:p w:rsidR="00DD0A41" w:rsidRPr="00DD0A41" w:rsidRDefault="00DD0A41" w:rsidP="00DD0A41">
      <w:pPr>
        <w:keepNext/>
        <w:spacing w:after="0" w:line="240" w:lineRule="auto"/>
        <w:jc w:val="center"/>
        <w:rPr>
          <w:rFonts w:ascii="Cambria" w:eastAsia="Times New Roman" w:hAnsi="Cambria" w:cs="Times New Roman"/>
          <w:b/>
          <w:smallCaps/>
          <w:sz w:val="32"/>
          <w:szCs w:val="32"/>
          <w:lang w:val="es-ES"/>
        </w:rPr>
      </w:pPr>
    </w:p>
    <w:p w:rsidR="00DD0A41" w:rsidRPr="00DD0A41" w:rsidRDefault="00B41B8E" w:rsidP="00DD0A41">
      <w:pPr>
        <w:keepNext/>
        <w:spacing w:after="0" w:line="240" w:lineRule="auto"/>
        <w:jc w:val="center"/>
        <w:rPr>
          <w:rFonts w:ascii="Cambria" w:eastAsia="Times New Roman" w:hAnsi="Cambria" w:cs="Times New Roman"/>
          <w:b/>
          <w:smallCaps/>
          <w:sz w:val="32"/>
          <w:szCs w:val="32"/>
          <w:lang w:val="es-ES"/>
        </w:rPr>
      </w:pPr>
      <w:r>
        <w:rPr>
          <w:rFonts w:ascii="Cambria" w:eastAsia="Calibri" w:hAnsi="Cambria" w:cs="Times New Roman"/>
          <w:b/>
          <w:smallCaps/>
          <w:sz w:val="32"/>
          <w:szCs w:val="32"/>
          <w:lang w:val="es-ES_tradnl"/>
        </w:rPr>
        <w:t>“Apoyo al Programa de Asociaciones Público Privadas (APP) de Colombia</w:t>
      </w:r>
    </w:p>
    <w:p w:rsidR="00DD0A41" w:rsidRPr="00DD0A41" w:rsidRDefault="00DD0A41" w:rsidP="00DD0A41">
      <w:pPr>
        <w:keepNext/>
        <w:spacing w:after="0" w:line="240" w:lineRule="auto"/>
        <w:jc w:val="center"/>
        <w:rPr>
          <w:rFonts w:ascii="Cambria" w:eastAsia="Times New Roman" w:hAnsi="Cambria" w:cs="Times New Roman"/>
          <w:b/>
          <w:smallCaps/>
          <w:sz w:val="24"/>
          <w:szCs w:val="28"/>
          <w:lang w:val="es-ES"/>
        </w:rPr>
      </w:pPr>
    </w:p>
    <w:p w:rsidR="00DD0A41" w:rsidRPr="00BF286F" w:rsidRDefault="00B41B8E" w:rsidP="00DD0A41">
      <w:pPr>
        <w:keepNext/>
        <w:spacing w:after="0" w:line="240" w:lineRule="auto"/>
        <w:jc w:val="center"/>
        <w:rPr>
          <w:rFonts w:ascii="Cambria" w:eastAsia="Times New Roman" w:hAnsi="Cambria" w:cs="Times New Roman"/>
          <w:b/>
          <w:smallCaps/>
          <w:sz w:val="28"/>
          <w:szCs w:val="28"/>
          <w:lang w:val="es-ES"/>
        </w:rPr>
      </w:pPr>
      <w:r>
        <w:rPr>
          <w:rFonts w:ascii="Cambria" w:eastAsia="Times New Roman" w:hAnsi="Cambria" w:cs="Times New Roman"/>
          <w:b/>
          <w:smallCaps/>
          <w:sz w:val="28"/>
          <w:szCs w:val="28"/>
          <w:lang w:val="es-ES"/>
        </w:rPr>
        <w:t>(CO-L1162</w:t>
      </w:r>
      <w:r w:rsidR="00DD0A41" w:rsidRPr="00DD0A41">
        <w:rPr>
          <w:rFonts w:ascii="Cambria" w:eastAsia="Times New Roman" w:hAnsi="Cambria" w:cs="Times New Roman"/>
          <w:b/>
          <w:smallCaps/>
          <w:sz w:val="28"/>
          <w:szCs w:val="28"/>
          <w:lang w:val="es-ES"/>
        </w:rPr>
        <w:t>)</w:t>
      </w: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BF286F" w:rsidRDefault="00BF286F" w:rsidP="00DD0A41">
      <w:pPr>
        <w:keepNext/>
        <w:spacing w:after="0" w:line="240" w:lineRule="auto"/>
        <w:jc w:val="center"/>
        <w:rPr>
          <w:rFonts w:ascii="Cambria" w:eastAsia="Times New Roman" w:hAnsi="Cambria" w:cs="Times New Roman"/>
          <w:b/>
          <w:smallCaps/>
          <w:sz w:val="28"/>
          <w:szCs w:val="28"/>
          <w:lang w:val="es-ES"/>
        </w:rPr>
      </w:pPr>
    </w:p>
    <w:p w:rsidR="00BF286F" w:rsidRPr="00DD0A41" w:rsidRDefault="00FB5972" w:rsidP="00DD0A41">
      <w:pPr>
        <w:keepNext/>
        <w:spacing w:after="0" w:line="240" w:lineRule="auto"/>
        <w:jc w:val="center"/>
        <w:rPr>
          <w:rFonts w:ascii="Cambria" w:eastAsia="Times New Roman" w:hAnsi="Cambria" w:cs="Times New Roman"/>
          <w:smallCaps/>
          <w:sz w:val="28"/>
          <w:szCs w:val="28"/>
          <w:lang w:val="es-ES"/>
        </w:rPr>
      </w:pPr>
      <w:r>
        <w:rPr>
          <w:rFonts w:ascii="Cambria" w:eastAsia="Times New Roman" w:hAnsi="Cambria" w:cs="Times New Roman"/>
          <w:smallCaps/>
          <w:sz w:val="28"/>
          <w:szCs w:val="28"/>
          <w:lang w:val="es-ES"/>
        </w:rPr>
        <w:t>16</w:t>
      </w:r>
      <w:r w:rsidR="009B1145">
        <w:rPr>
          <w:rFonts w:ascii="Cambria" w:eastAsia="Times New Roman" w:hAnsi="Cambria" w:cs="Times New Roman"/>
          <w:smallCaps/>
          <w:sz w:val="28"/>
          <w:szCs w:val="28"/>
          <w:lang w:val="es-ES"/>
        </w:rPr>
        <w:t xml:space="preserve"> de </w:t>
      </w:r>
      <w:r w:rsidR="000C3608">
        <w:rPr>
          <w:rFonts w:ascii="Cambria" w:eastAsia="Times New Roman" w:hAnsi="Cambria" w:cs="Times New Roman"/>
          <w:smallCaps/>
          <w:sz w:val="28"/>
          <w:szCs w:val="28"/>
          <w:lang w:val="es-ES"/>
        </w:rPr>
        <w:t>marz</w:t>
      </w:r>
      <w:r w:rsidR="009B1145">
        <w:rPr>
          <w:rFonts w:ascii="Cambria" w:eastAsia="Times New Roman" w:hAnsi="Cambria" w:cs="Times New Roman"/>
          <w:smallCaps/>
          <w:sz w:val="28"/>
          <w:szCs w:val="28"/>
          <w:lang w:val="es-ES"/>
        </w:rPr>
        <w:t>o de 2016</w:t>
      </w:r>
      <w:r w:rsidR="009E222E">
        <w:rPr>
          <w:rFonts w:ascii="Cambria" w:eastAsia="Times New Roman" w:hAnsi="Cambria" w:cs="Times New Roman"/>
          <w:smallCaps/>
          <w:sz w:val="28"/>
          <w:szCs w:val="28"/>
          <w:lang w:val="es-ES"/>
        </w:rPr>
        <w:t xml:space="preserve">  </w:t>
      </w:r>
      <w:r>
        <w:rPr>
          <w:rFonts w:ascii="Cambria" w:eastAsia="Times New Roman" w:hAnsi="Cambria" w:cs="Times New Roman"/>
          <w:smallCaps/>
          <w:sz w:val="28"/>
          <w:szCs w:val="28"/>
          <w:lang w:val="es-ES"/>
        </w:rPr>
        <w:t>9</w:t>
      </w:r>
      <w:r w:rsidR="00F05613">
        <w:rPr>
          <w:rFonts w:ascii="Cambria" w:eastAsia="Times New Roman" w:hAnsi="Cambria" w:cs="Times New Roman"/>
          <w:smallCaps/>
          <w:sz w:val="28"/>
          <w:szCs w:val="28"/>
          <w:lang w:val="es-ES"/>
        </w:rPr>
        <w:t xml:space="preserve"> </w:t>
      </w:r>
      <w:r>
        <w:rPr>
          <w:rFonts w:ascii="Cambria" w:eastAsia="Times New Roman" w:hAnsi="Cambria" w:cs="Times New Roman"/>
          <w:smallCaps/>
          <w:sz w:val="28"/>
          <w:szCs w:val="28"/>
          <w:lang w:val="es-ES"/>
        </w:rPr>
        <w:t>a</w:t>
      </w:r>
      <w:r w:rsidR="00F64B10">
        <w:rPr>
          <w:rFonts w:ascii="Cambria" w:eastAsia="Times New Roman" w:hAnsi="Cambria" w:cs="Times New Roman"/>
          <w:smallCaps/>
          <w:sz w:val="28"/>
          <w:szCs w:val="28"/>
          <w:lang w:val="es-ES"/>
        </w:rPr>
        <w:t>m</w:t>
      </w:r>
    </w:p>
    <w:p w:rsidR="00DD0A41" w:rsidRPr="00BF286F" w:rsidRDefault="00DD0A41">
      <w:pPr>
        <w:rPr>
          <w:rFonts w:ascii="Cambria" w:hAnsi="Cambria"/>
          <w:b/>
          <w:smallCaps/>
          <w:sz w:val="28"/>
          <w:szCs w:val="28"/>
        </w:rPr>
      </w:pPr>
      <w:r w:rsidRPr="00BF286F">
        <w:rPr>
          <w:rFonts w:ascii="Cambria" w:hAnsi="Cambria"/>
          <w:b/>
          <w:smallCaps/>
          <w:sz w:val="28"/>
          <w:szCs w:val="28"/>
        </w:rPr>
        <w:br w:type="page"/>
      </w:r>
    </w:p>
    <w:p w:rsidR="00BF286F" w:rsidRPr="005F40D2" w:rsidRDefault="00BF286F" w:rsidP="008044DB">
      <w:pPr>
        <w:keepNext/>
        <w:spacing w:after="0" w:line="276" w:lineRule="auto"/>
        <w:jc w:val="center"/>
        <w:rPr>
          <w:rFonts w:ascii="Cambria" w:eastAsia="Calibri" w:hAnsi="Cambria" w:cs="Times New Roman"/>
          <w:b/>
          <w:smallCaps/>
          <w:sz w:val="28"/>
          <w:szCs w:val="28"/>
          <w:lang w:val="es-ES_tradnl"/>
        </w:rPr>
      </w:pPr>
      <w:r w:rsidRPr="005F40D2">
        <w:rPr>
          <w:rFonts w:ascii="Cambria" w:eastAsia="Calibri" w:hAnsi="Cambria" w:cs="Times New Roman"/>
          <w:b/>
          <w:smallCaps/>
          <w:sz w:val="28"/>
          <w:szCs w:val="28"/>
          <w:lang w:val="es-ES_tradnl"/>
        </w:rPr>
        <w:lastRenderedPageBreak/>
        <w:t xml:space="preserve">Evaluación </w:t>
      </w:r>
      <w:r w:rsidR="00B41B8E">
        <w:rPr>
          <w:rFonts w:ascii="Cambria" w:eastAsia="Calibri" w:hAnsi="Cambria" w:cs="Times New Roman"/>
          <w:b/>
          <w:smallCaps/>
          <w:sz w:val="28"/>
          <w:szCs w:val="28"/>
          <w:lang w:val="es-ES_tradnl"/>
        </w:rPr>
        <w:t>Económica</w:t>
      </w:r>
      <w:r w:rsidRPr="005F40D2">
        <w:rPr>
          <w:rFonts w:ascii="Cambria" w:eastAsia="Calibri" w:hAnsi="Cambria" w:cs="Times New Roman"/>
          <w:b/>
          <w:smallCaps/>
          <w:sz w:val="28"/>
          <w:szCs w:val="28"/>
          <w:lang w:val="es-ES_tradnl"/>
        </w:rPr>
        <w:t xml:space="preserve"> del </w:t>
      </w:r>
      <w:r w:rsidR="00B41B8E">
        <w:rPr>
          <w:rFonts w:ascii="Cambria" w:eastAsia="Calibri" w:hAnsi="Cambria" w:cs="Times New Roman"/>
          <w:b/>
          <w:smallCaps/>
          <w:sz w:val="28"/>
          <w:szCs w:val="28"/>
          <w:lang w:val="es-ES_tradnl"/>
        </w:rPr>
        <w:t>“Apoyo al Programa de Asociaciones Público Privadas (APP) de Colombia</w:t>
      </w:r>
      <w:r w:rsidR="00763DC7">
        <w:rPr>
          <w:rFonts w:ascii="Cambria" w:eastAsia="Calibri" w:hAnsi="Cambria" w:cs="Times New Roman"/>
          <w:b/>
          <w:smallCaps/>
          <w:sz w:val="28"/>
          <w:szCs w:val="28"/>
          <w:lang w:val="es-ES_tradnl"/>
        </w:rPr>
        <w:t>”</w:t>
      </w:r>
      <w:r w:rsidRPr="005F40D2">
        <w:rPr>
          <w:rFonts w:ascii="Cambria" w:eastAsia="Calibri" w:hAnsi="Cambria" w:cs="Times New Roman"/>
          <w:b/>
          <w:smallCaps/>
          <w:sz w:val="28"/>
          <w:szCs w:val="28"/>
          <w:lang w:val="es-ES_tradnl"/>
        </w:rPr>
        <w:t xml:space="preserve"> </w:t>
      </w:r>
      <w:r w:rsidR="00763DC7">
        <w:rPr>
          <w:rFonts w:ascii="Cambria" w:eastAsia="Times New Roman" w:hAnsi="Cambria" w:cs="Times New Roman"/>
          <w:b/>
          <w:smallCaps/>
          <w:sz w:val="28"/>
          <w:szCs w:val="28"/>
          <w:lang w:val="es-ES"/>
        </w:rPr>
        <w:t>(CO-L1162</w:t>
      </w:r>
      <w:r w:rsidRPr="005F40D2">
        <w:rPr>
          <w:rFonts w:ascii="Cambria" w:eastAsia="Times New Roman" w:hAnsi="Cambria" w:cs="Times New Roman"/>
          <w:b/>
          <w:smallCaps/>
          <w:sz w:val="28"/>
          <w:szCs w:val="28"/>
          <w:lang w:val="es-ES"/>
        </w:rPr>
        <w:t>)</w:t>
      </w:r>
      <w:r w:rsidRPr="005F40D2">
        <w:rPr>
          <w:rStyle w:val="FootnoteReference"/>
          <w:rFonts w:ascii="Cambria" w:eastAsia="Times New Roman" w:hAnsi="Cambria" w:cs="Times New Roman"/>
          <w:b/>
          <w:smallCaps/>
          <w:sz w:val="28"/>
          <w:szCs w:val="28"/>
          <w:lang w:val="es-ES"/>
        </w:rPr>
        <w:footnoteReference w:id="1"/>
      </w:r>
    </w:p>
    <w:p w:rsidR="00240F89" w:rsidRPr="00BF286F" w:rsidRDefault="00240F89" w:rsidP="00390781">
      <w:pPr>
        <w:spacing w:line="276" w:lineRule="auto"/>
        <w:jc w:val="both"/>
        <w:rPr>
          <w:rFonts w:ascii="Cambria" w:hAnsi="Cambria"/>
          <w:lang w:val="es-ES"/>
        </w:rPr>
      </w:pPr>
    </w:p>
    <w:p w:rsidR="00240F89" w:rsidRPr="0008759E" w:rsidRDefault="00D805CD" w:rsidP="00390781">
      <w:pPr>
        <w:spacing w:line="276" w:lineRule="auto"/>
        <w:jc w:val="both"/>
        <w:rPr>
          <w:rFonts w:ascii="Cambria" w:hAnsi="Cambria"/>
          <w:b/>
          <w:smallCaps/>
          <w:sz w:val="24"/>
          <w:szCs w:val="24"/>
        </w:rPr>
      </w:pPr>
      <w:r w:rsidRPr="0008759E">
        <w:rPr>
          <w:rFonts w:ascii="Cambria" w:hAnsi="Cambria"/>
          <w:b/>
          <w:smallCaps/>
          <w:sz w:val="24"/>
          <w:szCs w:val="24"/>
        </w:rPr>
        <w:t>Resumen</w:t>
      </w:r>
    </w:p>
    <w:p w:rsidR="003F5EBE" w:rsidRPr="008B3FFA" w:rsidRDefault="00673F5A" w:rsidP="00673F5A">
      <w:pPr>
        <w:spacing w:line="276" w:lineRule="auto"/>
        <w:jc w:val="both"/>
        <w:rPr>
          <w:rFonts w:ascii="Cambria" w:eastAsiaTheme="minorEastAsia" w:hAnsi="Cambria"/>
        </w:rPr>
      </w:pPr>
      <w:r w:rsidRPr="008B3FFA">
        <w:rPr>
          <w:rFonts w:ascii="Cambria" w:eastAsiaTheme="minorEastAsia" w:hAnsi="Cambria"/>
        </w:rPr>
        <w:t>El Programa CO-L1162 se concentra en promover la inversión privada mediante APP en los sectores de educación, salud, agua potable y saneamien</w:t>
      </w:r>
      <w:r w:rsidR="00CA210E">
        <w:rPr>
          <w:rFonts w:ascii="Cambria" w:eastAsiaTheme="minorEastAsia" w:hAnsi="Cambria"/>
        </w:rPr>
        <w:t>to, cárceles</w:t>
      </w:r>
      <w:r w:rsidRPr="008B3FFA">
        <w:rPr>
          <w:rFonts w:ascii="Cambria" w:eastAsiaTheme="minorEastAsia" w:hAnsi="Cambria"/>
        </w:rPr>
        <w:t xml:space="preserve">, y en el subsector férreo del transporte, </w:t>
      </w:r>
      <w:r w:rsidR="002D3E57">
        <w:rPr>
          <w:rFonts w:ascii="Cambria" w:eastAsiaTheme="minorEastAsia" w:hAnsi="Cambria"/>
        </w:rPr>
        <w:t xml:space="preserve">sector </w:t>
      </w:r>
      <w:r w:rsidRPr="008B3FFA">
        <w:rPr>
          <w:rFonts w:ascii="Cambria" w:eastAsiaTheme="minorEastAsia" w:hAnsi="Cambria"/>
        </w:rPr>
        <w:t xml:space="preserve">donde ya se han producido desarrollos institucionales y movilizaciones de inversión sustanciales. </w:t>
      </w:r>
    </w:p>
    <w:p w:rsidR="00673F5A" w:rsidRPr="008B3FFA" w:rsidRDefault="00FD7225" w:rsidP="00673F5A">
      <w:pPr>
        <w:spacing w:line="276" w:lineRule="auto"/>
        <w:jc w:val="both"/>
        <w:rPr>
          <w:rFonts w:ascii="Cambria" w:eastAsiaTheme="minorEastAsia" w:hAnsi="Cambria"/>
        </w:rPr>
      </w:pPr>
      <w:r>
        <w:rPr>
          <w:rFonts w:ascii="Cambria" w:eastAsiaTheme="minorEastAsia" w:hAnsi="Cambria"/>
        </w:rPr>
        <w:t xml:space="preserve">Se parte de </w:t>
      </w:r>
      <w:r w:rsidR="00673F5A" w:rsidRPr="008B3FFA">
        <w:rPr>
          <w:rFonts w:ascii="Cambria" w:eastAsiaTheme="minorEastAsia" w:hAnsi="Cambria"/>
        </w:rPr>
        <w:t xml:space="preserve">un análisis costo-beneficio </w:t>
      </w:r>
      <w:r>
        <w:rPr>
          <w:rFonts w:ascii="Cambria" w:eastAsiaTheme="minorEastAsia" w:hAnsi="Cambria"/>
        </w:rPr>
        <w:t xml:space="preserve">de </w:t>
      </w:r>
      <w:r w:rsidR="00673F5A" w:rsidRPr="008B3FFA">
        <w:rPr>
          <w:rFonts w:ascii="Cambria" w:eastAsiaTheme="minorEastAsia" w:hAnsi="Cambria"/>
        </w:rPr>
        <w:t xml:space="preserve">intervenciones </w:t>
      </w:r>
      <w:r>
        <w:rPr>
          <w:rFonts w:ascii="Cambria" w:eastAsiaTheme="minorEastAsia" w:hAnsi="Cambria"/>
        </w:rPr>
        <w:t xml:space="preserve">individuales </w:t>
      </w:r>
      <w:r w:rsidR="00673F5A" w:rsidRPr="008B3FFA">
        <w:rPr>
          <w:rFonts w:ascii="Cambria" w:eastAsiaTheme="minorEastAsia" w:hAnsi="Cambria"/>
        </w:rPr>
        <w:t xml:space="preserve">en </w:t>
      </w:r>
      <w:r w:rsidR="00D04214">
        <w:rPr>
          <w:rFonts w:ascii="Cambria" w:eastAsiaTheme="minorEastAsia" w:hAnsi="Cambria"/>
        </w:rPr>
        <w:t>educación, salud, agua y saneamiento y transporte; no se incluye el sector de cárceles, para el que no existen análisis de costo-eficiencia o costo-beneficio que se puedan adaptar al caso colombiano</w:t>
      </w:r>
      <w:r>
        <w:rPr>
          <w:rFonts w:ascii="Cambria" w:eastAsiaTheme="minorEastAsia" w:hAnsi="Cambria"/>
        </w:rPr>
        <w:t>. Para ello</w:t>
      </w:r>
      <w:r w:rsidR="00673F5A" w:rsidRPr="008B3FFA">
        <w:rPr>
          <w:rFonts w:ascii="Cambria" w:eastAsiaTheme="minorEastAsia" w:hAnsi="Cambria"/>
        </w:rPr>
        <w:t>, se identifican las inversiones (costos) que el Gobierno de Colombia ha encontrado para cada sector</w:t>
      </w:r>
      <w:r>
        <w:rPr>
          <w:rFonts w:ascii="Cambria" w:eastAsiaTheme="minorEastAsia" w:hAnsi="Cambria"/>
        </w:rPr>
        <w:t xml:space="preserve"> en APP</w:t>
      </w:r>
      <w:r w:rsidR="00673F5A" w:rsidRPr="008B3FFA">
        <w:rPr>
          <w:rFonts w:ascii="Cambria" w:eastAsiaTheme="minorEastAsia" w:hAnsi="Cambria"/>
        </w:rPr>
        <w:t>, de acuerdo con las políticas de estabilidad fiscal y</w:t>
      </w:r>
      <w:r>
        <w:rPr>
          <w:rFonts w:ascii="Cambria" w:eastAsiaTheme="minorEastAsia" w:hAnsi="Cambria"/>
        </w:rPr>
        <w:t>/o</w:t>
      </w:r>
      <w:r w:rsidR="00673F5A" w:rsidRPr="008B3FFA">
        <w:rPr>
          <w:rFonts w:ascii="Cambria" w:eastAsiaTheme="minorEastAsia" w:hAnsi="Cambria"/>
        </w:rPr>
        <w:t xml:space="preserve"> de necesidades sectorial</w:t>
      </w:r>
      <w:r>
        <w:rPr>
          <w:rFonts w:ascii="Cambria" w:eastAsiaTheme="minorEastAsia" w:hAnsi="Cambria"/>
        </w:rPr>
        <w:t xml:space="preserve">es. Estas inversiones </w:t>
      </w:r>
      <w:r w:rsidR="00673F5A" w:rsidRPr="008B3FFA">
        <w:rPr>
          <w:rFonts w:ascii="Cambria" w:eastAsiaTheme="minorEastAsia" w:hAnsi="Cambria"/>
        </w:rPr>
        <w:t>se convierten en inversiones anuales y se traen a valor presente al año 2016, usando una tasa de descuen</w:t>
      </w:r>
      <w:r w:rsidR="002D3E57">
        <w:rPr>
          <w:rFonts w:ascii="Cambria" w:eastAsiaTheme="minorEastAsia" w:hAnsi="Cambria"/>
        </w:rPr>
        <w:t xml:space="preserve">to social del 12%. </w:t>
      </w:r>
      <w:r w:rsidR="00673F5A" w:rsidRPr="008B3FFA">
        <w:rPr>
          <w:rFonts w:ascii="Cambria" w:eastAsiaTheme="minorEastAsia" w:hAnsi="Cambria"/>
        </w:rPr>
        <w:t>Posteriormente se identifican los cocientes entre los acervos de beneficios y costos (</w:t>
      </w:r>
      <w:r w:rsidR="00673F5A" w:rsidRPr="008B3FFA">
        <w:rPr>
          <w:rFonts w:ascii="Cambria" w:eastAsiaTheme="minorEastAsia" w:hAnsi="Cambria"/>
          <w:i/>
        </w:rPr>
        <w:t>B</w:t>
      </w:r>
      <w:r w:rsidR="00673F5A" w:rsidRPr="008B3FFA">
        <w:rPr>
          <w:rFonts w:ascii="Cambria" w:eastAsiaTheme="minorEastAsia" w:hAnsi="Cambria"/>
        </w:rPr>
        <w:t>/</w:t>
      </w:r>
      <w:r w:rsidR="00673F5A" w:rsidRPr="008B3FFA">
        <w:rPr>
          <w:rFonts w:ascii="Cambria" w:eastAsiaTheme="minorEastAsia" w:hAnsi="Cambria"/>
          <w:i/>
        </w:rPr>
        <w:t>C</w:t>
      </w:r>
      <w:r>
        <w:rPr>
          <w:rFonts w:ascii="Cambria" w:eastAsiaTheme="minorEastAsia" w:hAnsi="Cambria"/>
        </w:rPr>
        <w:t>) de estas intervenciones</w:t>
      </w:r>
      <w:r w:rsidR="00673F5A" w:rsidRPr="008B3FFA">
        <w:rPr>
          <w:rFonts w:ascii="Cambria" w:eastAsiaTheme="minorEastAsia" w:hAnsi="Cambria"/>
        </w:rPr>
        <w:t>. Estos</w:t>
      </w:r>
      <w:r w:rsidR="002D3E57">
        <w:rPr>
          <w:rFonts w:ascii="Cambria" w:eastAsiaTheme="minorEastAsia" w:hAnsi="Cambria"/>
        </w:rPr>
        <w:t xml:space="preserve"> cocientes se toma</w:t>
      </w:r>
      <w:r w:rsidR="00673F5A" w:rsidRPr="008B3FFA">
        <w:rPr>
          <w:rFonts w:ascii="Cambria" w:eastAsiaTheme="minorEastAsia" w:hAnsi="Cambria"/>
        </w:rPr>
        <w:t xml:space="preserve">n de estudios sectoriales elaborados como preparación de la </w:t>
      </w:r>
      <w:r w:rsidR="0099186D">
        <w:rPr>
          <w:rFonts w:ascii="Cambria" w:eastAsiaTheme="minorEastAsia" w:hAnsi="Cambria"/>
        </w:rPr>
        <w:t>p</w:t>
      </w:r>
      <w:r w:rsidR="00D04214">
        <w:rPr>
          <w:rFonts w:ascii="Cambria" w:eastAsiaTheme="minorEastAsia" w:hAnsi="Cambria"/>
        </w:rPr>
        <w:t xml:space="preserve">resente operación (educación), </w:t>
      </w:r>
      <w:r w:rsidR="00673F5A" w:rsidRPr="008B3FFA">
        <w:rPr>
          <w:rFonts w:ascii="Cambria" w:eastAsiaTheme="minorEastAsia" w:hAnsi="Cambria"/>
        </w:rPr>
        <w:t xml:space="preserve">de estudios recientes elaborados por </w:t>
      </w:r>
      <w:r w:rsidR="0099186D">
        <w:rPr>
          <w:rFonts w:ascii="Cambria" w:eastAsiaTheme="minorEastAsia" w:hAnsi="Cambria"/>
        </w:rPr>
        <w:t xml:space="preserve">el BID en </w:t>
      </w:r>
      <w:r w:rsidR="00673F5A" w:rsidRPr="008B3FFA">
        <w:rPr>
          <w:rFonts w:ascii="Cambria" w:eastAsiaTheme="minorEastAsia" w:hAnsi="Cambria"/>
        </w:rPr>
        <w:t>sal</w:t>
      </w:r>
      <w:r w:rsidR="0099186D">
        <w:rPr>
          <w:rFonts w:ascii="Cambria" w:eastAsiaTheme="minorEastAsia" w:hAnsi="Cambria"/>
        </w:rPr>
        <w:t>ud y agua y saneamiento</w:t>
      </w:r>
      <w:r w:rsidR="00D04214">
        <w:rPr>
          <w:rFonts w:ascii="Cambria" w:eastAsiaTheme="minorEastAsia" w:hAnsi="Cambria"/>
        </w:rPr>
        <w:t>, o de cálculos directos con información primaria (transporte)</w:t>
      </w:r>
      <w:r w:rsidR="00673F5A" w:rsidRPr="008B3FFA">
        <w:rPr>
          <w:rFonts w:ascii="Cambria" w:eastAsiaTheme="minorEastAsia" w:hAnsi="Cambria"/>
        </w:rPr>
        <w:t xml:space="preserve">. </w:t>
      </w:r>
    </w:p>
    <w:p w:rsidR="008B3FFA" w:rsidRDefault="00FD7225" w:rsidP="00673F5A">
      <w:pPr>
        <w:spacing w:line="276" w:lineRule="auto"/>
        <w:jc w:val="both"/>
        <w:rPr>
          <w:rFonts w:ascii="Cambria" w:eastAsiaTheme="minorEastAsia" w:hAnsi="Cambria"/>
        </w:rPr>
      </w:pPr>
      <w:r>
        <w:rPr>
          <w:rFonts w:ascii="Cambria" w:eastAsiaTheme="minorEastAsia" w:hAnsi="Cambria"/>
        </w:rPr>
        <w:t>Finalmente, c</w:t>
      </w:r>
      <w:r w:rsidR="00673F5A" w:rsidRPr="008B3FFA">
        <w:rPr>
          <w:rFonts w:ascii="Cambria" w:eastAsiaTheme="minorEastAsia" w:hAnsi="Cambria"/>
        </w:rPr>
        <w:t>on ayuda de estos cocientes se calcula el acer</w:t>
      </w:r>
      <w:r w:rsidR="008B3FFA" w:rsidRPr="008B3FFA">
        <w:rPr>
          <w:rFonts w:ascii="Cambria" w:eastAsiaTheme="minorEastAsia" w:hAnsi="Cambria"/>
        </w:rPr>
        <w:t>vo de beneficios por intervención, y l</w:t>
      </w:r>
      <w:r>
        <w:rPr>
          <w:rFonts w:ascii="Cambria" w:eastAsiaTheme="minorEastAsia" w:hAnsi="Cambria"/>
        </w:rPr>
        <w:t xml:space="preserve">uego se haya el cociente </w:t>
      </w:r>
      <w:r w:rsidRPr="00FD7225">
        <w:rPr>
          <w:rFonts w:ascii="Cambria" w:eastAsiaTheme="minorEastAsia" w:hAnsi="Cambria"/>
          <w:i/>
        </w:rPr>
        <w:t>B</w:t>
      </w:r>
      <w:r>
        <w:rPr>
          <w:rFonts w:ascii="Cambria" w:eastAsiaTheme="minorEastAsia" w:hAnsi="Cambria"/>
        </w:rPr>
        <w:t>/</w:t>
      </w:r>
      <w:r w:rsidRPr="00FD7225">
        <w:rPr>
          <w:rFonts w:ascii="Cambria" w:eastAsiaTheme="minorEastAsia" w:hAnsi="Cambria"/>
          <w:i/>
        </w:rPr>
        <w:t>C</w:t>
      </w:r>
      <w:r>
        <w:rPr>
          <w:rFonts w:ascii="Cambria" w:eastAsiaTheme="minorEastAsia" w:hAnsi="Cambria"/>
        </w:rPr>
        <w:t xml:space="preserve"> </w:t>
      </w:r>
      <w:r w:rsidR="008B3FFA" w:rsidRPr="008B3FFA">
        <w:rPr>
          <w:rFonts w:ascii="Cambria" w:eastAsiaTheme="minorEastAsia" w:hAnsi="Cambria"/>
        </w:rPr>
        <w:t>del Programa</w:t>
      </w:r>
      <w:r w:rsidR="008B3FFA">
        <w:rPr>
          <w:rFonts w:ascii="Cambria" w:eastAsiaTheme="minorEastAsia" w:hAnsi="Cambria"/>
        </w:rPr>
        <w:t xml:space="preserve"> (Escenario Básico)</w:t>
      </w:r>
      <w:r>
        <w:rPr>
          <w:rFonts w:ascii="Cambria" w:eastAsiaTheme="minorEastAsia" w:hAnsi="Cambria"/>
        </w:rPr>
        <w:t xml:space="preserve">, que es </w:t>
      </w:r>
      <w:r w:rsidR="007C12BF" w:rsidRPr="007C12BF">
        <w:rPr>
          <w:rFonts w:ascii="Cambria" w:eastAsiaTheme="minorEastAsia" w:hAnsi="Cambria"/>
        </w:rPr>
        <w:t>1.</w:t>
      </w:r>
      <w:r w:rsidR="001A4633">
        <w:rPr>
          <w:rFonts w:ascii="Cambria" w:eastAsiaTheme="minorEastAsia" w:hAnsi="Cambria"/>
        </w:rPr>
        <w:t>49</w:t>
      </w:r>
      <w:r w:rsidR="008B3FFA" w:rsidRPr="007C12BF">
        <w:rPr>
          <w:rFonts w:ascii="Cambria" w:eastAsiaTheme="minorEastAsia" w:hAnsi="Cambria"/>
        </w:rPr>
        <w:t>.</w:t>
      </w:r>
      <w:r w:rsidR="008B3FFA" w:rsidRPr="008B3FFA">
        <w:rPr>
          <w:rFonts w:ascii="Cambria" w:eastAsiaTheme="minorEastAsia" w:hAnsi="Cambria"/>
        </w:rPr>
        <w:t xml:space="preserve"> Las inversiones que se movilizarían</w:t>
      </w:r>
      <w:r w:rsidR="00882D1F">
        <w:rPr>
          <w:rFonts w:ascii="Cambria" w:eastAsiaTheme="minorEastAsia" w:hAnsi="Cambria"/>
        </w:rPr>
        <w:t xml:space="preserve"> incrementalmente</w:t>
      </w:r>
      <w:r>
        <w:rPr>
          <w:rFonts w:ascii="Cambria" w:eastAsiaTheme="minorEastAsia" w:hAnsi="Cambria"/>
        </w:rPr>
        <w:t xml:space="preserve"> hasta el año 2030 por el P</w:t>
      </w:r>
      <w:r w:rsidR="008B3FFA" w:rsidRPr="008B3FFA">
        <w:rPr>
          <w:rFonts w:ascii="Cambria" w:eastAsiaTheme="minorEastAsia" w:hAnsi="Cambria"/>
        </w:rPr>
        <w:t>rograma ascienden, en valor presente, tomado con el 12% de tasa de des</w:t>
      </w:r>
      <w:r w:rsidR="00D22EDD">
        <w:rPr>
          <w:rFonts w:ascii="Cambria" w:eastAsiaTheme="minorEastAsia" w:hAnsi="Cambria"/>
        </w:rPr>
        <w:t>cuento,</w:t>
      </w:r>
      <w:r w:rsidR="007C12BF">
        <w:rPr>
          <w:rFonts w:ascii="Cambria" w:eastAsiaTheme="minorEastAsia" w:hAnsi="Cambria"/>
        </w:rPr>
        <w:t xml:space="preserve"> a COL$ 8.</w:t>
      </w:r>
      <w:r w:rsidR="00656187">
        <w:rPr>
          <w:rFonts w:ascii="Cambria" w:eastAsiaTheme="minorEastAsia" w:hAnsi="Cambria"/>
        </w:rPr>
        <w:t>869</w:t>
      </w:r>
      <w:r w:rsidR="003F6EB0">
        <w:rPr>
          <w:rFonts w:ascii="Cambria" w:eastAsiaTheme="minorEastAsia" w:hAnsi="Cambria"/>
        </w:rPr>
        <w:t xml:space="preserve"> billones (millones de millones).</w:t>
      </w:r>
      <w:r w:rsidR="00C91E6F">
        <w:rPr>
          <w:rStyle w:val="FootnoteReference"/>
          <w:rFonts w:ascii="Cambria" w:eastAsiaTheme="minorEastAsia" w:hAnsi="Cambria"/>
        </w:rPr>
        <w:footnoteReference w:id="2"/>
      </w:r>
      <w:r w:rsidR="008B3FFA" w:rsidRPr="008B3FFA">
        <w:rPr>
          <w:rFonts w:ascii="Cambria" w:eastAsiaTheme="minorEastAsia" w:hAnsi="Cambria"/>
        </w:rPr>
        <w:t xml:space="preserve"> Los beneficios sociales correspondientes ascienden a </w:t>
      </w:r>
      <w:r w:rsidR="00656187">
        <w:rPr>
          <w:rFonts w:ascii="Cambria" w:eastAsiaTheme="minorEastAsia" w:hAnsi="Cambria"/>
        </w:rPr>
        <w:t>COL$ 13.224</w:t>
      </w:r>
      <w:r w:rsidR="008B3FFA" w:rsidRPr="007C12BF">
        <w:rPr>
          <w:rFonts w:ascii="Cambria" w:eastAsiaTheme="minorEastAsia" w:hAnsi="Cambria"/>
        </w:rPr>
        <w:t xml:space="preserve"> billones durante el mismo período.</w:t>
      </w:r>
      <w:r w:rsidR="008B3FFA" w:rsidRPr="008B3FFA">
        <w:rPr>
          <w:rFonts w:ascii="Cambria" w:eastAsiaTheme="minorEastAsia" w:hAnsi="Cambria"/>
        </w:rPr>
        <w:t xml:space="preserve">  </w:t>
      </w:r>
    </w:p>
    <w:p w:rsidR="00FF3331" w:rsidRPr="0099186D" w:rsidRDefault="008B3FFA" w:rsidP="0099186D">
      <w:pPr>
        <w:spacing w:line="276" w:lineRule="auto"/>
        <w:jc w:val="both"/>
        <w:rPr>
          <w:rFonts w:ascii="Cambria" w:eastAsiaTheme="minorEastAsia" w:hAnsi="Cambria"/>
        </w:rPr>
      </w:pPr>
      <w:r>
        <w:rPr>
          <w:rFonts w:ascii="Cambria" w:eastAsiaTheme="minorEastAsia" w:hAnsi="Cambria"/>
        </w:rPr>
        <w:t>En el Escenario Alto (construido por Fedesarrollo para el Plan Maestro de Transporte Intermodal), las inversiones</w:t>
      </w:r>
      <w:r w:rsidR="002D3E57">
        <w:rPr>
          <w:rFonts w:ascii="Cambria" w:eastAsiaTheme="minorEastAsia" w:hAnsi="Cambria"/>
        </w:rPr>
        <w:t xml:space="preserve"> en APP</w:t>
      </w:r>
      <w:r>
        <w:rPr>
          <w:rFonts w:ascii="Cambria" w:eastAsiaTheme="minorEastAsia" w:hAnsi="Cambria"/>
        </w:rPr>
        <w:t xml:space="preserve"> aumentarían en COL$ 1.785 billones adicionales a las del Escenario Básico durante el mismo período (asumiendo un crecimiento adicional de 2% anual hasta 2030 sobre </w:t>
      </w:r>
      <w:r w:rsidR="002D3E57">
        <w:rPr>
          <w:rFonts w:ascii="Cambria" w:eastAsiaTheme="minorEastAsia" w:hAnsi="Cambria"/>
        </w:rPr>
        <w:t xml:space="preserve">el </w:t>
      </w:r>
      <w:r>
        <w:rPr>
          <w:rFonts w:ascii="Cambria" w:eastAsiaTheme="minorEastAsia" w:hAnsi="Cambria"/>
        </w:rPr>
        <w:t>4.</w:t>
      </w:r>
      <w:r w:rsidR="002D3E57">
        <w:rPr>
          <w:rFonts w:ascii="Cambria" w:eastAsiaTheme="minorEastAsia" w:hAnsi="Cambria"/>
        </w:rPr>
        <w:t>6</w:t>
      </w:r>
      <w:r>
        <w:rPr>
          <w:rFonts w:ascii="Cambria" w:eastAsiaTheme="minorEastAsia" w:hAnsi="Cambria"/>
        </w:rPr>
        <w:t xml:space="preserve">% proyectado para el Escenario Básico, y los beneficios aumentarían en </w:t>
      </w:r>
      <w:r w:rsidR="00037433" w:rsidRPr="00037433">
        <w:rPr>
          <w:rFonts w:ascii="Cambria" w:eastAsiaTheme="minorEastAsia" w:hAnsi="Cambria"/>
        </w:rPr>
        <w:t xml:space="preserve">COL$ </w:t>
      </w:r>
      <w:r w:rsidR="00B9332B">
        <w:rPr>
          <w:rFonts w:ascii="Cambria" w:eastAsiaTheme="minorEastAsia" w:hAnsi="Cambria"/>
        </w:rPr>
        <w:t>4</w:t>
      </w:r>
      <w:r w:rsidR="00037433" w:rsidRPr="00037433">
        <w:rPr>
          <w:rFonts w:ascii="Cambria" w:eastAsiaTheme="minorEastAsia" w:hAnsi="Cambria"/>
        </w:rPr>
        <w:t>.</w:t>
      </w:r>
      <w:r w:rsidR="00B9332B">
        <w:rPr>
          <w:rFonts w:ascii="Cambria" w:eastAsiaTheme="minorEastAsia" w:hAnsi="Cambria"/>
        </w:rPr>
        <w:t>248</w:t>
      </w:r>
      <w:r w:rsidRPr="00037433">
        <w:rPr>
          <w:rFonts w:ascii="Cambria" w:eastAsiaTheme="minorEastAsia" w:hAnsi="Cambria"/>
        </w:rPr>
        <w:t xml:space="preserve"> billones</w:t>
      </w:r>
      <w:r w:rsidR="002D3E57" w:rsidRPr="00037433">
        <w:rPr>
          <w:rFonts w:ascii="Cambria" w:eastAsiaTheme="minorEastAsia" w:hAnsi="Cambria"/>
        </w:rPr>
        <w:t>)</w:t>
      </w:r>
      <w:r w:rsidRPr="00037433">
        <w:rPr>
          <w:rFonts w:ascii="Cambria" w:eastAsiaTheme="minorEastAsia" w:hAnsi="Cambria"/>
        </w:rPr>
        <w:t>.</w:t>
      </w:r>
      <w:r w:rsidR="002D3E57">
        <w:rPr>
          <w:rFonts w:ascii="Cambria" w:eastAsiaTheme="minorEastAsia" w:hAnsi="Cambria"/>
        </w:rPr>
        <w:t xml:space="preserve"> </w:t>
      </w:r>
      <w:r>
        <w:rPr>
          <w:rFonts w:ascii="Cambria" w:eastAsiaTheme="minorEastAsia" w:hAnsi="Cambria"/>
        </w:rPr>
        <w:t xml:space="preserve">En el Escenario Bajo, el PIB tendría una velocidad inferior en 1% a la del Escenario Básico, lo que se traduce en un decrecimiento de la inversión en APP de </w:t>
      </w:r>
      <w:r w:rsidR="002D3E57">
        <w:rPr>
          <w:rFonts w:ascii="Cambria" w:eastAsiaTheme="minorEastAsia" w:hAnsi="Cambria"/>
        </w:rPr>
        <w:t xml:space="preserve">COL$ 0.893 billones con respecto al Escenario Básico, y en un decrecimiento de los beneficios </w:t>
      </w:r>
      <w:r w:rsidR="002D3E57" w:rsidRPr="00037433">
        <w:rPr>
          <w:rFonts w:ascii="Cambria" w:eastAsiaTheme="minorEastAsia" w:hAnsi="Cambria"/>
        </w:rPr>
        <w:t xml:space="preserve">de </w:t>
      </w:r>
      <w:r w:rsidR="00B9332B">
        <w:rPr>
          <w:rFonts w:ascii="Cambria" w:eastAsiaTheme="minorEastAsia" w:hAnsi="Cambria"/>
        </w:rPr>
        <w:t>COL$ 2</w:t>
      </w:r>
      <w:r w:rsidR="00037433" w:rsidRPr="00037433">
        <w:rPr>
          <w:rFonts w:ascii="Cambria" w:eastAsiaTheme="minorEastAsia" w:hAnsi="Cambria"/>
        </w:rPr>
        <w:t>.</w:t>
      </w:r>
      <w:r w:rsidR="00B9332B">
        <w:rPr>
          <w:rFonts w:ascii="Cambria" w:eastAsiaTheme="minorEastAsia" w:hAnsi="Cambria"/>
        </w:rPr>
        <w:t>125</w:t>
      </w:r>
      <w:r w:rsidR="002D3E57" w:rsidRPr="00037433">
        <w:rPr>
          <w:rFonts w:ascii="Cambria" w:eastAsiaTheme="minorEastAsia" w:hAnsi="Cambria"/>
        </w:rPr>
        <w:t xml:space="preserve"> billones.</w:t>
      </w:r>
      <w:r w:rsidR="002D3E57">
        <w:rPr>
          <w:rFonts w:ascii="Cambria" w:eastAsiaTheme="minorEastAsia" w:hAnsi="Cambria"/>
        </w:rPr>
        <w:t xml:space="preserve"> </w:t>
      </w:r>
      <w:r w:rsidR="0099186D">
        <w:rPr>
          <w:rFonts w:ascii="Cambria" w:eastAsiaTheme="minorEastAsia" w:hAnsi="Cambria"/>
        </w:rPr>
        <w:t xml:space="preserve"> </w:t>
      </w:r>
      <w:r w:rsidR="000D75D9" w:rsidRPr="009C69D4">
        <w:rPr>
          <w:rFonts w:ascii="Cambria" w:hAnsi="Cambria"/>
        </w:rPr>
        <w:br w:type="page"/>
      </w:r>
    </w:p>
    <w:p w:rsidR="00D6331A" w:rsidRDefault="007D6AFF" w:rsidP="00B41B8E">
      <w:pPr>
        <w:spacing w:line="276" w:lineRule="auto"/>
        <w:jc w:val="both"/>
        <w:rPr>
          <w:rFonts w:ascii="Cambria" w:hAnsi="Cambria"/>
          <w:b/>
          <w:smallCaps/>
          <w:sz w:val="24"/>
          <w:szCs w:val="24"/>
        </w:rPr>
      </w:pPr>
      <w:r w:rsidRPr="00DA10D6">
        <w:rPr>
          <w:rFonts w:ascii="Cambria" w:hAnsi="Cambria"/>
          <w:b/>
          <w:smallCaps/>
          <w:sz w:val="24"/>
          <w:szCs w:val="24"/>
        </w:rPr>
        <w:lastRenderedPageBreak/>
        <w:t>1</w:t>
      </w:r>
      <w:r w:rsidR="00E50551" w:rsidRPr="00DA10D6">
        <w:rPr>
          <w:rFonts w:ascii="Cambria" w:hAnsi="Cambria"/>
          <w:b/>
          <w:smallCaps/>
          <w:sz w:val="24"/>
          <w:szCs w:val="24"/>
        </w:rPr>
        <w:t xml:space="preserve">. </w:t>
      </w:r>
      <w:r w:rsidR="00DA10D6">
        <w:rPr>
          <w:rFonts w:ascii="Cambria" w:hAnsi="Cambria"/>
          <w:b/>
          <w:smallCaps/>
          <w:sz w:val="24"/>
          <w:szCs w:val="24"/>
        </w:rPr>
        <w:t>El Programa de apoyo a las Asociaciones Público-Privadas de Colombia (CO-L1162)</w:t>
      </w:r>
      <w:r w:rsidR="00091B3B">
        <w:rPr>
          <w:rStyle w:val="FootnoteReference"/>
          <w:rFonts w:ascii="Cambria" w:hAnsi="Cambria"/>
          <w:b/>
          <w:smallCaps/>
          <w:sz w:val="24"/>
          <w:szCs w:val="24"/>
        </w:rPr>
        <w:footnoteReference w:id="3"/>
      </w:r>
    </w:p>
    <w:p w:rsidR="002B0CEA" w:rsidRPr="0084492E" w:rsidRDefault="002B0CEA" w:rsidP="002B0CEA">
      <w:pPr>
        <w:pStyle w:val="NoSpacing"/>
        <w:rPr>
          <w:sz w:val="24"/>
          <w:szCs w:val="24"/>
        </w:rPr>
      </w:pPr>
    </w:p>
    <w:p w:rsidR="00091B3B" w:rsidRPr="0084492E" w:rsidRDefault="00774FEA" w:rsidP="00091B3B">
      <w:pPr>
        <w:spacing w:line="276" w:lineRule="auto"/>
        <w:ind w:firstLine="708"/>
        <w:jc w:val="both"/>
        <w:rPr>
          <w:rFonts w:ascii="Cambria" w:eastAsiaTheme="minorEastAsia" w:hAnsi="Cambria"/>
          <w:b/>
          <w:smallCaps/>
          <w:sz w:val="24"/>
          <w:szCs w:val="24"/>
        </w:rPr>
      </w:pPr>
      <w:r>
        <w:rPr>
          <w:rFonts w:ascii="Cambria" w:eastAsiaTheme="minorEastAsia" w:hAnsi="Cambria"/>
          <w:b/>
          <w:smallCaps/>
          <w:sz w:val="24"/>
          <w:szCs w:val="24"/>
        </w:rPr>
        <w:t xml:space="preserve">1.1 </w:t>
      </w:r>
      <w:r w:rsidR="00091B3B" w:rsidRPr="0084492E">
        <w:rPr>
          <w:rFonts w:ascii="Cambria" w:eastAsiaTheme="minorEastAsia" w:hAnsi="Cambria"/>
          <w:b/>
          <w:smallCaps/>
          <w:sz w:val="24"/>
          <w:szCs w:val="24"/>
        </w:rPr>
        <w:t>Contexto y justificación del programa</w:t>
      </w:r>
    </w:p>
    <w:p w:rsidR="00867723" w:rsidRPr="0084492E" w:rsidRDefault="00867723" w:rsidP="00867723">
      <w:pPr>
        <w:pStyle w:val="ListParagraph"/>
        <w:numPr>
          <w:ilvl w:val="0"/>
          <w:numId w:val="35"/>
        </w:numPr>
        <w:spacing w:line="276" w:lineRule="auto"/>
        <w:jc w:val="both"/>
        <w:rPr>
          <w:rFonts w:ascii="Cambria" w:eastAsiaTheme="minorEastAsia" w:hAnsi="Cambria"/>
          <w:sz w:val="24"/>
          <w:szCs w:val="24"/>
        </w:rPr>
      </w:pPr>
      <w:r w:rsidRPr="0084492E">
        <w:rPr>
          <w:rFonts w:ascii="Cambria" w:eastAsiaTheme="minorEastAsia" w:hAnsi="Cambria"/>
          <w:sz w:val="24"/>
          <w:szCs w:val="24"/>
        </w:rPr>
        <w:t>El Gobierno de Colombia (GdC) ha implementado reformas sectoriales e institucionales para ampliar y mejorar la prestación de los servicios y calidad de la infraestructura mediante el fomento de la participación privada en energía, telecomunicaciones, agua y saneamiento y transporte. En los sectores de energía y telecomunicaciones la reforma se centró en la transferencia de activos al sector privado. En el sector de agua y saneamiento, la reforma consistió en concesiones y la provisión de servicios públicos domiciliarios a través de empresas públicas.</w:t>
      </w:r>
    </w:p>
    <w:p w:rsidR="00867723" w:rsidRPr="0084492E" w:rsidRDefault="00867723" w:rsidP="00867723">
      <w:pPr>
        <w:pStyle w:val="ListParagraph"/>
        <w:spacing w:line="276" w:lineRule="auto"/>
        <w:ind w:left="360"/>
        <w:jc w:val="both"/>
        <w:rPr>
          <w:rFonts w:ascii="Cambria" w:eastAsiaTheme="minorEastAsia" w:hAnsi="Cambria"/>
          <w:sz w:val="24"/>
          <w:szCs w:val="24"/>
        </w:rPr>
      </w:pPr>
    </w:p>
    <w:p w:rsidR="00867723" w:rsidRPr="0084492E" w:rsidRDefault="00F650F3" w:rsidP="00867723">
      <w:pPr>
        <w:pStyle w:val="ListParagraph"/>
        <w:numPr>
          <w:ilvl w:val="0"/>
          <w:numId w:val="35"/>
        </w:numPr>
        <w:spacing w:line="276" w:lineRule="auto"/>
        <w:jc w:val="both"/>
        <w:rPr>
          <w:rFonts w:ascii="Cambria" w:eastAsiaTheme="minorEastAsia" w:hAnsi="Cambria"/>
          <w:sz w:val="24"/>
          <w:szCs w:val="24"/>
        </w:rPr>
      </w:pPr>
      <w:r w:rsidRPr="0084492E">
        <w:rPr>
          <w:rFonts w:ascii="Cambria" w:eastAsiaTheme="minorEastAsia" w:hAnsi="Cambria"/>
          <w:sz w:val="24"/>
          <w:szCs w:val="24"/>
        </w:rPr>
        <w:t>E</w:t>
      </w:r>
      <w:r w:rsidR="00867723" w:rsidRPr="0084492E">
        <w:rPr>
          <w:rFonts w:ascii="Cambria" w:eastAsiaTheme="minorEastAsia" w:hAnsi="Cambria"/>
          <w:sz w:val="24"/>
          <w:szCs w:val="24"/>
        </w:rPr>
        <w:t>l GdC impulsó un marco normativo e institucional para la estructuración y financiación de proyectos con participación privada,</w:t>
      </w:r>
      <w:r w:rsidRPr="0084492E">
        <w:rPr>
          <w:rFonts w:ascii="Cambria" w:eastAsiaTheme="minorEastAsia" w:hAnsi="Cambria"/>
          <w:sz w:val="24"/>
          <w:szCs w:val="24"/>
        </w:rPr>
        <w:t xml:space="preserve"> originado y enfocado en el sector de transporte, </w:t>
      </w:r>
      <w:r w:rsidR="00867723" w:rsidRPr="0084492E">
        <w:rPr>
          <w:rFonts w:ascii="Cambria" w:eastAsiaTheme="minorEastAsia" w:hAnsi="Cambria"/>
          <w:sz w:val="24"/>
          <w:szCs w:val="24"/>
        </w:rPr>
        <w:t xml:space="preserve"> que</w:t>
      </w:r>
      <w:r w:rsidRPr="0084492E">
        <w:rPr>
          <w:rFonts w:ascii="Cambria" w:eastAsiaTheme="minorEastAsia" w:hAnsi="Cambria"/>
          <w:sz w:val="24"/>
          <w:szCs w:val="24"/>
        </w:rPr>
        <w:t xml:space="preserve"> se materializó en las siguientes reformas</w:t>
      </w:r>
      <w:r w:rsidR="00867723" w:rsidRPr="0084492E">
        <w:rPr>
          <w:rFonts w:ascii="Cambria" w:eastAsiaTheme="minorEastAsia" w:hAnsi="Cambria"/>
          <w:sz w:val="24"/>
          <w:szCs w:val="24"/>
        </w:rPr>
        <w:t>: (i)</w:t>
      </w:r>
      <w:r w:rsidR="002B0CEA" w:rsidRPr="0084492E">
        <w:rPr>
          <w:rFonts w:ascii="Cambria" w:eastAsiaTheme="minorEastAsia" w:hAnsi="Cambria"/>
          <w:sz w:val="24"/>
          <w:szCs w:val="24"/>
        </w:rPr>
        <w:t xml:space="preserve"> </w:t>
      </w:r>
      <w:r w:rsidRPr="0084492E">
        <w:rPr>
          <w:rFonts w:ascii="Cambria" w:eastAsiaTheme="minorEastAsia" w:hAnsi="Cambria"/>
          <w:sz w:val="24"/>
          <w:szCs w:val="24"/>
        </w:rPr>
        <w:t xml:space="preserve">aprobación de la Ley </w:t>
      </w:r>
      <w:r w:rsidR="00891821">
        <w:rPr>
          <w:rFonts w:ascii="Cambria" w:eastAsiaTheme="minorEastAsia" w:hAnsi="Cambria"/>
          <w:sz w:val="24"/>
          <w:szCs w:val="24"/>
        </w:rPr>
        <w:t xml:space="preserve">1508 de 2012 (“Ley </w:t>
      </w:r>
      <w:r w:rsidRPr="0084492E">
        <w:rPr>
          <w:rFonts w:ascii="Cambria" w:eastAsiaTheme="minorEastAsia" w:hAnsi="Cambria"/>
          <w:sz w:val="24"/>
          <w:szCs w:val="24"/>
        </w:rPr>
        <w:t>APP</w:t>
      </w:r>
      <w:r w:rsidR="00891821">
        <w:rPr>
          <w:rFonts w:ascii="Cambria" w:eastAsiaTheme="minorEastAsia" w:hAnsi="Cambria"/>
          <w:sz w:val="24"/>
          <w:szCs w:val="24"/>
        </w:rPr>
        <w:t>”)</w:t>
      </w:r>
      <w:r w:rsidR="00867723" w:rsidRPr="0084492E">
        <w:rPr>
          <w:rFonts w:ascii="Cambria" w:eastAsiaTheme="minorEastAsia" w:hAnsi="Cambria"/>
          <w:sz w:val="24"/>
          <w:szCs w:val="24"/>
        </w:rPr>
        <w:t xml:space="preserve">; (ii) </w:t>
      </w:r>
      <w:r w:rsidR="00227241">
        <w:rPr>
          <w:rFonts w:ascii="Cambria" w:eastAsiaTheme="minorEastAsia" w:hAnsi="Cambria"/>
          <w:sz w:val="24"/>
          <w:szCs w:val="24"/>
        </w:rPr>
        <w:t>aprobac</w:t>
      </w:r>
      <w:r w:rsidR="002B0CEA" w:rsidRPr="0084492E">
        <w:rPr>
          <w:rFonts w:ascii="Cambria" w:eastAsiaTheme="minorEastAsia" w:hAnsi="Cambria"/>
          <w:sz w:val="24"/>
          <w:szCs w:val="24"/>
        </w:rPr>
        <w:t xml:space="preserve">ión de </w:t>
      </w:r>
      <w:r w:rsidR="00867723" w:rsidRPr="0084492E">
        <w:rPr>
          <w:rFonts w:ascii="Cambria" w:eastAsiaTheme="minorEastAsia" w:hAnsi="Cambria"/>
          <w:sz w:val="24"/>
          <w:szCs w:val="24"/>
        </w:rPr>
        <w:t xml:space="preserve">la Ley </w:t>
      </w:r>
      <w:r w:rsidR="00227241">
        <w:rPr>
          <w:rFonts w:ascii="Cambria" w:eastAsiaTheme="minorEastAsia" w:hAnsi="Cambria"/>
          <w:sz w:val="24"/>
          <w:szCs w:val="24"/>
        </w:rPr>
        <w:t xml:space="preserve">1682 de 2013 (“Ley </w:t>
      </w:r>
      <w:r w:rsidR="00867723" w:rsidRPr="0084492E">
        <w:rPr>
          <w:rFonts w:ascii="Cambria" w:eastAsiaTheme="minorEastAsia" w:hAnsi="Cambria"/>
          <w:sz w:val="24"/>
          <w:szCs w:val="24"/>
        </w:rPr>
        <w:t>d</w:t>
      </w:r>
      <w:r w:rsidRPr="0084492E">
        <w:rPr>
          <w:rFonts w:ascii="Cambria" w:eastAsiaTheme="minorEastAsia" w:hAnsi="Cambria"/>
          <w:sz w:val="24"/>
          <w:szCs w:val="24"/>
        </w:rPr>
        <w:t>e Infraestructura de Transporte</w:t>
      </w:r>
      <w:r w:rsidR="00227241">
        <w:rPr>
          <w:rFonts w:ascii="Cambria" w:eastAsiaTheme="minorEastAsia" w:hAnsi="Cambria"/>
          <w:sz w:val="24"/>
          <w:szCs w:val="24"/>
        </w:rPr>
        <w:t>”)</w:t>
      </w:r>
      <w:r w:rsidR="002B0CEA" w:rsidRPr="0084492E">
        <w:rPr>
          <w:rFonts w:ascii="Cambria" w:eastAsiaTheme="minorEastAsia" w:hAnsi="Cambria"/>
          <w:sz w:val="24"/>
          <w:szCs w:val="24"/>
        </w:rPr>
        <w:t xml:space="preserve">; (iii) </w:t>
      </w:r>
      <w:r w:rsidR="00867723" w:rsidRPr="0084492E">
        <w:rPr>
          <w:rFonts w:ascii="Cambria" w:eastAsiaTheme="minorEastAsia" w:hAnsi="Cambria"/>
          <w:sz w:val="24"/>
          <w:szCs w:val="24"/>
        </w:rPr>
        <w:t>creación de la Agencia Nacional de I</w:t>
      </w:r>
      <w:r w:rsidR="002B0CEA" w:rsidRPr="0084492E">
        <w:rPr>
          <w:rFonts w:ascii="Cambria" w:eastAsiaTheme="minorEastAsia" w:hAnsi="Cambria"/>
          <w:sz w:val="24"/>
          <w:szCs w:val="24"/>
        </w:rPr>
        <w:t xml:space="preserve">nfraestructura (ANI); y (iv) </w:t>
      </w:r>
      <w:r w:rsidR="00867723" w:rsidRPr="0084492E">
        <w:rPr>
          <w:rFonts w:ascii="Cambria" w:eastAsiaTheme="minorEastAsia" w:hAnsi="Cambria"/>
          <w:sz w:val="24"/>
          <w:szCs w:val="24"/>
        </w:rPr>
        <w:t>creación de la Financiera de Desarrollo Nacional (FDN).</w:t>
      </w:r>
    </w:p>
    <w:p w:rsidR="00867723" w:rsidRPr="0084492E" w:rsidRDefault="00867723" w:rsidP="00867723">
      <w:pPr>
        <w:pStyle w:val="ListParagraph"/>
        <w:rPr>
          <w:rFonts w:ascii="Cambria" w:eastAsiaTheme="minorEastAsia" w:hAnsi="Cambria"/>
          <w:sz w:val="24"/>
          <w:szCs w:val="24"/>
        </w:rPr>
      </w:pPr>
    </w:p>
    <w:p w:rsidR="002B0CEA" w:rsidRPr="0084492E" w:rsidRDefault="00867723" w:rsidP="00867723">
      <w:pPr>
        <w:pStyle w:val="ListParagraph"/>
        <w:numPr>
          <w:ilvl w:val="0"/>
          <w:numId w:val="35"/>
        </w:numPr>
        <w:spacing w:line="276" w:lineRule="auto"/>
        <w:jc w:val="both"/>
        <w:rPr>
          <w:rFonts w:ascii="Cambria" w:eastAsiaTheme="minorEastAsia" w:hAnsi="Cambria"/>
          <w:sz w:val="24"/>
          <w:szCs w:val="24"/>
        </w:rPr>
      </w:pPr>
      <w:r w:rsidRPr="0084492E">
        <w:rPr>
          <w:rFonts w:ascii="Cambria" w:eastAsiaTheme="minorEastAsia" w:hAnsi="Cambria"/>
          <w:sz w:val="24"/>
          <w:szCs w:val="24"/>
        </w:rPr>
        <w:t>Para consolidar la inversión privada en los sectores transporte y agua y saneamiento, así como desarrollarla en otros sectores sociales (educación, salud o justicia) existen retos importantes: (i) adecuación de marcos normativos y regulatorios; (ii) fortalecimiento de la institucionalidad con la debida capacidad técnica y de gestión; (iii) ampliación de las modalidades de retribución en proyectos APP; y (iv) mejoramiento del ciclo</w:t>
      </w:r>
      <w:r w:rsidR="002B0CEA" w:rsidRPr="0084492E">
        <w:rPr>
          <w:rFonts w:ascii="Cambria" w:eastAsiaTheme="minorEastAsia" w:hAnsi="Cambria"/>
          <w:sz w:val="24"/>
          <w:szCs w:val="24"/>
        </w:rPr>
        <w:t xml:space="preserve"> de inversión y gestión pública a nivel subnacional.</w:t>
      </w:r>
    </w:p>
    <w:p w:rsidR="002B0CEA" w:rsidRPr="0084492E" w:rsidRDefault="002B0CEA" w:rsidP="002B0CEA">
      <w:pPr>
        <w:pStyle w:val="ListParagraph"/>
        <w:rPr>
          <w:rFonts w:ascii="Cambria" w:eastAsiaTheme="minorEastAsia" w:hAnsi="Cambria"/>
          <w:sz w:val="24"/>
          <w:szCs w:val="24"/>
        </w:rPr>
      </w:pPr>
    </w:p>
    <w:p w:rsidR="00867723" w:rsidRPr="0084492E" w:rsidRDefault="00867723" w:rsidP="00867723">
      <w:pPr>
        <w:pStyle w:val="ListParagraph"/>
        <w:numPr>
          <w:ilvl w:val="0"/>
          <w:numId w:val="35"/>
        </w:numPr>
        <w:spacing w:line="276" w:lineRule="auto"/>
        <w:jc w:val="both"/>
        <w:rPr>
          <w:rFonts w:ascii="Cambria" w:eastAsiaTheme="minorEastAsia" w:hAnsi="Cambria"/>
          <w:sz w:val="24"/>
          <w:szCs w:val="24"/>
        </w:rPr>
      </w:pPr>
      <w:r w:rsidRPr="0084492E">
        <w:rPr>
          <w:rFonts w:ascii="Cambria" w:eastAsiaTheme="minorEastAsia" w:hAnsi="Cambria"/>
          <w:sz w:val="24"/>
          <w:szCs w:val="24"/>
        </w:rPr>
        <w:t>A través del Préstamo 3090/OC-CO, Programa de Apoyo a la Participación Privada (PAPP), en ejecución</w:t>
      </w:r>
      <w:r w:rsidR="002B0CEA" w:rsidRPr="0084492E">
        <w:rPr>
          <w:rFonts w:ascii="Cambria" w:eastAsiaTheme="minorEastAsia" w:hAnsi="Cambria"/>
          <w:sz w:val="24"/>
          <w:szCs w:val="24"/>
        </w:rPr>
        <w:t xml:space="preserve"> por el DNP</w:t>
      </w:r>
      <w:r w:rsidRPr="0084492E">
        <w:rPr>
          <w:rFonts w:ascii="Cambria" w:eastAsiaTheme="minorEastAsia" w:hAnsi="Cambria"/>
          <w:sz w:val="24"/>
          <w:szCs w:val="24"/>
        </w:rPr>
        <w:t xml:space="preserve">, se </w:t>
      </w:r>
      <w:r w:rsidR="002B0CEA" w:rsidRPr="0084492E">
        <w:rPr>
          <w:rFonts w:ascii="Cambria" w:eastAsiaTheme="minorEastAsia" w:hAnsi="Cambria"/>
          <w:sz w:val="24"/>
          <w:szCs w:val="24"/>
        </w:rPr>
        <w:t>han realizado</w:t>
      </w:r>
      <w:r w:rsidRPr="0084492E">
        <w:rPr>
          <w:rFonts w:ascii="Cambria" w:eastAsiaTheme="minorEastAsia" w:hAnsi="Cambria"/>
          <w:sz w:val="24"/>
          <w:szCs w:val="24"/>
        </w:rPr>
        <w:t xml:space="preserve"> diagnósticos (estudios marco)</w:t>
      </w:r>
      <w:r w:rsidR="00B5016C">
        <w:rPr>
          <w:rFonts w:ascii="Cambria" w:eastAsiaTheme="minorEastAsia" w:hAnsi="Cambria"/>
          <w:sz w:val="24"/>
          <w:szCs w:val="24"/>
        </w:rPr>
        <w:t xml:space="preserve"> en los sectores de educación y salud,</w:t>
      </w:r>
      <w:r w:rsidRPr="0084492E">
        <w:rPr>
          <w:rFonts w:ascii="Cambria" w:eastAsiaTheme="minorEastAsia" w:hAnsi="Cambria"/>
          <w:sz w:val="24"/>
          <w:szCs w:val="24"/>
        </w:rPr>
        <w:t xml:space="preserve"> que identifican y definen el alcance de las reformas regulatorias o de política para la adecuación de los marcos normativos sectoriales. Posteriormente, se realiza</w:t>
      </w:r>
      <w:r w:rsidR="002B0CEA" w:rsidRPr="0084492E">
        <w:rPr>
          <w:rFonts w:ascii="Cambria" w:eastAsiaTheme="minorEastAsia" w:hAnsi="Cambria"/>
          <w:sz w:val="24"/>
          <w:szCs w:val="24"/>
        </w:rPr>
        <w:t>rá</w:t>
      </w:r>
      <w:r w:rsidRPr="0084492E">
        <w:rPr>
          <w:rFonts w:ascii="Cambria" w:eastAsiaTheme="minorEastAsia" w:hAnsi="Cambria"/>
          <w:sz w:val="24"/>
          <w:szCs w:val="24"/>
        </w:rPr>
        <w:t xml:space="preserve"> una estructuración piloto que </w:t>
      </w:r>
      <w:r w:rsidR="002B0CEA" w:rsidRPr="0084492E">
        <w:rPr>
          <w:rFonts w:ascii="Cambria" w:eastAsiaTheme="minorEastAsia" w:hAnsi="Cambria"/>
          <w:sz w:val="24"/>
          <w:szCs w:val="24"/>
        </w:rPr>
        <w:t>identifique</w:t>
      </w:r>
      <w:r w:rsidRPr="0084492E">
        <w:rPr>
          <w:rFonts w:ascii="Cambria" w:eastAsiaTheme="minorEastAsia" w:hAnsi="Cambria"/>
          <w:sz w:val="24"/>
          <w:szCs w:val="24"/>
        </w:rPr>
        <w:t xml:space="preserve"> aspectos institucionales, técnicos, financieros y normativos que limitan</w:t>
      </w:r>
      <w:r w:rsidR="002B0CEA" w:rsidRPr="0084492E">
        <w:rPr>
          <w:rFonts w:ascii="Cambria" w:eastAsiaTheme="minorEastAsia" w:hAnsi="Cambria"/>
          <w:sz w:val="24"/>
          <w:szCs w:val="24"/>
        </w:rPr>
        <w:t xml:space="preserve"> la aplicación de APP y proponga</w:t>
      </w:r>
      <w:r w:rsidRPr="0084492E">
        <w:rPr>
          <w:rFonts w:ascii="Cambria" w:eastAsiaTheme="minorEastAsia" w:hAnsi="Cambria"/>
          <w:sz w:val="24"/>
          <w:szCs w:val="24"/>
        </w:rPr>
        <w:t xml:space="preserve"> recomendaciones para facilitar su desarrollo</w:t>
      </w:r>
      <w:r w:rsidR="00B5016C">
        <w:rPr>
          <w:rFonts w:ascii="Cambria" w:eastAsiaTheme="minorEastAsia" w:hAnsi="Cambria"/>
          <w:sz w:val="24"/>
          <w:szCs w:val="24"/>
        </w:rPr>
        <w:t xml:space="preserve"> en tales sectores</w:t>
      </w:r>
      <w:r w:rsidRPr="0084492E">
        <w:rPr>
          <w:rFonts w:ascii="Cambria" w:eastAsiaTheme="minorEastAsia" w:hAnsi="Cambria"/>
          <w:sz w:val="24"/>
          <w:szCs w:val="24"/>
        </w:rPr>
        <w:t>.</w:t>
      </w:r>
    </w:p>
    <w:p w:rsidR="0006358D" w:rsidRPr="0084492E" w:rsidRDefault="0006358D" w:rsidP="0006358D">
      <w:pPr>
        <w:pStyle w:val="ListParagraph"/>
        <w:rPr>
          <w:rFonts w:ascii="Cambria" w:eastAsiaTheme="minorEastAsia" w:hAnsi="Cambria"/>
          <w:sz w:val="24"/>
          <w:szCs w:val="24"/>
        </w:rPr>
      </w:pPr>
    </w:p>
    <w:p w:rsidR="00091B3B" w:rsidRPr="0084492E" w:rsidRDefault="0006358D" w:rsidP="0006358D">
      <w:pPr>
        <w:pStyle w:val="ListParagraph"/>
        <w:numPr>
          <w:ilvl w:val="0"/>
          <w:numId w:val="35"/>
        </w:numPr>
        <w:spacing w:line="276" w:lineRule="auto"/>
        <w:jc w:val="both"/>
        <w:rPr>
          <w:rFonts w:ascii="Cambria" w:eastAsiaTheme="minorEastAsia" w:hAnsi="Cambria"/>
          <w:sz w:val="24"/>
          <w:szCs w:val="24"/>
        </w:rPr>
      </w:pPr>
      <w:r w:rsidRPr="0084492E">
        <w:rPr>
          <w:rFonts w:ascii="Cambria" w:eastAsiaTheme="minorEastAsia" w:hAnsi="Cambria"/>
          <w:sz w:val="24"/>
          <w:szCs w:val="24"/>
        </w:rPr>
        <w:t xml:space="preserve">Del diagnóstico, lecciones aprendidas, retos futuros y brechas de infraestructura discutidas en el perfil de proyecto, se identifican como mayores problemas para la profundización de las APP en Colombia: (i) limitaciones del sistema normativo para el desarrollo de la participación privada; (ii) existen restricciones fiscales y falta de capacidad en el orden subnacional para aplicar </w:t>
      </w:r>
      <w:r w:rsidR="00091B3B" w:rsidRPr="0084492E">
        <w:rPr>
          <w:rFonts w:ascii="Cambria" w:eastAsiaTheme="minorEastAsia" w:hAnsi="Cambria"/>
          <w:sz w:val="24"/>
          <w:szCs w:val="24"/>
        </w:rPr>
        <w:t>esquemas APP; (iii) grado desigual de aplicación de los esquemas APP, debido en parte a complejidades sectoriales y debilidades técnicas.</w:t>
      </w:r>
    </w:p>
    <w:p w:rsidR="00091B3B" w:rsidRPr="0084492E" w:rsidRDefault="00091B3B" w:rsidP="00091B3B">
      <w:pPr>
        <w:pStyle w:val="ListParagraph"/>
        <w:rPr>
          <w:rFonts w:ascii="Cambria" w:eastAsiaTheme="minorEastAsia" w:hAnsi="Cambria"/>
          <w:sz w:val="24"/>
          <w:szCs w:val="24"/>
        </w:rPr>
      </w:pPr>
    </w:p>
    <w:p w:rsidR="00091B3B" w:rsidRPr="0084492E" w:rsidRDefault="00091B3B" w:rsidP="00091B3B">
      <w:pPr>
        <w:pStyle w:val="ListParagraph"/>
        <w:numPr>
          <w:ilvl w:val="0"/>
          <w:numId w:val="35"/>
        </w:numPr>
        <w:spacing w:line="276" w:lineRule="auto"/>
        <w:jc w:val="both"/>
        <w:rPr>
          <w:rFonts w:ascii="Cambria" w:eastAsiaTheme="minorEastAsia" w:hAnsi="Cambria"/>
          <w:sz w:val="24"/>
          <w:szCs w:val="24"/>
        </w:rPr>
      </w:pPr>
      <w:r w:rsidRPr="0084492E">
        <w:rPr>
          <w:rFonts w:ascii="Cambria" w:eastAsiaTheme="minorEastAsia" w:hAnsi="Cambria"/>
          <w:sz w:val="24"/>
          <w:szCs w:val="24"/>
        </w:rPr>
        <w:t xml:space="preserve">El Plan Nacional de Desarrollo PND (2014-2018) establece como una de sus principales estrategias la consolidación del esquema APP en la provisión y gestión de infraestructura económica y servicios públicos y el impulso de su desarrollo en sectores sociales. Asimismo, con miras a mejorar la calidad de la inversión, reconoce la necesidad de fomentar la capacidad de las entidades territoriales para la formulación y estructuración de proyectos APP. </w:t>
      </w:r>
    </w:p>
    <w:p w:rsidR="00091B3B" w:rsidRPr="0084492E" w:rsidRDefault="00091B3B" w:rsidP="00091B3B">
      <w:pPr>
        <w:pStyle w:val="ListParagraph"/>
        <w:rPr>
          <w:rFonts w:ascii="Cambria" w:eastAsiaTheme="minorEastAsia" w:hAnsi="Cambria"/>
          <w:sz w:val="24"/>
          <w:szCs w:val="24"/>
        </w:rPr>
      </w:pPr>
    </w:p>
    <w:p w:rsidR="00091B3B" w:rsidRPr="0084492E" w:rsidRDefault="00774FEA" w:rsidP="00774FEA">
      <w:pPr>
        <w:spacing w:line="276" w:lineRule="auto"/>
        <w:ind w:firstLine="360"/>
        <w:jc w:val="both"/>
        <w:rPr>
          <w:rFonts w:ascii="Cambria" w:eastAsiaTheme="minorEastAsia" w:hAnsi="Cambria"/>
          <w:b/>
          <w:smallCaps/>
          <w:sz w:val="24"/>
          <w:szCs w:val="24"/>
        </w:rPr>
      </w:pPr>
      <w:r>
        <w:rPr>
          <w:rFonts w:ascii="Cambria" w:eastAsiaTheme="minorEastAsia" w:hAnsi="Cambria"/>
          <w:b/>
          <w:smallCaps/>
          <w:sz w:val="24"/>
          <w:szCs w:val="24"/>
        </w:rPr>
        <w:t xml:space="preserve">1.2 </w:t>
      </w:r>
      <w:r w:rsidR="00091B3B" w:rsidRPr="0084492E">
        <w:rPr>
          <w:rFonts w:ascii="Cambria" w:eastAsiaTheme="minorEastAsia" w:hAnsi="Cambria"/>
          <w:b/>
          <w:smallCaps/>
          <w:sz w:val="24"/>
          <w:szCs w:val="24"/>
        </w:rPr>
        <w:t>Objetivo y alcance del programa</w:t>
      </w:r>
    </w:p>
    <w:p w:rsidR="0006358D" w:rsidRPr="0084492E" w:rsidRDefault="00091B3B" w:rsidP="00294E40">
      <w:pPr>
        <w:pStyle w:val="ListParagraph"/>
        <w:numPr>
          <w:ilvl w:val="0"/>
          <w:numId w:val="36"/>
        </w:numPr>
        <w:spacing w:line="276" w:lineRule="auto"/>
        <w:jc w:val="both"/>
        <w:rPr>
          <w:rFonts w:ascii="Cambria" w:eastAsiaTheme="minorEastAsia" w:hAnsi="Cambria"/>
          <w:sz w:val="24"/>
          <w:szCs w:val="24"/>
        </w:rPr>
      </w:pPr>
      <w:r w:rsidRPr="0084492E">
        <w:rPr>
          <w:rFonts w:ascii="Cambria" w:eastAsiaTheme="minorEastAsia" w:hAnsi="Cambria"/>
          <w:sz w:val="24"/>
          <w:szCs w:val="24"/>
        </w:rPr>
        <w:t xml:space="preserve">El objetivo </w:t>
      </w:r>
      <w:r w:rsidRPr="0084492E">
        <w:rPr>
          <w:rFonts w:ascii="Cambria" w:eastAsiaTheme="minorEastAsia" w:hAnsi="Cambria"/>
          <w:i/>
          <w:sz w:val="24"/>
          <w:szCs w:val="24"/>
        </w:rPr>
        <w:t>general</w:t>
      </w:r>
      <w:r w:rsidRPr="0084492E">
        <w:rPr>
          <w:rFonts w:ascii="Cambria" w:eastAsiaTheme="minorEastAsia" w:hAnsi="Cambria"/>
          <w:sz w:val="24"/>
          <w:szCs w:val="24"/>
        </w:rPr>
        <w:t xml:space="preserve"> del programa CO-L1162 es contribuir a reducir la brecha en la provisión y calidad de los servicios de infraestructura, incrementando la competitividad y el crecimiento económico. El objetivo </w:t>
      </w:r>
      <w:r w:rsidRPr="0084492E">
        <w:rPr>
          <w:rFonts w:ascii="Cambria" w:eastAsiaTheme="minorEastAsia" w:hAnsi="Cambria"/>
          <w:i/>
          <w:sz w:val="24"/>
          <w:szCs w:val="24"/>
        </w:rPr>
        <w:t>específico</w:t>
      </w:r>
      <w:r w:rsidRPr="0084492E">
        <w:rPr>
          <w:rFonts w:ascii="Cambria" w:eastAsiaTheme="minorEastAsia" w:hAnsi="Cambria"/>
          <w:sz w:val="24"/>
          <w:szCs w:val="24"/>
        </w:rPr>
        <w:t xml:space="preserve"> del programa es contribuir a incrementar la inversión en la provisión y gestión de infraestructura económica y social, a través de la consolidación de la política pública para la vinculación de la participación privada a nivel nacional y territorial.</w:t>
      </w:r>
    </w:p>
    <w:p w:rsidR="00294E40" w:rsidRPr="0084492E" w:rsidRDefault="00294E40" w:rsidP="00294E40">
      <w:pPr>
        <w:pStyle w:val="ListParagraph"/>
        <w:spacing w:line="276" w:lineRule="auto"/>
        <w:ind w:left="360"/>
        <w:jc w:val="both"/>
        <w:rPr>
          <w:rFonts w:ascii="Cambria" w:eastAsiaTheme="minorEastAsia" w:hAnsi="Cambria"/>
          <w:sz w:val="24"/>
          <w:szCs w:val="24"/>
        </w:rPr>
      </w:pPr>
    </w:p>
    <w:p w:rsidR="00294E40" w:rsidRPr="0084492E" w:rsidRDefault="00294E40" w:rsidP="00294E40">
      <w:pPr>
        <w:pStyle w:val="ListParagraph"/>
        <w:numPr>
          <w:ilvl w:val="0"/>
          <w:numId w:val="36"/>
        </w:numPr>
        <w:spacing w:line="276" w:lineRule="auto"/>
        <w:jc w:val="both"/>
        <w:rPr>
          <w:rFonts w:ascii="Cambria" w:eastAsiaTheme="minorEastAsia" w:hAnsi="Cambria"/>
          <w:sz w:val="24"/>
          <w:szCs w:val="24"/>
        </w:rPr>
      </w:pPr>
      <w:r w:rsidRPr="0084492E">
        <w:rPr>
          <w:rFonts w:ascii="Cambria" w:eastAsiaTheme="minorEastAsia" w:hAnsi="Cambria"/>
          <w:sz w:val="24"/>
          <w:szCs w:val="24"/>
        </w:rPr>
        <w:t xml:space="preserve">El programa, además de la componente de estabilidad macroeconómica, busca mejorar el sistema normativo para la prestación y gestión de infraestructura a través de participación privada, consolidar un marco institucional a nivel nacional y territorial, a través del desarrollo de estrategias sectoriales y el diseño de mecanismos de aplicación e implementación de APP, y desarrollar estándares sectoriales a través de la identificación e implementación de recomendaciones y buenas prácticas sectoriales desde el punto de vista técnico, gerencial y financiero. </w:t>
      </w:r>
    </w:p>
    <w:p w:rsidR="00294E40" w:rsidRPr="0084492E" w:rsidRDefault="00294E40" w:rsidP="00294E40">
      <w:pPr>
        <w:pStyle w:val="ListParagraph"/>
        <w:rPr>
          <w:rFonts w:ascii="Cambria" w:eastAsiaTheme="minorEastAsia" w:hAnsi="Cambria"/>
          <w:sz w:val="24"/>
          <w:szCs w:val="24"/>
        </w:rPr>
      </w:pPr>
    </w:p>
    <w:p w:rsidR="00294E40" w:rsidRPr="0084492E" w:rsidRDefault="0046481E" w:rsidP="00294E40">
      <w:pPr>
        <w:pStyle w:val="ListParagraph"/>
        <w:numPr>
          <w:ilvl w:val="0"/>
          <w:numId w:val="36"/>
        </w:numPr>
        <w:spacing w:line="276" w:lineRule="auto"/>
        <w:jc w:val="both"/>
        <w:rPr>
          <w:rFonts w:ascii="Cambria" w:eastAsiaTheme="minorEastAsia" w:hAnsi="Cambria"/>
          <w:sz w:val="24"/>
          <w:szCs w:val="24"/>
        </w:rPr>
      </w:pPr>
      <w:r w:rsidRPr="0084492E">
        <w:rPr>
          <w:rFonts w:ascii="Cambria" w:eastAsiaTheme="minorEastAsia" w:hAnsi="Cambria"/>
          <w:sz w:val="24"/>
          <w:szCs w:val="24"/>
        </w:rPr>
        <w:t xml:space="preserve">Los sectores en los que el programa se enfocará son: (i) educación; (ii) salud; (iii) agua potable y saneamiento; (iv) transporte y (v) cárceles. </w:t>
      </w:r>
      <w:r w:rsidR="00294E40" w:rsidRPr="0084492E">
        <w:rPr>
          <w:rFonts w:ascii="Cambria" w:eastAsiaTheme="minorEastAsia" w:hAnsi="Cambria"/>
          <w:sz w:val="24"/>
          <w:szCs w:val="24"/>
        </w:rPr>
        <w:t>El organismo ejecutor será el Departamento Nacional de Planeación (DNP), y el plan de financiamiento es de US$ 400 millones.</w:t>
      </w:r>
    </w:p>
    <w:p w:rsidR="00294E40" w:rsidRPr="0084492E" w:rsidRDefault="00294E40" w:rsidP="00294E40">
      <w:pPr>
        <w:pStyle w:val="ListParagraph"/>
        <w:rPr>
          <w:rFonts w:ascii="Cambria" w:eastAsiaTheme="minorEastAsia" w:hAnsi="Cambria"/>
          <w:sz w:val="24"/>
          <w:szCs w:val="24"/>
        </w:rPr>
      </w:pPr>
    </w:p>
    <w:p w:rsidR="00294E40" w:rsidRPr="0084492E" w:rsidRDefault="00294E40">
      <w:pPr>
        <w:rPr>
          <w:rFonts w:ascii="Cambria" w:eastAsiaTheme="minorEastAsia" w:hAnsi="Cambria"/>
          <w:sz w:val="24"/>
          <w:szCs w:val="24"/>
        </w:rPr>
      </w:pPr>
      <w:r w:rsidRPr="0084492E">
        <w:rPr>
          <w:rFonts w:ascii="Cambria" w:eastAsiaTheme="minorEastAsia" w:hAnsi="Cambria"/>
          <w:sz w:val="24"/>
          <w:szCs w:val="24"/>
        </w:rPr>
        <w:br w:type="page"/>
      </w:r>
    </w:p>
    <w:p w:rsidR="002A10B9" w:rsidRPr="0084492E" w:rsidRDefault="00294E40" w:rsidP="002A10B9">
      <w:pPr>
        <w:spacing w:line="276" w:lineRule="auto"/>
        <w:jc w:val="both"/>
        <w:rPr>
          <w:rFonts w:ascii="Cambria" w:eastAsiaTheme="minorEastAsia" w:hAnsi="Cambria"/>
          <w:b/>
          <w:smallCaps/>
          <w:sz w:val="24"/>
          <w:szCs w:val="24"/>
        </w:rPr>
      </w:pPr>
      <w:r w:rsidRPr="0084492E">
        <w:rPr>
          <w:rFonts w:ascii="Cambria" w:eastAsiaTheme="minorEastAsia" w:hAnsi="Cambria"/>
          <w:b/>
          <w:smallCaps/>
          <w:sz w:val="24"/>
          <w:szCs w:val="24"/>
        </w:rPr>
        <w:t xml:space="preserve">2. </w:t>
      </w:r>
      <w:r w:rsidR="00E84856">
        <w:rPr>
          <w:rFonts w:ascii="Cambria" w:eastAsiaTheme="minorEastAsia" w:hAnsi="Cambria"/>
          <w:b/>
          <w:smallCaps/>
          <w:sz w:val="24"/>
          <w:szCs w:val="24"/>
        </w:rPr>
        <w:t>Lógica de las APP y m</w:t>
      </w:r>
      <w:r w:rsidR="002A10B9" w:rsidRPr="0084492E">
        <w:rPr>
          <w:rFonts w:ascii="Cambria" w:eastAsiaTheme="minorEastAsia" w:hAnsi="Cambria"/>
          <w:b/>
          <w:smallCaps/>
          <w:sz w:val="24"/>
          <w:szCs w:val="24"/>
        </w:rPr>
        <w:t>etodología de evaluación económica</w:t>
      </w:r>
      <w:r w:rsidR="00774FEA">
        <w:rPr>
          <w:rFonts w:ascii="Cambria" w:eastAsiaTheme="minorEastAsia" w:hAnsi="Cambria"/>
          <w:b/>
          <w:smallCaps/>
          <w:sz w:val="24"/>
          <w:szCs w:val="24"/>
        </w:rPr>
        <w:t xml:space="preserve"> </w:t>
      </w:r>
      <w:r w:rsidR="00E84856">
        <w:rPr>
          <w:rFonts w:ascii="Cambria" w:eastAsiaTheme="minorEastAsia" w:hAnsi="Cambria"/>
          <w:b/>
          <w:smallCaps/>
          <w:sz w:val="24"/>
          <w:szCs w:val="24"/>
        </w:rPr>
        <w:t>del programa</w:t>
      </w:r>
      <w:r w:rsidR="00774FEA">
        <w:rPr>
          <w:rFonts w:ascii="Cambria" w:eastAsiaTheme="minorEastAsia" w:hAnsi="Cambria"/>
          <w:b/>
          <w:smallCaps/>
          <w:sz w:val="24"/>
          <w:szCs w:val="24"/>
        </w:rPr>
        <w:t xml:space="preserve"> </w:t>
      </w:r>
      <w:r w:rsidR="002A10B9" w:rsidRPr="0084492E">
        <w:rPr>
          <w:rFonts w:ascii="Cambria" w:eastAsiaTheme="minorEastAsia" w:hAnsi="Cambria"/>
          <w:b/>
          <w:smallCaps/>
          <w:sz w:val="24"/>
          <w:szCs w:val="24"/>
        </w:rPr>
        <w:t xml:space="preserve"> </w:t>
      </w:r>
    </w:p>
    <w:p w:rsidR="00E84856" w:rsidRPr="00766C7B" w:rsidRDefault="00774FEA" w:rsidP="00E84856">
      <w:pPr>
        <w:spacing w:line="276" w:lineRule="auto"/>
        <w:ind w:firstLine="360"/>
        <w:jc w:val="both"/>
        <w:rPr>
          <w:rFonts w:ascii="Cambria" w:eastAsiaTheme="minorEastAsia" w:hAnsi="Cambria"/>
          <w:b/>
          <w:smallCaps/>
          <w:sz w:val="24"/>
          <w:szCs w:val="24"/>
        </w:rPr>
      </w:pPr>
      <w:r>
        <w:tab/>
      </w:r>
      <w:r w:rsidR="00E84856">
        <w:rPr>
          <w:rFonts w:ascii="Cambria" w:eastAsiaTheme="minorEastAsia" w:hAnsi="Cambria"/>
          <w:b/>
          <w:smallCaps/>
          <w:sz w:val="24"/>
          <w:szCs w:val="24"/>
        </w:rPr>
        <w:t xml:space="preserve">2.1 </w:t>
      </w:r>
      <w:r w:rsidR="00E84856" w:rsidRPr="00766C7B">
        <w:rPr>
          <w:rFonts w:ascii="Cambria" w:eastAsiaTheme="minorEastAsia" w:hAnsi="Cambria"/>
          <w:b/>
          <w:smallCaps/>
          <w:sz w:val="24"/>
          <w:szCs w:val="24"/>
        </w:rPr>
        <w:t>Financiación vs. Fuentes de Pago en APP</w:t>
      </w:r>
    </w:p>
    <w:p w:rsidR="00E84856" w:rsidRDefault="00E84856" w:rsidP="00E84856">
      <w:pPr>
        <w:spacing w:line="276" w:lineRule="auto"/>
        <w:jc w:val="both"/>
        <w:rPr>
          <w:rFonts w:ascii="Cambria" w:eastAsiaTheme="minorEastAsia" w:hAnsi="Cambria"/>
          <w:sz w:val="24"/>
          <w:szCs w:val="24"/>
        </w:rPr>
      </w:pPr>
      <w:r>
        <w:rPr>
          <w:rFonts w:ascii="Cambria" w:eastAsiaTheme="minorEastAsia" w:hAnsi="Cambria"/>
          <w:sz w:val="24"/>
          <w:szCs w:val="24"/>
        </w:rPr>
        <w:t>En su trabajo sobre las finanzas públicas de las APP, Engel, Fi</w:t>
      </w:r>
      <w:r w:rsidR="0099186D">
        <w:rPr>
          <w:rFonts w:ascii="Cambria" w:eastAsiaTheme="minorEastAsia" w:hAnsi="Cambria"/>
          <w:sz w:val="24"/>
          <w:szCs w:val="24"/>
        </w:rPr>
        <w:t>scher y Galetovic (2013) discute</w:t>
      </w:r>
      <w:r>
        <w:rPr>
          <w:rFonts w:ascii="Cambria" w:eastAsiaTheme="minorEastAsia" w:hAnsi="Cambria"/>
          <w:sz w:val="24"/>
          <w:szCs w:val="24"/>
        </w:rPr>
        <w:t xml:space="preserve">n cuál es el impacto de las APP sobre el presupuesto público. En su modelo se supone que existe un costo por recaudar una unidad monetaria de impuestos (representada tanto en los costos administrativos de recaudo como por las pérdidas de eficiencia de </w:t>
      </w:r>
      <w:r w:rsidR="0099186D">
        <w:rPr>
          <w:rFonts w:ascii="Cambria" w:eastAsiaTheme="minorEastAsia" w:hAnsi="Cambria"/>
          <w:sz w:val="24"/>
          <w:szCs w:val="24"/>
        </w:rPr>
        <w:t>los impuestos en la economía). E</w:t>
      </w:r>
      <w:r>
        <w:rPr>
          <w:rFonts w:ascii="Cambria" w:eastAsiaTheme="minorEastAsia" w:hAnsi="Cambria"/>
          <w:sz w:val="24"/>
          <w:szCs w:val="24"/>
        </w:rPr>
        <w:t>stos autores demuestran que, contrario a las creencias populares</w:t>
      </w:r>
      <w:r w:rsidRPr="001B2212">
        <w:rPr>
          <w:rFonts w:ascii="Cambria" w:eastAsiaTheme="minorEastAsia" w:hAnsi="Cambria"/>
          <w:sz w:val="24"/>
          <w:szCs w:val="24"/>
        </w:rPr>
        <w:t xml:space="preserve">, las APP no liberan fondos públicos aunque </w:t>
      </w:r>
      <w:r w:rsidR="00BE67C4">
        <w:rPr>
          <w:rFonts w:ascii="Cambria" w:eastAsiaTheme="minorEastAsia" w:hAnsi="Cambria"/>
          <w:sz w:val="24"/>
          <w:szCs w:val="24"/>
        </w:rPr>
        <w:t xml:space="preserve">los proyectos </w:t>
      </w:r>
      <w:r w:rsidRPr="001B2212">
        <w:rPr>
          <w:rFonts w:ascii="Cambria" w:eastAsiaTheme="minorEastAsia" w:hAnsi="Cambria"/>
          <w:sz w:val="24"/>
          <w:szCs w:val="24"/>
        </w:rPr>
        <w:t>se pagaran totalmente mediante cobros a los usuarios.</w:t>
      </w:r>
      <w:r>
        <w:rPr>
          <w:rFonts w:ascii="Cambria" w:eastAsiaTheme="minorEastAsia" w:hAnsi="Cambria"/>
          <w:sz w:val="24"/>
          <w:szCs w:val="24"/>
        </w:rPr>
        <w:t xml:space="preserve"> </w:t>
      </w:r>
    </w:p>
    <w:p w:rsidR="00E84856" w:rsidRDefault="00E84856" w:rsidP="00E84856">
      <w:pPr>
        <w:spacing w:line="276" w:lineRule="auto"/>
        <w:jc w:val="both"/>
        <w:rPr>
          <w:rFonts w:ascii="Cambria" w:eastAsiaTheme="minorEastAsia" w:hAnsi="Cambria"/>
          <w:sz w:val="24"/>
          <w:szCs w:val="24"/>
        </w:rPr>
      </w:pPr>
      <w:r>
        <w:rPr>
          <w:rFonts w:ascii="Cambria" w:eastAsiaTheme="minorEastAsia" w:hAnsi="Cambria"/>
          <w:sz w:val="24"/>
          <w:szCs w:val="24"/>
        </w:rPr>
        <w:t xml:space="preserve">La razón es que, si bien es cierto que la financiación privada reduce la necesidad de recaudo de impuestos corrientes, esta reducción proviene de sacrificar estos recaudos que le llegan directamente al concesionario. El gobierno hubiera podido recaudar estos pagos y reducir el recaudo de impuestos distorsionadores. Por tanto, no existe ganancia para el gobierno en valor presente. El total de inversiones privadas en APP no puede ser superior al valor presente de la suma de las fuentes de pago: impuestos corrientes, vigencias futuras y cobros a usuarios –que se pueden caracterizar como vigencias futuras anticipadas a cargo de los usuarios-. </w:t>
      </w:r>
    </w:p>
    <w:p w:rsidR="00E84856" w:rsidRDefault="00E84856" w:rsidP="00E84856">
      <w:pPr>
        <w:spacing w:line="276" w:lineRule="auto"/>
        <w:jc w:val="both"/>
        <w:rPr>
          <w:rFonts w:ascii="Cambria" w:eastAsiaTheme="minorEastAsia" w:hAnsi="Cambria"/>
          <w:sz w:val="24"/>
          <w:szCs w:val="24"/>
        </w:rPr>
      </w:pPr>
      <w:r>
        <w:rPr>
          <w:rFonts w:ascii="Cambria" w:eastAsiaTheme="minorEastAsia" w:hAnsi="Cambria"/>
          <w:sz w:val="24"/>
          <w:szCs w:val="24"/>
        </w:rPr>
        <w:t xml:space="preserve">Es decir, el motivo comúnmente planteado del aumento de recursos privados no justifica el uso de las APP. </w:t>
      </w:r>
      <w:r w:rsidR="001B2212">
        <w:rPr>
          <w:rFonts w:ascii="Cambria" w:eastAsiaTheme="minorEastAsia" w:hAnsi="Cambria"/>
          <w:sz w:val="24"/>
          <w:szCs w:val="24"/>
        </w:rPr>
        <w:t>C</w:t>
      </w:r>
      <w:r>
        <w:rPr>
          <w:rFonts w:ascii="Cambria" w:eastAsiaTheme="minorEastAsia" w:hAnsi="Cambria"/>
          <w:sz w:val="24"/>
          <w:szCs w:val="24"/>
        </w:rPr>
        <w:t>omo plantean Hart (2</w:t>
      </w:r>
      <w:r w:rsidR="001B2212">
        <w:rPr>
          <w:rFonts w:ascii="Cambria" w:eastAsiaTheme="minorEastAsia" w:hAnsi="Cambria"/>
          <w:sz w:val="24"/>
          <w:szCs w:val="24"/>
        </w:rPr>
        <w:t>003) e Iossa y Martimort (2008),</w:t>
      </w:r>
      <w:r>
        <w:rPr>
          <w:rFonts w:ascii="Cambria" w:eastAsiaTheme="minorEastAsia" w:hAnsi="Cambria"/>
          <w:sz w:val="24"/>
          <w:szCs w:val="24"/>
        </w:rPr>
        <w:t xml:space="preserve"> una APP logra la mezcla más efectiva de estos dos tipos de costos y esta mezcla es mejor a la solución en la que una reducción en los costos de inversión no se hace a costa de reducir ineficientemente la calidad del servicio a los usuarios. </w:t>
      </w:r>
      <w:r w:rsidR="0025675C">
        <w:rPr>
          <w:rFonts w:ascii="Cambria" w:eastAsiaTheme="minorEastAsia" w:hAnsi="Cambria"/>
          <w:sz w:val="24"/>
          <w:szCs w:val="24"/>
        </w:rPr>
        <w:t>L</w:t>
      </w:r>
      <w:r>
        <w:rPr>
          <w:rFonts w:ascii="Cambria" w:eastAsiaTheme="minorEastAsia" w:hAnsi="Cambria"/>
          <w:sz w:val="24"/>
          <w:szCs w:val="24"/>
        </w:rPr>
        <w:t>os impacto</w:t>
      </w:r>
      <w:r w:rsidR="0025675C">
        <w:rPr>
          <w:rFonts w:ascii="Cambria" w:eastAsiaTheme="minorEastAsia" w:hAnsi="Cambria"/>
          <w:sz w:val="24"/>
          <w:szCs w:val="24"/>
        </w:rPr>
        <w:t>s de usar APP pueden ser de tres</w:t>
      </w:r>
      <w:r w:rsidR="00B5016C">
        <w:rPr>
          <w:rFonts w:ascii="Cambria" w:eastAsiaTheme="minorEastAsia" w:hAnsi="Cambria"/>
          <w:sz w:val="24"/>
          <w:szCs w:val="24"/>
        </w:rPr>
        <w:t xml:space="preserve"> tipos: (i) anticipa</w:t>
      </w:r>
      <w:r w:rsidR="0025675C">
        <w:rPr>
          <w:rFonts w:ascii="Cambria" w:eastAsiaTheme="minorEastAsia" w:hAnsi="Cambria"/>
          <w:sz w:val="24"/>
          <w:szCs w:val="24"/>
        </w:rPr>
        <w:t xml:space="preserve">r la construcción </w:t>
      </w:r>
      <w:r w:rsidR="001B2212">
        <w:rPr>
          <w:rFonts w:ascii="Cambria" w:eastAsiaTheme="minorEastAsia" w:hAnsi="Cambria"/>
          <w:sz w:val="24"/>
          <w:szCs w:val="24"/>
        </w:rPr>
        <w:t xml:space="preserve">por la financiación privada; </w:t>
      </w:r>
      <w:r w:rsidRPr="003E4B97">
        <w:rPr>
          <w:rFonts w:ascii="Cambria" w:eastAsiaTheme="minorEastAsia" w:hAnsi="Cambria"/>
          <w:sz w:val="24"/>
          <w:szCs w:val="24"/>
        </w:rPr>
        <w:t xml:space="preserve"> (ii) aumentar la cobertura de un servicio </w:t>
      </w:r>
      <w:r w:rsidR="00B5016C">
        <w:rPr>
          <w:rFonts w:ascii="Cambria" w:eastAsiaTheme="minorEastAsia" w:hAnsi="Cambria"/>
          <w:sz w:val="24"/>
          <w:szCs w:val="24"/>
        </w:rPr>
        <w:t xml:space="preserve">con un presupuesto fijo </w:t>
      </w:r>
      <w:r w:rsidRPr="003E4B97">
        <w:rPr>
          <w:rFonts w:ascii="Cambria" w:eastAsiaTheme="minorEastAsia" w:hAnsi="Cambria"/>
          <w:sz w:val="24"/>
          <w:szCs w:val="24"/>
        </w:rPr>
        <w:t xml:space="preserve">cuando el costo de provisión privada </w:t>
      </w:r>
      <w:r>
        <w:rPr>
          <w:rFonts w:ascii="Cambria" w:eastAsiaTheme="minorEastAsia" w:hAnsi="Cambria"/>
          <w:sz w:val="24"/>
          <w:szCs w:val="24"/>
        </w:rPr>
        <w:t xml:space="preserve">se conoce y </w:t>
      </w:r>
      <w:r w:rsidRPr="003E4B97">
        <w:rPr>
          <w:rFonts w:ascii="Cambria" w:eastAsiaTheme="minorEastAsia" w:hAnsi="Cambria"/>
          <w:sz w:val="24"/>
          <w:szCs w:val="24"/>
        </w:rPr>
        <w:t>es menor que el costo de prestación</w:t>
      </w:r>
      <w:r w:rsidR="0025675C">
        <w:rPr>
          <w:rFonts w:ascii="Cambria" w:eastAsiaTheme="minorEastAsia" w:hAnsi="Cambria"/>
          <w:sz w:val="24"/>
          <w:szCs w:val="24"/>
        </w:rPr>
        <w:t xml:space="preserve"> pública;</w:t>
      </w:r>
      <w:r>
        <w:rPr>
          <w:rStyle w:val="FootnoteReference"/>
          <w:rFonts w:ascii="Cambria" w:eastAsiaTheme="minorEastAsia" w:hAnsi="Cambria"/>
          <w:sz w:val="24"/>
          <w:szCs w:val="24"/>
        </w:rPr>
        <w:footnoteReference w:id="4"/>
      </w:r>
      <w:r w:rsidR="0025675C">
        <w:rPr>
          <w:rFonts w:ascii="Cambria" w:eastAsiaTheme="minorEastAsia" w:hAnsi="Cambria"/>
          <w:sz w:val="24"/>
          <w:szCs w:val="24"/>
        </w:rPr>
        <w:t xml:space="preserve"> y</w:t>
      </w:r>
      <w:r w:rsidR="001B2212">
        <w:rPr>
          <w:rFonts w:ascii="Cambria" w:eastAsiaTheme="minorEastAsia" w:hAnsi="Cambria"/>
          <w:sz w:val="24"/>
          <w:szCs w:val="24"/>
        </w:rPr>
        <w:t>/o</w:t>
      </w:r>
      <w:r w:rsidR="0025675C">
        <w:rPr>
          <w:rFonts w:ascii="Cambria" w:eastAsiaTheme="minorEastAsia" w:hAnsi="Cambria"/>
          <w:sz w:val="24"/>
          <w:szCs w:val="24"/>
        </w:rPr>
        <w:t xml:space="preserve"> (iii) mejorar la calidad y ofrecer servicios antes inexistentes. </w:t>
      </w:r>
      <w:r>
        <w:rPr>
          <w:rFonts w:ascii="Cambria" w:eastAsiaTheme="minorEastAsia" w:hAnsi="Cambria"/>
          <w:sz w:val="24"/>
          <w:szCs w:val="24"/>
        </w:rPr>
        <w:t xml:space="preserve"> </w:t>
      </w:r>
    </w:p>
    <w:p w:rsidR="001B2212" w:rsidRDefault="001B2212" w:rsidP="002A10B9">
      <w:pPr>
        <w:pStyle w:val="NoSpacing"/>
      </w:pPr>
    </w:p>
    <w:p w:rsidR="002A10B9" w:rsidRPr="00774FEA" w:rsidRDefault="00E84856" w:rsidP="00E84856">
      <w:pPr>
        <w:pStyle w:val="NoSpacing"/>
        <w:ind w:firstLine="360"/>
        <w:rPr>
          <w:rFonts w:ascii="Cambria" w:hAnsi="Cambria"/>
          <w:b/>
          <w:smallCaps/>
          <w:sz w:val="24"/>
          <w:szCs w:val="24"/>
        </w:rPr>
      </w:pPr>
      <w:r>
        <w:rPr>
          <w:rFonts w:ascii="Cambria" w:hAnsi="Cambria"/>
          <w:b/>
          <w:smallCaps/>
          <w:sz w:val="24"/>
          <w:szCs w:val="24"/>
        </w:rPr>
        <w:t>2.2</w:t>
      </w:r>
      <w:r w:rsidR="004B2635">
        <w:rPr>
          <w:rFonts w:ascii="Cambria" w:hAnsi="Cambria"/>
          <w:b/>
          <w:smallCaps/>
          <w:sz w:val="24"/>
          <w:szCs w:val="24"/>
        </w:rPr>
        <w:t xml:space="preserve"> Protocolo de e</w:t>
      </w:r>
      <w:r w:rsidR="00774FEA">
        <w:rPr>
          <w:rFonts w:ascii="Cambria" w:hAnsi="Cambria"/>
          <w:b/>
          <w:smallCaps/>
          <w:sz w:val="24"/>
          <w:szCs w:val="24"/>
        </w:rPr>
        <w:t>valuación</w:t>
      </w:r>
      <w:r w:rsidR="004B2635">
        <w:rPr>
          <w:rFonts w:ascii="Cambria" w:hAnsi="Cambria"/>
          <w:b/>
          <w:smallCaps/>
          <w:sz w:val="24"/>
          <w:szCs w:val="24"/>
        </w:rPr>
        <w:t xml:space="preserve"> económica del programa</w:t>
      </w:r>
      <w:r w:rsidR="00774FEA">
        <w:rPr>
          <w:rFonts w:ascii="Cambria" w:hAnsi="Cambria"/>
          <w:b/>
          <w:smallCaps/>
          <w:sz w:val="24"/>
          <w:szCs w:val="24"/>
        </w:rPr>
        <w:t xml:space="preserve"> </w:t>
      </w:r>
      <w:r>
        <w:rPr>
          <w:rFonts w:ascii="Cambria" w:hAnsi="Cambria"/>
          <w:b/>
          <w:smallCaps/>
          <w:sz w:val="24"/>
          <w:szCs w:val="24"/>
        </w:rPr>
        <w:t xml:space="preserve"> </w:t>
      </w:r>
    </w:p>
    <w:p w:rsidR="00774FEA" w:rsidRPr="00774FEA" w:rsidRDefault="00774FEA" w:rsidP="002A10B9">
      <w:pPr>
        <w:pStyle w:val="NoSpacing"/>
        <w:rPr>
          <w:rFonts w:ascii="Cambria" w:hAnsi="Cambria"/>
          <w:sz w:val="24"/>
          <w:szCs w:val="24"/>
        </w:rPr>
      </w:pPr>
    </w:p>
    <w:p w:rsidR="00D25DF2" w:rsidRPr="00D25DF2" w:rsidRDefault="004B2635" w:rsidP="00D25DF2">
      <w:pPr>
        <w:spacing w:line="276" w:lineRule="auto"/>
        <w:jc w:val="both"/>
        <w:rPr>
          <w:rFonts w:ascii="Cambria" w:hAnsi="Cambria"/>
          <w:sz w:val="24"/>
          <w:szCs w:val="24"/>
        </w:rPr>
      </w:pPr>
      <w:r>
        <w:rPr>
          <w:rFonts w:ascii="Cambria" w:hAnsi="Cambria"/>
          <w:sz w:val="24"/>
          <w:szCs w:val="24"/>
        </w:rPr>
        <w:t xml:space="preserve">La </w:t>
      </w:r>
      <w:r w:rsidR="00D25DF2">
        <w:rPr>
          <w:rFonts w:ascii="Cambria" w:hAnsi="Cambria"/>
          <w:sz w:val="24"/>
          <w:szCs w:val="24"/>
        </w:rPr>
        <w:t>evaluación económica sigue el siguiente protocolo:</w:t>
      </w:r>
    </w:p>
    <w:p w:rsidR="0025675C" w:rsidRPr="001B2212" w:rsidRDefault="0025675C" w:rsidP="0025675C">
      <w:pPr>
        <w:pStyle w:val="ListParagraph"/>
        <w:numPr>
          <w:ilvl w:val="0"/>
          <w:numId w:val="37"/>
        </w:numPr>
        <w:spacing w:line="276" w:lineRule="auto"/>
        <w:ind w:left="360"/>
        <w:jc w:val="both"/>
        <w:rPr>
          <w:rFonts w:ascii="Cambria" w:hAnsi="Cambria"/>
          <w:sz w:val="24"/>
          <w:szCs w:val="24"/>
        </w:rPr>
      </w:pPr>
      <w:r w:rsidRPr="001B2212">
        <w:rPr>
          <w:rFonts w:ascii="Cambria" w:hAnsi="Cambria"/>
          <w:sz w:val="24"/>
          <w:szCs w:val="24"/>
        </w:rPr>
        <w:t xml:space="preserve">Se calcula el promedio ponderado del cociente beneficio-costo </w:t>
      </w:r>
      <w:r w:rsidRPr="001B2212">
        <w:rPr>
          <w:rFonts w:ascii="Cambria" w:hAnsi="Cambria"/>
          <w:i/>
          <w:sz w:val="24"/>
          <w:szCs w:val="24"/>
        </w:rPr>
        <w:t>B</w:t>
      </w:r>
      <w:r w:rsidRPr="001B2212">
        <w:rPr>
          <w:rFonts w:ascii="Cambria" w:hAnsi="Cambria"/>
          <w:sz w:val="24"/>
          <w:szCs w:val="24"/>
        </w:rPr>
        <w:t>/</w:t>
      </w:r>
      <w:r w:rsidRPr="001B2212">
        <w:rPr>
          <w:rFonts w:ascii="Cambria" w:hAnsi="Cambria"/>
          <w:i/>
          <w:sz w:val="24"/>
          <w:szCs w:val="24"/>
        </w:rPr>
        <w:t>C</w:t>
      </w:r>
      <w:r w:rsidRPr="001B2212">
        <w:rPr>
          <w:rFonts w:ascii="Cambria" w:hAnsi="Cambria"/>
          <w:sz w:val="24"/>
          <w:szCs w:val="24"/>
        </w:rPr>
        <w:t xml:space="preserve"> </w:t>
      </w:r>
      <w:r w:rsidR="002A10B9" w:rsidRPr="001B2212">
        <w:rPr>
          <w:rFonts w:ascii="Cambria" w:hAnsi="Cambria"/>
          <w:sz w:val="24"/>
          <w:szCs w:val="24"/>
        </w:rPr>
        <w:t xml:space="preserve">para las intervenciones incrementales </w:t>
      </w:r>
      <w:r w:rsidRPr="001B2212">
        <w:rPr>
          <w:rFonts w:ascii="Cambria" w:hAnsi="Cambria"/>
          <w:sz w:val="24"/>
          <w:szCs w:val="24"/>
        </w:rPr>
        <w:t xml:space="preserve">en diferentes sectores </w:t>
      </w:r>
      <w:r w:rsidR="002A10B9" w:rsidRPr="001B2212">
        <w:rPr>
          <w:rFonts w:ascii="Cambria" w:hAnsi="Cambria"/>
          <w:sz w:val="24"/>
          <w:szCs w:val="24"/>
        </w:rPr>
        <w:t>que se pueden atribuir a la movilización de recursos por parte de la operación CO-L1162.</w:t>
      </w:r>
      <w:r w:rsidRPr="001B2212">
        <w:rPr>
          <w:rFonts w:ascii="Cambria" w:hAnsi="Cambria"/>
          <w:sz w:val="24"/>
          <w:szCs w:val="24"/>
        </w:rPr>
        <w:t xml:space="preserve"> </w:t>
      </w:r>
    </w:p>
    <w:p w:rsidR="0099186D" w:rsidRDefault="0099186D" w:rsidP="0099186D">
      <w:pPr>
        <w:pStyle w:val="ListParagraph"/>
        <w:spacing w:line="276" w:lineRule="auto"/>
        <w:ind w:left="360"/>
        <w:jc w:val="both"/>
        <w:rPr>
          <w:rFonts w:ascii="Cambria" w:hAnsi="Cambria"/>
          <w:sz w:val="24"/>
          <w:szCs w:val="24"/>
        </w:rPr>
      </w:pPr>
    </w:p>
    <w:p w:rsidR="002A10B9" w:rsidRDefault="0099186D" w:rsidP="002A10B9">
      <w:pPr>
        <w:pStyle w:val="ListParagraph"/>
        <w:numPr>
          <w:ilvl w:val="0"/>
          <w:numId w:val="37"/>
        </w:numPr>
        <w:spacing w:line="276" w:lineRule="auto"/>
        <w:ind w:left="360"/>
        <w:jc w:val="both"/>
        <w:rPr>
          <w:rFonts w:ascii="Cambria" w:hAnsi="Cambria"/>
          <w:sz w:val="24"/>
          <w:szCs w:val="24"/>
        </w:rPr>
      </w:pPr>
      <w:r>
        <w:rPr>
          <w:rFonts w:ascii="Cambria" w:hAnsi="Cambria"/>
          <w:sz w:val="24"/>
          <w:szCs w:val="24"/>
        </w:rPr>
        <w:t xml:space="preserve">El análisis B/C incluye </w:t>
      </w:r>
      <w:r w:rsidR="002A10B9" w:rsidRPr="00B34BAF">
        <w:rPr>
          <w:rFonts w:ascii="Cambria" w:hAnsi="Cambria"/>
          <w:sz w:val="24"/>
          <w:szCs w:val="24"/>
        </w:rPr>
        <w:t>los siguientes sec</w:t>
      </w:r>
      <w:r w:rsidR="002A10B9">
        <w:rPr>
          <w:rFonts w:ascii="Cambria" w:hAnsi="Cambria"/>
          <w:sz w:val="24"/>
          <w:szCs w:val="24"/>
        </w:rPr>
        <w:t>tores</w:t>
      </w:r>
      <w:r w:rsidR="001B2212">
        <w:rPr>
          <w:rFonts w:ascii="Cambria" w:hAnsi="Cambria"/>
          <w:sz w:val="24"/>
          <w:szCs w:val="24"/>
        </w:rPr>
        <w:t>:</w:t>
      </w:r>
      <w:r w:rsidR="002A10B9">
        <w:rPr>
          <w:rFonts w:ascii="Cambria" w:hAnsi="Cambria"/>
          <w:sz w:val="24"/>
          <w:szCs w:val="24"/>
        </w:rPr>
        <w:t xml:space="preserve"> (1</w:t>
      </w:r>
      <w:r w:rsidR="002A10B9" w:rsidRPr="00B34BAF">
        <w:rPr>
          <w:rFonts w:ascii="Cambria" w:hAnsi="Cambria"/>
          <w:sz w:val="24"/>
          <w:szCs w:val="24"/>
        </w:rPr>
        <w:t>) educaci</w:t>
      </w:r>
      <w:r w:rsidR="006069FC">
        <w:rPr>
          <w:rFonts w:ascii="Cambria" w:hAnsi="Cambria"/>
          <w:sz w:val="24"/>
          <w:szCs w:val="24"/>
        </w:rPr>
        <w:t xml:space="preserve">ón; (2) salud; </w:t>
      </w:r>
      <w:r w:rsidR="00B5016C">
        <w:rPr>
          <w:rFonts w:ascii="Cambria" w:hAnsi="Cambria"/>
          <w:sz w:val="24"/>
          <w:szCs w:val="24"/>
        </w:rPr>
        <w:t>(3) agua y saneamiento</w:t>
      </w:r>
      <w:r w:rsidR="002A10B9">
        <w:rPr>
          <w:rFonts w:ascii="Cambria" w:hAnsi="Cambria"/>
          <w:sz w:val="24"/>
          <w:szCs w:val="24"/>
        </w:rPr>
        <w:t xml:space="preserve">; </w:t>
      </w:r>
      <w:r>
        <w:rPr>
          <w:rFonts w:ascii="Cambria" w:hAnsi="Cambria"/>
          <w:sz w:val="24"/>
          <w:szCs w:val="24"/>
        </w:rPr>
        <w:t>y (4) transporte</w:t>
      </w:r>
      <w:r w:rsidR="002A10B9" w:rsidRPr="00B34BAF">
        <w:rPr>
          <w:rFonts w:ascii="Cambria" w:hAnsi="Cambria"/>
          <w:sz w:val="24"/>
          <w:szCs w:val="24"/>
        </w:rPr>
        <w:t>.</w:t>
      </w:r>
      <w:r w:rsidR="002A10B9">
        <w:rPr>
          <w:rFonts w:ascii="Cambria" w:hAnsi="Cambria"/>
          <w:sz w:val="24"/>
          <w:szCs w:val="24"/>
        </w:rPr>
        <w:t xml:space="preserve"> </w:t>
      </w:r>
      <w:r w:rsidR="006069FC">
        <w:rPr>
          <w:rFonts w:ascii="Cambria" w:hAnsi="Cambria"/>
          <w:sz w:val="24"/>
          <w:szCs w:val="24"/>
        </w:rPr>
        <w:t xml:space="preserve">El volumen de </w:t>
      </w:r>
      <w:r w:rsidR="002A10B9">
        <w:rPr>
          <w:rFonts w:ascii="Cambria" w:hAnsi="Cambria"/>
          <w:sz w:val="24"/>
          <w:szCs w:val="24"/>
        </w:rPr>
        <w:t xml:space="preserve">intervenciones incrementales </w:t>
      </w:r>
      <w:r w:rsidR="001B2212">
        <w:rPr>
          <w:rFonts w:ascii="Cambria" w:hAnsi="Cambria"/>
          <w:sz w:val="24"/>
          <w:szCs w:val="24"/>
        </w:rPr>
        <w:t xml:space="preserve">habilitadas </w:t>
      </w:r>
      <w:r w:rsidR="002A10B9">
        <w:rPr>
          <w:rFonts w:ascii="Cambria" w:hAnsi="Cambria"/>
          <w:sz w:val="24"/>
          <w:szCs w:val="24"/>
        </w:rPr>
        <w:t xml:space="preserve">se </w:t>
      </w:r>
      <w:r w:rsidR="006069FC">
        <w:rPr>
          <w:rFonts w:ascii="Cambria" w:hAnsi="Cambria"/>
          <w:sz w:val="24"/>
          <w:szCs w:val="24"/>
        </w:rPr>
        <w:t xml:space="preserve">representa en el Gráfico 1 </w:t>
      </w:r>
      <w:r w:rsidR="002A10B9">
        <w:rPr>
          <w:rFonts w:ascii="Cambria" w:hAnsi="Cambria"/>
          <w:sz w:val="24"/>
          <w:szCs w:val="24"/>
        </w:rPr>
        <w:t xml:space="preserve">como la distancia vertical entre las curvas </w:t>
      </w:r>
      <w:r w:rsidR="002A10B9" w:rsidRPr="006069FC">
        <w:rPr>
          <w:rFonts w:ascii="Cambria" w:hAnsi="Cambria"/>
          <w:i/>
          <w:sz w:val="24"/>
          <w:szCs w:val="24"/>
        </w:rPr>
        <w:t>con</w:t>
      </w:r>
      <w:r w:rsidR="002A10B9">
        <w:rPr>
          <w:rFonts w:ascii="Cambria" w:hAnsi="Cambria"/>
          <w:sz w:val="24"/>
          <w:szCs w:val="24"/>
        </w:rPr>
        <w:t xml:space="preserve"> (negra) y </w:t>
      </w:r>
      <w:r w:rsidR="002A10B9" w:rsidRPr="006069FC">
        <w:rPr>
          <w:rFonts w:ascii="Cambria" w:hAnsi="Cambria"/>
          <w:i/>
          <w:sz w:val="24"/>
          <w:szCs w:val="24"/>
        </w:rPr>
        <w:t>sin</w:t>
      </w:r>
      <w:r w:rsidR="002A10B9">
        <w:rPr>
          <w:rFonts w:ascii="Cambria" w:hAnsi="Cambria"/>
          <w:sz w:val="24"/>
          <w:szCs w:val="24"/>
        </w:rPr>
        <w:t xml:space="preserve"> (naranja) la operación CO-L1162.</w:t>
      </w:r>
    </w:p>
    <w:p w:rsidR="00882D1F" w:rsidRDefault="00882D1F" w:rsidP="00882D1F">
      <w:pPr>
        <w:pStyle w:val="NoSpacing"/>
      </w:pPr>
    </w:p>
    <w:p w:rsidR="002A10B9" w:rsidRPr="00EF2E80" w:rsidRDefault="002A10B9" w:rsidP="002A10B9">
      <w:pPr>
        <w:spacing w:line="276" w:lineRule="auto"/>
        <w:jc w:val="center"/>
        <w:rPr>
          <w:rFonts w:ascii="Cambria" w:hAnsi="Cambria"/>
          <w:b/>
          <w:smallCaps/>
          <w:sz w:val="24"/>
          <w:szCs w:val="24"/>
        </w:rPr>
      </w:pPr>
      <w:r w:rsidRPr="00EF2E80">
        <w:rPr>
          <w:rFonts w:ascii="Cambria" w:hAnsi="Cambria"/>
          <w:b/>
          <w:smallCaps/>
          <w:sz w:val="24"/>
          <w:szCs w:val="24"/>
        </w:rPr>
        <w:t>Gráfico 1. Intervenciones incrementales habilitadas</w:t>
      </w:r>
      <w:r>
        <w:rPr>
          <w:rFonts w:ascii="Cambria" w:hAnsi="Cambria"/>
          <w:b/>
          <w:smallCaps/>
          <w:sz w:val="24"/>
          <w:szCs w:val="24"/>
        </w:rPr>
        <w:t xml:space="preserve"> por un programa PBL</w:t>
      </w:r>
    </w:p>
    <w:p w:rsidR="002A10B9" w:rsidRDefault="002A10B9" w:rsidP="002A10B9">
      <w:pPr>
        <w:spacing w:line="276" w:lineRule="auto"/>
        <w:jc w:val="center"/>
        <w:rPr>
          <w:rFonts w:ascii="Cambria" w:hAnsi="Cambria"/>
          <w:sz w:val="24"/>
          <w:szCs w:val="24"/>
        </w:rPr>
      </w:pPr>
      <w:r>
        <w:rPr>
          <w:rFonts w:ascii="Cambria" w:hAnsi="Cambria"/>
          <w:noProof/>
          <w:sz w:val="24"/>
          <w:szCs w:val="24"/>
          <w:lang w:val="en-US"/>
        </w:rPr>
        <w:drawing>
          <wp:inline distT="0" distB="0" distL="0" distR="0" wp14:anchorId="6B90E8ED" wp14:editId="3144BB38">
            <wp:extent cx="5247572" cy="295200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7572" cy="2952000"/>
                    </a:xfrm>
                    <a:prstGeom prst="rect">
                      <a:avLst/>
                    </a:prstGeom>
                    <a:noFill/>
                  </pic:spPr>
                </pic:pic>
              </a:graphicData>
            </a:graphic>
          </wp:inline>
        </w:drawing>
      </w:r>
    </w:p>
    <w:p w:rsidR="002A10B9" w:rsidRPr="006D13BB" w:rsidRDefault="002A10B9" w:rsidP="002A10B9">
      <w:pPr>
        <w:spacing w:line="276" w:lineRule="auto"/>
        <w:jc w:val="center"/>
        <w:rPr>
          <w:rFonts w:ascii="Cambria" w:hAnsi="Cambria"/>
          <w:sz w:val="24"/>
          <w:szCs w:val="24"/>
        </w:rPr>
      </w:pPr>
      <w:r>
        <w:rPr>
          <w:rFonts w:ascii="Cambria" w:hAnsi="Cambria"/>
          <w:sz w:val="24"/>
          <w:szCs w:val="24"/>
        </w:rPr>
        <w:t>Fuente: elaboración propia</w:t>
      </w:r>
    </w:p>
    <w:p w:rsidR="002A10B9" w:rsidRDefault="002A10B9" w:rsidP="002A10B9">
      <w:pPr>
        <w:pStyle w:val="ListParagraph"/>
        <w:spacing w:line="276" w:lineRule="auto"/>
        <w:ind w:left="360"/>
        <w:jc w:val="both"/>
        <w:rPr>
          <w:rFonts w:ascii="Cambria" w:hAnsi="Cambria"/>
          <w:sz w:val="24"/>
          <w:szCs w:val="24"/>
        </w:rPr>
      </w:pPr>
    </w:p>
    <w:p w:rsidR="002A10B9" w:rsidRPr="006D13BB" w:rsidRDefault="002A10B9" w:rsidP="002A10B9">
      <w:pPr>
        <w:pStyle w:val="ListParagraph"/>
        <w:numPr>
          <w:ilvl w:val="0"/>
          <w:numId w:val="37"/>
        </w:numPr>
        <w:spacing w:line="276" w:lineRule="auto"/>
        <w:ind w:left="360"/>
        <w:jc w:val="both"/>
        <w:rPr>
          <w:rFonts w:ascii="Cambria" w:hAnsi="Cambria"/>
          <w:sz w:val="24"/>
          <w:szCs w:val="24"/>
        </w:rPr>
      </w:pPr>
      <w:r>
        <w:rPr>
          <w:rFonts w:ascii="Cambria" w:hAnsi="Cambria"/>
          <w:sz w:val="24"/>
          <w:szCs w:val="24"/>
        </w:rPr>
        <w:t xml:space="preserve">Para estimar los </w:t>
      </w:r>
      <w:r w:rsidRPr="006D13BB">
        <w:rPr>
          <w:rFonts w:ascii="Cambria" w:hAnsi="Cambria"/>
          <w:i/>
          <w:sz w:val="24"/>
          <w:szCs w:val="24"/>
        </w:rPr>
        <w:t>costos</w:t>
      </w:r>
      <w:r w:rsidR="008C4086">
        <w:rPr>
          <w:rFonts w:ascii="Cambria" w:hAnsi="Cambria"/>
          <w:sz w:val="24"/>
          <w:szCs w:val="24"/>
        </w:rPr>
        <w:t xml:space="preserve"> sectoriales</w:t>
      </w:r>
      <w:r>
        <w:rPr>
          <w:rFonts w:ascii="Cambria" w:hAnsi="Cambria"/>
          <w:sz w:val="24"/>
          <w:szCs w:val="24"/>
        </w:rPr>
        <w:t>, se identifica</w:t>
      </w:r>
      <w:r w:rsidR="00D04214">
        <w:rPr>
          <w:rFonts w:ascii="Cambria" w:hAnsi="Cambria"/>
          <w:sz w:val="24"/>
          <w:szCs w:val="24"/>
        </w:rPr>
        <w:t>rán los presupuestos oficiales</w:t>
      </w:r>
      <w:r w:rsidR="001B2212">
        <w:rPr>
          <w:rFonts w:ascii="Cambria" w:hAnsi="Cambria"/>
          <w:sz w:val="24"/>
          <w:szCs w:val="24"/>
        </w:rPr>
        <w:t xml:space="preserve"> para APP por el sector público</w:t>
      </w:r>
      <m:oMath>
        <m:r>
          <w:rPr>
            <w:rFonts w:ascii="Cambria Math" w:hAnsi="Cambria Math"/>
            <w:sz w:val="24"/>
            <w:szCs w:val="24"/>
          </w:rPr>
          <m:t xml:space="preserve"> </m:t>
        </m:r>
      </m:oMath>
      <w:r w:rsidR="008C4086">
        <w:rPr>
          <w:rFonts w:ascii="Cambria" w:eastAsiaTheme="minorEastAsia" w:hAnsi="Cambria"/>
          <w:sz w:val="24"/>
          <w:szCs w:val="24"/>
        </w:rPr>
        <w:t>en cada caso</w:t>
      </w:r>
      <w:r w:rsidR="001B2212">
        <w:rPr>
          <w:rFonts w:ascii="Cambria" w:eastAsiaTheme="minorEastAsia" w:hAnsi="Cambria"/>
          <w:sz w:val="24"/>
          <w:szCs w:val="24"/>
        </w:rPr>
        <w:t>, de acuerdo con metas/aspiraciones</w:t>
      </w:r>
      <w:r w:rsidR="008C4086">
        <w:rPr>
          <w:rFonts w:ascii="Cambria" w:eastAsiaTheme="minorEastAsia" w:hAnsi="Cambria"/>
          <w:sz w:val="24"/>
          <w:szCs w:val="24"/>
        </w:rPr>
        <w:t>, costos unitarios</w:t>
      </w:r>
      <w:r w:rsidR="001B2212">
        <w:rPr>
          <w:rFonts w:ascii="Cambria" w:eastAsiaTheme="minorEastAsia" w:hAnsi="Cambria"/>
          <w:sz w:val="24"/>
          <w:szCs w:val="24"/>
        </w:rPr>
        <w:t xml:space="preserve"> o montos asignados</w:t>
      </w:r>
      <w:r w:rsidR="008C4086">
        <w:rPr>
          <w:rFonts w:ascii="Cambria" w:eastAsiaTheme="minorEastAsia" w:hAnsi="Cambria"/>
          <w:sz w:val="24"/>
          <w:szCs w:val="24"/>
        </w:rPr>
        <w:t xml:space="preserve"> y se traducen a </w:t>
      </w:r>
      <w:r>
        <w:rPr>
          <w:rFonts w:ascii="Cambria" w:eastAsiaTheme="minorEastAsia" w:hAnsi="Cambria"/>
          <w:sz w:val="24"/>
          <w:szCs w:val="24"/>
        </w:rPr>
        <w:t xml:space="preserve">costos </w:t>
      </w:r>
      <w:r w:rsidR="008C4086">
        <w:rPr>
          <w:rFonts w:ascii="Cambria" w:eastAsiaTheme="minorEastAsia" w:hAnsi="Cambria"/>
          <w:sz w:val="24"/>
          <w:szCs w:val="24"/>
        </w:rPr>
        <w:t>anuales</w:t>
      </w:r>
      <w:r>
        <w:rPr>
          <w:rFonts w:ascii="Cambria" w:eastAsiaTheme="minorEastAsia" w:hAnsi="Cambria"/>
          <w:sz w:val="24"/>
          <w:szCs w:val="24"/>
        </w:rPr>
        <w:t>.</w:t>
      </w:r>
      <w:r w:rsidR="008C4086">
        <w:rPr>
          <w:rFonts w:ascii="Cambria" w:eastAsiaTheme="minorEastAsia" w:hAnsi="Cambria"/>
          <w:sz w:val="24"/>
          <w:szCs w:val="24"/>
        </w:rPr>
        <w:t xml:space="preserve"> Posteriormente estos costos se convierten en acervos de inversión APP (valor presente de las inversiones anuales).</w:t>
      </w:r>
    </w:p>
    <w:p w:rsidR="002A10B9" w:rsidRPr="006D13BB" w:rsidRDefault="002A10B9" w:rsidP="002A10B9">
      <w:pPr>
        <w:pStyle w:val="ListParagraph"/>
        <w:rPr>
          <w:rFonts w:ascii="Cambria" w:hAnsi="Cambria"/>
          <w:sz w:val="24"/>
          <w:szCs w:val="24"/>
        </w:rPr>
      </w:pPr>
    </w:p>
    <w:p w:rsidR="002A10B9" w:rsidRDefault="002A10B9" w:rsidP="002A10B9">
      <w:pPr>
        <w:pStyle w:val="ListParagraph"/>
        <w:numPr>
          <w:ilvl w:val="0"/>
          <w:numId w:val="37"/>
        </w:numPr>
        <w:spacing w:line="276" w:lineRule="auto"/>
        <w:ind w:left="360"/>
        <w:jc w:val="both"/>
        <w:rPr>
          <w:rFonts w:ascii="Cambria" w:hAnsi="Cambria"/>
          <w:sz w:val="24"/>
          <w:szCs w:val="24"/>
        </w:rPr>
      </w:pPr>
      <w:r>
        <w:rPr>
          <w:rFonts w:ascii="Cambria" w:hAnsi="Cambria"/>
          <w:sz w:val="24"/>
          <w:szCs w:val="24"/>
        </w:rPr>
        <w:t xml:space="preserve">Para estimar los </w:t>
      </w:r>
      <w:r>
        <w:rPr>
          <w:rFonts w:ascii="Cambria" w:hAnsi="Cambria"/>
          <w:i/>
          <w:sz w:val="24"/>
          <w:szCs w:val="24"/>
        </w:rPr>
        <w:t>beneficios</w:t>
      </w:r>
      <w:r w:rsidR="008C4086">
        <w:rPr>
          <w:rFonts w:ascii="Cambria" w:hAnsi="Cambria"/>
          <w:sz w:val="24"/>
          <w:szCs w:val="24"/>
        </w:rPr>
        <w:t xml:space="preserve"> sectoriales</w:t>
      </w:r>
      <w:r w:rsidR="0025675C">
        <w:rPr>
          <w:rFonts w:ascii="Cambria" w:hAnsi="Cambria"/>
          <w:sz w:val="24"/>
          <w:szCs w:val="24"/>
        </w:rPr>
        <w:t xml:space="preserve">, se utilizarán los cocientes </w:t>
      </w:r>
      <w:r>
        <w:rPr>
          <w:rFonts w:ascii="Cambria" w:hAnsi="Cambria"/>
          <w:i/>
          <w:sz w:val="24"/>
          <w:szCs w:val="24"/>
        </w:rPr>
        <w:t>B</w:t>
      </w:r>
      <w:r w:rsidRPr="00EF2E80">
        <w:rPr>
          <w:rFonts w:ascii="Cambria" w:hAnsi="Cambria"/>
          <w:sz w:val="24"/>
          <w:szCs w:val="24"/>
        </w:rPr>
        <w:t>/</w:t>
      </w:r>
      <w:r>
        <w:rPr>
          <w:rFonts w:ascii="Cambria" w:hAnsi="Cambria"/>
          <w:i/>
          <w:sz w:val="24"/>
          <w:szCs w:val="24"/>
        </w:rPr>
        <w:t>C</w:t>
      </w:r>
      <w:r>
        <w:rPr>
          <w:rFonts w:ascii="Cambria" w:hAnsi="Cambria"/>
          <w:sz w:val="24"/>
          <w:szCs w:val="24"/>
        </w:rPr>
        <w:t xml:space="preserve"> de intervencione</w:t>
      </w:r>
      <w:r w:rsidR="001B2212">
        <w:rPr>
          <w:rFonts w:ascii="Cambria" w:hAnsi="Cambria"/>
          <w:sz w:val="24"/>
          <w:szCs w:val="24"/>
        </w:rPr>
        <w:t xml:space="preserve">s o programas, usando estudios de base y apoyo al PBL, como en el caso de educación, y </w:t>
      </w:r>
      <w:r>
        <w:rPr>
          <w:rFonts w:ascii="Cambria" w:hAnsi="Cambria"/>
          <w:sz w:val="24"/>
          <w:szCs w:val="24"/>
        </w:rPr>
        <w:t xml:space="preserve">estudios recientes </w:t>
      </w:r>
      <w:r w:rsidR="001B2212">
        <w:rPr>
          <w:rFonts w:ascii="Cambria" w:hAnsi="Cambria"/>
          <w:sz w:val="24"/>
          <w:szCs w:val="24"/>
        </w:rPr>
        <w:t xml:space="preserve">y especializados </w:t>
      </w:r>
      <w:r>
        <w:rPr>
          <w:rFonts w:ascii="Cambria" w:hAnsi="Cambria"/>
          <w:sz w:val="24"/>
          <w:szCs w:val="24"/>
        </w:rPr>
        <w:t>de la literatura de costo-b</w:t>
      </w:r>
      <w:r w:rsidR="001B2212">
        <w:rPr>
          <w:rFonts w:ascii="Cambria" w:hAnsi="Cambria"/>
          <w:sz w:val="24"/>
          <w:szCs w:val="24"/>
        </w:rPr>
        <w:t>eneficio a nivel internacional, en el resto de los sectores.</w:t>
      </w:r>
    </w:p>
    <w:p w:rsidR="002A10B9" w:rsidRPr="00EF2E80" w:rsidRDefault="002A10B9" w:rsidP="002A10B9">
      <w:pPr>
        <w:pStyle w:val="ListParagraph"/>
        <w:rPr>
          <w:rFonts w:ascii="Cambria" w:hAnsi="Cambria"/>
          <w:sz w:val="24"/>
          <w:szCs w:val="24"/>
        </w:rPr>
      </w:pPr>
    </w:p>
    <w:p w:rsidR="002A10B9" w:rsidRDefault="002A10B9" w:rsidP="002A10B9">
      <w:pPr>
        <w:pStyle w:val="ListParagraph"/>
        <w:numPr>
          <w:ilvl w:val="0"/>
          <w:numId w:val="37"/>
        </w:numPr>
        <w:spacing w:line="276" w:lineRule="auto"/>
        <w:ind w:left="360"/>
        <w:jc w:val="both"/>
        <w:rPr>
          <w:rFonts w:ascii="Cambria" w:hAnsi="Cambria"/>
          <w:sz w:val="24"/>
          <w:szCs w:val="24"/>
        </w:rPr>
      </w:pPr>
      <w:r>
        <w:rPr>
          <w:rFonts w:ascii="Cambria" w:hAnsi="Cambria"/>
          <w:sz w:val="24"/>
          <w:szCs w:val="24"/>
        </w:rPr>
        <w:t xml:space="preserve">Para evaluar la relación </w:t>
      </w:r>
      <w:r w:rsidRPr="00C367CF">
        <w:rPr>
          <w:rFonts w:ascii="Cambria" w:hAnsi="Cambria"/>
          <w:i/>
          <w:sz w:val="24"/>
          <w:szCs w:val="24"/>
        </w:rPr>
        <w:t>B</w:t>
      </w:r>
      <w:r w:rsidRPr="00C367CF">
        <w:rPr>
          <w:rFonts w:ascii="Cambria" w:hAnsi="Cambria"/>
          <w:sz w:val="24"/>
          <w:szCs w:val="24"/>
        </w:rPr>
        <w:t>/</w:t>
      </w:r>
      <w:r w:rsidRPr="00C367CF">
        <w:rPr>
          <w:rFonts w:ascii="Cambria" w:hAnsi="Cambria"/>
          <w:i/>
          <w:sz w:val="24"/>
          <w:szCs w:val="24"/>
        </w:rPr>
        <w:t>C</w:t>
      </w:r>
      <w:r w:rsidR="008C4086">
        <w:rPr>
          <w:rFonts w:ascii="Cambria" w:hAnsi="Cambria"/>
          <w:sz w:val="24"/>
          <w:szCs w:val="24"/>
        </w:rPr>
        <w:t xml:space="preserve"> de todo el programa, se suman los acervos de </w:t>
      </w:r>
      <w:r>
        <w:rPr>
          <w:rFonts w:ascii="Cambria" w:hAnsi="Cambria"/>
          <w:sz w:val="24"/>
          <w:szCs w:val="24"/>
        </w:rPr>
        <w:t xml:space="preserve">todos los beneficios sectoriales y se dividen por </w:t>
      </w:r>
      <w:r w:rsidR="008C4086">
        <w:rPr>
          <w:rFonts w:ascii="Cambria" w:hAnsi="Cambria"/>
          <w:sz w:val="24"/>
          <w:szCs w:val="24"/>
        </w:rPr>
        <w:t xml:space="preserve">los acervos de </w:t>
      </w:r>
      <w:r>
        <w:rPr>
          <w:rFonts w:ascii="Cambria" w:hAnsi="Cambria"/>
          <w:sz w:val="24"/>
          <w:szCs w:val="24"/>
        </w:rPr>
        <w:t>todos los costos sectoriales.</w:t>
      </w:r>
    </w:p>
    <w:p w:rsidR="00766C7B" w:rsidRDefault="001206CE" w:rsidP="00E84856">
      <w:r>
        <w:br w:type="page"/>
      </w:r>
    </w:p>
    <w:p w:rsidR="008919CF" w:rsidRDefault="0084492E" w:rsidP="003E4B97">
      <w:pPr>
        <w:spacing w:line="276" w:lineRule="auto"/>
        <w:jc w:val="both"/>
        <w:rPr>
          <w:rFonts w:ascii="Cambria" w:eastAsiaTheme="minorEastAsia" w:hAnsi="Cambria"/>
          <w:b/>
          <w:smallCaps/>
          <w:sz w:val="24"/>
          <w:szCs w:val="24"/>
        </w:rPr>
      </w:pPr>
      <w:r w:rsidRPr="0084492E">
        <w:rPr>
          <w:rFonts w:ascii="Cambria" w:eastAsiaTheme="minorEastAsia" w:hAnsi="Cambria"/>
          <w:b/>
          <w:smallCaps/>
          <w:sz w:val="24"/>
          <w:szCs w:val="24"/>
        </w:rPr>
        <w:t xml:space="preserve">3 </w:t>
      </w:r>
      <w:r w:rsidR="00634A45">
        <w:rPr>
          <w:rFonts w:ascii="Cambria" w:eastAsiaTheme="minorEastAsia" w:hAnsi="Cambria"/>
          <w:b/>
          <w:smallCaps/>
          <w:sz w:val="24"/>
          <w:szCs w:val="24"/>
        </w:rPr>
        <w:t xml:space="preserve">Información </w:t>
      </w:r>
      <w:r w:rsidRPr="0084492E">
        <w:rPr>
          <w:rFonts w:ascii="Cambria" w:eastAsiaTheme="minorEastAsia" w:hAnsi="Cambria"/>
          <w:b/>
          <w:smallCaps/>
          <w:sz w:val="24"/>
          <w:szCs w:val="24"/>
        </w:rPr>
        <w:t>sector</w:t>
      </w:r>
      <w:r w:rsidR="00634A45">
        <w:rPr>
          <w:rFonts w:ascii="Cambria" w:eastAsiaTheme="minorEastAsia" w:hAnsi="Cambria"/>
          <w:b/>
          <w:smallCaps/>
          <w:sz w:val="24"/>
          <w:szCs w:val="24"/>
        </w:rPr>
        <w:t xml:space="preserve">ial </w:t>
      </w:r>
      <w:r w:rsidR="00474855">
        <w:rPr>
          <w:rFonts w:ascii="Cambria" w:eastAsiaTheme="minorEastAsia" w:hAnsi="Cambria"/>
          <w:b/>
          <w:smallCaps/>
          <w:sz w:val="24"/>
          <w:szCs w:val="24"/>
        </w:rPr>
        <w:t xml:space="preserve"> </w:t>
      </w:r>
    </w:p>
    <w:p w:rsidR="00474855" w:rsidRPr="00474855" w:rsidRDefault="003A7576" w:rsidP="00474855">
      <w:pPr>
        <w:autoSpaceDE w:val="0"/>
        <w:autoSpaceDN w:val="0"/>
        <w:adjustRightInd w:val="0"/>
        <w:spacing w:after="0" w:line="276" w:lineRule="auto"/>
        <w:ind w:firstLine="708"/>
        <w:jc w:val="both"/>
        <w:rPr>
          <w:rFonts w:ascii="Cambria" w:eastAsiaTheme="minorEastAsia" w:hAnsi="Cambria" w:cs="Calibri"/>
          <w:b/>
          <w:smallCaps/>
          <w:color w:val="000000"/>
          <w:sz w:val="24"/>
          <w:szCs w:val="24"/>
        </w:rPr>
      </w:pPr>
      <w:r>
        <w:rPr>
          <w:rFonts w:ascii="Cambria" w:eastAsiaTheme="minorEastAsia" w:hAnsi="Cambria" w:cs="Calibri"/>
          <w:b/>
          <w:smallCaps/>
          <w:color w:val="000000"/>
          <w:sz w:val="24"/>
          <w:szCs w:val="24"/>
        </w:rPr>
        <w:t xml:space="preserve">3.1 Inversiones anuales en </w:t>
      </w:r>
      <w:r w:rsidR="00474855" w:rsidRPr="00474855">
        <w:rPr>
          <w:rFonts w:ascii="Cambria" w:eastAsiaTheme="minorEastAsia" w:hAnsi="Cambria" w:cs="Calibri"/>
          <w:b/>
          <w:smallCaps/>
          <w:color w:val="000000"/>
          <w:sz w:val="24"/>
          <w:szCs w:val="24"/>
        </w:rPr>
        <w:t>APP por sector</w:t>
      </w:r>
    </w:p>
    <w:p w:rsidR="00474855" w:rsidRPr="00474855" w:rsidRDefault="00474855" w:rsidP="00474855">
      <w:pPr>
        <w:autoSpaceDE w:val="0"/>
        <w:autoSpaceDN w:val="0"/>
        <w:adjustRightInd w:val="0"/>
        <w:spacing w:after="0" w:line="276" w:lineRule="auto"/>
        <w:jc w:val="both"/>
        <w:rPr>
          <w:rFonts w:ascii="Cambria" w:eastAsiaTheme="minorEastAsia" w:hAnsi="Cambria" w:cs="Calibri"/>
          <w:color w:val="000000"/>
          <w:sz w:val="24"/>
          <w:szCs w:val="24"/>
        </w:rPr>
      </w:pPr>
    </w:p>
    <w:p w:rsidR="00474855" w:rsidRPr="00474855" w:rsidRDefault="00474855" w:rsidP="00474855">
      <w:pPr>
        <w:autoSpaceDE w:val="0"/>
        <w:autoSpaceDN w:val="0"/>
        <w:adjustRightInd w:val="0"/>
        <w:spacing w:after="0" w:line="276" w:lineRule="auto"/>
        <w:jc w:val="both"/>
        <w:rPr>
          <w:rFonts w:ascii="Cambria" w:eastAsiaTheme="minorEastAsia" w:hAnsi="Cambria" w:cs="Calibri"/>
          <w:color w:val="000000"/>
          <w:sz w:val="24"/>
          <w:szCs w:val="24"/>
        </w:rPr>
      </w:pPr>
      <w:r w:rsidRPr="00474855">
        <w:rPr>
          <w:rFonts w:ascii="Cambria" w:eastAsiaTheme="minorEastAsia" w:hAnsi="Cambria" w:cs="Calibri"/>
          <w:color w:val="000000"/>
          <w:sz w:val="24"/>
          <w:szCs w:val="24"/>
        </w:rPr>
        <w:t>Con la información oficial compilada por sector y documentada en las secciones 3.2. a 3.6, se llega a los siguientes perfiles anuales de inversión APP movilizadas por la operación CO-L1162:</w:t>
      </w:r>
    </w:p>
    <w:p w:rsidR="00474855" w:rsidRPr="00474855" w:rsidRDefault="00474855" w:rsidP="00474855">
      <w:pPr>
        <w:autoSpaceDE w:val="0"/>
        <w:autoSpaceDN w:val="0"/>
        <w:adjustRightInd w:val="0"/>
        <w:spacing w:after="0" w:line="276" w:lineRule="auto"/>
        <w:jc w:val="both"/>
        <w:rPr>
          <w:rFonts w:ascii="Cambria" w:eastAsiaTheme="minorEastAsia" w:hAnsi="Cambria" w:cs="Calibri"/>
          <w:color w:val="000000"/>
          <w:sz w:val="24"/>
          <w:szCs w:val="24"/>
        </w:rPr>
      </w:pPr>
    </w:p>
    <w:p w:rsidR="00474855" w:rsidRPr="00474855" w:rsidRDefault="00474855" w:rsidP="00474855">
      <w:pPr>
        <w:numPr>
          <w:ilvl w:val="0"/>
          <w:numId w:val="40"/>
        </w:numPr>
        <w:autoSpaceDE w:val="0"/>
        <w:autoSpaceDN w:val="0"/>
        <w:adjustRightInd w:val="0"/>
        <w:spacing w:after="0" w:line="276" w:lineRule="auto"/>
        <w:jc w:val="both"/>
        <w:rPr>
          <w:rFonts w:ascii="Cambria" w:eastAsiaTheme="minorEastAsia" w:hAnsi="Cambria" w:cs="Calibri"/>
          <w:color w:val="000000"/>
          <w:sz w:val="24"/>
          <w:szCs w:val="24"/>
        </w:rPr>
      </w:pPr>
      <w:r w:rsidRPr="00474855">
        <w:rPr>
          <w:rFonts w:ascii="Cambria" w:eastAsiaTheme="minorEastAsia" w:hAnsi="Cambria" w:cs="Calibri"/>
          <w:b/>
          <w:smallCaps/>
          <w:color w:val="000000"/>
          <w:sz w:val="24"/>
          <w:szCs w:val="24"/>
        </w:rPr>
        <w:t>Educación: inversión en un programa específico</w:t>
      </w:r>
      <w:r w:rsidRPr="00474855">
        <w:rPr>
          <w:rFonts w:ascii="Cambria" w:eastAsiaTheme="minorEastAsia" w:hAnsi="Cambria" w:cs="Calibri"/>
          <w:color w:val="000000"/>
          <w:sz w:val="24"/>
          <w:szCs w:val="24"/>
        </w:rPr>
        <w:t xml:space="preserve">. Por medio de APP se invertirá el 13% del total de las necesidades para construir 51.134 aulas entre 2016 y 2030 (Programa PNIE). La inversión APP anual en educación será de COL$ 0.275 billones entre 2017 y 2018 (60% de la meta en dos años), y de COL$ 0.0325 billones entre 2019 y 2030 (40% de la meta en 12 años). </w:t>
      </w:r>
    </w:p>
    <w:p w:rsidR="00474855" w:rsidRPr="00474855" w:rsidRDefault="00474855" w:rsidP="00474855">
      <w:pPr>
        <w:spacing w:after="0" w:line="276" w:lineRule="auto"/>
      </w:pPr>
    </w:p>
    <w:p w:rsidR="00474855" w:rsidRPr="00474855" w:rsidRDefault="00474855" w:rsidP="00474855">
      <w:pPr>
        <w:numPr>
          <w:ilvl w:val="0"/>
          <w:numId w:val="40"/>
        </w:numPr>
        <w:autoSpaceDE w:val="0"/>
        <w:autoSpaceDN w:val="0"/>
        <w:adjustRightInd w:val="0"/>
        <w:spacing w:after="0" w:line="276" w:lineRule="auto"/>
        <w:jc w:val="both"/>
        <w:rPr>
          <w:rFonts w:ascii="Cambria" w:eastAsiaTheme="minorEastAsia" w:hAnsi="Cambria" w:cs="Calibri"/>
          <w:color w:val="000000"/>
          <w:sz w:val="24"/>
          <w:szCs w:val="24"/>
        </w:rPr>
      </w:pPr>
      <w:r w:rsidRPr="00474855">
        <w:rPr>
          <w:rFonts w:ascii="Cambria" w:eastAsiaTheme="minorEastAsia" w:hAnsi="Cambria" w:cs="Calibri"/>
          <w:b/>
          <w:smallCaps/>
          <w:color w:val="000000"/>
          <w:sz w:val="24"/>
          <w:szCs w:val="24"/>
        </w:rPr>
        <w:t>Salud: inversión recurrente</w:t>
      </w:r>
      <w:r w:rsidRPr="00474855">
        <w:rPr>
          <w:rFonts w:ascii="Cambria" w:eastAsiaTheme="minorEastAsia" w:hAnsi="Cambria" w:cs="Calibri"/>
          <w:color w:val="000000"/>
          <w:sz w:val="24"/>
          <w:szCs w:val="24"/>
        </w:rPr>
        <w:t xml:space="preserve">. El sector privado invertirá el 18.7% (COL$ 10.80 billones) del total de las inversiones sectoriales del cuatrienio (COL$ 57.86 billones). La inversión APP anual en hospitales </w:t>
      </w:r>
      <w:r w:rsidR="007D0C35">
        <w:rPr>
          <w:rFonts w:ascii="Cambria" w:eastAsiaTheme="minorEastAsia" w:hAnsi="Cambria" w:cs="Calibri"/>
          <w:color w:val="000000"/>
          <w:sz w:val="24"/>
          <w:szCs w:val="24"/>
        </w:rPr>
        <w:t xml:space="preserve">y servicios </w:t>
      </w:r>
      <w:r w:rsidRPr="00474855">
        <w:rPr>
          <w:rFonts w:ascii="Cambria" w:eastAsiaTheme="minorEastAsia" w:hAnsi="Cambria" w:cs="Calibri"/>
          <w:color w:val="000000"/>
          <w:sz w:val="24"/>
          <w:szCs w:val="24"/>
        </w:rPr>
        <w:t>de primer nivel sería de COL$ 0.27 billones entre 2017 y 2018 (10% de la inversión privada anual). S</w:t>
      </w:r>
      <w:r>
        <w:rPr>
          <w:rFonts w:ascii="Cambria" w:eastAsiaTheme="minorEastAsia" w:hAnsi="Cambria" w:cs="Calibri"/>
          <w:color w:val="000000"/>
          <w:sz w:val="24"/>
          <w:szCs w:val="24"/>
        </w:rPr>
        <w:t>e asume que este nivel</w:t>
      </w:r>
      <w:r w:rsidRPr="00474855">
        <w:rPr>
          <w:rFonts w:ascii="Cambria" w:eastAsiaTheme="minorEastAsia" w:hAnsi="Cambria" w:cs="Calibri"/>
          <w:color w:val="000000"/>
          <w:sz w:val="24"/>
          <w:szCs w:val="24"/>
        </w:rPr>
        <w:t xml:space="preserve"> de inversión APP crec</w:t>
      </w:r>
      <w:r>
        <w:rPr>
          <w:rFonts w:ascii="Cambria" w:eastAsiaTheme="minorEastAsia" w:hAnsi="Cambria" w:cs="Calibri"/>
          <w:color w:val="000000"/>
          <w:sz w:val="24"/>
          <w:szCs w:val="24"/>
        </w:rPr>
        <w:t>e</w:t>
      </w:r>
      <w:r w:rsidRPr="00474855">
        <w:rPr>
          <w:rFonts w:ascii="Cambria" w:eastAsiaTheme="minorEastAsia" w:hAnsi="Cambria" w:cs="Calibri"/>
          <w:color w:val="000000"/>
          <w:sz w:val="24"/>
          <w:szCs w:val="24"/>
        </w:rPr>
        <w:t xml:space="preserve"> hasta el 2030 a una tasa anual real del 4.6%, que es la tasa promedio de crecimiento del PIB para ese período según proyecciones oficiales.</w:t>
      </w:r>
    </w:p>
    <w:p w:rsidR="00474855" w:rsidRPr="00474855" w:rsidRDefault="00474855" w:rsidP="00474855">
      <w:pPr>
        <w:spacing w:after="0" w:line="276" w:lineRule="auto"/>
      </w:pPr>
    </w:p>
    <w:p w:rsidR="00474855" w:rsidRPr="00474855" w:rsidRDefault="00474855" w:rsidP="00474855">
      <w:pPr>
        <w:numPr>
          <w:ilvl w:val="0"/>
          <w:numId w:val="40"/>
        </w:numPr>
        <w:autoSpaceDE w:val="0"/>
        <w:autoSpaceDN w:val="0"/>
        <w:adjustRightInd w:val="0"/>
        <w:spacing w:after="0" w:line="276" w:lineRule="auto"/>
        <w:jc w:val="both"/>
        <w:rPr>
          <w:rFonts w:ascii="Cambria" w:eastAsiaTheme="minorEastAsia" w:hAnsi="Cambria" w:cs="Calibri"/>
          <w:color w:val="000000"/>
          <w:sz w:val="24"/>
          <w:szCs w:val="24"/>
        </w:rPr>
      </w:pPr>
      <w:r w:rsidRPr="00474855">
        <w:rPr>
          <w:rFonts w:ascii="Cambria" w:eastAsiaTheme="minorEastAsia" w:hAnsi="Cambria" w:cs="Calibri"/>
          <w:b/>
          <w:smallCaps/>
          <w:color w:val="000000"/>
          <w:sz w:val="24"/>
          <w:szCs w:val="24"/>
        </w:rPr>
        <w:t>Agua y saneamiento: inversión en oportunidades limitadas</w:t>
      </w:r>
      <w:r w:rsidRPr="00474855">
        <w:rPr>
          <w:rFonts w:ascii="Cambria" w:eastAsiaTheme="minorEastAsia" w:hAnsi="Cambria" w:cs="Calibri"/>
          <w:color w:val="000000"/>
          <w:sz w:val="24"/>
          <w:szCs w:val="24"/>
        </w:rPr>
        <w:t>. Por medio de APP se invertirá el 29% (COL$ 5.22 billones</w:t>
      </w:r>
      <w:r w:rsidR="003A7576">
        <w:rPr>
          <w:rFonts w:ascii="Cambria" w:eastAsiaTheme="minorEastAsia" w:hAnsi="Cambria" w:cs="Calibri"/>
          <w:color w:val="000000"/>
          <w:sz w:val="24"/>
          <w:szCs w:val="24"/>
        </w:rPr>
        <w:t>)</w:t>
      </w:r>
      <w:r w:rsidRPr="00474855">
        <w:rPr>
          <w:rFonts w:ascii="Cambria" w:eastAsiaTheme="minorEastAsia" w:hAnsi="Cambria" w:cs="Calibri"/>
          <w:color w:val="000000"/>
          <w:sz w:val="24"/>
          <w:szCs w:val="24"/>
        </w:rPr>
        <w:t xml:space="preserve"> del total de las inversiones sectoriales del cuatrienio (COL$ 18 billones). La inversión APP anual en agua y saneamiento sería de COL$ 2.61 billones entre 2017 y 2018, y de COL$ 0.261 billones entre 2019 y 2030, volumen que cubriría las iniciativas APP nuevas y por concesiones liberadas que se encuentran registradas en DN</w:t>
      </w:r>
      <w:r w:rsidR="003D5360">
        <w:rPr>
          <w:rFonts w:ascii="Cambria" w:eastAsiaTheme="minorEastAsia" w:hAnsi="Cambria" w:cs="Calibri"/>
          <w:color w:val="000000"/>
          <w:sz w:val="24"/>
          <w:szCs w:val="24"/>
        </w:rPr>
        <w:t xml:space="preserve">P. Este presupuesto se reparte </w:t>
      </w:r>
      <w:r w:rsidRPr="00474855">
        <w:rPr>
          <w:rFonts w:ascii="Cambria" w:eastAsiaTheme="minorEastAsia" w:hAnsi="Cambria" w:cs="Calibri"/>
          <w:color w:val="000000"/>
          <w:sz w:val="24"/>
          <w:szCs w:val="24"/>
        </w:rPr>
        <w:t>en un 60% para agua y en un 40% para alcantarillado, en proporción a los costos tarifarios (Simco, 2012).</w:t>
      </w:r>
      <w:r w:rsidR="003D5360">
        <w:rPr>
          <w:rFonts w:ascii="Cambria" w:eastAsiaTheme="minorEastAsia" w:hAnsi="Cambria" w:cs="Calibri"/>
          <w:color w:val="000000"/>
          <w:sz w:val="24"/>
          <w:szCs w:val="24"/>
        </w:rPr>
        <w:t xml:space="preserve"> </w:t>
      </w:r>
    </w:p>
    <w:p w:rsidR="00474855" w:rsidRPr="00474855" w:rsidRDefault="00474855" w:rsidP="00474855">
      <w:pPr>
        <w:spacing w:after="0" w:line="240" w:lineRule="auto"/>
      </w:pPr>
    </w:p>
    <w:p w:rsidR="00474855" w:rsidRPr="00474855" w:rsidRDefault="00474855" w:rsidP="00474855">
      <w:pPr>
        <w:numPr>
          <w:ilvl w:val="0"/>
          <w:numId w:val="40"/>
        </w:numPr>
        <w:autoSpaceDE w:val="0"/>
        <w:autoSpaceDN w:val="0"/>
        <w:adjustRightInd w:val="0"/>
        <w:spacing w:after="0" w:line="276" w:lineRule="auto"/>
        <w:jc w:val="both"/>
        <w:rPr>
          <w:rFonts w:ascii="Cambria" w:eastAsiaTheme="minorEastAsia" w:hAnsi="Cambria" w:cs="Calibri"/>
          <w:color w:val="000000"/>
          <w:sz w:val="24"/>
          <w:szCs w:val="24"/>
        </w:rPr>
      </w:pPr>
      <w:r w:rsidRPr="00474855">
        <w:rPr>
          <w:rFonts w:ascii="Cambria" w:eastAsiaTheme="minorEastAsia" w:hAnsi="Cambria" w:cs="Calibri"/>
          <w:b/>
          <w:smallCaps/>
          <w:color w:val="000000"/>
          <w:sz w:val="24"/>
          <w:szCs w:val="24"/>
        </w:rPr>
        <w:t>Transporte: inversió</w:t>
      </w:r>
      <w:r w:rsidR="003A7576">
        <w:rPr>
          <w:rFonts w:ascii="Cambria" w:eastAsiaTheme="minorEastAsia" w:hAnsi="Cambria" w:cs="Calibri"/>
          <w:b/>
          <w:smallCaps/>
          <w:color w:val="000000"/>
          <w:sz w:val="24"/>
          <w:szCs w:val="24"/>
        </w:rPr>
        <w:t>n en el modo férreo</w:t>
      </w:r>
      <w:r w:rsidRPr="00474855">
        <w:rPr>
          <w:rFonts w:ascii="Cambria" w:eastAsiaTheme="minorEastAsia" w:hAnsi="Cambria" w:cs="Calibri"/>
          <w:color w:val="000000"/>
          <w:sz w:val="24"/>
          <w:szCs w:val="24"/>
        </w:rPr>
        <w:t>. Por medio de APP se invertirá</w:t>
      </w:r>
      <w:r w:rsidR="003A7576">
        <w:rPr>
          <w:rFonts w:ascii="Cambria" w:eastAsiaTheme="minorEastAsia" w:hAnsi="Cambria" w:cs="Calibri"/>
          <w:color w:val="000000"/>
          <w:sz w:val="24"/>
          <w:szCs w:val="24"/>
        </w:rPr>
        <w:t>n</w:t>
      </w:r>
      <w:r w:rsidRPr="00474855">
        <w:rPr>
          <w:rFonts w:ascii="Cambria" w:eastAsiaTheme="minorEastAsia" w:hAnsi="Cambria" w:cs="Calibri"/>
          <w:color w:val="000000"/>
          <w:sz w:val="24"/>
          <w:szCs w:val="24"/>
        </w:rPr>
        <w:t xml:space="preserve"> COL$ 1.22 billones (CAPEX +</w:t>
      </w:r>
      <w:r w:rsidR="003A7576">
        <w:rPr>
          <w:rFonts w:ascii="Cambria" w:eastAsiaTheme="minorEastAsia" w:hAnsi="Cambria" w:cs="Calibri"/>
          <w:color w:val="000000"/>
          <w:sz w:val="24"/>
          <w:szCs w:val="24"/>
        </w:rPr>
        <w:t xml:space="preserve"> OPEX) por una única vez</w:t>
      </w:r>
      <w:r w:rsidRPr="00474855">
        <w:rPr>
          <w:rFonts w:ascii="Cambria" w:eastAsiaTheme="minorEastAsia" w:hAnsi="Cambria" w:cs="Calibri"/>
          <w:color w:val="000000"/>
          <w:sz w:val="24"/>
          <w:szCs w:val="24"/>
        </w:rPr>
        <w:t xml:space="preserve"> en el tren Bogotá-Belencito, que entraría a funcionar en 2018. El sector carretero ya tiene una senda de inversio</w:t>
      </w:r>
      <w:r w:rsidR="00953A18">
        <w:rPr>
          <w:rFonts w:ascii="Cambria" w:eastAsiaTheme="minorEastAsia" w:hAnsi="Cambria" w:cs="Calibri"/>
          <w:color w:val="000000"/>
          <w:sz w:val="24"/>
          <w:szCs w:val="24"/>
        </w:rPr>
        <w:t>nes consolidadas que no depende</w:t>
      </w:r>
      <w:r w:rsidRPr="00474855">
        <w:rPr>
          <w:rFonts w:ascii="Cambria" w:eastAsiaTheme="minorEastAsia" w:hAnsi="Cambria" w:cs="Calibri"/>
          <w:color w:val="000000"/>
          <w:sz w:val="24"/>
          <w:szCs w:val="24"/>
        </w:rPr>
        <w:t xml:space="preserve"> de la operación CO-L1162, y las oportunidades </w:t>
      </w:r>
      <w:r w:rsidR="003A7576">
        <w:rPr>
          <w:rFonts w:ascii="Cambria" w:eastAsiaTheme="minorEastAsia" w:hAnsi="Cambria" w:cs="Calibri"/>
          <w:color w:val="000000"/>
          <w:sz w:val="24"/>
          <w:szCs w:val="24"/>
        </w:rPr>
        <w:t xml:space="preserve">adicionales en los </w:t>
      </w:r>
      <w:r w:rsidRPr="00474855">
        <w:rPr>
          <w:rFonts w:ascii="Cambria" w:eastAsiaTheme="minorEastAsia" w:hAnsi="Cambria" w:cs="Calibri"/>
          <w:color w:val="000000"/>
          <w:sz w:val="24"/>
          <w:szCs w:val="24"/>
        </w:rPr>
        <w:t>sector</w:t>
      </w:r>
      <w:r w:rsidR="003A7576">
        <w:rPr>
          <w:rFonts w:ascii="Cambria" w:eastAsiaTheme="minorEastAsia" w:hAnsi="Cambria" w:cs="Calibri"/>
          <w:color w:val="000000"/>
          <w:sz w:val="24"/>
          <w:szCs w:val="24"/>
        </w:rPr>
        <w:t>es férreo y</w:t>
      </w:r>
      <w:r w:rsidRPr="00474855">
        <w:rPr>
          <w:rFonts w:ascii="Cambria" w:eastAsiaTheme="minorEastAsia" w:hAnsi="Cambria" w:cs="Calibri"/>
          <w:color w:val="000000"/>
          <w:sz w:val="24"/>
          <w:szCs w:val="24"/>
        </w:rPr>
        <w:t xml:space="preserve"> fluvial son especulativas</w:t>
      </w:r>
      <w:r w:rsidR="003A7576">
        <w:rPr>
          <w:rFonts w:ascii="Cambria" w:eastAsiaTheme="minorEastAsia" w:hAnsi="Cambria" w:cs="Calibri"/>
          <w:color w:val="000000"/>
          <w:sz w:val="24"/>
          <w:szCs w:val="24"/>
        </w:rPr>
        <w:t xml:space="preserve"> por lo pronto, por lo que no se incluyen en</w:t>
      </w:r>
      <w:r w:rsidRPr="00474855">
        <w:rPr>
          <w:rFonts w:ascii="Cambria" w:eastAsiaTheme="minorEastAsia" w:hAnsi="Cambria" w:cs="Calibri"/>
          <w:color w:val="000000"/>
          <w:sz w:val="24"/>
          <w:szCs w:val="24"/>
        </w:rPr>
        <w:t xml:space="preserve"> este análisis.</w:t>
      </w:r>
    </w:p>
    <w:p w:rsidR="00474855" w:rsidRPr="00474855" w:rsidRDefault="00474855" w:rsidP="00474855">
      <w:pPr>
        <w:ind w:left="720"/>
        <w:contextualSpacing/>
        <w:rPr>
          <w:rFonts w:ascii="Cambria" w:eastAsiaTheme="minorEastAsia" w:hAnsi="Cambria"/>
        </w:rPr>
      </w:pPr>
    </w:p>
    <w:p w:rsidR="00474855" w:rsidRPr="00474855" w:rsidRDefault="00474855" w:rsidP="00474855">
      <w:pPr>
        <w:numPr>
          <w:ilvl w:val="0"/>
          <w:numId w:val="40"/>
        </w:numPr>
        <w:autoSpaceDE w:val="0"/>
        <w:autoSpaceDN w:val="0"/>
        <w:adjustRightInd w:val="0"/>
        <w:spacing w:after="0" w:line="276" w:lineRule="auto"/>
        <w:jc w:val="both"/>
        <w:rPr>
          <w:rFonts w:ascii="Cambria" w:eastAsiaTheme="minorEastAsia" w:hAnsi="Cambria" w:cs="Calibri"/>
          <w:color w:val="000000"/>
          <w:sz w:val="24"/>
          <w:szCs w:val="24"/>
        </w:rPr>
      </w:pPr>
      <w:r w:rsidRPr="00474855">
        <w:rPr>
          <w:rFonts w:ascii="Cambria" w:eastAsiaTheme="minorEastAsia" w:hAnsi="Cambria" w:cs="Calibri"/>
          <w:b/>
          <w:smallCaps/>
          <w:color w:val="000000"/>
          <w:sz w:val="24"/>
          <w:szCs w:val="24"/>
        </w:rPr>
        <w:t>Cárceles</w:t>
      </w:r>
      <w:r w:rsidR="003A7576">
        <w:rPr>
          <w:rFonts w:ascii="Cambria" w:eastAsiaTheme="minorEastAsia" w:hAnsi="Cambria" w:cs="Calibri"/>
          <w:b/>
          <w:smallCaps/>
          <w:color w:val="000000"/>
          <w:sz w:val="24"/>
          <w:szCs w:val="24"/>
        </w:rPr>
        <w:t>: aumento de cupos</w:t>
      </w:r>
      <w:r w:rsidRPr="00474855">
        <w:rPr>
          <w:rFonts w:ascii="Cambria" w:eastAsiaTheme="minorEastAsia" w:hAnsi="Cambria" w:cs="Calibri"/>
          <w:color w:val="000000"/>
          <w:sz w:val="24"/>
          <w:szCs w:val="24"/>
        </w:rPr>
        <w:t xml:space="preserve">. Por medio de APP se invertirá en aumentar en 7.200 los cupos penitenciarios y carcelarios del país. </w:t>
      </w:r>
      <w:r w:rsidR="003A7576">
        <w:rPr>
          <w:rFonts w:ascii="Cambria" w:eastAsiaTheme="minorEastAsia" w:hAnsi="Cambria" w:cs="Calibri"/>
          <w:color w:val="000000"/>
          <w:sz w:val="24"/>
          <w:szCs w:val="24"/>
        </w:rPr>
        <w:t xml:space="preserve">No se ha definido el posible tamaño de la expansión del esquema APP en cárceles, </w:t>
      </w:r>
      <w:r w:rsidR="001206CE">
        <w:rPr>
          <w:rFonts w:ascii="Cambria" w:eastAsiaTheme="minorEastAsia" w:hAnsi="Cambria" w:cs="Calibri"/>
          <w:color w:val="000000"/>
          <w:sz w:val="24"/>
          <w:szCs w:val="24"/>
        </w:rPr>
        <w:t xml:space="preserve">ni se dispone de información confiable para realizar análisis de costo-eficiencia un costo-beneficio, </w:t>
      </w:r>
      <w:r w:rsidR="003A7576">
        <w:rPr>
          <w:rFonts w:ascii="Cambria" w:eastAsiaTheme="minorEastAsia" w:hAnsi="Cambria" w:cs="Calibri"/>
          <w:color w:val="000000"/>
          <w:sz w:val="24"/>
          <w:szCs w:val="24"/>
        </w:rPr>
        <w:t xml:space="preserve">por lo que no se incluyen inversiones adicionales en este análisis. </w:t>
      </w:r>
      <w:r w:rsidRPr="00474855">
        <w:rPr>
          <w:rFonts w:ascii="Cambria" w:eastAsiaTheme="minorEastAsia" w:hAnsi="Cambria" w:cs="Calibri"/>
          <w:color w:val="000000"/>
          <w:sz w:val="24"/>
          <w:szCs w:val="24"/>
        </w:rPr>
        <w:t xml:space="preserve">        </w:t>
      </w:r>
    </w:p>
    <w:p w:rsidR="003A7576" w:rsidRDefault="003A7576" w:rsidP="003A7576">
      <w:pPr>
        <w:autoSpaceDE w:val="0"/>
        <w:autoSpaceDN w:val="0"/>
        <w:adjustRightInd w:val="0"/>
        <w:spacing w:after="0" w:line="276" w:lineRule="auto"/>
        <w:jc w:val="both"/>
        <w:rPr>
          <w:rFonts w:ascii="Cambria" w:eastAsiaTheme="minorEastAsia" w:hAnsi="Cambria" w:cs="Calibri"/>
          <w:color w:val="000000"/>
          <w:sz w:val="24"/>
          <w:szCs w:val="24"/>
        </w:rPr>
      </w:pPr>
    </w:p>
    <w:p w:rsidR="003A7576" w:rsidRDefault="003A7576" w:rsidP="003A7576">
      <w:pPr>
        <w:autoSpaceDE w:val="0"/>
        <w:autoSpaceDN w:val="0"/>
        <w:adjustRightInd w:val="0"/>
        <w:spacing w:after="0" w:line="276" w:lineRule="auto"/>
        <w:jc w:val="both"/>
        <w:rPr>
          <w:rFonts w:ascii="Cambria" w:eastAsiaTheme="minorEastAsia" w:hAnsi="Cambria" w:cs="Calibri"/>
          <w:color w:val="000000"/>
          <w:sz w:val="24"/>
          <w:szCs w:val="24"/>
        </w:rPr>
      </w:pPr>
    </w:p>
    <w:p w:rsidR="003A7576" w:rsidRPr="003A7576" w:rsidRDefault="003A7576" w:rsidP="003A7576">
      <w:pPr>
        <w:autoSpaceDE w:val="0"/>
        <w:autoSpaceDN w:val="0"/>
        <w:adjustRightInd w:val="0"/>
        <w:spacing w:after="0" w:line="276" w:lineRule="auto"/>
        <w:ind w:firstLine="360"/>
        <w:jc w:val="both"/>
        <w:rPr>
          <w:rFonts w:ascii="Cambria" w:eastAsiaTheme="minorEastAsia" w:hAnsi="Cambria" w:cs="Calibri"/>
          <w:color w:val="000000"/>
          <w:sz w:val="24"/>
          <w:szCs w:val="24"/>
        </w:rPr>
      </w:pPr>
      <w:r>
        <w:rPr>
          <w:rFonts w:ascii="Cambria" w:eastAsiaTheme="minorEastAsia" w:hAnsi="Cambria"/>
          <w:b/>
          <w:smallCaps/>
          <w:sz w:val="24"/>
          <w:szCs w:val="24"/>
        </w:rPr>
        <w:t>3.2</w:t>
      </w:r>
      <w:r w:rsidR="00774FEA">
        <w:rPr>
          <w:rFonts w:ascii="Cambria" w:eastAsiaTheme="minorEastAsia" w:hAnsi="Cambria"/>
          <w:b/>
          <w:smallCaps/>
          <w:sz w:val="24"/>
          <w:szCs w:val="24"/>
        </w:rPr>
        <w:t xml:space="preserve"> </w:t>
      </w:r>
      <w:r w:rsidR="0084492E" w:rsidRPr="0084492E">
        <w:rPr>
          <w:rFonts w:ascii="Cambria" w:eastAsiaTheme="minorEastAsia" w:hAnsi="Cambria"/>
          <w:b/>
          <w:smallCaps/>
          <w:sz w:val="24"/>
          <w:szCs w:val="24"/>
        </w:rPr>
        <w:t>Educación</w:t>
      </w:r>
    </w:p>
    <w:p w:rsidR="003A7576" w:rsidRDefault="003A7576" w:rsidP="003A7576">
      <w:pPr>
        <w:pStyle w:val="NoSpacing"/>
      </w:pPr>
    </w:p>
    <w:p w:rsidR="0087190D" w:rsidRPr="002161E9" w:rsidRDefault="00FE545C" w:rsidP="00D6331A">
      <w:pPr>
        <w:spacing w:line="276" w:lineRule="auto"/>
        <w:jc w:val="both"/>
        <w:rPr>
          <w:rFonts w:ascii="Cambria" w:eastAsiaTheme="minorEastAsia" w:hAnsi="Cambria"/>
          <w:sz w:val="24"/>
          <w:szCs w:val="24"/>
        </w:rPr>
      </w:pPr>
      <w:r w:rsidRPr="00F06A06">
        <w:rPr>
          <w:rFonts w:ascii="Cambria" w:eastAsiaTheme="minorEastAsia" w:hAnsi="Cambria"/>
          <w:b/>
          <w:smallCaps/>
          <w:sz w:val="24"/>
          <w:szCs w:val="24"/>
        </w:rPr>
        <w:t xml:space="preserve">Decisiones </w:t>
      </w:r>
      <w:r w:rsidR="005F5D04">
        <w:rPr>
          <w:rFonts w:ascii="Cambria" w:eastAsiaTheme="minorEastAsia" w:hAnsi="Cambria"/>
          <w:b/>
          <w:smallCaps/>
          <w:sz w:val="24"/>
          <w:szCs w:val="24"/>
        </w:rPr>
        <w:t>públicas</w:t>
      </w:r>
      <w:r>
        <w:rPr>
          <w:rFonts w:ascii="Cambria" w:eastAsiaTheme="minorEastAsia" w:hAnsi="Cambria"/>
          <w:sz w:val="24"/>
          <w:szCs w:val="24"/>
        </w:rPr>
        <w:t xml:space="preserve">. </w:t>
      </w:r>
      <w:r w:rsidR="00F06A06">
        <w:rPr>
          <w:rFonts w:ascii="Cambria" w:eastAsiaTheme="minorEastAsia" w:hAnsi="Cambria"/>
          <w:sz w:val="24"/>
          <w:szCs w:val="24"/>
        </w:rPr>
        <w:t xml:space="preserve">El documento Conpes 3831 de 2015 </w:t>
      </w:r>
      <w:r w:rsidR="006645A3">
        <w:rPr>
          <w:rFonts w:ascii="Cambria" w:eastAsiaTheme="minorEastAsia" w:hAnsi="Cambria"/>
          <w:sz w:val="24"/>
          <w:szCs w:val="24"/>
        </w:rPr>
        <w:t xml:space="preserve">(DNP 2015A) </w:t>
      </w:r>
      <w:r w:rsidR="00F06A06">
        <w:rPr>
          <w:rFonts w:ascii="Cambria" w:eastAsiaTheme="minorEastAsia" w:hAnsi="Cambria"/>
          <w:sz w:val="24"/>
          <w:szCs w:val="24"/>
        </w:rPr>
        <w:t>plantea la estructura, alcance y características del Plan Nacional de Infraestructura Educativa (PNIE)</w:t>
      </w:r>
      <w:r w:rsidR="009843A7">
        <w:rPr>
          <w:rFonts w:ascii="Cambria" w:eastAsiaTheme="minorEastAsia" w:hAnsi="Cambria"/>
          <w:sz w:val="24"/>
          <w:szCs w:val="24"/>
        </w:rPr>
        <w:t>, que es uno de los pilares de la estrategia educativa del gobierno</w:t>
      </w:r>
      <w:r w:rsidR="00F06A06">
        <w:rPr>
          <w:rFonts w:ascii="Cambria" w:eastAsiaTheme="minorEastAsia" w:hAnsi="Cambria"/>
          <w:sz w:val="24"/>
          <w:szCs w:val="24"/>
        </w:rPr>
        <w:t xml:space="preserve">. </w:t>
      </w:r>
      <w:r w:rsidR="00AD040D">
        <w:rPr>
          <w:rFonts w:ascii="Cambria" w:eastAsiaTheme="minorEastAsia" w:hAnsi="Cambria"/>
          <w:sz w:val="24"/>
          <w:szCs w:val="24"/>
        </w:rPr>
        <w:t xml:space="preserve">En Colombia hay 10.5 millones de habitantes en edad escolar, pero 1.2 millones no asisten al colegio. </w:t>
      </w:r>
      <w:r w:rsidR="000C05B1">
        <w:rPr>
          <w:rFonts w:ascii="Cambria" w:eastAsiaTheme="minorEastAsia" w:hAnsi="Cambria"/>
          <w:sz w:val="24"/>
          <w:szCs w:val="24"/>
        </w:rPr>
        <w:t>Este plan culminará en 2030, año en el que se estima se habrán construido las 51.134 aulas necesarias para implementar la jornada única en el 100% del territorio nacional. La meta del PNIE a 2018 es llegar al 60% de esta meta</w:t>
      </w:r>
      <w:r w:rsidR="00503F55">
        <w:rPr>
          <w:rFonts w:ascii="Cambria" w:eastAsiaTheme="minorEastAsia" w:hAnsi="Cambria"/>
          <w:sz w:val="24"/>
          <w:szCs w:val="24"/>
        </w:rPr>
        <w:t xml:space="preserve">, mediante la construcción, ampliación o mejoramiento de 30.680 aulas. El presupuesto necesario para cumplir la meta a 2018 es de COL$ 4.5 billones, presupuesto que requiere la contribución </w:t>
      </w:r>
      <w:r w:rsidR="004A5D57">
        <w:rPr>
          <w:rFonts w:ascii="Cambria" w:eastAsiaTheme="minorEastAsia" w:hAnsi="Cambria"/>
          <w:sz w:val="24"/>
          <w:szCs w:val="24"/>
        </w:rPr>
        <w:t>de distintas fuentes</w:t>
      </w:r>
      <w:r w:rsidR="00503F55">
        <w:rPr>
          <w:rFonts w:ascii="Cambria" w:eastAsiaTheme="minorEastAsia" w:hAnsi="Cambria"/>
          <w:sz w:val="24"/>
          <w:szCs w:val="24"/>
        </w:rPr>
        <w:t xml:space="preserve"> y la utilización de vigenc</w:t>
      </w:r>
      <w:r w:rsidR="004A5D57">
        <w:rPr>
          <w:rFonts w:ascii="Cambria" w:eastAsiaTheme="minorEastAsia" w:hAnsi="Cambria"/>
          <w:sz w:val="24"/>
          <w:szCs w:val="24"/>
        </w:rPr>
        <w:t xml:space="preserve">ias futuras hasta el año 2023. </w:t>
      </w:r>
      <w:r w:rsidR="00774FEA" w:rsidRPr="002161E9">
        <w:rPr>
          <w:rFonts w:ascii="Cambria" w:eastAsiaTheme="minorEastAsia" w:hAnsi="Cambria"/>
          <w:sz w:val="24"/>
          <w:szCs w:val="24"/>
        </w:rPr>
        <w:t>Los recursos privados restantes (COL$ 4.50 – COL$ 3.95= COL$ 0.55 billones) se financiarán por parte del sector privado</w:t>
      </w:r>
      <w:r w:rsidR="009843A7">
        <w:rPr>
          <w:rFonts w:ascii="Cambria" w:eastAsiaTheme="minorEastAsia" w:hAnsi="Cambria"/>
          <w:sz w:val="24"/>
          <w:szCs w:val="24"/>
        </w:rPr>
        <w:t xml:space="preserve"> (APP)</w:t>
      </w:r>
      <w:r w:rsidR="00774FEA" w:rsidRPr="002161E9">
        <w:rPr>
          <w:rFonts w:ascii="Cambria" w:eastAsiaTheme="minorEastAsia" w:hAnsi="Cambria"/>
          <w:sz w:val="24"/>
          <w:szCs w:val="24"/>
        </w:rPr>
        <w:t>. El documento Conpes 3831 estima que el 13% del PNIE se financiaría mediante proyectos APP.</w:t>
      </w:r>
      <w:r w:rsidR="00634A45" w:rsidRPr="002161E9">
        <w:rPr>
          <w:rFonts w:ascii="Cambria" w:eastAsiaTheme="minorEastAsia" w:hAnsi="Cambria"/>
          <w:sz w:val="24"/>
          <w:szCs w:val="24"/>
        </w:rPr>
        <w:t xml:space="preserve"> </w:t>
      </w:r>
    </w:p>
    <w:p w:rsidR="00B35DA4" w:rsidRDefault="00B35DA4" w:rsidP="00B35DA4">
      <w:pPr>
        <w:pStyle w:val="NoSpacing"/>
        <w:rPr>
          <w:rFonts w:ascii="Cambria" w:eastAsiaTheme="minorEastAsia" w:hAnsi="Cambria"/>
          <w:sz w:val="24"/>
          <w:szCs w:val="24"/>
        </w:rPr>
      </w:pPr>
    </w:p>
    <w:p w:rsidR="003A46F2" w:rsidRDefault="0081241A" w:rsidP="0007062F">
      <w:pPr>
        <w:pStyle w:val="NoSpacing"/>
        <w:spacing w:line="276" w:lineRule="auto"/>
        <w:jc w:val="both"/>
        <w:rPr>
          <w:rFonts w:ascii="Cambria" w:eastAsiaTheme="minorEastAsia" w:hAnsi="Cambria"/>
          <w:sz w:val="24"/>
          <w:szCs w:val="24"/>
        </w:rPr>
      </w:pPr>
      <w:r>
        <w:rPr>
          <w:rFonts w:ascii="Cambria" w:eastAsiaTheme="minorEastAsia" w:hAnsi="Cambria"/>
          <w:b/>
          <w:smallCaps/>
          <w:sz w:val="24"/>
          <w:szCs w:val="24"/>
        </w:rPr>
        <w:t>Información relevante del e</w:t>
      </w:r>
      <w:r w:rsidR="00B63719">
        <w:rPr>
          <w:rFonts w:ascii="Cambria" w:eastAsiaTheme="minorEastAsia" w:hAnsi="Cambria"/>
          <w:b/>
          <w:smallCaps/>
          <w:sz w:val="24"/>
          <w:szCs w:val="24"/>
        </w:rPr>
        <w:t>studio marco</w:t>
      </w:r>
      <w:r w:rsidR="00B35DA4" w:rsidRPr="00774FEA">
        <w:rPr>
          <w:rFonts w:ascii="Cambria" w:eastAsiaTheme="minorEastAsia" w:hAnsi="Cambria"/>
          <w:b/>
          <w:smallCaps/>
          <w:sz w:val="24"/>
          <w:szCs w:val="24"/>
        </w:rPr>
        <w:t xml:space="preserve"> sobre APP</w:t>
      </w:r>
      <w:r>
        <w:rPr>
          <w:rFonts w:ascii="Cambria" w:eastAsiaTheme="minorEastAsia" w:hAnsi="Cambria"/>
          <w:b/>
          <w:smallCaps/>
          <w:sz w:val="24"/>
          <w:szCs w:val="24"/>
        </w:rPr>
        <w:t xml:space="preserve"> en educación</w:t>
      </w:r>
      <w:r w:rsidR="00B35DA4">
        <w:rPr>
          <w:rFonts w:ascii="Cambria" w:eastAsiaTheme="minorEastAsia" w:hAnsi="Cambria"/>
          <w:sz w:val="24"/>
          <w:szCs w:val="24"/>
        </w:rPr>
        <w:t xml:space="preserve">. </w:t>
      </w:r>
      <w:r w:rsidR="00AD040D">
        <w:rPr>
          <w:rFonts w:ascii="Cambria" w:eastAsiaTheme="minorEastAsia" w:hAnsi="Cambria"/>
          <w:sz w:val="24"/>
          <w:szCs w:val="24"/>
        </w:rPr>
        <w:t xml:space="preserve">Con apoyo del BID, el DNP </w:t>
      </w:r>
      <w:r w:rsidR="00953A18">
        <w:rPr>
          <w:rFonts w:ascii="Cambria" w:eastAsiaTheme="minorEastAsia" w:hAnsi="Cambria"/>
          <w:sz w:val="24"/>
          <w:szCs w:val="24"/>
        </w:rPr>
        <w:t>(2015B</w:t>
      </w:r>
      <w:r w:rsidR="00E55292">
        <w:rPr>
          <w:rFonts w:ascii="Cambria" w:eastAsiaTheme="minorEastAsia" w:hAnsi="Cambria"/>
          <w:sz w:val="24"/>
          <w:szCs w:val="24"/>
        </w:rPr>
        <w:t xml:space="preserve">) </w:t>
      </w:r>
      <w:r w:rsidR="00AD040D">
        <w:rPr>
          <w:rFonts w:ascii="Cambria" w:eastAsiaTheme="minorEastAsia" w:hAnsi="Cambria"/>
          <w:sz w:val="24"/>
          <w:szCs w:val="24"/>
        </w:rPr>
        <w:t>encomendó un estudio de consultoría para examinar la viabilidad del uso de APP en educación.</w:t>
      </w:r>
      <w:r w:rsidR="006E03D6">
        <w:rPr>
          <w:rFonts w:ascii="Cambria" w:eastAsiaTheme="minorEastAsia" w:hAnsi="Cambria"/>
          <w:sz w:val="24"/>
          <w:szCs w:val="24"/>
        </w:rPr>
        <w:t xml:space="preserve"> S</w:t>
      </w:r>
      <w:r w:rsidR="00E55292">
        <w:rPr>
          <w:rFonts w:ascii="Cambria" w:eastAsiaTheme="minorEastAsia" w:hAnsi="Cambria"/>
          <w:sz w:val="24"/>
          <w:szCs w:val="24"/>
        </w:rPr>
        <w:t>e presenta</w:t>
      </w:r>
      <w:r w:rsidR="003A46F2">
        <w:rPr>
          <w:rFonts w:ascii="Cambria" w:eastAsiaTheme="minorEastAsia" w:hAnsi="Cambria"/>
          <w:sz w:val="24"/>
          <w:szCs w:val="24"/>
        </w:rPr>
        <w:t>ro</w:t>
      </w:r>
      <w:r w:rsidR="00E55292">
        <w:rPr>
          <w:rFonts w:ascii="Cambria" w:eastAsiaTheme="minorEastAsia" w:hAnsi="Cambria"/>
          <w:sz w:val="24"/>
          <w:szCs w:val="24"/>
        </w:rPr>
        <w:t>n tres modelos de APP,</w:t>
      </w:r>
      <w:r w:rsidR="0007062F">
        <w:rPr>
          <w:rStyle w:val="FootnoteReference"/>
          <w:rFonts w:ascii="Cambria" w:eastAsiaTheme="minorEastAsia" w:hAnsi="Cambria"/>
          <w:sz w:val="24"/>
          <w:szCs w:val="24"/>
        </w:rPr>
        <w:footnoteReference w:id="5"/>
      </w:r>
      <w:r w:rsidR="00E55292">
        <w:rPr>
          <w:rFonts w:ascii="Cambria" w:eastAsiaTheme="minorEastAsia" w:hAnsi="Cambria"/>
          <w:sz w:val="24"/>
          <w:szCs w:val="24"/>
        </w:rPr>
        <w:t xml:space="preserve"> se ana</w:t>
      </w:r>
      <w:r w:rsidR="003A46F2">
        <w:rPr>
          <w:rFonts w:ascii="Cambria" w:eastAsiaTheme="minorEastAsia" w:hAnsi="Cambria"/>
          <w:sz w:val="24"/>
          <w:szCs w:val="24"/>
        </w:rPr>
        <w:t>lizó</w:t>
      </w:r>
      <w:r w:rsidR="00E55292">
        <w:rPr>
          <w:rFonts w:ascii="Cambria" w:eastAsiaTheme="minorEastAsia" w:hAnsi="Cambria"/>
          <w:sz w:val="24"/>
          <w:szCs w:val="24"/>
        </w:rPr>
        <w:t xml:space="preserve"> su comportamiento financiero</w:t>
      </w:r>
      <w:r w:rsidR="009C064F">
        <w:rPr>
          <w:rFonts w:ascii="Cambria" w:eastAsiaTheme="minorEastAsia" w:hAnsi="Cambria"/>
          <w:sz w:val="24"/>
          <w:szCs w:val="24"/>
        </w:rPr>
        <w:t xml:space="preserve"> (cuantificando los montos de vigencias futuras necesarias para garantizar una rentabilidad al inversionista privado, ajustada al nivel de riesgo </w:t>
      </w:r>
      <w:r w:rsidR="003A46F2">
        <w:rPr>
          <w:rFonts w:ascii="Cambria" w:eastAsiaTheme="minorEastAsia" w:hAnsi="Cambria"/>
          <w:sz w:val="24"/>
          <w:szCs w:val="24"/>
        </w:rPr>
        <w:t>d</w:t>
      </w:r>
      <w:r w:rsidR="009C064F">
        <w:rPr>
          <w:rFonts w:ascii="Cambria" w:eastAsiaTheme="minorEastAsia" w:hAnsi="Cambria"/>
          <w:sz w:val="24"/>
          <w:szCs w:val="24"/>
        </w:rPr>
        <w:t>el negocio)</w:t>
      </w:r>
      <w:r w:rsidR="00E55292">
        <w:rPr>
          <w:rFonts w:ascii="Cambria" w:eastAsiaTheme="minorEastAsia" w:hAnsi="Cambria"/>
          <w:sz w:val="24"/>
          <w:szCs w:val="24"/>
        </w:rPr>
        <w:t xml:space="preserve"> y se plantean criterios para definir y priorizar proyectos </w:t>
      </w:r>
      <w:r w:rsidR="003A46F2">
        <w:rPr>
          <w:rFonts w:ascii="Cambria" w:eastAsiaTheme="minorEastAsia" w:hAnsi="Cambria"/>
          <w:sz w:val="24"/>
          <w:szCs w:val="24"/>
        </w:rPr>
        <w:t xml:space="preserve">APP </w:t>
      </w:r>
      <w:r w:rsidR="00E55292">
        <w:rPr>
          <w:rFonts w:ascii="Cambria" w:eastAsiaTheme="minorEastAsia" w:hAnsi="Cambria"/>
          <w:sz w:val="24"/>
          <w:szCs w:val="24"/>
        </w:rPr>
        <w:t xml:space="preserve">en educación. </w:t>
      </w:r>
      <w:r w:rsidR="003A46F2">
        <w:rPr>
          <w:rFonts w:ascii="Cambria" w:eastAsiaTheme="minorEastAsia" w:hAnsi="Cambria"/>
          <w:sz w:val="24"/>
          <w:szCs w:val="24"/>
        </w:rPr>
        <w:t>E</w:t>
      </w:r>
      <w:r w:rsidR="009C064F">
        <w:rPr>
          <w:rFonts w:ascii="Cambria" w:eastAsiaTheme="minorEastAsia" w:hAnsi="Cambria"/>
          <w:sz w:val="24"/>
          <w:szCs w:val="24"/>
        </w:rPr>
        <w:t>n l</w:t>
      </w:r>
      <w:r w:rsidR="003A46F2">
        <w:rPr>
          <w:rFonts w:ascii="Cambria" w:eastAsiaTheme="minorEastAsia" w:hAnsi="Cambria"/>
          <w:sz w:val="24"/>
          <w:szCs w:val="24"/>
        </w:rPr>
        <w:t xml:space="preserve">a experiencia de </w:t>
      </w:r>
      <w:r w:rsidR="00E55292">
        <w:rPr>
          <w:rFonts w:ascii="Cambria" w:eastAsiaTheme="minorEastAsia" w:hAnsi="Cambria"/>
          <w:sz w:val="24"/>
          <w:szCs w:val="24"/>
        </w:rPr>
        <w:t>Concesiones E</w:t>
      </w:r>
      <w:r w:rsidR="009C064F">
        <w:rPr>
          <w:rFonts w:ascii="Cambria" w:eastAsiaTheme="minorEastAsia" w:hAnsi="Cambria"/>
          <w:sz w:val="24"/>
          <w:szCs w:val="24"/>
        </w:rPr>
        <w:t xml:space="preserve">ducativas, </w:t>
      </w:r>
      <w:r w:rsidR="00E55292">
        <w:rPr>
          <w:rFonts w:ascii="Cambria" w:eastAsiaTheme="minorEastAsia" w:hAnsi="Cambria"/>
          <w:sz w:val="24"/>
          <w:szCs w:val="24"/>
        </w:rPr>
        <w:t xml:space="preserve">el costo promedio por estudiante anual es de COL$ 1.9 millones en Bogotá, y de COL$ 1.13 millones en otras ciudades, mientras que el costo de la educación oficial oscila entre COL$ 3 y COL$ 3.5 </w:t>
      </w:r>
      <w:r w:rsidR="004A5D57">
        <w:rPr>
          <w:rFonts w:ascii="Cambria" w:eastAsiaTheme="minorEastAsia" w:hAnsi="Cambria"/>
          <w:sz w:val="24"/>
          <w:szCs w:val="24"/>
        </w:rPr>
        <w:t xml:space="preserve">millones. </w:t>
      </w:r>
    </w:p>
    <w:p w:rsidR="00C03306" w:rsidRDefault="00C03306" w:rsidP="00C03306">
      <w:pPr>
        <w:spacing w:line="276" w:lineRule="auto"/>
        <w:jc w:val="both"/>
        <w:rPr>
          <w:rFonts w:ascii="Cambria" w:eastAsiaTheme="minorEastAsia" w:hAnsi="Cambria"/>
          <w:b/>
          <w:smallCaps/>
          <w:sz w:val="24"/>
          <w:szCs w:val="24"/>
        </w:rPr>
      </w:pPr>
    </w:p>
    <w:p w:rsidR="00C03306" w:rsidRPr="00A0029D" w:rsidRDefault="00C03306" w:rsidP="00C03306">
      <w:pPr>
        <w:spacing w:line="276" w:lineRule="auto"/>
        <w:jc w:val="both"/>
        <w:rPr>
          <w:rFonts w:ascii="Cambria" w:eastAsiaTheme="minorEastAsia" w:hAnsi="Cambria"/>
          <w:sz w:val="24"/>
          <w:szCs w:val="24"/>
        </w:rPr>
      </w:pPr>
      <w:r w:rsidRPr="00B35DA4">
        <w:rPr>
          <w:rFonts w:ascii="Cambria" w:eastAsiaTheme="minorEastAsia" w:hAnsi="Cambria"/>
          <w:b/>
          <w:smallCaps/>
          <w:sz w:val="24"/>
          <w:szCs w:val="24"/>
        </w:rPr>
        <w:t>Rentabilidad social del PNIE</w:t>
      </w:r>
      <w:r>
        <w:rPr>
          <w:rFonts w:ascii="Cambria" w:eastAsiaTheme="minorEastAsia" w:hAnsi="Cambria"/>
          <w:sz w:val="24"/>
          <w:szCs w:val="24"/>
        </w:rPr>
        <w:t xml:space="preserve">. El documento Conpes 3831 </w:t>
      </w:r>
      <w:r w:rsidR="003A5BA9">
        <w:rPr>
          <w:rFonts w:ascii="Cambria" w:eastAsiaTheme="minorEastAsia" w:hAnsi="Cambria"/>
          <w:sz w:val="24"/>
          <w:szCs w:val="24"/>
        </w:rPr>
        <w:t xml:space="preserve">de 2015 </w:t>
      </w:r>
      <w:r>
        <w:rPr>
          <w:rFonts w:ascii="Cambria" w:eastAsiaTheme="minorEastAsia" w:hAnsi="Cambria"/>
          <w:sz w:val="24"/>
          <w:szCs w:val="24"/>
        </w:rPr>
        <w:t xml:space="preserve">plantea que el Ministerio de Educación Nacional ha calculado la tasa interna de retorno (TIR) social del PNIE. La estimación de beneficios se calculó como el valor presente de la diferencia de salario para la población beneficiada sobre toda su vida útil, con y sin proyecto. En esencia, se mide cuidadosamente el efecto del cambio a jornada única sobre el puntaje en las pruebas Saber 11, y del aumento en los puntajes sobre el salario de enganche. El valor presente del flujo de salarios se realiza asumiendo una vida laboral de 43 años, una tasa de crecimiento del salario de 4% y una tasa de interés del 3%. Los beneficios ascendieron a COL$ 8.8 billones, mientras que los costos del programa son de COL $ 7.2 billones, lo que implica una relación </w:t>
      </w:r>
      <w:r w:rsidRPr="002161E9">
        <w:rPr>
          <w:rFonts w:ascii="Cambria" w:eastAsiaTheme="minorEastAsia" w:hAnsi="Cambria"/>
          <w:i/>
          <w:sz w:val="24"/>
          <w:szCs w:val="24"/>
        </w:rPr>
        <w:t>B</w:t>
      </w:r>
      <w:r w:rsidRPr="002161E9">
        <w:rPr>
          <w:rFonts w:ascii="Cambria" w:eastAsiaTheme="minorEastAsia" w:hAnsi="Cambria"/>
          <w:sz w:val="24"/>
          <w:szCs w:val="24"/>
        </w:rPr>
        <w:t>/</w:t>
      </w:r>
      <w:r w:rsidRPr="002161E9">
        <w:rPr>
          <w:rFonts w:ascii="Cambria" w:eastAsiaTheme="minorEastAsia" w:hAnsi="Cambria"/>
          <w:i/>
          <w:sz w:val="24"/>
          <w:szCs w:val="24"/>
        </w:rPr>
        <w:t>C</w:t>
      </w:r>
      <w:r w:rsidRPr="002161E9">
        <w:rPr>
          <w:rFonts w:ascii="Cambria" w:eastAsiaTheme="minorEastAsia" w:hAnsi="Cambria"/>
          <w:sz w:val="24"/>
          <w:szCs w:val="24"/>
        </w:rPr>
        <w:t xml:space="preserve"> = 1.22</w:t>
      </w:r>
      <w:r>
        <w:rPr>
          <w:rFonts w:ascii="Cambria" w:eastAsiaTheme="minorEastAsia" w:hAnsi="Cambria"/>
          <w:sz w:val="24"/>
          <w:szCs w:val="24"/>
        </w:rPr>
        <w:t xml:space="preserve">. </w:t>
      </w:r>
    </w:p>
    <w:p w:rsidR="003A46F2" w:rsidRPr="009A078A" w:rsidRDefault="003A46F2" w:rsidP="009A078A">
      <w:pPr>
        <w:pStyle w:val="NoSpacing"/>
      </w:pPr>
    </w:p>
    <w:p w:rsidR="003A46F2" w:rsidRPr="003A46F2" w:rsidRDefault="003A7576" w:rsidP="003A46F2">
      <w:pPr>
        <w:pStyle w:val="NoSpacing"/>
        <w:spacing w:line="276" w:lineRule="auto"/>
        <w:ind w:firstLine="708"/>
        <w:jc w:val="both"/>
        <w:rPr>
          <w:rFonts w:ascii="Cambria" w:eastAsiaTheme="minorEastAsia" w:hAnsi="Cambria"/>
          <w:b/>
          <w:smallCaps/>
          <w:sz w:val="24"/>
          <w:szCs w:val="24"/>
        </w:rPr>
      </w:pPr>
      <w:r>
        <w:rPr>
          <w:rFonts w:ascii="Cambria" w:eastAsiaTheme="minorEastAsia" w:hAnsi="Cambria"/>
          <w:b/>
          <w:smallCaps/>
          <w:sz w:val="24"/>
          <w:szCs w:val="24"/>
        </w:rPr>
        <w:t>3.3</w:t>
      </w:r>
      <w:r w:rsidR="003A46F2" w:rsidRPr="003A46F2">
        <w:rPr>
          <w:rFonts w:ascii="Cambria" w:eastAsiaTheme="minorEastAsia" w:hAnsi="Cambria"/>
          <w:b/>
          <w:smallCaps/>
          <w:sz w:val="24"/>
          <w:szCs w:val="24"/>
        </w:rPr>
        <w:t xml:space="preserve"> Salud</w:t>
      </w:r>
    </w:p>
    <w:p w:rsidR="008778EA" w:rsidRDefault="008778EA" w:rsidP="0007062F">
      <w:pPr>
        <w:pStyle w:val="NoSpacing"/>
        <w:spacing w:line="276" w:lineRule="auto"/>
        <w:jc w:val="both"/>
        <w:rPr>
          <w:rFonts w:ascii="Cambria" w:eastAsiaTheme="minorEastAsia" w:hAnsi="Cambria"/>
          <w:sz w:val="24"/>
          <w:szCs w:val="24"/>
        </w:rPr>
      </w:pPr>
    </w:p>
    <w:p w:rsidR="002F79E4" w:rsidRDefault="0025675C" w:rsidP="0007062F">
      <w:pPr>
        <w:pStyle w:val="NoSpacing"/>
        <w:spacing w:line="276" w:lineRule="auto"/>
        <w:jc w:val="both"/>
        <w:rPr>
          <w:rFonts w:ascii="Cambria" w:eastAsiaTheme="minorEastAsia" w:hAnsi="Cambria"/>
          <w:sz w:val="24"/>
          <w:szCs w:val="24"/>
        </w:rPr>
      </w:pPr>
      <w:r w:rsidRPr="00F06A06">
        <w:rPr>
          <w:rFonts w:ascii="Cambria" w:eastAsiaTheme="minorEastAsia" w:hAnsi="Cambria"/>
          <w:b/>
          <w:smallCaps/>
          <w:sz w:val="24"/>
          <w:szCs w:val="24"/>
        </w:rPr>
        <w:t xml:space="preserve">Decisiones </w:t>
      </w:r>
      <w:r w:rsidR="005F5D04">
        <w:rPr>
          <w:rFonts w:ascii="Cambria" w:eastAsiaTheme="minorEastAsia" w:hAnsi="Cambria"/>
          <w:b/>
          <w:smallCaps/>
          <w:sz w:val="24"/>
          <w:szCs w:val="24"/>
        </w:rPr>
        <w:t>públicas</w:t>
      </w:r>
      <w:r w:rsidR="009A078A">
        <w:rPr>
          <w:rFonts w:ascii="Cambria" w:eastAsiaTheme="minorEastAsia" w:hAnsi="Cambria"/>
          <w:b/>
          <w:smallCaps/>
          <w:sz w:val="24"/>
          <w:szCs w:val="24"/>
        </w:rPr>
        <w:t>.</w:t>
      </w:r>
      <w:r w:rsidR="00E55292">
        <w:rPr>
          <w:rFonts w:ascii="Cambria" w:eastAsiaTheme="minorEastAsia" w:hAnsi="Cambria"/>
          <w:sz w:val="24"/>
          <w:szCs w:val="24"/>
        </w:rPr>
        <w:t xml:space="preserve"> </w:t>
      </w:r>
      <w:r w:rsidR="005F5D04">
        <w:rPr>
          <w:rFonts w:ascii="Cambria" w:eastAsiaTheme="minorEastAsia" w:hAnsi="Cambria"/>
          <w:sz w:val="24"/>
          <w:szCs w:val="24"/>
        </w:rPr>
        <w:t xml:space="preserve">La Ley 1438 de 2011 reformó el Sistema General de Seguridad Social en Salud (SGSSS), con el propósito de mejorar la coordinación de las acciones del Estado, las instituciones y la sociedad para el mejoramiento de la salud y la creación de un ambiente sano, saludable, equitativo e incluyente. El artículo 6 de esta ley ordena al </w:t>
      </w:r>
      <w:r w:rsidR="009A078A">
        <w:rPr>
          <w:rFonts w:ascii="Cambria" w:eastAsiaTheme="minorEastAsia" w:hAnsi="Cambria"/>
          <w:sz w:val="24"/>
          <w:szCs w:val="24"/>
        </w:rPr>
        <w:t>Ministerio de Salud y Seguridad Pública desar</w:t>
      </w:r>
      <w:r w:rsidR="005F5D04">
        <w:rPr>
          <w:rFonts w:ascii="Cambria" w:eastAsiaTheme="minorEastAsia" w:hAnsi="Cambria"/>
          <w:sz w:val="24"/>
          <w:szCs w:val="24"/>
        </w:rPr>
        <w:t>rollar un</w:t>
      </w:r>
      <w:r w:rsidR="009A078A">
        <w:rPr>
          <w:rFonts w:ascii="Cambria" w:eastAsiaTheme="minorEastAsia" w:hAnsi="Cambria"/>
          <w:sz w:val="24"/>
          <w:szCs w:val="24"/>
        </w:rPr>
        <w:t xml:space="preserve"> Plan Decenal de Salud Pública </w:t>
      </w:r>
      <w:r w:rsidR="005F5D04">
        <w:rPr>
          <w:rFonts w:ascii="Cambria" w:eastAsiaTheme="minorEastAsia" w:hAnsi="Cambria"/>
          <w:sz w:val="24"/>
          <w:szCs w:val="24"/>
        </w:rPr>
        <w:t>(PDSP). El PDSP 2012-2021</w:t>
      </w:r>
      <w:r w:rsidR="009A078A">
        <w:rPr>
          <w:rFonts w:ascii="Cambria" w:eastAsiaTheme="minorEastAsia" w:hAnsi="Cambria"/>
          <w:sz w:val="24"/>
          <w:szCs w:val="24"/>
        </w:rPr>
        <w:t xml:space="preserve"> </w:t>
      </w:r>
      <w:r w:rsidR="005F5D04">
        <w:rPr>
          <w:rFonts w:ascii="Cambria" w:eastAsiaTheme="minorEastAsia" w:hAnsi="Cambria"/>
          <w:sz w:val="24"/>
          <w:szCs w:val="24"/>
        </w:rPr>
        <w:t xml:space="preserve">tiene como </w:t>
      </w:r>
      <w:r w:rsidR="009A078A">
        <w:rPr>
          <w:rFonts w:ascii="Cambria" w:eastAsiaTheme="minorEastAsia" w:hAnsi="Cambria"/>
          <w:sz w:val="24"/>
          <w:szCs w:val="24"/>
        </w:rPr>
        <w:t>objetivos estratégicos avanzar hacia la garantía del goce efectivo del derecho a la salud</w:t>
      </w:r>
      <w:r w:rsidR="005A4418">
        <w:rPr>
          <w:rFonts w:ascii="Cambria" w:eastAsiaTheme="minorEastAsia" w:hAnsi="Cambria"/>
          <w:sz w:val="24"/>
          <w:szCs w:val="24"/>
        </w:rPr>
        <w:t xml:space="preserve">, mejorar las condiciones de vida y salud de la población, y lograr cero tolerancia frente a la mortalidad, morbilidad y discapacidad evitables. Las </w:t>
      </w:r>
      <w:r w:rsidR="005A4418" w:rsidRPr="00CA7C77">
        <w:rPr>
          <w:rFonts w:ascii="Cambria" w:eastAsiaTheme="minorEastAsia" w:hAnsi="Cambria"/>
          <w:i/>
          <w:sz w:val="24"/>
          <w:szCs w:val="24"/>
        </w:rPr>
        <w:t xml:space="preserve">dimensiones prioritarias </w:t>
      </w:r>
      <w:r w:rsidR="005A4418">
        <w:rPr>
          <w:rFonts w:ascii="Cambria" w:eastAsiaTheme="minorEastAsia" w:hAnsi="Cambria"/>
          <w:sz w:val="24"/>
          <w:szCs w:val="24"/>
        </w:rPr>
        <w:t xml:space="preserve">incluyen la salud ambiental, vida saludable y condiciones no transmitibles, convivencia social y salud mental, seguridad alimentaria y nutricional, derechos sexuales y reproductivos, enfermedades transmitibles, salud pública en emergencias y desastres, y salud y régimen laboral. </w:t>
      </w:r>
      <w:r w:rsidR="00CA7C77">
        <w:rPr>
          <w:rFonts w:ascii="Cambria" w:eastAsiaTheme="minorEastAsia" w:hAnsi="Cambria"/>
          <w:sz w:val="24"/>
          <w:szCs w:val="24"/>
        </w:rPr>
        <w:t xml:space="preserve">Estas dimensiones prioritarias se complementan con </w:t>
      </w:r>
      <w:r w:rsidR="00CA7C77" w:rsidRPr="00CA7C77">
        <w:rPr>
          <w:rFonts w:ascii="Cambria" w:eastAsiaTheme="minorEastAsia" w:hAnsi="Cambria"/>
          <w:i/>
          <w:sz w:val="24"/>
          <w:szCs w:val="24"/>
        </w:rPr>
        <w:t>dimensiones transversales</w:t>
      </w:r>
      <w:r w:rsidR="00CA7C77">
        <w:rPr>
          <w:rFonts w:ascii="Cambria" w:eastAsiaTheme="minorEastAsia" w:hAnsi="Cambria"/>
          <w:sz w:val="24"/>
          <w:szCs w:val="24"/>
        </w:rPr>
        <w:t xml:space="preserve"> que incorporan las peculiaridades y necesidades diferenciales de poblaciones vulnerables (incluyendo primera infancia de niñas y niños, infancia, adolescencia y vejez), género, así como fortalecimiento institucional de actividades </w:t>
      </w:r>
      <w:r w:rsidR="008A639F">
        <w:rPr>
          <w:rFonts w:ascii="Cambria" w:eastAsiaTheme="minorEastAsia" w:hAnsi="Cambria"/>
          <w:sz w:val="24"/>
          <w:szCs w:val="24"/>
        </w:rPr>
        <w:t xml:space="preserve">como gestión de sistemas de información, capacidades administrativas, vigilancia epidemiológica y sanitaria. </w:t>
      </w:r>
      <w:r w:rsidR="00B21FCD">
        <w:rPr>
          <w:rFonts w:ascii="Cambria" w:eastAsiaTheme="minorEastAsia" w:hAnsi="Cambria"/>
          <w:sz w:val="24"/>
          <w:szCs w:val="24"/>
        </w:rPr>
        <w:t xml:space="preserve">En el artículo 5 de la Ley 1753 de 2015, que </w:t>
      </w:r>
      <w:r w:rsidR="007748CA">
        <w:rPr>
          <w:rFonts w:ascii="Cambria" w:eastAsiaTheme="minorEastAsia" w:hAnsi="Cambria"/>
          <w:sz w:val="24"/>
          <w:szCs w:val="24"/>
        </w:rPr>
        <w:t>consolida el articulado del Plan Nacional de Desarrollo 2014-2018, se asigna un total de COL$ 57.86 billones al rubro “Mejorar las condiciones de salud.” De este total, se plantea que COL$ 10.80 billones (18.7% el total de la inversión del cuatrienio) deben provenir de inversión privad</w:t>
      </w:r>
      <w:r w:rsidR="00CF5737">
        <w:rPr>
          <w:rFonts w:ascii="Cambria" w:eastAsiaTheme="minorEastAsia" w:hAnsi="Cambria"/>
          <w:sz w:val="24"/>
          <w:szCs w:val="24"/>
        </w:rPr>
        <w:t>a en todo tipo de gasto, de la que un 10% se orientaría a APP orientadas a hospitales de primer nivel</w:t>
      </w:r>
      <w:r w:rsidR="007748CA">
        <w:rPr>
          <w:rFonts w:ascii="Cambria" w:eastAsiaTheme="minorEastAsia" w:hAnsi="Cambria"/>
          <w:sz w:val="24"/>
          <w:szCs w:val="24"/>
        </w:rPr>
        <w:t xml:space="preserve">. Los hospitales </w:t>
      </w:r>
      <w:r w:rsidR="004A5D57">
        <w:rPr>
          <w:rFonts w:ascii="Cambria" w:eastAsiaTheme="minorEastAsia" w:hAnsi="Cambria"/>
          <w:sz w:val="24"/>
          <w:szCs w:val="24"/>
        </w:rPr>
        <w:t xml:space="preserve">de primer nivel </w:t>
      </w:r>
      <w:r w:rsidR="007748CA">
        <w:rPr>
          <w:rFonts w:ascii="Cambria" w:eastAsiaTheme="minorEastAsia" w:hAnsi="Cambria"/>
          <w:sz w:val="24"/>
          <w:szCs w:val="24"/>
        </w:rPr>
        <w:t>serán una de la</w:t>
      </w:r>
      <w:r w:rsidR="007931AD">
        <w:rPr>
          <w:rFonts w:ascii="Cambria" w:eastAsiaTheme="minorEastAsia" w:hAnsi="Cambria"/>
          <w:sz w:val="24"/>
          <w:szCs w:val="24"/>
        </w:rPr>
        <w:t>s</w:t>
      </w:r>
      <w:r w:rsidR="007748CA">
        <w:rPr>
          <w:rFonts w:ascii="Cambria" w:eastAsiaTheme="minorEastAsia" w:hAnsi="Cambria"/>
          <w:sz w:val="24"/>
          <w:szCs w:val="24"/>
        </w:rPr>
        <w:t xml:space="preserve"> plataformas clave para la aplicación del Modelo Integral de Atención en Salud (MIAS), </w:t>
      </w:r>
      <w:r w:rsidR="00B212CE">
        <w:rPr>
          <w:rFonts w:ascii="Cambria" w:eastAsiaTheme="minorEastAsia" w:hAnsi="Cambria"/>
          <w:sz w:val="24"/>
          <w:szCs w:val="24"/>
        </w:rPr>
        <w:t>que se basa</w:t>
      </w:r>
      <w:r w:rsidR="007931AD">
        <w:rPr>
          <w:rFonts w:ascii="Cambria" w:eastAsiaTheme="minorEastAsia" w:hAnsi="Cambria"/>
          <w:sz w:val="24"/>
          <w:szCs w:val="24"/>
        </w:rPr>
        <w:t xml:space="preserve"> en la gestión integral del riesgo de salud y con un enfoque territorial </w:t>
      </w:r>
      <w:r w:rsidR="00DA0A42">
        <w:rPr>
          <w:rFonts w:ascii="Cambria" w:eastAsiaTheme="minorEastAsia" w:hAnsi="Cambria"/>
          <w:sz w:val="24"/>
          <w:szCs w:val="24"/>
        </w:rPr>
        <w:t>y del desarrollo de la Política de Atención Integral en Salud (PAIS), que se plasma en la Resolución 429 de 2016 del Ministerio de Salud y Protección Social</w:t>
      </w:r>
      <w:r w:rsidR="007931AD">
        <w:rPr>
          <w:rFonts w:ascii="Cambria" w:eastAsiaTheme="minorEastAsia" w:hAnsi="Cambria"/>
          <w:sz w:val="24"/>
          <w:szCs w:val="24"/>
        </w:rPr>
        <w:t>.</w:t>
      </w:r>
    </w:p>
    <w:p w:rsidR="007931AD" w:rsidRDefault="007931AD" w:rsidP="0007062F">
      <w:pPr>
        <w:pStyle w:val="NoSpacing"/>
        <w:spacing w:line="276" w:lineRule="auto"/>
        <w:jc w:val="both"/>
        <w:rPr>
          <w:rFonts w:ascii="Cambria" w:eastAsiaTheme="minorEastAsia" w:hAnsi="Cambria"/>
          <w:sz w:val="24"/>
          <w:szCs w:val="24"/>
        </w:rPr>
      </w:pPr>
    </w:p>
    <w:p w:rsidR="00463DAD" w:rsidRDefault="0081241A" w:rsidP="006E03D6">
      <w:pPr>
        <w:pStyle w:val="Default"/>
        <w:spacing w:line="276" w:lineRule="auto"/>
        <w:jc w:val="both"/>
        <w:rPr>
          <w:rFonts w:ascii="Cambria" w:hAnsi="Cambria"/>
        </w:rPr>
      </w:pPr>
      <w:r>
        <w:rPr>
          <w:rFonts w:ascii="Cambria" w:eastAsiaTheme="minorEastAsia" w:hAnsi="Cambria"/>
          <w:b/>
          <w:smallCaps/>
        </w:rPr>
        <w:t>Información relevante del e</w:t>
      </w:r>
      <w:r w:rsidR="00B63719">
        <w:rPr>
          <w:rFonts w:ascii="Cambria" w:eastAsiaTheme="minorEastAsia" w:hAnsi="Cambria"/>
          <w:b/>
          <w:smallCaps/>
        </w:rPr>
        <w:t>studio marco</w:t>
      </w:r>
      <w:r w:rsidRPr="00774FEA">
        <w:rPr>
          <w:rFonts w:ascii="Cambria" w:eastAsiaTheme="minorEastAsia" w:hAnsi="Cambria"/>
          <w:b/>
          <w:smallCaps/>
        </w:rPr>
        <w:t xml:space="preserve"> sobre APP</w:t>
      </w:r>
      <w:r>
        <w:rPr>
          <w:rFonts w:ascii="Cambria" w:eastAsiaTheme="minorEastAsia" w:hAnsi="Cambria"/>
          <w:b/>
          <w:smallCaps/>
        </w:rPr>
        <w:t xml:space="preserve"> en salud</w:t>
      </w:r>
      <w:r>
        <w:rPr>
          <w:rFonts w:ascii="Cambria" w:eastAsiaTheme="minorEastAsia" w:hAnsi="Cambria"/>
        </w:rPr>
        <w:t xml:space="preserve">. </w:t>
      </w:r>
      <w:r w:rsidR="00C75352">
        <w:rPr>
          <w:rFonts w:ascii="Cambria" w:eastAsiaTheme="minorEastAsia" w:hAnsi="Cambria"/>
        </w:rPr>
        <w:t>Con apoyo del BID, el DNP (2015C) encomendó un estudio de consultoría para examinar la viabilidad del uso de APP en salud</w:t>
      </w:r>
      <w:r w:rsidR="00C75352" w:rsidRPr="006E03D6">
        <w:rPr>
          <w:rFonts w:ascii="Cambria" w:eastAsiaTheme="minorEastAsia" w:hAnsi="Cambria"/>
        </w:rPr>
        <w:t xml:space="preserve">. </w:t>
      </w:r>
      <w:r w:rsidR="006E03D6" w:rsidRPr="006E03D6">
        <w:rPr>
          <w:rFonts w:ascii="Cambria" w:eastAsiaTheme="minorEastAsia" w:hAnsi="Cambria"/>
        </w:rPr>
        <w:t xml:space="preserve">Se evaluaron cuatro modelos de </w:t>
      </w:r>
      <w:r w:rsidR="006E03D6">
        <w:rPr>
          <w:rFonts w:ascii="Cambria" w:eastAsiaTheme="minorEastAsia" w:hAnsi="Cambria"/>
        </w:rPr>
        <w:t>APP.</w:t>
      </w:r>
      <w:r w:rsidR="00B5016C">
        <w:rPr>
          <w:rStyle w:val="FootnoteReference"/>
          <w:rFonts w:ascii="Cambria" w:eastAsiaTheme="minorEastAsia" w:hAnsi="Cambria"/>
        </w:rPr>
        <w:footnoteReference w:id="6"/>
      </w:r>
      <w:r w:rsidR="006E03D6">
        <w:rPr>
          <w:rFonts w:ascii="Cambria" w:eastAsiaTheme="minorEastAsia" w:hAnsi="Cambria"/>
        </w:rPr>
        <w:t xml:space="preserve"> </w:t>
      </w:r>
      <w:r w:rsidR="00463DAD">
        <w:rPr>
          <w:rFonts w:ascii="Cambria" w:hAnsi="Cambria"/>
        </w:rPr>
        <w:t xml:space="preserve">El estudio examina la estructura, gobernanza, recursos, pagos y contratos, e identifica y asigna los riesgos en cada tipo de modelo. También aporta conclusiones sobre las condiciones bajo las cuales uno u otro modelo es funcional. </w:t>
      </w:r>
    </w:p>
    <w:p w:rsidR="00463DAD" w:rsidRDefault="00463DAD" w:rsidP="006E03D6">
      <w:pPr>
        <w:pStyle w:val="Default"/>
        <w:spacing w:line="276" w:lineRule="auto"/>
        <w:jc w:val="both"/>
        <w:rPr>
          <w:rFonts w:ascii="Cambria" w:hAnsi="Cambria"/>
        </w:rPr>
      </w:pPr>
    </w:p>
    <w:p w:rsidR="002C5C23" w:rsidRDefault="00463DAD" w:rsidP="006E03D6">
      <w:pPr>
        <w:pStyle w:val="Default"/>
        <w:spacing w:line="276" w:lineRule="auto"/>
        <w:jc w:val="both"/>
        <w:rPr>
          <w:rFonts w:ascii="Cambria" w:hAnsi="Cambria"/>
        </w:rPr>
      </w:pPr>
      <w:r w:rsidRPr="00463DAD">
        <w:rPr>
          <w:rFonts w:ascii="Cambria" w:hAnsi="Cambria"/>
          <w:b/>
          <w:smallCaps/>
        </w:rPr>
        <w:t>Rentabilidad social de las intervenciones en salud</w:t>
      </w:r>
      <w:r w:rsidR="002C5C23">
        <w:rPr>
          <w:rFonts w:ascii="Cambria" w:hAnsi="Cambria"/>
        </w:rPr>
        <w:t xml:space="preserve">. Entre los proyectos en salud financiados por el BID recientemente, </w:t>
      </w:r>
      <w:r w:rsidR="00DD7337">
        <w:rPr>
          <w:rFonts w:ascii="Cambria" w:hAnsi="Cambria"/>
        </w:rPr>
        <w:t>el Programa BR-L1408 de Mejora y Expansión de la Atención Especializada (PROEXMAES II 2015</w:t>
      </w:r>
      <w:r w:rsidR="00242949">
        <w:rPr>
          <w:rFonts w:ascii="Cambria" w:hAnsi="Cambria"/>
        </w:rPr>
        <w:t xml:space="preserve"> en Ceará, Brasil</w:t>
      </w:r>
      <w:r w:rsidR="00DD7337">
        <w:rPr>
          <w:rFonts w:ascii="Cambria" w:hAnsi="Cambria"/>
        </w:rPr>
        <w:t>) tiene objetivos similares a los del Plan Nacional de Desarrollo 2014-2018 de Colombia.</w:t>
      </w:r>
      <w:r w:rsidR="00DD7337">
        <w:rPr>
          <w:rStyle w:val="FootnoteReference"/>
          <w:rFonts w:ascii="Cambria" w:hAnsi="Cambria"/>
        </w:rPr>
        <w:footnoteReference w:id="7"/>
      </w:r>
      <w:r w:rsidR="00DD7337">
        <w:rPr>
          <w:rFonts w:ascii="Cambria" w:hAnsi="Cambria"/>
        </w:rPr>
        <w:t xml:space="preserve"> </w:t>
      </w:r>
      <w:r w:rsidR="00F325C0">
        <w:rPr>
          <w:rFonts w:ascii="Cambria" w:hAnsi="Cambria"/>
        </w:rPr>
        <w:t xml:space="preserve"> </w:t>
      </w:r>
      <w:r w:rsidR="00242949">
        <w:rPr>
          <w:rFonts w:ascii="Cambria" w:hAnsi="Cambria"/>
        </w:rPr>
        <w:t>El estudio de evaluación económica de Medellín e Ibarrarán (2015) usa</w:t>
      </w:r>
      <w:r w:rsidR="00242949" w:rsidRPr="00242949">
        <w:rPr>
          <w:rFonts w:ascii="Cambria" w:hAnsi="Cambria"/>
        </w:rPr>
        <w:t xml:space="preserve"> como fuente para calcular los AVADs las estimaciones disponibles en la literatura internacional. Una de las fuentes utilizadas es el programa CHOICE de la Organiz</w:t>
      </w:r>
      <w:r w:rsidR="00242949">
        <w:rPr>
          <w:rFonts w:ascii="Cambria" w:hAnsi="Cambria"/>
        </w:rPr>
        <w:t>ación Mundial de la Salud</w:t>
      </w:r>
      <w:r w:rsidR="00242949" w:rsidRPr="00242949">
        <w:rPr>
          <w:rFonts w:ascii="Cambria" w:hAnsi="Cambria"/>
        </w:rPr>
        <w:t>, que estima el efecto de la inclusión gradual de intervenciones en un paquete de servicios sobre la incidencia, remisión y mortalidad</w:t>
      </w:r>
      <w:r w:rsidR="00242949">
        <w:rPr>
          <w:rFonts w:ascii="Cambria" w:hAnsi="Cambria"/>
        </w:rPr>
        <w:t xml:space="preserve"> para un grupo de países similares a Brasil</w:t>
      </w:r>
      <w:r w:rsidR="00242949" w:rsidRPr="00242949">
        <w:rPr>
          <w:rFonts w:ascii="Cambria" w:hAnsi="Cambria"/>
        </w:rPr>
        <w:t xml:space="preserve">. </w:t>
      </w:r>
      <w:r w:rsidR="00242949">
        <w:rPr>
          <w:rFonts w:ascii="Cambria" w:hAnsi="Cambria"/>
        </w:rPr>
        <w:t xml:space="preserve">Para las intervenciones que no tienen </w:t>
      </w:r>
      <w:r w:rsidR="00242949" w:rsidRPr="00242949">
        <w:rPr>
          <w:rFonts w:ascii="Cambria" w:hAnsi="Cambria"/>
        </w:rPr>
        <w:t>evidencia generada en los países de esta categoría, se utilizó la información para el nivel</w:t>
      </w:r>
      <w:r w:rsidR="00242949">
        <w:rPr>
          <w:rFonts w:ascii="Cambria" w:hAnsi="Cambria"/>
        </w:rPr>
        <w:t xml:space="preserve"> global. Se toman en cuenta </w:t>
      </w:r>
      <w:r w:rsidR="00242949" w:rsidRPr="00242949">
        <w:rPr>
          <w:rFonts w:ascii="Cambria" w:hAnsi="Cambria"/>
        </w:rPr>
        <w:t xml:space="preserve">intervenciones de </w:t>
      </w:r>
      <w:r w:rsidR="00242949">
        <w:rPr>
          <w:rFonts w:ascii="Cambria" w:hAnsi="Cambria"/>
        </w:rPr>
        <w:t>probada eficacia que serán parte del programa</w:t>
      </w:r>
      <w:r w:rsidR="00242949" w:rsidRPr="00242949">
        <w:rPr>
          <w:rFonts w:ascii="Cambria" w:hAnsi="Cambria"/>
        </w:rPr>
        <w:t>.</w:t>
      </w:r>
      <w:r w:rsidR="008B49BF">
        <w:rPr>
          <w:rFonts w:ascii="Cambria" w:hAnsi="Cambria"/>
        </w:rPr>
        <w:t xml:space="preserve"> El cociente </w:t>
      </w:r>
      <w:r w:rsidR="008B49BF" w:rsidRPr="002B13B1">
        <w:rPr>
          <w:rFonts w:ascii="Cambria" w:hAnsi="Cambria"/>
          <w:i/>
        </w:rPr>
        <w:t>B</w:t>
      </w:r>
      <w:r w:rsidR="008B49BF">
        <w:rPr>
          <w:rFonts w:ascii="Cambria" w:hAnsi="Cambria"/>
        </w:rPr>
        <w:t>/</w:t>
      </w:r>
      <w:r w:rsidR="008B49BF" w:rsidRPr="002B13B1">
        <w:rPr>
          <w:rFonts w:ascii="Cambria" w:hAnsi="Cambria"/>
          <w:i/>
        </w:rPr>
        <w:t>C</w:t>
      </w:r>
      <w:r w:rsidR="008B49BF">
        <w:rPr>
          <w:rFonts w:ascii="Cambria" w:hAnsi="Cambria"/>
        </w:rPr>
        <w:t xml:space="preserve"> del programa </w:t>
      </w:r>
      <w:r w:rsidR="002B13B1">
        <w:rPr>
          <w:rFonts w:ascii="Cambria" w:hAnsi="Cambria"/>
        </w:rPr>
        <w:t xml:space="preserve">de Ceará </w:t>
      </w:r>
      <w:r w:rsidR="008B49BF">
        <w:rPr>
          <w:rFonts w:ascii="Cambria" w:hAnsi="Cambria"/>
        </w:rPr>
        <w:t>que obtuvier</w:t>
      </w:r>
      <w:r w:rsidR="002B13B1">
        <w:rPr>
          <w:rFonts w:ascii="Cambria" w:hAnsi="Cambria"/>
        </w:rPr>
        <w:t>on Medellín e Ibarrarán es de 1.59. Este cociente asume un PIB/cápita (2012) igual a US$ 5,371 para estimar los AVAD por millón de habitantes en el escenario de vector de gradualidad rápido y cobertura efectiva media, que corresponden aproximadamente a las velocidades de ejecución y efectividad esperadas en el Plan Nacional de Desarrollo 2014-2018. E</w:t>
      </w:r>
      <w:r w:rsidR="00AC2716">
        <w:rPr>
          <w:rFonts w:ascii="Cambria" w:hAnsi="Cambria"/>
        </w:rPr>
        <w:t xml:space="preserve">l cociente </w:t>
      </w:r>
      <w:r w:rsidR="00AC2716" w:rsidRPr="00AC2716">
        <w:rPr>
          <w:rFonts w:ascii="Cambria" w:hAnsi="Cambria"/>
          <w:i/>
        </w:rPr>
        <w:t>B</w:t>
      </w:r>
      <w:r w:rsidR="00AC2716">
        <w:rPr>
          <w:rFonts w:ascii="Cambria" w:hAnsi="Cambria"/>
        </w:rPr>
        <w:t>/</w:t>
      </w:r>
      <w:r w:rsidR="00AC2716" w:rsidRPr="00AC2716">
        <w:rPr>
          <w:rFonts w:ascii="Cambria" w:hAnsi="Cambria"/>
          <w:i/>
        </w:rPr>
        <w:t>C</w:t>
      </w:r>
      <w:r w:rsidR="002B13B1">
        <w:rPr>
          <w:rFonts w:ascii="Cambria" w:hAnsi="Cambria"/>
        </w:rPr>
        <w:t xml:space="preserve"> </w:t>
      </w:r>
      <w:r w:rsidR="00AC2716">
        <w:rPr>
          <w:rFonts w:ascii="Cambria" w:hAnsi="Cambria"/>
        </w:rPr>
        <w:t xml:space="preserve">colombiano se obtiene multiplicando el cociente </w:t>
      </w:r>
      <w:r w:rsidR="00AC2716" w:rsidRPr="00AC2716">
        <w:rPr>
          <w:rFonts w:ascii="Cambria" w:hAnsi="Cambria"/>
          <w:i/>
        </w:rPr>
        <w:t>B</w:t>
      </w:r>
      <w:r w:rsidR="00AC2716">
        <w:rPr>
          <w:rFonts w:ascii="Cambria" w:hAnsi="Cambria"/>
        </w:rPr>
        <w:t>/</w:t>
      </w:r>
      <w:r w:rsidR="00AC2716" w:rsidRPr="00AC2716">
        <w:rPr>
          <w:rFonts w:ascii="Cambria" w:hAnsi="Cambria"/>
          <w:i/>
        </w:rPr>
        <w:t>C</w:t>
      </w:r>
      <w:r w:rsidR="00AC2716">
        <w:rPr>
          <w:rFonts w:ascii="Cambria" w:hAnsi="Cambria"/>
        </w:rPr>
        <w:t xml:space="preserve"> de Ceará por el cociente entre el PIB/cápita de Colombia y el de Ceará en 2012 (7,903/5,371 = 1.47). Por tanto, el cociente </w:t>
      </w:r>
      <w:r w:rsidR="00AC2716" w:rsidRPr="00AC2716">
        <w:rPr>
          <w:rFonts w:ascii="Cambria" w:hAnsi="Cambria"/>
          <w:i/>
        </w:rPr>
        <w:t>B</w:t>
      </w:r>
      <w:r w:rsidR="00AC2716">
        <w:rPr>
          <w:rFonts w:ascii="Cambria" w:hAnsi="Cambria"/>
        </w:rPr>
        <w:t>/</w:t>
      </w:r>
      <w:r w:rsidR="00AC2716" w:rsidRPr="00AC2716">
        <w:rPr>
          <w:rFonts w:ascii="Cambria" w:hAnsi="Cambria"/>
          <w:i/>
        </w:rPr>
        <w:t>C</w:t>
      </w:r>
      <w:r w:rsidR="00AC2716">
        <w:rPr>
          <w:rFonts w:ascii="Cambria" w:hAnsi="Cambria"/>
        </w:rPr>
        <w:t xml:space="preserve"> </w:t>
      </w:r>
      <w:r w:rsidR="00D31ECB">
        <w:rPr>
          <w:rFonts w:ascii="Cambria" w:hAnsi="Cambria"/>
        </w:rPr>
        <w:t xml:space="preserve">estimado </w:t>
      </w:r>
      <w:r w:rsidR="00AC2716">
        <w:rPr>
          <w:rFonts w:ascii="Cambria" w:hAnsi="Cambria"/>
        </w:rPr>
        <w:t xml:space="preserve">para Colombia </w:t>
      </w:r>
      <w:r w:rsidR="00D31ECB">
        <w:rPr>
          <w:rFonts w:ascii="Cambria" w:hAnsi="Cambria"/>
        </w:rPr>
        <w:t xml:space="preserve">en proyectos salud </w:t>
      </w:r>
      <w:r w:rsidR="00AC2716">
        <w:rPr>
          <w:rFonts w:ascii="Cambria" w:hAnsi="Cambria"/>
        </w:rPr>
        <w:t xml:space="preserve">es 1.59 x 1.47 = 2.38.  </w:t>
      </w:r>
    </w:p>
    <w:p w:rsidR="002C5C23" w:rsidRDefault="002C5C23" w:rsidP="006E03D6">
      <w:pPr>
        <w:pStyle w:val="Default"/>
        <w:spacing w:line="276" w:lineRule="auto"/>
        <w:jc w:val="both"/>
        <w:rPr>
          <w:rFonts w:ascii="Cambria" w:hAnsi="Cambria"/>
        </w:rPr>
      </w:pPr>
    </w:p>
    <w:p w:rsidR="00600F50" w:rsidRDefault="00600F50" w:rsidP="006E03D6">
      <w:pPr>
        <w:pStyle w:val="Default"/>
        <w:spacing w:line="276" w:lineRule="auto"/>
        <w:jc w:val="both"/>
        <w:rPr>
          <w:rFonts w:ascii="Cambria" w:hAnsi="Cambria"/>
        </w:rPr>
      </w:pPr>
    </w:p>
    <w:p w:rsidR="005179D1" w:rsidRDefault="005179D1" w:rsidP="006E03D6">
      <w:pPr>
        <w:pStyle w:val="Default"/>
        <w:spacing w:line="276" w:lineRule="auto"/>
        <w:jc w:val="both"/>
        <w:rPr>
          <w:rFonts w:ascii="Cambria" w:hAnsi="Cambria"/>
        </w:rPr>
      </w:pPr>
    </w:p>
    <w:p w:rsidR="005179D1" w:rsidRDefault="005179D1" w:rsidP="006E03D6">
      <w:pPr>
        <w:pStyle w:val="Default"/>
        <w:spacing w:line="276" w:lineRule="auto"/>
        <w:jc w:val="both"/>
        <w:rPr>
          <w:rFonts w:ascii="Cambria" w:hAnsi="Cambria"/>
        </w:rPr>
      </w:pPr>
    </w:p>
    <w:p w:rsidR="005179D1" w:rsidRDefault="005179D1" w:rsidP="006E03D6">
      <w:pPr>
        <w:pStyle w:val="Default"/>
        <w:spacing w:line="276" w:lineRule="auto"/>
        <w:jc w:val="both"/>
        <w:rPr>
          <w:rFonts w:ascii="Cambria" w:hAnsi="Cambria"/>
        </w:rPr>
      </w:pPr>
    </w:p>
    <w:p w:rsidR="005179D1" w:rsidRDefault="005179D1" w:rsidP="006E03D6">
      <w:pPr>
        <w:pStyle w:val="Default"/>
        <w:spacing w:line="276" w:lineRule="auto"/>
        <w:jc w:val="both"/>
        <w:rPr>
          <w:rFonts w:ascii="Cambria" w:hAnsi="Cambria"/>
        </w:rPr>
      </w:pPr>
    </w:p>
    <w:p w:rsidR="00600F50" w:rsidRPr="00600F50" w:rsidRDefault="003A7576" w:rsidP="00600F50">
      <w:pPr>
        <w:pStyle w:val="Default"/>
        <w:spacing w:line="276" w:lineRule="auto"/>
        <w:ind w:firstLine="708"/>
        <w:jc w:val="both"/>
        <w:rPr>
          <w:rFonts w:ascii="Cambria" w:hAnsi="Cambria"/>
          <w:b/>
          <w:smallCaps/>
        </w:rPr>
      </w:pPr>
      <w:r>
        <w:rPr>
          <w:rFonts w:ascii="Cambria" w:hAnsi="Cambria"/>
          <w:b/>
          <w:smallCaps/>
        </w:rPr>
        <w:t>3.4</w:t>
      </w:r>
      <w:r w:rsidR="00B0203D">
        <w:rPr>
          <w:rFonts w:ascii="Cambria" w:hAnsi="Cambria"/>
          <w:b/>
          <w:smallCaps/>
        </w:rPr>
        <w:t xml:space="preserve"> Agua y </w:t>
      </w:r>
      <w:r w:rsidR="00600F50" w:rsidRPr="00600F50">
        <w:rPr>
          <w:rFonts w:ascii="Cambria" w:hAnsi="Cambria"/>
          <w:b/>
          <w:smallCaps/>
        </w:rPr>
        <w:t>saneamiento</w:t>
      </w:r>
    </w:p>
    <w:p w:rsidR="00600F50" w:rsidRDefault="00600F50" w:rsidP="00600F50">
      <w:pPr>
        <w:pStyle w:val="Default"/>
        <w:spacing w:line="276" w:lineRule="auto"/>
        <w:jc w:val="both"/>
        <w:rPr>
          <w:rFonts w:ascii="Cambria" w:eastAsiaTheme="minorEastAsia" w:hAnsi="Cambria"/>
          <w:b/>
          <w:smallCaps/>
        </w:rPr>
      </w:pPr>
    </w:p>
    <w:p w:rsidR="006553B1" w:rsidRPr="005179D1" w:rsidRDefault="00600F50" w:rsidP="00600F50">
      <w:pPr>
        <w:pStyle w:val="Default"/>
        <w:spacing w:line="276" w:lineRule="auto"/>
        <w:jc w:val="both"/>
        <w:rPr>
          <w:rFonts w:ascii="Cambria" w:eastAsiaTheme="minorEastAsia" w:hAnsi="Cambria"/>
          <w:b/>
          <w:smallCaps/>
        </w:rPr>
      </w:pPr>
      <w:r w:rsidRPr="00F06A06">
        <w:rPr>
          <w:rFonts w:ascii="Cambria" w:eastAsiaTheme="minorEastAsia" w:hAnsi="Cambria"/>
          <w:b/>
          <w:smallCaps/>
        </w:rPr>
        <w:t xml:space="preserve">Decisiones </w:t>
      </w:r>
      <w:r>
        <w:rPr>
          <w:rFonts w:ascii="Cambria" w:eastAsiaTheme="minorEastAsia" w:hAnsi="Cambria"/>
          <w:b/>
          <w:smallCaps/>
        </w:rPr>
        <w:t>públicas</w:t>
      </w:r>
      <w:r w:rsidR="00B212CE">
        <w:rPr>
          <w:rFonts w:ascii="Cambria" w:eastAsiaTheme="minorEastAsia" w:hAnsi="Cambria"/>
          <w:b/>
          <w:smallCaps/>
        </w:rPr>
        <w:t xml:space="preserve">. </w:t>
      </w:r>
      <w:r w:rsidR="00B212CE">
        <w:rPr>
          <w:rFonts w:ascii="Cambria" w:eastAsiaTheme="minorEastAsia" w:hAnsi="Cambria"/>
        </w:rPr>
        <w:t xml:space="preserve">El sector de agua potable es un servicio público domiciliario </w:t>
      </w:r>
      <w:r w:rsidR="00EB0574">
        <w:rPr>
          <w:rFonts w:ascii="Cambria" w:eastAsiaTheme="minorEastAsia" w:hAnsi="Cambria"/>
        </w:rPr>
        <w:t>regido por</w:t>
      </w:r>
      <w:r w:rsidR="00B212CE">
        <w:rPr>
          <w:rFonts w:ascii="Cambria" w:eastAsiaTheme="minorEastAsia" w:hAnsi="Cambria"/>
        </w:rPr>
        <w:t xml:space="preserve"> la Ley 142 de 1994 (“Ley de servicios públicos”</w:t>
      </w:r>
      <w:r w:rsidR="00EB0574">
        <w:rPr>
          <w:rFonts w:ascii="Cambria" w:eastAsiaTheme="minorEastAsia" w:hAnsi="Cambria"/>
        </w:rPr>
        <w:t xml:space="preserve">). Esta Ley </w:t>
      </w:r>
      <w:r w:rsidR="00B212CE">
        <w:rPr>
          <w:rFonts w:ascii="Cambria" w:eastAsiaTheme="minorEastAsia" w:hAnsi="Cambria"/>
        </w:rPr>
        <w:t>liberaliz</w:t>
      </w:r>
      <w:r w:rsidR="00EB0574">
        <w:rPr>
          <w:rFonts w:ascii="Cambria" w:eastAsiaTheme="minorEastAsia" w:hAnsi="Cambria"/>
        </w:rPr>
        <w:t>ó lo</w:t>
      </w:r>
      <w:r w:rsidR="00B212CE">
        <w:rPr>
          <w:rFonts w:ascii="Cambria" w:eastAsiaTheme="minorEastAsia" w:hAnsi="Cambria"/>
        </w:rPr>
        <w:t xml:space="preserve">s sectores </w:t>
      </w:r>
      <w:r w:rsidR="00EB0574">
        <w:rPr>
          <w:rFonts w:ascii="Cambria" w:eastAsiaTheme="minorEastAsia" w:hAnsi="Cambria"/>
        </w:rPr>
        <w:t xml:space="preserve">de electricidad, gas, y agua potable y saneamiento, </w:t>
      </w:r>
      <w:r w:rsidR="00B212CE">
        <w:rPr>
          <w:rFonts w:ascii="Cambria" w:eastAsiaTheme="minorEastAsia" w:hAnsi="Cambria"/>
        </w:rPr>
        <w:t>permitió la participación privada, que se ha materializado como inversión directa y contro</w:t>
      </w:r>
      <w:r w:rsidR="000E3903">
        <w:rPr>
          <w:rFonts w:ascii="Cambria" w:eastAsiaTheme="minorEastAsia" w:hAnsi="Cambria"/>
        </w:rPr>
        <w:t>l de las compañías, pero que no contempla</w:t>
      </w:r>
      <w:r w:rsidR="00B212CE">
        <w:rPr>
          <w:rFonts w:ascii="Cambria" w:eastAsiaTheme="minorEastAsia" w:hAnsi="Cambria"/>
        </w:rPr>
        <w:t xml:space="preserve"> el esquema APP.</w:t>
      </w:r>
      <w:r w:rsidR="00EB0574">
        <w:rPr>
          <w:rFonts w:ascii="Cambria" w:eastAsiaTheme="minorEastAsia" w:hAnsi="Cambria"/>
        </w:rPr>
        <w:t xml:space="preserve"> </w:t>
      </w:r>
      <w:r w:rsidR="00D930F1">
        <w:rPr>
          <w:rFonts w:ascii="Cambria" w:eastAsiaTheme="minorEastAsia" w:hAnsi="Cambria"/>
        </w:rPr>
        <w:t xml:space="preserve">La cobertura urbana es relativamente alta en 2013 (97.2% y 96.93% en agua y saneamiento), en contraste con la cobertura rural para el mismo año (78.15% y 72.42% en los mismos servicios, respectivamente). </w:t>
      </w:r>
      <w:r w:rsidR="006645A3">
        <w:rPr>
          <w:rFonts w:ascii="Cambria" w:eastAsiaTheme="minorEastAsia" w:hAnsi="Cambria"/>
        </w:rPr>
        <w:t xml:space="preserve">Para reducir la brecha en cobertura </w:t>
      </w:r>
      <w:r w:rsidR="006645A3" w:rsidRPr="00325C60">
        <w:rPr>
          <w:rFonts w:ascii="Cambria" w:eastAsiaTheme="minorEastAsia" w:hAnsi="Cambria"/>
          <w:i/>
        </w:rPr>
        <w:t>rural</w:t>
      </w:r>
      <w:r w:rsidR="006645A3">
        <w:rPr>
          <w:rFonts w:ascii="Cambria" w:eastAsiaTheme="minorEastAsia" w:hAnsi="Cambria"/>
        </w:rPr>
        <w:t xml:space="preserve">, el documento Conpes 3810 de </w:t>
      </w:r>
      <w:r w:rsidR="003A5BA9">
        <w:rPr>
          <w:rFonts w:ascii="Cambria" w:eastAsiaTheme="minorEastAsia" w:hAnsi="Cambria"/>
        </w:rPr>
        <w:t>2014 (DNP 2014B) estima una inversión del orden de COL$ 7.63 billones para adicionar a 1.793.000 nuevas personas beneficiadas con el servicio de agua potable, y 2.541.000 nuevas personas beneficiadas con el servicio de tratamiento de aguas residuales</w:t>
      </w:r>
      <w:r w:rsidR="00553692">
        <w:rPr>
          <w:rFonts w:ascii="Cambria" w:eastAsiaTheme="minorEastAsia" w:hAnsi="Cambria"/>
        </w:rPr>
        <w:t xml:space="preserve"> entre 2014 y 2024</w:t>
      </w:r>
      <w:r w:rsidR="003A5BA9">
        <w:rPr>
          <w:rFonts w:ascii="Cambria" w:eastAsiaTheme="minorEastAsia" w:hAnsi="Cambria"/>
        </w:rPr>
        <w:t xml:space="preserve">. </w:t>
      </w:r>
      <w:r w:rsidR="00325C60">
        <w:rPr>
          <w:rFonts w:ascii="Cambria" w:eastAsiaTheme="minorEastAsia" w:hAnsi="Cambria"/>
        </w:rPr>
        <w:t xml:space="preserve">En el Plan Nacional de Desarrollo 2014-2018, se plantea un incremento total (urbano + rural) de 2.600.000 personas en el servicio de agua, y de 2.900.000 en saneamiento básico entre 2013 y 2018. </w:t>
      </w:r>
      <w:r w:rsidR="00D608A8">
        <w:rPr>
          <w:rFonts w:ascii="Cambria" w:eastAsiaTheme="minorEastAsia" w:hAnsi="Cambria"/>
        </w:rPr>
        <w:t>El DNP (2015D)</w:t>
      </w:r>
      <w:r w:rsidR="00EC39BA">
        <w:rPr>
          <w:rFonts w:ascii="Cambria" w:eastAsiaTheme="minorEastAsia" w:hAnsi="Cambria"/>
        </w:rPr>
        <w:t xml:space="preserve"> en su análisis del potencial de utilizar las APP en el sector de agua y saneamiento básico, estima que se puede movilizar el 29% del total de necesidades de inversión sectorial (COL$ 18 billones) mediante inversión privada</w:t>
      </w:r>
      <w:r w:rsidR="00033B0B">
        <w:rPr>
          <w:rFonts w:ascii="Cambria" w:eastAsiaTheme="minorEastAsia" w:hAnsi="Cambria"/>
        </w:rPr>
        <w:t xml:space="preserve"> en APP</w:t>
      </w:r>
      <w:r w:rsidR="00EC39BA">
        <w:rPr>
          <w:rFonts w:ascii="Cambria" w:eastAsiaTheme="minorEastAsia" w:hAnsi="Cambria"/>
        </w:rPr>
        <w:t>, que equi</w:t>
      </w:r>
      <w:r w:rsidR="006C1AAE">
        <w:rPr>
          <w:rFonts w:ascii="Cambria" w:eastAsiaTheme="minorEastAsia" w:hAnsi="Cambria"/>
        </w:rPr>
        <w:t>vale a COL$ 5.22 billones entr</w:t>
      </w:r>
      <w:r w:rsidR="00553692">
        <w:rPr>
          <w:rFonts w:ascii="Cambria" w:eastAsiaTheme="minorEastAsia" w:hAnsi="Cambria"/>
        </w:rPr>
        <w:t>e 2015</w:t>
      </w:r>
      <w:r w:rsidR="00ED33DC">
        <w:rPr>
          <w:rFonts w:ascii="Cambria" w:eastAsiaTheme="minorEastAsia" w:hAnsi="Cambria"/>
        </w:rPr>
        <w:t xml:space="preserve"> y 2018. </w:t>
      </w:r>
      <w:r w:rsidR="00EC39BA">
        <w:rPr>
          <w:rFonts w:ascii="Cambria" w:eastAsiaTheme="minorEastAsia" w:hAnsi="Cambria"/>
        </w:rPr>
        <w:t xml:space="preserve"> </w:t>
      </w:r>
    </w:p>
    <w:p w:rsidR="00B66424" w:rsidRDefault="00B66424" w:rsidP="00600F50">
      <w:pPr>
        <w:pStyle w:val="Default"/>
        <w:spacing w:line="276" w:lineRule="auto"/>
        <w:jc w:val="both"/>
        <w:rPr>
          <w:rFonts w:ascii="Cambria" w:eastAsiaTheme="minorEastAsia" w:hAnsi="Cambria"/>
          <w:b/>
          <w:smallCaps/>
        </w:rPr>
      </w:pPr>
    </w:p>
    <w:p w:rsidR="00B0203D" w:rsidRDefault="006553B1" w:rsidP="00600F50">
      <w:pPr>
        <w:pStyle w:val="Default"/>
        <w:spacing w:line="276" w:lineRule="auto"/>
        <w:jc w:val="both"/>
        <w:rPr>
          <w:rFonts w:ascii="Cambria" w:eastAsiaTheme="minorEastAsia" w:hAnsi="Cambria"/>
        </w:rPr>
      </w:pPr>
      <w:r>
        <w:rPr>
          <w:rFonts w:ascii="Cambria" w:eastAsiaTheme="minorEastAsia" w:hAnsi="Cambria"/>
          <w:b/>
          <w:smallCaps/>
        </w:rPr>
        <w:t xml:space="preserve">Información relevante sobre avances en pilotos </w:t>
      </w:r>
      <w:r w:rsidR="00574DAC">
        <w:rPr>
          <w:rFonts w:ascii="Cambria" w:eastAsiaTheme="minorEastAsia" w:hAnsi="Cambria"/>
          <w:b/>
          <w:smallCaps/>
        </w:rPr>
        <w:t xml:space="preserve">y perspectivas de APP </w:t>
      </w:r>
      <w:r>
        <w:rPr>
          <w:rFonts w:ascii="Cambria" w:eastAsiaTheme="minorEastAsia" w:hAnsi="Cambria"/>
          <w:b/>
          <w:smallCaps/>
        </w:rPr>
        <w:t xml:space="preserve">en el sector de agua y saneamiento. </w:t>
      </w:r>
      <w:r w:rsidRPr="006553B1">
        <w:rPr>
          <w:rFonts w:ascii="Cambria" w:eastAsiaTheme="minorEastAsia" w:hAnsi="Cambria"/>
        </w:rPr>
        <w:t>El</w:t>
      </w:r>
      <w:r>
        <w:rPr>
          <w:rFonts w:ascii="Cambria" w:eastAsiaTheme="minorEastAsia" w:hAnsi="Cambria"/>
        </w:rPr>
        <w:t xml:space="preserve"> DNP (2015D) ha iniciado un piloto de aplicación de las APP en el sector, para la prestación de los servicios de agua y alcantarillado en la ciudad de Santa Marta, localizada en la Costa Atlántica de Colombia, y con una población aproximada de 1.26 millones de habitantes en 2015 (de los que 926 mil se encuentran en la cabecera municipal). El proceso de estructuración empezó</w:t>
      </w:r>
      <w:r w:rsidR="00B234E2">
        <w:rPr>
          <w:rFonts w:ascii="Cambria" w:eastAsiaTheme="minorEastAsia" w:hAnsi="Cambria"/>
        </w:rPr>
        <w:t xml:space="preserve"> en marzo de 2015, y la estructuración está programada para entrega en septiembre de 2016, para adjudicar el contrato APP de construcci</w:t>
      </w:r>
      <w:r w:rsidR="00574DAC">
        <w:rPr>
          <w:rFonts w:ascii="Cambria" w:eastAsiaTheme="minorEastAsia" w:hAnsi="Cambria"/>
        </w:rPr>
        <w:t xml:space="preserve">ón y </w:t>
      </w:r>
      <w:r w:rsidR="00B234E2">
        <w:rPr>
          <w:rFonts w:ascii="Cambria" w:eastAsiaTheme="minorEastAsia" w:hAnsi="Cambria"/>
        </w:rPr>
        <w:t>O&amp;M en marzo de 2017</w:t>
      </w:r>
      <w:r w:rsidR="00574DAC">
        <w:rPr>
          <w:rFonts w:ascii="Cambria" w:eastAsiaTheme="minorEastAsia" w:hAnsi="Cambria"/>
        </w:rPr>
        <w:t>, con el que se lograría una cobertura del 100% en agua y alcantarillado, llegar a una micromedición del 100% y reducir las pérdidas a niveles inferiores al 30%. En el registro de pro</w:t>
      </w:r>
      <w:r w:rsidR="00B0203D">
        <w:rPr>
          <w:rFonts w:ascii="Cambria" w:eastAsiaTheme="minorEastAsia" w:hAnsi="Cambria"/>
        </w:rPr>
        <w:t xml:space="preserve">spectos </w:t>
      </w:r>
      <w:r w:rsidR="00574DAC">
        <w:rPr>
          <w:rFonts w:ascii="Cambria" w:eastAsiaTheme="minorEastAsia" w:hAnsi="Cambria"/>
        </w:rPr>
        <w:t>APP en el sector, hay 8 proyectos de prefactibilidad en estudio, 19 proyectos de plantas de tratamiento de aguas residuales</w:t>
      </w:r>
      <w:r w:rsidR="00B234E2">
        <w:rPr>
          <w:rFonts w:ascii="Cambria" w:eastAsiaTheme="minorEastAsia" w:hAnsi="Cambria"/>
        </w:rPr>
        <w:t xml:space="preserve"> </w:t>
      </w:r>
      <w:r w:rsidR="00574DAC">
        <w:rPr>
          <w:rFonts w:ascii="Cambria" w:eastAsiaTheme="minorEastAsia" w:hAnsi="Cambria"/>
        </w:rPr>
        <w:t xml:space="preserve">(PTARs), y 23 contratos </w:t>
      </w:r>
      <w:r w:rsidR="006C1AAE">
        <w:rPr>
          <w:rFonts w:ascii="Cambria" w:eastAsiaTheme="minorEastAsia" w:hAnsi="Cambria"/>
        </w:rPr>
        <w:t>de concesión</w:t>
      </w:r>
      <w:r w:rsidR="00B0203D">
        <w:rPr>
          <w:rFonts w:ascii="Cambria" w:eastAsiaTheme="minorEastAsia" w:hAnsi="Cambria"/>
        </w:rPr>
        <w:t xml:space="preserve"> que expi</w:t>
      </w:r>
      <w:r w:rsidR="00574DAC">
        <w:rPr>
          <w:rFonts w:ascii="Cambria" w:eastAsiaTheme="minorEastAsia" w:hAnsi="Cambria"/>
        </w:rPr>
        <w:t xml:space="preserve">ran entre 2015 y 2022. </w:t>
      </w:r>
      <w:r w:rsidRPr="006553B1">
        <w:rPr>
          <w:rFonts w:ascii="Cambria" w:eastAsiaTheme="minorEastAsia" w:hAnsi="Cambria"/>
        </w:rPr>
        <w:t xml:space="preserve">  </w:t>
      </w:r>
    </w:p>
    <w:p w:rsidR="00B0203D" w:rsidRDefault="00B0203D" w:rsidP="00600F50">
      <w:pPr>
        <w:pStyle w:val="Default"/>
        <w:spacing w:line="276" w:lineRule="auto"/>
        <w:jc w:val="both"/>
        <w:rPr>
          <w:rFonts w:ascii="Cambria" w:eastAsiaTheme="minorEastAsia" w:hAnsi="Cambria"/>
        </w:rPr>
      </w:pPr>
    </w:p>
    <w:p w:rsidR="000E3903" w:rsidRDefault="00B0203D" w:rsidP="000E3903">
      <w:pPr>
        <w:pStyle w:val="Default"/>
        <w:spacing w:line="276" w:lineRule="auto"/>
        <w:jc w:val="both"/>
        <w:rPr>
          <w:rFonts w:ascii="Cambria" w:eastAsiaTheme="minorEastAsia" w:hAnsi="Cambria"/>
        </w:rPr>
      </w:pPr>
      <w:r w:rsidRPr="00463DAD">
        <w:rPr>
          <w:rFonts w:ascii="Cambria" w:hAnsi="Cambria"/>
          <w:b/>
          <w:smallCaps/>
        </w:rPr>
        <w:t>Rentabilidad socia</w:t>
      </w:r>
      <w:r>
        <w:rPr>
          <w:rFonts w:ascii="Cambria" w:hAnsi="Cambria"/>
          <w:b/>
          <w:smallCaps/>
        </w:rPr>
        <w:t xml:space="preserve">l </w:t>
      </w:r>
      <w:r w:rsidR="00540154">
        <w:rPr>
          <w:rFonts w:ascii="Cambria" w:hAnsi="Cambria"/>
          <w:b/>
          <w:smallCaps/>
        </w:rPr>
        <w:t>de las intervenciones en agua</w:t>
      </w:r>
      <w:r w:rsidR="00355CC7">
        <w:rPr>
          <w:rFonts w:ascii="Cambria" w:hAnsi="Cambria"/>
          <w:b/>
          <w:smallCaps/>
        </w:rPr>
        <w:t xml:space="preserve"> y </w:t>
      </w:r>
      <w:r>
        <w:rPr>
          <w:rFonts w:ascii="Cambria" w:hAnsi="Cambria"/>
          <w:b/>
          <w:smallCaps/>
        </w:rPr>
        <w:t>saneamiento.</w:t>
      </w:r>
      <w:r>
        <w:rPr>
          <w:rFonts w:ascii="Cambria" w:eastAsiaTheme="minorEastAsia" w:hAnsi="Cambria"/>
        </w:rPr>
        <w:t xml:space="preserve"> </w:t>
      </w:r>
      <w:r w:rsidR="00F2570F">
        <w:rPr>
          <w:rFonts w:ascii="Cambria" w:eastAsiaTheme="minorEastAsia" w:hAnsi="Cambria"/>
        </w:rPr>
        <w:t>Como precedente reciente en Colombia, e</w:t>
      </w:r>
      <w:r w:rsidR="00D31ECB">
        <w:rPr>
          <w:rFonts w:ascii="Cambria" w:eastAsiaTheme="minorEastAsia" w:hAnsi="Cambria"/>
        </w:rPr>
        <w:t xml:space="preserve">l BID </w:t>
      </w:r>
      <w:r w:rsidR="00F2570F">
        <w:rPr>
          <w:rFonts w:ascii="Cambria" w:eastAsiaTheme="minorEastAsia" w:hAnsi="Cambria"/>
        </w:rPr>
        <w:t xml:space="preserve">ha </w:t>
      </w:r>
      <w:r w:rsidR="00D31ECB">
        <w:rPr>
          <w:rFonts w:ascii="Cambria" w:eastAsiaTheme="minorEastAsia" w:hAnsi="Cambria"/>
        </w:rPr>
        <w:t>adel</w:t>
      </w:r>
      <w:r w:rsidR="00F2570F">
        <w:rPr>
          <w:rFonts w:ascii="Cambria" w:eastAsiaTheme="minorEastAsia" w:hAnsi="Cambria"/>
        </w:rPr>
        <w:t>antado</w:t>
      </w:r>
      <w:r w:rsidR="00D31ECB">
        <w:rPr>
          <w:rFonts w:ascii="Cambria" w:eastAsiaTheme="minorEastAsia" w:hAnsi="Cambria"/>
        </w:rPr>
        <w:t xml:space="preserve"> la </w:t>
      </w:r>
      <w:r w:rsidR="00F2570F">
        <w:rPr>
          <w:rFonts w:ascii="Cambria" w:eastAsiaTheme="minorEastAsia" w:hAnsi="Cambria"/>
        </w:rPr>
        <w:t>operación CO-L1156 “Plan Integral de Intervención para el Pacífico Colombiano (2015).” E</w:t>
      </w:r>
      <w:r w:rsidR="00790D37">
        <w:rPr>
          <w:rFonts w:ascii="Cambria" w:eastAsiaTheme="minorEastAsia" w:hAnsi="Cambria"/>
        </w:rPr>
        <w:t xml:space="preserve">n el análisis económico </w:t>
      </w:r>
      <w:r w:rsidR="00F2570F">
        <w:rPr>
          <w:rFonts w:ascii="Cambria" w:eastAsiaTheme="minorEastAsia" w:hAnsi="Cambria"/>
        </w:rPr>
        <w:t>de proyectos de agua y saneamiento</w:t>
      </w:r>
      <w:r w:rsidR="00790D37">
        <w:rPr>
          <w:rFonts w:ascii="Cambria" w:eastAsiaTheme="minorEastAsia" w:hAnsi="Cambria"/>
        </w:rPr>
        <w:t xml:space="preserve"> de este Plan</w:t>
      </w:r>
      <w:r w:rsidR="00F2570F">
        <w:rPr>
          <w:rFonts w:ascii="Cambria" w:eastAsiaTheme="minorEastAsia" w:hAnsi="Cambria"/>
        </w:rPr>
        <w:t>, Velásquez y Rueda (2015)</w:t>
      </w:r>
      <w:r w:rsidR="00790D37">
        <w:rPr>
          <w:rFonts w:ascii="Cambria" w:eastAsiaTheme="minorEastAsia" w:hAnsi="Cambria"/>
        </w:rPr>
        <w:t xml:space="preserve"> calculan por separado los cocientes </w:t>
      </w:r>
      <w:r w:rsidR="00790D37" w:rsidRPr="003838C3">
        <w:rPr>
          <w:rFonts w:ascii="Cambria" w:eastAsiaTheme="minorEastAsia" w:hAnsi="Cambria"/>
          <w:i/>
        </w:rPr>
        <w:t>B</w:t>
      </w:r>
      <w:r w:rsidR="00790D37">
        <w:rPr>
          <w:rFonts w:ascii="Cambria" w:eastAsiaTheme="minorEastAsia" w:hAnsi="Cambria"/>
        </w:rPr>
        <w:t>/</w:t>
      </w:r>
      <w:r w:rsidR="00790D37" w:rsidRPr="003838C3">
        <w:rPr>
          <w:rFonts w:ascii="Cambria" w:eastAsiaTheme="minorEastAsia" w:hAnsi="Cambria"/>
          <w:i/>
        </w:rPr>
        <w:t>C</w:t>
      </w:r>
      <w:r w:rsidR="00790D37">
        <w:rPr>
          <w:rFonts w:ascii="Cambria" w:eastAsiaTheme="minorEastAsia" w:hAnsi="Cambria"/>
        </w:rPr>
        <w:t xml:space="preserve"> de </w:t>
      </w:r>
      <w:r w:rsidR="003838C3">
        <w:rPr>
          <w:rFonts w:ascii="Cambria" w:eastAsiaTheme="minorEastAsia" w:hAnsi="Cambria"/>
        </w:rPr>
        <w:t>agua para las ciudades de Quibdó y Buenaventura y de saneamiento para la ciudad de Quidbó</w:t>
      </w:r>
      <w:r w:rsidR="00790D37">
        <w:rPr>
          <w:rFonts w:ascii="Cambria" w:eastAsiaTheme="minorEastAsia" w:hAnsi="Cambria"/>
        </w:rPr>
        <w:t xml:space="preserve">. </w:t>
      </w:r>
      <w:r w:rsidR="006175D9">
        <w:rPr>
          <w:rFonts w:ascii="Cambria" w:eastAsiaTheme="minorEastAsia" w:hAnsi="Cambria"/>
        </w:rPr>
        <w:t xml:space="preserve">Los beneficios de los sistemas de </w:t>
      </w:r>
      <w:r w:rsidR="006175D9" w:rsidRPr="006175D9">
        <w:rPr>
          <w:rFonts w:ascii="Cambria" w:eastAsiaTheme="minorEastAsia" w:hAnsi="Cambria"/>
          <w:i/>
        </w:rPr>
        <w:t>agua potable</w:t>
      </w:r>
      <w:r w:rsidR="006175D9">
        <w:rPr>
          <w:rFonts w:ascii="Cambria" w:eastAsiaTheme="minorEastAsia" w:hAnsi="Cambria"/>
        </w:rPr>
        <w:t xml:space="preserve"> </w:t>
      </w:r>
      <w:r w:rsidR="006175D9" w:rsidRPr="006175D9">
        <w:rPr>
          <w:rFonts w:ascii="Cambria" w:eastAsiaTheme="minorEastAsia" w:hAnsi="Cambria"/>
        </w:rPr>
        <w:t>se calcularon como el valor e</w:t>
      </w:r>
      <w:r w:rsidR="006175D9">
        <w:rPr>
          <w:rFonts w:ascii="Cambria" w:eastAsiaTheme="minorEastAsia" w:hAnsi="Cambria"/>
        </w:rPr>
        <w:t xml:space="preserve">conómico de la disminución del </w:t>
      </w:r>
      <w:r w:rsidR="006175D9" w:rsidRPr="006175D9">
        <w:rPr>
          <w:rFonts w:ascii="Cambria" w:eastAsiaTheme="minorEastAsia" w:hAnsi="Cambria"/>
        </w:rPr>
        <w:t>racionamiento. Este valor se calculó utilizando el pr</w:t>
      </w:r>
      <w:r w:rsidR="006175D9">
        <w:rPr>
          <w:rFonts w:ascii="Cambria" w:eastAsiaTheme="minorEastAsia" w:hAnsi="Cambria"/>
        </w:rPr>
        <w:t xml:space="preserve">ecio cuenta del consumo como la </w:t>
      </w:r>
      <w:r w:rsidR="006175D9" w:rsidRPr="006175D9">
        <w:rPr>
          <w:rFonts w:ascii="Cambria" w:eastAsiaTheme="minorEastAsia" w:hAnsi="Cambria"/>
        </w:rPr>
        <w:t>integral bajo la curva de demanda entre el consumo sin restricciones y el consumo</w:t>
      </w:r>
      <w:r w:rsidR="006175D9">
        <w:rPr>
          <w:rFonts w:ascii="Cambria" w:eastAsiaTheme="minorEastAsia" w:hAnsi="Cambria"/>
        </w:rPr>
        <w:t xml:space="preserve"> </w:t>
      </w:r>
      <w:r w:rsidR="006175D9" w:rsidRPr="006175D9">
        <w:rPr>
          <w:rFonts w:ascii="Cambria" w:eastAsiaTheme="minorEastAsia" w:hAnsi="Cambria"/>
        </w:rPr>
        <w:t>actual con racionamiento. Para el cálculo, se ut</w:t>
      </w:r>
      <w:r w:rsidR="00790D37">
        <w:rPr>
          <w:rFonts w:ascii="Cambria" w:eastAsiaTheme="minorEastAsia" w:hAnsi="Cambria"/>
        </w:rPr>
        <w:t xml:space="preserve">ilizó el modelo de demanda </w:t>
      </w:r>
      <w:r w:rsidR="006175D9" w:rsidRPr="006175D9">
        <w:rPr>
          <w:rFonts w:ascii="Cambria" w:eastAsiaTheme="minorEastAsia" w:hAnsi="Cambria"/>
        </w:rPr>
        <w:t>que se encuentra en la Guía 004 “Evaluación</w:t>
      </w:r>
      <w:r w:rsidR="00D31ECB">
        <w:rPr>
          <w:rFonts w:ascii="Cambria" w:eastAsiaTheme="minorEastAsia" w:hAnsi="Cambria"/>
        </w:rPr>
        <w:t xml:space="preserve"> Socioeconómica de Proyectos de </w:t>
      </w:r>
      <w:r w:rsidR="006175D9" w:rsidRPr="006175D9">
        <w:rPr>
          <w:rFonts w:ascii="Cambria" w:eastAsiaTheme="minorEastAsia" w:hAnsi="Cambria"/>
        </w:rPr>
        <w:t>Acueducto y Alcantarillado” del Reglamen</w:t>
      </w:r>
      <w:r w:rsidR="00D31ECB">
        <w:rPr>
          <w:rFonts w:ascii="Cambria" w:eastAsiaTheme="minorEastAsia" w:hAnsi="Cambria"/>
        </w:rPr>
        <w:t xml:space="preserve">to Técnico del Sector de Agua y </w:t>
      </w:r>
      <w:r w:rsidR="006175D9" w:rsidRPr="006175D9">
        <w:rPr>
          <w:rFonts w:ascii="Cambria" w:eastAsiaTheme="minorEastAsia" w:hAnsi="Cambria"/>
        </w:rPr>
        <w:t>Saneamiento Básico (RAS)</w:t>
      </w:r>
      <w:r w:rsidR="00D31ECB">
        <w:rPr>
          <w:rFonts w:ascii="Cambria" w:eastAsiaTheme="minorEastAsia" w:hAnsi="Cambria"/>
        </w:rPr>
        <w:t xml:space="preserve"> de Colombia.</w:t>
      </w:r>
      <w:r w:rsidR="00790D37">
        <w:rPr>
          <w:rFonts w:ascii="Cambria" w:eastAsiaTheme="minorEastAsia" w:hAnsi="Cambria"/>
        </w:rPr>
        <w:t xml:space="preserve"> A su vez,</w:t>
      </w:r>
      <w:r w:rsidR="00D31ECB">
        <w:rPr>
          <w:rFonts w:ascii="Cambria" w:eastAsiaTheme="minorEastAsia" w:hAnsi="Cambria"/>
        </w:rPr>
        <w:t xml:space="preserve"> </w:t>
      </w:r>
      <w:r w:rsidR="00790D37">
        <w:rPr>
          <w:rFonts w:ascii="Cambria" w:eastAsiaTheme="minorEastAsia" w:hAnsi="Cambria"/>
        </w:rPr>
        <w:t>l</w:t>
      </w:r>
      <w:r w:rsidR="006175D9">
        <w:rPr>
          <w:rFonts w:ascii="Cambria" w:eastAsiaTheme="minorEastAsia" w:hAnsi="Cambria"/>
        </w:rPr>
        <w:t xml:space="preserve">os beneficios de los sistemas de </w:t>
      </w:r>
      <w:r w:rsidR="000E3903" w:rsidRPr="00D31ECB">
        <w:rPr>
          <w:rFonts w:ascii="Cambria" w:eastAsiaTheme="minorEastAsia" w:hAnsi="Cambria"/>
          <w:i/>
        </w:rPr>
        <w:t>alcantarillado</w:t>
      </w:r>
      <w:r w:rsidR="000E3903">
        <w:rPr>
          <w:rFonts w:ascii="Cambria" w:eastAsiaTheme="minorEastAsia" w:hAnsi="Cambria"/>
        </w:rPr>
        <w:t xml:space="preserve"> </w:t>
      </w:r>
      <w:r w:rsidR="000E3903" w:rsidRPr="000E3903">
        <w:rPr>
          <w:rFonts w:ascii="Cambria" w:eastAsiaTheme="minorEastAsia" w:hAnsi="Cambria"/>
        </w:rPr>
        <w:t>se estimaron utilizando la metodología de valoraci</w:t>
      </w:r>
      <w:r w:rsidR="000E3903">
        <w:rPr>
          <w:rFonts w:ascii="Cambria" w:eastAsiaTheme="minorEastAsia" w:hAnsi="Cambria"/>
        </w:rPr>
        <w:t xml:space="preserve">ón de </w:t>
      </w:r>
      <w:r w:rsidR="000E3903" w:rsidRPr="000E3903">
        <w:rPr>
          <w:rFonts w:ascii="Cambria" w:eastAsiaTheme="minorEastAsia" w:hAnsi="Cambria"/>
        </w:rPr>
        <w:t>la dispo</w:t>
      </w:r>
      <w:r w:rsidR="000E3903">
        <w:rPr>
          <w:rFonts w:ascii="Cambria" w:eastAsiaTheme="minorEastAsia" w:hAnsi="Cambria"/>
        </w:rPr>
        <w:t>sición a pagar (DAP), por medio de valora</w:t>
      </w:r>
      <w:r w:rsidR="000E3903" w:rsidRPr="000E3903">
        <w:rPr>
          <w:rFonts w:ascii="Cambria" w:eastAsiaTheme="minorEastAsia" w:hAnsi="Cambria"/>
        </w:rPr>
        <w:t>ció</w:t>
      </w:r>
      <w:r w:rsidR="000E3903">
        <w:rPr>
          <w:rFonts w:ascii="Cambria" w:eastAsiaTheme="minorEastAsia" w:hAnsi="Cambria"/>
        </w:rPr>
        <w:t xml:space="preserve">n contingente. </w:t>
      </w:r>
      <w:r w:rsidR="00D31ECB">
        <w:rPr>
          <w:rFonts w:ascii="Cambria" w:eastAsiaTheme="minorEastAsia" w:hAnsi="Cambria"/>
        </w:rPr>
        <w:t>L</w:t>
      </w:r>
      <w:r w:rsidR="000E3903">
        <w:rPr>
          <w:rFonts w:ascii="Cambria" w:eastAsiaTheme="minorEastAsia" w:hAnsi="Cambria"/>
        </w:rPr>
        <w:t xml:space="preserve">os autores asumieron </w:t>
      </w:r>
      <w:r w:rsidR="00D31ECB">
        <w:rPr>
          <w:rFonts w:ascii="Cambria" w:eastAsiaTheme="minorEastAsia" w:hAnsi="Cambria"/>
        </w:rPr>
        <w:t>que el valor de la DAP es el 5.</w:t>
      </w:r>
      <w:r w:rsidR="000E3903" w:rsidRPr="000E3903">
        <w:rPr>
          <w:rFonts w:ascii="Cambria" w:eastAsiaTheme="minorEastAsia" w:hAnsi="Cambria"/>
        </w:rPr>
        <w:t>15% del ingreso</w:t>
      </w:r>
      <w:r w:rsidR="000E3903">
        <w:rPr>
          <w:rFonts w:ascii="Cambria" w:eastAsiaTheme="minorEastAsia" w:hAnsi="Cambria"/>
        </w:rPr>
        <w:t xml:space="preserve"> </w:t>
      </w:r>
      <w:r w:rsidR="000E3903" w:rsidRPr="000E3903">
        <w:rPr>
          <w:rFonts w:ascii="Cambria" w:eastAsiaTheme="minorEastAsia" w:hAnsi="Cambria"/>
        </w:rPr>
        <w:t>mensual familiar en los proyectos de alcantarillado sani</w:t>
      </w:r>
      <w:r w:rsidR="000E3903">
        <w:rPr>
          <w:rFonts w:ascii="Cambria" w:eastAsiaTheme="minorEastAsia" w:hAnsi="Cambria"/>
        </w:rPr>
        <w:t xml:space="preserve">tario y recuperación de cuerpos </w:t>
      </w:r>
      <w:r w:rsidR="000E3903" w:rsidRPr="000E3903">
        <w:rPr>
          <w:rFonts w:ascii="Cambria" w:eastAsiaTheme="minorEastAsia" w:hAnsi="Cambria"/>
        </w:rPr>
        <w:t>de aguas receptores de agua residual cruda (valor ado</w:t>
      </w:r>
      <w:r w:rsidR="000E3903">
        <w:rPr>
          <w:rFonts w:ascii="Cambria" w:eastAsiaTheme="minorEastAsia" w:hAnsi="Cambria"/>
        </w:rPr>
        <w:t xml:space="preserve">ptado por la experiencia que se </w:t>
      </w:r>
      <w:r w:rsidR="000E3903" w:rsidRPr="000E3903">
        <w:rPr>
          <w:rFonts w:ascii="Cambria" w:eastAsiaTheme="minorEastAsia" w:hAnsi="Cambria"/>
        </w:rPr>
        <w:t>tiene de este tipo de proyectos en países de la re</w:t>
      </w:r>
      <w:r w:rsidR="000E3903">
        <w:rPr>
          <w:rFonts w:ascii="Cambria" w:eastAsiaTheme="minorEastAsia" w:hAnsi="Cambria"/>
        </w:rPr>
        <w:t>gión). Este valor se obtuvo de valor</w:t>
      </w:r>
      <w:r w:rsidR="000E3903" w:rsidRPr="000E3903">
        <w:rPr>
          <w:rFonts w:ascii="Cambria" w:eastAsiaTheme="minorEastAsia" w:hAnsi="Cambria"/>
        </w:rPr>
        <w:t>aciones contingente</w:t>
      </w:r>
      <w:r w:rsidR="000E3903">
        <w:rPr>
          <w:rFonts w:ascii="Cambria" w:eastAsiaTheme="minorEastAsia" w:hAnsi="Cambria"/>
        </w:rPr>
        <w:t>s</w:t>
      </w:r>
      <w:r w:rsidR="000E3903" w:rsidRPr="000E3903">
        <w:rPr>
          <w:rFonts w:ascii="Cambria" w:eastAsiaTheme="minorEastAsia" w:hAnsi="Cambria"/>
        </w:rPr>
        <w:t xml:space="preserve"> realizadas a proyectos similar</w:t>
      </w:r>
      <w:r w:rsidR="000E3903">
        <w:rPr>
          <w:rFonts w:ascii="Cambria" w:eastAsiaTheme="minorEastAsia" w:hAnsi="Cambria"/>
        </w:rPr>
        <w:t xml:space="preserve">es (conexión de alcantarillado) </w:t>
      </w:r>
      <w:r w:rsidR="000E3903" w:rsidRPr="000E3903">
        <w:rPr>
          <w:rFonts w:ascii="Cambria" w:eastAsiaTheme="minorEastAsia" w:hAnsi="Cambria"/>
        </w:rPr>
        <w:t>en 4 áreas del área metropolitana de Cartagena, Colombia.</w:t>
      </w:r>
      <w:r w:rsidR="00770E40">
        <w:rPr>
          <w:rFonts w:ascii="Cambria" w:eastAsiaTheme="minorEastAsia" w:hAnsi="Cambria"/>
        </w:rPr>
        <w:t xml:space="preserve"> </w:t>
      </w:r>
      <w:r w:rsidR="00790D37">
        <w:rPr>
          <w:rFonts w:ascii="Cambria" w:eastAsiaTheme="minorEastAsia" w:hAnsi="Cambria"/>
        </w:rPr>
        <w:t xml:space="preserve">Velásquez y Rueda (2015) obtuvieron </w:t>
      </w:r>
      <w:r w:rsidR="00D27FC4">
        <w:rPr>
          <w:rFonts w:ascii="Cambria" w:eastAsiaTheme="minorEastAsia" w:hAnsi="Cambria"/>
        </w:rPr>
        <w:t xml:space="preserve">un cociente </w:t>
      </w:r>
      <w:r w:rsidR="00D27FC4" w:rsidRPr="00D27FC4">
        <w:rPr>
          <w:rFonts w:ascii="Cambria" w:eastAsiaTheme="minorEastAsia" w:hAnsi="Cambria"/>
          <w:i/>
        </w:rPr>
        <w:t>B</w:t>
      </w:r>
      <w:r w:rsidR="00D27FC4">
        <w:rPr>
          <w:rFonts w:ascii="Cambria" w:eastAsiaTheme="minorEastAsia" w:hAnsi="Cambria"/>
        </w:rPr>
        <w:t>/</w:t>
      </w:r>
      <w:r w:rsidR="00D27FC4" w:rsidRPr="00D27FC4">
        <w:rPr>
          <w:rFonts w:ascii="Cambria" w:eastAsiaTheme="minorEastAsia" w:hAnsi="Cambria"/>
          <w:i/>
        </w:rPr>
        <w:t>C</w:t>
      </w:r>
      <w:r w:rsidR="00D27FC4">
        <w:rPr>
          <w:rFonts w:ascii="Cambria" w:eastAsiaTheme="minorEastAsia" w:hAnsi="Cambria"/>
        </w:rPr>
        <w:t xml:space="preserve"> de 1.17 para agua en la ciudad de Buenaventura, y un cociente </w:t>
      </w:r>
      <w:r w:rsidR="00D27FC4" w:rsidRPr="00D27FC4">
        <w:rPr>
          <w:rFonts w:ascii="Cambria" w:eastAsiaTheme="minorEastAsia" w:hAnsi="Cambria"/>
          <w:i/>
        </w:rPr>
        <w:t>B</w:t>
      </w:r>
      <w:r w:rsidR="00D27FC4">
        <w:rPr>
          <w:rFonts w:ascii="Cambria" w:eastAsiaTheme="minorEastAsia" w:hAnsi="Cambria"/>
        </w:rPr>
        <w:t>/</w:t>
      </w:r>
      <w:r w:rsidR="00D27FC4" w:rsidRPr="00D27FC4">
        <w:rPr>
          <w:rFonts w:ascii="Cambria" w:eastAsiaTheme="minorEastAsia" w:hAnsi="Cambria"/>
          <w:i/>
        </w:rPr>
        <w:t>C</w:t>
      </w:r>
      <w:r w:rsidR="00882D1F">
        <w:rPr>
          <w:rFonts w:ascii="Cambria" w:eastAsiaTheme="minorEastAsia" w:hAnsi="Cambria"/>
        </w:rPr>
        <w:t xml:space="preserve"> de 1.13</w:t>
      </w:r>
      <w:r w:rsidR="00D27FC4">
        <w:rPr>
          <w:rFonts w:ascii="Cambria" w:eastAsiaTheme="minorEastAsia" w:hAnsi="Cambria"/>
        </w:rPr>
        <w:t xml:space="preserve"> para alcant</w:t>
      </w:r>
      <w:r w:rsidR="001D74B6">
        <w:rPr>
          <w:rFonts w:ascii="Cambria" w:eastAsiaTheme="minorEastAsia" w:hAnsi="Cambria"/>
        </w:rPr>
        <w:t xml:space="preserve">arillado en la ciudad de Quibdó. </w:t>
      </w:r>
      <w:r w:rsidR="00882D1F">
        <w:rPr>
          <w:rFonts w:ascii="Cambria" w:eastAsiaTheme="minorEastAsia" w:hAnsi="Cambria"/>
        </w:rPr>
        <w:t>Estos valores se usan como aproximaciones al promedio de las intervenciones contempladas en el programa CO-L1162.</w:t>
      </w:r>
      <w:r w:rsidR="00D27FC4">
        <w:rPr>
          <w:rFonts w:ascii="Cambria" w:eastAsiaTheme="minorEastAsia" w:hAnsi="Cambria"/>
        </w:rPr>
        <w:t xml:space="preserve"> </w:t>
      </w:r>
    </w:p>
    <w:p w:rsidR="00B66424" w:rsidRDefault="00B66424" w:rsidP="00897356">
      <w:pPr>
        <w:pStyle w:val="Default"/>
        <w:spacing w:line="276" w:lineRule="auto"/>
        <w:jc w:val="both"/>
        <w:rPr>
          <w:rFonts w:ascii="Cambria" w:eastAsiaTheme="minorEastAsia" w:hAnsi="Cambria"/>
        </w:rPr>
      </w:pPr>
    </w:p>
    <w:p w:rsidR="00897356" w:rsidRPr="00897356" w:rsidRDefault="003A7576" w:rsidP="00B66424">
      <w:pPr>
        <w:pStyle w:val="Default"/>
        <w:spacing w:line="276" w:lineRule="auto"/>
        <w:ind w:firstLine="708"/>
        <w:jc w:val="both"/>
        <w:rPr>
          <w:rFonts w:ascii="Cambria" w:eastAsiaTheme="minorEastAsia" w:hAnsi="Cambria"/>
          <w:b/>
          <w:smallCaps/>
        </w:rPr>
      </w:pPr>
      <w:r>
        <w:rPr>
          <w:rFonts w:ascii="Cambria" w:eastAsiaTheme="minorEastAsia" w:hAnsi="Cambria"/>
          <w:b/>
          <w:smallCaps/>
        </w:rPr>
        <w:t>3.5</w:t>
      </w:r>
      <w:r w:rsidR="00897356" w:rsidRPr="00897356">
        <w:rPr>
          <w:rFonts w:ascii="Cambria" w:eastAsiaTheme="minorEastAsia" w:hAnsi="Cambria"/>
          <w:b/>
          <w:smallCaps/>
        </w:rPr>
        <w:t xml:space="preserve"> Transporte</w:t>
      </w:r>
    </w:p>
    <w:p w:rsidR="00B66424" w:rsidRDefault="00B66424" w:rsidP="00897356">
      <w:pPr>
        <w:pStyle w:val="Default"/>
        <w:spacing w:line="276" w:lineRule="auto"/>
        <w:jc w:val="both"/>
        <w:rPr>
          <w:rFonts w:ascii="Cambria" w:eastAsiaTheme="minorEastAsia" w:hAnsi="Cambria"/>
        </w:rPr>
      </w:pPr>
    </w:p>
    <w:p w:rsidR="00402CF0" w:rsidRDefault="00B66424" w:rsidP="00897356">
      <w:pPr>
        <w:pStyle w:val="Default"/>
        <w:spacing w:line="276" w:lineRule="auto"/>
        <w:jc w:val="both"/>
        <w:rPr>
          <w:rFonts w:ascii="Cambria" w:eastAsiaTheme="minorEastAsia" w:hAnsi="Cambria"/>
        </w:rPr>
      </w:pPr>
      <w:r w:rsidRPr="00B66424">
        <w:rPr>
          <w:rFonts w:ascii="Cambria" w:eastAsiaTheme="minorEastAsia" w:hAnsi="Cambria"/>
          <w:b/>
          <w:smallCaps/>
        </w:rPr>
        <w:t>Decisiones públicas</w:t>
      </w:r>
      <w:r>
        <w:rPr>
          <w:rFonts w:ascii="Cambria" w:eastAsiaTheme="minorEastAsia" w:hAnsi="Cambria"/>
        </w:rPr>
        <w:t>. El sector transporte es líder en la utilización de APP en Colombia</w:t>
      </w:r>
      <w:r w:rsidR="009A5010">
        <w:rPr>
          <w:rFonts w:ascii="Cambria" w:eastAsiaTheme="minorEastAsia" w:hAnsi="Cambria"/>
        </w:rPr>
        <w:t>, y no es el frente principal de impacto del programa CO-L1162</w:t>
      </w:r>
      <w:r>
        <w:rPr>
          <w:rFonts w:ascii="Cambria" w:eastAsiaTheme="minorEastAsia" w:hAnsi="Cambria"/>
        </w:rPr>
        <w:t xml:space="preserve">. Los más recientes cambios institucionales en la estructuración y financiación de infraestructura se originaron en los avances sectoriales (Ley APP, Ley de Infraestructura, diseño de contratos modernos con </w:t>
      </w:r>
      <w:r w:rsidR="0005181B">
        <w:rPr>
          <w:rFonts w:ascii="Cambria" w:eastAsiaTheme="minorEastAsia" w:hAnsi="Cambria"/>
        </w:rPr>
        <w:t>pagos basados</w:t>
      </w:r>
      <w:r>
        <w:rPr>
          <w:rFonts w:ascii="Cambria" w:eastAsiaTheme="minorEastAsia" w:hAnsi="Cambria"/>
        </w:rPr>
        <w:t xml:space="preserve"> en resultados y desempeño, creación de la Financiera de Desarrollo Nacional –FDN</w:t>
      </w:r>
      <w:r w:rsidR="00063C37">
        <w:rPr>
          <w:rFonts w:ascii="Cambria" w:eastAsiaTheme="minorEastAsia" w:hAnsi="Cambria"/>
        </w:rPr>
        <w:t>, y documento Conpes 3760 de 2013 sobre APP en carreteras</w:t>
      </w:r>
      <w:r>
        <w:rPr>
          <w:rFonts w:ascii="Cambria" w:eastAsiaTheme="minorEastAsia" w:hAnsi="Cambria"/>
        </w:rPr>
        <w:t xml:space="preserve">). El monto de recursos públicos y privados movilizados por el sector transporte es de lejos el mayor </w:t>
      </w:r>
      <w:r w:rsidR="00402CF0">
        <w:rPr>
          <w:rFonts w:ascii="Cambria" w:eastAsiaTheme="minorEastAsia" w:hAnsi="Cambria"/>
        </w:rPr>
        <w:t>de todos los sectores y es un porcentaje significativo del PIB (alcanzando un pico de 2.96% del PIB en 2014),</w:t>
      </w:r>
      <w:r w:rsidR="005B500C">
        <w:rPr>
          <w:rFonts w:ascii="Cambria" w:eastAsiaTheme="minorEastAsia" w:hAnsi="Cambria"/>
        </w:rPr>
        <w:t xml:space="preserve"> como se observa en el Gráfico 2</w:t>
      </w:r>
      <w:r w:rsidR="00402CF0">
        <w:rPr>
          <w:rFonts w:ascii="Cambria" w:eastAsiaTheme="minorEastAsia" w:hAnsi="Cambria"/>
        </w:rPr>
        <w:t>.</w:t>
      </w:r>
      <w:r w:rsidR="0019264B">
        <w:rPr>
          <w:rFonts w:ascii="Cambria" w:eastAsiaTheme="minorEastAsia" w:hAnsi="Cambria"/>
        </w:rPr>
        <w:t xml:space="preserve"> </w:t>
      </w:r>
    </w:p>
    <w:p w:rsidR="003838C3" w:rsidRDefault="003838C3" w:rsidP="003838C3">
      <w:pPr>
        <w:pStyle w:val="Default"/>
        <w:spacing w:line="276" w:lineRule="auto"/>
        <w:jc w:val="both"/>
        <w:rPr>
          <w:rFonts w:ascii="Cambria" w:eastAsiaTheme="minorEastAsia" w:hAnsi="Cambria"/>
        </w:rPr>
      </w:pPr>
    </w:p>
    <w:p w:rsidR="00402CF0" w:rsidRDefault="003838C3" w:rsidP="00897356">
      <w:pPr>
        <w:pStyle w:val="Default"/>
        <w:spacing w:line="276" w:lineRule="auto"/>
        <w:jc w:val="both"/>
        <w:rPr>
          <w:rFonts w:ascii="Cambria" w:eastAsiaTheme="minorEastAsia" w:hAnsi="Cambria"/>
        </w:rPr>
      </w:pPr>
      <w:r>
        <w:rPr>
          <w:rFonts w:ascii="Cambria" w:eastAsiaTheme="minorEastAsia" w:hAnsi="Cambria"/>
        </w:rPr>
        <w:t xml:space="preserve">La inmensa mayoría de las APP y de las vigencias futuras públicas se han orientado al sector de carreteras primarias (Cuarta Generación de Concesiones, 4G), cuya inversión total asciende a COL$ 54.4 billones, sumando tres tramos de inversiones (“Olas”) y APP de iniciativa privada por COL$ 20.5 billones. La operación CO-L1162 tiene más que aportar en modos distintos al carretero que están en desventaja histórica, como el férreo y el fluvial. En particular, esta operación se concentrará en apoyar la estructuración APP de un proyecto férreo emblemático (tren Bogotá- Belencito), a diferencia de las intervenciones sociales y en agua y saneamiento, que pueden evaluarse como programa. </w:t>
      </w:r>
    </w:p>
    <w:p w:rsidR="00402CF0" w:rsidRPr="00402CF0" w:rsidRDefault="005B500C" w:rsidP="00402CF0">
      <w:pPr>
        <w:pStyle w:val="Default"/>
        <w:spacing w:line="276" w:lineRule="auto"/>
        <w:jc w:val="center"/>
        <w:rPr>
          <w:rFonts w:ascii="Cambria" w:eastAsiaTheme="minorEastAsia" w:hAnsi="Cambria"/>
          <w:b/>
          <w:smallCaps/>
        </w:rPr>
      </w:pPr>
      <w:r>
        <w:rPr>
          <w:rFonts w:ascii="Cambria" w:eastAsiaTheme="minorEastAsia" w:hAnsi="Cambria"/>
          <w:b/>
          <w:smallCaps/>
        </w:rPr>
        <w:t>Gráfico 2</w:t>
      </w:r>
      <w:r w:rsidR="00402CF0" w:rsidRPr="00402CF0">
        <w:rPr>
          <w:rFonts w:ascii="Cambria" w:eastAsiaTheme="minorEastAsia" w:hAnsi="Cambria"/>
          <w:b/>
          <w:smallCaps/>
        </w:rPr>
        <w:t>. Inversión total en infraestructura de transporte en Colombia</w:t>
      </w:r>
    </w:p>
    <w:p w:rsidR="00402CF0" w:rsidRDefault="00402CF0" w:rsidP="00402CF0">
      <w:pPr>
        <w:pStyle w:val="Default"/>
        <w:spacing w:line="276" w:lineRule="auto"/>
        <w:jc w:val="center"/>
        <w:rPr>
          <w:rFonts w:ascii="Cambria" w:eastAsiaTheme="minorEastAsia" w:hAnsi="Cambria"/>
        </w:rPr>
      </w:pPr>
    </w:p>
    <w:p w:rsidR="00402CF0" w:rsidRDefault="003A1CCA" w:rsidP="00402CF0">
      <w:pPr>
        <w:pStyle w:val="Default"/>
        <w:spacing w:line="276" w:lineRule="auto"/>
        <w:jc w:val="center"/>
        <w:rPr>
          <w:rFonts w:ascii="Cambria" w:eastAsiaTheme="minorEastAsia" w:hAnsi="Cambria"/>
        </w:rPr>
      </w:pPr>
      <w:r>
        <w:rPr>
          <w:noProof/>
          <w:lang w:val="en-US"/>
        </w:rPr>
        <w:drawing>
          <wp:inline distT="0" distB="0" distL="0" distR="0" wp14:anchorId="45424656" wp14:editId="1C06F07D">
            <wp:extent cx="5612130" cy="2931795"/>
            <wp:effectExtent l="0" t="0" r="762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31795"/>
                    </a:xfrm>
                    <a:prstGeom prst="rect">
                      <a:avLst/>
                    </a:prstGeom>
                  </pic:spPr>
                </pic:pic>
              </a:graphicData>
            </a:graphic>
          </wp:inline>
        </w:drawing>
      </w:r>
    </w:p>
    <w:p w:rsidR="00402CF0" w:rsidRDefault="00402CF0" w:rsidP="00402CF0">
      <w:pPr>
        <w:pStyle w:val="Default"/>
        <w:spacing w:line="276" w:lineRule="auto"/>
        <w:jc w:val="center"/>
        <w:rPr>
          <w:rFonts w:ascii="Cambria" w:eastAsiaTheme="minorEastAsia" w:hAnsi="Cambria"/>
        </w:rPr>
      </w:pPr>
      <w:r>
        <w:rPr>
          <w:rFonts w:ascii="Cambria" w:eastAsiaTheme="minorEastAsia" w:hAnsi="Cambria"/>
        </w:rPr>
        <w:t>Fuente: Plan Maestro de Transporte Intermodal (2015)</w:t>
      </w:r>
    </w:p>
    <w:p w:rsidR="00402CF0" w:rsidRDefault="00402CF0" w:rsidP="00402CF0">
      <w:pPr>
        <w:pStyle w:val="Default"/>
        <w:spacing w:line="276" w:lineRule="auto"/>
        <w:jc w:val="center"/>
        <w:rPr>
          <w:rFonts w:ascii="Cambria" w:eastAsiaTheme="minorEastAsia" w:hAnsi="Cambria"/>
        </w:rPr>
      </w:pPr>
    </w:p>
    <w:p w:rsidR="00FF5687" w:rsidRDefault="00FF5687" w:rsidP="00402CF0">
      <w:pPr>
        <w:pStyle w:val="Default"/>
        <w:spacing w:line="276" w:lineRule="auto"/>
        <w:jc w:val="both"/>
        <w:rPr>
          <w:rFonts w:ascii="Cambria" w:eastAsiaTheme="minorEastAsia" w:hAnsi="Cambria"/>
          <w:b/>
          <w:smallCaps/>
        </w:rPr>
      </w:pPr>
    </w:p>
    <w:p w:rsidR="00EE6E0E" w:rsidRDefault="003A2078" w:rsidP="00402CF0">
      <w:pPr>
        <w:pStyle w:val="Default"/>
        <w:spacing w:line="276" w:lineRule="auto"/>
        <w:jc w:val="both"/>
        <w:rPr>
          <w:rFonts w:ascii="Cambria" w:eastAsiaTheme="minorEastAsia" w:hAnsi="Cambria"/>
        </w:rPr>
      </w:pPr>
      <w:r w:rsidRPr="003A2078">
        <w:rPr>
          <w:rFonts w:ascii="Cambria" w:eastAsiaTheme="minorEastAsia" w:hAnsi="Cambria"/>
          <w:b/>
          <w:smallCaps/>
        </w:rPr>
        <w:t xml:space="preserve">Rentabilidad social </w:t>
      </w:r>
      <w:r w:rsidR="00AF2CD0">
        <w:rPr>
          <w:rFonts w:ascii="Cambria" w:eastAsiaTheme="minorEastAsia" w:hAnsi="Cambria"/>
          <w:b/>
          <w:smallCaps/>
        </w:rPr>
        <w:t>del Corredor férreo</w:t>
      </w:r>
      <w:r w:rsidRPr="003A2078">
        <w:rPr>
          <w:rFonts w:ascii="Cambria" w:eastAsiaTheme="minorEastAsia" w:hAnsi="Cambria"/>
          <w:b/>
          <w:smallCaps/>
        </w:rPr>
        <w:t xml:space="preserve"> Bogotá-Belencito</w:t>
      </w:r>
      <w:r w:rsidR="003C2F3C">
        <w:rPr>
          <w:rFonts w:ascii="Cambria" w:eastAsiaTheme="minorEastAsia" w:hAnsi="Cambria"/>
          <w:b/>
          <w:smallCaps/>
        </w:rPr>
        <w:t>: estimación simplificada</w:t>
      </w:r>
      <w:r>
        <w:rPr>
          <w:rFonts w:ascii="Cambria" w:eastAsiaTheme="minorEastAsia" w:hAnsi="Cambria"/>
        </w:rPr>
        <w:t>.</w:t>
      </w:r>
      <w:r w:rsidR="003C2F3C">
        <w:rPr>
          <w:rStyle w:val="FootnoteReference"/>
          <w:rFonts w:ascii="Cambria" w:eastAsiaTheme="minorEastAsia" w:hAnsi="Cambria"/>
        </w:rPr>
        <w:footnoteReference w:id="8"/>
      </w:r>
      <w:r>
        <w:rPr>
          <w:rFonts w:ascii="Cambria" w:eastAsiaTheme="minorEastAsia" w:hAnsi="Cambria"/>
        </w:rPr>
        <w:t xml:space="preserve"> E</w:t>
      </w:r>
      <w:r w:rsidR="00AF2CD0">
        <w:rPr>
          <w:rFonts w:ascii="Cambria" w:eastAsiaTheme="minorEastAsia" w:hAnsi="Cambria"/>
        </w:rPr>
        <w:t>l Corredor</w:t>
      </w:r>
      <w:r>
        <w:rPr>
          <w:rFonts w:ascii="Cambria" w:eastAsiaTheme="minorEastAsia" w:hAnsi="Cambria"/>
        </w:rPr>
        <w:t xml:space="preserve"> Bogotá-Belencito es un tren de carga orientado a movilizar productos básicos (minería), acero y hierro entre la capital de Colombia y la zona carbonera y acerera del departamento de Boyacá</w:t>
      </w:r>
      <w:r w:rsidR="00AF2CD0">
        <w:rPr>
          <w:rFonts w:ascii="Cambria" w:eastAsiaTheme="minorEastAsia" w:hAnsi="Cambria"/>
        </w:rPr>
        <w:t xml:space="preserve"> (ANI 2015</w:t>
      </w:r>
      <w:r w:rsidR="00063C37">
        <w:rPr>
          <w:rFonts w:ascii="Cambria" w:eastAsiaTheme="minorEastAsia" w:hAnsi="Cambria"/>
        </w:rPr>
        <w:t>A</w:t>
      </w:r>
      <w:r w:rsidR="00AF2CD0">
        <w:rPr>
          <w:rFonts w:ascii="Cambria" w:eastAsiaTheme="minorEastAsia" w:hAnsi="Cambria"/>
        </w:rPr>
        <w:t>)</w:t>
      </w:r>
      <w:r>
        <w:rPr>
          <w:rFonts w:ascii="Cambria" w:eastAsiaTheme="minorEastAsia" w:hAnsi="Cambria"/>
        </w:rPr>
        <w:t xml:space="preserve">. </w:t>
      </w:r>
      <w:r w:rsidR="00AF2CD0">
        <w:rPr>
          <w:rFonts w:ascii="Cambria" w:eastAsiaTheme="minorEastAsia" w:hAnsi="Cambria"/>
        </w:rPr>
        <w:t xml:space="preserve">Transita por una región altamente poblada y productiva que gravita alrededor de la capital del país. </w:t>
      </w:r>
      <w:r>
        <w:rPr>
          <w:rFonts w:ascii="Cambria" w:eastAsiaTheme="minorEastAsia" w:hAnsi="Cambria"/>
        </w:rPr>
        <w:t xml:space="preserve">Tiene una longitud de 257 km, movilizaría una carga inicial de 1.5 millones de toneladas de carga anuales, y entraría en funcionamiento en 2018. </w:t>
      </w:r>
      <w:r w:rsidR="00AF2CD0">
        <w:rPr>
          <w:rFonts w:ascii="Cambria" w:eastAsiaTheme="minorEastAsia" w:hAnsi="Cambria"/>
        </w:rPr>
        <w:t xml:space="preserve">Este proyecto ha recibido </w:t>
      </w:r>
      <w:r w:rsidR="00AF2CD0" w:rsidRPr="00545EA8">
        <w:rPr>
          <w:rFonts w:ascii="Cambria" w:eastAsiaTheme="minorEastAsia" w:hAnsi="Cambria"/>
        </w:rPr>
        <w:t xml:space="preserve">inversiones </w:t>
      </w:r>
      <w:r w:rsidR="00063C37" w:rsidRPr="00545EA8">
        <w:rPr>
          <w:rFonts w:ascii="Cambria" w:eastAsiaTheme="minorEastAsia" w:hAnsi="Cambria"/>
        </w:rPr>
        <w:t>de COL$ 0.128 billones para reparar y atender puntos críticos de la v</w:t>
      </w:r>
      <w:r w:rsidR="00545EA8">
        <w:rPr>
          <w:rFonts w:ascii="Cambria" w:eastAsiaTheme="minorEastAsia" w:hAnsi="Cambria"/>
        </w:rPr>
        <w:t xml:space="preserve">ía, </w:t>
      </w:r>
      <w:r w:rsidR="00545EA8" w:rsidRPr="00545EA8">
        <w:rPr>
          <w:rFonts w:ascii="Cambria" w:hAnsi="Cambria"/>
          <w:color w:val="333333"/>
          <w:shd w:val="clear" w:color="auto" w:fill="FFFFFF"/>
        </w:rPr>
        <w:t>así como su administración, mejoramiento, mantenimiento, vigilancia y control de tráfico</w:t>
      </w:r>
      <w:r w:rsidR="00545EA8">
        <w:rPr>
          <w:rFonts w:ascii="Cambria" w:hAnsi="Cambria"/>
          <w:color w:val="333333"/>
          <w:shd w:val="clear" w:color="auto" w:fill="FFFFFF"/>
        </w:rPr>
        <w:t xml:space="preserve">, </w:t>
      </w:r>
      <w:r w:rsidR="00AF2CD0" w:rsidRPr="00545EA8">
        <w:rPr>
          <w:rFonts w:ascii="Cambria" w:eastAsiaTheme="minorEastAsia" w:hAnsi="Cambria"/>
        </w:rPr>
        <w:t>mediante un contrato de obra pública</w:t>
      </w:r>
      <w:r w:rsidR="00063C37" w:rsidRPr="00545EA8">
        <w:rPr>
          <w:rFonts w:ascii="Cambria" w:eastAsiaTheme="minorEastAsia" w:hAnsi="Cambria"/>
        </w:rPr>
        <w:t xml:space="preserve"> (ANI 2015B)</w:t>
      </w:r>
      <w:r w:rsidR="00AF2CD0" w:rsidRPr="00545EA8">
        <w:rPr>
          <w:rFonts w:ascii="Cambria" w:eastAsiaTheme="minorEastAsia" w:hAnsi="Cambria"/>
        </w:rPr>
        <w:t xml:space="preserve">. </w:t>
      </w:r>
      <w:r w:rsidRPr="00545EA8">
        <w:rPr>
          <w:rFonts w:ascii="Cambria" w:eastAsiaTheme="minorEastAsia" w:hAnsi="Cambria"/>
        </w:rPr>
        <w:t>Las inversion</w:t>
      </w:r>
      <w:r w:rsidR="00AF2CD0" w:rsidRPr="00545EA8">
        <w:rPr>
          <w:rFonts w:ascii="Cambria" w:eastAsiaTheme="minorEastAsia" w:hAnsi="Cambria"/>
        </w:rPr>
        <w:t>es de capital (CAPEX) de la APP suman COP$ 0.643 billones, representados en COL$ 0.22 billones en la vía, COL$ 0.256</w:t>
      </w:r>
      <w:r w:rsidR="00AF2CD0">
        <w:rPr>
          <w:rFonts w:ascii="Cambria" w:eastAsiaTheme="minorEastAsia" w:hAnsi="Cambria"/>
        </w:rPr>
        <w:t xml:space="preserve"> </w:t>
      </w:r>
      <w:r w:rsidR="00063C37">
        <w:rPr>
          <w:rFonts w:ascii="Cambria" w:eastAsiaTheme="minorEastAsia" w:hAnsi="Cambria"/>
        </w:rPr>
        <w:t>billones en cambio de rieles</w:t>
      </w:r>
      <w:r w:rsidR="00EE6E0E">
        <w:rPr>
          <w:rFonts w:ascii="Cambria" w:eastAsiaTheme="minorEastAsia" w:hAnsi="Cambria"/>
        </w:rPr>
        <w:t xml:space="preserve">, y COL$ 0.167 billones para material rodante. Los costos de operación (OPEX) son de COP$ 67/ton-km. </w:t>
      </w:r>
    </w:p>
    <w:p w:rsidR="00882D1F" w:rsidRDefault="00882D1F" w:rsidP="00402CF0">
      <w:pPr>
        <w:pStyle w:val="Default"/>
        <w:spacing w:line="276" w:lineRule="auto"/>
        <w:jc w:val="both"/>
        <w:rPr>
          <w:rFonts w:ascii="Cambria" w:eastAsiaTheme="minorEastAsia" w:hAnsi="Cambria"/>
        </w:rPr>
      </w:pPr>
    </w:p>
    <w:p w:rsidR="00882D1F" w:rsidRDefault="00882D1F" w:rsidP="00402CF0">
      <w:pPr>
        <w:pStyle w:val="Default"/>
        <w:spacing w:line="276" w:lineRule="auto"/>
        <w:jc w:val="both"/>
        <w:rPr>
          <w:rFonts w:ascii="Cambria" w:eastAsiaTheme="minorEastAsia" w:hAnsi="Cambria"/>
        </w:rPr>
      </w:pPr>
    </w:p>
    <w:p w:rsidR="00882D1F" w:rsidRDefault="00882D1F" w:rsidP="00402CF0">
      <w:pPr>
        <w:pStyle w:val="Default"/>
        <w:spacing w:line="276" w:lineRule="auto"/>
        <w:jc w:val="both"/>
        <w:rPr>
          <w:rFonts w:ascii="Cambria" w:eastAsiaTheme="minorEastAsia" w:hAnsi="Cambria"/>
        </w:rPr>
      </w:pPr>
    </w:p>
    <w:p w:rsidR="00EE6E0E" w:rsidRDefault="00EE6E0E" w:rsidP="00402CF0">
      <w:pPr>
        <w:pStyle w:val="Default"/>
        <w:spacing w:line="276" w:lineRule="auto"/>
        <w:jc w:val="both"/>
        <w:rPr>
          <w:rFonts w:ascii="Cambria" w:eastAsiaTheme="minorEastAsia" w:hAnsi="Cambria"/>
        </w:rPr>
      </w:pPr>
    </w:p>
    <w:p w:rsidR="00882D1F" w:rsidRDefault="00882D1F" w:rsidP="00402CF0">
      <w:pPr>
        <w:pStyle w:val="Default"/>
        <w:spacing w:line="276" w:lineRule="auto"/>
        <w:jc w:val="both"/>
        <w:rPr>
          <w:rFonts w:ascii="Cambria" w:eastAsiaTheme="minorEastAsia" w:hAnsi="Cambria"/>
        </w:rPr>
      </w:pPr>
    </w:p>
    <w:p w:rsidR="00EE6E0E" w:rsidRDefault="00EE6E0E" w:rsidP="00402CF0">
      <w:pPr>
        <w:pStyle w:val="Default"/>
        <w:spacing w:line="276" w:lineRule="auto"/>
        <w:jc w:val="both"/>
        <w:rPr>
          <w:rFonts w:ascii="Cambria" w:eastAsiaTheme="minorEastAsia" w:hAnsi="Cambria"/>
        </w:rPr>
      </w:pPr>
      <w:r>
        <w:rPr>
          <w:rFonts w:ascii="Cambria" w:eastAsiaTheme="minorEastAsia" w:hAnsi="Cambria"/>
        </w:rPr>
        <w:t xml:space="preserve">A continuación se calcula el cociente </w:t>
      </w:r>
      <w:r w:rsidRPr="00882D1F">
        <w:rPr>
          <w:rFonts w:ascii="Cambria" w:eastAsiaTheme="minorEastAsia" w:hAnsi="Cambria"/>
          <w:i/>
        </w:rPr>
        <w:t>B</w:t>
      </w:r>
      <w:r>
        <w:rPr>
          <w:rFonts w:ascii="Cambria" w:eastAsiaTheme="minorEastAsia" w:hAnsi="Cambria"/>
        </w:rPr>
        <w:t>/</w:t>
      </w:r>
      <w:r w:rsidRPr="00882D1F">
        <w:rPr>
          <w:rFonts w:ascii="Cambria" w:eastAsiaTheme="minorEastAsia" w:hAnsi="Cambria"/>
          <w:i/>
        </w:rPr>
        <w:t>C</w:t>
      </w:r>
      <w:r>
        <w:rPr>
          <w:rFonts w:ascii="Cambria" w:eastAsiaTheme="minorEastAsia" w:hAnsi="Cambria"/>
        </w:rPr>
        <w:t xml:space="preserve"> de este proyecto de manera simplificada:</w:t>
      </w:r>
    </w:p>
    <w:p w:rsidR="00EE6E0E" w:rsidRDefault="00EE6E0E" w:rsidP="00402CF0">
      <w:pPr>
        <w:pStyle w:val="Default"/>
        <w:spacing w:line="276" w:lineRule="auto"/>
        <w:jc w:val="both"/>
        <w:rPr>
          <w:rFonts w:ascii="Cambria" w:eastAsiaTheme="minorEastAsia" w:hAnsi="Cambria"/>
        </w:rPr>
      </w:pPr>
    </w:p>
    <w:p w:rsidR="00A34EAB" w:rsidRPr="009A5010" w:rsidRDefault="00EE6E0E" w:rsidP="000D35F7">
      <w:pPr>
        <w:pStyle w:val="Default"/>
        <w:numPr>
          <w:ilvl w:val="0"/>
          <w:numId w:val="39"/>
        </w:numPr>
        <w:spacing w:line="276" w:lineRule="auto"/>
        <w:ind w:left="360"/>
        <w:jc w:val="both"/>
        <w:rPr>
          <w:rFonts w:ascii="Cambria" w:eastAsiaTheme="minorEastAsia" w:hAnsi="Cambria"/>
        </w:rPr>
      </w:pPr>
      <w:r w:rsidRPr="005C4138">
        <w:rPr>
          <w:rFonts w:ascii="Cambria" w:eastAsiaTheme="minorEastAsia" w:hAnsi="Cambria"/>
          <w:smallCaps/>
        </w:rPr>
        <w:t>Costo del flete por vía férrea</w:t>
      </w:r>
      <w:r>
        <w:rPr>
          <w:rFonts w:ascii="Cambria" w:eastAsiaTheme="minorEastAsia" w:hAnsi="Cambria"/>
        </w:rPr>
        <w:t>.</w:t>
      </w:r>
      <w:r w:rsidR="005C4138">
        <w:rPr>
          <w:rFonts w:ascii="Cambria" w:eastAsiaTheme="minorEastAsia" w:hAnsi="Cambria"/>
        </w:rPr>
        <w:t xml:space="preserve"> Es igual a la suma de los costos de operación más los costos fijos por ton-km, que dependen del volumen transportado en los dos </w:t>
      </w:r>
      <w:r w:rsidR="00EA649B">
        <w:rPr>
          <w:rFonts w:ascii="Cambria" w:eastAsiaTheme="minorEastAsia" w:hAnsi="Cambria"/>
        </w:rPr>
        <w:t xml:space="preserve">sentidos. El fenómeno de carga </w:t>
      </w:r>
      <w:r w:rsidR="005C4138">
        <w:rPr>
          <w:rFonts w:ascii="Cambria" w:eastAsiaTheme="minorEastAsia" w:hAnsi="Cambria"/>
        </w:rPr>
        <w:t xml:space="preserve">atraída </w:t>
      </w:r>
      <w:r w:rsidR="00EA649B">
        <w:rPr>
          <w:rFonts w:ascii="Cambria" w:eastAsiaTheme="minorEastAsia" w:hAnsi="Cambria"/>
        </w:rPr>
        <w:t xml:space="preserve">del modo carretero </w:t>
      </w:r>
      <w:r w:rsidR="005C4138">
        <w:rPr>
          <w:rFonts w:ascii="Cambria" w:eastAsiaTheme="minorEastAsia" w:hAnsi="Cambria"/>
        </w:rPr>
        <w:t xml:space="preserve">e inducida </w:t>
      </w:r>
      <w:r w:rsidR="005B500C">
        <w:rPr>
          <w:rFonts w:ascii="Cambria" w:eastAsiaTheme="minorEastAsia" w:hAnsi="Cambria"/>
        </w:rPr>
        <w:t>(ver Gráfico 3</w:t>
      </w:r>
      <w:r w:rsidR="005C4138">
        <w:rPr>
          <w:rFonts w:ascii="Cambria" w:eastAsiaTheme="minorEastAsia" w:hAnsi="Cambria"/>
        </w:rPr>
        <w:t>)</w:t>
      </w:r>
      <w:r w:rsidR="00EA649B">
        <w:rPr>
          <w:rFonts w:ascii="Cambria" w:eastAsiaTheme="minorEastAsia" w:hAnsi="Cambria"/>
        </w:rPr>
        <w:t xml:space="preserve"> hace que la demanda promedio anual ascienda a 2 millones de toneladas en cada sentido durante 20 años, balanceando el actual perfil de viajes</w:t>
      </w:r>
      <w:r w:rsidR="000D35F7">
        <w:rPr>
          <w:rFonts w:ascii="Cambria" w:eastAsiaTheme="minorEastAsia" w:hAnsi="Cambria"/>
        </w:rPr>
        <w:t xml:space="preserve"> que se originan ante todo desde Belencito</w:t>
      </w:r>
      <w:r w:rsidR="00EA649B">
        <w:rPr>
          <w:rFonts w:ascii="Cambria" w:eastAsiaTheme="minorEastAsia" w:hAnsi="Cambria"/>
        </w:rPr>
        <w:t xml:space="preserve">. </w:t>
      </w:r>
      <w:r w:rsidR="000D35F7">
        <w:rPr>
          <w:rFonts w:ascii="Cambria" w:eastAsiaTheme="minorEastAsia" w:hAnsi="Cambria"/>
        </w:rPr>
        <w:t>L</w:t>
      </w:r>
      <w:r w:rsidR="00EA649B">
        <w:rPr>
          <w:rFonts w:ascii="Cambria" w:eastAsiaTheme="minorEastAsia" w:hAnsi="Cambria"/>
        </w:rPr>
        <w:t xml:space="preserve">a estimación es consistente con elasticidades precio del flete del orden de -0.5 y el potencial de transportar bienes desde Bogotá al centro-oriente de Colombia y a la Orinoquia. </w:t>
      </w:r>
      <w:r w:rsidR="00BF4501">
        <w:rPr>
          <w:rFonts w:ascii="Cambria" w:eastAsiaTheme="minorEastAsia" w:hAnsi="Cambria"/>
        </w:rPr>
        <w:t xml:space="preserve">El valor </w:t>
      </w:r>
      <w:r w:rsidR="00CA4DBD">
        <w:rPr>
          <w:rFonts w:ascii="Cambria" w:eastAsiaTheme="minorEastAsia" w:hAnsi="Cambria"/>
        </w:rPr>
        <w:t xml:space="preserve">de </w:t>
      </w:r>
      <w:r w:rsidR="00BF4501">
        <w:rPr>
          <w:rFonts w:ascii="Cambria" w:eastAsiaTheme="minorEastAsia" w:hAnsi="Cambria"/>
        </w:rPr>
        <w:t xml:space="preserve">CAPEX que debe recuperarse es COL$ </w:t>
      </w:r>
      <w:r w:rsidR="000D35F7">
        <w:rPr>
          <w:rFonts w:ascii="Cambria" w:eastAsiaTheme="minorEastAsia" w:hAnsi="Cambria"/>
        </w:rPr>
        <w:t>76,86 mil millones</w:t>
      </w:r>
      <w:r w:rsidR="00CA4DBD">
        <w:rPr>
          <w:rFonts w:ascii="Cambria" w:eastAsiaTheme="minorEastAsia" w:hAnsi="Cambria"/>
        </w:rPr>
        <w:t>/año</w:t>
      </w:r>
      <w:r w:rsidR="000D35F7">
        <w:rPr>
          <w:rFonts w:ascii="Cambria" w:eastAsiaTheme="minorEastAsia" w:hAnsi="Cambria"/>
        </w:rPr>
        <w:t xml:space="preserve">. </w:t>
      </w:r>
      <w:r w:rsidR="00CA4DBD">
        <w:rPr>
          <w:rFonts w:ascii="Cambria" w:eastAsiaTheme="minorEastAsia" w:hAnsi="Cambria"/>
        </w:rPr>
        <w:t>Este valor</w:t>
      </w:r>
      <w:r w:rsidR="000D35F7">
        <w:rPr>
          <w:rFonts w:ascii="Cambria" w:eastAsiaTheme="minorEastAsia" w:hAnsi="Cambria"/>
        </w:rPr>
        <w:t xml:space="preserve"> se traduce en un costo fijo de COL$ 74.7/ton-km. El flete por vía férrea es la suma de los costos de operación y los costos fijos por ton-km: COL$ (67 + 74.7) = 141.8 /ton-km.  </w:t>
      </w:r>
    </w:p>
    <w:p w:rsidR="00A34EAB" w:rsidRDefault="00A34EAB" w:rsidP="000D35F7">
      <w:pPr>
        <w:pStyle w:val="Default"/>
        <w:spacing w:line="276" w:lineRule="auto"/>
        <w:jc w:val="both"/>
        <w:rPr>
          <w:rFonts w:ascii="Cambria" w:eastAsiaTheme="minorEastAsia" w:hAnsi="Cambria"/>
        </w:rPr>
      </w:pPr>
    </w:p>
    <w:p w:rsidR="000D35F7" w:rsidRPr="00A34EAB" w:rsidRDefault="000D35F7" w:rsidP="00A34EAB">
      <w:pPr>
        <w:pStyle w:val="Default"/>
        <w:spacing w:line="276" w:lineRule="auto"/>
        <w:jc w:val="center"/>
        <w:rPr>
          <w:rFonts w:ascii="Cambria" w:eastAsiaTheme="minorEastAsia" w:hAnsi="Cambria"/>
          <w:b/>
          <w:smallCaps/>
        </w:rPr>
      </w:pPr>
      <w:r w:rsidRPr="00A34EAB">
        <w:rPr>
          <w:rFonts w:ascii="Cambria" w:eastAsiaTheme="minorEastAsia" w:hAnsi="Cambria"/>
          <w:b/>
          <w:smallCaps/>
        </w:rPr>
        <w:t xml:space="preserve">Gráfico </w:t>
      </w:r>
      <w:r w:rsidR="005B500C">
        <w:rPr>
          <w:rFonts w:ascii="Cambria" w:eastAsiaTheme="minorEastAsia" w:hAnsi="Cambria"/>
          <w:b/>
          <w:smallCaps/>
        </w:rPr>
        <w:t>3</w:t>
      </w:r>
      <w:r w:rsidR="00A34EAB" w:rsidRPr="00A34EAB">
        <w:rPr>
          <w:rFonts w:ascii="Cambria" w:eastAsiaTheme="minorEastAsia" w:hAnsi="Cambria"/>
          <w:b/>
          <w:smallCaps/>
        </w:rPr>
        <w:t>. Demanda de transporte de carga</w:t>
      </w:r>
    </w:p>
    <w:p w:rsidR="00A34EAB" w:rsidRDefault="00A34EAB" w:rsidP="00A34EAB">
      <w:pPr>
        <w:pStyle w:val="Default"/>
        <w:spacing w:line="276" w:lineRule="auto"/>
        <w:jc w:val="center"/>
        <w:rPr>
          <w:rFonts w:ascii="Cambria" w:eastAsiaTheme="minorEastAsia" w:hAnsi="Cambria"/>
        </w:rPr>
      </w:pPr>
    </w:p>
    <w:p w:rsidR="00A34EAB" w:rsidRDefault="00A34EAB" w:rsidP="00A34EAB">
      <w:pPr>
        <w:pStyle w:val="Default"/>
        <w:spacing w:line="276" w:lineRule="auto"/>
        <w:jc w:val="center"/>
        <w:rPr>
          <w:rFonts w:ascii="Cambria" w:eastAsiaTheme="minorEastAsia" w:hAnsi="Cambria"/>
        </w:rPr>
      </w:pPr>
      <w:r w:rsidRPr="00241283">
        <w:rPr>
          <w:noProof/>
          <w:lang w:val="en-US"/>
        </w:rPr>
        <w:drawing>
          <wp:inline distT="0" distB="0" distL="0" distR="0" wp14:anchorId="1A3EABAB" wp14:editId="714C6D0D">
            <wp:extent cx="3867912" cy="2240280"/>
            <wp:effectExtent l="0" t="0" r="0" b="7620"/>
            <wp:docPr id="10"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912" cy="2240280"/>
                    </a:xfrm>
                    <a:prstGeom prst="rect">
                      <a:avLst/>
                    </a:prstGeom>
                    <a:noFill/>
                    <a:ln>
                      <a:noFill/>
                    </a:ln>
                  </pic:spPr>
                </pic:pic>
              </a:graphicData>
            </a:graphic>
          </wp:inline>
        </w:drawing>
      </w:r>
    </w:p>
    <w:p w:rsidR="00A34EAB" w:rsidRDefault="00A34EAB" w:rsidP="00A34EAB">
      <w:pPr>
        <w:pStyle w:val="Default"/>
        <w:spacing w:line="276" w:lineRule="auto"/>
        <w:jc w:val="center"/>
        <w:rPr>
          <w:rFonts w:ascii="Cambria" w:eastAsiaTheme="minorEastAsia" w:hAnsi="Cambria"/>
        </w:rPr>
      </w:pPr>
    </w:p>
    <w:p w:rsidR="00EE6E0E" w:rsidRDefault="00A34EAB" w:rsidP="00A34EAB">
      <w:pPr>
        <w:pStyle w:val="Default"/>
        <w:spacing w:line="276" w:lineRule="auto"/>
        <w:jc w:val="center"/>
        <w:rPr>
          <w:rFonts w:ascii="Cambria" w:eastAsiaTheme="minorEastAsia" w:hAnsi="Cambria"/>
        </w:rPr>
      </w:pPr>
      <w:r>
        <w:rPr>
          <w:rFonts w:ascii="Cambria" w:eastAsiaTheme="minorEastAsia" w:hAnsi="Cambria"/>
        </w:rPr>
        <w:t>Fuente: Fedesarrollo (2015</w:t>
      </w:r>
      <w:r w:rsidR="0078767F">
        <w:rPr>
          <w:rFonts w:ascii="Cambria" w:eastAsiaTheme="minorEastAsia" w:hAnsi="Cambria"/>
        </w:rPr>
        <w:t>: 47</w:t>
      </w:r>
      <w:r>
        <w:rPr>
          <w:rFonts w:ascii="Cambria" w:eastAsiaTheme="minorEastAsia" w:hAnsi="Cambria"/>
        </w:rPr>
        <w:t>)</w:t>
      </w:r>
    </w:p>
    <w:p w:rsidR="00A34EAB" w:rsidRDefault="00A34EAB" w:rsidP="005C4138">
      <w:pPr>
        <w:pStyle w:val="Default"/>
        <w:spacing w:line="276" w:lineRule="auto"/>
        <w:jc w:val="both"/>
        <w:rPr>
          <w:rFonts w:ascii="Cambria" w:eastAsiaTheme="minorEastAsia" w:hAnsi="Cambria"/>
        </w:rPr>
      </w:pPr>
    </w:p>
    <w:p w:rsidR="00EE6E0E" w:rsidRDefault="00C92414" w:rsidP="005C4138">
      <w:pPr>
        <w:pStyle w:val="Default"/>
        <w:numPr>
          <w:ilvl w:val="0"/>
          <w:numId w:val="39"/>
        </w:numPr>
        <w:spacing w:line="276" w:lineRule="auto"/>
        <w:ind w:left="360"/>
        <w:jc w:val="both"/>
        <w:rPr>
          <w:rFonts w:ascii="Cambria" w:eastAsiaTheme="minorEastAsia" w:hAnsi="Cambria"/>
        </w:rPr>
      </w:pPr>
      <w:r>
        <w:rPr>
          <w:rFonts w:ascii="Cambria" w:eastAsiaTheme="minorEastAsia" w:hAnsi="Cambria"/>
          <w:smallCaps/>
        </w:rPr>
        <w:t>Costo del flete por carretera</w:t>
      </w:r>
      <w:r w:rsidR="00EE6E0E">
        <w:rPr>
          <w:rFonts w:ascii="Cambria" w:eastAsiaTheme="minorEastAsia" w:hAnsi="Cambria"/>
        </w:rPr>
        <w:t>.</w:t>
      </w:r>
      <w:r w:rsidR="000D35F7">
        <w:rPr>
          <w:rFonts w:ascii="Cambria" w:eastAsiaTheme="minorEastAsia" w:hAnsi="Cambria"/>
        </w:rPr>
        <w:t xml:space="preserve"> </w:t>
      </w:r>
      <w:r w:rsidR="0078767F">
        <w:rPr>
          <w:rFonts w:ascii="Cambria" w:eastAsiaTheme="minorEastAsia" w:hAnsi="Cambria"/>
        </w:rPr>
        <w:t>U</w:t>
      </w:r>
      <w:r w:rsidR="00DA0D7F">
        <w:rPr>
          <w:rFonts w:ascii="Cambria" w:eastAsiaTheme="minorEastAsia" w:hAnsi="Cambria"/>
        </w:rPr>
        <w:t>sando la opción de “Cálculo</w:t>
      </w:r>
      <w:r w:rsidR="0078767F">
        <w:rPr>
          <w:rFonts w:ascii="Cambria" w:eastAsiaTheme="minorEastAsia" w:hAnsi="Cambria"/>
        </w:rPr>
        <w:t xml:space="preserve"> interactivo</w:t>
      </w:r>
      <w:r w:rsidR="00DA0D7F">
        <w:rPr>
          <w:rFonts w:ascii="Cambria" w:eastAsiaTheme="minorEastAsia" w:hAnsi="Cambria"/>
        </w:rPr>
        <w:t>”</w:t>
      </w:r>
      <w:r w:rsidR="0078767F">
        <w:rPr>
          <w:rFonts w:ascii="Cambria" w:eastAsiaTheme="minorEastAsia" w:hAnsi="Cambria"/>
        </w:rPr>
        <w:t xml:space="preserve"> de</w:t>
      </w:r>
      <w:r w:rsidR="00DA0D7F">
        <w:rPr>
          <w:rFonts w:ascii="Cambria" w:eastAsiaTheme="minorEastAsia" w:hAnsi="Cambria"/>
        </w:rPr>
        <w:t xml:space="preserve">l </w:t>
      </w:r>
      <w:r w:rsidR="00DA0D7F" w:rsidRPr="00DA0D7F">
        <w:rPr>
          <w:rFonts w:ascii="Cambria" w:eastAsiaTheme="minorEastAsia" w:hAnsi="Cambria"/>
        </w:rPr>
        <w:t>Sistema de Información de Costos Eficientes para el Transporte Automotor de Carga SICE-TAC</w:t>
      </w:r>
      <w:r w:rsidR="00DA0D7F">
        <w:rPr>
          <w:rFonts w:ascii="Cambria" w:eastAsiaTheme="minorEastAsia" w:hAnsi="Cambria"/>
        </w:rPr>
        <w:t xml:space="preserve"> del Ministerio de Transporte (2015, disponible en línea), se encuentra que el flete por vía terrestre entre Bogotá y Duitama (ciudad más cercana a Belencito en la lista de orígenes y destinos del simulador) para un vehículo de tipo 3 (el más común), tiene un valor de COL$ 293.09 /ton-km. Este estimativo no incluye horas de espera, carga, descarga, descanso o consecución de carga de retorno. </w:t>
      </w:r>
    </w:p>
    <w:p w:rsidR="00EE6E0E" w:rsidRDefault="00EE6E0E" w:rsidP="005C4138">
      <w:pPr>
        <w:pStyle w:val="Default"/>
        <w:spacing w:line="276" w:lineRule="auto"/>
        <w:jc w:val="both"/>
        <w:rPr>
          <w:rFonts w:ascii="Cambria" w:eastAsiaTheme="minorEastAsia" w:hAnsi="Cambria"/>
        </w:rPr>
      </w:pPr>
    </w:p>
    <w:p w:rsidR="005C4138" w:rsidRDefault="005C4138" w:rsidP="005C4138">
      <w:pPr>
        <w:pStyle w:val="Default"/>
        <w:numPr>
          <w:ilvl w:val="0"/>
          <w:numId w:val="39"/>
        </w:numPr>
        <w:spacing w:line="276" w:lineRule="auto"/>
        <w:ind w:left="360"/>
        <w:jc w:val="both"/>
        <w:rPr>
          <w:rFonts w:ascii="Cambria" w:eastAsiaTheme="minorEastAsia" w:hAnsi="Cambria"/>
        </w:rPr>
      </w:pPr>
      <w:r w:rsidRPr="00DA0D7F">
        <w:rPr>
          <w:rFonts w:ascii="Cambria" w:eastAsiaTheme="minorEastAsia" w:hAnsi="Cambria"/>
          <w:smallCaps/>
        </w:rPr>
        <w:t>Beneficios sociales</w:t>
      </w:r>
      <w:r>
        <w:rPr>
          <w:rFonts w:ascii="Cambria" w:eastAsiaTheme="minorEastAsia" w:hAnsi="Cambria"/>
        </w:rPr>
        <w:t>.</w:t>
      </w:r>
      <w:r w:rsidR="00C92414">
        <w:rPr>
          <w:rFonts w:ascii="Cambria" w:eastAsiaTheme="minorEastAsia" w:hAnsi="Cambria"/>
        </w:rPr>
        <w:t xml:space="preserve"> Se asume que el tipo de carga no es sensible al tiempo y, de acuerdo con ejercicios previos efectuados por Fedesarrollo (2015</w:t>
      </w:r>
      <w:r w:rsidR="00953A18">
        <w:rPr>
          <w:rFonts w:ascii="Cambria" w:eastAsiaTheme="minorEastAsia" w:hAnsi="Cambria"/>
        </w:rPr>
        <w:t>A</w:t>
      </w:r>
      <w:r w:rsidR="00C92414">
        <w:rPr>
          <w:rFonts w:ascii="Cambria" w:eastAsiaTheme="minorEastAsia" w:hAnsi="Cambria"/>
        </w:rPr>
        <w:t>) para transporte de carga, tampoco se incluyen los ahorros en mantenimiento por menor tráfico en la carretera al comprobarse que son de segundo orden. En este caso, los beneficios en reducción de costos generalizados de transporte son equivalentes al ahorro en fletes al pasar del uso del transporte por carretera al transporte férreo. El ahorro anual corriente se obtiene multiplicando este diferencial (</w:t>
      </w:r>
      <w:r w:rsidR="000E57BA">
        <w:rPr>
          <w:rFonts w:ascii="Cambria" w:eastAsiaTheme="minorEastAsia" w:hAnsi="Cambria"/>
        </w:rPr>
        <w:t>293.</w:t>
      </w:r>
      <w:r w:rsidR="00C92414">
        <w:rPr>
          <w:rFonts w:ascii="Cambria" w:eastAsiaTheme="minorEastAsia" w:hAnsi="Cambria"/>
        </w:rPr>
        <w:t xml:space="preserve">09 – 141.80 = 151.29) por las toneladas-km en los dos sentidos. Este valor es igual a </w:t>
      </w:r>
      <w:r w:rsidR="000E57BA">
        <w:rPr>
          <w:rFonts w:ascii="Cambria" w:eastAsiaTheme="minorEastAsia" w:hAnsi="Cambria"/>
        </w:rPr>
        <w:t>151.29*4*257millones/año = COL$</w:t>
      </w:r>
      <w:r w:rsidR="00C92414">
        <w:rPr>
          <w:rFonts w:ascii="Cambria" w:eastAsiaTheme="minorEastAsia" w:hAnsi="Cambria"/>
        </w:rPr>
        <w:t xml:space="preserve"> </w:t>
      </w:r>
      <w:r w:rsidR="000E57BA">
        <w:rPr>
          <w:rFonts w:ascii="Cambria" w:eastAsiaTheme="minorEastAsia" w:hAnsi="Cambria"/>
        </w:rPr>
        <w:t xml:space="preserve">155.5 mil millones. Tomando la serie uniforme de estos valores unitarios por 20 años y trayéndolas a valor presente con la tasa de 12%, se obtiene un total de beneficios igual a COL$ 1.3 billones. </w:t>
      </w:r>
    </w:p>
    <w:p w:rsidR="005C4138" w:rsidRDefault="005C4138" w:rsidP="005C4138">
      <w:pPr>
        <w:pStyle w:val="Default"/>
        <w:spacing w:line="276" w:lineRule="auto"/>
        <w:jc w:val="both"/>
        <w:rPr>
          <w:rFonts w:ascii="Cambria" w:eastAsiaTheme="minorEastAsia" w:hAnsi="Cambria"/>
        </w:rPr>
      </w:pPr>
    </w:p>
    <w:p w:rsidR="005C4138" w:rsidRDefault="005C4138" w:rsidP="005C4138">
      <w:pPr>
        <w:pStyle w:val="Default"/>
        <w:numPr>
          <w:ilvl w:val="0"/>
          <w:numId w:val="39"/>
        </w:numPr>
        <w:spacing w:line="276" w:lineRule="auto"/>
        <w:ind w:left="360"/>
        <w:jc w:val="both"/>
        <w:rPr>
          <w:rFonts w:ascii="Cambria" w:eastAsiaTheme="minorEastAsia" w:hAnsi="Cambria"/>
        </w:rPr>
      </w:pPr>
      <w:r w:rsidRPr="000E57BA">
        <w:rPr>
          <w:rFonts w:ascii="Cambria" w:eastAsiaTheme="minorEastAsia" w:hAnsi="Cambria"/>
          <w:smallCaps/>
        </w:rPr>
        <w:t>Costos sociales</w:t>
      </w:r>
      <w:r>
        <w:rPr>
          <w:rFonts w:ascii="Cambria" w:eastAsiaTheme="minorEastAsia" w:hAnsi="Cambria"/>
        </w:rPr>
        <w:t xml:space="preserve">. </w:t>
      </w:r>
      <w:r w:rsidR="003C2F3C">
        <w:rPr>
          <w:rFonts w:ascii="Cambria" w:eastAsiaTheme="minorEastAsia" w:hAnsi="Cambria"/>
        </w:rPr>
        <w:t>Los costos sociales son la suma de los costos CAPEX (COL$ 0.643 billones) más el valor presente de</w:t>
      </w:r>
      <w:r w:rsidR="00CA4DBD">
        <w:rPr>
          <w:rFonts w:ascii="Cambria" w:eastAsiaTheme="minorEastAsia" w:hAnsi="Cambria"/>
        </w:rPr>
        <w:t xml:space="preserve"> los OPEX anuales</w:t>
      </w:r>
      <w:r w:rsidR="003C2F3C">
        <w:rPr>
          <w:rFonts w:ascii="Cambria" w:eastAsiaTheme="minorEastAsia" w:hAnsi="Cambria"/>
        </w:rPr>
        <w:t xml:space="preserve"> del tren (COL$ 68.9 mil millones/año) por 20 años, usando una tasa de descuento igual al 12%</w:t>
      </w:r>
      <w:r w:rsidR="00CA4DBD">
        <w:rPr>
          <w:rFonts w:ascii="Cambria" w:eastAsiaTheme="minorEastAsia" w:hAnsi="Cambria"/>
        </w:rPr>
        <w:t xml:space="preserve">. Estos costos OPEX </w:t>
      </w:r>
      <w:r w:rsidR="003C2F3C">
        <w:rPr>
          <w:rFonts w:ascii="Cambria" w:eastAsiaTheme="minorEastAsia" w:hAnsi="Cambria"/>
        </w:rPr>
        <w:t xml:space="preserve">ascienden a COL$ 0.576 billones. Los costos sociales son iguales a COL$ </w:t>
      </w:r>
      <w:r w:rsidR="00CA4DBD">
        <w:rPr>
          <w:rFonts w:ascii="Cambria" w:eastAsiaTheme="minorEastAsia" w:hAnsi="Cambria"/>
        </w:rPr>
        <w:t xml:space="preserve">0.643 + 0.576 = </w:t>
      </w:r>
      <w:r w:rsidR="00D33A17">
        <w:rPr>
          <w:rFonts w:ascii="Cambria" w:eastAsiaTheme="minorEastAsia" w:hAnsi="Cambria"/>
        </w:rPr>
        <w:t xml:space="preserve">COL$ </w:t>
      </w:r>
      <w:r w:rsidR="00CA4DBD">
        <w:rPr>
          <w:rFonts w:ascii="Cambria" w:eastAsiaTheme="minorEastAsia" w:hAnsi="Cambria"/>
        </w:rPr>
        <w:t>1.22</w:t>
      </w:r>
      <w:r w:rsidR="003C2F3C">
        <w:rPr>
          <w:rFonts w:ascii="Cambria" w:eastAsiaTheme="minorEastAsia" w:hAnsi="Cambria"/>
        </w:rPr>
        <w:t xml:space="preserve"> billones.  </w:t>
      </w:r>
    </w:p>
    <w:p w:rsidR="005C4138" w:rsidRDefault="005C4138" w:rsidP="005C4138">
      <w:pPr>
        <w:pStyle w:val="Default"/>
        <w:spacing w:line="276" w:lineRule="auto"/>
        <w:jc w:val="both"/>
        <w:rPr>
          <w:rFonts w:ascii="Cambria" w:eastAsiaTheme="minorEastAsia" w:hAnsi="Cambria"/>
        </w:rPr>
      </w:pPr>
    </w:p>
    <w:p w:rsidR="00D33A17" w:rsidRDefault="005C4138" w:rsidP="005C4138">
      <w:pPr>
        <w:pStyle w:val="Default"/>
        <w:numPr>
          <w:ilvl w:val="0"/>
          <w:numId w:val="39"/>
        </w:numPr>
        <w:spacing w:line="276" w:lineRule="auto"/>
        <w:ind w:left="360"/>
        <w:jc w:val="both"/>
        <w:rPr>
          <w:rFonts w:ascii="Cambria" w:eastAsiaTheme="minorEastAsia" w:hAnsi="Cambria"/>
        </w:rPr>
      </w:pPr>
      <w:r w:rsidRPr="003C2F3C">
        <w:rPr>
          <w:rFonts w:ascii="Cambria" w:eastAsiaTheme="minorEastAsia" w:hAnsi="Cambria"/>
          <w:smallCaps/>
        </w:rPr>
        <w:t xml:space="preserve">Cociente </w:t>
      </w:r>
      <w:r w:rsidRPr="003C2F3C">
        <w:rPr>
          <w:rFonts w:ascii="Cambria" w:eastAsiaTheme="minorEastAsia" w:hAnsi="Cambria"/>
          <w:i/>
        </w:rPr>
        <w:t>B</w:t>
      </w:r>
      <w:r w:rsidRPr="003C2F3C">
        <w:rPr>
          <w:rFonts w:ascii="Cambria" w:eastAsiaTheme="minorEastAsia" w:hAnsi="Cambria"/>
        </w:rPr>
        <w:t>/</w:t>
      </w:r>
      <w:r w:rsidRPr="003C2F3C">
        <w:rPr>
          <w:rFonts w:ascii="Cambria" w:eastAsiaTheme="minorEastAsia" w:hAnsi="Cambria"/>
          <w:i/>
        </w:rPr>
        <w:t>C</w:t>
      </w:r>
      <w:r w:rsidRPr="003C2F3C">
        <w:rPr>
          <w:rFonts w:ascii="Cambria" w:eastAsiaTheme="minorEastAsia" w:hAnsi="Cambria"/>
        </w:rPr>
        <w:t>.</w:t>
      </w:r>
      <w:r>
        <w:rPr>
          <w:rFonts w:ascii="Cambria" w:eastAsiaTheme="minorEastAsia" w:hAnsi="Cambria"/>
        </w:rPr>
        <w:t xml:space="preserve"> </w:t>
      </w:r>
      <w:r w:rsidR="003C2F3C">
        <w:rPr>
          <w:rFonts w:ascii="Cambria" w:eastAsiaTheme="minorEastAsia" w:hAnsi="Cambria"/>
        </w:rPr>
        <w:t xml:space="preserve">Con los anteriores valores para beneficios y costos, se obtiene un cociente </w:t>
      </w:r>
      <w:r w:rsidR="003C2F3C" w:rsidRPr="003C2F3C">
        <w:rPr>
          <w:rFonts w:ascii="Cambria" w:eastAsiaTheme="minorEastAsia" w:hAnsi="Cambria"/>
          <w:i/>
        </w:rPr>
        <w:t>B</w:t>
      </w:r>
      <w:r w:rsidR="003C2F3C">
        <w:rPr>
          <w:rFonts w:ascii="Cambria" w:eastAsiaTheme="minorEastAsia" w:hAnsi="Cambria"/>
        </w:rPr>
        <w:t>/</w:t>
      </w:r>
      <w:r w:rsidR="003C2F3C" w:rsidRPr="003C2F3C">
        <w:rPr>
          <w:rFonts w:ascii="Cambria" w:eastAsiaTheme="minorEastAsia" w:hAnsi="Cambria"/>
          <w:i/>
        </w:rPr>
        <w:t>C</w:t>
      </w:r>
      <w:r w:rsidR="003C2F3C">
        <w:rPr>
          <w:rFonts w:ascii="Cambria" w:eastAsiaTheme="minorEastAsia" w:hAnsi="Cambria"/>
        </w:rPr>
        <w:t xml:space="preserve"> = 1.3</w:t>
      </w:r>
      <w:r w:rsidR="00CA4DBD">
        <w:rPr>
          <w:rFonts w:ascii="Cambria" w:eastAsiaTheme="minorEastAsia" w:hAnsi="Cambria"/>
        </w:rPr>
        <w:t>0</w:t>
      </w:r>
      <w:r w:rsidR="003C2F3C">
        <w:rPr>
          <w:rFonts w:ascii="Cambria" w:eastAsiaTheme="minorEastAsia" w:hAnsi="Cambria"/>
        </w:rPr>
        <w:t>/1.2</w:t>
      </w:r>
      <w:r w:rsidR="00CA4DBD">
        <w:rPr>
          <w:rFonts w:ascii="Cambria" w:eastAsiaTheme="minorEastAsia" w:hAnsi="Cambria"/>
        </w:rPr>
        <w:t>2</w:t>
      </w:r>
      <w:r w:rsidR="003C2F3C">
        <w:rPr>
          <w:rFonts w:ascii="Cambria" w:eastAsiaTheme="minorEastAsia" w:hAnsi="Cambria"/>
        </w:rPr>
        <w:t xml:space="preserve"> = 1.07. </w:t>
      </w:r>
    </w:p>
    <w:p w:rsidR="00D33A17" w:rsidRDefault="00D33A17" w:rsidP="00D33A17">
      <w:pPr>
        <w:pStyle w:val="ListParagraph"/>
        <w:rPr>
          <w:rFonts w:ascii="Cambria" w:eastAsiaTheme="minorEastAsia" w:hAnsi="Cambria"/>
        </w:rPr>
      </w:pPr>
    </w:p>
    <w:p w:rsidR="00D33A17" w:rsidRPr="00D33A17" w:rsidRDefault="003A7576" w:rsidP="00D33A17">
      <w:pPr>
        <w:pStyle w:val="Default"/>
        <w:spacing w:line="276" w:lineRule="auto"/>
        <w:ind w:left="360"/>
        <w:jc w:val="both"/>
        <w:rPr>
          <w:rFonts w:ascii="Cambria" w:eastAsiaTheme="minorEastAsia" w:hAnsi="Cambria"/>
          <w:b/>
          <w:smallCaps/>
        </w:rPr>
      </w:pPr>
      <w:r>
        <w:rPr>
          <w:rFonts w:ascii="Cambria" w:eastAsiaTheme="minorEastAsia" w:hAnsi="Cambria"/>
          <w:b/>
          <w:smallCaps/>
        </w:rPr>
        <w:t>3.6</w:t>
      </w:r>
      <w:r w:rsidR="00D33A17" w:rsidRPr="00D33A17">
        <w:rPr>
          <w:rFonts w:ascii="Cambria" w:eastAsiaTheme="minorEastAsia" w:hAnsi="Cambria"/>
          <w:b/>
          <w:smallCaps/>
        </w:rPr>
        <w:t xml:space="preserve"> Cárceles</w:t>
      </w:r>
    </w:p>
    <w:p w:rsidR="00D33A17" w:rsidRDefault="00D33A17" w:rsidP="00D33A17">
      <w:pPr>
        <w:pStyle w:val="Default"/>
        <w:spacing w:line="276" w:lineRule="auto"/>
        <w:jc w:val="both"/>
        <w:rPr>
          <w:rFonts w:ascii="Cambria" w:eastAsiaTheme="minorEastAsia" w:hAnsi="Cambria"/>
        </w:rPr>
      </w:pPr>
    </w:p>
    <w:p w:rsidR="001805BC" w:rsidRDefault="00821722" w:rsidP="00496E38">
      <w:pPr>
        <w:pStyle w:val="Default"/>
        <w:spacing w:line="276" w:lineRule="auto"/>
        <w:jc w:val="both"/>
        <w:rPr>
          <w:rFonts w:ascii="Cambria" w:eastAsiaTheme="minorEastAsia" w:hAnsi="Cambria"/>
        </w:rPr>
      </w:pPr>
      <w:r w:rsidRPr="00821722">
        <w:rPr>
          <w:rFonts w:ascii="Cambria" w:eastAsiaTheme="minorEastAsia" w:hAnsi="Cambria"/>
          <w:b/>
          <w:smallCaps/>
        </w:rPr>
        <w:t>Decisiones públicas</w:t>
      </w:r>
      <w:r>
        <w:rPr>
          <w:rFonts w:ascii="Cambria" w:eastAsiaTheme="minorEastAsia" w:hAnsi="Cambria"/>
        </w:rPr>
        <w:t xml:space="preserve">. </w:t>
      </w:r>
      <w:r w:rsidR="00496E38">
        <w:rPr>
          <w:rFonts w:ascii="Cambria" w:eastAsiaTheme="minorEastAsia" w:hAnsi="Cambria"/>
        </w:rPr>
        <w:t xml:space="preserve">El documento Conpes </w:t>
      </w:r>
      <w:r w:rsidR="000A19B8">
        <w:rPr>
          <w:rFonts w:ascii="Cambria" w:eastAsiaTheme="minorEastAsia" w:hAnsi="Cambria"/>
        </w:rPr>
        <w:t>3828 de 2015 (DNP 2015E</w:t>
      </w:r>
      <w:r w:rsidR="00FB23C0">
        <w:rPr>
          <w:rFonts w:ascii="Cambria" w:eastAsiaTheme="minorEastAsia" w:hAnsi="Cambria"/>
        </w:rPr>
        <w:t xml:space="preserve">) </w:t>
      </w:r>
      <w:r w:rsidR="00942D88">
        <w:rPr>
          <w:rFonts w:ascii="Cambria" w:eastAsiaTheme="minorEastAsia" w:hAnsi="Cambria"/>
        </w:rPr>
        <w:t xml:space="preserve">propone un </w:t>
      </w:r>
      <w:r w:rsidR="00CF04D3" w:rsidRPr="00CF04D3">
        <w:rPr>
          <w:rFonts w:ascii="Cambria" w:eastAsiaTheme="minorEastAsia" w:hAnsi="Cambria"/>
        </w:rPr>
        <w:t xml:space="preserve">nuevo enfoque a la política penitenciaria y carcelaria mediante su articulación con una política criminal coherente y eficaz. </w:t>
      </w:r>
      <w:r w:rsidR="00FB23C0">
        <w:rPr>
          <w:rFonts w:ascii="Cambria" w:eastAsiaTheme="minorEastAsia" w:hAnsi="Cambria"/>
        </w:rPr>
        <w:t>Se propone abordar la política penitenciara a través de 3 ejes para abordar el problema penitenciario y carcelario integralmente: (i) condiciones generales de las prisiones; (ii) integrar y armonizar la po</w:t>
      </w:r>
      <w:r w:rsidR="00942D88">
        <w:rPr>
          <w:rFonts w:ascii="Cambria" w:eastAsiaTheme="minorEastAsia" w:hAnsi="Cambria"/>
        </w:rPr>
        <w:t>lítica carcelaria y la criminal</w:t>
      </w:r>
      <w:r w:rsidR="00FB23C0">
        <w:rPr>
          <w:rFonts w:ascii="Cambria" w:eastAsiaTheme="minorEastAsia" w:hAnsi="Cambria"/>
        </w:rPr>
        <w:t xml:space="preserve">; y (iii) coordinación entre agencias públicas, entre nación y territorio, y entre el sector público y el sector privado. </w:t>
      </w:r>
      <w:r w:rsidR="003955AA" w:rsidRPr="003955AA">
        <w:rPr>
          <w:rFonts w:ascii="Cambria" w:eastAsiaTheme="minorEastAsia" w:hAnsi="Cambria"/>
        </w:rPr>
        <w:t>Entre los resultados esperados de la implementación de las est</w:t>
      </w:r>
      <w:r w:rsidR="00942D88">
        <w:rPr>
          <w:rFonts w:ascii="Cambria" w:eastAsiaTheme="minorEastAsia" w:hAnsi="Cambria"/>
        </w:rPr>
        <w:t>rategias planteadas</w:t>
      </w:r>
      <w:r w:rsidR="003955AA" w:rsidRPr="003955AA">
        <w:rPr>
          <w:rFonts w:ascii="Cambria" w:eastAsiaTheme="minorEastAsia" w:hAnsi="Cambria"/>
        </w:rPr>
        <w:t xml:space="preserve"> se destacan: una reducción de la tasa hacinamiento en 7 puntos porcentuales (pp);</w:t>
      </w:r>
      <w:r w:rsidR="00FB23C0">
        <w:rPr>
          <w:rStyle w:val="FootnoteReference"/>
          <w:rFonts w:ascii="Cambria" w:eastAsiaTheme="minorEastAsia" w:hAnsi="Cambria"/>
        </w:rPr>
        <w:footnoteReference w:id="9"/>
      </w:r>
      <w:r w:rsidR="003955AA" w:rsidRPr="003955AA">
        <w:rPr>
          <w:rFonts w:ascii="Cambria" w:eastAsiaTheme="minorEastAsia" w:hAnsi="Cambria"/>
        </w:rPr>
        <w:t xml:space="preserve"> una disminución en la relación entre sindicados y condenados de 9 pp; la generación </w:t>
      </w:r>
      <w:r w:rsidR="00121723">
        <w:rPr>
          <w:rFonts w:ascii="Cambria" w:eastAsiaTheme="minorEastAsia" w:hAnsi="Cambria"/>
        </w:rPr>
        <w:t xml:space="preserve">entre 2015 y 2019 </w:t>
      </w:r>
      <w:r w:rsidR="003955AA" w:rsidRPr="003955AA">
        <w:rPr>
          <w:rFonts w:ascii="Cambria" w:eastAsiaTheme="minorEastAsia" w:hAnsi="Cambria"/>
        </w:rPr>
        <w:t>de 11.843 nuevos cupos penitenciarios y carcelarios mediante obra pública a cargo de la USPEC</w:t>
      </w:r>
      <w:r w:rsidR="00121723">
        <w:rPr>
          <w:rFonts w:ascii="Cambria" w:eastAsiaTheme="minorEastAsia" w:hAnsi="Cambria"/>
        </w:rPr>
        <w:t>, con una inversión de $667.223 millones</w:t>
      </w:r>
      <w:r w:rsidR="003955AA" w:rsidRPr="003955AA">
        <w:rPr>
          <w:rFonts w:ascii="Cambria" w:eastAsiaTheme="minorEastAsia" w:hAnsi="Cambria"/>
        </w:rPr>
        <w:t xml:space="preserve">, y 7.200 nuevos cupos bajo el esquema </w:t>
      </w:r>
      <w:r w:rsidR="00FB23C0">
        <w:rPr>
          <w:rFonts w:ascii="Cambria" w:eastAsiaTheme="minorEastAsia" w:hAnsi="Cambria"/>
        </w:rPr>
        <w:t>de APP</w:t>
      </w:r>
      <w:r w:rsidR="003955AA" w:rsidRPr="003955AA">
        <w:rPr>
          <w:rFonts w:ascii="Cambria" w:eastAsiaTheme="minorEastAsia" w:hAnsi="Cambria"/>
        </w:rPr>
        <w:t>; así como la disminución en hasta un 80% de la extorsión que se produce desde los ERON</w:t>
      </w:r>
      <w:r w:rsidR="000C76D5">
        <w:rPr>
          <w:rFonts w:ascii="Cambria" w:eastAsiaTheme="minorEastAsia" w:hAnsi="Cambria"/>
        </w:rPr>
        <w:t xml:space="preserve"> (el 53% de toda la extorsión del país)</w:t>
      </w:r>
      <w:r w:rsidR="003955AA" w:rsidRPr="003955AA">
        <w:rPr>
          <w:rFonts w:ascii="Cambria" w:eastAsiaTheme="minorEastAsia" w:hAnsi="Cambria"/>
        </w:rPr>
        <w:t>.</w:t>
      </w:r>
      <w:r w:rsidR="00121723">
        <w:rPr>
          <w:rFonts w:ascii="Cambria" w:eastAsiaTheme="minorEastAsia" w:hAnsi="Cambria"/>
        </w:rPr>
        <w:t xml:space="preserve"> </w:t>
      </w:r>
      <w:r w:rsidR="00A80638" w:rsidRPr="00A80638">
        <w:rPr>
          <w:rFonts w:ascii="Cambria" w:eastAsiaTheme="minorEastAsia" w:hAnsi="Cambria"/>
        </w:rPr>
        <w:t xml:space="preserve">El modelo </w:t>
      </w:r>
      <w:r w:rsidR="00FB23C0">
        <w:rPr>
          <w:rFonts w:ascii="Cambria" w:eastAsiaTheme="minorEastAsia" w:hAnsi="Cambria"/>
        </w:rPr>
        <w:t xml:space="preserve">APP </w:t>
      </w:r>
      <w:r w:rsidR="00A80638" w:rsidRPr="00A80638">
        <w:rPr>
          <w:rFonts w:ascii="Cambria" w:eastAsiaTheme="minorEastAsia" w:hAnsi="Cambria"/>
        </w:rPr>
        <w:t>para los nuevos ERON sería realizado b</w:t>
      </w:r>
      <w:r w:rsidR="000C76D5">
        <w:rPr>
          <w:rFonts w:ascii="Cambria" w:eastAsiaTheme="minorEastAsia" w:hAnsi="Cambria"/>
        </w:rPr>
        <w:t>ajo el esquema de contratos de</w:t>
      </w:r>
      <w:r w:rsidR="00A80638" w:rsidRPr="00A80638">
        <w:rPr>
          <w:rFonts w:ascii="Cambria" w:eastAsiaTheme="minorEastAsia" w:hAnsi="Cambria"/>
        </w:rPr>
        <w:t xml:space="preserve"> “Diseño, Construcción, Operación, Manten</w:t>
      </w:r>
      <w:r w:rsidR="00A80638">
        <w:rPr>
          <w:rFonts w:ascii="Cambria" w:eastAsiaTheme="minorEastAsia" w:hAnsi="Cambria"/>
        </w:rPr>
        <w:t>imiento y Transferencia” (DBOT</w:t>
      </w:r>
      <w:r w:rsidR="00FB23C0">
        <w:rPr>
          <w:rFonts w:ascii="Cambria" w:eastAsiaTheme="minorEastAsia" w:hAnsi="Cambria"/>
        </w:rPr>
        <w:t>). E</w:t>
      </w:r>
      <w:r w:rsidR="00496E38" w:rsidRPr="00496E38">
        <w:rPr>
          <w:rFonts w:ascii="Cambria" w:eastAsiaTheme="minorEastAsia" w:hAnsi="Cambria"/>
        </w:rPr>
        <w:t>l DNP</w:t>
      </w:r>
      <w:r w:rsidR="00FB23C0">
        <w:rPr>
          <w:rFonts w:ascii="Cambria" w:eastAsiaTheme="minorEastAsia" w:hAnsi="Cambria"/>
        </w:rPr>
        <w:t xml:space="preserve"> contratará</w:t>
      </w:r>
      <w:r w:rsidR="00496E38" w:rsidRPr="00496E38">
        <w:rPr>
          <w:rFonts w:ascii="Cambria" w:eastAsiaTheme="minorEastAsia" w:hAnsi="Cambria"/>
        </w:rPr>
        <w:t xml:space="preserve"> un estudio </w:t>
      </w:r>
      <w:r w:rsidR="00942D88">
        <w:rPr>
          <w:rFonts w:ascii="Cambria" w:eastAsiaTheme="minorEastAsia" w:hAnsi="Cambria"/>
        </w:rPr>
        <w:t xml:space="preserve">para </w:t>
      </w:r>
      <w:r w:rsidR="00496E38" w:rsidRPr="00496E38">
        <w:rPr>
          <w:rFonts w:ascii="Cambria" w:eastAsiaTheme="minorEastAsia" w:hAnsi="Cambria"/>
        </w:rPr>
        <w:t xml:space="preserve">la estructuración técnica, legal y financiera de un proyecto </w:t>
      </w:r>
      <w:r w:rsidR="00942D88">
        <w:rPr>
          <w:rFonts w:ascii="Cambria" w:eastAsiaTheme="minorEastAsia" w:hAnsi="Cambria"/>
        </w:rPr>
        <w:t>APP de iniciativa pública. A</w:t>
      </w:r>
      <w:r w:rsidR="00496E38" w:rsidRPr="00496E38">
        <w:rPr>
          <w:rFonts w:ascii="Cambria" w:eastAsiaTheme="minorEastAsia" w:hAnsi="Cambria"/>
        </w:rPr>
        <w:t>demás del proyecto de APP para la construcción de un nuevo establecimiento de reclusión del orden nacional en la ciu</w:t>
      </w:r>
      <w:r w:rsidR="00496E38">
        <w:rPr>
          <w:rFonts w:ascii="Cambria" w:eastAsiaTheme="minorEastAsia" w:hAnsi="Cambria"/>
        </w:rPr>
        <w:t xml:space="preserve">dad de Popayán, </w:t>
      </w:r>
      <w:r w:rsidR="00496E38" w:rsidRPr="00496E38">
        <w:rPr>
          <w:rFonts w:ascii="Cambria" w:eastAsiaTheme="minorEastAsia" w:hAnsi="Cambria"/>
        </w:rPr>
        <w:t>se proyecta para el final del cuatrienio la estructuración de otro proyecto bajo esta modalidad.</w:t>
      </w:r>
    </w:p>
    <w:p w:rsidR="001805BC" w:rsidRDefault="001805BC" w:rsidP="00496E38">
      <w:pPr>
        <w:pStyle w:val="Default"/>
        <w:spacing w:line="276" w:lineRule="auto"/>
        <w:jc w:val="both"/>
        <w:rPr>
          <w:rFonts w:ascii="Cambria" w:eastAsiaTheme="minorEastAsia" w:hAnsi="Cambria"/>
        </w:rPr>
      </w:pPr>
    </w:p>
    <w:p w:rsidR="00211088" w:rsidRDefault="001805BC" w:rsidP="00010DB3">
      <w:pPr>
        <w:pStyle w:val="Default"/>
        <w:spacing w:line="276" w:lineRule="auto"/>
        <w:jc w:val="both"/>
        <w:rPr>
          <w:rFonts w:ascii="Cambria" w:eastAsiaTheme="minorEastAsia" w:hAnsi="Cambria"/>
        </w:rPr>
      </w:pPr>
      <w:r w:rsidRPr="001805BC">
        <w:rPr>
          <w:rFonts w:ascii="Cambria" w:eastAsiaTheme="minorEastAsia" w:hAnsi="Cambria"/>
          <w:b/>
          <w:smallCaps/>
        </w:rPr>
        <w:t>Rentabilidad social de las cárceles</w:t>
      </w:r>
      <w:r>
        <w:rPr>
          <w:rFonts w:ascii="Cambria" w:eastAsiaTheme="minorEastAsia" w:hAnsi="Cambria"/>
        </w:rPr>
        <w:t xml:space="preserve">. </w:t>
      </w:r>
      <w:r w:rsidR="00010DB3">
        <w:rPr>
          <w:rFonts w:ascii="Cambria" w:eastAsiaTheme="minorEastAsia" w:hAnsi="Cambria"/>
        </w:rPr>
        <w:t>La experiencia latinoamericana en la utilización de APP en cárceles es todavía incipiente. Los análisis económicos encomendados por el BID todavía son de carácter cualitativo</w:t>
      </w:r>
      <w:r w:rsidR="00010DB3">
        <w:rPr>
          <w:rStyle w:val="FootnoteReference"/>
          <w:rFonts w:ascii="Cambria" w:eastAsiaTheme="minorEastAsia" w:hAnsi="Cambria"/>
        </w:rPr>
        <w:footnoteReference w:id="10"/>
      </w:r>
      <w:r w:rsidR="00D04214">
        <w:rPr>
          <w:rFonts w:ascii="Cambria" w:eastAsiaTheme="minorEastAsia" w:hAnsi="Cambria"/>
        </w:rPr>
        <w:t xml:space="preserve"> y</w:t>
      </w:r>
      <w:r w:rsidR="00010DB3">
        <w:rPr>
          <w:rFonts w:ascii="Cambria" w:eastAsiaTheme="minorEastAsia" w:hAnsi="Cambria"/>
        </w:rPr>
        <w:t xml:space="preserve"> no permiten </w:t>
      </w:r>
      <w:r w:rsidR="00D04214">
        <w:rPr>
          <w:rFonts w:ascii="Cambria" w:eastAsiaTheme="minorEastAsia" w:hAnsi="Cambria"/>
        </w:rPr>
        <w:t xml:space="preserve">todavía </w:t>
      </w:r>
      <w:r w:rsidR="00010DB3">
        <w:rPr>
          <w:rFonts w:ascii="Cambria" w:eastAsiaTheme="minorEastAsia" w:hAnsi="Cambria"/>
        </w:rPr>
        <w:t>comparaciones de costo-eficiencia</w:t>
      </w:r>
      <w:r w:rsidR="00D04214">
        <w:rPr>
          <w:rFonts w:ascii="Cambria" w:eastAsiaTheme="minorEastAsia" w:hAnsi="Cambria"/>
        </w:rPr>
        <w:t xml:space="preserve"> o costo-beneficio</w:t>
      </w:r>
      <w:r w:rsidR="00010DB3">
        <w:rPr>
          <w:rFonts w:ascii="Cambria" w:eastAsiaTheme="minorEastAsia" w:hAnsi="Cambria"/>
        </w:rPr>
        <w:t>, porque los productos que suministran las cárceles públicas son diferentes de los que proveen las cárceles privadas</w:t>
      </w:r>
      <w:r w:rsidR="00D04214">
        <w:rPr>
          <w:rFonts w:ascii="Cambria" w:eastAsiaTheme="minorEastAsia" w:hAnsi="Cambria"/>
        </w:rPr>
        <w:t xml:space="preserve"> y no se han medido los impactos de cada posible intervención de acuerdo a diferentes políticas penitenciarias</w:t>
      </w:r>
      <w:r w:rsidR="00010DB3">
        <w:rPr>
          <w:rFonts w:ascii="Cambria" w:eastAsiaTheme="minorEastAsia" w:hAnsi="Cambria"/>
        </w:rPr>
        <w:t xml:space="preserve">. </w:t>
      </w:r>
      <w:r w:rsidR="00C90460">
        <w:rPr>
          <w:rFonts w:ascii="Cambria" w:eastAsiaTheme="minorEastAsia" w:hAnsi="Cambria"/>
        </w:rPr>
        <w:t xml:space="preserve">Dammert y Díaz (2005) </w:t>
      </w:r>
      <w:r w:rsidR="00450FDC">
        <w:rPr>
          <w:rFonts w:ascii="Cambria" w:eastAsiaTheme="minorEastAsia" w:hAnsi="Cambria"/>
        </w:rPr>
        <w:t>muestra</w:t>
      </w:r>
      <w:r w:rsidR="00C90460">
        <w:rPr>
          <w:rFonts w:ascii="Cambria" w:eastAsiaTheme="minorEastAsia" w:hAnsi="Cambria"/>
        </w:rPr>
        <w:t>n para el caso chileno,</w:t>
      </w:r>
      <w:r w:rsidR="00450FDC">
        <w:rPr>
          <w:rFonts w:ascii="Cambria" w:eastAsiaTheme="minorEastAsia" w:hAnsi="Cambria"/>
        </w:rPr>
        <w:t xml:space="preserve"> que los costos privados pueden ser superiores (ver Tabla 1)</w:t>
      </w:r>
      <w:r w:rsidR="00226642">
        <w:rPr>
          <w:rFonts w:ascii="Cambria" w:eastAsiaTheme="minorEastAsia" w:hAnsi="Cambria"/>
        </w:rPr>
        <w:t xml:space="preserve"> </w:t>
      </w:r>
      <w:r w:rsidR="00C90460">
        <w:rPr>
          <w:rFonts w:ascii="Cambria" w:eastAsiaTheme="minorEastAsia" w:hAnsi="Cambria"/>
        </w:rPr>
        <w:t>a los públicos</w:t>
      </w:r>
      <w:r w:rsidR="00450FDC">
        <w:rPr>
          <w:rFonts w:ascii="Cambria" w:eastAsiaTheme="minorEastAsia" w:hAnsi="Cambria"/>
        </w:rPr>
        <w:t>.</w:t>
      </w:r>
      <w:r w:rsidR="00C90460">
        <w:rPr>
          <w:rFonts w:ascii="Cambria" w:eastAsiaTheme="minorEastAsia" w:hAnsi="Cambria"/>
        </w:rPr>
        <w:t xml:space="preserve"> </w:t>
      </w:r>
    </w:p>
    <w:p w:rsidR="00C90460" w:rsidRDefault="00C90460" w:rsidP="00010DB3">
      <w:pPr>
        <w:pStyle w:val="Default"/>
        <w:spacing w:line="276" w:lineRule="auto"/>
        <w:jc w:val="both"/>
        <w:rPr>
          <w:rFonts w:ascii="Cambria" w:eastAsiaTheme="minorEastAsia" w:hAnsi="Cambria"/>
        </w:rPr>
      </w:pPr>
    </w:p>
    <w:p w:rsidR="00211088" w:rsidRPr="00450FDC" w:rsidRDefault="00450FDC" w:rsidP="00211088">
      <w:pPr>
        <w:pStyle w:val="Default"/>
        <w:spacing w:line="276" w:lineRule="auto"/>
        <w:jc w:val="center"/>
        <w:rPr>
          <w:rFonts w:ascii="Cambria" w:eastAsiaTheme="minorEastAsia" w:hAnsi="Cambria"/>
          <w:b/>
          <w:smallCaps/>
        </w:rPr>
      </w:pPr>
      <w:r w:rsidRPr="00450FDC">
        <w:rPr>
          <w:rFonts w:ascii="Cambria" w:eastAsiaTheme="minorEastAsia" w:hAnsi="Cambria"/>
          <w:b/>
          <w:smallCaps/>
        </w:rPr>
        <w:t>Tabla 1</w:t>
      </w:r>
      <w:r w:rsidR="00211088" w:rsidRPr="00450FDC">
        <w:rPr>
          <w:rFonts w:ascii="Cambria" w:eastAsiaTheme="minorEastAsia" w:hAnsi="Cambria"/>
          <w:b/>
          <w:smallCaps/>
        </w:rPr>
        <w:t>.</w:t>
      </w:r>
      <w:r w:rsidRPr="00450FDC">
        <w:rPr>
          <w:rFonts w:ascii="Cambria" w:eastAsiaTheme="minorEastAsia" w:hAnsi="Cambria"/>
          <w:b/>
          <w:smallCaps/>
        </w:rPr>
        <w:t xml:space="preserve"> Costo por interno público y privado</w:t>
      </w:r>
    </w:p>
    <w:p w:rsidR="00211088" w:rsidRDefault="00211088" w:rsidP="00211088">
      <w:pPr>
        <w:pStyle w:val="Default"/>
        <w:spacing w:line="276" w:lineRule="auto"/>
        <w:jc w:val="center"/>
        <w:rPr>
          <w:rFonts w:ascii="Cambria" w:eastAsiaTheme="minorEastAsia" w:hAnsi="Cambria"/>
        </w:rPr>
      </w:pPr>
      <w:r>
        <w:rPr>
          <w:noProof/>
          <w:lang w:val="en-US"/>
        </w:rPr>
        <w:drawing>
          <wp:inline distT="0" distB="0" distL="0" distR="0" wp14:anchorId="22481A90" wp14:editId="2D071EC7">
            <wp:extent cx="5612130" cy="9696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969645"/>
                    </a:xfrm>
                    <a:prstGeom prst="rect">
                      <a:avLst/>
                    </a:prstGeom>
                  </pic:spPr>
                </pic:pic>
              </a:graphicData>
            </a:graphic>
          </wp:inline>
        </w:drawing>
      </w:r>
    </w:p>
    <w:p w:rsidR="00211088" w:rsidRDefault="00211088" w:rsidP="00211088">
      <w:pPr>
        <w:pStyle w:val="Default"/>
        <w:spacing w:line="276" w:lineRule="auto"/>
        <w:jc w:val="center"/>
        <w:rPr>
          <w:rFonts w:ascii="Cambria" w:eastAsiaTheme="minorEastAsia" w:hAnsi="Cambria"/>
        </w:rPr>
      </w:pPr>
      <w:r>
        <w:rPr>
          <w:rFonts w:ascii="Cambria" w:eastAsiaTheme="minorEastAsia" w:hAnsi="Cambria"/>
        </w:rPr>
        <w:t>Fuente:</w:t>
      </w:r>
      <w:r w:rsidR="00450FDC">
        <w:rPr>
          <w:rFonts w:ascii="Cambria" w:eastAsiaTheme="minorEastAsia" w:hAnsi="Cambria"/>
        </w:rPr>
        <w:t xml:space="preserve"> Dammert y Díaz (2013: 5)</w:t>
      </w:r>
    </w:p>
    <w:p w:rsidR="00450FDC" w:rsidRDefault="00450FDC" w:rsidP="00450FDC">
      <w:pPr>
        <w:pStyle w:val="Default"/>
        <w:spacing w:line="276" w:lineRule="auto"/>
        <w:jc w:val="both"/>
        <w:rPr>
          <w:rFonts w:ascii="Cambria" w:eastAsiaTheme="minorEastAsia" w:hAnsi="Cambria"/>
        </w:rPr>
      </w:pPr>
    </w:p>
    <w:p w:rsidR="00C90460" w:rsidRDefault="00C90460" w:rsidP="00C90460">
      <w:pPr>
        <w:pStyle w:val="Default"/>
        <w:spacing w:line="276" w:lineRule="auto"/>
        <w:jc w:val="both"/>
        <w:rPr>
          <w:rFonts w:ascii="Cambria" w:eastAsiaTheme="minorEastAsia" w:hAnsi="Cambria"/>
        </w:rPr>
      </w:pPr>
      <w:r>
        <w:rPr>
          <w:rFonts w:ascii="Cambria" w:eastAsiaTheme="minorEastAsia" w:hAnsi="Cambria"/>
        </w:rPr>
        <w:t xml:space="preserve">Dammert y Díaz (2005) identifican el riesgo de que las concesiones en cárceles se concentran en inversiones en finca raíz y no incluyan la prestación de servicios orientados por una política.  </w:t>
      </w:r>
    </w:p>
    <w:p w:rsidR="00450FDC" w:rsidRDefault="00450FDC" w:rsidP="00450FDC">
      <w:pPr>
        <w:pStyle w:val="Default"/>
        <w:spacing w:line="276" w:lineRule="auto"/>
        <w:jc w:val="both"/>
        <w:rPr>
          <w:rFonts w:ascii="Cambria" w:eastAsiaTheme="minorEastAsia" w:hAnsi="Cambria"/>
        </w:rPr>
      </w:pPr>
    </w:p>
    <w:p w:rsidR="00841AB9" w:rsidRDefault="00841AB9">
      <w:pPr>
        <w:rPr>
          <w:rFonts w:ascii="Cambria" w:eastAsiaTheme="minorEastAsia" w:hAnsi="Cambria" w:cs="Calibri"/>
          <w:color w:val="000000"/>
          <w:sz w:val="24"/>
          <w:szCs w:val="24"/>
        </w:rPr>
      </w:pPr>
      <w:r>
        <w:rPr>
          <w:rFonts w:ascii="Cambria" w:eastAsiaTheme="minorEastAsia" w:hAnsi="Cambria"/>
        </w:rPr>
        <w:br w:type="page"/>
      </w:r>
    </w:p>
    <w:p w:rsidR="006960EB" w:rsidRPr="00841AB9" w:rsidRDefault="00841AB9" w:rsidP="001E1419">
      <w:pPr>
        <w:pStyle w:val="Default"/>
        <w:spacing w:line="276" w:lineRule="auto"/>
        <w:jc w:val="both"/>
        <w:rPr>
          <w:rFonts w:ascii="Cambria" w:eastAsiaTheme="minorEastAsia" w:hAnsi="Cambria"/>
          <w:b/>
          <w:smallCaps/>
        </w:rPr>
      </w:pPr>
      <w:r w:rsidRPr="00841AB9">
        <w:rPr>
          <w:rFonts w:ascii="Cambria" w:eastAsiaTheme="minorEastAsia" w:hAnsi="Cambria"/>
          <w:b/>
          <w:smallCaps/>
        </w:rPr>
        <w:t xml:space="preserve">4 Estimación del cociente </w:t>
      </w:r>
      <w:r w:rsidRPr="00B04BE0">
        <w:rPr>
          <w:rFonts w:ascii="Cambria" w:eastAsiaTheme="minorEastAsia" w:hAnsi="Cambria"/>
          <w:b/>
          <w:i/>
          <w:smallCaps/>
        </w:rPr>
        <w:t>B</w:t>
      </w:r>
      <w:r w:rsidRPr="00841AB9">
        <w:rPr>
          <w:rFonts w:ascii="Cambria" w:eastAsiaTheme="minorEastAsia" w:hAnsi="Cambria"/>
          <w:b/>
          <w:smallCaps/>
        </w:rPr>
        <w:t>/</w:t>
      </w:r>
      <w:r w:rsidRPr="00B04BE0">
        <w:rPr>
          <w:rFonts w:ascii="Cambria" w:eastAsiaTheme="minorEastAsia" w:hAnsi="Cambria"/>
          <w:b/>
          <w:i/>
          <w:smallCaps/>
        </w:rPr>
        <w:t>C</w:t>
      </w:r>
      <w:r w:rsidRPr="00841AB9">
        <w:rPr>
          <w:rFonts w:ascii="Cambria" w:eastAsiaTheme="minorEastAsia" w:hAnsi="Cambria"/>
          <w:b/>
          <w:smallCaps/>
        </w:rPr>
        <w:t xml:space="preserve"> del programa y análisis de sensibilidad</w:t>
      </w:r>
    </w:p>
    <w:p w:rsidR="00841AB9" w:rsidRDefault="00841AB9" w:rsidP="001E1419">
      <w:pPr>
        <w:pStyle w:val="Default"/>
        <w:spacing w:line="276" w:lineRule="auto"/>
        <w:jc w:val="both"/>
        <w:rPr>
          <w:rFonts w:ascii="Cambria" w:eastAsiaTheme="minorEastAsia" w:hAnsi="Cambria"/>
        </w:rPr>
      </w:pPr>
    </w:p>
    <w:p w:rsidR="00841AB9" w:rsidRPr="00C22509" w:rsidRDefault="00C22509" w:rsidP="001E1419">
      <w:pPr>
        <w:pStyle w:val="Default"/>
        <w:spacing w:line="276" w:lineRule="auto"/>
        <w:jc w:val="both"/>
        <w:rPr>
          <w:rFonts w:ascii="Cambria" w:eastAsiaTheme="minorEastAsia" w:hAnsi="Cambria"/>
          <w:b/>
          <w:smallCaps/>
        </w:rPr>
      </w:pPr>
      <w:r>
        <w:rPr>
          <w:rFonts w:ascii="Cambria" w:eastAsiaTheme="minorEastAsia" w:hAnsi="Cambria"/>
        </w:rPr>
        <w:tab/>
      </w:r>
      <w:r w:rsidR="004B2635">
        <w:rPr>
          <w:rFonts w:ascii="Cambria" w:eastAsiaTheme="minorEastAsia" w:hAnsi="Cambria"/>
          <w:b/>
          <w:smallCaps/>
        </w:rPr>
        <w:t>4.1 Resultados sectoriales y agregados</w:t>
      </w:r>
      <w:r w:rsidR="00B10DFE">
        <w:rPr>
          <w:rFonts w:ascii="Cambria" w:eastAsiaTheme="minorEastAsia" w:hAnsi="Cambria"/>
          <w:b/>
          <w:smallCaps/>
        </w:rPr>
        <w:t xml:space="preserve"> (Escenario Básico) </w:t>
      </w:r>
    </w:p>
    <w:p w:rsidR="00C22509" w:rsidRDefault="00C22509" w:rsidP="001E1419">
      <w:pPr>
        <w:pStyle w:val="Default"/>
        <w:spacing w:line="276" w:lineRule="auto"/>
        <w:jc w:val="both"/>
        <w:rPr>
          <w:rFonts w:ascii="Cambria" w:eastAsiaTheme="minorEastAsia" w:hAnsi="Cambria"/>
        </w:rPr>
      </w:pPr>
    </w:p>
    <w:p w:rsidR="00AF19B6" w:rsidRDefault="004B2635" w:rsidP="001E1419">
      <w:pPr>
        <w:pStyle w:val="Default"/>
        <w:spacing w:line="276" w:lineRule="auto"/>
        <w:jc w:val="both"/>
        <w:rPr>
          <w:rFonts w:ascii="Cambria" w:eastAsiaTheme="minorEastAsia" w:hAnsi="Cambria"/>
        </w:rPr>
      </w:pPr>
      <w:r>
        <w:rPr>
          <w:rFonts w:ascii="Cambria" w:eastAsiaTheme="minorEastAsia" w:hAnsi="Cambria"/>
        </w:rPr>
        <w:t xml:space="preserve">Aplicando </w:t>
      </w:r>
      <w:r w:rsidR="00AF19B6">
        <w:rPr>
          <w:rFonts w:ascii="Cambria" w:eastAsiaTheme="minorEastAsia" w:hAnsi="Cambria"/>
        </w:rPr>
        <w:t xml:space="preserve">el protocolo de evaluación </w:t>
      </w:r>
      <w:r>
        <w:rPr>
          <w:rFonts w:ascii="Cambria" w:eastAsiaTheme="minorEastAsia" w:hAnsi="Cambria"/>
        </w:rPr>
        <w:t>propuesto en la sección</w:t>
      </w:r>
      <w:r w:rsidR="00AF19B6">
        <w:rPr>
          <w:rFonts w:ascii="Cambria" w:eastAsiaTheme="minorEastAsia" w:hAnsi="Cambria"/>
        </w:rPr>
        <w:t xml:space="preserve"> 2.2, se</w:t>
      </w:r>
      <w:r w:rsidR="00C86833">
        <w:rPr>
          <w:rFonts w:ascii="Cambria" w:eastAsiaTheme="minorEastAsia" w:hAnsi="Cambria"/>
        </w:rPr>
        <w:t xml:space="preserve"> </w:t>
      </w:r>
      <w:r w:rsidR="006D72A9">
        <w:rPr>
          <w:rFonts w:ascii="Cambria" w:eastAsiaTheme="minorEastAsia" w:hAnsi="Cambria"/>
        </w:rPr>
        <w:t xml:space="preserve">multiplica el cociente de la intervención (segunda columna Tabla 2) por el </w:t>
      </w:r>
      <w:r w:rsidR="00C86833">
        <w:rPr>
          <w:rFonts w:ascii="Cambria" w:eastAsiaTheme="minorEastAsia" w:hAnsi="Cambria"/>
        </w:rPr>
        <w:t>valor presente de lo</w:t>
      </w:r>
      <w:r w:rsidR="00AF19B6">
        <w:rPr>
          <w:rFonts w:ascii="Cambria" w:eastAsiaTheme="minorEastAsia" w:hAnsi="Cambria"/>
        </w:rPr>
        <w:t xml:space="preserve">s </w:t>
      </w:r>
      <w:r w:rsidR="006D72A9">
        <w:rPr>
          <w:rFonts w:ascii="Cambria" w:eastAsiaTheme="minorEastAsia" w:hAnsi="Cambria"/>
        </w:rPr>
        <w:t xml:space="preserve">costos por intervención (tercera columna) </w:t>
      </w:r>
      <w:r w:rsidR="00AF19B6">
        <w:rPr>
          <w:rFonts w:ascii="Cambria" w:eastAsiaTheme="minorEastAsia" w:hAnsi="Cambria"/>
        </w:rPr>
        <w:t>para encontrar el valor presente de los beneficios de la intervención</w:t>
      </w:r>
      <w:r w:rsidR="00C86833">
        <w:rPr>
          <w:rFonts w:ascii="Cambria" w:eastAsiaTheme="minorEastAsia" w:hAnsi="Cambria"/>
        </w:rPr>
        <w:t xml:space="preserve"> (cuarta columna)</w:t>
      </w:r>
      <w:r w:rsidR="00AF19B6">
        <w:rPr>
          <w:rFonts w:ascii="Cambria" w:eastAsiaTheme="minorEastAsia" w:hAnsi="Cambria"/>
        </w:rPr>
        <w:t xml:space="preserve">. </w:t>
      </w:r>
      <w:r w:rsidR="00882D1F">
        <w:rPr>
          <w:rFonts w:ascii="Cambria" w:eastAsiaTheme="minorEastAsia" w:hAnsi="Cambria"/>
        </w:rPr>
        <w:t xml:space="preserve">El programa CO-L1162, salvo en cárceles, </w:t>
      </w:r>
      <w:r w:rsidR="00EF42A4">
        <w:rPr>
          <w:rFonts w:ascii="Cambria" w:eastAsiaTheme="minorEastAsia" w:hAnsi="Cambria"/>
        </w:rPr>
        <w:t>movilizaría</w:t>
      </w:r>
      <w:r w:rsidR="00882D1F">
        <w:rPr>
          <w:rFonts w:ascii="Cambria" w:eastAsiaTheme="minorEastAsia" w:hAnsi="Cambria"/>
        </w:rPr>
        <w:t xml:space="preserve"> incrementalmente</w:t>
      </w:r>
      <w:r w:rsidR="007972FD">
        <w:rPr>
          <w:rFonts w:ascii="Cambria" w:eastAsiaTheme="minorEastAsia" w:hAnsi="Cambria"/>
        </w:rPr>
        <w:t>, en valor presente, COL$ 8.</w:t>
      </w:r>
      <w:r w:rsidR="000C601F">
        <w:rPr>
          <w:rFonts w:ascii="Cambria" w:eastAsiaTheme="minorEastAsia" w:hAnsi="Cambria"/>
        </w:rPr>
        <w:t>869</w:t>
      </w:r>
      <w:r w:rsidR="00EF42A4">
        <w:rPr>
          <w:rFonts w:ascii="Cambria" w:eastAsiaTheme="minorEastAsia" w:hAnsi="Cambria"/>
        </w:rPr>
        <w:t xml:space="preserve"> billones de inversión </w:t>
      </w:r>
      <w:r w:rsidR="00882D1F">
        <w:rPr>
          <w:rFonts w:ascii="Cambria" w:eastAsiaTheme="minorEastAsia" w:hAnsi="Cambria"/>
        </w:rPr>
        <w:t>combinada en CAPEX + OPEX</w:t>
      </w:r>
      <w:r w:rsidR="00EF42A4">
        <w:rPr>
          <w:rFonts w:ascii="Cambria" w:eastAsiaTheme="minorEastAsia" w:hAnsi="Cambria"/>
        </w:rPr>
        <w:t>, y generar</w:t>
      </w:r>
      <w:r w:rsidR="006D72A9">
        <w:rPr>
          <w:rFonts w:ascii="Cambria" w:eastAsiaTheme="minorEastAsia" w:hAnsi="Cambria"/>
        </w:rPr>
        <w:t xml:space="preserve">ía </w:t>
      </w:r>
      <w:r w:rsidR="00EF42A4">
        <w:rPr>
          <w:rFonts w:ascii="Cambria" w:eastAsiaTheme="minorEastAsia" w:hAnsi="Cambria"/>
        </w:rPr>
        <w:t xml:space="preserve">beneficios de COL$ </w:t>
      </w:r>
      <w:r w:rsidR="000C601F">
        <w:rPr>
          <w:rFonts w:ascii="Cambria" w:eastAsiaTheme="minorEastAsia" w:hAnsi="Cambria"/>
        </w:rPr>
        <w:t>13.224</w:t>
      </w:r>
      <w:r w:rsidR="00EF42A4" w:rsidRPr="007972FD">
        <w:rPr>
          <w:rFonts w:ascii="Cambria" w:eastAsiaTheme="minorEastAsia" w:hAnsi="Cambria"/>
        </w:rPr>
        <w:t xml:space="preserve"> billones</w:t>
      </w:r>
      <w:r w:rsidR="00EF42A4">
        <w:rPr>
          <w:rFonts w:ascii="Cambria" w:eastAsiaTheme="minorEastAsia" w:hAnsi="Cambria"/>
        </w:rPr>
        <w:t xml:space="preserve">. El cociente global </w:t>
      </w:r>
      <w:r w:rsidR="00EF42A4" w:rsidRPr="00EF42A4">
        <w:rPr>
          <w:rFonts w:ascii="Cambria" w:eastAsiaTheme="minorEastAsia" w:hAnsi="Cambria"/>
          <w:i/>
        </w:rPr>
        <w:t>B</w:t>
      </w:r>
      <w:r w:rsidR="00EF42A4">
        <w:rPr>
          <w:rFonts w:ascii="Cambria" w:eastAsiaTheme="minorEastAsia" w:hAnsi="Cambria"/>
        </w:rPr>
        <w:t>/</w:t>
      </w:r>
      <w:r w:rsidR="00EF42A4" w:rsidRPr="00EF42A4">
        <w:rPr>
          <w:rFonts w:ascii="Cambria" w:eastAsiaTheme="minorEastAsia" w:hAnsi="Cambria"/>
          <w:i/>
        </w:rPr>
        <w:t>C</w:t>
      </w:r>
      <w:r w:rsidR="007972FD">
        <w:rPr>
          <w:rFonts w:ascii="Cambria" w:eastAsiaTheme="minorEastAsia" w:hAnsi="Cambria"/>
        </w:rPr>
        <w:t xml:space="preserve"> del programa es 1</w:t>
      </w:r>
      <w:r w:rsidR="000C601F">
        <w:rPr>
          <w:rFonts w:ascii="Cambria" w:eastAsiaTheme="minorEastAsia" w:hAnsi="Cambria"/>
        </w:rPr>
        <w:t>.49</w:t>
      </w:r>
      <w:r w:rsidR="007972FD">
        <w:rPr>
          <w:rFonts w:ascii="Cambria" w:eastAsiaTheme="minorEastAsia" w:hAnsi="Cambria"/>
        </w:rPr>
        <w:t>.</w:t>
      </w:r>
      <w:r w:rsidR="00C91E6F">
        <w:rPr>
          <w:rFonts w:ascii="Cambria" w:eastAsiaTheme="minorEastAsia" w:hAnsi="Cambria"/>
        </w:rPr>
        <w:t xml:space="preserve"> </w:t>
      </w:r>
    </w:p>
    <w:p w:rsidR="00AF19B6" w:rsidRDefault="00AF19B6" w:rsidP="001E1419">
      <w:pPr>
        <w:pStyle w:val="Default"/>
        <w:spacing w:line="276" w:lineRule="auto"/>
        <w:jc w:val="both"/>
        <w:rPr>
          <w:rFonts w:ascii="Cambria" w:eastAsiaTheme="minorEastAsia" w:hAnsi="Cambria"/>
        </w:rPr>
      </w:pPr>
    </w:p>
    <w:p w:rsidR="00C22509" w:rsidRDefault="00AF19B6" w:rsidP="00AF19B6">
      <w:pPr>
        <w:pStyle w:val="Default"/>
        <w:spacing w:line="276" w:lineRule="auto"/>
        <w:jc w:val="center"/>
        <w:rPr>
          <w:rFonts w:ascii="Cambria" w:eastAsiaTheme="minorEastAsia" w:hAnsi="Cambria"/>
          <w:b/>
          <w:smallCaps/>
        </w:rPr>
      </w:pPr>
      <w:r w:rsidRPr="00AF19B6">
        <w:rPr>
          <w:rFonts w:ascii="Cambria" w:eastAsiaTheme="minorEastAsia" w:hAnsi="Cambria"/>
          <w:b/>
          <w:smallCaps/>
        </w:rPr>
        <w:t>Tabla 2. Análisis costo-beneficio del programa CO-L1162</w:t>
      </w:r>
    </w:p>
    <w:p w:rsidR="00C86833" w:rsidRPr="00AF19B6" w:rsidRDefault="00C86833" w:rsidP="00AF19B6">
      <w:pPr>
        <w:pStyle w:val="Default"/>
        <w:spacing w:line="276" w:lineRule="auto"/>
        <w:jc w:val="center"/>
        <w:rPr>
          <w:rFonts w:ascii="Cambria" w:eastAsiaTheme="minorEastAsia" w:hAnsi="Cambria"/>
          <w:b/>
          <w:smallCaps/>
        </w:rPr>
      </w:pPr>
    </w:p>
    <w:tbl>
      <w:tblPr>
        <w:tblStyle w:val="TableGrid"/>
        <w:tblW w:w="0" w:type="auto"/>
        <w:tblLook w:val="04A0" w:firstRow="1" w:lastRow="0" w:firstColumn="1" w:lastColumn="0" w:noHBand="0" w:noVBand="1"/>
      </w:tblPr>
      <w:tblGrid>
        <w:gridCol w:w="2637"/>
        <w:gridCol w:w="2056"/>
        <w:gridCol w:w="2058"/>
        <w:gridCol w:w="2077"/>
      </w:tblGrid>
      <w:tr w:rsidR="00AF19B6" w:rsidTr="00CA210E">
        <w:tc>
          <w:tcPr>
            <w:tcW w:w="2637" w:type="dxa"/>
            <w:shd w:val="clear" w:color="auto" w:fill="66CCFF"/>
            <w:vAlign w:val="center"/>
          </w:tcPr>
          <w:p w:rsidR="00AF19B6" w:rsidRPr="00885532" w:rsidRDefault="00AF19B6" w:rsidP="004B6650">
            <w:pPr>
              <w:pStyle w:val="Default"/>
              <w:spacing w:line="276" w:lineRule="auto"/>
              <w:jc w:val="center"/>
              <w:rPr>
                <w:rFonts w:ascii="Cambria" w:eastAsiaTheme="minorEastAsia" w:hAnsi="Cambria"/>
                <w:b/>
                <w:smallCaps/>
                <w:sz w:val="22"/>
                <w:szCs w:val="22"/>
              </w:rPr>
            </w:pPr>
            <w:r w:rsidRPr="00885532">
              <w:rPr>
                <w:rFonts w:ascii="Cambria" w:eastAsiaTheme="minorEastAsia" w:hAnsi="Cambria"/>
                <w:b/>
                <w:smallCaps/>
                <w:sz w:val="22"/>
                <w:szCs w:val="22"/>
              </w:rPr>
              <w:t>Sector</w:t>
            </w:r>
          </w:p>
        </w:tc>
        <w:tc>
          <w:tcPr>
            <w:tcW w:w="2056" w:type="dxa"/>
            <w:shd w:val="clear" w:color="auto" w:fill="66CCFF"/>
            <w:vAlign w:val="center"/>
          </w:tcPr>
          <w:p w:rsidR="00AF19B6" w:rsidRPr="00885532" w:rsidRDefault="00AF19B6" w:rsidP="004B6650">
            <w:pPr>
              <w:pStyle w:val="Default"/>
              <w:spacing w:line="276" w:lineRule="auto"/>
              <w:jc w:val="center"/>
              <w:rPr>
                <w:rFonts w:ascii="Cambria" w:eastAsiaTheme="minorEastAsia" w:hAnsi="Cambria"/>
                <w:b/>
                <w:smallCaps/>
                <w:sz w:val="22"/>
                <w:szCs w:val="22"/>
              </w:rPr>
            </w:pPr>
            <w:r w:rsidRPr="00885532">
              <w:rPr>
                <w:rFonts w:ascii="Cambria" w:eastAsiaTheme="minorEastAsia" w:hAnsi="Cambria"/>
                <w:b/>
                <w:i/>
                <w:smallCaps/>
                <w:sz w:val="22"/>
                <w:szCs w:val="22"/>
              </w:rPr>
              <w:t>B</w:t>
            </w:r>
            <w:r w:rsidRPr="00885532">
              <w:rPr>
                <w:rFonts w:ascii="Cambria" w:eastAsiaTheme="minorEastAsia" w:hAnsi="Cambria"/>
                <w:b/>
                <w:smallCaps/>
                <w:sz w:val="22"/>
                <w:szCs w:val="22"/>
              </w:rPr>
              <w:t>/</w:t>
            </w:r>
            <w:r w:rsidRPr="00885532">
              <w:rPr>
                <w:rFonts w:ascii="Cambria" w:eastAsiaTheme="minorEastAsia" w:hAnsi="Cambria"/>
                <w:b/>
                <w:i/>
                <w:smallCaps/>
                <w:sz w:val="22"/>
                <w:szCs w:val="22"/>
              </w:rPr>
              <w:t>C</w:t>
            </w:r>
          </w:p>
        </w:tc>
        <w:tc>
          <w:tcPr>
            <w:tcW w:w="2058" w:type="dxa"/>
            <w:shd w:val="clear" w:color="auto" w:fill="66CCFF"/>
          </w:tcPr>
          <w:p w:rsidR="00AF19B6" w:rsidRPr="00885532" w:rsidRDefault="00AF19B6" w:rsidP="00C86833">
            <w:pPr>
              <w:pStyle w:val="Default"/>
              <w:spacing w:line="276" w:lineRule="auto"/>
              <w:jc w:val="center"/>
              <w:rPr>
                <w:rFonts w:ascii="Cambria" w:eastAsiaTheme="minorEastAsia" w:hAnsi="Cambria"/>
                <w:b/>
                <w:i/>
                <w:smallCaps/>
                <w:sz w:val="22"/>
                <w:szCs w:val="22"/>
              </w:rPr>
            </w:pPr>
            <w:r w:rsidRPr="00885532">
              <w:rPr>
                <w:rFonts w:ascii="Cambria" w:eastAsiaTheme="minorEastAsia" w:hAnsi="Cambria"/>
                <w:b/>
                <w:i/>
                <w:smallCaps/>
                <w:sz w:val="22"/>
                <w:szCs w:val="22"/>
              </w:rPr>
              <w:t>C</w:t>
            </w:r>
          </w:p>
          <w:p w:rsidR="00AF19B6" w:rsidRPr="00885532" w:rsidRDefault="00AF19B6" w:rsidP="00C86833">
            <w:pPr>
              <w:pStyle w:val="Default"/>
              <w:spacing w:line="276" w:lineRule="auto"/>
              <w:jc w:val="center"/>
              <w:rPr>
                <w:rFonts w:ascii="Cambria" w:eastAsiaTheme="minorEastAsia" w:hAnsi="Cambria"/>
                <w:b/>
                <w:smallCaps/>
                <w:sz w:val="22"/>
                <w:szCs w:val="22"/>
              </w:rPr>
            </w:pPr>
            <w:r w:rsidRPr="00885532">
              <w:rPr>
                <w:rFonts w:ascii="Cambria" w:eastAsiaTheme="minorEastAsia" w:hAnsi="Cambria"/>
                <w:b/>
                <w:smallCaps/>
                <w:sz w:val="22"/>
                <w:szCs w:val="22"/>
              </w:rPr>
              <w:t>(COL$ billones 2016)</w:t>
            </w:r>
          </w:p>
        </w:tc>
        <w:tc>
          <w:tcPr>
            <w:tcW w:w="2077" w:type="dxa"/>
            <w:shd w:val="clear" w:color="auto" w:fill="66CCFF"/>
          </w:tcPr>
          <w:p w:rsidR="00AF19B6" w:rsidRPr="00885532" w:rsidRDefault="00AF19B6" w:rsidP="00C86833">
            <w:pPr>
              <w:pStyle w:val="Default"/>
              <w:spacing w:line="276" w:lineRule="auto"/>
              <w:jc w:val="center"/>
              <w:rPr>
                <w:rFonts w:ascii="Cambria" w:eastAsiaTheme="minorEastAsia" w:hAnsi="Cambria"/>
                <w:b/>
                <w:i/>
                <w:smallCaps/>
                <w:sz w:val="22"/>
                <w:szCs w:val="22"/>
              </w:rPr>
            </w:pPr>
            <w:r w:rsidRPr="00885532">
              <w:rPr>
                <w:rFonts w:ascii="Cambria" w:eastAsiaTheme="minorEastAsia" w:hAnsi="Cambria"/>
                <w:b/>
                <w:i/>
                <w:smallCaps/>
                <w:sz w:val="22"/>
                <w:szCs w:val="22"/>
              </w:rPr>
              <w:t>B</w:t>
            </w:r>
          </w:p>
          <w:p w:rsidR="00AF19B6" w:rsidRPr="00885532" w:rsidRDefault="00AF19B6" w:rsidP="00C86833">
            <w:pPr>
              <w:pStyle w:val="Default"/>
              <w:spacing w:line="276" w:lineRule="auto"/>
              <w:jc w:val="center"/>
              <w:rPr>
                <w:rFonts w:ascii="Cambria" w:eastAsiaTheme="minorEastAsia" w:hAnsi="Cambria"/>
                <w:b/>
                <w:smallCaps/>
                <w:sz w:val="22"/>
                <w:szCs w:val="22"/>
              </w:rPr>
            </w:pPr>
            <w:r w:rsidRPr="00885532">
              <w:rPr>
                <w:rFonts w:ascii="Cambria" w:eastAsiaTheme="minorEastAsia" w:hAnsi="Cambria"/>
                <w:b/>
                <w:smallCaps/>
                <w:sz w:val="22"/>
                <w:szCs w:val="22"/>
              </w:rPr>
              <w:t>(COL$ billones 2016)</w:t>
            </w:r>
          </w:p>
        </w:tc>
      </w:tr>
      <w:tr w:rsidR="008A18F8" w:rsidTr="00C91E6F">
        <w:tc>
          <w:tcPr>
            <w:tcW w:w="2637" w:type="dxa"/>
            <w:shd w:val="clear" w:color="auto" w:fill="FFFFFF" w:themeFill="background1"/>
            <w:vAlign w:val="center"/>
          </w:tcPr>
          <w:p w:rsidR="00AF19B6" w:rsidRPr="00C91E6F" w:rsidRDefault="00AF19B6" w:rsidP="004B6650">
            <w:pPr>
              <w:pStyle w:val="Default"/>
              <w:spacing w:line="276" w:lineRule="auto"/>
              <w:rPr>
                <w:rFonts w:ascii="Cambria" w:eastAsiaTheme="minorEastAsia" w:hAnsi="Cambria"/>
                <w:sz w:val="22"/>
                <w:szCs w:val="22"/>
              </w:rPr>
            </w:pPr>
            <w:r w:rsidRPr="00C91E6F">
              <w:rPr>
                <w:rFonts w:ascii="Cambria" w:eastAsiaTheme="minorEastAsia" w:hAnsi="Cambria"/>
                <w:sz w:val="22"/>
                <w:szCs w:val="22"/>
              </w:rPr>
              <w:t>Educación</w:t>
            </w:r>
          </w:p>
        </w:tc>
        <w:tc>
          <w:tcPr>
            <w:tcW w:w="2056" w:type="dxa"/>
            <w:shd w:val="clear" w:color="auto" w:fill="FFFFFF" w:themeFill="background1"/>
          </w:tcPr>
          <w:p w:rsidR="00AF19B6" w:rsidRPr="004B6650" w:rsidRDefault="00AF19B6" w:rsidP="00AF19B6">
            <w:pPr>
              <w:pStyle w:val="Default"/>
              <w:spacing w:line="276" w:lineRule="auto"/>
              <w:jc w:val="center"/>
              <w:rPr>
                <w:rFonts w:ascii="Cambria" w:eastAsiaTheme="minorEastAsia" w:hAnsi="Cambria"/>
                <w:sz w:val="22"/>
                <w:szCs w:val="22"/>
              </w:rPr>
            </w:pPr>
            <w:r w:rsidRPr="004B6650">
              <w:rPr>
                <w:rFonts w:ascii="Cambria" w:eastAsiaTheme="minorEastAsia" w:hAnsi="Cambria"/>
                <w:sz w:val="22"/>
                <w:szCs w:val="22"/>
              </w:rPr>
              <w:t>1.22</w:t>
            </w:r>
          </w:p>
        </w:tc>
        <w:tc>
          <w:tcPr>
            <w:tcW w:w="2058" w:type="dxa"/>
            <w:shd w:val="clear" w:color="auto" w:fill="FFFFFF" w:themeFill="background1"/>
            <w:vAlign w:val="center"/>
          </w:tcPr>
          <w:p w:rsidR="00AF19B6" w:rsidRPr="004B6650" w:rsidRDefault="00C86833" w:rsidP="00EF42A4">
            <w:pPr>
              <w:pStyle w:val="Default"/>
              <w:spacing w:line="276" w:lineRule="auto"/>
              <w:jc w:val="center"/>
              <w:rPr>
                <w:rFonts w:ascii="Cambria" w:eastAsiaTheme="minorEastAsia" w:hAnsi="Cambria"/>
                <w:sz w:val="22"/>
                <w:szCs w:val="22"/>
              </w:rPr>
            </w:pPr>
            <w:r w:rsidRPr="004B6650">
              <w:rPr>
                <w:rFonts w:ascii="Cambria" w:eastAsiaTheme="minorEastAsia" w:hAnsi="Cambria"/>
                <w:sz w:val="22"/>
                <w:szCs w:val="22"/>
              </w:rPr>
              <w:t>0.625</w:t>
            </w:r>
          </w:p>
        </w:tc>
        <w:tc>
          <w:tcPr>
            <w:tcW w:w="2077" w:type="dxa"/>
            <w:shd w:val="clear" w:color="auto" w:fill="FFFFFF" w:themeFill="background1"/>
            <w:vAlign w:val="center"/>
          </w:tcPr>
          <w:p w:rsidR="00AF19B6" w:rsidRPr="004B6650" w:rsidRDefault="00C86833" w:rsidP="00EF42A4">
            <w:pPr>
              <w:pStyle w:val="Default"/>
              <w:spacing w:line="276" w:lineRule="auto"/>
              <w:jc w:val="center"/>
              <w:rPr>
                <w:rFonts w:ascii="Cambria" w:eastAsiaTheme="minorEastAsia" w:hAnsi="Cambria"/>
                <w:sz w:val="22"/>
                <w:szCs w:val="22"/>
              </w:rPr>
            </w:pPr>
            <w:r w:rsidRPr="004B6650">
              <w:rPr>
                <w:rFonts w:ascii="Cambria" w:eastAsiaTheme="minorEastAsia" w:hAnsi="Cambria"/>
                <w:sz w:val="22"/>
                <w:szCs w:val="22"/>
              </w:rPr>
              <w:t>0.763</w:t>
            </w:r>
          </w:p>
        </w:tc>
      </w:tr>
      <w:tr w:rsidR="00AF19B6" w:rsidTr="00C91E6F">
        <w:tc>
          <w:tcPr>
            <w:tcW w:w="2637" w:type="dxa"/>
            <w:shd w:val="clear" w:color="auto" w:fill="CCECFF"/>
            <w:vAlign w:val="center"/>
          </w:tcPr>
          <w:p w:rsidR="00AF19B6" w:rsidRPr="00C91E6F" w:rsidRDefault="00C86833" w:rsidP="004B6650">
            <w:pPr>
              <w:pStyle w:val="Default"/>
              <w:spacing w:line="276" w:lineRule="auto"/>
              <w:rPr>
                <w:rFonts w:ascii="Cambria" w:eastAsiaTheme="minorEastAsia" w:hAnsi="Cambria"/>
                <w:sz w:val="22"/>
                <w:szCs w:val="22"/>
              </w:rPr>
            </w:pPr>
            <w:r w:rsidRPr="00C91E6F">
              <w:rPr>
                <w:rFonts w:ascii="Cambria" w:eastAsiaTheme="minorEastAsia" w:hAnsi="Cambria"/>
                <w:sz w:val="22"/>
                <w:szCs w:val="22"/>
              </w:rPr>
              <w:t>Salud</w:t>
            </w:r>
          </w:p>
        </w:tc>
        <w:tc>
          <w:tcPr>
            <w:tcW w:w="2056" w:type="dxa"/>
            <w:shd w:val="clear" w:color="auto" w:fill="CCECFF"/>
          </w:tcPr>
          <w:p w:rsidR="00AF19B6" w:rsidRPr="004B6650" w:rsidRDefault="001D74B6" w:rsidP="00AF19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2.38</w:t>
            </w:r>
          </w:p>
        </w:tc>
        <w:tc>
          <w:tcPr>
            <w:tcW w:w="2058" w:type="dxa"/>
            <w:shd w:val="clear" w:color="auto" w:fill="CCECFF"/>
            <w:vAlign w:val="center"/>
          </w:tcPr>
          <w:p w:rsidR="00AF19B6" w:rsidRPr="004B6650" w:rsidRDefault="00C86833" w:rsidP="00EF42A4">
            <w:pPr>
              <w:pStyle w:val="Default"/>
              <w:spacing w:line="276" w:lineRule="auto"/>
              <w:jc w:val="center"/>
              <w:rPr>
                <w:rFonts w:ascii="Cambria" w:eastAsiaTheme="minorEastAsia" w:hAnsi="Cambria"/>
                <w:sz w:val="22"/>
                <w:szCs w:val="22"/>
              </w:rPr>
            </w:pPr>
            <w:r w:rsidRPr="004B6650">
              <w:rPr>
                <w:rFonts w:ascii="Cambria" w:eastAsiaTheme="minorEastAsia" w:hAnsi="Cambria"/>
                <w:sz w:val="22"/>
                <w:szCs w:val="22"/>
              </w:rPr>
              <w:t>2.159</w:t>
            </w:r>
          </w:p>
        </w:tc>
        <w:tc>
          <w:tcPr>
            <w:tcW w:w="2077" w:type="dxa"/>
            <w:shd w:val="clear" w:color="auto" w:fill="CCECFF"/>
            <w:vAlign w:val="center"/>
          </w:tcPr>
          <w:p w:rsidR="00AF19B6" w:rsidRPr="004B6650" w:rsidRDefault="00882D1F" w:rsidP="00EF42A4">
            <w:pPr>
              <w:pStyle w:val="Default"/>
              <w:spacing w:line="276" w:lineRule="auto"/>
              <w:jc w:val="center"/>
              <w:rPr>
                <w:rFonts w:ascii="Cambria" w:eastAsiaTheme="minorEastAsia" w:hAnsi="Cambria"/>
                <w:sz w:val="22"/>
                <w:szCs w:val="22"/>
              </w:rPr>
            </w:pPr>
            <w:r>
              <w:rPr>
                <w:rFonts w:ascii="Cambria" w:eastAsiaTheme="minorEastAsia" w:hAnsi="Cambria"/>
                <w:sz w:val="22"/>
                <w:szCs w:val="22"/>
              </w:rPr>
              <w:t>5.138</w:t>
            </w:r>
          </w:p>
        </w:tc>
      </w:tr>
      <w:tr w:rsidR="001D74B6" w:rsidTr="00C91E6F">
        <w:trPr>
          <w:trHeight w:val="603"/>
        </w:trPr>
        <w:tc>
          <w:tcPr>
            <w:tcW w:w="2637" w:type="dxa"/>
            <w:shd w:val="clear" w:color="auto" w:fill="FFFFFF" w:themeFill="background1"/>
            <w:vAlign w:val="center"/>
          </w:tcPr>
          <w:p w:rsidR="001D74B6" w:rsidRPr="00C91E6F" w:rsidRDefault="001D74B6" w:rsidP="001D74B6">
            <w:pPr>
              <w:pStyle w:val="Default"/>
              <w:spacing w:line="276" w:lineRule="auto"/>
              <w:rPr>
                <w:rFonts w:ascii="Cambria" w:eastAsiaTheme="minorEastAsia" w:hAnsi="Cambria"/>
                <w:sz w:val="22"/>
                <w:szCs w:val="22"/>
              </w:rPr>
            </w:pPr>
            <w:r w:rsidRPr="00C91E6F">
              <w:rPr>
                <w:rFonts w:ascii="Cambria" w:eastAsiaTheme="minorEastAsia" w:hAnsi="Cambria"/>
                <w:sz w:val="22"/>
                <w:szCs w:val="22"/>
              </w:rPr>
              <w:t>Agua</w:t>
            </w:r>
          </w:p>
        </w:tc>
        <w:tc>
          <w:tcPr>
            <w:tcW w:w="2056" w:type="dxa"/>
            <w:vAlign w:val="center"/>
          </w:tcPr>
          <w:p w:rsidR="001D74B6" w:rsidRPr="004B6650" w:rsidRDefault="00882D1F" w:rsidP="001D74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1.17</w:t>
            </w:r>
          </w:p>
        </w:tc>
        <w:tc>
          <w:tcPr>
            <w:tcW w:w="2058" w:type="dxa"/>
            <w:vAlign w:val="center"/>
          </w:tcPr>
          <w:p w:rsidR="001D74B6" w:rsidRPr="004B6650" w:rsidRDefault="000C601F" w:rsidP="001D74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3.132</w:t>
            </w:r>
          </w:p>
        </w:tc>
        <w:tc>
          <w:tcPr>
            <w:tcW w:w="2077" w:type="dxa"/>
            <w:vAlign w:val="center"/>
          </w:tcPr>
          <w:p w:rsidR="001D74B6" w:rsidRPr="004B6650" w:rsidRDefault="00882D1F" w:rsidP="001D74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3.</w:t>
            </w:r>
            <w:r w:rsidR="000C601F">
              <w:rPr>
                <w:rFonts w:ascii="Cambria" w:eastAsiaTheme="minorEastAsia" w:hAnsi="Cambria"/>
                <w:sz w:val="22"/>
                <w:szCs w:val="22"/>
              </w:rPr>
              <w:t>664</w:t>
            </w:r>
          </w:p>
        </w:tc>
      </w:tr>
      <w:tr w:rsidR="001D74B6" w:rsidTr="00C91E6F">
        <w:trPr>
          <w:trHeight w:val="603"/>
        </w:trPr>
        <w:tc>
          <w:tcPr>
            <w:tcW w:w="2637" w:type="dxa"/>
            <w:shd w:val="clear" w:color="auto" w:fill="CCECFF"/>
            <w:vAlign w:val="center"/>
          </w:tcPr>
          <w:p w:rsidR="001D74B6" w:rsidRPr="00C91E6F" w:rsidRDefault="001D74B6" w:rsidP="001D74B6">
            <w:pPr>
              <w:pStyle w:val="Default"/>
              <w:spacing w:line="276" w:lineRule="auto"/>
              <w:rPr>
                <w:rFonts w:ascii="Cambria" w:eastAsiaTheme="minorEastAsia" w:hAnsi="Cambria"/>
                <w:sz w:val="22"/>
                <w:szCs w:val="22"/>
              </w:rPr>
            </w:pPr>
            <w:r w:rsidRPr="00C91E6F">
              <w:rPr>
                <w:rFonts w:ascii="Cambria" w:eastAsiaTheme="minorEastAsia" w:hAnsi="Cambria"/>
                <w:sz w:val="22"/>
                <w:szCs w:val="22"/>
              </w:rPr>
              <w:t>Saneamiento</w:t>
            </w:r>
          </w:p>
        </w:tc>
        <w:tc>
          <w:tcPr>
            <w:tcW w:w="2056" w:type="dxa"/>
            <w:shd w:val="clear" w:color="auto" w:fill="CCECFF"/>
            <w:vAlign w:val="center"/>
          </w:tcPr>
          <w:p w:rsidR="001D74B6" w:rsidRPr="004B6650" w:rsidRDefault="00882D1F" w:rsidP="001D74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1.13</w:t>
            </w:r>
          </w:p>
        </w:tc>
        <w:tc>
          <w:tcPr>
            <w:tcW w:w="2058" w:type="dxa"/>
            <w:shd w:val="clear" w:color="auto" w:fill="CCECFF"/>
            <w:vAlign w:val="center"/>
          </w:tcPr>
          <w:p w:rsidR="001D74B6" w:rsidRPr="004B6650" w:rsidRDefault="001D74B6" w:rsidP="001D74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1.733</w:t>
            </w:r>
          </w:p>
        </w:tc>
        <w:tc>
          <w:tcPr>
            <w:tcW w:w="2077" w:type="dxa"/>
            <w:shd w:val="clear" w:color="auto" w:fill="CCECFF"/>
            <w:vAlign w:val="center"/>
          </w:tcPr>
          <w:p w:rsidR="001D74B6" w:rsidRPr="004B6650" w:rsidRDefault="000C601F" w:rsidP="001D74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2.3</w:t>
            </w:r>
            <w:r w:rsidR="00882D1F">
              <w:rPr>
                <w:rFonts w:ascii="Cambria" w:eastAsiaTheme="minorEastAsia" w:hAnsi="Cambria"/>
                <w:sz w:val="22"/>
                <w:szCs w:val="22"/>
              </w:rPr>
              <w:t>5</w:t>
            </w:r>
            <w:r>
              <w:rPr>
                <w:rFonts w:ascii="Cambria" w:eastAsiaTheme="minorEastAsia" w:hAnsi="Cambria"/>
                <w:sz w:val="22"/>
                <w:szCs w:val="22"/>
              </w:rPr>
              <w:t>9</w:t>
            </w:r>
          </w:p>
        </w:tc>
      </w:tr>
      <w:tr w:rsidR="00AF19B6" w:rsidTr="00C91E6F">
        <w:tc>
          <w:tcPr>
            <w:tcW w:w="2637" w:type="dxa"/>
            <w:shd w:val="clear" w:color="auto" w:fill="FFFFFF" w:themeFill="background1"/>
          </w:tcPr>
          <w:p w:rsidR="00AF19B6" w:rsidRPr="00C91E6F" w:rsidRDefault="004B6650" w:rsidP="00E069FA">
            <w:pPr>
              <w:pStyle w:val="Default"/>
              <w:spacing w:line="276" w:lineRule="auto"/>
              <w:rPr>
                <w:rFonts w:ascii="Cambria" w:eastAsiaTheme="minorEastAsia" w:hAnsi="Cambria"/>
                <w:sz w:val="22"/>
                <w:szCs w:val="22"/>
              </w:rPr>
            </w:pPr>
            <w:r w:rsidRPr="00C91E6F">
              <w:rPr>
                <w:rFonts w:ascii="Cambria" w:eastAsiaTheme="minorEastAsia" w:hAnsi="Cambria"/>
                <w:sz w:val="22"/>
                <w:szCs w:val="22"/>
              </w:rPr>
              <w:t>Transporte</w:t>
            </w:r>
          </w:p>
        </w:tc>
        <w:tc>
          <w:tcPr>
            <w:tcW w:w="2056" w:type="dxa"/>
          </w:tcPr>
          <w:p w:rsidR="00AF19B6" w:rsidRPr="004B6650" w:rsidRDefault="00885532" w:rsidP="00AF19B6">
            <w:pPr>
              <w:pStyle w:val="Default"/>
              <w:spacing w:line="276" w:lineRule="auto"/>
              <w:jc w:val="center"/>
              <w:rPr>
                <w:rFonts w:ascii="Cambria" w:eastAsiaTheme="minorEastAsia" w:hAnsi="Cambria"/>
                <w:sz w:val="22"/>
                <w:szCs w:val="22"/>
              </w:rPr>
            </w:pPr>
            <w:r>
              <w:rPr>
                <w:rFonts w:ascii="Cambria" w:eastAsiaTheme="minorEastAsia" w:hAnsi="Cambria"/>
                <w:sz w:val="22"/>
                <w:szCs w:val="22"/>
              </w:rPr>
              <w:t>1.07</w:t>
            </w:r>
          </w:p>
        </w:tc>
        <w:tc>
          <w:tcPr>
            <w:tcW w:w="2058" w:type="dxa"/>
            <w:vAlign w:val="center"/>
          </w:tcPr>
          <w:p w:rsidR="00AF19B6" w:rsidRPr="004B6650" w:rsidRDefault="008A18F8" w:rsidP="00EF42A4">
            <w:pPr>
              <w:pStyle w:val="Default"/>
              <w:spacing w:line="276" w:lineRule="auto"/>
              <w:jc w:val="center"/>
              <w:rPr>
                <w:rFonts w:ascii="Cambria" w:eastAsiaTheme="minorEastAsia" w:hAnsi="Cambria"/>
                <w:sz w:val="22"/>
                <w:szCs w:val="22"/>
              </w:rPr>
            </w:pPr>
            <w:r>
              <w:rPr>
                <w:rFonts w:ascii="Cambria" w:eastAsiaTheme="minorEastAsia" w:hAnsi="Cambria"/>
                <w:sz w:val="22"/>
                <w:szCs w:val="22"/>
              </w:rPr>
              <w:t>1.22</w:t>
            </w:r>
            <w:r w:rsidR="000D67B3">
              <w:rPr>
                <w:rFonts w:ascii="Cambria" w:eastAsiaTheme="minorEastAsia" w:hAnsi="Cambria"/>
                <w:sz w:val="22"/>
                <w:szCs w:val="22"/>
              </w:rPr>
              <w:t>0</w:t>
            </w:r>
          </w:p>
        </w:tc>
        <w:tc>
          <w:tcPr>
            <w:tcW w:w="2077" w:type="dxa"/>
            <w:vAlign w:val="center"/>
          </w:tcPr>
          <w:p w:rsidR="00AF19B6" w:rsidRPr="004B6650" w:rsidRDefault="008A18F8" w:rsidP="00EF42A4">
            <w:pPr>
              <w:pStyle w:val="Default"/>
              <w:spacing w:line="276" w:lineRule="auto"/>
              <w:jc w:val="center"/>
              <w:rPr>
                <w:rFonts w:ascii="Cambria" w:eastAsiaTheme="minorEastAsia" w:hAnsi="Cambria"/>
                <w:sz w:val="22"/>
                <w:szCs w:val="22"/>
              </w:rPr>
            </w:pPr>
            <w:r>
              <w:rPr>
                <w:rFonts w:ascii="Cambria" w:eastAsiaTheme="minorEastAsia" w:hAnsi="Cambria"/>
                <w:sz w:val="22"/>
                <w:szCs w:val="22"/>
              </w:rPr>
              <w:t>1.300</w:t>
            </w:r>
          </w:p>
        </w:tc>
      </w:tr>
      <w:tr w:rsidR="007972FD" w:rsidTr="00C91E6F">
        <w:trPr>
          <w:trHeight w:val="51"/>
        </w:trPr>
        <w:tc>
          <w:tcPr>
            <w:tcW w:w="2637" w:type="dxa"/>
            <w:shd w:val="clear" w:color="auto" w:fill="CCECFF"/>
          </w:tcPr>
          <w:p w:rsidR="007972FD" w:rsidRPr="00C91E6F" w:rsidRDefault="007972FD" w:rsidP="007972FD">
            <w:pPr>
              <w:pStyle w:val="Default"/>
              <w:spacing w:line="276" w:lineRule="auto"/>
              <w:rPr>
                <w:rFonts w:ascii="Cambria" w:eastAsiaTheme="minorEastAsia" w:hAnsi="Cambria"/>
                <w:b/>
                <w:smallCaps/>
                <w:sz w:val="22"/>
                <w:szCs w:val="22"/>
              </w:rPr>
            </w:pPr>
            <w:r w:rsidRPr="00C91E6F">
              <w:rPr>
                <w:rFonts w:ascii="Cambria" w:eastAsiaTheme="minorEastAsia" w:hAnsi="Cambria"/>
                <w:b/>
                <w:smallCaps/>
                <w:sz w:val="22"/>
                <w:szCs w:val="22"/>
              </w:rPr>
              <w:t>Total del Programa</w:t>
            </w:r>
          </w:p>
        </w:tc>
        <w:tc>
          <w:tcPr>
            <w:tcW w:w="2056" w:type="dxa"/>
            <w:shd w:val="clear" w:color="auto" w:fill="CCECFF"/>
            <w:vAlign w:val="center"/>
          </w:tcPr>
          <w:p w:rsidR="007972FD" w:rsidRPr="00885532" w:rsidRDefault="007972FD" w:rsidP="007972FD">
            <w:pPr>
              <w:pStyle w:val="Default"/>
              <w:spacing w:line="276" w:lineRule="auto"/>
              <w:jc w:val="center"/>
              <w:rPr>
                <w:rFonts w:ascii="Cambria" w:eastAsiaTheme="minorEastAsia" w:hAnsi="Cambria"/>
                <w:b/>
                <w:smallCaps/>
                <w:sz w:val="22"/>
                <w:szCs w:val="22"/>
              </w:rPr>
            </w:pPr>
            <w:r>
              <w:rPr>
                <w:rFonts w:ascii="Cambria" w:eastAsiaTheme="minorEastAsia" w:hAnsi="Cambria"/>
                <w:b/>
                <w:smallCaps/>
                <w:sz w:val="22"/>
                <w:szCs w:val="22"/>
              </w:rPr>
              <w:t>1</w:t>
            </w:r>
            <w:r w:rsidR="000C601F">
              <w:rPr>
                <w:rFonts w:ascii="Cambria" w:eastAsiaTheme="minorEastAsia" w:hAnsi="Cambria"/>
                <w:b/>
                <w:smallCaps/>
                <w:sz w:val="22"/>
                <w:szCs w:val="22"/>
              </w:rPr>
              <w:t>.49</w:t>
            </w:r>
          </w:p>
        </w:tc>
        <w:tc>
          <w:tcPr>
            <w:tcW w:w="2058" w:type="dxa"/>
            <w:shd w:val="clear" w:color="auto" w:fill="CCECFF"/>
            <w:vAlign w:val="center"/>
          </w:tcPr>
          <w:p w:rsidR="007972FD" w:rsidRPr="00EF42A4" w:rsidRDefault="007972FD" w:rsidP="00EF42A4">
            <w:pPr>
              <w:pStyle w:val="Default"/>
              <w:spacing w:line="276" w:lineRule="auto"/>
              <w:jc w:val="center"/>
              <w:rPr>
                <w:rFonts w:ascii="Cambria" w:eastAsiaTheme="minorEastAsia" w:hAnsi="Cambria"/>
                <w:b/>
                <w:sz w:val="22"/>
                <w:szCs w:val="22"/>
              </w:rPr>
            </w:pPr>
            <w:r>
              <w:rPr>
                <w:rFonts w:ascii="Cambria" w:eastAsiaTheme="minorEastAsia" w:hAnsi="Cambria"/>
                <w:b/>
                <w:sz w:val="22"/>
                <w:szCs w:val="22"/>
              </w:rPr>
              <w:t>8</w:t>
            </w:r>
            <w:r w:rsidR="000C601F">
              <w:rPr>
                <w:rFonts w:ascii="Cambria" w:eastAsiaTheme="minorEastAsia" w:hAnsi="Cambria"/>
                <w:b/>
                <w:sz w:val="22"/>
                <w:szCs w:val="22"/>
              </w:rPr>
              <w:t>.869</w:t>
            </w:r>
          </w:p>
        </w:tc>
        <w:tc>
          <w:tcPr>
            <w:tcW w:w="2077" w:type="dxa"/>
            <w:shd w:val="clear" w:color="auto" w:fill="CCECFF"/>
            <w:vAlign w:val="center"/>
          </w:tcPr>
          <w:p w:rsidR="007972FD" w:rsidRPr="00EF42A4" w:rsidRDefault="000C601F" w:rsidP="00EF42A4">
            <w:pPr>
              <w:pStyle w:val="Default"/>
              <w:spacing w:line="276" w:lineRule="auto"/>
              <w:jc w:val="center"/>
              <w:rPr>
                <w:rFonts w:ascii="Cambria" w:eastAsiaTheme="minorEastAsia" w:hAnsi="Cambria"/>
                <w:b/>
                <w:sz w:val="22"/>
                <w:szCs w:val="22"/>
              </w:rPr>
            </w:pPr>
            <w:r>
              <w:rPr>
                <w:rFonts w:ascii="Cambria" w:eastAsiaTheme="minorEastAsia" w:hAnsi="Cambria"/>
                <w:b/>
                <w:sz w:val="22"/>
                <w:szCs w:val="22"/>
              </w:rPr>
              <w:t>13.224</w:t>
            </w:r>
          </w:p>
        </w:tc>
      </w:tr>
    </w:tbl>
    <w:p w:rsidR="00AF19B6" w:rsidRDefault="00AF19B6" w:rsidP="00B53F3C">
      <w:pPr>
        <w:pStyle w:val="Default"/>
        <w:spacing w:line="276" w:lineRule="auto"/>
        <w:rPr>
          <w:rFonts w:ascii="Cambria" w:eastAsiaTheme="minorEastAsia" w:hAnsi="Cambria"/>
        </w:rPr>
      </w:pPr>
    </w:p>
    <w:p w:rsidR="00C22509" w:rsidRDefault="00AF19B6" w:rsidP="006D72A9">
      <w:pPr>
        <w:pStyle w:val="Default"/>
        <w:spacing w:line="276" w:lineRule="auto"/>
        <w:jc w:val="center"/>
        <w:rPr>
          <w:rFonts w:ascii="Cambria" w:eastAsiaTheme="minorEastAsia" w:hAnsi="Cambria"/>
        </w:rPr>
      </w:pPr>
      <w:r>
        <w:rPr>
          <w:rFonts w:ascii="Cambria" w:eastAsiaTheme="minorEastAsia" w:hAnsi="Cambria"/>
        </w:rPr>
        <w:t>Fuente: cálculos propios con base en estadísticas de costos oficiales</w:t>
      </w:r>
      <w:r w:rsidR="00885532">
        <w:rPr>
          <w:rFonts w:ascii="Cambria" w:eastAsiaTheme="minorEastAsia" w:hAnsi="Cambria"/>
        </w:rPr>
        <w:t xml:space="preserve"> y resultados de estudios sectoriales </w:t>
      </w:r>
      <w:r w:rsidR="00885532" w:rsidRPr="00885532">
        <w:rPr>
          <w:rFonts w:ascii="Cambria" w:eastAsiaTheme="minorEastAsia" w:hAnsi="Cambria"/>
          <w:i/>
        </w:rPr>
        <w:t>B</w:t>
      </w:r>
      <w:r w:rsidR="00885532">
        <w:rPr>
          <w:rFonts w:ascii="Cambria" w:eastAsiaTheme="minorEastAsia" w:hAnsi="Cambria"/>
        </w:rPr>
        <w:t>/</w:t>
      </w:r>
      <w:r w:rsidR="00885532" w:rsidRPr="00885532">
        <w:rPr>
          <w:rFonts w:ascii="Cambria" w:eastAsiaTheme="minorEastAsia" w:hAnsi="Cambria"/>
          <w:i/>
        </w:rPr>
        <w:t>C</w:t>
      </w:r>
      <w:r w:rsidR="000D67B3">
        <w:rPr>
          <w:rFonts w:ascii="Cambria" w:eastAsiaTheme="minorEastAsia" w:hAnsi="Cambria"/>
          <w:i/>
        </w:rPr>
        <w:t>.</w:t>
      </w:r>
    </w:p>
    <w:p w:rsidR="001D74B6" w:rsidRDefault="00C22509" w:rsidP="001E1419">
      <w:pPr>
        <w:pStyle w:val="Default"/>
        <w:spacing w:line="276" w:lineRule="auto"/>
        <w:jc w:val="both"/>
        <w:rPr>
          <w:rFonts w:ascii="Cambria" w:eastAsiaTheme="minorEastAsia" w:hAnsi="Cambria"/>
        </w:rPr>
      </w:pPr>
      <w:r>
        <w:rPr>
          <w:rFonts w:ascii="Cambria" w:eastAsiaTheme="minorEastAsia" w:hAnsi="Cambria"/>
        </w:rPr>
        <w:tab/>
      </w:r>
    </w:p>
    <w:p w:rsidR="00C22509" w:rsidRPr="00C22509" w:rsidRDefault="00C22509" w:rsidP="001D74B6">
      <w:pPr>
        <w:pStyle w:val="Default"/>
        <w:spacing w:line="276" w:lineRule="auto"/>
        <w:ind w:firstLine="708"/>
        <w:jc w:val="both"/>
        <w:rPr>
          <w:rFonts w:ascii="Cambria" w:eastAsiaTheme="minorEastAsia" w:hAnsi="Cambria"/>
          <w:b/>
          <w:smallCaps/>
        </w:rPr>
      </w:pPr>
      <w:r w:rsidRPr="00C22509">
        <w:rPr>
          <w:rFonts w:ascii="Cambria" w:eastAsiaTheme="minorEastAsia" w:hAnsi="Cambria"/>
          <w:b/>
          <w:smallCaps/>
        </w:rPr>
        <w:t>4.2 Análisis de sensibilidad</w:t>
      </w:r>
      <w:r w:rsidR="001D74B6">
        <w:rPr>
          <w:rFonts w:ascii="Cambria" w:eastAsiaTheme="minorEastAsia" w:hAnsi="Cambria"/>
          <w:b/>
          <w:smallCaps/>
        </w:rPr>
        <w:t xml:space="preserve"> </w:t>
      </w:r>
    </w:p>
    <w:p w:rsidR="00C22509" w:rsidRDefault="00C22509" w:rsidP="001E1419">
      <w:pPr>
        <w:pStyle w:val="Default"/>
        <w:spacing w:line="276" w:lineRule="auto"/>
        <w:jc w:val="both"/>
        <w:rPr>
          <w:rFonts w:ascii="Cambria" w:eastAsiaTheme="minorEastAsia" w:hAnsi="Cambria"/>
        </w:rPr>
      </w:pPr>
    </w:p>
    <w:p w:rsidR="00CB0B99" w:rsidRDefault="006D72A9" w:rsidP="001E1419">
      <w:pPr>
        <w:pStyle w:val="Default"/>
        <w:spacing w:line="276" w:lineRule="auto"/>
        <w:jc w:val="both"/>
        <w:rPr>
          <w:rFonts w:ascii="Cambria" w:hAnsi="Cambria"/>
        </w:rPr>
      </w:pPr>
      <w:r w:rsidRPr="006D72A9">
        <w:rPr>
          <w:rFonts w:ascii="Cambria" w:eastAsiaTheme="minorEastAsia" w:hAnsi="Cambria"/>
          <w:smallCaps/>
        </w:rPr>
        <w:t>Escenario Alto</w:t>
      </w:r>
      <w:r>
        <w:rPr>
          <w:rFonts w:ascii="Cambria" w:eastAsiaTheme="minorEastAsia" w:hAnsi="Cambria"/>
        </w:rPr>
        <w:t xml:space="preserve">. </w:t>
      </w:r>
      <w:r w:rsidR="005B500C">
        <w:rPr>
          <w:rFonts w:ascii="Cambria" w:hAnsi="Cambria"/>
        </w:rPr>
        <w:t>Fedesarrollo (2015</w:t>
      </w:r>
      <w:r w:rsidR="00953A18">
        <w:rPr>
          <w:rFonts w:ascii="Cambria" w:hAnsi="Cambria"/>
        </w:rPr>
        <w:t>B</w:t>
      </w:r>
      <w:r w:rsidR="005B500C">
        <w:rPr>
          <w:rFonts w:ascii="Cambria" w:hAnsi="Cambria"/>
        </w:rPr>
        <w:t>) ha generado escenarios de crecimiento alternativos para la elaboración del Plan Maestro de Transporte Intermodal. En el Escenario Alto, l</w:t>
      </w:r>
      <w:r w:rsidR="005B500C" w:rsidRPr="005B500C">
        <w:rPr>
          <w:rFonts w:ascii="Cambria" w:hAnsi="Cambria"/>
        </w:rPr>
        <w:t>a</w:t>
      </w:r>
      <w:r w:rsidR="005B500C">
        <w:rPr>
          <w:rFonts w:ascii="Cambria" w:hAnsi="Cambria"/>
        </w:rPr>
        <w:t xml:space="preserve"> economía crecería 2% adicional</w:t>
      </w:r>
      <w:r w:rsidR="00E624DA">
        <w:rPr>
          <w:rFonts w:ascii="Cambria" w:hAnsi="Cambria"/>
        </w:rPr>
        <w:t xml:space="preserve"> hasta 2035</w:t>
      </w:r>
      <w:r w:rsidR="005B500C" w:rsidRPr="005B500C">
        <w:rPr>
          <w:rFonts w:ascii="Cambria" w:hAnsi="Cambria"/>
        </w:rPr>
        <w:t>, empezando en 2020.</w:t>
      </w:r>
      <w:r w:rsidR="005B500C">
        <w:rPr>
          <w:rFonts w:ascii="Cambria" w:hAnsi="Cambria"/>
        </w:rPr>
        <w:t xml:space="preserve"> Este crecimiento adiciona resulta de aplicar política deliberadas para aprovechar</w:t>
      </w:r>
      <w:r w:rsidR="005B500C" w:rsidRPr="005B500C">
        <w:rPr>
          <w:rFonts w:ascii="Cambria" w:hAnsi="Cambria"/>
        </w:rPr>
        <w:t xml:space="preserve"> las oportunidades de comercio exterior, </w:t>
      </w:r>
      <w:r w:rsidR="005B500C">
        <w:rPr>
          <w:rFonts w:ascii="Cambria" w:hAnsi="Cambria"/>
        </w:rPr>
        <w:t>y la integración de</w:t>
      </w:r>
      <w:r w:rsidR="005B500C" w:rsidRPr="005B500C">
        <w:rPr>
          <w:rFonts w:ascii="Cambria" w:hAnsi="Cambria"/>
        </w:rPr>
        <w:t xml:space="preserve"> grandes regiones a la economía del país (i.e., Altillanura), con un cambio de sectores líderes</w:t>
      </w:r>
      <w:r w:rsidR="005B500C">
        <w:rPr>
          <w:rFonts w:ascii="Cambria" w:hAnsi="Cambria"/>
        </w:rPr>
        <w:t xml:space="preserve"> (ahora agricultura y manufactura)</w:t>
      </w:r>
      <w:r w:rsidR="005B500C" w:rsidRPr="005B500C">
        <w:rPr>
          <w:rFonts w:ascii="Cambria" w:hAnsi="Cambria"/>
        </w:rPr>
        <w:t>, revirtiendo el período de “enfermedad holandesa</w:t>
      </w:r>
      <w:r w:rsidR="005B500C">
        <w:rPr>
          <w:rFonts w:ascii="Cambria" w:hAnsi="Cambria"/>
        </w:rPr>
        <w:t>.” Esto produciría un aumento de demanda para APP en sectores con inversiones recurrentes</w:t>
      </w:r>
      <w:r w:rsidR="00B04BE0">
        <w:rPr>
          <w:rFonts w:ascii="Cambria" w:hAnsi="Cambria"/>
        </w:rPr>
        <w:t xml:space="preserve"> (salud)</w:t>
      </w:r>
      <w:r w:rsidR="006A0599">
        <w:rPr>
          <w:rFonts w:ascii="Cambria" w:hAnsi="Cambria"/>
        </w:rPr>
        <w:t xml:space="preserve"> y no cambiaría la asignación para el resto de sectores</w:t>
      </w:r>
      <w:r w:rsidR="00B04BE0">
        <w:rPr>
          <w:rFonts w:ascii="Cambria" w:hAnsi="Cambria"/>
        </w:rPr>
        <w:t>. L</w:t>
      </w:r>
      <w:r w:rsidR="00CB0B99">
        <w:rPr>
          <w:rFonts w:ascii="Cambria" w:hAnsi="Cambria"/>
        </w:rPr>
        <w:t>a inversión adicional</w:t>
      </w:r>
      <w:r w:rsidR="006A0599">
        <w:rPr>
          <w:rFonts w:ascii="Cambria" w:hAnsi="Cambria"/>
        </w:rPr>
        <w:t xml:space="preserve"> en APP</w:t>
      </w:r>
      <w:r w:rsidR="007972FD">
        <w:rPr>
          <w:rFonts w:ascii="Cambria" w:hAnsi="Cambria"/>
        </w:rPr>
        <w:t xml:space="preserve"> </w:t>
      </w:r>
      <w:r w:rsidR="006A0599">
        <w:rPr>
          <w:rFonts w:ascii="Cambria" w:hAnsi="Cambria"/>
        </w:rPr>
        <w:t>con respecto al Escenario Básico de la sección anterior</w:t>
      </w:r>
      <w:r w:rsidR="00CB0B99">
        <w:rPr>
          <w:rFonts w:ascii="Cambria" w:hAnsi="Cambria"/>
        </w:rPr>
        <w:t xml:space="preserve"> en valor presente es de COL$ 1.785 billones (asumiendo que la proporción de inversión como porcentaje del PIB se preserva), lo que generaría u</w:t>
      </w:r>
      <w:r w:rsidR="007972FD">
        <w:rPr>
          <w:rFonts w:ascii="Cambria" w:hAnsi="Cambria"/>
        </w:rPr>
        <w:t>n beneficio adicional de 1.785*2.</w:t>
      </w:r>
      <w:r w:rsidR="00656187">
        <w:rPr>
          <w:rFonts w:ascii="Cambria" w:hAnsi="Cambria"/>
        </w:rPr>
        <w:t>38 = COL$ 4</w:t>
      </w:r>
      <w:r w:rsidR="00B12477">
        <w:rPr>
          <w:rFonts w:ascii="Cambria" w:hAnsi="Cambria"/>
        </w:rPr>
        <w:t>.</w:t>
      </w:r>
      <w:r w:rsidR="00656187">
        <w:rPr>
          <w:rFonts w:ascii="Cambria" w:hAnsi="Cambria"/>
        </w:rPr>
        <w:t>248</w:t>
      </w:r>
      <w:r w:rsidR="00CB0B99">
        <w:rPr>
          <w:rFonts w:ascii="Cambria" w:hAnsi="Cambria"/>
        </w:rPr>
        <w:t xml:space="preserve"> billones, eq</w:t>
      </w:r>
      <w:r w:rsidR="0053757C">
        <w:rPr>
          <w:rFonts w:ascii="Cambria" w:hAnsi="Cambria"/>
        </w:rPr>
        <w:t xml:space="preserve">uivalente a un incremento del </w:t>
      </w:r>
      <w:r w:rsidR="00656187">
        <w:rPr>
          <w:rFonts w:ascii="Cambria" w:hAnsi="Cambria"/>
        </w:rPr>
        <w:t>32</w:t>
      </w:r>
      <w:r w:rsidR="0053757C">
        <w:rPr>
          <w:rFonts w:ascii="Cambria" w:hAnsi="Cambria"/>
        </w:rPr>
        <w:t>.1</w:t>
      </w:r>
      <w:r w:rsidR="00CB0B99">
        <w:rPr>
          <w:rFonts w:ascii="Cambria" w:hAnsi="Cambria"/>
        </w:rPr>
        <w:t>% de los beneficios</w:t>
      </w:r>
      <w:r w:rsidR="006A0599">
        <w:rPr>
          <w:rFonts w:ascii="Cambria" w:hAnsi="Cambria"/>
        </w:rPr>
        <w:t xml:space="preserve"> totales</w:t>
      </w:r>
      <w:r w:rsidR="00B12477">
        <w:rPr>
          <w:rFonts w:ascii="Cambria" w:hAnsi="Cambria"/>
        </w:rPr>
        <w:t xml:space="preserve"> del Escenario Básico</w:t>
      </w:r>
      <w:r w:rsidR="006A0599">
        <w:rPr>
          <w:rFonts w:ascii="Cambria" w:hAnsi="Cambria"/>
        </w:rPr>
        <w:t>.</w:t>
      </w:r>
      <w:r w:rsidR="00CB0B99">
        <w:rPr>
          <w:rFonts w:ascii="Cambria" w:hAnsi="Cambria"/>
        </w:rPr>
        <w:t xml:space="preserve"> </w:t>
      </w:r>
    </w:p>
    <w:p w:rsidR="00CB0B99" w:rsidRDefault="00CB0B99" w:rsidP="001E1419">
      <w:pPr>
        <w:pStyle w:val="Default"/>
        <w:spacing w:line="276" w:lineRule="auto"/>
        <w:jc w:val="both"/>
        <w:rPr>
          <w:rFonts w:ascii="Cambria" w:hAnsi="Cambria"/>
        </w:rPr>
      </w:pPr>
    </w:p>
    <w:p w:rsidR="00C22509" w:rsidRDefault="00CB0B99" w:rsidP="001E1419">
      <w:pPr>
        <w:pStyle w:val="Default"/>
        <w:spacing w:line="276" w:lineRule="auto"/>
        <w:jc w:val="both"/>
        <w:rPr>
          <w:rFonts w:ascii="Cambria" w:hAnsi="Cambria"/>
        </w:rPr>
      </w:pPr>
      <w:r w:rsidRPr="00D22EDD">
        <w:rPr>
          <w:rFonts w:ascii="Cambria" w:hAnsi="Cambria"/>
          <w:smallCaps/>
        </w:rPr>
        <w:t>E</w:t>
      </w:r>
      <w:r w:rsidR="00D22EDD" w:rsidRPr="00D22EDD">
        <w:rPr>
          <w:rFonts w:ascii="Cambria" w:hAnsi="Cambria"/>
          <w:smallCaps/>
        </w:rPr>
        <w:t>scenario Bajo</w:t>
      </w:r>
      <w:r>
        <w:rPr>
          <w:rFonts w:ascii="Cambria" w:hAnsi="Cambria"/>
        </w:rPr>
        <w:t xml:space="preserve">.  </w:t>
      </w:r>
      <w:r w:rsidR="00E624DA">
        <w:rPr>
          <w:rFonts w:ascii="Cambria" w:hAnsi="Cambria"/>
        </w:rPr>
        <w:t xml:space="preserve">Se asume que la economía crece a la velocidad del año 2015 (3.6%) hasta el año 2030, asumiendo que el país no logra vencer las dificultades estructurales de cambio de sectores líderes. </w:t>
      </w:r>
      <w:r w:rsidR="00B10DFE">
        <w:rPr>
          <w:rFonts w:ascii="Cambria" w:hAnsi="Cambria"/>
        </w:rPr>
        <w:t>Con el mismo supuesto de proporcionalidad aplicado para el Escenario Alto, se encuentre que l</w:t>
      </w:r>
      <w:r w:rsidR="00E624DA">
        <w:rPr>
          <w:rFonts w:ascii="Cambria" w:hAnsi="Cambria"/>
        </w:rPr>
        <w:t>a reducción de inversiones APP</w:t>
      </w:r>
      <w:r w:rsidR="00C55D43">
        <w:rPr>
          <w:rFonts w:ascii="Cambria" w:hAnsi="Cambria"/>
        </w:rPr>
        <w:t xml:space="preserve"> </w:t>
      </w:r>
      <w:r w:rsidR="006A0599">
        <w:rPr>
          <w:rFonts w:ascii="Cambria" w:hAnsi="Cambria"/>
        </w:rPr>
        <w:t xml:space="preserve">con respecto al Escenario Básico </w:t>
      </w:r>
      <w:r w:rsidR="00C55D43">
        <w:rPr>
          <w:rFonts w:ascii="Cambria" w:hAnsi="Cambria"/>
        </w:rPr>
        <w:t>en valor presente</w:t>
      </w:r>
      <w:r w:rsidR="00E624DA">
        <w:rPr>
          <w:rFonts w:ascii="Cambria" w:hAnsi="Cambria"/>
        </w:rPr>
        <w:t>, empezando en 2020</w:t>
      </w:r>
      <w:r w:rsidR="00C55D43">
        <w:rPr>
          <w:rFonts w:ascii="Cambria" w:hAnsi="Cambria"/>
        </w:rPr>
        <w:t>,</w:t>
      </w:r>
      <w:r w:rsidR="00E624DA">
        <w:rPr>
          <w:rFonts w:ascii="Cambria" w:hAnsi="Cambria"/>
        </w:rPr>
        <w:t xml:space="preserve"> ser</w:t>
      </w:r>
      <w:r w:rsidR="00C55D43">
        <w:rPr>
          <w:rFonts w:ascii="Cambria" w:hAnsi="Cambria"/>
        </w:rPr>
        <w:t>ía de COL$ 0.893, en el sector salud</w:t>
      </w:r>
      <w:r w:rsidR="006A0599">
        <w:rPr>
          <w:rFonts w:ascii="Cambria" w:hAnsi="Cambria"/>
        </w:rPr>
        <w:t xml:space="preserve"> (inversiones recurrentes)</w:t>
      </w:r>
      <w:r w:rsidR="00C55D43">
        <w:rPr>
          <w:rFonts w:ascii="Cambria" w:hAnsi="Cambria"/>
        </w:rPr>
        <w:t>. Est</w:t>
      </w:r>
      <w:r w:rsidR="00B12477">
        <w:rPr>
          <w:rFonts w:ascii="Cambria" w:hAnsi="Cambria"/>
        </w:rPr>
        <w:t xml:space="preserve">o equivale a una reducción </w:t>
      </w:r>
      <w:r w:rsidR="00656187">
        <w:rPr>
          <w:rFonts w:ascii="Cambria" w:hAnsi="Cambria"/>
        </w:rPr>
        <w:t>de COL$ 2</w:t>
      </w:r>
      <w:r w:rsidR="00B12477">
        <w:rPr>
          <w:rFonts w:ascii="Cambria" w:hAnsi="Cambria"/>
        </w:rPr>
        <w:t>.</w:t>
      </w:r>
      <w:r w:rsidR="00656187">
        <w:rPr>
          <w:rFonts w:ascii="Cambria" w:hAnsi="Cambria"/>
        </w:rPr>
        <w:t>125</w:t>
      </w:r>
      <w:r w:rsidR="00B12477">
        <w:rPr>
          <w:rFonts w:ascii="Cambria" w:hAnsi="Cambria"/>
        </w:rPr>
        <w:t xml:space="preserve"> billones, equivalentes a </w:t>
      </w:r>
      <w:r w:rsidR="0053757C">
        <w:rPr>
          <w:rFonts w:ascii="Cambria" w:hAnsi="Cambria"/>
        </w:rPr>
        <w:t>1</w:t>
      </w:r>
      <w:r w:rsidR="00656187">
        <w:rPr>
          <w:rFonts w:ascii="Cambria" w:hAnsi="Cambria"/>
        </w:rPr>
        <w:t>6</w:t>
      </w:r>
      <w:r w:rsidR="0053757C">
        <w:rPr>
          <w:rFonts w:ascii="Cambria" w:hAnsi="Cambria"/>
        </w:rPr>
        <w:t>.</w:t>
      </w:r>
      <w:r w:rsidR="00656187">
        <w:rPr>
          <w:rFonts w:ascii="Cambria" w:hAnsi="Cambria"/>
        </w:rPr>
        <w:t>1</w:t>
      </w:r>
      <w:r w:rsidR="00C55D43">
        <w:rPr>
          <w:rFonts w:ascii="Cambria" w:hAnsi="Cambria"/>
        </w:rPr>
        <w:t>% de los beneficios</w:t>
      </w:r>
      <w:r w:rsidR="00B12477">
        <w:rPr>
          <w:rFonts w:ascii="Cambria" w:hAnsi="Cambria"/>
        </w:rPr>
        <w:t xml:space="preserve"> del Escenario Básico</w:t>
      </w:r>
      <w:r w:rsidR="002D3E57">
        <w:rPr>
          <w:rFonts w:ascii="Cambria" w:hAnsi="Cambria"/>
        </w:rPr>
        <w:t xml:space="preserve">. </w:t>
      </w:r>
    </w:p>
    <w:p w:rsidR="002D3E57" w:rsidRDefault="002D3E57" w:rsidP="001E1419">
      <w:pPr>
        <w:pStyle w:val="Default"/>
        <w:spacing w:line="276" w:lineRule="auto"/>
        <w:jc w:val="both"/>
        <w:rPr>
          <w:rFonts w:ascii="Cambria" w:hAnsi="Cambria"/>
        </w:rPr>
      </w:pPr>
    </w:p>
    <w:p w:rsidR="00032A27" w:rsidRPr="005B500C" w:rsidRDefault="00032A27" w:rsidP="00032A27">
      <w:pPr>
        <w:pStyle w:val="Default"/>
        <w:spacing w:line="276" w:lineRule="auto"/>
        <w:jc w:val="both"/>
        <w:rPr>
          <w:rFonts w:ascii="Cambria" w:eastAsiaTheme="minorEastAsia" w:hAnsi="Cambria"/>
          <w:b/>
          <w:smallCaps/>
        </w:rPr>
      </w:pPr>
    </w:p>
    <w:p w:rsidR="00032A27" w:rsidRDefault="00032A27">
      <w:pPr>
        <w:rPr>
          <w:rFonts w:ascii="Cambria" w:eastAsiaTheme="minorEastAsia" w:hAnsi="Cambria" w:cs="Calibri"/>
          <w:b/>
          <w:smallCaps/>
          <w:color w:val="000000"/>
          <w:sz w:val="24"/>
          <w:szCs w:val="24"/>
        </w:rPr>
      </w:pPr>
      <w:r>
        <w:rPr>
          <w:rFonts w:ascii="Cambria" w:eastAsiaTheme="minorEastAsia" w:hAnsi="Cambria"/>
          <w:b/>
          <w:smallCaps/>
        </w:rPr>
        <w:br w:type="page"/>
      </w:r>
    </w:p>
    <w:p w:rsidR="00E619D4" w:rsidRPr="00B0203D" w:rsidRDefault="00E619D4" w:rsidP="00032A27">
      <w:pPr>
        <w:pStyle w:val="Default"/>
        <w:spacing w:line="276" w:lineRule="auto"/>
        <w:jc w:val="both"/>
        <w:rPr>
          <w:rFonts w:ascii="Cambria" w:eastAsiaTheme="minorEastAsia" w:hAnsi="Cambria"/>
        </w:rPr>
      </w:pPr>
    </w:p>
    <w:p w:rsidR="00E619D4" w:rsidRPr="00091B3B" w:rsidRDefault="00E619D4" w:rsidP="00E619D4">
      <w:pPr>
        <w:jc w:val="center"/>
        <w:rPr>
          <w:rFonts w:ascii="Cambria" w:eastAsiaTheme="minorEastAsia" w:hAnsi="Cambria"/>
          <w:b/>
          <w:smallCaps/>
          <w:sz w:val="24"/>
          <w:szCs w:val="24"/>
        </w:rPr>
      </w:pPr>
      <w:r w:rsidRPr="00091B3B">
        <w:rPr>
          <w:rFonts w:ascii="Cambria" w:eastAsiaTheme="minorEastAsia" w:hAnsi="Cambria"/>
          <w:b/>
          <w:smallCaps/>
          <w:sz w:val="24"/>
          <w:szCs w:val="24"/>
        </w:rPr>
        <w:t>Referencias</w:t>
      </w:r>
    </w:p>
    <w:p w:rsidR="00346E35" w:rsidRPr="00091B3B" w:rsidRDefault="00346E35" w:rsidP="00346E35">
      <w:pPr>
        <w:pStyle w:val="NoSpacing"/>
      </w:pPr>
    </w:p>
    <w:p w:rsidR="00EE3CA5" w:rsidRPr="00EE3CA5" w:rsidRDefault="00EE3CA5" w:rsidP="00E619D4">
      <w:pPr>
        <w:spacing w:line="276" w:lineRule="auto"/>
        <w:jc w:val="both"/>
        <w:rPr>
          <w:rFonts w:ascii="Cambria" w:eastAsiaTheme="minorEastAsia" w:hAnsi="Cambria"/>
          <w:b/>
          <w:smallCaps/>
          <w:sz w:val="24"/>
          <w:szCs w:val="24"/>
        </w:rPr>
      </w:pPr>
      <w:r w:rsidRPr="00EE3CA5">
        <w:rPr>
          <w:rFonts w:ascii="Cambria" w:eastAsiaTheme="minorEastAsia" w:hAnsi="Cambria"/>
          <w:b/>
          <w:smallCaps/>
          <w:sz w:val="24"/>
          <w:szCs w:val="24"/>
        </w:rPr>
        <w:t>Documentos generales</w:t>
      </w:r>
    </w:p>
    <w:p w:rsidR="00503915" w:rsidRDefault="00503915" w:rsidP="00E619D4">
      <w:pPr>
        <w:spacing w:line="276" w:lineRule="auto"/>
        <w:jc w:val="both"/>
        <w:rPr>
          <w:rFonts w:ascii="Cambria" w:eastAsiaTheme="minorEastAsia" w:hAnsi="Cambria"/>
          <w:sz w:val="24"/>
          <w:szCs w:val="24"/>
        </w:rPr>
      </w:pPr>
      <w:r>
        <w:rPr>
          <w:rFonts w:ascii="Cambria" w:eastAsiaTheme="minorEastAsia" w:hAnsi="Cambria"/>
          <w:sz w:val="24"/>
          <w:szCs w:val="24"/>
        </w:rPr>
        <w:t>Banco Mundial. 2015. Población urbana. Datos. Disponible en:</w:t>
      </w:r>
    </w:p>
    <w:p w:rsidR="00503915" w:rsidRDefault="005319C1" w:rsidP="00E619D4">
      <w:pPr>
        <w:spacing w:line="276" w:lineRule="auto"/>
        <w:jc w:val="both"/>
        <w:rPr>
          <w:rFonts w:ascii="Cambria" w:eastAsiaTheme="minorEastAsia" w:hAnsi="Cambria"/>
          <w:sz w:val="24"/>
          <w:szCs w:val="24"/>
        </w:rPr>
      </w:pPr>
      <w:hyperlink r:id="rId13" w:history="1">
        <w:r w:rsidR="00503915" w:rsidRPr="00B6388A">
          <w:rPr>
            <w:rStyle w:val="Hyperlink"/>
            <w:rFonts w:ascii="Cambria" w:eastAsiaTheme="minorEastAsia" w:hAnsi="Cambria"/>
            <w:sz w:val="24"/>
            <w:szCs w:val="24"/>
          </w:rPr>
          <w:t>http://datos.bancomundial.org/indicador/SP.URB.TOTL.IN.ZS</w:t>
        </w:r>
      </w:hyperlink>
      <w:r w:rsidR="00503915">
        <w:rPr>
          <w:rFonts w:ascii="Cambria" w:eastAsiaTheme="minorEastAsia" w:hAnsi="Cambria"/>
          <w:sz w:val="24"/>
          <w:szCs w:val="24"/>
        </w:rPr>
        <w:t xml:space="preserve"> </w:t>
      </w:r>
    </w:p>
    <w:p w:rsidR="005A0C8E" w:rsidRDefault="005A0C8E" w:rsidP="00E619D4">
      <w:pPr>
        <w:spacing w:line="276" w:lineRule="auto"/>
        <w:jc w:val="both"/>
        <w:rPr>
          <w:rFonts w:ascii="Cambria" w:eastAsiaTheme="minorEastAsia" w:hAnsi="Cambria"/>
          <w:sz w:val="24"/>
          <w:szCs w:val="24"/>
        </w:rPr>
      </w:pPr>
      <w:r>
        <w:rPr>
          <w:rFonts w:ascii="Cambria" w:eastAsiaTheme="minorEastAsia" w:hAnsi="Cambria"/>
          <w:sz w:val="24"/>
          <w:szCs w:val="24"/>
        </w:rPr>
        <w:t>DNP</w:t>
      </w:r>
      <w:r w:rsidRPr="000A19B8">
        <w:rPr>
          <w:rFonts w:ascii="Cambria" w:eastAsiaTheme="minorEastAsia" w:hAnsi="Cambria"/>
          <w:sz w:val="24"/>
          <w:szCs w:val="24"/>
        </w:rPr>
        <w:t>. 2015</w:t>
      </w:r>
      <w:r w:rsidR="000A19B8">
        <w:rPr>
          <w:rFonts w:ascii="Cambria" w:eastAsiaTheme="minorEastAsia" w:hAnsi="Cambria"/>
          <w:sz w:val="24"/>
          <w:szCs w:val="24"/>
        </w:rPr>
        <w:t>-1</w:t>
      </w:r>
      <w:r>
        <w:rPr>
          <w:rFonts w:ascii="Cambria" w:eastAsiaTheme="minorEastAsia" w:hAnsi="Cambria"/>
          <w:sz w:val="24"/>
          <w:szCs w:val="24"/>
        </w:rPr>
        <w:t xml:space="preserve">. </w:t>
      </w:r>
      <w:r w:rsidR="003102AF">
        <w:rPr>
          <w:rFonts w:ascii="Cambria" w:eastAsiaTheme="minorEastAsia" w:hAnsi="Cambria"/>
          <w:sz w:val="24"/>
          <w:szCs w:val="24"/>
        </w:rPr>
        <w:t>Bases del Plan Nacional de Desarrollo 2014-2018.</w:t>
      </w:r>
      <w:r>
        <w:rPr>
          <w:rFonts w:ascii="Cambria" w:eastAsiaTheme="minorEastAsia" w:hAnsi="Cambria"/>
          <w:sz w:val="24"/>
          <w:szCs w:val="24"/>
        </w:rPr>
        <w:t xml:space="preserve"> Disponible en:</w:t>
      </w:r>
    </w:p>
    <w:p w:rsidR="005A0C8E" w:rsidRDefault="005319C1" w:rsidP="00E619D4">
      <w:pPr>
        <w:spacing w:line="276" w:lineRule="auto"/>
        <w:jc w:val="both"/>
        <w:rPr>
          <w:rFonts w:ascii="Cambria" w:eastAsiaTheme="minorEastAsia" w:hAnsi="Cambria"/>
          <w:sz w:val="24"/>
          <w:szCs w:val="24"/>
        </w:rPr>
      </w:pPr>
      <w:hyperlink r:id="rId14" w:history="1">
        <w:r w:rsidR="005A0C8E" w:rsidRPr="00C10493">
          <w:rPr>
            <w:rStyle w:val="Hyperlink"/>
            <w:rFonts w:ascii="Cambria" w:eastAsiaTheme="minorEastAsia" w:hAnsi="Cambria"/>
            <w:sz w:val="24"/>
            <w:szCs w:val="24"/>
          </w:rPr>
          <w:t>https://colaboracion.dnp.gov.co/cdt/prensa/bases%20plan%20nacional%20de%20desarrollo%202014-2018.pdf</w:t>
        </w:r>
      </w:hyperlink>
      <w:r w:rsidR="005A0C8E">
        <w:rPr>
          <w:rFonts w:ascii="Cambria" w:eastAsiaTheme="minorEastAsia" w:hAnsi="Cambria"/>
          <w:sz w:val="24"/>
          <w:szCs w:val="24"/>
        </w:rPr>
        <w:t xml:space="preserve"> </w:t>
      </w:r>
    </w:p>
    <w:p w:rsidR="003102AF" w:rsidRDefault="000A19B8" w:rsidP="00E619D4">
      <w:pPr>
        <w:spacing w:line="276" w:lineRule="auto"/>
        <w:jc w:val="both"/>
        <w:rPr>
          <w:rFonts w:ascii="Cambria" w:eastAsiaTheme="minorEastAsia" w:hAnsi="Cambria"/>
          <w:sz w:val="24"/>
          <w:szCs w:val="24"/>
        </w:rPr>
      </w:pPr>
      <w:r>
        <w:rPr>
          <w:rFonts w:ascii="Cambria" w:eastAsiaTheme="minorEastAsia" w:hAnsi="Cambria"/>
          <w:sz w:val="24"/>
          <w:szCs w:val="24"/>
        </w:rPr>
        <w:t>DNP. 2015-2</w:t>
      </w:r>
      <w:r w:rsidR="003102AF" w:rsidRPr="000C3608">
        <w:rPr>
          <w:rFonts w:ascii="Cambria" w:eastAsiaTheme="minorEastAsia" w:hAnsi="Cambria"/>
          <w:sz w:val="24"/>
          <w:szCs w:val="24"/>
        </w:rPr>
        <w:t xml:space="preserve">. Ley 1753. </w:t>
      </w:r>
      <w:r w:rsidR="003102AF" w:rsidRPr="003102AF">
        <w:rPr>
          <w:rFonts w:ascii="Cambria" w:eastAsiaTheme="minorEastAsia" w:hAnsi="Cambria"/>
          <w:sz w:val="24"/>
          <w:szCs w:val="24"/>
        </w:rPr>
        <w:t xml:space="preserve">Articulado aprobado del Plan Nacional de Desarrollo </w:t>
      </w:r>
      <w:r w:rsidR="003102AF">
        <w:rPr>
          <w:rFonts w:ascii="Cambria" w:eastAsiaTheme="minorEastAsia" w:hAnsi="Cambria"/>
          <w:sz w:val="24"/>
          <w:szCs w:val="24"/>
        </w:rPr>
        <w:t xml:space="preserve">2014-2018. Disponible en: </w:t>
      </w:r>
    </w:p>
    <w:p w:rsidR="00C12A4D" w:rsidRDefault="005319C1" w:rsidP="00E619D4">
      <w:pPr>
        <w:spacing w:line="276" w:lineRule="auto"/>
        <w:jc w:val="both"/>
        <w:rPr>
          <w:rFonts w:ascii="Cambria" w:eastAsiaTheme="minorEastAsia" w:hAnsi="Cambria"/>
          <w:sz w:val="24"/>
          <w:szCs w:val="24"/>
        </w:rPr>
      </w:pPr>
      <w:hyperlink r:id="rId15" w:history="1">
        <w:r w:rsidR="00C12A4D" w:rsidRPr="00C10493">
          <w:rPr>
            <w:rStyle w:val="Hyperlink"/>
            <w:rFonts w:ascii="Cambria" w:eastAsiaTheme="minorEastAsia" w:hAnsi="Cambria"/>
            <w:sz w:val="24"/>
            <w:szCs w:val="24"/>
          </w:rPr>
          <w:t>http://www.secretariasenado.gov.co/senado/basedoc/ley_1753_2015.html</w:t>
        </w:r>
      </w:hyperlink>
      <w:r w:rsidR="00C12A4D">
        <w:rPr>
          <w:rFonts w:ascii="Cambria" w:eastAsiaTheme="minorEastAsia" w:hAnsi="Cambria"/>
          <w:sz w:val="24"/>
          <w:szCs w:val="24"/>
        </w:rPr>
        <w:t xml:space="preserve"> </w:t>
      </w:r>
    </w:p>
    <w:p w:rsidR="00785083" w:rsidRDefault="00785083" w:rsidP="00E619D4">
      <w:pPr>
        <w:spacing w:line="276" w:lineRule="auto"/>
        <w:jc w:val="both"/>
        <w:rPr>
          <w:rFonts w:ascii="Cambria" w:eastAsiaTheme="minorEastAsia" w:hAnsi="Cambria"/>
          <w:sz w:val="24"/>
          <w:szCs w:val="24"/>
        </w:rPr>
      </w:pPr>
      <w:r>
        <w:rPr>
          <w:rFonts w:ascii="Cambria" w:eastAsiaTheme="minorEastAsia" w:hAnsi="Cambria"/>
          <w:sz w:val="24"/>
          <w:szCs w:val="24"/>
        </w:rPr>
        <w:t xml:space="preserve">DNP. 2014. </w:t>
      </w:r>
      <w:r w:rsidR="00A96114">
        <w:rPr>
          <w:rFonts w:ascii="Cambria" w:eastAsiaTheme="minorEastAsia" w:hAnsi="Cambria"/>
          <w:sz w:val="24"/>
          <w:szCs w:val="24"/>
        </w:rPr>
        <w:t>Informe de seguimiento de los Objetivos de Desarrollo del Milenio. Disponible en:</w:t>
      </w:r>
    </w:p>
    <w:p w:rsidR="00A96114" w:rsidRDefault="005319C1" w:rsidP="00E619D4">
      <w:pPr>
        <w:spacing w:line="276" w:lineRule="auto"/>
        <w:jc w:val="both"/>
        <w:rPr>
          <w:rFonts w:ascii="Cambria" w:eastAsiaTheme="minorEastAsia" w:hAnsi="Cambria"/>
          <w:sz w:val="24"/>
          <w:szCs w:val="24"/>
        </w:rPr>
      </w:pPr>
      <w:hyperlink r:id="rId16" w:history="1">
        <w:r w:rsidR="00A96114" w:rsidRPr="00C10493">
          <w:rPr>
            <w:rStyle w:val="Hyperlink"/>
            <w:rFonts w:ascii="Cambria" w:eastAsiaTheme="minorEastAsia" w:hAnsi="Cambria"/>
            <w:sz w:val="24"/>
            <w:szCs w:val="24"/>
          </w:rPr>
          <w:t>https://colaboracion.dnp.gov.co/CDT/Prensa/Publicaciones/09%20Informe%20ODM_versi%C3%B3n_dise%C3%B1o.pdf</w:t>
        </w:r>
      </w:hyperlink>
      <w:r w:rsidR="00A96114">
        <w:rPr>
          <w:rFonts w:ascii="Cambria" w:eastAsiaTheme="minorEastAsia" w:hAnsi="Cambria"/>
          <w:sz w:val="24"/>
          <w:szCs w:val="24"/>
        </w:rPr>
        <w:t xml:space="preserve"> </w:t>
      </w:r>
    </w:p>
    <w:p w:rsidR="00FA3B65" w:rsidRDefault="00766C7B" w:rsidP="00E619D4">
      <w:pPr>
        <w:spacing w:line="276" w:lineRule="auto"/>
        <w:jc w:val="both"/>
        <w:rPr>
          <w:rFonts w:ascii="Cambria" w:eastAsiaTheme="minorEastAsia" w:hAnsi="Cambria"/>
          <w:sz w:val="24"/>
          <w:szCs w:val="24"/>
          <w:lang w:val="en-US"/>
        </w:rPr>
      </w:pPr>
      <w:r w:rsidRPr="003102AF">
        <w:rPr>
          <w:rFonts w:ascii="Cambria" w:eastAsiaTheme="minorEastAsia" w:hAnsi="Cambria"/>
          <w:sz w:val="24"/>
          <w:szCs w:val="24"/>
        </w:rPr>
        <w:t xml:space="preserve">Engel, E., R. Fischer y A. Galetovic. </w:t>
      </w:r>
      <w:r w:rsidRPr="00891821">
        <w:rPr>
          <w:rFonts w:ascii="Cambria" w:eastAsiaTheme="minorEastAsia" w:hAnsi="Cambria"/>
          <w:sz w:val="24"/>
          <w:szCs w:val="24"/>
          <w:lang w:val="en-US"/>
        </w:rPr>
        <w:t xml:space="preserve">2013. “The Basic Public Finance of Public-Private Partnerhips.” </w:t>
      </w:r>
      <w:r w:rsidRPr="00891821">
        <w:rPr>
          <w:rFonts w:ascii="Cambria" w:eastAsiaTheme="minorEastAsia" w:hAnsi="Cambria"/>
          <w:i/>
          <w:sz w:val="24"/>
          <w:szCs w:val="24"/>
          <w:lang w:val="en-US"/>
        </w:rPr>
        <w:t>Journ</w:t>
      </w:r>
      <w:r w:rsidRPr="00766C7B">
        <w:rPr>
          <w:rFonts w:ascii="Cambria" w:eastAsiaTheme="minorEastAsia" w:hAnsi="Cambria"/>
          <w:i/>
          <w:sz w:val="24"/>
          <w:szCs w:val="24"/>
          <w:lang w:val="en-US"/>
        </w:rPr>
        <w:t>al of the European Economic Association</w:t>
      </w:r>
      <w:r>
        <w:rPr>
          <w:rFonts w:ascii="Cambria" w:eastAsiaTheme="minorEastAsia" w:hAnsi="Cambria"/>
          <w:sz w:val="24"/>
          <w:szCs w:val="24"/>
          <w:lang w:val="en-US"/>
        </w:rPr>
        <w:t xml:space="preserve"> 11: 83-111. Disponible en:</w:t>
      </w:r>
    </w:p>
    <w:p w:rsidR="00766C7B" w:rsidRDefault="005319C1" w:rsidP="00E619D4">
      <w:pPr>
        <w:spacing w:line="276" w:lineRule="auto"/>
        <w:jc w:val="both"/>
        <w:rPr>
          <w:rFonts w:ascii="Cambria" w:eastAsiaTheme="minorEastAsia" w:hAnsi="Cambria"/>
          <w:sz w:val="24"/>
          <w:szCs w:val="24"/>
          <w:lang w:val="en-US"/>
        </w:rPr>
      </w:pPr>
      <w:hyperlink r:id="rId17" w:history="1">
        <w:r w:rsidR="00766C7B" w:rsidRPr="008E6BFF">
          <w:rPr>
            <w:rStyle w:val="Hyperlink"/>
            <w:rFonts w:ascii="Cambria" w:eastAsiaTheme="minorEastAsia" w:hAnsi="Cambria"/>
            <w:sz w:val="24"/>
            <w:szCs w:val="24"/>
            <w:lang w:val="en-US"/>
          </w:rPr>
          <w:t>http://onlinelibrary.wiley.com/doi/10.1111/j.1542-4774.2012.01105.x/pdf</w:t>
        </w:r>
      </w:hyperlink>
      <w:r w:rsidR="00766C7B">
        <w:rPr>
          <w:rFonts w:ascii="Cambria" w:eastAsiaTheme="minorEastAsia" w:hAnsi="Cambria"/>
          <w:sz w:val="24"/>
          <w:szCs w:val="24"/>
          <w:lang w:val="en-US"/>
        </w:rPr>
        <w:t xml:space="preserve"> </w:t>
      </w:r>
    </w:p>
    <w:p w:rsidR="00766C7B" w:rsidRPr="00891821" w:rsidRDefault="00D35984" w:rsidP="00E619D4">
      <w:pPr>
        <w:spacing w:line="276" w:lineRule="auto"/>
        <w:jc w:val="both"/>
        <w:rPr>
          <w:rFonts w:ascii="Cambria" w:eastAsiaTheme="minorEastAsia" w:hAnsi="Cambria"/>
          <w:sz w:val="24"/>
          <w:szCs w:val="24"/>
          <w:lang w:val="en-US"/>
        </w:rPr>
      </w:pPr>
      <w:r>
        <w:rPr>
          <w:rFonts w:ascii="Cambria" w:eastAsiaTheme="minorEastAsia" w:hAnsi="Cambria"/>
          <w:sz w:val="24"/>
          <w:szCs w:val="24"/>
          <w:lang w:val="en-US"/>
        </w:rPr>
        <w:t xml:space="preserve">Hart, O. 2003. “Incomplete Contracts and Public Ownership: Remarks and Application to Public-Private Partnerships.” </w:t>
      </w:r>
      <w:r w:rsidRPr="00D35984">
        <w:rPr>
          <w:rFonts w:ascii="Cambria" w:eastAsiaTheme="minorEastAsia" w:hAnsi="Cambria"/>
          <w:i/>
          <w:sz w:val="24"/>
          <w:szCs w:val="24"/>
          <w:lang w:val="en-US"/>
        </w:rPr>
        <w:t>Economic Journal</w:t>
      </w:r>
      <w:r>
        <w:rPr>
          <w:rFonts w:ascii="Cambria" w:eastAsiaTheme="minorEastAsia" w:hAnsi="Cambria"/>
          <w:sz w:val="24"/>
          <w:szCs w:val="24"/>
          <w:lang w:val="en-US"/>
        </w:rPr>
        <w:t xml:space="preserve"> 113: C69-C73.  </w:t>
      </w:r>
      <w:r w:rsidRPr="00891821">
        <w:rPr>
          <w:rFonts w:ascii="Cambria" w:eastAsiaTheme="minorEastAsia" w:hAnsi="Cambria"/>
          <w:sz w:val="24"/>
          <w:szCs w:val="24"/>
          <w:lang w:val="en-US"/>
        </w:rPr>
        <w:t>Disponible en:</w:t>
      </w:r>
    </w:p>
    <w:p w:rsidR="00766C7B" w:rsidRPr="00891821" w:rsidRDefault="005319C1" w:rsidP="00E619D4">
      <w:pPr>
        <w:spacing w:line="276" w:lineRule="auto"/>
        <w:jc w:val="both"/>
        <w:rPr>
          <w:rFonts w:ascii="Cambria" w:eastAsiaTheme="minorEastAsia" w:hAnsi="Cambria"/>
          <w:sz w:val="24"/>
          <w:szCs w:val="24"/>
          <w:lang w:val="en-US"/>
        </w:rPr>
      </w:pPr>
      <w:hyperlink r:id="rId18" w:history="1">
        <w:r w:rsidR="00D35984" w:rsidRPr="00891821">
          <w:rPr>
            <w:rStyle w:val="Hyperlink"/>
            <w:rFonts w:ascii="Cambria" w:eastAsiaTheme="minorEastAsia" w:hAnsi="Cambria"/>
            <w:sz w:val="24"/>
            <w:szCs w:val="24"/>
            <w:lang w:val="en-US"/>
          </w:rPr>
          <w:t>http://scholar.harvard.edu/files/hart/files/incompletecontractsandpublicownershipej.pdf</w:t>
        </w:r>
      </w:hyperlink>
      <w:r w:rsidR="00D35984" w:rsidRPr="00891821">
        <w:rPr>
          <w:rFonts w:ascii="Cambria" w:eastAsiaTheme="minorEastAsia" w:hAnsi="Cambria"/>
          <w:sz w:val="24"/>
          <w:szCs w:val="24"/>
          <w:lang w:val="en-US"/>
        </w:rPr>
        <w:t xml:space="preserve"> </w:t>
      </w:r>
    </w:p>
    <w:p w:rsidR="00D35984" w:rsidRDefault="00A45144" w:rsidP="00E619D4">
      <w:pPr>
        <w:spacing w:line="276" w:lineRule="auto"/>
        <w:jc w:val="both"/>
        <w:rPr>
          <w:rFonts w:ascii="Cambria" w:eastAsiaTheme="minorEastAsia" w:hAnsi="Cambria"/>
          <w:sz w:val="24"/>
          <w:szCs w:val="24"/>
          <w:lang w:val="en-US"/>
        </w:rPr>
      </w:pPr>
      <w:r w:rsidRPr="00891821">
        <w:rPr>
          <w:rFonts w:ascii="Cambria" w:eastAsiaTheme="minorEastAsia" w:hAnsi="Cambria"/>
          <w:sz w:val="24"/>
          <w:szCs w:val="24"/>
        </w:rPr>
        <w:t xml:space="preserve">Iossa, E. y D. Martimort. </w:t>
      </w:r>
      <w:r w:rsidRPr="00A45144">
        <w:rPr>
          <w:rFonts w:ascii="Cambria" w:eastAsiaTheme="minorEastAsia" w:hAnsi="Cambria"/>
          <w:sz w:val="24"/>
          <w:szCs w:val="24"/>
          <w:lang w:val="en-US"/>
        </w:rPr>
        <w:t xml:space="preserve">2008. “The </w:t>
      </w:r>
      <w:r>
        <w:rPr>
          <w:rFonts w:ascii="Cambria" w:eastAsiaTheme="minorEastAsia" w:hAnsi="Cambria"/>
          <w:sz w:val="24"/>
          <w:szCs w:val="24"/>
          <w:lang w:val="en-US"/>
        </w:rPr>
        <w:t xml:space="preserve">Simple Microeconomics of Public-Private Partnerships.” </w:t>
      </w:r>
      <w:r w:rsidRPr="00A45144">
        <w:rPr>
          <w:rFonts w:ascii="Cambria" w:eastAsiaTheme="minorEastAsia" w:hAnsi="Cambria"/>
          <w:i/>
          <w:sz w:val="24"/>
          <w:szCs w:val="24"/>
          <w:lang w:val="en-US"/>
        </w:rPr>
        <w:t>Journal of Public Economic Theory</w:t>
      </w:r>
      <w:r>
        <w:rPr>
          <w:rFonts w:ascii="Cambria" w:eastAsiaTheme="minorEastAsia" w:hAnsi="Cambria"/>
          <w:sz w:val="24"/>
          <w:szCs w:val="24"/>
          <w:lang w:val="en-US"/>
        </w:rPr>
        <w:t xml:space="preserve"> 17: 4-48. Disponible en:</w:t>
      </w:r>
    </w:p>
    <w:p w:rsidR="00A45144" w:rsidRDefault="005319C1" w:rsidP="00E619D4">
      <w:pPr>
        <w:spacing w:line="276" w:lineRule="auto"/>
        <w:jc w:val="both"/>
        <w:rPr>
          <w:rFonts w:ascii="Cambria" w:eastAsiaTheme="minorEastAsia" w:hAnsi="Cambria"/>
          <w:sz w:val="24"/>
          <w:szCs w:val="24"/>
          <w:lang w:val="en-US"/>
        </w:rPr>
      </w:pPr>
      <w:hyperlink r:id="rId19" w:history="1">
        <w:r w:rsidR="00273832" w:rsidRPr="008E6BFF">
          <w:rPr>
            <w:rStyle w:val="Hyperlink"/>
            <w:rFonts w:ascii="Cambria" w:eastAsiaTheme="minorEastAsia" w:hAnsi="Cambria"/>
            <w:sz w:val="24"/>
            <w:szCs w:val="24"/>
            <w:lang w:val="en-US"/>
          </w:rPr>
          <w:t>http://onlinelibrary.wiley.com/doi/10.1111/jpet.12133/full</w:t>
        </w:r>
      </w:hyperlink>
      <w:r w:rsidR="00273832">
        <w:rPr>
          <w:rFonts w:ascii="Cambria" w:eastAsiaTheme="minorEastAsia" w:hAnsi="Cambria"/>
          <w:sz w:val="24"/>
          <w:szCs w:val="24"/>
          <w:lang w:val="en-US"/>
        </w:rPr>
        <w:t xml:space="preserve"> </w:t>
      </w:r>
    </w:p>
    <w:p w:rsidR="00F06A06" w:rsidRDefault="00F06A06" w:rsidP="00EE3CA5">
      <w:pPr>
        <w:pStyle w:val="NoSpacing"/>
        <w:rPr>
          <w:lang w:val="en-US"/>
        </w:rPr>
      </w:pPr>
    </w:p>
    <w:p w:rsidR="00891821" w:rsidRDefault="00891821" w:rsidP="00E619D4">
      <w:pPr>
        <w:spacing w:line="276" w:lineRule="auto"/>
        <w:jc w:val="both"/>
        <w:rPr>
          <w:rFonts w:ascii="Cambria" w:eastAsiaTheme="minorEastAsia" w:hAnsi="Cambria"/>
          <w:sz w:val="24"/>
          <w:szCs w:val="24"/>
        </w:rPr>
      </w:pPr>
      <w:r w:rsidRPr="00891821">
        <w:rPr>
          <w:rFonts w:ascii="Cambria" w:eastAsiaTheme="minorEastAsia" w:hAnsi="Cambria"/>
          <w:sz w:val="24"/>
          <w:szCs w:val="24"/>
        </w:rPr>
        <w:t xml:space="preserve">Presidencia </w:t>
      </w:r>
      <w:r>
        <w:rPr>
          <w:rFonts w:ascii="Cambria" w:eastAsiaTheme="minorEastAsia" w:hAnsi="Cambria"/>
          <w:sz w:val="24"/>
          <w:szCs w:val="24"/>
        </w:rPr>
        <w:t>de la República de Colombia. 2012. Ley 1508</w:t>
      </w:r>
      <w:r w:rsidR="00AD11A1">
        <w:rPr>
          <w:rFonts w:ascii="Cambria" w:eastAsiaTheme="minorEastAsia" w:hAnsi="Cambria"/>
          <w:sz w:val="24"/>
          <w:szCs w:val="24"/>
        </w:rPr>
        <w:t xml:space="preserve"> (“APP”)</w:t>
      </w:r>
      <w:r>
        <w:rPr>
          <w:rFonts w:ascii="Cambria" w:eastAsiaTheme="minorEastAsia" w:hAnsi="Cambria"/>
          <w:sz w:val="24"/>
          <w:szCs w:val="24"/>
        </w:rPr>
        <w:t>. Disponible en:</w:t>
      </w:r>
    </w:p>
    <w:p w:rsidR="00891821" w:rsidRPr="00891821" w:rsidRDefault="005319C1" w:rsidP="00E619D4">
      <w:pPr>
        <w:spacing w:line="276" w:lineRule="auto"/>
        <w:jc w:val="both"/>
        <w:rPr>
          <w:rFonts w:ascii="Cambria" w:eastAsiaTheme="minorEastAsia" w:hAnsi="Cambria"/>
          <w:sz w:val="24"/>
          <w:szCs w:val="24"/>
        </w:rPr>
      </w:pPr>
      <w:hyperlink r:id="rId20" w:history="1">
        <w:r w:rsidR="00891821" w:rsidRPr="00C10493">
          <w:rPr>
            <w:rStyle w:val="Hyperlink"/>
            <w:rFonts w:ascii="Cambria" w:eastAsiaTheme="minorEastAsia" w:hAnsi="Cambria"/>
            <w:sz w:val="24"/>
            <w:szCs w:val="24"/>
          </w:rPr>
          <w:t>http://wsp.presidencia.gov.co/Normativa/Leyes/Documents/Ley150810012012.pdf</w:t>
        </w:r>
      </w:hyperlink>
      <w:r w:rsidR="00891821">
        <w:rPr>
          <w:rFonts w:ascii="Cambria" w:eastAsiaTheme="minorEastAsia" w:hAnsi="Cambria"/>
          <w:sz w:val="24"/>
          <w:szCs w:val="24"/>
        </w:rPr>
        <w:t xml:space="preserve"> </w:t>
      </w:r>
    </w:p>
    <w:p w:rsidR="00821722" w:rsidRDefault="00821722" w:rsidP="00E619D4">
      <w:pPr>
        <w:spacing w:line="276" w:lineRule="auto"/>
        <w:jc w:val="both"/>
        <w:rPr>
          <w:rFonts w:ascii="Cambria" w:eastAsiaTheme="minorEastAsia" w:hAnsi="Cambria"/>
          <w:b/>
          <w:smallCaps/>
          <w:sz w:val="24"/>
          <w:szCs w:val="24"/>
        </w:rPr>
      </w:pPr>
    </w:p>
    <w:p w:rsidR="00AC3E19" w:rsidRDefault="00AC3E19" w:rsidP="00E619D4">
      <w:pPr>
        <w:spacing w:line="276" w:lineRule="auto"/>
        <w:jc w:val="both"/>
        <w:rPr>
          <w:rFonts w:ascii="Cambria" w:eastAsiaTheme="minorEastAsia" w:hAnsi="Cambria"/>
          <w:b/>
          <w:smallCaps/>
          <w:sz w:val="24"/>
          <w:szCs w:val="24"/>
        </w:rPr>
      </w:pPr>
    </w:p>
    <w:p w:rsidR="00F06A06" w:rsidRPr="00891821" w:rsidRDefault="00F06A06" w:rsidP="00E619D4">
      <w:pPr>
        <w:spacing w:line="276" w:lineRule="auto"/>
        <w:jc w:val="both"/>
        <w:rPr>
          <w:rFonts w:ascii="Cambria" w:eastAsiaTheme="minorEastAsia" w:hAnsi="Cambria"/>
          <w:b/>
          <w:smallCaps/>
          <w:sz w:val="24"/>
          <w:szCs w:val="24"/>
        </w:rPr>
      </w:pPr>
      <w:r w:rsidRPr="00891821">
        <w:rPr>
          <w:rFonts w:ascii="Cambria" w:eastAsiaTheme="minorEastAsia" w:hAnsi="Cambria"/>
          <w:b/>
          <w:smallCaps/>
          <w:sz w:val="24"/>
          <w:szCs w:val="24"/>
        </w:rPr>
        <w:t>Educación</w:t>
      </w:r>
    </w:p>
    <w:p w:rsidR="00F06A06" w:rsidRDefault="006645A3" w:rsidP="00E619D4">
      <w:pPr>
        <w:spacing w:line="276" w:lineRule="auto"/>
        <w:jc w:val="both"/>
        <w:rPr>
          <w:rFonts w:ascii="Cambria" w:eastAsiaTheme="minorEastAsia" w:hAnsi="Cambria"/>
          <w:sz w:val="24"/>
          <w:szCs w:val="24"/>
        </w:rPr>
      </w:pPr>
      <w:r>
        <w:rPr>
          <w:rFonts w:ascii="Cambria" w:eastAsiaTheme="minorEastAsia" w:hAnsi="Cambria"/>
          <w:sz w:val="24"/>
          <w:szCs w:val="24"/>
        </w:rPr>
        <w:t>DNP</w:t>
      </w:r>
      <w:r w:rsidRPr="000A19B8">
        <w:rPr>
          <w:rFonts w:ascii="Cambria" w:eastAsiaTheme="minorEastAsia" w:hAnsi="Cambria"/>
          <w:sz w:val="24"/>
          <w:szCs w:val="24"/>
        </w:rPr>
        <w:t>. 2015A.</w:t>
      </w:r>
      <w:r>
        <w:rPr>
          <w:rFonts w:ascii="Cambria" w:eastAsiaTheme="minorEastAsia" w:hAnsi="Cambria"/>
          <w:sz w:val="24"/>
          <w:szCs w:val="24"/>
        </w:rPr>
        <w:t xml:space="preserve"> </w:t>
      </w:r>
      <w:r w:rsidR="00F06A06" w:rsidRPr="00F06A06">
        <w:rPr>
          <w:rFonts w:ascii="Cambria" w:eastAsiaTheme="minorEastAsia" w:hAnsi="Cambria"/>
          <w:sz w:val="24"/>
          <w:szCs w:val="24"/>
        </w:rPr>
        <w:t>Conpes 3831 de 2015. Declaración de importancia estrat</w:t>
      </w:r>
      <w:r w:rsidR="00F06A06">
        <w:rPr>
          <w:rFonts w:ascii="Cambria" w:eastAsiaTheme="minorEastAsia" w:hAnsi="Cambria"/>
          <w:sz w:val="24"/>
          <w:szCs w:val="24"/>
        </w:rPr>
        <w:t>égica del Plan Nacional de Infraestructura Educativa para la implementación de la jornada única escolar. Disponible en:</w:t>
      </w:r>
    </w:p>
    <w:p w:rsidR="00F06A06" w:rsidRDefault="005319C1" w:rsidP="00E619D4">
      <w:pPr>
        <w:spacing w:line="276" w:lineRule="auto"/>
        <w:jc w:val="both"/>
        <w:rPr>
          <w:rFonts w:ascii="Cambria" w:eastAsiaTheme="minorEastAsia" w:hAnsi="Cambria"/>
          <w:sz w:val="24"/>
          <w:szCs w:val="24"/>
        </w:rPr>
      </w:pPr>
      <w:hyperlink r:id="rId21" w:history="1">
        <w:r w:rsidR="00F06A06" w:rsidRPr="008E6BFF">
          <w:rPr>
            <w:rStyle w:val="Hyperlink"/>
            <w:rFonts w:ascii="Cambria" w:eastAsiaTheme="minorEastAsia" w:hAnsi="Cambria"/>
            <w:sz w:val="24"/>
            <w:szCs w:val="24"/>
          </w:rPr>
          <w:t>https://colaboracion.dnp.gov.co/CDT/Conpes/Econ%C3%B3micos/3831.pdf</w:t>
        </w:r>
      </w:hyperlink>
      <w:r w:rsidR="00F06A06">
        <w:rPr>
          <w:rFonts w:ascii="Cambria" w:eastAsiaTheme="minorEastAsia" w:hAnsi="Cambria"/>
          <w:sz w:val="24"/>
          <w:szCs w:val="24"/>
        </w:rPr>
        <w:t xml:space="preserve"> </w:t>
      </w:r>
    </w:p>
    <w:p w:rsidR="00F60BB4" w:rsidRDefault="00F60BB4" w:rsidP="00E619D4">
      <w:pPr>
        <w:spacing w:line="276" w:lineRule="auto"/>
        <w:jc w:val="both"/>
        <w:rPr>
          <w:rFonts w:ascii="Cambria" w:eastAsiaTheme="minorEastAsia" w:hAnsi="Cambria"/>
          <w:sz w:val="24"/>
          <w:szCs w:val="24"/>
        </w:rPr>
      </w:pPr>
      <w:r>
        <w:rPr>
          <w:rFonts w:ascii="Cambria" w:eastAsiaTheme="minorEastAsia" w:hAnsi="Cambria"/>
          <w:sz w:val="24"/>
          <w:szCs w:val="24"/>
        </w:rPr>
        <w:t xml:space="preserve">DNP. </w:t>
      </w:r>
      <w:r w:rsidRPr="000A19B8">
        <w:rPr>
          <w:rFonts w:ascii="Cambria" w:eastAsiaTheme="minorEastAsia" w:hAnsi="Cambria"/>
          <w:sz w:val="24"/>
          <w:szCs w:val="24"/>
        </w:rPr>
        <w:t>2015</w:t>
      </w:r>
      <w:r w:rsidR="000A19B8" w:rsidRPr="000A19B8">
        <w:rPr>
          <w:rFonts w:ascii="Cambria" w:eastAsiaTheme="minorEastAsia" w:hAnsi="Cambria"/>
          <w:sz w:val="24"/>
          <w:szCs w:val="24"/>
        </w:rPr>
        <w:t>B</w:t>
      </w:r>
      <w:r w:rsidRPr="000A19B8">
        <w:rPr>
          <w:rFonts w:ascii="Cambria" w:eastAsiaTheme="minorEastAsia" w:hAnsi="Cambria"/>
          <w:sz w:val="24"/>
          <w:szCs w:val="24"/>
        </w:rPr>
        <w:t>.</w:t>
      </w:r>
      <w:r>
        <w:rPr>
          <w:rFonts w:ascii="Cambria" w:eastAsiaTheme="minorEastAsia" w:hAnsi="Cambria"/>
          <w:sz w:val="24"/>
          <w:szCs w:val="24"/>
        </w:rPr>
        <w:t xml:space="preserve"> Utilización del esquema de Asociaciones Público Privadas para la ejecución de proyectos que involucren el diseño, la construcción, rehabilitación, mejoramiento y/o equipamiento, así como la operación y mantenimiento de infraestructura educativa. Deloitte (agosto). Disponible en:</w:t>
      </w:r>
    </w:p>
    <w:p w:rsidR="00F60BB4" w:rsidRDefault="005319C1" w:rsidP="00E619D4">
      <w:pPr>
        <w:spacing w:line="276" w:lineRule="auto"/>
        <w:jc w:val="both"/>
        <w:rPr>
          <w:rFonts w:ascii="Cambria" w:eastAsiaTheme="minorEastAsia" w:hAnsi="Cambria"/>
          <w:sz w:val="24"/>
          <w:szCs w:val="24"/>
        </w:rPr>
      </w:pPr>
      <w:hyperlink r:id="rId22" w:history="1">
        <w:r w:rsidR="00F60BB4" w:rsidRPr="008E6BFF">
          <w:rPr>
            <w:rStyle w:val="Hyperlink"/>
            <w:rFonts w:ascii="Cambria" w:eastAsiaTheme="minorEastAsia" w:hAnsi="Cambria"/>
            <w:sz w:val="24"/>
            <w:szCs w:val="24"/>
          </w:rPr>
          <w:t>https://colaboracion.dnp.gov.co/CDT/Participacin%20privada%20en%20proyectos%20de%20infraestructu/DNP%20Educaci%C3%B3n%20-%20Resumen%20Ejecutivo%202015%2008%2018%20VF.pdf</w:t>
        </w:r>
      </w:hyperlink>
      <w:r w:rsidR="00F60BB4">
        <w:rPr>
          <w:rFonts w:ascii="Cambria" w:eastAsiaTheme="minorEastAsia" w:hAnsi="Cambria"/>
          <w:sz w:val="24"/>
          <w:szCs w:val="24"/>
        </w:rPr>
        <w:t xml:space="preserve"> </w:t>
      </w:r>
    </w:p>
    <w:p w:rsidR="0078767F" w:rsidRDefault="0078767F" w:rsidP="00E619D4">
      <w:pPr>
        <w:spacing w:line="276" w:lineRule="auto"/>
        <w:jc w:val="both"/>
        <w:rPr>
          <w:rFonts w:ascii="Cambria" w:eastAsiaTheme="minorEastAsia" w:hAnsi="Cambria"/>
          <w:b/>
          <w:smallCaps/>
          <w:sz w:val="24"/>
          <w:szCs w:val="24"/>
        </w:rPr>
      </w:pPr>
    </w:p>
    <w:p w:rsidR="002A28C9" w:rsidRDefault="002A28C9" w:rsidP="00E619D4">
      <w:pPr>
        <w:spacing w:line="276" w:lineRule="auto"/>
        <w:jc w:val="both"/>
        <w:rPr>
          <w:rFonts w:ascii="Cambria" w:eastAsiaTheme="minorEastAsia" w:hAnsi="Cambria"/>
          <w:b/>
          <w:smallCaps/>
          <w:sz w:val="24"/>
          <w:szCs w:val="24"/>
        </w:rPr>
      </w:pPr>
      <w:r>
        <w:rPr>
          <w:rFonts w:ascii="Cambria" w:eastAsiaTheme="minorEastAsia" w:hAnsi="Cambria"/>
          <w:b/>
          <w:smallCaps/>
          <w:sz w:val="24"/>
          <w:szCs w:val="24"/>
        </w:rPr>
        <w:t>Salud</w:t>
      </w:r>
    </w:p>
    <w:p w:rsidR="00223CA9" w:rsidRDefault="00223CA9" w:rsidP="00E619D4">
      <w:pPr>
        <w:spacing w:line="276" w:lineRule="auto"/>
        <w:jc w:val="both"/>
        <w:rPr>
          <w:rFonts w:ascii="Cambria" w:eastAsiaTheme="minorEastAsia" w:hAnsi="Cambria"/>
          <w:sz w:val="24"/>
          <w:szCs w:val="24"/>
        </w:rPr>
      </w:pPr>
      <w:r w:rsidRPr="000A19B8">
        <w:rPr>
          <w:rFonts w:ascii="Cambria" w:eastAsiaTheme="minorEastAsia" w:hAnsi="Cambria"/>
          <w:sz w:val="24"/>
          <w:szCs w:val="24"/>
        </w:rPr>
        <w:t>DNP. 2015C.</w:t>
      </w:r>
      <w:r>
        <w:rPr>
          <w:rFonts w:ascii="Cambria" w:eastAsiaTheme="minorEastAsia" w:hAnsi="Cambria"/>
          <w:sz w:val="24"/>
          <w:szCs w:val="24"/>
        </w:rPr>
        <w:t xml:space="preserve"> Consultoría para realizar un análisis sobre la aplicación del instrumento de Asociaciones Público Privadas (APP) previsto en la Ley 1508 de 2012 en el sector de salud de Colombia, </w:t>
      </w:r>
      <w:r w:rsidR="00A5247C">
        <w:rPr>
          <w:rFonts w:ascii="Cambria" w:eastAsiaTheme="minorEastAsia" w:hAnsi="Cambria"/>
          <w:sz w:val="24"/>
          <w:szCs w:val="24"/>
        </w:rPr>
        <w:t xml:space="preserve">efectuar las propuestas técnicas, normativas y/o reglamentarias que permitan su implementación, e identificar dos proyectos pilotos. KPMG. Resumen Ejecutivo. Disponible en: </w:t>
      </w:r>
    </w:p>
    <w:p w:rsidR="00A5247C" w:rsidRDefault="005319C1" w:rsidP="00E619D4">
      <w:pPr>
        <w:spacing w:line="276" w:lineRule="auto"/>
        <w:jc w:val="both"/>
        <w:rPr>
          <w:rFonts w:ascii="Cambria" w:eastAsiaTheme="minorEastAsia" w:hAnsi="Cambria"/>
          <w:sz w:val="24"/>
          <w:szCs w:val="24"/>
        </w:rPr>
      </w:pPr>
      <w:hyperlink r:id="rId23" w:history="1">
        <w:r w:rsidR="00A5247C" w:rsidRPr="00C10493">
          <w:rPr>
            <w:rStyle w:val="Hyperlink"/>
            <w:rFonts w:ascii="Cambria" w:eastAsiaTheme="minorEastAsia" w:hAnsi="Cambria"/>
            <w:sz w:val="24"/>
            <w:szCs w:val="24"/>
          </w:rPr>
          <w:t>https://colaboracion.dnp.gov.co/CDT/Participacin%20privada%20en%20proyectos%20de%20infraestructu/01092015_Resumen%20Ejecutivo%20-Salud%20APP%20v.1.pdf</w:t>
        </w:r>
      </w:hyperlink>
      <w:r w:rsidR="00A5247C">
        <w:rPr>
          <w:rFonts w:ascii="Cambria" w:eastAsiaTheme="minorEastAsia" w:hAnsi="Cambria"/>
          <w:sz w:val="24"/>
          <w:szCs w:val="24"/>
        </w:rPr>
        <w:t xml:space="preserve"> </w:t>
      </w:r>
    </w:p>
    <w:p w:rsidR="002F79E4" w:rsidRDefault="002F79E4" w:rsidP="00E619D4">
      <w:pPr>
        <w:spacing w:line="276" w:lineRule="auto"/>
        <w:jc w:val="both"/>
        <w:rPr>
          <w:rFonts w:ascii="Cambria" w:eastAsiaTheme="minorEastAsia" w:hAnsi="Cambria"/>
          <w:sz w:val="24"/>
          <w:szCs w:val="24"/>
        </w:rPr>
      </w:pPr>
      <w:r>
        <w:rPr>
          <w:rFonts w:ascii="Cambria" w:eastAsiaTheme="minorEastAsia" w:hAnsi="Cambria"/>
          <w:sz w:val="24"/>
          <w:szCs w:val="24"/>
        </w:rPr>
        <w:t xml:space="preserve">Congreso de Colombia. Ley 1438 de 2011 (“Ley de Reforma del SGSSS”). Disponible en: </w:t>
      </w:r>
      <w:hyperlink r:id="rId24" w:history="1">
        <w:r w:rsidRPr="00C10493">
          <w:rPr>
            <w:rStyle w:val="Hyperlink"/>
            <w:rFonts w:ascii="Cambria" w:eastAsiaTheme="minorEastAsia" w:hAnsi="Cambria"/>
            <w:sz w:val="24"/>
            <w:szCs w:val="24"/>
          </w:rPr>
          <w:t>http://www.ins.gov.co:81/normatividad/Leyes/LEY%201438%20DE%202011.pdf</w:t>
        </w:r>
      </w:hyperlink>
      <w:r>
        <w:rPr>
          <w:rFonts w:ascii="Cambria" w:eastAsiaTheme="minorEastAsia" w:hAnsi="Cambria"/>
          <w:sz w:val="24"/>
          <w:szCs w:val="24"/>
        </w:rPr>
        <w:t xml:space="preserve"> </w:t>
      </w:r>
    </w:p>
    <w:p w:rsidR="00172A96" w:rsidRDefault="00172A96" w:rsidP="00172A96">
      <w:pPr>
        <w:spacing w:line="276" w:lineRule="auto"/>
        <w:jc w:val="both"/>
        <w:rPr>
          <w:rFonts w:ascii="Cambria" w:eastAsiaTheme="minorEastAsia" w:hAnsi="Cambria"/>
          <w:sz w:val="24"/>
          <w:szCs w:val="24"/>
        </w:rPr>
      </w:pPr>
      <w:r>
        <w:rPr>
          <w:rFonts w:ascii="Cambria" w:eastAsiaTheme="minorEastAsia" w:hAnsi="Cambria"/>
          <w:sz w:val="24"/>
          <w:szCs w:val="24"/>
          <w:lang w:val="en-US"/>
        </w:rPr>
        <w:t xml:space="preserve">Jha, P. et al. 2015. Benefits and Costs of the Health Targets for the Post-2015 Development Agenda.  </w:t>
      </w:r>
      <w:r w:rsidRPr="00606EA9">
        <w:rPr>
          <w:rFonts w:ascii="Cambria" w:eastAsiaTheme="minorEastAsia" w:hAnsi="Cambria"/>
          <w:sz w:val="24"/>
          <w:szCs w:val="24"/>
        </w:rPr>
        <w:t>Perspective paper. Copenhagen Consensus Center.</w:t>
      </w:r>
      <w:r>
        <w:rPr>
          <w:rFonts w:ascii="Cambria" w:eastAsiaTheme="minorEastAsia" w:hAnsi="Cambria"/>
          <w:sz w:val="24"/>
          <w:szCs w:val="24"/>
        </w:rPr>
        <w:t xml:space="preserve"> Disponible en: </w:t>
      </w:r>
    </w:p>
    <w:p w:rsidR="00172A96" w:rsidRPr="00172A96" w:rsidRDefault="005319C1" w:rsidP="00172640">
      <w:pPr>
        <w:spacing w:line="276" w:lineRule="auto"/>
        <w:jc w:val="both"/>
        <w:rPr>
          <w:rFonts w:ascii="Cambria" w:eastAsiaTheme="minorEastAsia" w:hAnsi="Cambria"/>
          <w:sz w:val="24"/>
          <w:szCs w:val="24"/>
        </w:rPr>
      </w:pPr>
      <w:hyperlink r:id="rId25" w:history="1">
        <w:r w:rsidR="00172A96" w:rsidRPr="00C10493">
          <w:rPr>
            <w:rStyle w:val="Hyperlink"/>
            <w:rFonts w:ascii="Cambria" w:eastAsiaTheme="minorEastAsia" w:hAnsi="Cambria"/>
            <w:sz w:val="24"/>
            <w:szCs w:val="24"/>
          </w:rPr>
          <w:t>http://www.copenhagenconsensus.com/sites/default/files/health_assessment_-_jha_et_al_0.pdf</w:t>
        </w:r>
      </w:hyperlink>
      <w:r w:rsidR="00172A96">
        <w:rPr>
          <w:rFonts w:ascii="Cambria" w:eastAsiaTheme="minorEastAsia" w:hAnsi="Cambria"/>
          <w:sz w:val="24"/>
          <w:szCs w:val="24"/>
        </w:rPr>
        <w:t xml:space="preserve"> </w:t>
      </w:r>
    </w:p>
    <w:p w:rsidR="00172640" w:rsidRPr="00A54143" w:rsidRDefault="00172640" w:rsidP="00172640">
      <w:pPr>
        <w:spacing w:line="276" w:lineRule="auto"/>
        <w:jc w:val="both"/>
        <w:rPr>
          <w:rFonts w:ascii="Cambria" w:eastAsiaTheme="minorEastAsia" w:hAnsi="Cambria"/>
          <w:sz w:val="24"/>
          <w:szCs w:val="24"/>
        </w:rPr>
      </w:pPr>
      <w:r w:rsidRPr="000C3608">
        <w:rPr>
          <w:rFonts w:ascii="Cambria" w:eastAsiaTheme="minorEastAsia" w:hAnsi="Cambria"/>
          <w:sz w:val="24"/>
          <w:szCs w:val="24"/>
          <w:lang w:val="en-US"/>
        </w:rPr>
        <w:t xml:space="preserve">Jha, P. et al. 2012. </w:t>
      </w:r>
      <w:r w:rsidRPr="00172640">
        <w:rPr>
          <w:rFonts w:ascii="Cambria" w:eastAsiaTheme="minorEastAsia" w:hAnsi="Cambria"/>
          <w:sz w:val="24"/>
          <w:szCs w:val="24"/>
          <w:lang w:val="en-US"/>
        </w:rPr>
        <w:t>Challenge Paper: Ch</w:t>
      </w:r>
      <w:r w:rsidR="00A54143">
        <w:rPr>
          <w:rFonts w:ascii="Cambria" w:eastAsiaTheme="minorEastAsia" w:hAnsi="Cambria"/>
          <w:sz w:val="24"/>
          <w:szCs w:val="24"/>
          <w:lang w:val="en-US"/>
        </w:rPr>
        <w:t>ronic</w:t>
      </w:r>
      <w:r w:rsidRPr="00172640">
        <w:rPr>
          <w:rFonts w:ascii="Cambria" w:eastAsiaTheme="minorEastAsia" w:hAnsi="Cambria"/>
          <w:sz w:val="24"/>
          <w:szCs w:val="24"/>
          <w:lang w:val="en-US"/>
        </w:rPr>
        <w:t xml:space="preserve"> Disease. </w:t>
      </w:r>
      <w:r w:rsidRPr="00A54143">
        <w:rPr>
          <w:rFonts w:ascii="Cambria" w:eastAsiaTheme="minorEastAsia" w:hAnsi="Cambria"/>
          <w:sz w:val="24"/>
          <w:szCs w:val="24"/>
        </w:rPr>
        <w:t>Copenhagen Consensus 2012. Disponible en:</w:t>
      </w:r>
    </w:p>
    <w:p w:rsidR="00172640" w:rsidRPr="00A54143" w:rsidRDefault="005319C1" w:rsidP="00172640">
      <w:pPr>
        <w:spacing w:line="276" w:lineRule="auto"/>
        <w:jc w:val="both"/>
        <w:rPr>
          <w:rFonts w:ascii="Cambria" w:eastAsiaTheme="minorEastAsia" w:hAnsi="Cambria"/>
          <w:sz w:val="24"/>
          <w:szCs w:val="24"/>
        </w:rPr>
      </w:pPr>
      <w:hyperlink r:id="rId26" w:history="1">
        <w:r w:rsidR="00172640" w:rsidRPr="00A54143">
          <w:rPr>
            <w:rStyle w:val="Hyperlink"/>
            <w:rFonts w:ascii="Cambria" w:eastAsiaTheme="minorEastAsia" w:hAnsi="Cambria"/>
            <w:sz w:val="24"/>
            <w:szCs w:val="24"/>
          </w:rPr>
          <w:t>http://www.copenhagenconsensus.com/sites/default/files/chronicdisease.pdf</w:t>
        </w:r>
      </w:hyperlink>
    </w:p>
    <w:p w:rsidR="00A54143" w:rsidRPr="00A54143" w:rsidRDefault="00A54143" w:rsidP="00A54143">
      <w:pPr>
        <w:spacing w:line="276" w:lineRule="auto"/>
        <w:jc w:val="both"/>
        <w:rPr>
          <w:rFonts w:ascii="Cambria" w:eastAsiaTheme="minorEastAsia" w:hAnsi="Cambria"/>
          <w:sz w:val="24"/>
          <w:szCs w:val="24"/>
        </w:rPr>
      </w:pPr>
      <w:r>
        <w:rPr>
          <w:rFonts w:ascii="Cambria" w:eastAsiaTheme="minorEastAsia" w:hAnsi="Cambria"/>
          <w:sz w:val="24"/>
          <w:szCs w:val="24"/>
        </w:rPr>
        <w:t xml:space="preserve">Jamison, D. T. et al. 2012. </w:t>
      </w:r>
      <w:r w:rsidR="006C1AAE">
        <w:rPr>
          <w:rFonts w:ascii="Cambria" w:eastAsiaTheme="minorEastAsia" w:hAnsi="Cambria"/>
          <w:sz w:val="24"/>
          <w:szCs w:val="24"/>
          <w:lang w:val="en-US"/>
        </w:rPr>
        <w:t>Challenge Paper:</w:t>
      </w:r>
      <w:r w:rsidRPr="00A54143">
        <w:rPr>
          <w:rFonts w:ascii="Cambria" w:eastAsiaTheme="minorEastAsia" w:hAnsi="Cambria"/>
          <w:sz w:val="24"/>
          <w:szCs w:val="24"/>
          <w:lang w:val="en-US"/>
        </w:rPr>
        <w:t xml:space="preserve"> Infectious Disease. </w:t>
      </w:r>
      <w:r w:rsidRPr="00D04214">
        <w:rPr>
          <w:rFonts w:ascii="Cambria" w:eastAsiaTheme="minorEastAsia" w:hAnsi="Cambria"/>
          <w:sz w:val="24"/>
          <w:szCs w:val="24"/>
        </w:rPr>
        <w:t xml:space="preserve">Copenhagen Consensus 2012. </w:t>
      </w:r>
      <w:r w:rsidRPr="00A54143">
        <w:rPr>
          <w:rFonts w:ascii="Cambria" w:eastAsiaTheme="minorEastAsia" w:hAnsi="Cambria"/>
          <w:sz w:val="24"/>
          <w:szCs w:val="24"/>
        </w:rPr>
        <w:t>Disponible en:</w:t>
      </w:r>
    </w:p>
    <w:p w:rsidR="00A54143" w:rsidRDefault="005319C1" w:rsidP="00E619D4">
      <w:pPr>
        <w:spacing w:line="276" w:lineRule="auto"/>
        <w:jc w:val="both"/>
        <w:rPr>
          <w:rFonts w:ascii="Cambria" w:eastAsiaTheme="minorEastAsia" w:hAnsi="Cambria"/>
          <w:sz w:val="24"/>
          <w:szCs w:val="24"/>
        </w:rPr>
      </w:pPr>
      <w:hyperlink r:id="rId27" w:history="1">
        <w:r w:rsidR="00A54143" w:rsidRPr="00C10493">
          <w:rPr>
            <w:rStyle w:val="Hyperlink"/>
            <w:rFonts w:ascii="Cambria" w:eastAsiaTheme="minorEastAsia" w:hAnsi="Cambria"/>
            <w:sz w:val="24"/>
            <w:szCs w:val="24"/>
          </w:rPr>
          <w:t>http://www.copenhagenconsensus.com/sites/default/files/infectiousdisease.pdf</w:t>
        </w:r>
      </w:hyperlink>
      <w:r w:rsidR="00A54143">
        <w:rPr>
          <w:rFonts w:ascii="Cambria" w:eastAsiaTheme="minorEastAsia" w:hAnsi="Cambria"/>
          <w:sz w:val="24"/>
          <w:szCs w:val="24"/>
        </w:rPr>
        <w:t xml:space="preserve"> </w:t>
      </w:r>
    </w:p>
    <w:p w:rsidR="00883659" w:rsidRDefault="00883659" w:rsidP="00883659">
      <w:pPr>
        <w:spacing w:line="276" w:lineRule="auto"/>
        <w:jc w:val="both"/>
        <w:rPr>
          <w:rFonts w:ascii="Cambria" w:eastAsiaTheme="minorEastAsia" w:hAnsi="Cambria"/>
          <w:sz w:val="24"/>
          <w:szCs w:val="24"/>
        </w:rPr>
      </w:pPr>
      <w:r>
        <w:rPr>
          <w:rFonts w:ascii="Cambria" w:eastAsiaTheme="minorEastAsia" w:hAnsi="Cambria"/>
          <w:sz w:val="24"/>
          <w:szCs w:val="24"/>
        </w:rPr>
        <w:t xml:space="preserve">Luca, D. L., et al. 2015. </w:t>
      </w:r>
      <w:r w:rsidRPr="00883659">
        <w:rPr>
          <w:rFonts w:ascii="Cambria" w:eastAsiaTheme="minorEastAsia" w:hAnsi="Cambria"/>
          <w:sz w:val="24"/>
          <w:szCs w:val="24"/>
          <w:lang w:val="en-US"/>
        </w:rPr>
        <w:t xml:space="preserve">Benefits and Costs of Women´s </w:t>
      </w:r>
      <w:r>
        <w:rPr>
          <w:rFonts w:ascii="Cambria" w:eastAsiaTheme="minorEastAsia" w:hAnsi="Cambria"/>
          <w:sz w:val="24"/>
          <w:szCs w:val="24"/>
          <w:lang w:val="en-US"/>
        </w:rPr>
        <w:t xml:space="preserve">Health Targets for the Post-2015 Development Agenda. </w:t>
      </w:r>
      <w:r w:rsidRPr="00606EA9">
        <w:rPr>
          <w:rFonts w:ascii="Cambria" w:eastAsiaTheme="minorEastAsia" w:hAnsi="Cambria"/>
          <w:sz w:val="24"/>
          <w:szCs w:val="24"/>
        </w:rPr>
        <w:t>Perspective paper. Copenhagen Consensus Center.</w:t>
      </w:r>
      <w:r>
        <w:rPr>
          <w:rFonts w:ascii="Cambria" w:eastAsiaTheme="minorEastAsia" w:hAnsi="Cambria"/>
          <w:sz w:val="24"/>
          <w:szCs w:val="24"/>
        </w:rPr>
        <w:t xml:space="preserve"> Disponible en: </w:t>
      </w:r>
    </w:p>
    <w:p w:rsidR="00883659" w:rsidRPr="00883659" w:rsidRDefault="005319C1" w:rsidP="00E619D4">
      <w:pPr>
        <w:spacing w:line="276" w:lineRule="auto"/>
        <w:jc w:val="both"/>
        <w:rPr>
          <w:rFonts w:ascii="Cambria" w:eastAsiaTheme="minorEastAsia" w:hAnsi="Cambria"/>
          <w:sz w:val="24"/>
          <w:szCs w:val="24"/>
        </w:rPr>
      </w:pPr>
      <w:hyperlink r:id="rId28" w:history="1">
        <w:r w:rsidR="00883659" w:rsidRPr="00C10493">
          <w:rPr>
            <w:rStyle w:val="Hyperlink"/>
            <w:rFonts w:ascii="Cambria" w:eastAsiaTheme="minorEastAsia" w:hAnsi="Cambria"/>
            <w:sz w:val="24"/>
            <w:szCs w:val="24"/>
          </w:rPr>
          <w:t>http://www.copenhagenconsensus.com/sites/default/files/health_-_perspective_-_luca.pdf</w:t>
        </w:r>
      </w:hyperlink>
      <w:r w:rsidR="00883659">
        <w:rPr>
          <w:rFonts w:ascii="Cambria" w:eastAsiaTheme="minorEastAsia" w:hAnsi="Cambria"/>
          <w:sz w:val="24"/>
          <w:szCs w:val="24"/>
        </w:rPr>
        <w:t xml:space="preserve"> </w:t>
      </w:r>
    </w:p>
    <w:p w:rsidR="0007226E" w:rsidRDefault="0007226E" w:rsidP="0007226E">
      <w:pPr>
        <w:spacing w:line="276" w:lineRule="auto"/>
        <w:jc w:val="both"/>
        <w:rPr>
          <w:rFonts w:ascii="Cambria" w:eastAsiaTheme="minorEastAsia" w:hAnsi="Cambria"/>
          <w:sz w:val="24"/>
          <w:szCs w:val="24"/>
        </w:rPr>
      </w:pPr>
      <w:r>
        <w:rPr>
          <w:rFonts w:ascii="Cambria" w:eastAsiaTheme="minorEastAsia" w:hAnsi="Cambria"/>
          <w:sz w:val="24"/>
          <w:szCs w:val="24"/>
        </w:rPr>
        <w:t xml:space="preserve">Medellín, N. y P. Ibararán. 2015. Análisis Económico </w:t>
      </w:r>
      <w:r w:rsidRPr="0007226E">
        <w:rPr>
          <w:rFonts w:ascii="Cambria" w:eastAsiaTheme="minorEastAsia" w:hAnsi="Cambria"/>
          <w:sz w:val="24"/>
          <w:szCs w:val="24"/>
        </w:rPr>
        <w:t>BR-L1408</w:t>
      </w:r>
      <w:r>
        <w:rPr>
          <w:rFonts w:ascii="Cambria" w:eastAsiaTheme="minorEastAsia" w:hAnsi="Cambria"/>
          <w:sz w:val="24"/>
          <w:szCs w:val="24"/>
        </w:rPr>
        <w:t xml:space="preserve">. </w:t>
      </w:r>
      <w:r w:rsidRPr="0007226E">
        <w:rPr>
          <w:rFonts w:ascii="Cambria" w:eastAsiaTheme="minorEastAsia" w:hAnsi="Cambria"/>
          <w:sz w:val="24"/>
          <w:szCs w:val="24"/>
        </w:rPr>
        <w:t>PROGRAMA DE EXPANSIÓN Y MEJORA DE LA ATENCIÓN ESPECIALIZADA EN SALUD EN EL ESTADO DE CEARÁ II</w:t>
      </w:r>
      <w:r>
        <w:rPr>
          <w:rFonts w:ascii="Cambria" w:eastAsiaTheme="minorEastAsia" w:hAnsi="Cambria"/>
          <w:sz w:val="24"/>
          <w:szCs w:val="24"/>
        </w:rPr>
        <w:t xml:space="preserve">. Banco Interamericano de Desarrollo. </w:t>
      </w:r>
    </w:p>
    <w:p w:rsidR="00DA0A42" w:rsidRDefault="00DA0A42" w:rsidP="00E619D4">
      <w:pPr>
        <w:spacing w:line="276" w:lineRule="auto"/>
        <w:jc w:val="both"/>
        <w:rPr>
          <w:rFonts w:ascii="Cambria" w:eastAsiaTheme="minorEastAsia" w:hAnsi="Cambria"/>
          <w:sz w:val="24"/>
          <w:szCs w:val="24"/>
        </w:rPr>
      </w:pPr>
      <w:r>
        <w:rPr>
          <w:rFonts w:ascii="Cambria" w:eastAsiaTheme="minorEastAsia" w:hAnsi="Cambria"/>
          <w:sz w:val="24"/>
          <w:szCs w:val="24"/>
        </w:rPr>
        <w:t xml:space="preserve">Ministerio de Salud y Protección Social. 2016. Resolución 429 de 2016 (adopción de la Política de Atención Integral en Salud). Disponible en: </w:t>
      </w:r>
    </w:p>
    <w:p w:rsidR="00DA0A42" w:rsidRDefault="005319C1" w:rsidP="00E619D4">
      <w:pPr>
        <w:spacing w:line="276" w:lineRule="auto"/>
        <w:jc w:val="both"/>
        <w:rPr>
          <w:rFonts w:ascii="Cambria" w:eastAsiaTheme="minorEastAsia" w:hAnsi="Cambria"/>
          <w:sz w:val="24"/>
          <w:szCs w:val="24"/>
        </w:rPr>
      </w:pPr>
      <w:hyperlink r:id="rId29" w:history="1">
        <w:r w:rsidR="00DA0A42" w:rsidRPr="00C10493">
          <w:rPr>
            <w:rStyle w:val="Hyperlink"/>
            <w:rFonts w:ascii="Cambria" w:eastAsiaTheme="minorEastAsia" w:hAnsi="Cambria"/>
            <w:sz w:val="24"/>
            <w:szCs w:val="24"/>
          </w:rPr>
          <w:t>https://www.minsalud.gov.co/Normatividad_Nuevo/Resoluci%C3%B3n%200429%20de%202016.pdf</w:t>
        </w:r>
      </w:hyperlink>
      <w:r w:rsidR="00DA0A42">
        <w:rPr>
          <w:rFonts w:ascii="Cambria" w:eastAsiaTheme="minorEastAsia" w:hAnsi="Cambria"/>
          <w:sz w:val="24"/>
          <w:szCs w:val="24"/>
        </w:rPr>
        <w:t xml:space="preserve"> </w:t>
      </w:r>
    </w:p>
    <w:p w:rsidR="002A28C9" w:rsidRDefault="002A28C9" w:rsidP="00E619D4">
      <w:pPr>
        <w:spacing w:line="276" w:lineRule="auto"/>
        <w:jc w:val="both"/>
        <w:rPr>
          <w:rFonts w:ascii="Cambria" w:eastAsiaTheme="minorEastAsia" w:hAnsi="Cambria"/>
          <w:sz w:val="24"/>
          <w:szCs w:val="24"/>
        </w:rPr>
      </w:pPr>
      <w:r>
        <w:rPr>
          <w:rFonts w:ascii="Cambria" w:eastAsiaTheme="minorEastAsia" w:hAnsi="Cambria"/>
          <w:sz w:val="24"/>
          <w:szCs w:val="24"/>
        </w:rPr>
        <w:t>Ministerio de Salud y Protección Social. 2012. Plan Decenal de Salud Pública 2012-2021. Disponible en:</w:t>
      </w:r>
    </w:p>
    <w:p w:rsidR="002A28C9" w:rsidRPr="002A28C9" w:rsidRDefault="005319C1" w:rsidP="00E619D4">
      <w:pPr>
        <w:spacing w:line="276" w:lineRule="auto"/>
        <w:jc w:val="both"/>
        <w:rPr>
          <w:rFonts w:ascii="Cambria" w:eastAsiaTheme="minorEastAsia" w:hAnsi="Cambria"/>
          <w:sz w:val="24"/>
          <w:szCs w:val="24"/>
        </w:rPr>
      </w:pPr>
      <w:hyperlink r:id="rId30" w:history="1">
        <w:r w:rsidR="002A28C9" w:rsidRPr="00C10493">
          <w:rPr>
            <w:rStyle w:val="Hyperlink"/>
            <w:rFonts w:ascii="Cambria" w:eastAsiaTheme="minorEastAsia" w:hAnsi="Cambria"/>
            <w:sz w:val="24"/>
            <w:szCs w:val="24"/>
          </w:rPr>
          <w:t>https://www.minsalud.gov.co/Documentos%20y%20Publicaciones/Plan%20Decenal%20-%20Documento%20en%20consulta%20para%20aprobaci%C3%B3n.pdf</w:t>
        </w:r>
      </w:hyperlink>
      <w:r w:rsidR="002A28C9">
        <w:rPr>
          <w:rFonts w:ascii="Cambria" w:eastAsiaTheme="minorEastAsia" w:hAnsi="Cambria"/>
          <w:sz w:val="24"/>
          <w:szCs w:val="24"/>
        </w:rPr>
        <w:t xml:space="preserve"> </w:t>
      </w:r>
    </w:p>
    <w:p w:rsidR="000C778A" w:rsidRPr="000C778A" w:rsidRDefault="000C778A" w:rsidP="00E619D4">
      <w:pPr>
        <w:spacing w:line="276" w:lineRule="auto"/>
        <w:jc w:val="both"/>
        <w:rPr>
          <w:rFonts w:ascii="Cambria" w:eastAsiaTheme="minorEastAsia" w:hAnsi="Cambria"/>
          <w:sz w:val="24"/>
          <w:szCs w:val="24"/>
        </w:rPr>
      </w:pPr>
      <w:r w:rsidRPr="000C778A">
        <w:rPr>
          <w:rFonts w:ascii="Cambria" w:eastAsiaTheme="minorEastAsia" w:hAnsi="Cambria"/>
          <w:sz w:val="24"/>
          <w:szCs w:val="24"/>
        </w:rPr>
        <w:t xml:space="preserve">Misas, J. D. y </w:t>
      </w:r>
      <w:r>
        <w:rPr>
          <w:rFonts w:ascii="Cambria" w:eastAsiaTheme="minorEastAsia" w:hAnsi="Cambria"/>
          <w:sz w:val="24"/>
          <w:szCs w:val="24"/>
        </w:rPr>
        <w:t xml:space="preserve">M. Avila. 2013. Estudio económico del programa de apoyo a la reforma del Sistema General de Seguridad Social en Salud. </w:t>
      </w:r>
      <w:r w:rsidRPr="000C778A">
        <w:rPr>
          <w:rFonts w:ascii="Cambria" w:eastAsiaTheme="minorEastAsia" w:hAnsi="Cambria"/>
          <w:b/>
          <w:smallCaps/>
          <w:sz w:val="24"/>
          <w:szCs w:val="24"/>
        </w:rPr>
        <w:t xml:space="preserve"> </w:t>
      </w:r>
      <w:r w:rsidRPr="000C778A">
        <w:rPr>
          <w:rFonts w:ascii="Cambria" w:eastAsiaTheme="minorEastAsia" w:hAnsi="Cambria"/>
          <w:sz w:val="24"/>
          <w:szCs w:val="24"/>
        </w:rPr>
        <w:t>Disponible en:</w:t>
      </w:r>
    </w:p>
    <w:p w:rsidR="000C778A" w:rsidRPr="000C778A" w:rsidRDefault="005319C1" w:rsidP="00E619D4">
      <w:pPr>
        <w:spacing w:line="276" w:lineRule="auto"/>
        <w:jc w:val="both"/>
        <w:rPr>
          <w:rFonts w:ascii="Cambria" w:eastAsiaTheme="minorEastAsia" w:hAnsi="Cambria"/>
          <w:sz w:val="24"/>
          <w:szCs w:val="24"/>
        </w:rPr>
      </w:pPr>
      <w:hyperlink r:id="rId31" w:history="1">
        <w:r w:rsidR="000C778A" w:rsidRPr="00C10493">
          <w:rPr>
            <w:rStyle w:val="Hyperlink"/>
            <w:rFonts w:ascii="Cambria" w:eastAsiaTheme="minorEastAsia" w:hAnsi="Cambria"/>
            <w:sz w:val="24"/>
            <w:szCs w:val="24"/>
          </w:rPr>
          <w:t>www.iadb.org/Document.cfm?id=38315389</w:t>
        </w:r>
      </w:hyperlink>
      <w:r w:rsidR="000C778A">
        <w:rPr>
          <w:rFonts w:ascii="Cambria" w:eastAsiaTheme="minorEastAsia" w:hAnsi="Cambria"/>
          <w:sz w:val="24"/>
          <w:szCs w:val="24"/>
        </w:rPr>
        <w:t xml:space="preserve"> </w:t>
      </w:r>
    </w:p>
    <w:p w:rsidR="00606EA9" w:rsidRDefault="00606EA9" w:rsidP="00E619D4">
      <w:pPr>
        <w:spacing w:line="276" w:lineRule="auto"/>
        <w:jc w:val="both"/>
        <w:rPr>
          <w:rFonts w:ascii="Cambria" w:eastAsiaTheme="minorEastAsia" w:hAnsi="Cambria"/>
          <w:sz w:val="24"/>
          <w:szCs w:val="24"/>
        </w:rPr>
      </w:pPr>
      <w:r w:rsidRPr="00D04214">
        <w:rPr>
          <w:rFonts w:ascii="Cambria" w:eastAsiaTheme="minorEastAsia" w:hAnsi="Cambria"/>
          <w:sz w:val="24"/>
          <w:szCs w:val="24"/>
        </w:rPr>
        <w:t xml:space="preserve">Nugent, R. 2015. </w:t>
      </w:r>
      <w:r w:rsidRPr="00606EA9">
        <w:rPr>
          <w:rFonts w:ascii="Cambria" w:eastAsiaTheme="minorEastAsia" w:hAnsi="Cambria"/>
          <w:sz w:val="24"/>
          <w:szCs w:val="24"/>
          <w:lang w:val="en-US"/>
        </w:rPr>
        <w:t>Benefits and Costs of the Non-Communicable Disease Targets for the Post 2015 D</w:t>
      </w:r>
      <w:r>
        <w:rPr>
          <w:rFonts w:ascii="Cambria" w:eastAsiaTheme="minorEastAsia" w:hAnsi="Cambria"/>
          <w:sz w:val="24"/>
          <w:szCs w:val="24"/>
          <w:lang w:val="en-US"/>
        </w:rPr>
        <w:t xml:space="preserve">evelopment Agenda. </w:t>
      </w:r>
      <w:r w:rsidRPr="00606EA9">
        <w:rPr>
          <w:rFonts w:ascii="Cambria" w:eastAsiaTheme="minorEastAsia" w:hAnsi="Cambria"/>
          <w:sz w:val="24"/>
          <w:szCs w:val="24"/>
        </w:rPr>
        <w:t>Perspective paper. Copenhagen Consensus Center.</w:t>
      </w:r>
      <w:r>
        <w:rPr>
          <w:rFonts w:ascii="Cambria" w:eastAsiaTheme="minorEastAsia" w:hAnsi="Cambria"/>
          <w:sz w:val="24"/>
          <w:szCs w:val="24"/>
        </w:rPr>
        <w:t xml:space="preserve"> Disponible en: </w:t>
      </w:r>
    </w:p>
    <w:p w:rsidR="00172640" w:rsidRPr="00606EA9" w:rsidRDefault="00172640" w:rsidP="00E619D4">
      <w:pPr>
        <w:spacing w:line="276" w:lineRule="auto"/>
        <w:jc w:val="both"/>
        <w:rPr>
          <w:rFonts w:ascii="Cambria" w:eastAsiaTheme="minorEastAsia" w:hAnsi="Cambria"/>
          <w:sz w:val="24"/>
          <w:szCs w:val="24"/>
        </w:rPr>
      </w:pPr>
      <w:r w:rsidRPr="00606EA9">
        <w:rPr>
          <w:rFonts w:ascii="Cambria" w:eastAsiaTheme="minorEastAsia" w:hAnsi="Cambria"/>
          <w:sz w:val="24"/>
          <w:szCs w:val="24"/>
        </w:rPr>
        <w:t xml:space="preserve"> </w:t>
      </w:r>
      <w:hyperlink r:id="rId32" w:history="1">
        <w:r w:rsidR="00606EA9" w:rsidRPr="00C10493">
          <w:rPr>
            <w:rStyle w:val="Hyperlink"/>
            <w:rFonts w:ascii="Cambria" w:eastAsiaTheme="minorEastAsia" w:hAnsi="Cambria"/>
            <w:sz w:val="24"/>
            <w:szCs w:val="24"/>
          </w:rPr>
          <w:t>http://www.copenhagenconsensus.com/sites/default/files/health_perspective_ncd_-_nugent.pdf</w:t>
        </w:r>
      </w:hyperlink>
      <w:r w:rsidR="00606EA9">
        <w:rPr>
          <w:rFonts w:ascii="Cambria" w:eastAsiaTheme="minorEastAsia" w:hAnsi="Cambria"/>
          <w:sz w:val="24"/>
          <w:szCs w:val="24"/>
        </w:rPr>
        <w:t xml:space="preserve"> </w:t>
      </w:r>
    </w:p>
    <w:p w:rsidR="00402CF0" w:rsidRPr="00402CF0" w:rsidRDefault="00402CF0" w:rsidP="00402CF0">
      <w:pPr>
        <w:pStyle w:val="NoSpacing"/>
        <w:spacing w:line="276" w:lineRule="auto"/>
        <w:rPr>
          <w:rFonts w:ascii="Cambria" w:hAnsi="Cambria"/>
          <w:sz w:val="24"/>
          <w:szCs w:val="24"/>
        </w:rPr>
      </w:pPr>
    </w:p>
    <w:p w:rsidR="00606EA9" w:rsidRPr="00606EA9" w:rsidRDefault="00606EA9" w:rsidP="00E619D4">
      <w:pPr>
        <w:spacing w:line="276" w:lineRule="auto"/>
        <w:jc w:val="both"/>
        <w:rPr>
          <w:rFonts w:ascii="Cambria" w:eastAsiaTheme="minorEastAsia" w:hAnsi="Cambria"/>
          <w:b/>
          <w:smallCaps/>
          <w:sz w:val="24"/>
          <w:szCs w:val="24"/>
        </w:rPr>
      </w:pPr>
      <w:r w:rsidRPr="00606EA9">
        <w:rPr>
          <w:rFonts w:ascii="Cambria" w:eastAsiaTheme="minorEastAsia" w:hAnsi="Cambria"/>
          <w:b/>
          <w:smallCaps/>
          <w:sz w:val="24"/>
          <w:szCs w:val="24"/>
        </w:rPr>
        <w:t>Agua y saneamiento básico</w:t>
      </w:r>
    </w:p>
    <w:p w:rsidR="00D608A8" w:rsidRPr="00D608A8" w:rsidRDefault="006645A3" w:rsidP="00E619D4">
      <w:pPr>
        <w:spacing w:line="276" w:lineRule="auto"/>
        <w:jc w:val="both"/>
        <w:rPr>
          <w:rFonts w:ascii="Cambria" w:eastAsiaTheme="minorEastAsia" w:hAnsi="Cambria"/>
          <w:sz w:val="24"/>
          <w:szCs w:val="24"/>
        </w:rPr>
      </w:pPr>
      <w:r w:rsidRPr="00D608A8">
        <w:rPr>
          <w:rFonts w:ascii="Cambria" w:eastAsiaTheme="minorEastAsia" w:hAnsi="Cambria"/>
          <w:sz w:val="24"/>
          <w:szCs w:val="24"/>
        </w:rPr>
        <w:t>DNP. 20</w:t>
      </w:r>
      <w:r w:rsidR="00D608A8" w:rsidRPr="00D608A8">
        <w:rPr>
          <w:rFonts w:ascii="Cambria" w:eastAsiaTheme="minorEastAsia" w:hAnsi="Cambria"/>
          <w:sz w:val="24"/>
          <w:szCs w:val="24"/>
        </w:rPr>
        <w:t>14D</w:t>
      </w:r>
      <w:r w:rsidRPr="00D608A8">
        <w:rPr>
          <w:rFonts w:ascii="Cambria" w:eastAsiaTheme="minorEastAsia" w:hAnsi="Cambria"/>
          <w:sz w:val="24"/>
          <w:szCs w:val="24"/>
        </w:rPr>
        <w:t>.</w:t>
      </w:r>
      <w:r w:rsidR="00D608A8" w:rsidRPr="00D608A8">
        <w:rPr>
          <w:rFonts w:ascii="Cambria" w:eastAsiaTheme="minorEastAsia" w:hAnsi="Cambria"/>
          <w:sz w:val="24"/>
          <w:szCs w:val="24"/>
        </w:rPr>
        <w:t xml:space="preserve"> </w:t>
      </w:r>
      <w:r w:rsidR="00D608A8">
        <w:rPr>
          <w:rFonts w:ascii="Cambria" w:eastAsiaTheme="minorEastAsia" w:hAnsi="Cambria"/>
          <w:sz w:val="24"/>
          <w:szCs w:val="24"/>
        </w:rPr>
        <w:t>APP en Agua Potable y Saneamiento Básico</w:t>
      </w:r>
      <w:r w:rsidR="00D608A8" w:rsidRPr="00D608A8">
        <w:rPr>
          <w:rFonts w:ascii="Cambria" w:eastAsiaTheme="minorEastAsia" w:hAnsi="Cambria"/>
          <w:sz w:val="24"/>
          <w:szCs w:val="24"/>
        </w:rPr>
        <w:t>.</w:t>
      </w:r>
      <w:r w:rsidR="00D608A8">
        <w:rPr>
          <w:rFonts w:ascii="Cambria" w:eastAsiaTheme="minorEastAsia" w:hAnsi="Cambria"/>
          <w:sz w:val="24"/>
          <w:szCs w:val="24"/>
        </w:rPr>
        <w:t xml:space="preserve"> Presentación ppt del Director Simón Gaviria. Septiembre 9.</w:t>
      </w:r>
      <w:r w:rsidR="00D608A8" w:rsidRPr="00D608A8">
        <w:rPr>
          <w:rFonts w:ascii="Cambria" w:eastAsiaTheme="minorEastAsia" w:hAnsi="Cambria"/>
          <w:sz w:val="24"/>
          <w:szCs w:val="24"/>
        </w:rPr>
        <w:t xml:space="preserve"> Disponible en:</w:t>
      </w:r>
    </w:p>
    <w:p w:rsidR="006645A3" w:rsidRDefault="005319C1" w:rsidP="00E619D4">
      <w:pPr>
        <w:spacing w:line="276" w:lineRule="auto"/>
        <w:jc w:val="both"/>
        <w:rPr>
          <w:rFonts w:ascii="Cambria" w:eastAsiaTheme="minorEastAsia" w:hAnsi="Cambria"/>
          <w:sz w:val="24"/>
          <w:szCs w:val="24"/>
        </w:rPr>
      </w:pPr>
      <w:hyperlink r:id="rId33" w:history="1">
        <w:r w:rsidR="00D608A8" w:rsidRPr="00FF76C7">
          <w:rPr>
            <w:rStyle w:val="Hyperlink"/>
            <w:rFonts w:ascii="Cambria" w:eastAsiaTheme="minorEastAsia" w:hAnsi="Cambria"/>
            <w:sz w:val="24"/>
            <w:szCs w:val="24"/>
          </w:rPr>
          <w:t>https://colaboracion.dnp.gov.co/CDT/Participacin%20privada%20en%20proyectos%20de%20infraestructu/Presentaci%C3%B3n%20Director%20-%20AGUA%20ACODAL.pdf</w:t>
        </w:r>
      </w:hyperlink>
      <w:r w:rsidR="00D608A8">
        <w:rPr>
          <w:rFonts w:ascii="Cambria" w:eastAsiaTheme="minorEastAsia" w:hAnsi="Cambria"/>
          <w:sz w:val="24"/>
          <w:szCs w:val="24"/>
        </w:rPr>
        <w:t xml:space="preserve"> </w:t>
      </w:r>
    </w:p>
    <w:p w:rsidR="00401E39" w:rsidRPr="00B63719" w:rsidRDefault="00401E39" w:rsidP="00E619D4">
      <w:pPr>
        <w:spacing w:line="276" w:lineRule="auto"/>
        <w:jc w:val="both"/>
        <w:rPr>
          <w:rFonts w:ascii="Cambria" w:eastAsiaTheme="minorEastAsia" w:hAnsi="Cambria"/>
          <w:sz w:val="24"/>
          <w:szCs w:val="24"/>
          <w:lang w:val="en-US"/>
        </w:rPr>
      </w:pPr>
      <w:r w:rsidRPr="00B63719">
        <w:rPr>
          <w:rFonts w:ascii="Cambria" w:eastAsiaTheme="minorEastAsia" w:hAnsi="Cambria"/>
          <w:sz w:val="24"/>
          <w:szCs w:val="24"/>
          <w:lang w:val="en-US"/>
        </w:rPr>
        <w:t xml:space="preserve">Hutton, G. 2015. </w:t>
      </w:r>
      <w:r w:rsidRPr="00401E39">
        <w:rPr>
          <w:rFonts w:ascii="Cambria" w:eastAsiaTheme="minorEastAsia" w:hAnsi="Cambria"/>
          <w:sz w:val="24"/>
          <w:szCs w:val="24"/>
          <w:lang w:val="en-US"/>
        </w:rPr>
        <w:t>Benefits and Costs of the Water Sanitation and Hygiene</w:t>
      </w:r>
      <w:r>
        <w:rPr>
          <w:rFonts w:ascii="Cambria" w:eastAsiaTheme="minorEastAsia" w:hAnsi="Cambria"/>
          <w:sz w:val="24"/>
          <w:szCs w:val="24"/>
          <w:lang w:val="en-US"/>
        </w:rPr>
        <w:t xml:space="preserve"> Targets for the Post-2015 Development Agenda</w:t>
      </w:r>
      <w:r w:rsidRPr="00401E39">
        <w:rPr>
          <w:rFonts w:ascii="Cambria" w:eastAsiaTheme="minorEastAsia" w:hAnsi="Cambria"/>
          <w:sz w:val="24"/>
          <w:szCs w:val="24"/>
          <w:lang w:val="en-US"/>
        </w:rPr>
        <w:t>. A</w:t>
      </w:r>
      <w:r>
        <w:rPr>
          <w:rFonts w:ascii="Cambria" w:eastAsiaTheme="minorEastAsia" w:hAnsi="Cambria"/>
          <w:sz w:val="24"/>
          <w:szCs w:val="24"/>
          <w:lang w:val="en-US"/>
        </w:rPr>
        <w:t>ssessment</w:t>
      </w:r>
      <w:r w:rsidRPr="00401E39">
        <w:rPr>
          <w:rFonts w:ascii="Cambria" w:eastAsiaTheme="minorEastAsia" w:hAnsi="Cambria"/>
          <w:sz w:val="24"/>
          <w:szCs w:val="24"/>
          <w:lang w:val="en-US"/>
        </w:rPr>
        <w:t xml:space="preserve"> </w:t>
      </w:r>
      <w:r w:rsidRPr="00B63719">
        <w:rPr>
          <w:rFonts w:ascii="Cambria" w:eastAsiaTheme="minorEastAsia" w:hAnsi="Cambria"/>
          <w:sz w:val="24"/>
          <w:szCs w:val="24"/>
          <w:lang w:val="en-US"/>
        </w:rPr>
        <w:t>paper. Copenhagen Consensus Center. Disponible en:</w:t>
      </w:r>
    </w:p>
    <w:p w:rsidR="00401E39" w:rsidRPr="00B63719" w:rsidRDefault="005319C1" w:rsidP="00E619D4">
      <w:pPr>
        <w:spacing w:line="276" w:lineRule="auto"/>
        <w:jc w:val="both"/>
        <w:rPr>
          <w:rFonts w:ascii="Cambria" w:eastAsiaTheme="minorEastAsia" w:hAnsi="Cambria"/>
          <w:sz w:val="24"/>
          <w:szCs w:val="24"/>
          <w:lang w:val="en-US"/>
        </w:rPr>
      </w:pPr>
      <w:hyperlink r:id="rId34" w:history="1">
        <w:r w:rsidR="00401E39" w:rsidRPr="00B63719">
          <w:rPr>
            <w:rStyle w:val="Hyperlink"/>
            <w:rFonts w:ascii="Cambria" w:eastAsiaTheme="minorEastAsia" w:hAnsi="Cambria"/>
            <w:sz w:val="24"/>
            <w:szCs w:val="24"/>
            <w:lang w:val="en-US"/>
          </w:rPr>
          <w:t>http://www.copenhagenconsensus.com/sites/default/files/water_sanitation_assessment_-_hutton.pdf</w:t>
        </w:r>
      </w:hyperlink>
      <w:r w:rsidR="00401E39" w:rsidRPr="00B63719">
        <w:rPr>
          <w:rFonts w:ascii="Cambria" w:eastAsiaTheme="minorEastAsia" w:hAnsi="Cambria"/>
          <w:sz w:val="24"/>
          <w:szCs w:val="24"/>
          <w:lang w:val="en-US"/>
        </w:rPr>
        <w:t xml:space="preserve"> </w:t>
      </w:r>
    </w:p>
    <w:p w:rsidR="00606EA9" w:rsidRPr="00B63719" w:rsidRDefault="00606EA9" w:rsidP="00E619D4">
      <w:pPr>
        <w:spacing w:line="276" w:lineRule="auto"/>
        <w:jc w:val="both"/>
        <w:rPr>
          <w:rFonts w:ascii="Cambria" w:eastAsiaTheme="minorEastAsia" w:hAnsi="Cambria"/>
          <w:sz w:val="24"/>
          <w:szCs w:val="24"/>
        </w:rPr>
      </w:pPr>
      <w:r w:rsidRPr="00D608A8">
        <w:rPr>
          <w:rFonts w:ascii="Cambria" w:eastAsiaTheme="minorEastAsia" w:hAnsi="Cambria"/>
          <w:sz w:val="24"/>
          <w:szCs w:val="24"/>
          <w:lang w:val="en-US"/>
        </w:rPr>
        <w:t xml:space="preserve">Rijsberman, F. y A. Peterson Zwane. 2012. </w:t>
      </w:r>
      <w:r w:rsidRPr="00606EA9">
        <w:rPr>
          <w:rFonts w:ascii="Cambria" w:eastAsiaTheme="minorEastAsia" w:hAnsi="Cambria"/>
          <w:sz w:val="24"/>
          <w:szCs w:val="24"/>
          <w:lang w:val="en-US"/>
        </w:rPr>
        <w:t xml:space="preserve">Challenge Paper: </w:t>
      </w:r>
      <w:r>
        <w:rPr>
          <w:rFonts w:ascii="Cambria" w:eastAsiaTheme="minorEastAsia" w:hAnsi="Cambria"/>
          <w:sz w:val="24"/>
          <w:szCs w:val="24"/>
          <w:lang w:val="en-US"/>
        </w:rPr>
        <w:t xml:space="preserve">Water and Sanitation. </w:t>
      </w:r>
      <w:r w:rsidRPr="00B63719">
        <w:rPr>
          <w:rFonts w:ascii="Cambria" w:eastAsiaTheme="minorEastAsia" w:hAnsi="Cambria"/>
          <w:sz w:val="24"/>
          <w:szCs w:val="24"/>
        </w:rPr>
        <w:t>Disponible en:</w:t>
      </w:r>
    </w:p>
    <w:p w:rsidR="00606EA9" w:rsidRDefault="005319C1" w:rsidP="00E619D4">
      <w:pPr>
        <w:spacing w:line="276" w:lineRule="auto"/>
        <w:jc w:val="both"/>
        <w:rPr>
          <w:rFonts w:ascii="Cambria" w:eastAsiaTheme="minorEastAsia" w:hAnsi="Cambria"/>
          <w:sz w:val="24"/>
          <w:szCs w:val="24"/>
        </w:rPr>
      </w:pPr>
      <w:hyperlink r:id="rId35" w:history="1">
        <w:r w:rsidR="00606EA9" w:rsidRPr="00C10493">
          <w:rPr>
            <w:rStyle w:val="Hyperlink"/>
            <w:rFonts w:ascii="Cambria" w:eastAsiaTheme="minorEastAsia" w:hAnsi="Cambria"/>
            <w:sz w:val="24"/>
            <w:szCs w:val="24"/>
          </w:rPr>
          <w:t>http://www.copenhagenconsensus.com/sites/default/files/waterandsanitation.pdf</w:t>
        </w:r>
      </w:hyperlink>
      <w:r w:rsidR="00606EA9">
        <w:rPr>
          <w:rFonts w:ascii="Cambria" w:eastAsiaTheme="minorEastAsia" w:hAnsi="Cambria"/>
          <w:sz w:val="24"/>
          <w:szCs w:val="24"/>
        </w:rPr>
        <w:t xml:space="preserve"> </w:t>
      </w:r>
    </w:p>
    <w:p w:rsidR="00FA2FD3" w:rsidRDefault="00140C9B"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Simco. 2012. Costos servicios públicos. Disponible en: </w:t>
      </w:r>
    </w:p>
    <w:p w:rsidR="00140C9B" w:rsidRDefault="005319C1" w:rsidP="00FA2FD3">
      <w:pPr>
        <w:spacing w:line="276" w:lineRule="auto"/>
        <w:jc w:val="both"/>
        <w:rPr>
          <w:rFonts w:ascii="Cambria" w:eastAsiaTheme="minorEastAsia" w:hAnsi="Cambria"/>
          <w:sz w:val="24"/>
          <w:szCs w:val="24"/>
        </w:rPr>
      </w:pPr>
      <w:hyperlink r:id="rId36" w:history="1">
        <w:r w:rsidR="00140C9B" w:rsidRPr="00B6388A">
          <w:rPr>
            <w:rStyle w:val="Hyperlink"/>
            <w:rFonts w:ascii="Cambria" w:eastAsiaTheme="minorEastAsia" w:hAnsi="Cambria"/>
            <w:sz w:val="24"/>
            <w:szCs w:val="24"/>
          </w:rPr>
          <w:t>www.simco.gov.co/Portals/0/archivos/Costos_Servicio_Publicos.xls</w:t>
        </w:r>
      </w:hyperlink>
      <w:r w:rsidR="00140C9B">
        <w:rPr>
          <w:rFonts w:ascii="Cambria" w:eastAsiaTheme="minorEastAsia" w:hAnsi="Cambria"/>
          <w:sz w:val="24"/>
          <w:szCs w:val="24"/>
        </w:rPr>
        <w:t xml:space="preserve"> </w:t>
      </w:r>
    </w:p>
    <w:p w:rsidR="00E350BD" w:rsidRPr="00D27FC4" w:rsidRDefault="00D27FC4" w:rsidP="00FA2FD3">
      <w:pPr>
        <w:spacing w:line="276" w:lineRule="auto"/>
        <w:jc w:val="both"/>
        <w:rPr>
          <w:rFonts w:ascii="Cambria" w:eastAsiaTheme="minorEastAsia" w:hAnsi="Cambria"/>
          <w:sz w:val="24"/>
          <w:szCs w:val="24"/>
        </w:rPr>
      </w:pPr>
      <w:r w:rsidRPr="00D27FC4">
        <w:rPr>
          <w:rFonts w:ascii="Cambria" w:eastAsiaTheme="minorEastAsia" w:hAnsi="Cambria"/>
          <w:sz w:val="24"/>
          <w:szCs w:val="24"/>
        </w:rPr>
        <w:t xml:space="preserve">Velásquez, </w:t>
      </w:r>
      <w:r>
        <w:rPr>
          <w:rFonts w:ascii="Cambria" w:eastAsiaTheme="minorEastAsia" w:hAnsi="Cambria"/>
          <w:sz w:val="24"/>
          <w:szCs w:val="24"/>
        </w:rPr>
        <w:t xml:space="preserve">M. y E. Rueda. 2015. Plan Integral de Intervención para el Pacífico Colombiano (CO-L1156). Análisis Socioeconómico de Proyectos de Agua y Saneamiento. Banco Interamericano de Desarrollo. </w:t>
      </w:r>
    </w:p>
    <w:p w:rsidR="00FA2FD3" w:rsidRPr="00AD11A1" w:rsidRDefault="00FA2FD3" w:rsidP="00FA2FD3">
      <w:pPr>
        <w:spacing w:line="276" w:lineRule="auto"/>
        <w:jc w:val="both"/>
        <w:rPr>
          <w:rFonts w:ascii="Cambria" w:eastAsiaTheme="minorEastAsia" w:hAnsi="Cambria"/>
          <w:b/>
          <w:smallCaps/>
          <w:sz w:val="24"/>
          <w:szCs w:val="24"/>
        </w:rPr>
      </w:pPr>
      <w:r>
        <w:rPr>
          <w:rFonts w:ascii="Cambria" w:eastAsiaTheme="minorEastAsia" w:hAnsi="Cambria"/>
          <w:b/>
          <w:smallCaps/>
          <w:sz w:val="24"/>
          <w:szCs w:val="24"/>
        </w:rPr>
        <w:t>T</w:t>
      </w:r>
      <w:r w:rsidRPr="00AD11A1">
        <w:rPr>
          <w:rFonts w:ascii="Cambria" w:eastAsiaTheme="minorEastAsia" w:hAnsi="Cambria"/>
          <w:b/>
          <w:smallCaps/>
          <w:sz w:val="24"/>
          <w:szCs w:val="24"/>
        </w:rPr>
        <w:t>ransporte</w:t>
      </w:r>
    </w:p>
    <w:p w:rsidR="00AF2CD0" w:rsidRDefault="00AF2CD0" w:rsidP="00FA2FD3">
      <w:pPr>
        <w:spacing w:line="276" w:lineRule="auto"/>
        <w:jc w:val="both"/>
        <w:rPr>
          <w:rFonts w:ascii="Cambria" w:eastAsiaTheme="minorEastAsia" w:hAnsi="Cambria"/>
          <w:sz w:val="24"/>
          <w:szCs w:val="24"/>
        </w:rPr>
      </w:pPr>
      <w:r>
        <w:rPr>
          <w:rFonts w:ascii="Cambria" w:eastAsiaTheme="minorEastAsia" w:hAnsi="Cambria"/>
          <w:sz w:val="24"/>
          <w:szCs w:val="24"/>
        </w:rPr>
        <w:t>ANI. 2015</w:t>
      </w:r>
      <w:r w:rsidR="00545EA8">
        <w:rPr>
          <w:rFonts w:ascii="Cambria" w:eastAsiaTheme="minorEastAsia" w:hAnsi="Cambria"/>
          <w:sz w:val="24"/>
          <w:szCs w:val="24"/>
        </w:rPr>
        <w:t>A</w:t>
      </w:r>
      <w:r>
        <w:rPr>
          <w:rFonts w:ascii="Cambria" w:eastAsiaTheme="minorEastAsia" w:hAnsi="Cambria"/>
          <w:sz w:val="24"/>
          <w:szCs w:val="24"/>
        </w:rPr>
        <w:t xml:space="preserve">. Proyectos estratégicos en el modo férreo. Octubre de 2015. </w:t>
      </w:r>
    </w:p>
    <w:p w:rsidR="00545EA8" w:rsidRDefault="00545EA8"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ANI. 2015B. Corredor Bogotá-Belencito. Contrato de obra pública. Disponible en: </w:t>
      </w:r>
    </w:p>
    <w:p w:rsidR="00545EA8" w:rsidRDefault="005319C1" w:rsidP="00FA2FD3">
      <w:pPr>
        <w:spacing w:line="276" w:lineRule="auto"/>
        <w:jc w:val="both"/>
        <w:rPr>
          <w:rFonts w:ascii="Cambria" w:eastAsiaTheme="minorEastAsia" w:hAnsi="Cambria"/>
          <w:sz w:val="24"/>
          <w:szCs w:val="24"/>
        </w:rPr>
      </w:pPr>
      <w:hyperlink r:id="rId37" w:history="1">
        <w:r w:rsidR="00545EA8" w:rsidRPr="00F01E28">
          <w:rPr>
            <w:rStyle w:val="Hyperlink"/>
            <w:rFonts w:ascii="Cambria" w:eastAsiaTheme="minorEastAsia" w:hAnsi="Cambria"/>
            <w:sz w:val="24"/>
            <w:szCs w:val="24"/>
          </w:rPr>
          <w:t>http://www.ani.gov.co/proyecto/ferreo/corredor-bogota-belencito-21810</w:t>
        </w:r>
      </w:hyperlink>
      <w:r w:rsidR="00545EA8">
        <w:rPr>
          <w:rFonts w:ascii="Cambria" w:eastAsiaTheme="minorEastAsia" w:hAnsi="Cambria"/>
          <w:sz w:val="24"/>
          <w:szCs w:val="24"/>
        </w:rPr>
        <w:t xml:space="preserve"> </w:t>
      </w:r>
    </w:p>
    <w:p w:rsidR="00063C37" w:rsidRDefault="00063C37"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DNP. 2013. Documento Conpes 3760. Proyectos viales bajo el esquema de Alianzas Público Privadas: Cuarta Generación de Concesiones Viales. Disponible en: </w:t>
      </w:r>
    </w:p>
    <w:p w:rsidR="0078767F" w:rsidRDefault="0078767F" w:rsidP="00FA2FD3">
      <w:pPr>
        <w:spacing w:line="276" w:lineRule="auto"/>
        <w:jc w:val="both"/>
        <w:rPr>
          <w:rFonts w:ascii="Cambria" w:eastAsiaTheme="minorEastAsia" w:hAnsi="Cambria"/>
          <w:sz w:val="24"/>
          <w:szCs w:val="24"/>
        </w:rPr>
      </w:pPr>
      <w:r>
        <w:rPr>
          <w:rFonts w:ascii="Cambria" w:eastAsiaTheme="minorEastAsia" w:hAnsi="Cambria"/>
          <w:sz w:val="24"/>
          <w:szCs w:val="24"/>
        </w:rPr>
        <w:t>Fedesarrollo. 2015</w:t>
      </w:r>
      <w:r w:rsidR="00AC3E19">
        <w:rPr>
          <w:rFonts w:ascii="Cambria" w:eastAsiaTheme="minorEastAsia" w:hAnsi="Cambria"/>
          <w:sz w:val="24"/>
          <w:szCs w:val="24"/>
        </w:rPr>
        <w:t>A</w:t>
      </w:r>
      <w:r>
        <w:rPr>
          <w:rFonts w:ascii="Cambria" w:eastAsiaTheme="minorEastAsia" w:hAnsi="Cambria"/>
          <w:sz w:val="24"/>
          <w:szCs w:val="24"/>
        </w:rPr>
        <w:t xml:space="preserve">. Estudio de impacto socioeconómico para el proyecto de recuperación de la navegabilidad por el río Magdalena. </w:t>
      </w:r>
    </w:p>
    <w:p w:rsidR="00AC3E19" w:rsidRDefault="00AC3E19"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Fedesarrollo. 2015B. Plan Maestro de Transporte Intermodal (PMTI) 2015-2035, Compilación final de entregables elaborados para el PMTI. Disponible en: </w:t>
      </w:r>
    </w:p>
    <w:p w:rsidR="00AC3E19" w:rsidRDefault="00AC3E19"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 </w:t>
      </w:r>
      <w:hyperlink r:id="rId38" w:history="1">
        <w:r w:rsidRPr="00EF7977">
          <w:rPr>
            <w:rStyle w:val="Hyperlink"/>
            <w:rFonts w:ascii="Cambria" w:eastAsiaTheme="minorEastAsia" w:hAnsi="Cambria"/>
            <w:sz w:val="24"/>
            <w:szCs w:val="24"/>
          </w:rPr>
          <w:t>http://www.fedesarrollo.org.co/wp-content/uploads/PMTI_30_NOV_2015_INF_FINAL.pdf</w:t>
        </w:r>
      </w:hyperlink>
      <w:r>
        <w:rPr>
          <w:rFonts w:ascii="Cambria" w:eastAsiaTheme="minorEastAsia" w:hAnsi="Cambria"/>
          <w:sz w:val="24"/>
          <w:szCs w:val="24"/>
        </w:rPr>
        <w:t xml:space="preserve"> </w:t>
      </w:r>
    </w:p>
    <w:p w:rsidR="00DA0D7F" w:rsidRDefault="00DA0D7F"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Ministerio de Transporte. 2015.  </w:t>
      </w:r>
      <w:r w:rsidRPr="00DA0D7F">
        <w:rPr>
          <w:rFonts w:ascii="Cambria" w:eastAsiaTheme="minorEastAsia" w:hAnsi="Cambria"/>
          <w:sz w:val="24"/>
          <w:szCs w:val="24"/>
        </w:rPr>
        <w:t>Sistema de Información de Costos Eficientes para el Transporte Automotor de Carga SICE-TAC</w:t>
      </w:r>
      <w:r>
        <w:rPr>
          <w:rFonts w:ascii="Cambria" w:eastAsiaTheme="minorEastAsia" w:hAnsi="Cambria"/>
          <w:sz w:val="24"/>
          <w:szCs w:val="24"/>
        </w:rPr>
        <w:t>. Disponible en:</w:t>
      </w:r>
    </w:p>
    <w:p w:rsidR="00DA0D7F" w:rsidRDefault="005319C1" w:rsidP="00FA2FD3">
      <w:pPr>
        <w:spacing w:line="276" w:lineRule="auto"/>
        <w:jc w:val="both"/>
        <w:rPr>
          <w:rFonts w:ascii="Cambria" w:eastAsiaTheme="minorEastAsia" w:hAnsi="Cambria"/>
          <w:sz w:val="24"/>
          <w:szCs w:val="24"/>
        </w:rPr>
      </w:pPr>
      <w:hyperlink r:id="rId39" w:history="1">
        <w:r w:rsidR="00DA0D7F" w:rsidRPr="00F01E28">
          <w:rPr>
            <w:rStyle w:val="Hyperlink"/>
            <w:rFonts w:ascii="Cambria" w:eastAsiaTheme="minorEastAsia" w:hAnsi="Cambria"/>
            <w:sz w:val="24"/>
            <w:szCs w:val="24"/>
          </w:rPr>
          <w:t>http://190.217.54.197:8080/sirtccWeb/costoOperacion.jsf</w:t>
        </w:r>
      </w:hyperlink>
      <w:r w:rsidR="00DA0D7F">
        <w:rPr>
          <w:rFonts w:ascii="Cambria" w:eastAsiaTheme="minorEastAsia" w:hAnsi="Cambria"/>
          <w:sz w:val="24"/>
          <w:szCs w:val="24"/>
        </w:rPr>
        <w:t xml:space="preserve"> </w:t>
      </w:r>
    </w:p>
    <w:p w:rsidR="00FA2FD3" w:rsidRDefault="00FA2FD3" w:rsidP="00FA2FD3">
      <w:pPr>
        <w:spacing w:line="276" w:lineRule="auto"/>
        <w:jc w:val="both"/>
        <w:rPr>
          <w:rFonts w:ascii="Cambria" w:eastAsiaTheme="minorEastAsia" w:hAnsi="Cambria"/>
          <w:sz w:val="24"/>
          <w:szCs w:val="24"/>
        </w:rPr>
      </w:pPr>
      <w:r>
        <w:rPr>
          <w:rFonts w:ascii="Cambria" w:eastAsiaTheme="minorEastAsia" w:hAnsi="Cambria"/>
          <w:sz w:val="24"/>
          <w:szCs w:val="24"/>
        </w:rPr>
        <w:t>Presidencia de la República de Colombia. 2013. Ley 1682 (“Ley de Infraestructura”). Disponible en:</w:t>
      </w:r>
    </w:p>
    <w:p w:rsidR="00FA2FD3" w:rsidRDefault="005319C1" w:rsidP="00FA2FD3">
      <w:pPr>
        <w:spacing w:line="276" w:lineRule="auto"/>
        <w:jc w:val="both"/>
        <w:rPr>
          <w:rFonts w:ascii="Cambria" w:eastAsiaTheme="minorEastAsia" w:hAnsi="Cambria"/>
          <w:sz w:val="24"/>
          <w:szCs w:val="24"/>
        </w:rPr>
      </w:pPr>
      <w:hyperlink r:id="rId40" w:history="1">
        <w:r w:rsidR="00FA2FD3" w:rsidRPr="00C10493">
          <w:rPr>
            <w:rStyle w:val="Hyperlink"/>
            <w:rFonts w:ascii="Cambria" w:eastAsiaTheme="minorEastAsia" w:hAnsi="Cambria"/>
            <w:sz w:val="24"/>
            <w:szCs w:val="24"/>
          </w:rPr>
          <w:t>http://wsp.presidencia.gov.co/Normativa/Leyes/Documents/2013/LEY%201682%20DEL%2022%20DE%20NOVIEMBRE%20DE%202013.pdf</w:t>
        </w:r>
      </w:hyperlink>
      <w:r w:rsidR="00FA2FD3">
        <w:rPr>
          <w:rFonts w:ascii="Cambria" w:eastAsiaTheme="minorEastAsia" w:hAnsi="Cambria"/>
          <w:sz w:val="24"/>
          <w:szCs w:val="24"/>
        </w:rPr>
        <w:t xml:space="preserve"> </w:t>
      </w:r>
    </w:p>
    <w:p w:rsidR="00FA2FD3" w:rsidRPr="00FA2FD3" w:rsidRDefault="00FA2FD3" w:rsidP="00FA2FD3">
      <w:pPr>
        <w:pStyle w:val="NoSpacing"/>
        <w:spacing w:line="276" w:lineRule="auto"/>
        <w:jc w:val="both"/>
        <w:rPr>
          <w:rFonts w:ascii="Cambria" w:hAnsi="Cambria"/>
          <w:sz w:val="24"/>
          <w:szCs w:val="24"/>
        </w:rPr>
      </w:pPr>
      <w:r w:rsidRPr="00402CF0">
        <w:rPr>
          <w:rFonts w:ascii="Cambria" w:hAnsi="Cambria"/>
          <w:sz w:val="24"/>
          <w:szCs w:val="24"/>
        </w:rPr>
        <w:t xml:space="preserve">Vicepresidencia de la República y Ministerio de Transporte. 2015. Plan Maestro de Transporte Intermodal. Disponible en: </w:t>
      </w:r>
    </w:p>
    <w:p w:rsidR="00FA2FD3" w:rsidRDefault="00FA2FD3" w:rsidP="00FA2FD3">
      <w:pPr>
        <w:pStyle w:val="NoSpacing"/>
        <w:spacing w:line="276" w:lineRule="auto"/>
        <w:rPr>
          <w:rFonts w:ascii="Cambria" w:hAnsi="Cambria"/>
          <w:sz w:val="24"/>
          <w:szCs w:val="24"/>
        </w:rPr>
      </w:pPr>
    </w:p>
    <w:p w:rsidR="00FA2FD3" w:rsidRPr="00402CF0" w:rsidRDefault="005319C1" w:rsidP="00FA2FD3">
      <w:pPr>
        <w:pStyle w:val="NoSpacing"/>
        <w:spacing w:line="276" w:lineRule="auto"/>
        <w:rPr>
          <w:rFonts w:ascii="Cambria" w:hAnsi="Cambria"/>
          <w:sz w:val="24"/>
          <w:szCs w:val="24"/>
        </w:rPr>
      </w:pPr>
      <w:hyperlink r:id="rId41" w:history="1">
        <w:r w:rsidR="00FA2FD3" w:rsidRPr="00F01E28">
          <w:rPr>
            <w:rStyle w:val="Hyperlink"/>
            <w:rFonts w:ascii="Cambria" w:hAnsi="Cambria"/>
            <w:sz w:val="24"/>
            <w:szCs w:val="24"/>
          </w:rPr>
          <w:t>http://www.fedesarrollo.org.co/plan-maestro-de-transporte-intermodal-pmti-2015/</w:t>
        </w:r>
      </w:hyperlink>
      <w:r w:rsidR="00FA2FD3">
        <w:rPr>
          <w:rFonts w:ascii="Cambria" w:hAnsi="Cambria"/>
          <w:sz w:val="24"/>
          <w:szCs w:val="24"/>
        </w:rPr>
        <w:t xml:space="preserve"> </w:t>
      </w:r>
    </w:p>
    <w:p w:rsidR="00FA2FD3" w:rsidRDefault="00FA2FD3" w:rsidP="00FA2FD3">
      <w:pPr>
        <w:spacing w:line="276" w:lineRule="auto"/>
        <w:jc w:val="both"/>
        <w:rPr>
          <w:rFonts w:ascii="Cambria" w:eastAsiaTheme="minorEastAsia" w:hAnsi="Cambria"/>
          <w:sz w:val="24"/>
          <w:szCs w:val="24"/>
        </w:rPr>
      </w:pPr>
    </w:p>
    <w:p w:rsidR="00821722" w:rsidRPr="006960EB" w:rsidRDefault="00821722" w:rsidP="00FA2FD3">
      <w:pPr>
        <w:spacing w:line="276" w:lineRule="auto"/>
        <w:jc w:val="both"/>
        <w:rPr>
          <w:rFonts w:ascii="Cambria" w:eastAsiaTheme="minorEastAsia" w:hAnsi="Cambria"/>
          <w:b/>
          <w:smallCaps/>
          <w:sz w:val="24"/>
          <w:szCs w:val="24"/>
          <w:lang w:val="en-US"/>
        </w:rPr>
      </w:pPr>
      <w:r w:rsidRPr="006960EB">
        <w:rPr>
          <w:rFonts w:ascii="Cambria" w:eastAsiaTheme="minorEastAsia" w:hAnsi="Cambria"/>
          <w:b/>
          <w:smallCaps/>
          <w:sz w:val="24"/>
          <w:szCs w:val="24"/>
          <w:lang w:val="en-US"/>
        </w:rPr>
        <w:t>Cárceles</w:t>
      </w:r>
    </w:p>
    <w:p w:rsidR="003975E4" w:rsidRPr="002E389F" w:rsidRDefault="003975E4" w:rsidP="00FA2FD3">
      <w:pPr>
        <w:spacing w:line="276" w:lineRule="auto"/>
        <w:jc w:val="both"/>
        <w:rPr>
          <w:rFonts w:ascii="Cambria" w:eastAsiaTheme="minorEastAsia" w:hAnsi="Cambria"/>
          <w:sz w:val="24"/>
          <w:szCs w:val="24"/>
          <w:lang w:val="en-US"/>
        </w:rPr>
      </w:pPr>
      <w:r w:rsidRPr="00F05613">
        <w:rPr>
          <w:rFonts w:ascii="Cambria" w:eastAsiaTheme="minorEastAsia" w:hAnsi="Cambria"/>
          <w:sz w:val="24"/>
          <w:szCs w:val="24"/>
          <w:lang w:val="en-US"/>
        </w:rPr>
        <w:t xml:space="preserve">Abrams, D. S. 2013. </w:t>
      </w:r>
      <w:r w:rsidR="002E389F" w:rsidRPr="002E389F">
        <w:rPr>
          <w:rFonts w:ascii="Cambria" w:eastAsiaTheme="minorEastAsia" w:hAnsi="Cambria"/>
          <w:sz w:val="24"/>
          <w:szCs w:val="24"/>
          <w:lang w:val="en-US"/>
        </w:rPr>
        <w:t>“The Imprisoner´s Dilemma: A Cost- Benefit Approach to Incarceration</w:t>
      </w:r>
      <w:r w:rsidRPr="002E389F">
        <w:rPr>
          <w:rFonts w:ascii="Cambria" w:eastAsiaTheme="minorEastAsia" w:hAnsi="Cambria"/>
          <w:sz w:val="24"/>
          <w:szCs w:val="24"/>
          <w:lang w:val="en-US"/>
        </w:rPr>
        <w:t>.</w:t>
      </w:r>
      <w:r w:rsidR="002E389F">
        <w:rPr>
          <w:rFonts w:ascii="Cambria" w:eastAsiaTheme="minorEastAsia" w:hAnsi="Cambria"/>
          <w:sz w:val="24"/>
          <w:szCs w:val="24"/>
          <w:lang w:val="en-US"/>
        </w:rPr>
        <w:t>”</w:t>
      </w:r>
      <w:r w:rsidRPr="002E389F">
        <w:rPr>
          <w:rFonts w:ascii="Cambria" w:eastAsiaTheme="minorEastAsia" w:hAnsi="Cambria"/>
          <w:sz w:val="24"/>
          <w:szCs w:val="24"/>
          <w:lang w:val="en-US"/>
        </w:rPr>
        <w:t xml:space="preserve"> </w:t>
      </w:r>
      <w:r w:rsidR="002E389F">
        <w:rPr>
          <w:rFonts w:ascii="Cambria" w:eastAsiaTheme="minorEastAsia" w:hAnsi="Cambria"/>
          <w:sz w:val="24"/>
          <w:szCs w:val="24"/>
          <w:lang w:val="en-US"/>
        </w:rPr>
        <w:t xml:space="preserve">University of Pennsylvania Law School. </w:t>
      </w:r>
      <w:r w:rsidR="002E389F" w:rsidRPr="002E389F">
        <w:rPr>
          <w:rFonts w:ascii="Cambria" w:eastAsiaTheme="minorEastAsia" w:hAnsi="Cambria"/>
          <w:sz w:val="24"/>
          <w:szCs w:val="24"/>
          <w:lang w:val="en-US"/>
        </w:rPr>
        <w:t>Faculty Scholarship. Paper 553</w:t>
      </w:r>
      <w:r w:rsidR="002E389F">
        <w:rPr>
          <w:rFonts w:ascii="Cambria" w:eastAsiaTheme="minorEastAsia" w:hAnsi="Cambria"/>
          <w:sz w:val="24"/>
          <w:szCs w:val="24"/>
          <w:lang w:val="en-US"/>
        </w:rPr>
        <w:t xml:space="preserve">. </w:t>
      </w:r>
      <w:r w:rsidRPr="002E389F">
        <w:rPr>
          <w:rFonts w:ascii="Cambria" w:eastAsiaTheme="minorEastAsia" w:hAnsi="Cambria"/>
          <w:sz w:val="24"/>
          <w:szCs w:val="24"/>
          <w:lang w:val="en-US"/>
        </w:rPr>
        <w:t xml:space="preserve">Disponible en: </w:t>
      </w:r>
    </w:p>
    <w:p w:rsidR="003975E4" w:rsidRPr="00F05613" w:rsidRDefault="005319C1" w:rsidP="00FA2FD3">
      <w:pPr>
        <w:spacing w:line="276" w:lineRule="auto"/>
        <w:jc w:val="both"/>
        <w:rPr>
          <w:rFonts w:ascii="Cambria" w:eastAsiaTheme="minorEastAsia" w:hAnsi="Cambria"/>
          <w:sz w:val="24"/>
          <w:szCs w:val="24"/>
          <w:lang w:val="en-US"/>
        </w:rPr>
      </w:pPr>
      <w:hyperlink r:id="rId42" w:history="1">
        <w:r w:rsidR="003975E4" w:rsidRPr="002E389F">
          <w:rPr>
            <w:rStyle w:val="Hyperlink"/>
            <w:rFonts w:ascii="Cambria" w:eastAsiaTheme="minorEastAsia" w:hAnsi="Cambria"/>
            <w:sz w:val="24"/>
            <w:szCs w:val="24"/>
            <w:lang w:val="en-US"/>
          </w:rPr>
          <w:t>h</w:t>
        </w:r>
        <w:r w:rsidR="003975E4" w:rsidRPr="00F05613">
          <w:rPr>
            <w:rStyle w:val="Hyperlink"/>
            <w:rFonts w:ascii="Cambria" w:eastAsiaTheme="minorEastAsia" w:hAnsi="Cambria"/>
            <w:sz w:val="24"/>
            <w:szCs w:val="24"/>
            <w:lang w:val="en-US"/>
          </w:rPr>
          <w:t>ttp://scholarship.law.upenn.edu/cgi/viewcontent.cgi?article=1552&amp;context=faculty_scholarship</w:t>
        </w:r>
      </w:hyperlink>
      <w:r w:rsidR="003975E4" w:rsidRPr="00F05613">
        <w:rPr>
          <w:rFonts w:ascii="Cambria" w:eastAsiaTheme="minorEastAsia" w:hAnsi="Cambria"/>
          <w:sz w:val="24"/>
          <w:szCs w:val="24"/>
          <w:lang w:val="en-US"/>
        </w:rPr>
        <w:t xml:space="preserve"> </w:t>
      </w:r>
    </w:p>
    <w:p w:rsidR="00450FDC" w:rsidRDefault="00450FDC" w:rsidP="00FA2FD3">
      <w:pPr>
        <w:spacing w:line="276" w:lineRule="auto"/>
        <w:jc w:val="both"/>
        <w:rPr>
          <w:rFonts w:ascii="Cambria" w:eastAsiaTheme="minorEastAsia" w:hAnsi="Cambria"/>
          <w:sz w:val="24"/>
          <w:szCs w:val="24"/>
        </w:rPr>
      </w:pPr>
      <w:r w:rsidRPr="00450FDC">
        <w:rPr>
          <w:rFonts w:ascii="Cambria" w:eastAsiaTheme="minorEastAsia" w:hAnsi="Cambria"/>
          <w:sz w:val="24"/>
          <w:szCs w:val="24"/>
        </w:rPr>
        <w:t>Dammert, L. y J. Díaz. 2005. El costo de encarcelar</w:t>
      </w:r>
      <w:r>
        <w:rPr>
          <w:rFonts w:ascii="Cambria" w:eastAsiaTheme="minorEastAsia" w:hAnsi="Cambria"/>
          <w:sz w:val="24"/>
          <w:szCs w:val="24"/>
        </w:rPr>
        <w:t>. Programa de Seguridad y Ciudadanía. Flacso, Chile. Observatorio No 9. Noviembre. Disponible en:</w:t>
      </w:r>
    </w:p>
    <w:p w:rsidR="00450FDC" w:rsidRPr="00450FDC" w:rsidRDefault="005319C1" w:rsidP="00FA2FD3">
      <w:pPr>
        <w:spacing w:line="276" w:lineRule="auto"/>
        <w:jc w:val="both"/>
        <w:rPr>
          <w:rFonts w:ascii="Cambria" w:eastAsiaTheme="minorEastAsia" w:hAnsi="Cambria"/>
          <w:sz w:val="24"/>
          <w:szCs w:val="24"/>
        </w:rPr>
      </w:pPr>
      <w:hyperlink r:id="rId43" w:history="1">
        <w:r w:rsidR="00450FDC" w:rsidRPr="002357D7">
          <w:rPr>
            <w:rStyle w:val="Hyperlink"/>
            <w:rFonts w:ascii="Cambria" w:eastAsiaTheme="minorEastAsia" w:hAnsi="Cambria"/>
            <w:sz w:val="24"/>
            <w:szCs w:val="24"/>
          </w:rPr>
          <w:t>http://www.flacsochile.org/wp-content/uploads/2015/05/El-costo-de-Encarcelar.pdf</w:t>
        </w:r>
      </w:hyperlink>
      <w:r w:rsidR="00450FDC">
        <w:rPr>
          <w:rFonts w:ascii="Cambria" w:eastAsiaTheme="minorEastAsia" w:hAnsi="Cambria"/>
          <w:sz w:val="24"/>
          <w:szCs w:val="24"/>
        </w:rPr>
        <w:t xml:space="preserve"> </w:t>
      </w:r>
    </w:p>
    <w:p w:rsidR="00821722" w:rsidRDefault="00821722" w:rsidP="00FA2FD3">
      <w:pPr>
        <w:spacing w:line="276" w:lineRule="auto"/>
        <w:jc w:val="both"/>
        <w:rPr>
          <w:rFonts w:ascii="Cambria" w:eastAsiaTheme="minorEastAsia" w:hAnsi="Cambria"/>
          <w:sz w:val="24"/>
          <w:szCs w:val="24"/>
        </w:rPr>
      </w:pPr>
      <w:r w:rsidRPr="00450FDC">
        <w:rPr>
          <w:rFonts w:ascii="Cambria" w:eastAsiaTheme="minorEastAsia" w:hAnsi="Cambria"/>
          <w:sz w:val="24"/>
          <w:szCs w:val="24"/>
        </w:rPr>
        <w:t xml:space="preserve">DNP. </w:t>
      </w:r>
      <w:r w:rsidR="000A19B8" w:rsidRPr="00450FDC">
        <w:rPr>
          <w:rFonts w:ascii="Cambria" w:eastAsiaTheme="minorEastAsia" w:hAnsi="Cambria"/>
          <w:sz w:val="24"/>
          <w:szCs w:val="24"/>
        </w:rPr>
        <w:t>2015E</w:t>
      </w:r>
      <w:r w:rsidRPr="00450FDC">
        <w:rPr>
          <w:rFonts w:ascii="Cambria" w:eastAsiaTheme="minorEastAsia" w:hAnsi="Cambria"/>
          <w:sz w:val="24"/>
          <w:szCs w:val="24"/>
        </w:rPr>
        <w:t xml:space="preserve">. </w:t>
      </w:r>
      <w:r w:rsidR="008F7073">
        <w:rPr>
          <w:rFonts w:ascii="Cambria" w:eastAsiaTheme="minorEastAsia" w:hAnsi="Cambria"/>
          <w:sz w:val="24"/>
          <w:szCs w:val="24"/>
        </w:rPr>
        <w:t xml:space="preserve">Documento Conpes 3828. Política penitenciaria y carcelaria en Colombia. Disponible en: </w:t>
      </w:r>
    </w:p>
    <w:p w:rsidR="008F7073" w:rsidRDefault="005319C1" w:rsidP="00FA2FD3">
      <w:pPr>
        <w:spacing w:line="276" w:lineRule="auto"/>
        <w:jc w:val="both"/>
        <w:rPr>
          <w:rFonts w:ascii="Cambria" w:eastAsiaTheme="minorEastAsia" w:hAnsi="Cambria"/>
          <w:sz w:val="24"/>
          <w:szCs w:val="24"/>
        </w:rPr>
      </w:pPr>
      <w:hyperlink r:id="rId44" w:history="1">
        <w:r w:rsidR="008F7073" w:rsidRPr="00200504">
          <w:rPr>
            <w:rStyle w:val="Hyperlink"/>
            <w:rFonts w:ascii="Cambria" w:eastAsiaTheme="minorEastAsia" w:hAnsi="Cambria"/>
            <w:sz w:val="24"/>
            <w:szCs w:val="24"/>
          </w:rPr>
          <w:t>https://colaboracion.dnp.gov.co/CDT/Conpes/Econ%C3%B3micos/Pol%C3%ADtica%20penitenciaria%20y%20carcelaria.pdf</w:t>
        </w:r>
      </w:hyperlink>
      <w:r w:rsidR="008F7073">
        <w:rPr>
          <w:rFonts w:ascii="Cambria" w:eastAsiaTheme="minorEastAsia" w:hAnsi="Cambria"/>
          <w:sz w:val="24"/>
          <w:szCs w:val="24"/>
        </w:rPr>
        <w:t xml:space="preserve"> </w:t>
      </w:r>
    </w:p>
    <w:p w:rsidR="00226642" w:rsidRDefault="00226642" w:rsidP="00226642">
      <w:pPr>
        <w:spacing w:line="276" w:lineRule="auto"/>
        <w:jc w:val="both"/>
        <w:rPr>
          <w:rFonts w:ascii="Cambria" w:eastAsiaTheme="minorEastAsia" w:hAnsi="Cambria"/>
          <w:sz w:val="24"/>
          <w:szCs w:val="24"/>
        </w:rPr>
      </w:pPr>
      <w:r>
        <w:rPr>
          <w:rFonts w:ascii="Cambria" w:eastAsiaTheme="minorEastAsia" w:hAnsi="Cambria"/>
          <w:sz w:val="24"/>
          <w:szCs w:val="24"/>
        </w:rPr>
        <w:t xml:space="preserve">Fundación Paz Ciudadana y BID. 2013. </w:t>
      </w:r>
      <w:r w:rsidRPr="00226642">
        <w:rPr>
          <w:rFonts w:ascii="Cambria" w:eastAsiaTheme="minorEastAsia" w:hAnsi="Cambria"/>
          <w:sz w:val="24"/>
          <w:szCs w:val="24"/>
        </w:rPr>
        <w:t>Evaluación del sistem</w:t>
      </w:r>
      <w:r>
        <w:rPr>
          <w:rFonts w:ascii="Cambria" w:eastAsiaTheme="minorEastAsia" w:hAnsi="Cambria"/>
          <w:sz w:val="24"/>
          <w:szCs w:val="24"/>
        </w:rPr>
        <w:t xml:space="preserve">a concesionado versus el sistema tradicional en la reducción de la </w:t>
      </w:r>
      <w:r w:rsidRPr="00226642">
        <w:rPr>
          <w:rFonts w:ascii="Cambria" w:eastAsiaTheme="minorEastAsia" w:hAnsi="Cambria"/>
          <w:sz w:val="24"/>
          <w:szCs w:val="24"/>
        </w:rPr>
        <w:t>reincidencia delictual</w:t>
      </w:r>
      <w:r>
        <w:rPr>
          <w:rFonts w:ascii="Cambria" w:eastAsiaTheme="minorEastAsia" w:hAnsi="Cambria"/>
          <w:sz w:val="24"/>
          <w:szCs w:val="24"/>
        </w:rPr>
        <w:t xml:space="preserve"> (Chile). IDB Nota Técnica IDB-TN-558. </w:t>
      </w:r>
    </w:p>
    <w:p w:rsidR="005E55A4" w:rsidRDefault="005E55A4" w:rsidP="00FA2FD3">
      <w:pPr>
        <w:spacing w:line="276" w:lineRule="auto"/>
        <w:jc w:val="both"/>
        <w:rPr>
          <w:rFonts w:ascii="Cambria" w:eastAsiaTheme="minorEastAsia" w:hAnsi="Cambria"/>
          <w:sz w:val="24"/>
          <w:szCs w:val="24"/>
        </w:rPr>
      </w:pPr>
      <w:r>
        <w:rPr>
          <w:rFonts w:ascii="Cambria" w:eastAsiaTheme="minorEastAsia" w:hAnsi="Cambria"/>
          <w:sz w:val="24"/>
          <w:szCs w:val="24"/>
        </w:rPr>
        <w:t xml:space="preserve">Guarín, A. et al. 2012. Efectos del Castigo al Crimen en Colombia sobre la Disuasión y la Formación de Capital Humano. Banco de la República. Disponible en: </w:t>
      </w:r>
    </w:p>
    <w:p w:rsidR="005E55A4" w:rsidRPr="00606EA9" w:rsidRDefault="005319C1" w:rsidP="00FA2FD3">
      <w:pPr>
        <w:spacing w:line="276" w:lineRule="auto"/>
        <w:jc w:val="both"/>
        <w:rPr>
          <w:rFonts w:ascii="Cambria" w:eastAsiaTheme="minorEastAsia" w:hAnsi="Cambria"/>
          <w:sz w:val="24"/>
          <w:szCs w:val="24"/>
        </w:rPr>
      </w:pPr>
      <w:hyperlink r:id="rId45" w:history="1">
        <w:r w:rsidR="005E55A4" w:rsidRPr="007E2BD1">
          <w:rPr>
            <w:rStyle w:val="Hyperlink"/>
            <w:rFonts w:ascii="Cambria" w:eastAsiaTheme="minorEastAsia" w:hAnsi="Cambria"/>
            <w:sz w:val="24"/>
            <w:szCs w:val="24"/>
          </w:rPr>
          <w:t>http://idbdocs.iadb.org/wsdocs/getdocument.aspx?docnum=37414243</w:t>
        </w:r>
      </w:hyperlink>
      <w:r w:rsidR="005E55A4">
        <w:rPr>
          <w:rFonts w:ascii="Cambria" w:eastAsiaTheme="minorEastAsia" w:hAnsi="Cambria"/>
          <w:sz w:val="24"/>
          <w:szCs w:val="24"/>
        </w:rPr>
        <w:t xml:space="preserve"> </w:t>
      </w:r>
    </w:p>
    <w:sectPr w:rsidR="005E55A4" w:rsidRPr="00606EA9" w:rsidSect="004E7A1B">
      <w:footerReference w:type="default" r:id="rId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0F" w:rsidRDefault="00E6630F" w:rsidP="00A85E6E">
      <w:pPr>
        <w:spacing w:after="0" w:line="240" w:lineRule="auto"/>
      </w:pPr>
      <w:r>
        <w:separator/>
      </w:r>
    </w:p>
  </w:endnote>
  <w:endnote w:type="continuationSeparator" w:id="0">
    <w:p w:rsidR="00E6630F" w:rsidRDefault="00E6630F" w:rsidP="00A8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05174"/>
      <w:docPartObj>
        <w:docPartGallery w:val="Page Numbers (Bottom of Page)"/>
        <w:docPartUnique/>
      </w:docPartObj>
    </w:sdtPr>
    <w:sdtEndPr>
      <w:rPr>
        <w:rFonts w:ascii="Cambria" w:hAnsi="Cambria"/>
        <w:b/>
        <w:color w:val="808080"/>
        <w:sz w:val="20"/>
        <w:szCs w:val="20"/>
      </w:rPr>
    </w:sdtEndPr>
    <w:sdtContent>
      <w:p w:rsidR="008B49BF" w:rsidRPr="00DD0A41" w:rsidRDefault="008B49BF">
        <w:pPr>
          <w:pStyle w:val="Footer"/>
          <w:jc w:val="center"/>
          <w:rPr>
            <w:rFonts w:ascii="Cambria" w:hAnsi="Cambria"/>
            <w:b/>
            <w:color w:val="808080"/>
            <w:sz w:val="20"/>
            <w:szCs w:val="20"/>
          </w:rPr>
        </w:pPr>
        <w:r w:rsidRPr="00DD0A41">
          <w:rPr>
            <w:rFonts w:ascii="Cambria" w:hAnsi="Cambria"/>
            <w:b/>
            <w:color w:val="808080"/>
            <w:sz w:val="20"/>
            <w:szCs w:val="20"/>
          </w:rPr>
          <w:fldChar w:fldCharType="begin"/>
        </w:r>
        <w:r w:rsidRPr="00DD0A41">
          <w:rPr>
            <w:rFonts w:ascii="Cambria" w:hAnsi="Cambria"/>
            <w:b/>
            <w:color w:val="808080"/>
            <w:sz w:val="20"/>
            <w:szCs w:val="20"/>
          </w:rPr>
          <w:instrText>PAGE   \* MERGEFORMAT</w:instrText>
        </w:r>
        <w:r w:rsidRPr="00DD0A41">
          <w:rPr>
            <w:rFonts w:ascii="Cambria" w:hAnsi="Cambria"/>
            <w:b/>
            <w:color w:val="808080"/>
            <w:sz w:val="20"/>
            <w:szCs w:val="20"/>
          </w:rPr>
          <w:fldChar w:fldCharType="separate"/>
        </w:r>
        <w:r w:rsidR="005319C1" w:rsidRPr="005319C1">
          <w:rPr>
            <w:rFonts w:ascii="Cambria" w:hAnsi="Cambria"/>
            <w:b/>
            <w:noProof/>
            <w:color w:val="808080"/>
            <w:sz w:val="20"/>
            <w:szCs w:val="20"/>
            <w:lang w:val="es-ES"/>
          </w:rPr>
          <w:t>1</w:t>
        </w:r>
        <w:r w:rsidRPr="00DD0A41">
          <w:rPr>
            <w:rFonts w:ascii="Cambria" w:hAnsi="Cambria"/>
            <w:b/>
            <w:color w:val="808080"/>
            <w:sz w:val="20"/>
            <w:szCs w:val="20"/>
          </w:rPr>
          <w:fldChar w:fldCharType="end"/>
        </w:r>
        <w:r w:rsidRPr="00DD0A41">
          <w:rPr>
            <w:rFonts w:ascii="Cambria" w:hAnsi="Cambria"/>
            <w:b/>
            <w:color w:val="808080"/>
            <w:sz w:val="20"/>
            <w:szCs w:val="20"/>
          </w:rPr>
          <w:t xml:space="preserve"> </w:t>
        </w:r>
        <w:r>
          <w:rPr>
            <w:rFonts w:ascii="Cambria" w:hAnsi="Cambria"/>
            <w:b/>
            <w:color w:val="808080"/>
            <w:sz w:val="20"/>
            <w:szCs w:val="20"/>
          </w:rPr>
          <w:t xml:space="preserve">  </w:t>
        </w:r>
        <w:r>
          <w:rPr>
            <w:rFonts w:ascii="Cambria" w:hAnsi="Cambria"/>
            <w:smallCaps/>
            <w:color w:val="808080"/>
            <w:sz w:val="20"/>
            <w:szCs w:val="20"/>
          </w:rPr>
          <w:t>Evaluación E</w:t>
        </w:r>
        <w:r w:rsidRPr="00DD0A41">
          <w:rPr>
            <w:rFonts w:ascii="Cambria" w:hAnsi="Cambria"/>
            <w:smallCaps/>
            <w:color w:val="808080"/>
            <w:sz w:val="20"/>
            <w:szCs w:val="20"/>
          </w:rPr>
          <w:t>c</w:t>
        </w:r>
        <w:r>
          <w:rPr>
            <w:rFonts w:ascii="Cambria" w:hAnsi="Cambria"/>
            <w:smallCaps/>
            <w:color w:val="808080"/>
            <w:sz w:val="20"/>
            <w:szCs w:val="20"/>
          </w:rPr>
          <w:t>onómico del programa CO-L1162- Colombia</w:t>
        </w:r>
      </w:p>
    </w:sdtContent>
  </w:sdt>
  <w:p w:rsidR="008B49BF" w:rsidRDefault="008B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0F" w:rsidRDefault="00E6630F" w:rsidP="00A85E6E">
      <w:pPr>
        <w:spacing w:after="0" w:line="240" w:lineRule="auto"/>
      </w:pPr>
      <w:r>
        <w:separator/>
      </w:r>
    </w:p>
  </w:footnote>
  <w:footnote w:type="continuationSeparator" w:id="0">
    <w:p w:rsidR="00E6630F" w:rsidRDefault="00E6630F" w:rsidP="00A85E6E">
      <w:pPr>
        <w:spacing w:after="0" w:line="240" w:lineRule="auto"/>
      </w:pPr>
      <w:r>
        <w:continuationSeparator/>
      </w:r>
    </w:p>
  </w:footnote>
  <w:footnote w:id="1">
    <w:p w:rsidR="008B49BF" w:rsidRPr="00980BDC" w:rsidRDefault="008B49BF" w:rsidP="00980BDC">
      <w:pPr>
        <w:pStyle w:val="FootnoteText"/>
        <w:jc w:val="both"/>
        <w:rPr>
          <w:rFonts w:ascii="Cambria" w:hAnsi="Cambria"/>
        </w:rPr>
      </w:pPr>
      <w:r w:rsidRPr="00980BDC">
        <w:rPr>
          <w:rStyle w:val="FootnoteReference"/>
          <w:rFonts w:ascii="Cambria" w:hAnsi="Cambria"/>
        </w:rPr>
        <w:footnoteRef/>
      </w:r>
      <w:r>
        <w:rPr>
          <w:rFonts w:ascii="Cambria" w:hAnsi="Cambria"/>
        </w:rPr>
        <w:t xml:space="preserve"> Documento elaborado</w:t>
      </w:r>
      <w:r w:rsidRPr="00980BDC">
        <w:rPr>
          <w:rFonts w:ascii="Cambria" w:hAnsi="Cambria"/>
        </w:rPr>
        <w:t xml:space="preserve"> por Juan Benavides</w:t>
      </w:r>
      <w:r>
        <w:rPr>
          <w:rFonts w:ascii="Cambria" w:hAnsi="Cambria"/>
        </w:rPr>
        <w:t xml:space="preserve"> (consultor). </w:t>
      </w:r>
      <w:r w:rsidR="00D778E6">
        <w:rPr>
          <w:rFonts w:ascii="Cambria" w:hAnsi="Cambria"/>
        </w:rPr>
        <w:t xml:space="preserve">Incorpora las observaciones de Francisco Zegarra. </w:t>
      </w:r>
      <w:r w:rsidRPr="00980BDC">
        <w:rPr>
          <w:rFonts w:ascii="Cambria" w:hAnsi="Cambria"/>
        </w:rPr>
        <w:t>Los planteamientos son de r</w:t>
      </w:r>
      <w:r>
        <w:rPr>
          <w:rFonts w:ascii="Cambria" w:hAnsi="Cambria"/>
        </w:rPr>
        <w:t>esponsabilidad exclusiva del consult</w:t>
      </w:r>
      <w:r w:rsidRPr="00980BDC">
        <w:rPr>
          <w:rFonts w:ascii="Cambria" w:hAnsi="Cambria"/>
        </w:rPr>
        <w:t>or.</w:t>
      </w:r>
      <w:r>
        <w:rPr>
          <w:rFonts w:ascii="Cambria" w:hAnsi="Cambria"/>
        </w:rPr>
        <w:t xml:space="preserve"> </w:t>
      </w:r>
    </w:p>
  </w:footnote>
  <w:footnote w:id="2">
    <w:p w:rsidR="00C91E6F" w:rsidRPr="00C91E6F" w:rsidRDefault="00C91E6F" w:rsidP="00C91E6F">
      <w:pPr>
        <w:pStyle w:val="FootnoteText"/>
        <w:jc w:val="both"/>
        <w:rPr>
          <w:rFonts w:ascii="Cambria" w:hAnsi="Cambria"/>
        </w:rPr>
      </w:pPr>
      <w:r w:rsidRPr="00C91E6F">
        <w:rPr>
          <w:rStyle w:val="FootnoteReference"/>
          <w:rFonts w:ascii="Cambria" w:hAnsi="Cambria"/>
        </w:rPr>
        <w:footnoteRef/>
      </w:r>
      <w:r w:rsidRPr="00C91E6F">
        <w:rPr>
          <w:rFonts w:ascii="Cambria" w:hAnsi="Cambria"/>
        </w:rPr>
        <w:t xml:space="preserve"> </w:t>
      </w:r>
      <w:r>
        <w:rPr>
          <w:rFonts w:ascii="Cambria" w:hAnsi="Cambria"/>
        </w:rPr>
        <w:t xml:space="preserve">Equivalentes a US$ </w:t>
      </w:r>
      <w:r w:rsidR="003F6EB0">
        <w:rPr>
          <w:rFonts w:ascii="Cambria" w:hAnsi="Cambria"/>
        </w:rPr>
        <w:t>2.</w:t>
      </w:r>
      <w:r w:rsidR="0053757C">
        <w:rPr>
          <w:rFonts w:ascii="Cambria" w:hAnsi="Cambria"/>
        </w:rPr>
        <w:t>79</w:t>
      </w:r>
      <w:r w:rsidR="003F6EB0">
        <w:rPr>
          <w:rFonts w:ascii="Cambria" w:hAnsi="Cambria"/>
        </w:rPr>
        <w:t xml:space="preserve"> mil millones, usando la tasa de cambio COL$ 3,175.88 por US$ 1 (15 de marzo de 2016). </w:t>
      </w:r>
    </w:p>
  </w:footnote>
  <w:footnote w:id="3">
    <w:p w:rsidR="008B49BF" w:rsidRPr="00091B3B" w:rsidRDefault="008B49BF" w:rsidP="00091B3B">
      <w:pPr>
        <w:pStyle w:val="FootnoteText"/>
        <w:jc w:val="both"/>
        <w:rPr>
          <w:rFonts w:ascii="Cambria" w:hAnsi="Cambria"/>
        </w:rPr>
      </w:pPr>
      <w:r w:rsidRPr="00091B3B">
        <w:rPr>
          <w:rStyle w:val="FootnoteReference"/>
          <w:rFonts w:ascii="Cambria" w:hAnsi="Cambria"/>
        </w:rPr>
        <w:footnoteRef/>
      </w:r>
      <w:r w:rsidRPr="00091B3B">
        <w:rPr>
          <w:rFonts w:ascii="Cambria" w:hAnsi="Cambria"/>
        </w:rPr>
        <w:t xml:space="preserve"> </w:t>
      </w:r>
      <w:r>
        <w:rPr>
          <w:rFonts w:ascii="Cambria" w:hAnsi="Cambria"/>
        </w:rPr>
        <w:t>Esta sección se basa en el documento de perfil de proyecto “</w:t>
      </w:r>
      <w:r w:rsidRPr="00091B3B">
        <w:rPr>
          <w:rFonts w:ascii="Cambria" w:hAnsi="Cambria"/>
        </w:rPr>
        <w:t>Apoyo al Programa de Asociaciones Público Privadas (APP) de Colombia</w:t>
      </w:r>
      <w:r>
        <w:rPr>
          <w:rFonts w:ascii="Cambria" w:hAnsi="Cambria"/>
        </w:rPr>
        <w:t>.“ (BID, Febrero de 2016).</w:t>
      </w:r>
    </w:p>
  </w:footnote>
  <w:footnote w:id="4">
    <w:p w:rsidR="008B49BF" w:rsidRPr="003E4B97" w:rsidRDefault="008B49BF" w:rsidP="00E84856">
      <w:pPr>
        <w:pStyle w:val="FootnoteText"/>
        <w:jc w:val="both"/>
        <w:rPr>
          <w:rFonts w:ascii="Cambria" w:hAnsi="Cambria"/>
        </w:rPr>
      </w:pPr>
      <w:r w:rsidRPr="003E4B97">
        <w:rPr>
          <w:rStyle w:val="FootnoteReference"/>
          <w:rFonts w:ascii="Cambria" w:hAnsi="Cambria"/>
        </w:rPr>
        <w:footnoteRef/>
      </w:r>
      <w:r w:rsidRPr="003E4B97">
        <w:rPr>
          <w:rFonts w:ascii="Cambria" w:hAnsi="Cambria"/>
        </w:rPr>
        <w:t xml:space="preserve"> </w:t>
      </w:r>
      <w:r>
        <w:rPr>
          <w:rFonts w:ascii="Cambria" w:hAnsi="Cambria"/>
        </w:rPr>
        <w:t xml:space="preserve">Cuando no existan estimaciones de reducción de costos, se asumirá que únicamente se realizan ganancias por acelerar el cumplimiento de metas. </w:t>
      </w:r>
    </w:p>
  </w:footnote>
  <w:footnote w:id="5">
    <w:p w:rsidR="008B49BF" w:rsidRPr="0007062F" w:rsidRDefault="008B49BF" w:rsidP="0007062F">
      <w:pPr>
        <w:pStyle w:val="FootnoteText"/>
        <w:jc w:val="both"/>
        <w:rPr>
          <w:rFonts w:ascii="Cambria" w:hAnsi="Cambria"/>
        </w:rPr>
      </w:pPr>
      <w:r w:rsidRPr="0007062F">
        <w:rPr>
          <w:rStyle w:val="FootnoteReference"/>
          <w:rFonts w:ascii="Cambria" w:hAnsi="Cambria"/>
        </w:rPr>
        <w:footnoteRef/>
      </w:r>
      <w:r w:rsidRPr="0007062F">
        <w:rPr>
          <w:rFonts w:ascii="Cambria" w:hAnsi="Cambria"/>
        </w:rPr>
        <w:t xml:space="preserve"> </w:t>
      </w:r>
      <w:r>
        <w:rPr>
          <w:rFonts w:ascii="Cambria" w:hAnsi="Cambria"/>
        </w:rPr>
        <w:t xml:space="preserve">Los tres modelos en educación analizados son: (i) construcción y O&amp;M; (ii) construcción y O&amp;M + prestación de servicios adicionales (servicios públicos, compra de libros, actividades extracurriculares, enfermería, transporte escolar, comedor, lavandería) y (iii) construcción y O&amp;M + prestación de servicios adicionales + prestación de servicios educativos (lo anterior más el servicio de enseñanza).   </w:t>
      </w:r>
    </w:p>
  </w:footnote>
  <w:footnote w:id="6">
    <w:p w:rsidR="008B49BF" w:rsidRPr="00DD7337" w:rsidRDefault="008B49BF" w:rsidP="00B5016C">
      <w:pPr>
        <w:pStyle w:val="FootnoteText"/>
        <w:jc w:val="both"/>
        <w:rPr>
          <w:rFonts w:ascii="Cambria" w:hAnsi="Cambria"/>
        </w:rPr>
      </w:pPr>
      <w:r>
        <w:rPr>
          <w:rStyle w:val="FootnoteReference"/>
        </w:rPr>
        <w:footnoteRef/>
      </w:r>
      <w:r>
        <w:t xml:space="preserve"> </w:t>
      </w:r>
      <w:r>
        <w:rPr>
          <w:rFonts w:ascii="Cambria" w:hAnsi="Cambria"/>
        </w:rPr>
        <w:t xml:space="preserve">El primer modelo de salud (usado en </w:t>
      </w:r>
      <w:r w:rsidRPr="006E03D6">
        <w:rPr>
          <w:rFonts w:ascii="Cambria" w:hAnsi="Cambria"/>
        </w:rPr>
        <w:t>Reino Unido, España, Australia, Canadá, Chile y más reciente</w:t>
      </w:r>
      <w:r>
        <w:rPr>
          <w:rFonts w:ascii="Cambria" w:hAnsi="Cambria"/>
        </w:rPr>
        <w:t>mente Portugal)</w:t>
      </w:r>
      <w:r w:rsidRPr="006E03D6">
        <w:rPr>
          <w:rFonts w:ascii="Cambria" w:hAnsi="Cambria"/>
        </w:rPr>
        <w:t xml:space="preserve"> corresponde a un modelo de sólo alojamiento, que incluye infraestructura y la prestación de servicios no clínicos. El segundo modelo adiciona al modelo anterior la compra de equipos bioméd</w:t>
      </w:r>
      <w:r>
        <w:rPr>
          <w:rFonts w:ascii="Cambria" w:hAnsi="Cambria"/>
        </w:rPr>
        <w:t xml:space="preserve">icos (usado en </w:t>
      </w:r>
      <w:r w:rsidRPr="006E03D6">
        <w:rPr>
          <w:rFonts w:ascii="Cambria" w:hAnsi="Cambria"/>
        </w:rPr>
        <w:t>México y Chile</w:t>
      </w:r>
      <w:r>
        <w:rPr>
          <w:rFonts w:ascii="Cambria" w:hAnsi="Cambria"/>
        </w:rPr>
        <w:t>)</w:t>
      </w:r>
      <w:r w:rsidRPr="006E03D6">
        <w:rPr>
          <w:rFonts w:ascii="Cambria" w:hAnsi="Cambria"/>
        </w:rPr>
        <w:t xml:space="preserve">. </w:t>
      </w:r>
      <w:r>
        <w:rPr>
          <w:rFonts w:ascii="Cambria" w:hAnsi="Cambria"/>
        </w:rPr>
        <w:t>E</w:t>
      </w:r>
      <w:r w:rsidRPr="006E03D6">
        <w:rPr>
          <w:rFonts w:ascii="Cambria" w:hAnsi="Cambria"/>
        </w:rPr>
        <w:t xml:space="preserve">l tercer </w:t>
      </w:r>
      <w:r>
        <w:rPr>
          <w:rFonts w:ascii="Cambria" w:hAnsi="Cambria"/>
        </w:rPr>
        <w:t xml:space="preserve">modelo (usado en </w:t>
      </w:r>
      <w:r w:rsidRPr="006E03D6">
        <w:rPr>
          <w:rFonts w:ascii="Cambria" w:hAnsi="Cambria"/>
        </w:rPr>
        <w:t>Portugal</w:t>
      </w:r>
      <w:r>
        <w:rPr>
          <w:rFonts w:ascii="Cambria" w:hAnsi="Cambria"/>
        </w:rPr>
        <w:t>)</w:t>
      </w:r>
      <w:r w:rsidRPr="006E03D6">
        <w:rPr>
          <w:rFonts w:ascii="Cambria" w:hAnsi="Cambria"/>
        </w:rPr>
        <w:t>, adiciona al segundo la prestación</w:t>
      </w:r>
      <w:r>
        <w:rPr>
          <w:rFonts w:ascii="Cambria" w:hAnsi="Cambria"/>
        </w:rPr>
        <w:t xml:space="preserve"> de algunos servicios clínicos a través de </w:t>
      </w:r>
      <w:r w:rsidRPr="006E03D6">
        <w:rPr>
          <w:rFonts w:ascii="Cambria" w:hAnsi="Cambria"/>
        </w:rPr>
        <w:t>dos vehículos de inversión, uno para la infraestructura y uno para la prestación de servicios clí</w:t>
      </w:r>
      <w:r>
        <w:rPr>
          <w:rFonts w:ascii="Cambria" w:hAnsi="Cambria"/>
        </w:rPr>
        <w:t xml:space="preserve">nicos. En el cuarto modelo, de </w:t>
      </w:r>
      <w:r w:rsidRPr="006E03D6">
        <w:rPr>
          <w:rFonts w:ascii="Cambria" w:hAnsi="Cambria"/>
        </w:rPr>
        <w:t xml:space="preserve">Provisión Integral de servicios, el </w:t>
      </w:r>
      <w:r>
        <w:rPr>
          <w:rFonts w:ascii="Cambria" w:hAnsi="Cambria"/>
        </w:rPr>
        <w:t xml:space="preserve">inversionista </w:t>
      </w:r>
      <w:r w:rsidRPr="006E03D6">
        <w:rPr>
          <w:rFonts w:ascii="Cambria" w:hAnsi="Cambria"/>
        </w:rPr>
        <w:t xml:space="preserve">privado construye y </w:t>
      </w:r>
      <w:r w:rsidRPr="00DD7337">
        <w:rPr>
          <w:rFonts w:ascii="Cambria" w:hAnsi="Cambria"/>
        </w:rPr>
        <w:t>gestiona el hospital de manera integral. Este modelo, al igual que el primero, es usado en España.</w:t>
      </w:r>
    </w:p>
  </w:footnote>
  <w:footnote w:id="7">
    <w:p w:rsidR="008B49BF" w:rsidRPr="00DD7337" w:rsidRDefault="008B49BF" w:rsidP="00DD7337">
      <w:pPr>
        <w:pStyle w:val="FootnoteText"/>
        <w:jc w:val="both"/>
        <w:rPr>
          <w:rFonts w:ascii="Cambria" w:hAnsi="Cambria"/>
        </w:rPr>
      </w:pPr>
      <w:r w:rsidRPr="00DD7337">
        <w:rPr>
          <w:rStyle w:val="FootnoteReference"/>
          <w:rFonts w:ascii="Cambria" w:hAnsi="Cambria"/>
        </w:rPr>
        <w:footnoteRef/>
      </w:r>
      <w:r w:rsidRPr="00DD7337">
        <w:rPr>
          <w:rFonts w:ascii="Cambria" w:hAnsi="Cambria"/>
        </w:rPr>
        <w:t xml:space="preserve"> Los objetivos del PROEXMAES II incluyen </w:t>
      </w:r>
      <w:r>
        <w:rPr>
          <w:rFonts w:ascii="Cambria" w:hAnsi="Cambria"/>
        </w:rPr>
        <w:t xml:space="preserve">la reducción de hospitalizaciones prevenibles, la reducción de la mortalidad y la implementación de líneas de cuidado para lograr ganancias en AVAD (años de vida ajustados por discapacidad). </w:t>
      </w:r>
    </w:p>
  </w:footnote>
  <w:footnote w:id="8">
    <w:p w:rsidR="008B49BF" w:rsidRPr="003C2F3C" w:rsidRDefault="008B49BF" w:rsidP="003C2F3C">
      <w:pPr>
        <w:pStyle w:val="FootnoteText"/>
        <w:jc w:val="both"/>
        <w:rPr>
          <w:rFonts w:ascii="Cambria" w:hAnsi="Cambria"/>
        </w:rPr>
      </w:pPr>
      <w:r w:rsidRPr="003C2F3C">
        <w:rPr>
          <w:rStyle w:val="FootnoteReference"/>
          <w:rFonts w:ascii="Cambria" w:hAnsi="Cambria"/>
        </w:rPr>
        <w:footnoteRef/>
      </w:r>
      <w:r w:rsidRPr="003C2F3C">
        <w:rPr>
          <w:rFonts w:ascii="Cambria" w:hAnsi="Cambria"/>
        </w:rPr>
        <w:t xml:space="preserve"> </w:t>
      </w:r>
      <w:r>
        <w:rPr>
          <w:rFonts w:ascii="Cambria" w:hAnsi="Cambria"/>
        </w:rPr>
        <w:t xml:space="preserve">Este estimativo es de carácter preliminar y no debe citarse como cálculo definitivo. En una debida diligencia se deben comprobar la solidez de las estimaciones de demanda usadas en el ejercicio. </w:t>
      </w:r>
    </w:p>
  </w:footnote>
  <w:footnote w:id="9">
    <w:p w:rsidR="008B49BF" w:rsidRPr="00FB23C0" w:rsidRDefault="008B49BF" w:rsidP="00FB23C0">
      <w:pPr>
        <w:spacing w:line="240" w:lineRule="auto"/>
        <w:jc w:val="both"/>
        <w:rPr>
          <w:rFonts w:ascii="Cambria" w:hAnsi="Cambria"/>
          <w:sz w:val="20"/>
          <w:szCs w:val="20"/>
        </w:rPr>
      </w:pPr>
      <w:r w:rsidRPr="00FB23C0">
        <w:rPr>
          <w:rStyle w:val="FootnoteReference"/>
          <w:rFonts w:ascii="Cambria" w:hAnsi="Cambria"/>
        </w:rPr>
        <w:footnoteRef/>
      </w:r>
      <w:r w:rsidRPr="00FB23C0">
        <w:rPr>
          <w:rFonts w:ascii="Cambria" w:hAnsi="Cambria"/>
        </w:rPr>
        <w:t xml:space="preserve"> </w:t>
      </w:r>
      <w:r w:rsidRPr="00FB23C0">
        <w:rPr>
          <w:rFonts w:ascii="Cambria" w:hAnsi="Cambria"/>
          <w:sz w:val="20"/>
          <w:szCs w:val="20"/>
        </w:rPr>
        <w:t xml:space="preserve">En la actualidad, Colombia cuenta con 137 establecimientos de reclusión del orden nacional (ERON) con una población de más de 118.000 reclusos, a pesar de que su capacidad es inferior a los 78.000 cupos. </w:t>
      </w:r>
    </w:p>
    <w:p w:rsidR="008B49BF" w:rsidRPr="00FB23C0" w:rsidRDefault="008B49BF" w:rsidP="00FB23C0">
      <w:pPr>
        <w:pStyle w:val="FootnoteText"/>
        <w:jc w:val="both"/>
        <w:rPr>
          <w:rFonts w:ascii="Cambria" w:hAnsi="Cambria"/>
        </w:rPr>
      </w:pPr>
    </w:p>
  </w:footnote>
  <w:footnote w:id="10">
    <w:p w:rsidR="00010DB3" w:rsidRPr="00010DB3" w:rsidRDefault="00010DB3" w:rsidP="00010DB3">
      <w:pPr>
        <w:pStyle w:val="FootnoteText"/>
        <w:jc w:val="both"/>
        <w:rPr>
          <w:rFonts w:ascii="Cambria" w:hAnsi="Cambria"/>
        </w:rPr>
      </w:pPr>
      <w:r w:rsidRPr="00010DB3">
        <w:rPr>
          <w:rStyle w:val="FootnoteReference"/>
          <w:rFonts w:ascii="Cambria" w:hAnsi="Cambria"/>
        </w:rPr>
        <w:footnoteRef/>
      </w:r>
      <w:r w:rsidRPr="00010DB3">
        <w:rPr>
          <w:rFonts w:ascii="Cambria" w:hAnsi="Cambria"/>
        </w:rPr>
        <w:t xml:space="preserve"> </w:t>
      </w:r>
      <w:r>
        <w:rPr>
          <w:rFonts w:ascii="Cambria" w:hAnsi="Cambria"/>
        </w:rPr>
        <w:t>Por ejemplo, el estudio de la Fundación Paz Ciudadana y BID (2013) que compara los esquemas privados y públicos en la reducción de la reincidencia delictual</w:t>
      </w:r>
      <w:r w:rsidR="00D778E6">
        <w:rPr>
          <w:rFonts w:ascii="Cambria" w:hAnsi="Cambria"/>
        </w:rPr>
        <w:t xml:space="preserve"> en Chile</w:t>
      </w:r>
      <w:r>
        <w:rPr>
          <w:rFonts w:ascii="Cambria" w:hAnsi="Cambria"/>
        </w:rPr>
        <w:t xml:space="preserve">, caracteriza los problemas y circunstancias de prestación del servicio en ambos modelos y efectúan regresiones </w:t>
      </w:r>
      <w:r w:rsidR="00D778E6">
        <w:rPr>
          <w:rFonts w:ascii="Cambria" w:hAnsi="Cambria"/>
        </w:rPr>
        <w:t xml:space="preserve">con variables </w:t>
      </w:r>
      <w:r>
        <w:rPr>
          <w:rFonts w:ascii="Cambria" w:hAnsi="Cambria"/>
        </w:rPr>
        <w:t>cualitativas</w:t>
      </w:r>
      <w:r w:rsidR="00D778E6">
        <w:rPr>
          <w:rFonts w:ascii="Cambria" w:hAnsi="Cambria"/>
        </w:rPr>
        <w:t xml:space="preserve">, pero no llega a una evaluación socioeconómica. </w:t>
      </w:r>
      <w:r>
        <w:rPr>
          <w:rFonts w:ascii="Cambria" w:hAnsi="Cambr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74"/>
    <w:multiLevelType w:val="hybridMultilevel"/>
    <w:tmpl w:val="3370CC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60C2CB3"/>
    <w:multiLevelType w:val="hybridMultilevel"/>
    <w:tmpl w:val="179AB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82053B7"/>
    <w:multiLevelType w:val="hybridMultilevel"/>
    <w:tmpl w:val="BAEEBC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8F07F17"/>
    <w:multiLevelType w:val="hybridMultilevel"/>
    <w:tmpl w:val="E52A03AA"/>
    <w:lvl w:ilvl="0" w:tplc="F9A6EA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693346"/>
    <w:multiLevelType w:val="hybridMultilevel"/>
    <w:tmpl w:val="7ED06074"/>
    <w:lvl w:ilvl="0" w:tplc="CB2E21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967F19"/>
    <w:multiLevelType w:val="hybridMultilevel"/>
    <w:tmpl w:val="519659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B986A30"/>
    <w:multiLevelType w:val="hybridMultilevel"/>
    <w:tmpl w:val="26785588"/>
    <w:lvl w:ilvl="0" w:tplc="50624172">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C524FB6"/>
    <w:multiLevelType w:val="hybridMultilevel"/>
    <w:tmpl w:val="DE3675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37E0763"/>
    <w:multiLevelType w:val="hybridMultilevel"/>
    <w:tmpl w:val="4536A4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8A51929"/>
    <w:multiLevelType w:val="hybridMultilevel"/>
    <w:tmpl w:val="31EED8A6"/>
    <w:lvl w:ilvl="0" w:tplc="50624172">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1417EC"/>
    <w:multiLevelType w:val="hybridMultilevel"/>
    <w:tmpl w:val="D8EA2D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1673288"/>
    <w:multiLevelType w:val="hybridMultilevel"/>
    <w:tmpl w:val="960A616A"/>
    <w:lvl w:ilvl="0" w:tplc="9A32ED3E">
      <w:start w:val="1"/>
      <w:numFmt w:val="bullet"/>
      <w:lvlText w:val="•"/>
      <w:lvlJc w:val="left"/>
      <w:pPr>
        <w:tabs>
          <w:tab w:val="num" w:pos="720"/>
        </w:tabs>
        <w:ind w:left="720" w:hanging="360"/>
      </w:pPr>
      <w:rPr>
        <w:rFonts w:ascii="Arial" w:hAnsi="Arial" w:hint="default"/>
      </w:rPr>
    </w:lvl>
    <w:lvl w:ilvl="1" w:tplc="29B8BD96" w:tentative="1">
      <w:start w:val="1"/>
      <w:numFmt w:val="bullet"/>
      <w:lvlText w:val="•"/>
      <w:lvlJc w:val="left"/>
      <w:pPr>
        <w:tabs>
          <w:tab w:val="num" w:pos="1440"/>
        </w:tabs>
        <w:ind w:left="1440" w:hanging="360"/>
      </w:pPr>
      <w:rPr>
        <w:rFonts w:ascii="Arial" w:hAnsi="Arial" w:hint="default"/>
      </w:rPr>
    </w:lvl>
    <w:lvl w:ilvl="2" w:tplc="B0320204" w:tentative="1">
      <w:start w:val="1"/>
      <w:numFmt w:val="bullet"/>
      <w:lvlText w:val="•"/>
      <w:lvlJc w:val="left"/>
      <w:pPr>
        <w:tabs>
          <w:tab w:val="num" w:pos="2160"/>
        </w:tabs>
        <w:ind w:left="2160" w:hanging="360"/>
      </w:pPr>
      <w:rPr>
        <w:rFonts w:ascii="Arial" w:hAnsi="Arial" w:hint="default"/>
      </w:rPr>
    </w:lvl>
    <w:lvl w:ilvl="3" w:tplc="ADAA041E" w:tentative="1">
      <w:start w:val="1"/>
      <w:numFmt w:val="bullet"/>
      <w:lvlText w:val="•"/>
      <w:lvlJc w:val="left"/>
      <w:pPr>
        <w:tabs>
          <w:tab w:val="num" w:pos="2880"/>
        </w:tabs>
        <w:ind w:left="2880" w:hanging="360"/>
      </w:pPr>
      <w:rPr>
        <w:rFonts w:ascii="Arial" w:hAnsi="Arial" w:hint="default"/>
      </w:rPr>
    </w:lvl>
    <w:lvl w:ilvl="4" w:tplc="5BFEA0BC" w:tentative="1">
      <w:start w:val="1"/>
      <w:numFmt w:val="bullet"/>
      <w:lvlText w:val="•"/>
      <w:lvlJc w:val="left"/>
      <w:pPr>
        <w:tabs>
          <w:tab w:val="num" w:pos="3600"/>
        </w:tabs>
        <w:ind w:left="3600" w:hanging="360"/>
      </w:pPr>
      <w:rPr>
        <w:rFonts w:ascii="Arial" w:hAnsi="Arial" w:hint="default"/>
      </w:rPr>
    </w:lvl>
    <w:lvl w:ilvl="5" w:tplc="E9AAA5B4" w:tentative="1">
      <w:start w:val="1"/>
      <w:numFmt w:val="bullet"/>
      <w:lvlText w:val="•"/>
      <w:lvlJc w:val="left"/>
      <w:pPr>
        <w:tabs>
          <w:tab w:val="num" w:pos="4320"/>
        </w:tabs>
        <w:ind w:left="4320" w:hanging="360"/>
      </w:pPr>
      <w:rPr>
        <w:rFonts w:ascii="Arial" w:hAnsi="Arial" w:hint="default"/>
      </w:rPr>
    </w:lvl>
    <w:lvl w:ilvl="6" w:tplc="6A605C4E" w:tentative="1">
      <w:start w:val="1"/>
      <w:numFmt w:val="bullet"/>
      <w:lvlText w:val="•"/>
      <w:lvlJc w:val="left"/>
      <w:pPr>
        <w:tabs>
          <w:tab w:val="num" w:pos="5040"/>
        </w:tabs>
        <w:ind w:left="5040" w:hanging="360"/>
      </w:pPr>
      <w:rPr>
        <w:rFonts w:ascii="Arial" w:hAnsi="Arial" w:hint="default"/>
      </w:rPr>
    </w:lvl>
    <w:lvl w:ilvl="7" w:tplc="718C78A8" w:tentative="1">
      <w:start w:val="1"/>
      <w:numFmt w:val="bullet"/>
      <w:lvlText w:val="•"/>
      <w:lvlJc w:val="left"/>
      <w:pPr>
        <w:tabs>
          <w:tab w:val="num" w:pos="5760"/>
        </w:tabs>
        <w:ind w:left="5760" w:hanging="360"/>
      </w:pPr>
      <w:rPr>
        <w:rFonts w:ascii="Arial" w:hAnsi="Arial" w:hint="default"/>
      </w:rPr>
    </w:lvl>
    <w:lvl w:ilvl="8" w:tplc="51C099AE" w:tentative="1">
      <w:start w:val="1"/>
      <w:numFmt w:val="bullet"/>
      <w:lvlText w:val="•"/>
      <w:lvlJc w:val="left"/>
      <w:pPr>
        <w:tabs>
          <w:tab w:val="num" w:pos="6480"/>
        </w:tabs>
        <w:ind w:left="6480" w:hanging="360"/>
      </w:pPr>
      <w:rPr>
        <w:rFonts w:ascii="Arial" w:hAnsi="Arial" w:hint="default"/>
      </w:rPr>
    </w:lvl>
  </w:abstractNum>
  <w:abstractNum w:abstractNumId="12">
    <w:nsid w:val="2240251E"/>
    <w:multiLevelType w:val="hybridMultilevel"/>
    <w:tmpl w:val="72ACD2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2C212B4"/>
    <w:multiLevelType w:val="hybridMultilevel"/>
    <w:tmpl w:val="8A1CB4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4365942"/>
    <w:multiLevelType w:val="hybridMultilevel"/>
    <w:tmpl w:val="CDD2701A"/>
    <w:lvl w:ilvl="0" w:tplc="3D38E30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9F71CA0"/>
    <w:multiLevelType w:val="hybridMultilevel"/>
    <w:tmpl w:val="C58E62C4"/>
    <w:lvl w:ilvl="0" w:tplc="DF901D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B936419"/>
    <w:multiLevelType w:val="hybridMultilevel"/>
    <w:tmpl w:val="D2443520"/>
    <w:lvl w:ilvl="0" w:tplc="50624172">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C061CAA"/>
    <w:multiLevelType w:val="hybridMultilevel"/>
    <w:tmpl w:val="BEA415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2EAE72BF"/>
    <w:multiLevelType w:val="hybridMultilevel"/>
    <w:tmpl w:val="B1E4E8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FE9437C"/>
    <w:multiLevelType w:val="hybridMultilevel"/>
    <w:tmpl w:val="45D42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CA017D4"/>
    <w:multiLevelType w:val="hybridMultilevel"/>
    <w:tmpl w:val="B838D0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400374A1"/>
    <w:multiLevelType w:val="hybridMultilevel"/>
    <w:tmpl w:val="4AA27B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41CC6256"/>
    <w:multiLevelType w:val="hybridMultilevel"/>
    <w:tmpl w:val="897821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3EA2E2D"/>
    <w:multiLevelType w:val="hybridMultilevel"/>
    <w:tmpl w:val="6ADAA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A252438"/>
    <w:multiLevelType w:val="hybridMultilevel"/>
    <w:tmpl w:val="A2F2B26A"/>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CC31B79"/>
    <w:multiLevelType w:val="hybridMultilevel"/>
    <w:tmpl w:val="5F024F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DA45A3A"/>
    <w:multiLevelType w:val="hybridMultilevel"/>
    <w:tmpl w:val="32DC96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EA60427"/>
    <w:multiLevelType w:val="hybridMultilevel"/>
    <w:tmpl w:val="09B609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20D0FA5"/>
    <w:multiLevelType w:val="hybridMultilevel"/>
    <w:tmpl w:val="A5AA1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4F9195A"/>
    <w:multiLevelType w:val="hybridMultilevel"/>
    <w:tmpl w:val="F63A9A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9124009"/>
    <w:multiLevelType w:val="hybridMultilevel"/>
    <w:tmpl w:val="A11E81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E8722AA"/>
    <w:multiLevelType w:val="hybridMultilevel"/>
    <w:tmpl w:val="A2B0D5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D90800"/>
    <w:multiLevelType w:val="hybridMultilevel"/>
    <w:tmpl w:val="34006E5E"/>
    <w:lvl w:ilvl="0" w:tplc="84F8A2F0">
      <w:start w:val="1"/>
      <w:numFmt w:val="bullet"/>
      <w:lvlText w:val="•"/>
      <w:lvlJc w:val="left"/>
      <w:pPr>
        <w:tabs>
          <w:tab w:val="num" w:pos="720"/>
        </w:tabs>
        <w:ind w:left="720" w:hanging="360"/>
      </w:pPr>
      <w:rPr>
        <w:rFonts w:ascii="Arial" w:hAnsi="Arial" w:hint="default"/>
      </w:rPr>
    </w:lvl>
    <w:lvl w:ilvl="1" w:tplc="516E6332" w:tentative="1">
      <w:start w:val="1"/>
      <w:numFmt w:val="bullet"/>
      <w:lvlText w:val="•"/>
      <w:lvlJc w:val="left"/>
      <w:pPr>
        <w:tabs>
          <w:tab w:val="num" w:pos="1440"/>
        </w:tabs>
        <w:ind w:left="1440" w:hanging="360"/>
      </w:pPr>
      <w:rPr>
        <w:rFonts w:ascii="Arial" w:hAnsi="Arial" w:hint="default"/>
      </w:rPr>
    </w:lvl>
    <w:lvl w:ilvl="2" w:tplc="0BE4AF40" w:tentative="1">
      <w:start w:val="1"/>
      <w:numFmt w:val="bullet"/>
      <w:lvlText w:val="•"/>
      <w:lvlJc w:val="left"/>
      <w:pPr>
        <w:tabs>
          <w:tab w:val="num" w:pos="2160"/>
        </w:tabs>
        <w:ind w:left="2160" w:hanging="360"/>
      </w:pPr>
      <w:rPr>
        <w:rFonts w:ascii="Arial" w:hAnsi="Arial" w:hint="default"/>
      </w:rPr>
    </w:lvl>
    <w:lvl w:ilvl="3" w:tplc="C76864AE" w:tentative="1">
      <w:start w:val="1"/>
      <w:numFmt w:val="bullet"/>
      <w:lvlText w:val="•"/>
      <w:lvlJc w:val="left"/>
      <w:pPr>
        <w:tabs>
          <w:tab w:val="num" w:pos="2880"/>
        </w:tabs>
        <w:ind w:left="2880" w:hanging="360"/>
      </w:pPr>
      <w:rPr>
        <w:rFonts w:ascii="Arial" w:hAnsi="Arial" w:hint="default"/>
      </w:rPr>
    </w:lvl>
    <w:lvl w:ilvl="4" w:tplc="CDE8EAEC" w:tentative="1">
      <w:start w:val="1"/>
      <w:numFmt w:val="bullet"/>
      <w:lvlText w:val="•"/>
      <w:lvlJc w:val="left"/>
      <w:pPr>
        <w:tabs>
          <w:tab w:val="num" w:pos="3600"/>
        </w:tabs>
        <w:ind w:left="3600" w:hanging="360"/>
      </w:pPr>
      <w:rPr>
        <w:rFonts w:ascii="Arial" w:hAnsi="Arial" w:hint="default"/>
      </w:rPr>
    </w:lvl>
    <w:lvl w:ilvl="5" w:tplc="FE00CDD2" w:tentative="1">
      <w:start w:val="1"/>
      <w:numFmt w:val="bullet"/>
      <w:lvlText w:val="•"/>
      <w:lvlJc w:val="left"/>
      <w:pPr>
        <w:tabs>
          <w:tab w:val="num" w:pos="4320"/>
        </w:tabs>
        <w:ind w:left="4320" w:hanging="360"/>
      </w:pPr>
      <w:rPr>
        <w:rFonts w:ascii="Arial" w:hAnsi="Arial" w:hint="default"/>
      </w:rPr>
    </w:lvl>
    <w:lvl w:ilvl="6" w:tplc="70921824" w:tentative="1">
      <w:start w:val="1"/>
      <w:numFmt w:val="bullet"/>
      <w:lvlText w:val="•"/>
      <w:lvlJc w:val="left"/>
      <w:pPr>
        <w:tabs>
          <w:tab w:val="num" w:pos="5040"/>
        </w:tabs>
        <w:ind w:left="5040" w:hanging="360"/>
      </w:pPr>
      <w:rPr>
        <w:rFonts w:ascii="Arial" w:hAnsi="Arial" w:hint="default"/>
      </w:rPr>
    </w:lvl>
    <w:lvl w:ilvl="7" w:tplc="97A6441E" w:tentative="1">
      <w:start w:val="1"/>
      <w:numFmt w:val="bullet"/>
      <w:lvlText w:val="•"/>
      <w:lvlJc w:val="left"/>
      <w:pPr>
        <w:tabs>
          <w:tab w:val="num" w:pos="5760"/>
        </w:tabs>
        <w:ind w:left="5760" w:hanging="360"/>
      </w:pPr>
      <w:rPr>
        <w:rFonts w:ascii="Arial" w:hAnsi="Arial" w:hint="default"/>
      </w:rPr>
    </w:lvl>
    <w:lvl w:ilvl="8" w:tplc="8618B420" w:tentative="1">
      <w:start w:val="1"/>
      <w:numFmt w:val="bullet"/>
      <w:lvlText w:val="•"/>
      <w:lvlJc w:val="left"/>
      <w:pPr>
        <w:tabs>
          <w:tab w:val="num" w:pos="6480"/>
        </w:tabs>
        <w:ind w:left="6480" w:hanging="360"/>
      </w:pPr>
      <w:rPr>
        <w:rFonts w:ascii="Arial" w:hAnsi="Arial" w:hint="default"/>
      </w:rPr>
    </w:lvl>
  </w:abstractNum>
  <w:abstractNum w:abstractNumId="33">
    <w:nsid w:val="5F591193"/>
    <w:multiLevelType w:val="hybridMultilevel"/>
    <w:tmpl w:val="E0C473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3A863E6"/>
    <w:multiLevelType w:val="hybridMultilevel"/>
    <w:tmpl w:val="8E361A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648C23D5"/>
    <w:multiLevelType w:val="hybridMultilevel"/>
    <w:tmpl w:val="9502EDEE"/>
    <w:lvl w:ilvl="0" w:tplc="240A0001">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8A37116"/>
    <w:multiLevelType w:val="hybridMultilevel"/>
    <w:tmpl w:val="776CE214"/>
    <w:lvl w:ilvl="0" w:tplc="D598DE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AC71136"/>
    <w:multiLevelType w:val="hybridMultilevel"/>
    <w:tmpl w:val="11FC7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7AB2735"/>
    <w:multiLevelType w:val="hybridMultilevel"/>
    <w:tmpl w:val="75DE3B74"/>
    <w:lvl w:ilvl="0" w:tplc="C960042A">
      <w:start w:val="1"/>
      <w:numFmt w:val="decimalZero"/>
      <w:lvlText w:val="%1."/>
      <w:lvlJc w:val="left"/>
      <w:pPr>
        <w:ind w:left="360" w:hanging="360"/>
      </w:pPr>
      <w:rPr>
        <w:rFonts w:eastAsiaTheme="minorHAnsi" w:cstheme="minorBidi"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AF02BFE"/>
    <w:multiLevelType w:val="hybridMultilevel"/>
    <w:tmpl w:val="992E26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22"/>
  </w:num>
  <w:num w:numId="3">
    <w:abstractNumId w:val="36"/>
  </w:num>
  <w:num w:numId="4">
    <w:abstractNumId w:val="4"/>
  </w:num>
  <w:num w:numId="5">
    <w:abstractNumId w:val="19"/>
  </w:num>
  <w:num w:numId="6">
    <w:abstractNumId w:val="14"/>
  </w:num>
  <w:num w:numId="7">
    <w:abstractNumId w:val="35"/>
  </w:num>
  <w:num w:numId="8">
    <w:abstractNumId w:val="20"/>
  </w:num>
  <w:num w:numId="9">
    <w:abstractNumId w:val="33"/>
  </w:num>
  <w:num w:numId="10">
    <w:abstractNumId w:val="28"/>
  </w:num>
  <w:num w:numId="11">
    <w:abstractNumId w:val="3"/>
  </w:num>
  <w:num w:numId="12">
    <w:abstractNumId w:val="18"/>
  </w:num>
  <w:num w:numId="13">
    <w:abstractNumId w:val="32"/>
  </w:num>
  <w:num w:numId="14">
    <w:abstractNumId w:val="11"/>
  </w:num>
  <w:num w:numId="15">
    <w:abstractNumId w:val="39"/>
  </w:num>
  <w:num w:numId="16">
    <w:abstractNumId w:val="29"/>
  </w:num>
  <w:num w:numId="17">
    <w:abstractNumId w:val="5"/>
  </w:num>
  <w:num w:numId="18">
    <w:abstractNumId w:val="31"/>
  </w:num>
  <w:num w:numId="19">
    <w:abstractNumId w:val="26"/>
  </w:num>
  <w:num w:numId="20">
    <w:abstractNumId w:val="13"/>
  </w:num>
  <w:num w:numId="21">
    <w:abstractNumId w:val="23"/>
  </w:num>
  <w:num w:numId="22">
    <w:abstractNumId w:val="17"/>
  </w:num>
  <w:num w:numId="23">
    <w:abstractNumId w:val="30"/>
  </w:num>
  <w:num w:numId="24">
    <w:abstractNumId w:val="15"/>
  </w:num>
  <w:num w:numId="25">
    <w:abstractNumId w:val="38"/>
  </w:num>
  <w:num w:numId="26">
    <w:abstractNumId w:val="0"/>
  </w:num>
  <w:num w:numId="27">
    <w:abstractNumId w:val="2"/>
  </w:num>
  <w:num w:numId="28">
    <w:abstractNumId w:val="1"/>
  </w:num>
  <w:num w:numId="29">
    <w:abstractNumId w:val="16"/>
  </w:num>
  <w:num w:numId="30">
    <w:abstractNumId w:val="25"/>
  </w:num>
  <w:num w:numId="31">
    <w:abstractNumId w:val="21"/>
  </w:num>
  <w:num w:numId="32">
    <w:abstractNumId w:val="8"/>
  </w:num>
  <w:num w:numId="33">
    <w:abstractNumId w:val="9"/>
  </w:num>
  <w:num w:numId="34">
    <w:abstractNumId w:val="6"/>
  </w:num>
  <w:num w:numId="35">
    <w:abstractNumId w:val="34"/>
  </w:num>
  <w:num w:numId="36">
    <w:abstractNumId w:val="12"/>
  </w:num>
  <w:num w:numId="37">
    <w:abstractNumId w:val="37"/>
  </w:num>
  <w:num w:numId="38">
    <w:abstractNumId w:val="7"/>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4A"/>
    <w:rsid w:val="000008E8"/>
    <w:rsid w:val="00003465"/>
    <w:rsid w:val="00006FF5"/>
    <w:rsid w:val="00010DB3"/>
    <w:rsid w:val="0001574A"/>
    <w:rsid w:val="00017D36"/>
    <w:rsid w:val="00031E9E"/>
    <w:rsid w:val="00031F74"/>
    <w:rsid w:val="00032019"/>
    <w:rsid w:val="00032A27"/>
    <w:rsid w:val="00032B5B"/>
    <w:rsid w:val="00033B0B"/>
    <w:rsid w:val="00035F40"/>
    <w:rsid w:val="00037433"/>
    <w:rsid w:val="0004118D"/>
    <w:rsid w:val="00045F3E"/>
    <w:rsid w:val="00046844"/>
    <w:rsid w:val="000474BA"/>
    <w:rsid w:val="0005157D"/>
    <w:rsid w:val="0005181B"/>
    <w:rsid w:val="00051B6B"/>
    <w:rsid w:val="000530E1"/>
    <w:rsid w:val="00056972"/>
    <w:rsid w:val="00056E17"/>
    <w:rsid w:val="00060EB6"/>
    <w:rsid w:val="00062B7F"/>
    <w:rsid w:val="000630D1"/>
    <w:rsid w:val="0006358D"/>
    <w:rsid w:val="00063C37"/>
    <w:rsid w:val="00064FE0"/>
    <w:rsid w:val="0007062F"/>
    <w:rsid w:val="0007226E"/>
    <w:rsid w:val="0007289A"/>
    <w:rsid w:val="00076C8D"/>
    <w:rsid w:val="00082644"/>
    <w:rsid w:val="000836E7"/>
    <w:rsid w:val="0008380E"/>
    <w:rsid w:val="0008441A"/>
    <w:rsid w:val="00084A35"/>
    <w:rsid w:val="000850C0"/>
    <w:rsid w:val="0008759E"/>
    <w:rsid w:val="00091647"/>
    <w:rsid w:val="00091B3B"/>
    <w:rsid w:val="0009398B"/>
    <w:rsid w:val="000A19B8"/>
    <w:rsid w:val="000A29A2"/>
    <w:rsid w:val="000A333C"/>
    <w:rsid w:val="000A719D"/>
    <w:rsid w:val="000A7384"/>
    <w:rsid w:val="000A7B12"/>
    <w:rsid w:val="000B124D"/>
    <w:rsid w:val="000B519F"/>
    <w:rsid w:val="000C0289"/>
    <w:rsid w:val="000C05B1"/>
    <w:rsid w:val="000C0D4D"/>
    <w:rsid w:val="000C3608"/>
    <w:rsid w:val="000C3AF5"/>
    <w:rsid w:val="000C470B"/>
    <w:rsid w:val="000C601F"/>
    <w:rsid w:val="000C76D5"/>
    <w:rsid w:val="000C778A"/>
    <w:rsid w:val="000D0B17"/>
    <w:rsid w:val="000D1072"/>
    <w:rsid w:val="000D35F7"/>
    <w:rsid w:val="000D67B3"/>
    <w:rsid w:val="000D75D9"/>
    <w:rsid w:val="000E0DB5"/>
    <w:rsid w:val="000E1CFA"/>
    <w:rsid w:val="000E3903"/>
    <w:rsid w:val="000E44E1"/>
    <w:rsid w:val="000E57BA"/>
    <w:rsid w:val="000E5A46"/>
    <w:rsid w:val="000E76EA"/>
    <w:rsid w:val="000F1874"/>
    <w:rsid w:val="000F3753"/>
    <w:rsid w:val="000F63E8"/>
    <w:rsid w:val="00100EAC"/>
    <w:rsid w:val="00101BFE"/>
    <w:rsid w:val="00102291"/>
    <w:rsid w:val="0010257F"/>
    <w:rsid w:val="001049B1"/>
    <w:rsid w:val="00105701"/>
    <w:rsid w:val="00115202"/>
    <w:rsid w:val="001174AA"/>
    <w:rsid w:val="001206CE"/>
    <w:rsid w:val="00121723"/>
    <w:rsid w:val="00124822"/>
    <w:rsid w:val="00124B97"/>
    <w:rsid w:val="00126023"/>
    <w:rsid w:val="001279E9"/>
    <w:rsid w:val="00136AD5"/>
    <w:rsid w:val="0013727B"/>
    <w:rsid w:val="0014053B"/>
    <w:rsid w:val="0014056A"/>
    <w:rsid w:val="00140C9B"/>
    <w:rsid w:val="00141FA0"/>
    <w:rsid w:val="00142966"/>
    <w:rsid w:val="001436E8"/>
    <w:rsid w:val="00145E52"/>
    <w:rsid w:val="00146779"/>
    <w:rsid w:val="00150BC4"/>
    <w:rsid w:val="00153694"/>
    <w:rsid w:val="00154DE3"/>
    <w:rsid w:val="0015542E"/>
    <w:rsid w:val="00157FC0"/>
    <w:rsid w:val="00160B8B"/>
    <w:rsid w:val="00160F1E"/>
    <w:rsid w:val="00163A25"/>
    <w:rsid w:val="0016667F"/>
    <w:rsid w:val="00172640"/>
    <w:rsid w:val="00172A96"/>
    <w:rsid w:val="0017370C"/>
    <w:rsid w:val="001741EF"/>
    <w:rsid w:val="0017757B"/>
    <w:rsid w:val="001805BC"/>
    <w:rsid w:val="001806C4"/>
    <w:rsid w:val="001808E9"/>
    <w:rsid w:val="00186958"/>
    <w:rsid w:val="00192265"/>
    <w:rsid w:val="00192435"/>
    <w:rsid w:val="0019264B"/>
    <w:rsid w:val="00196B7F"/>
    <w:rsid w:val="001A3370"/>
    <w:rsid w:val="001A4633"/>
    <w:rsid w:val="001A5DA1"/>
    <w:rsid w:val="001B03E1"/>
    <w:rsid w:val="001B2212"/>
    <w:rsid w:val="001B510C"/>
    <w:rsid w:val="001C3DA9"/>
    <w:rsid w:val="001C5882"/>
    <w:rsid w:val="001C7887"/>
    <w:rsid w:val="001D1FEE"/>
    <w:rsid w:val="001D3DC1"/>
    <w:rsid w:val="001D74B6"/>
    <w:rsid w:val="001E1419"/>
    <w:rsid w:val="001E416C"/>
    <w:rsid w:val="001E747B"/>
    <w:rsid w:val="001F3A01"/>
    <w:rsid w:val="001F3B26"/>
    <w:rsid w:val="00201351"/>
    <w:rsid w:val="0020761D"/>
    <w:rsid w:val="002076D4"/>
    <w:rsid w:val="00211088"/>
    <w:rsid w:val="002122C6"/>
    <w:rsid w:val="0021554F"/>
    <w:rsid w:val="002161E9"/>
    <w:rsid w:val="00217928"/>
    <w:rsid w:val="00220689"/>
    <w:rsid w:val="00220948"/>
    <w:rsid w:val="00221AB6"/>
    <w:rsid w:val="00223CA9"/>
    <w:rsid w:val="00226642"/>
    <w:rsid w:val="00226D51"/>
    <w:rsid w:val="00226FCF"/>
    <w:rsid w:val="00227241"/>
    <w:rsid w:val="00230E31"/>
    <w:rsid w:val="002363D4"/>
    <w:rsid w:val="00240EFA"/>
    <w:rsid w:val="00240F89"/>
    <w:rsid w:val="00242949"/>
    <w:rsid w:val="002430AC"/>
    <w:rsid w:val="00246ABD"/>
    <w:rsid w:val="002508FC"/>
    <w:rsid w:val="0025403C"/>
    <w:rsid w:val="0025675C"/>
    <w:rsid w:val="00256FBA"/>
    <w:rsid w:val="002578B8"/>
    <w:rsid w:val="00260385"/>
    <w:rsid w:val="00261E1D"/>
    <w:rsid w:val="0026578D"/>
    <w:rsid w:val="00271555"/>
    <w:rsid w:val="0027223B"/>
    <w:rsid w:val="00273832"/>
    <w:rsid w:val="002801F6"/>
    <w:rsid w:val="002850B3"/>
    <w:rsid w:val="00285284"/>
    <w:rsid w:val="00285846"/>
    <w:rsid w:val="00286FD8"/>
    <w:rsid w:val="00290429"/>
    <w:rsid w:val="002909D9"/>
    <w:rsid w:val="002932CB"/>
    <w:rsid w:val="00294E40"/>
    <w:rsid w:val="00295A52"/>
    <w:rsid w:val="00297680"/>
    <w:rsid w:val="00297D24"/>
    <w:rsid w:val="00297E27"/>
    <w:rsid w:val="002A10B9"/>
    <w:rsid w:val="002A28C9"/>
    <w:rsid w:val="002A4B84"/>
    <w:rsid w:val="002A6D95"/>
    <w:rsid w:val="002B0531"/>
    <w:rsid w:val="002B0CEA"/>
    <w:rsid w:val="002B13B1"/>
    <w:rsid w:val="002B3EF7"/>
    <w:rsid w:val="002B6739"/>
    <w:rsid w:val="002B6917"/>
    <w:rsid w:val="002B7FD3"/>
    <w:rsid w:val="002C0043"/>
    <w:rsid w:val="002C166B"/>
    <w:rsid w:val="002C2660"/>
    <w:rsid w:val="002C57B7"/>
    <w:rsid w:val="002C5C23"/>
    <w:rsid w:val="002D0FB6"/>
    <w:rsid w:val="002D3E57"/>
    <w:rsid w:val="002E30FB"/>
    <w:rsid w:val="002E389F"/>
    <w:rsid w:val="002E478C"/>
    <w:rsid w:val="002F0030"/>
    <w:rsid w:val="002F05CE"/>
    <w:rsid w:val="002F1EB4"/>
    <w:rsid w:val="002F2884"/>
    <w:rsid w:val="002F2B30"/>
    <w:rsid w:val="002F79E4"/>
    <w:rsid w:val="00300800"/>
    <w:rsid w:val="00301E78"/>
    <w:rsid w:val="00302F66"/>
    <w:rsid w:val="00305B34"/>
    <w:rsid w:val="00306337"/>
    <w:rsid w:val="00306EC7"/>
    <w:rsid w:val="003102AF"/>
    <w:rsid w:val="003113BB"/>
    <w:rsid w:val="00313802"/>
    <w:rsid w:val="003155F9"/>
    <w:rsid w:val="003209DF"/>
    <w:rsid w:val="00322521"/>
    <w:rsid w:val="00323BFF"/>
    <w:rsid w:val="003251D5"/>
    <w:rsid w:val="00325C60"/>
    <w:rsid w:val="00325C8F"/>
    <w:rsid w:val="00326366"/>
    <w:rsid w:val="003271A5"/>
    <w:rsid w:val="00327E24"/>
    <w:rsid w:val="00330686"/>
    <w:rsid w:val="003337A7"/>
    <w:rsid w:val="003340AD"/>
    <w:rsid w:val="00337CCA"/>
    <w:rsid w:val="00342BE2"/>
    <w:rsid w:val="00343672"/>
    <w:rsid w:val="00346E35"/>
    <w:rsid w:val="00347551"/>
    <w:rsid w:val="0034771C"/>
    <w:rsid w:val="0035209B"/>
    <w:rsid w:val="00352B48"/>
    <w:rsid w:val="00354A3D"/>
    <w:rsid w:val="0035508A"/>
    <w:rsid w:val="00355CC7"/>
    <w:rsid w:val="00355D4E"/>
    <w:rsid w:val="00363D89"/>
    <w:rsid w:val="00365C88"/>
    <w:rsid w:val="00367F26"/>
    <w:rsid w:val="0037490D"/>
    <w:rsid w:val="00374A5F"/>
    <w:rsid w:val="003757FB"/>
    <w:rsid w:val="003806B1"/>
    <w:rsid w:val="00383889"/>
    <w:rsid w:val="003838C3"/>
    <w:rsid w:val="003842F1"/>
    <w:rsid w:val="00384FEF"/>
    <w:rsid w:val="00390781"/>
    <w:rsid w:val="00391253"/>
    <w:rsid w:val="0039430E"/>
    <w:rsid w:val="003955AA"/>
    <w:rsid w:val="003975E4"/>
    <w:rsid w:val="003A1CCA"/>
    <w:rsid w:val="003A2078"/>
    <w:rsid w:val="003A3C74"/>
    <w:rsid w:val="003A4085"/>
    <w:rsid w:val="003A4628"/>
    <w:rsid w:val="003A46F2"/>
    <w:rsid w:val="003A5770"/>
    <w:rsid w:val="003A5BA9"/>
    <w:rsid w:val="003A7576"/>
    <w:rsid w:val="003B239E"/>
    <w:rsid w:val="003B663C"/>
    <w:rsid w:val="003C0F4A"/>
    <w:rsid w:val="003C13BD"/>
    <w:rsid w:val="003C2764"/>
    <w:rsid w:val="003C27B6"/>
    <w:rsid w:val="003C29CF"/>
    <w:rsid w:val="003C2F3C"/>
    <w:rsid w:val="003C5EF2"/>
    <w:rsid w:val="003D2A0B"/>
    <w:rsid w:val="003D5360"/>
    <w:rsid w:val="003E1D74"/>
    <w:rsid w:val="003E2378"/>
    <w:rsid w:val="003E4B97"/>
    <w:rsid w:val="003E6440"/>
    <w:rsid w:val="003F2B02"/>
    <w:rsid w:val="003F4C51"/>
    <w:rsid w:val="003F51A8"/>
    <w:rsid w:val="003F5EBE"/>
    <w:rsid w:val="003F6EB0"/>
    <w:rsid w:val="003F6F09"/>
    <w:rsid w:val="00400A94"/>
    <w:rsid w:val="00401E39"/>
    <w:rsid w:val="00402CF0"/>
    <w:rsid w:val="00404831"/>
    <w:rsid w:val="004102E4"/>
    <w:rsid w:val="00411C02"/>
    <w:rsid w:val="004174B0"/>
    <w:rsid w:val="004217AE"/>
    <w:rsid w:val="00423F27"/>
    <w:rsid w:val="00424018"/>
    <w:rsid w:val="004244A6"/>
    <w:rsid w:val="00431F2C"/>
    <w:rsid w:val="00434516"/>
    <w:rsid w:val="004433B5"/>
    <w:rsid w:val="004445ED"/>
    <w:rsid w:val="00446941"/>
    <w:rsid w:val="00450773"/>
    <w:rsid w:val="00450A2B"/>
    <w:rsid w:val="00450FDC"/>
    <w:rsid w:val="00453992"/>
    <w:rsid w:val="00455C5C"/>
    <w:rsid w:val="00463DAD"/>
    <w:rsid w:val="0046481E"/>
    <w:rsid w:val="00465680"/>
    <w:rsid w:val="00474855"/>
    <w:rsid w:val="00475BFD"/>
    <w:rsid w:val="00482E48"/>
    <w:rsid w:val="00484059"/>
    <w:rsid w:val="004850E8"/>
    <w:rsid w:val="004853AF"/>
    <w:rsid w:val="00494C13"/>
    <w:rsid w:val="0049619A"/>
    <w:rsid w:val="00496E38"/>
    <w:rsid w:val="00497824"/>
    <w:rsid w:val="00497B89"/>
    <w:rsid w:val="004A3311"/>
    <w:rsid w:val="004A5069"/>
    <w:rsid w:val="004A5D57"/>
    <w:rsid w:val="004B12E7"/>
    <w:rsid w:val="004B2130"/>
    <w:rsid w:val="004B2635"/>
    <w:rsid w:val="004B50F4"/>
    <w:rsid w:val="004B5562"/>
    <w:rsid w:val="004B6650"/>
    <w:rsid w:val="004C1AB4"/>
    <w:rsid w:val="004C2BAA"/>
    <w:rsid w:val="004D3D29"/>
    <w:rsid w:val="004D742A"/>
    <w:rsid w:val="004E03F5"/>
    <w:rsid w:val="004E0F8A"/>
    <w:rsid w:val="004E15C3"/>
    <w:rsid w:val="004E192A"/>
    <w:rsid w:val="004E2484"/>
    <w:rsid w:val="004E2BAE"/>
    <w:rsid w:val="004E4018"/>
    <w:rsid w:val="004E420C"/>
    <w:rsid w:val="004E429B"/>
    <w:rsid w:val="004E434E"/>
    <w:rsid w:val="004E579D"/>
    <w:rsid w:val="004E7A1B"/>
    <w:rsid w:val="004E7E24"/>
    <w:rsid w:val="004F03D5"/>
    <w:rsid w:val="004F1345"/>
    <w:rsid w:val="004F1EBE"/>
    <w:rsid w:val="004F264D"/>
    <w:rsid w:val="00501714"/>
    <w:rsid w:val="00503915"/>
    <w:rsid w:val="00503DE9"/>
    <w:rsid w:val="00503F55"/>
    <w:rsid w:val="0050585B"/>
    <w:rsid w:val="00514307"/>
    <w:rsid w:val="005146A8"/>
    <w:rsid w:val="00516F2E"/>
    <w:rsid w:val="005179D1"/>
    <w:rsid w:val="00520132"/>
    <w:rsid w:val="00522EDB"/>
    <w:rsid w:val="00525FB6"/>
    <w:rsid w:val="0053165B"/>
    <w:rsid w:val="005319C1"/>
    <w:rsid w:val="0053757C"/>
    <w:rsid w:val="00540154"/>
    <w:rsid w:val="005409F5"/>
    <w:rsid w:val="00540A6D"/>
    <w:rsid w:val="00542723"/>
    <w:rsid w:val="00542BEE"/>
    <w:rsid w:val="00544DAE"/>
    <w:rsid w:val="00545273"/>
    <w:rsid w:val="00545CF0"/>
    <w:rsid w:val="00545EA8"/>
    <w:rsid w:val="00550519"/>
    <w:rsid w:val="00552A0F"/>
    <w:rsid w:val="00553692"/>
    <w:rsid w:val="0055736B"/>
    <w:rsid w:val="00561680"/>
    <w:rsid w:val="00562739"/>
    <w:rsid w:val="0056664F"/>
    <w:rsid w:val="005720F4"/>
    <w:rsid w:val="00574C73"/>
    <w:rsid w:val="00574DAC"/>
    <w:rsid w:val="005826DE"/>
    <w:rsid w:val="00590C3D"/>
    <w:rsid w:val="00594265"/>
    <w:rsid w:val="00594280"/>
    <w:rsid w:val="005955CD"/>
    <w:rsid w:val="00595692"/>
    <w:rsid w:val="00597027"/>
    <w:rsid w:val="005A0C8E"/>
    <w:rsid w:val="005A4418"/>
    <w:rsid w:val="005A5820"/>
    <w:rsid w:val="005A6C9F"/>
    <w:rsid w:val="005B043E"/>
    <w:rsid w:val="005B4A10"/>
    <w:rsid w:val="005B500C"/>
    <w:rsid w:val="005B50B5"/>
    <w:rsid w:val="005B6D42"/>
    <w:rsid w:val="005C0528"/>
    <w:rsid w:val="005C1203"/>
    <w:rsid w:val="005C255D"/>
    <w:rsid w:val="005C2A7B"/>
    <w:rsid w:val="005C4138"/>
    <w:rsid w:val="005C50EA"/>
    <w:rsid w:val="005C5721"/>
    <w:rsid w:val="005D2DEF"/>
    <w:rsid w:val="005E55A4"/>
    <w:rsid w:val="005E5981"/>
    <w:rsid w:val="005E5A3B"/>
    <w:rsid w:val="005F40D2"/>
    <w:rsid w:val="005F5D04"/>
    <w:rsid w:val="00600F50"/>
    <w:rsid w:val="006020F2"/>
    <w:rsid w:val="0060415C"/>
    <w:rsid w:val="006069FC"/>
    <w:rsid w:val="00606EA9"/>
    <w:rsid w:val="006078EC"/>
    <w:rsid w:val="00614BA9"/>
    <w:rsid w:val="00616133"/>
    <w:rsid w:val="006161BA"/>
    <w:rsid w:val="00616C3C"/>
    <w:rsid w:val="006175D9"/>
    <w:rsid w:val="00620661"/>
    <w:rsid w:val="00630388"/>
    <w:rsid w:val="00634A45"/>
    <w:rsid w:val="00636339"/>
    <w:rsid w:val="0064250F"/>
    <w:rsid w:val="0064274E"/>
    <w:rsid w:val="00644383"/>
    <w:rsid w:val="0064676F"/>
    <w:rsid w:val="006502CA"/>
    <w:rsid w:val="006530F7"/>
    <w:rsid w:val="006553B1"/>
    <w:rsid w:val="00656187"/>
    <w:rsid w:val="006577D9"/>
    <w:rsid w:val="006606AF"/>
    <w:rsid w:val="006609BA"/>
    <w:rsid w:val="006645A3"/>
    <w:rsid w:val="006646EB"/>
    <w:rsid w:val="0066627E"/>
    <w:rsid w:val="00667265"/>
    <w:rsid w:val="00673F5A"/>
    <w:rsid w:val="00682BEB"/>
    <w:rsid w:val="00682C41"/>
    <w:rsid w:val="00683175"/>
    <w:rsid w:val="00693D38"/>
    <w:rsid w:val="006960EB"/>
    <w:rsid w:val="006A0599"/>
    <w:rsid w:val="006A2456"/>
    <w:rsid w:val="006B2F7D"/>
    <w:rsid w:val="006B445C"/>
    <w:rsid w:val="006B4577"/>
    <w:rsid w:val="006B783C"/>
    <w:rsid w:val="006C1AAE"/>
    <w:rsid w:val="006C2659"/>
    <w:rsid w:val="006C46E7"/>
    <w:rsid w:val="006C5757"/>
    <w:rsid w:val="006C7C3D"/>
    <w:rsid w:val="006D62D7"/>
    <w:rsid w:val="006D703A"/>
    <w:rsid w:val="006D71C3"/>
    <w:rsid w:val="006D72A9"/>
    <w:rsid w:val="006D74B5"/>
    <w:rsid w:val="006E03D6"/>
    <w:rsid w:val="006E0C58"/>
    <w:rsid w:val="006E3741"/>
    <w:rsid w:val="006E6DC8"/>
    <w:rsid w:val="006F2188"/>
    <w:rsid w:val="006F2EEC"/>
    <w:rsid w:val="006F7F3B"/>
    <w:rsid w:val="00701E41"/>
    <w:rsid w:val="00703D59"/>
    <w:rsid w:val="00706BE9"/>
    <w:rsid w:val="007070A5"/>
    <w:rsid w:val="00710991"/>
    <w:rsid w:val="00715EC5"/>
    <w:rsid w:val="007238B6"/>
    <w:rsid w:val="00726AAE"/>
    <w:rsid w:val="00730BC2"/>
    <w:rsid w:val="00731AFA"/>
    <w:rsid w:val="00733907"/>
    <w:rsid w:val="00733B81"/>
    <w:rsid w:val="00734989"/>
    <w:rsid w:val="00734D9B"/>
    <w:rsid w:val="00734E94"/>
    <w:rsid w:val="00736401"/>
    <w:rsid w:val="007424B8"/>
    <w:rsid w:val="0074594C"/>
    <w:rsid w:val="007503C2"/>
    <w:rsid w:val="00752F2B"/>
    <w:rsid w:val="00754B07"/>
    <w:rsid w:val="007564B9"/>
    <w:rsid w:val="007611BC"/>
    <w:rsid w:val="00763DC7"/>
    <w:rsid w:val="00765717"/>
    <w:rsid w:val="00766C7B"/>
    <w:rsid w:val="00766D65"/>
    <w:rsid w:val="00767142"/>
    <w:rsid w:val="007673A8"/>
    <w:rsid w:val="00770E40"/>
    <w:rsid w:val="0077226D"/>
    <w:rsid w:val="00773ABE"/>
    <w:rsid w:val="00774388"/>
    <w:rsid w:val="00774693"/>
    <w:rsid w:val="007748CA"/>
    <w:rsid w:val="00774FEA"/>
    <w:rsid w:val="00775EF3"/>
    <w:rsid w:val="00776117"/>
    <w:rsid w:val="00776647"/>
    <w:rsid w:val="00783EDB"/>
    <w:rsid w:val="00785083"/>
    <w:rsid w:val="00786B4C"/>
    <w:rsid w:val="0078767F"/>
    <w:rsid w:val="00790D37"/>
    <w:rsid w:val="00792225"/>
    <w:rsid w:val="007930E5"/>
    <w:rsid w:val="007931AD"/>
    <w:rsid w:val="0079326B"/>
    <w:rsid w:val="00793277"/>
    <w:rsid w:val="00795D00"/>
    <w:rsid w:val="007972A9"/>
    <w:rsid w:val="007972FD"/>
    <w:rsid w:val="007A0667"/>
    <w:rsid w:val="007A071B"/>
    <w:rsid w:val="007A336E"/>
    <w:rsid w:val="007A3709"/>
    <w:rsid w:val="007A59AA"/>
    <w:rsid w:val="007A62D2"/>
    <w:rsid w:val="007A69CD"/>
    <w:rsid w:val="007B0418"/>
    <w:rsid w:val="007C0849"/>
    <w:rsid w:val="007C12BF"/>
    <w:rsid w:val="007C32C1"/>
    <w:rsid w:val="007C6CF4"/>
    <w:rsid w:val="007D0C35"/>
    <w:rsid w:val="007D370E"/>
    <w:rsid w:val="007D3B58"/>
    <w:rsid w:val="007D6AFF"/>
    <w:rsid w:val="007D7DC1"/>
    <w:rsid w:val="007E167F"/>
    <w:rsid w:val="007E436F"/>
    <w:rsid w:val="007E51A8"/>
    <w:rsid w:val="007E5D72"/>
    <w:rsid w:val="007F08B5"/>
    <w:rsid w:val="007F08C1"/>
    <w:rsid w:val="007F151E"/>
    <w:rsid w:val="007F40FC"/>
    <w:rsid w:val="007F4E76"/>
    <w:rsid w:val="007F572A"/>
    <w:rsid w:val="007F6993"/>
    <w:rsid w:val="007F6ED7"/>
    <w:rsid w:val="00803677"/>
    <w:rsid w:val="0080412F"/>
    <w:rsid w:val="008044DB"/>
    <w:rsid w:val="00805A0B"/>
    <w:rsid w:val="0081233C"/>
    <w:rsid w:val="0081241A"/>
    <w:rsid w:val="00813576"/>
    <w:rsid w:val="0081373B"/>
    <w:rsid w:val="008137E6"/>
    <w:rsid w:val="00821722"/>
    <w:rsid w:val="00822FD5"/>
    <w:rsid w:val="00824345"/>
    <w:rsid w:val="00830FE4"/>
    <w:rsid w:val="008320C8"/>
    <w:rsid w:val="008417CC"/>
    <w:rsid w:val="00841AB9"/>
    <w:rsid w:val="0084492E"/>
    <w:rsid w:val="0084779B"/>
    <w:rsid w:val="00850CD1"/>
    <w:rsid w:val="00850E01"/>
    <w:rsid w:val="00855F1D"/>
    <w:rsid w:val="00856882"/>
    <w:rsid w:val="00862B68"/>
    <w:rsid w:val="00863DB7"/>
    <w:rsid w:val="0086402D"/>
    <w:rsid w:val="00865FA1"/>
    <w:rsid w:val="008666F4"/>
    <w:rsid w:val="008667C4"/>
    <w:rsid w:val="00867723"/>
    <w:rsid w:val="0087190D"/>
    <w:rsid w:val="00874A4B"/>
    <w:rsid w:val="00875800"/>
    <w:rsid w:val="008778EA"/>
    <w:rsid w:val="00877F18"/>
    <w:rsid w:val="00880CCF"/>
    <w:rsid w:val="00882D1F"/>
    <w:rsid w:val="008833AE"/>
    <w:rsid w:val="00883659"/>
    <w:rsid w:val="00885532"/>
    <w:rsid w:val="00890D0A"/>
    <w:rsid w:val="00891821"/>
    <w:rsid w:val="008919CF"/>
    <w:rsid w:val="00892F55"/>
    <w:rsid w:val="00893C17"/>
    <w:rsid w:val="008963BC"/>
    <w:rsid w:val="00897356"/>
    <w:rsid w:val="00897EFA"/>
    <w:rsid w:val="008A03F5"/>
    <w:rsid w:val="008A18F8"/>
    <w:rsid w:val="008A2550"/>
    <w:rsid w:val="008A2B65"/>
    <w:rsid w:val="008A2EB1"/>
    <w:rsid w:val="008A639F"/>
    <w:rsid w:val="008B3FFA"/>
    <w:rsid w:val="008B49BF"/>
    <w:rsid w:val="008B551E"/>
    <w:rsid w:val="008B76E3"/>
    <w:rsid w:val="008C1B56"/>
    <w:rsid w:val="008C27FE"/>
    <w:rsid w:val="008C4086"/>
    <w:rsid w:val="008C43A6"/>
    <w:rsid w:val="008C5D51"/>
    <w:rsid w:val="008D2376"/>
    <w:rsid w:val="008D3EE2"/>
    <w:rsid w:val="008E4708"/>
    <w:rsid w:val="008F1418"/>
    <w:rsid w:val="008F7073"/>
    <w:rsid w:val="0090324D"/>
    <w:rsid w:val="00905373"/>
    <w:rsid w:val="00907629"/>
    <w:rsid w:val="00911FB1"/>
    <w:rsid w:val="009130FB"/>
    <w:rsid w:val="0091400E"/>
    <w:rsid w:val="009152A0"/>
    <w:rsid w:val="00917E98"/>
    <w:rsid w:val="009222CD"/>
    <w:rsid w:val="009228CF"/>
    <w:rsid w:val="00923AA7"/>
    <w:rsid w:val="0092612F"/>
    <w:rsid w:val="00936A94"/>
    <w:rsid w:val="00937D23"/>
    <w:rsid w:val="00942370"/>
    <w:rsid w:val="00942D88"/>
    <w:rsid w:val="00944D69"/>
    <w:rsid w:val="009521C1"/>
    <w:rsid w:val="00952ADF"/>
    <w:rsid w:val="00953A18"/>
    <w:rsid w:val="009544D6"/>
    <w:rsid w:val="00954721"/>
    <w:rsid w:val="00954FB3"/>
    <w:rsid w:val="00955BEE"/>
    <w:rsid w:val="00961372"/>
    <w:rsid w:val="00964F01"/>
    <w:rsid w:val="00972031"/>
    <w:rsid w:val="00977491"/>
    <w:rsid w:val="00980BDC"/>
    <w:rsid w:val="009843A7"/>
    <w:rsid w:val="00986768"/>
    <w:rsid w:val="0099186D"/>
    <w:rsid w:val="00992457"/>
    <w:rsid w:val="00995924"/>
    <w:rsid w:val="009A078A"/>
    <w:rsid w:val="009A0FF6"/>
    <w:rsid w:val="009A19B7"/>
    <w:rsid w:val="009A2D26"/>
    <w:rsid w:val="009A3681"/>
    <w:rsid w:val="009A3797"/>
    <w:rsid w:val="009A3BEA"/>
    <w:rsid w:val="009A477F"/>
    <w:rsid w:val="009A5010"/>
    <w:rsid w:val="009A55AF"/>
    <w:rsid w:val="009A7D2D"/>
    <w:rsid w:val="009A7E59"/>
    <w:rsid w:val="009B1145"/>
    <w:rsid w:val="009B4C98"/>
    <w:rsid w:val="009B52F3"/>
    <w:rsid w:val="009B799B"/>
    <w:rsid w:val="009C064F"/>
    <w:rsid w:val="009C1532"/>
    <w:rsid w:val="009C2BEA"/>
    <w:rsid w:val="009C6150"/>
    <w:rsid w:val="009C69D4"/>
    <w:rsid w:val="009C75B6"/>
    <w:rsid w:val="009D5E95"/>
    <w:rsid w:val="009D6112"/>
    <w:rsid w:val="009E040E"/>
    <w:rsid w:val="009E222E"/>
    <w:rsid w:val="009E5D90"/>
    <w:rsid w:val="009E634A"/>
    <w:rsid w:val="009F3571"/>
    <w:rsid w:val="009F4BD2"/>
    <w:rsid w:val="009F6D86"/>
    <w:rsid w:val="00A0029D"/>
    <w:rsid w:val="00A0373B"/>
    <w:rsid w:val="00A10AE8"/>
    <w:rsid w:val="00A11026"/>
    <w:rsid w:val="00A12E2E"/>
    <w:rsid w:val="00A131BA"/>
    <w:rsid w:val="00A14682"/>
    <w:rsid w:val="00A3153A"/>
    <w:rsid w:val="00A32946"/>
    <w:rsid w:val="00A34EAB"/>
    <w:rsid w:val="00A45144"/>
    <w:rsid w:val="00A46CB9"/>
    <w:rsid w:val="00A50C5A"/>
    <w:rsid w:val="00A50F9D"/>
    <w:rsid w:val="00A5247C"/>
    <w:rsid w:val="00A53DD7"/>
    <w:rsid w:val="00A54143"/>
    <w:rsid w:val="00A5463A"/>
    <w:rsid w:val="00A55D84"/>
    <w:rsid w:val="00A6591D"/>
    <w:rsid w:val="00A6594B"/>
    <w:rsid w:val="00A668C1"/>
    <w:rsid w:val="00A709B8"/>
    <w:rsid w:val="00A737D8"/>
    <w:rsid w:val="00A80638"/>
    <w:rsid w:val="00A80FD6"/>
    <w:rsid w:val="00A81E99"/>
    <w:rsid w:val="00A82072"/>
    <w:rsid w:val="00A85A72"/>
    <w:rsid w:val="00A85E6E"/>
    <w:rsid w:val="00A8719E"/>
    <w:rsid w:val="00A87A0F"/>
    <w:rsid w:val="00A90822"/>
    <w:rsid w:val="00A918A0"/>
    <w:rsid w:val="00A940C5"/>
    <w:rsid w:val="00A96114"/>
    <w:rsid w:val="00A961BD"/>
    <w:rsid w:val="00AA1CA9"/>
    <w:rsid w:val="00AA1EF3"/>
    <w:rsid w:val="00AA7AD5"/>
    <w:rsid w:val="00AC074E"/>
    <w:rsid w:val="00AC2716"/>
    <w:rsid w:val="00AC3E19"/>
    <w:rsid w:val="00AC530E"/>
    <w:rsid w:val="00AD040D"/>
    <w:rsid w:val="00AD11A1"/>
    <w:rsid w:val="00AD207A"/>
    <w:rsid w:val="00AD2667"/>
    <w:rsid w:val="00AD4D85"/>
    <w:rsid w:val="00AE056F"/>
    <w:rsid w:val="00AE06A0"/>
    <w:rsid w:val="00AE6113"/>
    <w:rsid w:val="00AF0552"/>
    <w:rsid w:val="00AF08A6"/>
    <w:rsid w:val="00AF19B6"/>
    <w:rsid w:val="00AF2CD0"/>
    <w:rsid w:val="00AF4C6D"/>
    <w:rsid w:val="00B01846"/>
    <w:rsid w:val="00B01CFC"/>
    <w:rsid w:val="00B0203D"/>
    <w:rsid w:val="00B032E1"/>
    <w:rsid w:val="00B04BE0"/>
    <w:rsid w:val="00B05000"/>
    <w:rsid w:val="00B05190"/>
    <w:rsid w:val="00B0520D"/>
    <w:rsid w:val="00B05929"/>
    <w:rsid w:val="00B1004A"/>
    <w:rsid w:val="00B10C95"/>
    <w:rsid w:val="00B10DFE"/>
    <w:rsid w:val="00B10EEE"/>
    <w:rsid w:val="00B10F5E"/>
    <w:rsid w:val="00B10F6A"/>
    <w:rsid w:val="00B1180A"/>
    <w:rsid w:val="00B12477"/>
    <w:rsid w:val="00B149BE"/>
    <w:rsid w:val="00B15B8F"/>
    <w:rsid w:val="00B20627"/>
    <w:rsid w:val="00B212CE"/>
    <w:rsid w:val="00B21FCD"/>
    <w:rsid w:val="00B230A3"/>
    <w:rsid w:val="00B234E2"/>
    <w:rsid w:val="00B337E6"/>
    <w:rsid w:val="00B35DA4"/>
    <w:rsid w:val="00B35E7F"/>
    <w:rsid w:val="00B4090C"/>
    <w:rsid w:val="00B41B8E"/>
    <w:rsid w:val="00B45D15"/>
    <w:rsid w:val="00B5016C"/>
    <w:rsid w:val="00B50C52"/>
    <w:rsid w:val="00B52161"/>
    <w:rsid w:val="00B53F3C"/>
    <w:rsid w:val="00B56943"/>
    <w:rsid w:val="00B63719"/>
    <w:rsid w:val="00B642CC"/>
    <w:rsid w:val="00B66424"/>
    <w:rsid w:val="00B672C3"/>
    <w:rsid w:val="00B74806"/>
    <w:rsid w:val="00B85294"/>
    <w:rsid w:val="00B86288"/>
    <w:rsid w:val="00B90C4C"/>
    <w:rsid w:val="00B9118B"/>
    <w:rsid w:val="00B91E08"/>
    <w:rsid w:val="00B921B4"/>
    <w:rsid w:val="00B9332B"/>
    <w:rsid w:val="00B9585A"/>
    <w:rsid w:val="00BA1729"/>
    <w:rsid w:val="00BA257F"/>
    <w:rsid w:val="00BA2DF7"/>
    <w:rsid w:val="00BA32F9"/>
    <w:rsid w:val="00BA4290"/>
    <w:rsid w:val="00BA7322"/>
    <w:rsid w:val="00BB197D"/>
    <w:rsid w:val="00BB61EC"/>
    <w:rsid w:val="00BB6B4D"/>
    <w:rsid w:val="00BB7E92"/>
    <w:rsid w:val="00BC48AB"/>
    <w:rsid w:val="00BC6894"/>
    <w:rsid w:val="00BD623D"/>
    <w:rsid w:val="00BD7BA3"/>
    <w:rsid w:val="00BE012E"/>
    <w:rsid w:val="00BE2046"/>
    <w:rsid w:val="00BE238B"/>
    <w:rsid w:val="00BE3265"/>
    <w:rsid w:val="00BE4AD6"/>
    <w:rsid w:val="00BE63AF"/>
    <w:rsid w:val="00BE67C4"/>
    <w:rsid w:val="00BF0400"/>
    <w:rsid w:val="00BF282B"/>
    <w:rsid w:val="00BF286F"/>
    <w:rsid w:val="00BF341A"/>
    <w:rsid w:val="00BF4501"/>
    <w:rsid w:val="00BF4D34"/>
    <w:rsid w:val="00BF58BC"/>
    <w:rsid w:val="00C0049E"/>
    <w:rsid w:val="00C03306"/>
    <w:rsid w:val="00C05BCC"/>
    <w:rsid w:val="00C06296"/>
    <w:rsid w:val="00C116E2"/>
    <w:rsid w:val="00C11DCB"/>
    <w:rsid w:val="00C12A4D"/>
    <w:rsid w:val="00C16A73"/>
    <w:rsid w:val="00C20671"/>
    <w:rsid w:val="00C21BC6"/>
    <w:rsid w:val="00C22509"/>
    <w:rsid w:val="00C349EE"/>
    <w:rsid w:val="00C3799E"/>
    <w:rsid w:val="00C41188"/>
    <w:rsid w:val="00C451B2"/>
    <w:rsid w:val="00C534DB"/>
    <w:rsid w:val="00C55D43"/>
    <w:rsid w:val="00C57B8C"/>
    <w:rsid w:val="00C6349D"/>
    <w:rsid w:val="00C64A35"/>
    <w:rsid w:val="00C706AF"/>
    <w:rsid w:val="00C75352"/>
    <w:rsid w:val="00C75394"/>
    <w:rsid w:val="00C75AFE"/>
    <w:rsid w:val="00C75ED9"/>
    <w:rsid w:val="00C850A6"/>
    <w:rsid w:val="00C864BF"/>
    <w:rsid w:val="00C86833"/>
    <w:rsid w:val="00C900CF"/>
    <w:rsid w:val="00C90460"/>
    <w:rsid w:val="00C91E6F"/>
    <w:rsid w:val="00C92414"/>
    <w:rsid w:val="00C93E71"/>
    <w:rsid w:val="00C94C13"/>
    <w:rsid w:val="00C96522"/>
    <w:rsid w:val="00CA210E"/>
    <w:rsid w:val="00CA4DBD"/>
    <w:rsid w:val="00CA5B39"/>
    <w:rsid w:val="00CA5F8A"/>
    <w:rsid w:val="00CA7C77"/>
    <w:rsid w:val="00CA7DEA"/>
    <w:rsid w:val="00CB03C0"/>
    <w:rsid w:val="00CB0B99"/>
    <w:rsid w:val="00CB1EE1"/>
    <w:rsid w:val="00CB2288"/>
    <w:rsid w:val="00CB303F"/>
    <w:rsid w:val="00CB5272"/>
    <w:rsid w:val="00CC2B6C"/>
    <w:rsid w:val="00CC56DC"/>
    <w:rsid w:val="00CE309C"/>
    <w:rsid w:val="00CE684D"/>
    <w:rsid w:val="00CE686D"/>
    <w:rsid w:val="00CE7002"/>
    <w:rsid w:val="00CE7951"/>
    <w:rsid w:val="00CF04D3"/>
    <w:rsid w:val="00CF0767"/>
    <w:rsid w:val="00CF3F14"/>
    <w:rsid w:val="00CF5737"/>
    <w:rsid w:val="00D04214"/>
    <w:rsid w:val="00D05068"/>
    <w:rsid w:val="00D05194"/>
    <w:rsid w:val="00D063E1"/>
    <w:rsid w:val="00D0749A"/>
    <w:rsid w:val="00D113F0"/>
    <w:rsid w:val="00D13A35"/>
    <w:rsid w:val="00D20CAC"/>
    <w:rsid w:val="00D22EDD"/>
    <w:rsid w:val="00D24C73"/>
    <w:rsid w:val="00D25DF2"/>
    <w:rsid w:val="00D26A2F"/>
    <w:rsid w:val="00D27A63"/>
    <w:rsid w:val="00D27FC4"/>
    <w:rsid w:val="00D30CBF"/>
    <w:rsid w:val="00D31ECB"/>
    <w:rsid w:val="00D3357D"/>
    <w:rsid w:val="00D33A17"/>
    <w:rsid w:val="00D35984"/>
    <w:rsid w:val="00D37D72"/>
    <w:rsid w:val="00D407A8"/>
    <w:rsid w:val="00D42C5C"/>
    <w:rsid w:val="00D432E0"/>
    <w:rsid w:val="00D45623"/>
    <w:rsid w:val="00D45849"/>
    <w:rsid w:val="00D51719"/>
    <w:rsid w:val="00D608A8"/>
    <w:rsid w:val="00D6331A"/>
    <w:rsid w:val="00D63C63"/>
    <w:rsid w:val="00D655A7"/>
    <w:rsid w:val="00D735A7"/>
    <w:rsid w:val="00D778E6"/>
    <w:rsid w:val="00D801BB"/>
    <w:rsid w:val="00D805CD"/>
    <w:rsid w:val="00D82C3E"/>
    <w:rsid w:val="00D83F13"/>
    <w:rsid w:val="00D930F1"/>
    <w:rsid w:val="00D97C3F"/>
    <w:rsid w:val="00DA0A42"/>
    <w:rsid w:val="00DA0D7F"/>
    <w:rsid w:val="00DA10D6"/>
    <w:rsid w:val="00DA69B7"/>
    <w:rsid w:val="00DB1187"/>
    <w:rsid w:val="00DB3E75"/>
    <w:rsid w:val="00DC5A68"/>
    <w:rsid w:val="00DC753B"/>
    <w:rsid w:val="00DD0A41"/>
    <w:rsid w:val="00DD2C1A"/>
    <w:rsid w:val="00DD6C12"/>
    <w:rsid w:val="00DD7337"/>
    <w:rsid w:val="00DE0AF9"/>
    <w:rsid w:val="00DE2102"/>
    <w:rsid w:val="00DE29EB"/>
    <w:rsid w:val="00DF00D7"/>
    <w:rsid w:val="00DF1931"/>
    <w:rsid w:val="00DF21E4"/>
    <w:rsid w:val="00DF31CB"/>
    <w:rsid w:val="00E028E5"/>
    <w:rsid w:val="00E03B7A"/>
    <w:rsid w:val="00E04CED"/>
    <w:rsid w:val="00E0531C"/>
    <w:rsid w:val="00E06668"/>
    <w:rsid w:val="00E069FA"/>
    <w:rsid w:val="00E06ACB"/>
    <w:rsid w:val="00E131B5"/>
    <w:rsid w:val="00E17CC1"/>
    <w:rsid w:val="00E24755"/>
    <w:rsid w:val="00E25F08"/>
    <w:rsid w:val="00E3204F"/>
    <w:rsid w:val="00E32678"/>
    <w:rsid w:val="00E32AEE"/>
    <w:rsid w:val="00E350BD"/>
    <w:rsid w:val="00E35EE2"/>
    <w:rsid w:val="00E405D7"/>
    <w:rsid w:val="00E408BA"/>
    <w:rsid w:val="00E50551"/>
    <w:rsid w:val="00E516DB"/>
    <w:rsid w:val="00E51896"/>
    <w:rsid w:val="00E51F6A"/>
    <w:rsid w:val="00E55292"/>
    <w:rsid w:val="00E55E22"/>
    <w:rsid w:val="00E55EBF"/>
    <w:rsid w:val="00E619D4"/>
    <w:rsid w:val="00E624DA"/>
    <w:rsid w:val="00E62A14"/>
    <w:rsid w:val="00E62CC5"/>
    <w:rsid w:val="00E6630F"/>
    <w:rsid w:val="00E67F76"/>
    <w:rsid w:val="00E7253B"/>
    <w:rsid w:val="00E72D3F"/>
    <w:rsid w:val="00E768FF"/>
    <w:rsid w:val="00E76B64"/>
    <w:rsid w:val="00E77400"/>
    <w:rsid w:val="00E77A3E"/>
    <w:rsid w:val="00E801B0"/>
    <w:rsid w:val="00E8201E"/>
    <w:rsid w:val="00E84856"/>
    <w:rsid w:val="00E85D32"/>
    <w:rsid w:val="00E87060"/>
    <w:rsid w:val="00E966C8"/>
    <w:rsid w:val="00E974CB"/>
    <w:rsid w:val="00EA1813"/>
    <w:rsid w:val="00EA1CFE"/>
    <w:rsid w:val="00EA400A"/>
    <w:rsid w:val="00EA638C"/>
    <w:rsid w:val="00EA649B"/>
    <w:rsid w:val="00EB0574"/>
    <w:rsid w:val="00EB7ABC"/>
    <w:rsid w:val="00EC0E47"/>
    <w:rsid w:val="00EC15B9"/>
    <w:rsid w:val="00EC39BA"/>
    <w:rsid w:val="00EC4399"/>
    <w:rsid w:val="00ED33DC"/>
    <w:rsid w:val="00ED4104"/>
    <w:rsid w:val="00ED512F"/>
    <w:rsid w:val="00ED5B3E"/>
    <w:rsid w:val="00ED64EC"/>
    <w:rsid w:val="00ED69FF"/>
    <w:rsid w:val="00EE3CA5"/>
    <w:rsid w:val="00EE6E0E"/>
    <w:rsid w:val="00EF0343"/>
    <w:rsid w:val="00EF0ABE"/>
    <w:rsid w:val="00EF1DD1"/>
    <w:rsid w:val="00EF369E"/>
    <w:rsid w:val="00EF4030"/>
    <w:rsid w:val="00EF42A4"/>
    <w:rsid w:val="00EF4C57"/>
    <w:rsid w:val="00EF69DB"/>
    <w:rsid w:val="00F01251"/>
    <w:rsid w:val="00F02658"/>
    <w:rsid w:val="00F05613"/>
    <w:rsid w:val="00F05F11"/>
    <w:rsid w:val="00F06392"/>
    <w:rsid w:val="00F06A06"/>
    <w:rsid w:val="00F16350"/>
    <w:rsid w:val="00F1662D"/>
    <w:rsid w:val="00F1679F"/>
    <w:rsid w:val="00F16FD6"/>
    <w:rsid w:val="00F173E0"/>
    <w:rsid w:val="00F1764E"/>
    <w:rsid w:val="00F17E85"/>
    <w:rsid w:val="00F21CBE"/>
    <w:rsid w:val="00F2426E"/>
    <w:rsid w:val="00F2570F"/>
    <w:rsid w:val="00F3106F"/>
    <w:rsid w:val="00F31FE5"/>
    <w:rsid w:val="00F325C0"/>
    <w:rsid w:val="00F36FBB"/>
    <w:rsid w:val="00F45A3F"/>
    <w:rsid w:val="00F5184B"/>
    <w:rsid w:val="00F5586C"/>
    <w:rsid w:val="00F564D0"/>
    <w:rsid w:val="00F576FD"/>
    <w:rsid w:val="00F60484"/>
    <w:rsid w:val="00F60BB4"/>
    <w:rsid w:val="00F6273B"/>
    <w:rsid w:val="00F63267"/>
    <w:rsid w:val="00F63DAF"/>
    <w:rsid w:val="00F64B10"/>
    <w:rsid w:val="00F64BB6"/>
    <w:rsid w:val="00F650F3"/>
    <w:rsid w:val="00F662A2"/>
    <w:rsid w:val="00F722D2"/>
    <w:rsid w:val="00F7499A"/>
    <w:rsid w:val="00F74C94"/>
    <w:rsid w:val="00F76CB2"/>
    <w:rsid w:val="00F7708A"/>
    <w:rsid w:val="00F84B4F"/>
    <w:rsid w:val="00F84D4A"/>
    <w:rsid w:val="00F86088"/>
    <w:rsid w:val="00F91FA3"/>
    <w:rsid w:val="00F93AE4"/>
    <w:rsid w:val="00F96F77"/>
    <w:rsid w:val="00F97BE6"/>
    <w:rsid w:val="00FA2FD3"/>
    <w:rsid w:val="00FA3B65"/>
    <w:rsid w:val="00FA6651"/>
    <w:rsid w:val="00FB23C0"/>
    <w:rsid w:val="00FB5972"/>
    <w:rsid w:val="00FC0579"/>
    <w:rsid w:val="00FC1AD2"/>
    <w:rsid w:val="00FC7DA6"/>
    <w:rsid w:val="00FD16EF"/>
    <w:rsid w:val="00FD3D46"/>
    <w:rsid w:val="00FD6591"/>
    <w:rsid w:val="00FD7225"/>
    <w:rsid w:val="00FE1869"/>
    <w:rsid w:val="00FE545C"/>
    <w:rsid w:val="00FE611F"/>
    <w:rsid w:val="00FF08E6"/>
    <w:rsid w:val="00FF3331"/>
    <w:rsid w:val="00FF3D25"/>
    <w:rsid w:val="00FF56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89"/>
    <w:pPr>
      <w:ind w:left="720"/>
      <w:contextualSpacing/>
    </w:pPr>
  </w:style>
  <w:style w:type="paragraph" w:styleId="NoSpacing">
    <w:name w:val="No Spacing"/>
    <w:uiPriority w:val="1"/>
    <w:qFormat/>
    <w:rsid w:val="007070A5"/>
    <w:pPr>
      <w:spacing w:after="0" w:line="240" w:lineRule="auto"/>
    </w:pPr>
  </w:style>
  <w:style w:type="character" w:styleId="Hyperlink">
    <w:name w:val="Hyperlink"/>
    <w:basedOn w:val="DefaultParagraphFont"/>
    <w:uiPriority w:val="99"/>
    <w:unhideWhenUsed/>
    <w:rsid w:val="00773ABE"/>
    <w:rPr>
      <w:color w:val="0563C1" w:themeColor="hyperlink"/>
      <w:u w:val="single"/>
    </w:rPr>
  </w:style>
  <w:style w:type="paragraph" w:styleId="Header">
    <w:name w:val="header"/>
    <w:basedOn w:val="Normal"/>
    <w:link w:val="HeaderChar"/>
    <w:uiPriority w:val="99"/>
    <w:unhideWhenUsed/>
    <w:rsid w:val="00A85E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A85E6E"/>
  </w:style>
  <w:style w:type="paragraph" w:styleId="Footer">
    <w:name w:val="footer"/>
    <w:basedOn w:val="Normal"/>
    <w:link w:val="FooterChar"/>
    <w:uiPriority w:val="99"/>
    <w:unhideWhenUsed/>
    <w:rsid w:val="00A85E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A85E6E"/>
  </w:style>
  <w:style w:type="paragraph" w:styleId="BalloonText">
    <w:name w:val="Balloon Text"/>
    <w:basedOn w:val="Normal"/>
    <w:link w:val="BalloonTextChar"/>
    <w:uiPriority w:val="99"/>
    <w:semiHidden/>
    <w:unhideWhenUsed/>
    <w:rsid w:val="003F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51"/>
    <w:rPr>
      <w:rFonts w:ascii="Tahoma" w:hAnsi="Tahoma" w:cs="Tahoma"/>
      <w:sz w:val="16"/>
      <w:szCs w:val="16"/>
    </w:rPr>
  </w:style>
  <w:style w:type="table" w:styleId="TableGrid">
    <w:name w:val="Table Grid"/>
    <w:basedOn w:val="TableNormal"/>
    <w:uiPriority w:val="39"/>
    <w:rsid w:val="003F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2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86F"/>
    <w:rPr>
      <w:sz w:val="20"/>
      <w:szCs w:val="20"/>
    </w:rPr>
  </w:style>
  <w:style w:type="character" w:styleId="FootnoteReference">
    <w:name w:val="footnote reference"/>
    <w:basedOn w:val="DefaultParagraphFont"/>
    <w:uiPriority w:val="99"/>
    <w:semiHidden/>
    <w:unhideWhenUsed/>
    <w:rsid w:val="00BF286F"/>
    <w:rPr>
      <w:vertAlign w:val="superscript"/>
    </w:rPr>
  </w:style>
  <w:style w:type="character" w:styleId="PlaceholderText">
    <w:name w:val="Placeholder Text"/>
    <w:basedOn w:val="DefaultParagraphFont"/>
    <w:uiPriority w:val="99"/>
    <w:semiHidden/>
    <w:rsid w:val="00964F01"/>
    <w:rPr>
      <w:color w:val="808080"/>
    </w:rPr>
  </w:style>
  <w:style w:type="paragraph" w:customStyle="1" w:styleId="Default">
    <w:name w:val="Default"/>
    <w:rsid w:val="006E03D6"/>
    <w:pPr>
      <w:autoSpaceDE w:val="0"/>
      <w:autoSpaceDN w:val="0"/>
      <w:adjustRightInd w:val="0"/>
      <w:spacing w:after="0" w:line="240" w:lineRule="auto"/>
    </w:pPr>
    <w:rPr>
      <w:rFonts w:ascii="Calibri" w:hAnsi="Calibri" w:cs="Calibri"/>
      <w:color w:val="000000"/>
      <w:sz w:val="24"/>
      <w:szCs w:val="24"/>
    </w:rPr>
  </w:style>
  <w:style w:type="table" w:styleId="LightShading-Accent5">
    <w:name w:val="Light Shading Accent 5"/>
    <w:basedOn w:val="TableNormal"/>
    <w:uiPriority w:val="60"/>
    <w:rsid w:val="00C8683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89"/>
    <w:pPr>
      <w:ind w:left="720"/>
      <w:contextualSpacing/>
    </w:pPr>
  </w:style>
  <w:style w:type="paragraph" w:styleId="NoSpacing">
    <w:name w:val="No Spacing"/>
    <w:uiPriority w:val="1"/>
    <w:qFormat/>
    <w:rsid w:val="007070A5"/>
    <w:pPr>
      <w:spacing w:after="0" w:line="240" w:lineRule="auto"/>
    </w:pPr>
  </w:style>
  <w:style w:type="character" w:styleId="Hyperlink">
    <w:name w:val="Hyperlink"/>
    <w:basedOn w:val="DefaultParagraphFont"/>
    <w:uiPriority w:val="99"/>
    <w:unhideWhenUsed/>
    <w:rsid w:val="00773ABE"/>
    <w:rPr>
      <w:color w:val="0563C1" w:themeColor="hyperlink"/>
      <w:u w:val="single"/>
    </w:rPr>
  </w:style>
  <w:style w:type="paragraph" w:styleId="Header">
    <w:name w:val="header"/>
    <w:basedOn w:val="Normal"/>
    <w:link w:val="HeaderChar"/>
    <w:uiPriority w:val="99"/>
    <w:unhideWhenUsed/>
    <w:rsid w:val="00A85E6E"/>
    <w:pPr>
      <w:tabs>
        <w:tab w:val="center" w:pos="4419"/>
        <w:tab w:val="right" w:pos="8838"/>
      </w:tabs>
      <w:spacing w:after="0" w:line="240" w:lineRule="auto"/>
    </w:pPr>
  </w:style>
  <w:style w:type="character" w:customStyle="1" w:styleId="HeaderChar">
    <w:name w:val="Header Char"/>
    <w:basedOn w:val="DefaultParagraphFont"/>
    <w:link w:val="Header"/>
    <w:uiPriority w:val="99"/>
    <w:rsid w:val="00A85E6E"/>
  </w:style>
  <w:style w:type="paragraph" w:styleId="Footer">
    <w:name w:val="footer"/>
    <w:basedOn w:val="Normal"/>
    <w:link w:val="FooterChar"/>
    <w:uiPriority w:val="99"/>
    <w:unhideWhenUsed/>
    <w:rsid w:val="00A85E6E"/>
    <w:pPr>
      <w:tabs>
        <w:tab w:val="center" w:pos="4419"/>
        <w:tab w:val="right" w:pos="8838"/>
      </w:tabs>
      <w:spacing w:after="0" w:line="240" w:lineRule="auto"/>
    </w:pPr>
  </w:style>
  <w:style w:type="character" w:customStyle="1" w:styleId="FooterChar">
    <w:name w:val="Footer Char"/>
    <w:basedOn w:val="DefaultParagraphFont"/>
    <w:link w:val="Footer"/>
    <w:uiPriority w:val="99"/>
    <w:rsid w:val="00A85E6E"/>
  </w:style>
  <w:style w:type="paragraph" w:styleId="BalloonText">
    <w:name w:val="Balloon Text"/>
    <w:basedOn w:val="Normal"/>
    <w:link w:val="BalloonTextChar"/>
    <w:uiPriority w:val="99"/>
    <w:semiHidden/>
    <w:unhideWhenUsed/>
    <w:rsid w:val="003F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C51"/>
    <w:rPr>
      <w:rFonts w:ascii="Tahoma" w:hAnsi="Tahoma" w:cs="Tahoma"/>
      <w:sz w:val="16"/>
      <w:szCs w:val="16"/>
    </w:rPr>
  </w:style>
  <w:style w:type="table" w:styleId="TableGrid">
    <w:name w:val="Table Grid"/>
    <w:basedOn w:val="TableNormal"/>
    <w:uiPriority w:val="39"/>
    <w:rsid w:val="003F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2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86F"/>
    <w:rPr>
      <w:sz w:val="20"/>
      <w:szCs w:val="20"/>
    </w:rPr>
  </w:style>
  <w:style w:type="character" w:styleId="FootnoteReference">
    <w:name w:val="footnote reference"/>
    <w:basedOn w:val="DefaultParagraphFont"/>
    <w:uiPriority w:val="99"/>
    <w:semiHidden/>
    <w:unhideWhenUsed/>
    <w:rsid w:val="00BF286F"/>
    <w:rPr>
      <w:vertAlign w:val="superscript"/>
    </w:rPr>
  </w:style>
  <w:style w:type="character" w:styleId="PlaceholderText">
    <w:name w:val="Placeholder Text"/>
    <w:basedOn w:val="DefaultParagraphFont"/>
    <w:uiPriority w:val="99"/>
    <w:semiHidden/>
    <w:rsid w:val="00964F01"/>
    <w:rPr>
      <w:color w:val="808080"/>
    </w:rPr>
  </w:style>
  <w:style w:type="paragraph" w:customStyle="1" w:styleId="Default">
    <w:name w:val="Default"/>
    <w:rsid w:val="006E03D6"/>
    <w:pPr>
      <w:autoSpaceDE w:val="0"/>
      <w:autoSpaceDN w:val="0"/>
      <w:adjustRightInd w:val="0"/>
      <w:spacing w:after="0" w:line="240" w:lineRule="auto"/>
    </w:pPr>
    <w:rPr>
      <w:rFonts w:ascii="Calibri" w:hAnsi="Calibri" w:cs="Calibri"/>
      <w:color w:val="000000"/>
      <w:sz w:val="24"/>
      <w:szCs w:val="24"/>
    </w:rPr>
  </w:style>
  <w:style w:type="table" w:styleId="LightShading-Accent5">
    <w:name w:val="Light Shading Accent 5"/>
    <w:basedOn w:val="TableNormal"/>
    <w:uiPriority w:val="60"/>
    <w:rsid w:val="00C8683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594">
      <w:bodyDiv w:val="1"/>
      <w:marLeft w:val="0"/>
      <w:marRight w:val="0"/>
      <w:marTop w:val="0"/>
      <w:marBottom w:val="0"/>
      <w:divBdr>
        <w:top w:val="none" w:sz="0" w:space="0" w:color="auto"/>
        <w:left w:val="none" w:sz="0" w:space="0" w:color="auto"/>
        <w:bottom w:val="none" w:sz="0" w:space="0" w:color="auto"/>
        <w:right w:val="none" w:sz="0" w:space="0" w:color="auto"/>
      </w:divBdr>
      <w:divsChild>
        <w:div w:id="1395155385">
          <w:marLeft w:val="360"/>
          <w:marRight w:val="0"/>
          <w:marTop w:val="200"/>
          <w:marBottom w:val="0"/>
          <w:divBdr>
            <w:top w:val="none" w:sz="0" w:space="0" w:color="auto"/>
            <w:left w:val="none" w:sz="0" w:space="0" w:color="auto"/>
            <w:bottom w:val="none" w:sz="0" w:space="0" w:color="auto"/>
            <w:right w:val="none" w:sz="0" w:space="0" w:color="auto"/>
          </w:divBdr>
        </w:div>
        <w:div w:id="2022463050">
          <w:marLeft w:val="360"/>
          <w:marRight w:val="0"/>
          <w:marTop w:val="200"/>
          <w:marBottom w:val="0"/>
          <w:divBdr>
            <w:top w:val="none" w:sz="0" w:space="0" w:color="auto"/>
            <w:left w:val="none" w:sz="0" w:space="0" w:color="auto"/>
            <w:bottom w:val="none" w:sz="0" w:space="0" w:color="auto"/>
            <w:right w:val="none" w:sz="0" w:space="0" w:color="auto"/>
          </w:divBdr>
        </w:div>
      </w:divsChild>
    </w:div>
    <w:div w:id="490215246">
      <w:bodyDiv w:val="1"/>
      <w:marLeft w:val="0"/>
      <w:marRight w:val="0"/>
      <w:marTop w:val="0"/>
      <w:marBottom w:val="0"/>
      <w:divBdr>
        <w:top w:val="none" w:sz="0" w:space="0" w:color="auto"/>
        <w:left w:val="none" w:sz="0" w:space="0" w:color="auto"/>
        <w:bottom w:val="none" w:sz="0" w:space="0" w:color="auto"/>
        <w:right w:val="none" w:sz="0" w:space="0" w:color="auto"/>
      </w:divBdr>
    </w:div>
    <w:div w:id="640308374">
      <w:bodyDiv w:val="1"/>
      <w:marLeft w:val="0"/>
      <w:marRight w:val="0"/>
      <w:marTop w:val="0"/>
      <w:marBottom w:val="0"/>
      <w:divBdr>
        <w:top w:val="none" w:sz="0" w:space="0" w:color="auto"/>
        <w:left w:val="none" w:sz="0" w:space="0" w:color="auto"/>
        <w:bottom w:val="none" w:sz="0" w:space="0" w:color="auto"/>
        <w:right w:val="none" w:sz="0" w:space="0" w:color="auto"/>
      </w:divBdr>
    </w:div>
    <w:div w:id="1421676614">
      <w:bodyDiv w:val="1"/>
      <w:marLeft w:val="0"/>
      <w:marRight w:val="0"/>
      <w:marTop w:val="0"/>
      <w:marBottom w:val="0"/>
      <w:divBdr>
        <w:top w:val="none" w:sz="0" w:space="0" w:color="auto"/>
        <w:left w:val="none" w:sz="0" w:space="0" w:color="auto"/>
        <w:bottom w:val="none" w:sz="0" w:space="0" w:color="auto"/>
        <w:right w:val="none" w:sz="0" w:space="0" w:color="auto"/>
      </w:divBdr>
    </w:div>
    <w:div w:id="1427536260">
      <w:bodyDiv w:val="1"/>
      <w:marLeft w:val="0"/>
      <w:marRight w:val="0"/>
      <w:marTop w:val="0"/>
      <w:marBottom w:val="0"/>
      <w:divBdr>
        <w:top w:val="none" w:sz="0" w:space="0" w:color="auto"/>
        <w:left w:val="none" w:sz="0" w:space="0" w:color="auto"/>
        <w:bottom w:val="none" w:sz="0" w:space="0" w:color="auto"/>
        <w:right w:val="none" w:sz="0" w:space="0" w:color="auto"/>
      </w:divBdr>
    </w:div>
    <w:div w:id="1439134509">
      <w:bodyDiv w:val="1"/>
      <w:marLeft w:val="0"/>
      <w:marRight w:val="0"/>
      <w:marTop w:val="0"/>
      <w:marBottom w:val="0"/>
      <w:divBdr>
        <w:top w:val="none" w:sz="0" w:space="0" w:color="auto"/>
        <w:left w:val="none" w:sz="0" w:space="0" w:color="auto"/>
        <w:bottom w:val="none" w:sz="0" w:space="0" w:color="auto"/>
        <w:right w:val="none" w:sz="0" w:space="0" w:color="auto"/>
      </w:divBdr>
    </w:div>
    <w:div w:id="1755541878">
      <w:bodyDiv w:val="1"/>
      <w:marLeft w:val="0"/>
      <w:marRight w:val="0"/>
      <w:marTop w:val="0"/>
      <w:marBottom w:val="0"/>
      <w:divBdr>
        <w:top w:val="none" w:sz="0" w:space="0" w:color="auto"/>
        <w:left w:val="none" w:sz="0" w:space="0" w:color="auto"/>
        <w:bottom w:val="none" w:sz="0" w:space="0" w:color="auto"/>
        <w:right w:val="none" w:sz="0" w:space="0" w:color="auto"/>
      </w:divBdr>
      <w:divsChild>
        <w:div w:id="2077239621">
          <w:marLeft w:val="360"/>
          <w:marRight w:val="0"/>
          <w:marTop w:val="200"/>
          <w:marBottom w:val="0"/>
          <w:divBdr>
            <w:top w:val="none" w:sz="0" w:space="0" w:color="auto"/>
            <w:left w:val="none" w:sz="0" w:space="0" w:color="auto"/>
            <w:bottom w:val="none" w:sz="0" w:space="0" w:color="auto"/>
            <w:right w:val="none" w:sz="0" w:space="0" w:color="auto"/>
          </w:divBdr>
        </w:div>
        <w:div w:id="455680120">
          <w:marLeft w:val="360"/>
          <w:marRight w:val="0"/>
          <w:marTop w:val="200"/>
          <w:marBottom w:val="0"/>
          <w:divBdr>
            <w:top w:val="none" w:sz="0" w:space="0" w:color="auto"/>
            <w:left w:val="none" w:sz="0" w:space="0" w:color="auto"/>
            <w:bottom w:val="none" w:sz="0" w:space="0" w:color="auto"/>
            <w:right w:val="none" w:sz="0" w:space="0" w:color="auto"/>
          </w:divBdr>
        </w:div>
        <w:div w:id="1284969546">
          <w:marLeft w:val="360"/>
          <w:marRight w:val="0"/>
          <w:marTop w:val="200"/>
          <w:marBottom w:val="0"/>
          <w:divBdr>
            <w:top w:val="none" w:sz="0" w:space="0" w:color="auto"/>
            <w:left w:val="none" w:sz="0" w:space="0" w:color="auto"/>
            <w:bottom w:val="none" w:sz="0" w:space="0" w:color="auto"/>
            <w:right w:val="none" w:sz="0" w:space="0" w:color="auto"/>
          </w:divBdr>
        </w:div>
        <w:div w:id="759254908">
          <w:marLeft w:val="360"/>
          <w:marRight w:val="0"/>
          <w:marTop w:val="200"/>
          <w:marBottom w:val="0"/>
          <w:divBdr>
            <w:top w:val="none" w:sz="0" w:space="0" w:color="auto"/>
            <w:left w:val="none" w:sz="0" w:space="0" w:color="auto"/>
            <w:bottom w:val="none" w:sz="0" w:space="0" w:color="auto"/>
            <w:right w:val="none" w:sz="0" w:space="0" w:color="auto"/>
          </w:divBdr>
        </w:div>
      </w:divsChild>
    </w:div>
    <w:div w:id="1904637945">
      <w:bodyDiv w:val="1"/>
      <w:marLeft w:val="0"/>
      <w:marRight w:val="0"/>
      <w:marTop w:val="0"/>
      <w:marBottom w:val="0"/>
      <w:divBdr>
        <w:top w:val="none" w:sz="0" w:space="0" w:color="auto"/>
        <w:left w:val="none" w:sz="0" w:space="0" w:color="auto"/>
        <w:bottom w:val="none" w:sz="0" w:space="0" w:color="auto"/>
        <w:right w:val="none" w:sz="0" w:space="0" w:color="auto"/>
      </w:divBdr>
      <w:divsChild>
        <w:div w:id="329065150">
          <w:marLeft w:val="360"/>
          <w:marRight w:val="0"/>
          <w:marTop w:val="200"/>
          <w:marBottom w:val="0"/>
          <w:divBdr>
            <w:top w:val="none" w:sz="0" w:space="0" w:color="auto"/>
            <w:left w:val="none" w:sz="0" w:space="0" w:color="auto"/>
            <w:bottom w:val="none" w:sz="0" w:space="0" w:color="auto"/>
            <w:right w:val="none" w:sz="0" w:space="0" w:color="auto"/>
          </w:divBdr>
        </w:div>
        <w:div w:id="20199650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os.bancomundial.org/indicador/SP.URB.TOTL.IN.ZS" TargetMode="External"/><Relationship Id="rId18" Type="http://schemas.openxmlformats.org/officeDocument/2006/relationships/hyperlink" Target="http://scholar.harvard.edu/files/hart/files/incompletecontractsandpublicownershipej.pdf" TargetMode="External"/><Relationship Id="rId26" Type="http://schemas.openxmlformats.org/officeDocument/2006/relationships/hyperlink" Target="http://www.copenhagenconsensus.com/sites/default/files/chronicdisease.pdf" TargetMode="External"/><Relationship Id="rId39" Type="http://schemas.openxmlformats.org/officeDocument/2006/relationships/hyperlink" Target="http://190.217.54.197:8080/sirtccWeb/costoOperacion.jsf" TargetMode="External"/><Relationship Id="rId21" Type="http://schemas.openxmlformats.org/officeDocument/2006/relationships/hyperlink" Target="https://colaboracion.dnp.gov.co/CDT/Conpes/Econ%C3%B3micos/3831.pdf" TargetMode="External"/><Relationship Id="rId34" Type="http://schemas.openxmlformats.org/officeDocument/2006/relationships/hyperlink" Target="http://www.copenhagenconsensus.com/sites/default/files/water_sanitation_assessment_-_hutton.pdf" TargetMode="External"/><Relationship Id="rId42" Type="http://schemas.openxmlformats.org/officeDocument/2006/relationships/hyperlink" Target="http://scholarship.law.upenn.edu/cgi/viewcontent.cgi?article=1552&amp;context=faculty_scholarship"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olaboracion.dnp.gov.co/CDT/Prensa/Publicaciones/09%20Informe%20ODM_versi%C3%B3n_dise%C3%B1o.pdf" TargetMode="External"/><Relationship Id="rId29" Type="http://schemas.openxmlformats.org/officeDocument/2006/relationships/hyperlink" Target="https://www.minsalud.gov.co/Normatividad_Nuevo/Resoluci%C3%B3n%200429%20de%202016.pdf" TargetMode="External"/><Relationship Id="rId11" Type="http://schemas.openxmlformats.org/officeDocument/2006/relationships/image" Target="media/image3.png"/><Relationship Id="rId24" Type="http://schemas.openxmlformats.org/officeDocument/2006/relationships/hyperlink" Target="http://www.ins.gov.co:81/normatividad/Leyes/LEY%201438%20DE%202011.pdf" TargetMode="External"/><Relationship Id="rId32" Type="http://schemas.openxmlformats.org/officeDocument/2006/relationships/hyperlink" Target="http://www.copenhagenconsensus.com/sites/default/files/health_perspective_ncd_-_nugent.pdf" TargetMode="External"/><Relationship Id="rId37" Type="http://schemas.openxmlformats.org/officeDocument/2006/relationships/hyperlink" Target="http://www.ani.gov.co/proyecto/ferreo/corredor-bogota-belencito-21810" TargetMode="External"/><Relationship Id="rId40" Type="http://schemas.openxmlformats.org/officeDocument/2006/relationships/hyperlink" Target="http://wsp.presidencia.gov.co/Normativa/Leyes/Documents/2013/LEY%201682%20DEL%2022%20DE%20NOVIEMBRE%20DE%202013.pdf" TargetMode="External"/><Relationship Id="rId45" Type="http://schemas.openxmlformats.org/officeDocument/2006/relationships/hyperlink" Target="http://idbdocs.iadb.org/wsdocs/getdocument.aspx?docnum=37414243" TargetMode="External"/><Relationship Id="rId53" Type="http://schemas.openxmlformats.org/officeDocument/2006/relationships/customXml" Target="../customXml/item6.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onlinelibrary.wiley.com/doi/10.1111/jpet.12133/full" TargetMode="External"/><Relationship Id="rId31" Type="http://schemas.openxmlformats.org/officeDocument/2006/relationships/hyperlink" Target="http://www.iadb.org/Document.cfm?id=38315389" TargetMode="External"/><Relationship Id="rId44" Type="http://schemas.openxmlformats.org/officeDocument/2006/relationships/hyperlink" Target="https://colaboracion.dnp.gov.co/CDT/Conpes/Econ%C3%B3micos/Pol%C3%ADtica%20penitenciaria%20y%20carcelaria.pdf" TargetMode="External"/><Relationship Id="rId52"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laboracion.dnp.gov.co/cdt/prensa/bases%20plan%20nacional%20de%20desarrollo%202014-2018.pdf" TargetMode="External"/><Relationship Id="rId22" Type="http://schemas.openxmlformats.org/officeDocument/2006/relationships/hyperlink" Target="https://colaboracion.dnp.gov.co/CDT/Participacin%20privada%20en%20proyectos%20de%20infraestructu/DNP%20Educaci%C3%B3n%20-%20Resumen%20Ejecutivo%202015%2008%2018%20VF.pdf" TargetMode="External"/><Relationship Id="rId27" Type="http://schemas.openxmlformats.org/officeDocument/2006/relationships/hyperlink" Target="http://www.copenhagenconsensus.com/sites/default/files/infectiousdisease.pdf" TargetMode="External"/><Relationship Id="rId30" Type="http://schemas.openxmlformats.org/officeDocument/2006/relationships/hyperlink" Target="https://www.minsalud.gov.co/Documentos%20y%20Publicaciones/Plan%20Decenal%20-%20Documento%20en%20consulta%20para%20aprobaci%C3%B3n.pdf" TargetMode="External"/><Relationship Id="rId35" Type="http://schemas.openxmlformats.org/officeDocument/2006/relationships/hyperlink" Target="http://www.copenhagenconsensus.com/sites/default/files/waterandsanitation.pdf" TargetMode="External"/><Relationship Id="rId43" Type="http://schemas.openxmlformats.org/officeDocument/2006/relationships/hyperlink" Target="http://www.flacsochile.org/wp-content/uploads/2015/05/El-costo-de-Encarcelar.pdf"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onlinelibrary.wiley.com/doi/10.1111/j.1542-4774.2012.01105.x/pdf" TargetMode="External"/><Relationship Id="rId25" Type="http://schemas.openxmlformats.org/officeDocument/2006/relationships/hyperlink" Target="http://www.copenhagenconsensus.com/sites/default/files/health_assessment_-_jha_et_al_0.pdf" TargetMode="External"/><Relationship Id="rId33" Type="http://schemas.openxmlformats.org/officeDocument/2006/relationships/hyperlink" Target="https://colaboracion.dnp.gov.co/CDT/Participacin%20privada%20en%20proyectos%20de%20infraestructu/Presentaci%C3%B3n%20Director%20-%20AGUA%20ACODAL.pdf" TargetMode="External"/><Relationship Id="rId38" Type="http://schemas.openxmlformats.org/officeDocument/2006/relationships/hyperlink" Target="http://www.fedesarrollo.org.co/wp-content/uploads/PMTI_30_NOV_2015_INF_FINAL.pdf" TargetMode="External"/><Relationship Id="rId46" Type="http://schemas.openxmlformats.org/officeDocument/2006/relationships/footer" Target="footer1.xml"/><Relationship Id="rId20" Type="http://schemas.openxmlformats.org/officeDocument/2006/relationships/hyperlink" Target="http://wsp.presidencia.gov.co/Normativa/Leyes/Documents/Ley150810012012.pdf" TargetMode="External"/><Relationship Id="rId41" Type="http://schemas.openxmlformats.org/officeDocument/2006/relationships/hyperlink" Target="http://www.fedesarrollo.org.co/plan-maestro-de-transporte-intermodal-pmti-20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cretariasenado.gov.co/senado/basedoc/ley_1753_2015.html" TargetMode="External"/><Relationship Id="rId23" Type="http://schemas.openxmlformats.org/officeDocument/2006/relationships/hyperlink" Target="https://colaboracion.dnp.gov.co/CDT/Participacin%20privada%20en%20proyectos%20de%20infraestructu/01092015_Resumen%20Ejecutivo%20-Salud%20APP%20v.1.pdf" TargetMode="External"/><Relationship Id="rId28" Type="http://schemas.openxmlformats.org/officeDocument/2006/relationships/hyperlink" Target="http://www.copenhagenconsensus.com/sites/default/files/health_-_perspective_-_luca.pdf" TargetMode="External"/><Relationship Id="rId36" Type="http://schemas.openxmlformats.org/officeDocument/2006/relationships/hyperlink" Target="http://www.simco.gov.co/Portals/0/archivos/Costos_Servicio_Publicos.xls" TargetMode="External"/><Relationship Id="rId4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FDC629BEF862C4E837F42786F9837DD" ma:contentTypeVersion="0" ma:contentTypeDescription="A content type to manage public (operations) IDB documents" ma:contentTypeScope="" ma:versionID="d5635cb9335f0b31ffc1c954f652906c">
  <xsd:schema xmlns:xsd="http://www.w3.org/2001/XMLSchema" xmlns:xs="http://www.w3.org/2001/XMLSchema" xmlns:p="http://schemas.microsoft.com/office/2006/metadata/properties" xmlns:ns2="9c571b2f-e523-4ab2-ba2e-09e151a03ef4" targetNamespace="http://schemas.microsoft.com/office/2006/metadata/properties" ma:root="true" ma:fieldsID="56b67701b48f42d451f598ea7121c95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a1fec-311f-4056-b473-de167338654f}" ma:internalName="TaxCatchAll" ma:showField="CatchAllData" ma:web="2fc06de2-74bc-4293-88a5-d544cbc026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a1fec-311f-4056-b473-de167338654f}" ma:internalName="TaxCatchAllLabel" ma:readOnly="true" ma:showField="CatchAllDataLabel" ma:web="2fc06de2-74bc-4293-88a5-d544cbc026f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Record_x0020_Number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40191560</IDBDocs_x0020_Number>
    <Document_x0020_Author xmlns="9c571b2f-e523-4ab2-ba2e-09e151a03ef4">Pinto Ayala, Ana Maria</Document_x0020_Author>
    <Publication_x0020_Type xmlns="9c571b2f-e523-4ab2-ba2e-09e151a03ef4" xsi:nil="true"/>
    <Operation_x0020_Type xmlns="9c571b2f-e523-4ab2-ba2e-09e151a03ef4" xsi:nil="true"/>
    <TaxCatchAll xmlns="9c571b2f-e523-4ab2-ba2e-09e151a03ef4">
      <Value>9</Value>
      <Value>1</Value>
      <Value>2</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CO-L1162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WORD&lt;/APPLICATION&gt;&lt;STAGE_CODE&gt;LP&lt;/STAGE_CODE&gt;&lt;USER_STAGE&gt;Loan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Confidential</Access_x0020_to_x0020_Information_x00a0_Policy>
    <Business_x0020_Area xmlns="9c571b2f-e523-4ab2-ba2e-09e151a03ef4" xsi:nil="true"/>
    <SISCOR_x0020_Number xmlns="9c571b2f-e523-4ab2-ba2e-09e151a03ef4" xsi:nil="true"/>
    <Webtopic xmlns="9c571b2f-e523-4ab2-ba2e-09e151a03ef4">Transportation</Webtopic>
    <Identifier xmlns="9c571b2f-e523-4ab2-ba2e-09e151a03ef4">Virginia Navas #2457 TECFILE</Identifier>
    <Publishing_x0020_House xmlns="9c571b2f-e523-4ab2-ba2e-09e151a03ef4" xsi:nil="true"/>
    <Disclosed xmlns="9c571b2f-e523-4ab2-ba2e-09e151a03ef4">false</Disclosed>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j8b96605ee2f4c4e988849e658583fee>
  </documentManagement>
</p:properties>
</file>

<file path=customXml/itemProps1.xml><?xml version="1.0" encoding="utf-8"?>
<ds:datastoreItem xmlns:ds="http://schemas.openxmlformats.org/officeDocument/2006/customXml" ds:itemID="{68EAD325-3ADB-4FEA-A6D9-1BA99FBFA4B8}"/>
</file>

<file path=customXml/itemProps2.xml><?xml version="1.0" encoding="utf-8"?>
<ds:datastoreItem xmlns:ds="http://schemas.openxmlformats.org/officeDocument/2006/customXml" ds:itemID="{38539AE0-B6E5-41A4-8B15-D276E03DAB31}"/>
</file>

<file path=customXml/itemProps3.xml><?xml version="1.0" encoding="utf-8"?>
<ds:datastoreItem xmlns:ds="http://schemas.openxmlformats.org/officeDocument/2006/customXml" ds:itemID="{2CDAE279-07A2-440B-AC2D-84230BA4A805}"/>
</file>

<file path=customXml/itemProps4.xml><?xml version="1.0" encoding="utf-8"?>
<ds:datastoreItem xmlns:ds="http://schemas.openxmlformats.org/officeDocument/2006/customXml" ds:itemID="{2B1E84A4-587F-4AC1-802C-6F416DDC79ED}"/>
</file>

<file path=customXml/itemProps5.xml><?xml version="1.0" encoding="utf-8"?>
<ds:datastoreItem xmlns:ds="http://schemas.openxmlformats.org/officeDocument/2006/customXml" ds:itemID="{2963962D-0679-4BFA-A0FB-3EFD2073D682}"/>
</file>

<file path=customXml/itemProps6.xml><?xml version="1.0" encoding="utf-8"?>
<ds:datastoreItem xmlns:ds="http://schemas.openxmlformats.org/officeDocument/2006/customXml" ds:itemID="{16912CEF-E466-4ED8-830D-817A23D902F2}"/>
</file>

<file path=docProps/app.xml><?xml version="1.0" encoding="utf-8"?>
<Properties xmlns="http://schemas.openxmlformats.org/officeDocument/2006/extended-properties" xmlns:vt="http://schemas.openxmlformats.org/officeDocument/2006/docPropsVTypes">
  <Template>Normal.dotm</Template>
  <TotalTime>0</TotalTime>
  <Pages>3</Pages>
  <Words>7138</Words>
  <Characters>40690</Characters>
  <Application>Microsoft Office Word</Application>
  <DocSecurity>4</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EEO1_ Analisis Economico</dc:title>
  <dc:creator>TOSHIBA</dc:creator>
  <cp:lastModifiedBy>IADB</cp:lastModifiedBy>
  <cp:revision>2</cp:revision>
  <cp:lastPrinted>2016-03-03T21:22:00Z</cp:lastPrinted>
  <dcterms:created xsi:type="dcterms:W3CDTF">2016-03-29T20:17:00Z</dcterms:created>
  <dcterms:modified xsi:type="dcterms:W3CDTF">2016-03-29T20:17:00Z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0x01010046CF21643EE8D14686A648AA6DAD0892007FDC629BEF862C4E837F42786F9837DD</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7" name="Sub-Sector">
    <vt:lpwstr/>
  </property>
  <property fmtid="{D5CDD505-2E9C-101B-9397-08002B2CF9AE}" pid="8" name="Country">
    <vt:lpwstr>2;#Colombia|c7d386d6-75f3-4fc0-bde8-e021ccd68f5c</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ies>
</file>