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9732" w14:textId="77777777" w:rsidR="00CD263C" w:rsidRPr="00613B1B" w:rsidRDefault="00CD263C" w:rsidP="003827DD">
      <w:pPr>
        <w:pStyle w:val="Epgrafe1CarCar"/>
        <w:rPr>
          <w:rFonts w:ascii="Arial" w:hAnsi="Arial" w:cs="Arial"/>
          <w:sz w:val="24"/>
          <w:szCs w:val="24"/>
        </w:rPr>
      </w:pPr>
      <w:bookmarkStart w:id="0" w:name="_Toc10474974"/>
      <w:bookmarkStart w:id="1" w:name="_Toc15932264"/>
      <w:r w:rsidRPr="00613B1B">
        <w:rPr>
          <w:rFonts w:ascii="Arial" w:hAnsi="Arial" w:cs="Arial"/>
          <w:sz w:val="24"/>
          <w:szCs w:val="24"/>
        </w:rPr>
        <w:t>Documento del Banco Interamericano de Desarrollo</w:t>
      </w:r>
      <w:bookmarkEnd w:id="0"/>
      <w:bookmarkEnd w:id="1"/>
    </w:p>
    <w:p w14:paraId="6F8A0106" w14:textId="77777777" w:rsidR="00CD263C" w:rsidRPr="00613B1B" w:rsidRDefault="00CD263C" w:rsidP="00CD263C">
      <w:pPr>
        <w:pStyle w:val="Heading2"/>
        <w:numPr>
          <w:ilvl w:val="0"/>
          <w:numId w:val="0"/>
        </w:numPr>
        <w:jc w:val="center"/>
        <w:rPr>
          <w:rFonts w:cs="Arial"/>
        </w:rPr>
      </w:pPr>
    </w:p>
    <w:p w14:paraId="1C56354C" w14:textId="77777777" w:rsidR="00CD263C" w:rsidRPr="00613B1B" w:rsidRDefault="00CD263C" w:rsidP="00CD263C">
      <w:pPr>
        <w:pStyle w:val="Heading2"/>
        <w:numPr>
          <w:ilvl w:val="0"/>
          <w:numId w:val="0"/>
        </w:numPr>
        <w:jc w:val="center"/>
        <w:rPr>
          <w:rFonts w:cs="Arial"/>
          <w:bCs w:val="0"/>
          <w:smallCaps/>
          <w:szCs w:val="32"/>
        </w:rPr>
      </w:pPr>
      <w:bookmarkStart w:id="2" w:name="_Toc10474975"/>
      <w:bookmarkStart w:id="3" w:name="_Toc15932265"/>
      <w:bookmarkStart w:id="4" w:name="_Toc15991653"/>
      <w:bookmarkStart w:id="5" w:name="_Toc16284553"/>
      <w:r w:rsidRPr="00613B1B">
        <w:rPr>
          <w:rFonts w:cs="Arial"/>
          <w:bCs w:val="0"/>
          <w:smallCaps/>
          <w:szCs w:val="32"/>
        </w:rPr>
        <w:t>PERU</w:t>
      </w:r>
      <w:bookmarkEnd w:id="2"/>
      <w:bookmarkEnd w:id="3"/>
      <w:bookmarkEnd w:id="4"/>
      <w:bookmarkEnd w:id="5"/>
    </w:p>
    <w:p w14:paraId="324770AA" w14:textId="77777777" w:rsidR="00CD263C" w:rsidRPr="00613B1B" w:rsidRDefault="00CD263C" w:rsidP="00CD263C">
      <w:pPr>
        <w:rPr>
          <w:rFonts w:ascii="Arial" w:hAnsi="Arial" w:cs="Arial"/>
          <w:lang w:eastAsia="en-US"/>
        </w:rPr>
      </w:pPr>
      <w:bookmarkStart w:id="6" w:name="_GoBack"/>
      <w:bookmarkEnd w:id="6"/>
    </w:p>
    <w:p w14:paraId="79B9EB3E" w14:textId="77777777" w:rsidR="00CD263C" w:rsidRPr="00613B1B" w:rsidRDefault="00CD263C" w:rsidP="00CD263C">
      <w:pPr>
        <w:rPr>
          <w:rFonts w:ascii="Arial" w:hAnsi="Arial" w:cs="Arial"/>
          <w:lang w:eastAsia="en-US"/>
        </w:rPr>
      </w:pPr>
    </w:p>
    <w:p w14:paraId="6C82A048" w14:textId="77777777" w:rsidR="00370B96" w:rsidRPr="00613B1B" w:rsidRDefault="00370B96" w:rsidP="00370B96">
      <w:pPr>
        <w:pStyle w:val="Heading4"/>
        <w:numPr>
          <w:ilvl w:val="0"/>
          <w:numId w:val="0"/>
        </w:numPr>
        <w:jc w:val="center"/>
        <w:rPr>
          <w:rFonts w:ascii="Arial" w:hAnsi="Arial" w:cs="Arial"/>
          <w:b/>
          <w:smallCaps/>
          <w:sz w:val="32"/>
          <w:szCs w:val="32"/>
        </w:rPr>
      </w:pPr>
      <w:r w:rsidRPr="00613B1B">
        <w:rPr>
          <w:rFonts w:ascii="Arial" w:hAnsi="Arial" w:cs="Arial"/>
          <w:b/>
          <w:smallCaps/>
          <w:sz w:val="32"/>
          <w:szCs w:val="32"/>
        </w:rPr>
        <w:t>PODER JUDICIAL (PJ)</w:t>
      </w:r>
    </w:p>
    <w:p w14:paraId="6A4BE69C" w14:textId="77777777" w:rsidR="00370B96" w:rsidRPr="00613B1B" w:rsidRDefault="00370B96" w:rsidP="00370B96">
      <w:pPr>
        <w:pStyle w:val="Heading4"/>
        <w:numPr>
          <w:ilvl w:val="0"/>
          <w:numId w:val="0"/>
        </w:numPr>
        <w:jc w:val="center"/>
        <w:rPr>
          <w:rFonts w:ascii="Arial" w:hAnsi="Arial" w:cs="Arial"/>
          <w:b/>
          <w:smallCaps/>
          <w:sz w:val="32"/>
          <w:szCs w:val="32"/>
        </w:rPr>
      </w:pPr>
      <w:r w:rsidRPr="00613B1B">
        <w:rPr>
          <w:rFonts w:ascii="Arial" w:hAnsi="Arial" w:cs="Arial"/>
          <w:b/>
          <w:smallCaps/>
          <w:sz w:val="32"/>
          <w:szCs w:val="32"/>
        </w:rPr>
        <w:t>MINISTERIO DE JUSTICIA (MINJUS)</w:t>
      </w:r>
    </w:p>
    <w:p w14:paraId="7CDAE3A2" w14:textId="77777777" w:rsidR="00370B96" w:rsidRPr="00613B1B" w:rsidRDefault="00370B96" w:rsidP="00370B96">
      <w:pPr>
        <w:pStyle w:val="Heading4"/>
        <w:numPr>
          <w:ilvl w:val="0"/>
          <w:numId w:val="0"/>
        </w:numPr>
        <w:jc w:val="center"/>
        <w:rPr>
          <w:rFonts w:ascii="Arial" w:hAnsi="Arial" w:cs="Arial"/>
          <w:b/>
          <w:smallCaps/>
          <w:sz w:val="32"/>
          <w:szCs w:val="32"/>
        </w:rPr>
      </w:pPr>
      <w:r w:rsidRPr="00613B1B">
        <w:rPr>
          <w:rFonts w:ascii="Arial" w:hAnsi="Arial" w:cs="Arial"/>
          <w:b/>
          <w:smallCaps/>
          <w:sz w:val="32"/>
          <w:szCs w:val="32"/>
        </w:rPr>
        <w:t>MINISTERIO PUBLICO (MP)</w:t>
      </w:r>
    </w:p>
    <w:p w14:paraId="745BAC71" w14:textId="77777777" w:rsidR="00CD263C" w:rsidRPr="00613B1B" w:rsidRDefault="00CD263C" w:rsidP="00CD263C">
      <w:pPr>
        <w:pStyle w:val="Heading4"/>
        <w:numPr>
          <w:ilvl w:val="0"/>
          <w:numId w:val="0"/>
        </w:numPr>
        <w:jc w:val="center"/>
        <w:rPr>
          <w:rFonts w:ascii="Arial" w:hAnsi="Arial" w:cs="Arial"/>
          <w:b/>
          <w:smallCaps/>
          <w:sz w:val="32"/>
          <w:szCs w:val="32"/>
          <w:lang w:val="es-MX"/>
        </w:rPr>
      </w:pPr>
    </w:p>
    <w:p w14:paraId="7BF36F25" w14:textId="77777777" w:rsidR="00CD263C" w:rsidRPr="00613B1B" w:rsidRDefault="00CD263C" w:rsidP="00CD263C">
      <w:pPr>
        <w:rPr>
          <w:rFonts w:ascii="Arial" w:hAnsi="Arial" w:cs="Arial"/>
          <w:lang w:val="es-MX" w:eastAsia="en-US"/>
        </w:rPr>
      </w:pPr>
    </w:p>
    <w:p w14:paraId="44FBE7A3" w14:textId="32062E7B" w:rsidR="00370B96" w:rsidRPr="00613B1B" w:rsidRDefault="00370B96" w:rsidP="00370B96">
      <w:pPr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28"/>
          <w:szCs w:val="32"/>
        </w:rPr>
      </w:pPr>
      <w:r w:rsidRPr="00613B1B">
        <w:rPr>
          <w:rFonts w:ascii="Arial" w:hAnsi="Arial" w:cs="Arial"/>
          <w:b/>
          <w:smallCaps/>
          <w:sz w:val="28"/>
          <w:szCs w:val="32"/>
          <w:lang w:val="es-PY"/>
        </w:rPr>
        <w:t xml:space="preserve">Programa de </w:t>
      </w:r>
      <w:r w:rsidR="003603D6">
        <w:rPr>
          <w:rFonts w:ascii="Arial" w:hAnsi="Arial" w:cs="Arial"/>
          <w:b/>
          <w:smallCaps/>
          <w:sz w:val="28"/>
          <w:szCs w:val="32"/>
          <w:lang w:val="es-PY"/>
        </w:rPr>
        <w:t xml:space="preserve">Mejoramiento de los Servicios de Justicia </w:t>
      </w:r>
      <w:r w:rsidR="00C307A6">
        <w:rPr>
          <w:rFonts w:ascii="Arial" w:hAnsi="Arial" w:cs="Arial"/>
          <w:b/>
          <w:smallCaps/>
          <w:sz w:val="28"/>
          <w:szCs w:val="32"/>
          <w:lang w:val="es-PY"/>
        </w:rPr>
        <w:t>en Materia Penal en el Perú</w:t>
      </w:r>
    </w:p>
    <w:p w14:paraId="0EF2222C" w14:textId="6EECC5AF" w:rsidR="00CD263C" w:rsidRPr="00613B1B" w:rsidRDefault="00370B96" w:rsidP="00370B96">
      <w:pPr>
        <w:jc w:val="center"/>
        <w:rPr>
          <w:rFonts w:ascii="Arial" w:hAnsi="Arial" w:cs="Arial"/>
          <w:b/>
          <w:lang w:val="es-PY"/>
        </w:rPr>
      </w:pPr>
      <w:r w:rsidRPr="00613B1B">
        <w:rPr>
          <w:rFonts w:ascii="Arial" w:eastAsia="Batang" w:hAnsi="Arial" w:cs="Arial"/>
          <w:b/>
          <w:smallCaps/>
          <w:szCs w:val="32"/>
          <w:lang w:val="es-PY" w:eastAsia="es-ES"/>
        </w:rPr>
        <w:t>(PE-L1230)</w:t>
      </w:r>
    </w:p>
    <w:p w14:paraId="7A15B02C" w14:textId="77777777" w:rsidR="00CD263C" w:rsidRPr="00613B1B" w:rsidRDefault="00CD263C" w:rsidP="00CD263C">
      <w:pPr>
        <w:jc w:val="center"/>
        <w:rPr>
          <w:rFonts w:ascii="Arial" w:hAnsi="Arial" w:cs="Arial"/>
          <w:b/>
          <w:lang w:val="es-PY"/>
        </w:rPr>
      </w:pPr>
    </w:p>
    <w:p w14:paraId="2D147F0C" w14:textId="77777777" w:rsidR="00CD263C" w:rsidRPr="00613B1B" w:rsidRDefault="00CD263C" w:rsidP="00CD263C">
      <w:pPr>
        <w:jc w:val="center"/>
        <w:rPr>
          <w:rFonts w:ascii="Arial" w:hAnsi="Arial" w:cs="Arial"/>
          <w:b/>
          <w:lang w:val="es-PY"/>
        </w:rPr>
      </w:pPr>
    </w:p>
    <w:p w14:paraId="065ABAF7" w14:textId="77777777" w:rsidR="00CD263C" w:rsidRPr="00613B1B" w:rsidRDefault="00370B96" w:rsidP="00CD263C">
      <w:pPr>
        <w:jc w:val="center"/>
        <w:rPr>
          <w:rFonts w:ascii="Arial" w:hAnsi="Arial" w:cs="Arial"/>
          <w:b/>
        </w:rPr>
      </w:pPr>
      <w:r w:rsidRPr="00613B1B">
        <w:rPr>
          <w:rFonts w:ascii="Arial" w:hAnsi="Arial" w:cs="Arial"/>
          <w:b/>
        </w:rPr>
        <w:t>MANUAL</w:t>
      </w:r>
      <w:r w:rsidR="00CD263C" w:rsidRPr="00613B1B">
        <w:rPr>
          <w:rFonts w:ascii="Arial" w:hAnsi="Arial" w:cs="Arial"/>
          <w:b/>
        </w:rPr>
        <w:t xml:space="preserve"> OPERATIVO DEL PROGRAMA</w:t>
      </w:r>
    </w:p>
    <w:p w14:paraId="61C353C5" w14:textId="77777777" w:rsidR="00370B96" w:rsidRPr="003603D6" w:rsidRDefault="006D65CA" w:rsidP="00CD263C">
      <w:pPr>
        <w:jc w:val="center"/>
        <w:rPr>
          <w:rFonts w:ascii="Arial" w:hAnsi="Arial" w:cs="Arial"/>
          <w:b/>
        </w:rPr>
      </w:pPr>
      <w:r w:rsidRPr="003603D6">
        <w:rPr>
          <w:rFonts w:ascii="Arial" w:hAnsi="Arial" w:cs="Arial"/>
          <w:b/>
        </w:rPr>
        <w:t>PODER JUDICIAL</w:t>
      </w:r>
    </w:p>
    <w:p w14:paraId="1D7195B1" w14:textId="77777777" w:rsidR="00CD263C" w:rsidRPr="00613B1B" w:rsidRDefault="00CD263C" w:rsidP="00CD263C">
      <w:pPr>
        <w:jc w:val="center"/>
        <w:rPr>
          <w:rFonts w:ascii="Arial" w:hAnsi="Arial" w:cs="Arial"/>
          <w:lang w:val="pt-BR" w:eastAsia="en-US"/>
        </w:rPr>
      </w:pPr>
      <w:r w:rsidRPr="00613B1B">
        <w:rPr>
          <w:rFonts w:ascii="Arial" w:hAnsi="Arial" w:cs="Arial"/>
          <w:lang w:val="pt-BR" w:eastAsia="en-US"/>
        </w:rPr>
        <w:t>(</w:t>
      </w:r>
      <w:r w:rsidR="00370B96" w:rsidRPr="00613B1B">
        <w:rPr>
          <w:rFonts w:ascii="Arial" w:hAnsi="Arial" w:cs="Arial"/>
          <w:lang w:val="pt-BR" w:eastAsia="en-US"/>
        </w:rPr>
        <w:t>M</w:t>
      </w:r>
      <w:r w:rsidRPr="00613B1B">
        <w:rPr>
          <w:rFonts w:ascii="Arial" w:hAnsi="Arial" w:cs="Arial"/>
          <w:lang w:val="pt-BR" w:eastAsia="en-US"/>
        </w:rPr>
        <w:t>OP)</w:t>
      </w:r>
    </w:p>
    <w:p w14:paraId="29887B13" w14:textId="77777777" w:rsidR="00CD263C" w:rsidRPr="00613B1B" w:rsidRDefault="00CD263C" w:rsidP="00CD263C">
      <w:pPr>
        <w:rPr>
          <w:rFonts w:ascii="Arial" w:hAnsi="Arial" w:cs="Arial"/>
          <w:b/>
          <w:lang w:val="pt-BR"/>
        </w:rPr>
      </w:pPr>
    </w:p>
    <w:p w14:paraId="73E63E39" w14:textId="77777777" w:rsidR="00CD263C" w:rsidRPr="00613B1B" w:rsidRDefault="00CD263C" w:rsidP="00CD263C">
      <w:pPr>
        <w:rPr>
          <w:rFonts w:ascii="Arial" w:hAnsi="Arial" w:cs="Arial"/>
          <w:lang w:val="pt-BR"/>
        </w:rPr>
      </w:pPr>
    </w:p>
    <w:p w14:paraId="62EE04FE" w14:textId="460E7127" w:rsidR="00CD263C" w:rsidRPr="00613B1B" w:rsidRDefault="00411AE3" w:rsidP="00CD263C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 w:val="0"/>
          <w:bCs w:val="0"/>
          <w:smallCaps/>
          <w:sz w:val="36"/>
          <w:szCs w:val="36"/>
          <w:lang w:val="pt-BR"/>
        </w:rPr>
      </w:pPr>
      <w:r>
        <w:rPr>
          <w:rFonts w:ascii="Arial" w:hAnsi="Arial" w:cs="Arial"/>
          <w:smallCaps/>
          <w:sz w:val="36"/>
          <w:szCs w:val="36"/>
          <w:lang w:val="pt-BR"/>
        </w:rPr>
        <w:t>Borrador</w:t>
      </w:r>
    </w:p>
    <w:p w14:paraId="604280E1" w14:textId="77777777" w:rsidR="00CD263C" w:rsidRPr="00613B1B" w:rsidRDefault="00CD263C" w:rsidP="00CD263C">
      <w:pPr>
        <w:rPr>
          <w:rFonts w:ascii="Arial" w:hAnsi="Arial" w:cs="Arial"/>
          <w:lang w:val="pt-BR"/>
        </w:rPr>
      </w:pPr>
    </w:p>
    <w:p w14:paraId="72571432" w14:textId="2FABB10C" w:rsidR="00CD263C" w:rsidRPr="00613B1B" w:rsidRDefault="00411AE3" w:rsidP="00CD263C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Cs w:val="0"/>
          <w:smallCaps/>
          <w:lang w:val="pt-BR"/>
        </w:rPr>
      </w:pPr>
      <w:bookmarkStart w:id="7" w:name="_Toc10474977"/>
      <w:bookmarkStart w:id="8" w:name="_Toc15932267"/>
      <w:bookmarkStart w:id="9" w:name="_Toc15991655"/>
      <w:bookmarkStart w:id="10" w:name="_Toc16284555"/>
      <w:r>
        <w:rPr>
          <w:rFonts w:ascii="Arial" w:hAnsi="Arial" w:cs="Arial"/>
          <w:smallCaps/>
          <w:lang w:val="pt-BR"/>
        </w:rPr>
        <w:t>NOVIEMBRE</w:t>
      </w:r>
      <w:r w:rsidR="00CD263C" w:rsidRPr="00613B1B">
        <w:rPr>
          <w:rFonts w:ascii="Arial" w:hAnsi="Arial" w:cs="Arial"/>
          <w:smallCaps/>
          <w:lang w:val="pt-BR"/>
        </w:rPr>
        <w:t>, 2019</w:t>
      </w:r>
      <w:bookmarkEnd w:id="7"/>
      <w:bookmarkEnd w:id="8"/>
      <w:bookmarkEnd w:id="9"/>
      <w:bookmarkEnd w:id="10"/>
    </w:p>
    <w:p w14:paraId="11AEC7EA" w14:textId="3FA7326C" w:rsidR="00CD263C" w:rsidRDefault="00CD263C" w:rsidP="00CD263C">
      <w:pPr>
        <w:jc w:val="right"/>
        <w:rPr>
          <w:rFonts w:ascii="Arial" w:hAnsi="Arial" w:cs="Arial"/>
          <w:szCs w:val="20"/>
          <w:lang w:val="pt-BR"/>
        </w:rPr>
      </w:pPr>
    </w:p>
    <w:p w14:paraId="0C461CE6" w14:textId="43F4AA75" w:rsidR="00411AE3" w:rsidRDefault="00411AE3" w:rsidP="00CD263C">
      <w:pPr>
        <w:jc w:val="right"/>
        <w:rPr>
          <w:rFonts w:ascii="Arial" w:hAnsi="Arial" w:cs="Arial"/>
          <w:szCs w:val="20"/>
          <w:lang w:val="pt-BR"/>
        </w:rPr>
      </w:pPr>
    </w:p>
    <w:p w14:paraId="5B67AB1A" w14:textId="77777777" w:rsidR="00411AE3" w:rsidRPr="00613B1B" w:rsidRDefault="00411AE3" w:rsidP="00CD263C">
      <w:pPr>
        <w:jc w:val="right"/>
        <w:rPr>
          <w:rFonts w:ascii="Arial" w:hAnsi="Arial" w:cs="Arial"/>
          <w:szCs w:val="20"/>
          <w:lang w:val="pt-BR"/>
        </w:rPr>
      </w:pPr>
    </w:p>
    <w:p w14:paraId="5A7F8EA6" w14:textId="77777777" w:rsidR="00411AE3" w:rsidRPr="00613B1B" w:rsidRDefault="00411AE3" w:rsidP="00411AE3">
      <w:pPr>
        <w:pStyle w:val="Heading4"/>
        <w:numPr>
          <w:ilvl w:val="0"/>
          <w:numId w:val="0"/>
        </w:numPr>
        <w:ind w:left="3403"/>
        <w:jc w:val="right"/>
        <w:rPr>
          <w:rFonts w:ascii="Arial" w:hAnsi="Arial" w:cs="Arial"/>
          <w:smallCaps/>
          <w:sz w:val="20"/>
          <w:lang w:val="pt-BR"/>
        </w:rPr>
      </w:pPr>
      <w:r>
        <w:rPr>
          <w:rFonts w:ascii="Arial" w:hAnsi="Arial" w:cs="Arial"/>
          <w:smallCaps/>
          <w:sz w:val="20"/>
          <w:lang w:val="pt-BR"/>
        </w:rPr>
        <w:t xml:space="preserve">(Documento preparado por </w:t>
      </w:r>
      <w:r w:rsidRPr="00613B1B">
        <w:rPr>
          <w:rFonts w:ascii="Arial" w:hAnsi="Arial" w:cs="Arial"/>
          <w:smallCaps/>
          <w:sz w:val="20"/>
          <w:lang w:val="pt-BR"/>
        </w:rPr>
        <w:t xml:space="preserve">Patricia </w:t>
      </w:r>
      <w:proofErr w:type="spellStart"/>
      <w:r w:rsidRPr="00613B1B">
        <w:rPr>
          <w:rFonts w:ascii="Arial" w:hAnsi="Arial" w:cs="Arial"/>
          <w:smallCaps/>
          <w:sz w:val="20"/>
          <w:lang w:val="pt-BR"/>
        </w:rPr>
        <w:t>Nardelli</w:t>
      </w:r>
      <w:proofErr w:type="spellEnd"/>
      <w:r>
        <w:rPr>
          <w:rFonts w:ascii="Arial" w:hAnsi="Arial" w:cs="Arial"/>
          <w:smallCaps/>
          <w:sz w:val="20"/>
          <w:lang w:val="pt-BR"/>
        </w:rPr>
        <w:t>, Consultora)</w:t>
      </w:r>
    </w:p>
    <w:p w14:paraId="780A0A75" w14:textId="3AECF725" w:rsidR="00CD263C" w:rsidRPr="00613B1B" w:rsidRDefault="00CD263C" w:rsidP="00CD263C">
      <w:pPr>
        <w:pStyle w:val="Heading4"/>
        <w:numPr>
          <w:ilvl w:val="0"/>
          <w:numId w:val="0"/>
        </w:numPr>
        <w:ind w:left="3403"/>
        <w:jc w:val="right"/>
        <w:rPr>
          <w:rFonts w:ascii="Arial" w:hAnsi="Arial" w:cs="Arial"/>
          <w:smallCaps/>
          <w:sz w:val="20"/>
          <w:lang w:val="pt-BR"/>
        </w:rPr>
      </w:pPr>
    </w:p>
    <w:p w14:paraId="34401055" w14:textId="77777777" w:rsidR="006F4DCC" w:rsidRPr="00613B1B" w:rsidRDefault="006F4DCC" w:rsidP="00133E2F">
      <w:pPr>
        <w:jc w:val="center"/>
        <w:rPr>
          <w:rFonts w:ascii="Arial" w:hAnsi="Arial" w:cs="Arial"/>
          <w:lang w:val="pt-BR"/>
        </w:rPr>
      </w:pPr>
    </w:p>
    <w:p w14:paraId="11529BA8" w14:textId="77777777" w:rsidR="00FB6B3F" w:rsidRPr="00370B96" w:rsidRDefault="00FB6B3F" w:rsidP="00133E2F">
      <w:pPr>
        <w:jc w:val="center"/>
        <w:rPr>
          <w:lang w:val="pt-BR"/>
        </w:rPr>
      </w:pPr>
    </w:p>
    <w:p w14:paraId="626A8C9B" w14:textId="77777777" w:rsidR="00411C06" w:rsidRPr="00A72E36" w:rsidRDefault="00411C06" w:rsidP="00411C06">
      <w:pPr>
        <w:rPr>
          <w:rFonts w:ascii="Arial" w:hAnsi="Arial" w:cs="Arial"/>
          <w:b/>
          <w:bCs/>
        </w:rPr>
      </w:pPr>
      <w:r w:rsidRPr="00A72E36">
        <w:rPr>
          <w:rFonts w:ascii="Arial" w:hAnsi="Arial" w:cs="Arial"/>
          <w:b/>
          <w:bCs/>
        </w:rPr>
        <w:lastRenderedPageBreak/>
        <w:t>INDICE</w:t>
      </w:r>
    </w:p>
    <w:p w14:paraId="2CA102A8" w14:textId="77777777" w:rsidR="00411C06" w:rsidRDefault="00411C06" w:rsidP="00411C06"/>
    <w:tbl>
      <w:tblPr>
        <w:tblStyle w:val="TableGrid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895"/>
      </w:tblGrid>
      <w:tr w:rsidR="003B17D3" w:rsidRPr="00411C06" w14:paraId="56E2FE6D" w14:textId="77777777" w:rsidTr="003B17D3">
        <w:tc>
          <w:tcPr>
            <w:tcW w:w="7933" w:type="dxa"/>
            <w:vAlign w:val="bottom"/>
          </w:tcPr>
          <w:p w14:paraId="37EFB389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ALCANCE ………………………………………………………………………………</w:t>
            </w:r>
          </w:p>
        </w:tc>
        <w:tc>
          <w:tcPr>
            <w:tcW w:w="895" w:type="dxa"/>
            <w:vAlign w:val="bottom"/>
          </w:tcPr>
          <w:p w14:paraId="01C753B5" w14:textId="77777777" w:rsidR="00411C06" w:rsidRPr="00411C06" w:rsidRDefault="003B17D3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B17D3" w:rsidRPr="00411C06" w14:paraId="1ADF3A68" w14:textId="77777777" w:rsidTr="003B17D3">
        <w:tc>
          <w:tcPr>
            <w:tcW w:w="7933" w:type="dxa"/>
            <w:vAlign w:val="bottom"/>
          </w:tcPr>
          <w:p w14:paraId="5D4773DD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CAPITULO 1: Descripción del Programa BID ……………………………………...</w:t>
            </w:r>
          </w:p>
        </w:tc>
        <w:tc>
          <w:tcPr>
            <w:tcW w:w="895" w:type="dxa"/>
            <w:vAlign w:val="bottom"/>
          </w:tcPr>
          <w:p w14:paraId="1934D515" w14:textId="77777777" w:rsidR="00411C06" w:rsidRPr="00411C06" w:rsidRDefault="003B17D3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17D3" w:rsidRPr="00411C06" w14:paraId="7760B6F0" w14:textId="77777777" w:rsidTr="003B17D3">
        <w:tc>
          <w:tcPr>
            <w:tcW w:w="7933" w:type="dxa"/>
            <w:vAlign w:val="bottom"/>
          </w:tcPr>
          <w:p w14:paraId="00D06EF8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1.1 Objetivos …………………………………………………………………………...</w:t>
            </w:r>
          </w:p>
        </w:tc>
        <w:tc>
          <w:tcPr>
            <w:tcW w:w="895" w:type="dxa"/>
            <w:vAlign w:val="bottom"/>
          </w:tcPr>
          <w:p w14:paraId="573DC2A2" w14:textId="77777777" w:rsidR="00411C06" w:rsidRPr="00411C06" w:rsidRDefault="003B17D3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17D3" w:rsidRPr="00411C06" w14:paraId="3344EEC6" w14:textId="77777777" w:rsidTr="003B17D3">
        <w:tc>
          <w:tcPr>
            <w:tcW w:w="7933" w:type="dxa"/>
            <w:vAlign w:val="bottom"/>
          </w:tcPr>
          <w:p w14:paraId="545704AE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1.2 Beneficiarios …………………………………………………………………</w:t>
            </w:r>
            <w:proofErr w:type="gramStart"/>
            <w:r w:rsidRPr="00411C06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895" w:type="dxa"/>
            <w:vAlign w:val="bottom"/>
          </w:tcPr>
          <w:p w14:paraId="295B6BD7" w14:textId="77777777" w:rsidR="00411C06" w:rsidRPr="00411C06" w:rsidRDefault="003B17D3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17D3" w:rsidRPr="00411C06" w14:paraId="4293EA72" w14:textId="77777777" w:rsidTr="003B17D3">
        <w:tc>
          <w:tcPr>
            <w:tcW w:w="7933" w:type="dxa"/>
            <w:vAlign w:val="bottom"/>
          </w:tcPr>
          <w:p w14:paraId="7688E955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1.3 Componentes del Programa ………………………………………………</w:t>
            </w:r>
            <w:proofErr w:type="gramStart"/>
            <w:r w:rsidRPr="00411C06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411C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" w:type="dxa"/>
            <w:vAlign w:val="bottom"/>
          </w:tcPr>
          <w:p w14:paraId="7D6C660D" w14:textId="77777777" w:rsidR="00411C06" w:rsidRPr="00411C06" w:rsidRDefault="003B17D3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17D3" w:rsidRPr="00411C06" w14:paraId="33F9D54A" w14:textId="77777777" w:rsidTr="003B17D3">
        <w:tc>
          <w:tcPr>
            <w:tcW w:w="7933" w:type="dxa"/>
            <w:vAlign w:val="bottom"/>
          </w:tcPr>
          <w:p w14:paraId="3F95FCA4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1.4 Fuentes de Financiamiento y Cuadro de Costos ……………………………...</w:t>
            </w:r>
          </w:p>
        </w:tc>
        <w:tc>
          <w:tcPr>
            <w:tcW w:w="895" w:type="dxa"/>
            <w:vAlign w:val="bottom"/>
          </w:tcPr>
          <w:p w14:paraId="780A08A0" w14:textId="77777777" w:rsidR="00411C06" w:rsidRPr="00411C06" w:rsidRDefault="003B17D3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B17D3" w:rsidRPr="00411C06" w14:paraId="3E842DDA" w14:textId="77777777" w:rsidTr="003B17D3">
        <w:tc>
          <w:tcPr>
            <w:tcW w:w="7933" w:type="dxa"/>
            <w:vAlign w:val="bottom"/>
          </w:tcPr>
          <w:p w14:paraId="127858C5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CAPITULO 2: Marco Institucional ……………………………………………………</w:t>
            </w:r>
          </w:p>
        </w:tc>
        <w:tc>
          <w:tcPr>
            <w:tcW w:w="895" w:type="dxa"/>
            <w:vAlign w:val="bottom"/>
          </w:tcPr>
          <w:p w14:paraId="2DF22BB9" w14:textId="77777777" w:rsidR="00411C06" w:rsidRPr="00411C06" w:rsidRDefault="003B17D3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B17D3" w:rsidRPr="00411C06" w14:paraId="6D0E0A8D" w14:textId="77777777" w:rsidTr="003B17D3">
        <w:tc>
          <w:tcPr>
            <w:tcW w:w="7933" w:type="dxa"/>
            <w:vAlign w:val="bottom"/>
          </w:tcPr>
          <w:p w14:paraId="6FDFCF45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2.1 Roles y Responsabilidades Institucionales ………………………………</w:t>
            </w:r>
            <w:proofErr w:type="gramStart"/>
            <w:r w:rsidRPr="00411C06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895" w:type="dxa"/>
            <w:vAlign w:val="bottom"/>
          </w:tcPr>
          <w:p w14:paraId="781F8A6A" w14:textId="77777777" w:rsidR="00411C06" w:rsidRPr="00411C06" w:rsidRDefault="003B17D3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11C06" w:rsidRPr="00411C06" w14:paraId="44AD3CBB" w14:textId="77777777" w:rsidTr="003B17D3">
        <w:tc>
          <w:tcPr>
            <w:tcW w:w="7933" w:type="dxa"/>
            <w:vAlign w:val="bottom"/>
          </w:tcPr>
          <w:p w14:paraId="4EB7C1C7" w14:textId="6F90D74A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 xml:space="preserve">2.2 Relaciones Interinstitucionales entre organismos </w:t>
            </w:r>
            <w:r w:rsidR="00236EC3">
              <w:rPr>
                <w:rFonts w:ascii="Arial" w:hAnsi="Arial" w:cs="Arial"/>
                <w:sz w:val="22"/>
                <w:szCs w:val="22"/>
              </w:rPr>
              <w:t>ejecutor</w:t>
            </w:r>
            <w:r w:rsidRPr="00411C06">
              <w:rPr>
                <w:rFonts w:ascii="Arial" w:hAnsi="Arial" w:cs="Arial"/>
                <w:sz w:val="22"/>
                <w:szCs w:val="22"/>
              </w:rPr>
              <w:t>as ………</w:t>
            </w:r>
            <w:proofErr w:type="gramStart"/>
            <w:r w:rsidRPr="00411C06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895" w:type="dxa"/>
            <w:vAlign w:val="bottom"/>
          </w:tcPr>
          <w:p w14:paraId="7A91C130" w14:textId="77777777" w:rsidR="00411C06" w:rsidRPr="00411C06" w:rsidRDefault="00A33BFC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11C06" w:rsidRPr="00411C06" w14:paraId="7FED0457" w14:textId="77777777" w:rsidTr="003B17D3">
        <w:tc>
          <w:tcPr>
            <w:tcW w:w="7933" w:type="dxa"/>
            <w:vAlign w:val="bottom"/>
          </w:tcPr>
          <w:p w14:paraId="44FFBA29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 xml:space="preserve">2.3 Organismo Ejecutor: </w:t>
            </w:r>
            <w:r w:rsidR="006D65CA">
              <w:rPr>
                <w:rFonts w:ascii="Arial" w:hAnsi="Arial" w:cs="Arial"/>
                <w:sz w:val="22"/>
                <w:szCs w:val="22"/>
              </w:rPr>
              <w:t>Poder Judicial</w:t>
            </w:r>
            <w:proofErr w:type="gramStart"/>
            <w:r w:rsidRPr="00411C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5CA">
              <w:rPr>
                <w:rFonts w:ascii="Arial" w:hAnsi="Arial" w:cs="Arial"/>
                <w:sz w:val="22"/>
                <w:szCs w:val="22"/>
              </w:rPr>
              <w:t>….</w:t>
            </w:r>
            <w:proofErr w:type="gramEnd"/>
            <w:r w:rsidR="006D65CA">
              <w:rPr>
                <w:rFonts w:ascii="Arial" w:hAnsi="Arial" w:cs="Arial"/>
                <w:sz w:val="22"/>
                <w:szCs w:val="22"/>
              </w:rPr>
              <w:t>.</w:t>
            </w:r>
            <w:r w:rsidRPr="00411C06">
              <w:rPr>
                <w:rFonts w:ascii="Arial" w:hAnsi="Arial" w:cs="Arial"/>
                <w:sz w:val="22"/>
                <w:szCs w:val="22"/>
              </w:rPr>
              <w:t>………………………………………...</w:t>
            </w:r>
          </w:p>
        </w:tc>
        <w:tc>
          <w:tcPr>
            <w:tcW w:w="895" w:type="dxa"/>
            <w:vAlign w:val="bottom"/>
          </w:tcPr>
          <w:p w14:paraId="219583C6" w14:textId="77777777" w:rsidR="00411C06" w:rsidRPr="00411C06" w:rsidRDefault="00A33BFC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411C06" w:rsidRPr="00411C06" w14:paraId="53799158" w14:textId="77777777" w:rsidTr="003B17D3">
        <w:tc>
          <w:tcPr>
            <w:tcW w:w="7933" w:type="dxa"/>
            <w:vAlign w:val="bottom"/>
          </w:tcPr>
          <w:p w14:paraId="42CC6D66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CAPITULO 3: Ciclo Operacional del Programa ……………………………………</w:t>
            </w:r>
          </w:p>
        </w:tc>
        <w:tc>
          <w:tcPr>
            <w:tcW w:w="895" w:type="dxa"/>
            <w:vAlign w:val="bottom"/>
          </w:tcPr>
          <w:p w14:paraId="378DBC32" w14:textId="77777777" w:rsidR="00411C06" w:rsidRPr="00411C06" w:rsidRDefault="006906CC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3B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11C06" w:rsidRPr="00411C06" w14:paraId="03473523" w14:textId="77777777" w:rsidTr="003B17D3">
        <w:tc>
          <w:tcPr>
            <w:tcW w:w="7933" w:type="dxa"/>
            <w:vAlign w:val="bottom"/>
          </w:tcPr>
          <w:p w14:paraId="79C9CC3C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3.1 Fase de Programación ……………………………………………………………</w:t>
            </w:r>
          </w:p>
        </w:tc>
        <w:tc>
          <w:tcPr>
            <w:tcW w:w="895" w:type="dxa"/>
            <w:vAlign w:val="bottom"/>
          </w:tcPr>
          <w:p w14:paraId="4DAD0FE2" w14:textId="77777777" w:rsidR="00411C06" w:rsidRPr="00411C06" w:rsidRDefault="006906CC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3B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11C06" w:rsidRPr="00411C06" w14:paraId="714B0CE2" w14:textId="77777777" w:rsidTr="003B17D3">
        <w:tc>
          <w:tcPr>
            <w:tcW w:w="7933" w:type="dxa"/>
            <w:vAlign w:val="bottom"/>
          </w:tcPr>
          <w:p w14:paraId="5DCE1FA2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 xml:space="preserve">3.2 </w:t>
            </w:r>
            <w:r w:rsidRPr="00411C0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Registro en la Fase de inversión conforme a la normativa del Sistema Nacional de Programación Multianual y Gestión de Inversiones (Invierte.pe)</w:t>
            </w:r>
            <w:r w:rsidRPr="00411C06">
              <w:rPr>
                <w:rFonts w:ascii="Arial" w:hAnsi="Arial" w:cs="Arial"/>
                <w:sz w:val="22"/>
                <w:szCs w:val="22"/>
              </w:rPr>
              <w:t xml:space="preserve">  …</w:t>
            </w:r>
          </w:p>
        </w:tc>
        <w:tc>
          <w:tcPr>
            <w:tcW w:w="895" w:type="dxa"/>
            <w:vAlign w:val="bottom"/>
          </w:tcPr>
          <w:p w14:paraId="47A0723B" w14:textId="77777777" w:rsidR="00411C06" w:rsidRPr="00411C06" w:rsidRDefault="006906CC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411C06" w:rsidRPr="00411C06" w14:paraId="036F0CC8" w14:textId="77777777" w:rsidTr="003B17D3">
        <w:tc>
          <w:tcPr>
            <w:tcW w:w="7933" w:type="dxa"/>
            <w:vAlign w:val="bottom"/>
          </w:tcPr>
          <w:p w14:paraId="673A36EE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3.3 Fase de Contratación ………………………………………………………</w:t>
            </w:r>
            <w:proofErr w:type="gramStart"/>
            <w:r w:rsidRPr="00411C06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411C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" w:type="dxa"/>
            <w:vAlign w:val="bottom"/>
          </w:tcPr>
          <w:p w14:paraId="3F5A39FA" w14:textId="77777777" w:rsidR="00411C06" w:rsidRPr="00411C06" w:rsidRDefault="006906CC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3B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11C06" w:rsidRPr="00411C06" w14:paraId="73612329" w14:textId="77777777" w:rsidTr="003B17D3">
        <w:tc>
          <w:tcPr>
            <w:tcW w:w="7933" w:type="dxa"/>
            <w:vAlign w:val="bottom"/>
          </w:tcPr>
          <w:p w14:paraId="564A09C8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3.4 Fase de Ejecución ………………………………………………………………...</w:t>
            </w:r>
          </w:p>
        </w:tc>
        <w:tc>
          <w:tcPr>
            <w:tcW w:w="895" w:type="dxa"/>
            <w:vAlign w:val="bottom"/>
          </w:tcPr>
          <w:p w14:paraId="71660F2D" w14:textId="77777777" w:rsidR="00411C06" w:rsidRPr="00411C06" w:rsidRDefault="006906CC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3BFC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11C06" w:rsidRPr="00411C06" w14:paraId="6E0D7E42" w14:textId="77777777" w:rsidTr="003B17D3">
        <w:tc>
          <w:tcPr>
            <w:tcW w:w="7933" w:type="dxa"/>
            <w:vAlign w:val="bottom"/>
          </w:tcPr>
          <w:p w14:paraId="708ED8CC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3.5 Fase de Seguimiento, Evaluación, Liquidación y Cierre ……………………...</w:t>
            </w:r>
          </w:p>
        </w:tc>
        <w:tc>
          <w:tcPr>
            <w:tcW w:w="895" w:type="dxa"/>
            <w:vAlign w:val="bottom"/>
          </w:tcPr>
          <w:p w14:paraId="33200285" w14:textId="77777777" w:rsidR="00411C06" w:rsidRPr="00411C06" w:rsidRDefault="006906CC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3BF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11C06" w:rsidRPr="00411C06" w14:paraId="059D7B95" w14:textId="77777777" w:rsidTr="003B17D3">
        <w:tc>
          <w:tcPr>
            <w:tcW w:w="7933" w:type="dxa"/>
            <w:vAlign w:val="bottom"/>
          </w:tcPr>
          <w:p w14:paraId="16B190EE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3.6 Registro Contable …………………………………………………………………</w:t>
            </w:r>
          </w:p>
        </w:tc>
        <w:tc>
          <w:tcPr>
            <w:tcW w:w="895" w:type="dxa"/>
            <w:vAlign w:val="bottom"/>
          </w:tcPr>
          <w:p w14:paraId="3511C41E" w14:textId="77777777" w:rsidR="00411C06" w:rsidRPr="00411C06" w:rsidRDefault="006906CC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3B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11C06" w:rsidRPr="00411C06" w14:paraId="70B7E4DB" w14:textId="77777777" w:rsidTr="003B17D3">
        <w:tc>
          <w:tcPr>
            <w:tcW w:w="7933" w:type="dxa"/>
            <w:vAlign w:val="bottom"/>
          </w:tcPr>
          <w:p w14:paraId="059ABDF4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3.7 Auditoría, Registros y Archivos ……………………………………………</w:t>
            </w:r>
            <w:proofErr w:type="gramStart"/>
            <w:r w:rsidRPr="00411C06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895" w:type="dxa"/>
            <w:vAlign w:val="bottom"/>
          </w:tcPr>
          <w:p w14:paraId="1C75DD4F" w14:textId="77777777" w:rsidR="00411C06" w:rsidRPr="00411C06" w:rsidRDefault="006906CC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3B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11C06" w:rsidRPr="00411C06" w14:paraId="5B363312" w14:textId="77777777" w:rsidTr="003B17D3">
        <w:tc>
          <w:tcPr>
            <w:tcW w:w="7933" w:type="dxa"/>
            <w:vAlign w:val="bottom"/>
          </w:tcPr>
          <w:p w14:paraId="59D3987F" w14:textId="77777777" w:rsidR="00411C06" w:rsidRPr="00411C06" w:rsidRDefault="00411C06" w:rsidP="008B4B0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11C06">
              <w:rPr>
                <w:rFonts w:ascii="Arial" w:hAnsi="Arial" w:cs="Arial"/>
                <w:sz w:val="22"/>
                <w:szCs w:val="22"/>
              </w:rPr>
              <w:t>ANEXOS</w:t>
            </w:r>
            <w:r w:rsidR="003B17D3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</w:t>
            </w:r>
            <w:proofErr w:type="gramStart"/>
            <w:r w:rsidR="003B17D3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3B1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5" w:type="dxa"/>
            <w:vAlign w:val="bottom"/>
          </w:tcPr>
          <w:p w14:paraId="258E328E" w14:textId="77777777" w:rsidR="00411C06" w:rsidRPr="00411C06" w:rsidRDefault="006906CC" w:rsidP="003B17D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3B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4952304D" w14:textId="77777777" w:rsidR="00411C06" w:rsidRDefault="00411C06" w:rsidP="00BE71AC">
      <w:pPr>
        <w:jc w:val="both"/>
        <w:rPr>
          <w:rFonts w:ascii="Arial" w:hAnsi="Arial" w:cs="Arial"/>
          <w:b/>
        </w:rPr>
      </w:pPr>
    </w:p>
    <w:p w14:paraId="7113CFFD" w14:textId="77777777" w:rsidR="00897DAC" w:rsidRDefault="00897DAC" w:rsidP="00BE71AC">
      <w:pPr>
        <w:jc w:val="both"/>
        <w:rPr>
          <w:rFonts w:ascii="Arial" w:hAnsi="Arial" w:cs="Arial"/>
          <w:b/>
        </w:rPr>
      </w:pPr>
    </w:p>
    <w:p w14:paraId="201F0AD5" w14:textId="77777777" w:rsidR="00897DAC" w:rsidRDefault="00897DAC" w:rsidP="00BE71AC">
      <w:pPr>
        <w:jc w:val="both"/>
        <w:rPr>
          <w:rFonts w:ascii="Arial" w:hAnsi="Arial" w:cs="Arial"/>
          <w:b/>
        </w:rPr>
      </w:pPr>
    </w:p>
    <w:p w14:paraId="61EF52D6" w14:textId="77777777" w:rsidR="00897DAC" w:rsidRDefault="00897DAC" w:rsidP="00BE71AC">
      <w:pPr>
        <w:jc w:val="both"/>
        <w:rPr>
          <w:rFonts w:ascii="Arial" w:hAnsi="Arial" w:cs="Arial"/>
          <w:b/>
        </w:rPr>
      </w:pPr>
    </w:p>
    <w:p w14:paraId="3549C431" w14:textId="331BDDD6" w:rsidR="00897DAC" w:rsidRDefault="00897DAC" w:rsidP="00BE71AC">
      <w:pPr>
        <w:jc w:val="both"/>
        <w:rPr>
          <w:rFonts w:ascii="Arial" w:hAnsi="Arial" w:cs="Arial"/>
          <w:b/>
        </w:rPr>
      </w:pPr>
    </w:p>
    <w:p w14:paraId="4F1A28F7" w14:textId="77777777" w:rsidR="00411AE3" w:rsidRDefault="00411AE3" w:rsidP="00BE71AC">
      <w:pPr>
        <w:jc w:val="both"/>
        <w:rPr>
          <w:rFonts w:ascii="Arial" w:hAnsi="Arial" w:cs="Arial"/>
          <w:b/>
        </w:rPr>
      </w:pPr>
    </w:p>
    <w:p w14:paraId="69F86D94" w14:textId="77777777" w:rsidR="000058D1" w:rsidRDefault="000058D1" w:rsidP="00BE71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GLOSARIO DE TÉRMINOS:</w:t>
      </w:r>
    </w:p>
    <w:p w14:paraId="7A90C88A" w14:textId="77777777" w:rsidR="006D65CA" w:rsidRPr="006D65CA" w:rsidRDefault="006D65CA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6D65CA">
        <w:rPr>
          <w:rFonts w:ascii="Arial" w:hAnsi="Arial" w:cs="Arial"/>
          <w:b/>
        </w:rPr>
        <w:t>OC</w:t>
      </w:r>
      <w:r w:rsidR="00CD263C" w:rsidRPr="006D65CA">
        <w:rPr>
          <w:rFonts w:ascii="Arial" w:hAnsi="Arial" w:cs="Arial"/>
          <w:b/>
        </w:rPr>
        <w:t>P</w:t>
      </w:r>
      <w:r w:rsidR="006906CC" w:rsidRPr="006D65CA">
        <w:rPr>
          <w:rFonts w:ascii="Arial" w:hAnsi="Arial" w:cs="Arial"/>
          <w:b/>
        </w:rPr>
        <w:t xml:space="preserve"> 0</w:t>
      </w:r>
      <w:r w:rsidRPr="006D65CA">
        <w:rPr>
          <w:rFonts w:ascii="Arial" w:hAnsi="Arial" w:cs="Arial"/>
          <w:b/>
        </w:rPr>
        <w:t>02</w:t>
      </w:r>
      <w:r w:rsidR="00255315" w:rsidRPr="006D65CA">
        <w:rPr>
          <w:rFonts w:ascii="Arial" w:hAnsi="Arial" w:cs="Arial"/>
          <w:b/>
        </w:rPr>
        <w:t xml:space="preserve">: </w:t>
      </w:r>
      <w:r w:rsidRPr="006D65CA">
        <w:rPr>
          <w:rFonts w:ascii="Arial" w:hAnsi="Arial" w:cs="Arial"/>
        </w:rPr>
        <w:t xml:space="preserve">Oficina Coordinadora de Proyectos </w:t>
      </w:r>
    </w:p>
    <w:p w14:paraId="1F6A470D" w14:textId="77777777" w:rsidR="000058D1" w:rsidRPr="006D65CA" w:rsidRDefault="006D65CA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</w:t>
      </w:r>
      <w:r w:rsidR="000058D1" w:rsidRPr="006D65CA">
        <w:rPr>
          <w:rFonts w:ascii="Arial" w:hAnsi="Arial" w:cs="Arial"/>
          <w:b/>
        </w:rPr>
        <w:t>P</w:t>
      </w:r>
      <w:r w:rsidR="002B7FA8" w:rsidRPr="006D65CA">
        <w:rPr>
          <w:rFonts w:ascii="Arial" w:hAnsi="Arial" w:cs="Arial"/>
          <w:b/>
        </w:rPr>
        <w:t>:</w:t>
      </w:r>
      <w:r w:rsidR="002B7FA8" w:rsidRPr="006D65CA">
        <w:rPr>
          <w:rFonts w:ascii="Arial" w:hAnsi="Arial" w:cs="Arial"/>
          <w:bCs/>
        </w:rPr>
        <w:t xml:space="preserve"> </w:t>
      </w:r>
      <w:r w:rsidR="00897DAC" w:rsidRPr="006D65CA">
        <w:rPr>
          <w:rFonts w:ascii="Arial" w:hAnsi="Arial" w:cs="Arial"/>
          <w:bCs/>
        </w:rPr>
        <w:t>Manual</w:t>
      </w:r>
      <w:r w:rsidR="00D66340" w:rsidRPr="006D65CA">
        <w:rPr>
          <w:rFonts w:ascii="Arial" w:hAnsi="Arial" w:cs="Arial"/>
        </w:rPr>
        <w:t xml:space="preserve"> Operativo del Pro</w:t>
      </w:r>
      <w:r w:rsidR="002B7FA8" w:rsidRPr="006D65CA">
        <w:rPr>
          <w:rFonts w:ascii="Arial" w:hAnsi="Arial" w:cs="Arial"/>
        </w:rPr>
        <w:t>grama</w:t>
      </w:r>
    </w:p>
    <w:p w14:paraId="4B348D5F" w14:textId="77777777" w:rsidR="00897DAC" w:rsidRPr="00897DAC" w:rsidRDefault="00897DAC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MP: </w:t>
      </w:r>
      <w:r w:rsidRPr="00897DAC">
        <w:rPr>
          <w:rFonts w:ascii="Arial" w:hAnsi="Arial" w:cs="Arial"/>
          <w:bCs/>
        </w:rPr>
        <w:t>Ministerio Público</w:t>
      </w:r>
    </w:p>
    <w:p w14:paraId="3A205293" w14:textId="77777777" w:rsidR="00897DAC" w:rsidRPr="00897DAC" w:rsidRDefault="00897DAC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PJ: </w:t>
      </w:r>
      <w:r w:rsidRPr="00897DAC">
        <w:rPr>
          <w:rFonts w:ascii="Arial" w:hAnsi="Arial" w:cs="Arial"/>
          <w:bCs/>
        </w:rPr>
        <w:t>Poder Judicial</w:t>
      </w:r>
    </w:p>
    <w:p w14:paraId="050C9BCF" w14:textId="77777777" w:rsidR="00897DAC" w:rsidRDefault="00897DAC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MINJUSDH: </w:t>
      </w:r>
      <w:r w:rsidRPr="00897DAC">
        <w:rPr>
          <w:rFonts w:ascii="Arial" w:hAnsi="Arial" w:cs="Arial"/>
          <w:bCs/>
        </w:rPr>
        <w:t xml:space="preserve">Ministerio de Justicia y Derechos Humanos </w:t>
      </w:r>
    </w:p>
    <w:p w14:paraId="4FC215D6" w14:textId="77777777" w:rsidR="000058D1" w:rsidRDefault="000058D1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MEF: </w:t>
      </w:r>
      <w:r w:rsidRPr="000058D1">
        <w:rPr>
          <w:rFonts w:ascii="Arial" w:hAnsi="Arial" w:cs="Arial"/>
        </w:rPr>
        <w:t>Ministerio de Economía y Finanzas.</w:t>
      </w:r>
    </w:p>
    <w:p w14:paraId="63CC9113" w14:textId="77777777" w:rsidR="000058D1" w:rsidRDefault="000058D1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BID: </w:t>
      </w:r>
      <w:r>
        <w:rPr>
          <w:rFonts w:ascii="Arial" w:hAnsi="Arial" w:cs="Arial"/>
        </w:rPr>
        <w:t>Banco Interamericano de Desarrollo.</w:t>
      </w:r>
    </w:p>
    <w:p w14:paraId="39E67A0B" w14:textId="77777777" w:rsidR="000058D1" w:rsidRDefault="000058D1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PEP: </w:t>
      </w:r>
      <w:r w:rsidRPr="000058D1">
        <w:rPr>
          <w:rFonts w:ascii="Arial" w:hAnsi="Arial" w:cs="Arial"/>
        </w:rPr>
        <w:t>Plan de Ejecución del Pro</w:t>
      </w:r>
      <w:r w:rsidR="002B7FA8">
        <w:rPr>
          <w:rFonts w:ascii="Arial" w:hAnsi="Arial" w:cs="Arial"/>
        </w:rPr>
        <w:t>grama</w:t>
      </w:r>
    </w:p>
    <w:p w14:paraId="59E4C04D" w14:textId="77777777" w:rsidR="000058D1" w:rsidRDefault="000058D1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POA: </w:t>
      </w:r>
      <w:r w:rsidRPr="000058D1">
        <w:rPr>
          <w:rFonts w:ascii="Arial" w:hAnsi="Arial" w:cs="Arial"/>
        </w:rPr>
        <w:t>Plan Operativo Anual</w:t>
      </w:r>
    </w:p>
    <w:p w14:paraId="37B22EAD" w14:textId="77777777" w:rsidR="000058D1" w:rsidRPr="000058D1" w:rsidRDefault="000058D1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PA: </w:t>
      </w:r>
      <w:r w:rsidRPr="000058D1">
        <w:rPr>
          <w:rFonts w:ascii="Arial" w:hAnsi="Arial" w:cs="Arial"/>
        </w:rPr>
        <w:t>Plan de Adquisiciones</w:t>
      </w:r>
    </w:p>
    <w:p w14:paraId="49B5817B" w14:textId="77777777" w:rsidR="000058D1" w:rsidRDefault="000058D1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SEPA:</w:t>
      </w:r>
      <w:r w:rsidR="002A0C80">
        <w:rPr>
          <w:rFonts w:ascii="Arial" w:hAnsi="Arial" w:cs="Arial"/>
          <w:b/>
        </w:rPr>
        <w:t xml:space="preserve"> </w:t>
      </w:r>
      <w:r w:rsidR="002A0C80" w:rsidRPr="002A0C80">
        <w:rPr>
          <w:rFonts w:ascii="Arial" w:hAnsi="Arial" w:cs="Arial"/>
        </w:rPr>
        <w:t>Sistema de Ejecución de Planes de Adquisiciones</w:t>
      </w:r>
    </w:p>
    <w:p w14:paraId="53353555" w14:textId="77777777" w:rsidR="000058D1" w:rsidRDefault="000058D1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SEACE:</w:t>
      </w:r>
      <w:r w:rsidR="002A0C80">
        <w:rPr>
          <w:rFonts w:ascii="Arial" w:hAnsi="Arial" w:cs="Arial"/>
          <w:b/>
        </w:rPr>
        <w:t xml:space="preserve"> </w:t>
      </w:r>
      <w:r w:rsidR="002A0C80" w:rsidRPr="002A0C80">
        <w:rPr>
          <w:rFonts w:ascii="Arial" w:hAnsi="Arial" w:cs="Arial"/>
        </w:rPr>
        <w:t>Sistema Electrónico de Adquisiciones y Contrataciones del Estado.</w:t>
      </w:r>
    </w:p>
    <w:p w14:paraId="3B4BDC10" w14:textId="77777777" w:rsidR="000058D1" w:rsidRDefault="000058D1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PMR:</w:t>
      </w:r>
      <w:r w:rsidR="003645BB">
        <w:rPr>
          <w:rFonts w:ascii="Arial" w:hAnsi="Arial" w:cs="Arial"/>
          <w:b/>
        </w:rPr>
        <w:t xml:space="preserve"> </w:t>
      </w:r>
      <w:r w:rsidR="003645BB" w:rsidRPr="003645BB">
        <w:rPr>
          <w:rFonts w:ascii="Arial" w:hAnsi="Arial" w:cs="Arial"/>
        </w:rPr>
        <w:t>Informe del Monitoreo del Progreso.</w:t>
      </w:r>
    </w:p>
    <w:p w14:paraId="68463803" w14:textId="77777777" w:rsidR="000058D1" w:rsidRPr="000058D1" w:rsidRDefault="000058D1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Estudios definitivos: </w:t>
      </w:r>
      <w:r w:rsidRPr="000058D1">
        <w:rPr>
          <w:rFonts w:ascii="Arial" w:hAnsi="Arial" w:cs="Arial"/>
        </w:rPr>
        <w:t>Referidos a los términos de referencia o especificaciones técnicas.</w:t>
      </w:r>
    </w:p>
    <w:p w14:paraId="68DFC200" w14:textId="77777777" w:rsidR="000058D1" w:rsidRPr="00E13DED" w:rsidRDefault="00E13DED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</w:t>
      </w:r>
      <w:r w:rsidR="00CD263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R</w:t>
      </w:r>
      <w:r w:rsidR="00CD263C">
        <w:rPr>
          <w:rFonts w:ascii="Arial" w:hAnsi="Arial" w:cs="Arial"/>
          <w:b/>
        </w:rPr>
        <w:t>´s</w:t>
      </w:r>
      <w:proofErr w:type="spellEnd"/>
      <w:r>
        <w:rPr>
          <w:rFonts w:ascii="Arial" w:hAnsi="Arial" w:cs="Arial"/>
          <w:b/>
        </w:rPr>
        <w:t xml:space="preserve">: </w:t>
      </w:r>
      <w:r w:rsidRPr="00E13DED">
        <w:rPr>
          <w:rFonts w:ascii="Arial" w:hAnsi="Arial" w:cs="Arial"/>
        </w:rPr>
        <w:t>Término</w:t>
      </w:r>
      <w:r w:rsidR="00CD263C">
        <w:rPr>
          <w:rFonts w:ascii="Arial" w:hAnsi="Arial" w:cs="Arial"/>
        </w:rPr>
        <w:t>s</w:t>
      </w:r>
      <w:r w:rsidRPr="00E13DED">
        <w:rPr>
          <w:rFonts w:ascii="Arial" w:hAnsi="Arial" w:cs="Arial"/>
        </w:rPr>
        <w:t xml:space="preserve"> de </w:t>
      </w:r>
      <w:r w:rsidR="00CD263C">
        <w:rPr>
          <w:rFonts w:ascii="Arial" w:hAnsi="Arial" w:cs="Arial"/>
        </w:rPr>
        <w:t>R</w:t>
      </w:r>
      <w:r w:rsidRPr="00E13DED">
        <w:rPr>
          <w:rFonts w:ascii="Arial" w:hAnsi="Arial" w:cs="Arial"/>
        </w:rPr>
        <w:t>eferencia</w:t>
      </w:r>
      <w:r w:rsidR="00CD263C">
        <w:rPr>
          <w:rFonts w:ascii="Arial" w:hAnsi="Arial" w:cs="Arial"/>
        </w:rPr>
        <w:t>s</w:t>
      </w:r>
      <w:r w:rsidRPr="00E13DED">
        <w:rPr>
          <w:rFonts w:ascii="Arial" w:hAnsi="Arial" w:cs="Arial"/>
        </w:rPr>
        <w:t>.</w:t>
      </w:r>
    </w:p>
    <w:p w14:paraId="6B225DF4" w14:textId="77777777" w:rsidR="000058D1" w:rsidRDefault="00E13DED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EE.TT.:</w:t>
      </w:r>
      <w:r w:rsidR="000058D1">
        <w:rPr>
          <w:rFonts w:ascii="Arial" w:hAnsi="Arial" w:cs="Arial"/>
          <w:b/>
        </w:rPr>
        <w:t xml:space="preserve"> </w:t>
      </w:r>
      <w:r w:rsidRPr="00E13DED">
        <w:rPr>
          <w:rFonts w:ascii="Arial" w:hAnsi="Arial" w:cs="Arial"/>
        </w:rPr>
        <w:t>Especificaciones técnicas.</w:t>
      </w:r>
    </w:p>
    <w:p w14:paraId="207B3F52" w14:textId="77777777" w:rsidR="000058D1" w:rsidRDefault="00E13DED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FAR: </w:t>
      </w:r>
      <w:r w:rsidRPr="00E13DED">
        <w:rPr>
          <w:rFonts w:ascii="Arial" w:hAnsi="Arial" w:cs="Arial"/>
        </w:rPr>
        <w:t>Formato de atención de requerimiento</w:t>
      </w:r>
      <w:r>
        <w:rPr>
          <w:rFonts w:ascii="Arial" w:hAnsi="Arial" w:cs="Arial"/>
          <w:b/>
        </w:rPr>
        <w:t>.</w:t>
      </w:r>
    </w:p>
    <w:p w14:paraId="3338F2FF" w14:textId="77777777" w:rsidR="00AD3812" w:rsidRPr="006906CC" w:rsidRDefault="00AD3812" w:rsidP="00AA08A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lang w:val="es-MX"/>
        </w:rPr>
      </w:pPr>
      <w:r w:rsidRPr="006906CC">
        <w:rPr>
          <w:rFonts w:ascii="Arial" w:hAnsi="Arial" w:cs="Arial"/>
          <w:b/>
          <w:lang w:val="es-MX"/>
        </w:rPr>
        <w:t>PE-L 12</w:t>
      </w:r>
      <w:r w:rsidR="002B7FA8" w:rsidRPr="006906CC">
        <w:rPr>
          <w:rFonts w:ascii="Arial" w:hAnsi="Arial" w:cs="Arial"/>
          <w:b/>
          <w:lang w:val="es-MX"/>
        </w:rPr>
        <w:t>3</w:t>
      </w:r>
      <w:r w:rsidR="00897DAC" w:rsidRPr="006906CC">
        <w:rPr>
          <w:rFonts w:ascii="Arial" w:hAnsi="Arial" w:cs="Arial"/>
          <w:b/>
          <w:lang w:val="es-MX"/>
        </w:rPr>
        <w:t>0</w:t>
      </w:r>
      <w:r w:rsidRPr="006906CC">
        <w:rPr>
          <w:rFonts w:ascii="Arial" w:hAnsi="Arial" w:cs="Arial"/>
          <w:b/>
          <w:lang w:val="es-MX"/>
        </w:rPr>
        <w:t xml:space="preserve">: </w:t>
      </w:r>
      <w:r w:rsidR="002B7FA8" w:rsidRPr="006906CC">
        <w:rPr>
          <w:rFonts w:ascii="Arial" w:hAnsi="Arial" w:cs="Arial"/>
          <w:lang w:val="es-MX"/>
        </w:rPr>
        <w:t>Programa</w:t>
      </w:r>
      <w:r w:rsidRPr="006906CC">
        <w:rPr>
          <w:rFonts w:ascii="Arial" w:hAnsi="Arial" w:cs="Arial"/>
          <w:lang w:val="es-MX"/>
        </w:rPr>
        <w:t xml:space="preserve"> </w:t>
      </w:r>
      <w:r w:rsidR="006906CC" w:rsidRPr="006906CC">
        <w:rPr>
          <w:rFonts w:ascii="Arial" w:hAnsi="Arial" w:cs="Arial"/>
          <w:lang w:val="es-MX"/>
        </w:rPr>
        <w:t>de Apoyo a la</w:t>
      </w:r>
      <w:r w:rsidR="006906CC">
        <w:rPr>
          <w:rFonts w:ascii="Arial" w:hAnsi="Arial" w:cs="Arial"/>
          <w:lang w:val="es-MX"/>
        </w:rPr>
        <w:t xml:space="preserve"> Interoperabilidad del Sistema de Administración Penal.</w:t>
      </w:r>
    </w:p>
    <w:p w14:paraId="2ACF020C" w14:textId="77777777" w:rsidR="000058D1" w:rsidRPr="006906CC" w:rsidRDefault="000058D1" w:rsidP="00BE71AC">
      <w:pPr>
        <w:jc w:val="both"/>
        <w:rPr>
          <w:rFonts w:ascii="Arial" w:hAnsi="Arial" w:cs="Arial"/>
          <w:b/>
          <w:lang w:val="es-MX"/>
        </w:rPr>
      </w:pPr>
    </w:p>
    <w:p w14:paraId="628E3EEE" w14:textId="77777777" w:rsidR="000058D1" w:rsidRPr="006906CC" w:rsidRDefault="000058D1" w:rsidP="00BE71AC">
      <w:pPr>
        <w:jc w:val="both"/>
        <w:rPr>
          <w:rFonts w:ascii="Arial" w:hAnsi="Arial" w:cs="Arial"/>
          <w:b/>
          <w:lang w:val="es-MX"/>
        </w:rPr>
      </w:pPr>
    </w:p>
    <w:p w14:paraId="06110FA0" w14:textId="77777777" w:rsidR="000058D1" w:rsidRPr="006906CC" w:rsidRDefault="000058D1" w:rsidP="00BE71AC">
      <w:pPr>
        <w:jc w:val="both"/>
        <w:rPr>
          <w:rFonts w:ascii="Arial" w:hAnsi="Arial" w:cs="Arial"/>
          <w:b/>
          <w:lang w:val="es-MX"/>
        </w:rPr>
      </w:pPr>
    </w:p>
    <w:p w14:paraId="57911476" w14:textId="77777777" w:rsidR="000058D1" w:rsidRPr="006906CC" w:rsidRDefault="000058D1" w:rsidP="00BE71AC">
      <w:pPr>
        <w:jc w:val="both"/>
        <w:rPr>
          <w:rFonts w:ascii="Arial" w:hAnsi="Arial" w:cs="Arial"/>
          <w:b/>
          <w:lang w:val="es-MX"/>
        </w:rPr>
      </w:pPr>
    </w:p>
    <w:p w14:paraId="73CADA91" w14:textId="77777777" w:rsidR="000058D1" w:rsidRPr="006906CC" w:rsidRDefault="000058D1" w:rsidP="00BE71AC">
      <w:pPr>
        <w:jc w:val="both"/>
        <w:rPr>
          <w:rFonts w:ascii="Arial" w:hAnsi="Arial" w:cs="Arial"/>
          <w:b/>
          <w:lang w:val="es-MX"/>
        </w:rPr>
      </w:pPr>
    </w:p>
    <w:p w14:paraId="482FD580" w14:textId="77777777" w:rsidR="00B35EA4" w:rsidRPr="006906CC" w:rsidRDefault="00B35EA4" w:rsidP="00BE71AC">
      <w:pPr>
        <w:jc w:val="both"/>
        <w:rPr>
          <w:rFonts w:ascii="Arial" w:hAnsi="Arial" w:cs="Arial"/>
          <w:b/>
          <w:lang w:val="es-MX"/>
        </w:rPr>
      </w:pPr>
    </w:p>
    <w:p w14:paraId="6E1E6DD5" w14:textId="77777777" w:rsidR="00B35EA4" w:rsidRPr="006906CC" w:rsidRDefault="00B35EA4" w:rsidP="00BE71AC">
      <w:pPr>
        <w:jc w:val="both"/>
        <w:rPr>
          <w:rFonts w:ascii="Arial" w:hAnsi="Arial" w:cs="Arial"/>
          <w:b/>
          <w:lang w:val="es-MX"/>
        </w:rPr>
      </w:pPr>
    </w:p>
    <w:p w14:paraId="20687885" w14:textId="77777777" w:rsidR="00B35EA4" w:rsidRPr="006906CC" w:rsidRDefault="00B35EA4" w:rsidP="00BE71AC">
      <w:pPr>
        <w:jc w:val="both"/>
        <w:rPr>
          <w:rFonts w:ascii="Arial" w:hAnsi="Arial" w:cs="Arial"/>
          <w:b/>
          <w:lang w:val="es-MX"/>
        </w:rPr>
      </w:pPr>
    </w:p>
    <w:p w14:paraId="62E44EC5" w14:textId="77777777" w:rsidR="00B35EA4" w:rsidRPr="006906CC" w:rsidRDefault="00B35EA4" w:rsidP="00BE71AC">
      <w:pPr>
        <w:jc w:val="both"/>
        <w:rPr>
          <w:rFonts w:ascii="Arial" w:hAnsi="Arial" w:cs="Arial"/>
          <w:b/>
          <w:lang w:val="es-MX"/>
        </w:rPr>
      </w:pPr>
    </w:p>
    <w:p w14:paraId="6BAECE34" w14:textId="77777777" w:rsidR="00B35EA4" w:rsidRPr="006906CC" w:rsidRDefault="00B35EA4" w:rsidP="00BE71AC">
      <w:pPr>
        <w:jc w:val="both"/>
        <w:rPr>
          <w:rFonts w:ascii="Arial" w:hAnsi="Arial" w:cs="Arial"/>
          <w:b/>
          <w:lang w:val="es-MX"/>
        </w:rPr>
      </w:pPr>
    </w:p>
    <w:p w14:paraId="2C299DA6" w14:textId="77777777" w:rsidR="00B35EA4" w:rsidRPr="006906CC" w:rsidRDefault="00B35EA4" w:rsidP="00BE71AC">
      <w:pPr>
        <w:jc w:val="both"/>
        <w:rPr>
          <w:rFonts w:ascii="Arial" w:hAnsi="Arial" w:cs="Arial"/>
          <w:b/>
          <w:lang w:val="es-MX"/>
        </w:rPr>
      </w:pPr>
    </w:p>
    <w:p w14:paraId="5391AD6A" w14:textId="77777777" w:rsidR="00B35EA4" w:rsidRPr="006906CC" w:rsidRDefault="00B35EA4" w:rsidP="00BE71AC">
      <w:pPr>
        <w:jc w:val="both"/>
        <w:rPr>
          <w:rFonts w:ascii="Arial" w:hAnsi="Arial" w:cs="Arial"/>
          <w:b/>
          <w:lang w:val="es-MX"/>
        </w:rPr>
      </w:pPr>
    </w:p>
    <w:p w14:paraId="16B6999F" w14:textId="77777777" w:rsidR="00B35EA4" w:rsidRPr="006906CC" w:rsidRDefault="00B35EA4" w:rsidP="00BE71AC">
      <w:pPr>
        <w:jc w:val="both"/>
        <w:rPr>
          <w:rFonts w:ascii="Arial" w:hAnsi="Arial" w:cs="Arial"/>
          <w:b/>
          <w:lang w:val="es-MX"/>
        </w:rPr>
      </w:pPr>
    </w:p>
    <w:p w14:paraId="763021A1" w14:textId="77777777" w:rsidR="00091150" w:rsidRDefault="003B17D3" w:rsidP="00474FB4">
      <w:pPr>
        <w:pStyle w:val="Heading1"/>
        <w:numPr>
          <w:ilvl w:val="0"/>
          <w:numId w:val="0"/>
        </w:numP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</w:pPr>
      <w:bookmarkStart w:id="11" w:name="_Toc16284556"/>
      <w:r>
        <w:rPr>
          <w:rFonts w:ascii="Arial" w:hAnsi="Arial" w:cs="Arial"/>
        </w:rPr>
        <w:lastRenderedPageBreak/>
        <w:t>A</w:t>
      </w:r>
      <w:r w:rsidR="00BE71AC" w:rsidRPr="00091150">
        <w:rPr>
          <w:rFonts w:ascii="Arial" w:hAnsi="Arial" w:cs="Arial"/>
        </w:rPr>
        <w:t>LCANCE</w:t>
      </w:r>
      <w:bookmarkEnd w:id="11"/>
    </w:p>
    <w:p w14:paraId="2F871886" w14:textId="77777777" w:rsidR="00BE71AC" w:rsidRPr="00091150" w:rsidRDefault="00BE71AC" w:rsidP="00AD3812">
      <w:pPr>
        <w:pStyle w:val="Heading1"/>
        <w:numPr>
          <w:ilvl w:val="0"/>
          <w:numId w:val="0"/>
        </w:numPr>
        <w:spacing w:before="0"/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</w:pPr>
      <w:r w:rsidRPr="00091150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 xml:space="preserve"> </w:t>
      </w:r>
    </w:p>
    <w:p w14:paraId="6CC48A0B" w14:textId="672C04B6" w:rsidR="0064315A" w:rsidRPr="006D65CA" w:rsidRDefault="00BE71AC" w:rsidP="00BE71AC">
      <w:pPr>
        <w:jc w:val="both"/>
        <w:rPr>
          <w:rFonts w:ascii="Arial" w:hAnsi="Arial" w:cs="Arial"/>
          <w:sz w:val="20"/>
          <w:szCs w:val="20"/>
        </w:rPr>
      </w:pPr>
      <w:r w:rsidRPr="006D65CA">
        <w:rPr>
          <w:rFonts w:ascii="Arial" w:hAnsi="Arial" w:cs="Arial"/>
          <w:sz w:val="20"/>
          <w:szCs w:val="20"/>
        </w:rPr>
        <w:t xml:space="preserve">El </w:t>
      </w:r>
      <w:r w:rsidR="0013157C" w:rsidRPr="006D65CA">
        <w:rPr>
          <w:rFonts w:ascii="Arial" w:hAnsi="Arial" w:cs="Arial"/>
          <w:sz w:val="20"/>
          <w:szCs w:val="20"/>
        </w:rPr>
        <w:t xml:space="preserve">presente </w:t>
      </w:r>
      <w:r w:rsidR="00370B96" w:rsidRPr="006D65CA">
        <w:rPr>
          <w:rFonts w:ascii="Arial" w:hAnsi="Arial" w:cs="Arial"/>
          <w:sz w:val="20"/>
          <w:szCs w:val="20"/>
        </w:rPr>
        <w:t>M</w:t>
      </w:r>
      <w:r w:rsidR="0013157C" w:rsidRPr="006D65CA">
        <w:rPr>
          <w:rFonts w:ascii="Arial" w:hAnsi="Arial" w:cs="Arial"/>
          <w:sz w:val="20"/>
          <w:szCs w:val="20"/>
        </w:rPr>
        <w:t>OP</w:t>
      </w:r>
      <w:r w:rsidRPr="006D65CA">
        <w:rPr>
          <w:rFonts w:ascii="Arial" w:hAnsi="Arial" w:cs="Arial"/>
          <w:sz w:val="20"/>
          <w:szCs w:val="20"/>
        </w:rPr>
        <w:t xml:space="preserve"> </w:t>
      </w:r>
      <w:r w:rsidR="00D66340" w:rsidRPr="006D65CA">
        <w:rPr>
          <w:rFonts w:ascii="Arial" w:hAnsi="Arial" w:cs="Arial"/>
          <w:sz w:val="20"/>
          <w:szCs w:val="20"/>
        </w:rPr>
        <w:t xml:space="preserve">es para el </w:t>
      </w:r>
      <w:r w:rsidR="002B7FA8" w:rsidRPr="006D65CA">
        <w:rPr>
          <w:rFonts w:ascii="Arial" w:hAnsi="Arial" w:cs="Arial"/>
          <w:sz w:val="20"/>
          <w:szCs w:val="20"/>
        </w:rPr>
        <w:t>programa</w:t>
      </w:r>
      <w:r w:rsidR="00D66340" w:rsidRPr="006D65CA">
        <w:rPr>
          <w:rFonts w:ascii="Arial" w:hAnsi="Arial" w:cs="Arial"/>
          <w:sz w:val="20"/>
          <w:szCs w:val="20"/>
        </w:rPr>
        <w:t xml:space="preserve"> PE-L12</w:t>
      </w:r>
      <w:r w:rsidR="002A4AF3" w:rsidRPr="006D65CA">
        <w:rPr>
          <w:rFonts w:ascii="Arial" w:hAnsi="Arial" w:cs="Arial"/>
          <w:sz w:val="20"/>
          <w:szCs w:val="20"/>
        </w:rPr>
        <w:t>3</w:t>
      </w:r>
      <w:r w:rsidR="00370B96" w:rsidRPr="006D65CA">
        <w:rPr>
          <w:rFonts w:ascii="Arial" w:hAnsi="Arial" w:cs="Arial"/>
          <w:sz w:val="20"/>
          <w:szCs w:val="20"/>
        </w:rPr>
        <w:t>0</w:t>
      </w:r>
      <w:r w:rsidR="00D66340" w:rsidRPr="006D65CA">
        <w:rPr>
          <w:rFonts w:ascii="Arial" w:hAnsi="Arial" w:cs="Arial"/>
          <w:sz w:val="20"/>
          <w:szCs w:val="20"/>
        </w:rPr>
        <w:t xml:space="preserve"> </w:t>
      </w:r>
      <w:r w:rsidR="00411AE3" w:rsidRPr="00411AE3">
        <w:rPr>
          <w:rFonts w:ascii="Arial" w:hAnsi="Arial" w:cs="Arial"/>
          <w:sz w:val="20"/>
          <w:szCs w:val="20"/>
        </w:rPr>
        <w:t>“Programa de Mejoramiento de los Servicios de Justicia en Materia Penal”</w:t>
      </w:r>
      <w:r w:rsidR="002B7FA8" w:rsidRPr="006D65CA">
        <w:rPr>
          <w:rFonts w:ascii="Arial" w:hAnsi="Arial" w:cs="Arial"/>
          <w:sz w:val="20"/>
          <w:szCs w:val="20"/>
        </w:rPr>
        <w:t xml:space="preserve">, </w:t>
      </w:r>
      <w:r w:rsidR="0064315A" w:rsidRPr="006D65CA">
        <w:rPr>
          <w:rFonts w:ascii="Arial" w:hAnsi="Arial" w:cs="Arial"/>
          <w:sz w:val="20"/>
          <w:szCs w:val="20"/>
        </w:rPr>
        <w:t xml:space="preserve">(al que denominaremos </w:t>
      </w:r>
      <w:r w:rsidR="002B7FA8" w:rsidRPr="006D65CA">
        <w:rPr>
          <w:rFonts w:ascii="Arial" w:hAnsi="Arial" w:cs="Arial"/>
          <w:sz w:val="20"/>
          <w:szCs w:val="20"/>
        </w:rPr>
        <w:t>Programa</w:t>
      </w:r>
      <w:r w:rsidR="00D66340" w:rsidRPr="006D65CA">
        <w:rPr>
          <w:rFonts w:ascii="Arial" w:hAnsi="Arial" w:cs="Arial"/>
          <w:sz w:val="20"/>
          <w:szCs w:val="20"/>
        </w:rPr>
        <w:t xml:space="preserve"> BID</w:t>
      </w:r>
      <w:r w:rsidR="0064315A" w:rsidRPr="006D65CA">
        <w:rPr>
          <w:rFonts w:ascii="Arial" w:hAnsi="Arial" w:cs="Arial"/>
          <w:sz w:val="20"/>
          <w:szCs w:val="20"/>
        </w:rPr>
        <w:t xml:space="preserve">), y el cual se encuentra financiado en parte a través del </w:t>
      </w:r>
      <w:r w:rsidRPr="006D65CA">
        <w:rPr>
          <w:rFonts w:ascii="Arial" w:hAnsi="Arial" w:cs="Arial"/>
          <w:sz w:val="20"/>
          <w:szCs w:val="20"/>
        </w:rPr>
        <w:t xml:space="preserve">Contrato de Préstamo </w:t>
      </w:r>
      <w:proofErr w:type="spellStart"/>
      <w:r w:rsidRPr="006D65CA">
        <w:rPr>
          <w:rFonts w:ascii="Arial" w:hAnsi="Arial" w:cs="Arial"/>
          <w:sz w:val="20"/>
          <w:szCs w:val="20"/>
        </w:rPr>
        <w:t>N°</w:t>
      </w:r>
      <w:proofErr w:type="spellEnd"/>
      <w:r w:rsidR="0000210F" w:rsidRPr="006D65CA">
        <w:rPr>
          <w:rFonts w:ascii="Arial" w:hAnsi="Arial" w:cs="Arial"/>
          <w:sz w:val="20"/>
          <w:szCs w:val="20"/>
        </w:rPr>
        <w:t xml:space="preserve"> </w:t>
      </w:r>
      <w:r w:rsidR="00867174" w:rsidRPr="006D65CA">
        <w:rPr>
          <w:rFonts w:ascii="Arial" w:hAnsi="Arial" w:cs="Arial"/>
          <w:sz w:val="20"/>
          <w:szCs w:val="20"/>
          <w:highlight w:val="yellow"/>
        </w:rPr>
        <w:t>XXX</w:t>
      </w:r>
      <w:r w:rsidRPr="006D65CA">
        <w:rPr>
          <w:rFonts w:ascii="Arial" w:hAnsi="Arial" w:cs="Arial"/>
          <w:sz w:val="20"/>
          <w:szCs w:val="20"/>
        </w:rPr>
        <w:t>/OC-PE</w:t>
      </w:r>
      <w:r w:rsidR="0064315A" w:rsidRPr="006D65CA">
        <w:rPr>
          <w:rFonts w:ascii="Arial" w:hAnsi="Arial" w:cs="Arial"/>
          <w:sz w:val="20"/>
          <w:szCs w:val="20"/>
        </w:rPr>
        <w:t>.</w:t>
      </w:r>
      <w:r w:rsidRPr="006D65CA">
        <w:rPr>
          <w:rFonts w:ascii="Arial" w:hAnsi="Arial" w:cs="Arial"/>
          <w:sz w:val="20"/>
          <w:szCs w:val="20"/>
        </w:rPr>
        <w:t xml:space="preserve"> </w:t>
      </w:r>
    </w:p>
    <w:p w14:paraId="4AF0BF22" w14:textId="77777777" w:rsidR="00BE71AC" w:rsidRPr="006D65CA" w:rsidRDefault="00BE71AC" w:rsidP="00BE71AC">
      <w:pPr>
        <w:pStyle w:val="Normal1"/>
        <w:contextualSpacing/>
        <w:jc w:val="both"/>
        <w:rPr>
          <w:rFonts w:ascii="Arial" w:hAnsi="Arial" w:cs="Arial"/>
          <w:sz w:val="20"/>
          <w:szCs w:val="20"/>
        </w:rPr>
      </w:pPr>
      <w:r w:rsidRPr="006D65CA">
        <w:rPr>
          <w:rFonts w:ascii="Arial" w:hAnsi="Arial" w:cs="Arial"/>
          <w:sz w:val="20"/>
          <w:szCs w:val="20"/>
        </w:rPr>
        <w:t xml:space="preserve">El contenido del </w:t>
      </w:r>
      <w:r w:rsidR="00897DAC" w:rsidRPr="006D65CA">
        <w:rPr>
          <w:rFonts w:ascii="Arial" w:hAnsi="Arial" w:cs="Arial"/>
          <w:sz w:val="20"/>
          <w:szCs w:val="20"/>
        </w:rPr>
        <w:t>M</w:t>
      </w:r>
      <w:r w:rsidRPr="006D65CA">
        <w:rPr>
          <w:rFonts w:ascii="Arial" w:hAnsi="Arial" w:cs="Arial"/>
          <w:sz w:val="20"/>
          <w:szCs w:val="20"/>
        </w:rPr>
        <w:t>OP es el siguiente:</w:t>
      </w:r>
    </w:p>
    <w:p w14:paraId="10E14E00" w14:textId="77777777" w:rsidR="00BE71AC" w:rsidRPr="006D65CA" w:rsidRDefault="00BE71AC" w:rsidP="00BE71AC">
      <w:pPr>
        <w:pStyle w:val="Normal1"/>
        <w:contextualSpacing/>
        <w:jc w:val="both"/>
        <w:rPr>
          <w:rFonts w:ascii="Arial" w:hAnsi="Arial" w:cs="Arial"/>
          <w:sz w:val="20"/>
          <w:szCs w:val="20"/>
        </w:rPr>
      </w:pPr>
    </w:p>
    <w:p w14:paraId="2E7A16E4" w14:textId="77777777" w:rsidR="00887DB4" w:rsidRPr="006D65CA" w:rsidRDefault="00BE71AC" w:rsidP="00AA08AA">
      <w:pPr>
        <w:pStyle w:val="Normal1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D65CA">
        <w:rPr>
          <w:rFonts w:ascii="Arial" w:hAnsi="Arial" w:cs="Arial"/>
          <w:b/>
          <w:sz w:val="20"/>
          <w:szCs w:val="20"/>
        </w:rPr>
        <w:t>Capítulo 1</w:t>
      </w:r>
      <w:r w:rsidR="001403FD" w:rsidRPr="006D65CA">
        <w:rPr>
          <w:rFonts w:ascii="Arial" w:hAnsi="Arial" w:cs="Arial"/>
          <w:b/>
          <w:sz w:val="20"/>
          <w:szCs w:val="20"/>
        </w:rPr>
        <w:t>:</w:t>
      </w:r>
      <w:r w:rsidR="001403FD" w:rsidRPr="006D65CA">
        <w:rPr>
          <w:rFonts w:ascii="Arial" w:hAnsi="Arial" w:cs="Arial"/>
          <w:sz w:val="20"/>
          <w:szCs w:val="20"/>
        </w:rPr>
        <w:t xml:space="preserve"> </w:t>
      </w:r>
      <w:r w:rsidRPr="006D65CA">
        <w:rPr>
          <w:rFonts w:ascii="Arial" w:hAnsi="Arial" w:cs="Arial"/>
          <w:sz w:val="20"/>
          <w:szCs w:val="20"/>
        </w:rPr>
        <w:t xml:space="preserve">Descripción del </w:t>
      </w:r>
      <w:r w:rsidR="002B7FA8" w:rsidRPr="006D65CA">
        <w:rPr>
          <w:rFonts w:ascii="Arial" w:hAnsi="Arial" w:cs="Arial"/>
          <w:sz w:val="20"/>
          <w:szCs w:val="20"/>
        </w:rPr>
        <w:t>Programa BID</w:t>
      </w:r>
      <w:r w:rsidRPr="006D65CA">
        <w:rPr>
          <w:rFonts w:ascii="Arial" w:hAnsi="Arial" w:cs="Arial"/>
          <w:sz w:val="20"/>
          <w:szCs w:val="20"/>
        </w:rPr>
        <w:t>, sus componentes</w:t>
      </w:r>
      <w:r w:rsidR="00952B66" w:rsidRPr="006D65CA">
        <w:rPr>
          <w:rFonts w:ascii="Arial" w:hAnsi="Arial" w:cs="Arial"/>
          <w:sz w:val="20"/>
          <w:szCs w:val="20"/>
        </w:rPr>
        <w:t>,</w:t>
      </w:r>
      <w:r w:rsidRPr="006D65CA">
        <w:rPr>
          <w:rFonts w:ascii="Arial" w:hAnsi="Arial" w:cs="Arial"/>
          <w:sz w:val="20"/>
          <w:szCs w:val="20"/>
        </w:rPr>
        <w:t xml:space="preserve"> costo y financiamiento. </w:t>
      </w:r>
    </w:p>
    <w:p w14:paraId="1CCCE7D8" w14:textId="77777777" w:rsidR="00BE71AC" w:rsidRPr="006D65CA" w:rsidRDefault="00BE71AC" w:rsidP="00BE71AC">
      <w:pPr>
        <w:pStyle w:val="Normal1"/>
        <w:contextualSpacing/>
        <w:jc w:val="both"/>
        <w:rPr>
          <w:rFonts w:ascii="Arial" w:hAnsi="Arial" w:cs="Arial"/>
          <w:sz w:val="20"/>
          <w:szCs w:val="20"/>
        </w:rPr>
      </w:pPr>
    </w:p>
    <w:p w14:paraId="7BE71A17" w14:textId="77777777" w:rsidR="00887DB4" w:rsidRPr="006D65CA" w:rsidRDefault="00BE71AC" w:rsidP="00AA08AA">
      <w:pPr>
        <w:pStyle w:val="Normal1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D65CA">
        <w:rPr>
          <w:rFonts w:ascii="Arial" w:hAnsi="Arial" w:cs="Arial"/>
          <w:b/>
          <w:sz w:val="20"/>
          <w:szCs w:val="20"/>
        </w:rPr>
        <w:t>Capítulo 2</w:t>
      </w:r>
      <w:r w:rsidR="001403FD" w:rsidRPr="006D65CA">
        <w:rPr>
          <w:rFonts w:ascii="Arial" w:hAnsi="Arial" w:cs="Arial"/>
          <w:b/>
          <w:sz w:val="20"/>
          <w:szCs w:val="20"/>
        </w:rPr>
        <w:t>:</w:t>
      </w:r>
      <w:r w:rsidR="001403FD" w:rsidRPr="006D65CA">
        <w:rPr>
          <w:rFonts w:ascii="Arial" w:hAnsi="Arial" w:cs="Arial"/>
          <w:sz w:val="20"/>
          <w:szCs w:val="20"/>
        </w:rPr>
        <w:t xml:space="preserve"> </w:t>
      </w:r>
      <w:r w:rsidRPr="006D65CA">
        <w:rPr>
          <w:rFonts w:ascii="Arial" w:hAnsi="Arial" w:cs="Arial"/>
          <w:sz w:val="20"/>
          <w:szCs w:val="20"/>
        </w:rPr>
        <w:t xml:space="preserve">Marco Institucional. En este apartado se </w:t>
      </w:r>
      <w:r w:rsidR="00C34C35" w:rsidRPr="006D65CA">
        <w:rPr>
          <w:rFonts w:ascii="Arial" w:hAnsi="Arial" w:cs="Arial"/>
          <w:sz w:val="20"/>
          <w:szCs w:val="20"/>
        </w:rPr>
        <w:t xml:space="preserve">detallará la organización y esquema de ejecución del </w:t>
      </w:r>
      <w:r w:rsidR="002B7FA8" w:rsidRPr="006D65CA">
        <w:rPr>
          <w:rFonts w:ascii="Arial" w:hAnsi="Arial" w:cs="Arial"/>
          <w:sz w:val="20"/>
          <w:szCs w:val="20"/>
        </w:rPr>
        <w:t>Programa BID</w:t>
      </w:r>
      <w:r w:rsidR="00C34C35" w:rsidRPr="006D65CA">
        <w:rPr>
          <w:rFonts w:ascii="Arial" w:hAnsi="Arial" w:cs="Arial"/>
          <w:sz w:val="20"/>
          <w:szCs w:val="20"/>
        </w:rPr>
        <w:t xml:space="preserve">, con referencia </w:t>
      </w:r>
      <w:r w:rsidRPr="006D65CA">
        <w:rPr>
          <w:rFonts w:ascii="Arial" w:hAnsi="Arial" w:cs="Arial"/>
          <w:sz w:val="20"/>
          <w:szCs w:val="20"/>
        </w:rPr>
        <w:t>a las unidades organizacionales involucradas en el proceso de ejecución de las actividades previstas</w:t>
      </w:r>
      <w:r w:rsidR="003F386C" w:rsidRPr="006D65CA">
        <w:rPr>
          <w:rFonts w:ascii="Arial" w:hAnsi="Arial" w:cs="Arial"/>
          <w:sz w:val="20"/>
          <w:szCs w:val="20"/>
        </w:rPr>
        <w:t xml:space="preserve"> </w:t>
      </w:r>
      <w:r w:rsidRPr="006D65CA">
        <w:rPr>
          <w:rFonts w:ascii="Arial" w:hAnsi="Arial" w:cs="Arial"/>
          <w:sz w:val="20"/>
          <w:szCs w:val="20"/>
        </w:rPr>
        <w:t xml:space="preserve">y las interrelaciones entre </w:t>
      </w:r>
      <w:r w:rsidR="003F386C" w:rsidRPr="006D65CA">
        <w:rPr>
          <w:rFonts w:ascii="Arial" w:hAnsi="Arial" w:cs="Arial"/>
          <w:sz w:val="20"/>
          <w:szCs w:val="20"/>
        </w:rPr>
        <w:t>las referidas unidades</w:t>
      </w:r>
      <w:r w:rsidRPr="006D65CA">
        <w:rPr>
          <w:rFonts w:ascii="Arial" w:hAnsi="Arial" w:cs="Arial"/>
          <w:sz w:val="20"/>
          <w:szCs w:val="20"/>
        </w:rPr>
        <w:t>, funciones</w:t>
      </w:r>
      <w:r w:rsidR="003F386C" w:rsidRPr="006D65CA">
        <w:rPr>
          <w:rFonts w:ascii="Arial" w:hAnsi="Arial" w:cs="Arial"/>
          <w:sz w:val="20"/>
          <w:szCs w:val="20"/>
        </w:rPr>
        <w:t xml:space="preserve"> y</w:t>
      </w:r>
      <w:r w:rsidRPr="006D65CA">
        <w:rPr>
          <w:rFonts w:ascii="Arial" w:hAnsi="Arial" w:cs="Arial"/>
          <w:sz w:val="20"/>
          <w:szCs w:val="20"/>
        </w:rPr>
        <w:t xml:space="preserve"> responsabilidades</w:t>
      </w:r>
      <w:r w:rsidR="003F386C" w:rsidRPr="006D65CA">
        <w:rPr>
          <w:rFonts w:ascii="Arial" w:hAnsi="Arial" w:cs="Arial"/>
          <w:sz w:val="20"/>
          <w:szCs w:val="20"/>
        </w:rPr>
        <w:t>.</w:t>
      </w:r>
    </w:p>
    <w:p w14:paraId="6BE0CF47" w14:textId="77777777" w:rsidR="00BE71AC" w:rsidRPr="006D65CA" w:rsidRDefault="00BE71AC" w:rsidP="00BE71AC">
      <w:pPr>
        <w:pStyle w:val="Normal1"/>
        <w:contextualSpacing/>
        <w:jc w:val="both"/>
        <w:rPr>
          <w:rFonts w:ascii="Arial" w:hAnsi="Arial" w:cs="Arial"/>
          <w:sz w:val="20"/>
          <w:szCs w:val="20"/>
        </w:rPr>
      </w:pPr>
    </w:p>
    <w:p w14:paraId="2A7CB86D" w14:textId="77777777" w:rsidR="00887DB4" w:rsidRPr="006D65CA" w:rsidRDefault="001403FD" w:rsidP="00AA08AA">
      <w:pPr>
        <w:pStyle w:val="Normal1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D65CA">
        <w:rPr>
          <w:rFonts w:ascii="Arial" w:hAnsi="Arial" w:cs="Arial"/>
          <w:b/>
          <w:sz w:val="20"/>
          <w:szCs w:val="20"/>
        </w:rPr>
        <w:t>Capítulo 3</w:t>
      </w:r>
      <w:r w:rsidRPr="006D65CA">
        <w:rPr>
          <w:rFonts w:ascii="Arial" w:hAnsi="Arial" w:cs="Arial"/>
          <w:sz w:val="20"/>
          <w:szCs w:val="20"/>
        </w:rPr>
        <w:t>:</w:t>
      </w:r>
      <w:r w:rsidR="00BE71AC" w:rsidRPr="006D65CA">
        <w:rPr>
          <w:rFonts w:ascii="Arial" w:hAnsi="Arial" w:cs="Arial"/>
          <w:sz w:val="20"/>
          <w:szCs w:val="20"/>
        </w:rPr>
        <w:t xml:space="preserve"> Ciclo Opera</w:t>
      </w:r>
      <w:r w:rsidR="0010595E" w:rsidRPr="006D65CA">
        <w:rPr>
          <w:rFonts w:ascii="Arial" w:hAnsi="Arial" w:cs="Arial"/>
          <w:sz w:val="20"/>
          <w:szCs w:val="20"/>
        </w:rPr>
        <w:t>cional</w:t>
      </w:r>
      <w:r w:rsidR="00BE71AC" w:rsidRPr="006D65CA">
        <w:rPr>
          <w:rFonts w:ascii="Arial" w:hAnsi="Arial" w:cs="Arial"/>
          <w:sz w:val="20"/>
          <w:szCs w:val="20"/>
        </w:rPr>
        <w:t xml:space="preserve"> del Pro</w:t>
      </w:r>
      <w:r w:rsidR="002B7FA8" w:rsidRPr="006D65CA">
        <w:rPr>
          <w:rFonts w:ascii="Arial" w:hAnsi="Arial" w:cs="Arial"/>
          <w:sz w:val="20"/>
          <w:szCs w:val="20"/>
        </w:rPr>
        <w:t>grama</w:t>
      </w:r>
      <w:r w:rsidR="00BE71AC" w:rsidRPr="006D65CA">
        <w:rPr>
          <w:rFonts w:ascii="Arial" w:hAnsi="Arial" w:cs="Arial"/>
          <w:sz w:val="20"/>
          <w:szCs w:val="20"/>
        </w:rPr>
        <w:t xml:space="preserve">. En este capítulo se </w:t>
      </w:r>
      <w:r w:rsidR="00B70150" w:rsidRPr="006D65CA">
        <w:rPr>
          <w:rFonts w:ascii="Arial" w:hAnsi="Arial" w:cs="Arial"/>
          <w:sz w:val="20"/>
          <w:szCs w:val="20"/>
        </w:rPr>
        <w:t xml:space="preserve">detallará </w:t>
      </w:r>
      <w:r w:rsidR="00BE71AC" w:rsidRPr="006D65CA">
        <w:rPr>
          <w:rFonts w:ascii="Arial" w:hAnsi="Arial" w:cs="Arial"/>
          <w:sz w:val="20"/>
          <w:szCs w:val="20"/>
        </w:rPr>
        <w:t xml:space="preserve">el ciclo operacional </w:t>
      </w:r>
      <w:r w:rsidR="00B70150" w:rsidRPr="006D65CA">
        <w:rPr>
          <w:rFonts w:ascii="Arial" w:hAnsi="Arial" w:cs="Arial"/>
          <w:sz w:val="20"/>
          <w:szCs w:val="20"/>
        </w:rPr>
        <w:t xml:space="preserve">del </w:t>
      </w:r>
      <w:r w:rsidR="002B7FA8" w:rsidRPr="006D65CA">
        <w:rPr>
          <w:rFonts w:ascii="Arial" w:hAnsi="Arial" w:cs="Arial"/>
          <w:sz w:val="20"/>
          <w:szCs w:val="20"/>
        </w:rPr>
        <w:t>Programa BID</w:t>
      </w:r>
      <w:r w:rsidR="00B70150" w:rsidRPr="006D65CA">
        <w:rPr>
          <w:rFonts w:ascii="Arial" w:hAnsi="Arial" w:cs="Arial"/>
          <w:sz w:val="20"/>
          <w:szCs w:val="20"/>
        </w:rPr>
        <w:t xml:space="preserve">, </w:t>
      </w:r>
      <w:r w:rsidR="00BE71AC" w:rsidRPr="006D65CA">
        <w:rPr>
          <w:rFonts w:ascii="Arial" w:hAnsi="Arial" w:cs="Arial"/>
          <w:sz w:val="20"/>
          <w:szCs w:val="20"/>
        </w:rPr>
        <w:t xml:space="preserve">que </w:t>
      </w:r>
      <w:r w:rsidR="00B70150" w:rsidRPr="006D65CA">
        <w:rPr>
          <w:rFonts w:ascii="Arial" w:hAnsi="Arial" w:cs="Arial"/>
          <w:sz w:val="20"/>
          <w:szCs w:val="20"/>
        </w:rPr>
        <w:t>comprende e</w:t>
      </w:r>
      <w:r w:rsidR="00BE71AC" w:rsidRPr="006D65CA">
        <w:rPr>
          <w:rFonts w:ascii="Arial" w:hAnsi="Arial" w:cs="Arial"/>
          <w:sz w:val="20"/>
          <w:szCs w:val="20"/>
        </w:rPr>
        <w:t xml:space="preserve">l proceso de planeamiento y priorización en el uso de los recursos, la preparación de los Planes Operativos Anuales (POA), el planeamiento de los procesos de selección y contratación, pagos, desembolsos, liquidación y cierre de los contratos, términos y condiciones de la gestión financiera y contable, la definición de los esquemas de monitoreo y evaluación del </w:t>
      </w:r>
      <w:r w:rsidR="002B7FA8" w:rsidRPr="006D65CA">
        <w:rPr>
          <w:rFonts w:ascii="Arial" w:hAnsi="Arial" w:cs="Arial"/>
          <w:sz w:val="20"/>
          <w:szCs w:val="20"/>
        </w:rPr>
        <w:t xml:space="preserve">Programa </w:t>
      </w:r>
      <w:r w:rsidR="00BE71AC" w:rsidRPr="006D65CA">
        <w:rPr>
          <w:rFonts w:ascii="Arial" w:hAnsi="Arial" w:cs="Arial"/>
          <w:sz w:val="20"/>
          <w:szCs w:val="20"/>
        </w:rPr>
        <w:t xml:space="preserve">y los principales lineamientos para la selección </w:t>
      </w:r>
      <w:r w:rsidR="00307DD7" w:rsidRPr="006D65CA">
        <w:rPr>
          <w:rFonts w:ascii="Arial" w:hAnsi="Arial" w:cs="Arial"/>
          <w:sz w:val="20"/>
          <w:szCs w:val="20"/>
        </w:rPr>
        <w:t xml:space="preserve">y contratación de la auditoría </w:t>
      </w:r>
      <w:r w:rsidR="00A50694" w:rsidRPr="006D65CA">
        <w:rPr>
          <w:rFonts w:ascii="Arial" w:hAnsi="Arial" w:cs="Arial"/>
          <w:sz w:val="20"/>
          <w:szCs w:val="20"/>
        </w:rPr>
        <w:t>externa</w:t>
      </w:r>
      <w:r w:rsidR="00307DD7" w:rsidRPr="006D65CA">
        <w:rPr>
          <w:rFonts w:ascii="Arial" w:hAnsi="Arial" w:cs="Arial"/>
          <w:sz w:val="20"/>
          <w:szCs w:val="20"/>
        </w:rPr>
        <w:t>.</w:t>
      </w:r>
    </w:p>
    <w:p w14:paraId="0DBBFB27" w14:textId="77777777" w:rsidR="00742D59" w:rsidRDefault="00742D59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7F9EBA91" w14:textId="77777777" w:rsidR="002824F1" w:rsidRDefault="00BE71AC" w:rsidP="00474FB4">
      <w:pPr>
        <w:pStyle w:val="Title"/>
        <w:spacing w:after="0" w:afterAutospacing="0" w:line="276" w:lineRule="auto"/>
        <w:ind w:left="1560" w:hanging="1560"/>
        <w:jc w:val="both"/>
        <w:outlineLvl w:val="0"/>
        <w:rPr>
          <w:rFonts w:cs="Arial"/>
          <w:b/>
          <w:bCs/>
        </w:rPr>
      </w:pPr>
      <w:bookmarkStart w:id="12" w:name="_Toc16284557"/>
      <w:r w:rsidRPr="00742D59">
        <w:rPr>
          <w:rFonts w:cs="Arial"/>
          <w:b/>
          <w:bCs/>
        </w:rPr>
        <w:lastRenderedPageBreak/>
        <w:t xml:space="preserve">CAPITULO 1: </w:t>
      </w:r>
      <w:r w:rsidR="00485084">
        <w:rPr>
          <w:rFonts w:cs="Arial"/>
          <w:b/>
          <w:bCs/>
        </w:rPr>
        <w:t xml:space="preserve">DESCRIPCIÓN DEL </w:t>
      </w:r>
      <w:r w:rsidR="002B7FA8">
        <w:rPr>
          <w:rFonts w:cs="Arial"/>
          <w:b/>
          <w:bCs/>
        </w:rPr>
        <w:t>PROGRAMA BID</w:t>
      </w:r>
      <w:bookmarkEnd w:id="12"/>
    </w:p>
    <w:p w14:paraId="07683DBF" w14:textId="77777777" w:rsidR="00A23EF2" w:rsidRDefault="00646EAB" w:rsidP="00AA08AA">
      <w:pPr>
        <w:pStyle w:val="Title"/>
        <w:numPr>
          <w:ilvl w:val="1"/>
          <w:numId w:val="32"/>
        </w:numPr>
        <w:spacing w:after="240" w:afterAutospacing="0"/>
        <w:jc w:val="both"/>
        <w:outlineLvl w:val="1"/>
        <w:rPr>
          <w:rFonts w:cs="Arial"/>
          <w:b/>
          <w:sz w:val="22"/>
          <w:szCs w:val="22"/>
        </w:rPr>
      </w:pPr>
      <w:bookmarkStart w:id="13" w:name="_Toc16284558"/>
      <w:r>
        <w:rPr>
          <w:rFonts w:cs="Arial"/>
          <w:b/>
          <w:sz w:val="22"/>
          <w:szCs w:val="22"/>
        </w:rPr>
        <w:t>OBJETIVO</w:t>
      </w:r>
      <w:bookmarkEnd w:id="13"/>
    </w:p>
    <w:p w14:paraId="225D8522" w14:textId="6E76B663" w:rsidR="009A75AA" w:rsidRDefault="009A75AA" w:rsidP="009A75AA">
      <w:pPr>
        <w:jc w:val="both"/>
        <w:rPr>
          <w:rFonts w:ascii="Arial" w:hAnsi="Arial" w:cs="Arial"/>
          <w:sz w:val="20"/>
          <w:lang w:eastAsia="x-none"/>
        </w:rPr>
      </w:pPr>
      <w:r w:rsidRPr="00974A3B">
        <w:rPr>
          <w:rFonts w:ascii="Arial" w:hAnsi="Arial" w:cs="Arial"/>
          <w:sz w:val="20"/>
          <w:lang w:eastAsia="x-none"/>
        </w:rPr>
        <w:t>El objetivo general del programa es la mejora de la gestión del servicio del Sistema de Administración de Justicia Penal</w:t>
      </w:r>
      <w:r>
        <w:rPr>
          <w:rFonts w:ascii="Arial" w:hAnsi="Arial" w:cs="Arial"/>
          <w:sz w:val="20"/>
          <w:lang w:eastAsia="x-none"/>
        </w:rPr>
        <w:t xml:space="preserve"> (</w:t>
      </w:r>
      <w:r w:rsidRPr="00974A3B">
        <w:rPr>
          <w:rFonts w:ascii="Arial" w:hAnsi="Arial" w:cs="Arial"/>
          <w:sz w:val="20"/>
          <w:lang w:eastAsia="x-none"/>
        </w:rPr>
        <w:t>SAJP</w:t>
      </w:r>
      <w:r>
        <w:rPr>
          <w:rFonts w:ascii="Arial" w:hAnsi="Arial" w:cs="Arial"/>
          <w:sz w:val="20"/>
          <w:lang w:eastAsia="x-none"/>
        </w:rPr>
        <w:t>)</w:t>
      </w:r>
      <w:r w:rsidRPr="00974A3B">
        <w:rPr>
          <w:rFonts w:ascii="Arial" w:hAnsi="Arial" w:cs="Arial"/>
          <w:sz w:val="20"/>
          <w:lang w:eastAsia="x-none"/>
        </w:rPr>
        <w:t>, a través de</w:t>
      </w:r>
      <w:r w:rsidRPr="001A1EE8">
        <w:rPr>
          <w:rFonts w:ascii="Arial" w:hAnsi="Arial" w:cs="Arial"/>
          <w:sz w:val="20"/>
          <w:lang w:eastAsia="x-none"/>
        </w:rPr>
        <w:t xml:space="preserve">: </w:t>
      </w:r>
    </w:p>
    <w:p w14:paraId="78C929DD" w14:textId="3EA0F1B7" w:rsidR="009A75AA" w:rsidRPr="001A1EE8" w:rsidRDefault="009A75AA" w:rsidP="009A75AA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lang w:eastAsia="x-none"/>
        </w:rPr>
      </w:pPr>
      <w:r w:rsidRPr="00974A3B">
        <w:rPr>
          <w:rFonts w:ascii="Arial" w:hAnsi="Arial" w:cs="Arial"/>
          <w:sz w:val="20"/>
          <w:lang w:eastAsia="x-none"/>
        </w:rPr>
        <w:t>aumento de la eficiencia del SAJP a través de los medios tecnológicos</w:t>
      </w:r>
      <w:r w:rsidRPr="001A1EE8">
        <w:rPr>
          <w:rFonts w:ascii="Arial" w:hAnsi="Arial" w:cs="Arial"/>
          <w:sz w:val="20"/>
          <w:lang w:eastAsia="x-none"/>
        </w:rPr>
        <w:t xml:space="preserve">; </w:t>
      </w:r>
    </w:p>
    <w:p w14:paraId="5857EC2F" w14:textId="77777777" w:rsidR="009A75AA" w:rsidRDefault="009A75AA" w:rsidP="009A75AA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lang w:eastAsia="x-none"/>
        </w:rPr>
      </w:pPr>
      <w:r w:rsidRPr="00974A3B">
        <w:rPr>
          <w:rFonts w:ascii="Arial" w:hAnsi="Arial" w:cs="Arial"/>
          <w:sz w:val="20"/>
          <w:lang w:eastAsia="x-none"/>
        </w:rPr>
        <w:t>aumento de la calidad de la investigación criminal</w:t>
      </w:r>
      <w:r w:rsidRPr="001A1EE8">
        <w:rPr>
          <w:rFonts w:ascii="Arial" w:hAnsi="Arial" w:cs="Arial"/>
          <w:sz w:val="20"/>
          <w:lang w:eastAsia="x-none"/>
        </w:rPr>
        <w:t xml:space="preserve">; y </w:t>
      </w:r>
    </w:p>
    <w:p w14:paraId="400CAC4D" w14:textId="6EB0F57C" w:rsidR="009A75AA" w:rsidRPr="001A1EE8" w:rsidRDefault="009A75AA" w:rsidP="009A75AA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lang w:eastAsia="x-none"/>
        </w:rPr>
      </w:pPr>
      <w:r w:rsidRPr="00974A3B">
        <w:rPr>
          <w:rFonts w:ascii="Arial" w:hAnsi="Arial" w:cs="Arial"/>
          <w:sz w:val="20"/>
          <w:lang w:eastAsia="x-none"/>
        </w:rPr>
        <w:t>mejoramiento del acceso a los servicios de administración de justicia penal a través de medios tecnológicos.</w:t>
      </w:r>
    </w:p>
    <w:p w14:paraId="193E6993" w14:textId="77777777" w:rsidR="00996BAE" w:rsidRDefault="001A1EE8" w:rsidP="00996BAE">
      <w:pPr>
        <w:jc w:val="both"/>
        <w:rPr>
          <w:rFonts w:ascii="Arial" w:hAnsi="Arial" w:cs="Arial"/>
          <w:sz w:val="20"/>
          <w:lang w:eastAsia="x-none"/>
        </w:rPr>
      </w:pPr>
      <w:r w:rsidRPr="00996BAE">
        <w:rPr>
          <w:rFonts w:ascii="Arial" w:hAnsi="Arial" w:cs="Arial"/>
          <w:sz w:val="20"/>
          <w:lang w:eastAsia="x-none"/>
        </w:rPr>
        <w:t xml:space="preserve">El principal impacto de la operación será mejorar la gestión del SAJP, medida en la disminución de la brecha entre procesos de investigación preliminar iniciados y casos resueltos. </w:t>
      </w:r>
    </w:p>
    <w:p w14:paraId="0A64FDEE" w14:textId="77777777" w:rsidR="00A6740A" w:rsidRDefault="00A6740A" w:rsidP="00AA08AA">
      <w:pPr>
        <w:pStyle w:val="Title"/>
        <w:numPr>
          <w:ilvl w:val="1"/>
          <w:numId w:val="32"/>
        </w:numPr>
        <w:spacing w:after="240" w:afterAutospacing="0"/>
        <w:jc w:val="both"/>
        <w:outlineLvl w:val="1"/>
        <w:rPr>
          <w:rFonts w:cs="Arial"/>
          <w:b/>
          <w:sz w:val="22"/>
          <w:szCs w:val="22"/>
        </w:rPr>
      </w:pPr>
      <w:bookmarkStart w:id="14" w:name="_Toc16284559"/>
      <w:r>
        <w:rPr>
          <w:rFonts w:cs="Arial"/>
          <w:b/>
          <w:sz w:val="22"/>
          <w:szCs w:val="22"/>
        </w:rPr>
        <w:t>BENEFICIARIOS</w:t>
      </w:r>
      <w:bookmarkEnd w:id="14"/>
    </w:p>
    <w:p w14:paraId="5F6E388D" w14:textId="77777777" w:rsidR="00996BAE" w:rsidRPr="00996BAE" w:rsidRDefault="00996BAE" w:rsidP="00996BAE">
      <w:pPr>
        <w:spacing w:line="240" w:lineRule="auto"/>
        <w:jc w:val="both"/>
        <w:rPr>
          <w:rFonts w:ascii="Arial" w:hAnsi="Arial" w:cs="Arial"/>
          <w:sz w:val="20"/>
          <w:lang w:eastAsia="x-none"/>
        </w:rPr>
      </w:pPr>
      <w:r w:rsidRPr="00996BAE">
        <w:rPr>
          <w:rFonts w:ascii="Arial" w:hAnsi="Arial" w:cs="Arial"/>
          <w:sz w:val="20"/>
          <w:lang w:eastAsia="x-none"/>
        </w:rPr>
        <w:t>Los principales beneficiarios serán los residentes del Perú. También se beneficiarán los organismos públicos (en particular los involucrados en el SAJP) al contar con mejores herramientas, capacitación, interoperabilidad e información para realizar sus funciones.</w:t>
      </w:r>
      <w:r w:rsidRPr="00996BAE">
        <w:rPr>
          <w:rFonts w:ascii="Arial" w:hAnsi="Arial" w:cs="Arial"/>
          <w:sz w:val="20"/>
          <w:lang w:eastAsia="x-none"/>
        </w:rPr>
        <w:tab/>
      </w:r>
    </w:p>
    <w:p w14:paraId="227C4FB1" w14:textId="77777777" w:rsidR="00A23EF2" w:rsidRPr="00A23EF2" w:rsidRDefault="00646EAB" w:rsidP="008C61FD">
      <w:pPr>
        <w:pStyle w:val="Title"/>
        <w:spacing w:after="0" w:afterAutospacing="0"/>
        <w:jc w:val="both"/>
        <w:outlineLvl w:val="1"/>
        <w:rPr>
          <w:rFonts w:cs="Arial"/>
          <w:b/>
          <w:sz w:val="22"/>
          <w:szCs w:val="22"/>
        </w:rPr>
      </w:pPr>
      <w:bookmarkStart w:id="15" w:name="_Toc16284560"/>
      <w:r>
        <w:rPr>
          <w:rFonts w:cs="Arial"/>
          <w:b/>
          <w:sz w:val="22"/>
          <w:szCs w:val="22"/>
        </w:rPr>
        <w:t>1.</w:t>
      </w:r>
      <w:r w:rsidR="00A6740A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 xml:space="preserve"> COMPO</w:t>
      </w:r>
      <w:r w:rsidR="00B35EA4">
        <w:rPr>
          <w:rFonts w:cs="Arial"/>
          <w:b/>
          <w:sz w:val="22"/>
          <w:szCs w:val="22"/>
        </w:rPr>
        <w:t>NENTES</w:t>
      </w:r>
      <w:r>
        <w:rPr>
          <w:rFonts w:cs="Arial"/>
          <w:b/>
          <w:sz w:val="22"/>
          <w:szCs w:val="22"/>
        </w:rPr>
        <w:t xml:space="preserve"> DEL </w:t>
      </w:r>
      <w:r w:rsidR="002B7FA8">
        <w:rPr>
          <w:rFonts w:cs="Arial"/>
          <w:b/>
          <w:sz w:val="22"/>
          <w:szCs w:val="22"/>
        </w:rPr>
        <w:t>PROGRAMA</w:t>
      </w:r>
      <w:bookmarkEnd w:id="15"/>
    </w:p>
    <w:p w14:paraId="160A044F" w14:textId="77777777" w:rsidR="00996BAE" w:rsidRDefault="00996BAE" w:rsidP="001934E4">
      <w:pPr>
        <w:pStyle w:val="Normal1"/>
        <w:rPr>
          <w:rFonts w:ascii="Arial" w:hAnsi="Arial" w:cs="Arial"/>
        </w:rPr>
      </w:pPr>
    </w:p>
    <w:p w14:paraId="1953F75C" w14:textId="77777777" w:rsidR="00153DE9" w:rsidRDefault="00153DE9" w:rsidP="00153DE9">
      <w:pPr>
        <w:pStyle w:val="Normal1"/>
        <w:rPr>
          <w:rFonts w:ascii="Arial" w:hAnsi="Arial" w:cs="Arial"/>
          <w:sz w:val="20"/>
          <w:szCs w:val="20"/>
        </w:rPr>
      </w:pPr>
      <w:r w:rsidRPr="00996BAE">
        <w:rPr>
          <w:rFonts w:ascii="Arial" w:hAnsi="Arial" w:cs="Arial"/>
          <w:sz w:val="20"/>
          <w:szCs w:val="20"/>
        </w:rPr>
        <w:t>Para el desarrollo del Programa, tiene los siguientes componentes:</w:t>
      </w:r>
    </w:p>
    <w:p w14:paraId="454541CA" w14:textId="52C5B949" w:rsidR="00153DE9" w:rsidRDefault="00153DE9" w:rsidP="00153DE9">
      <w:pPr>
        <w:pStyle w:val="Normal1"/>
        <w:rPr>
          <w:rFonts w:ascii="Arial" w:hAnsi="Arial" w:cs="Arial"/>
          <w:sz w:val="20"/>
          <w:szCs w:val="20"/>
        </w:rPr>
      </w:pPr>
    </w:p>
    <w:p w14:paraId="066212EB" w14:textId="2B38DD78" w:rsidR="009A75AA" w:rsidRDefault="009A75AA" w:rsidP="00153DE9">
      <w:pPr>
        <w:pStyle w:val="Normal1"/>
        <w:rPr>
          <w:rFonts w:ascii="Arial" w:hAnsi="Arial" w:cs="Arial"/>
          <w:sz w:val="20"/>
          <w:szCs w:val="20"/>
        </w:rPr>
      </w:pPr>
    </w:p>
    <w:p w14:paraId="336D8BAE" w14:textId="77777777" w:rsidR="009A75AA" w:rsidRPr="009A75AA" w:rsidRDefault="009A75AA" w:rsidP="009A75AA">
      <w:pPr>
        <w:pStyle w:val="Normal1"/>
        <w:rPr>
          <w:rFonts w:ascii="Arial" w:hAnsi="Arial" w:cs="Arial"/>
          <w:b/>
          <w:sz w:val="20"/>
          <w:szCs w:val="20"/>
          <w:lang w:val="es-MX"/>
        </w:rPr>
      </w:pPr>
    </w:p>
    <w:p w14:paraId="0C9459D9" w14:textId="7BB60711" w:rsidR="009A75AA" w:rsidRDefault="009A75AA" w:rsidP="00411AE3">
      <w:pPr>
        <w:pStyle w:val="Normal1"/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/>
          <w:sz w:val="20"/>
          <w:szCs w:val="20"/>
          <w:lang w:val="es-MX"/>
        </w:rPr>
        <w:t>Componente I. Aumento de la eficiencia del SAJP a través de Medios Tecnológicos.</w:t>
      </w:r>
      <w:r w:rsidRPr="009A75AA">
        <w:rPr>
          <w:rFonts w:ascii="Arial" w:hAnsi="Arial" w:cs="Arial"/>
          <w:b/>
          <w:sz w:val="20"/>
          <w:szCs w:val="20"/>
        </w:rPr>
        <w:t xml:space="preserve"> </w:t>
      </w:r>
      <w:r w:rsidRPr="009A75AA">
        <w:rPr>
          <w:rFonts w:ascii="Arial" w:hAnsi="Arial" w:cs="Arial"/>
          <w:bCs/>
          <w:sz w:val="20"/>
          <w:szCs w:val="20"/>
        </w:rPr>
        <w:t>Las actividades de este componente contribuirán a implementar un sistema moderno e interoperable que permita la reducción de los tiempos de procesamiento y decisión de las causas penales. Para ello, se financiará:</w:t>
      </w:r>
    </w:p>
    <w:p w14:paraId="28D4F6AC" w14:textId="7B88E29A" w:rsidR="009A75AA" w:rsidRPr="009A75AA" w:rsidRDefault="009A75AA" w:rsidP="009A75AA">
      <w:pPr>
        <w:pStyle w:val="Normal1"/>
        <w:rPr>
          <w:rFonts w:ascii="Arial" w:hAnsi="Arial" w:cs="Arial"/>
          <w:bCs/>
          <w:sz w:val="20"/>
          <w:szCs w:val="20"/>
        </w:rPr>
      </w:pPr>
    </w:p>
    <w:p w14:paraId="32477FD2" w14:textId="687C4473" w:rsidR="009A75AA" w:rsidRPr="009A75AA" w:rsidRDefault="009A75AA" w:rsidP="009A75AA">
      <w:pPr>
        <w:pStyle w:val="Normal1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9A75AA">
        <w:rPr>
          <w:rFonts w:ascii="Arial" w:hAnsi="Arial" w:cs="Arial"/>
          <w:bCs/>
          <w:sz w:val="20"/>
          <w:szCs w:val="20"/>
          <w:u w:val="single"/>
        </w:rPr>
        <w:t>Mejoramiento de los servicios de justicia en materia penal, a través de la implementación de la Carpeta Fiscal Electrónica, a nivel nacional</w:t>
      </w:r>
      <w:r w:rsidRPr="009A75AA">
        <w:rPr>
          <w:rFonts w:ascii="Arial" w:hAnsi="Arial" w:cs="Arial"/>
          <w:bCs/>
          <w:sz w:val="20"/>
          <w:szCs w:val="20"/>
        </w:rPr>
        <w:t>, lo cual incluiría actividades tales como: (i) revisión del marco regulatorio para el manejo electrónico de casos al interior del MP y entre el MP y otras entidades;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digitalización e implementación del sistema de notificaciones electrónicas;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implementación del sistema integrado de gestión del MP, incluyendo la gestión de procesos y la gestión de cambio y comunicacional  (diseño de la estrategia, elaboración del plan de acción, implementación del plan y capacitación de fiscales y personal del MP) para permitir la puesta en marcha de la CFE;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iv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adecuaciones de la infraestructura física para los sistemas de información; y (v) desarrollo del software de la CFE y dotación de infraestructura tecnológica, considerando mecanismos de interoperabilidad y ciberseguridad para permitir el intercambio seguro de información sensible requerida durante la conducción de investigaciones fiscales.</w:t>
      </w:r>
    </w:p>
    <w:p w14:paraId="7BFF78A5" w14:textId="77777777" w:rsidR="009A75AA" w:rsidRPr="009A75AA" w:rsidRDefault="009A75AA" w:rsidP="009A75AA">
      <w:pPr>
        <w:pStyle w:val="Normal1"/>
        <w:rPr>
          <w:rFonts w:ascii="Arial" w:hAnsi="Arial" w:cs="Arial"/>
          <w:sz w:val="20"/>
          <w:szCs w:val="20"/>
        </w:rPr>
      </w:pPr>
      <w:r w:rsidRPr="009A75AA" w:rsidDel="00505FD9">
        <w:rPr>
          <w:rFonts w:ascii="Arial" w:hAnsi="Arial" w:cs="Arial"/>
          <w:bCs/>
          <w:sz w:val="20"/>
          <w:szCs w:val="20"/>
        </w:rPr>
        <w:t xml:space="preserve"> </w:t>
      </w:r>
    </w:p>
    <w:p w14:paraId="12C45E96" w14:textId="783FF113" w:rsidR="009A75AA" w:rsidRPr="009A75AA" w:rsidRDefault="009A75AA" w:rsidP="00411AE3">
      <w:pPr>
        <w:pStyle w:val="Normal1"/>
        <w:numPr>
          <w:ilvl w:val="0"/>
          <w:numId w:val="40"/>
        </w:numPr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Cs/>
          <w:sz w:val="20"/>
          <w:szCs w:val="20"/>
          <w:u w:val="single"/>
        </w:rPr>
        <w:t xml:space="preserve">Mejoramiento del sistema de administración de justicia a través de la </w:t>
      </w:r>
      <w:r w:rsidRPr="00411AE3">
        <w:rPr>
          <w:rFonts w:ascii="Arial" w:hAnsi="Arial"/>
          <w:sz w:val="20"/>
          <w:u w:val="single"/>
        </w:rPr>
        <w:t xml:space="preserve">implementación del Expediente Judicial Electrónico (EJE) </w:t>
      </w:r>
      <w:r w:rsidRPr="009A75AA">
        <w:rPr>
          <w:rFonts w:ascii="Arial" w:hAnsi="Arial" w:cs="Arial"/>
          <w:bCs/>
          <w:sz w:val="20"/>
          <w:szCs w:val="20"/>
          <w:u w:val="single"/>
        </w:rPr>
        <w:t xml:space="preserve">en materia </w:t>
      </w:r>
      <w:r w:rsidRPr="00411AE3">
        <w:rPr>
          <w:rFonts w:ascii="Arial" w:hAnsi="Arial"/>
          <w:sz w:val="20"/>
          <w:u w:val="single"/>
        </w:rPr>
        <w:t>penal</w:t>
      </w:r>
      <w:r w:rsidRPr="009A75AA">
        <w:rPr>
          <w:rFonts w:ascii="Arial" w:hAnsi="Arial" w:cs="Arial"/>
          <w:bCs/>
          <w:sz w:val="20"/>
          <w:szCs w:val="20"/>
          <w:u w:val="single"/>
        </w:rPr>
        <w:t>,</w:t>
      </w:r>
      <w:r w:rsidRPr="00411AE3">
        <w:rPr>
          <w:rFonts w:ascii="Arial" w:hAnsi="Arial"/>
          <w:sz w:val="20"/>
          <w:u w:val="single"/>
        </w:rPr>
        <w:t xml:space="preserve"> a nivel nacional </w:t>
      </w:r>
      <w:r w:rsidRPr="009A75AA">
        <w:rPr>
          <w:rFonts w:ascii="Arial" w:hAnsi="Arial" w:cs="Arial"/>
          <w:bCs/>
          <w:sz w:val="20"/>
          <w:szCs w:val="20"/>
          <w:u w:val="single"/>
        </w:rPr>
        <w:t>y con características interoperables</w:t>
      </w:r>
      <w:r w:rsidRPr="009A75AA">
        <w:rPr>
          <w:rFonts w:ascii="Arial" w:hAnsi="Arial" w:cs="Arial"/>
          <w:bCs/>
          <w:sz w:val="20"/>
          <w:szCs w:val="20"/>
        </w:rPr>
        <w:t>, lo cual incluiría actividades tales como: (i) estandarización de procesos jurisdiccionales y administrativos (identificación de necesidades y requerimientos para los procesos jurisdiccionales penales);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capacitación al personal jurisdiccional y administrativo en la aplicación del EJE penal;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desarrollo e implementación de un plan de acción de gestión del cambio y de una estrategia comunicacional;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iv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dotación tecnológica; (v) implementación de mecanismos de interoperabilidad y ciberseguridad (para resguardar el intercambio de información sensible en la tramitación de expedientes judiciales); (vi) adecuación de espacios en los órganos de la Rama Penal del PJ (adecuaciones físicas en órganos judiciales penales, adquisición e instalación de equipamiento informático y de comunicaciones y adquisición de licencias de</w:t>
      </w:r>
      <w:r w:rsidRPr="00411AE3">
        <w:rPr>
          <w:rFonts w:ascii="Arial" w:hAnsi="Arial"/>
          <w:sz w:val="20"/>
        </w:rPr>
        <w:t xml:space="preserve"> software); </w:t>
      </w:r>
      <w:r w:rsidRPr="009A75AA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vii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 xml:space="preserve">) mejora en la información estadística y jurisprudencial para operadores y usuarios del sistema de justicia (incluyendo, </w:t>
      </w:r>
      <w:r w:rsidRPr="009A75AA">
        <w:rPr>
          <w:rFonts w:ascii="Arial" w:hAnsi="Arial" w:cs="Arial"/>
          <w:bCs/>
          <w:sz w:val="20"/>
          <w:szCs w:val="20"/>
        </w:rPr>
        <w:lastRenderedPageBreak/>
        <w:t>diseño e implementación de sistemas de normalización, registro, procesamiento y reporte de sentencias del PJ); y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viii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 xml:space="preserve">) desarrollo de instrumentos de monitoreo y control de los procesos.  </w:t>
      </w:r>
    </w:p>
    <w:p w14:paraId="060C5F65" w14:textId="00E184C3" w:rsidR="009A75AA" w:rsidRPr="00411AE3" w:rsidRDefault="009A75AA" w:rsidP="00411AE3">
      <w:pPr>
        <w:pStyle w:val="Normal1"/>
        <w:rPr>
          <w:rFonts w:ascii="Arial" w:hAnsi="Arial"/>
          <w:b/>
          <w:sz w:val="20"/>
          <w:lang w:val="es-MX"/>
        </w:rPr>
      </w:pPr>
    </w:p>
    <w:p w14:paraId="126D51B9" w14:textId="23B45071" w:rsidR="009A75AA" w:rsidRDefault="009A75AA" w:rsidP="00411AE3">
      <w:pPr>
        <w:pStyle w:val="Normal1"/>
        <w:rPr>
          <w:rFonts w:ascii="Arial" w:hAnsi="Arial" w:cs="Arial"/>
          <w:sz w:val="20"/>
          <w:szCs w:val="20"/>
          <w:lang w:val="es-MX"/>
        </w:rPr>
      </w:pPr>
      <w:r w:rsidRPr="009A75AA">
        <w:rPr>
          <w:rFonts w:ascii="Arial" w:hAnsi="Arial" w:cs="Arial"/>
          <w:b/>
          <w:sz w:val="20"/>
          <w:szCs w:val="20"/>
          <w:lang w:val="es-MX"/>
        </w:rPr>
        <w:t>Componente II.</w:t>
      </w:r>
      <w:r w:rsidRPr="009A75AA">
        <w:rPr>
          <w:rFonts w:ascii="Arial" w:hAnsi="Arial" w:cs="Arial"/>
          <w:sz w:val="20"/>
          <w:szCs w:val="20"/>
          <w:lang w:val="es-MX"/>
        </w:rPr>
        <w:t xml:space="preserve"> </w:t>
      </w:r>
      <w:r w:rsidRPr="009A75AA">
        <w:rPr>
          <w:rFonts w:ascii="Arial" w:hAnsi="Arial" w:cs="Arial"/>
          <w:b/>
          <w:sz w:val="20"/>
          <w:szCs w:val="20"/>
          <w:lang w:val="es-MX"/>
        </w:rPr>
        <w:t>Aumento de la calidad de la investigación criminal</w:t>
      </w:r>
      <w:r w:rsidRPr="009A75AA">
        <w:rPr>
          <w:rFonts w:ascii="Arial" w:hAnsi="Arial" w:cs="Arial"/>
          <w:sz w:val="20"/>
          <w:szCs w:val="20"/>
          <w:lang w:val="es-MX"/>
        </w:rPr>
        <w:t xml:space="preserve">. </w:t>
      </w:r>
      <w:r w:rsidRPr="00411AE3">
        <w:rPr>
          <w:rFonts w:ascii="Arial" w:hAnsi="Arial"/>
          <w:sz w:val="20"/>
          <w:lang w:val="es-MX"/>
        </w:rPr>
        <w:t xml:space="preserve">Este componente busca mejorar el sustento de las acusaciones presentadas por el MP, así como ampliar las capacidades de los fiscales investigadores. Para ello se financiarán las siguientes actividades: </w:t>
      </w:r>
    </w:p>
    <w:p w14:paraId="577EB75C" w14:textId="77777777" w:rsidR="009A75AA" w:rsidRPr="009A75AA" w:rsidRDefault="009A75AA" w:rsidP="009A75AA">
      <w:pPr>
        <w:pStyle w:val="Normal1"/>
        <w:rPr>
          <w:rFonts w:ascii="Arial" w:hAnsi="Arial" w:cs="Arial"/>
          <w:sz w:val="20"/>
          <w:szCs w:val="20"/>
          <w:lang w:val="es-MX"/>
        </w:rPr>
      </w:pPr>
    </w:p>
    <w:p w14:paraId="06E4E6A6" w14:textId="0F33737B" w:rsidR="009A75AA" w:rsidRDefault="009A75AA" w:rsidP="009A75AA">
      <w:pPr>
        <w:pStyle w:val="Normal1"/>
        <w:numPr>
          <w:ilvl w:val="0"/>
          <w:numId w:val="41"/>
        </w:numPr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Cs/>
          <w:sz w:val="20"/>
          <w:szCs w:val="20"/>
          <w:u w:val="single"/>
        </w:rPr>
        <w:t>Mejoramiento de servicios de tanatología en las DML</w:t>
      </w:r>
      <w:r w:rsidRPr="009A75AA">
        <w:rPr>
          <w:rFonts w:ascii="Arial" w:hAnsi="Arial" w:cs="Arial"/>
          <w:bCs/>
          <w:sz w:val="20"/>
          <w:szCs w:val="20"/>
        </w:rPr>
        <w:t>, lo cual incluiría actividades tales como: (i) la adecuación de vehículos para atender servicios tanatológicos;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provisión de equipamiento moderno para el servicio tanatológico en las DML; y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provisión de mobiliario, equipos de informática, equipos de emergencia.</w:t>
      </w:r>
    </w:p>
    <w:p w14:paraId="309311DB" w14:textId="77777777" w:rsidR="009A75AA" w:rsidRPr="009A75AA" w:rsidRDefault="009A75AA" w:rsidP="00E756D1">
      <w:pPr>
        <w:pStyle w:val="Normal1"/>
        <w:ind w:left="720"/>
        <w:rPr>
          <w:rFonts w:ascii="Arial" w:hAnsi="Arial" w:cs="Arial"/>
          <w:bCs/>
          <w:sz w:val="20"/>
          <w:szCs w:val="20"/>
        </w:rPr>
      </w:pPr>
    </w:p>
    <w:p w14:paraId="167129E0" w14:textId="62782967" w:rsidR="009A75AA" w:rsidRDefault="009A75AA" w:rsidP="00411AE3">
      <w:pPr>
        <w:pStyle w:val="Normal1"/>
        <w:numPr>
          <w:ilvl w:val="0"/>
          <w:numId w:val="41"/>
        </w:numPr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Cs/>
          <w:sz w:val="20"/>
          <w:szCs w:val="20"/>
          <w:u w:val="single"/>
        </w:rPr>
        <w:t>Creación de CNPGH y fortalecimiento de laboratorios de ADN</w:t>
      </w:r>
      <w:r w:rsidRPr="009A75AA">
        <w:rPr>
          <w:rFonts w:ascii="Arial" w:hAnsi="Arial" w:cs="Arial"/>
          <w:bCs/>
          <w:sz w:val="20"/>
          <w:szCs w:val="20"/>
        </w:rPr>
        <w:t>, lo cual incluiría actividades tales como: (i) adecuación de infraestructura para CNPGH en tres localidades;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provisión de equipamiento informático, mobiliario y equipamiento médico;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elaboración de documentos de gestión para el funcionamiento de CNPGH la implementación de técnicas para el desarrollo de perfiles genéticos; y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iv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 xml:space="preserve">) actividades de capacitación a profesionales del laboratorio de biología molecular y genética.   </w:t>
      </w:r>
    </w:p>
    <w:p w14:paraId="27A1D829" w14:textId="36D948B5" w:rsidR="009A75AA" w:rsidRPr="009A75AA" w:rsidRDefault="009A75AA" w:rsidP="00E756D1">
      <w:pPr>
        <w:pStyle w:val="Normal1"/>
        <w:rPr>
          <w:rFonts w:ascii="Arial" w:hAnsi="Arial" w:cs="Arial"/>
          <w:bCs/>
          <w:sz w:val="20"/>
          <w:szCs w:val="20"/>
        </w:rPr>
      </w:pPr>
    </w:p>
    <w:p w14:paraId="0E60395D" w14:textId="7BD2A9E2" w:rsidR="009A75AA" w:rsidRDefault="009A75AA" w:rsidP="00411AE3">
      <w:pPr>
        <w:pStyle w:val="Normal1"/>
        <w:numPr>
          <w:ilvl w:val="0"/>
          <w:numId w:val="41"/>
        </w:numPr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Cs/>
          <w:sz w:val="20"/>
          <w:szCs w:val="20"/>
          <w:u w:val="single"/>
        </w:rPr>
        <w:t>Mejoramiento de los servicios de exámenes auxiliares de laboratorio</w:t>
      </w:r>
      <w:r w:rsidRPr="009A75AA">
        <w:rPr>
          <w:rFonts w:ascii="Arial" w:hAnsi="Arial" w:cs="Arial"/>
          <w:bCs/>
          <w:sz w:val="20"/>
          <w:szCs w:val="20"/>
        </w:rPr>
        <w:t>, lo cual incluiría actividades tales como: (i) equipamiento y entrenamiento del personal experto en biología forense para lograr mayor precisión en la determinación de presencia de células humanas tanto a nivel morfológico como molecular;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provisión de equipamiento y mobiliarios para fortalecer laboratorios de patología; y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acondicionamiento de espacios y entrenamiento para laboratorios de toxicología.</w:t>
      </w:r>
    </w:p>
    <w:p w14:paraId="7449814C" w14:textId="77777777" w:rsidR="009A75AA" w:rsidRPr="00E756D1" w:rsidRDefault="009A75AA" w:rsidP="00E756D1">
      <w:pPr>
        <w:pStyle w:val="Normal1"/>
        <w:ind w:left="720"/>
        <w:rPr>
          <w:rFonts w:ascii="Arial" w:hAnsi="Arial" w:cs="Arial"/>
          <w:bCs/>
          <w:sz w:val="20"/>
          <w:szCs w:val="20"/>
        </w:rPr>
      </w:pPr>
    </w:p>
    <w:p w14:paraId="1C856719" w14:textId="5AC4A1AF" w:rsidR="009A75AA" w:rsidRPr="009A75AA" w:rsidRDefault="009A75AA" w:rsidP="00411AE3">
      <w:pPr>
        <w:pStyle w:val="Normal1"/>
        <w:numPr>
          <w:ilvl w:val="0"/>
          <w:numId w:val="41"/>
        </w:numPr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Cs/>
          <w:sz w:val="20"/>
          <w:szCs w:val="20"/>
          <w:u w:val="single"/>
        </w:rPr>
        <w:t>Mejoramiento de los servicios de peritaje del IML</w:t>
      </w:r>
      <w:r w:rsidRPr="009A75AA">
        <w:rPr>
          <w:rFonts w:ascii="Arial" w:hAnsi="Arial" w:cs="Arial"/>
          <w:bCs/>
          <w:sz w:val="20"/>
          <w:szCs w:val="20"/>
        </w:rPr>
        <w:t xml:space="preserve">, </w:t>
      </w:r>
      <w:r w:rsidRPr="00411AE3">
        <w:rPr>
          <w:rFonts w:ascii="Arial" w:hAnsi="Arial"/>
          <w:sz w:val="20"/>
        </w:rPr>
        <w:t xml:space="preserve">que </w:t>
      </w:r>
      <w:r w:rsidRPr="009A75AA">
        <w:rPr>
          <w:rFonts w:ascii="Arial" w:hAnsi="Arial" w:cs="Arial"/>
          <w:bCs/>
          <w:sz w:val="20"/>
          <w:szCs w:val="20"/>
        </w:rPr>
        <w:t>podría incluir actividades tales como: (i) adecuación de las oficinas de peritajes, tanto en la sede principal del MP como en las sedes desconcentradas;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equipamiento y software informáticos de análisis en diversas materias criminalística (balística, fonética, grafología); y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 xml:space="preserve">) capacitación del personal técnico. </w:t>
      </w:r>
    </w:p>
    <w:p w14:paraId="60FE10B5" w14:textId="29EC43D4" w:rsidR="009A75AA" w:rsidRPr="00E756D1" w:rsidRDefault="009A75AA" w:rsidP="00E756D1">
      <w:pPr>
        <w:pStyle w:val="Normal1"/>
        <w:ind w:left="720"/>
        <w:rPr>
          <w:rFonts w:ascii="Arial" w:hAnsi="Arial" w:cs="Arial"/>
          <w:bCs/>
          <w:sz w:val="20"/>
          <w:szCs w:val="20"/>
        </w:rPr>
      </w:pPr>
    </w:p>
    <w:p w14:paraId="44D0FA68" w14:textId="42F23593" w:rsidR="009A75AA" w:rsidRPr="009A75AA" w:rsidRDefault="009A75AA" w:rsidP="009A75AA">
      <w:pPr>
        <w:pStyle w:val="Normal1"/>
        <w:numPr>
          <w:ilvl w:val="0"/>
          <w:numId w:val="41"/>
        </w:numPr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Cs/>
          <w:sz w:val="20"/>
          <w:szCs w:val="20"/>
          <w:u w:val="single"/>
        </w:rPr>
        <w:t>Creación del servicios de análisis de la información especializada en violencia contra la mujer y grupo familiar</w:t>
      </w:r>
      <w:r w:rsidRPr="009A75AA">
        <w:rPr>
          <w:rFonts w:ascii="Arial" w:hAnsi="Arial" w:cs="Arial"/>
          <w:bCs/>
          <w:sz w:val="20"/>
          <w:szCs w:val="20"/>
        </w:rPr>
        <w:t>, lo cual incluiría actividades tales como: (i) fortalecimiento de la capacidad del MP para el análisis de casos de violencia contra la mujer e integrantes del grupo familiar;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sistemas de información especializado para el registro y georreferenciación para la formulación de políticas sobre la prevención de delitos en esta materia;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adecuación de espacios para la prestación de servicios en las oficinas especializadas , en conformidad con buenas prácticas en la investigación de casos de violencia sexual y feminicidio; y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iv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capacitación para el análisis de información para la prevención de este tipo de violencia.</w:t>
      </w:r>
    </w:p>
    <w:p w14:paraId="128A6B24" w14:textId="77777777" w:rsidR="009A75AA" w:rsidRDefault="009A75AA" w:rsidP="009A75AA">
      <w:pPr>
        <w:pStyle w:val="Normal1"/>
        <w:rPr>
          <w:rFonts w:ascii="Arial" w:hAnsi="Arial" w:cs="Arial"/>
          <w:b/>
          <w:sz w:val="20"/>
          <w:szCs w:val="20"/>
          <w:lang w:val="es-MX"/>
        </w:rPr>
      </w:pPr>
    </w:p>
    <w:p w14:paraId="202336D5" w14:textId="1A57F80B" w:rsidR="009A75AA" w:rsidRPr="009A75AA" w:rsidRDefault="009A75AA" w:rsidP="00411AE3">
      <w:pPr>
        <w:pStyle w:val="Normal1"/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/>
          <w:sz w:val="20"/>
          <w:szCs w:val="20"/>
          <w:lang w:val="es-MX"/>
        </w:rPr>
        <w:t xml:space="preserve">Componente III. Mejoramiento del Acceso a los Servicios de Administración de Justicia Penal a través de Medios Tecnológicos. </w:t>
      </w:r>
      <w:r w:rsidRPr="009A75AA">
        <w:rPr>
          <w:rFonts w:ascii="Arial" w:hAnsi="Arial" w:cs="Arial"/>
          <w:bCs/>
          <w:sz w:val="20"/>
          <w:szCs w:val="20"/>
        </w:rPr>
        <w:t>Este componente contribuirá a mejorar los servicios prestados a ciudadanos, funcionarios del SAJP y jóvenes en conflicto con la ley, a través de la disponibilidad de información pública -bajo un enfoque de datos abiertos- y un mayor acceso a mecanismos de rehabilitación social. Para ello se financiará:</w:t>
      </w:r>
    </w:p>
    <w:p w14:paraId="375058F9" w14:textId="32726EB3" w:rsidR="009A75AA" w:rsidRPr="00E756D1" w:rsidRDefault="009A75AA" w:rsidP="00E756D1">
      <w:pPr>
        <w:pStyle w:val="Normal1"/>
        <w:ind w:left="720"/>
        <w:rPr>
          <w:rFonts w:ascii="Arial" w:hAnsi="Arial" w:cs="Arial"/>
          <w:bCs/>
          <w:sz w:val="20"/>
          <w:szCs w:val="20"/>
        </w:rPr>
      </w:pPr>
    </w:p>
    <w:p w14:paraId="01FB5510" w14:textId="633D075D" w:rsidR="009A75AA" w:rsidRPr="009A75AA" w:rsidRDefault="009A75AA" w:rsidP="009A75AA">
      <w:pPr>
        <w:pStyle w:val="Normal1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Cs/>
          <w:sz w:val="20"/>
          <w:szCs w:val="20"/>
          <w:u w:val="single"/>
        </w:rPr>
        <w:t>Fortalecimiento del sistema de defensa pública con énfasis en la implementación de la carpeta defensorial</w:t>
      </w:r>
      <w:r w:rsidRPr="009A75AA">
        <w:rPr>
          <w:rFonts w:ascii="Arial" w:hAnsi="Arial" w:cs="Arial"/>
          <w:bCs/>
          <w:sz w:val="20"/>
          <w:szCs w:val="20"/>
        </w:rPr>
        <w:t>, lo cual incluiría actividades tales como: (i) desarrollo e implementación de un sistema de seguimiento de casos;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articulación de la carpeta defensorial con la CFE; y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equipamiento de las oficinas de defensa pública.</w:t>
      </w:r>
    </w:p>
    <w:p w14:paraId="3140D4D5" w14:textId="4FA30D53" w:rsidR="009A75AA" w:rsidRPr="00E756D1" w:rsidRDefault="009A75AA" w:rsidP="00E756D1">
      <w:pPr>
        <w:pStyle w:val="Normal1"/>
        <w:ind w:left="720"/>
        <w:rPr>
          <w:rFonts w:ascii="Arial" w:hAnsi="Arial" w:cs="Arial"/>
          <w:bCs/>
          <w:sz w:val="20"/>
          <w:szCs w:val="20"/>
        </w:rPr>
      </w:pPr>
    </w:p>
    <w:p w14:paraId="21FAE576" w14:textId="1CCAF5B5" w:rsidR="009A75AA" w:rsidRPr="009A75AA" w:rsidRDefault="009A75AA" w:rsidP="009A75AA">
      <w:pPr>
        <w:pStyle w:val="Normal1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Cs/>
          <w:sz w:val="20"/>
          <w:szCs w:val="20"/>
          <w:u w:val="single"/>
        </w:rPr>
        <w:t>Fortalecimiento del sistema de información penitenciaria</w:t>
      </w:r>
      <w:r w:rsidRPr="009A75AA">
        <w:rPr>
          <w:rFonts w:ascii="Arial" w:hAnsi="Arial" w:cs="Arial"/>
          <w:bCs/>
          <w:sz w:val="20"/>
          <w:szCs w:val="20"/>
        </w:rPr>
        <w:t>, que incluiría actividades tales como: (i) la conformación de una base de datos -desagregada por género- de la población penitenciaria;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la actualización permanente de los expedientes penitenciarios; y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 xml:space="preserve">) la puesta en marcha de una interfaz que conecte los centros penitenciarios del país.   </w:t>
      </w:r>
    </w:p>
    <w:p w14:paraId="7F6690B9" w14:textId="77777777" w:rsidR="009A75AA" w:rsidRPr="00E756D1" w:rsidRDefault="009A75AA" w:rsidP="00E756D1">
      <w:pPr>
        <w:pStyle w:val="Normal1"/>
        <w:ind w:left="720"/>
        <w:rPr>
          <w:rFonts w:ascii="Arial" w:hAnsi="Arial" w:cs="Arial"/>
          <w:bCs/>
          <w:sz w:val="20"/>
          <w:szCs w:val="20"/>
        </w:rPr>
      </w:pPr>
    </w:p>
    <w:p w14:paraId="31419E83" w14:textId="3A5EF368" w:rsidR="009A75AA" w:rsidRPr="009A75AA" w:rsidRDefault="009A75AA" w:rsidP="009A75AA">
      <w:pPr>
        <w:pStyle w:val="Normal1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Cs/>
          <w:sz w:val="20"/>
          <w:szCs w:val="20"/>
          <w:u w:val="single"/>
        </w:rPr>
        <w:t>Fortalecimiento de los servicios del PRONACEJ (reinserción en centros juveniles y SOA)</w:t>
      </w:r>
      <w:r w:rsidRPr="009A75AA">
        <w:rPr>
          <w:rFonts w:ascii="Arial" w:hAnsi="Arial" w:cs="Arial"/>
          <w:bCs/>
          <w:sz w:val="20"/>
          <w:szCs w:val="20"/>
        </w:rPr>
        <w:t>, que podría incluir actividades tales como: (i) mejoramiento de espacios físicos de los CJDR;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 xml:space="preserve">) capacitación de abogados, defensores públicos, fiscales y jueces en materia de adolescentes en conflicto con la ley penal con enfoque en un modelo de justicia restaurativa; </w:t>
      </w:r>
      <w:r w:rsidRPr="009A75AA">
        <w:rPr>
          <w:rFonts w:ascii="Arial" w:hAnsi="Arial" w:cs="Arial"/>
          <w:bCs/>
          <w:sz w:val="20"/>
          <w:szCs w:val="20"/>
        </w:rPr>
        <w:lastRenderedPageBreak/>
        <w:t>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ampliación de la oferta de programas de rehabilitación y reinserción en medio abierto y cerrado, con enfoque en servicios educativos , laborales  y en Terapia Multisistémica (TMS)  y cognitivo conductual; y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iv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formación y capacitación de personal que provee servicios de rehabilitación.</w:t>
      </w:r>
    </w:p>
    <w:p w14:paraId="51B51C28" w14:textId="77777777" w:rsidR="009A75AA" w:rsidRPr="00E756D1" w:rsidRDefault="009A75AA" w:rsidP="00E756D1">
      <w:pPr>
        <w:pStyle w:val="Normal1"/>
        <w:ind w:left="720"/>
        <w:rPr>
          <w:rFonts w:ascii="Arial" w:hAnsi="Arial" w:cs="Arial"/>
          <w:bCs/>
          <w:sz w:val="20"/>
          <w:szCs w:val="20"/>
        </w:rPr>
      </w:pPr>
    </w:p>
    <w:p w14:paraId="3D6ACC60" w14:textId="2072084C" w:rsidR="009A75AA" w:rsidRPr="009A75AA" w:rsidRDefault="009A75AA" w:rsidP="009A75AA">
      <w:pPr>
        <w:pStyle w:val="Normal1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 w:rsidRPr="009A75AA">
        <w:rPr>
          <w:rFonts w:ascii="Arial" w:hAnsi="Arial" w:cs="Arial"/>
          <w:bCs/>
          <w:sz w:val="20"/>
          <w:szCs w:val="20"/>
          <w:u w:val="single"/>
        </w:rPr>
        <w:t>Modernización informática del MINJUSDH para mayor transparencia sobre el funcionamiento del SAJP</w:t>
      </w:r>
      <w:r w:rsidRPr="009A75AA">
        <w:rPr>
          <w:rFonts w:ascii="Arial" w:hAnsi="Arial" w:cs="Arial"/>
          <w:bCs/>
          <w:sz w:val="20"/>
          <w:szCs w:val="20"/>
        </w:rPr>
        <w:t>, que podría incluir actividades tales como: sistemas estadísticos y de consulta del estado procesal de casos penales. Esto implicará: (i) generación de estadísticas sectoriales;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desarrollo e implementación de aplicativos informáticos;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>) provisión de equipamientos y servidores; (</w:t>
      </w:r>
      <w:proofErr w:type="spellStart"/>
      <w:r w:rsidRPr="009A75AA">
        <w:rPr>
          <w:rFonts w:ascii="Arial" w:hAnsi="Arial" w:cs="Arial"/>
          <w:bCs/>
          <w:sz w:val="20"/>
          <w:szCs w:val="20"/>
        </w:rPr>
        <w:t>iv</w:t>
      </w:r>
      <w:proofErr w:type="spellEnd"/>
      <w:r w:rsidRPr="009A75AA">
        <w:rPr>
          <w:rFonts w:ascii="Arial" w:hAnsi="Arial" w:cs="Arial"/>
          <w:bCs/>
          <w:sz w:val="20"/>
          <w:szCs w:val="20"/>
        </w:rPr>
        <w:t xml:space="preserve">) implementación de controles; (v) mejoras de instrumentos normativos y elaboración de protocolos de interoperabilidad; y (vi) capacitación al personal. </w:t>
      </w:r>
    </w:p>
    <w:p w14:paraId="7A41A3B2" w14:textId="77777777" w:rsidR="009A75AA" w:rsidRPr="00996BAE" w:rsidRDefault="009A75AA" w:rsidP="00411AE3">
      <w:pPr>
        <w:pStyle w:val="Normal1"/>
        <w:rPr>
          <w:rFonts w:ascii="Arial" w:hAnsi="Arial" w:cs="Arial"/>
          <w:sz w:val="20"/>
          <w:szCs w:val="20"/>
        </w:rPr>
      </w:pPr>
    </w:p>
    <w:p w14:paraId="7676D51F" w14:textId="77777777" w:rsidR="00BE71AC" w:rsidRDefault="00996BAE" w:rsidP="008F44AB">
      <w:pPr>
        <w:pStyle w:val="Title"/>
        <w:spacing w:after="0" w:afterAutospacing="0"/>
        <w:outlineLvl w:val="1"/>
        <w:rPr>
          <w:rFonts w:cs="Arial"/>
          <w:b/>
          <w:sz w:val="22"/>
          <w:szCs w:val="22"/>
        </w:rPr>
      </w:pPr>
      <w:bookmarkStart w:id="16" w:name="_Toc16284561"/>
      <w:r>
        <w:rPr>
          <w:rFonts w:cs="Arial"/>
          <w:b/>
          <w:sz w:val="22"/>
          <w:szCs w:val="22"/>
        </w:rPr>
        <w:t>1</w:t>
      </w:r>
      <w:r w:rsidR="00646EAB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4</w:t>
      </w:r>
      <w:r w:rsidR="00646EAB">
        <w:rPr>
          <w:rFonts w:cs="Arial"/>
          <w:b/>
          <w:sz w:val="22"/>
          <w:szCs w:val="22"/>
        </w:rPr>
        <w:t xml:space="preserve"> FUENTES DE FINANCIAMIENTO Y COSTOS DEL </w:t>
      </w:r>
      <w:r w:rsidR="002B7FA8">
        <w:rPr>
          <w:rFonts w:cs="Arial"/>
          <w:b/>
          <w:sz w:val="22"/>
          <w:szCs w:val="22"/>
        </w:rPr>
        <w:t>PROGRAMA</w:t>
      </w:r>
      <w:bookmarkEnd w:id="16"/>
    </w:p>
    <w:p w14:paraId="47DAEE0A" w14:textId="77777777" w:rsidR="00996BAE" w:rsidRDefault="00996BAE" w:rsidP="007E4072">
      <w:pPr>
        <w:pStyle w:val="Normal2"/>
        <w:ind w:left="0"/>
        <w:contextualSpacing/>
        <w:jc w:val="both"/>
        <w:rPr>
          <w:rFonts w:ascii="Arial" w:hAnsi="Arial" w:cs="Arial"/>
          <w:sz w:val="20"/>
          <w:lang w:val="es-ES_tradnl"/>
        </w:rPr>
      </w:pPr>
    </w:p>
    <w:p w14:paraId="34EABF23" w14:textId="77777777" w:rsidR="003E5F51" w:rsidRDefault="003E5F51" w:rsidP="007E4072">
      <w:pPr>
        <w:pStyle w:val="Normal2"/>
        <w:ind w:left="0"/>
        <w:contextualSpacing/>
        <w:jc w:val="both"/>
        <w:rPr>
          <w:rFonts w:ascii="Arial" w:hAnsi="Arial" w:cs="Arial"/>
          <w:sz w:val="20"/>
          <w:lang w:val="es-ES_tradnl"/>
        </w:rPr>
      </w:pPr>
      <w:r w:rsidRPr="008C61FD">
        <w:rPr>
          <w:rFonts w:ascii="Arial" w:hAnsi="Arial" w:cs="Arial"/>
          <w:sz w:val="20"/>
          <w:lang w:val="es-ES_tradnl"/>
        </w:rPr>
        <w:t>E</w:t>
      </w:r>
      <w:r w:rsidR="00843E8C" w:rsidRPr="008C61FD">
        <w:rPr>
          <w:rFonts w:ascii="Arial" w:hAnsi="Arial" w:cs="Arial"/>
          <w:sz w:val="20"/>
          <w:lang w:val="es-ES_tradnl"/>
        </w:rPr>
        <w:t xml:space="preserve">l </w:t>
      </w:r>
      <w:r w:rsidR="002B7FA8">
        <w:rPr>
          <w:rFonts w:ascii="Arial" w:hAnsi="Arial" w:cs="Arial"/>
          <w:sz w:val="20"/>
          <w:lang w:val="es-ES_tradnl"/>
        </w:rPr>
        <w:t>Programa</w:t>
      </w:r>
      <w:r w:rsidRPr="008C61FD">
        <w:rPr>
          <w:rFonts w:ascii="Arial" w:hAnsi="Arial" w:cs="Arial"/>
          <w:sz w:val="20"/>
          <w:lang w:val="es-ES_tradnl"/>
        </w:rPr>
        <w:t xml:space="preserve"> </w:t>
      </w:r>
      <w:r w:rsidR="00AA2902" w:rsidRPr="008C61FD">
        <w:rPr>
          <w:rFonts w:ascii="Arial" w:hAnsi="Arial" w:cs="Arial"/>
          <w:sz w:val="20"/>
          <w:lang w:val="es-ES_tradnl"/>
        </w:rPr>
        <w:t>es</w:t>
      </w:r>
      <w:r w:rsidRPr="008C61FD">
        <w:rPr>
          <w:rFonts w:ascii="Arial" w:hAnsi="Arial" w:cs="Arial"/>
          <w:sz w:val="20"/>
          <w:lang w:val="es-ES_tradnl"/>
        </w:rPr>
        <w:t xml:space="preserve"> financiado con recursos de endeudamiento externo con el BID y con recursos de Contrapartida Local (Recursos Directamente Recaudados – RDR).</w:t>
      </w:r>
    </w:p>
    <w:p w14:paraId="2CB382D3" w14:textId="77777777" w:rsidR="006D65CA" w:rsidRDefault="006D65CA" w:rsidP="007E4072">
      <w:pPr>
        <w:pStyle w:val="Normal2"/>
        <w:ind w:left="0"/>
        <w:contextualSpacing/>
        <w:jc w:val="both"/>
        <w:rPr>
          <w:rFonts w:ascii="Arial" w:hAnsi="Arial" w:cs="Arial"/>
          <w:sz w:val="20"/>
          <w:lang w:val="es-ES_tradnl"/>
        </w:rPr>
      </w:pPr>
    </w:p>
    <w:p w14:paraId="7DAE9BB6" w14:textId="77777777" w:rsidR="006D65CA" w:rsidRPr="008C61FD" w:rsidRDefault="006D65CA" w:rsidP="007E4072">
      <w:pPr>
        <w:pStyle w:val="Normal2"/>
        <w:ind w:left="0"/>
        <w:contextualSpacing/>
        <w:jc w:val="both"/>
        <w:rPr>
          <w:rFonts w:ascii="Arial" w:hAnsi="Arial" w:cs="Arial"/>
          <w:sz w:val="20"/>
          <w:lang w:val="es-ES_tradnl"/>
        </w:rPr>
      </w:pPr>
      <w:bookmarkStart w:id="17" w:name="_Hlk16344098"/>
      <w:r>
        <w:rPr>
          <w:rFonts w:ascii="Arial" w:hAnsi="Arial" w:cs="Arial"/>
          <w:sz w:val="20"/>
          <w:lang w:val="es-ES_tradnl"/>
        </w:rPr>
        <w:t xml:space="preserve">El Ministerio Público es responsable por la ejecución de </w:t>
      </w:r>
      <w:proofErr w:type="spellStart"/>
      <w:r w:rsidRPr="006D65CA">
        <w:rPr>
          <w:rFonts w:ascii="Arial" w:hAnsi="Arial" w:cs="Arial"/>
          <w:sz w:val="20"/>
          <w:highlight w:val="yellow"/>
          <w:lang w:val="es-ES_tradnl"/>
        </w:rPr>
        <w:t>xxxx</w:t>
      </w:r>
      <w:proofErr w:type="spellEnd"/>
      <w:r>
        <w:rPr>
          <w:rFonts w:ascii="Arial" w:hAnsi="Arial" w:cs="Arial"/>
          <w:sz w:val="20"/>
          <w:lang w:val="es-ES_tradnl"/>
        </w:rPr>
        <w:t xml:space="preserve"> millones US$ del programa, el Poder Judicial </w:t>
      </w:r>
      <w:proofErr w:type="spellStart"/>
      <w:r w:rsidRPr="006D65CA">
        <w:rPr>
          <w:rFonts w:ascii="Arial" w:hAnsi="Arial" w:cs="Arial"/>
          <w:sz w:val="20"/>
          <w:highlight w:val="yellow"/>
          <w:lang w:val="es-ES_tradnl"/>
        </w:rPr>
        <w:t>xxxx</w:t>
      </w:r>
      <w:proofErr w:type="spellEnd"/>
      <w:r>
        <w:rPr>
          <w:rFonts w:ascii="Arial" w:hAnsi="Arial" w:cs="Arial"/>
          <w:sz w:val="20"/>
          <w:lang w:val="es-ES_tradnl"/>
        </w:rPr>
        <w:t xml:space="preserve"> millones US$ del programa y el MINJUSD</w:t>
      </w:r>
      <w:r w:rsidR="00795EED">
        <w:rPr>
          <w:rFonts w:ascii="Arial" w:hAnsi="Arial" w:cs="Arial"/>
          <w:sz w:val="20"/>
          <w:lang w:val="es-ES_tradnl"/>
        </w:rPr>
        <w:t>H</w:t>
      </w:r>
      <w:r>
        <w:rPr>
          <w:rFonts w:ascii="Arial" w:hAnsi="Arial" w:cs="Arial"/>
          <w:sz w:val="20"/>
          <w:lang w:val="es-ES_tradnl"/>
        </w:rPr>
        <w:t xml:space="preserve"> los </w:t>
      </w:r>
      <w:proofErr w:type="spellStart"/>
      <w:r w:rsidRPr="006D65CA">
        <w:rPr>
          <w:rFonts w:ascii="Arial" w:hAnsi="Arial" w:cs="Arial"/>
          <w:sz w:val="20"/>
          <w:highlight w:val="yellow"/>
          <w:lang w:val="es-ES_tradnl"/>
        </w:rPr>
        <w:t>xxx</w:t>
      </w:r>
      <w:proofErr w:type="spellEnd"/>
      <w:r>
        <w:rPr>
          <w:rFonts w:ascii="Arial" w:hAnsi="Arial" w:cs="Arial"/>
          <w:sz w:val="20"/>
          <w:lang w:val="es-ES_tradnl"/>
        </w:rPr>
        <w:t xml:space="preserve"> millones de US$ restantes.</w:t>
      </w:r>
    </w:p>
    <w:bookmarkEnd w:id="17"/>
    <w:p w14:paraId="2E9884C3" w14:textId="77777777" w:rsidR="00C21D22" w:rsidRPr="008C61FD" w:rsidRDefault="00C21D22" w:rsidP="00A6740A">
      <w:pPr>
        <w:pStyle w:val="Normal2"/>
        <w:ind w:left="0"/>
        <w:contextualSpacing/>
        <w:jc w:val="both"/>
        <w:rPr>
          <w:rFonts w:ascii="Arial" w:hAnsi="Arial" w:cs="Arial"/>
          <w:sz w:val="20"/>
          <w:lang w:val="es-ES_tradnl"/>
        </w:rPr>
      </w:pPr>
    </w:p>
    <w:p w14:paraId="2C29F931" w14:textId="5CB5F131" w:rsidR="003E5F51" w:rsidRDefault="00B017E5" w:rsidP="007E4072">
      <w:pPr>
        <w:pStyle w:val="Normal2"/>
        <w:ind w:left="0"/>
        <w:contextualSpacing/>
        <w:jc w:val="both"/>
        <w:rPr>
          <w:rFonts w:ascii="Arial" w:hAnsi="Arial" w:cs="Arial"/>
          <w:sz w:val="20"/>
          <w:lang w:val="es-ES_tradnl"/>
        </w:rPr>
      </w:pPr>
      <w:r w:rsidRPr="008C61FD">
        <w:rPr>
          <w:rFonts w:ascii="Arial" w:hAnsi="Arial" w:cs="Arial"/>
          <w:sz w:val="20"/>
          <w:lang w:val="es-ES_tradnl"/>
        </w:rPr>
        <w:t xml:space="preserve">Los costos por fuente de financiamiento </w:t>
      </w:r>
      <w:r w:rsidR="003E5F51" w:rsidRPr="008C61FD">
        <w:rPr>
          <w:rFonts w:ascii="Arial" w:hAnsi="Arial" w:cs="Arial"/>
          <w:sz w:val="20"/>
          <w:lang w:val="es-ES_tradnl"/>
        </w:rPr>
        <w:t xml:space="preserve">del </w:t>
      </w:r>
      <w:r w:rsidR="002B7FA8">
        <w:rPr>
          <w:rFonts w:ascii="Arial" w:hAnsi="Arial" w:cs="Arial"/>
          <w:sz w:val="20"/>
          <w:lang w:val="es-ES_tradnl"/>
        </w:rPr>
        <w:t>Programa</w:t>
      </w:r>
      <w:r w:rsidRPr="008C61FD">
        <w:rPr>
          <w:rFonts w:ascii="Arial" w:hAnsi="Arial" w:cs="Arial"/>
          <w:sz w:val="20"/>
          <w:lang w:val="es-ES_tradnl"/>
        </w:rPr>
        <w:t xml:space="preserve"> </w:t>
      </w:r>
      <w:r w:rsidR="003E5F51" w:rsidRPr="008C61FD">
        <w:rPr>
          <w:rFonts w:ascii="Arial" w:hAnsi="Arial" w:cs="Arial"/>
          <w:sz w:val="20"/>
          <w:lang w:val="es-ES_tradnl"/>
        </w:rPr>
        <w:t xml:space="preserve">se </w:t>
      </w:r>
      <w:r w:rsidRPr="008C61FD">
        <w:rPr>
          <w:rFonts w:ascii="Arial" w:hAnsi="Arial" w:cs="Arial"/>
          <w:sz w:val="20"/>
          <w:lang w:val="es-ES_tradnl"/>
        </w:rPr>
        <w:t>detalla</w:t>
      </w:r>
      <w:r w:rsidR="0092511F" w:rsidRPr="008C61FD">
        <w:rPr>
          <w:rFonts w:ascii="Arial" w:hAnsi="Arial" w:cs="Arial"/>
          <w:sz w:val="20"/>
          <w:lang w:val="es-ES_tradnl"/>
        </w:rPr>
        <w:t>n</w:t>
      </w:r>
      <w:r w:rsidRPr="008C61FD">
        <w:rPr>
          <w:rFonts w:ascii="Arial" w:hAnsi="Arial" w:cs="Arial"/>
          <w:sz w:val="20"/>
          <w:lang w:val="es-ES_tradnl"/>
        </w:rPr>
        <w:t xml:space="preserve"> en el siguiente cuadro:</w:t>
      </w:r>
    </w:p>
    <w:p w14:paraId="4AF2C4A2" w14:textId="77777777" w:rsidR="00411AE3" w:rsidRPr="008C61FD" w:rsidRDefault="00411AE3" w:rsidP="007E4072">
      <w:pPr>
        <w:pStyle w:val="Normal2"/>
        <w:ind w:left="0"/>
        <w:contextualSpacing/>
        <w:jc w:val="both"/>
        <w:rPr>
          <w:rFonts w:ascii="Arial" w:hAnsi="Arial" w:cs="Arial"/>
          <w:sz w:val="20"/>
          <w:lang w:val="es-ES_tradnl"/>
        </w:rPr>
      </w:pPr>
    </w:p>
    <w:p w14:paraId="6149AA29" w14:textId="77777777" w:rsidR="00EB352A" w:rsidRDefault="00EB352A" w:rsidP="003E5F51">
      <w:pPr>
        <w:pStyle w:val="Caption"/>
        <w:keepNext/>
        <w:contextualSpacing/>
        <w:jc w:val="center"/>
        <w:rPr>
          <w:rFonts w:cs="Arial"/>
          <w:sz w:val="22"/>
          <w:szCs w:val="22"/>
        </w:rPr>
      </w:pPr>
    </w:p>
    <w:p w14:paraId="6211CD2B" w14:textId="77777777" w:rsidR="003E5F51" w:rsidRPr="007C7199" w:rsidRDefault="005225A2" w:rsidP="003E5F51">
      <w:pPr>
        <w:pStyle w:val="Caption"/>
        <w:keepNext/>
        <w:contextualSpacing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Tabla</w:t>
      </w:r>
      <w:r w:rsidR="00B017E5" w:rsidRPr="007C7199">
        <w:rPr>
          <w:rFonts w:cs="Arial"/>
          <w:sz w:val="22"/>
          <w:szCs w:val="22"/>
        </w:rPr>
        <w:t xml:space="preserve"> </w:t>
      </w:r>
      <w:proofErr w:type="spellStart"/>
      <w:r w:rsidR="00B017E5" w:rsidRPr="007C7199">
        <w:rPr>
          <w:rFonts w:cs="Arial"/>
          <w:sz w:val="22"/>
          <w:szCs w:val="22"/>
        </w:rPr>
        <w:t>N°</w:t>
      </w:r>
      <w:proofErr w:type="spellEnd"/>
      <w:r w:rsidR="00866F0C" w:rsidRPr="007C7199">
        <w:rPr>
          <w:rFonts w:cs="Arial"/>
          <w:sz w:val="22"/>
          <w:szCs w:val="22"/>
        </w:rPr>
        <w:t xml:space="preserve"> 1</w:t>
      </w:r>
      <w:r w:rsidR="00926259">
        <w:rPr>
          <w:rFonts w:cs="Arial"/>
          <w:sz w:val="22"/>
          <w:szCs w:val="22"/>
        </w:rPr>
        <w:t xml:space="preserve"> - </w:t>
      </w:r>
      <w:r w:rsidR="00B017E5" w:rsidRPr="007C7199">
        <w:rPr>
          <w:rFonts w:cs="Arial"/>
          <w:sz w:val="22"/>
          <w:szCs w:val="22"/>
        </w:rPr>
        <w:t>C</w:t>
      </w:r>
      <w:r w:rsidR="001403FD">
        <w:rPr>
          <w:rFonts w:cs="Arial"/>
          <w:sz w:val="22"/>
          <w:szCs w:val="22"/>
        </w:rPr>
        <w:t xml:space="preserve">ostos del </w:t>
      </w:r>
      <w:r w:rsidR="002B7FA8">
        <w:rPr>
          <w:rFonts w:cs="Arial"/>
          <w:sz w:val="22"/>
          <w:szCs w:val="22"/>
        </w:rPr>
        <w:t>Programa</w:t>
      </w:r>
      <w:r w:rsidR="007E4072">
        <w:rPr>
          <w:rFonts w:cs="Arial"/>
          <w:sz w:val="22"/>
          <w:szCs w:val="22"/>
        </w:rPr>
        <w:t xml:space="preserve"> </w:t>
      </w:r>
      <w:r w:rsidR="007C7199" w:rsidRPr="007C7199">
        <w:rPr>
          <w:rFonts w:cs="Arial"/>
          <w:sz w:val="22"/>
          <w:szCs w:val="22"/>
        </w:rPr>
        <w:t>por fuente de financiamiento</w:t>
      </w:r>
    </w:p>
    <w:p w14:paraId="5FF8E880" w14:textId="77777777" w:rsidR="003E5F51" w:rsidRDefault="003E5F51" w:rsidP="003E5F51">
      <w:pPr>
        <w:pStyle w:val="Caption"/>
        <w:keepNext/>
        <w:ind w:left="208"/>
        <w:contextualSpacing/>
        <w:jc w:val="center"/>
        <w:rPr>
          <w:rFonts w:cs="Arial"/>
          <w:sz w:val="22"/>
          <w:szCs w:val="22"/>
        </w:rPr>
      </w:pPr>
      <w:r w:rsidRPr="007C7199">
        <w:rPr>
          <w:rFonts w:cs="Arial"/>
          <w:sz w:val="22"/>
          <w:szCs w:val="22"/>
        </w:rPr>
        <w:t>(</w:t>
      </w:r>
      <w:r w:rsidR="007C7199">
        <w:rPr>
          <w:rFonts w:cs="Arial"/>
          <w:sz w:val="22"/>
          <w:szCs w:val="22"/>
        </w:rPr>
        <w:t>e</w:t>
      </w:r>
      <w:r w:rsidRPr="007C7199">
        <w:rPr>
          <w:rFonts w:cs="Arial"/>
          <w:sz w:val="22"/>
          <w:szCs w:val="22"/>
        </w:rPr>
        <w:t>n miles de US$)</w:t>
      </w:r>
    </w:p>
    <w:tbl>
      <w:tblPr>
        <w:tblStyle w:val="TableGrid"/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3312"/>
        <w:gridCol w:w="1363"/>
        <w:gridCol w:w="1440"/>
        <w:gridCol w:w="1440"/>
        <w:gridCol w:w="990"/>
      </w:tblGrid>
      <w:tr w:rsidR="009E3E0B" w:rsidRPr="00411AE3" w:rsidDel="00566A3D" w14:paraId="458785A4" w14:textId="77777777" w:rsidTr="00411AE3">
        <w:trPr>
          <w:trHeight w:val="182"/>
          <w:jc w:val="center"/>
        </w:trPr>
        <w:tc>
          <w:tcPr>
            <w:tcW w:w="3312" w:type="dxa"/>
          </w:tcPr>
          <w:p w14:paraId="055E18BB" w14:textId="0716B330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sz w:val="18"/>
                <w:szCs w:val="18"/>
                <w:lang w:val="es-ES"/>
              </w:rPr>
              <w:t>Componentes</w:t>
            </w:r>
          </w:p>
        </w:tc>
        <w:tc>
          <w:tcPr>
            <w:tcW w:w="1363" w:type="dxa"/>
          </w:tcPr>
          <w:p w14:paraId="05E76B92" w14:textId="0CE4FEF3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 w:rsidDel="00566A3D">
              <w:rPr>
                <w:rFonts w:ascii="Arial" w:eastAsiaTheme="minorEastAsia" w:hAnsi="Arial" w:cs="Arial"/>
                <w:b/>
                <w:sz w:val="18"/>
                <w:szCs w:val="18"/>
                <w:lang w:val="es-ES"/>
              </w:rPr>
              <w:t>BID</w:t>
            </w:r>
          </w:p>
        </w:tc>
        <w:tc>
          <w:tcPr>
            <w:tcW w:w="1440" w:type="dxa"/>
          </w:tcPr>
          <w:p w14:paraId="1A1664E8" w14:textId="481560D5" w:rsidR="009E3E0B" w:rsidRPr="00411AE3" w:rsidDel="00566A3D" w:rsidRDefault="009E3E0B" w:rsidP="00411AE3">
            <w:pPr>
              <w:pStyle w:val="Paragraph"/>
              <w:keepNext/>
              <w:keepLines/>
              <w:numPr>
                <w:ilvl w:val="0"/>
                <w:numId w:val="0"/>
              </w:numPr>
              <w:tabs>
                <w:tab w:val="left" w:pos="4680"/>
              </w:tabs>
              <w:spacing w:after="0"/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11AE3" w:rsidDel="00566A3D">
              <w:rPr>
                <w:rFonts w:ascii="Arial" w:hAnsi="Arial" w:cs="Arial"/>
                <w:b/>
                <w:sz w:val="18"/>
                <w:szCs w:val="18"/>
              </w:rPr>
              <w:t>Loca</w:t>
            </w:r>
            <w:r w:rsidRPr="00411AE3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440" w:type="dxa"/>
          </w:tcPr>
          <w:p w14:paraId="6829D9D7" w14:textId="77777777" w:rsidR="009E3E0B" w:rsidRPr="00411AE3" w:rsidDel="00566A3D" w:rsidRDefault="009E3E0B" w:rsidP="00411AE3">
            <w:pPr>
              <w:pStyle w:val="Paragraph"/>
              <w:keepNext/>
              <w:keepLines/>
              <w:numPr>
                <w:ilvl w:val="0"/>
                <w:numId w:val="0"/>
              </w:numPr>
              <w:tabs>
                <w:tab w:val="left" w:pos="4680"/>
              </w:tabs>
              <w:spacing w:after="0"/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AE3" w:rsidDel="00566A3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0" w:type="dxa"/>
          </w:tcPr>
          <w:p w14:paraId="28970AD6" w14:textId="77777777" w:rsidR="009E3E0B" w:rsidRPr="00411AE3" w:rsidDel="00566A3D" w:rsidRDefault="009E3E0B" w:rsidP="00411AE3">
            <w:pPr>
              <w:pStyle w:val="Paragraph"/>
              <w:keepNext/>
              <w:keepLines/>
              <w:numPr>
                <w:ilvl w:val="0"/>
                <w:numId w:val="0"/>
              </w:numPr>
              <w:tabs>
                <w:tab w:val="left" w:pos="4680"/>
              </w:tabs>
              <w:spacing w:after="0"/>
              <w:ind w:left="720" w:hanging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AE3" w:rsidDel="00566A3D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9E3E0B" w:rsidRPr="00411AE3" w:rsidDel="00566A3D" w14:paraId="7036ABA0" w14:textId="77777777" w:rsidTr="00411AE3">
        <w:trPr>
          <w:trHeight w:val="128"/>
          <w:jc w:val="center"/>
        </w:trPr>
        <w:tc>
          <w:tcPr>
            <w:tcW w:w="3312" w:type="dxa"/>
          </w:tcPr>
          <w:p w14:paraId="7B1EAC82" w14:textId="773099D3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ind w:hanging="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 w:rsidDel="00566A3D">
              <w:rPr>
                <w:rFonts w:ascii="Arial" w:eastAsiaTheme="minorEastAsia" w:hAnsi="Arial" w:cs="Arial"/>
                <w:sz w:val="18"/>
                <w:szCs w:val="18"/>
                <w:lang w:val="es-ES"/>
              </w:rPr>
              <w:t xml:space="preserve">Componente </w:t>
            </w:r>
            <w:r w:rsidRPr="00411AE3">
              <w:rPr>
                <w:rFonts w:ascii="Arial" w:eastAsiaTheme="minorEastAsia" w:hAnsi="Arial" w:cs="Arial"/>
                <w:sz w:val="18"/>
                <w:szCs w:val="18"/>
                <w:lang w:val="es-ES"/>
              </w:rPr>
              <w:t>1</w:t>
            </w:r>
            <w:r w:rsidRPr="00411AE3" w:rsidDel="00566A3D">
              <w:rPr>
                <w:rFonts w:ascii="Arial" w:eastAsiaTheme="minorEastAsia" w:hAnsi="Arial" w:cs="Arial"/>
                <w:sz w:val="18"/>
                <w:szCs w:val="18"/>
                <w:lang w:val="es-ES"/>
              </w:rPr>
              <w:t xml:space="preserve">. </w:t>
            </w:r>
            <w:r w:rsidRPr="00411AE3">
              <w:rPr>
                <w:rFonts w:ascii="Arial" w:eastAsiaTheme="minorEastAsia" w:hAnsi="Arial" w:cs="Arial"/>
                <w:sz w:val="18"/>
                <w:szCs w:val="18"/>
                <w:lang w:val="es-ES"/>
              </w:rPr>
              <w:t>Aumento de la eficiencia del SAJP</w:t>
            </w: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 xml:space="preserve"> a través de Medios Tecnológicos </w:t>
            </w:r>
          </w:p>
        </w:tc>
        <w:tc>
          <w:tcPr>
            <w:tcW w:w="1363" w:type="dxa"/>
          </w:tcPr>
          <w:p w14:paraId="62CCDF73" w14:textId="1E8A3AAD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Cs/>
                <w:sz w:val="18"/>
                <w:szCs w:val="18"/>
                <w:lang w:val="es-ES"/>
              </w:rPr>
              <w:t>78.033.424</w:t>
            </w:r>
          </w:p>
        </w:tc>
        <w:tc>
          <w:tcPr>
            <w:tcW w:w="1440" w:type="dxa"/>
          </w:tcPr>
          <w:p w14:paraId="68A53217" w14:textId="37F9BE9D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Cs/>
                <w:sz w:val="18"/>
                <w:szCs w:val="18"/>
                <w:lang w:val="es-ES"/>
              </w:rPr>
              <w:t>70.337.576</w:t>
            </w:r>
          </w:p>
        </w:tc>
        <w:tc>
          <w:tcPr>
            <w:tcW w:w="1440" w:type="dxa"/>
          </w:tcPr>
          <w:p w14:paraId="247F8B1A" w14:textId="0312569E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Cs/>
                <w:sz w:val="18"/>
                <w:szCs w:val="18"/>
                <w:lang w:val="es-ES"/>
              </w:rPr>
              <w:t>148.371.000</w:t>
            </w:r>
          </w:p>
        </w:tc>
        <w:tc>
          <w:tcPr>
            <w:tcW w:w="990" w:type="dxa"/>
          </w:tcPr>
          <w:p w14:paraId="4C0829C1" w14:textId="7191AD1C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Cs/>
                <w:sz w:val="18"/>
                <w:szCs w:val="18"/>
                <w:lang w:val="es-ES"/>
              </w:rPr>
              <w:t>74,19</w:t>
            </w:r>
          </w:p>
        </w:tc>
      </w:tr>
      <w:tr w:rsidR="009E3E0B" w:rsidRPr="00411AE3" w:rsidDel="00566A3D" w14:paraId="18C24CEE" w14:textId="77777777" w:rsidTr="00411AE3">
        <w:trPr>
          <w:trHeight w:val="144"/>
          <w:jc w:val="center"/>
        </w:trPr>
        <w:tc>
          <w:tcPr>
            <w:tcW w:w="3312" w:type="dxa"/>
          </w:tcPr>
          <w:p w14:paraId="7C630325" w14:textId="77777777" w:rsidR="009E3E0B" w:rsidRPr="00411AE3" w:rsidDel="00566A3D" w:rsidRDefault="009E3E0B" w:rsidP="009E3E0B">
            <w:pPr>
              <w:keepNext/>
              <w:keepLines/>
              <w:tabs>
                <w:tab w:val="left" w:pos="4680"/>
              </w:tabs>
              <w:ind w:left="15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Mejoramiento del sistema de administración de justicia a través de la digitalización del expediente judicial en materia penal (PJ)</w:t>
            </w:r>
          </w:p>
        </w:tc>
        <w:tc>
          <w:tcPr>
            <w:tcW w:w="1363" w:type="dxa"/>
          </w:tcPr>
          <w:p w14:paraId="7D7CA38A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18.188.550</w:t>
            </w:r>
          </w:p>
        </w:tc>
        <w:tc>
          <w:tcPr>
            <w:tcW w:w="1440" w:type="dxa"/>
          </w:tcPr>
          <w:p w14:paraId="319AE423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Cs/>
                <w:sz w:val="18"/>
                <w:szCs w:val="18"/>
                <w:lang w:val="es-ES"/>
              </w:rPr>
              <w:t>18.188.550</w:t>
            </w:r>
          </w:p>
        </w:tc>
        <w:tc>
          <w:tcPr>
            <w:tcW w:w="1440" w:type="dxa"/>
          </w:tcPr>
          <w:p w14:paraId="1E2EE810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Cs/>
                <w:sz w:val="18"/>
                <w:szCs w:val="18"/>
                <w:lang w:val="es-ES"/>
              </w:rPr>
              <w:t>36.377.100</w:t>
            </w:r>
          </w:p>
        </w:tc>
        <w:tc>
          <w:tcPr>
            <w:tcW w:w="990" w:type="dxa"/>
          </w:tcPr>
          <w:p w14:paraId="08895D05" w14:textId="4771FFD9" w:rsidR="009E3E0B" w:rsidRPr="00411AE3" w:rsidRDefault="00411AE3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18,18</w:t>
            </w:r>
          </w:p>
        </w:tc>
      </w:tr>
      <w:tr w:rsidR="009E3E0B" w:rsidRPr="00411AE3" w:rsidDel="00566A3D" w14:paraId="3E09CE23" w14:textId="77777777" w:rsidTr="00411AE3">
        <w:trPr>
          <w:trHeight w:val="144"/>
          <w:jc w:val="center"/>
        </w:trPr>
        <w:tc>
          <w:tcPr>
            <w:tcW w:w="3312" w:type="dxa"/>
          </w:tcPr>
          <w:p w14:paraId="710DFE34" w14:textId="77777777" w:rsidR="009E3E0B" w:rsidRPr="00411AE3" w:rsidDel="00566A3D" w:rsidRDefault="009E3E0B" w:rsidP="009E3E0B">
            <w:pPr>
              <w:keepNext/>
              <w:keepLines/>
              <w:tabs>
                <w:tab w:val="left" w:pos="4680"/>
              </w:tabs>
              <w:ind w:left="15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Mejoramiento de los servicios de justicia a través de la implementación de la Carpeta Fiscal Electrónica a nivel nacional (MP)</w:t>
            </w:r>
          </w:p>
        </w:tc>
        <w:tc>
          <w:tcPr>
            <w:tcW w:w="1363" w:type="dxa"/>
          </w:tcPr>
          <w:p w14:paraId="40DE167D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59.844.874</w:t>
            </w:r>
          </w:p>
        </w:tc>
        <w:tc>
          <w:tcPr>
            <w:tcW w:w="1440" w:type="dxa"/>
          </w:tcPr>
          <w:p w14:paraId="23118E28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 xml:space="preserve">      52.149.026</w:t>
            </w:r>
          </w:p>
        </w:tc>
        <w:tc>
          <w:tcPr>
            <w:tcW w:w="1440" w:type="dxa"/>
          </w:tcPr>
          <w:p w14:paraId="738758B7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Cs/>
                <w:sz w:val="18"/>
                <w:szCs w:val="18"/>
                <w:lang w:val="es-ES"/>
              </w:rPr>
              <w:t>111.993.900</w:t>
            </w:r>
          </w:p>
        </w:tc>
        <w:tc>
          <w:tcPr>
            <w:tcW w:w="990" w:type="dxa"/>
          </w:tcPr>
          <w:p w14:paraId="2A63498F" w14:textId="737DF3D1" w:rsidR="009E3E0B" w:rsidRPr="00411AE3" w:rsidRDefault="00411AE3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56,00</w:t>
            </w:r>
          </w:p>
        </w:tc>
      </w:tr>
      <w:tr w:rsidR="009E3E0B" w:rsidRPr="00411AE3" w:rsidDel="00566A3D" w14:paraId="3593AAC1" w14:textId="77777777" w:rsidTr="00411AE3">
        <w:trPr>
          <w:trHeight w:val="144"/>
          <w:jc w:val="center"/>
        </w:trPr>
        <w:tc>
          <w:tcPr>
            <w:tcW w:w="3312" w:type="dxa"/>
          </w:tcPr>
          <w:p w14:paraId="1935F0BB" w14:textId="7CAAF079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ind w:hanging="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 w:rsidDel="00566A3D">
              <w:rPr>
                <w:rFonts w:ascii="Arial" w:eastAsiaTheme="minorEastAsia" w:hAnsi="Arial" w:cs="Arial"/>
                <w:sz w:val="18"/>
                <w:szCs w:val="18"/>
                <w:lang w:val="es-ES"/>
              </w:rPr>
              <w:t xml:space="preserve">Componente </w:t>
            </w:r>
            <w:r w:rsidRPr="00411AE3">
              <w:rPr>
                <w:rFonts w:ascii="Arial" w:eastAsiaTheme="minorEastAsia" w:hAnsi="Arial" w:cs="Arial"/>
                <w:sz w:val="18"/>
                <w:szCs w:val="18"/>
                <w:lang w:val="es-ES"/>
              </w:rPr>
              <w:t>2.</w:t>
            </w:r>
            <w:r w:rsidRPr="00411AE3" w:rsidDel="00566A3D">
              <w:rPr>
                <w:rFonts w:ascii="Arial" w:eastAsiaTheme="minorEastAsia" w:hAnsi="Arial" w:cs="Arial"/>
                <w:sz w:val="18"/>
                <w:szCs w:val="18"/>
                <w:lang w:val="es-ES"/>
              </w:rPr>
              <w:t xml:space="preserve"> </w:t>
            </w:r>
            <w:r w:rsidRPr="00411AE3">
              <w:rPr>
                <w:rFonts w:ascii="Arial" w:eastAsiaTheme="minorEastAsia" w:hAnsi="Arial" w:cs="Arial"/>
                <w:sz w:val="18"/>
                <w:szCs w:val="18"/>
                <w:lang w:val="es-ES"/>
              </w:rPr>
              <w:t>Aumento de la calidad de la investigación criminal</w:t>
            </w:r>
          </w:p>
        </w:tc>
        <w:tc>
          <w:tcPr>
            <w:tcW w:w="1363" w:type="dxa"/>
          </w:tcPr>
          <w:p w14:paraId="4560EB82" w14:textId="44D8590E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10.640.150</w:t>
            </w:r>
          </w:p>
        </w:tc>
        <w:tc>
          <w:tcPr>
            <w:tcW w:w="1440" w:type="dxa"/>
          </w:tcPr>
          <w:p w14:paraId="3237AF32" w14:textId="3ADD34BE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Cs/>
                <w:sz w:val="18"/>
                <w:szCs w:val="18"/>
                <w:lang w:val="es-ES"/>
              </w:rPr>
              <w:t>10.640.150</w:t>
            </w:r>
          </w:p>
        </w:tc>
        <w:tc>
          <w:tcPr>
            <w:tcW w:w="1440" w:type="dxa"/>
          </w:tcPr>
          <w:p w14:paraId="1D48EA42" w14:textId="533D41E0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Cs/>
                <w:sz w:val="18"/>
                <w:szCs w:val="18"/>
                <w:lang w:val="es-ES"/>
              </w:rPr>
              <w:t>21.280.300</w:t>
            </w:r>
          </w:p>
        </w:tc>
        <w:tc>
          <w:tcPr>
            <w:tcW w:w="990" w:type="dxa"/>
          </w:tcPr>
          <w:p w14:paraId="114F9855" w14:textId="70151AF2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Cs/>
                <w:sz w:val="18"/>
                <w:szCs w:val="18"/>
                <w:lang w:val="es-ES"/>
              </w:rPr>
              <w:t>10,64</w:t>
            </w:r>
          </w:p>
        </w:tc>
      </w:tr>
      <w:tr w:rsidR="009E3E0B" w:rsidRPr="00411AE3" w:rsidDel="00566A3D" w14:paraId="4133BE47" w14:textId="77777777" w:rsidTr="00411AE3">
        <w:trPr>
          <w:trHeight w:val="144"/>
          <w:jc w:val="center"/>
        </w:trPr>
        <w:tc>
          <w:tcPr>
            <w:tcW w:w="3312" w:type="dxa"/>
          </w:tcPr>
          <w:p w14:paraId="7D0A7897" w14:textId="423503B9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ind w:hanging="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eastAsiaTheme="minorEastAsia" w:hAnsi="Arial" w:cs="Arial"/>
                <w:sz w:val="18"/>
                <w:szCs w:val="18"/>
                <w:lang w:val="es-ES"/>
              </w:rPr>
              <w:t>Componente 3. Mejoramiento del acceso a los servicios de administración de justicia penal</w:t>
            </w: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 xml:space="preserve"> a través de Medios Tecnológicos</w:t>
            </w:r>
          </w:p>
        </w:tc>
        <w:tc>
          <w:tcPr>
            <w:tcW w:w="1363" w:type="dxa"/>
          </w:tcPr>
          <w:p w14:paraId="15C127D4" w14:textId="06DCAF72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10.126.426</w:t>
            </w:r>
          </w:p>
        </w:tc>
        <w:tc>
          <w:tcPr>
            <w:tcW w:w="1440" w:type="dxa"/>
          </w:tcPr>
          <w:p w14:paraId="2E21A3F1" w14:textId="5B4356B8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6.668.096</w:t>
            </w:r>
          </w:p>
        </w:tc>
        <w:tc>
          <w:tcPr>
            <w:tcW w:w="1440" w:type="dxa"/>
          </w:tcPr>
          <w:p w14:paraId="5B9B29AB" w14:textId="4162B46C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16.794.522</w:t>
            </w:r>
          </w:p>
        </w:tc>
        <w:tc>
          <w:tcPr>
            <w:tcW w:w="990" w:type="dxa"/>
          </w:tcPr>
          <w:p w14:paraId="6A9A6C25" w14:textId="02B07C70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8,40</w:t>
            </w:r>
          </w:p>
        </w:tc>
      </w:tr>
      <w:tr w:rsidR="009E3E0B" w:rsidRPr="00411AE3" w:rsidDel="00566A3D" w14:paraId="37AEC40D" w14:textId="77777777" w:rsidTr="00411AE3">
        <w:trPr>
          <w:trHeight w:val="144"/>
          <w:jc w:val="center"/>
        </w:trPr>
        <w:tc>
          <w:tcPr>
            <w:tcW w:w="3312" w:type="dxa"/>
          </w:tcPr>
          <w:p w14:paraId="791786C7" w14:textId="47A28910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ind w:hanging="11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gramStart"/>
            <w:r w:rsidRPr="00411AE3">
              <w:rPr>
                <w:rFonts w:ascii="Arial" w:eastAsiaTheme="minorEastAsia" w:hAnsi="Arial" w:cs="Arial"/>
                <w:b/>
                <w:sz w:val="18"/>
                <w:szCs w:val="18"/>
                <w:lang w:val="es-ES"/>
              </w:rPr>
              <w:t>Total</w:t>
            </w:r>
            <w:proofErr w:type="gramEnd"/>
            <w:r w:rsidRPr="00411AE3">
              <w:rPr>
                <w:rFonts w:ascii="Arial" w:eastAsiaTheme="minorEastAsia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Componentes</w:t>
            </w:r>
          </w:p>
        </w:tc>
        <w:tc>
          <w:tcPr>
            <w:tcW w:w="1363" w:type="dxa"/>
          </w:tcPr>
          <w:p w14:paraId="169A6A18" w14:textId="77777777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sz w:val="18"/>
                <w:szCs w:val="18"/>
                <w:lang w:val="es-ES"/>
              </w:rPr>
              <w:t>98.</w:t>
            </w: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800.</w:t>
            </w:r>
            <w:r w:rsidRPr="00411AE3">
              <w:rPr>
                <w:rFonts w:ascii="Arial" w:hAnsi="Arial" w:cs="Arial"/>
                <w:b/>
                <w:sz w:val="18"/>
                <w:szCs w:val="18"/>
                <w:lang w:val="es-ES"/>
              </w:rPr>
              <w:t>000</w:t>
            </w:r>
          </w:p>
        </w:tc>
        <w:tc>
          <w:tcPr>
            <w:tcW w:w="1440" w:type="dxa"/>
          </w:tcPr>
          <w:p w14:paraId="3CE4E07A" w14:textId="41710361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87.645.822</w:t>
            </w:r>
          </w:p>
        </w:tc>
        <w:tc>
          <w:tcPr>
            <w:tcW w:w="1440" w:type="dxa"/>
          </w:tcPr>
          <w:p w14:paraId="33848648" w14:textId="279B858B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186.445.822</w:t>
            </w:r>
          </w:p>
        </w:tc>
        <w:tc>
          <w:tcPr>
            <w:tcW w:w="990" w:type="dxa"/>
          </w:tcPr>
          <w:p w14:paraId="7E204973" w14:textId="145EEF27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93,22</w:t>
            </w:r>
          </w:p>
        </w:tc>
      </w:tr>
      <w:tr w:rsidR="009E3E0B" w:rsidRPr="00411AE3" w:rsidDel="00566A3D" w14:paraId="15699718" w14:textId="77777777" w:rsidTr="00411AE3">
        <w:trPr>
          <w:trHeight w:val="144"/>
          <w:jc w:val="center"/>
        </w:trPr>
        <w:tc>
          <w:tcPr>
            <w:tcW w:w="3312" w:type="dxa"/>
          </w:tcPr>
          <w:p w14:paraId="46A4098E" w14:textId="190973DA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ind w:left="720" w:hanging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eastAsiaTheme="minorEastAsia" w:hAnsi="Arial" w:cs="Arial"/>
                <w:b/>
                <w:sz w:val="18"/>
                <w:szCs w:val="18"/>
                <w:lang w:val="es-ES"/>
              </w:rPr>
              <w:t>Administración del proyecto</w:t>
            </w:r>
          </w:p>
        </w:tc>
        <w:tc>
          <w:tcPr>
            <w:tcW w:w="1363" w:type="dxa"/>
          </w:tcPr>
          <w:p w14:paraId="1E0F5678" w14:textId="1AAE2D04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</w:tcPr>
          <w:p w14:paraId="4D74F0D1" w14:textId="2701BC7C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12.354.178</w:t>
            </w:r>
          </w:p>
        </w:tc>
        <w:tc>
          <w:tcPr>
            <w:tcW w:w="1440" w:type="dxa"/>
          </w:tcPr>
          <w:p w14:paraId="1A4756BF" w14:textId="08A8A636" w:rsidR="009E3E0B" w:rsidRPr="00411AE3" w:rsidDel="00566A3D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12.354.178</w:t>
            </w:r>
          </w:p>
        </w:tc>
        <w:tc>
          <w:tcPr>
            <w:tcW w:w="990" w:type="dxa"/>
          </w:tcPr>
          <w:p w14:paraId="3DD7A88A" w14:textId="48FD0BD5" w:rsidR="009E3E0B" w:rsidRPr="00411AE3" w:rsidDel="00566A3D" w:rsidRDefault="009E3E0B" w:rsidP="00411AE3">
            <w:pPr>
              <w:keepNext/>
              <w:keepLines/>
              <w:ind w:left="-36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6,18</w:t>
            </w:r>
          </w:p>
        </w:tc>
      </w:tr>
      <w:tr w:rsidR="009E3E0B" w:rsidRPr="00411AE3" w:rsidDel="00566A3D" w14:paraId="6D2CB63C" w14:textId="77777777" w:rsidTr="00411AE3">
        <w:trPr>
          <w:trHeight w:val="144"/>
          <w:jc w:val="center"/>
        </w:trPr>
        <w:tc>
          <w:tcPr>
            <w:tcW w:w="3312" w:type="dxa"/>
          </w:tcPr>
          <w:p w14:paraId="0ED628D9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ind w:left="720" w:hanging="7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PJ</w:t>
            </w:r>
          </w:p>
        </w:tc>
        <w:tc>
          <w:tcPr>
            <w:tcW w:w="1363" w:type="dxa"/>
          </w:tcPr>
          <w:p w14:paraId="48E9B7FE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</w:tcPr>
          <w:p w14:paraId="494456BA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3.472.900</w:t>
            </w:r>
          </w:p>
        </w:tc>
        <w:tc>
          <w:tcPr>
            <w:tcW w:w="1440" w:type="dxa"/>
          </w:tcPr>
          <w:p w14:paraId="5DBFF409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3.472.900</w:t>
            </w:r>
          </w:p>
        </w:tc>
        <w:tc>
          <w:tcPr>
            <w:tcW w:w="990" w:type="dxa"/>
          </w:tcPr>
          <w:p w14:paraId="2801EEA3" w14:textId="77777777" w:rsidR="009E3E0B" w:rsidRPr="00411AE3" w:rsidRDefault="009E3E0B" w:rsidP="009E3E0B">
            <w:pPr>
              <w:keepNext/>
              <w:keepLines/>
              <w:ind w:left="-36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1,74</w:t>
            </w:r>
          </w:p>
        </w:tc>
      </w:tr>
      <w:tr w:rsidR="009E3E0B" w:rsidRPr="00411AE3" w:rsidDel="00566A3D" w14:paraId="555367ED" w14:textId="77777777" w:rsidTr="00411AE3">
        <w:trPr>
          <w:trHeight w:val="144"/>
          <w:jc w:val="center"/>
        </w:trPr>
        <w:tc>
          <w:tcPr>
            <w:tcW w:w="3312" w:type="dxa"/>
          </w:tcPr>
          <w:p w14:paraId="6757FF86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ind w:left="720" w:hanging="7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MPFN</w:t>
            </w:r>
          </w:p>
        </w:tc>
        <w:tc>
          <w:tcPr>
            <w:tcW w:w="1363" w:type="dxa"/>
          </w:tcPr>
          <w:p w14:paraId="35F2AEE4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</w:tcPr>
          <w:p w14:paraId="3A2C3A4B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6.575.800</w:t>
            </w:r>
          </w:p>
        </w:tc>
        <w:tc>
          <w:tcPr>
            <w:tcW w:w="1440" w:type="dxa"/>
          </w:tcPr>
          <w:p w14:paraId="4DC52470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6.575.800</w:t>
            </w:r>
          </w:p>
        </w:tc>
        <w:tc>
          <w:tcPr>
            <w:tcW w:w="990" w:type="dxa"/>
          </w:tcPr>
          <w:p w14:paraId="1F13CAAF" w14:textId="77777777" w:rsidR="009E3E0B" w:rsidRPr="00411AE3" w:rsidRDefault="009E3E0B" w:rsidP="009E3E0B">
            <w:pPr>
              <w:keepNext/>
              <w:keepLines/>
              <w:ind w:left="-36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3,29</w:t>
            </w:r>
          </w:p>
        </w:tc>
      </w:tr>
      <w:tr w:rsidR="009E3E0B" w:rsidRPr="00411AE3" w:rsidDel="00566A3D" w14:paraId="4126D3FF" w14:textId="77777777" w:rsidTr="00411AE3">
        <w:trPr>
          <w:trHeight w:val="144"/>
          <w:jc w:val="center"/>
        </w:trPr>
        <w:tc>
          <w:tcPr>
            <w:tcW w:w="3312" w:type="dxa"/>
          </w:tcPr>
          <w:p w14:paraId="7BC6CC74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ind w:left="720" w:hanging="7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MINJUSDH</w:t>
            </w:r>
          </w:p>
        </w:tc>
        <w:tc>
          <w:tcPr>
            <w:tcW w:w="1363" w:type="dxa"/>
          </w:tcPr>
          <w:p w14:paraId="149E8AC9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</w:tcPr>
          <w:p w14:paraId="213EF240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2.305.478</w:t>
            </w:r>
          </w:p>
        </w:tc>
        <w:tc>
          <w:tcPr>
            <w:tcW w:w="1440" w:type="dxa"/>
          </w:tcPr>
          <w:p w14:paraId="06E041B1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2.305.478</w:t>
            </w:r>
          </w:p>
        </w:tc>
        <w:tc>
          <w:tcPr>
            <w:tcW w:w="990" w:type="dxa"/>
          </w:tcPr>
          <w:p w14:paraId="6444DEDE" w14:textId="77777777" w:rsidR="009E3E0B" w:rsidRPr="00411AE3" w:rsidRDefault="009E3E0B" w:rsidP="009E3E0B">
            <w:pPr>
              <w:keepNext/>
              <w:keepLines/>
              <w:ind w:left="-36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1,15</w:t>
            </w:r>
          </w:p>
        </w:tc>
      </w:tr>
      <w:tr w:rsidR="009E3E0B" w:rsidRPr="00411AE3" w:rsidDel="00566A3D" w14:paraId="3EFA286D" w14:textId="77777777" w:rsidTr="00411AE3">
        <w:trPr>
          <w:trHeight w:val="144"/>
          <w:jc w:val="center"/>
        </w:trPr>
        <w:tc>
          <w:tcPr>
            <w:tcW w:w="3312" w:type="dxa"/>
          </w:tcPr>
          <w:p w14:paraId="099FC651" w14:textId="2EBBB648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ind w:left="720" w:hanging="7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Auditoría/ Evaluación/ Línea Base</w:t>
            </w:r>
          </w:p>
        </w:tc>
        <w:tc>
          <w:tcPr>
            <w:tcW w:w="1363" w:type="dxa"/>
          </w:tcPr>
          <w:p w14:paraId="5187BB63" w14:textId="724CC211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sz w:val="18"/>
                <w:szCs w:val="18"/>
                <w:lang w:val="es-ES"/>
              </w:rPr>
              <w:t>1.</w:t>
            </w: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200.000</w:t>
            </w:r>
          </w:p>
        </w:tc>
        <w:tc>
          <w:tcPr>
            <w:tcW w:w="1440" w:type="dxa"/>
          </w:tcPr>
          <w:p w14:paraId="5F2C9403" w14:textId="05BE052F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</w:tcPr>
          <w:p w14:paraId="4C372921" w14:textId="6F538A23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1.200.000</w:t>
            </w:r>
          </w:p>
        </w:tc>
        <w:tc>
          <w:tcPr>
            <w:tcW w:w="990" w:type="dxa"/>
          </w:tcPr>
          <w:p w14:paraId="7B31C25B" w14:textId="72E7652F" w:rsidR="009E3E0B" w:rsidRPr="00411AE3" w:rsidRDefault="009E3E0B" w:rsidP="00411AE3">
            <w:pPr>
              <w:keepNext/>
              <w:keepLines/>
              <w:ind w:left="-36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0,60</w:t>
            </w:r>
          </w:p>
        </w:tc>
      </w:tr>
      <w:tr w:rsidR="009E3E0B" w:rsidRPr="00411AE3" w:rsidDel="00566A3D" w14:paraId="44E92ACD" w14:textId="77777777" w:rsidTr="00411AE3">
        <w:trPr>
          <w:trHeight w:val="144"/>
          <w:jc w:val="center"/>
        </w:trPr>
        <w:tc>
          <w:tcPr>
            <w:tcW w:w="3312" w:type="dxa"/>
          </w:tcPr>
          <w:p w14:paraId="1DEDB1BF" w14:textId="3221C1AC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ind w:left="720" w:hanging="7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PJ</w:t>
            </w:r>
          </w:p>
        </w:tc>
        <w:tc>
          <w:tcPr>
            <w:tcW w:w="1363" w:type="dxa"/>
          </w:tcPr>
          <w:p w14:paraId="42C89F30" w14:textId="540FB83A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150.000</w:t>
            </w:r>
          </w:p>
        </w:tc>
        <w:tc>
          <w:tcPr>
            <w:tcW w:w="1440" w:type="dxa"/>
          </w:tcPr>
          <w:p w14:paraId="258FD41F" w14:textId="7A1B739D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</w:tcPr>
          <w:p w14:paraId="19C98161" w14:textId="0A2F597B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150.000</w:t>
            </w:r>
          </w:p>
        </w:tc>
        <w:tc>
          <w:tcPr>
            <w:tcW w:w="990" w:type="dxa"/>
          </w:tcPr>
          <w:p w14:paraId="62753117" w14:textId="55887882" w:rsidR="009E3E0B" w:rsidRPr="00411AE3" w:rsidRDefault="009E3E0B" w:rsidP="00411AE3">
            <w:pPr>
              <w:keepNext/>
              <w:keepLines/>
              <w:ind w:left="-36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0,08</w:t>
            </w:r>
          </w:p>
        </w:tc>
      </w:tr>
      <w:tr w:rsidR="009E3E0B" w:rsidRPr="00411AE3" w:rsidDel="00566A3D" w14:paraId="361B422B" w14:textId="77777777" w:rsidTr="00411AE3">
        <w:trPr>
          <w:trHeight w:val="144"/>
          <w:jc w:val="center"/>
        </w:trPr>
        <w:tc>
          <w:tcPr>
            <w:tcW w:w="3312" w:type="dxa"/>
          </w:tcPr>
          <w:p w14:paraId="401BE672" w14:textId="6F83EF3C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ind w:left="720" w:hanging="7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MPFN</w:t>
            </w:r>
          </w:p>
        </w:tc>
        <w:tc>
          <w:tcPr>
            <w:tcW w:w="1363" w:type="dxa"/>
          </w:tcPr>
          <w:p w14:paraId="09647371" w14:textId="337DD319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150.000</w:t>
            </w:r>
          </w:p>
        </w:tc>
        <w:tc>
          <w:tcPr>
            <w:tcW w:w="1440" w:type="dxa"/>
          </w:tcPr>
          <w:p w14:paraId="6DAD6939" w14:textId="7D183B1F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</w:tcPr>
          <w:p w14:paraId="30AAB23C" w14:textId="30898052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150.000</w:t>
            </w:r>
          </w:p>
        </w:tc>
        <w:tc>
          <w:tcPr>
            <w:tcW w:w="990" w:type="dxa"/>
          </w:tcPr>
          <w:p w14:paraId="1F846B76" w14:textId="260C8DFA" w:rsidR="009E3E0B" w:rsidRPr="00411AE3" w:rsidRDefault="009E3E0B" w:rsidP="00411AE3">
            <w:pPr>
              <w:keepNext/>
              <w:keepLines/>
              <w:ind w:left="-36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0,08</w:t>
            </w:r>
          </w:p>
        </w:tc>
      </w:tr>
      <w:tr w:rsidR="009E3E0B" w:rsidRPr="00411AE3" w:rsidDel="00566A3D" w14:paraId="76302B89" w14:textId="77777777" w:rsidTr="00411AE3">
        <w:trPr>
          <w:trHeight w:val="144"/>
          <w:jc w:val="center"/>
        </w:trPr>
        <w:tc>
          <w:tcPr>
            <w:tcW w:w="3312" w:type="dxa"/>
          </w:tcPr>
          <w:p w14:paraId="4EC63D38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ind w:left="720" w:hanging="7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MINJUSDH</w:t>
            </w:r>
          </w:p>
        </w:tc>
        <w:tc>
          <w:tcPr>
            <w:tcW w:w="1363" w:type="dxa"/>
          </w:tcPr>
          <w:p w14:paraId="26275FC4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900.000</w:t>
            </w:r>
          </w:p>
        </w:tc>
        <w:tc>
          <w:tcPr>
            <w:tcW w:w="1440" w:type="dxa"/>
          </w:tcPr>
          <w:p w14:paraId="4F91B48C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1440" w:type="dxa"/>
          </w:tcPr>
          <w:p w14:paraId="23C8509A" w14:textId="77777777" w:rsidR="009E3E0B" w:rsidRPr="00411AE3" w:rsidRDefault="009E3E0B" w:rsidP="009E3E0B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900.000</w:t>
            </w:r>
          </w:p>
        </w:tc>
        <w:tc>
          <w:tcPr>
            <w:tcW w:w="990" w:type="dxa"/>
          </w:tcPr>
          <w:p w14:paraId="56C8F371" w14:textId="77777777" w:rsidR="009E3E0B" w:rsidRPr="00411AE3" w:rsidRDefault="009E3E0B" w:rsidP="009E3E0B">
            <w:pPr>
              <w:keepNext/>
              <w:keepLines/>
              <w:ind w:left="-36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sz w:val="18"/>
                <w:szCs w:val="18"/>
                <w:lang w:val="es-ES"/>
              </w:rPr>
              <w:t>0,45</w:t>
            </w:r>
          </w:p>
        </w:tc>
      </w:tr>
      <w:tr w:rsidR="009E3E0B" w:rsidRPr="00411AE3" w:rsidDel="00566A3D" w14:paraId="246BA5E0" w14:textId="77777777" w:rsidTr="00411AE3">
        <w:trPr>
          <w:trHeight w:val="144"/>
          <w:jc w:val="center"/>
        </w:trPr>
        <w:tc>
          <w:tcPr>
            <w:tcW w:w="3312" w:type="dxa"/>
          </w:tcPr>
          <w:p w14:paraId="31031FC8" w14:textId="77777777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eastAsiaTheme="minorEastAsia" w:hAnsi="Arial" w:cs="Arial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363" w:type="dxa"/>
          </w:tcPr>
          <w:p w14:paraId="5FE6FC9E" w14:textId="77777777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sz w:val="18"/>
                <w:szCs w:val="18"/>
                <w:lang w:val="es-ES"/>
              </w:rPr>
              <w:t>100.000</w:t>
            </w: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.000</w:t>
            </w:r>
          </w:p>
        </w:tc>
        <w:tc>
          <w:tcPr>
            <w:tcW w:w="1440" w:type="dxa"/>
          </w:tcPr>
          <w:p w14:paraId="3B7625BF" w14:textId="77777777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sz w:val="18"/>
                <w:szCs w:val="18"/>
                <w:lang w:val="es-ES"/>
              </w:rPr>
              <w:t>100.000</w:t>
            </w: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.000</w:t>
            </w:r>
          </w:p>
        </w:tc>
        <w:tc>
          <w:tcPr>
            <w:tcW w:w="1440" w:type="dxa"/>
          </w:tcPr>
          <w:p w14:paraId="3E92DCE4" w14:textId="77777777" w:rsidR="009E3E0B" w:rsidRPr="00411AE3" w:rsidRDefault="009E3E0B" w:rsidP="00411AE3">
            <w:pPr>
              <w:keepNext/>
              <w:keepLines/>
              <w:tabs>
                <w:tab w:val="left" w:pos="4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sz w:val="18"/>
                <w:szCs w:val="18"/>
                <w:lang w:val="es-ES"/>
              </w:rPr>
              <w:t>200.000</w:t>
            </w:r>
            <w:r w:rsidRPr="00411AE3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.000</w:t>
            </w:r>
          </w:p>
        </w:tc>
        <w:tc>
          <w:tcPr>
            <w:tcW w:w="990" w:type="dxa"/>
          </w:tcPr>
          <w:p w14:paraId="2330DBC4" w14:textId="77777777" w:rsidR="009E3E0B" w:rsidRPr="00411AE3" w:rsidRDefault="009E3E0B" w:rsidP="00411AE3">
            <w:pPr>
              <w:keepNext/>
              <w:keepLines/>
              <w:ind w:left="-36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1AE3">
              <w:rPr>
                <w:rFonts w:ascii="Arial" w:hAnsi="Arial" w:cs="Arial"/>
                <w:b/>
                <w:sz w:val="18"/>
                <w:szCs w:val="18"/>
                <w:lang w:val="es-ES"/>
              </w:rPr>
              <w:t>100</w:t>
            </w:r>
          </w:p>
        </w:tc>
      </w:tr>
    </w:tbl>
    <w:p w14:paraId="29C2B9D0" w14:textId="77777777" w:rsidR="00411AE3" w:rsidRDefault="00411AE3" w:rsidP="00411AE3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14:paraId="2397D21C" w14:textId="39A27DD9" w:rsidR="00C21D22" w:rsidRDefault="000D2F48" w:rsidP="00411AE3">
      <w:pPr>
        <w:spacing w:after="0"/>
        <w:jc w:val="both"/>
        <w:rPr>
          <w:rFonts w:ascii="Arial" w:hAnsi="Arial" w:cs="Arial"/>
          <w:sz w:val="24"/>
        </w:rPr>
      </w:pPr>
      <w:r w:rsidRPr="00AD3812">
        <w:rPr>
          <w:rFonts w:ascii="Arial" w:hAnsi="Arial" w:cs="Arial"/>
          <w:sz w:val="16"/>
          <w:szCs w:val="16"/>
          <w:u w:val="single"/>
        </w:rPr>
        <w:t>Fuente</w:t>
      </w:r>
      <w:r w:rsidRPr="00016755">
        <w:rPr>
          <w:rFonts w:ascii="Arial" w:hAnsi="Arial" w:cs="Arial"/>
          <w:sz w:val="16"/>
          <w:szCs w:val="16"/>
        </w:rPr>
        <w:t>: Elaborado en base al presupuesto detallado en el Contrato de Préstam</w:t>
      </w:r>
      <w:r>
        <w:rPr>
          <w:rFonts w:ascii="Arial" w:hAnsi="Arial" w:cs="Arial"/>
          <w:sz w:val="16"/>
          <w:szCs w:val="16"/>
        </w:rPr>
        <w:t>o</w:t>
      </w:r>
    </w:p>
    <w:p w14:paraId="376DDCC7" w14:textId="2E5F1B15" w:rsidR="00411AE3" w:rsidRDefault="00411AE3" w:rsidP="00411AE3">
      <w:pPr>
        <w:pStyle w:val="Heading1"/>
        <w:numPr>
          <w:ilvl w:val="0"/>
          <w:numId w:val="0"/>
        </w:numPr>
        <w:spacing w:before="0"/>
        <w:rPr>
          <w:rFonts w:ascii="Arial" w:hAnsi="Arial" w:cs="Arial"/>
          <w:sz w:val="24"/>
          <w:szCs w:val="22"/>
        </w:rPr>
      </w:pPr>
      <w:bookmarkStart w:id="18" w:name="_Toc16284562"/>
    </w:p>
    <w:p w14:paraId="119EC927" w14:textId="13978C73" w:rsidR="00411AE3" w:rsidRDefault="00411AE3" w:rsidP="00411AE3"/>
    <w:p w14:paraId="37F3E2DB" w14:textId="77777777" w:rsidR="00411AE3" w:rsidRPr="00411AE3" w:rsidRDefault="00411AE3" w:rsidP="00411AE3"/>
    <w:p w14:paraId="4E915A6F" w14:textId="219049D9" w:rsidR="000D2F48" w:rsidRPr="005225A2" w:rsidRDefault="00926259" w:rsidP="00411AE3">
      <w:pPr>
        <w:pStyle w:val="Heading1"/>
        <w:numPr>
          <w:ilvl w:val="0"/>
          <w:numId w:val="0"/>
        </w:numPr>
        <w:spacing w:before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t>C</w:t>
      </w:r>
      <w:r w:rsidR="004301AD" w:rsidRPr="005225A2">
        <w:rPr>
          <w:rFonts w:ascii="Arial" w:hAnsi="Arial" w:cs="Arial"/>
          <w:sz w:val="24"/>
          <w:szCs w:val="22"/>
        </w:rPr>
        <w:t>APITULO 2:</w:t>
      </w:r>
      <w:r w:rsidR="00C34C35" w:rsidRPr="005225A2">
        <w:rPr>
          <w:rFonts w:ascii="Arial" w:hAnsi="Arial" w:cs="Arial"/>
          <w:sz w:val="24"/>
          <w:szCs w:val="22"/>
        </w:rPr>
        <w:t xml:space="preserve"> MARCO INSTITUCIONAL</w:t>
      </w:r>
      <w:bookmarkEnd w:id="18"/>
    </w:p>
    <w:p w14:paraId="39473E59" w14:textId="77777777" w:rsidR="008F44AB" w:rsidRDefault="008F44AB" w:rsidP="008F44AB">
      <w:pPr>
        <w:tabs>
          <w:tab w:val="left" w:leader="dot" w:pos="7920"/>
        </w:tabs>
        <w:spacing w:after="0" w:line="240" w:lineRule="auto"/>
        <w:jc w:val="both"/>
        <w:rPr>
          <w:rFonts w:cstheme="minorHAnsi"/>
          <w:b/>
          <w:lang w:val="es-PY"/>
        </w:rPr>
      </w:pPr>
      <w:bookmarkStart w:id="19" w:name="_Toc349828207"/>
      <w:bookmarkStart w:id="20" w:name="_Toc265412947"/>
    </w:p>
    <w:p w14:paraId="7D2FB6FE" w14:textId="77777777" w:rsidR="00A33BFC" w:rsidRPr="00894FDF" w:rsidRDefault="00A33BFC" w:rsidP="00A33BFC">
      <w:pPr>
        <w:tabs>
          <w:tab w:val="left" w:leader="dot" w:pos="7920"/>
        </w:tabs>
        <w:spacing w:after="0" w:line="240" w:lineRule="auto"/>
        <w:jc w:val="both"/>
        <w:rPr>
          <w:rFonts w:ascii="Arial" w:hAnsi="Arial" w:cs="Arial"/>
          <w:b/>
          <w:lang w:val="es-PY"/>
        </w:rPr>
      </w:pPr>
      <w:r w:rsidRPr="00894FDF">
        <w:rPr>
          <w:rFonts w:ascii="Arial" w:hAnsi="Arial" w:cs="Arial"/>
          <w:b/>
          <w:lang w:val="es-PY"/>
        </w:rPr>
        <w:t>2.1 Roles y Responsabilidades Institucionales</w:t>
      </w:r>
    </w:p>
    <w:p w14:paraId="2A8C263C" w14:textId="77777777" w:rsidR="00A33BFC" w:rsidRPr="00894FDF" w:rsidRDefault="00A33BFC" w:rsidP="00A33BFC">
      <w:pPr>
        <w:tabs>
          <w:tab w:val="left" w:leader="dot" w:pos="7920"/>
        </w:tabs>
        <w:spacing w:after="0" w:line="240" w:lineRule="auto"/>
        <w:jc w:val="both"/>
        <w:rPr>
          <w:rFonts w:ascii="Arial" w:hAnsi="Arial" w:cs="Arial"/>
          <w:b/>
          <w:lang w:val="es-PY"/>
        </w:rPr>
      </w:pPr>
    </w:p>
    <w:p w14:paraId="5DA39E4B" w14:textId="77777777" w:rsidR="00A33BFC" w:rsidRPr="00894FDF" w:rsidRDefault="00A33BFC" w:rsidP="00AA08A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94FDF">
        <w:rPr>
          <w:rFonts w:ascii="Arial" w:hAnsi="Arial" w:cs="Arial"/>
          <w:b/>
          <w:color w:val="000000"/>
          <w:sz w:val="20"/>
          <w:szCs w:val="20"/>
        </w:rPr>
        <w:t>Financiadores.</w:t>
      </w:r>
    </w:p>
    <w:p w14:paraId="68FC7C8F" w14:textId="77777777" w:rsidR="00A33BFC" w:rsidRPr="00894FDF" w:rsidRDefault="00A33BFC" w:rsidP="00A33BFC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>El financiamiento total del programa es de US$ 200.00 millones, de los cuales el Banco Interamericano de Desarrollo (BID) financiará con un crédito externo de US$ 100.00 millones y con aporte local fuente recursos del tesoro el MEF US$ 100.00 millones</w:t>
      </w:r>
    </w:p>
    <w:p w14:paraId="39436792" w14:textId="77777777" w:rsidR="00A33BFC" w:rsidRPr="00894FDF" w:rsidRDefault="00A33BFC" w:rsidP="00A33BFC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>La responsabilidad del BID será verificar el cumplimiento de los términos del Contrato de Préstamo. El BID dará no-objeción a los planes operativos anuales, herramientas de gestión del programa y a los procesos de adquisiciones y contrataciones, así como al cumplimiento de cláusulas contractuales establecidas en los documentos contractuales del programa; estas no-objeciones no eximen a los organismos ejecutores de sus obligaciones y responsabilidades en la ejecución de los componentes del Programa.</w:t>
      </w:r>
    </w:p>
    <w:p w14:paraId="69E91BE9" w14:textId="77777777" w:rsidR="00A33BFC" w:rsidRPr="00894FDF" w:rsidRDefault="00A33BFC" w:rsidP="00A33BFC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>El BID efectuará los desembolsos a cada solicitud de cada organismo ejecutor y procesará las justificaciones de uso de recursos de acuerdo a lo establecido en el Manual Operativo del Programa (MOP),</w:t>
      </w:r>
    </w:p>
    <w:p w14:paraId="2EE0AB9D" w14:textId="77777777" w:rsidR="00A33BFC" w:rsidRPr="00894FDF" w:rsidRDefault="00A33BFC" w:rsidP="00AA08A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94FDF">
        <w:rPr>
          <w:rFonts w:ascii="Arial" w:hAnsi="Arial" w:cs="Arial"/>
          <w:b/>
          <w:color w:val="000000"/>
          <w:sz w:val="20"/>
          <w:szCs w:val="20"/>
        </w:rPr>
        <w:t>Organismo</w:t>
      </w:r>
      <w:r>
        <w:rPr>
          <w:rFonts w:ascii="Arial" w:hAnsi="Arial" w:cs="Arial"/>
          <w:b/>
          <w:color w:val="000000"/>
          <w:sz w:val="20"/>
          <w:szCs w:val="20"/>
        </w:rPr>
        <w:t>s</w:t>
      </w:r>
      <w:r w:rsidRPr="00894FDF">
        <w:rPr>
          <w:rFonts w:ascii="Arial" w:hAnsi="Arial" w:cs="Arial"/>
          <w:b/>
          <w:color w:val="000000"/>
          <w:sz w:val="20"/>
          <w:szCs w:val="20"/>
        </w:rPr>
        <w:t xml:space="preserve"> Ejecutor</w:t>
      </w:r>
      <w:r>
        <w:rPr>
          <w:rFonts w:ascii="Arial" w:hAnsi="Arial" w:cs="Arial"/>
          <w:b/>
          <w:color w:val="000000"/>
          <w:sz w:val="20"/>
          <w:szCs w:val="20"/>
        </w:rPr>
        <w:t>es</w:t>
      </w:r>
      <w:r w:rsidRPr="00894FD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7C246413" w14:textId="473058E2" w:rsidR="00A33BFC" w:rsidRPr="00894FDF" w:rsidRDefault="00A33BFC" w:rsidP="00A33BFC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>El prestatario será la República del Perú. El programa será Co-Ejecutado por el MINJUSDH, el MP y el PJ, cada uno de ellos con su propi</w:t>
      </w:r>
      <w:r w:rsidR="009E3E0B">
        <w:rPr>
          <w:rFonts w:ascii="Arial" w:hAnsi="Arial" w:cs="Arial"/>
          <w:sz w:val="20"/>
          <w:szCs w:val="20"/>
          <w:lang w:val="es-PY"/>
        </w:rPr>
        <w:t>o Equipo de Gestión (EDG)</w:t>
      </w:r>
      <w:r w:rsidRPr="00894FDF">
        <w:rPr>
          <w:rFonts w:ascii="Arial" w:hAnsi="Arial" w:cs="Arial"/>
          <w:sz w:val="20"/>
          <w:szCs w:val="20"/>
          <w:lang w:val="es-PY"/>
        </w:rPr>
        <w:t xml:space="preserve">, con relaciones directas con el Banco y con plena autonomía financiera, técnica y operativa, considerando que este esquema es el que permite una ejecución más eficiente debido a las autonomías institucionales que guardan cada entidad y las actividades a ser financiadas. </w:t>
      </w:r>
    </w:p>
    <w:p w14:paraId="1B201608" w14:textId="77777777" w:rsidR="00A33BFC" w:rsidRPr="00894FDF" w:rsidRDefault="00A33BFC" w:rsidP="00A33BFC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 xml:space="preserve">El MINJUSDH fungirá como responsable de la coordinación general e interinstitucional del programa y de la consolidación de los informes que serán enviados conjuntamente al Banco, previa aprobación de las partes. </w:t>
      </w:r>
    </w:p>
    <w:p w14:paraId="38F9DE63" w14:textId="6C914592" w:rsidR="00A33BFC" w:rsidRPr="00894FDF" w:rsidRDefault="00A33BFC" w:rsidP="00A33BFC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 xml:space="preserve">Para garantizar la interoperabilidad de los sistemas a ser desarrollados o fortalecidos, particularmente entre la Carpeta Fiscal Electrónica y el Expediente Judicial Electrónico, se conformará una Mesa de Coordinación para la Interoperabilidad del SAJP, integrada por los funcionarios designados por cada uno de los organismos </w:t>
      </w:r>
      <w:r w:rsidR="00236EC3">
        <w:rPr>
          <w:rFonts w:ascii="Arial" w:hAnsi="Arial" w:cs="Arial"/>
          <w:sz w:val="20"/>
          <w:szCs w:val="20"/>
          <w:lang w:val="es-PY"/>
        </w:rPr>
        <w:t>ejecutor</w:t>
      </w:r>
      <w:r w:rsidRPr="00894FDF">
        <w:rPr>
          <w:rFonts w:ascii="Arial" w:hAnsi="Arial" w:cs="Arial"/>
          <w:sz w:val="20"/>
          <w:szCs w:val="20"/>
          <w:lang w:val="es-PY"/>
        </w:rPr>
        <w:t>es (</w:t>
      </w:r>
      <w:r w:rsidR="00236EC3">
        <w:rPr>
          <w:rFonts w:ascii="Arial" w:hAnsi="Arial" w:cs="Arial"/>
          <w:sz w:val="20"/>
          <w:szCs w:val="20"/>
          <w:lang w:val="es-PY"/>
        </w:rPr>
        <w:t>OE</w:t>
      </w:r>
      <w:r w:rsidRPr="00894FDF">
        <w:rPr>
          <w:rFonts w:ascii="Arial" w:hAnsi="Arial" w:cs="Arial"/>
          <w:sz w:val="20"/>
          <w:szCs w:val="20"/>
          <w:lang w:val="es-PY"/>
        </w:rPr>
        <w:t>), todos ellos respaldados por los titulares de las respectivas carteras. La ejecución de los componentes 1 y 3 será compartida en función de las actividades a ser financiadas, mientras que el componente 2 estará bajo total responsabilidad del MP.</w:t>
      </w:r>
    </w:p>
    <w:p w14:paraId="64D55F9E" w14:textId="3C362518" w:rsidR="00A33BFC" w:rsidRPr="00894FDF" w:rsidRDefault="00A33BFC" w:rsidP="00A33BFC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>Cada un</w:t>
      </w:r>
      <w:r w:rsidR="00F324A1">
        <w:rPr>
          <w:rFonts w:ascii="Arial" w:hAnsi="Arial" w:cs="Arial"/>
          <w:sz w:val="20"/>
          <w:szCs w:val="20"/>
          <w:lang w:val="es-PY"/>
        </w:rPr>
        <w:t>o</w:t>
      </w:r>
      <w:r w:rsidRPr="00894FDF">
        <w:rPr>
          <w:rFonts w:ascii="Arial" w:hAnsi="Arial" w:cs="Arial"/>
          <w:sz w:val="20"/>
          <w:szCs w:val="20"/>
          <w:lang w:val="es-PY"/>
        </w:rPr>
        <w:t xml:space="preserve"> de </w:t>
      </w:r>
      <w:r w:rsidR="00F324A1" w:rsidRPr="00894FDF">
        <w:rPr>
          <w:rFonts w:ascii="Arial" w:hAnsi="Arial" w:cs="Arial"/>
          <w:sz w:val="20"/>
          <w:szCs w:val="20"/>
          <w:lang w:val="es-PY"/>
        </w:rPr>
        <w:t>l</w:t>
      </w:r>
      <w:r w:rsidR="00F324A1">
        <w:rPr>
          <w:rFonts w:ascii="Arial" w:hAnsi="Arial" w:cs="Arial"/>
          <w:sz w:val="20"/>
          <w:szCs w:val="20"/>
          <w:lang w:val="es-PY"/>
        </w:rPr>
        <w:t>o</w:t>
      </w:r>
      <w:r w:rsidR="00F324A1" w:rsidRPr="00894FDF">
        <w:rPr>
          <w:rFonts w:ascii="Arial" w:hAnsi="Arial" w:cs="Arial"/>
          <w:sz w:val="20"/>
          <w:szCs w:val="20"/>
          <w:lang w:val="es-PY"/>
        </w:rPr>
        <w:t xml:space="preserve">s </w:t>
      </w:r>
      <w:r w:rsidR="00F324A1">
        <w:rPr>
          <w:rFonts w:ascii="Arial" w:hAnsi="Arial" w:cs="Arial"/>
          <w:sz w:val="20"/>
          <w:szCs w:val="20"/>
          <w:lang w:val="es-PY"/>
        </w:rPr>
        <w:t xml:space="preserve">EDG </w:t>
      </w:r>
      <w:r w:rsidRPr="00894FDF">
        <w:rPr>
          <w:rFonts w:ascii="Arial" w:hAnsi="Arial" w:cs="Arial"/>
          <w:sz w:val="20"/>
          <w:szCs w:val="20"/>
          <w:lang w:val="es-PY"/>
        </w:rPr>
        <w:t>será responsable de la ejecución de todos los procesos de planificación, administración financiera, adquisiciones y monitoreo referentes a las actividades bajo la responsabilidad de sus instituciones</w:t>
      </w:r>
    </w:p>
    <w:p w14:paraId="68C22090" w14:textId="77777777" w:rsidR="00A33BFC" w:rsidRPr="00894FDF" w:rsidRDefault="00A33BFC" w:rsidP="00A33BFC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>Las funciones de las Unidades Ejecutoras del MP y PJ serán:</w:t>
      </w:r>
    </w:p>
    <w:p w14:paraId="7A68314A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21" w:name="_Toc16284563"/>
      <w:r w:rsidRPr="00894FDF">
        <w:rPr>
          <w:rFonts w:ascii="Arial" w:hAnsi="Arial" w:cs="Arial"/>
          <w:sz w:val="20"/>
          <w:szCs w:val="20"/>
          <w:lang w:val="es-ES"/>
        </w:rPr>
        <w:t>manejo de los aspectos de gestión financiera y de adquisiciones de los componentes a su cargo;</w:t>
      </w:r>
      <w:bookmarkEnd w:id="21"/>
      <w:r w:rsidRPr="00894FD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A37E331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22" w:name="_Toc16284564"/>
      <w:r w:rsidRPr="00894FDF">
        <w:rPr>
          <w:rFonts w:ascii="Arial" w:hAnsi="Arial" w:cs="Arial"/>
          <w:sz w:val="20"/>
          <w:szCs w:val="20"/>
          <w:lang w:val="es-ES"/>
        </w:rPr>
        <w:t>administración de los recursos financieros de los componentes a su cargo y preparación de solicitudes de desembolso;</w:t>
      </w:r>
      <w:bookmarkEnd w:id="22"/>
      <w:r w:rsidRPr="00894FD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D13734B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23" w:name="_Toc16284565"/>
      <w:r w:rsidRPr="00894FDF">
        <w:rPr>
          <w:rFonts w:ascii="Arial" w:hAnsi="Arial" w:cs="Arial"/>
          <w:sz w:val="20"/>
          <w:szCs w:val="20"/>
          <w:lang w:val="es-ES"/>
        </w:rPr>
        <w:t>preparación, actualización y presentación del Pronóstico de Desembolso, el Plan Financiero (PF), Plan de Gestión de Riesgos de los componentes a su cargo, informes y reportes solicitados por el Banco.</w:t>
      </w:r>
      <w:bookmarkEnd w:id="23"/>
    </w:p>
    <w:p w14:paraId="0E3AC955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eastAsia="Arial" w:hAnsi="Arial" w:cs="Arial"/>
          <w:sz w:val="20"/>
          <w:szCs w:val="20"/>
          <w:lang w:val="es-ES_tradnl"/>
        </w:rPr>
      </w:pPr>
      <w:bookmarkStart w:id="24" w:name="_Toc16284566"/>
      <w:r w:rsidRPr="00894FDF">
        <w:rPr>
          <w:rFonts w:ascii="Arial" w:hAnsi="Arial" w:cs="Arial"/>
          <w:sz w:val="20"/>
          <w:szCs w:val="20"/>
          <w:lang w:val="es-ES"/>
        </w:rPr>
        <w:t>preparación, actualización e implementación del Plan de Adquisiciones (PA) de los componentes a su cargo.</w:t>
      </w:r>
      <w:bookmarkEnd w:id="24"/>
    </w:p>
    <w:p w14:paraId="004A877E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eastAsia="Arial" w:hAnsi="Arial" w:cs="Arial"/>
          <w:sz w:val="20"/>
          <w:szCs w:val="20"/>
          <w:lang w:val="es-ES_tradnl"/>
        </w:rPr>
      </w:pPr>
      <w:bookmarkStart w:id="25" w:name="_Toc16284567"/>
      <w:r w:rsidRPr="00894FDF">
        <w:rPr>
          <w:rFonts w:ascii="Arial" w:hAnsi="Arial" w:cs="Arial"/>
          <w:sz w:val="20"/>
          <w:szCs w:val="20"/>
          <w:lang w:val="es-ES"/>
        </w:rPr>
        <w:t>preparación, actualización y presentación del PMR.</w:t>
      </w:r>
      <w:bookmarkEnd w:id="25"/>
    </w:p>
    <w:p w14:paraId="463C966F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eastAsia="Arial" w:hAnsi="Arial" w:cs="Arial"/>
          <w:sz w:val="20"/>
          <w:szCs w:val="20"/>
          <w:lang w:val="es-ES_tradnl"/>
        </w:rPr>
      </w:pPr>
      <w:bookmarkStart w:id="26" w:name="_Toc16284568"/>
      <w:r w:rsidRPr="00894FDF">
        <w:rPr>
          <w:rFonts w:ascii="Arial" w:hAnsi="Arial" w:cs="Arial"/>
          <w:sz w:val="20"/>
          <w:szCs w:val="20"/>
          <w:lang w:val="es-ES"/>
        </w:rPr>
        <w:lastRenderedPageBreak/>
        <w:t xml:space="preserve">Preparación de documentos relacionados con el </w:t>
      </w:r>
      <w:r w:rsidRPr="00894FDF">
        <w:rPr>
          <w:rFonts w:ascii="Arial" w:hAnsi="Arial" w:cs="Arial"/>
          <w:sz w:val="20"/>
          <w:szCs w:val="20"/>
          <w:lang w:val="es-MX"/>
        </w:rPr>
        <w:t>control patrimonial.</w:t>
      </w:r>
      <w:bookmarkEnd w:id="26"/>
    </w:p>
    <w:p w14:paraId="1D63F9DE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eastAsia="Arial" w:hAnsi="Arial" w:cs="Arial"/>
          <w:sz w:val="20"/>
          <w:szCs w:val="20"/>
          <w:lang w:val="es-ES_tradnl"/>
        </w:rPr>
      </w:pPr>
      <w:bookmarkStart w:id="27" w:name="_Toc16284569"/>
      <w:r w:rsidRPr="00894FDF">
        <w:rPr>
          <w:rFonts w:ascii="Arial" w:hAnsi="Arial" w:cs="Arial"/>
          <w:sz w:val="20"/>
          <w:szCs w:val="20"/>
          <w:lang w:val="es-ES"/>
        </w:rPr>
        <w:t>preparación de estados financieros; y</w:t>
      </w:r>
      <w:bookmarkEnd w:id="27"/>
      <w:r w:rsidRPr="00894FD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F757DD6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eastAsia="Arial" w:hAnsi="Arial" w:cs="Arial"/>
          <w:sz w:val="20"/>
          <w:szCs w:val="20"/>
          <w:lang w:val="es-ES_tradnl"/>
        </w:rPr>
      </w:pPr>
      <w:bookmarkStart w:id="28" w:name="_Toc16284570"/>
      <w:r w:rsidRPr="00894FDF">
        <w:rPr>
          <w:rFonts w:ascii="Arial" w:hAnsi="Arial" w:cs="Arial"/>
          <w:sz w:val="20"/>
          <w:szCs w:val="20"/>
          <w:lang w:val="es-ES"/>
        </w:rPr>
        <w:t>aprobación del MOP.</w:t>
      </w:r>
      <w:bookmarkEnd w:id="28"/>
      <w:r w:rsidRPr="00894FD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9693974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29" w:name="_Toc16284571"/>
      <w:r w:rsidRPr="00894FDF">
        <w:rPr>
          <w:rFonts w:ascii="Arial" w:hAnsi="Arial" w:cs="Arial"/>
          <w:sz w:val="20"/>
          <w:szCs w:val="20"/>
          <w:lang w:val="es-ES"/>
        </w:rPr>
        <w:t>coordinación técnica de los componentes a su cargo.</w:t>
      </w:r>
      <w:bookmarkEnd w:id="29"/>
    </w:p>
    <w:p w14:paraId="54CE189E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30" w:name="_Toc16284572"/>
      <w:r w:rsidRPr="00894FDF">
        <w:rPr>
          <w:rFonts w:ascii="Arial" w:hAnsi="Arial" w:cs="Arial"/>
          <w:sz w:val="20"/>
          <w:szCs w:val="20"/>
          <w:lang w:val="es-ES"/>
        </w:rPr>
        <w:t>elaboración y actualización del plan de ejecución plurianual (PEP), plan operativo anual (POA)</w:t>
      </w:r>
      <w:bookmarkEnd w:id="30"/>
    </w:p>
    <w:p w14:paraId="01933A72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31" w:name="_Toc16284573"/>
      <w:r w:rsidRPr="00894FDF">
        <w:rPr>
          <w:rFonts w:ascii="Arial" w:hAnsi="Arial" w:cs="Arial"/>
          <w:sz w:val="20"/>
          <w:szCs w:val="20"/>
          <w:lang w:val="es-ES"/>
        </w:rPr>
        <w:t>elaboración de términos y referencias y especificaciones técnicas para las contrataciones.</w:t>
      </w:r>
      <w:bookmarkEnd w:id="31"/>
    </w:p>
    <w:p w14:paraId="0835E11D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32" w:name="_Toc16284574"/>
      <w:r w:rsidRPr="00894FDF">
        <w:rPr>
          <w:rFonts w:ascii="Arial" w:hAnsi="Arial" w:cs="Arial"/>
          <w:sz w:val="20"/>
          <w:szCs w:val="20"/>
          <w:lang w:val="es-ES"/>
        </w:rPr>
        <w:t>Coordinación, monitoreo y evaluación de las actividades con los participantes en los componentes a su cargo.</w:t>
      </w:r>
      <w:bookmarkEnd w:id="32"/>
    </w:p>
    <w:p w14:paraId="1609C3C5" w14:textId="77777777" w:rsidR="00A33BFC" w:rsidRPr="00894FDF" w:rsidRDefault="00A33BFC" w:rsidP="00AA08AA">
      <w:pPr>
        <w:pStyle w:val="subpar"/>
        <w:numPr>
          <w:ilvl w:val="0"/>
          <w:numId w:val="36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33" w:name="_Toc16284575"/>
      <w:r w:rsidRPr="00894FDF">
        <w:rPr>
          <w:rFonts w:ascii="Arial" w:hAnsi="Arial" w:cs="Arial"/>
          <w:sz w:val="20"/>
          <w:szCs w:val="20"/>
          <w:lang w:val="es-ES"/>
        </w:rPr>
        <w:t>supervisión del avance de la ejecución de los componentes a su cargo.</w:t>
      </w:r>
      <w:bookmarkEnd w:id="33"/>
    </w:p>
    <w:p w14:paraId="0FA81E52" w14:textId="77777777" w:rsidR="00A33BFC" w:rsidRPr="00894FDF" w:rsidRDefault="00A33BFC" w:rsidP="00A33BFC">
      <w:pPr>
        <w:ind w:left="709"/>
        <w:jc w:val="both"/>
        <w:rPr>
          <w:rFonts w:ascii="Arial" w:hAnsi="Arial" w:cs="Arial"/>
          <w:i/>
          <w:sz w:val="20"/>
          <w:szCs w:val="20"/>
          <w:lang w:val="es-MX" w:eastAsia="es-ES_tradnl"/>
        </w:rPr>
      </w:pPr>
    </w:p>
    <w:p w14:paraId="3F9FDF08" w14:textId="0439E656" w:rsidR="00A33BFC" w:rsidRPr="00894FDF" w:rsidRDefault="00A33BFC" w:rsidP="00A33BFC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>Las funciones del</w:t>
      </w:r>
      <w:r w:rsidR="00BA4660">
        <w:rPr>
          <w:rFonts w:ascii="Arial" w:hAnsi="Arial" w:cs="Arial"/>
          <w:sz w:val="20"/>
          <w:szCs w:val="20"/>
          <w:lang w:val="es-PY"/>
        </w:rPr>
        <w:t xml:space="preserve"> EDG </w:t>
      </w:r>
      <w:r w:rsidRPr="00894FDF">
        <w:rPr>
          <w:rFonts w:ascii="Arial" w:hAnsi="Arial" w:cs="Arial"/>
          <w:sz w:val="20"/>
          <w:szCs w:val="20"/>
          <w:lang w:val="es-PY"/>
        </w:rPr>
        <w:t>del MINJUSDH serán:</w:t>
      </w:r>
    </w:p>
    <w:p w14:paraId="733C10AE" w14:textId="77777777" w:rsidR="00A33BFC" w:rsidRPr="00894FDF" w:rsidRDefault="00A33BFC" w:rsidP="00A33BFC">
      <w:pPr>
        <w:pStyle w:val="subpar"/>
        <w:numPr>
          <w:ilvl w:val="0"/>
          <w:numId w:val="0"/>
        </w:numPr>
        <w:suppressAutoHyphens/>
        <w:spacing w:after="0"/>
        <w:ind w:left="1800"/>
        <w:rPr>
          <w:rFonts w:ascii="Arial" w:hAnsi="Arial" w:cs="Arial"/>
          <w:sz w:val="20"/>
          <w:szCs w:val="20"/>
          <w:lang w:val="es-ES"/>
        </w:rPr>
      </w:pPr>
    </w:p>
    <w:p w14:paraId="6258D267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34" w:name="_Toc16284576"/>
      <w:r w:rsidRPr="00894FDF">
        <w:rPr>
          <w:rFonts w:ascii="Arial" w:hAnsi="Arial" w:cs="Arial"/>
          <w:sz w:val="20"/>
          <w:szCs w:val="20"/>
          <w:lang w:val="es-ES"/>
        </w:rPr>
        <w:t>manejo de los aspectos de gestión financiera y de adquisiciones de los componentes a su cargo;</w:t>
      </w:r>
      <w:bookmarkEnd w:id="34"/>
      <w:r w:rsidRPr="00894FD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48CA88A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35" w:name="_Toc16284577"/>
      <w:r w:rsidRPr="00894FDF">
        <w:rPr>
          <w:rFonts w:ascii="Arial" w:hAnsi="Arial" w:cs="Arial"/>
          <w:sz w:val="20"/>
          <w:szCs w:val="20"/>
          <w:lang w:val="es-ES"/>
        </w:rPr>
        <w:t>administración de los recursos financieros de los componentes a su cargo y preparación de solicitudes de desembolso;</w:t>
      </w:r>
      <w:bookmarkEnd w:id="35"/>
      <w:r w:rsidRPr="00894FD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32A77EC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36" w:name="_Toc16284578"/>
      <w:r w:rsidRPr="00894FDF">
        <w:rPr>
          <w:rFonts w:ascii="Arial" w:hAnsi="Arial" w:cs="Arial"/>
          <w:sz w:val="20"/>
          <w:szCs w:val="20"/>
          <w:lang w:val="es-ES"/>
        </w:rPr>
        <w:t>preparación, actualización y presentación del Pronóstico de Desembolso, el Plan Financiero (PF), Plan de Gestión de Riesgos de los componentes a su cargo, informes y reportes solicitados por el Banco.</w:t>
      </w:r>
      <w:bookmarkEnd w:id="36"/>
    </w:p>
    <w:p w14:paraId="2F475EA5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eastAsia="Arial" w:hAnsi="Arial" w:cs="Arial"/>
          <w:sz w:val="20"/>
          <w:szCs w:val="20"/>
          <w:lang w:val="es-ES_tradnl"/>
        </w:rPr>
      </w:pPr>
      <w:bookmarkStart w:id="37" w:name="_Toc16284579"/>
      <w:r w:rsidRPr="00894FDF">
        <w:rPr>
          <w:rFonts w:ascii="Arial" w:hAnsi="Arial" w:cs="Arial"/>
          <w:sz w:val="20"/>
          <w:szCs w:val="20"/>
          <w:lang w:val="es-ES"/>
        </w:rPr>
        <w:t>preparación, actualización e implementación del Plan de Adquisiciones (PA) de los componentes a su cargo.</w:t>
      </w:r>
      <w:bookmarkEnd w:id="37"/>
    </w:p>
    <w:p w14:paraId="6006A579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eastAsia="Arial" w:hAnsi="Arial" w:cs="Arial"/>
          <w:sz w:val="20"/>
          <w:szCs w:val="20"/>
          <w:lang w:val="es-ES_tradnl"/>
        </w:rPr>
      </w:pPr>
      <w:bookmarkStart w:id="38" w:name="_Toc16284580"/>
      <w:r w:rsidRPr="00894FDF">
        <w:rPr>
          <w:rFonts w:ascii="Arial" w:hAnsi="Arial" w:cs="Arial"/>
          <w:sz w:val="20"/>
          <w:szCs w:val="20"/>
          <w:lang w:val="es-ES"/>
        </w:rPr>
        <w:t>preparación, actualización y presentación del PMR.</w:t>
      </w:r>
      <w:bookmarkEnd w:id="38"/>
    </w:p>
    <w:p w14:paraId="7A07025F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eastAsia="Arial" w:hAnsi="Arial" w:cs="Arial"/>
          <w:sz w:val="20"/>
          <w:szCs w:val="20"/>
          <w:lang w:val="es-ES_tradnl"/>
        </w:rPr>
      </w:pPr>
      <w:bookmarkStart w:id="39" w:name="_Toc16284581"/>
      <w:r w:rsidRPr="00894FDF">
        <w:rPr>
          <w:rFonts w:ascii="Arial" w:hAnsi="Arial" w:cs="Arial"/>
          <w:sz w:val="20"/>
          <w:szCs w:val="20"/>
          <w:lang w:val="es-ES"/>
        </w:rPr>
        <w:t xml:space="preserve">Preparación de documentos relacionados con el </w:t>
      </w:r>
      <w:r w:rsidRPr="00894FDF">
        <w:rPr>
          <w:rFonts w:ascii="Arial" w:hAnsi="Arial" w:cs="Arial"/>
          <w:sz w:val="20"/>
          <w:szCs w:val="20"/>
          <w:lang w:val="es-MX"/>
        </w:rPr>
        <w:t>control patrimonial.</w:t>
      </w:r>
      <w:bookmarkEnd w:id="39"/>
    </w:p>
    <w:p w14:paraId="79F2FA88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eastAsia="Arial" w:hAnsi="Arial" w:cs="Arial"/>
          <w:sz w:val="20"/>
          <w:szCs w:val="20"/>
          <w:lang w:val="es-ES_tradnl"/>
        </w:rPr>
      </w:pPr>
      <w:bookmarkStart w:id="40" w:name="_Toc16284582"/>
      <w:r w:rsidRPr="00894FDF">
        <w:rPr>
          <w:rFonts w:ascii="Arial" w:hAnsi="Arial" w:cs="Arial"/>
          <w:sz w:val="20"/>
          <w:szCs w:val="20"/>
          <w:lang w:val="es-ES"/>
        </w:rPr>
        <w:t>preparación de estados financieros; y</w:t>
      </w:r>
      <w:bookmarkEnd w:id="40"/>
      <w:r w:rsidRPr="00894FD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98235B4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eastAsia="Arial" w:hAnsi="Arial" w:cs="Arial"/>
          <w:sz w:val="20"/>
          <w:szCs w:val="20"/>
          <w:lang w:val="es-ES_tradnl"/>
        </w:rPr>
      </w:pPr>
      <w:bookmarkStart w:id="41" w:name="_Toc16284583"/>
      <w:r w:rsidRPr="00894FDF">
        <w:rPr>
          <w:rFonts w:ascii="Arial" w:hAnsi="Arial" w:cs="Arial"/>
          <w:sz w:val="20"/>
          <w:szCs w:val="20"/>
          <w:lang w:val="es-ES"/>
        </w:rPr>
        <w:t>aprobación del MOP.</w:t>
      </w:r>
      <w:bookmarkEnd w:id="41"/>
      <w:r w:rsidRPr="00894FDF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35335CD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42" w:name="_Toc16284584"/>
      <w:r w:rsidRPr="00894FDF">
        <w:rPr>
          <w:rFonts w:ascii="Arial" w:hAnsi="Arial" w:cs="Arial"/>
          <w:sz w:val="20"/>
          <w:szCs w:val="20"/>
          <w:lang w:val="es-ES"/>
        </w:rPr>
        <w:t>coordinación técnica de los componentes a su cargo.</w:t>
      </w:r>
      <w:bookmarkEnd w:id="42"/>
    </w:p>
    <w:p w14:paraId="7A43B33D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43" w:name="_Toc16284585"/>
      <w:r w:rsidRPr="00894FDF">
        <w:rPr>
          <w:rFonts w:ascii="Arial" w:hAnsi="Arial" w:cs="Arial"/>
          <w:sz w:val="20"/>
          <w:szCs w:val="20"/>
          <w:lang w:val="es-ES"/>
        </w:rPr>
        <w:t>elaboración y actualización del plan de ejecución plurianual (PEP), plan operativo anual (POA)</w:t>
      </w:r>
      <w:bookmarkEnd w:id="43"/>
    </w:p>
    <w:p w14:paraId="12402D17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44" w:name="_Toc16284586"/>
      <w:r w:rsidRPr="00894FDF">
        <w:rPr>
          <w:rFonts w:ascii="Arial" w:hAnsi="Arial" w:cs="Arial"/>
          <w:sz w:val="20"/>
          <w:szCs w:val="20"/>
          <w:lang w:val="es-ES"/>
        </w:rPr>
        <w:t>elaboración de términos y referencias y especificaciones técnicas para las contrataciones.</w:t>
      </w:r>
      <w:bookmarkEnd w:id="44"/>
    </w:p>
    <w:p w14:paraId="430E7DA2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45" w:name="_Toc16284587"/>
      <w:r w:rsidRPr="00894FDF">
        <w:rPr>
          <w:rFonts w:ascii="Arial" w:hAnsi="Arial" w:cs="Arial"/>
          <w:sz w:val="20"/>
          <w:szCs w:val="20"/>
          <w:lang w:val="es-ES"/>
        </w:rPr>
        <w:t>Coordinación, monitoreo y evaluación de las actividades con los participantes en los componentes a su cargo.</w:t>
      </w:r>
      <w:bookmarkEnd w:id="45"/>
    </w:p>
    <w:p w14:paraId="1DF6851F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46" w:name="_Toc16284588"/>
      <w:r w:rsidRPr="00894FDF">
        <w:rPr>
          <w:rFonts w:ascii="Arial" w:hAnsi="Arial" w:cs="Arial"/>
          <w:sz w:val="20"/>
          <w:szCs w:val="20"/>
          <w:lang w:val="es-ES"/>
        </w:rPr>
        <w:t>supervisión del avance de la ejecución de los componentes a su cargo.</w:t>
      </w:r>
      <w:bookmarkEnd w:id="46"/>
    </w:p>
    <w:p w14:paraId="155DC4DD" w14:textId="77777777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47" w:name="_Toc16284589"/>
      <w:r w:rsidRPr="00894FDF">
        <w:rPr>
          <w:rFonts w:ascii="Arial" w:hAnsi="Arial" w:cs="Arial"/>
          <w:sz w:val="20"/>
          <w:szCs w:val="20"/>
          <w:lang w:val="es-ES"/>
        </w:rPr>
        <w:t>supervisión del avance de la ejecución de los componentes a su cargo.</w:t>
      </w:r>
      <w:bookmarkEnd w:id="47"/>
    </w:p>
    <w:p w14:paraId="49561A84" w14:textId="71E1902B" w:rsidR="00A33BFC" w:rsidRPr="00894FDF" w:rsidRDefault="00A33BFC" w:rsidP="00AA08AA">
      <w:pPr>
        <w:pStyle w:val="subpar"/>
        <w:numPr>
          <w:ilvl w:val="0"/>
          <w:numId w:val="37"/>
        </w:numPr>
        <w:suppressAutoHyphens/>
        <w:spacing w:after="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  <w:bookmarkStart w:id="48" w:name="_Toc16284590"/>
      <w:r w:rsidRPr="00894FDF">
        <w:rPr>
          <w:rFonts w:ascii="Arial" w:hAnsi="Arial" w:cs="Arial"/>
          <w:sz w:val="20"/>
          <w:szCs w:val="20"/>
          <w:lang w:val="es-PY"/>
        </w:rPr>
        <w:t xml:space="preserve">consolidación de los informes que serán enviados conjuntamente al Banco, previa aprobación de los </w:t>
      </w:r>
      <w:r w:rsidR="00236EC3">
        <w:rPr>
          <w:rFonts w:ascii="Arial" w:hAnsi="Arial" w:cs="Arial"/>
          <w:sz w:val="20"/>
          <w:szCs w:val="20"/>
          <w:lang w:val="es-PY"/>
        </w:rPr>
        <w:t>ejecutor</w:t>
      </w:r>
      <w:r w:rsidRPr="00894FDF">
        <w:rPr>
          <w:rFonts w:ascii="Arial" w:hAnsi="Arial" w:cs="Arial"/>
          <w:sz w:val="20"/>
          <w:szCs w:val="20"/>
          <w:lang w:val="es-PY"/>
        </w:rPr>
        <w:t>es.</w:t>
      </w:r>
      <w:bookmarkEnd w:id="48"/>
    </w:p>
    <w:p w14:paraId="074417B1" w14:textId="77777777" w:rsidR="00A33BFC" w:rsidRPr="00894FDF" w:rsidRDefault="00A33BFC" w:rsidP="00A33BFC">
      <w:pPr>
        <w:pStyle w:val="subpar"/>
        <w:numPr>
          <w:ilvl w:val="0"/>
          <w:numId w:val="0"/>
        </w:numPr>
        <w:suppressAutoHyphens/>
        <w:spacing w:after="0"/>
        <w:ind w:left="1800"/>
        <w:jc w:val="both"/>
        <w:outlineLvl w:val="2"/>
        <w:rPr>
          <w:rFonts w:ascii="Arial" w:hAnsi="Arial" w:cs="Arial"/>
          <w:sz w:val="20"/>
          <w:szCs w:val="20"/>
          <w:lang w:val="es-ES"/>
        </w:rPr>
      </w:pPr>
    </w:p>
    <w:p w14:paraId="5A4D9DB1" w14:textId="77777777" w:rsidR="00A33BFC" w:rsidRPr="00894FDF" w:rsidRDefault="00A33BFC" w:rsidP="00A33BFC">
      <w:pPr>
        <w:tabs>
          <w:tab w:val="left" w:leader="dot" w:pos="7920"/>
        </w:tabs>
        <w:spacing w:line="240" w:lineRule="auto"/>
        <w:jc w:val="both"/>
        <w:rPr>
          <w:rFonts w:ascii="Arial" w:hAnsi="Arial" w:cs="Arial"/>
          <w:b/>
          <w:lang w:val="es-PY"/>
        </w:rPr>
      </w:pPr>
      <w:r w:rsidRPr="00894FDF">
        <w:rPr>
          <w:rFonts w:ascii="Arial" w:hAnsi="Arial" w:cs="Arial"/>
          <w:b/>
          <w:lang w:val="es-PY"/>
        </w:rPr>
        <w:t>2.2 Relaciones Interinstitucionales entre los Co-Ejecutores.</w:t>
      </w:r>
    </w:p>
    <w:p w14:paraId="6EA77893" w14:textId="77777777" w:rsidR="00A33BFC" w:rsidRPr="007355E4" w:rsidRDefault="00A33BFC" w:rsidP="00A33BFC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  <w:lang w:val="es-PY"/>
        </w:rPr>
      </w:pPr>
      <w:r w:rsidRPr="007355E4">
        <w:rPr>
          <w:rFonts w:ascii="Arial" w:hAnsi="Arial" w:cs="Arial"/>
          <w:sz w:val="20"/>
          <w:szCs w:val="20"/>
          <w:lang w:val="es-PY"/>
        </w:rPr>
        <w:t xml:space="preserve">El Programa contará con </w:t>
      </w:r>
      <w:r>
        <w:rPr>
          <w:rFonts w:ascii="Arial" w:hAnsi="Arial" w:cs="Arial"/>
          <w:sz w:val="20"/>
          <w:szCs w:val="20"/>
          <w:lang w:val="es-PY"/>
        </w:rPr>
        <w:t>tres</w:t>
      </w:r>
      <w:r w:rsidRPr="007355E4">
        <w:rPr>
          <w:rFonts w:ascii="Arial" w:hAnsi="Arial" w:cs="Arial"/>
          <w:sz w:val="20"/>
          <w:szCs w:val="20"/>
          <w:lang w:val="es-PY"/>
        </w:rPr>
        <w:t xml:space="preserve"> instancias de Gobierno</w:t>
      </w:r>
      <w:r>
        <w:rPr>
          <w:rFonts w:ascii="Arial" w:hAnsi="Arial" w:cs="Arial"/>
          <w:sz w:val="20"/>
          <w:szCs w:val="20"/>
          <w:lang w:val="es-PY"/>
        </w:rPr>
        <w:t>.</w:t>
      </w:r>
      <w:r w:rsidRPr="007355E4">
        <w:rPr>
          <w:rFonts w:ascii="Arial" w:hAnsi="Arial" w:cs="Arial"/>
          <w:sz w:val="20"/>
          <w:szCs w:val="20"/>
          <w:lang w:val="es-PY"/>
        </w:rPr>
        <w:t xml:space="preserve"> La primera instancia es de Dirección Estratégica y estará representada por el Comité </w:t>
      </w:r>
      <w:r>
        <w:rPr>
          <w:rFonts w:ascii="Arial" w:hAnsi="Arial" w:cs="Arial"/>
          <w:sz w:val="20"/>
          <w:szCs w:val="20"/>
          <w:lang w:val="es-PY"/>
        </w:rPr>
        <w:t>de Interoperabilidad del Programa, la segunda una instancia de Coordinación Operativa del Programa y estará representada por el Comité Operativo y la tercera instancia la de Gestión que estará conformada por 3 Unidades Ejecutoras en cada organismo ejecutor.</w:t>
      </w:r>
    </w:p>
    <w:p w14:paraId="29C9811C" w14:textId="77777777" w:rsidR="00A33BFC" w:rsidRPr="00894FDF" w:rsidRDefault="00A33BFC" w:rsidP="00AA08AA">
      <w:pPr>
        <w:pStyle w:val="ListParagraph"/>
        <w:numPr>
          <w:ilvl w:val="0"/>
          <w:numId w:val="31"/>
        </w:numPr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b/>
          <w:bCs/>
          <w:sz w:val="20"/>
          <w:szCs w:val="20"/>
          <w:u w:val="single"/>
          <w:lang w:val="es-PY"/>
        </w:rPr>
        <w:t>Comité de Interoperabilidad</w:t>
      </w:r>
      <w:r>
        <w:rPr>
          <w:rFonts w:ascii="Arial" w:hAnsi="Arial" w:cs="Arial"/>
          <w:b/>
          <w:bCs/>
          <w:sz w:val="20"/>
          <w:szCs w:val="20"/>
          <w:u w:val="single"/>
          <w:lang w:val="es-PY"/>
        </w:rPr>
        <w:t xml:space="preserve"> del Programa (CIP)</w:t>
      </w:r>
      <w:r w:rsidRPr="00894FDF">
        <w:rPr>
          <w:rFonts w:ascii="Arial" w:hAnsi="Arial" w:cs="Arial"/>
          <w:sz w:val="20"/>
          <w:szCs w:val="20"/>
          <w:lang w:val="es-PY"/>
        </w:rPr>
        <w:t>: integrado por los Gerentes Generales del Ministerio Público y del Poder Judicial, así como el Viceministro de Justicia</w:t>
      </w:r>
      <w:r>
        <w:rPr>
          <w:rFonts w:ascii="Arial" w:hAnsi="Arial" w:cs="Arial"/>
          <w:sz w:val="20"/>
          <w:szCs w:val="20"/>
          <w:lang w:val="es-PY"/>
        </w:rPr>
        <w:t xml:space="preserve">, es el órgano de formular los lineamientos y políticas del programa, </w:t>
      </w:r>
    </w:p>
    <w:p w14:paraId="326AE39E" w14:textId="77777777" w:rsidR="00A33BFC" w:rsidRDefault="00A33BFC" w:rsidP="00A33BFC">
      <w:pPr>
        <w:tabs>
          <w:tab w:val="left" w:leader="dot" w:pos="7920"/>
        </w:tabs>
        <w:spacing w:after="0"/>
        <w:jc w:val="both"/>
        <w:rPr>
          <w:rFonts w:ascii="Arial" w:hAnsi="Arial" w:cs="Arial"/>
          <w:sz w:val="20"/>
          <w:szCs w:val="20"/>
          <w:lang w:val="es-PY"/>
        </w:rPr>
      </w:pPr>
    </w:p>
    <w:p w14:paraId="49AAF313" w14:textId="77777777" w:rsidR="00A33BFC" w:rsidRPr="007355E4" w:rsidRDefault="00A33BFC" w:rsidP="00A33BFC">
      <w:pPr>
        <w:tabs>
          <w:tab w:val="left" w:leader="dot" w:pos="7920"/>
        </w:tabs>
        <w:ind w:left="709"/>
        <w:jc w:val="both"/>
        <w:rPr>
          <w:rFonts w:ascii="Arial" w:hAnsi="Arial" w:cs="Arial"/>
          <w:sz w:val="20"/>
          <w:szCs w:val="20"/>
          <w:lang w:val="es-PY"/>
        </w:rPr>
      </w:pPr>
      <w:r w:rsidRPr="007355E4">
        <w:rPr>
          <w:rFonts w:ascii="Arial" w:hAnsi="Arial" w:cs="Arial"/>
          <w:sz w:val="20"/>
          <w:szCs w:val="20"/>
          <w:lang w:val="es-PY"/>
        </w:rPr>
        <w:t>El propósito de este Comité es:</w:t>
      </w:r>
    </w:p>
    <w:p w14:paraId="3E3BEF1A" w14:textId="77777777" w:rsidR="00A33BFC" w:rsidRPr="00894FDF" w:rsidRDefault="00A33BFC" w:rsidP="00AA08AA">
      <w:pPr>
        <w:pStyle w:val="ListParagraph"/>
        <w:numPr>
          <w:ilvl w:val="0"/>
          <w:numId w:val="38"/>
        </w:numPr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 xml:space="preserve">asegurar el avance de la política y otros instrumentos normativos en el tema de interoperabilidad del sistema de justicia a través de la ejecución de todo el Programa. </w:t>
      </w:r>
    </w:p>
    <w:p w14:paraId="1C509210" w14:textId="3C4611D6" w:rsidR="00A33BFC" w:rsidRPr="00894FDF" w:rsidRDefault="00A33BFC" w:rsidP="00AA08AA">
      <w:pPr>
        <w:pStyle w:val="ListParagraph"/>
        <w:numPr>
          <w:ilvl w:val="0"/>
          <w:numId w:val="38"/>
        </w:numPr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 xml:space="preserve">garantizar el buen funcionamiento de cada una de las </w:t>
      </w:r>
      <w:r w:rsidR="00BA4660">
        <w:rPr>
          <w:rFonts w:ascii="Arial" w:hAnsi="Arial" w:cs="Arial"/>
          <w:sz w:val="20"/>
          <w:lang w:val="es-ES_tradnl"/>
        </w:rPr>
        <w:t>EDG</w:t>
      </w:r>
      <w:r>
        <w:rPr>
          <w:rFonts w:ascii="Arial" w:hAnsi="Arial" w:cs="Arial"/>
          <w:sz w:val="20"/>
          <w:lang w:val="es-ES_tradnl"/>
        </w:rPr>
        <w:t xml:space="preserve"> MINJUSDH</w:t>
      </w:r>
      <w:r w:rsidRPr="00894FDF">
        <w:rPr>
          <w:rFonts w:ascii="Arial" w:hAnsi="Arial" w:cs="Arial"/>
          <w:sz w:val="20"/>
          <w:szCs w:val="20"/>
          <w:lang w:val="es-PY"/>
        </w:rPr>
        <w:t xml:space="preserve"> y asegurar que la actuación de cada una de ellas esté acorde con los lineamientos y demás disposiciones de cada uno de los Organismos Co-Ejecutores. </w:t>
      </w:r>
    </w:p>
    <w:p w14:paraId="5A002C94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lastRenderedPageBreak/>
        <w:t xml:space="preserve">El CIP se reunirá semestralmente en sesión ordinaria para evaluar el desarrollo de la ejecución del Programa y recomendar pautas de ejecución para el siguiente período. Deberá reunirse obligatoriamente al inicio de la ejecución del Programa y en el cuarto trimestre de cada año calendario de ejecución del Programa a fin de aprobar el POA y el PAC del siguiente ejercicio presupuestal. </w:t>
      </w:r>
    </w:p>
    <w:p w14:paraId="53BB0F84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</w:p>
    <w:p w14:paraId="4A4F2E6B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Las sesiones ordinarias del CIP son convocadas por el presidente, a través de la Secretaría del CIP. La convocatoria debe ser notificada </w:t>
      </w:r>
      <w:proofErr w:type="gramStart"/>
      <w:r w:rsidRPr="00D00A36">
        <w:rPr>
          <w:rFonts w:ascii="Arial" w:eastAsiaTheme="minorEastAsia" w:hAnsi="Arial" w:cs="Arial"/>
          <w:bCs/>
          <w:sz w:val="20"/>
          <w:szCs w:val="20"/>
        </w:rPr>
        <w:t>conjuntamente con</w:t>
      </w:r>
      <w:proofErr w:type="gramEnd"/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 la agenda de la sesión y con una antelación no menor de siete (07) días calendario.</w:t>
      </w:r>
    </w:p>
    <w:p w14:paraId="5AB49530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  <w:r w:rsidRPr="00D00A36">
        <w:rPr>
          <w:rFonts w:ascii="Arial" w:eastAsiaTheme="minorEastAsia" w:hAnsi="Arial" w:cs="Arial"/>
          <w:bCs/>
          <w:sz w:val="20"/>
          <w:szCs w:val="20"/>
          <w:lang w:eastAsia="es-PE"/>
        </w:rPr>
        <w:t xml:space="preserve"> </w:t>
      </w:r>
    </w:p>
    <w:p w14:paraId="5CCC35DE" w14:textId="0F9B6283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Iniciada la sesión, no puede ser objeto de acuerdo ningún asunto fuera de la agenda de la sesión salvo que uno de los 3 ejecutores lo solicite.</w:t>
      </w:r>
    </w:p>
    <w:p w14:paraId="213B60EA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</w:p>
    <w:p w14:paraId="7E01AD9F" w14:textId="571EFCDA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El quórum para la instalación y sesión válida del CIP es la mayoría absoluta de sus miembros con derecho a voz y voto, siempre y cuando estén presentes los representantes de los 3 ejecutores. Si no existiera quórum a la hora programada, el CIP se constituirá 30 minutos después con los miembros con voz y voto presentes.</w:t>
      </w:r>
    </w:p>
    <w:p w14:paraId="216EAAF1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</w:p>
    <w:p w14:paraId="2DA0B4E5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Instalada una sesión, puede ser suspendida sólo por fuerza mayor, con cargo a continuarla en la fecha y lugar que se indique al momento de suspenderla. De no haber acuerdo, la Presidencia fija la fecha de reinicio.</w:t>
      </w:r>
    </w:p>
    <w:p w14:paraId="09488AC3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</w:p>
    <w:p w14:paraId="3F001EF3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La Presidencia del CIP será alternada entre el Ministerio de Justicia, el Poder Judicial y el Ministerio Público. </w:t>
      </w:r>
    </w:p>
    <w:p w14:paraId="02B02E64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</w:p>
    <w:p w14:paraId="3BF06B33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El CIP se podrá reunir en sesión extraordinaria, cada vez que lo solicite cualquiera de las entidades beneficiarias y participantes con voz y voto. La convocatoria la realiza la Secretaría del CIP con un mínimo de tres (03) días útiles de antelación y mediante agenda específica.</w:t>
      </w:r>
    </w:p>
    <w:p w14:paraId="114D5834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5F3D70BF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Los miembros del CIP no perciben dieta, remuneración u honorario profesional alguno de parte del Programa.</w:t>
      </w:r>
    </w:p>
    <w:p w14:paraId="531B2F85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54FADCE1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Los acuerdos son adoptados por los votos requeridos en el quórum de asistencia, correspondiendo a la Presidencia voto dirimente en caso de empate. El MINJUS, el MP y el PJ tienen derecho a veto sobre los acuerdos adoptados por votación.</w:t>
      </w:r>
    </w:p>
    <w:p w14:paraId="36F87C3B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75C2AAC3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Los miembros del CIP con derecho a voto, asistentes a la sesión, están obligados a votar. </w:t>
      </w:r>
    </w:p>
    <w:p w14:paraId="481DF80B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40C1ABEB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Los miembros del CIP son responsables solidariamente por los acuerdos que adopten, salvo que se deje constancia expresa en el acta su posición o voto singular. </w:t>
      </w:r>
    </w:p>
    <w:p w14:paraId="60ED1BC1" w14:textId="77777777" w:rsidR="00A33BFC" w:rsidRPr="00381F54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034E9C99" w14:textId="6727191B" w:rsidR="00A33BFC" w:rsidRPr="00381F54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381F54">
        <w:rPr>
          <w:rFonts w:ascii="Arial" w:eastAsiaTheme="minorEastAsia" w:hAnsi="Arial" w:cs="Arial"/>
          <w:bCs/>
          <w:sz w:val="20"/>
          <w:szCs w:val="20"/>
        </w:rPr>
        <w:t xml:space="preserve">La Secretaría del CIP será ejercida por el Director Ejecutivo </w:t>
      </w:r>
      <w:r w:rsidR="00BA4660">
        <w:rPr>
          <w:rFonts w:ascii="Arial" w:eastAsiaTheme="minorEastAsia" w:hAnsi="Arial" w:cs="Arial"/>
          <w:bCs/>
          <w:sz w:val="20"/>
          <w:szCs w:val="20"/>
        </w:rPr>
        <w:t>del EDG</w:t>
      </w:r>
      <w:r>
        <w:rPr>
          <w:rFonts w:ascii="Arial" w:eastAsiaTheme="minorEastAsia" w:hAnsi="Arial" w:cs="Arial"/>
          <w:bCs/>
          <w:sz w:val="20"/>
          <w:szCs w:val="20"/>
        </w:rPr>
        <w:t xml:space="preserve"> correspondiente a la institución que lleva la presidencia del CIP.</w:t>
      </w:r>
      <w:r w:rsidRPr="00381F54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14:paraId="79DA591E" w14:textId="77777777" w:rsidR="00A33BFC" w:rsidRPr="00381F54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4899D54D" w14:textId="77777777" w:rsidR="00A33BFC" w:rsidRPr="007355E4" w:rsidRDefault="00A33BFC" w:rsidP="00A33BFC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7355E4">
        <w:rPr>
          <w:rFonts w:ascii="Arial" w:hAnsi="Arial" w:cs="Arial"/>
          <w:bCs/>
          <w:sz w:val="20"/>
          <w:szCs w:val="20"/>
        </w:rPr>
        <w:t xml:space="preserve">Por causa de fuerza mayor, el Titular de cada Entidad que participa en el CIP podrá designar a un representante alterno, debiendo este último, participar en las reuniones con voz y voto en ausencia del Titular de la institución. El representante alterno deberá ser debidamente acreditado ante la Secretaría del CIP, mediante comunicación institucional. </w:t>
      </w:r>
    </w:p>
    <w:p w14:paraId="5098D00D" w14:textId="61FAFCE5" w:rsidR="00A33BFC" w:rsidRPr="00894FDF" w:rsidRDefault="00A33BFC" w:rsidP="00AA08AA">
      <w:pPr>
        <w:pStyle w:val="ListParagraph"/>
        <w:numPr>
          <w:ilvl w:val="0"/>
          <w:numId w:val="31"/>
        </w:numPr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b/>
          <w:bCs/>
          <w:sz w:val="20"/>
          <w:szCs w:val="20"/>
          <w:u w:val="single"/>
          <w:lang w:val="es-PY"/>
        </w:rPr>
        <w:t>Comité Operativo</w:t>
      </w:r>
      <w:r>
        <w:rPr>
          <w:rFonts w:ascii="Arial" w:hAnsi="Arial" w:cs="Arial"/>
          <w:b/>
          <w:bCs/>
          <w:sz w:val="20"/>
          <w:szCs w:val="20"/>
          <w:u w:val="single"/>
          <w:lang w:val="es-PY"/>
        </w:rPr>
        <w:t xml:space="preserve"> del Programa (COP)</w:t>
      </w:r>
      <w:r w:rsidRPr="00894FDF">
        <w:rPr>
          <w:rFonts w:ascii="Arial" w:hAnsi="Arial" w:cs="Arial"/>
          <w:sz w:val="20"/>
          <w:szCs w:val="20"/>
          <w:lang w:val="es-PY"/>
        </w:rPr>
        <w:t xml:space="preserve">: integrado por los jefes de cada una de las </w:t>
      </w:r>
      <w:r w:rsidR="00BA4660">
        <w:rPr>
          <w:rFonts w:ascii="Arial" w:hAnsi="Arial" w:cs="Arial"/>
          <w:sz w:val="20"/>
          <w:szCs w:val="20"/>
          <w:lang w:val="es-PY"/>
        </w:rPr>
        <w:t>EDG</w:t>
      </w:r>
      <w:r w:rsidRPr="00894FDF">
        <w:rPr>
          <w:rFonts w:ascii="Arial" w:hAnsi="Arial" w:cs="Arial"/>
          <w:sz w:val="20"/>
          <w:szCs w:val="20"/>
          <w:lang w:val="es-PY"/>
        </w:rPr>
        <w:t xml:space="preserve"> y su propósito es asegurar que la interdependencia se concrete a través del intercambio de información, la discusión de dificultades comunes, la coordinación de tiempos y la apertura a todas las opciones de sinergia que surgen de la propia ejecución. </w:t>
      </w:r>
    </w:p>
    <w:p w14:paraId="11725DD7" w14:textId="77777777" w:rsidR="00A33BFC" w:rsidRDefault="00A33BFC" w:rsidP="00A33BFC">
      <w:pPr>
        <w:spacing w:after="0"/>
        <w:rPr>
          <w:rFonts w:ascii="Arial" w:hAnsi="Arial" w:cs="Arial"/>
          <w:sz w:val="20"/>
          <w:szCs w:val="20"/>
        </w:rPr>
      </w:pPr>
    </w:p>
    <w:p w14:paraId="6B86AFC9" w14:textId="77777777" w:rsidR="00A33BFC" w:rsidRPr="00894FDF" w:rsidRDefault="00A33BFC" w:rsidP="00A33BFC">
      <w:pPr>
        <w:rPr>
          <w:rFonts w:ascii="Arial" w:hAnsi="Arial" w:cs="Arial"/>
          <w:sz w:val="20"/>
          <w:szCs w:val="20"/>
        </w:rPr>
      </w:pPr>
      <w:r w:rsidRPr="00894FDF">
        <w:rPr>
          <w:rFonts w:ascii="Arial" w:hAnsi="Arial" w:cs="Arial"/>
          <w:sz w:val="20"/>
          <w:szCs w:val="20"/>
        </w:rPr>
        <w:t>Las principales funciones del Comité Técnico Operativo son:</w:t>
      </w:r>
    </w:p>
    <w:p w14:paraId="29129214" w14:textId="77777777" w:rsidR="00A33BFC" w:rsidRPr="00894FDF" w:rsidRDefault="00A33BFC" w:rsidP="00AA08AA">
      <w:pPr>
        <w:pStyle w:val="ListParagraph"/>
        <w:numPr>
          <w:ilvl w:val="0"/>
          <w:numId w:val="38"/>
        </w:numPr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>Servir de órgano consultivo en materia de discrepancias derivadas de la ejecución del programa.</w:t>
      </w:r>
    </w:p>
    <w:p w14:paraId="487ADE02" w14:textId="77777777" w:rsidR="00A33BFC" w:rsidRPr="00894FDF" w:rsidRDefault="00A33BFC" w:rsidP="00AA08AA">
      <w:pPr>
        <w:pStyle w:val="ListParagraph"/>
        <w:numPr>
          <w:ilvl w:val="0"/>
          <w:numId w:val="38"/>
        </w:numPr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lastRenderedPageBreak/>
        <w:t>Presentar las recomendaciones de ajuste que considere pertinentes a la Estrategia de Adquisiciones, al PEP y POA del programa.</w:t>
      </w:r>
    </w:p>
    <w:p w14:paraId="2CA3DD47" w14:textId="77777777" w:rsidR="00A33BFC" w:rsidRPr="00894FDF" w:rsidRDefault="00A33BFC" w:rsidP="00AA08AA">
      <w:pPr>
        <w:pStyle w:val="ListParagraph"/>
        <w:numPr>
          <w:ilvl w:val="0"/>
          <w:numId w:val="38"/>
        </w:numPr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 xml:space="preserve">Presentar recomendaciones y sugerencias para el desarrollo del programa. </w:t>
      </w:r>
    </w:p>
    <w:p w14:paraId="256CAB83" w14:textId="77777777" w:rsidR="00A33BFC" w:rsidRPr="00894FDF" w:rsidRDefault="00A33BFC" w:rsidP="00AA08AA">
      <w:pPr>
        <w:pStyle w:val="ListParagraph"/>
        <w:numPr>
          <w:ilvl w:val="0"/>
          <w:numId w:val="38"/>
        </w:numPr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>Velar por la coherencia e integralidad técnica, administrativa y financiera del programa.</w:t>
      </w:r>
    </w:p>
    <w:p w14:paraId="54FC7557" w14:textId="77777777" w:rsidR="00A33BFC" w:rsidRPr="00894FDF" w:rsidRDefault="00A33BFC" w:rsidP="00AA08AA">
      <w:pPr>
        <w:pStyle w:val="ListParagraph"/>
        <w:numPr>
          <w:ilvl w:val="0"/>
          <w:numId w:val="38"/>
        </w:numPr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Y"/>
        </w:rPr>
      </w:pPr>
      <w:r w:rsidRPr="00894FDF">
        <w:rPr>
          <w:rFonts w:ascii="Arial" w:hAnsi="Arial" w:cs="Arial"/>
          <w:sz w:val="20"/>
          <w:szCs w:val="20"/>
          <w:lang w:val="es-PY"/>
        </w:rPr>
        <w:t>Coordinación del alcance de los Términos de Referencia y Especificaciones Técnicas, de productos en que más de un organismo ejecutor sea responsable.</w:t>
      </w:r>
    </w:p>
    <w:p w14:paraId="742E5FA5" w14:textId="77777777" w:rsidR="00A33BFC" w:rsidRPr="00894FDF" w:rsidRDefault="00A33BFC" w:rsidP="00AA08AA">
      <w:pPr>
        <w:pStyle w:val="ListParagraph"/>
        <w:numPr>
          <w:ilvl w:val="0"/>
          <w:numId w:val="38"/>
        </w:numPr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4FDF">
        <w:rPr>
          <w:rFonts w:ascii="Arial" w:hAnsi="Arial" w:cs="Arial"/>
          <w:sz w:val="20"/>
          <w:szCs w:val="20"/>
          <w:lang w:val="es-PY"/>
        </w:rPr>
        <w:t>Velar porque se cumplan los objetivos, indicadores y metas del programa.</w:t>
      </w:r>
    </w:p>
    <w:p w14:paraId="3218435D" w14:textId="2475B1D7" w:rsidR="00A33BFC" w:rsidRPr="00894FDF" w:rsidRDefault="00A33BFC" w:rsidP="00AA08AA">
      <w:pPr>
        <w:pStyle w:val="ListParagraph"/>
        <w:numPr>
          <w:ilvl w:val="0"/>
          <w:numId w:val="38"/>
        </w:numPr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94FDF">
        <w:rPr>
          <w:rFonts w:ascii="Arial" w:hAnsi="Arial" w:cs="Arial"/>
          <w:sz w:val="20"/>
          <w:szCs w:val="20"/>
          <w:lang w:val="es-PY"/>
        </w:rPr>
        <w:t xml:space="preserve">Revisar y aprobar el PMR consolidado de los 3 </w:t>
      </w:r>
      <w:r w:rsidR="00236EC3">
        <w:rPr>
          <w:rFonts w:ascii="Arial" w:hAnsi="Arial" w:cs="Arial"/>
          <w:sz w:val="20"/>
          <w:szCs w:val="20"/>
          <w:lang w:val="es-PY"/>
        </w:rPr>
        <w:t>ejecutor</w:t>
      </w:r>
      <w:r w:rsidRPr="00894FDF">
        <w:rPr>
          <w:rFonts w:ascii="Arial" w:hAnsi="Arial" w:cs="Arial"/>
          <w:sz w:val="20"/>
          <w:szCs w:val="20"/>
          <w:lang w:val="es-PY"/>
        </w:rPr>
        <w:t>es.</w:t>
      </w:r>
    </w:p>
    <w:p w14:paraId="67DD1B87" w14:textId="77777777" w:rsidR="00A33BFC" w:rsidRDefault="00A33BFC" w:rsidP="00A33BFC">
      <w:pPr>
        <w:jc w:val="both"/>
        <w:rPr>
          <w:rFonts w:ascii="Arial" w:hAnsi="Arial" w:cs="Arial"/>
          <w:bCs/>
          <w:sz w:val="20"/>
          <w:szCs w:val="20"/>
        </w:rPr>
      </w:pPr>
    </w:p>
    <w:p w14:paraId="2875F498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El C</w:t>
      </w:r>
      <w:r>
        <w:rPr>
          <w:rFonts w:ascii="Arial" w:eastAsiaTheme="minorEastAsia" w:hAnsi="Arial" w:cs="Arial"/>
          <w:bCs/>
          <w:sz w:val="20"/>
          <w:szCs w:val="20"/>
        </w:rPr>
        <w:t>O</w:t>
      </w: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P se reunirá </w:t>
      </w:r>
      <w:r>
        <w:rPr>
          <w:rFonts w:ascii="Arial" w:eastAsiaTheme="minorEastAsia" w:hAnsi="Arial" w:cs="Arial"/>
          <w:bCs/>
          <w:sz w:val="20"/>
          <w:szCs w:val="20"/>
        </w:rPr>
        <w:t>bimensualmente</w:t>
      </w: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 en sesión ordinaria para evaluar el desarrollo de la ejecución del Programa y recomendar pautas de ejecución para el siguiente período. Deberá reunirse obligatoriamente al inicio de la ejecución del Programa y en el cuarto trimestre de cada año calendario de ejecución del Programa a fin de aprobar el POA y el PAC del siguiente ejercicio presupuestal. </w:t>
      </w:r>
    </w:p>
    <w:p w14:paraId="503529EF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</w:p>
    <w:p w14:paraId="229690F0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Las sesiones ordinarias del C</w:t>
      </w:r>
      <w:r>
        <w:rPr>
          <w:rFonts w:ascii="Arial" w:eastAsiaTheme="minorEastAsia" w:hAnsi="Arial" w:cs="Arial"/>
          <w:bCs/>
          <w:sz w:val="20"/>
          <w:szCs w:val="20"/>
        </w:rPr>
        <w:t>O</w:t>
      </w:r>
      <w:r w:rsidRPr="00D00A36">
        <w:rPr>
          <w:rFonts w:ascii="Arial" w:eastAsiaTheme="minorEastAsia" w:hAnsi="Arial" w:cs="Arial"/>
          <w:bCs/>
          <w:sz w:val="20"/>
          <w:szCs w:val="20"/>
        </w:rPr>
        <w:t>P son convocadas por el presidente, a través de la Secretaría del C</w:t>
      </w:r>
      <w:r>
        <w:rPr>
          <w:rFonts w:ascii="Arial" w:eastAsiaTheme="minorEastAsia" w:hAnsi="Arial" w:cs="Arial"/>
          <w:bCs/>
          <w:sz w:val="20"/>
          <w:szCs w:val="20"/>
        </w:rPr>
        <w:t>O</w:t>
      </w: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P. La convocatoria debe ser notificada </w:t>
      </w:r>
      <w:proofErr w:type="gramStart"/>
      <w:r w:rsidRPr="00D00A36">
        <w:rPr>
          <w:rFonts w:ascii="Arial" w:eastAsiaTheme="minorEastAsia" w:hAnsi="Arial" w:cs="Arial"/>
          <w:bCs/>
          <w:sz w:val="20"/>
          <w:szCs w:val="20"/>
        </w:rPr>
        <w:t>conjuntamente con</w:t>
      </w:r>
      <w:proofErr w:type="gramEnd"/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 la agenda de la sesión y con una antelación no menor de siete (07) días calendario.</w:t>
      </w:r>
    </w:p>
    <w:p w14:paraId="05431C3C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  <w:r w:rsidRPr="00D00A36">
        <w:rPr>
          <w:rFonts w:ascii="Arial" w:eastAsiaTheme="minorEastAsia" w:hAnsi="Arial" w:cs="Arial"/>
          <w:bCs/>
          <w:sz w:val="20"/>
          <w:szCs w:val="20"/>
          <w:lang w:eastAsia="es-PE"/>
        </w:rPr>
        <w:t xml:space="preserve"> </w:t>
      </w:r>
    </w:p>
    <w:p w14:paraId="7A9EE37D" w14:textId="523447B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Iniciada la sesión, no puede ser objeto de acuerdo ningún asunto fuera de la agenda de la sesión salvo que uno de los 3 </w:t>
      </w:r>
      <w:r w:rsidR="00236EC3">
        <w:rPr>
          <w:rFonts w:ascii="Arial" w:eastAsiaTheme="minorEastAsia" w:hAnsi="Arial" w:cs="Arial"/>
          <w:bCs/>
          <w:sz w:val="20"/>
          <w:szCs w:val="20"/>
        </w:rPr>
        <w:t>ejecutor</w:t>
      </w:r>
      <w:r w:rsidRPr="00D00A36">
        <w:rPr>
          <w:rFonts w:ascii="Arial" w:eastAsiaTheme="minorEastAsia" w:hAnsi="Arial" w:cs="Arial"/>
          <w:bCs/>
          <w:sz w:val="20"/>
          <w:szCs w:val="20"/>
        </w:rPr>
        <w:t>es lo solicite.</w:t>
      </w:r>
    </w:p>
    <w:p w14:paraId="3C8A2D5E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</w:p>
    <w:p w14:paraId="1BFB4BD6" w14:textId="3AB023AD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El quórum para la instalación y sesión válida del C</w:t>
      </w:r>
      <w:r>
        <w:rPr>
          <w:rFonts w:ascii="Arial" w:eastAsiaTheme="minorEastAsia" w:hAnsi="Arial" w:cs="Arial"/>
          <w:bCs/>
          <w:sz w:val="20"/>
          <w:szCs w:val="20"/>
        </w:rPr>
        <w:t>O</w:t>
      </w: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P es la mayoría absoluta de sus miembros con derecho a voz y voto, siempre y cuando estén presentes los representantes de los 3 </w:t>
      </w:r>
      <w:r w:rsidR="00236EC3">
        <w:rPr>
          <w:rFonts w:ascii="Arial" w:eastAsiaTheme="minorEastAsia" w:hAnsi="Arial" w:cs="Arial"/>
          <w:bCs/>
          <w:sz w:val="20"/>
          <w:szCs w:val="20"/>
        </w:rPr>
        <w:t>ejecutor</w:t>
      </w:r>
      <w:r w:rsidRPr="00D00A36">
        <w:rPr>
          <w:rFonts w:ascii="Arial" w:eastAsiaTheme="minorEastAsia" w:hAnsi="Arial" w:cs="Arial"/>
          <w:bCs/>
          <w:sz w:val="20"/>
          <w:szCs w:val="20"/>
        </w:rPr>
        <w:t>es. Si no existiera quórum a la hora programada, el C</w:t>
      </w:r>
      <w:r>
        <w:rPr>
          <w:rFonts w:ascii="Arial" w:eastAsiaTheme="minorEastAsia" w:hAnsi="Arial" w:cs="Arial"/>
          <w:bCs/>
          <w:sz w:val="20"/>
          <w:szCs w:val="20"/>
        </w:rPr>
        <w:t>O</w:t>
      </w:r>
      <w:r w:rsidRPr="00D00A36">
        <w:rPr>
          <w:rFonts w:ascii="Arial" w:eastAsiaTheme="minorEastAsia" w:hAnsi="Arial" w:cs="Arial"/>
          <w:bCs/>
          <w:sz w:val="20"/>
          <w:szCs w:val="20"/>
        </w:rPr>
        <w:t>P se constituirá 30 minutos después con los miembros con voz y voto presentes.</w:t>
      </w:r>
    </w:p>
    <w:p w14:paraId="12991EAC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</w:p>
    <w:p w14:paraId="173A5C5E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Instalada una sesión, puede ser suspendida sólo por fuerza mayor, con cargo a continuarla en la fecha y lugar que se indique al momento de suspenderla. De no haber acuerdo, la Presidencia fija la fecha de reinicio.</w:t>
      </w:r>
    </w:p>
    <w:p w14:paraId="34F6383F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</w:p>
    <w:p w14:paraId="64D8A845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La Presidencia del C</w:t>
      </w:r>
      <w:r>
        <w:rPr>
          <w:rFonts w:ascii="Arial" w:eastAsiaTheme="minorEastAsia" w:hAnsi="Arial" w:cs="Arial"/>
          <w:bCs/>
          <w:sz w:val="20"/>
          <w:szCs w:val="20"/>
        </w:rPr>
        <w:t>O</w:t>
      </w: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P será alternada entre el Ministerio de Justicia, el Poder Judicial y el Ministerio Público. </w:t>
      </w:r>
    </w:p>
    <w:p w14:paraId="66BC41AC" w14:textId="77777777" w:rsidR="00A33BFC" w:rsidRPr="00D00A36" w:rsidRDefault="00A33BFC" w:rsidP="00A33BFC">
      <w:pPr>
        <w:pStyle w:val="P2"/>
        <w:spacing w:before="0" w:after="0" w:line="240" w:lineRule="auto"/>
        <w:ind w:left="0"/>
        <w:rPr>
          <w:rFonts w:ascii="Arial" w:eastAsiaTheme="minorEastAsia" w:hAnsi="Arial" w:cs="Arial"/>
          <w:bCs/>
          <w:sz w:val="20"/>
          <w:szCs w:val="20"/>
          <w:lang w:eastAsia="es-PE"/>
        </w:rPr>
      </w:pPr>
    </w:p>
    <w:p w14:paraId="5F303ED2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El C</w:t>
      </w:r>
      <w:r>
        <w:rPr>
          <w:rFonts w:ascii="Arial" w:eastAsiaTheme="minorEastAsia" w:hAnsi="Arial" w:cs="Arial"/>
          <w:bCs/>
          <w:sz w:val="20"/>
          <w:szCs w:val="20"/>
        </w:rPr>
        <w:t>O</w:t>
      </w:r>
      <w:r w:rsidRPr="00D00A36">
        <w:rPr>
          <w:rFonts w:ascii="Arial" w:eastAsiaTheme="minorEastAsia" w:hAnsi="Arial" w:cs="Arial"/>
          <w:bCs/>
          <w:sz w:val="20"/>
          <w:szCs w:val="20"/>
        </w:rPr>
        <w:t>P se podrá reunir en sesión extraordinaria, cada vez que lo solicite cualquiera de las entidades beneficiarias y participantes con voz y voto. La convocatoria la realiza la Secretaría del CIP con un mínimo de tres (03) días útiles de antelación y mediante agenda específica.</w:t>
      </w:r>
    </w:p>
    <w:p w14:paraId="58E6E83D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2D683FDB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Los miembros del C</w:t>
      </w:r>
      <w:r>
        <w:rPr>
          <w:rFonts w:ascii="Arial" w:eastAsiaTheme="minorEastAsia" w:hAnsi="Arial" w:cs="Arial"/>
          <w:bCs/>
          <w:sz w:val="20"/>
          <w:szCs w:val="20"/>
        </w:rPr>
        <w:t>O</w:t>
      </w:r>
      <w:r w:rsidRPr="00D00A36">
        <w:rPr>
          <w:rFonts w:ascii="Arial" w:eastAsiaTheme="minorEastAsia" w:hAnsi="Arial" w:cs="Arial"/>
          <w:bCs/>
          <w:sz w:val="20"/>
          <w:szCs w:val="20"/>
        </w:rPr>
        <w:t>P no perciben dieta, remuneración u honorario profesional alguno de parte del Programa.</w:t>
      </w:r>
    </w:p>
    <w:p w14:paraId="13668A48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5FD397D6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Los acuerdos son adoptados por los votos requeridos en el quórum de asistencia, correspondiendo a la Presidencia voto dirimente en caso de empate. El MINJUS, el MP y el PJ tienen derecho a veto sobre los acuerdos adoptados por votación.</w:t>
      </w:r>
    </w:p>
    <w:p w14:paraId="5374E8F9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471A7871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Los miembros del C</w:t>
      </w:r>
      <w:r>
        <w:rPr>
          <w:rFonts w:ascii="Arial" w:eastAsiaTheme="minorEastAsia" w:hAnsi="Arial" w:cs="Arial"/>
          <w:bCs/>
          <w:sz w:val="20"/>
          <w:szCs w:val="20"/>
        </w:rPr>
        <w:t>O</w:t>
      </w: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P con derecho a voto, asistentes a la sesión, están obligados a votar. </w:t>
      </w:r>
    </w:p>
    <w:p w14:paraId="5D8B54AD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453C5195" w14:textId="77777777" w:rsidR="00A33BFC" w:rsidRPr="00D00A36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D00A36">
        <w:rPr>
          <w:rFonts w:ascii="Arial" w:eastAsiaTheme="minorEastAsia" w:hAnsi="Arial" w:cs="Arial"/>
          <w:bCs/>
          <w:sz w:val="20"/>
          <w:szCs w:val="20"/>
        </w:rPr>
        <w:t>Los miembros del C</w:t>
      </w:r>
      <w:r>
        <w:rPr>
          <w:rFonts w:ascii="Arial" w:eastAsiaTheme="minorEastAsia" w:hAnsi="Arial" w:cs="Arial"/>
          <w:bCs/>
          <w:sz w:val="20"/>
          <w:szCs w:val="20"/>
        </w:rPr>
        <w:t>O</w:t>
      </w:r>
      <w:r w:rsidRPr="00D00A36">
        <w:rPr>
          <w:rFonts w:ascii="Arial" w:eastAsiaTheme="minorEastAsia" w:hAnsi="Arial" w:cs="Arial"/>
          <w:bCs/>
          <w:sz w:val="20"/>
          <w:szCs w:val="20"/>
        </w:rPr>
        <w:t xml:space="preserve">P son responsables solidariamente por los acuerdos que adopten, salvo que se deje constancia expresa en el acta su posición o voto singular. </w:t>
      </w:r>
    </w:p>
    <w:p w14:paraId="361287B6" w14:textId="77777777" w:rsidR="00A33BFC" w:rsidRPr="00381F54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7FED2F00" w14:textId="74C4C018" w:rsidR="00A33BFC" w:rsidRPr="00381F54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381F54">
        <w:rPr>
          <w:rFonts w:ascii="Arial" w:eastAsiaTheme="minorEastAsia" w:hAnsi="Arial" w:cs="Arial"/>
          <w:bCs/>
          <w:sz w:val="20"/>
          <w:szCs w:val="20"/>
        </w:rPr>
        <w:t>La Secretaría del C</w:t>
      </w:r>
      <w:r>
        <w:rPr>
          <w:rFonts w:ascii="Arial" w:eastAsiaTheme="minorEastAsia" w:hAnsi="Arial" w:cs="Arial"/>
          <w:bCs/>
          <w:sz w:val="20"/>
          <w:szCs w:val="20"/>
        </w:rPr>
        <w:t>O</w:t>
      </w:r>
      <w:r w:rsidRPr="00381F54">
        <w:rPr>
          <w:rFonts w:ascii="Arial" w:eastAsiaTheme="minorEastAsia" w:hAnsi="Arial" w:cs="Arial"/>
          <w:bCs/>
          <w:sz w:val="20"/>
          <w:szCs w:val="20"/>
        </w:rPr>
        <w:t xml:space="preserve">P será ejercida por el Director Ejecutivo </w:t>
      </w:r>
      <w:r w:rsidR="00BA4660">
        <w:rPr>
          <w:rFonts w:ascii="Arial" w:eastAsiaTheme="minorEastAsia" w:hAnsi="Arial" w:cs="Arial"/>
          <w:bCs/>
          <w:sz w:val="20"/>
          <w:szCs w:val="20"/>
        </w:rPr>
        <w:t>del EDG</w:t>
      </w:r>
      <w:r>
        <w:rPr>
          <w:rFonts w:ascii="Arial" w:eastAsiaTheme="minorEastAsia" w:hAnsi="Arial" w:cs="Arial"/>
          <w:bCs/>
          <w:sz w:val="20"/>
          <w:szCs w:val="20"/>
        </w:rPr>
        <w:t xml:space="preserve"> correspondiente a la institución que lleva la presidencia del COP.</w:t>
      </w:r>
      <w:r w:rsidRPr="00381F54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14:paraId="493103B1" w14:textId="77777777" w:rsidR="00A33BFC" w:rsidRPr="00381F54" w:rsidRDefault="00A33BFC" w:rsidP="00A33BFC">
      <w:pPr>
        <w:pStyle w:val="ListParagraph"/>
        <w:tabs>
          <w:tab w:val="left" w:leader="dot" w:pos="7920"/>
        </w:tabs>
        <w:spacing w:after="0" w:line="240" w:lineRule="auto"/>
        <w:contextualSpacing w:val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78677E54" w14:textId="77777777" w:rsidR="00A33BFC" w:rsidRPr="007355E4" w:rsidRDefault="00A33BFC" w:rsidP="00A33BFC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7355E4">
        <w:rPr>
          <w:rFonts w:ascii="Arial" w:hAnsi="Arial" w:cs="Arial"/>
          <w:bCs/>
          <w:sz w:val="20"/>
          <w:szCs w:val="20"/>
        </w:rPr>
        <w:t>Por causa de fuerza mayor, el Titular de cada Entidad que participa en el C</w:t>
      </w:r>
      <w:r>
        <w:rPr>
          <w:rFonts w:ascii="Arial" w:hAnsi="Arial" w:cs="Arial"/>
          <w:bCs/>
          <w:sz w:val="20"/>
          <w:szCs w:val="20"/>
        </w:rPr>
        <w:t>O</w:t>
      </w:r>
      <w:r w:rsidRPr="007355E4">
        <w:rPr>
          <w:rFonts w:ascii="Arial" w:hAnsi="Arial" w:cs="Arial"/>
          <w:bCs/>
          <w:sz w:val="20"/>
          <w:szCs w:val="20"/>
        </w:rPr>
        <w:t>P podrá designar a un representante alterno, debiendo este último, participar en las reuniones con voz y voto en ausencia del Titular de la institución. El representante alterno deberá ser debidamente acreditado ante la Secretaría del C</w:t>
      </w:r>
      <w:r>
        <w:rPr>
          <w:rFonts w:ascii="Arial" w:hAnsi="Arial" w:cs="Arial"/>
          <w:bCs/>
          <w:sz w:val="20"/>
          <w:szCs w:val="20"/>
        </w:rPr>
        <w:t>O</w:t>
      </w:r>
      <w:r w:rsidRPr="007355E4">
        <w:rPr>
          <w:rFonts w:ascii="Arial" w:hAnsi="Arial" w:cs="Arial"/>
          <w:bCs/>
          <w:sz w:val="20"/>
          <w:szCs w:val="20"/>
        </w:rPr>
        <w:t xml:space="preserve">P, mediante comunicación institucional. </w:t>
      </w:r>
    </w:p>
    <w:p w14:paraId="35666556" w14:textId="77777777" w:rsidR="00A33BFC" w:rsidRPr="00894FDF" w:rsidRDefault="00A33BFC" w:rsidP="00A33BFC">
      <w:pPr>
        <w:jc w:val="both"/>
        <w:rPr>
          <w:rFonts w:ascii="Arial" w:hAnsi="Arial" w:cs="Arial"/>
          <w:bCs/>
          <w:sz w:val="20"/>
          <w:szCs w:val="20"/>
        </w:rPr>
      </w:pPr>
      <w:r w:rsidRPr="00894FDF">
        <w:rPr>
          <w:rFonts w:ascii="Arial" w:hAnsi="Arial" w:cs="Arial"/>
          <w:bCs/>
          <w:sz w:val="20"/>
          <w:szCs w:val="20"/>
        </w:rPr>
        <w:t>Las actas de cada Comité formaran parte de los anexos del informe semestral presentado al Banco.</w:t>
      </w:r>
    </w:p>
    <w:p w14:paraId="344A61CB" w14:textId="77777777" w:rsidR="00A33BFC" w:rsidRPr="00894FDF" w:rsidRDefault="00A33BFC" w:rsidP="00A33BFC">
      <w:pPr>
        <w:tabs>
          <w:tab w:val="left" w:leader="dot" w:pos="7920"/>
        </w:tabs>
        <w:jc w:val="center"/>
        <w:rPr>
          <w:rFonts w:ascii="Arial" w:hAnsi="Arial" w:cs="Arial"/>
          <w:b/>
          <w:bCs/>
          <w:sz w:val="20"/>
          <w:szCs w:val="20"/>
          <w:lang w:val="es-PY"/>
        </w:rPr>
      </w:pPr>
      <w:r w:rsidRPr="00894FDF">
        <w:rPr>
          <w:rFonts w:ascii="Arial" w:hAnsi="Arial" w:cs="Arial"/>
          <w:b/>
          <w:bCs/>
          <w:sz w:val="20"/>
          <w:szCs w:val="20"/>
          <w:lang w:val="es-PY"/>
        </w:rPr>
        <w:lastRenderedPageBreak/>
        <w:t>Gráfico 1 – Organigrama relaciones Interinstitucional del Programa</w:t>
      </w:r>
    </w:p>
    <w:p w14:paraId="24968283" w14:textId="77777777" w:rsidR="00A33BFC" w:rsidRPr="00894FDF" w:rsidRDefault="00A33BFC" w:rsidP="00411AE3">
      <w:pPr>
        <w:jc w:val="center"/>
        <w:rPr>
          <w:rFonts w:ascii="Arial" w:hAnsi="Arial" w:cs="Arial"/>
          <w:bCs/>
          <w:sz w:val="20"/>
          <w:szCs w:val="20"/>
          <w:lang w:val="es-PY"/>
        </w:rPr>
      </w:pPr>
      <w:r>
        <w:object w:dxaOrig="8055" w:dyaOrig="3766" w14:anchorId="268DC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188.3pt" o:ole="">
            <v:imagedata r:id="rId8" o:title=""/>
          </v:shape>
          <o:OLEObject Type="Embed" ProgID="Visio.Drawing.15" ShapeID="_x0000_i1025" DrawAspect="Content" ObjectID="_1636361318" r:id="rId9"/>
        </w:object>
      </w:r>
    </w:p>
    <w:p w14:paraId="3D19A64B" w14:textId="77777777" w:rsidR="008F44AB" w:rsidRPr="00894FDF" w:rsidRDefault="008F44AB" w:rsidP="008F44AB">
      <w:pPr>
        <w:tabs>
          <w:tab w:val="left" w:leader="dot" w:pos="7920"/>
        </w:tabs>
        <w:spacing w:line="240" w:lineRule="auto"/>
        <w:jc w:val="both"/>
        <w:rPr>
          <w:rFonts w:ascii="Arial" w:hAnsi="Arial" w:cs="Arial"/>
          <w:b/>
          <w:color w:val="000000"/>
        </w:rPr>
      </w:pPr>
      <w:r w:rsidRPr="00894FDF">
        <w:rPr>
          <w:rFonts w:ascii="Arial" w:hAnsi="Arial" w:cs="Arial"/>
          <w:b/>
          <w:lang w:val="es-PY"/>
        </w:rPr>
        <w:t xml:space="preserve">2.3 </w:t>
      </w:r>
      <w:r w:rsidRPr="00894FDF">
        <w:rPr>
          <w:rFonts w:ascii="Arial" w:hAnsi="Arial" w:cs="Arial"/>
          <w:b/>
          <w:color w:val="000000"/>
        </w:rPr>
        <w:t xml:space="preserve">Organismo Ejecutor: </w:t>
      </w:r>
      <w:r w:rsidR="00795EED">
        <w:rPr>
          <w:rFonts w:ascii="Arial" w:hAnsi="Arial" w:cs="Arial"/>
          <w:b/>
          <w:color w:val="000000"/>
        </w:rPr>
        <w:t>Poder Judicial</w:t>
      </w:r>
    </w:p>
    <w:p w14:paraId="1C0D68C2" w14:textId="77777777" w:rsidR="00795EED" w:rsidRPr="00795EED" w:rsidRDefault="00795EED" w:rsidP="00795E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95EED">
        <w:rPr>
          <w:rFonts w:ascii="Arial" w:hAnsi="Arial" w:cs="Arial"/>
          <w:sz w:val="20"/>
          <w:szCs w:val="20"/>
        </w:rPr>
        <w:t xml:space="preserve">La Oficina de Coordinación de Proyectos (OCP-UE 002) es el órgano de apoyo de la Gerencia General, encargada de la coordinación, ejecución y supervisión administrativa de los programas y/o proyectos que ejecuta el Poder Judicial, con financiamiento reembolsable y no reembolsable, para la mejora y fortalecimiento de los servicios de administración de justicia en el país. </w:t>
      </w:r>
    </w:p>
    <w:p w14:paraId="4978A854" w14:textId="77777777" w:rsidR="00795EED" w:rsidRPr="00795EED" w:rsidRDefault="00795EED" w:rsidP="00795EED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</w:rPr>
      </w:pPr>
      <w:r w:rsidRPr="00795EED">
        <w:rPr>
          <w:rFonts w:ascii="Arial" w:hAnsi="Arial" w:cs="Arial"/>
          <w:sz w:val="20"/>
          <w:szCs w:val="20"/>
        </w:rPr>
        <w:t>Los recursos humanos que se asignarán a la OCP-UE 002, serán contratados bajo la modalidad de consultores individuales o podrán ser asignados del propio PJ siempre y cuando cumplan con perfil del cargo, con dedicación a tiempo completo y exclusiva para el programa. Los contratos serán suscriptos por 1 año de duración, sujetos a evaluación de desempeño para su renovación. Los costos de administración serán presupuestados en el marco del programa con cargo a la contrapartida local.</w:t>
      </w:r>
    </w:p>
    <w:p w14:paraId="34DE6DCA" w14:textId="77777777" w:rsidR="00795EED" w:rsidRPr="00795EED" w:rsidRDefault="00795EED" w:rsidP="00795EED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</w:rPr>
      </w:pPr>
      <w:r w:rsidRPr="00795EED">
        <w:rPr>
          <w:rFonts w:ascii="Arial" w:hAnsi="Arial" w:cs="Arial"/>
          <w:sz w:val="20"/>
          <w:szCs w:val="20"/>
        </w:rPr>
        <w:t>Los perfiles de cada posición se incluyen en el Anexo 1 del presente MOP.</w:t>
      </w:r>
    </w:p>
    <w:p w14:paraId="5426BEF7" w14:textId="77777777" w:rsidR="00795EED" w:rsidRPr="00795EED" w:rsidRDefault="00795EED" w:rsidP="00795EED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</w:rPr>
      </w:pPr>
      <w:r w:rsidRPr="00795EED">
        <w:rPr>
          <w:rFonts w:ascii="Arial" w:hAnsi="Arial" w:cs="Arial"/>
          <w:sz w:val="20"/>
          <w:szCs w:val="20"/>
        </w:rPr>
        <w:t>La estructura de la OCP-UE 002</w:t>
      </w:r>
      <w:r w:rsidR="0058609A">
        <w:rPr>
          <w:rFonts w:ascii="Arial" w:hAnsi="Arial" w:cs="Arial"/>
          <w:sz w:val="20"/>
          <w:szCs w:val="20"/>
        </w:rPr>
        <w:t xml:space="preserve"> </w:t>
      </w:r>
      <w:r w:rsidRPr="00795EED">
        <w:rPr>
          <w:rFonts w:ascii="Arial" w:hAnsi="Arial" w:cs="Arial"/>
          <w:sz w:val="20"/>
          <w:szCs w:val="20"/>
        </w:rPr>
        <w:t>sería la siguiente:</w:t>
      </w:r>
    </w:p>
    <w:p w14:paraId="6D78E8BD" w14:textId="77777777" w:rsidR="00795EED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563B93">
        <w:rPr>
          <w:rFonts w:asciiTheme="minorHAnsi" w:hAnsiTheme="minorHAnsi" w:cs="Arial"/>
        </w:rPr>
        <w:t>Coordinador BID</w:t>
      </w:r>
      <w:r>
        <w:rPr>
          <w:rFonts w:asciiTheme="minorHAnsi" w:hAnsiTheme="minorHAnsi" w:cs="Arial"/>
        </w:rPr>
        <w:t xml:space="preserve"> PE-L 1230</w:t>
      </w:r>
    </w:p>
    <w:p w14:paraId="528580C9" w14:textId="77777777" w:rsidR="00795EED" w:rsidRPr="00563B93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563B93">
        <w:rPr>
          <w:rFonts w:asciiTheme="minorHAnsi" w:hAnsiTheme="minorHAnsi" w:cs="Arial"/>
          <w:u w:val="single"/>
        </w:rPr>
        <w:t>Equipo técnico</w:t>
      </w:r>
      <w:r w:rsidRPr="00563B93">
        <w:rPr>
          <w:rFonts w:asciiTheme="minorHAnsi" w:hAnsiTheme="minorHAnsi" w:cs="Arial"/>
        </w:rPr>
        <w:t>: 4 profesionales</w:t>
      </w:r>
    </w:p>
    <w:p w14:paraId="66AA8F09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286FBE">
        <w:rPr>
          <w:rFonts w:asciiTheme="minorHAnsi" w:hAnsiTheme="minorHAnsi" w:cs="Arial"/>
          <w:u w:val="single"/>
        </w:rPr>
        <w:t>Equipo técnico para la OGTI (personal enlace)</w:t>
      </w:r>
      <w:r w:rsidRPr="00286FBE">
        <w:rPr>
          <w:rFonts w:asciiTheme="minorHAnsi" w:hAnsiTheme="minorHAnsi" w:cs="Arial"/>
        </w:rPr>
        <w:t xml:space="preserve">:  </w:t>
      </w:r>
      <w:r w:rsidR="0058609A">
        <w:rPr>
          <w:rFonts w:asciiTheme="minorHAnsi" w:hAnsiTheme="minorHAnsi" w:cs="Arial"/>
        </w:rPr>
        <w:t xml:space="preserve">5 </w:t>
      </w:r>
      <w:r w:rsidRPr="00286FBE">
        <w:rPr>
          <w:rFonts w:asciiTheme="minorHAnsi" w:hAnsiTheme="minorHAnsi" w:cs="Arial"/>
        </w:rPr>
        <w:t>profesionales</w:t>
      </w:r>
    </w:p>
    <w:p w14:paraId="383E3B50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Jefe de la Unidad</w:t>
      </w:r>
      <w:r w:rsidRPr="00286FBE">
        <w:rPr>
          <w:rFonts w:asciiTheme="minorHAnsi" w:hAnsiTheme="minorHAnsi" w:cs="Arial"/>
        </w:rPr>
        <w:t xml:space="preserve"> Administrativ</w:t>
      </w:r>
      <w:r>
        <w:rPr>
          <w:rFonts w:asciiTheme="minorHAnsi" w:hAnsiTheme="minorHAnsi" w:cs="Arial"/>
        </w:rPr>
        <w:t>a</w:t>
      </w:r>
    </w:p>
    <w:p w14:paraId="46764D3F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286FBE">
        <w:rPr>
          <w:rFonts w:asciiTheme="minorHAnsi" w:hAnsiTheme="minorHAnsi" w:cs="Arial"/>
        </w:rPr>
        <w:t>Especialista M&amp;E</w:t>
      </w:r>
    </w:p>
    <w:p w14:paraId="437E33EA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286FBE">
        <w:rPr>
          <w:rFonts w:asciiTheme="minorHAnsi" w:hAnsiTheme="minorHAnsi" w:cs="Arial"/>
        </w:rPr>
        <w:t>Especialista Tesorería</w:t>
      </w:r>
    </w:p>
    <w:p w14:paraId="5B9A8387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286FBE">
        <w:rPr>
          <w:rFonts w:asciiTheme="minorHAnsi" w:hAnsiTheme="minorHAnsi" w:cs="Arial"/>
        </w:rPr>
        <w:t>Especialista Adquisiciones</w:t>
      </w:r>
    </w:p>
    <w:p w14:paraId="51B4C4FB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286FBE">
        <w:rPr>
          <w:rFonts w:asciiTheme="minorHAnsi" w:hAnsiTheme="minorHAnsi" w:cs="Arial"/>
        </w:rPr>
        <w:t xml:space="preserve">Especialista Financiero-Contable </w:t>
      </w:r>
    </w:p>
    <w:p w14:paraId="1EF5C374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286FBE">
        <w:rPr>
          <w:rFonts w:asciiTheme="minorHAnsi" w:hAnsiTheme="minorHAnsi" w:cs="Arial"/>
        </w:rPr>
        <w:t>Especialista Planificación y Presupuesto</w:t>
      </w:r>
    </w:p>
    <w:p w14:paraId="5557ECB1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286FBE">
        <w:rPr>
          <w:rFonts w:asciiTheme="minorHAnsi" w:hAnsiTheme="minorHAnsi" w:cs="Arial"/>
        </w:rPr>
        <w:t>Asesor Legal</w:t>
      </w:r>
    </w:p>
    <w:p w14:paraId="29201AF1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286FBE">
        <w:rPr>
          <w:rFonts w:asciiTheme="minorHAnsi" w:hAnsiTheme="minorHAnsi" w:cs="Arial"/>
        </w:rPr>
        <w:t>Analista Adquisiciones</w:t>
      </w:r>
    </w:p>
    <w:p w14:paraId="4FB664D2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286FBE">
        <w:rPr>
          <w:rFonts w:asciiTheme="minorHAnsi" w:hAnsiTheme="minorHAnsi" w:cs="Arial"/>
        </w:rPr>
        <w:t>Analista Contable</w:t>
      </w:r>
    </w:p>
    <w:p w14:paraId="23469AE4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286FBE">
        <w:rPr>
          <w:rFonts w:asciiTheme="minorHAnsi" w:hAnsiTheme="minorHAnsi" w:cs="Arial"/>
        </w:rPr>
        <w:t>Gestión de Documentos</w:t>
      </w:r>
    </w:p>
    <w:p w14:paraId="66B0E50F" w14:textId="77777777" w:rsidR="00795EED" w:rsidRPr="00286FBE" w:rsidRDefault="00795EED" w:rsidP="00AA08A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Arial"/>
        </w:rPr>
      </w:pPr>
      <w:r w:rsidRPr="00286FBE">
        <w:rPr>
          <w:rFonts w:asciiTheme="minorHAnsi" w:hAnsiTheme="minorHAnsi" w:cs="Arial"/>
        </w:rPr>
        <w:t>Secretaria</w:t>
      </w:r>
    </w:p>
    <w:p w14:paraId="2B504E30" w14:textId="77777777" w:rsidR="0058609A" w:rsidRDefault="0058609A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42D443D4" w14:textId="77777777" w:rsidR="00826C92" w:rsidRDefault="00826C92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643B054A" w14:textId="77777777" w:rsidR="00826C92" w:rsidRDefault="00826C92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4746C997" w14:textId="77777777" w:rsidR="00795EED" w:rsidRDefault="00795EED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  <w:r w:rsidRPr="00286FBE">
        <w:rPr>
          <w:rFonts w:cstheme="minorHAnsi"/>
          <w:b/>
          <w:bCs/>
          <w:lang w:val="es-PY"/>
        </w:rPr>
        <w:lastRenderedPageBreak/>
        <w:t xml:space="preserve">Gráfico 2 – Organigrama </w:t>
      </w:r>
      <w:r w:rsidR="0058609A">
        <w:rPr>
          <w:rFonts w:cstheme="minorHAnsi"/>
          <w:b/>
          <w:bCs/>
          <w:lang w:val="es-PY"/>
        </w:rPr>
        <w:t xml:space="preserve">matricial </w:t>
      </w:r>
      <w:r w:rsidRPr="00286FBE">
        <w:rPr>
          <w:rFonts w:cstheme="minorHAnsi"/>
          <w:b/>
          <w:bCs/>
          <w:lang w:val="es-PY"/>
        </w:rPr>
        <w:t xml:space="preserve">de la </w:t>
      </w:r>
      <w:r>
        <w:rPr>
          <w:rFonts w:cstheme="minorHAnsi"/>
          <w:b/>
          <w:bCs/>
          <w:lang w:val="es-PY"/>
        </w:rPr>
        <w:t xml:space="preserve">OCP-UE 002 </w:t>
      </w:r>
      <w:r w:rsidR="0058609A">
        <w:rPr>
          <w:rFonts w:cstheme="minorHAnsi"/>
          <w:b/>
          <w:bCs/>
          <w:lang w:val="es-PY"/>
        </w:rPr>
        <w:t xml:space="preserve">en </w:t>
      </w:r>
      <w:r>
        <w:rPr>
          <w:rFonts w:cstheme="minorHAnsi"/>
          <w:b/>
          <w:bCs/>
          <w:lang w:val="es-PY"/>
        </w:rPr>
        <w:t>la Gerencia General</w:t>
      </w:r>
    </w:p>
    <w:p w14:paraId="01B07A4E" w14:textId="77777777" w:rsidR="00795EED" w:rsidRPr="00286FBE" w:rsidRDefault="0058609A" w:rsidP="00795EED">
      <w:pPr>
        <w:tabs>
          <w:tab w:val="left" w:leader="dot" w:pos="7920"/>
        </w:tabs>
        <w:jc w:val="center"/>
        <w:rPr>
          <w:rFonts w:cstheme="minorHAnsi"/>
          <w:lang w:val="es-PY"/>
        </w:rPr>
      </w:pPr>
      <w:r>
        <w:object w:dxaOrig="14806" w:dyaOrig="11776" w14:anchorId="27E804E8">
          <v:shape id="_x0000_i1026" type="#_x0000_t75" style="width:450.85pt;height:358.6pt" o:ole="">
            <v:imagedata r:id="rId10" o:title=""/>
          </v:shape>
          <o:OLEObject Type="Embed" ProgID="Visio.Drawing.15" ShapeID="_x0000_i1026" DrawAspect="Content" ObjectID="_1636361319" r:id="rId11"/>
        </w:object>
      </w:r>
    </w:p>
    <w:p w14:paraId="26744C34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3F5B866C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0E042DDB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650C99FE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5910AB95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0152D3E4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0B88E288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1B83FA02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6E383877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58461CDE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4900EF99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5C716B77" w14:textId="77777777" w:rsidR="00411AE3" w:rsidRDefault="00411AE3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</w:p>
    <w:p w14:paraId="6A50AAA5" w14:textId="2252C58D" w:rsidR="00795EED" w:rsidRPr="00286FBE" w:rsidRDefault="00795EED" w:rsidP="00795EED">
      <w:pPr>
        <w:tabs>
          <w:tab w:val="left" w:leader="dot" w:pos="7920"/>
        </w:tabs>
        <w:jc w:val="center"/>
        <w:rPr>
          <w:rFonts w:cstheme="minorHAnsi"/>
          <w:b/>
          <w:bCs/>
          <w:lang w:val="es-PY"/>
        </w:rPr>
      </w:pPr>
      <w:r w:rsidRPr="00286FBE">
        <w:rPr>
          <w:rFonts w:cstheme="minorHAnsi"/>
          <w:b/>
          <w:bCs/>
          <w:lang w:val="es-PY"/>
        </w:rPr>
        <w:lastRenderedPageBreak/>
        <w:t xml:space="preserve">Gráfico 3 – </w:t>
      </w:r>
      <w:r>
        <w:rPr>
          <w:rFonts w:cstheme="minorHAnsi"/>
          <w:b/>
          <w:bCs/>
          <w:lang w:val="es-PY"/>
        </w:rPr>
        <w:t>Organigrama de la OCP-UE 002 fortalecida para el programa.</w:t>
      </w:r>
    </w:p>
    <w:p w14:paraId="33AF7182" w14:textId="77777777" w:rsidR="00795EED" w:rsidRDefault="00826C92" w:rsidP="00795EED">
      <w:pPr>
        <w:tabs>
          <w:tab w:val="left" w:leader="dot" w:pos="7920"/>
        </w:tabs>
        <w:jc w:val="both"/>
        <w:rPr>
          <w:rFonts w:cstheme="minorHAnsi"/>
          <w:lang w:val="es-PY"/>
        </w:rPr>
      </w:pPr>
      <w:r>
        <w:object w:dxaOrig="12106" w:dyaOrig="7666" w14:anchorId="0B110DEE">
          <v:shape id="_x0000_i1027" type="#_x0000_t75" style="width:423.1pt;height:267.95pt" o:ole="">
            <v:imagedata r:id="rId12" o:title=""/>
          </v:shape>
          <o:OLEObject Type="Embed" ProgID="Visio.Drawing.15" ShapeID="_x0000_i1027" DrawAspect="Content" ObjectID="_1636361320" r:id="rId13"/>
        </w:object>
      </w:r>
    </w:p>
    <w:p w14:paraId="6CA2527A" w14:textId="77777777" w:rsidR="00795EED" w:rsidRPr="0058609A" w:rsidRDefault="00795EED" w:rsidP="00795EED">
      <w:pPr>
        <w:jc w:val="both"/>
        <w:rPr>
          <w:rFonts w:ascii="Arial" w:hAnsi="Arial" w:cs="Arial"/>
          <w:sz w:val="20"/>
          <w:szCs w:val="20"/>
        </w:rPr>
      </w:pPr>
      <w:r w:rsidRPr="0058609A">
        <w:rPr>
          <w:rFonts w:ascii="Arial" w:hAnsi="Arial" w:cs="Arial"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0082D" wp14:editId="21568057">
                <wp:simplePos x="0" y="0"/>
                <wp:positionH relativeFrom="column">
                  <wp:posOffset>-9525</wp:posOffset>
                </wp:positionH>
                <wp:positionV relativeFrom="paragraph">
                  <wp:posOffset>1966595</wp:posOffset>
                </wp:positionV>
                <wp:extent cx="17780" cy="307975"/>
                <wp:effectExtent l="0" t="635" r="127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1BC5E" w14:textId="77777777" w:rsidR="009E3E0B" w:rsidRDefault="009E3E0B" w:rsidP="00795EED"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0082D" id="Rectángulo 1" o:spid="_x0000_s1026" style="position:absolute;left:0;text-align:left;margin-left:-.75pt;margin-top:154.85pt;width:1.4pt;height:24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" filled="f" stroked="f">
                <v:textbox style="mso-fit-shape-to-text:t" inset="0,0,0,0">
                  <w:txbxContent>
                    <w:p w14:paraId="6E71BC5E" w14:textId="77777777" w:rsidR="009E3E0B" w:rsidRDefault="009E3E0B" w:rsidP="00795EED"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8609A">
        <w:rPr>
          <w:rFonts w:ascii="Arial" w:hAnsi="Arial" w:cs="Arial"/>
          <w:noProof/>
          <w:sz w:val="20"/>
          <w:szCs w:val="20"/>
          <w:u w:val="single"/>
          <w:lang w:val="es-MX" w:eastAsia="es-MX"/>
        </w:rPr>
        <w:t>Coordinador BID PE-L1230</w:t>
      </w:r>
      <w:r w:rsidRPr="0058609A">
        <w:rPr>
          <w:rFonts w:ascii="Arial" w:hAnsi="Arial" w:cs="Arial"/>
          <w:sz w:val="20"/>
          <w:szCs w:val="20"/>
        </w:rPr>
        <w:t>: Dirige y supervisa el adecuado funcionamiento de las labores administrativas, técnicas, de monitoreo y evaluación del Programa. Es responsable de controlar la ejecución del Programa conforme a lo estipulado en el Contrato de Préstamo y las políticas que apliquen, así como de mantener informado periódicamente a la Coordinación de la OCP-UE 002</w:t>
      </w:r>
      <w:r w:rsidR="0058609A" w:rsidRPr="0058609A">
        <w:rPr>
          <w:rFonts w:ascii="Arial" w:hAnsi="Arial" w:cs="Arial"/>
          <w:sz w:val="20"/>
          <w:szCs w:val="20"/>
        </w:rPr>
        <w:t xml:space="preserve"> </w:t>
      </w:r>
      <w:r w:rsidRPr="0058609A">
        <w:rPr>
          <w:rFonts w:ascii="Arial" w:hAnsi="Arial" w:cs="Arial"/>
          <w:sz w:val="20"/>
          <w:szCs w:val="20"/>
        </w:rPr>
        <w:t>del PJ acerca del avance de las actividades y de la ejecución presupuestal del Programa.</w:t>
      </w:r>
    </w:p>
    <w:p w14:paraId="2A4312C0" w14:textId="77777777" w:rsidR="00795EED" w:rsidRPr="0058609A" w:rsidRDefault="00795EED" w:rsidP="00795EED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</w:rPr>
      </w:pPr>
      <w:r w:rsidRPr="0058609A">
        <w:rPr>
          <w:rFonts w:ascii="Arial" w:hAnsi="Arial" w:cs="Arial"/>
          <w:sz w:val="20"/>
          <w:szCs w:val="20"/>
          <w:u w:val="single"/>
        </w:rPr>
        <w:t>Unidad Administrativa:</w:t>
      </w:r>
      <w:r w:rsidRPr="0058609A">
        <w:rPr>
          <w:rFonts w:ascii="Arial" w:hAnsi="Arial" w:cs="Arial"/>
          <w:sz w:val="20"/>
          <w:szCs w:val="20"/>
        </w:rPr>
        <w:t xml:space="preserve"> Responsables por las labores administrativas del Programa, informan periódicamente a la Dirección Ejecutiva de la OCP-UE 002 acerca de las labores de Tesorería, Finanzas-Contabilidad, Adquisiciones, y Presupuesto.</w:t>
      </w:r>
    </w:p>
    <w:p w14:paraId="6A33101C" w14:textId="77777777" w:rsidR="00795EED" w:rsidRPr="0058609A" w:rsidRDefault="00795EED" w:rsidP="00795EED">
      <w:pPr>
        <w:tabs>
          <w:tab w:val="left" w:leader="dot" w:pos="7920"/>
        </w:tabs>
        <w:jc w:val="both"/>
        <w:rPr>
          <w:rFonts w:ascii="Arial" w:hAnsi="Arial" w:cs="Arial"/>
          <w:sz w:val="20"/>
          <w:szCs w:val="20"/>
        </w:rPr>
      </w:pPr>
      <w:r w:rsidRPr="0058609A">
        <w:rPr>
          <w:rFonts w:ascii="Arial" w:hAnsi="Arial" w:cs="Arial"/>
          <w:sz w:val="20"/>
          <w:szCs w:val="20"/>
          <w:u w:val="single"/>
        </w:rPr>
        <w:t>Técnicos de la OCP-UE 002 y apoyo a la OGTI:</w:t>
      </w:r>
      <w:r w:rsidRPr="0058609A">
        <w:rPr>
          <w:rFonts w:ascii="Arial" w:hAnsi="Arial" w:cs="Arial"/>
          <w:sz w:val="20"/>
          <w:szCs w:val="20"/>
        </w:rPr>
        <w:t xml:space="preserve"> Planean, organizan, dirigen, coordinan y controlan todas las actividades técnicas realizadas en el marco de implementación de los componentes del programa en coordinación con la OGTI a través del personal de enlace contratado por el programa. Informa periódicamente a la Coordinación de la OCP-UE 002 acerca de las acciones realizadas.</w:t>
      </w:r>
    </w:p>
    <w:p w14:paraId="43FE0380" w14:textId="77777777" w:rsidR="00795EED" w:rsidRPr="0058609A" w:rsidRDefault="00795EED" w:rsidP="0058609A">
      <w:pPr>
        <w:tabs>
          <w:tab w:val="left" w:leader="dot" w:pos="79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609A">
        <w:rPr>
          <w:rFonts w:ascii="Arial" w:hAnsi="Arial" w:cs="Arial"/>
          <w:sz w:val="20"/>
          <w:szCs w:val="20"/>
          <w:u w:val="single"/>
        </w:rPr>
        <w:t>Especialista M&amp;E:</w:t>
      </w:r>
      <w:r w:rsidRPr="0058609A">
        <w:rPr>
          <w:rFonts w:ascii="Arial" w:hAnsi="Arial" w:cs="Arial"/>
          <w:sz w:val="20"/>
          <w:szCs w:val="20"/>
        </w:rPr>
        <w:t xml:space="preserve"> Planean, organizan, dirigen, coordinan y controlan todas las actividades de monitoreo y evaluación de la implementación del programa. Elabora todos los informes requeridos por el BID, así como los vinculados con las demás instituciones nacionales. Informa periódicamente a la Dirección Ejecutiva de la OCP-UE 002 acerca de las acciones realizadas.</w:t>
      </w:r>
    </w:p>
    <w:p w14:paraId="02D90C9C" w14:textId="77777777" w:rsidR="0058609A" w:rsidRPr="0058609A" w:rsidRDefault="0058609A" w:rsidP="0058609A">
      <w:pPr>
        <w:spacing w:after="0" w:line="240" w:lineRule="auto"/>
      </w:pPr>
      <w:bookmarkStart w:id="49" w:name="_Toc10475008"/>
      <w:bookmarkStart w:id="50" w:name="_Toc16284591"/>
      <w:bookmarkStart w:id="51" w:name="_Toc392251294"/>
      <w:bookmarkEnd w:id="19"/>
      <w:bookmarkEnd w:id="20"/>
    </w:p>
    <w:p w14:paraId="5BC57E9B" w14:textId="77777777" w:rsidR="0058609A" w:rsidRPr="0058609A" w:rsidRDefault="0058609A" w:rsidP="0058609A">
      <w:pPr>
        <w:spacing w:after="0" w:line="240" w:lineRule="auto"/>
      </w:pPr>
    </w:p>
    <w:p w14:paraId="4296FA85" w14:textId="77777777" w:rsidR="0058609A" w:rsidRDefault="0058609A" w:rsidP="0058609A">
      <w:pPr>
        <w:spacing w:after="0" w:line="240" w:lineRule="auto"/>
      </w:pPr>
    </w:p>
    <w:p w14:paraId="3515949D" w14:textId="77777777" w:rsidR="00A33BFC" w:rsidRDefault="00A33BFC" w:rsidP="0058609A">
      <w:pPr>
        <w:spacing w:after="0" w:line="240" w:lineRule="auto"/>
      </w:pPr>
    </w:p>
    <w:p w14:paraId="17F30BC7" w14:textId="77777777" w:rsidR="00A33BFC" w:rsidRDefault="00A33BFC" w:rsidP="0058609A">
      <w:pPr>
        <w:spacing w:after="0" w:line="240" w:lineRule="auto"/>
      </w:pPr>
    </w:p>
    <w:p w14:paraId="6217825F" w14:textId="77777777" w:rsidR="00A33BFC" w:rsidRDefault="00A33BFC" w:rsidP="0058609A">
      <w:pPr>
        <w:spacing w:after="0" w:line="240" w:lineRule="auto"/>
      </w:pPr>
    </w:p>
    <w:p w14:paraId="3AF14F61" w14:textId="77777777" w:rsidR="00A33BFC" w:rsidRDefault="00A33BFC" w:rsidP="0058609A">
      <w:pPr>
        <w:spacing w:after="0" w:line="240" w:lineRule="auto"/>
      </w:pPr>
    </w:p>
    <w:p w14:paraId="567F000C" w14:textId="77777777" w:rsidR="00A33BFC" w:rsidRDefault="00A33BFC" w:rsidP="0058609A">
      <w:pPr>
        <w:spacing w:after="0" w:line="240" w:lineRule="auto"/>
      </w:pPr>
    </w:p>
    <w:p w14:paraId="6131B4F5" w14:textId="77777777" w:rsidR="00A33BFC" w:rsidRDefault="00A33BFC" w:rsidP="0058609A">
      <w:pPr>
        <w:spacing w:after="0" w:line="240" w:lineRule="auto"/>
      </w:pPr>
    </w:p>
    <w:p w14:paraId="4AF80AB9" w14:textId="77777777" w:rsidR="00A33BFC" w:rsidRDefault="00A33BFC" w:rsidP="0058609A">
      <w:pPr>
        <w:spacing w:after="0" w:line="240" w:lineRule="auto"/>
      </w:pPr>
    </w:p>
    <w:p w14:paraId="28C02E61" w14:textId="77777777" w:rsidR="00A33BFC" w:rsidRDefault="00A33BFC" w:rsidP="0058609A">
      <w:pPr>
        <w:spacing w:after="0" w:line="240" w:lineRule="auto"/>
      </w:pPr>
    </w:p>
    <w:p w14:paraId="0752BC94" w14:textId="77777777" w:rsidR="00F262AD" w:rsidRPr="005225A2" w:rsidRDefault="005C1AFA" w:rsidP="002B3C46">
      <w:pPr>
        <w:pStyle w:val="Heading1"/>
        <w:numPr>
          <w:ilvl w:val="0"/>
          <w:numId w:val="0"/>
        </w:numPr>
        <w:spacing w:before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lastRenderedPageBreak/>
        <w:t>C</w:t>
      </w:r>
      <w:r w:rsidR="00F262AD" w:rsidRPr="005225A2">
        <w:rPr>
          <w:rFonts w:ascii="Arial" w:hAnsi="Arial" w:cs="Arial"/>
          <w:sz w:val="24"/>
          <w:szCs w:val="22"/>
        </w:rPr>
        <w:t xml:space="preserve">APITULO 3: </w:t>
      </w:r>
      <w:r w:rsidR="004301AD" w:rsidRPr="005225A2">
        <w:rPr>
          <w:rFonts w:ascii="Arial" w:hAnsi="Arial" w:cs="Arial"/>
          <w:sz w:val="24"/>
          <w:szCs w:val="22"/>
        </w:rPr>
        <w:t>CICLO OPER</w:t>
      </w:r>
      <w:r w:rsidR="00F64CE2">
        <w:rPr>
          <w:rFonts w:ascii="Arial" w:hAnsi="Arial" w:cs="Arial"/>
          <w:sz w:val="24"/>
          <w:szCs w:val="22"/>
        </w:rPr>
        <w:t>A</w:t>
      </w:r>
      <w:r w:rsidR="004301AD" w:rsidRPr="005225A2">
        <w:rPr>
          <w:rFonts w:ascii="Arial" w:hAnsi="Arial" w:cs="Arial"/>
          <w:sz w:val="24"/>
          <w:szCs w:val="22"/>
        </w:rPr>
        <w:t xml:space="preserve">CIONAL </w:t>
      </w:r>
      <w:r w:rsidR="00FD7785">
        <w:rPr>
          <w:rFonts w:ascii="Arial" w:hAnsi="Arial" w:cs="Arial"/>
          <w:sz w:val="24"/>
          <w:szCs w:val="22"/>
        </w:rPr>
        <w:t>D</w:t>
      </w:r>
      <w:r w:rsidR="004301AD" w:rsidRPr="005225A2">
        <w:rPr>
          <w:rFonts w:ascii="Arial" w:hAnsi="Arial" w:cs="Arial"/>
          <w:sz w:val="24"/>
          <w:szCs w:val="22"/>
        </w:rPr>
        <w:t xml:space="preserve">EL </w:t>
      </w:r>
      <w:r w:rsidR="002B7FA8">
        <w:rPr>
          <w:rFonts w:ascii="Arial" w:hAnsi="Arial" w:cs="Arial"/>
          <w:sz w:val="24"/>
          <w:szCs w:val="22"/>
        </w:rPr>
        <w:t>PROGRAMA</w:t>
      </w:r>
      <w:bookmarkEnd w:id="49"/>
      <w:bookmarkEnd w:id="50"/>
    </w:p>
    <w:p w14:paraId="0C191F88" w14:textId="77777777" w:rsidR="00F262AD" w:rsidRDefault="00F262AD" w:rsidP="00F262AD">
      <w:pPr>
        <w:pStyle w:val="ListParagraph"/>
        <w:tabs>
          <w:tab w:val="left" w:pos="851"/>
        </w:tabs>
        <w:spacing w:after="0" w:line="24" w:lineRule="auto"/>
        <w:ind w:left="0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ADB6CDD" w14:textId="77777777" w:rsidR="00375216" w:rsidRDefault="00375216" w:rsidP="00F262AD">
      <w:pPr>
        <w:pStyle w:val="ListParagraph"/>
        <w:tabs>
          <w:tab w:val="left" w:pos="851"/>
        </w:tabs>
        <w:spacing w:after="0" w:line="24" w:lineRule="auto"/>
        <w:ind w:left="0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0EEC2691" w14:textId="77777777" w:rsidR="00375216" w:rsidRPr="00375216" w:rsidRDefault="00375216" w:rsidP="00F262AD">
      <w:pPr>
        <w:pStyle w:val="ListParagraph"/>
        <w:tabs>
          <w:tab w:val="left" w:pos="851"/>
        </w:tabs>
        <w:spacing w:after="0" w:line="24" w:lineRule="auto"/>
        <w:ind w:left="0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149038B5" w14:textId="77777777" w:rsidR="00375216" w:rsidRDefault="00375216" w:rsidP="00F262AD">
      <w:pPr>
        <w:pStyle w:val="Default"/>
        <w:jc w:val="both"/>
        <w:rPr>
          <w:rFonts w:ascii="Arial" w:hAnsi="Arial" w:cs="Arial"/>
          <w:sz w:val="20"/>
          <w:szCs w:val="22"/>
        </w:rPr>
      </w:pPr>
    </w:p>
    <w:p w14:paraId="7BDC3BC9" w14:textId="77777777" w:rsidR="00F262AD" w:rsidRPr="00375216" w:rsidRDefault="00F262AD" w:rsidP="00F262AD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375216">
        <w:rPr>
          <w:rFonts w:ascii="Arial" w:hAnsi="Arial" w:cs="Arial"/>
          <w:sz w:val="20"/>
          <w:szCs w:val="22"/>
        </w:rPr>
        <w:t xml:space="preserve">El ciclo operacional del </w:t>
      </w:r>
      <w:r w:rsidR="002B7FA8">
        <w:rPr>
          <w:rFonts w:ascii="Arial" w:hAnsi="Arial" w:cs="Arial"/>
          <w:sz w:val="20"/>
          <w:szCs w:val="22"/>
        </w:rPr>
        <w:t>Programa</w:t>
      </w:r>
      <w:r w:rsidRPr="00375216">
        <w:rPr>
          <w:rFonts w:ascii="Arial" w:hAnsi="Arial" w:cs="Arial"/>
          <w:sz w:val="20"/>
          <w:szCs w:val="22"/>
        </w:rPr>
        <w:t xml:space="preserve"> está estructurado en </w:t>
      </w:r>
      <w:r w:rsidR="000F3326" w:rsidRPr="00375216">
        <w:rPr>
          <w:rFonts w:ascii="Arial" w:hAnsi="Arial" w:cs="Arial"/>
          <w:sz w:val="20"/>
          <w:szCs w:val="22"/>
        </w:rPr>
        <w:t>cinc</w:t>
      </w:r>
      <w:r w:rsidR="00544863" w:rsidRPr="00375216">
        <w:rPr>
          <w:rFonts w:ascii="Arial" w:hAnsi="Arial" w:cs="Arial"/>
          <w:sz w:val="20"/>
          <w:szCs w:val="22"/>
        </w:rPr>
        <w:t xml:space="preserve">o </w:t>
      </w:r>
      <w:r w:rsidRPr="00375216">
        <w:rPr>
          <w:rFonts w:ascii="Arial" w:hAnsi="Arial" w:cs="Arial"/>
          <w:sz w:val="20"/>
          <w:szCs w:val="22"/>
        </w:rPr>
        <w:t xml:space="preserve">fases con sus respectivos procesos: </w:t>
      </w:r>
    </w:p>
    <w:p w14:paraId="4AEE8B86" w14:textId="77777777" w:rsidR="00F262AD" w:rsidRPr="00375216" w:rsidRDefault="00F262AD" w:rsidP="00F262AD">
      <w:pPr>
        <w:pStyle w:val="Default"/>
        <w:jc w:val="both"/>
        <w:rPr>
          <w:rFonts w:ascii="Arial" w:hAnsi="Arial" w:cs="Arial"/>
          <w:sz w:val="20"/>
          <w:szCs w:val="22"/>
        </w:rPr>
      </w:pPr>
    </w:p>
    <w:p w14:paraId="3C6B771C" w14:textId="77777777" w:rsidR="00F262AD" w:rsidRPr="00375216" w:rsidRDefault="00EF07D7" w:rsidP="00F262AD">
      <w:pPr>
        <w:pStyle w:val="Default"/>
        <w:ind w:left="284"/>
        <w:jc w:val="both"/>
        <w:rPr>
          <w:rFonts w:ascii="Arial" w:hAnsi="Arial" w:cs="Arial"/>
          <w:sz w:val="20"/>
          <w:szCs w:val="22"/>
        </w:rPr>
      </w:pPr>
      <w:r w:rsidRPr="00375216">
        <w:rPr>
          <w:rFonts w:ascii="Arial" w:hAnsi="Arial" w:cs="Arial"/>
          <w:sz w:val="20"/>
          <w:szCs w:val="22"/>
        </w:rPr>
        <w:t>3.1 Programación</w:t>
      </w:r>
    </w:p>
    <w:p w14:paraId="01C54870" w14:textId="77777777" w:rsidR="00DD4A87" w:rsidRPr="00375216" w:rsidRDefault="00EF07D7" w:rsidP="00DD4A87">
      <w:pPr>
        <w:pStyle w:val="Default"/>
        <w:ind w:left="284"/>
        <w:jc w:val="both"/>
        <w:rPr>
          <w:rFonts w:ascii="Arial" w:hAnsi="Arial" w:cs="Arial"/>
          <w:sz w:val="20"/>
          <w:szCs w:val="22"/>
        </w:rPr>
      </w:pPr>
      <w:r w:rsidRPr="00375216">
        <w:rPr>
          <w:rFonts w:ascii="Arial" w:hAnsi="Arial" w:cs="Arial"/>
          <w:sz w:val="20"/>
          <w:szCs w:val="22"/>
        </w:rPr>
        <w:t>3.2 Registros</w:t>
      </w:r>
      <w:r w:rsidR="00377B23" w:rsidRPr="00375216">
        <w:rPr>
          <w:rFonts w:ascii="Arial" w:hAnsi="Arial" w:cs="Arial"/>
          <w:sz w:val="20"/>
          <w:szCs w:val="22"/>
        </w:rPr>
        <w:t xml:space="preserve"> en Fase de Inversión </w:t>
      </w:r>
    </w:p>
    <w:p w14:paraId="0878AD4F" w14:textId="77777777" w:rsidR="00377B23" w:rsidRPr="00375216" w:rsidRDefault="00EF07D7" w:rsidP="00377B23">
      <w:pPr>
        <w:pStyle w:val="Default"/>
        <w:ind w:left="284"/>
        <w:jc w:val="both"/>
        <w:rPr>
          <w:rFonts w:ascii="Arial" w:hAnsi="Arial" w:cs="Arial"/>
          <w:sz w:val="20"/>
          <w:szCs w:val="22"/>
        </w:rPr>
      </w:pPr>
      <w:r w:rsidRPr="00375216">
        <w:rPr>
          <w:rFonts w:ascii="Arial" w:hAnsi="Arial" w:cs="Arial"/>
          <w:sz w:val="20"/>
          <w:szCs w:val="22"/>
        </w:rPr>
        <w:t>3.3 Contratación</w:t>
      </w:r>
      <w:r w:rsidR="00377B23" w:rsidRPr="00375216">
        <w:rPr>
          <w:rFonts w:ascii="Arial" w:hAnsi="Arial" w:cs="Arial"/>
          <w:sz w:val="20"/>
          <w:szCs w:val="22"/>
        </w:rPr>
        <w:t xml:space="preserve"> </w:t>
      </w:r>
    </w:p>
    <w:p w14:paraId="189D6128" w14:textId="77777777" w:rsidR="00F262AD" w:rsidRPr="00375216" w:rsidRDefault="00EF07D7" w:rsidP="00F262AD">
      <w:pPr>
        <w:pStyle w:val="Default"/>
        <w:ind w:left="284"/>
        <w:jc w:val="both"/>
        <w:rPr>
          <w:rFonts w:ascii="Arial" w:hAnsi="Arial" w:cs="Arial"/>
          <w:sz w:val="20"/>
          <w:szCs w:val="22"/>
        </w:rPr>
      </w:pPr>
      <w:r w:rsidRPr="00375216">
        <w:rPr>
          <w:rFonts w:ascii="Arial" w:hAnsi="Arial" w:cs="Arial"/>
          <w:sz w:val="20"/>
          <w:szCs w:val="22"/>
        </w:rPr>
        <w:t>3.4 Ejecución</w:t>
      </w:r>
      <w:r w:rsidR="00F262AD" w:rsidRPr="00375216">
        <w:rPr>
          <w:rFonts w:ascii="Arial" w:hAnsi="Arial" w:cs="Arial"/>
          <w:sz w:val="20"/>
          <w:szCs w:val="22"/>
        </w:rPr>
        <w:t xml:space="preserve"> </w:t>
      </w:r>
    </w:p>
    <w:p w14:paraId="68A50181" w14:textId="77777777" w:rsidR="00F262AD" w:rsidRPr="00375216" w:rsidRDefault="00EF07D7" w:rsidP="00F262AD">
      <w:pPr>
        <w:pStyle w:val="Default"/>
        <w:ind w:left="284"/>
        <w:jc w:val="both"/>
        <w:rPr>
          <w:rFonts w:ascii="Arial" w:hAnsi="Arial" w:cs="Arial"/>
          <w:sz w:val="20"/>
          <w:szCs w:val="22"/>
        </w:rPr>
      </w:pPr>
      <w:r w:rsidRPr="00375216">
        <w:rPr>
          <w:rFonts w:ascii="Arial" w:hAnsi="Arial" w:cs="Arial"/>
          <w:sz w:val="20"/>
          <w:szCs w:val="22"/>
        </w:rPr>
        <w:t>3.5 Seguimiento</w:t>
      </w:r>
      <w:r w:rsidR="00F262AD" w:rsidRPr="00375216">
        <w:rPr>
          <w:rFonts w:ascii="Arial" w:hAnsi="Arial" w:cs="Arial"/>
          <w:sz w:val="20"/>
          <w:szCs w:val="22"/>
        </w:rPr>
        <w:t>, Evaluación</w:t>
      </w:r>
      <w:r w:rsidR="00544863" w:rsidRPr="00375216">
        <w:rPr>
          <w:rFonts w:ascii="Arial" w:hAnsi="Arial" w:cs="Arial"/>
          <w:sz w:val="20"/>
          <w:szCs w:val="22"/>
        </w:rPr>
        <w:t>,</w:t>
      </w:r>
      <w:r w:rsidR="00F262AD" w:rsidRPr="00375216">
        <w:rPr>
          <w:rFonts w:ascii="Arial" w:hAnsi="Arial" w:cs="Arial"/>
          <w:sz w:val="20"/>
          <w:szCs w:val="22"/>
        </w:rPr>
        <w:t xml:space="preserve"> Liquidación y Cierre</w:t>
      </w:r>
      <w:r w:rsidR="00544863" w:rsidRPr="00375216">
        <w:rPr>
          <w:rFonts w:ascii="Arial" w:hAnsi="Arial" w:cs="Arial"/>
          <w:sz w:val="20"/>
          <w:szCs w:val="22"/>
        </w:rPr>
        <w:t>.</w:t>
      </w:r>
      <w:r w:rsidR="00F262AD" w:rsidRPr="00375216">
        <w:rPr>
          <w:rFonts w:ascii="Arial" w:hAnsi="Arial" w:cs="Arial"/>
          <w:sz w:val="20"/>
          <w:szCs w:val="22"/>
        </w:rPr>
        <w:t xml:space="preserve"> </w:t>
      </w:r>
    </w:p>
    <w:p w14:paraId="1D37957C" w14:textId="77777777" w:rsidR="00447F29" w:rsidRPr="00375216" w:rsidRDefault="00447F29" w:rsidP="00F262AD">
      <w:pPr>
        <w:pStyle w:val="Default"/>
        <w:ind w:left="284"/>
        <w:jc w:val="both"/>
        <w:rPr>
          <w:rFonts w:ascii="Arial" w:hAnsi="Arial" w:cs="Arial"/>
          <w:sz w:val="20"/>
          <w:szCs w:val="22"/>
        </w:rPr>
      </w:pPr>
    </w:p>
    <w:p w14:paraId="786E6925" w14:textId="77777777" w:rsidR="00F262AD" w:rsidRPr="003A1F08" w:rsidRDefault="00D17E75" w:rsidP="000F6412">
      <w:pPr>
        <w:pStyle w:val="Default"/>
        <w:ind w:left="284"/>
        <w:jc w:val="center"/>
        <w:rPr>
          <w:rFonts w:ascii="Arial" w:hAnsi="Arial" w:cs="Arial"/>
          <w:sz w:val="22"/>
          <w:szCs w:val="22"/>
        </w:rPr>
      </w:pPr>
      <w:r w:rsidRPr="00D17E75">
        <w:rPr>
          <w:rFonts w:ascii="Arial" w:hAnsi="Arial" w:cs="Arial"/>
          <w:b/>
          <w:sz w:val="22"/>
          <w:szCs w:val="22"/>
        </w:rPr>
        <w:t xml:space="preserve">Gráfico </w:t>
      </w:r>
      <w:proofErr w:type="spellStart"/>
      <w:r w:rsidRPr="00D17E75">
        <w:rPr>
          <w:rFonts w:ascii="Arial" w:hAnsi="Arial" w:cs="Arial"/>
          <w:b/>
          <w:sz w:val="22"/>
          <w:szCs w:val="22"/>
        </w:rPr>
        <w:t>N°</w:t>
      </w:r>
      <w:proofErr w:type="spellEnd"/>
      <w:r w:rsidRPr="00D17E75">
        <w:rPr>
          <w:rFonts w:ascii="Arial" w:hAnsi="Arial" w:cs="Arial"/>
          <w:b/>
          <w:sz w:val="22"/>
          <w:szCs w:val="22"/>
        </w:rPr>
        <w:t xml:space="preserve"> </w:t>
      </w:r>
      <w:r w:rsidR="002B3C46">
        <w:rPr>
          <w:rFonts w:ascii="Arial" w:hAnsi="Arial" w:cs="Arial"/>
          <w:b/>
          <w:sz w:val="22"/>
          <w:szCs w:val="22"/>
        </w:rPr>
        <w:t>4</w:t>
      </w:r>
      <w:r w:rsidRPr="00D17E75">
        <w:rPr>
          <w:rFonts w:ascii="Arial" w:hAnsi="Arial" w:cs="Arial"/>
          <w:b/>
          <w:sz w:val="22"/>
          <w:szCs w:val="22"/>
        </w:rPr>
        <w:t xml:space="preserve">: </w:t>
      </w:r>
      <w:r w:rsidR="00F262AD">
        <w:rPr>
          <w:rFonts w:ascii="Arial" w:hAnsi="Arial" w:cs="Arial"/>
          <w:sz w:val="22"/>
          <w:szCs w:val="22"/>
        </w:rPr>
        <w:t xml:space="preserve">Ciclo Operacional del </w:t>
      </w:r>
      <w:r w:rsidR="002B7FA8">
        <w:rPr>
          <w:rFonts w:ascii="Arial" w:hAnsi="Arial" w:cs="Arial"/>
          <w:sz w:val="22"/>
          <w:szCs w:val="22"/>
        </w:rPr>
        <w:t>Programa</w:t>
      </w:r>
    </w:p>
    <w:p w14:paraId="3EC4AC00" w14:textId="77777777" w:rsidR="00D53DF1" w:rsidRPr="003A1F08" w:rsidRDefault="00F262AD" w:rsidP="00D53DF1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244F0D">
        <w:rPr>
          <w:rFonts w:ascii="Arial" w:hAnsi="Arial" w:cs="Arial"/>
          <w:sz w:val="22"/>
          <w:szCs w:val="22"/>
        </w:rPr>
        <w:t xml:space="preserve"> </w:t>
      </w:r>
      <w:r w:rsidR="00894FDF">
        <w:object w:dxaOrig="12390" w:dyaOrig="6510" w14:anchorId="0E8642DB">
          <v:shape id="_x0000_i1028" type="#_x0000_t75" style="width:467.7pt;height:246.75pt" o:ole="">
            <v:imagedata r:id="rId14" o:title=""/>
          </v:shape>
          <o:OLEObject Type="Embed" ProgID="Visio.Drawing.15" ShapeID="_x0000_i1028" DrawAspect="Content" ObjectID="_1636361321" r:id="rId15"/>
        </w:object>
      </w:r>
    </w:p>
    <w:p w14:paraId="1A0743B6" w14:textId="77777777" w:rsidR="00887DB4" w:rsidRDefault="00F262AD" w:rsidP="00AA08AA">
      <w:pPr>
        <w:pStyle w:val="Title"/>
        <w:numPr>
          <w:ilvl w:val="1"/>
          <w:numId w:val="14"/>
        </w:numPr>
        <w:spacing w:after="0" w:afterAutospacing="0"/>
        <w:outlineLvl w:val="1"/>
        <w:rPr>
          <w:rFonts w:cs="Arial"/>
          <w:b/>
          <w:sz w:val="22"/>
          <w:szCs w:val="22"/>
        </w:rPr>
      </w:pPr>
      <w:r w:rsidRPr="00C9384E">
        <w:rPr>
          <w:rFonts w:cs="Arial"/>
          <w:b/>
          <w:sz w:val="22"/>
          <w:szCs w:val="22"/>
        </w:rPr>
        <w:t xml:space="preserve"> </w:t>
      </w:r>
      <w:bookmarkStart w:id="52" w:name="_Toc16284592"/>
      <w:r w:rsidR="00B25768">
        <w:rPr>
          <w:rFonts w:cs="Arial"/>
          <w:b/>
          <w:sz w:val="22"/>
          <w:szCs w:val="22"/>
        </w:rPr>
        <w:t>Fase de</w:t>
      </w:r>
      <w:r w:rsidRPr="00AD02BD">
        <w:rPr>
          <w:rFonts w:cs="Arial"/>
          <w:b/>
          <w:sz w:val="22"/>
          <w:szCs w:val="22"/>
        </w:rPr>
        <w:t xml:space="preserve"> P</w:t>
      </w:r>
      <w:r w:rsidR="00B25768">
        <w:rPr>
          <w:rFonts w:cs="Arial"/>
          <w:b/>
          <w:sz w:val="22"/>
          <w:szCs w:val="22"/>
        </w:rPr>
        <w:t>rogramación:</w:t>
      </w:r>
      <w:bookmarkEnd w:id="52"/>
    </w:p>
    <w:p w14:paraId="23BD4A14" w14:textId="77777777" w:rsidR="00BC1D43" w:rsidRDefault="00BC1D43" w:rsidP="002C2056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567"/>
        <w:contextualSpacing/>
        <w:jc w:val="both"/>
        <w:rPr>
          <w:rFonts w:ascii="Arial" w:hAnsi="Arial" w:cs="Arial"/>
          <w:color w:val="000000" w:themeColor="text1"/>
        </w:rPr>
      </w:pPr>
      <w:bookmarkStart w:id="53" w:name="_Toc329310100"/>
      <w:bookmarkStart w:id="54" w:name="_Toc329310171"/>
      <w:bookmarkStart w:id="55" w:name="_Toc387075118"/>
    </w:p>
    <w:p w14:paraId="2FCF9425" w14:textId="77777777" w:rsidR="009121F2" w:rsidRDefault="002C2056" w:rsidP="002C2056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567"/>
        <w:contextualSpacing/>
        <w:jc w:val="both"/>
        <w:rPr>
          <w:rFonts w:ascii="Arial" w:hAnsi="Arial" w:cs="Arial"/>
          <w:color w:val="000000" w:themeColor="text1"/>
        </w:rPr>
      </w:pPr>
      <w:bookmarkStart w:id="56" w:name="_Toc15932288"/>
      <w:bookmarkStart w:id="57" w:name="_Toc15991676"/>
      <w:bookmarkStart w:id="58" w:name="_Toc16284593"/>
      <w:r>
        <w:rPr>
          <w:rFonts w:ascii="Arial" w:hAnsi="Arial" w:cs="Arial"/>
          <w:color w:val="000000" w:themeColor="text1"/>
        </w:rPr>
        <w:t xml:space="preserve">3.1.1 </w:t>
      </w:r>
      <w:r w:rsidR="009121F2" w:rsidRPr="009121F2">
        <w:rPr>
          <w:rFonts w:ascii="Arial" w:hAnsi="Arial" w:cs="Arial"/>
          <w:color w:val="000000" w:themeColor="text1"/>
        </w:rPr>
        <w:t xml:space="preserve">Plan de Ejecución </w:t>
      </w:r>
      <w:r w:rsidR="00567AB6">
        <w:rPr>
          <w:rFonts w:ascii="Arial" w:hAnsi="Arial" w:cs="Arial"/>
          <w:color w:val="000000" w:themeColor="text1"/>
        </w:rPr>
        <w:t>Plurianual</w:t>
      </w:r>
      <w:r w:rsidR="00567AB6" w:rsidRPr="009121F2">
        <w:rPr>
          <w:rFonts w:ascii="Arial" w:hAnsi="Arial" w:cs="Arial"/>
          <w:color w:val="000000" w:themeColor="text1"/>
        </w:rPr>
        <w:t xml:space="preserve"> </w:t>
      </w:r>
      <w:r w:rsidR="009121F2" w:rsidRPr="009121F2">
        <w:rPr>
          <w:rFonts w:ascii="Arial" w:hAnsi="Arial" w:cs="Arial"/>
          <w:color w:val="000000" w:themeColor="text1"/>
        </w:rPr>
        <w:t>(PEP)</w:t>
      </w:r>
      <w:bookmarkEnd w:id="53"/>
      <w:bookmarkEnd w:id="54"/>
      <w:bookmarkEnd w:id="55"/>
      <w:bookmarkEnd w:id="56"/>
      <w:bookmarkEnd w:id="57"/>
      <w:bookmarkEnd w:id="58"/>
    </w:p>
    <w:p w14:paraId="49730FBB" w14:textId="15A93701" w:rsidR="00307390" w:rsidRPr="00375216" w:rsidRDefault="009121F2" w:rsidP="0086768F">
      <w:pPr>
        <w:spacing w:after="0"/>
        <w:ind w:left="567"/>
        <w:jc w:val="both"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</w:rPr>
        <w:t xml:space="preserve">El (PEP) es el instrumento de gestión que provee una visión multianual y estratégica del </w:t>
      </w:r>
      <w:r w:rsidR="002B7FA8">
        <w:rPr>
          <w:rFonts w:ascii="Arial" w:hAnsi="Arial" w:cs="Arial"/>
          <w:sz w:val="20"/>
        </w:rPr>
        <w:t>Programa</w:t>
      </w:r>
      <w:r w:rsidRPr="00375216">
        <w:rPr>
          <w:rFonts w:ascii="Arial" w:hAnsi="Arial" w:cs="Arial"/>
          <w:sz w:val="20"/>
        </w:rPr>
        <w:t>, siendo el puente entre el diseño y la ejecución del mismo y sirve de base para la elaboración del POA del primer año y de los años subsiguientes.</w:t>
      </w:r>
      <w:r w:rsidR="0076720C" w:rsidRPr="00375216">
        <w:rPr>
          <w:rFonts w:ascii="Arial" w:hAnsi="Arial" w:cs="Arial"/>
          <w:sz w:val="20"/>
        </w:rPr>
        <w:t xml:space="preserve"> E</w:t>
      </w:r>
      <w:r w:rsidRPr="00375216">
        <w:rPr>
          <w:rFonts w:ascii="Arial" w:hAnsi="Arial" w:cs="Arial"/>
          <w:sz w:val="20"/>
          <w:lang w:val="es-ES_tradnl"/>
        </w:rPr>
        <w:t xml:space="preserve">s elaborado por </w:t>
      </w:r>
      <w:r w:rsidR="002B3C46">
        <w:rPr>
          <w:rFonts w:ascii="Arial" w:hAnsi="Arial" w:cs="Arial"/>
          <w:sz w:val="20"/>
          <w:lang w:val="es-ES_tradnl"/>
        </w:rPr>
        <w:t>el equipo técnico</w:t>
      </w:r>
      <w:r w:rsidR="000F6412" w:rsidRPr="00375216">
        <w:rPr>
          <w:rFonts w:ascii="Arial" w:hAnsi="Arial" w:cs="Arial"/>
          <w:sz w:val="20"/>
          <w:lang w:val="es-ES_tradnl"/>
        </w:rPr>
        <w:t xml:space="preserve"> </w:t>
      </w:r>
      <w:r w:rsidR="00720C16" w:rsidRPr="00375216">
        <w:rPr>
          <w:rFonts w:ascii="Arial" w:hAnsi="Arial" w:cs="Arial"/>
          <w:sz w:val="20"/>
          <w:lang w:val="es-ES_tradnl"/>
        </w:rPr>
        <w:t xml:space="preserve">y aprobado por la </w:t>
      </w:r>
      <w:r w:rsidR="002F51C3">
        <w:rPr>
          <w:rFonts w:ascii="Arial" w:hAnsi="Arial" w:cs="Arial"/>
          <w:sz w:val="20"/>
          <w:lang w:val="es-ES_tradnl"/>
        </w:rPr>
        <w:t>Coordinación</w:t>
      </w:r>
      <w:r w:rsidR="00A41372" w:rsidRPr="00375216">
        <w:rPr>
          <w:rFonts w:ascii="Arial" w:hAnsi="Arial" w:cs="Arial"/>
          <w:sz w:val="20"/>
          <w:lang w:val="es-ES_tradnl"/>
        </w:rPr>
        <w:t xml:space="preserve"> </w:t>
      </w:r>
      <w:r w:rsidR="00BA4660">
        <w:rPr>
          <w:rFonts w:ascii="Arial" w:hAnsi="Arial" w:cs="Arial"/>
          <w:sz w:val="20"/>
          <w:lang w:val="es-ES_tradnl"/>
        </w:rPr>
        <w:t>del EDG</w:t>
      </w:r>
      <w:r w:rsidR="002F51C3">
        <w:rPr>
          <w:rFonts w:ascii="Arial" w:hAnsi="Arial" w:cs="Arial"/>
          <w:sz w:val="20"/>
          <w:lang w:val="es-ES_tradnl"/>
        </w:rPr>
        <w:t>002</w:t>
      </w:r>
      <w:r w:rsidR="00EF07D7">
        <w:rPr>
          <w:rFonts w:ascii="Arial" w:hAnsi="Arial" w:cs="Arial"/>
          <w:sz w:val="20"/>
          <w:lang w:val="es-ES_tradnl"/>
        </w:rPr>
        <w:t>.</w:t>
      </w:r>
    </w:p>
    <w:p w14:paraId="5E2F4CED" w14:textId="77777777" w:rsidR="0076720C" w:rsidRPr="00375216" w:rsidRDefault="0076720C" w:rsidP="0086768F">
      <w:pPr>
        <w:spacing w:after="0"/>
        <w:ind w:left="567"/>
        <w:jc w:val="both"/>
        <w:rPr>
          <w:rFonts w:ascii="Arial" w:hAnsi="Arial" w:cs="Arial"/>
          <w:sz w:val="20"/>
          <w:lang w:val="es-ES_tradnl"/>
        </w:rPr>
      </w:pPr>
    </w:p>
    <w:p w14:paraId="57A711B0" w14:textId="77777777" w:rsidR="00DE5EB0" w:rsidRPr="00375216" w:rsidRDefault="00D53DF1">
      <w:pPr>
        <w:spacing w:after="0"/>
        <w:ind w:left="567"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  <w:lang w:val="es-ES_tradnl"/>
        </w:rPr>
        <w:t>Asimismo, el BID utiliza</w:t>
      </w:r>
      <w:r w:rsidR="009121F2" w:rsidRPr="00375216">
        <w:rPr>
          <w:rFonts w:ascii="Arial" w:hAnsi="Arial" w:cs="Arial"/>
          <w:sz w:val="20"/>
          <w:lang w:val="es-ES_tradnl"/>
        </w:rPr>
        <w:t xml:space="preserve"> el PEP como un instrumento para la supervisión de la ejecución del </w:t>
      </w:r>
      <w:r w:rsidR="002B7FA8">
        <w:rPr>
          <w:rFonts w:ascii="Arial" w:hAnsi="Arial" w:cs="Arial"/>
          <w:sz w:val="20"/>
          <w:lang w:val="es-ES_tradnl"/>
        </w:rPr>
        <w:t>Programa</w:t>
      </w:r>
      <w:r w:rsidR="009121F2" w:rsidRPr="00375216">
        <w:rPr>
          <w:rFonts w:ascii="Arial" w:hAnsi="Arial" w:cs="Arial"/>
          <w:sz w:val="20"/>
          <w:lang w:val="es-ES_tradnl"/>
        </w:rPr>
        <w:t xml:space="preserve">, el mismo </w:t>
      </w:r>
      <w:r w:rsidR="003C7702" w:rsidRPr="00375216">
        <w:rPr>
          <w:rFonts w:ascii="Arial" w:hAnsi="Arial" w:cs="Arial"/>
          <w:sz w:val="20"/>
          <w:lang w:val="es-ES_tradnl"/>
        </w:rPr>
        <w:t xml:space="preserve">que </w:t>
      </w:r>
      <w:r w:rsidR="009121F2" w:rsidRPr="00375216">
        <w:rPr>
          <w:rFonts w:ascii="Arial" w:hAnsi="Arial" w:cs="Arial"/>
          <w:sz w:val="20"/>
          <w:lang w:val="es-ES_tradnl"/>
        </w:rPr>
        <w:t>sirve como base para la preparación de los</w:t>
      </w:r>
      <w:r w:rsidR="00B25768" w:rsidRPr="00375216">
        <w:rPr>
          <w:rFonts w:ascii="Arial" w:hAnsi="Arial" w:cs="Arial"/>
          <w:sz w:val="20"/>
          <w:lang w:val="es-ES_tradnl"/>
        </w:rPr>
        <w:t xml:space="preserve"> POA</w:t>
      </w:r>
      <w:r w:rsidR="009121F2" w:rsidRPr="00375216">
        <w:rPr>
          <w:rFonts w:ascii="Arial" w:hAnsi="Arial" w:cs="Arial"/>
          <w:sz w:val="20"/>
          <w:lang w:val="es-ES_tradnl"/>
        </w:rPr>
        <w:t>, el</w:t>
      </w:r>
      <w:r w:rsidR="00B25768" w:rsidRPr="00375216">
        <w:rPr>
          <w:rFonts w:ascii="Arial" w:hAnsi="Arial" w:cs="Arial"/>
          <w:sz w:val="20"/>
          <w:lang w:val="es-ES_tradnl"/>
        </w:rPr>
        <w:t xml:space="preserve"> PA</w:t>
      </w:r>
      <w:r w:rsidR="009121F2" w:rsidRPr="00375216">
        <w:rPr>
          <w:rFonts w:ascii="Arial" w:hAnsi="Arial" w:cs="Arial"/>
          <w:sz w:val="20"/>
          <w:lang w:val="es-ES_tradnl"/>
        </w:rPr>
        <w:t xml:space="preserve">; la planificación financiera y el pronóstico de desembolsos. El PEP comprenderá la planificación completa del </w:t>
      </w:r>
      <w:r w:rsidR="002B7FA8">
        <w:rPr>
          <w:rFonts w:ascii="Arial" w:hAnsi="Arial" w:cs="Arial"/>
          <w:sz w:val="20"/>
          <w:lang w:val="es-ES_tradnl"/>
        </w:rPr>
        <w:t>Programa</w:t>
      </w:r>
      <w:r w:rsidR="009121F2" w:rsidRPr="00375216">
        <w:rPr>
          <w:rFonts w:ascii="Arial" w:hAnsi="Arial" w:cs="Arial"/>
          <w:sz w:val="20"/>
          <w:lang w:val="es-ES_tradnl"/>
        </w:rPr>
        <w:t>, con la ruta crítica de acciones que deberán ser ejecutadas para que los recursos del financiamiento sean desembolsados en los plazos previstos y se cumplan los objetivos de desarrollo.</w:t>
      </w:r>
    </w:p>
    <w:p w14:paraId="3F5E74DD" w14:textId="77777777" w:rsidR="009121F2" w:rsidRPr="00375216" w:rsidRDefault="009121F2" w:rsidP="0025066A">
      <w:pPr>
        <w:pStyle w:val="Normal3"/>
        <w:spacing w:after="0" w:line="23" w:lineRule="atLeast"/>
        <w:ind w:left="858"/>
        <w:contextualSpacing/>
        <w:rPr>
          <w:rFonts w:ascii="Arial" w:hAnsi="Arial" w:cs="Arial"/>
          <w:sz w:val="20"/>
          <w:lang w:val="es-ES_tradnl"/>
        </w:rPr>
      </w:pPr>
    </w:p>
    <w:p w14:paraId="25B619A7" w14:textId="18F5374C" w:rsidR="009121F2" w:rsidRPr="00375216" w:rsidRDefault="009121F2" w:rsidP="00D53DF1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El PEP deberá ser </w:t>
      </w:r>
      <w:r w:rsidR="001A7FC0" w:rsidRPr="00375216">
        <w:rPr>
          <w:rFonts w:ascii="Arial" w:hAnsi="Arial" w:cs="Arial"/>
          <w:sz w:val="20"/>
          <w:lang w:val="es-ES_tradnl"/>
        </w:rPr>
        <w:t xml:space="preserve">actualizado </w:t>
      </w:r>
      <w:r w:rsidR="00D53DF1" w:rsidRPr="00375216">
        <w:rPr>
          <w:rFonts w:ascii="Arial" w:hAnsi="Arial" w:cs="Arial"/>
          <w:sz w:val="20"/>
          <w:lang w:val="es-ES_tradnl"/>
        </w:rPr>
        <w:t xml:space="preserve">por </w:t>
      </w:r>
      <w:r w:rsidR="002B3C46">
        <w:rPr>
          <w:rFonts w:ascii="Arial" w:hAnsi="Arial" w:cs="Arial"/>
          <w:sz w:val="20"/>
          <w:lang w:val="es-ES_tradnl"/>
        </w:rPr>
        <w:t xml:space="preserve">el área técnica </w:t>
      </w:r>
      <w:r w:rsidR="00720C16" w:rsidRPr="00375216">
        <w:rPr>
          <w:rFonts w:ascii="Arial" w:hAnsi="Arial" w:cs="Arial"/>
          <w:sz w:val="20"/>
          <w:lang w:val="es-ES_tradnl"/>
        </w:rPr>
        <w:t xml:space="preserve">y aprobado por la </w:t>
      </w:r>
      <w:r w:rsidR="002F51C3">
        <w:rPr>
          <w:rFonts w:ascii="Arial" w:hAnsi="Arial" w:cs="Arial"/>
          <w:sz w:val="20"/>
          <w:lang w:val="es-ES_tradnl"/>
        </w:rPr>
        <w:t>Coordinación</w:t>
      </w:r>
      <w:r w:rsidR="002B3C46">
        <w:rPr>
          <w:rFonts w:ascii="Arial" w:hAnsi="Arial" w:cs="Arial"/>
          <w:sz w:val="20"/>
          <w:lang w:val="es-ES_tradnl"/>
        </w:rPr>
        <w:t xml:space="preserve"> </w:t>
      </w:r>
      <w:r w:rsidR="00BA4660">
        <w:rPr>
          <w:rFonts w:ascii="Arial" w:hAnsi="Arial" w:cs="Arial"/>
          <w:sz w:val="20"/>
          <w:lang w:val="es-ES_tradnl"/>
        </w:rPr>
        <w:t>del EDG</w:t>
      </w:r>
      <w:r w:rsidR="002F51C3">
        <w:rPr>
          <w:rFonts w:ascii="Arial" w:hAnsi="Arial" w:cs="Arial"/>
          <w:sz w:val="20"/>
          <w:lang w:val="es-ES_tradnl"/>
        </w:rPr>
        <w:t>002</w:t>
      </w:r>
      <w:r w:rsidR="00720C16" w:rsidRPr="00375216">
        <w:rPr>
          <w:rFonts w:ascii="Arial" w:hAnsi="Arial" w:cs="Arial"/>
          <w:sz w:val="20"/>
          <w:lang w:val="es-ES_tradnl"/>
        </w:rPr>
        <w:t xml:space="preserve">, quien solicitará la No Objeción del BID; </w:t>
      </w:r>
      <w:r w:rsidRPr="00375216">
        <w:rPr>
          <w:rFonts w:ascii="Arial" w:hAnsi="Arial" w:cs="Arial"/>
          <w:sz w:val="20"/>
          <w:lang w:val="es-ES_tradnl"/>
        </w:rPr>
        <w:t xml:space="preserve">en especial cuando se produzcan cambios significativos que impliquen o pudiesen implicar demoras en la ejecución del </w:t>
      </w:r>
      <w:r w:rsidR="002B7FA8">
        <w:rPr>
          <w:rFonts w:ascii="Arial" w:hAnsi="Arial" w:cs="Arial"/>
          <w:sz w:val="20"/>
          <w:lang w:val="es-ES_tradnl"/>
        </w:rPr>
        <w:t>Programa</w:t>
      </w:r>
      <w:r w:rsidRPr="00375216">
        <w:rPr>
          <w:rFonts w:ascii="Arial" w:hAnsi="Arial" w:cs="Arial"/>
          <w:sz w:val="20"/>
          <w:lang w:val="es-ES_tradnl"/>
        </w:rPr>
        <w:t>.</w:t>
      </w:r>
    </w:p>
    <w:p w14:paraId="5602ED90" w14:textId="77777777" w:rsidR="002B3C46" w:rsidRDefault="002B3C46" w:rsidP="002B3C46">
      <w:pPr>
        <w:pStyle w:val="Normal3"/>
        <w:spacing w:after="0" w:line="23" w:lineRule="atLeast"/>
        <w:ind w:left="0"/>
        <w:contextualSpacing/>
        <w:rPr>
          <w:rFonts w:ascii="Arial" w:hAnsi="Arial" w:cs="Arial"/>
          <w:sz w:val="20"/>
          <w:lang w:val="es-ES_tradnl"/>
        </w:rPr>
      </w:pPr>
    </w:p>
    <w:p w14:paraId="2DAD6700" w14:textId="77777777" w:rsidR="00411AE3" w:rsidRDefault="00411AE3" w:rsidP="002B3C46">
      <w:pPr>
        <w:pStyle w:val="Normal3"/>
        <w:spacing w:after="0" w:line="23" w:lineRule="atLeast"/>
        <w:ind w:left="0" w:firstLine="567"/>
        <w:contextualSpacing/>
        <w:rPr>
          <w:rFonts w:ascii="Arial" w:hAnsi="Arial" w:cs="Arial"/>
          <w:sz w:val="20"/>
          <w:lang w:val="es-ES_tradnl"/>
        </w:rPr>
      </w:pPr>
    </w:p>
    <w:p w14:paraId="0F142240" w14:textId="77777777" w:rsidR="00411AE3" w:rsidRDefault="00411AE3" w:rsidP="002B3C46">
      <w:pPr>
        <w:pStyle w:val="Normal3"/>
        <w:spacing w:after="0" w:line="23" w:lineRule="atLeast"/>
        <w:ind w:left="0" w:firstLine="567"/>
        <w:contextualSpacing/>
        <w:rPr>
          <w:rFonts w:ascii="Arial" w:hAnsi="Arial" w:cs="Arial"/>
          <w:sz w:val="20"/>
          <w:lang w:val="es-ES_tradnl"/>
        </w:rPr>
      </w:pPr>
    </w:p>
    <w:p w14:paraId="54C4329E" w14:textId="77777777" w:rsidR="00411AE3" w:rsidRDefault="00411AE3" w:rsidP="002B3C46">
      <w:pPr>
        <w:pStyle w:val="Normal3"/>
        <w:spacing w:after="0" w:line="23" w:lineRule="atLeast"/>
        <w:ind w:left="0" w:firstLine="567"/>
        <w:contextualSpacing/>
        <w:rPr>
          <w:rFonts w:ascii="Arial" w:hAnsi="Arial" w:cs="Arial"/>
          <w:sz w:val="20"/>
          <w:lang w:val="es-ES_tradnl"/>
        </w:rPr>
      </w:pPr>
    </w:p>
    <w:p w14:paraId="1B56E06F" w14:textId="77777777" w:rsidR="00411AE3" w:rsidRDefault="00411AE3" w:rsidP="002B3C46">
      <w:pPr>
        <w:pStyle w:val="Normal3"/>
        <w:spacing w:after="0" w:line="23" w:lineRule="atLeast"/>
        <w:ind w:left="0" w:firstLine="567"/>
        <w:contextualSpacing/>
        <w:rPr>
          <w:rFonts w:ascii="Arial" w:hAnsi="Arial" w:cs="Arial"/>
          <w:sz w:val="20"/>
          <w:lang w:val="es-ES_tradnl"/>
        </w:rPr>
      </w:pPr>
    </w:p>
    <w:p w14:paraId="49609B9B" w14:textId="05D6C52C" w:rsidR="00D305DB" w:rsidRPr="00375216" w:rsidRDefault="00D305DB" w:rsidP="002B3C46">
      <w:pPr>
        <w:pStyle w:val="Normal3"/>
        <w:spacing w:after="0" w:line="23" w:lineRule="atLeast"/>
        <w:ind w:left="0" w:firstLine="567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lastRenderedPageBreak/>
        <w:t>El PEP debe contener la siguiente información:</w:t>
      </w:r>
    </w:p>
    <w:p w14:paraId="1A3E7189" w14:textId="77777777" w:rsidR="00D305DB" w:rsidRPr="00375216" w:rsidRDefault="00D305DB" w:rsidP="0025066A">
      <w:pPr>
        <w:pStyle w:val="Normal3"/>
        <w:spacing w:after="0" w:line="23" w:lineRule="atLeast"/>
        <w:ind w:left="858"/>
        <w:contextualSpacing/>
        <w:rPr>
          <w:rFonts w:ascii="Arial" w:hAnsi="Arial" w:cs="Arial"/>
          <w:sz w:val="20"/>
          <w:lang w:val="es-ES_tradnl"/>
        </w:rPr>
      </w:pPr>
    </w:p>
    <w:p w14:paraId="689661A5" w14:textId="77777777" w:rsidR="00887DB4" w:rsidRPr="00375216" w:rsidRDefault="00D305DB" w:rsidP="00C82565">
      <w:pPr>
        <w:pStyle w:val="Normal3"/>
        <w:numPr>
          <w:ilvl w:val="0"/>
          <w:numId w:val="8"/>
        </w:numPr>
        <w:spacing w:after="0" w:line="23" w:lineRule="atLeast"/>
        <w:ind w:left="1560" w:hanging="284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Nombre del componente y </w:t>
      </w:r>
      <w:proofErr w:type="gramStart"/>
      <w:r w:rsidRPr="00375216">
        <w:rPr>
          <w:rFonts w:ascii="Arial" w:hAnsi="Arial" w:cs="Arial"/>
          <w:sz w:val="20"/>
          <w:lang w:val="es-ES_tradnl"/>
        </w:rPr>
        <w:t>sub componente</w:t>
      </w:r>
      <w:proofErr w:type="gramEnd"/>
      <w:r w:rsidRPr="00375216">
        <w:rPr>
          <w:rFonts w:ascii="Arial" w:hAnsi="Arial" w:cs="Arial"/>
          <w:sz w:val="20"/>
          <w:lang w:val="es-ES_tradnl"/>
        </w:rPr>
        <w:t>.</w:t>
      </w:r>
    </w:p>
    <w:p w14:paraId="6C2CDEB7" w14:textId="77777777" w:rsidR="00887DB4" w:rsidRPr="00375216" w:rsidRDefault="00D305DB" w:rsidP="00C82565">
      <w:pPr>
        <w:pStyle w:val="Normal3"/>
        <w:numPr>
          <w:ilvl w:val="0"/>
          <w:numId w:val="8"/>
        </w:numPr>
        <w:spacing w:after="0" w:line="23" w:lineRule="atLeast"/>
        <w:ind w:left="1560" w:hanging="284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Nombre de la Tarea</w:t>
      </w:r>
      <w:r w:rsidR="00D53DF1" w:rsidRPr="00375216">
        <w:rPr>
          <w:rFonts w:ascii="Arial" w:hAnsi="Arial" w:cs="Arial"/>
          <w:sz w:val="20"/>
          <w:lang w:val="es-ES_tradnl"/>
        </w:rPr>
        <w:t xml:space="preserve"> o actividad.</w:t>
      </w:r>
    </w:p>
    <w:p w14:paraId="10690247" w14:textId="77777777" w:rsidR="00887DB4" w:rsidRPr="00375216" w:rsidRDefault="00D305DB" w:rsidP="00C82565">
      <w:pPr>
        <w:pStyle w:val="Normal3"/>
        <w:numPr>
          <w:ilvl w:val="0"/>
          <w:numId w:val="8"/>
        </w:numPr>
        <w:spacing w:after="0" w:line="23" w:lineRule="atLeast"/>
        <w:ind w:left="1560" w:hanging="284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Duración de la tarea</w:t>
      </w:r>
      <w:r w:rsidR="00D53DF1" w:rsidRPr="00375216">
        <w:rPr>
          <w:rFonts w:ascii="Arial" w:hAnsi="Arial" w:cs="Arial"/>
          <w:sz w:val="20"/>
          <w:lang w:val="es-ES_tradnl"/>
        </w:rPr>
        <w:t xml:space="preserve"> o actividad.</w:t>
      </w:r>
    </w:p>
    <w:p w14:paraId="27891192" w14:textId="77777777" w:rsidR="002D5351" w:rsidRPr="00375216" w:rsidRDefault="00D305DB" w:rsidP="00C82565">
      <w:pPr>
        <w:pStyle w:val="Normal3"/>
        <w:numPr>
          <w:ilvl w:val="0"/>
          <w:numId w:val="8"/>
        </w:numPr>
        <w:spacing w:after="0" w:line="23" w:lineRule="atLeast"/>
        <w:ind w:left="1560" w:hanging="284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Fecha de inic</w:t>
      </w:r>
      <w:r w:rsidR="002D5351" w:rsidRPr="00375216">
        <w:rPr>
          <w:rFonts w:ascii="Arial" w:hAnsi="Arial" w:cs="Arial"/>
          <w:sz w:val="20"/>
          <w:lang w:val="es-ES_tradnl"/>
        </w:rPr>
        <w:t>io y fecha de fin de la tarea</w:t>
      </w:r>
    </w:p>
    <w:p w14:paraId="5073D538" w14:textId="77777777" w:rsidR="00887DB4" w:rsidRPr="00375216" w:rsidRDefault="002D5351" w:rsidP="00C82565">
      <w:pPr>
        <w:pStyle w:val="Normal3"/>
        <w:numPr>
          <w:ilvl w:val="0"/>
          <w:numId w:val="8"/>
        </w:numPr>
        <w:spacing w:after="0" w:line="23" w:lineRule="atLeast"/>
        <w:ind w:left="1560" w:hanging="284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C</w:t>
      </w:r>
      <w:r w:rsidR="00EB7F44" w:rsidRPr="00375216">
        <w:rPr>
          <w:rFonts w:ascii="Arial" w:hAnsi="Arial" w:cs="Arial"/>
          <w:sz w:val="20"/>
          <w:lang w:val="es-ES_tradnl"/>
        </w:rPr>
        <w:t>ronograma de ejecución</w:t>
      </w:r>
      <w:r w:rsidRPr="00375216">
        <w:rPr>
          <w:rFonts w:ascii="Arial" w:hAnsi="Arial" w:cs="Arial"/>
          <w:sz w:val="20"/>
          <w:lang w:val="es-ES_tradnl"/>
        </w:rPr>
        <w:t xml:space="preserve"> y programación de pago</w:t>
      </w:r>
      <w:r w:rsidR="00D305DB" w:rsidRPr="00375216">
        <w:rPr>
          <w:rFonts w:ascii="Arial" w:hAnsi="Arial" w:cs="Arial"/>
          <w:sz w:val="20"/>
          <w:lang w:val="es-ES_tradnl"/>
        </w:rPr>
        <w:t>.</w:t>
      </w:r>
    </w:p>
    <w:p w14:paraId="06C7B49E" w14:textId="77777777" w:rsidR="00D305DB" w:rsidRPr="00375216" w:rsidRDefault="00D305DB" w:rsidP="00307390">
      <w:pPr>
        <w:pStyle w:val="Normal3"/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</w:p>
    <w:p w14:paraId="3668BAC3" w14:textId="77777777" w:rsidR="009121F2" w:rsidRPr="0025066A" w:rsidRDefault="002C2056" w:rsidP="002C2056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567"/>
        <w:contextualSpacing/>
        <w:jc w:val="both"/>
        <w:rPr>
          <w:rFonts w:ascii="Arial" w:hAnsi="Arial" w:cs="Arial"/>
          <w:color w:val="000000" w:themeColor="text1"/>
        </w:rPr>
      </w:pPr>
      <w:bookmarkStart w:id="59" w:name="_Toc329310101"/>
      <w:bookmarkStart w:id="60" w:name="_Toc329310172"/>
      <w:bookmarkStart w:id="61" w:name="_Toc387075119"/>
      <w:bookmarkStart w:id="62" w:name="_Toc15932289"/>
      <w:bookmarkStart w:id="63" w:name="_Toc15991677"/>
      <w:bookmarkStart w:id="64" w:name="_Toc16284594"/>
      <w:r>
        <w:rPr>
          <w:rFonts w:ascii="Arial" w:hAnsi="Arial" w:cs="Arial"/>
          <w:color w:val="000000" w:themeColor="text1"/>
        </w:rPr>
        <w:t xml:space="preserve">3.1.2 </w:t>
      </w:r>
      <w:r w:rsidR="009121F2" w:rsidRPr="0025066A">
        <w:rPr>
          <w:rFonts w:ascii="Arial" w:hAnsi="Arial" w:cs="Arial"/>
          <w:color w:val="000000" w:themeColor="text1"/>
        </w:rPr>
        <w:t>Plan Operativo Anual (POA).</w:t>
      </w:r>
      <w:bookmarkEnd w:id="59"/>
      <w:bookmarkEnd w:id="60"/>
      <w:bookmarkEnd w:id="61"/>
      <w:bookmarkEnd w:id="62"/>
      <w:bookmarkEnd w:id="63"/>
      <w:bookmarkEnd w:id="64"/>
    </w:p>
    <w:p w14:paraId="6AD18881" w14:textId="77777777" w:rsidR="009121F2" w:rsidRPr="00375216" w:rsidRDefault="009121F2" w:rsidP="00A51C87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El POA constituye uno de los instrumentos</w:t>
      </w:r>
      <w:r w:rsidR="00A51C87" w:rsidRPr="00375216">
        <w:rPr>
          <w:rFonts w:ascii="Arial" w:hAnsi="Arial" w:cs="Arial"/>
          <w:sz w:val="20"/>
          <w:lang w:val="es-ES_tradnl"/>
        </w:rPr>
        <w:t xml:space="preserve"> claves de gestión del </w:t>
      </w:r>
      <w:r w:rsidR="002B7FA8">
        <w:rPr>
          <w:rFonts w:ascii="Arial" w:hAnsi="Arial" w:cs="Arial"/>
          <w:sz w:val="20"/>
          <w:lang w:val="es-ES_tradnl"/>
        </w:rPr>
        <w:t>Programa</w:t>
      </w:r>
      <w:r w:rsidR="00A51C87" w:rsidRPr="00375216">
        <w:rPr>
          <w:rFonts w:ascii="Arial" w:hAnsi="Arial" w:cs="Arial"/>
          <w:sz w:val="20"/>
          <w:lang w:val="es-ES_tradnl"/>
        </w:rPr>
        <w:t xml:space="preserve"> y </w:t>
      </w:r>
      <w:r w:rsidRPr="00375216">
        <w:rPr>
          <w:rFonts w:ascii="Arial" w:hAnsi="Arial" w:cs="Arial"/>
          <w:sz w:val="20"/>
          <w:lang w:val="es-ES_tradnl"/>
        </w:rPr>
        <w:t>deberá contener lo siguiente:</w:t>
      </w:r>
    </w:p>
    <w:p w14:paraId="036EA983" w14:textId="77777777" w:rsidR="00A51C87" w:rsidRPr="00375216" w:rsidRDefault="00A51C87" w:rsidP="00A51C87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</w:p>
    <w:p w14:paraId="4769C8C0" w14:textId="77777777" w:rsidR="00887DB4" w:rsidRPr="00375216" w:rsidRDefault="00B36530" w:rsidP="00AA08AA">
      <w:pPr>
        <w:pStyle w:val="Normal3"/>
        <w:numPr>
          <w:ilvl w:val="0"/>
          <w:numId w:val="16"/>
        </w:numPr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Nombre del componente y </w:t>
      </w:r>
      <w:proofErr w:type="gramStart"/>
      <w:r w:rsidRPr="00375216">
        <w:rPr>
          <w:rFonts w:ascii="Arial" w:hAnsi="Arial" w:cs="Arial"/>
          <w:sz w:val="20"/>
          <w:lang w:val="es-ES_tradnl"/>
        </w:rPr>
        <w:t>sub componente</w:t>
      </w:r>
      <w:proofErr w:type="gramEnd"/>
    </w:p>
    <w:p w14:paraId="40475680" w14:textId="77777777" w:rsidR="00887DB4" w:rsidRPr="00375216" w:rsidRDefault="00B36530" w:rsidP="00AA08AA">
      <w:pPr>
        <w:pStyle w:val="Normal3"/>
        <w:numPr>
          <w:ilvl w:val="0"/>
          <w:numId w:val="16"/>
        </w:numPr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Indicadores y medios de verificación</w:t>
      </w:r>
    </w:p>
    <w:p w14:paraId="0BCE43CC" w14:textId="77777777" w:rsidR="001A377D" w:rsidRPr="00375216" w:rsidRDefault="001A377D" w:rsidP="00AA08AA">
      <w:pPr>
        <w:pStyle w:val="Normal3"/>
        <w:numPr>
          <w:ilvl w:val="0"/>
          <w:numId w:val="16"/>
        </w:numPr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Código de Actividad</w:t>
      </w:r>
    </w:p>
    <w:p w14:paraId="030B8DAE" w14:textId="77777777" w:rsidR="00887DB4" w:rsidRPr="00375216" w:rsidRDefault="00B36530" w:rsidP="00AA08AA">
      <w:pPr>
        <w:pStyle w:val="Normal3"/>
        <w:numPr>
          <w:ilvl w:val="0"/>
          <w:numId w:val="16"/>
        </w:numPr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Actividades</w:t>
      </w:r>
    </w:p>
    <w:p w14:paraId="6D46F1E6" w14:textId="77777777" w:rsidR="00887DB4" w:rsidRPr="00375216" w:rsidRDefault="00B36530" w:rsidP="00AA08AA">
      <w:pPr>
        <w:pStyle w:val="Normal3"/>
        <w:numPr>
          <w:ilvl w:val="0"/>
          <w:numId w:val="16"/>
        </w:numPr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Bien o servicio requerido</w:t>
      </w:r>
    </w:p>
    <w:p w14:paraId="55BAEC68" w14:textId="77777777" w:rsidR="001A377D" w:rsidRPr="00375216" w:rsidRDefault="001A377D" w:rsidP="00AA08AA">
      <w:pPr>
        <w:pStyle w:val="Normal3"/>
        <w:numPr>
          <w:ilvl w:val="0"/>
          <w:numId w:val="16"/>
        </w:numPr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Tipo de proceso de selección</w:t>
      </w:r>
    </w:p>
    <w:p w14:paraId="7F0C3941" w14:textId="77777777" w:rsidR="001A377D" w:rsidRPr="00375216" w:rsidRDefault="001A377D" w:rsidP="00AA08AA">
      <w:pPr>
        <w:pStyle w:val="Normal3"/>
        <w:numPr>
          <w:ilvl w:val="0"/>
          <w:numId w:val="16"/>
        </w:numPr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Tiempo de duración de las actividades</w:t>
      </w:r>
    </w:p>
    <w:p w14:paraId="12FD6CE6" w14:textId="77777777" w:rsidR="001A377D" w:rsidRPr="00375216" w:rsidRDefault="001A377D" w:rsidP="00AA08AA">
      <w:pPr>
        <w:pStyle w:val="Normal3"/>
        <w:numPr>
          <w:ilvl w:val="0"/>
          <w:numId w:val="16"/>
        </w:numPr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Fecha estimada de inicio y fin de las actividades</w:t>
      </w:r>
    </w:p>
    <w:p w14:paraId="1F4777D1" w14:textId="77777777" w:rsidR="00887DB4" w:rsidRPr="00375216" w:rsidRDefault="00B36530" w:rsidP="00AA08AA">
      <w:pPr>
        <w:pStyle w:val="Normal3"/>
        <w:numPr>
          <w:ilvl w:val="0"/>
          <w:numId w:val="16"/>
        </w:numPr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  <w:proofErr w:type="gramStart"/>
      <w:r w:rsidRPr="00375216">
        <w:rPr>
          <w:rFonts w:ascii="Arial" w:hAnsi="Arial" w:cs="Arial"/>
          <w:sz w:val="20"/>
          <w:lang w:val="es-ES_tradnl"/>
        </w:rPr>
        <w:t>Monto a pagar</w:t>
      </w:r>
      <w:proofErr w:type="gramEnd"/>
      <w:r w:rsidRPr="00375216">
        <w:rPr>
          <w:rFonts w:ascii="Arial" w:hAnsi="Arial" w:cs="Arial"/>
          <w:sz w:val="20"/>
          <w:lang w:val="es-ES_tradnl"/>
        </w:rPr>
        <w:t xml:space="preserve"> en </w:t>
      </w:r>
      <w:r w:rsidR="001A377D" w:rsidRPr="00375216">
        <w:rPr>
          <w:rFonts w:ascii="Arial" w:hAnsi="Arial" w:cs="Arial"/>
          <w:sz w:val="20"/>
          <w:lang w:val="es-ES_tradnl"/>
        </w:rPr>
        <w:t xml:space="preserve">los primeros 18 meses del </w:t>
      </w:r>
      <w:r w:rsidR="002B7FA8">
        <w:rPr>
          <w:rFonts w:ascii="Arial" w:hAnsi="Arial" w:cs="Arial"/>
          <w:sz w:val="20"/>
          <w:lang w:val="es-ES_tradnl"/>
        </w:rPr>
        <w:t>Programa</w:t>
      </w:r>
      <w:r w:rsidR="001A377D" w:rsidRPr="00375216">
        <w:rPr>
          <w:rFonts w:ascii="Arial" w:hAnsi="Arial" w:cs="Arial"/>
          <w:sz w:val="20"/>
          <w:lang w:val="es-ES_tradnl"/>
        </w:rPr>
        <w:t xml:space="preserve"> </w:t>
      </w:r>
      <w:r w:rsidR="000F6412" w:rsidRPr="00375216">
        <w:rPr>
          <w:rFonts w:ascii="Arial" w:hAnsi="Arial" w:cs="Arial"/>
          <w:sz w:val="20"/>
          <w:lang w:val="es-ES_tradnl"/>
        </w:rPr>
        <w:t>BID</w:t>
      </w:r>
    </w:p>
    <w:p w14:paraId="13CC529D" w14:textId="77777777" w:rsidR="00887DB4" w:rsidRPr="00375216" w:rsidRDefault="00B36530" w:rsidP="00AA08AA">
      <w:pPr>
        <w:pStyle w:val="Normal3"/>
        <w:numPr>
          <w:ilvl w:val="0"/>
          <w:numId w:val="16"/>
        </w:numPr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Monto total</w:t>
      </w:r>
    </w:p>
    <w:p w14:paraId="208A01AA" w14:textId="77777777" w:rsidR="00887DB4" w:rsidRPr="00375216" w:rsidRDefault="00B36530" w:rsidP="00AA08AA">
      <w:pPr>
        <w:pStyle w:val="Normal3"/>
        <w:numPr>
          <w:ilvl w:val="0"/>
          <w:numId w:val="16"/>
        </w:numPr>
        <w:spacing w:after="0" w:line="23" w:lineRule="atLeast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Situación</w:t>
      </w:r>
    </w:p>
    <w:p w14:paraId="696EAC2D" w14:textId="77777777" w:rsidR="00400FB2" w:rsidRPr="00375216" w:rsidRDefault="00400FB2" w:rsidP="00400FB2">
      <w:pPr>
        <w:pStyle w:val="Normal3"/>
        <w:spacing w:after="0" w:line="23" w:lineRule="atLeast"/>
        <w:ind w:left="1784"/>
        <w:contextualSpacing/>
        <w:rPr>
          <w:rFonts w:ascii="Arial" w:hAnsi="Arial" w:cs="Arial"/>
          <w:sz w:val="20"/>
          <w:lang w:val="es-ES_tradnl"/>
        </w:rPr>
      </w:pPr>
    </w:p>
    <w:p w14:paraId="55D016E2" w14:textId="77777777" w:rsidR="009121F2" w:rsidRPr="00375216" w:rsidRDefault="009121F2" w:rsidP="004D410C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El POA aprobado con la </w:t>
      </w:r>
      <w:r w:rsidR="00BB11CA">
        <w:rPr>
          <w:rFonts w:ascii="Arial" w:hAnsi="Arial" w:cs="Arial"/>
          <w:sz w:val="20"/>
          <w:lang w:val="es-ES_tradnl"/>
        </w:rPr>
        <w:t>no o</w:t>
      </w:r>
      <w:r w:rsidRPr="00375216">
        <w:rPr>
          <w:rFonts w:ascii="Arial" w:hAnsi="Arial" w:cs="Arial"/>
          <w:sz w:val="20"/>
          <w:lang w:val="es-ES_tradnl"/>
        </w:rPr>
        <w:t>bjeción del Banco, será distribuido a los involucrados para su ejecución y s</w:t>
      </w:r>
      <w:r w:rsidR="00307390" w:rsidRPr="00375216">
        <w:rPr>
          <w:rFonts w:ascii="Arial" w:hAnsi="Arial" w:cs="Arial"/>
          <w:sz w:val="20"/>
          <w:lang w:val="es-ES_tradnl"/>
        </w:rPr>
        <w:t>eguimiento</w:t>
      </w:r>
      <w:r w:rsidRPr="00375216">
        <w:rPr>
          <w:rFonts w:ascii="Arial" w:hAnsi="Arial" w:cs="Arial"/>
          <w:sz w:val="20"/>
          <w:lang w:val="es-ES_tradnl"/>
        </w:rPr>
        <w:t>.</w:t>
      </w:r>
    </w:p>
    <w:p w14:paraId="2B0AC275" w14:textId="77777777" w:rsidR="009121F2" w:rsidRPr="00375216" w:rsidRDefault="009121F2" w:rsidP="004D410C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</w:p>
    <w:p w14:paraId="56D2BAA0" w14:textId="77777777" w:rsidR="009121F2" w:rsidRPr="00375216" w:rsidRDefault="00EF07D7" w:rsidP="004D410C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El Especialista de Monitoreo y Evaluación</w:t>
      </w:r>
      <w:r w:rsidR="006E3396" w:rsidRPr="00375216">
        <w:rPr>
          <w:rFonts w:ascii="Arial" w:hAnsi="Arial" w:cs="Arial"/>
          <w:sz w:val="20"/>
          <w:lang w:val="es-ES_tradnl"/>
        </w:rPr>
        <w:t xml:space="preserve"> </w:t>
      </w:r>
      <w:r w:rsidR="009121F2" w:rsidRPr="00375216">
        <w:rPr>
          <w:rFonts w:ascii="Arial" w:hAnsi="Arial" w:cs="Arial"/>
          <w:sz w:val="20"/>
          <w:lang w:val="es-ES_tradnl"/>
        </w:rPr>
        <w:t>se encargará</w:t>
      </w:r>
      <w:r w:rsidR="00A41372" w:rsidRPr="00375216">
        <w:rPr>
          <w:rFonts w:ascii="Arial" w:hAnsi="Arial" w:cs="Arial"/>
          <w:sz w:val="20"/>
          <w:lang w:val="es-ES_tradnl"/>
        </w:rPr>
        <w:t xml:space="preserve"> de elaborar y </w:t>
      </w:r>
      <w:r w:rsidR="009121F2" w:rsidRPr="00375216">
        <w:rPr>
          <w:rFonts w:ascii="Arial" w:hAnsi="Arial" w:cs="Arial"/>
          <w:sz w:val="20"/>
          <w:lang w:val="es-ES_tradnl"/>
        </w:rPr>
        <w:t xml:space="preserve">realizar el seguimiento y control de los indicadores de monitoreo </w:t>
      </w:r>
      <w:r w:rsidR="00885A6C" w:rsidRPr="00375216">
        <w:rPr>
          <w:rFonts w:ascii="Arial" w:hAnsi="Arial" w:cs="Arial"/>
          <w:sz w:val="20"/>
          <w:lang w:val="es-ES_tradnl"/>
        </w:rPr>
        <w:t xml:space="preserve">y </w:t>
      </w:r>
      <w:r w:rsidR="009121F2" w:rsidRPr="00375216">
        <w:rPr>
          <w:rFonts w:ascii="Arial" w:hAnsi="Arial" w:cs="Arial"/>
          <w:sz w:val="20"/>
          <w:lang w:val="es-ES_tradnl"/>
        </w:rPr>
        <w:t xml:space="preserve">la preparación de los reportes semestrales sobre el avance de </w:t>
      </w:r>
      <w:r w:rsidR="00D53DF1" w:rsidRPr="00375216">
        <w:rPr>
          <w:rFonts w:ascii="Arial" w:hAnsi="Arial" w:cs="Arial"/>
          <w:sz w:val="20"/>
          <w:lang w:val="es-ES_tradnl"/>
        </w:rPr>
        <w:t>dichos indicadores, de acuerdo a lo solicitado por el BID en el PMR.</w:t>
      </w:r>
    </w:p>
    <w:p w14:paraId="6D4E67D6" w14:textId="77777777" w:rsidR="009121F2" w:rsidRPr="00375216" w:rsidRDefault="009121F2" w:rsidP="004D410C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</w:p>
    <w:p w14:paraId="73F2632B" w14:textId="315DA7AA" w:rsidR="009121F2" w:rsidRPr="00375216" w:rsidRDefault="009121F2" w:rsidP="004D410C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Si </w:t>
      </w:r>
      <w:r w:rsidR="00520445" w:rsidRPr="00375216">
        <w:rPr>
          <w:rFonts w:ascii="Arial" w:hAnsi="Arial" w:cs="Arial"/>
          <w:sz w:val="20"/>
          <w:lang w:val="es-ES_tradnl"/>
        </w:rPr>
        <w:t xml:space="preserve">fuera </w:t>
      </w:r>
      <w:r w:rsidRPr="00375216">
        <w:rPr>
          <w:rFonts w:ascii="Arial" w:hAnsi="Arial" w:cs="Arial"/>
          <w:sz w:val="20"/>
          <w:lang w:val="es-ES_tradnl"/>
        </w:rPr>
        <w:t xml:space="preserve">necesario que algunas actividades deban ser modificadas para el mejor cumplimiento de los objetivos del </w:t>
      </w:r>
      <w:r w:rsidR="002B7FA8">
        <w:rPr>
          <w:rFonts w:ascii="Arial" w:hAnsi="Arial" w:cs="Arial"/>
          <w:sz w:val="20"/>
          <w:lang w:val="es-ES_tradnl"/>
        </w:rPr>
        <w:t>Programa</w:t>
      </w:r>
      <w:r w:rsidRPr="00375216">
        <w:rPr>
          <w:rFonts w:ascii="Arial" w:hAnsi="Arial" w:cs="Arial"/>
          <w:sz w:val="20"/>
          <w:lang w:val="es-ES_tradnl"/>
        </w:rPr>
        <w:t xml:space="preserve">, o si </w:t>
      </w:r>
      <w:r w:rsidR="00520445" w:rsidRPr="00375216">
        <w:rPr>
          <w:rFonts w:ascii="Arial" w:hAnsi="Arial" w:cs="Arial"/>
          <w:sz w:val="20"/>
          <w:lang w:val="es-ES_tradnl"/>
        </w:rPr>
        <w:t xml:space="preserve">se </w:t>
      </w:r>
      <w:r w:rsidRPr="00375216">
        <w:rPr>
          <w:rFonts w:ascii="Arial" w:hAnsi="Arial" w:cs="Arial"/>
          <w:sz w:val="20"/>
          <w:lang w:val="es-ES_tradnl"/>
        </w:rPr>
        <w:t xml:space="preserve">determina que alguna actividad puede ser eliminada o reducida sin afectar los resultados esperados del </w:t>
      </w:r>
      <w:r w:rsidR="002B7FA8">
        <w:rPr>
          <w:rFonts w:ascii="Arial" w:hAnsi="Arial" w:cs="Arial"/>
          <w:sz w:val="20"/>
          <w:lang w:val="es-ES_tradnl"/>
        </w:rPr>
        <w:t>Programa</w:t>
      </w:r>
      <w:r w:rsidRPr="00375216">
        <w:rPr>
          <w:rFonts w:ascii="Arial" w:hAnsi="Arial" w:cs="Arial"/>
          <w:sz w:val="20"/>
          <w:lang w:val="es-ES_tradnl"/>
        </w:rPr>
        <w:t xml:space="preserve">, </w:t>
      </w:r>
      <w:r w:rsidR="002B3C46">
        <w:rPr>
          <w:rFonts w:ascii="Arial" w:hAnsi="Arial" w:cs="Arial"/>
          <w:sz w:val="20"/>
          <w:lang w:val="es-ES_tradnl"/>
        </w:rPr>
        <w:t>el equipo técnico</w:t>
      </w:r>
      <w:r w:rsidR="006E3396" w:rsidRPr="00375216">
        <w:rPr>
          <w:rFonts w:ascii="Arial" w:hAnsi="Arial" w:cs="Arial"/>
          <w:sz w:val="20"/>
          <w:lang w:val="es-ES_tradnl"/>
        </w:rPr>
        <w:t xml:space="preserve"> propondrá los ajustes necesarios al POA y se tramitará, a través de la </w:t>
      </w:r>
      <w:r w:rsidR="002F51C3">
        <w:rPr>
          <w:rFonts w:ascii="Arial" w:hAnsi="Arial" w:cs="Arial"/>
          <w:sz w:val="20"/>
          <w:lang w:val="es-ES_tradnl"/>
        </w:rPr>
        <w:t>Coordinación</w:t>
      </w:r>
      <w:r w:rsidR="002B3C46">
        <w:rPr>
          <w:rFonts w:ascii="Arial" w:hAnsi="Arial" w:cs="Arial"/>
          <w:sz w:val="20"/>
          <w:lang w:val="es-ES_tradnl"/>
        </w:rPr>
        <w:t xml:space="preserve"> </w:t>
      </w:r>
      <w:r w:rsidR="00BA4660">
        <w:rPr>
          <w:rFonts w:ascii="Arial" w:hAnsi="Arial" w:cs="Arial"/>
          <w:sz w:val="20"/>
          <w:lang w:val="es-ES_tradnl"/>
        </w:rPr>
        <w:t>del EDG</w:t>
      </w:r>
      <w:r w:rsidR="002F51C3">
        <w:rPr>
          <w:rFonts w:ascii="Arial" w:hAnsi="Arial" w:cs="Arial"/>
          <w:sz w:val="20"/>
          <w:lang w:val="es-ES_tradnl"/>
        </w:rPr>
        <w:t>002</w:t>
      </w:r>
      <w:r w:rsidR="006E3396" w:rsidRPr="00375216">
        <w:rPr>
          <w:rFonts w:ascii="Arial" w:hAnsi="Arial" w:cs="Arial"/>
          <w:sz w:val="20"/>
          <w:lang w:val="es-ES_tradnl"/>
        </w:rPr>
        <w:t xml:space="preserve">, </w:t>
      </w:r>
      <w:r w:rsidRPr="00375216">
        <w:rPr>
          <w:rFonts w:ascii="Arial" w:hAnsi="Arial" w:cs="Arial"/>
          <w:sz w:val="20"/>
          <w:lang w:val="es-ES_tradnl"/>
        </w:rPr>
        <w:t>la No Objeción que corresponda.</w:t>
      </w:r>
    </w:p>
    <w:p w14:paraId="34D34E26" w14:textId="77777777" w:rsidR="00B25768" w:rsidRDefault="00B25768" w:rsidP="002C2056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567"/>
        <w:contextualSpacing/>
        <w:jc w:val="both"/>
        <w:rPr>
          <w:rFonts w:ascii="Arial" w:hAnsi="Arial" w:cs="Arial"/>
          <w:color w:val="000000" w:themeColor="text1"/>
        </w:rPr>
      </w:pPr>
      <w:bookmarkStart w:id="65" w:name="_Toc387075120"/>
    </w:p>
    <w:p w14:paraId="2969E671" w14:textId="77777777" w:rsidR="009121F2" w:rsidRPr="00C575F1" w:rsidRDefault="002C2056" w:rsidP="002C2056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567"/>
        <w:contextualSpacing/>
        <w:jc w:val="both"/>
        <w:rPr>
          <w:rFonts w:ascii="Arial" w:hAnsi="Arial" w:cs="Arial"/>
          <w:color w:val="000000" w:themeColor="text1"/>
        </w:rPr>
      </w:pPr>
      <w:bookmarkStart w:id="66" w:name="_Toc15932290"/>
      <w:bookmarkStart w:id="67" w:name="_Toc15991678"/>
      <w:bookmarkStart w:id="68" w:name="_Toc16284595"/>
      <w:r w:rsidRPr="00C575F1">
        <w:rPr>
          <w:rFonts w:ascii="Arial" w:hAnsi="Arial" w:cs="Arial"/>
          <w:color w:val="000000" w:themeColor="text1"/>
        </w:rPr>
        <w:t xml:space="preserve">3.1.3 </w:t>
      </w:r>
      <w:r w:rsidR="009121F2" w:rsidRPr="00C575F1">
        <w:rPr>
          <w:rFonts w:ascii="Arial" w:hAnsi="Arial" w:cs="Arial"/>
          <w:color w:val="000000" w:themeColor="text1"/>
        </w:rPr>
        <w:t>Plan de Adquisiciones (PA)</w:t>
      </w:r>
      <w:bookmarkEnd w:id="65"/>
      <w:bookmarkEnd w:id="66"/>
      <w:bookmarkEnd w:id="67"/>
      <w:bookmarkEnd w:id="68"/>
    </w:p>
    <w:p w14:paraId="5EBA4056" w14:textId="77777777" w:rsidR="00EA261C" w:rsidRPr="00375216" w:rsidRDefault="009121F2" w:rsidP="002C2056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El Plan de Adquisiciones (PA) es el documento que contiene las adquisiciones que se implementarán anualmente </w:t>
      </w:r>
      <w:r w:rsidR="00EA261C" w:rsidRPr="00375216">
        <w:rPr>
          <w:rFonts w:ascii="Arial" w:hAnsi="Arial" w:cs="Arial"/>
          <w:sz w:val="20"/>
          <w:lang w:val="es-ES_tradnl"/>
        </w:rPr>
        <w:t>y deberá contener el siguiente detalle:</w:t>
      </w:r>
    </w:p>
    <w:p w14:paraId="2A43016E" w14:textId="77777777" w:rsidR="004D410C" w:rsidRPr="00375216" w:rsidRDefault="004D410C" w:rsidP="002C2056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</w:p>
    <w:p w14:paraId="679A98CC" w14:textId="77777777" w:rsidR="00162507" w:rsidRPr="00375216" w:rsidRDefault="00162507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Número de referencia del POA</w:t>
      </w:r>
    </w:p>
    <w:p w14:paraId="30E4C106" w14:textId="77777777" w:rsidR="00162507" w:rsidRPr="00375216" w:rsidRDefault="00162507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Categoría y descripción del c</w:t>
      </w:r>
      <w:r w:rsidR="006856A2" w:rsidRPr="00375216">
        <w:rPr>
          <w:rFonts w:ascii="Arial" w:hAnsi="Arial" w:cs="Arial"/>
          <w:sz w:val="20"/>
          <w:lang w:val="es-ES_tradnl"/>
        </w:rPr>
        <w:t>o</w:t>
      </w:r>
      <w:r w:rsidRPr="00375216">
        <w:rPr>
          <w:rFonts w:ascii="Arial" w:hAnsi="Arial" w:cs="Arial"/>
          <w:sz w:val="20"/>
          <w:lang w:val="es-ES_tradnl"/>
        </w:rPr>
        <w:t>ntrato de adquisiciones</w:t>
      </w:r>
    </w:p>
    <w:p w14:paraId="52CDC0C5" w14:textId="77777777" w:rsidR="00400FB2" w:rsidRPr="00375216" w:rsidRDefault="00B36530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Costo estimado </w:t>
      </w:r>
      <w:r w:rsidR="006856A2" w:rsidRPr="00375216">
        <w:rPr>
          <w:rFonts w:ascii="Arial" w:hAnsi="Arial" w:cs="Arial"/>
          <w:sz w:val="20"/>
          <w:lang w:val="es-ES_tradnl"/>
        </w:rPr>
        <w:t>de la adquisición</w:t>
      </w:r>
    </w:p>
    <w:p w14:paraId="3A692B3F" w14:textId="77777777" w:rsidR="00400FB2" w:rsidRPr="00375216" w:rsidRDefault="00B36530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Método de adquisición</w:t>
      </w:r>
    </w:p>
    <w:p w14:paraId="6FACD604" w14:textId="77777777" w:rsidR="00400FB2" w:rsidRPr="00375216" w:rsidRDefault="00B36530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Tipo de revisión (ex ante / ex post)</w:t>
      </w:r>
    </w:p>
    <w:p w14:paraId="549B5841" w14:textId="77777777" w:rsidR="00400FB2" w:rsidRPr="00375216" w:rsidRDefault="00B36530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Fuente de financiamiento y porcentaje</w:t>
      </w:r>
      <w:r w:rsidR="006856A2" w:rsidRPr="00375216">
        <w:rPr>
          <w:rFonts w:ascii="Arial" w:hAnsi="Arial" w:cs="Arial"/>
          <w:sz w:val="20"/>
          <w:lang w:val="es-ES_tradnl"/>
        </w:rPr>
        <w:t xml:space="preserve"> de financiamiento</w:t>
      </w:r>
    </w:p>
    <w:p w14:paraId="669598BE" w14:textId="77777777" w:rsidR="00400FB2" w:rsidRPr="00375216" w:rsidRDefault="00B36530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Si se requiere </w:t>
      </w:r>
      <w:proofErr w:type="gramStart"/>
      <w:r w:rsidRPr="00375216">
        <w:rPr>
          <w:rFonts w:ascii="Arial" w:hAnsi="Arial" w:cs="Arial"/>
          <w:sz w:val="20"/>
          <w:lang w:val="es-ES_tradnl"/>
        </w:rPr>
        <w:t>pre calificación</w:t>
      </w:r>
      <w:proofErr w:type="gramEnd"/>
    </w:p>
    <w:p w14:paraId="141196C7" w14:textId="77777777" w:rsidR="00400FB2" w:rsidRPr="00375216" w:rsidRDefault="00B36530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Fecha estimada de convocatoria</w:t>
      </w:r>
    </w:p>
    <w:p w14:paraId="01D21D66" w14:textId="77777777" w:rsidR="00CC6FD8" w:rsidRPr="00375216" w:rsidRDefault="00CC6FD8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Fecha estimada de la adjudicación</w:t>
      </w:r>
    </w:p>
    <w:p w14:paraId="74BE8202" w14:textId="77777777" w:rsidR="00400FB2" w:rsidRPr="00375216" w:rsidRDefault="00B36530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Fecha estimada de </w:t>
      </w:r>
      <w:r w:rsidR="006856A2" w:rsidRPr="00375216">
        <w:rPr>
          <w:rFonts w:ascii="Arial" w:hAnsi="Arial" w:cs="Arial"/>
          <w:sz w:val="20"/>
          <w:lang w:val="es-ES_tradnl"/>
        </w:rPr>
        <w:t xml:space="preserve">inicio </w:t>
      </w:r>
      <w:r w:rsidRPr="00375216">
        <w:rPr>
          <w:rFonts w:ascii="Arial" w:hAnsi="Arial" w:cs="Arial"/>
          <w:sz w:val="20"/>
          <w:lang w:val="es-ES_tradnl"/>
        </w:rPr>
        <w:t>de contrato</w:t>
      </w:r>
    </w:p>
    <w:p w14:paraId="4B8E6A29" w14:textId="77777777" w:rsidR="006856A2" w:rsidRPr="00375216" w:rsidRDefault="006856A2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Fecha estimada de culminación de contrato</w:t>
      </w:r>
    </w:p>
    <w:p w14:paraId="318B72CC" w14:textId="77777777" w:rsidR="00400FB2" w:rsidRPr="00375216" w:rsidRDefault="00B36530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Estatus</w:t>
      </w:r>
    </w:p>
    <w:p w14:paraId="4DBFD606" w14:textId="77777777" w:rsidR="00400FB2" w:rsidRDefault="00B36530" w:rsidP="00AA08AA">
      <w:pPr>
        <w:pStyle w:val="Heading4"/>
        <w:numPr>
          <w:ilvl w:val="0"/>
          <w:numId w:val="17"/>
        </w:numP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>Comentarios</w:t>
      </w:r>
    </w:p>
    <w:p w14:paraId="53827CD2" w14:textId="77777777" w:rsidR="00826C92" w:rsidRDefault="00826C92" w:rsidP="003827DD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</w:p>
    <w:p w14:paraId="4FFB598F" w14:textId="77777777" w:rsidR="003827DD" w:rsidRPr="003827DD" w:rsidRDefault="003827DD" w:rsidP="003827DD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  <w:lang w:val="es-ES_tradnl"/>
        </w:rPr>
        <w:t xml:space="preserve">El PA inicial, por cada </w:t>
      </w:r>
      <w:r w:rsidRPr="003827DD">
        <w:rPr>
          <w:rFonts w:ascii="Arial" w:hAnsi="Arial" w:cs="Arial"/>
          <w:sz w:val="20"/>
        </w:rPr>
        <w:t>ejercicio, deber</w:t>
      </w:r>
      <w:r w:rsidRPr="00375216">
        <w:rPr>
          <w:rFonts w:ascii="Arial" w:hAnsi="Arial" w:cs="Arial"/>
          <w:sz w:val="20"/>
        </w:rPr>
        <w:t xml:space="preserve">á ser remitido al BID </w:t>
      </w:r>
      <w:r>
        <w:rPr>
          <w:rFonts w:ascii="Arial" w:hAnsi="Arial" w:cs="Arial"/>
          <w:sz w:val="20"/>
        </w:rPr>
        <w:t xml:space="preserve">estimativamente </w:t>
      </w:r>
      <w:r w:rsidRPr="00375216">
        <w:rPr>
          <w:rFonts w:ascii="Arial" w:hAnsi="Arial" w:cs="Arial"/>
          <w:sz w:val="20"/>
        </w:rPr>
        <w:t>treinta (30) días previos al inicio del ejercicio.</w:t>
      </w:r>
    </w:p>
    <w:p w14:paraId="78A7918C" w14:textId="77777777" w:rsidR="003827DD" w:rsidRPr="00375216" w:rsidRDefault="003827DD" w:rsidP="003827DD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</w:rPr>
      </w:pPr>
    </w:p>
    <w:p w14:paraId="4F879674" w14:textId="77777777" w:rsidR="003827DD" w:rsidRPr="003827DD" w:rsidRDefault="003827DD" w:rsidP="003827DD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</w:rPr>
      </w:pPr>
      <w:r w:rsidRPr="003827DD">
        <w:rPr>
          <w:rFonts w:ascii="Arial" w:hAnsi="Arial" w:cs="Arial"/>
          <w:sz w:val="20"/>
        </w:rPr>
        <w:t xml:space="preserve">Considerando la dinámica del </w:t>
      </w:r>
      <w:r w:rsidR="002F51C3">
        <w:rPr>
          <w:rFonts w:ascii="Arial" w:hAnsi="Arial" w:cs="Arial"/>
          <w:sz w:val="20"/>
        </w:rPr>
        <w:t>Programa</w:t>
      </w:r>
      <w:r w:rsidRPr="003827DD">
        <w:rPr>
          <w:rFonts w:ascii="Arial" w:hAnsi="Arial" w:cs="Arial"/>
          <w:sz w:val="20"/>
        </w:rPr>
        <w:t xml:space="preserve"> se podrá actualizar el PA anualmente, o cuando se presenten cambios, siempre y cuando estos sean requeridos por la Coordinación Técnica o por </w:t>
      </w:r>
      <w:r w:rsidRPr="003827DD">
        <w:rPr>
          <w:rFonts w:ascii="Arial" w:hAnsi="Arial" w:cs="Arial"/>
          <w:sz w:val="20"/>
        </w:rPr>
        <w:lastRenderedPageBreak/>
        <w:t xml:space="preserve">el Banco. La versión vigente de los PA se publicará en el Sistema de Ejecución de Planes de Adquisiciones (SEPA) del Banco – o lo que se utilice en sustitución de este y a pedido del Banco - y se publicará lo que corresponda en la página web del SEACE. </w:t>
      </w:r>
    </w:p>
    <w:p w14:paraId="1FA3BDE1" w14:textId="2A33DB60" w:rsidR="00D53DF1" w:rsidRPr="00375216" w:rsidRDefault="00D53DF1" w:rsidP="002B3C46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La elaboración del PA lo efectúa </w:t>
      </w:r>
      <w:r w:rsidR="00A41372" w:rsidRPr="00375216">
        <w:rPr>
          <w:rFonts w:ascii="Arial" w:hAnsi="Arial" w:cs="Arial"/>
          <w:sz w:val="20"/>
          <w:lang w:val="es-ES_tradnl"/>
        </w:rPr>
        <w:t>el Especialista de Adquisiciones</w:t>
      </w:r>
      <w:r w:rsidR="00EF07D7">
        <w:rPr>
          <w:rFonts w:ascii="Arial" w:hAnsi="Arial" w:cs="Arial"/>
          <w:sz w:val="20"/>
          <w:lang w:val="es-ES_tradnl"/>
        </w:rPr>
        <w:t xml:space="preserve"> </w:t>
      </w:r>
      <w:r w:rsidR="00BA4660">
        <w:rPr>
          <w:rFonts w:ascii="Arial" w:hAnsi="Arial" w:cs="Arial"/>
          <w:sz w:val="20"/>
          <w:lang w:val="es-ES_tradnl"/>
        </w:rPr>
        <w:t>del EDG</w:t>
      </w:r>
      <w:r w:rsidR="002F51C3">
        <w:rPr>
          <w:rFonts w:ascii="Arial" w:hAnsi="Arial" w:cs="Arial"/>
          <w:sz w:val="20"/>
          <w:lang w:val="es-ES_tradnl"/>
        </w:rPr>
        <w:t>002</w:t>
      </w:r>
      <w:r w:rsidR="000F6412" w:rsidRPr="00375216">
        <w:rPr>
          <w:rFonts w:ascii="Arial" w:hAnsi="Arial" w:cs="Arial"/>
          <w:sz w:val="20"/>
          <w:lang w:val="es-ES_tradnl"/>
        </w:rPr>
        <w:t>.</w:t>
      </w:r>
      <w:r w:rsidR="00EF2DB8" w:rsidRPr="00375216">
        <w:rPr>
          <w:rFonts w:ascii="Arial" w:hAnsi="Arial" w:cs="Arial"/>
          <w:sz w:val="20"/>
          <w:lang w:val="es-ES_tradnl"/>
        </w:rPr>
        <w:t xml:space="preserve"> </w:t>
      </w:r>
      <w:r w:rsidRPr="00375216">
        <w:rPr>
          <w:rFonts w:ascii="Arial" w:hAnsi="Arial" w:cs="Arial"/>
          <w:sz w:val="20"/>
          <w:lang w:val="es-ES_tradnl"/>
        </w:rPr>
        <w:t>S</w:t>
      </w:r>
      <w:proofErr w:type="spellStart"/>
      <w:r w:rsidRPr="00375216">
        <w:rPr>
          <w:rFonts w:ascii="Arial" w:hAnsi="Arial" w:cs="Arial"/>
          <w:sz w:val="20"/>
        </w:rPr>
        <w:t>e</w:t>
      </w:r>
      <w:proofErr w:type="spellEnd"/>
      <w:r w:rsidRPr="00375216">
        <w:rPr>
          <w:rFonts w:ascii="Arial" w:hAnsi="Arial" w:cs="Arial"/>
          <w:sz w:val="20"/>
        </w:rPr>
        <w:t xml:space="preserve"> elabora en base al PEP y al POA.</w:t>
      </w:r>
      <w:r w:rsidRPr="00375216">
        <w:rPr>
          <w:rFonts w:ascii="Arial" w:hAnsi="Arial" w:cs="Arial"/>
          <w:sz w:val="20"/>
          <w:lang w:val="es-ES_tradnl"/>
        </w:rPr>
        <w:t xml:space="preserve"> El </w:t>
      </w:r>
      <w:r w:rsidR="002F51C3">
        <w:rPr>
          <w:rFonts w:ascii="Arial" w:hAnsi="Arial" w:cs="Arial"/>
          <w:sz w:val="20"/>
          <w:lang w:val="es-ES_tradnl"/>
        </w:rPr>
        <w:t>Coordinador</w:t>
      </w:r>
      <w:r w:rsidR="002B3C46">
        <w:rPr>
          <w:rFonts w:ascii="Arial" w:hAnsi="Arial" w:cs="Arial"/>
          <w:sz w:val="20"/>
          <w:lang w:val="es-ES_tradnl"/>
        </w:rPr>
        <w:t xml:space="preserve"> </w:t>
      </w:r>
      <w:r w:rsidR="00BA4660">
        <w:rPr>
          <w:rFonts w:ascii="Arial" w:hAnsi="Arial" w:cs="Arial"/>
          <w:sz w:val="20"/>
          <w:lang w:val="es-ES_tradnl"/>
        </w:rPr>
        <w:t>del EDG</w:t>
      </w:r>
      <w:r w:rsidR="002F51C3">
        <w:rPr>
          <w:rFonts w:ascii="Arial" w:hAnsi="Arial" w:cs="Arial"/>
          <w:sz w:val="20"/>
          <w:lang w:val="es-ES_tradnl"/>
        </w:rPr>
        <w:t>002</w:t>
      </w:r>
      <w:r w:rsidR="00EF2DB8" w:rsidRPr="00375216">
        <w:rPr>
          <w:rFonts w:ascii="Arial" w:hAnsi="Arial" w:cs="Arial"/>
          <w:sz w:val="20"/>
          <w:lang w:val="es-ES_tradnl"/>
        </w:rPr>
        <w:t xml:space="preserve"> </w:t>
      </w:r>
      <w:r w:rsidRPr="00375216">
        <w:rPr>
          <w:rFonts w:ascii="Arial" w:hAnsi="Arial" w:cs="Arial"/>
          <w:sz w:val="20"/>
          <w:lang w:val="es-ES_tradnl"/>
        </w:rPr>
        <w:t xml:space="preserve">se encargará de gestionar la respectiva no objeción ante el BID. </w:t>
      </w:r>
    </w:p>
    <w:p w14:paraId="67B81D21" w14:textId="77777777" w:rsidR="009121F2" w:rsidRPr="00375216" w:rsidRDefault="009121F2" w:rsidP="00D53DF1">
      <w:pPr>
        <w:pStyle w:val="Normal3"/>
        <w:spacing w:after="0" w:line="23" w:lineRule="atLeast"/>
        <w:ind w:left="0"/>
        <w:contextualSpacing/>
        <w:rPr>
          <w:rFonts w:ascii="Arial" w:hAnsi="Arial" w:cs="Arial"/>
          <w:sz w:val="20"/>
          <w:lang w:val="es-ES_tradnl"/>
        </w:rPr>
      </w:pPr>
    </w:p>
    <w:p w14:paraId="1D426444" w14:textId="77777777" w:rsidR="002C220C" w:rsidRPr="00375216" w:rsidRDefault="00D53DF1" w:rsidP="00644EDF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El </w:t>
      </w:r>
      <w:r w:rsidR="002B7FA8">
        <w:rPr>
          <w:rFonts w:ascii="Arial" w:hAnsi="Arial" w:cs="Arial"/>
          <w:sz w:val="20"/>
          <w:lang w:val="es-ES_tradnl"/>
        </w:rPr>
        <w:t>Programa</w:t>
      </w:r>
      <w:r w:rsidR="00B36530" w:rsidRPr="00375216">
        <w:rPr>
          <w:rFonts w:ascii="Arial" w:hAnsi="Arial" w:cs="Arial"/>
          <w:sz w:val="20"/>
          <w:lang w:val="es-ES_tradnl"/>
        </w:rPr>
        <w:t xml:space="preserve"> debe ejecutar el PA en la forma en que</w:t>
      </w:r>
      <w:r w:rsidR="00644EDF" w:rsidRPr="00375216">
        <w:rPr>
          <w:rFonts w:ascii="Arial" w:hAnsi="Arial" w:cs="Arial"/>
          <w:sz w:val="20"/>
          <w:lang w:val="es-ES_tradnl"/>
        </w:rPr>
        <w:t xml:space="preserve"> haya sido aprobado por el BID</w:t>
      </w:r>
      <w:r w:rsidR="00B36530" w:rsidRPr="00375216">
        <w:rPr>
          <w:rFonts w:ascii="Arial" w:hAnsi="Arial" w:cs="Arial"/>
          <w:sz w:val="20"/>
          <w:lang w:val="es-ES_tradnl"/>
        </w:rPr>
        <w:t xml:space="preserve">. </w:t>
      </w:r>
    </w:p>
    <w:p w14:paraId="170D400D" w14:textId="77777777" w:rsidR="002C220C" w:rsidRPr="00375216" w:rsidRDefault="002C220C" w:rsidP="004D410C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</w:p>
    <w:p w14:paraId="725EE0CD" w14:textId="77777777" w:rsidR="009121F2" w:rsidRPr="00375216" w:rsidRDefault="00B36530" w:rsidP="004D410C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Los PA son parte integrante de los POA y deben reflejar de manera clara y articulada los montos a contratar por cada categoría de desembolso y los métodos de contratación acordados con el Banco para las adquisiciones de bienes y servicios diferentes de consultoría, y selección de firmas consultoras y consultores individuales. </w:t>
      </w:r>
    </w:p>
    <w:p w14:paraId="3CE30D83" w14:textId="77777777" w:rsidR="009121F2" w:rsidRPr="00375216" w:rsidRDefault="009121F2" w:rsidP="004D410C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</w:p>
    <w:p w14:paraId="6D8A29F0" w14:textId="77777777" w:rsidR="009121F2" w:rsidRPr="00375216" w:rsidRDefault="00B36530" w:rsidP="004D410C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El PA está organizado por secciones, correspondiendo cada una a los diferentes tipos de adquisiciones: </w:t>
      </w:r>
      <w:r w:rsidR="00D50CF4" w:rsidRPr="00375216">
        <w:rPr>
          <w:rFonts w:ascii="Arial" w:hAnsi="Arial" w:cs="Arial"/>
          <w:sz w:val="20"/>
          <w:lang w:val="es-ES_tradnl"/>
        </w:rPr>
        <w:t xml:space="preserve">Bienes y Servicios diferentes a consultorías, Firmas Consultoras, </w:t>
      </w:r>
      <w:r w:rsidRPr="00375216">
        <w:rPr>
          <w:rFonts w:ascii="Arial" w:hAnsi="Arial" w:cs="Arial"/>
          <w:sz w:val="20"/>
          <w:lang w:val="es-ES_tradnl"/>
        </w:rPr>
        <w:t>Consultorías</w:t>
      </w:r>
      <w:r w:rsidR="00D50CF4" w:rsidRPr="00375216">
        <w:rPr>
          <w:rFonts w:ascii="Arial" w:hAnsi="Arial" w:cs="Arial"/>
          <w:sz w:val="20"/>
          <w:lang w:val="es-ES_tradnl"/>
        </w:rPr>
        <w:t xml:space="preserve"> individuales</w:t>
      </w:r>
      <w:r w:rsidRPr="00375216">
        <w:rPr>
          <w:rFonts w:ascii="Arial" w:hAnsi="Arial" w:cs="Arial"/>
          <w:sz w:val="20"/>
          <w:lang w:val="es-ES_tradnl"/>
        </w:rPr>
        <w:t xml:space="preserve">. </w:t>
      </w:r>
    </w:p>
    <w:p w14:paraId="6877C3BC" w14:textId="77777777" w:rsidR="005A7662" w:rsidRPr="00375216" w:rsidRDefault="005A7662" w:rsidP="004D410C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</w:p>
    <w:p w14:paraId="559D04B2" w14:textId="77777777" w:rsidR="009121F2" w:rsidRPr="00375216" w:rsidRDefault="009121F2" w:rsidP="004D410C">
      <w:pPr>
        <w:pStyle w:val="Normal3"/>
        <w:spacing w:after="0" w:line="23" w:lineRule="atLeast"/>
        <w:ind w:left="567"/>
        <w:contextualSpacing/>
        <w:rPr>
          <w:rFonts w:ascii="Arial" w:hAnsi="Arial" w:cs="Arial"/>
          <w:sz w:val="20"/>
          <w:lang w:val="es-ES_tradnl"/>
        </w:rPr>
      </w:pPr>
      <w:r w:rsidRPr="00375216">
        <w:rPr>
          <w:rFonts w:ascii="Arial" w:hAnsi="Arial" w:cs="Arial"/>
          <w:sz w:val="20"/>
          <w:lang w:val="es-ES_tradnl"/>
        </w:rPr>
        <w:t xml:space="preserve">Los procesos que figuran en el PA deben ser concordantes con el </w:t>
      </w:r>
      <w:r w:rsidR="00D53DF1" w:rsidRPr="00375216">
        <w:rPr>
          <w:rFonts w:ascii="Arial" w:hAnsi="Arial" w:cs="Arial"/>
          <w:sz w:val="20"/>
          <w:lang w:val="es-ES_tradnl"/>
        </w:rPr>
        <w:t>POA</w:t>
      </w:r>
      <w:r w:rsidRPr="00375216">
        <w:rPr>
          <w:rFonts w:ascii="Arial" w:hAnsi="Arial" w:cs="Arial"/>
          <w:sz w:val="20"/>
          <w:lang w:val="es-ES_tradnl"/>
        </w:rPr>
        <w:t xml:space="preserve"> respectivo.</w:t>
      </w:r>
    </w:p>
    <w:p w14:paraId="03CA151B" w14:textId="77777777" w:rsidR="009121F2" w:rsidRPr="00AC1AC6" w:rsidRDefault="009121F2" w:rsidP="00D53DF1">
      <w:pPr>
        <w:pStyle w:val="Fespecifica"/>
        <w:numPr>
          <w:ilvl w:val="0"/>
          <w:numId w:val="0"/>
        </w:numPr>
        <w:spacing w:line="23" w:lineRule="atLeast"/>
        <w:contextualSpacing/>
        <w:jc w:val="both"/>
        <w:rPr>
          <w:rFonts w:ascii="Arial" w:hAnsi="Arial" w:cs="Arial"/>
        </w:rPr>
      </w:pPr>
    </w:p>
    <w:p w14:paraId="7A986A9F" w14:textId="77777777" w:rsidR="00887DB4" w:rsidRDefault="009121F2" w:rsidP="00AA08AA">
      <w:pPr>
        <w:pStyle w:val="Heading3"/>
        <w:keepNext w:val="0"/>
        <w:keepLines w:val="0"/>
        <w:numPr>
          <w:ilvl w:val="2"/>
          <w:numId w:val="15"/>
        </w:numPr>
        <w:tabs>
          <w:tab w:val="left" w:pos="1134"/>
        </w:tabs>
        <w:spacing w:before="0" w:line="240" w:lineRule="auto"/>
        <w:ind w:hanging="437"/>
        <w:contextualSpacing/>
        <w:jc w:val="both"/>
        <w:rPr>
          <w:rFonts w:ascii="Arial" w:hAnsi="Arial" w:cs="Arial"/>
          <w:color w:val="000000" w:themeColor="text1"/>
        </w:rPr>
      </w:pPr>
      <w:bookmarkStart w:id="69" w:name="_Toc15932291"/>
      <w:bookmarkStart w:id="70" w:name="_Toc15991679"/>
      <w:bookmarkStart w:id="71" w:name="_Toc16284596"/>
      <w:bookmarkStart w:id="72" w:name="_Toc387075121"/>
      <w:r w:rsidRPr="0025066A">
        <w:rPr>
          <w:rFonts w:ascii="Arial" w:hAnsi="Arial" w:cs="Arial"/>
          <w:color w:val="000000" w:themeColor="text1"/>
        </w:rPr>
        <w:t>Plan</w:t>
      </w:r>
      <w:r w:rsidR="00567AB6">
        <w:rPr>
          <w:rFonts w:ascii="Arial" w:hAnsi="Arial" w:cs="Arial"/>
          <w:color w:val="000000" w:themeColor="text1"/>
        </w:rPr>
        <w:t>ificación</w:t>
      </w:r>
      <w:r w:rsidRPr="0025066A">
        <w:rPr>
          <w:rFonts w:ascii="Arial" w:hAnsi="Arial" w:cs="Arial"/>
          <w:color w:val="000000" w:themeColor="text1"/>
        </w:rPr>
        <w:t xml:space="preserve"> Financier</w:t>
      </w:r>
      <w:r w:rsidR="00567AB6">
        <w:rPr>
          <w:rFonts w:ascii="Arial" w:hAnsi="Arial" w:cs="Arial"/>
          <w:color w:val="000000" w:themeColor="text1"/>
        </w:rPr>
        <w:t>a</w:t>
      </w:r>
      <w:r w:rsidRPr="0025066A">
        <w:rPr>
          <w:rFonts w:ascii="Arial" w:hAnsi="Arial" w:cs="Arial"/>
          <w:color w:val="000000" w:themeColor="text1"/>
        </w:rPr>
        <w:t xml:space="preserve"> y Pronósticos de Desembolsos</w:t>
      </w:r>
      <w:bookmarkEnd w:id="69"/>
      <w:bookmarkEnd w:id="70"/>
      <w:bookmarkEnd w:id="71"/>
      <w:r w:rsidRPr="0025066A">
        <w:rPr>
          <w:rFonts w:ascii="Arial" w:hAnsi="Arial" w:cs="Arial"/>
          <w:color w:val="000000" w:themeColor="text1"/>
        </w:rPr>
        <w:t xml:space="preserve"> </w:t>
      </w:r>
      <w:bookmarkEnd w:id="72"/>
    </w:p>
    <w:p w14:paraId="443F5058" w14:textId="77777777" w:rsidR="009121F2" w:rsidRPr="00AC1AC6" w:rsidRDefault="009121F2" w:rsidP="009121F2">
      <w:pPr>
        <w:spacing w:after="0" w:line="23" w:lineRule="atLeast"/>
        <w:rPr>
          <w:rFonts w:ascii="Arial" w:hAnsi="Arial" w:cs="Arial"/>
          <w:lang w:val="es-ES"/>
        </w:rPr>
      </w:pPr>
    </w:p>
    <w:p w14:paraId="4BFA201A" w14:textId="77777777" w:rsidR="009121F2" w:rsidRPr="00375216" w:rsidRDefault="00567AB6" w:rsidP="002C2056">
      <w:pPr>
        <w:pStyle w:val="Normal4"/>
        <w:spacing w:line="23" w:lineRule="atLeast"/>
        <w:ind w:left="567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La Planificación Financiera</w:t>
      </w:r>
      <w:r w:rsidR="009121F2" w:rsidRPr="00375216">
        <w:rPr>
          <w:rFonts w:ascii="Arial" w:hAnsi="Arial" w:cs="Arial"/>
          <w:sz w:val="20"/>
        </w:rPr>
        <w:t xml:space="preserve"> y Pronósticos de Desembolsos </w:t>
      </w:r>
      <w:r w:rsidR="00644EDF" w:rsidRPr="00375216">
        <w:rPr>
          <w:rFonts w:ascii="Arial" w:hAnsi="Arial" w:cs="Arial"/>
          <w:sz w:val="20"/>
        </w:rPr>
        <w:t xml:space="preserve">son </w:t>
      </w:r>
      <w:r w:rsidR="009121F2" w:rsidRPr="00375216">
        <w:rPr>
          <w:rFonts w:ascii="Arial" w:hAnsi="Arial" w:cs="Arial"/>
          <w:sz w:val="20"/>
        </w:rPr>
        <w:t>instrumento</w:t>
      </w:r>
      <w:r w:rsidR="00644EDF" w:rsidRPr="00375216">
        <w:rPr>
          <w:rFonts w:ascii="Arial" w:hAnsi="Arial" w:cs="Arial"/>
          <w:sz w:val="20"/>
        </w:rPr>
        <w:t>s</w:t>
      </w:r>
      <w:r w:rsidR="009121F2" w:rsidRPr="00375216">
        <w:rPr>
          <w:rFonts w:ascii="Arial" w:hAnsi="Arial" w:cs="Arial"/>
          <w:sz w:val="20"/>
        </w:rPr>
        <w:t xml:space="preserve"> articulado</w:t>
      </w:r>
      <w:r w:rsidR="00644EDF" w:rsidRPr="00375216">
        <w:rPr>
          <w:rFonts w:ascii="Arial" w:hAnsi="Arial" w:cs="Arial"/>
          <w:sz w:val="20"/>
        </w:rPr>
        <w:t>s</w:t>
      </w:r>
      <w:r w:rsidR="009121F2" w:rsidRPr="00375216">
        <w:rPr>
          <w:rFonts w:ascii="Arial" w:hAnsi="Arial" w:cs="Arial"/>
          <w:sz w:val="20"/>
        </w:rPr>
        <w:t xml:space="preserve"> con el Plan de Ejecución </w:t>
      </w:r>
      <w:r w:rsidRPr="00375216">
        <w:rPr>
          <w:rFonts w:ascii="Arial" w:hAnsi="Arial" w:cs="Arial"/>
          <w:sz w:val="20"/>
        </w:rPr>
        <w:t>Plurianual</w:t>
      </w:r>
      <w:r w:rsidR="009121F2" w:rsidRPr="00375216">
        <w:rPr>
          <w:rFonts w:ascii="Arial" w:hAnsi="Arial" w:cs="Arial"/>
          <w:sz w:val="20"/>
        </w:rPr>
        <w:t xml:space="preserve"> (PEP) y el Plan Operativo Anual (POA), que incorpora el Plan de Adquisiciones (PA), que permite planificar y controlar los flujos de fondos del </w:t>
      </w:r>
      <w:r w:rsidR="002B7FA8">
        <w:rPr>
          <w:rFonts w:ascii="Arial" w:hAnsi="Arial" w:cs="Arial"/>
          <w:sz w:val="20"/>
        </w:rPr>
        <w:t>Programa</w:t>
      </w:r>
      <w:r w:rsidR="009121F2" w:rsidRPr="00375216">
        <w:rPr>
          <w:rFonts w:ascii="Arial" w:hAnsi="Arial" w:cs="Arial"/>
          <w:sz w:val="20"/>
        </w:rPr>
        <w:t xml:space="preserve">. </w:t>
      </w:r>
    </w:p>
    <w:p w14:paraId="55AE6102" w14:textId="77777777" w:rsidR="009121F2" w:rsidRPr="00375216" w:rsidRDefault="009121F2" w:rsidP="002C2056">
      <w:pPr>
        <w:pStyle w:val="Normal4"/>
        <w:spacing w:line="23" w:lineRule="atLeast"/>
        <w:ind w:left="567"/>
        <w:contextualSpacing/>
        <w:jc w:val="both"/>
        <w:rPr>
          <w:rFonts w:ascii="Arial" w:hAnsi="Arial" w:cs="Arial"/>
          <w:sz w:val="20"/>
        </w:rPr>
      </w:pPr>
    </w:p>
    <w:p w14:paraId="1DCC6238" w14:textId="77777777" w:rsidR="003827DD" w:rsidRPr="00375216" w:rsidRDefault="003827DD" w:rsidP="003827DD">
      <w:pPr>
        <w:pStyle w:val="Normal4"/>
        <w:spacing w:line="23" w:lineRule="atLeast"/>
        <w:ind w:left="567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La Planificación Financiera y Pronósticos de Desembolsos deberá actualizarse de acuerdo con la evolución de su ejecución, reflejando las necesidades reales de liquidez del </w:t>
      </w:r>
      <w:r w:rsidR="002F51C3">
        <w:rPr>
          <w:rFonts w:ascii="Arial" w:hAnsi="Arial" w:cs="Arial"/>
          <w:sz w:val="20"/>
        </w:rPr>
        <w:t>programa</w:t>
      </w:r>
      <w:r w:rsidRPr="0037521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Ambas herramientas de gestión serán presentadas al Banco a inicio de cada año.</w:t>
      </w:r>
    </w:p>
    <w:p w14:paraId="44E0C5AD" w14:textId="77777777" w:rsidR="009121F2" w:rsidRPr="00375216" w:rsidRDefault="009121F2" w:rsidP="002C2056">
      <w:pPr>
        <w:pStyle w:val="Normal4"/>
        <w:spacing w:line="23" w:lineRule="atLeast"/>
        <w:ind w:left="576"/>
        <w:contextualSpacing/>
        <w:jc w:val="both"/>
        <w:rPr>
          <w:rFonts w:ascii="Arial" w:hAnsi="Arial" w:cs="Arial"/>
          <w:sz w:val="20"/>
        </w:rPr>
      </w:pPr>
    </w:p>
    <w:p w14:paraId="7E0C54B0" w14:textId="4AAF32F4" w:rsidR="00EA261C" w:rsidRPr="00375216" w:rsidRDefault="009121F2" w:rsidP="002C2056">
      <w:pPr>
        <w:pStyle w:val="Normal4"/>
        <w:spacing w:line="23" w:lineRule="atLeast"/>
        <w:ind w:left="576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La preparación </w:t>
      </w:r>
      <w:r w:rsidR="00567AB6" w:rsidRPr="00375216">
        <w:rPr>
          <w:rFonts w:ascii="Arial" w:hAnsi="Arial" w:cs="Arial"/>
          <w:sz w:val="20"/>
        </w:rPr>
        <w:t>de la Planificación</w:t>
      </w:r>
      <w:r w:rsidR="00644EDF" w:rsidRPr="00375216">
        <w:rPr>
          <w:rFonts w:ascii="Arial" w:hAnsi="Arial" w:cs="Arial"/>
          <w:sz w:val="20"/>
        </w:rPr>
        <w:t xml:space="preserve"> Financier</w:t>
      </w:r>
      <w:r w:rsidR="00567AB6" w:rsidRPr="00375216">
        <w:rPr>
          <w:rFonts w:ascii="Arial" w:hAnsi="Arial" w:cs="Arial"/>
          <w:sz w:val="20"/>
        </w:rPr>
        <w:t>a</w:t>
      </w:r>
      <w:r w:rsidR="00644EDF" w:rsidRPr="00375216">
        <w:rPr>
          <w:rFonts w:ascii="Arial" w:hAnsi="Arial" w:cs="Arial"/>
          <w:sz w:val="20"/>
        </w:rPr>
        <w:t xml:space="preserve"> y Pronósticos de Desembolsos </w:t>
      </w:r>
      <w:r w:rsidRPr="00375216">
        <w:rPr>
          <w:rFonts w:ascii="Arial" w:hAnsi="Arial" w:cs="Arial"/>
          <w:sz w:val="20"/>
        </w:rPr>
        <w:t xml:space="preserve">es responsabilidad </w:t>
      </w:r>
      <w:r w:rsidR="0076720C" w:rsidRPr="00375216">
        <w:rPr>
          <w:rFonts w:ascii="Arial" w:hAnsi="Arial" w:cs="Arial"/>
          <w:sz w:val="20"/>
        </w:rPr>
        <w:t>de</w:t>
      </w:r>
      <w:r w:rsidR="00A41372" w:rsidRPr="00375216">
        <w:rPr>
          <w:rFonts w:ascii="Arial" w:hAnsi="Arial" w:cs="Arial"/>
          <w:sz w:val="20"/>
        </w:rPr>
        <w:t>l Especialista Financiero</w:t>
      </w:r>
      <w:r w:rsidR="000332E4">
        <w:rPr>
          <w:rFonts w:ascii="Arial" w:hAnsi="Arial" w:cs="Arial"/>
          <w:sz w:val="20"/>
        </w:rPr>
        <w:t>-Contable</w:t>
      </w:r>
      <w:r w:rsidR="00A41372" w:rsidRPr="00375216">
        <w:rPr>
          <w:rFonts w:ascii="Arial" w:hAnsi="Arial" w:cs="Arial"/>
          <w:sz w:val="20"/>
        </w:rPr>
        <w:t xml:space="preserve"> </w:t>
      </w:r>
      <w:r w:rsidR="00BA4660">
        <w:rPr>
          <w:rFonts w:ascii="Arial" w:hAnsi="Arial" w:cs="Arial"/>
          <w:sz w:val="20"/>
        </w:rPr>
        <w:t>del EDG</w:t>
      </w:r>
      <w:r w:rsidR="002F51C3">
        <w:rPr>
          <w:rFonts w:ascii="Arial" w:hAnsi="Arial" w:cs="Arial"/>
          <w:sz w:val="20"/>
        </w:rPr>
        <w:t>002</w:t>
      </w:r>
      <w:r w:rsidR="00A41372" w:rsidRPr="00375216">
        <w:rPr>
          <w:rFonts w:ascii="Arial" w:hAnsi="Arial" w:cs="Arial"/>
          <w:sz w:val="20"/>
        </w:rPr>
        <w:t xml:space="preserve"> </w:t>
      </w:r>
      <w:r w:rsidR="00EA261C" w:rsidRPr="00375216">
        <w:rPr>
          <w:rFonts w:ascii="Arial" w:hAnsi="Arial" w:cs="Arial"/>
          <w:sz w:val="20"/>
        </w:rPr>
        <w:t>en relación a la estimación de pagos correspondientes a los proceso</w:t>
      </w:r>
      <w:r w:rsidR="003C7702" w:rsidRPr="00375216">
        <w:rPr>
          <w:rFonts w:ascii="Arial" w:hAnsi="Arial" w:cs="Arial"/>
          <w:sz w:val="20"/>
        </w:rPr>
        <w:t>s</w:t>
      </w:r>
      <w:r w:rsidR="00EA261C" w:rsidRPr="00375216">
        <w:rPr>
          <w:rFonts w:ascii="Arial" w:hAnsi="Arial" w:cs="Arial"/>
          <w:sz w:val="20"/>
        </w:rPr>
        <w:t xml:space="preserve"> de selección</w:t>
      </w:r>
      <w:r w:rsidRPr="00375216">
        <w:rPr>
          <w:rFonts w:ascii="Arial" w:hAnsi="Arial" w:cs="Arial"/>
          <w:sz w:val="20"/>
        </w:rPr>
        <w:t xml:space="preserve">. </w:t>
      </w:r>
    </w:p>
    <w:p w14:paraId="3A19D1C8" w14:textId="77777777" w:rsidR="00EA261C" w:rsidRPr="00375216" w:rsidRDefault="00EA261C" w:rsidP="002C2056">
      <w:pPr>
        <w:pStyle w:val="Normal4"/>
        <w:spacing w:line="23" w:lineRule="atLeast"/>
        <w:ind w:left="576"/>
        <w:contextualSpacing/>
        <w:jc w:val="both"/>
        <w:rPr>
          <w:rFonts w:ascii="Arial" w:hAnsi="Arial" w:cs="Arial"/>
          <w:sz w:val="20"/>
        </w:rPr>
      </w:pPr>
    </w:p>
    <w:p w14:paraId="0B91CA97" w14:textId="77777777" w:rsidR="009121F2" w:rsidRPr="00375216" w:rsidRDefault="009121F2" w:rsidP="002C2056">
      <w:pPr>
        <w:pStyle w:val="Normal4"/>
        <w:spacing w:line="23" w:lineRule="atLeast"/>
        <w:ind w:left="576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Dentro del marco </w:t>
      </w:r>
      <w:r w:rsidR="00567AB6" w:rsidRPr="00375216">
        <w:rPr>
          <w:rFonts w:ascii="Arial" w:hAnsi="Arial" w:cs="Arial"/>
          <w:sz w:val="20"/>
        </w:rPr>
        <w:t>de la Planificación</w:t>
      </w:r>
      <w:r w:rsidRPr="00375216">
        <w:rPr>
          <w:rFonts w:ascii="Arial" w:hAnsi="Arial" w:cs="Arial"/>
          <w:sz w:val="20"/>
        </w:rPr>
        <w:t xml:space="preserve"> Financier</w:t>
      </w:r>
      <w:r w:rsidR="00567AB6" w:rsidRPr="00375216">
        <w:rPr>
          <w:rFonts w:ascii="Arial" w:hAnsi="Arial" w:cs="Arial"/>
          <w:sz w:val="20"/>
        </w:rPr>
        <w:t>a</w:t>
      </w:r>
      <w:r w:rsidRPr="00375216">
        <w:rPr>
          <w:rFonts w:ascii="Arial" w:hAnsi="Arial" w:cs="Arial"/>
          <w:sz w:val="20"/>
        </w:rPr>
        <w:t xml:space="preserve">, </w:t>
      </w:r>
      <w:r w:rsidR="00A41372" w:rsidRPr="00375216">
        <w:rPr>
          <w:rFonts w:ascii="Arial" w:hAnsi="Arial" w:cs="Arial"/>
          <w:sz w:val="20"/>
        </w:rPr>
        <w:t>el Especialista Financiero</w:t>
      </w:r>
      <w:r w:rsidR="000332E4">
        <w:rPr>
          <w:rFonts w:ascii="Arial" w:hAnsi="Arial" w:cs="Arial"/>
          <w:sz w:val="20"/>
        </w:rPr>
        <w:t>-Contable</w:t>
      </w:r>
      <w:r w:rsidR="002B0CD6" w:rsidRPr="00375216">
        <w:rPr>
          <w:rFonts w:ascii="Arial" w:hAnsi="Arial" w:cs="Arial"/>
          <w:sz w:val="20"/>
        </w:rPr>
        <w:t xml:space="preserve"> </w:t>
      </w:r>
      <w:r w:rsidRPr="00375216">
        <w:rPr>
          <w:rFonts w:ascii="Arial" w:hAnsi="Arial" w:cs="Arial"/>
          <w:sz w:val="20"/>
        </w:rPr>
        <w:t>debe preparar el pronóstico de desembolsos anual por fuente de financiamiento</w:t>
      </w:r>
      <w:r w:rsidR="005D06DA" w:rsidRPr="00375216">
        <w:rPr>
          <w:rFonts w:ascii="Arial" w:hAnsi="Arial" w:cs="Arial"/>
          <w:sz w:val="20"/>
        </w:rPr>
        <w:t>.</w:t>
      </w:r>
      <w:r w:rsidRPr="00375216">
        <w:rPr>
          <w:rFonts w:ascii="Arial" w:hAnsi="Arial" w:cs="Arial"/>
          <w:sz w:val="20"/>
        </w:rPr>
        <w:t xml:space="preserve"> </w:t>
      </w:r>
    </w:p>
    <w:p w14:paraId="7315A9AA" w14:textId="77777777" w:rsidR="009121F2" w:rsidRPr="00AC1AC6" w:rsidRDefault="009121F2" w:rsidP="009121F2">
      <w:pPr>
        <w:pStyle w:val="Normal4"/>
        <w:spacing w:line="23" w:lineRule="atLeast"/>
        <w:ind w:left="1701"/>
        <w:contextualSpacing/>
        <w:jc w:val="both"/>
        <w:rPr>
          <w:rFonts w:ascii="Arial" w:hAnsi="Arial" w:cs="Arial"/>
        </w:rPr>
      </w:pPr>
    </w:p>
    <w:p w14:paraId="211AE269" w14:textId="77777777" w:rsidR="00887DB4" w:rsidRDefault="009121F2" w:rsidP="00AA08AA">
      <w:pPr>
        <w:pStyle w:val="Heading3"/>
        <w:keepNext w:val="0"/>
        <w:keepLines w:val="0"/>
        <w:numPr>
          <w:ilvl w:val="2"/>
          <w:numId w:val="15"/>
        </w:numPr>
        <w:tabs>
          <w:tab w:val="left" w:pos="1134"/>
        </w:tabs>
        <w:spacing w:before="0" w:line="240" w:lineRule="auto"/>
        <w:ind w:hanging="437"/>
        <w:contextualSpacing/>
        <w:jc w:val="both"/>
        <w:rPr>
          <w:rFonts w:ascii="Arial" w:hAnsi="Arial" w:cs="Arial"/>
          <w:color w:val="000000" w:themeColor="text1"/>
        </w:rPr>
      </w:pPr>
      <w:bookmarkStart w:id="73" w:name="_Toc387075122"/>
      <w:bookmarkStart w:id="74" w:name="_Toc15932292"/>
      <w:bookmarkStart w:id="75" w:name="_Toc15991680"/>
      <w:bookmarkStart w:id="76" w:name="_Toc16284597"/>
      <w:r w:rsidRPr="0025066A">
        <w:rPr>
          <w:rFonts w:ascii="Arial" w:hAnsi="Arial" w:cs="Arial"/>
          <w:color w:val="000000" w:themeColor="text1"/>
        </w:rPr>
        <w:t>Elegibilidad de gastos</w:t>
      </w:r>
      <w:bookmarkEnd w:id="73"/>
      <w:bookmarkEnd w:id="74"/>
      <w:bookmarkEnd w:id="75"/>
      <w:bookmarkEnd w:id="76"/>
    </w:p>
    <w:p w14:paraId="1F6C8F2B" w14:textId="77777777" w:rsidR="009121F2" w:rsidRPr="00375216" w:rsidRDefault="009121F2" w:rsidP="009121F2">
      <w:pPr>
        <w:spacing w:after="0" w:line="23" w:lineRule="atLeast"/>
        <w:rPr>
          <w:rFonts w:ascii="Arial" w:hAnsi="Arial" w:cs="Arial"/>
          <w:sz w:val="20"/>
          <w:lang w:val="es-ES"/>
        </w:rPr>
      </w:pPr>
    </w:p>
    <w:p w14:paraId="22BD20DE" w14:textId="77777777" w:rsidR="003827DD" w:rsidRPr="003827DD" w:rsidRDefault="009121F2" w:rsidP="000332E4">
      <w:pPr>
        <w:pStyle w:val="CommentText"/>
        <w:ind w:left="567"/>
        <w:jc w:val="both"/>
        <w:rPr>
          <w:rFonts w:ascii="Arial" w:hAnsi="Arial" w:cs="Arial"/>
        </w:rPr>
      </w:pPr>
      <w:r w:rsidRPr="00375216">
        <w:rPr>
          <w:rFonts w:ascii="Arial" w:hAnsi="Arial" w:cs="Arial"/>
        </w:rPr>
        <w:t xml:space="preserve">Para que un gasto sea considerado elegible, </w:t>
      </w:r>
      <w:r w:rsidR="003827DD">
        <w:rPr>
          <w:rFonts w:ascii="Arial" w:hAnsi="Arial" w:cs="Arial"/>
        </w:rPr>
        <w:t>deberá de cumplir con l</w:t>
      </w:r>
      <w:r w:rsidR="003827DD" w:rsidRPr="003827DD">
        <w:rPr>
          <w:rFonts w:ascii="Arial" w:hAnsi="Arial" w:cs="Arial"/>
        </w:rPr>
        <w:t>o establecido en la Cláusula de las Estipulaciones Especiales del Contrato de Préstamo denominada “Uso de los Recursos del Préstamo”.</w:t>
      </w:r>
    </w:p>
    <w:p w14:paraId="4CA2999F" w14:textId="77777777" w:rsidR="00A91221" w:rsidRPr="000332E4" w:rsidRDefault="00F81018" w:rsidP="000332E4">
      <w:pPr>
        <w:pStyle w:val="Heading2"/>
        <w:numPr>
          <w:ilvl w:val="0"/>
          <w:numId w:val="0"/>
        </w:numPr>
        <w:jc w:val="both"/>
        <w:rPr>
          <w:rFonts w:eastAsia="Calibri" w:cs="Arial"/>
          <w:bCs w:val="0"/>
          <w:sz w:val="22"/>
          <w:szCs w:val="24"/>
          <w:lang w:eastAsia="en-US"/>
        </w:rPr>
      </w:pPr>
      <w:bookmarkStart w:id="77" w:name="_Toc16284598"/>
      <w:r w:rsidRPr="000332E4">
        <w:rPr>
          <w:rFonts w:eastAsia="Calibri" w:cs="Arial"/>
          <w:bCs w:val="0"/>
          <w:sz w:val="22"/>
          <w:szCs w:val="24"/>
          <w:lang w:eastAsia="en-US"/>
        </w:rPr>
        <w:t xml:space="preserve">3.2. </w:t>
      </w:r>
      <w:r w:rsidR="00A91221" w:rsidRPr="000332E4">
        <w:rPr>
          <w:rFonts w:eastAsia="Calibri" w:cs="Arial"/>
          <w:bCs w:val="0"/>
          <w:sz w:val="22"/>
          <w:szCs w:val="24"/>
          <w:lang w:eastAsia="en-US"/>
        </w:rPr>
        <w:t xml:space="preserve">Registro en la Fase de inversión conforme a la normativa del </w:t>
      </w:r>
      <w:r w:rsidR="000E1A90" w:rsidRPr="000332E4">
        <w:rPr>
          <w:rFonts w:eastAsia="Calibri" w:cs="Arial"/>
          <w:bCs w:val="0"/>
          <w:sz w:val="22"/>
          <w:szCs w:val="24"/>
          <w:lang w:eastAsia="en-US"/>
        </w:rPr>
        <w:t xml:space="preserve">Sistema Nacional de Programación Multianual y Gestión de Inversiones </w:t>
      </w:r>
      <w:r w:rsidR="00F64585" w:rsidRPr="000332E4">
        <w:rPr>
          <w:rFonts w:eastAsia="Calibri" w:cs="Arial"/>
          <w:bCs w:val="0"/>
          <w:sz w:val="22"/>
          <w:szCs w:val="24"/>
          <w:lang w:eastAsia="en-US"/>
        </w:rPr>
        <w:t>(Invierte.pe)</w:t>
      </w:r>
      <w:r w:rsidR="00A91221" w:rsidRPr="000332E4">
        <w:rPr>
          <w:rFonts w:eastAsia="Calibri" w:cs="Arial"/>
          <w:bCs w:val="0"/>
          <w:sz w:val="22"/>
          <w:szCs w:val="24"/>
          <w:lang w:eastAsia="en-US"/>
        </w:rPr>
        <w:t>:</w:t>
      </w:r>
      <w:bookmarkEnd w:id="77"/>
    </w:p>
    <w:p w14:paraId="14EC52B7" w14:textId="77777777" w:rsidR="00CB2D50" w:rsidRPr="001B04BA" w:rsidRDefault="00CB2D50" w:rsidP="00CB2D50">
      <w:pPr>
        <w:pStyle w:val="Heading3"/>
        <w:numPr>
          <w:ilvl w:val="0"/>
          <w:numId w:val="0"/>
        </w:numPr>
        <w:ind w:left="360"/>
        <w:jc w:val="both"/>
        <w:rPr>
          <w:rFonts w:ascii="Arial" w:eastAsiaTheme="minorHAnsi" w:hAnsi="Arial" w:cs="Arial"/>
          <w:bCs w:val="0"/>
          <w:color w:val="auto"/>
          <w:lang w:eastAsia="en-US"/>
        </w:rPr>
      </w:pPr>
      <w:bookmarkStart w:id="78" w:name="_Toc10475016"/>
      <w:bookmarkStart w:id="79" w:name="_Toc15932294"/>
      <w:bookmarkStart w:id="80" w:name="_Toc15991682"/>
      <w:bookmarkStart w:id="81" w:name="_Toc16284599"/>
      <w:r w:rsidRPr="001B04BA">
        <w:rPr>
          <w:rFonts w:ascii="Arial" w:eastAsiaTheme="minorHAnsi" w:hAnsi="Arial" w:cs="Arial"/>
          <w:bCs w:val="0"/>
          <w:color w:val="auto"/>
          <w:lang w:eastAsia="en-US"/>
        </w:rPr>
        <w:t xml:space="preserve">3.2.1 Registro en Banco de </w:t>
      </w:r>
      <w:r w:rsidR="002B7FA8">
        <w:rPr>
          <w:rFonts w:ascii="Arial" w:eastAsiaTheme="minorHAnsi" w:hAnsi="Arial" w:cs="Arial"/>
          <w:bCs w:val="0"/>
          <w:color w:val="auto"/>
          <w:lang w:eastAsia="en-US"/>
        </w:rPr>
        <w:t>Programa</w:t>
      </w:r>
      <w:r w:rsidRPr="001B04BA">
        <w:rPr>
          <w:rFonts w:ascii="Arial" w:eastAsiaTheme="minorHAnsi" w:hAnsi="Arial" w:cs="Arial"/>
          <w:bCs w:val="0"/>
          <w:color w:val="auto"/>
          <w:lang w:eastAsia="en-US"/>
        </w:rPr>
        <w:t xml:space="preserve">s de la consistencia entre el Estudio Definitivo o Expediente Técnico detallado y el estudio de </w:t>
      </w:r>
      <w:proofErr w:type="gramStart"/>
      <w:r w:rsidRPr="001B04BA">
        <w:rPr>
          <w:rFonts w:ascii="Arial" w:eastAsiaTheme="minorHAnsi" w:hAnsi="Arial" w:cs="Arial"/>
          <w:bCs w:val="0"/>
          <w:color w:val="auto"/>
          <w:lang w:eastAsia="en-US"/>
        </w:rPr>
        <w:t>pre</w:t>
      </w:r>
      <w:r w:rsidR="00AD535E">
        <w:rPr>
          <w:rFonts w:ascii="Arial" w:eastAsiaTheme="minorHAnsi" w:hAnsi="Arial" w:cs="Arial"/>
          <w:bCs w:val="0"/>
          <w:color w:val="auto"/>
          <w:lang w:eastAsia="en-US"/>
        </w:rPr>
        <w:t xml:space="preserve"> </w:t>
      </w:r>
      <w:r w:rsidRPr="001B04BA">
        <w:rPr>
          <w:rFonts w:ascii="Arial" w:eastAsiaTheme="minorHAnsi" w:hAnsi="Arial" w:cs="Arial"/>
          <w:bCs w:val="0"/>
          <w:color w:val="auto"/>
          <w:lang w:eastAsia="en-US"/>
        </w:rPr>
        <w:t>inversión</w:t>
      </w:r>
      <w:proofErr w:type="gramEnd"/>
      <w:r w:rsidRPr="001B04BA">
        <w:rPr>
          <w:rFonts w:ascii="Arial" w:eastAsiaTheme="minorHAnsi" w:hAnsi="Arial" w:cs="Arial"/>
          <w:bCs w:val="0"/>
          <w:color w:val="auto"/>
          <w:lang w:eastAsia="en-US"/>
        </w:rPr>
        <w:t xml:space="preserve"> por el que se otorgó la viabilidad:</w:t>
      </w:r>
      <w:bookmarkEnd w:id="78"/>
      <w:bookmarkEnd w:id="79"/>
      <w:bookmarkEnd w:id="80"/>
      <w:bookmarkEnd w:id="81"/>
    </w:p>
    <w:p w14:paraId="492DE3D0" w14:textId="77777777" w:rsidR="00A91221" w:rsidRPr="00375216" w:rsidRDefault="000332E4" w:rsidP="00AA08AA">
      <w:pPr>
        <w:pStyle w:val="ListParagraph"/>
        <w:numPr>
          <w:ilvl w:val="0"/>
          <w:numId w:val="20"/>
        </w:numPr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El equipo técnico</w:t>
      </w:r>
      <w:r w:rsidR="00C53490" w:rsidRPr="00375216">
        <w:rPr>
          <w:rFonts w:ascii="Arial" w:eastAsiaTheme="minorHAnsi" w:hAnsi="Arial" w:cs="Arial"/>
          <w:sz w:val="20"/>
          <w:lang w:eastAsia="en-US"/>
        </w:rPr>
        <w:t xml:space="preserve"> es responsable de elaborar los estudios definitivos e informes correspondientes, los cuales deben de contener, entre otros; el Formato de Consistencia entre el Estudio Definitivo y el documento mediante el cual se declaró la viabilidad, así como el Formato de Registro de Modificaciones en la Fase de Ejecución con el informe de sustento correspondiente. </w:t>
      </w:r>
    </w:p>
    <w:p w14:paraId="00897849" w14:textId="0CD6469A" w:rsidR="00A91221" w:rsidRPr="00375216" w:rsidRDefault="000332E4" w:rsidP="00AA08AA">
      <w:pPr>
        <w:pStyle w:val="ListParagraph"/>
        <w:numPr>
          <w:ilvl w:val="0"/>
          <w:numId w:val="20"/>
        </w:numPr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El equipo técnico</w:t>
      </w:r>
      <w:r w:rsidR="00C53490" w:rsidRPr="00375216">
        <w:rPr>
          <w:rFonts w:ascii="Arial" w:eastAsiaTheme="minorHAnsi" w:hAnsi="Arial" w:cs="Arial"/>
          <w:sz w:val="20"/>
          <w:lang w:eastAsia="en-US"/>
        </w:rPr>
        <w:t xml:space="preserve">, </w:t>
      </w:r>
      <w:proofErr w:type="gramStart"/>
      <w:r w:rsidR="00C53490" w:rsidRPr="00375216">
        <w:rPr>
          <w:rFonts w:ascii="Arial" w:eastAsiaTheme="minorHAnsi" w:hAnsi="Arial" w:cs="Arial"/>
          <w:sz w:val="20"/>
          <w:lang w:eastAsia="en-US"/>
        </w:rPr>
        <w:t>en caso que</w:t>
      </w:r>
      <w:proofErr w:type="gramEnd"/>
      <w:r w:rsidR="00C53490" w:rsidRPr="00375216">
        <w:rPr>
          <w:rFonts w:ascii="Arial" w:eastAsiaTheme="minorHAnsi" w:hAnsi="Arial" w:cs="Arial"/>
          <w:sz w:val="20"/>
          <w:lang w:eastAsia="en-US"/>
        </w:rPr>
        <w:t xml:space="preserve"> no se presenten modificaciones en la Fase de Ejecución derivará el expediente del Estudio Definitivo a la </w:t>
      </w:r>
      <w:r w:rsidR="002F51C3">
        <w:rPr>
          <w:rFonts w:ascii="Arial" w:eastAsiaTheme="minorHAnsi" w:hAnsi="Arial" w:cs="Arial"/>
          <w:sz w:val="20"/>
          <w:lang w:eastAsia="en-US"/>
        </w:rPr>
        <w:t>Coordinación</w:t>
      </w:r>
      <w:r>
        <w:rPr>
          <w:rFonts w:ascii="Arial" w:eastAsiaTheme="minorHAnsi" w:hAnsi="Arial" w:cs="Arial"/>
          <w:sz w:val="20"/>
          <w:lang w:eastAsia="en-US"/>
        </w:rPr>
        <w:t xml:space="preserve"> </w:t>
      </w:r>
      <w:r w:rsidR="00BA4660">
        <w:rPr>
          <w:rFonts w:ascii="Arial" w:eastAsiaTheme="minorHAnsi" w:hAnsi="Arial" w:cs="Arial"/>
          <w:sz w:val="20"/>
          <w:lang w:eastAsia="en-US"/>
        </w:rPr>
        <w:t>del EDG</w:t>
      </w:r>
      <w:r w:rsidR="002F51C3">
        <w:rPr>
          <w:rFonts w:ascii="Arial" w:eastAsiaTheme="minorHAnsi" w:hAnsi="Arial" w:cs="Arial"/>
          <w:sz w:val="20"/>
          <w:lang w:eastAsia="en-US"/>
        </w:rPr>
        <w:t>002</w:t>
      </w:r>
      <w:r w:rsidR="00C53490" w:rsidRPr="00375216">
        <w:rPr>
          <w:rFonts w:ascii="Arial" w:eastAsiaTheme="minorHAnsi" w:hAnsi="Arial" w:cs="Arial"/>
          <w:sz w:val="20"/>
          <w:lang w:eastAsia="en-US"/>
        </w:rPr>
        <w:t xml:space="preserve"> para que, en </w:t>
      </w:r>
      <w:r w:rsidR="00C53490" w:rsidRPr="00375216">
        <w:rPr>
          <w:rFonts w:ascii="Arial" w:eastAsiaTheme="minorHAnsi" w:hAnsi="Arial" w:cs="Arial"/>
          <w:sz w:val="20"/>
          <w:lang w:eastAsia="en-US"/>
        </w:rPr>
        <w:lastRenderedPageBreak/>
        <w:t>su calidad de Unidad Ejecutora de Inversiones (UEI), lo remita a la Unidad Formuladora para la evaluación y registro correspondiente en el Banco de Inversiones.</w:t>
      </w:r>
    </w:p>
    <w:p w14:paraId="34D83434" w14:textId="47015CDD" w:rsidR="00A91221" w:rsidRPr="00375216" w:rsidRDefault="00C53490" w:rsidP="00AA08AA">
      <w:pPr>
        <w:pStyle w:val="ListParagraph"/>
        <w:numPr>
          <w:ilvl w:val="0"/>
          <w:numId w:val="20"/>
        </w:numPr>
        <w:jc w:val="both"/>
        <w:rPr>
          <w:rFonts w:ascii="Arial" w:eastAsiaTheme="minorHAnsi" w:hAnsi="Arial" w:cs="Arial"/>
          <w:sz w:val="20"/>
          <w:lang w:eastAsia="en-US"/>
        </w:rPr>
      </w:pPr>
      <w:r w:rsidRPr="00375216">
        <w:rPr>
          <w:rFonts w:ascii="Arial" w:eastAsiaTheme="minorHAnsi" w:hAnsi="Arial" w:cs="Arial"/>
          <w:sz w:val="20"/>
          <w:lang w:eastAsia="en-US"/>
        </w:rPr>
        <w:t xml:space="preserve">En caso se presenten modificaciones en la Fase de Ejecución, </w:t>
      </w:r>
      <w:r w:rsidR="000332E4">
        <w:rPr>
          <w:rFonts w:ascii="Arial" w:eastAsiaTheme="minorHAnsi" w:hAnsi="Arial" w:cs="Arial"/>
          <w:sz w:val="20"/>
          <w:lang w:eastAsia="en-US"/>
        </w:rPr>
        <w:t>el equipo técnico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 derivará el expediente del Estudio Definitivo a la </w:t>
      </w:r>
      <w:r w:rsidR="002F51C3">
        <w:rPr>
          <w:rFonts w:ascii="Arial" w:eastAsiaTheme="minorHAnsi" w:hAnsi="Arial" w:cs="Arial"/>
          <w:sz w:val="20"/>
          <w:lang w:eastAsia="en-US"/>
        </w:rPr>
        <w:t>Coordinación</w:t>
      </w:r>
      <w:r w:rsidR="000332E4">
        <w:rPr>
          <w:rFonts w:ascii="Arial" w:eastAsiaTheme="minorHAnsi" w:hAnsi="Arial" w:cs="Arial"/>
          <w:sz w:val="20"/>
          <w:lang w:eastAsia="en-US"/>
        </w:rPr>
        <w:t xml:space="preserve"> </w:t>
      </w:r>
      <w:r w:rsidR="00BA4660">
        <w:rPr>
          <w:rFonts w:ascii="Arial" w:eastAsiaTheme="minorHAnsi" w:hAnsi="Arial" w:cs="Arial"/>
          <w:sz w:val="20"/>
          <w:lang w:eastAsia="en-US"/>
        </w:rPr>
        <w:t>del EDG</w:t>
      </w:r>
      <w:r w:rsidR="002F51C3">
        <w:rPr>
          <w:rFonts w:ascii="Arial" w:eastAsiaTheme="minorHAnsi" w:hAnsi="Arial" w:cs="Arial"/>
          <w:sz w:val="20"/>
          <w:lang w:eastAsia="en-US"/>
        </w:rPr>
        <w:t>002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, para que en su calidad de UEI solicite, ante la Unidad Formuladora, la evaluación de las modificaciones al </w:t>
      </w:r>
      <w:r w:rsidR="002B7FA8">
        <w:rPr>
          <w:rFonts w:ascii="Arial" w:eastAsiaTheme="minorHAnsi" w:hAnsi="Arial" w:cs="Arial"/>
          <w:sz w:val="20"/>
          <w:lang w:eastAsia="en-US"/>
        </w:rPr>
        <w:t>Programa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 y el registro correspondiente en el Banco de Inversiones. </w:t>
      </w:r>
    </w:p>
    <w:p w14:paraId="655784C2" w14:textId="77777777" w:rsidR="00CB2D50" w:rsidRPr="001B04BA" w:rsidRDefault="00CB2D50" w:rsidP="00CB2D50">
      <w:pPr>
        <w:pStyle w:val="Heading3"/>
        <w:numPr>
          <w:ilvl w:val="0"/>
          <w:numId w:val="0"/>
        </w:numPr>
        <w:ind w:firstLine="360"/>
        <w:rPr>
          <w:rFonts w:ascii="Arial" w:eastAsiaTheme="minorHAnsi" w:hAnsi="Arial" w:cs="Arial"/>
          <w:bCs w:val="0"/>
          <w:color w:val="auto"/>
          <w:lang w:eastAsia="en-US"/>
        </w:rPr>
      </w:pPr>
      <w:bookmarkStart w:id="82" w:name="_Toc10475017"/>
      <w:bookmarkStart w:id="83" w:name="_Toc15932295"/>
      <w:bookmarkStart w:id="84" w:name="_Toc15991683"/>
      <w:bookmarkStart w:id="85" w:name="_Toc16284600"/>
      <w:r w:rsidRPr="00375216">
        <w:rPr>
          <w:rFonts w:ascii="Arial" w:eastAsiaTheme="minorHAnsi" w:hAnsi="Arial" w:cs="Arial"/>
          <w:bCs w:val="0"/>
          <w:color w:val="auto"/>
          <w:lang w:eastAsia="en-US"/>
        </w:rPr>
        <w:t xml:space="preserve">3.2.2 Registro en Banco de </w:t>
      </w:r>
      <w:r w:rsidR="002B7FA8">
        <w:rPr>
          <w:rFonts w:ascii="Arial" w:eastAsiaTheme="minorHAnsi" w:hAnsi="Arial" w:cs="Arial"/>
          <w:bCs w:val="0"/>
          <w:color w:val="auto"/>
          <w:lang w:eastAsia="en-US"/>
        </w:rPr>
        <w:t>Programa</w:t>
      </w:r>
      <w:r w:rsidRPr="00375216">
        <w:rPr>
          <w:rFonts w:ascii="Arial" w:eastAsiaTheme="minorHAnsi" w:hAnsi="Arial" w:cs="Arial"/>
          <w:bCs w:val="0"/>
          <w:color w:val="auto"/>
          <w:lang w:eastAsia="en-US"/>
        </w:rPr>
        <w:t>s de resultados de procesos de selección:</w:t>
      </w:r>
      <w:bookmarkEnd w:id="82"/>
      <w:bookmarkEnd w:id="83"/>
      <w:bookmarkEnd w:id="84"/>
      <w:bookmarkEnd w:id="85"/>
    </w:p>
    <w:p w14:paraId="698CF1F6" w14:textId="3169DE9E" w:rsidR="00CB2D50" w:rsidRPr="00375216" w:rsidRDefault="00CB2D50" w:rsidP="00AA08AA">
      <w:pPr>
        <w:pStyle w:val="ListParagraph"/>
        <w:numPr>
          <w:ilvl w:val="0"/>
          <w:numId w:val="21"/>
        </w:numPr>
        <w:jc w:val="both"/>
        <w:rPr>
          <w:rFonts w:ascii="Arial" w:eastAsiaTheme="minorHAnsi" w:hAnsi="Arial" w:cs="Arial"/>
          <w:sz w:val="20"/>
          <w:lang w:eastAsia="en-US"/>
        </w:rPr>
      </w:pPr>
      <w:r w:rsidRPr="00375216">
        <w:rPr>
          <w:rFonts w:ascii="Arial" w:eastAsiaTheme="minorHAnsi" w:hAnsi="Arial" w:cs="Arial"/>
          <w:sz w:val="20"/>
          <w:lang w:eastAsia="en-US"/>
        </w:rPr>
        <w:t>Implementado el proceso de selección y adjudicado la buena pro de dicho proceso,</w:t>
      </w:r>
      <w:r w:rsidR="00472A11">
        <w:rPr>
          <w:rFonts w:ascii="Arial" w:eastAsiaTheme="minorHAnsi" w:hAnsi="Arial" w:cs="Arial"/>
          <w:sz w:val="20"/>
          <w:lang w:eastAsia="en-US"/>
        </w:rPr>
        <w:t xml:space="preserve"> el Especialista de Adquisiciones</w:t>
      </w:r>
      <w:r w:rsidR="00C53490" w:rsidRPr="00375216">
        <w:rPr>
          <w:rFonts w:ascii="Arial" w:eastAsiaTheme="minorHAnsi" w:hAnsi="Arial" w:cs="Arial"/>
          <w:sz w:val="20"/>
          <w:lang w:eastAsia="en-US"/>
        </w:rPr>
        <w:t xml:space="preserve"> </w:t>
      </w:r>
      <w:r w:rsidR="005A5446">
        <w:rPr>
          <w:rFonts w:ascii="Arial" w:eastAsiaTheme="minorHAnsi" w:hAnsi="Arial" w:cs="Arial"/>
          <w:sz w:val="20"/>
          <w:lang w:eastAsia="en-US"/>
        </w:rPr>
        <w:t xml:space="preserve">informa </w:t>
      </w:r>
      <w:r w:rsidR="002135F7" w:rsidRPr="00375216">
        <w:rPr>
          <w:rFonts w:ascii="Arial" w:eastAsiaTheme="minorHAnsi" w:hAnsi="Arial" w:cs="Arial"/>
          <w:sz w:val="20"/>
          <w:lang w:eastAsia="en-US"/>
        </w:rPr>
        <w:t xml:space="preserve">a la </w:t>
      </w:r>
      <w:r w:rsidR="002F51C3">
        <w:rPr>
          <w:rFonts w:ascii="Arial" w:eastAsiaTheme="minorHAnsi" w:hAnsi="Arial" w:cs="Arial"/>
          <w:sz w:val="20"/>
          <w:lang w:eastAsia="en-US"/>
        </w:rPr>
        <w:t>Coordinación</w:t>
      </w:r>
      <w:r w:rsidR="000332E4">
        <w:rPr>
          <w:rFonts w:ascii="Arial" w:eastAsiaTheme="minorHAnsi" w:hAnsi="Arial" w:cs="Arial"/>
          <w:sz w:val="20"/>
          <w:lang w:eastAsia="en-US"/>
        </w:rPr>
        <w:t xml:space="preserve"> </w:t>
      </w:r>
      <w:r w:rsidR="00BA4660">
        <w:rPr>
          <w:rFonts w:ascii="Arial" w:eastAsiaTheme="minorHAnsi" w:hAnsi="Arial" w:cs="Arial"/>
          <w:sz w:val="20"/>
          <w:lang w:eastAsia="en-US"/>
        </w:rPr>
        <w:t>del EDG</w:t>
      </w:r>
      <w:r w:rsidR="002F51C3">
        <w:rPr>
          <w:rFonts w:ascii="Arial" w:eastAsiaTheme="minorHAnsi" w:hAnsi="Arial" w:cs="Arial"/>
          <w:sz w:val="20"/>
          <w:lang w:eastAsia="en-US"/>
        </w:rPr>
        <w:t>002</w:t>
      </w:r>
      <w:r w:rsidR="00C53490" w:rsidRPr="00375216">
        <w:rPr>
          <w:rFonts w:ascii="Arial" w:eastAsiaTheme="minorHAnsi" w:hAnsi="Arial" w:cs="Arial"/>
          <w:sz w:val="20"/>
          <w:lang w:eastAsia="en-US"/>
        </w:rPr>
        <w:t xml:space="preserve"> y </w:t>
      </w:r>
      <w:r w:rsidR="000332E4">
        <w:rPr>
          <w:rFonts w:ascii="Arial" w:eastAsiaTheme="minorHAnsi" w:hAnsi="Arial" w:cs="Arial"/>
          <w:sz w:val="20"/>
          <w:lang w:eastAsia="en-US"/>
        </w:rPr>
        <w:t>al responsable técnico</w:t>
      </w:r>
      <w:r w:rsidR="00C53490" w:rsidRPr="00375216">
        <w:rPr>
          <w:rFonts w:ascii="Arial" w:eastAsiaTheme="minorHAnsi" w:hAnsi="Arial" w:cs="Arial"/>
          <w:sz w:val="20"/>
          <w:lang w:eastAsia="en-US"/>
        </w:rPr>
        <w:t xml:space="preserve"> </w:t>
      </w:r>
      <w:r w:rsidRPr="00375216">
        <w:rPr>
          <w:rFonts w:ascii="Arial" w:eastAsiaTheme="minorHAnsi" w:hAnsi="Arial" w:cs="Arial"/>
          <w:sz w:val="20"/>
          <w:lang w:eastAsia="en-US"/>
        </w:rPr>
        <w:t>el resultado del proceso de selección.</w:t>
      </w:r>
    </w:p>
    <w:p w14:paraId="5F2B46AD" w14:textId="7AB7EB56" w:rsidR="00CB2D50" w:rsidRPr="00375216" w:rsidRDefault="00C53490" w:rsidP="00AA08AA">
      <w:pPr>
        <w:pStyle w:val="ListParagraph"/>
        <w:numPr>
          <w:ilvl w:val="0"/>
          <w:numId w:val="21"/>
        </w:numPr>
        <w:jc w:val="both"/>
        <w:rPr>
          <w:rFonts w:ascii="Arial" w:eastAsiaTheme="minorHAnsi" w:hAnsi="Arial" w:cs="Arial"/>
          <w:sz w:val="20"/>
          <w:lang w:eastAsia="en-US"/>
        </w:rPr>
      </w:pPr>
      <w:r w:rsidRPr="00375216">
        <w:rPr>
          <w:rFonts w:ascii="Arial" w:eastAsiaTheme="minorHAnsi" w:hAnsi="Arial" w:cs="Arial"/>
          <w:sz w:val="20"/>
          <w:lang w:eastAsia="en-US"/>
        </w:rPr>
        <w:t xml:space="preserve">Si como resultado del proceso de selección se adjudicó la buena pro a igual valor al registrado en el Banco de Inversiones, </w:t>
      </w:r>
      <w:r w:rsidR="00472A11">
        <w:rPr>
          <w:rFonts w:ascii="Arial" w:eastAsiaTheme="minorHAnsi" w:hAnsi="Arial" w:cs="Arial"/>
          <w:sz w:val="20"/>
          <w:lang w:eastAsia="en-US"/>
        </w:rPr>
        <w:t xml:space="preserve">el Especialista de Adquisiciones 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se encuentra expedita para tramitar ante la </w:t>
      </w:r>
      <w:r w:rsidR="002F51C3">
        <w:rPr>
          <w:rFonts w:ascii="Arial" w:eastAsiaTheme="minorHAnsi" w:hAnsi="Arial" w:cs="Arial"/>
          <w:sz w:val="20"/>
          <w:lang w:eastAsia="en-US"/>
        </w:rPr>
        <w:t>Coordinación</w:t>
      </w:r>
      <w:r w:rsidR="000332E4">
        <w:rPr>
          <w:rFonts w:ascii="Arial" w:eastAsiaTheme="minorHAnsi" w:hAnsi="Arial" w:cs="Arial"/>
          <w:sz w:val="20"/>
          <w:lang w:eastAsia="en-US"/>
        </w:rPr>
        <w:t xml:space="preserve"> </w:t>
      </w:r>
      <w:r w:rsidR="00BA4660">
        <w:rPr>
          <w:rFonts w:ascii="Arial" w:eastAsiaTheme="minorHAnsi" w:hAnsi="Arial" w:cs="Arial"/>
          <w:sz w:val="20"/>
          <w:lang w:eastAsia="en-US"/>
        </w:rPr>
        <w:t>del EDG</w:t>
      </w:r>
      <w:r w:rsidR="002F51C3">
        <w:rPr>
          <w:rFonts w:ascii="Arial" w:eastAsiaTheme="minorHAnsi" w:hAnsi="Arial" w:cs="Arial"/>
          <w:sz w:val="20"/>
          <w:lang w:eastAsia="en-US"/>
        </w:rPr>
        <w:t>002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 la suscripción del contrato correspondiente con las formalidades que para dicho trámite se exige, previa remisión de la documentación para conocimiento de la Unidad Formuladora</w:t>
      </w:r>
      <w:r w:rsidR="002135F7" w:rsidRPr="00375216">
        <w:rPr>
          <w:rFonts w:ascii="Arial" w:eastAsiaTheme="minorHAnsi" w:hAnsi="Arial" w:cs="Arial"/>
          <w:sz w:val="20"/>
          <w:lang w:eastAsia="en-US"/>
        </w:rPr>
        <w:t>.</w:t>
      </w:r>
    </w:p>
    <w:p w14:paraId="1A4352A9" w14:textId="439F3B44" w:rsidR="003827DD" w:rsidRPr="00375216" w:rsidRDefault="003827DD" w:rsidP="00AA08AA">
      <w:pPr>
        <w:pStyle w:val="ListParagraph"/>
        <w:numPr>
          <w:ilvl w:val="0"/>
          <w:numId w:val="21"/>
        </w:numPr>
        <w:jc w:val="both"/>
        <w:rPr>
          <w:rFonts w:ascii="Arial" w:eastAsiaTheme="minorHAnsi" w:hAnsi="Arial" w:cs="Arial"/>
          <w:sz w:val="20"/>
          <w:lang w:eastAsia="en-US"/>
        </w:rPr>
      </w:pPr>
      <w:r w:rsidRPr="00375216">
        <w:rPr>
          <w:rFonts w:ascii="Arial" w:eastAsiaTheme="minorHAnsi" w:hAnsi="Arial" w:cs="Arial"/>
          <w:sz w:val="20"/>
          <w:lang w:eastAsia="en-US"/>
        </w:rPr>
        <w:t xml:space="preserve">En el caso que, como resultado del proceso de selección, se adjudique a un valor diferente al determinado en el estudio definitivo, </w:t>
      </w:r>
      <w:r w:rsidR="000332E4">
        <w:rPr>
          <w:rFonts w:ascii="Arial" w:eastAsiaTheme="minorHAnsi" w:hAnsi="Arial" w:cs="Arial"/>
          <w:sz w:val="20"/>
          <w:lang w:eastAsia="en-US"/>
        </w:rPr>
        <w:t>el responsable técnico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, en base a la información proporcionada </w:t>
      </w:r>
      <w:r>
        <w:rPr>
          <w:rFonts w:ascii="Arial" w:eastAsiaTheme="minorHAnsi" w:hAnsi="Arial" w:cs="Arial"/>
          <w:sz w:val="20"/>
          <w:lang w:eastAsia="en-US"/>
        </w:rPr>
        <w:t>por el Especialista de Adquisiciones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, elabora un informe indicando el impacto del resultado del proceso de selección en el valor total de inversión del proyecto y lo deriva a la </w:t>
      </w:r>
      <w:r w:rsidR="002F51C3">
        <w:rPr>
          <w:rFonts w:ascii="Arial" w:eastAsiaTheme="minorHAnsi" w:hAnsi="Arial" w:cs="Arial"/>
          <w:sz w:val="20"/>
          <w:lang w:eastAsia="en-US"/>
        </w:rPr>
        <w:t>Coordinación</w:t>
      </w:r>
      <w:r w:rsidR="000332E4">
        <w:rPr>
          <w:rFonts w:ascii="Arial" w:eastAsiaTheme="minorHAnsi" w:hAnsi="Arial" w:cs="Arial"/>
          <w:sz w:val="20"/>
          <w:lang w:eastAsia="en-US"/>
        </w:rPr>
        <w:t xml:space="preserve"> </w:t>
      </w:r>
      <w:r w:rsidR="00BA4660">
        <w:rPr>
          <w:rFonts w:ascii="Arial" w:eastAsiaTheme="minorHAnsi" w:hAnsi="Arial" w:cs="Arial"/>
          <w:sz w:val="20"/>
          <w:lang w:eastAsia="en-US"/>
        </w:rPr>
        <w:t>del EDG</w:t>
      </w:r>
      <w:r w:rsidR="002F51C3">
        <w:rPr>
          <w:rFonts w:ascii="Arial" w:eastAsiaTheme="minorHAnsi" w:hAnsi="Arial" w:cs="Arial"/>
          <w:sz w:val="20"/>
          <w:lang w:eastAsia="en-US"/>
        </w:rPr>
        <w:t>002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, quien lo hace suyo en su calidad de Unidad Ejecutora de Inversiones (UEI) y lo remite a la Unidad Formuladora. </w:t>
      </w:r>
      <w:r>
        <w:rPr>
          <w:rFonts w:ascii="Arial" w:eastAsiaTheme="minorHAnsi" w:hAnsi="Arial" w:cs="Arial"/>
          <w:sz w:val="20"/>
          <w:lang w:eastAsia="en-US"/>
        </w:rPr>
        <w:t xml:space="preserve">El solo hecho de obtener del </w:t>
      </w:r>
      <w:r w:rsidRPr="00A96659">
        <w:rPr>
          <w:rFonts w:ascii="Arial" w:eastAsiaTheme="minorHAnsi" w:hAnsi="Arial" w:cs="Arial"/>
          <w:sz w:val="20"/>
          <w:lang w:eastAsia="en-US"/>
        </w:rPr>
        <w:t xml:space="preserve">del proceso de selección </w:t>
      </w:r>
      <w:r>
        <w:rPr>
          <w:rFonts w:ascii="Arial" w:eastAsiaTheme="minorHAnsi" w:hAnsi="Arial" w:cs="Arial"/>
          <w:sz w:val="20"/>
          <w:lang w:eastAsia="en-US"/>
        </w:rPr>
        <w:t xml:space="preserve">un valor diferente de lo </w:t>
      </w:r>
      <w:r w:rsidRPr="00A96659">
        <w:rPr>
          <w:rFonts w:ascii="Arial" w:eastAsiaTheme="minorHAnsi" w:hAnsi="Arial" w:cs="Arial"/>
          <w:sz w:val="20"/>
          <w:lang w:eastAsia="en-US"/>
        </w:rPr>
        <w:t>determinado en el estudio definitivo</w:t>
      </w:r>
      <w:r>
        <w:rPr>
          <w:rFonts w:ascii="Arial" w:eastAsiaTheme="minorHAnsi" w:hAnsi="Arial" w:cs="Arial"/>
          <w:sz w:val="20"/>
          <w:lang w:eastAsia="en-US"/>
        </w:rPr>
        <w:t xml:space="preserve"> no es motivo suficiente para no adjudicar</w:t>
      </w:r>
      <w:r>
        <w:rPr>
          <w:rFonts w:ascii="Arial" w:eastAsiaTheme="minorHAnsi" w:hAnsi="Arial" w:cs="Arial"/>
          <w:sz w:val="20"/>
          <w:lang w:val="es-ES" w:eastAsia="en-US"/>
        </w:rPr>
        <w:t>.</w:t>
      </w:r>
    </w:p>
    <w:p w14:paraId="23C6E1E2" w14:textId="0A7690D3" w:rsidR="006E2DC9" w:rsidRDefault="00CB2D50" w:rsidP="00AA08AA">
      <w:pPr>
        <w:pStyle w:val="ListParagraph"/>
        <w:numPr>
          <w:ilvl w:val="0"/>
          <w:numId w:val="21"/>
        </w:numPr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 w:rsidRPr="00375216">
        <w:rPr>
          <w:rFonts w:ascii="Arial" w:eastAsiaTheme="minorHAnsi" w:hAnsi="Arial" w:cs="Arial"/>
          <w:sz w:val="20"/>
          <w:lang w:eastAsia="en-US"/>
        </w:rPr>
        <w:t>Señalar</w:t>
      </w:r>
      <w:proofErr w:type="gramEnd"/>
      <w:r w:rsidRPr="00375216">
        <w:rPr>
          <w:rFonts w:ascii="Arial" w:eastAsiaTheme="minorHAnsi" w:hAnsi="Arial" w:cs="Arial"/>
          <w:sz w:val="20"/>
          <w:lang w:eastAsia="en-US"/>
        </w:rPr>
        <w:t xml:space="preserve"> que en el supuesto considerado en el ítem b) del presente numeral, a la sola adjudicación de la buena pro, </w:t>
      </w:r>
      <w:r w:rsidR="00472A11">
        <w:rPr>
          <w:rFonts w:ascii="Arial" w:eastAsiaTheme="minorHAnsi" w:hAnsi="Arial" w:cs="Arial"/>
          <w:sz w:val="20"/>
          <w:lang w:eastAsia="en-US"/>
        </w:rPr>
        <w:t>el Especialista de Adquisiciones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 se encuentra expedit</w:t>
      </w:r>
      <w:r w:rsidR="00472A11">
        <w:rPr>
          <w:rFonts w:ascii="Arial" w:eastAsiaTheme="minorHAnsi" w:hAnsi="Arial" w:cs="Arial"/>
          <w:sz w:val="20"/>
          <w:lang w:eastAsia="en-US"/>
        </w:rPr>
        <w:t>o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 para tramitar ante la </w:t>
      </w:r>
      <w:r w:rsidR="002F51C3">
        <w:rPr>
          <w:rFonts w:ascii="Arial" w:eastAsiaTheme="minorHAnsi" w:hAnsi="Arial" w:cs="Arial"/>
          <w:sz w:val="20"/>
          <w:lang w:eastAsia="en-US"/>
        </w:rPr>
        <w:t>Coordinación</w:t>
      </w:r>
      <w:r w:rsidR="000332E4">
        <w:rPr>
          <w:rFonts w:ascii="Arial" w:eastAsiaTheme="minorHAnsi" w:hAnsi="Arial" w:cs="Arial"/>
          <w:sz w:val="20"/>
          <w:lang w:eastAsia="en-US"/>
        </w:rPr>
        <w:t xml:space="preserve"> </w:t>
      </w:r>
      <w:r w:rsidR="00BA4660">
        <w:rPr>
          <w:rFonts w:ascii="Arial" w:eastAsiaTheme="minorHAnsi" w:hAnsi="Arial" w:cs="Arial"/>
          <w:sz w:val="20"/>
          <w:lang w:eastAsia="en-US"/>
        </w:rPr>
        <w:t>del EDG</w:t>
      </w:r>
      <w:r w:rsidR="002F51C3">
        <w:rPr>
          <w:rFonts w:ascii="Arial" w:eastAsiaTheme="minorHAnsi" w:hAnsi="Arial" w:cs="Arial"/>
          <w:sz w:val="20"/>
          <w:lang w:eastAsia="en-US"/>
        </w:rPr>
        <w:t>002</w:t>
      </w:r>
      <w:r w:rsidR="0018389C" w:rsidRPr="00375216">
        <w:rPr>
          <w:rFonts w:ascii="Arial" w:eastAsiaTheme="minorHAnsi" w:hAnsi="Arial" w:cs="Arial"/>
          <w:sz w:val="20"/>
          <w:lang w:eastAsia="en-US"/>
        </w:rPr>
        <w:t xml:space="preserve"> 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la suscripción del contrato correspondiente con las formalidades que para dicho trámite se exige. En el supuesto consignado en el ítem c), del presente numeral, se deberá esperar que la </w:t>
      </w:r>
      <w:r w:rsidR="0018389C" w:rsidRPr="00375216">
        <w:rPr>
          <w:rFonts w:ascii="Arial" w:eastAsiaTheme="minorHAnsi" w:hAnsi="Arial" w:cs="Arial"/>
          <w:sz w:val="20"/>
          <w:lang w:eastAsia="en-US"/>
        </w:rPr>
        <w:t xml:space="preserve">Unidad Formuladora </w:t>
      </w:r>
      <w:r w:rsidRPr="00375216">
        <w:rPr>
          <w:rFonts w:ascii="Arial" w:eastAsiaTheme="minorHAnsi" w:hAnsi="Arial" w:cs="Arial"/>
          <w:sz w:val="20"/>
          <w:lang w:eastAsia="en-US"/>
        </w:rPr>
        <w:t>comunique el registro del resultado del proceso de</w:t>
      </w:r>
      <w:r w:rsidR="00692E82" w:rsidRPr="00375216">
        <w:rPr>
          <w:rFonts w:ascii="Arial" w:eastAsiaTheme="minorHAnsi" w:hAnsi="Arial" w:cs="Arial"/>
          <w:sz w:val="20"/>
          <w:lang w:eastAsia="en-US"/>
        </w:rPr>
        <w:t xml:space="preserve"> </w:t>
      </w:r>
      <w:r w:rsidRPr="00375216">
        <w:rPr>
          <w:rFonts w:ascii="Arial" w:eastAsiaTheme="minorHAnsi" w:hAnsi="Arial" w:cs="Arial"/>
          <w:sz w:val="20"/>
          <w:lang w:eastAsia="en-US"/>
        </w:rPr>
        <w:t xml:space="preserve">selección en el Banco de </w:t>
      </w:r>
      <w:r w:rsidR="0018389C" w:rsidRPr="00375216">
        <w:rPr>
          <w:rFonts w:ascii="Arial" w:eastAsiaTheme="minorHAnsi" w:hAnsi="Arial" w:cs="Arial"/>
          <w:sz w:val="20"/>
          <w:lang w:eastAsia="en-US"/>
        </w:rPr>
        <w:t>Inversiones</w:t>
      </w:r>
      <w:r w:rsidRPr="00375216">
        <w:rPr>
          <w:rFonts w:ascii="Arial" w:eastAsiaTheme="minorHAnsi" w:hAnsi="Arial" w:cs="Arial"/>
          <w:sz w:val="20"/>
          <w:lang w:eastAsia="en-US"/>
        </w:rPr>
        <w:t>, para que se pueda suscribir el contrato correspondiente.</w:t>
      </w:r>
    </w:p>
    <w:p w14:paraId="1FD44F54" w14:textId="77777777" w:rsidR="00887DB4" w:rsidRPr="001B04BA" w:rsidRDefault="006D36F2" w:rsidP="00AA08AA">
      <w:pPr>
        <w:pStyle w:val="Title"/>
        <w:numPr>
          <w:ilvl w:val="1"/>
          <w:numId w:val="19"/>
        </w:numPr>
        <w:spacing w:after="0" w:afterAutospacing="0"/>
        <w:outlineLvl w:val="1"/>
        <w:rPr>
          <w:rFonts w:cs="Arial"/>
          <w:b/>
          <w:sz w:val="22"/>
          <w:szCs w:val="22"/>
        </w:rPr>
      </w:pPr>
      <w:bookmarkStart w:id="86" w:name="_Toc16284601"/>
      <w:bookmarkEnd w:id="51"/>
      <w:r>
        <w:rPr>
          <w:rFonts w:cs="Arial"/>
          <w:b/>
          <w:sz w:val="22"/>
          <w:szCs w:val="22"/>
        </w:rPr>
        <w:t>Fase de Contratación</w:t>
      </w:r>
      <w:bookmarkEnd w:id="86"/>
    </w:p>
    <w:p w14:paraId="2EF41425" w14:textId="77777777" w:rsidR="003B1A41" w:rsidRDefault="003B1A41" w:rsidP="00EF0C0B">
      <w:p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/>
          <w:color w:val="000000" w:themeColor="text1"/>
        </w:rPr>
      </w:pPr>
    </w:p>
    <w:p w14:paraId="64B5A5FB" w14:textId="77777777" w:rsidR="00E05364" w:rsidRPr="00FD190F" w:rsidRDefault="00F81018" w:rsidP="00AB430D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567"/>
        <w:contextualSpacing/>
        <w:jc w:val="both"/>
        <w:rPr>
          <w:rFonts w:ascii="Arial" w:hAnsi="Arial" w:cs="Arial"/>
          <w:color w:val="000000" w:themeColor="text1"/>
        </w:rPr>
      </w:pPr>
      <w:bookmarkStart w:id="87" w:name="_Toc331016185"/>
      <w:bookmarkStart w:id="88" w:name="_Toc395509527"/>
      <w:bookmarkStart w:id="89" w:name="_Toc15932297"/>
      <w:bookmarkStart w:id="90" w:name="_Toc15991685"/>
      <w:bookmarkStart w:id="91" w:name="_Toc16284602"/>
      <w:r>
        <w:rPr>
          <w:rFonts w:ascii="Arial" w:hAnsi="Arial" w:cs="Arial"/>
          <w:color w:val="000000" w:themeColor="text1"/>
        </w:rPr>
        <w:t>3.3</w:t>
      </w:r>
      <w:r w:rsidR="00FD190F" w:rsidRPr="00FD190F">
        <w:rPr>
          <w:rFonts w:ascii="Arial" w:hAnsi="Arial" w:cs="Arial"/>
          <w:color w:val="000000" w:themeColor="text1"/>
        </w:rPr>
        <w:t>.1</w:t>
      </w:r>
      <w:r w:rsidR="00485084">
        <w:rPr>
          <w:rFonts w:ascii="Arial" w:hAnsi="Arial" w:cs="Arial"/>
          <w:color w:val="000000" w:themeColor="text1"/>
        </w:rPr>
        <w:t xml:space="preserve"> </w:t>
      </w:r>
      <w:r w:rsidR="00E05364" w:rsidRPr="00FD190F">
        <w:rPr>
          <w:rFonts w:ascii="Arial" w:hAnsi="Arial" w:cs="Arial"/>
          <w:color w:val="000000" w:themeColor="text1"/>
        </w:rPr>
        <w:t>Generalidades</w:t>
      </w:r>
      <w:bookmarkEnd w:id="87"/>
      <w:bookmarkEnd w:id="88"/>
      <w:bookmarkEnd w:id="89"/>
      <w:bookmarkEnd w:id="90"/>
      <w:bookmarkEnd w:id="91"/>
    </w:p>
    <w:p w14:paraId="27AD8685" w14:textId="77777777" w:rsidR="003827DD" w:rsidRDefault="003827DD" w:rsidP="003827DD">
      <w:pPr>
        <w:pStyle w:val="Normal3"/>
        <w:spacing w:after="0" w:line="276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Pr="00375216">
        <w:rPr>
          <w:rFonts w:ascii="Arial" w:hAnsi="Arial" w:cs="Arial"/>
          <w:sz w:val="20"/>
        </w:rPr>
        <w:t xml:space="preserve"> acuerdo a las políticas para la selección y contratación de consultores y adquisiciones de bienes y servicios diferentes a consultorías del Banco, expuestas en los documentos GN-2349-9 y GN-2350-9 de fecha marzo del 2011 y según el detalle descrito en el Anexo II Gestión de Adquisiciones y Contrataciones</w:t>
      </w:r>
      <w:r>
        <w:rPr>
          <w:rFonts w:ascii="Arial" w:hAnsi="Arial" w:cs="Arial"/>
          <w:sz w:val="20"/>
        </w:rPr>
        <w:t>, e</w:t>
      </w:r>
      <w:r w:rsidRPr="00375216">
        <w:rPr>
          <w:rFonts w:ascii="Arial" w:hAnsi="Arial" w:cs="Arial"/>
          <w:sz w:val="20"/>
        </w:rPr>
        <w:t xml:space="preserve">l proyecto utiliza los siguientes métodos de selección, principalmente orientados hacia la adquisición de bienes, servicios diferentes a consultorías y contratación de firmas consultoras y consultorías individuales: </w:t>
      </w:r>
    </w:p>
    <w:p w14:paraId="470E6B37" w14:textId="77777777" w:rsidR="003827DD" w:rsidRPr="00375216" w:rsidRDefault="003827DD" w:rsidP="003827DD">
      <w:pPr>
        <w:pStyle w:val="Normal3"/>
        <w:spacing w:after="0" w:line="276" w:lineRule="auto"/>
        <w:contextualSpacing/>
        <w:rPr>
          <w:rFonts w:ascii="Arial" w:hAnsi="Arial" w:cs="Arial"/>
          <w:sz w:val="20"/>
        </w:rPr>
      </w:pPr>
    </w:p>
    <w:p w14:paraId="0F340117" w14:textId="77777777" w:rsidR="00887DB4" w:rsidRPr="00375216" w:rsidRDefault="00E05364" w:rsidP="00AA08AA">
      <w:pPr>
        <w:pStyle w:val="Normal2"/>
        <w:numPr>
          <w:ilvl w:val="0"/>
          <w:numId w:val="13"/>
        </w:numPr>
        <w:ind w:left="1230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Bienes y servicios distintos de consultoría:</w:t>
      </w:r>
    </w:p>
    <w:p w14:paraId="591A763E" w14:textId="77777777" w:rsidR="00887DB4" w:rsidRPr="00375216" w:rsidRDefault="00E05364" w:rsidP="00AA08AA">
      <w:pPr>
        <w:pStyle w:val="Normal2"/>
        <w:numPr>
          <w:ilvl w:val="0"/>
          <w:numId w:val="12"/>
        </w:numPr>
        <w:ind w:left="1568" w:hanging="284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Licitación Pública Internacional (LPI)</w:t>
      </w:r>
    </w:p>
    <w:p w14:paraId="67370CC7" w14:textId="77777777" w:rsidR="00887DB4" w:rsidRPr="00375216" w:rsidRDefault="00E05364" w:rsidP="00AA08AA">
      <w:pPr>
        <w:pStyle w:val="Normal2"/>
        <w:numPr>
          <w:ilvl w:val="0"/>
          <w:numId w:val="12"/>
        </w:numPr>
        <w:ind w:left="1568" w:hanging="284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Licitación Pública Nacional (LPN).</w:t>
      </w:r>
    </w:p>
    <w:p w14:paraId="45F2097B" w14:textId="77777777" w:rsidR="00887DB4" w:rsidRPr="00375216" w:rsidRDefault="00E05364" w:rsidP="00AA08AA">
      <w:pPr>
        <w:pStyle w:val="Normal2"/>
        <w:numPr>
          <w:ilvl w:val="0"/>
          <w:numId w:val="12"/>
        </w:numPr>
        <w:ind w:left="1568" w:hanging="284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Comparación de Precios (CP).</w:t>
      </w:r>
    </w:p>
    <w:p w14:paraId="71628FB1" w14:textId="77777777" w:rsidR="00E05364" w:rsidRPr="00375216" w:rsidRDefault="00E05364" w:rsidP="00314617">
      <w:pPr>
        <w:pStyle w:val="Normal2"/>
        <w:ind w:left="1230"/>
        <w:contextualSpacing/>
        <w:jc w:val="both"/>
        <w:rPr>
          <w:rFonts w:ascii="Arial" w:hAnsi="Arial" w:cs="Arial"/>
          <w:sz w:val="20"/>
        </w:rPr>
      </w:pPr>
    </w:p>
    <w:p w14:paraId="6D2F7B99" w14:textId="77777777" w:rsidR="00887DB4" w:rsidRPr="00375216" w:rsidRDefault="00E05364" w:rsidP="00AA08AA">
      <w:pPr>
        <w:pStyle w:val="Normal2"/>
        <w:numPr>
          <w:ilvl w:val="0"/>
          <w:numId w:val="13"/>
        </w:numPr>
        <w:ind w:left="1230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Firmas Consultoras:</w:t>
      </w:r>
    </w:p>
    <w:p w14:paraId="51A597FD" w14:textId="77777777" w:rsidR="005A7662" w:rsidRPr="00375216" w:rsidRDefault="00E05364" w:rsidP="00AA08AA">
      <w:pPr>
        <w:pStyle w:val="Normal2"/>
        <w:numPr>
          <w:ilvl w:val="0"/>
          <w:numId w:val="12"/>
        </w:numPr>
        <w:spacing w:line="276" w:lineRule="auto"/>
        <w:ind w:left="1568" w:hanging="284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Selección Basada en Calidad y Costo (SBCC).</w:t>
      </w:r>
    </w:p>
    <w:p w14:paraId="58C4A50B" w14:textId="77777777" w:rsidR="00D55AA9" w:rsidRPr="00375216" w:rsidRDefault="00D55AA9" w:rsidP="00AA08AA">
      <w:pPr>
        <w:pStyle w:val="Normal2"/>
        <w:numPr>
          <w:ilvl w:val="0"/>
          <w:numId w:val="12"/>
        </w:numPr>
        <w:spacing w:line="276" w:lineRule="auto"/>
        <w:ind w:left="1568" w:hanging="284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Selección Basada en Calidad de Consultores (SCC)</w:t>
      </w:r>
    </w:p>
    <w:p w14:paraId="0AFC7290" w14:textId="77777777" w:rsidR="00887DB4" w:rsidRPr="00375216" w:rsidRDefault="00E05364" w:rsidP="00AA08AA">
      <w:pPr>
        <w:pStyle w:val="Normal2"/>
        <w:numPr>
          <w:ilvl w:val="0"/>
          <w:numId w:val="12"/>
        </w:numPr>
        <w:spacing w:line="276" w:lineRule="auto"/>
        <w:ind w:left="1568" w:hanging="284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Según se requiera podrán usarse otros métodos de contratación descritos en las políticas del Banco.</w:t>
      </w:r>
    </w:p>
    <w:p w14:paraId="11C3B071" w14:textId="77777777" w:rsidR="00692E82" w:rsidRPr="00375216" w:rsidRDefault="00692E82" w:rsidP="00314617">
      <w:pPr>
        <w:pStyle w:val="Normal2"/>
        <w:spacing w:line="276" w:lineRule="auto"/>
        <w:ind w:left="1743"/>
        <w:contextualSpacing/>
        <w:jc w:val="both"/>
        <w:rPr>
          <w:rFonts w:ascii="Arial" w:hAnsi="Arial" w:cs="Arial"/>
          <w:sz w:val="20"/>
        </w:rPr>
      </w:pPr>
    </w:p>
    <w:p w14:paraId="1B54A663" w14:textId="77777777" w:rsidR="00887DB4" w:rsidRPr="00375216" w:rsidRDefault="00D50CF4" w:rsidP="00AA08AA">
      <w:pPr>
        <w:pStyle w:val="Normal2"/>
        <w:numPr>
          <w:ilvl w:val="0"/>
          <w:numId w:val="13"/>
        </w:numPr>
        <w:spacing w:line="276" w:lineRule="auto"/>
        <w:ind w:left="1276" w:hanging="425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lastRenderedPageBreak/>
        <w:t xml:space="preserve">Consultorías </w:t>
      </w:r>
      <w:r w:rsidR="00E05364" w:rsidRPr="00375216">
        <w:rPr>
          <w:rFonts w:ascii="Arial" w:hAnsi="Arial" w:cs="Arial"/>
          <w:sz w:val="20"/>
        </w:rPr>
        <w:t>Individuales:</w:t>
      </w:r>
    </w:p>
    <w:p w14:paraId="197FD472" w14:textId="77777777" w:rsidR="00887DB4" w:rsidRPr="00375216" w:rsidRDefault="00E05364" w:rsidP="00AA08AA">
      <w:pPr>
        <w:pStyle w:val="Normal2"/>
        <w:numPr>
          <w:ilvl w:val="0"/>
          <w:numId w:val="12"/>
        </w:numPr>
        <w:spacing w:line="276" w:lineRule="auto"/>
        <w:ind w:left="1560" w:hanging="284"/>
        <w:contextualSpacing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Selección </w:t>
      </w:r>
      <w:r w:rsidR="00C72FAC" w:rsidRPr="00375216">
        <w:rPr>
          <w:rFonts w:ascii="Arial" w:hAnsi="Arial" w:cs="Arial"/>
          <w:sz w:val="20"/>
        </w:rPr>
        <w:t>de</w:t>
      </w:r>
      <w:r w:rsidRPr="00375216">
        <w:rPr>
          <w:rFonts w:ascii="Arial" w:hAnsi="Arial" w:cs="Arial"/>
          <w:sz w:val="20"/>
        </w:rPr>
        <w:t xml:space="preserve"> Consultores</w:t>
      </w:r>
      <w:r w:rsidR="00C72FAC" w:rsidRPr="00375216">
        <w:rPr>
          <w:rFonts w:ascii="Arial" w:hAnsi="Arial" w:cs="Arial"/>
          <w:sz w:val="20"/>
        </w:rPr>
        <w:t xml:space="preserve"> Individuales.</w:t>
      </w:r>
    </w:p>
    <w:p w14:paraId="5805E0E5" w14:textId="77777777" w:rsidR="00E05364" w:rsidRPr="00375216" w:rsidRDefault="00E05364" w:rsidP="00E05364">
      <w:pPr>
        <w:pStyle w:val="Normal2"/>
        <w:ind w:left="2135"/>
        <w:contextualSpacing/>
        <w:jc w:val="both"/>
        <w:rPr>
          <w:rFonts w:ascii="Arial" w:hAnsi="Arial" w:cs="Arial"/>
          <w:sz w:val="20"/>
        </w:rPr>
      </w:pPr>
    </w:p>
    <w:p w14:paraId="749195F8" w14:textId="77777777" w:rsidR="00E05364" w:rsidRPr="00375216" w:rsidRDefault="00E05364" w:rsidP="00314617">
      <w:pPr>
        <w:pStyle w:val="Normal3"/>
        <w:spacing w:after="0" w:line="276" w:lineRule="auto"/>
        <w:contextualSpacing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Asimismo, se podrá utilizar el método de selección directa (SD)</w:t>
      </w:r>
      <w:r w:rsidR="00524212" w:rsidRPr="00375216">
        <w:rPr>
          <w:rFonts w:ascii="Arial" w:hAnsi="Arial" w:cs="Arial"/>
          <w:sz w:val="20"/>
        </w:rPr>
        <w:t xml:space="preserve"> y Contratación Directa (CD)</w:t>
      </w:r>
      <w:r w:rsidRPr="00375216">
        <w:rPr>
          <w:rFonts w:ascii="Arial" w:hAnsi="Arial" w:cs="Arial"/>
          <w:sz w:val="20"/>
        </w:rPr>
        <w:t>, en los casos debidamente justificados y que cumplan con las políticas de contrata</w:t>
      </w:r>
      <w:r w:rsidR="00644EDF" w:rsidRPr="00375216">
        <w:rPr>
          <w:rFonts w:ascii="Arial" w:hAnsi="Arial" w:cs="Arial"/>
          <w:sz w:val="20"/>
        </w:rPr>
        <w:t>ciones y adquisiciones del BID</w:t>
      </w:r>
      <w:r w:rsidRPr="00375216">
        <w:rPr>
          <w:rFonts w:ascii="Arial" w:hAnsi="Arial" w:cs="Arial"/>
          <w:sz w:val="20"/>
        </w:rPr>
        <w:t>.</w:t>
      </w:r>
      <w:r w:rsidR="00D50CF4" w:rsidRPr="00375216">
        <w:rPr>
          <w:rFonts w:ascii="Arial" w:hAnsi="Arial" w:cs="Arial"/>
          <w:sz w:val="20"/>
        </w:rPr>
        <w:t xml:space="preserve"> Toda selección directa (SD) y Contratación Directa (CD) se realizará previa aprobación del BID.</w:t>
      </w:r>
    </w:p>
    <w:p w14:paraId="103330B3" w14:textId="77777777" w:rsidR="00E05364" w:rsidRPr="00375216" w:rsidRDefault="00E05364" w:rsidP="00314617">
      <w:pPr>
        <w:pStyle w:val="Normal3"/>
        <w:spacing w:after="0" w:line="240" w:lineRule="auto"/>
        <w:contextualSpacing/>
        <w:rPr>
          <w:rFonts w:ascii="Arial" w:hAnsi="Arial" w:cs="Arial"/>
          <w:sz w:val="20"/>
        </w:rPr>
      </w:pPr>
    </w:p>
    <w:p w14:paraId="16E00232" w14:textId="77777777" w:rsidR="00E05364" w:rsidRPr="00375216" w:rsidRDefault="00E05364" w:rsidP="00314617">
      <w:pPr>
        <w:pStyle w:val="Normal3"/>
        <w:spacing w:after="0" w:line="276" w:lineRule="auto"/>
        <w:contextualSpacing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Cualquiera de los métodos de contratación y adquisiciones a ser empleado deberá estar previamente identificado en el Plan de Adq</w:t>
      </w:r>
      <w:r w:rsidR="00644EDF" w:rsidRPr="00375216">
        <w:rPr>
          <w:rFonts w:ascii="Arial" w:hAnsi="Arial" w:cs="Arial"/>
          <w:sz w:val="20"/>
        </w:rPr>
        <w:t>uisiciones aprobado por el BID</w:t>
      </w:r>
      <w:r w:rsidRPr="00375216">
        <w:rPr>
          <w:rFonts w:ascii="Arial" w:hAnsi="Arial" w:cs="Arial"/>
          <w:sz w:val="20"/>
        </w:rPr>
        <w:t>.</w:t>
      </w:r>
    </w:p>
    <w:p w14:paraId="2AC0F05D" w14:textId="77777777" w:rsidR="003827DD" w:rsidRDefault="003827DD" w:rsidP="00FD190F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09"/>
        <w:contextualSpacing/>
        <w:jc w:val="both"/>
        <w:rPr>
          <w:rFonts w:ascii="Arial" w:hAnsi="Arial" w:cs="Arial"/>
          <w:color w:val="000000" w:themeColor="text1"/>
        </w:rPr>
      </w:pPr>
      <w:bookmarkStart w:id="92" w:name="_Toc395509528"/>
      <w:bookmarkStart w:id="93" w:name="_Toc15932298"/>
    </w:p>
    <w:p w14:paraId="46D1DC1A" w14:textId="77777777" w:rsidR="00E05364" w:rsidRPr="00FD190F" w:rsidRDefault="00F81018" w:rsidP="00FD190F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09"/>
        <w:contextualSpacing/>
        <w:jc w:val="both"/>
        <w:rPr>
          <w:rFonts w:ascii="Arial" w:hAnsi="Arial" w:cs="Arial"/>
          <w:color w:val="000000" w:themeColor="text1"/>
        </w:rPr>
      </w:pPr>
      <w:bookmarkStart w:id="94" w:name="_Toc15991686"/>
      <w:bookmarkStart w:id="95" w:name="_Toc16284603"/>
      <w:r>
        <w:rPr>
          <w:rFonts w:ascii="Arial" w:hAnsi="Arial" w:cs="Arial"/>
          <w:color w:val="000000" w:themeColor="text1"/>
        </w:rPr>
        <w:t>3.3</w:t>
      </w:r>
      <w:r w:rsidR="00FD190F">
        <w:rPr>
          <w:rFonts w:ascii="Arial" w:hAnsi="Arial" w:cs="Arial"/>
          <w:color w:val="000000" w:themeColor="text1"/>
        </w:rPr>
        <w:t>.2</w:t>
      </w:r>
      <w:r w:rsidR="00485084">
        <w:rPr>
          <w:rFonts w:ascii="Arial" w:hAnsi="Arial" w:cs="Arial"/>
          <w:color w:val="000000" w:themeColor="text1"/>
        </w:rPr>
        <w:t xml:space="preserve">  </w:t>
      </w:r>
      <w:r w:rsidR="00FD190F">
        <w:rPr>
          <w:rFonts w:ascii="Arial" w:hAnsi="Arial" w:cs="Arial"/>
          <w:color w:val="000000" w:themeColor="text1"/>
        </w:rPr>
        <w:t xml:space="preserve"> </w:t>
      </w:r>
      <w:r w:rsidR="00E05364" w:rsidRPr="00FD190F">
        <w:rPr>
          <w:rFonts w:ascii="Arial" w:hAnsi="Arial" w:cs="Arial"/>
          <w:color w:val="000000" w:themeColor="text1"/>
        </w:rPr>
        <w:t>Programación y Formulación</w:t>
      </w:r>
      <w:bookmarkEnd w:id="92"/>
      <w:bookmarkEnd w:id="93"/>
      <w:bookmarkEnd w:id="94"/>
      <w:bookmarkEnd w:id="95"/>
    </w:p>
    <w:p w14:paraId="7BF5B3BF" w14:textId="562C3BC4" w:rsidR="00E05364" w:rsidRPr="00375216" w:rsidRDefault="00DD4A87" w:rsidP="00807713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  <w:lang w:val="es-ES"/>
        </w:rPr>
      </w:pPr>
      <w:r w:rsidRPr="00375216">
        <w:rPr>
          <w:rFonts w:ascii="Arial" w:hAnsi="Arial" w:cs="Arial"/>
          <w:sz w:val="20"/>
          <w:lang w:val="es-ES"/>
        </w:rPr>
        <w:t xml:space="preserve">En concordancia con lo dispuesto por la normatividad del Sistema de Presupuesto Público, </w:t>
      </w:r>
      <w:r w:rsidR="00472A11">
        <w:rPr>
          <w:rFonts w:ascii="Arial" w:hAnsi="Arial" w:cs="Arial"/>
          <w:sz w:val="20"/>
          <w:lang w:val="es-ES"/>
        </w:rPr>
        <w:t xml:space="preserve">la </w:t>
      </w:r>
      <w:r w:rsidR="00BA4660">
        <w:rPr>
          <w:rFonts w:ascii="Arial" w:hAnsi="Arial" w:cs="Arial"/>
          <w:sz w:val="20"/>
          <w:lang w:val="es-ES"/>
        </w:rPr>
        <w:t>EDG</w:t>
      </w:r>
      <w:r w:rsidR="002F51C3">
        <w:rPr>
          <w:rFonts w:ascii="Arial" w:hAnsi="Arial" w:cs="Arial"/>
          <w:sz w:val="20"/>
          <w:lang w:val="es-ES"/>
        </w:rPr>
        <w:t>002</w:t>
      </w:r>
      <w:r w:rsidR="00472A11">
        <w:rPr>
          <w:rFonts w:ascii="Arial" w:hAnsi="Arial" w:cs="Arial"/>
          <w:sz w:val="20"/>
          <w:lang w:val="es-ES"/>
        </w:rPr>
        <w:t xml:space="preserve"> </w:t>
      </w:r>
      <w:r w:rsidR="00E05364" w:rsidRPr="00375216">
        <w:rPr>
          <w:rFonts w:ascii="Arial" w:hAnsi="Arial" w:cs="Arial"/>
          <w:sz w:val="20"/>
          <w:lang w:val="es-ES"/>
        </w:rPr>
        <w:t>es</w:t>
      </w:r>
      <w:r w:rsidR="00472A11">
        <w:rPr>
          <w:rFonts w:ascii="Arial" w:hAnsi="Arial" w:cs="Arial"/>
          <w:sz w:val="20"/>
          <w:lang w:val="es-ES"/>
        </w:rPr>
        <w:t xml:space="preserve"> la</w:t>
      </w:r>
      <w:r w:rsidR="00E05364" w:rsidRPr="00375216">
        <w:rPr>
          <w:rFonts w:ascii="Arial" w:hAnsi="Arial" w:cs="Arial"/>
          <w:sz w:val="20"/>
          <w:lang w:val="es-ES"/>
        </w:rPr>
        <w:t xml:space="preserve"> responsable de realizar el proceso de programación y formulación presupuestal que permitirá la disponibilidad de recursos de endeudamiento externo y de recursos de tesoro público para la contrapartida local, necesarios para el inicio de los procesos de selección y contratación dispuesto por el P</w:t>
      </w:r>
      <w:r w:rsidR="00644EDF" w:rsidRPr="00375216">
        <w:rPr>
          <w:rFonts w:ascii="Arial" w:hAnsi="Arial" w:cs="Arial"/>
          <w:sz w:val="20"/>
          <w:lang w:val="es-ES"/>
        </w:rPr>
        <w:t>A.</w:t>
      </w:r>
    </w:p>
    <w:p w14:paraId="1BFDB295" w14:textId="77777777" w:rsidR="00E05364" w:rsidRPr="00FD190F" w:rsidRDefault="00FD190F" w:rsidP="00FD190F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09"/>
        <w:contextualSpacing/>
        <w:jc w:val="both"/>
        <w:rPr>
          <w:rFonts w:ascii="Arial" w:hAnsi="Arial" w:cs="Arial"/>
          <w:color w:val="000000" w:themeColor="text1"/>
        </w:rPr>
      </w:pPr>
      <w:bookmarkStart w:id="96" w:name="_Toc329310105"/>
      <w:bookmarkStart w:id="97" w:name="_Toc329310176"/>
      <w:bookmarkStart w:id="98" w:name="_Toc395509529"/>
      <w:bookmarkStart w:id="99" w:name="_Toc15932299"/>
      <w:bookmarkStart w:id="100" w:name="_Toc15991687"/>
      <w:bookmarkStart w:id="101" w:name="_Toc16284604"/>
      <w:r>
        <w:rPr>
          <w:rFonts w:ascii="Arial" w:hAnsi="Arial" w:cs="Arial"/>
          <w:color w:val="000000" w:themeColor="text1"/>
        </w:rPr>
        <w:t>3.</w:t>
      </w:r>
      <w:r w:rsidR="006906CC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.3   </w:t>
      </w:r>
      <w:r w:rsidR="00485084">
        <w:rPr>
          <w:rFonts w:ascii="Arial" w:hAnsi="Arial" w:cs="Arial"/>
          <w:color w:val="000000" w:themeColor="text1"/>
        </w:rPr>
        <w:t xml:space="preserve"> </w:t>
      </w:r>
      <w:r w:rsidR="00E05364" w:rsidRPr="00FD190F">
        <w:rPr>
          <w:rFonts w:ascii="Arial" w:hAnsi="Arial" w:cs="Arial"/>
          <w:color w:val="000000" w:themeColor="text1"/>
        </w:rPr>
        <w:t>Preparación de Documentos de Selección.</w:t>
      </w:r>
      <w:bookmarkEnd w:id="96"/>
      <w:bookmarkEnd w:id="97"/>
      <w:bookmarkEnd w:id="98"/>
      <w:bookmarkEnd w:id="99"/>
      <w:bookmarkEnd w:id="100"/>
      <w:bookmarkEnd w:id="101"/>
    </w:p>
    <w:p w14:paraId="6EB8ABE8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trike/>
          <w:sz w:val="20"/>
        </w:rPr>
      </w:pPr>
      <w:bookmarkStart w:id="102" w:name="_Toc329310106"/>
      <w:bookmarkStart w:id="103" w:name="_Toc329310177"/>
      <w:bookmarkStart w:id="104" w:name="_Toc395509530"/>
      <w:bookmarkStart w:id="105" w:name="_Toc15932300"/>
      <w:r w:rsidRPr="00375216">
        <w:rPr>
          <w:rFonts w:ascii="Arial" w:hAnsi="Arial" w:cs="Arial"/>
          <w:sz w:val="20"/>
        </w:rPr>
        <w:t xml:space="preserve">Según la programación realizada en el PA, </w:t>
      </w:r>
      <w:r>
        <w:rPr>
          <w:rFonts w:ascii="Arial" w:hAnsi="Arial" w:cs="Arial"/>
          <w:sz w:val="20"/>
        </w:rPr>
        <w:t>el Especialista de Adquisiciones</w:t>
      </w:r>
      <w:r w:rsidRPr="00375216">
        <w:rPr>
          <w:rFonts w:ascii="Arial" w:hAnsi="Arial" w:cs="Arial"/>
          <w:sz w:val="20"/>
        </w:rPr>
        <w:t>, efectuará la inclusión de los procesos de selección en su</w:t>
      </w:r>
      <w:r>
        <w:rPr>
          <w:rFonts w:ascii="Arial" w:hAnsi="Arial" w:cs="Arial"/>
          <w:sz w:val="20"/>
        </w:rPr>
        <w:t xml:space="preserve"> PA</w:t>
      </w:r>
      <w:r w:rsidRPr="00375216">
        <w:rPr>
          <w:rFonts w:ascii="Arial" w:hAnsi="Arial" w:cs="Arial"/>
          <w:sz w:val="20"/>
        </w:rPr>
        <w:t xml:space="preserve"> una vez recibidos los </w:t>
      </w:r>
      <w:proofErr w:type="spellStart"/>
      <w:r w:rsidRPr="00375216">
        <w:rPr>
          <w:rFonts w:ascii="Arial" w:hAnsi="Arial" w:cs="Arial"/>
          <w:sz w:val="20"/>
        </w:rPr>
        <w:t>TdR</w:t>
      </w:r>
      <w:proofErr w:type="spellEnd"/>
      <w:r w:rsidRPr="00375216">
        <w:rPr>
          <w:rFonts w:ascii="Arial" w:hAnsi="Arial" w:cs="Arial"/>
          <w:sz w:val="20"/>
        </w:rPr>
        <w:t xml:space="preserve"> y/o EE.TT, el FAR y la No Objeción. Asimismo, realizará la indagación de mercado correspondiente.</w:t>
      </w:r>
    </w:p>
    <w:p w14:paraId="3DA7E2CF" w14:textId="77777777" w:rsidR="003827DD" w:rsidRPr="00375216" w:rsidRDefault="003827DD" w:rsidP="003827DD">
      <w:pPr>
        <w:pStyle w:val="Normal3"/>
        <w:spacing w:line="276" w:lineRule="auto"/>
        <w:ind w:left="1425"/>
        <w:contextualSpacing/>
        <w:rPr>
          <w:rFonts w:ascii="Arial" w:hAnsi="Arial" w:cs="Arial"/>
          <w:sz w:val="20"/>
        </w:rPr>
      </w:pPr>
    </w:p>
    <w:p w14:paraId="6CB4FF08" w14:textId="14C82CCA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Una vez incorporados los procesos en el</w:t>
      </w:r>
      <w:r>
        <w:rPr>
          <w:rFonts w:ascii="Arial" w:hAnsi="Arial" w:cs="Arial"/>
          <w:sz w:val="20"/>
        </w:rPr>
        <w:t xml:space="preserve"> PA</w:t>
      </w:r>
      <w:r w:rsidRPr="0037521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el Especialista de Adquisiciones </w:t>
      </w:r>
      <w:r w:rsidRPr="00375216">
        <w:rPr>
          <w:rFonts w:ascii="Arial" w:hAnsi="Arial" w:cs="Arial"/>
          <w:sz w:val="20"/>
        </w:rPr>
        <w:t xml:space="preserve">solicita a la </w:t>
      </w:r>
      <w:r w:rsidR="002F51C3">
        <w:rPr>
          <w:rFonts w:ascii="Arial" w:hAnsi="Arial" w:cs="Arial"/>
          <w:sz w:val="20"/>
        </w:rPr>
        <w:t>Coordinación Administrativa y este a la Coordinación</w:t>
      </w:r>
      <w:r w:rsidR="000332E4">
        <w:rPr>
          <w:rFonts w:ascii="Arial" w:hAnsi="Arial" w:cs="Arial"/>
          <w:sz w:val="20"/>
        </w:rPr>
        <w:t xml:space="preserve"> </w:t>
      </w:r>
      <w:r w:rsidR="00BA4660">
        <w:rPr>
          <w:rFonts w:ascii="Arial" w:hAnsi="Arial" w:cs="Arial"/>
          <w:sz w:val="20"/>
        </w:rPr>
        <w:t>del EDG</w:t>
      </w:r>
      <w:r w:rsidR="002F51C3">
        <w:rPr>
          <w:rFonts w:ascii="Arial" w:hAnsi="Arial" w:cs="Arial"/>
          <w:sz w:val="20"/>
        </w:rPr>
        <w:t>002</w:t>
      </w:r>
      <w:r w:rsidRPr="00375216">
        <w:rPr>
          <w:rFonts w:ascii="Arial" w:hAnsi="Arial" w:cs="Arial"/>
          <w:sz w:val="20"/>
        </w:rPr>
        <w:t xml:space="preserve"> la designación del Comité de Evaluación.</w:t>
      </w:r>
    </w:p>
    <w:p w14:paraId="76A8BBF5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</w:p>
    <w:p w14:paraId="423F8F21" w14:textId="4A00D96B" w:rsidR="003827DD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La </w:t>
      </w:r>
      <w:r w:rsidR="002F51C3">
        <w:rPr>
          <w:rFonts w:ascii="Arial" w:hAnsi="Arial" w:cs="Arial"/>
          <w:sz w:val="20"/>
        </w:rPr>
        <w:t>Coordinación</w:t>
      </w:r>
      <w:r w:rsidR="000332E4">
        <w:rPr>
          <w:rFonts w:ascii="Arial" w:hAnsi="Arial" w:cs="Arial"/>
          <w:sz w:val="20"/>
        </w:rPr>
        <w:t xml:space="preserve"> </w:t>
      </w:r>
      <w:r w:rsidR="00BA4660">
        <w:rPr>
          <w:rFonts w:ascii="Arial" w:hAnsi="Arial" w:cs="Arial"/>
          <w:sz w:val="20"/>
        </w:rPr>
        <w:t>del EDG</w:t>
      </w:r>
      <w:r w:rsidR="002F51C3">
        <w:rPr>
          <w:rFonts w:ascii="Arial" w:hAnsi="Arial" w:cs="Arial"/>
          <w:sz w:val="20"/>
        </w:rPr>
        <w:t>002</w:t>
      </w:r>
      <w:r w:rsidRPr="00375216">
        <w:rPr>
          <w:rFonts w:ascii="Arial" w:hAnsi="Arial" w:cs="Arial"/>
          <w:sz w:val="20"/>
        </w:rPr>
        <w:t xml:space="preserve"> informará a los miembros del Comité su designación.</w:t>
      </w:r>
    </w:p>
    <w:p w14:paraId="1B62B8D6" w14:textId="77777777" w:rsidR="00E05364" w:rsidRPr="00FD190F" w:rsidRDefault="00FD190F" w:rsidP="00FD190F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09"/>
        <w:contextualSpacing/>
        <w:jc w:val="both"/>
        <w:rPr>
          <w:rFonts w:ascii="Arial" w:hAnsi="Arial" w:cs="Arial"/>
          <w:color w:val="000000" w:themeColor="text1"/>
        </w:rPr>
      </w:pPr>
      <w:bookmarkStart w:id="106" w:name="_Toc15991688"/>
      <w:bookmarkStart w:id="107" w:name="_Toc16284605"/>
      <w:r>
        <w:rPr>
          <w:rFonts w:ascii="Arial" w:hAnsi="Arial" w:cs="Arial"/>
          <w:color w:val="000000" w:themeColor="text1"/>
        </w:rPr>
        <w:t>3.</w:t>
      </w:r>
      <w:r w:rsidR="006906CC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.4   </w:t>
      </w:r>
      <w:r w:rsidR="00E05364" w:rsidRPr="00FD190F">
        <w:rPr>
          <w:rFonts w:ascii="Arial" w:hAnsi="Arial" w:cs="Arial"/>
          <w:color w:val="000000" w:themeColor="text1"/>
        </w:rPr>
        <w:t>Procesos de Contratación.</w:t>
      </w:r>
      <w:bookmarkEnd w:id="102"/>
      <w:bookmarkEnd w:id="103"/>
      <w:bookmarkEnd w:id="104"/>
      <w:bookmarkEnd w:id="105"/>
      <w:bookmarkEnd w:id="106"/>
      <w:bookmarkEnd w:id="107"/>
    </w:p>
    <w:p w14:paraId="3559A709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  <w:bookmarkStart w:id="108" w:name="_Toc331016188"/>
      <w:bookmarkStart w:id="109" w:name="_Toc395509531"/>
      <w:bookmarkStart w:id="110" w:name="_Toc15932301"/>
      <w:r w:rsidRPr="00375216">
        <w:rPr>
          <w:rFonts w:ascii="Arial" w:hAnsi="Arial" w:cs="Arial"/>
          <w:sz w:val="20"/>
        </w:rPr>
        <w:t xml:space="preserve">Los Comités de Selección llevarán a cabo los procesos de selección según el método de selección especificado en el PA </w:t>
      </w:r>
      <w:r w:rsidR="000332E4">
        <w:rPr>
          <w:rFonts w:ascii="Arial" w:hAnsi="Arial" w:cs="Arial"/>
          <w:sz w:val="20"/>
        </w:rPr>
        <w:t xml:space="preserve">concordantes con las </w:t>
      </w:r>
      <w:r w:rsidRPr="00375216">
        <w:rPr>
          <w:rFonts w:ascii="Arial" w:hAnsi="Arial" w:cs="Arial"/>
          <w:sz w:val="20"/>
        </w:rPr>
        <w:t>políticas</w:t>
      </w:r>
      <w:r w:rsidR="000332E4">
        <w:rPr>
          <w:rFonts w:ascii="Arial" w:hAnsi="Arial" w:cs="Arial"/>
          <w:sz w:val="20"/>
        </w:rPr>
        <w:t xml:space="preserve"> y procedimientos</w:t>
      </w:r>
      <w:r w:rsidRPr="00375216">
        <w:rPr>
          <w:rFonts w:ascii="Arial" w:hAnsi="Arial" w:cs="Arial"/>
          <w:sz w:val="20"/>
        </w:rPr>
        <w:t xml:space="preserve"> del BI</w:t>
      </w:r>
      <w:r w:rsidR="000332E4">
        <w:rPr>
          <w:rFonts w:ascii="Arial" w:hAnsi="Arial" w:cs="Arial"/>
          <w:sz w:val="20"/>
        </w:rPr>
        <w:t>D.</w:t>
      </w:r>
    </w:p>
    <w:p w14:paraId="4B69CE13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</w:p>
    <w:p w14:paraId="35138585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Dependiendo del tipo de revisión (ex ante / ex post); o cuando lo requiera, el BID examinará los procedimientos, documentos, la evaluación de las ofertas, la recomendación y adjudicación de contratos</w:t>
      </w:r>
      <w:r>
        <w:rPr>
          <w:rFonts w:ascii="Arial" w:hAnsi="Arial" w:cs="Arial"/>
          <w:sz w:val="20"/>
        </w:rPr>
        <w:t xml:space="preserve"> y/o los demás documentos que cree necesario</w:t>
      </w:r>
      <w:r w:rsidRPr="00375216">
        <w:rPr>
          <w:rFonts w:ascii="Arial" w:hAnsi="Arial" w:cs="Arial"/>
          <w:sz w:val="20"/>
        </w:rPr>
        <w:t>, verificando que se encuentran de acuerdo con las Políticas de Adquisiciones del Banco.</w:t>
      </w:r>
    </w:p>
    <w:p w14:paraId="48F61842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</w:p>
    <w:p w14:paraId="240D66C2" w14:textId="50B7BEAB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Los Comités de Selección presentan su informe de evaluación </w:t>
      </w:r>
      <w:r>
        <w:rPr>
          <w:rFonts w:ascii="Arial" w:hAnsi="Arial" w:cs="Arial"/>
          <w:sz w:val="20"/>
        </w:rPr>
        <w:t xml:space="preserve">a la </w:t>
      </w:r>
      <w:r w:rsidR="000332E4">
        <w:rPr>
          <w:rFonts w:ascii="Arial" w:hAnsi="Arial" w:cs="Arial"/>
          <w:sz w:val="20"/>
        </w:rPr>
        <w:t xml:space="preserve">Dirección Ejecutiva </w:t>
      </w:r>
      <w:r w:rsidR="00BA4660">
        <w:rPr>
          <w:rFonts w:ascii="Arial" w:hAnsi="Arial" w:cs="Arial"/>
          <w:sz w:val="20"/>
        </w:rPr>
        <w:t>del EDG</w:t>
      </w:r>
      <w:r w:rsidR="002F51C3">
        <w:rPr>
          <w:rFonts w:ascii="Arial" w:hAnsi="Arial" w:cs="Arial"/>
          <w:sz w:val="20"/>
        </w:rPr>
        <w:t>002</w:t>
      </w:r>
      <w:r w:rsidR="000332E4">
        <w:rPr>
          <w:rFonts w:ascii="Arial" w:hAnsi="Arial" w:cs="Arial"/>
          <w:sz w:val="20"/>
        </w:rPr>
        <w:t>.</w:t>
      </w:r>
    </w:p>
    <w:p w14:paraId="312BDE98" w14:textId="77777777" w:rsidR="003827DD" w:rsidRPr="003827DD" w:rsidRDefault="00FD190F" w:rsidP="003827DD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09"/>
        <w:contextualSpacing/>
        <w:jc w:val="both"/>
        <w:rPr>
          <w:rFonts w:ascii="Arial" w:hAnsi="Arial" w:cs="Arial"/>
          <w:color w:val="000000" w:themeColor="text1"/>
        </w:rPr>
      </w:pPr>
      <w:bookmarkStart w:id="111" w:name="_Toc15991689"/>
      <w:bookmarkStart w:id="112" w:name="_Toc16284606"/>
      <w:r>
        <w:rPr>
          <w:rFonts w:ascii="Arial" w:hAnsi="Arial" w:cs="Arial"/>
          <w:color w:val="000000" w:themeColor="text1"/>
        </w:rPr>
        <w:t>3.</w:t>
      </w:r>
      <w:r w:rsidR="006906CC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.5</w:t>
      </w:r>
      <w:r w:rsidR="00485084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 </w:t>
      </w:r>
      <w:r w:rsidR="00E05364" w:rsidRPr="00FD190F">
        <w:rPr>
          <w:rFonts w:ascii="Arial" w:hAnsi="Arial" w:cs="Arial"/>
          <w:color w:val="000000" w:themeColor="text1"/>
        </w:rPr>
        <w:t>Publicidad</w:t>
      </w:r>
      <w:bookmarkEnd w:id="108"/>
      <w:r w:rsidR="00E05364" w:rsidRPr="00FD190F">
        <w:rPr>
          <w:rFonts w:ascii="Arial" w:hAnsi="Arial" w:cs="Arial"/>
          <w:color w:val="000000" w:themeColor="text1"/>
        </w:rPr>
        <w:t>.</w:t>
      </w:r>
      <w:bookmarkEnd w:id="109"/>
      <w:bookmarkEnd w:id="110"/>
      <w:bookmarkEnd w:id="111"/>
      <w:bookmarkEnd w:id="112"/>
    </w:p>
    <w:p w14:paraId="7B0736F2" w14:textId="77777777" w:rsidR="003827DD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Los procesos de publicidad se encontrarán regidos de acuerdo a las políticas señaladas en los documentos GN-2349-9 y GN 2350-9. </w:t>
      </w:r>
    </w:p>
    <w:p w14:paraId="5ED3D7ED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</w:p>
    <w:p w14:paraId="000F7C3D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El Especialista de Adquisiciones publicará el PA en </w:t>
      </w:r>
      <w:proofErr w:type="spellStart"/>
      <w:r w:rsidRPr="00375216">
        <w:rPr>
          <w:rFonts w:ascii="Arial" w:hAnsi="Arial" w:cs="Arial"/>
          <w:sz w:val="20"/>
        </w:rPr>
        <w:t>el</w:t>
      </w:r>
      <w:proofErr w:type="spellEnd"/>
      <w:r w:rsidRPr="00375216">
        <w:rPr>
          <w:rFonts w:ascii="Arial" w:hAnsi="Arial" w:cs="Arial"/>
          <w:sz w:val="20"/>
        </w:rPr>
        <w:t xml:space="preserve"> SEPA, y; de ser el caso, será actualizado </w:t>
      </w:r>
      <w:r>
        <w:rPr>
          <w:rFonts w:ascii="Arial" w:hAnsi="Arial" w:cs="Arial"/>
          <w:sz w:val="20"/>
        </w:rPr>
        <w:t>por los menos cada año</w:t>
      </w:r>
      <w:r w:rsidRPr="00375216">
        <w:rPr>
          <w:rFonts w:ascii="Arial" w:hAnsi="Arial" w:cs="Arial"/>
          <w:sz w:val="20"/>
        </w:rPr>
        <w:t xml:space="preserve"> o conforme lo requiera el BID o para reflejar las necesidades reales de ejecución del </w:t>
      </w:r>
      <w:r w:rsidR="006F63DE">
        <w:rPr>
          <w:rFonts w:ascii="Arial" w:hAnsi="Arial" w:cs="Arial"/>
          <w:sz w:val="20"/>
        </w:rPr>
        <w:t>programa</w:t>
      </w:r>
      <w:r w:rsidRPr="00375216">
        <w:rPr>
          <w:rFonts w:ascii="Arial" w:hAnsi="Arial" w:cs="Arial"/>
          <w:sz w:val="20"/>
        </w:rPr>
        <w:t xml:space="preserve"> y el progreso alcanzado.</w:t>
      </w:r>
    </w:p>
    <w:p w14:paraId="6D1DDB2B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</w:p>
    <w:p w14:paraId="2D6DE481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El Especialista de Adquisiciones tramitará la publicación de los llamados a licitación, los documentos de licitación, las solicitudes para expresión de interés y los resultados de evaluación de las ofertas y propuestas correspondientes a los procesos de adquisición de todos los bienes y servicios distintos de consultoría; y a los procesos de selección para la contratación de servicios de consultoría. </w:t>
      </w:r>
    </w:p>
    <w:p w14:paraId="6BE3EEEB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</w:p>
    <w:p w14:paraId="2251A735" w14:textId="77777777" w:rsidR="003827DD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Dependiendo del tipo de proceso, serán publicados en el </w:t>
      </w:r>
      <w:r>
        <w:rPr>
          <w:rFonts w:ascii="Arial" w:hAnsi="Arial" w:cs="Arial"/>
          <w:sz w:val="20"/>
        </w:rPr>
        <w:t xml:space="preserve">SEACE y, si así se necesitara, </w:t>
      </w:r>
      <w:r w:rsidRPr="00375216">
        <w:rPr>
          <w:rFonts w:ascii="Arial" w:hAnsi="Arial" w:cs="Arial"/>
          <w:color w:val="000000"/>
          <w:sz w:val="20"/>
        </w:rPr>
        <w:t xml:space="preserve">en un diario de amplia circulación nacional o el que establezca la normativa nacional referente a publicaciones, en la web institucional y en el sitio web del </w:t>
      </w:r>
      <w:proofErr w:type="spellStart"/>
      <w:r w:rsidRPr="00375216">
        <w:rPr>
          <w:rFonts w:ascii="Arial" w:hAnsi="Arial" w:cs="Arial"/>
          <w:i/>
          <w:color w:val="000000"/>
          <w:sz w:val="20"/>
        </w:rPr>
        <w:t>United</w:t>
      </w:r>
      <w:proofErr w:type="spellEnd"/>
      <w:r w:rsidRPr="00375216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375216">
        <w:rPr>
          <w:rFonts w:ascii="Arial" w:hAnsi="Arial" w:cs="Arial"/>
          <w:i/>
          <w:color w:val="000000"/>
          <w:sz w:val="20"/>
        </w:rPr>
        <w:t>Nations</w:t>
      </w:r>
      <w:proofErr w:type="spellEnd"/>
      <w:r w:rsidRPr="00375216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375216">
        <w:rPr>
          <w:rFonts w:ascii="Arial" w:hAnsi="Arial" w:cs="Arial"/>
          <w:i/>
          <w:color w:val="000000"/>
          <w:sz w:val="20"/>
        </w:rPr>
        <w:t>Development</w:t>
      </w:r>
      <w:proofErr w:type="spellEnd"/>
      <w:r w:rsidRPr="00375216">
        <w:rPr>
          <w:rFonts w:ascii="Arial" w:hAnsi="Arial" w:cs="Arial"/>
          <w:color w:val="000000"/>
          <w:sz w:val="20"/>
        </w:rPr>
        <w:t xml:space="preserve"> Business (UNDB); según corresponda.</w:t>
      </w:r>
      <w:r w:rsidRPr="00375216" w:rsidDel="00965A82">
        <w:rPr>
          <w:rFonts w:ascii="Arial" w:hAnsi="Arial" w:cs="Arial"/>
          <w:sz w:val="20"/>
        </w:rPr>
        <w:t xml:space="preserve"> </w:t>
      </w:r>
    </w:p>
    <w:p w14:paraId="31885D38" w14:textId="77777777" w:rsidR="006F63DE" w:rsidRDefault="006F63DE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</w:p>
    <w:p w14:paraId="576CF353" w14:textId="77777777" w:rsidR="003827DD" w:rsidRPr="00375216" w:rsidRDefault="003827DD" w:rsidP="003827DD">
      <w:pPr>
        <w:pStyle w:val="Normal3"/>
        <w:spacing w:line="276" w:lineRule="auto"/>
        <w:ind w:left="709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el llamado expresión de interés de firma consultora para la confección de lista corta, no es necesario tener aprobados los </w:t>
      </w:r>
      <w:proofErr w:type="spellStart"/>
      <w:r>
        <w:rPr>
          <w:rFonts w:ascii="Arial" w:hAnsi="Arial" w:cs="Arial"/>
          <w:sz w:val="20"/>
        </w:rPr>
        <w:t>TdR</w:t>
      </w:r>
      <w:proofErr w:type="spellEnd"/>
      <w:r>
        <w:rPr>
          <w:rFonts w:ascii="Arial" w:hAnsi="Arial" w:cs="Arial"/>
          <w:sz w:val="20"/>
        </w:rPr>
        <w:t xml:space="preserve"> definitivos.</w:t>
      </w:r>
    </w:p>
    <w:p w14:paraId="09BFAA05" w14:textId="77777777" w:rsidR="00AA0A77" w:rsidRPr="00AC1AC6" w:rsidRDefault="00AA0A77" w:rsidP="00B823D3">
      <w:pPr>
        <w:pStyle w:val="Normal3"/>
        <w:spacing w:after="0" w:line="276" w:lineRule="auto"/>
        <w:ind w:left="1701"/>
        <w:contextualSpacing/>
        <w:rPr>
          <w:rFonts w:ascii="Arial" w:hAnsi="Arial" w:cs="Arial"/>
        </w:rPr>
      </w:pPr>
    </w:p>
    <w:p w14:paraId="18EA46C1" w14:textId="77777777" w:rsidR="00664910" w:rsidRDefault="00FD190F" w:rsidP="00664910">
      <w:pPr>
        <w:pStyle w:val="Heading3"/>
        <w:keepNext w:val="0"/>
        <w:keepLines w:val="0"/>
        <w:numPr>
          <w:ilvl w:val="0"/>
          <w:numId w:val="0"/>
        </w:numPr>
        <w:spacing w:before="0" w:line="240" w:lineRule="auto"/>
        <w:ind w:left="709"/>
        <w:contextualSpacing/>
        <w:jc w:val="both"/>
        <w:rPr>
          <w:rFonts w:ascii="Arial" w:hAnsi="Arial" w:cs="Arial"/>
          <w:color w:val="000000" w:themeColor="text1"/>
        </w:rPr>
      </w:pPr>
      <w:bookmarkStart w:id="113" w:name="_Toc329310109"/>
      <w:bookmarkStart w:id="114" w:name="_Toc329310180"/>
      <w:bookmarkStart w:id="115" w:name="_Toc395509532"/>
      <w:bookmarkStart w:id="116" w:name="_Toc15932302"/>
      <w:bookmarkStart w:id="117" w:name="_Toc15991690"/>
      <w:bookmarkStart w:id="118" w:name="_Toc16284607"/>
      <w:r w:rsidRPr="00F53407">
        <w:rPr>
          <w:rFonts w:ascii="Arial" w:hAnsi="Arial" w:cs="Arial"/>
          <w:color w:val="000000" w:themeColor="text1"/>
        </w:rPr>
        <w:t>3.</w:t>
      </w:r>
      <w:r w:rsidR="006906CC">
        <w:rPr>
          <w:rFonts w:ascii="Arial" w:hAnsi="Arial" w:cs="Arial"/>
          <w:color w:val="000000" w:themeColor="text1"/>
        </w:rPr>
        <w:t>3</w:t>
      </w:r>
      <w:r w:rsidRPr="00F53407">
        <w:rPr>
          <w:rFonts w:ascii="Arial" w:hAnsi="Arial" w:cs="Arial"/>
          <w:color w:val="000000" w:themeColor="text1"/>
        </w:rPr>
        <w:t>.6</w:t>
      </w:r>
      <w:r w:rsidR="00485084" w:rsidRPr="00F53407">
        <w:rPr>
          <w:rFonts w:ascii="Arial" w:hAnsi="Arial" w:cs="Arial"/>
          <w:color w:val="000000" w:themeColor="text1"/>
        </w:rPr>
        <w:t xml:space="preserve"> </w:t>
      </w:r>
      <w:r w:rsidRPr="00F53407">
        <w:rPr>
          <w:rFonts w:ascii="Arial" w:hAnsi="Arial" w:cs="Arial"/>
          <w:color w:val="000000" w:themeColor="text1"/>
        </w:rPr>
        <w:t xml:space="preserve">  </w:t>
      </w:r>
      <w:r w:rsidR="00E05364" w:rsidRPr="00F53407">
        <w:rPr>
          <w:rFonts w:ascii="Arial" w:hAnsi="Arial" w:cs="Arial"/>
          <w:color w:val="000000" w:themeColor="text1"/>
        </w:rPr>
        <w:t xml:space="preserve">Suscripción e inicio de </w:t>
      </w:r>
      <w:r w:rsidR="00646EAB">
        <w:rPr>
          <w:rFonts w:ascii="Arial" w:hAnsi="Arial" w:cs="Arial"/>
          <w:color w:val="000000" w:themeColor="text1"/>
        </w:rPr>
        <w:t>c</w:t>
      </w:r>
      <w:r w:rsidR="00E05364" w:rsidRPr="00F53407">
        <w:rPr>
          <w:rFonts w:ascii="Arial" w:hAnsi="Arial" w:cs="Arial"/>
          <w:color w:val="000000" w:themeColor="text1"/>
        </w:rPr>
        <w:t>ontratos</w:t>
      </w:r>
      <w:bookmarkEnd w:id="113"/>
      <w:bookmarkEnd w:id="114"/>
      <w:bookmarkEnd w:id="115"/>
      <w:bookmarkEnd w:id="116"/>
      <w:bookmarkEnd w:id="117"/>
      <w:bookmarkEnd w:id="118"/>
    </w:p>
    <w:p w14:paraId="6EA911C8" w14:textId="2847C6E5" w:rsidR="00381834" w:rsidRPr="00375216" w:rsidRDefault="000A0386" w:rsidP="00664910">
      <w:pPr>
        <w:ind w:left="705"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Una vez efectuado el registro del resultado de proceso de selección en e</w:t>
      </w:r>
      <w:r w:rsidR="00664910" w:rsidRPr="00375216">
        <w:rPr>
          <w:rFonts w:ascii="Arial" w:hAnsi="Arial" w:cs="Arial"/>
          <w:sz w:val="20"/>
        </w:rPr>
        <w:t xml:space="preserve">l Banco </w:t>
      </w:r>
      <w:r w:rsidR="002710C4" w:rsidRPr="00375216">
        <w:rPr>
          <w:rFonts w:ascii="Arial" w:hAnsi="Arial" w:cs="Arial"/>
          <w:sz w:val="20"/>
        </w:rPr>
        <w:t>Inversiones (Invierte.pe)</w:t>
      </w:r>
      <w:r w:rsidR="00664910" w:rsidRPr="00375216">
        <w:rPr>
          <w:rFonts w:ascii="Arial" w:hAnsi="Arial" w:cs="Arial"/>
          <w:sz w:val="20"/>
        </w:rPr>
        <w:t xml:space="preserve">, </w:t>
      </w:r>
      <w:r w:rsidR="00C729F4" w:rsidRPr="00375216">
        <w:rPr>
          <w:rFonts w:ascii="Arial" w:hAnsi="Arial" w:cs="Arial"/>
          <w:sz w:val="20"/>
        </w:rPr>
        <w:t xml:space="preserve">la </w:t>
      </w:r>
      <w:r w:rsidR="006F63DE">
        <w:rPr>
          <w:rFonts w:ascii="Arial" w:hAnsi="Arial" w:cs="Arial"/>
          <w:sz w:val="20"/>
        </w:rPr>
        <w:t xml:space="preserve">Coordinación </w:t>
      </w:r>
      <w:r w:rsidR="00BA4660">
        <w:rPr>
          <w:rFonts w:ascii="Arial" w:hAnsi="Arial" w:cs="Arial"/>
          <w:sz w:val="20"/>
        </w:rPr>
        <w:t>del EDG</w:t>
      </w:r>
      <w:r w:rsidR="002F51C3">
        <w:rPr>
          <w:rFonts w:ascii="Arial" w:hAnsi="Arial" w:cs="Arial"/>
          <w:sz w:val="20"/>
        </w:rPr>
        <w:t>002</w:t>
      </w:r>
      <w:r w:rsidR="00A42A25">
        <w:rPr>
          <w:rFonts w:ascii="Arial" w:hAnsi="Arial" w:cs="Arial"/>
          <w:sz w:val="20"/>
        </w:rPr>
        <w:t xml:space="preserve"> suscribirá el contrato</w:t>
      </w:r>
      <w:r w:rsidR="00866F0C" w:rsidRPr="00375216">
        <w:rPr>
          <w:rFonts w:ascii="Arial" w:hAnsi="Arial" w:cs="Arial"/>
          <w:sz w:val="20"/>
        </w:rPr>
        <w:t>, t</w:t>
      </w:r>
      <w:r w:rsidR="00E05364" w:rsidRPr="00375216">
        <w:rPr>
          <w:rFonts w:ascii="Arial" w:hAnsi="Arial" w:cs="Arial"/>
          <w:sz w:val="20"/>
        </w:rPr>
        <w:t xml:space="preserve">eniendo en cuenta </w:t>
      </w:r>
      <w:r w:rsidR="00664910" w:rsidRPr="00375216">
        <w:rPr>
          <w:rFonts w:ascii="Arial" w:hAnsi="Arial" w:cs="Arial"/>
          <w:sz w:val="20"/>
        </w:rPr>
        <w:t xml:space="preserve">para ello, </w:t>
      </w:r>
      <w:r w:rsidR="00E05364" w:rsidRPr="00375216">
        <w:rPr>
          <w:rFonts w:ascii="Arial" w:hAnsi="Arial" w:cs="Arial"/>
          <w:sz w:val="20"/>
        </w:rPr>
        <w:t xml:space="preserve">el Informe </w:t>
      </w:r>
      <w:r w:rsidR="00C729F4" w:rsidRPr="00375216">
        <w:rPr>
          <w:rFonts w:ascii="Arial" w:hAnsi="Arial" w:cs="Arial"/>
          <w:sz w:val="20"/>
        </w:rPr>
        <w:t xml:space="preserve">de Evaluación </w:t>
      </w:r>
      <w:r w:rsidR="005A7662" w:rsidRPr="00375216">
        <w:rPr>
          <w:rFonts w:ascii="Arial" w:hAnsi="Arial" w:cs="Arial"/>
          <w:sz w:val="20"/>
        </w:rPr>
        <w:t>d</w:t>
      </w:r>
      <w:r w:rsidR="00E05364" w:rsidRPr="00375216">
        <w:rPr>
          <w:rFonts w:ascii="Arial" w:hAnsi="Arial" w:cs="Arial"/>
          <w:sz w:val="20"/>
        </w:rPr>
        <w:t xml:space="preserve">el Comité de </w:t>
      </w:r>
      <w:r w:rsidR="002710C4" w:rsidRPr="00375216">
        <w:rPr>
          <w:rFonts w:ascii="Arial" w:hAnsi="Arial" w:cs="Arial"/>
          <w:sz w:val="20"/>
        </w:rPr>
        <w:t>Evaluación</w:t>
      </w:r>
      <w:r w:rsidR="00E05364" w:rsidRPr="00375216">
        <w:rPr>
          <w:rFonts w:ascii="Arial" w:hAnsi="Arial" w:cs="Arial"/>
          <w:sz w:val="20"/>
        </w:rPr>
        <w:t xml:space="preserve">, los documentos del Proceso de Selección (incluyendo el </w:t>
      </w:r>
      <w:r w:rsidR="002B7FA8">
        <w:rPr>
          <w:rFonts w:ascii="Arial" w:hAnsi="Arial" w:cs="Arial"/>
          <w:sz w:val="20"/>
        </w:rPr>
        <w:t>Programa</w:t>
      </w:r>
      <w:r w:rsidR="00E05364" w:rsidRPr="00375216">
        <w:rPr>
          <w:rFonts w:ascii="Arial" w:hAnsi="Arial" w:cs="Arial"/>
          <w:sz w:val="20"/>
        </w:rPr>
        <w:t xml:space="preserve"> de </w:t>
      </w:r>
      <w:r w:rsidRPr="00375216">
        <w:rPr>
          <w:rFonts w:ascii="Arial" w:hAnsi="Arial" w:cs="Arial"/>
          <w:sz w:val="20"/>
        </w:rPr>
        <w:t>c</w:t>
      </w:r>
      <w:r w:rsidR="00E05364" w:rsidRPr="00375216">
        <w:rPr>
          <w:rFonts w:ascii="Arial" w:hAnsi="Arial" w:cs="Arial"/>
          <w:sz w:val="20"/>
        </w:rPr>
        <w:t>ontrato), la oferta del postor o licitante ganador seleccionado, y la no objeción del B</w:t>
      </w:r>
      <w:r w:rsidR="00664910" w:rsidRPr="00375216">
        <w:rPr>
          <w:rFonts w:ascii="Arial" w:hAnsi="Arial" w:cs="Arial"/>
          <w:sz w:val="20"/>
        </w:rPr>
        <w:t xml:space="preserve">ID, </w:t>
      </w:r>
      <w:r w:rsidR="00E05364" w:rsidRPr="00375216">
        <w:rPr>
          <w:rFonts w:ascii="Arial" w:hAnsi="Arial" w:cs="Arial"/>
          <w:sz w:val="20"/>
        </w:rPr>
        <w:t>cuando corresponda.</w:t>
      </w:r>
    </w:p>
    <w:p w14:paraId="671C2448" w14:textId="77777777" w:rsidR="00895A64" w:rsidRDefault="00AB430D" w:rsidP="00474FB4">
      <w:pPr>
        <w:pStyle w:val="Title"/>
        <w:tabs>
          <w:tab w:val="left" w:pos="851"/>
        </w:tabs>
        <w:spacing w:after="0" w:afterAutospacing="0"/>
        <w:ind w:left="142"/>
        <w:outlineLvl w:val="1"/>
        <w:rPr>
          <w:rFonts w:cs="Arial"/>
          <w:b/>
          <w:color w:val="000000" w:themeColor="text1"/>
          <w:sz w:val="22"/>
          <w:szCs w:val="22"/>
        </w:rPr>
      </w:pPr>
      <w:bookmarkStart w:id="119" w:name="_Toc16284608"/>
      <w:r>
        <w:rPr>
          <w:rFonts w:cs="Arial"/>
          <w:b/>
          <w:color w:val="000000" w:themeColor="text1"/>
          <w:sz w:val="22"/>
          <w:szCs w:val="22"/>
        </w:rPr>
        <w:t>3.</w:t>
      </w:r>
      <w:r w:rsidR="006D36F2">
        <w:rPr>
          <w:rFonts w:cs="Arial"/>
          <w:b/>
          <w:color w:val="000000" w:themeColor="text1"/>
          <w:sz w:val="22"/>
          <w:szCs w:val="22"/>
        </w:rPr>
        <w:t>4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64910">
        <w:rPr>
          <w:rFonts w:cs="Arial"/>
          <w:b/>
          <w:color w:val="000000" w:themeColor="text1"/>
          <w:sz w:val="22"/>
          <w:szCs w:val="22"/>
        </w:rPr>
        <w:t>Fase de</w:t>
      </w:r>
      <w:r w:rsidR="00895A64" w:rsidRPr="00C9384E">
        <w:rPr>
          <w:rFonts w:cs="Arial"/>
          <w:b/>
          <w:color w:val="000000" w:themeColor="text1"/>
          <w:sz w:val="22"/>
          <w:szCs w:val="22"/>
        </w:rPr>
        <w:t xml:space="preserve"> E</w:t>
      </w:r>
      <w:r w:rsidR="00664910">
        <w:rPr>
          <w:rFonts w:cs="Arial"/>
          <w:b/>
          <w:color w:val="000000" w:themeColor="text1"/>
          <w:sz w:val="22"/>
          <w:szCs w:val="22"/>
        </w:rPr>
        <w:t>jecución:</w:t>
      </w:r>
      <w:bookmarkEnd w:id="119"/>
      <w:r w:rsidR="00895A64" w:rsidRPr="00C9384E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14:paraId="3DA8DD76" w14:textId="77777777" w:rsidR="00895A64" w:rsidRDefault="00895A64" w:rsidP="00895A64">
      <w:pPr>
        <w:pStyle w:val="Title"/>
        <w:spacing w:after="0" w:afterAutospacing="0" w:line="14" w:lineRule="auto"/>
        <w:ind w:left="505"/>
        <w:rPr>
          <w:rFonts w:cs="Arial"/>
          <w:b/>
          <w:color w:val="000000" w:themeColor="text1"/>
          <w:sz w:val="22"/>
          <w:szCs w:val="22"/>
        </w:rPr>
      </w:pPr>
    </w:p>
    <w:p w14:paraId="1244C2A6" w14:textId="77777777" w:rsidR="00895A64" w:rsidRPr="003A1F08" w:rsidRDefault="00895A64" w:rsidP="00474FB4">
      <w:pPr>
        <w:pStyle w:val="Default"/>
        <w:ind w:left="567"/>
        <w:jc w:val="both"/>
        <w:outlineLvl w:val="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120" w:name="_Toc15932304"/>
      <w:bookmarkStart w:id="121" w:name="_Toc15991692"/>
      <w:bookmarkStart w:id="122" w:name="_Toc16284609"/>
      <w:r w:rsidRPr="00A30E30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6D36F2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A30E30">
        <w:rPr>
          <w:rFonts w:ascii="Arial" w:hAnsi="Arial" w:cs="Arial"/>
          <w:b/>
          <w:bCs/>
          <w:color w:val="000000" w:themeColor="text1"/>
          <w:sz w:val="22"/>
          <w:szCs w:val="22"/>
        </w:rPr>
        <w:t>.1 Ejecución y seguimiento contractual e inicio de trámites de pago</w:t>
      </w:r>
      <w:bookmarkEnd w:id="120"/>
      <w:bookmarkEnd w:id="121"/>
      <w:bookmarkEnd w:id="122"/>
    </w:p>
    <w:p w14:paraId="72EC186B" w14:textId="64A60792" w:rsidR="00895A64" w:rsidRPr="00375216" w:rsidRDefault="00472A11" w:rsidP="004D410C">
      <w:pPr>
        <w:ind w:left="567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>
        <w:rPr>
          <w:rFonts w:ascii="Arial" w:hAnsi="Arial" w:cs="Arial"/>
          <w:color w:val="000000" w:themeColor="text1"/>
          <w:sz w:val="20"/>
          <w:lang w:val="es-ES_tradnl"/>
        </w:rPr>
        <w:t>El Especialista de Adquisiciones</w:t>
      </w:r>
      <w:r w:rsidR="00895A64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informará a</w:t>
      </w:r>
      <w:r w:rsidR="006F63DE">
        <w:rPr>
          <w:rFonts w:ascii="Arial" w:hAnsi="Arial" w:cs="Arial"/>
          <w:color w:val="000000" w:themeColor="text1"/>
          <w:sz w:val="20"/>
          <w:lang w:val="es-ES_tradnl"/>
        </w:rPr>
        <w:t xml:space="preserve">l Coordinador Administrativo </w:t>
      </w:r>
      <w:r w:rsidR="00895A64" w:rsidRPr="00375216">
        <w:rPr>
          <w:rFonts w:ascii="Arial" w:hAnsi="Arial" w:cs="Arial"/>
          <w:color w:val="000000" w:themeColor="text1"/>
          <w:sz w:val="20"/>
          <w:lang w:val="es-ES_tradnl"/>
        </w:rPr>
        <w:t>sobre los contratos suscritos, a fin de que</w:t>
      </w:r>
      <w:r w:rsidR="006F63DE">
        <w:rPr>
          <w:rFonts w:ascii="Arial" w:hAnsi="Arial" w:cs="Arial"/>
          <w:color w:val="000000" w:themeColor="text1"/>
          <w:sz w:val="20"/>
          <w:lang w:val="es-ES_tradnl"/>
        </w:rPr>
        <w:t xml:space="preserve"> el Coordinador </w:t>
      </w:r>
      <w:r w:rsidR="00BA4660">
        <w:rPr>
          <w:rFonts w:ascii="Arial" w:hAnsi="Arial" w:cs="Arial"/>
          <w:color w:val="000000" w:themeColor="text1"/>
          <w:sz w:val="20"/>
          <w:lang w:val="es-ES_tradnl"/>
        </w:rPr>
        <w:t>del EDG</w:t>
      </w:r>
      <w:r w:rsidR="006F63DE">
        <w:rPr>
          <w:rFonts w:ascii="Arial" w:hAnsi="Arial" w:cs="Arial"/>
          <w:color w:val="000000" w:themeColor="text1"/>
          <w:sz w:val="20"/>
          <w:lang w:val="es-ES_tradnl"/>
        </w:rPr>
        <w:t>002</w:t>
      </w:r>
      <w:r w:rsidR="00895A64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ésta solicite al BID los códigos PRISM (código de identificación de contratos) respectivos.</w:t>
      </w:r>
    </w:p>
    <w:p w14:paraId="6671B0F6" w14:textId="77777777" w:rsidR="00895A64" w:rsidRPr="00375216" w:rsidRDefault="00A42A25" w:rsidP="004D410C">
      <w:pPr>
        <w:pStyle w:val="ListParagraph"/>
        <w:ind w:left="567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>
        <w:rPr>
          <w:rFonts w:ascii="Arial" w:hAnsi="Arial" w:cs="Arial"/>
          <w:color w:val="000000" w:themeColor="text1"/>
          <w:sz w:val="20"/>
          <w:lang w:val="es-ES_tradnl"/>
        </w:rPr>
        <w:t>El</w:t>
      </w:r>
      <w:r w:rsidR="00895A64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="00472A11">
        <w:rPr>
          <w:rFonts w:ascii="Arial" w:hAnsi="Arial" w:cs="Arial"/>
          <w:color w:val="000000" w:themeColor="text1"/>
          <w:sz w:val="20"/>
          <w:lang w:val="es-ES_tradnl"/>
        </w:rPr>
        <w:t xml:space="preserve">Especialista de Adquisiciones </w:t>
      </w:r>
      <w:r w:rsidR="00895A64" w:rsidRPr="00375216">
        <w:rPr>
          <w:rFonts w:ascii="Arial" w:hAnsi="Arial" w:cs="Arial"/>
          <w:color w:val="000000" w:themeColor="text1"/>
          <w:sz w:val="20"/>
          <w:lang w:val="es-ES_tradnl"/>
        </w:rPr>
        <w:t>notificará a la</w:t>
      </w:r>
      <w:r w:rsidR="00605FBD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="006F63DE">
        <w:rPr>
          <w:rFonts w:ascii="Arial" w:hAnsi="Arial" w:cs="Arial"/>
          <w:color w:val="000000" w:themeColor="text1"/>
          <w:sz w:val="20"/>
          <w:lang w:val="es-ES_tradnl"/>
        </w:rPr>
        <w:t>Coordinación Administrativa l</w:t>
      </w:r>
      <w:r w:rsidR="00895A64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a suscripción del contrato, cuya copia y documentos que lo conforman, a fin de que </w:t>
      </w:r>
      <w:r w:rsidR="00605FBD" w:rsidRPr="00375216">
        <w:rPr>
          <w:rFonts w:ascii="Arial" w:hAnsi="Arial" w:cs="Arial"/>
          <w:color w:val="000000" w:themeColor="text1"/>
          <w:sz w:val="20"/>
          <w:lang w:val="es-ES_tradnl"/>
        </w:rPr>
        <w:t>ambas</w:t>
      </w:r>
      <w:r w:rsidR="00895A64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verifique</w:t>
      </w:r>
      <w:r w:rsidR="00605FBD" w:rsidRPr="00375216">
        <w:rPr>
          <w:rFonts w:ascii="Arial" w:hAnsi="Arial" w:cs="Arial"/>
          <w:color w:val="000000" w:themeColor="text1"/>
          <w:sz w:val="20"/>
          <w:lang w:val="es-ES_tradnl"/>
        </w:rPr>
        <w:t>n</w:t>
      </w:r>
      <w:r w:rsidR="00895A64" w:rsidRPr="00375216">
        <w:rPr>
          <w:rFonts w:ascii="Arial" w:hAnsi="Arial" w:cs="Arial"/>
          <w:color w:val="000000" w:themeColor="text1"/>
          <w:sz w:val="20"/>
          <w:lang w:val="es-ES_tradnl"/>
        </w:rPr>
        <w:t>, dependiendo de la naturaleza de la prestación, la calidad, cantidad y cumplimiento de las condiciones contractuales, respecto a las prestaciones detalladas en el contrato y los documentos que lo conforman.</w:t>
      </w:r>
    </w:p>
    <w:p w14:paraId="329EC361" w14:textId="77777777" w:rsidR="009560A1" w:rsidRPr="00375216" w:rsidRDefault="00A42A25" w:rsidP="004D410C">
      <w:pPr>
        <w:ind w:left="567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>
        <w:rPr>
          <w:rFonts w:ascii="Arial" w:hAnsi="Arial" w:cs="Arial"/>
          <w:color w:val="000000" w:themeColor="text1"/>
          <w:sz w:val="20"/>
          <w:lang w:val="es-ES_tradnl"/>
        </w:rPr>
        <w:t xml:space="preserve">El responsable técnico </w:t>
      </w:r>
      <w:r w:rsidR="009560A1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es </w:t>
      </w:r>
      <w:r>
        <w:rPr>
          <w:rFonts w:ascii="Arial" w:hAnsi="Arial" w:cs="Arial"/>
          <w:color w:val="000000" w:themeColor="text1"/>
          <w:sz w:val="20"/>
          <w:lang w:val="es-ES_tradnl"/>
        </w:rPr>
        <w:t>el</w:t>
      </w:r>
      <w:r w:rsidR="009560A1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responsable de la supervisión del contrato en cuanto al cumplimiento de lo establecido en los </w:t>
      </w:r>
      <w:proofErr w:type="spellStart"/>
      <w:r w:rsidR="009560A1" w:rsidRPr="00375216">
        <w:rPr>
          <w:rFonts w:ascii="Arial" w:hAnsi="Arial" w:cs="Arial"/>
          <w:color w:val="000000" w:themeColor="text1"/>
          <w:sz w:val="20"/>
          <w:lang w:val="es-ES_tradnl"/>
        </w:rPr>
        <w:t>TdR</w:t>
      </w:r>
      <w:proofErr w:type="spellEnd"/>
      <w:r w:rsidR="009560A1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y/o EE.TT y el aseguramiento de la calidad de los entregables.</w:t>
      </w:r>
    </w:p>
    <w:p w14:paraId="0FBA3D4D" w14:textId="77777777" w:rsidR="00895A64" w:rsidRPr="00375216" w:rsidRDefault="00A42A25" w:rsidP="004D410C">
      <w:pPr>
        <w:ind w:left="567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>
        <w:rPr>
          <w:rFonts w:ascii="Arial" w:hAnsi="Arial" w:cs="Arial"/>
          <w:color w:val="000000" w:themeColor="text1"/>
          <w:sz w:val="20"/>
          <w:lang w:val="es-ES_tradnl"/>
        </w:rPr>
        <w:t>El responsable técnico</w:t>
      </w:r>
      <w:r w:rsidR="00895A64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tiene la obligación de ser diligente en la recepción y verificación de las prestaciones entregadas por el contratista; así como en la emisión de la respectiva conformidad</w:t>
      </w:r>
      <w:r w:rsidR="009560A1" w:rsidRPr="00375216">
        <w:rPr>
          <w:rFonts w:ascii="Arial" w:hAnsi="Arial" w:cs="Arial"/>
          <w:color w:val="000000" w:themeColor="text1"/>
          <w:sz w:val="20"/>
          <w:lang w:val="es-ES_tradnl"/>
        </w:rPr>
        <w:t>; así como</w:t>
      </w:r>
      <w:r w:rsidR="0044085D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="00895A64" w:rsidRPr="00375216">
        <w:rPr>
          <w:rFonts w:ascii="Arial" w:hAnsi="Arial" w:cs="Arial"/>
          <w:color w:val="000000" w:themeColor="text1"/>
          <w:sz w:val="20"/>
          <w:lang w:val="es-ES_tradnl"/>
        </w:rPr>
        <w:t>sustentar técnicamente toda solicitud de modificación del contrato.</w:t>
      </w:r>
    </w:p>
    <w:p w14:paraId="76CE7D60" w14:textId="507D57B6" w:rsidR="00664910" w:rsidRPr="00375216" w:rsidRDefault="00F02189" w:rsidP="004D410C">
      <w:pPr>
        <w:ind w:left="567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El Especialista </w:t>
      </w:r>
      <w:r w:rsidR="006D36F2">
        <w:rPr>
          <w:rFonts w:ascii="Arial" w:hAnsi="Arial" w:cs="Arial"/>
          <w:color w:val="000000" w:themeColor="text1"/>
          <w:sz w:val="20"/>
          <w:lang w:val="es-ES_tradnl"/>
        </w:rPr>
        <w:t>en Tesorería</w:t>
      </w:r>
      <w:r w:rsidR="00895A64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, realizará el control de las cartas fianzas remitidas por los proveedores, a fin de solicitar a los mismos las renovaciones cuando se requieran. En el caso de ser necesaria la ejecución de alguna carta fianza, </w:t>
      </w: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la </w:t>
      </w:r>
      <w:r w:rsidR="00BA4660">
        <w:rPr>
          <w:rFonts w:ascii="Arial" w:hAnsi="Arial" w:cs="Arial"/>
          <w:color w:val="000000" w:themeColor="text1"/>
          <w:sz w:val="20"/>
          <w:lang w:val="es-ES_tradnl"/>
        </w:rPr>
        <w:t>EDG</w:t>
      </w:r>
      <w:r w:rsidR="002F51C3">
        <w:rPr>
          <w:rFonts w:ascii="Arial" w:hAnsi="Arial" w:cs="Arial"/>
          <w:color w:val="000000" w:themeColor="text1"/>
          <w:sz w:val="20"/>
          <w:lang w:val="es-ES_tradnl"/>
        </w:rPr>
        <w:t>002</w:t>
      </w: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la ejecutará</w:t>
      </w:r>
      <w:r w:rsidR="00664910" w:rsidRPr="00375216">
        <w:rPr>
          <w:rFonts w:ascii="Arial" w:hAnsi="Arial" w:cs="Arial"/>
          <w:color w:val="000000" w:themeColor="text1"/>
          <w:sz w:val="20"/>
          <w:lang w:val="es-ES_tradnl"/>
        </w:rPr>
        <w:t>, de igual manera comunicará su suspensión.</w:t>
      </w:r>
    </w:p>
    <w:p w14:paraId="6AACB3E0" w14:textId="77777777" w:rsidR="00895A64" w:rsidRPr="00375216" w:rsidRDefault="00895A64" w:rsidP="004D410C">
      <w:pPr>
        <w:ind w:left="567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lang w:val="es-ES_tradnl"/>
        </w:rPr>
        <w:t>Una vez culminada la prestación correspondiente,</w:t>
      </w:r>
      <w:r w:rsidR="00EB022F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="00A42A25">
        <w:rPr>
          <w:rFonts w:ascii="Arial" w:hAnsi="Arial" w:cs="Arial"/>
          <w:color w:val="000000" w:themeColor="text1"/>
          <w:sz w:val="20"/>
          <w:lang w:val="es-ES_tradnl"/>
        </w:rPr>
        <w:t>el responsable técnico</w:t>
      </w: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remitirá </w:t>
      </w:r>
      <w:r w:rsidR="00472A11">
        <w:rPr>
          <w:rFonts w:ascii="Arial" w:hAnsi="Arial" w:cs="Arial"/>
          <w:color w:val="000000" w:themeColor="text1"/>
          <w:sz w:val="20"/>
          <w:lang w:val="es-ES_tradnl"/>
        </w:rPr>
        <w:t xml:space="preserve">al Especialista de Adquisiciones </w:t>
      </w: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la siguiente documentación: </w:t>
      </w:r>
    </w:p>
    <w:p w14:paraId="7E7D76B5" w14:textId="77777777" w:rsidR="00895A64" w:rsidRPr="00375216" w:rsidRDefault="00895A64" w:rsidP="00AA08A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color w:val="000000" w:themeColor="text1"/>
          <w:sz w:val="20"/>
          <w:u w:val="single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u w:val="single"/>
          <w:lang w:val="es-ES_tradnl"/>
        </w:rPr>
        <w:t>Consultorías:</w:t>
      </w:r>
    </w:p>
    <w:p w14:paraId="2E3FF1E5" w14:textId="77777777" w:rsidR="00EB6680" w:rsidRPr="00375216" w:rsidRDefault="00EB6680" w:rsidP="008621DE">
      <w:pPr>
        <w:spacing w:after="0"/>
        <w:ind w:left="1135" w:hanging="425"/>
        <w:rPr>
          <w:rFonts w:ascii="Arial" w:hAnsi="Arial" w:cs="Arial"/>
          <w:color w:val="000000" w:themeColor="text1"/>
          <w:sz w:val="20"/>
          <w:u w:val="single"/>
          <w:lang w:val="es-ES_tradnl"/>
        </w:rPr>
      </w:pPr>
    </w:p>
    <w:p w14:paraId="662FA6A5" w14:textId="77777777" w:rsidR="00887DB4" w:rsidRPr="00375216" w:rsidRDefault="00895A64" w:rsidP="00AA08A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lang w:val="es-ES_tradnl"/>
        </w:rPr>
        <w:t>Copia del entregable requerido en el contrato y los documentos que lo conforman, así como otros que pudieran requerirse.</w:t>
      </w:r>
    </w:p>
    <w:p w14:paraId="4D18FA95" w14:textId="77777777" w:rsidR="00887DB4" w:rsidRPr="00375216" w:rsidRDefault="00895A64" w:rsidP="00AA08A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lang w:val="es-ES_tradnl"/>
        </w:rPr>
        <w:t>Formato de Conformidad de</w:t>
      </w:r>
      <w:r w:rsidR="00A42A25">
        <w:rPr>
          <w:rFonts w:ascii="Arial" w:hAnsi="Arial" w:cs="Arial"/>
          <w:color w:val="000000" w:themeColor="text1"/>
          <w:sz w:val="20"/>
          <w:lang w:val="es-ES_tradnl"/>
        </w:rPr>
        <w:t xml:space="preserve">l responsable técnico </w:t>
      </w:r>
      <w:r w:rsidR="00EB022F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con la respectiva opinión del </w:t>
      </w:r>
      <w:r w:rsidRPr="00375216">
        <w:rPr>
          <w:rFonts w:ascii="Arial" w:hAnsi="Arial" w:cs="Arial"/>
          <w:color w:val="000000" w:themeColor="text1"/>
          <w:sz w:val="20"/>
          <w:lang w:val="es-ES_tradnl"/>
        </w:rPr>
        <w:t>Área Usuaria, firmada por los funcionarios responsables de dar la conformidad</w:t>
      </w:r>
    </w:p>
    <w:p w14:paraId="5251FC85" w14:textId="77777777" w:rsidR="00887DB4" w:rsidRPr="00375216" w:rsidRDefault="00895A64" w:rsidP="00AA08AA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Evaluación de desempeño del consultor (según formato BID), que se adjuntará al informe final. </w:t>
      </w:r>
    </w:p>
    <w:p w14:paraId="2E5164B7" w14:textId="77777777" w:rsidR="00E63C63" w:rsidRPr="00375216" w:rsidRDefault="00E63C63" w:rsidP="008621DE">
      <w:pPr>
        <w:pStyle w:val="ListParagraph"/>
        <w:spacing w:after="0" w:line="240" w:lineRule="auto"/>
        <w:ind w:left="1135"/>
        <w:contextualSpacing w:val="0"/>
        <w:jc w:val="both"/>
        <w:rPr>
          <w:rFonts w:ascii="Arial" w:hAnsi="Arial" w:cs="Arial"/>
          <w:color w:val="000000" w:themeColor="text1"/>
          <w:sz w:val="20"/>
          <w:lang w:val="es-ES_tradnl"/>
        </w:rPr>
      </w:pPr>
    </w:p>
    <w:p w14:paraId="039197A0" w14:textId="77777777" w:rsidR="00895A64" w:rsidRPr="00375216" w:rsidRDefault="00895A64" w:rsidP="00AA08AA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u w:val="single"/>
          <w:lang w:val="es-ES_tradnl"/>
        </w:rPr>
        <w:lastRenderedPageBreak/>
        <w:t>Servicios diferentes de consultoría</w:t>
      </w:r>
    </w:p>
    <w:p w14:paraId="0372921F" w14:textId="77777777" w:rsidR="007A6926" w:rsidRPr="00375216" w:rsidRDefault="007A6926" w:rsidP="007A6926">
      <w:pPr>
        <w:pStyle w:val="ListParagraph"/>
        <w:ind w:left="1080"/>
        <w:rPr>
          <w:rFonts w:ascii="Arial" w:hAnsi="Arial" w:cs="Arial"/>
          <w:color w:val="000000" w:themeColor="text1"/>
          <w:sz w:val="20"/>
          <w:u w:val="single"/>
          <w:lang w:val="es-ES_tradnl"/>
        </w:rPr>
      </w:pPr>
    </w:p>
    <w:p w14:paraId="5D5C5D31" w14:textId="77777777" w:rsidR="00887DB4" w:rsidRPr="00375216" w:rsidRDefault="00895A64" w:rsidP="00AA08A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Copia del entregable requerido en el contrato </w:t>
      </w:r>
      <w:r w:rsidR="00160C5D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o acta de conformidad </w:t>
      </w: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y los documentos que lo conforman, así como otros que pudieran requerirse. </w:t>
      </w:r>
    </w:p>
    <w:p w14:paraId="3B7007E7" w14:textId="77777777" w:rsidR="00887DB4" w:rsidRPr="00375216" w:rsidRDefault="00895A64" w:rsidP="00AA08A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Formato de Conformidad </w:t>
      </w:r>
      <w:r w:rsidR="00A42A25">
        <w:rPr>
          <w:rFonts w:ascii="Arial" w:hAnsi="Arial" w:cs="Arial"/>
          <w:color w:val="000000" w:themeColor="text1"/>
          <w:sz w:val="20"/>
          <w:lang w:val="es-ES_tradnl"/>
        </w:rPr>
        <w:t>del responsable técnico</w:t>
      </w:r>
      <w:r w:rsidR="00EB022F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con la respectiva opinión del</w:t>
      </w: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Área Usuaria, firmada por los funcionarios responsables de dar la conformidad.</w:t>
      </w:r>
    </w:p>
    <w:p w14:paraId="53EC005C" w14:textId="77777777" w:rsidR="00735331" w:rsidRPr="00375216" w:rsidRDefault="00735331" w:rsidP="008621DE">
      <w:pPr>
        <w:spacing w:after="0"/>
        <w:ind w:left="1135" w:hanging="425"/>
        <w:rPr>
          <w:rFonts w:ascii="Arial" w:hAnsi="Arial" w:cs="Arial"/>
          <w:color w:val="000000" w:themeColor="text1"/>
          <w:sz w:val="20"/>
          <w:u w:val="single"/>
          <w:lang w:val="es-ES_tradnl"/>
        </w:rPr>
      </w:pPr>
    </w:p>
    <w:p w14:paraId="1FD6A24A" w14:textId="77777777" w:rsidR="00895A64" w:rsidRPr="00375216" w:rsidRDefault="00895A64" w:rsidP="00AA08AA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u w:val="single"/>
          <w:lang w:val="es-ES_tradnl"/>
        </w:rPr>
        <w:t>Bienes:</w:t>
      </w:r>
    </w:p>
    <w:p w14:paraId="081CB4B2" w14:textId="77777777" w:rsidR="00FD4C78" w:rsidRPr="00375216" w:rsidRDefault="00FD4C78" w:rsidP="00FD4C78">
      <w:pPr>
        <w:pStyle w:val="ListParagraph"/>
        <w:ind w:left="1080"/>
        <w:rPr>
          <w:rFonts w:ascii="Arial" w:hAnsi="Arial" w:cs="Arial"/>
          <w:color w:val="000000" w:themeColor="text1"/>
          <w:sz w:val="20"/>
          <w:u w:val="single"/>
          <w:lang w:val="es-ES_tradnl"/>
        </w:rPr>
      </w:pPr>
    </w:p>
    <w:p w14:paraId="504CD2E6" w14:textId="77777777" w:rsidR="00887DB4" w:rsidRPr="00375216" w:rsidRDefault="00895A64" w:rsidP="00AA08A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Copia de documentos </w:t>
      </w:r>
      <w:proofErr w:type="gramStart"/>
      <w:r w:rsidRPr="00375216">
        <w:rPr>
          <w:rFonts w:ascii="Arial" w:hAnsi="Arial" w:cs="Arial"/>
          <w:color w:val="000000" w:themeColor="text1"/>
          <w:sz w:val="20"/>
          <w:lang w:val="es-ES_tradnl"/>
        </w:rPr>
        <w:t>re</w:t>
      </w:r>
      <w:r w:rsidRPr="00375216">
        <w:rPr>
          <w:rFonts w:ascii="Arial" w:hAnsi="Arial" w:cs="Arial"/>
          <w:color w:val="000000" w:themeColor="text1"/>
          <w:sz w:val="20"/>
          <w:lang w:val="es-ES_tradnl"/>
        </w:rPr>
        <w:tab/>
        <w:t>queridos</w:t>
      </w:r>
      <w:proofErr w:type="gramEnd"/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en el contrato y los documentos que lo conforman, así como otros que pudieran requerirse.</w:t>
      </w:r>
    </w:p>
    <w:p w14:paraId="2E43B146" w14:textId="77777777" w:rsidR="00887DB4" w:rsidRPr="00375216" w:rsidRDefault="00895A64" w:rsidP="00AA08A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Formato de Conformidad </w:t>
      </w:r>
      <w:r w:rsidR="00A42A25">
        <w:rPr>
          <w:rFonts w:ascii="Arial" w:hAnsi="Arial" w:cs="Arial"/>
          <w:color w:val="000000" w:themeColor="text1"/>
          <w:sz w:val="20"/>
          <w:lang w:val="es-ES_tradnl"/>
        </w:rPr>
        <w:t>del responsable técnico</w:t>
      </w:r>
      <w:r w:rsidR="00443A6F"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con la respectiva opinión del</w:t>
      </w: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Área Usuaria, firmada por los funcionarios responsables de dar la conformidad.</w:t>
      </w:r>
    </w:p>
    <w:p w14:paraId="75F49D99" w14:textId="77777777" w:rsidR="00895A64" w:rsidRPr="00375216" w:rsidRDefault="00895A64" w:rsidP="00895A64">
      <w:pPr>
        <w:spacing w:after="0"/>
        <w:ind w:left="1418"/>
        <w:jc w:val="both"/>
        <w:rPr>
          <w:rFonts w:ascii="Arial" w:hAnsi="Arial" w:cs="Arial"/>
          <w:color w:val="000000" w:themeColor="text1"/>
          <w:sz w:val="20"/>
          <w:lang w:val="es-ES_tradnl"/>
        </w:rPr>
      </w:pPr>
    </w:p>
    <w:p w14:paraId="444EE840" w14:textId="739ABBA1" w:rsidR="00895A64" w:rsidRPr="00375216" w:rsidRDefault="00895A64" w:rsidP="00F5300C">
      <w:pPr>
        <w:ind w:left="567"/>
        <w:jc w:val="both"/>
        <w:rPr>
          <w:rFonts w:ascii="Arial" w:hAnsi="Arial" w:cs="Arial"/>
          <w:color w:val="000000" w:themeColor="text1"/>
          <w:sz w:val="20"/>
          <w:lang w:val="es-ES_tradnl"/>
        </w:rPr>
      </w:pPr>
      <w:r w:rsidRPr="00375216">
        <w:rPr>
          <w:rFonts w:ascii="Arial" w:hAnsi="Arial" w:cs="Arial"/>
          <w:color w:val="000000" w:themeColor="text1"/>
          <w:sz w:val="20"/>
          <w:lang w:val="es-ES_tradnl"/>
        </w:rPr>
        <w:t>Los proveedores presentarán los respectivos comprobantes de pago a la</w:t>
      </w:r>
      <w:r w:rsidR="00472A11">
        <w:rPr>
          <w:rFonts w:ascii="Arial" w:hAnsi="Arial" w:cs="Arial"/>
          <w:color w:val="000000" w:themeColor="text1"/>
          <w:sz w:val="20"/>
          <w:lang w:val="es-ES_tradnl"/>
        </w:rPr>
        <w:t xml:space="preserve"> </w:t>
      </w:r>
      <w:r w:rsidR="00BA4660">
        <w:rPr>
          <w:rFonts w:ascii="Arial" w:hAnsi="Arial" w:cs="Arial"/>
          <w:color w:val="000000" w:themeColor="text1"/>
          <w:sz w:val="20"/>
          <w:lang w:val="es-ES_tradnl"/>
        </w:rPr>
        <w:t>EDG</w:t>
      </w:r>
      <w:r w:rsidR="002F51C3">
        <w:rPr>
          <w:rFonts w:ascii="Arial" w:hAnsi="Arial" w:cs="Arial"/>
          <w:color w:val="000000" w:themeColor="text1"/>
          <w:sz w:val="20"/>
          <w:lang w:val="es-ES_tradnl"/>
        </w:rPr>
        <w:t>002</w:t>
      </w:r>
      <w:r w:rsidR="00F5300C" w:rsidRPr="00375216">
        <w:rPr>
          <w:rFonts w:ascii="Arial" w:eastAsia="Calibri" w:hAnsi="Arial" w:cs="Arial"/>
          <w:sz w:val="20"/>
          <w:lang w:eastAsia="en-US"/>
        </w:rPr>
        <w:t xml:space="preserve">, </w:t>
      </w:r>
      <w:r w:rsidR="00F5300C" w:rsidRPr="00375216">
        <w:rPr>
          <w:rFonts w:ascii="Arial" w:hAnsi="Arial" w:cs="Arial"/>
          <w:color w:val="000000"/>
          <w:sz w:val="20"/>
          <w:lang w:val="es-ES_tradnl"/>
        </w:rPr>
        <w:t>quien recibirá los documentos, conformará el expediente y realizará el pago correspondiente</w:t>
      </w:r>
      <w:r w:rsidRPr="00375216">
        <w:rPr>
          <w:rFonts w:ascii="Arial" w:hAnsi="Arial" w:cs="Arial"/>
          <w:color w:val="000000" w:themeColor="text1"/>
          <w:sz w:val="20"/>
          <w:lang w:val="es-ES_tradnl"/>
        </w:rPr>
        <w:t xml:space="preserve"> indicando el importe y la fuente de financiamiento.</w:t>
      </w:r>
    </w:p>
    <w:p w14:paraId="2230A7DC" w14:textId="77777777" w:rsidR="00895A64" w:rsidRPr="00D708B7" w:rsidRDefault="00895A64" w:rsidP="00474FB4">
      <w:pPr>
        <w:pStyle w:val="Default"/>
        <w:ind w:left="567"/>
        <w:jc w:val="both"/>
        <w:outlineLvl w:val="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123" w:name="_Toc15932305"/>
      <w:bookmarkStart w:id="124" w:name="_Toc15991693"/>
      <w:bookmarkStart w:id="125" w:name="_Toc16284610"/>
      <w:r w:rsidRPr="00D708B7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6D36F2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D708B7">
        <w:rPr>
          <w:rFonts w:ascii="Arial" w:hAnsi="Arial" w:cs="Arial"/>
          <w:b/>
          <w:bCs/>
          <w:color w:val="000000" w:themeColor="text1"/>
          <w:sz w:val="22"/>
          <w:szCs w:val="22"/>
        </w:rPr>
        <w:t>.2 Liquidación y cierre de contratos</w:t>
      </w:r>
      <w:bookmarkEnd w:id="123"/>
      <w:bookmarkEnd w:id="124"/>
      <w:bookmarkEnd w:id="125"/>
      <w:r w:rsidRPr="00D7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FA456C6" w14:textId="7C9CF153" w:rsidR="006D36F2" w:rsidRDefault="006D36F2" w:rsidP="006D36F2">
      <w:pPr>
        <w:ind w:left="567"/>
        <w:jc w:val="both"/>
        <w:rPr>
          <w:rFonts w:ascii="Arial" w:hAnsi="Arial" w:cs="Arial"/>
          <w:color w:val="000000" w:themeColor="text1"/>
          <w:sz w:val="20"/>
        </w:rPr>
      </w:pPr>
      <w:bookmarkStart w:id="126" w:name="_Toc15932306"/>
      <w:r w:rsidRPr="00375216">
        <w:rPr>
          <w:rFonts w:ascii="Arial" w:hAnsi="Arial" w:cs="Arial"/>
          <w:color w:val="000000" w:themeColor="text1"/>
          <w:sz w:val="20"/>
        </w:rPr>
        <w:t>El Especialista Financiero</w:t>
      </w:r>
      <w:r w:rsidR="00A42A25">
        <w:rPr>
          <w:rFonts w:ascii="Arial" w:hAnsi="Arial" w:cs="Arial"/>
          <w:color w:val="000000" w:themeColor="text1"/>
          <w:sz w:val="20"/>
        </w:rPr>
        <w:t>-Contable</w:t>
      </w:r>
      <w:r w:rsidRPr="00375216">
        <w:rPr>
          <w:rFonts w:ascii="Arial" w:hAnsi="Arial" w:cs="Arial"/>
          <w:color w:val="000000" w:themeColor="text1"/>
          <w:sz w:val="20"/>
        </w:rPr>
        <w:t xml:space="preserve"> remitirá a la </w:t>
      </w:r>
      <w:r w:rsidR="006F63DE">
        <w:rPr>
          <w:rFonts w:ascii="Arial" w:hAnsi="Arial" w:cs="Arial"/>
          <w:color w:val="000000" w:themeColor="text1"/>
          <w:sz w:val="20"/>
        </w:rPr>
        <w:t xml:space="preserve">Coordinación Administrativa y este a la Coordinación </w:t>
      </w:r>
      <w:r w:rsidR="00BA4660">
        <w:rPr>
          <w:rFonts w:ascii="Arial" w:hAnsi="Arial" w:cs="Arial"/>
          <w:color w:val="000000" w:themeColor="text1"/>
          <w:sz w:val="20"/>
        </w:rPr>
        <w:t>del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Pr="00375216">
        <w:rPr>
          <w:rFonts w:ascii="Arial" w:hAnsi="Arial" w:cs="Arial"/>
          <w:color w:val="000000" w:themeColor="text1"/>
          <w:sz w:val="20"/>
        </w:rPr>
        <w:t xml:space="preserve"> la documentación necesaria para que solicite al BID la no objeción a los informes finales de consultorías</w:t>
      </w:r>
      <w:r>
        <w:rPr>
          <w:rFonts w:ascii="Arial" w:hAnsi="Arial" w:cs="Arial"/>
          <w:color w:val="000000" w:themeColor="text1"/>
          <w:sz w:val="20"/>
        </w:rPr>
        <w:t>, siempre y cuando se haya establecido el citado requisito en los Términos de Referencia,</w:t>
      </w:r>
      <w:r w:rsidRPr="00375216">
        <w:rPr>
          <w:rFonts w:ascii="Arial" w:hAnsi="Arial" w:cs="Arial"/>
          <w:color w:val="000000" w:themeColor="text1"/>
          <w:sz w:val="20"/>
        </w:rPr>
        <w:t xml:space="preserve"> a fin de que una vez obtenida la no objeción tramite del último pago de cada contrato de consultoría con la consiguiente liquidación y cierre de contrato.</w:t>
      </w:r>
    </w:p>
    <w:p w14:paraId="1EA1B815" w14:textId="77777777" w:rsidR="006D36F2" w:rsidRDefault="006D36F2" w:rsidP="006D36F2">
      <w:pPr>
        <w:pStyle w:val="Default"/>
        <w:ind w:left="567"/>
        <w:jc w:val="both"/>
        <w:outlineLvl w:val="2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bookmarkStart w:id="127" w:name="_Toc15991694"/>
      <w:bookmarkStart w:id="128" w:name="_Toc16284611"/>
      <w:r w:rsidRPr="003A65FA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3.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4</w:t>
      </w:r>
      <w:r w:rsidRPr="003A65FA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.3 Cuentas Bancarias</w:t>
      </w:r>
      <w:bookmarkEnd w:id="127"/>
      <w:bookmarkEnd w:id="128"/>
    </w:p>
    <w:p w14:paraId="3D1FC26A" w14:textId="3DED8014" w:rsidR="006D36F2" w:rsidRPr="003A65FA" w:rsidRDefault="00BA4660" w:rsidP="006D36F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El EDG</w:t>
      </w:r>
      <w:r w:rsidR="002F51C3">
        <w:rPr>
          <w:rFonts w:ascii="Arial" w:hAnsi="Arial" w:cs="Arial"/>
          <w:color w:val="000000"/>
          <w:sz w:val="20"/>
        </w:rPr>
        <w:t>002</w:t>
      </w:r>
      <w:r w:rsidR="006D36F2" w:rsidRPr="003A65FA">
        <w:rPr>
          <w:rFonts w:ascii="Arial" w:hAnsi="Arial" w:cs="Arial"/>
          <w:color w:val="000000"/>
          <w:sz w:val="20"/>
        </w:rPr>
        <w:t xml:space="preserve"> gestionará la apertura de cuentas bancarias exclusivas (USD y S/.) para la ejecución de los recursos del Pro</w:t>
      </w:r>
      <w:r w:rsidR="006D36F2">
        <w:rPr>
          <w:rFonts w:ascii="Arial" w:hAnsi="Arial" w:cs="Arial"/>
          <w:color w:val="000000"/>
          <w:sz w:val="20"/>
        </w:rPr>
        <w:t>grama</w:t>
      </w:r>
      <w:r w:rsidR="006D36F2" w:rsidRPr="003A65FA">
        <w:rPr>
          <w:rFonts w:ascii="Arial" w:hAnsi="Arial" w:cs="Arial"/>
          <w:color w:val="000000"/>
          <w:sz w:val="20"/>
        </w:rPr>
        <w:t>, de conformidad a las estipulaciones al Contrato de Préstamo y siguiendo los procedimientos de la normatividad aplicable.</w:t>
      </w:r>
    </w:p>
    <w:p w14:paraId="06722C9C" w14:textId="77777777" w:rsidR="006D36F2" w:rsidRPr="003A65FA" w:rsidRDefault="006D36F2" w:rsidP="006D36F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</w:rPr>
      </w:pPr>
      <w:r w:rsidRPr="003A65FA">
        <w:rPr>
          <w:rFonts w:ascii="Arial" w:hAnsi="Arial" w:cs="Arial"/>
          <w:color w:val="000000"/>
          <w:sz w:val="20"/>
        </w:rPr>
        <w:t xml:space="preserve">La cuenta en USD será utilizada para la recepción de los fondos provenientes del Banco; mientras que la cuenta en S/. será utilizada para las monetizaciones que sean requeridas por el </w:t>
      </w:r>
      <w:r>
        <w:rPr>
          <w:rFonts w:ascii="Arial" w:hAnsi="Arial" w:cs="Arial"/>
          <w:color w:val="000000"/>
          <w:sz w:val="20"/>
        </w:rPr>
        <w:t>Programa</w:t>
      </w:r>
      <w:r w:rsidRPr="003A65FA">
        <w:rPr>
          <w:rFonts w:ascii="Arial" w:hAnsi="Arial" w:cs="Arial"/>
          <w:color w:val="000000"/>
          <w:sz w:val="20"/>
        </w:rPr>
        <w:t xml:space="preserve"> para el pago de obligaciones en moneda local. En ambos casos estas cuentas servirán para realizar la gestión financiera de las operaciones.</w:t>
      </w:r>
    </w:p>
    <w:p w14:paraId="652616D0" w14:textId="4207C6B6" w:rsidR="006D36F2" w:rsidRPr="003A65FA" w:rsidRDefault="00BA4660" w:rsidP="006D36F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El EDG</w:t>
      </w:r>
      <w:r w:rsidR="002F51C3">
        <w:rPr>
          <w:rFonts w:ascii="Arial" w:hAnsi="Arial" w:cs="Arial"/>
          <w:color w:val="000000"/>
          <w:sz w:val="20"/>
        </w:rPr>
        <w:t>002</w:t>
      </w:r>
      <w:r w:rsidR="006D36F2" w:rsidRPr="003A65FA">
        <w:rPr>
          <w:rFonts w:ascii="Arial" w:hAnsi="Arial" w:cs="Arial"/>
          <w:color w:val="000000"/>
          <w:sz w:val="20"/>
        </w:rPr>
        <w:t xml:space="preserve"> se encargará de brindar toda la información al BID referidas a las cuentas bancarias a utilizarse e incluir todos los elementos necesarios para posibilitar al BID el procesamiento de los desembolsos, a través de una transferencia electrónica de fondos. </w:t>
      </w:r>
    </w:p>
    <w:p w14:paraId="014627F8" w14:textId="3DE09394" w:rsidR="006D36F2" w:rsidRPr="003A65FA" w:rsidRDefault="00BA4660" w:rsidP="006D36F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El EDG</w:t>
      </w:r>
      <w:r w:rsidR="002F51C3">
        <w:rPr>
          <w:rFonts w:ascii="Arial" w:hAnsi="Arial" w:cs="Arial"/>
          <w:color w:val="000000"/>
          <w:sz w:val="20"/>
        </w:rPr>
        <w:t>002</w:t>
      </w:r>
      <w:r w:rsidR="006D36F2" w:rsidRPr="003A65FA">
        <w:rPr>
          <w:rFonts w:ascii="Arial" w:hAnsi="Arial" w:cs="Arial"/>
          <w:color w:val="000000"/>
          <w:sz w:val="20"/>
        </w:rPr>
        <w:t xml:space="preserve"> es responsable del pago de cualquier cargo o comisión generadas por el uso de las citadas cuentas con cargo al Aporte Local. </w:t>
      </w:r>
    </w:p>
    <w:p w14:paraId="7B7818FA" w14:textId="77777777" w:rsidR="00C83402" w:rsidRPr="005B185C" w:rsidRDefault="008F3FA0" w:rsidP="00474FB4">
      <w:pPr>
        <w:pStyle w:val="Default"/>
        <w:ind w:left="567"/>
        <w:jc w:val="both"/>
        <w:outlineLvl w:val="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129" w:name="_Toc15991695"/>
      <w:bookmarkStart w:id="130" w:name="_Toc16284612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bookmarkStart w:id="131" w:name="_Toc392251345"/>
      <w:bookmarkStart w:id="132" w:name="_Toc392083737"/>
      <w:r w:rsidR="00A50694" w:rsidRPr="00A5069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6D36F2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A50694" w:rsidRPr="00A5069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6D36F2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A50694" w:rsidRPr="00A506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End w:id="131"/>
      <w:bookmarkEnd w:id="132"/>
      <w:r w:rsidR="00567AB6">
        <w:rPr>
          <w:rFonts w:ascii="Arial" w:hAnsi="Arial" w:cs="Arial"/>
          <w:b/>
          <w:bCs/>
          <w:color w:val="000000" w:themeColor="text1"/>
          <w:sz w:val="22"/>
          <w:szCs w:val="22"/>
        </w:rPr>
        <w:t>Solicitudes de Desembolso</w:t>
      </w:r>
      <w:bookmarkEnd w:id="126"/>
      <w:bookmarkEnd w:id="129"/>
      <w:bookmarkEnd w:id="130"/>
    </w:p>
    <w:p w14:paraId="49631E64" w14:textId="3B14F008" w:rsidR="002824F1" w:rsidRPr="00375216" w:rsidRDefault="00EF5AE9" w:rsidP="0038183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0"/>
        </w:rPr>
      </w:pPr>
      <w:r w:rsidRPr="00375216">
        <w:rPr>
          <w:rFonts w:ascii="Arial" w:hAnsi="Arial" w:cs="Arial"/>
          <w:color w:val="000000"/>
          <w:sz w:val="20"/>
        </w:rPr>
        <w:t xml:space="preserve">La </w:t>
      </w:r>
      <w:r w:rsidR="006F63DE">
        <w:rPr>
          <w:rFonts w:ascii="Arial" w:hAnsi="Arial" w:cs="Arial"/>
          <w:color w:val="000000"/>
          <w:sz w:val="20"/>
        </w:rPr>
        <w:t>Coordinación</w:t>
      </w:r>
      <w:r w:rsidR="00A42A25">
        <w:rPr>
          <w:rFonts w:ascii="Arial" w:hAnsi="Arial" w:cs="Arial"/>
          <w:color w:val="000000"/>
          <w:sz w:val="20"/>
        </w:rPr>
        <w:t xml:space="preserve"> </w:t>
      </w:r>
      <w:r w:rsidR="00BA4660">
        <w:rPr>
          <w:rFonts w:ascii="Arial" w:hAnsi="Arial" w:cs="Arial"/>
          <w:color w:val="000000"/>
          <w:sz w:val="20"/>
        </w:rPr>
        <w:t>del EDG</w:t>
      </w:r>
      <w:r w:rsidR="002F51C3">
        <w:rPr>
          <w:rFonts w:ascii="Arial" w:hAnsi="Arial" w:cs="Arial"/>
          <w:color w:val="000000"/>
          <w:sz w:val="20"/>
        </w:rPr>
        <w:t>002</w:t>
      </w:r>
      <w:r w:rsidR="009F5178" w:rsidRPr="00375216">
        <w:rPr>
          <w:rFonts w:ascii="Arial" w:hAnsi="Arial" w:cs="Arial"/>
          <w:color w:val="000000"/>
          <w:sz w:val="20"/>
        </w:rPr>
        <w:t xml:space="preserve"> </w:t>
      </w:r>
      <w:r w:rsidR="003C6424" w:rsidRPr="00375216">
        <w:rPr>
          <w:rFonts w:ascii="Arial" w:hAnsi="Arial" w:cs="Arial"/>
          <w:color w:val="000000"/>
          <w:sz w:val="20"/>
        </w:rPr>
        <w:t xml:space="preserve">presentará al BID </w:t>
      </w:r>
      <w:r w:rsidR="00567AB6" w:rsidRPr="00375216">
        <w:rPr>
          <w:rFonts w:ascii="Arial" w:hAnsi="Arial" w:cs="Arial"/>
          <w:color w:val="000000"/>
          <w:sz w:val="20"/>
        </w:rPr>
        <w:t>las Solicitudes de Desembolso</w:t>
      </w:r>
      <w:r w:rsidR="00C12105" w:rsidRPr="00375216">
        <w:rPr>
          <w:rFonts w:ascii="Arial" w:hAnsi="Arial" w:cs="Arial"/>
          <w:color w:val="000000"/>
          <w:sz w:val="20"/>
        </w:rPr>
        <w:t xml:space="preserve"> del </w:t>
      </w:r>
      <w:r w:rsidR="002B7FA8">
        <w:rPr>
          <w:rFonts w:ascii="Arial" w:hAnsi="Arial" w:cs="Arial"/>
          <w:color w:val="000000"/>
          <w:sz w:val="20"/>
        </w:rPr>
        <w:t>Programa</w:t>
      </w:r>
      <w:r w:rsidR="009F5178" w:rsidRPr="00375216">
        <w:rPr>
          <w:rFonts w:ascii="Arial" w:hAnsi="Arial" w:cs="Arial"/>
          <w:color w:val="000000"/>
          <w:sz w:val="20"/>
        </w:rPr>
        <w:t xml:space="preserve">, elaborados por </w:t>
      </w:r>
      <w:r w:rsidR="00375216" w:rsidRPr="00375216">
        <w:rPr>
          <w:rFonts w:ascii="Arial" w:hAnsi="Arial" w:cs="Arial"/>
          <w:color w:val="000000"/>
          <w:sz w:val="20"/>
        </w:rPr>
        <w:t>el Especialista Financiero</w:t>
      </w:r>
      <w:r w:rsidR="00A42A25">
        <w:rPr>
          <w:rFonts w:ascii="Arial" w:hAnsi="Arial" w:cs="Arial"/>
          <w:color w:val="000000"/>
          <w:sz w:val="20"/>
        </w:rPr>
        <w:t>-Contable</w:t>
      </w:r>
      <w:r w:rsidR="006F63DE">
        <w:rPr>
          <w:rFonts w:ascii="Arial" w:hAnsi="Arial" w:cs="Arial"/>
          <w:color w:val="000000"/>
          <w:sz w:val="20"/>
        </w:rPr>
        <w:t xml:space="preserve"> con el visto bueno de la Coordinación Administrativa.</w:t>
      </w:r>
    </w:p>
    <w:p w14:paraId="7A91B32C" w14:textId="77777777" w:rsidR="000C588C" w:rsidRDefault="00CD1651" w:rsidP="00D55AA9">
      <w:pPr>
        <w:ind w:left="567"/>
        <w:jc w:val="both"/>
        <w:rPr>
          <w:rFonts w:ascii="Arial" w:hAnsi="Arial" w:cs="Arial"/>
          <w:color w:val="000000"/>
          <w:sz w:val="20"/>
        </w:rPr>
      </w:pPr>
      <w:r w:rsidRPr="00375216">
        <w:rPr>
          <w:rFonts w:ascii="Arial" w:hAnsi="Arial" w:cs="Arial"/>
          <w:color w:val="000000"/>
          <w:sz w:val="20"/>
        </w:rPr>
        <w:t xml:space="preserve">Las Solicitudes de desembolsos se realizarán en Dólares de los Estados Unidos de Norte América. Los desembolsos vinculados al pago de gastos elegibles se realizarán con cargo al </w:t>
      </w:r>
      <w:r w:rsidR="002B7FA8">
        <w:rPr>
          <w:rFonts w:ascii="Arial" w:hAnsi="Arial" w:cs="Arial"/>
          <w:color w:val="000000"/>
          <w:sz w:val="20"/>
        </w:rPr>
        <w:t>Programa</w:t>
      </w:r>
      <w:r w:rsidRPr="00375216">
        <w:rPr>
          <w:rFonts w:ascii="Arial" w:hAnsi="Arial" w:cs="Arial"/>
          <w:color w:val="000000"/>
          <w:sz w:val="20"/>
        </w:rPr>
        <w:t xml:space="preserve"> y se llevarán a cabo cumpliendo las condiciones señaladas en el Contrato de Préstamo de la operación. </w:t>
      </w:r>
    </w:p>
    <w:p w14:paraId="42939ED0" w14:textId="77777777" w:rsidR="00CD1651" w:rsidRDefault="00CD1651" w:rsidP="00D55AA9">
      <w:pPr>
        <w:ind w:left="567"/>
        <w:jc w:val="both"/>
        <w:rPr>
          <w:rFonts w:ascii="Arial" w:hAnsi="Arial" w:cs="Arial"/>
          <w:color w:val="000000"/>
          <w:sz w:val="20"/>
        </w:rPr>
      </w:pPr>
      <w:r w:rsidRPr="00375216">
        <w:rPr>
          <w:rFonts w:ascii="Arial" w:hAnsi="Arial" w:cs="Arial"/>
          <w:color w:val="000000"/>
          <w:sz w:val="20"/>
        </w:rPr>
        <w:t xml:space="preserve">El primer desembolso del Préstamo está condicionado al cumplimiento de las condiciones previas al primer desembolso previsto en las Estipulaciones Especiales y Normas Generales del Contrato de Préstamo. </w:t>
      </w:r>
    </w:p>
    <w:p w14:paraId="344066E8" w14:textId="2D493926" w:rsidR="006D36F2" w:rsidRDefault="006D36F2" w:rsidP="006D36F2">
      <w:pPr>
        <w:ind w:left="567"/>
        <w:jc w:val="both"/>
        <w:rPr>
          <w:rFonts w:ascii="Arial" w:hAnsi="Arial" w:cs="Arial"/>
          <w:color w:val="000000"/>
          <w:sz w:val="20"/>
        </w:rPr>
      </w:pPr>
      <w:r w:rsidRPr="003A65FA">
        <w:rPr>
          <w:rFonts w:ascii="Arial" w:hAnsi="Arial" w:cs="Arial"/>
          <w:color w:val="000000"/>
          <w:sz w:val="20"/>
        </w:rPr>
        <w:lastRenderedPageBreak/>
        <w:t xml:space="preserve">Previo al inicio del envío de Solicitudes de Desembolsos al BID, la </w:t>
      </w:r>
      <w:r w:rsidR="00BA4660">
        <w:rPr>
          <w:rFonts w:ascii="Arial" w:hAnsi="Arial" w:cs="Arial"/>
          <w:color w:val="000000"/>
          <w:sz w:val="20"/>
        </w:rPr>
        <w:t>EDG</w:t>
      </w:r>
      <w:r w:rsidR="002F51C3">
        <w:rPr>
          <w:rFonts w:ascii="Arial" w:hAnsi="Arial" w:cs="Arial"/>
          <w:color w:val="000000"/>
          <w:sz w:val="20"/>
        </w:rPr>
        <w:t>002</w:t>
      </w:r>
      <w:r w:rsidRPr="003A65FA">
        <w:rPr>
          <w:rFonts w:ascii="Arial" w:hAnsi="Arial" w:cs="Arial"/>
          <w:color w:val="000000"/>
          <w:sz w:val="20"/>
        </w:rPr>
        <w:t xml:space="preserve"> gestionará, a través de la Dirección General de Tesoro Público del MEF, el certificado de firmas autorizadas de los funcionarios quienes serán los únicos representantes que firmarán </w:t>
      </w:r>
      <w:r>
        <w:rPr>
          <w:rFonts w:ascii="Arial" w:hAnsi="Arial" w:cs="Arial"/>
          <w:color w:val="000000"/>
          <w:sz w:val="20"/>
        </w:rPr>
        <w:t>las Solicitudes de Desembolso</w:t>
      </w:r>
      <w:r w:rsidRPr="003A65FA">
        <w:rPr>
          <w:rFonts w:ascii="Arial" w:hAnsi="Arial" w:cs="Arial"/>
          <w:color w:val="000000"/>
          <w:sz w:val="20"/>
        </w:rPr>
        <w:t xml:space="preserve"> del </w:t>
      </w:r>
      <w:r>
        <w:rPr>
          <w:rFonts w:ascii="Arial" w:hAnsi="Arial" w:cs="Arial"/>
          <w:color w:val="000000"/>
          <w:sz w:val="20"/>
        </w:rPr>
        <w:t>Programa</w:t>
      </w:r>
      <w:r w:rsidRPr="003A65FA">
        <w:rPr>
          <w:rFonts w:ascii="Arial" w:hAnsi="Arial" w:cs="Arial"/>
          <w:color w:val="000000"/>
          <w:sz w:val="20"/>
        </w:rPr>
        <w:t xml:space="preserve"> ante el Banco.</w:t>
      </w:r>
      <w:r>
        <w:rPr>
          <w:rFonts w:ascii="Arial" w:hAnsi="Arial" w:cs="Arial"/>
          <w:color w:val="000000"/>
          <w:sz w:val="20"/>
        </w:rPr>
        <w:t xml:space="preserve">  Toda modificación de firmas autorizadas deberá seguir el mismo procedimiento ante el MEF y el Banco</w:t>
      </w:r>
      <w:r w:rsidR="00A42A25">
        <w:rPr>
          <w:rFonts w:ascii="Arial" w:hAnsi="Arial" w:cs="Arial"/>
          <w:color w:val="000000"/>
          <w:sz w:val="20"/>
        </w:rPr>
        <w:t>.</w:t>
      </w:r>
    </w:p>
    <w:p w14:paraId="25B8A7DA" w14:textId="77777777" w:rsidR="00887DB4" w:rsidRDefault="00872B47" w:rsidP="00AA08AA">
      <w:pPr>
        <w:pStyle w:val="Title"/>
        <w:numPr>
          <w:ilvl w:val="0"/>
          <w:numId w:val="26"/>
        </w:numPr>
        <w:tabs>
          <w:tab w:val="left" w:pos="993"/>
          <w:tab w:val="left" w:pos="1701"/>
        </w:tabs>
        <w:rPr>
          <w:b/>
          <w:sz w:val="22"/>
          <w:szCs w:val="22"/>
        </w:rPr>
      </w:pPr>
      <w:bookmarkStart w:id="133" w:name="_Toc392251346"/>
      <w:bookmarkStart w:id="134" w:name="_Toc392083738"/>
      <w:proofErr w:type="gramStart"/>
      <w:r w:rsidRPr="00E34D8C">
        <w:rPr>
          <w:b/>
          <w:sz w:val="22"/>
          <w:szCs w:val="22"/>
        </w:rPr>
        <w:t>Modalid</w:t>
      </w:r>
      <w:r w:rsidR="00375216">
        <w:rPr>
          <w:b/>
          <w:sz w:val="22"/>
          <w:szCs w:val="22"/>
        </w:rPr>
        <w:t>a</w:t>
      </w:r>
      <w:r w:rsidRPr="00E34D8C">
        <w:rPr>
          <w:b/>
          <w:sz w:val="22"/>
          <w:szCs w:val="22"/>
        </w:rPr>
        <w:t>des de Desembolsos</w:t>
      </w:r>
      <w:bookmarkEnd w:id="133"/>
      <w:bookmarkEnd w:id="134"/>
      <w:r w:rsidR="006230B1">
        <w:rPr>
          <w:b/>
          <w:sz w:val="22"/>
          <w:szCs w:val="22"/>
        </w:rPr>
        <w:t xml:space="preserve"> a utilizar</w:t>
      </w:r>
      <w:proofErr w:type="gramEnd"/>
    </w:p>
    <w:p w14:paraId="380C1A4E" w14:textId="77777777" w:rsidR="00CD1651" w:rsidRPr="00375216" w:rsidRDefault="00CD1651" w:rsidP="00CD1651">
      <w:pPr>
        <w:ind w:left="567"/>
        <w:rPr>
          <w:rFonts w:ascii="Arial" w:hAnsi="Arial" w:cs="Arial"/>
          <w:color w:val="000000"/>
          <w:sz w:val="20"/>
        </w:rPr>
      </w:pPr>
      <w:r w:rsidRPr="00375216">
        <w:rPr>
          <w:rFonts w:ascii="Arial" w:hAnsi="Arial" w:cs="Arial"/>
          <w:color w:val="000000"/>
          <w:sz w:val="20"/>
        </w:rPr>
        <w:t>La</w:t>
      </w:r>
      <w:r w:rsidR="00A30E30" w:rsidRPr="00375216">
        <w:rPr>
          <w:rFonts w:ascii="Arial" w:hAnsi="Arial" w:cs="Arial"/>
          <w:color w:val="000000"/>
          <w:sz w:val="20"/>
        </w:rPr>
        <w:t>s</w:t>
      </w:r>
      <w:r w:rsidRPr="00375216">
        <w:rPr>
          <w:rFonts w:ascii="Arial" w:hAnsi="Arial" w:cs="Arial"/>
          <w:color w:val="000000"/>
          <w:sz w:val="20"/>
        </w:rPr>
        <w:t xml:space="preserve"> Solicitudes de Desembolso abarcan siguientes métodos de desembolso:</w:t>
      </w:r>
    </w:p>
    <w:p w14:paraId="435A0072" w14:textId="77777777" w:rsidR="00CD1651" w:rsidRPr="00375216" w:rsidRDefault="00CD1651" w:rsidP="00AA08A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</w:rPr>
      </w:pPr>
      <w:r w:rsidRPr="00375216">
        <w:rPr>
          <w:rFonts w:ascii="Arial" w:eastAsiaTheme="minorEastAsia" w:hAnsi="Arial" w:cs="Arial"/>
          <w:color w:val="000000"/>
          <w:sz w:val="20"/>
        </w:rPr>
        <w:t>Anticipos (o adelanto de fondos)</w:t>
      </w:r>
    </w:p>
    <w:p w14:paraId="6ECFF4A5" w14:textId="77777777" w:rsidR="00CD1651" w:rsidRPr="00375216" w:rsidRDefault="00CD1651" w:rsidP="00AA08A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</w:rPr>
      </w:pPr>
      <w:r w:rsidRPr="00375216">
        <w:rPr>
          <w:rFonts w:ascii="Arial" w:eastAsiaTheme="minorEastAsia" w:hAnsi="Arial" w:cs="Arial"/>
          <w:color w:val="000000"/>
          <w:sz w:val="20"/>
        </w:rPr>
        <w:t>Reembolso (al Prestatario o UE)</w:t>
      </w:r>
    </w:p>
    <w:p w14:paraId="3AE958F9" w14:textId="77777777" w:rsidR="00CD1651" w:rsidRPr="00375216" w:rsidRDefault="00CD1651" w:rsidP="00AA08A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lang w:val="pt-BR"/>
        </w:rPr>
      </w:pPr>
      <w:r w:rsidRPr="00375216">
        <w:rPr>
          <w:rFonts w:ascii="Arial" w:eastAsiaTheme="minorEastAsia" w:hAnsi="Arial" w:cs="Arial"/>
          <w:color w:val="000000"/>
          <w:sz w:val="20"/>
          <w:lang w:val="pt-BR"/>
        </w:rPr>
        <w:t xml:space="preserve">Pagos </w:t>
      </w:r>
      <w:proofErr w:type="spellStart"/>
      <w:r w:rsidRPr="00375216">
        <w:rPr>
          <w:rFonts w:ascii="Arial" w:eastAsiaTheme="minorEastAsia" w:hAnsi="Arial" w:cs="Arial"/>
          <w:color w:val="000000"/>
          <w:sz w:val="20"/>
          <w:lang w:val="pt-BR"/>
        </w:rPr>
        <w:t>Directos</w:t>
      </w:r>
      <w:proofErr w:type="spellEnd"/>
      <w:r w:rsidRPr="00375216">
        <w:rPr>
          <w:rFonts w:ascii="Arial" w:eastAsiaTheme="minorEastAsia" w:hAnsi="Arial" w:cs="Arial"/>
          <w:color w:val="000000"/>
          <w:sz w:val="20"/>
          <w:lang w:val="pt-BR"/>
        </w:rPr>
        <w:t xml:space="preserve"> (a </w:t>
      </w:r>
      <w:proofErr w:type="spellStart"/>
      <w:r w:rsidRPr="00375216">
        <w:rPr>
          <w:rFonts w:ascii="Arial" w:eastAsiaTheme="minorEastAsia" w:hAnsi="Arial" w:cs="Arial"/>
          <w:color w:val="000000"/>
          <w:sz w:val="20"/>
          <w:lang w:val="pt-BR"/>
        </w:rPr>
        <w:t>proveedores</w:t>
      </w:r>
      <w:proofErr w:type="spellEnd"/>
      <w:r w:rsidRPr="00375216">
        <w:rPr>
          <w:rFonts w:ascii="Arial" w:eastAsiaTheme="minorEastAsia" w:hAnsi="Arial" w:cs="Arial"/>
          <w:color w:val="000000"/>
          <w:sz w:val="20"/>
          <w:lang w:val="pt-BR"/>
        </w:rPr>
        <w:t xml:space="preserve"> o </w:t>
      </w:r>
      <w:proofErr w:type="spellStart"/>
      <w:r w:rsidRPr="00375216">
        <w:rPr>
          <w:rFonts w:ascii="Arial" w:eastAsiaTheme="minorEastAsia" w:hAnsi="Arial" w:cs="Arial"/>
          <w:color w:val="000000"/>
          <w:sz w:val="20"/>
          <w:lang w:val="pt-BR"/>
        </w:rPr>
        <w:t>contratistas</w:t>
      </w:r>
      <w:proofErr w:type="spellEnd"/>
      <w:r w:rsidRPr="00375216">
        <w:rPr>
          <w:rFonts w:ascii="Arial" w:eastAsiaTheme="minorEastAsia" w:hAnsi="Arial" w:cs="Arial"/>
          <w:color w:val="000000"/>
          <w:sz w:val="20"/>
          <w:lang w:val="pt-BR"/>
        </w:rPr>
        <w:t>)</w:t>
      </w:r>
    </w:p>
    <w:p w14:paraId="25072C30" w14:textId="77777777" w:rsidR="00375216" w:rsidRDefault="00375216" w:rsidP="00375216">
      <w:pPr>
        <w:spacing w:after="0"/>
        <w:jc w:val="center"/>
        <w:rPr>
          <w:rFonts w:ascii="Arial" w:hAnsi="Arial" w:cs="Arial"/>
          <w:b/>
          <w:lang w:val="pt-BR"/>
        </w:rPr>
      </w:pPr>
    </w:p>
    <w:p w14:paraId="1F36FE36" w14:textId="77777777" w:rsidR="00162D39" w:rsidRPr="00942E42" w:rsidRDefault="00942E42" w:rsidP="00942E42">
      <w:pPr>
        <w:jc w:val="center"/>
        <w:rPr>
          <w:rFonts w:ascii="Arial" w:hAnsi="Arial" w:cs="Arial"/>
          <w:b/>
          <w:lang w:val="pt-BR"/>
        </w:rPr>
      </w:pPr>
      <w:r w:rsidRPr="00942E42">
        <w:rPr>
          <w:rFonts w:ascii="Arial" w:hAnsi="Arial" w:cs="Arial"/>
          <w:b/>
          <w:lang w:val="pt-BR"/>
        </w:rPr>
        <w:t xml:space="preserve">Tabla </w:t>
      </w:r>
      <w:r w:rsidR="000C588C">
        <w:rPr>
          <w:rFonts w:ascii="Arial" w:hAnsi="Arial" w:cs="Arial"/>
          <w:b/>
          <w:lang w:val="pt-BR"/>
        </w:rPr>
        <w:t>2</w:t>
      </w:r>
      <w:r w:rsidRPr="00942E42">
        <w:rPr>
          <w:rFonts w:ascii="Arial" w:hAnsi="Arial" w:cs="Arial"/>
          <w:b/>
          <w:lang w:val="pt-BR"/>
        </w:rPr>
        <w:t xml:space="preserve"> – Tipos de Desembolsos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6030"/>
      </w:tblGrid>
      <w:tr w:rsidR="00CD1651" w:rsidRPr="0062607E" w14:paraId="3462EF74" w14:textId="77777777" w:rsidTr="00B34F84">
        <w:tc>
          <w:tcPr>
            <w:tcW w:w="2088" w:type="dxa"/>
            <w:shd w:val="clear" w:color="auto" w:fill="403152"/>
          </w:tcPr>
          <w:p w14:paraId="1BC3301E" w14:textId="77777777" w:rsidR="00CD1651" w:rsidRPr="000B2EE8" w:rsidRDefault="00CD1651" w:rsidP="00B34F84">
            <w:pPr>
              <w:jc w:val="center"/>
              <w:rPr>
                <w:rFonts w:ascii="Calibri" w:eastAsia="Times New Roman" w:hAnsi="Calibri"/>
                <w:color w:val="FFFFFF"/>
                <w:lang w:val="es-ES_tradnl"/>
              </w:rPr>
            </w:pPr>
            <w:r w:rsidRPr="000B2EE8">
              <w:rPr>
                <w:rFonts w:ascii="Calibri" w:eastAsia="Times New Roman" w:hAnsi="Calibri"/>
                <w:b/>
                <w:color w:val="FFFFFF"/>
                <w:lang w:val="es-ES_tradnl"/>
              </w:rPr>
              <w:t>Métodos</w:t>
            </w:r>
          </w:p>
        </w:tc>
        <w:tc>
          <w:tcPr>
            <w:tcW w:w="6030" w:type="dxa"/>
            <w:shd w:val="clear" w:color="auto" w:fill="403152"/>
          </w:tcPr>
          <w:p w14:paraId="2A19A1DA" w14:textId="77777777" w:rsidR="00CD1651" w:rsidRPr="000B2EE8" w:rsidRDefault="00CD1651" w:rsidP="00B34F84">
            <w:pPr>
              <w:jc w:val="center"/>
              <w:rPr>
                <w:rFonts w:ascii="Calibri" w:eastAsia="Times New Roman" w:hAnsi="Calibri"/>
                <w:color w:val="FFFFFF"/>
                <w:lang w:val="es-ES_tradnl"/>
              </w:rPr>
            </w:pPr>
            <w:r w:rsidRPr="000B2EE8">
              <w:rPr>
                <w:rFonts w:ascii="Calibri" w:eastAsia="Times New Roman" w:hAnsi="Calibri"/>
                <w:b/>
                <w:color w:val="FFFFFF"/>
                <w:lang w:val="es-ES_tradnl"/>
              </w:rPr>
              <w:t>Documentación obligatoria (adjunta al formulario de solicitud de desembolso)</w:t>
            </w:r>
          </w:p>
        </w:tc>
      </w:tr>
      <w:tr w:rsidR="00CD1651" w:rsidRPr="0062607E" w14:paraId="78B5DA00" w14:textId="77777777" w:rsidTr="00B34F84">
        <w:tc>
          <w:tcPr>
            <w:tcW w:w="2088" w:type="dxa"/>
            <w:shd w:val="clear" w:color="auto" w:fill="auto"/>
          </w:tcPr>
          <w:p w14:paraId="52890503" w14:textId="77777777" w:rsidR="00CD1651" w:rsidRPr="000B2EE8" w:rsidRDefault="00CD1651" w:rsidP="00B34F84">
            <w:pPr>
              <w:rPr>
                <w:rFonts w:ascii="Calibri" w:eastAsia="Times New Roman" w:hAnsi="Calibri"/>
                <w:lang w:val="es-ES_tradnl"/>
              </w:rPr>
            </w:pPr>
            <w:r w:rsidRPr="000B2EE8">
              <w:rPr>
                <w:rFonts w:ascii="Calibri" w:eastAsia="Times New Roman" w:hAnsi="Calibri"/>
                <w:lang w:val="es-ES_tradnl"/>
              </w:rPr>
              <w:t>Anticipo</w:t>
            </w:r>
            <w:r w:rsidRPr="000B2EE8">
              <w:rPr>
                <w:rFonts w:ascii="Calibri" w:eastAsia="Times New Roman" w:hAnsi="Calibri"/>
                <w:lang w:val="es-ES_tradnl"/>
              </w:rPr>
              <w:tab/>
              <w:t>de Fondos</w:t>
            </w:r>
          </w:p>
          <w:p w14:paraId="6D92360E" w14:textId="77777777" w:rsidR="00CD1651" w:rsidRPr="000B2EE8" w:rsidRDefault="00CD1651" w:rsidP="00B34F84">
            <w:pPr>
              <w:rPr>
                <w:rFonts w:ascii="Calibri" w:eastAsia="Times New Roman" w:hAnsi="Calibri"/>
                <w:lang w:val="es-ES_tradnl"/>
              </w:rPr>
            </w:pPr>
            <w:r w:rsidRPr="000B2EE8">
              <w:rPr>
                <w:rFonts w:ascii="Calibri" w:eastAsia="Times New Roman" w:hAnsi="Calibri"/>
                <w:lang w:val="es-ES_tradnl"/>
              </w:rPr>
              <w:t xml:space="preserve"> </w:t>
            </w:r>
          </w:p>
          <w:p w14:paraId="1D309B7E" w14:textId="77777777" w:rsidR="00CD1651" w:rsidRPr="000B2EE8" w:rsidRDefault="00CD1651" w:rsidP="00B34F84">
            <w:pPr>
              <w:rPr>
                <w:rFonts w:ascii="Calibri" w:eastAsia="Times New Roman" w:hAnsi="Calibri"/>
                <w:lang w:val="es-ES_tradnl"/>
              </w:rPr>
            </w:pPr>
          </w:p>
        </w:tc>
        <w:tc>
          <w:tcPr>
            <w:tcW w:w="6030" w:type="dxa"/>
            <w:shd w:val="clear" w:color="auto" w:fill="auto"/>
          </w:tcPr>
          <w:p w14:paraId="6CC9F388" w14:textId="77777777" w:rsidR="00CD1651" w:rsidRPr="000B2EE8" w:rsidRDefault="00CD1651" w:rsidP="00AA08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5" w:hanging="218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>Formulario RE1-729.</w:t>
            </w:r>
          </w:p>
          <w:p w14:paraId="1A90A28B" w14:textId="77777777" w:rsidR="00CD1651" w:rsidRPr="000B2EE8" w:rsidRDefault="00CD1651" w:rsidP="00AA08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5" w:hanging="218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>Plan Financiero.</w:t>
            </w:r>
          </w:p>
          <w:p w14:paraId="39B864F8" w14:textId="77777777" w:rsidR="00CD1651" w:rsidRPr="000B2EE8" w:rsidRDefault="00CD1651" w:rsidP="00AA08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5" w:hanging="218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>Autorización de la Dirección General de Endeudamiento y Tesoro Público del Ministerio de Economía (En ningún caso, la Solicitud de Desembolso remitida al BID, debe ser diferente a la aprobada por la DGETP)</w:t>
            </w:r>
          </w:p>
          <w:p w14:paraId="720659F4" w14:textId="77777777" w:rsidR="00CD1651" w:rsidRPr="000B2EE8" w:rsidRDefault="00CD1651" w:rsidP="00AA08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5" w:hanging="218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>Otros que determinen.</w:t>
            </w:r>
          </w:p>
        </w:tc>
      </w:tr>
      <w:tr w:rsidR="00CD1651" w:rsidRPr="0062607E" w14:paraId="2512CC6A" w14:textId="77777777" w:rsidTr="00B34F84">
        <w:tc>
          <w:tcPr>
            <w:tcW w:w="2088" w:type="dxa"/>
            <w:shd w:val="clear" w:color="auto" w:fill="auto"/>
          </w:tcPr>
          <w:p w14:paraId="737935A5" w14:textId="77777777" w:rsidR="00CD1651" w:rsidRPr="000B2EE8" w:rsidRDefault="00CD1651" w:rsidP="00B34F84">
            <w:pPr>
              <w:rPr>
                <w:rFonts w:ascii="Calibri" w:eastAsia="Times New Roman" w:hAnsi="Calibri"/>
                <w:lang w:val="es-ES_tradnl"/>
              </w:rPr>
            </w:pPr>
            <w:r w:rsidRPr="000B2EE8">
              <w:rPr>
                <w:rFonts w:ascii="Calibri" w:eastAsia="Times New Roman" w:hAnsi="Calibri"/>
                <w:lang w:val="es-ES_tradnl"/>
              </w:rPr>
              <w:t>Reembolso de gastos</w:t>
            </w:r>
          </w:p>
        </w:tc>
        <w:tc>
          <w:tcPr>
            <w:tcW w:w="6030" w:type="dxa"/>
            <w:shd w:val="clear" w:color="auto" w:fill="auto"/>
          </w:tcPr>
          <w:p w14:paraId="0C0C00B1" w14:textId="77777777" w:rsidR="00CD1651" w:rsidRPr="000B2EE8" w:rsidRDefault="00CD1651" w:rsidP="00AA08A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 xml:space="preserve">Formulario RE1-729. </w:t>
            </w:r>
          </w:p>
          <w:p w14:paraId="4383429E" w14:textId="77777777" w:rsidR="00CD1651" w:rsidRPr="000B2EE8" w:rsidRDefault="00CD1651" w:rsidP="00AA08A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>Formulario RE1-731.</w:t>
            </w:r>
          </w:p>
          <w:p w14:paraId="1D9F89B5" w14:textId="77777777" w:rsidR="00CD1651" w:rsidRPr="000B2EE8" w:rsidRDefault="00CD1651" w:rsidP="00AA08A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>Formulario RE1-700</w:t>
            </w:r>
          </w:p>
          <w:p w14:paraId="0C72A439" w14:textId="77777777" w:rsidR="00CD1651" w:rsidRPr="000B2EE8" w:rsidRDefault="00CD1651" w:rsidP="00AA08A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>Otros que se determinen</w:t>
            </w:r>
          </w:p>
        </w:tc>
      </w:tr>
      <w:tr w:rsidR="00CD1651" w:rsidRPr="0062607E" w14:paraId="369CF2F1" w14:textId="77777777" w:rsidTr="00B34F84">
        <w:tc>
          <w:tcPr>
            <w:tcW w:w="2088" w:type="dxa"/>
            <w:shd w:val="clear" w:color="auto" w:fill="auto"/>
          </w:tcPr>
          <w:p w14:paraId="5D38D0B4" w14:textId="77777777" w:rsidR="00CD1651" w:rsidRPr="000B2EE8" w:rsidRDefault="00CD1651" w:rsidP="00B34F84">
            <w:pPr>
              <w:rPr>
                <w:rFonts w:ascii="Calibri" w:eastAsia="Times New Roman" w:hAnsi="Calibri"/>
                <w:lang w:val="es-ES_tradnl"/>
              </w:rPr>
            </w:pPr>
            <w:r w:rsidRPr="000B2EE8">
              <w:rPr>
                <w:rFonts w:ascii="Calibri" w:eastAsia="Times New Roman" w:hAnsi="Calibri"/>
                <w:lang w:val="es-ES_tradnl"/>
              </w:rPr>
              <w:t>Pagos Directos</w:t>
            </w:r>
          </w:p>
        </w:tc>
        <w:tc>
          <w:tcPr>
            <w:tcW w:w="6030" w:type="dxa"/>
            <w:shd w:val="clear" w:color="auto" w:fill="auto"/>
          </w:tcPr>
          <w:p w14:paraId="67AB6D31" w14:textId="77777777" w:rsidR="00CD1651" w:rsidRPr="000B2EE8" w:rsidRDefault="00CD1651" w:rsidP="00AA08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2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>Formulario RE1-729</w:t>
            </w:r>
          </w:p>
          <w:p w14:paraId="3688EEE8" w14:textId="77777777" w:rsidR="00CD1651" w:rsidRPr="000B2EE8" w:rsidRDefault="00CD1651" w:rsidP="00AA08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2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>Factura / Comprobante de pago</w:t>
            </w:r>
          </w:p>
          <w:p w14:paraId="3E4208A8" w14:textId="77777777" w:rsidR="00CD1651" w:rsidRPr="000B2EE8" w:rsidRDefault="00CD1651" w:rsidP="00AA08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2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 xml:space="preserve">Formulario para pago </w:t>
            </w:r>
          </w:p>
          <w:p w14:paraId="0652EEB9" w14:textId="77777777" w:rsidR="00CD1651" w:rsidRPr="000B2EE8" w:rsidRDefault="00CD1651" w:rsidP="00AA08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2"/>
              <w:rPr>
                <w:rFonts w:eastAsia="Times New Roman"/>
              </w:rPr>
            </w:pPr>
            <w:r w:rsidRPr="000B2EE8">
              <w:rPr>
                <w:rFonts w:eastAsia="Times New Roman"/>
              </w:rPr>
              <w:t>Otros que se determinen.</w:t>
            </w:r>
          </w:p>
        </w:tc>
      </w:tr>
    </w:tbl>
    <w:p w14:paraId="3E20E92F" w14:textId="77777777" w:rsidR="00A42A25" w:rsidRDefault="00A42A25" w:rsidP="00D55AA9">
      <w:pPr>
        <w:ind w:left="567"/>
        <w:jc w:val="both"/>
        <w:rPr>
          <w:rFonts w:ascii="Arial" w:hAnsi="Arial" w:cs="Arial"/>
          <w:color w:val="000000"/>
          <w:sz w:val="20"/>
        </w:rPr>
      </w:pPr>
    </w:p>
    <w:p w14:paraId="0F9E7D8E" w14:textId="77777777" w:rsidR="00CD1651" w:rsidRPr="00375216" w:rsidRDefault="00CD1651" w:rsidP="00D55AA9">
      <w:pPr>
        <w:ind w:left="567"/>
        <w:jc w:val="both"/>
        <w:rPr>
          <w:rFonts w:ascii="Arial" w:hAnsi="Arial" w:cs="Arial"/>
          <w:color w:val="000000"/>
          <w:sz w:val="20"/>
        </w:rPr>
      </w:pPr>
      <w:r w:rsidRPr="00375216">
        <w:rPr>
          <w:rFonts w:ascii="Arial" w:hAnsi="Arial" w:cs="Arial"/>
          <w:color w:val="000000"/>
          <w:sz w:val="20"/>
        </w:rPr>
        <w:t xml:space="preserve">El monto del Anticipo de Fondos dependerá de las necesidades de liquidez del </w:t>
      </w:r>
      <w:r w:rsidR="002B7FA8">
        <w:rPr>
          <w:rFonts w:ascii="Arial" w:hAnsi="Arial" w:cs="Arial"/>
          <w:color w:val="000000"/>
          <w:sz w:val="20"/>
        </w:rPr>
        <w:t>Programa</w:t>
      </w:r>
      <w:r w:rsidR="00D55AA9" w:rsidRPr="00375216">
        <w:rPr>
          <w:rFonts w:ascii="Arial" w:hAnsi="Arial" w:cs="Arial"/>
          <w:color w:val="000000"/>
          <w:sz w:val="20"/>
        </w:rPr>
        <w:t xml:space="preserve"> </w:t>
      </w:r>
      <w:r w:rsidRPr="00375216">
        <w:rPr>
          <w:rFonts w:ascii="Arial" w:hAnsi="Arial" w:cs="Arial"/>
          <w:color w:val="000000"/>
          <w:sz w:val="20"/>
        </w:rPr>
        <w:t xml:space="preserve">sobre la base de un Plan Financiero para un plazo de hasta 180 días. Con excepción del primer anticipo, el desembolso del anticipo está sujeto a la Solicitud de Desembolso - Justificación de al menos el 80% del saldo total acumulado pendiente de justificación. </w:t>
      </w:r>
    </w:p>
    <w:p w14:paraId="4E435D05" w14:textId="77777777" w:rsidR="00CD1651" w:rsidRPr="00375216" w:rsidRDefault="00CD1651" w:rsidP="00D55AA9">
      <w:pPr>
        <w:ind w:left="567"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color w:val="000000"/>
          <w:sz w:val="20"/>
        </w:rPr>
        <w:t>Por cada desembolso se remitirá a la Dirección General de Endeudamiento y Tesoro Público la respectiva nota de recepción de desembolso</w:t>
      </w:r>
      <w:r w:rsidR="00B11444" w:rsidRPr="00375216">
        <w:rPr>
          <w:rFonts w:ascii="Arial" w:hAnsi="Arial" w:cs="Arial"/>
          <w:sz w:val="20"/>
        </w:rPr>
        <w:t xml:space="preserve">, </w:t>
      </w:r>
      <w:r w:rsidR="00764524" w:rsidRPr="00375216">
        <w:rPr>
          <w:rFonts w:ascii="Arial" w:hAnsi="Arial" w:cs="Arial"/>
          <w:sz w:val="20"/>
        </w:rPr>
        <w:t xml:space="preserve">para efectuar, a fin de año, la </w:t>
      </w:r>
      <w:r w:rsidR="00B11444" w:rsidRPr="00375216">
        <w:rPr>
          <w:rFonts w:ascii="Arial" w:hAnsi="Arial" w:cs="Arial"/>
          <w:sz w:val="20"/>
        </w:rPr>
        <w:t>conciliación de desembolso</w:t>
      </w:r>
      <w:r w:rsidR="00764524" w:rsidRPr="00375216">
        <w:rPr>
          <w:rFonts w:ascii="Arial" w:hAnsi="Arial" w:cs="Arial"/>
          <w:sz w:val="20"/>
        </w:rPr>
        <w:t>s respectiva</w:t>
      </w:r>
      <w:r w:rsidR="00B11444" w:rsidRPr="00375216">
        <w:rPr>
          <w:rFonts w:ascii="Arial" w:hAnsi="Arial" w:cs="Arial"/>
          <w:sz w:val="20"/>
        </w:rPr>
        <w:t xml:space="preserve">.  </w:t>
      </w:r>
    </w:p>
    <w:p w14:paraId="095457A5" w14:textId="31CA3DCB" w:rsidR="00CD1651" w:rsidRPr="00375216" w:rsidRDefault="00CD1651" w:rsidP="00CD1651">
      <w:pPr>
        <w:ind w:left="567"/>
        <w:rPr>
          <w:rFonts w:ascii="Arial" w:hAnsi="Arial" w:cs="Arial"/>
          <w:color w:val="000000"/>
          <w:sz w:val="20"/>
        </w:rPr>
      </w:pPr>
      <w:r w:rsidRPr="00375216">
        <w:rPr>
          <w:rFonts w:ascii="Arial" w:hAnsi="Arial" w:cs="Arial"/>
          <w:color w:val="000000"/>
          <w:sz w:val="20"/>
        </w:rPr>
        <w:t xml:space="preserve">Para efectos de la Solicitud de Desembolso - Justificación de los anticipos efectuados, la </w:t>
      </w:r>
      <w:r w:rsidR="00375216" w:rsidRPr="00375216">
        <w:rPr>
          <w:rFonts w:ascii="Arial" w:hAnsi="Arial" w:cs="Arial"/>
          <w:color w:val="000000"/>
          <w:sz w:val="20"/>
        </w:rPr>
        <w:t xml:space="preserve">Coordinación </w:t>
      </w:r>
      <w:r w:rsidR="00BA4660">
        <w:rPr>
          <w:rFonts w:ascii="Arial" w:hAnsi="Arial" w:cs="Arial"/>
          <w:color w:val="000000"/>
          <w:sz w:val="20"/>
        </w:rPr>
        <w:t>del EDG</w:t>
      </w:r>
      <w:r w:rsidR="006F63DE">
        <w:rPr>
          <w:rFonts w:ascii="Arial" w:hAnsi="Arial" w:cs="Arial"/>
          <w:color w:val="000000"/>
          <w:sz w:val="20"/>
        </w:rPr>
        <w:t>002</w:t>
      </w:r>
      <w:r w:rsidRPr="00375216">
        <w:rPr>
          <w:rFonts w:ascii="Arial" w:hAnsi="Arial" w:cs="Arial"/>
          <w:color w:val="000000"/>
          <w:sz w:val="20"/>
        </w:rPr>
        <w:t xml:space="preserve"> deberá presentar al Banco lo siguiente:</w:t>
      </w:r>
    </w:p>
    <w:p w14:paraId="03B30BB8" w14:textId="77777777" w:rsidR="00CD1651" w:rsidRPr="00375216" w:rsidRDefault="00CD1651" w:rsidP="00AA08A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</w:rPr>
      </w:pPr>
      <w:r w:rsidRPr="00375216">
        <w:rPr>
          <w:rFonts w:ascii="Arial" w:eastAsiaTheme="minorEastAsia" w:hAnsi="Arial" w:cs="Arial"/>
          <w:color w:val="000000"/>
          <w:sz w:val="20"/>
        </w:rPr>
        <w:t>Formulario RE1-729</w:t>
      </w:r>
    </w:p>
    <w:p w14:paraId="06D53CDB" w14:textId="77777777" w:rsidR="00CD1651" w:rsidRPr="00375216" w:rsidRDefault="00CD1651" w:rsidP="00AA08A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</w:rPr>
      </w:pPr>
      <w:r w:rsidRPr="00375216">
        <w:rPr>
          <w:rFonts w:ascii="Arial" w:eastAsiaTheme="minorEastAsia" w:hAnsi="Arial" w:cs="Arial"/>
          <w:color w:val="000000"/>
          <w:sz w:val="20"/>
        </w:rPr>
        <w:t>Formulario RE1-731</w:t>
      </w:r>
    </w:p>
    <w:p w14:paraId="3D8C5B13" w14:textId="77777777" w:rsidR="00CD1651" w:rsidRPr="00375216" w:rsidRDefault="00CD1651" w:rsidP="00AA08A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Formulario RE1-700</w:t>
      </w:r>
    </w:p>
    <w:p w14:paraId="4C8EC69C" w14:textId="77777777" w:rsidR="00CD1651" w:rsidRPr="00375216" w:rsidRDefault="00CD1651" w:rsidP="00AA08A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Formato de Conciliación de Recursos</w:t>
      </w:r>
    </w:p>
    <w:p w14:paraId="1C663F4B" w14:textId="77777777" w:rsidR="00CD1651" w:rsidRPr="00375216" w:rsidRDefault="00CD1651" w:rsidP="00AA08A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Extractos Bancarios</w:t>
      </w:r>
    </w:p>
    <w:p w14:paraId="1996D3F3" w14:textId="77777777" w:rsidR="00CD1651" w:rsidRPr="00375216" w:rsidRDefault="00CD1651" w:rsidP="00AA08A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Formato de Control de Monetizaciones</w:t>
      </w:r>
    </w:p>
    <w:p w14:paraId="4A4DD17E" w14:textId="77777777" w:rsidR="00CD1651" w:rsidRPr="00375216" w:rsidRDefault="00CD1651" w:rsidP="00CD1651">
      <w:pPr>
        <w:pStyle w:val="ListParagraph"/>
        <w:spacing w:after="0" w:line="240" w:lineRule="auto"/>
        <w:ind w:left="1160"/>
        <w:rPr>
          <w:rFonts w:ascii="Arial" w:hAnsi="Arial" w:cs="Arial"/>
          <w:sz w:val="20"/>
        </w:rPr>
      </w:pPr>
    </w:p>
    <w:p w14:paraId="266A9BCD" w14:textId="36B15436" w:rsidR="00CD1651" w:rsidRPr="00375216" w:rsidRDefault="00CD1651" w:rsidP="00D55AA9">
      <w:pPr>
        <w:ind w:left="567"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Para el llenado de los Formularios y formatos citados anteriormente, </w:t>
      </w:r>
      <w:r w:rsidRPr="00375216">
        <w:rPr>
          <w:rFonts w:ascii="Arial" w:hAnsi="Arial" w:cs="Arial"/>
          <w:color w:val="000000"/>
          <w:sz w:val="20"/>
        </w:rPr>
        <w:t xml:space="preserve">la </w:t>
      </w:r>
      <w:r w:rsidR="00BA4660">
        <w:rPr>
          <w:rFonts w:ascii="Arial" w:hAnsi="Arial" w:cs="Arial"/>
          <w:color w:val="000000"/>
          <w:sz w:val="20"/>
        </w:rPr>
        <w:t>EDG</w:t>
      </w:r>
      <w:r w:rsidR="002F51C3">
        <w:rPr>
          <w:rFonts w:ascii="Arial" w:hAnsi="Arial" w:cs="Arial"/>
          <w:color w:val="000000"/>
          <w:sz w:val="20"/>
        </w:rPr>
        <w:t>002</w:t>
      </w:r>
      <w:r w:rsidRPr="00375216">
        <w:rPr>
          <w:rFonts w:ascii="Arial" w:hAnsi="Arial" w:cs="Arial"/>
          <w:sz w:val="20"/>
        </w:rPr>
        <w:t xml:space="preserve"> deberá conciliar la información financiera </w:t>
      </w:r>
      <w:r w:rsidR="00375216" w:rsidRPr="00375216">
        <w:rPr>
          <w:rFonts w:ascii="Arial" w:hAnsi="Arial" w:cs="Arial"/>
          <w:sz w:val="20"/>
        </w:rPr>
        <w:t xml:space="preserve">del </w:t>
      </w:r>
      <w:r w:rsidR="002B7FA8">
        <w:rPr>
          <w:rFonts w:ascii="Arial" w:hAnsi="Arial" w:cs="Arial"/>
          <w:sz w:val="20"/>
        </w:rPr>
        <w:t>Programa</w:t>
      </w:r>
      <w:r w:rsidRPr="00375216">
        <w:rPr>
          <w:rFonts w:ascii="Arial" w:hAnsi="Arial" w:cs="Arial"/>
          <w:sz w:val="20"/>
        </w:rPr>
        <w:t xml:space="preserve"> con el resumen contable del sistema del BID (reporte LMS 1 y LMS 10); al cual tendrá acceso directamente a través de un usuario y contraseña que será remitido por el Banco oportunamente.</w:t>
      </w:r>
    </w:p>
    <w:p w14:paraId="62E7D6D2" w14:textId="77777777" w:rsidR="00CD1651" w:rsidRPr="00375216" w:rsidRDefault="00CD1651" w:rsidP="00D55AA9">
      <w:pPr>
        <w:ind w:left="567"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>Las Solicitudes de desembolso deben ser numeradas en forma consecutiva, independientemente del método de desembolso utilizado. Adicionalmente, sólo podrán ser procesadas las solicitudes que estén aprobadas por un funcionario designado y cuya firma este registrada, de acuerdo con los términos del Contrato.</w:t>
      </w:r>
    </w:p>
    <w:p w14:paraId="73291DD6" w14:textId="14E18523" w:rsidR="00CD1651" w:rsidRPr="00375216" w:rsidRDefault="00CD1651" w:rsidP="00D55AA9">
      <w:pPr>
        <w:ind w:left="567"/>
        <w:jc w:val="both"/>
        <w:rPr>
          <w:rFonts w:ascii="Arial" w:hAnsi="Arial" w:cs="Arial"/>
          <w:sz w:val="20"/>
        </w:rPr>
      </w:pPr>
      <w:r w:rsidRPr="00375216">
        <w:rPr>
          <w:rFonts w:ascii="Arial" w:hAnsi="Arial" w:cs="Arial"/>
          <w:sz w:val="20"/>
        </w:rPr>
        <w:t xml:space="preserve">En ningún caso, </w:t>
      </w:r>
      <w:r w:rsidRPr="00375216">
        <w:rPr>
          <w:rFonts w:ascii="Arial" w:hAnsi="Arial" w:cs="Arial"/>
          <w:color w:val="000000"/>
          <w:sz w:val="20"/>
        </w:rPr>
        <w:t xml:space="preserve">la </w:t>
      </w:r>
      <w:r w:rsidR="00BA4660">
        <w:rPr>
          <w:rFonts w:ascii="Arial" w:hAnsi="Arial" w:cs="Arial"/>
          <w:color w:val="000000"/>
          <w:sz w:val="20"/>
        </w:rPr>
        <w:t>EDG</w:t>
      </w:r>
      <w:r w:rsidR="002F51C3">
        <w:rPr>
          <w:rFonts w:ascii="Arial" w:hAnsi="Arial" w:cs="Arial"/>
          <w:color w:val="000000"/>
          <w:sz w:val="20"/>
        </w:rPr>
        <w:t>002</w:t>
      </w:r>
      <w:r w:rsidRPr="00375216">
        <w:rPr>
          <w:rFonts w:ascii="Arial" w:hAnsi="Arial" w:cs="Arial"/>
          <w:sz w:val="20"/>
        </w:rPr>
        <w:t xml:space="preserve"> debe considerar que la revisión posterior que el Banco efectúa confirma, certifica o reemplaza su responsabilidad fiduciaria y su propia gestión del </w:t>
      </w:r>
      <w:r w:rsidR="002B7FA8">
        <w:rPr>
          <w:rFonts w:ascii="Arial" w:hAnsi="Arial" w:cs="Arial"/>
          <w:sz w:val="20"/>
        </w:rPr>
        <w:t>Programa</w:t>
      </w:r>
      <w:r w:rsidRPr="00375216">
        <w:rPr>
          <w:rFonts w:ascii="Arial" w:hAnsi="Arial" w:cs="Arial"/>
          <w:sz w:val="20"/>
        </w:rPr>
        <w:t xml:space="preserve">. En ese sentido, </w:t>
      </w:r>
      <w:r w:rsidRPr="00375216">
        <w:rPr>
          <w:rFonts w:ascii="Arial" w:hAnsi="Arial" w:cs="Arial"/>
          <w:color w:val="000000"/>
          <w:sz w:val="20"/>
        </w:rPr>
        <w:t xml:space="preserve">la </w:t>
      </w:r>
      <w:r w:rsidR="00BA4660">
        <w:rPr>
          <w:rFonts w:ascii="Arial" w:hAnsi="Arial" w:cs="Arial"/>
          <w:color w:val="000000"/>
          <w:sz w:val="20"/>
        </w:rPr>
        <w:t>EDG</w:t>
      </w:r>
      <w:r w:rsidR="002F51C3">
        <w:rPr>
          <w:rFonts w:ascii="Arial" w:hAnsi="Arial" w:cs="Arial"/>
          <w:color w:val="000000"/>
          <w:sz w:val="20"/>
        </w:rPr>
        <w:t>002</w:t>
      </w:r>
      <w:r w:rsidRPr="00375216">
        <w:rPr>
          <w:rFonts w:ascii="Arial" w:hAnsi="Arial" w:cs="Arial"/>
          <w:sz w:val="20"/>
        </w:rPr>
        <w:t xml:space="preserve"> debe asegurar la calidad, pertinencia y transparencia de la documentación que soporta los gastos que se sometan a dicha revisión, excepto en los casos en </w:t>
      </w:r>
      <w:r w:rsidR="00236EE2" w:rsidRPr="00375216">
        <w:rPr>
          <w:rFonts w:ascii="Arial" w:hAnsi="Arial" w:cs="Arial"/>
          <w:sz w:val="20"/>
        </w:rPr>
        <w:t>que,</w:t>
      </w:r>
      <w:r w:rsidRPr="00375216">
        <w:rPr>
          <w:rFonts w:ascii="Arial" w:hAnsi="Arial" w:cs="Arial"/>
          <w:sz w:val="20"/>
        </w:rPr>
        <w:t xml:space="preserve"> por la naturaleza, riesgos asociados y/o complejidad de la operación.</w:t>
      </w:r>
    </w:p>
    <w:p w14:paraId="0B6A9BFF" w14:textId="77777777" w:rsidR="00DA2C87" w:rsidRPr="00375216" w:rsidRDefault="00872B47" w:rsidP="004D410C">
      <w:pPr>
        <w:ind w:left="567"/>
        <w:jc w:val="both"/>
        <w:rPr>
          <w:rFonts w:ascii="Arial" w:hAnsi="Arial" w:cs="Arial"/>
          <w:color w:val="000000"/>
          <w:sz w:val="20"/>
        </w:rPr>
      </w:pPr>
      <w:r w:rsidRPr="00375216">
        <w:rPr>
          <w:rFonts w:ascii="Arial" w:hAnsi="Arial" w:cs="Arial"/>
          <w:color w:val="000000"/>
          <w:sz w:val="20"/>
        </w:rPr>
        <w:t xml:space="preserve">A </w:t>
      </w:r>
      <w:r w:rsidR="00D55AA9" w:rsidRPr="00375216">
        <w:rPr>
          <w:rFonts w:ascii="Arial" w:hAnsi="Arial" w:cs="Arial"/>
          <w:color w:val="000000"/>
          <w:sz w:val="20"/>
        </w:rPr>
        <w:t>continuación,</w:t>
      </w:r>
      <w:r w:rsidRPr="00375216">
        <w:rPr>
          <w:rFonts w:ascii="Arial" w:hAnsi="Arial" w:cs="Arial"/>
          <w:color w:val="000000"/>
          <w:sz w:val="20"/>
        </w:rPr>
        <w:t xml:space="preserve"> </w:t>
      </w:r>
      <w:r w:rsidR="005D60F2" w:rsidRPr="00375216">
        <w:rPr>
          <w:rFonts w:ascii="Arial" w:hAnsi="Arial" w:cs="Arial"/>
          <w:color w:val="000000"/>
          <w:sz w:val="20"/>
        </w:rPr>
        <w:t>s</w:t>
      </w:r>
      <w:r w:rsidRPr="00375216">
        <w:rPr>
          <w:rFonts w:ascii="Arial" w:hAnsi="Arial" w:cs="Arial"/>
          <w:color w:val="000000"/>
          <w:sz w:val="20"/>
        </w:rPr>
        <w:t xml:space="preserve">e detalla el flujo de las solicitudes de desembolso para el </w:t>
      </w:r>
      <w:r w:rsidR="002B7FA8">
        <w:rPr>
          <w:rFonts w:ascii="Arial" w:hAnsi="Arial" w:cs="Arial"/>
          <w:color w:val="000000"/>
          <w:sz w:val="20"/>
        </w:rPr>
        <w:t>Programa</w:t>
      </w:r>
      <w:r w:rsidRPr="00375216">
        <w:rPr>
          <w:rFonts w:ascii="Arial" w:hAnsi="Arial" w:cs="Arial"/>
          <w:color w:val="000000"/>
          <w:sz w:val="20"/>
        </w:rPr>
        <w:t>:</w:t>
      </w:r>
    </w:p>
    <w:p w14:paraId="13EF45DA" w14:textId="77777777" w:rsidR="00716DE4" w:rsidRDefault="00D6334D" w:rsidP="00D6334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6334D">
        <w:rPr>
          <w:rFonts w:ascii="Arial" w:hAnsi="Arial" w:cs="Arial"/>
          <w:b/>
          <w:color w:val="000000"/>
          <w:sz w:val="20"/>
          <w:szCs w:val="20"/>
        </w:rPr>
        <w:t>G</w:t>
      </w:r>
      <w:r w:rsidR="00400FB2" w:rsidRPr="00D6334D">
        <w:rPr>
          <w:rFonts w:ascii="Arial" w:hAnsi="Arial" w:cs="Arial"/>
          <w:b/>
          <w:color w:val="000000"/>
          <w:sz w:val="20"/>
          <w:szCs w:val="20"/>
        </w:rPr>
        <w:t xml:space="preserve">ráfico </w:t>
      </w:r>
      <w:r w:rsidR="00A42A25">
        <w:rPr>
          <w:rFonts w:ascii="Arial" w:hAnsi="Arial" w:cs="Arial"/>
          <w:b/>
          <w:color w:val="000000"/>
          <w:sz w:val="20"/>
          <w:szCs w:val="20"/>
        </w:rPr>
        <w:t>5</w:t>
      </w:r>
      <w:r w:rsidR="00400FB2" w:rsidRPr="00D6334D">
        <w:rPr>
          <w:rFonts w:ascii="Arial" w:hAnsi="Arial" w:cs="Arial"/>
          <w:b/>
          <w:color w:val="000000"/>
          <w:sz w:val="20"/>
          <w:szCs w:val="20"/>
        </w:rPr>
        <w:t>: Flujo de solicitudes de desembolso</w:t>
      </w:r>
    </w:p>
    <w:p w14:paraId="5D578938" w14:textId="77777777" w:rsidR="00716DE4" w:rsidRDefault="00A42A25" w:rsidP="00D6334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object w:dxaOrig="14835" w:dyaOrig="6855" w14:anchorId="4FBF7658">
          <v:shape id="_x0000_i1029" type="#_x0000_t75" style="width:426.5pt;height:196.05pt" o:ole="">
            <v:imagedata r:id="rId16" o:title=""/>
          </v:shape>
          <o:OLEObject Type="Embed" ProgID="Visio.Drawing.15" ShapeID="_x0000_i1029" DrawAspect="Content" ObjectID="_1636361322" r:id="rId17"/>
        </w:object>
      </w:r>
    </w:p>
    <w:p w14:paraId="02381F0F" w14:textId="77777777" w:rsidR="002824F1" w:rsidRPr="00866F0C" w:rsidRDefault="00AB430D" w:rsidP="00474FB4">
      <w:pPr>
        <w:pStyle w:val="Title"/>
        <w:tabs>
          <w:tab w:val="left" w:pos="851"/>
        </w:tabs>
        <w:spacing w:after="0" w:afterAutospacing="0"/>
        <w:ind w:left="142"/>
        <w:outlineLvl w:val="1"/>
        <w:rPr>
          <w:rFonts w:cs="Arial"/>
          <w:b/>
          <w:color w:val="000000" w:themeColor="text1"/>
          <w:sz w:val="22"/>
          <w:szCs w:val="22"/>
        </w:rPr>
      </w:pPr>
      <w:bookmarkStart w:id="135" w:name="_Toc15932307"/>
      <w:bookmarkStart w:id="136" w:name="_Toc16284613"/>
      <w:bookmarkStart w:id="137" w:name="_Toc392251348"/>
      <w:bookmarkStart w:id="138" w:name="_Toc392083740"/>
      <w:r>
        <w:rPr>
          <w:rFonts w:cs="Arial"/>
          <w:b/>
          <w:color w:val="000000" w:themeColor="text1"/>
          <w:sz w:val="22"/>
          <w:szCs w:val="22"/>
        </w:rPr>
        <w:t>3.</w:t>
      </w:r>
      <w:r w:rsidR="006D36F2">
        <w:rPr>
          <w:rFonts w:cs="Arial"/>
          <w:b/>
          <w:color w:val="000000" w:themeColor="text1"/>
          <w:sz w:val="22"/>
          <w:szCs w:val="22"/>
        </w:rPr>
        <w:t>5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7B19A5">
        <w:rPr>
          <w:rFonts w:cs="Arial"/>
          <w:b/>
          <w:color w:val="000000" w:themeColor="text1"/>
          <w:sz w:val="22"/>
          <w:szCs w:val="22"/>
        </w:rPr>
        <w:t>Fase de Seguimiento, Evaluación, Liquidación</w:t>
      </w:r>
      <w:r w:rsidR="000A5BAC" w:rsidRPr="00866F0C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7B19A5">
        <w:rPr>
          <w:rFonts w:cs="Arial"/>
          <w:b/>
          <w:color w:val="000000" w:themeColor="text1"/>
          <w:sz w:val="22"/>
          <w:szCs w:val="22"/>
        </w:rPr>
        <w:t>y Cierre.</w:t>
      </w:r>
      <w:bookmarkEnd w:id="135"/>
      <w:bookmarkEnd w:id="136"/>
    </w:p>
    <w:p w14:paraId="3E0C43A3" w14:textId="77777777" w:rsidR="000A5BAC" w:rsidRPr="003A1F08" w:rsidRDefault="000A5BAC" w:rsidP="000A5BAC">
      <w:pPr>
        <w:pStyle w:val="ListParagraph"/>
        <w:tabs>
          <w:tab w:val="left" w:pos="567"/>
        </w:tabs>
        <w:spacing w:after="0" w:line="240" w:lineRule="auto"/>
        <w:ind w:left="849"/>
        <w:jc w:val="both"/>
        <w:rPr>
          <w:rFonts w:ascii="Arial" w:hAnsi="Arial" w:cs="Arial"/>
          <w:b/>
          <w:color w:val="000000" w:themeColor="text1"/>
        </w:rPr>
      </w:pPr>
    </w:p>
    <w:p w14:paraId="778B9F1A" w14:textId="77777777" w:rsidR="002824F1" w:rsidRDefault="00646EAB" w:rsidP="00474FB4">
      <w:pPr>
        <w:pStyle w:val="ListParagraph"/>
        <w:tabs>
          <w:tab w:val="left" w:pos="567"/>
        </w:tabs>
        <w:spacing w:after="0" w:line="240" w:lineRule="auto"/>
        <w:ind w:left="567"/>
        <w:jc w:val="both"/>
        <w:outlineLvl w:val="2"/>
        <w:rPr>
          <w:rFonts w:ascii="Arial" w:hAnsi="Arial" w:cs="Arial"/>
          <w:b/>
          <w:color w:val="000000" w:themeColor="text1"/>
        </w:rPr>
      </w:pPr>
      <w:bookmarkStart w:id="139" w:name="_Toc15932308"/>
      <w:bookmarkStart w:id="140" w:name="_Toc16284614"/>
      <w:r>
        <w:rPr>
          <w:rFonts w:ascii="Arial" w:hAnsi="Arial" w:cs="Arial"/>
          <w:b/>
          <w:color w:val="000000" w:themeColor="text1"/>
        </w:rPr>
        <w:t>3.</w:t>
      </w:r>
      <w:r w:rsidR="006D36F2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</w:rPr>
        <w:t>.1 Seguimiento y</w:t>
      </w:r>
      <w:r w:rsidRPr="00244F0D">
        <w:rPr>
          <w:rFonts w:ascii="Arial" w:hAnsi="Arial" w:cs="Arial"/>
          <w:b/>
          <w:color w:val="000000" w:themeColor="text1"/>
        </w:rPr>
        <w:t xml:space="preserve"> Eva</w:t>
      </w:r>
      <w:r>
        <w:rPr>
          <w:rFonts w:ascii="Arial" w:hAnsi="Arial" w:cs="Arial"/>
          <w:b/>
          <w:color w:val="000000" w:themeColor="text1"/>
        </w:rPr>
        <w:t>luación</w:t>
      </w:r>
      <w:bookmarkEnd w:id="139"/>
      <w:bookmarkEnd w:id="140"/>
    </w:p>
    <w:p w14:paraId="4263A5F3" w14:textId="77777777" w:rsidR="000A5BAC" w:rsidRPr="00375216" w:rsidRDefault="000A5BAC" w:rsidP="000A5BAC">
      <w:pPr>
        <w:pStyle w:val="ListParagraph"/>
        <w:tabs>
          <w:tab w:val="left" w:pos="567"/>
        </w:tabs>
        <w:spacing w:after="0" w:line="240" w:lineRule="auto"/>
        <w:ind w:left="1004"/>
        <w:jc w:val="both"/>
        <w:rPr>
          <w:rFonts w:ascii="Arial" w:hAnsi="Arial" w:cs="Arial"/>
          <w:color w:val="000000" w:themeColor="text1"/>
          <w:sz w:val="20"/>
        </w:rPr>
      </w:pPr>
    </w:p>
    <w:p w14:paraId="03E23EB6" w14:textId="77777777" w:rsidR="000A5BAC" w:rsidRPr="00375216" w:rsidRDefault="000A5BAC" w:rsidP="004D410C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 w:rsidRPr="00375216">
        <w:rPr>
          <w:rFonts w:ascii="Arial" w:hAnsi="Arial" w:cs="Arial"/>
          <w:color w:val="000000" w:themeColor="text1"/>
          <w:sz w:val="20"/>
        </w:rPr>
        <w:t>El seguimiento y evaluación es un proceso cont</w:t>
      </w:r>
      <w:r w:rsidR="00721DD0" w:rsidRPr="00375216">
        <w:rPr>
          <w:rFonts w:ascii="Arial" w:hAnsi="Arial" w:cs="Arial"/>
          <w:color w:val="000000" w:themeColor="text1"/>
          <w:sz w:val="20"/>
        </w:rPr>
        <w:t>i</w:t>
      </w:r>
      <w:r w:rsidRPr="00375216">
        <w:rPr>
          <w:rFonts w:ascii="Arial" w:hAnsi="Arial" w:cs="Arial"/>
          <w:color w:val="000000" w:themeColor="text1"/>
          <w:sz w:val="20"/>
        </w:rPr>
        <w:t>nuo y permanente durante la ejecución y debe de tomar en consideración principalmente los siguientes documentos del</w:t>
      </w:r>
      <w:r w:rsidR="00375216"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2B7FA8">
        <w:rPr>
          <w:rFonts w:ascii="Arial" w:hAnsi="Arial" w:cs="Arial"/>
          <w:color w:val="000000" w:themeColor="text1"/>
          <w:sz w:val="20"/>
        </w:rPr>
        <w:t>Programa</w:t>
      </w:r>
      <w:r w:rsidR="00375216" w:rsidRPr="00375216">
        <w:rPr>
          <w:rFonts w:ascii="Arial" w:hAnsi="Arial" w:cs="Arial"/>
          <w:color w:val="000000" w:themeColor="text1"/>
          <w:sz w:val="20"/>
        </w:rPr>
        <w:t>:</w:t>
      </w:r>
    </w:p>
    <w:p w14:paraId="198C8105" w14:textId="77777777" w:rsidR="000A5BAC" w:rsidRPr="00375216" w:rsidRDefault="000A5BAC" w:rsidP="00314617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</w:p>
    <w:p w14:paraId="3E3E596F" w14:textId="77777777" w:rsidR="00887DB4" w:rsidRPr="00375216" w:rsidRDefault="00721DD0" w:rsidP="00C82565">
      <w:pPr>
        <w:pStyle w:val="ListParagraph"/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567" w:firstLine="567"/>
        <w:jc w:val="both"/>
        <w:rPr>
          <w:rFonts w:ascii="Arial" w:hAnsi="Arial" w:cs="Arial"/>
          <w:color w:val="000000" w:themeColor="text1"/>
          <w:sz w:val="20"/>
        </w:rPr>
      </w:pPr>
      <w:r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0A5BAC" w:rsidRPr="00375216">
        <w:rPr>
          <w:rFonts w:ascii="Arial" w:hAnsi="Arial" w:cs="Arial"/>
          <w:color w:val="000000" w:themeColor="text1"/>
          <w:sz w:val="20"/>
        </w:rPr>
        <w:t xml:space="preserve">Plan de Ejecución </w:t>
      </w:r>
      <w:r w:rsidR="00CD1651" w:rsidRPr="00375216">
        <w:rPr>
          <w:rFonts w:ascii="Arial" w:hAnsi="Arial" w:cs="Arial"/>
          <w:color w:val="000000" w:themeColor="text1"/>
          <w:sz w:val="20"/>
        </w:rPr>
        <w:t xml:space="preserve">Plurianual </w:t>
      </w:r>
      <w:r w:rsidR="000A5BAC" w:rsidRPr="00375216">
        <w:rPr>
          <w:rFonts w:ascii="Arial" w:hAnsi="Arial" w:cs="Arial"/>
          <w:color w:val="000000" w:themeColor="text1"/>
          <w:sz w:val="20"/>
        </w:rPr>
        <w:t>(PEP)</w:t>
      </w:r>
    </w:p>
    <w:p w14:paraId="78F9CF23" w14:textId="77777777" w:rsidR="00887DB4" w:rsidRPr="00375216" w:rsidRDefault="00721DD0" w:rsidP="00C82565">
      <w:pPr>
        <w:pStyle w:val="ListParagraph"/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567" w:firstLine="567"/>
        <w:jc w:val="both"/>
        <w:rPr>
          <w:rFonts w:ascii="Arial" w:hAnsi="Arial" w:cs="Arial"/>
          <w:color w:val="000000" w:themeColor="text1"/>
          <w:sz w:val="20"/>
        </w:rPr>
      </w:pPr>
      <w:r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0A5BAC" w:rsidRPr="00375216">
        <w:rPr>
          <w:rFonts w:ascii="Arial" w:hAnsi="Arial" w:cs="Arial"/>
          <w:color w:val="000000" w:themeColor="text1"/>
          <w:sz w:val="20"/>
        </w:rPr>
        <w:t xml:space="preserve">Plan Operativo </w:t>
      </w:r>
      <w:r w:rsidR="00CD1651" w:rsidRPr="00375216">
        <w:rPr>
          <w:rFonts w:ascii="Arial" w:hAnsi="Arial" w:cs="Arial"/>
          <w:color w:val="000000" w:themeColor="text1"/>
          <w:sz w:val="20"/>
        </w:rPr>
        <w:t xml:space="preserve">Anual </w:t>
      </w:r>
      <w:r w:rsidR="000A5BAC" w:rsidRPr="00375216">
        <w:rPr>
          <w:rFonts w:ascii="Arial" w:hAnsi="Arial" w:cs="Arial"/>
          <w:color w:val="000000" w:themeColor="text1"/>
          <w:sz w:val="20"/>
        </w:rPr>
        <w:t>(POA)</w:t>
      </w:r>
    </w:p>
    <w:p w14:paraId="228C6D6C" w14:textId="77777777" w:rsidR="00887DB4" w:rsidRPr="00375216" w:rsidRDefault="00721DD0" w:rsidP="00C82565">
      <w:pPr>
        <w:pStyle w:val="ListParagraph"/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567" w:firstLine="567"/>
        <w:jc w:val="both"/>
        <w:rPr>
          <w:rFonts w:ascii="Arial" w:hAnsi="Arial" w:cs="Arial"/>
          <w:color w:val="000000" w:themeColor="text1"/>
          <w:sz w:val="20"/>
        </w:rPr>
      </w:pPr>
      <w:r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0A5BAC" w:rsidRPr="00375216">
        <w:rPr>
          <w:rFonts w:ascii="Arial" w:hAnsi="Arial" w:cs="Arial"/>
          <w:color w:val="000000" w:themeColor="text1"/>
          <w:sz w:val="20"/>
        </w:rPr>
        <w:t>Plan de Adquisiciones (PA)</w:t>
      </w:r>
    </w:p>
    <w:p w14:paraId="004E9DE2" w14:textId="77777777" w:rsidR="00887DB4" w:rsidRPr="00375216" w:rsidRDefault="00721DD0" w:rsidP="00C82565">
      <w:pPr>
        <w:pStyle w:val="ListParagraph"/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567" w:firstLine="567"/>
        <w:jc w:val="both"/>
        <w:rPr>
          <w:rFonts w:ascii="Arial" w:hAnsi="Arial" w:cs="Arial"/>
          <w:color w:val="000000" w:themeColor="text1"/>
          <w:sz w:val="20"/>
        </w:rPr>
      </w:pPr>
      <w:r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0A5BAC" w:rsidRPr="00375216">
        <w:rPr>
          <w:rFonts w:ascii="Arial" w:hAnsi="Arial" w:cs="Arial"/>
          <w:color w:val="000000" w:themeColor="text1"/>
          <w:sz w:val="20"/>
        </w:rPr>
        <w:t>Los indicadores de la matriz de resultados</w:t>
      </w:r>
    </w:p>
    <w:p w14:paraId="630B8BD1" w14:textId="77777777" w:rsidR="00887DB4" w:rsidRPr="00375216" w:rsidRDefault="00721DD0" w:rsidP="00C82565">
      <w:pPr>
        <w:pStyle w:val="ListParagraph"/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567" w:firstLine="567"/>
        <w:jc w:val="both"/>
        <w:rPr>
          <w:rFonts w:ascii="Arial" w:hAnsi="Arial" w:cs="Arial"/>
          <w:color w:val="000000" w:themeColor="text1"/>
          <w:sz w:val="20"/>
        </w:rPr>
      </w:pPr>
      <w:r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0A5BAC" w:rsidRPr="00375216">
        <w:rPr>
          <w:rFonts w:ascii="Arial" w:hAnsi="Arial" w:cs="Arial"/>
          <w:color w:val="000000" w:themeColor="text1"/>
          <w:sz w:val="20"/>
        </w:rPr>
        <w:t>Los informes de ejecución y los informes semestrales de progreso</w:t>
      </w:r>
    </w:p>
    <w:p w14:paraId="4CFFAAEA" w14:textId="77777777" w:rsidR="00887DB4" w:rsidRPr="00375216" w:rsidRDefault="00721DD0" w:rsidP="00C82565">
      <w:pPr>
        <w:pStyle w:val="ListParagraph"/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567" w:firstLine="567"/>
        <w:jc w:val="both"/>
        <w:rPr>
          <w:rFonts w:ascii="Arial" w:hAnsi="Arial" w:cs="Arial"/>
          <w:color w:val="000000" w:themeColor="text1"/>
          <w:sz w:val="20"/>
        </w:rPr>
      </w:pPr>
      <w:r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0A5BAC" w:rsidRPr="00375216">
        <w:rPr>
          <w:rFonts w:ascii="Arial" w:hAnsi="Arial" w:cs="Arial"/>
          <w:color w:val="000000" w:themeColor="text1"/>
          <w:sz w:val="20"/>
        </w:rPr>
        <w:t xml:space="preserve">El informe de </w:t>
      </w:r>
      <w:r w:rsidR="002824F1" w:rsidRPr="00375216">
        <w:rPr>
          <w:rFonts w:ascii="Arial" w:hAnsi="Arial" w:cs="Arial"/>
          <w:color w:val="000000" w:themeColor="text1"/>
          <w:sz w:val="20"/>
        </w:rPr>
        <w:t>evaluación intermedia.</w:t>
      </w:r>
    </w:p>
    <w:p w14:paraId="074CC102" w14:textId="77777777" w:rsidR="00887DB4" w:rsidRPr="00375216" w:rsidRDefault="00721DD0" w:rsidP="00C82565">
      <w:pPr>
        <w:pStyle w:val="ListParagraph"/>
        <w:numPr>
          <w:ilvl w:val="0"/>
          <w:numId w:val="2"/>
        </w:numPr>
        <w:tabs>
          <w:tab w:val="left" w:pos="567"/>
          <w:tab w:val="left" w:pos="1560"/>
        </w:tabs>
        <w:spacing w:after="0" w:line="240" w:lineRule="auto"/>
        <w:ind w:left="567" w:firstLine="567"/>
        <w:jc w:val="both"/>
        <w:rPr>
          <w:rFonts w:ascii="Arial" w:hAnsi="Arial" w:cs="Arial"/>
          <w:color w:val="000000" w:themeColor="text1"/>
          <w:sz w:val="20"/>
        </w:rPr>
      </w:pPr>
      <w:r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CF037A" w:rsidRPr="00375216">
        <w:rPr>
          <w:rFonts w:ascii="Arial" w:hAnsi="Arial" w:cs="Arial"/>
          <w:color w:val="000000" w:themeColor="text1"/>
          <w:sz w:val="20"/>
        </w:rPr>
        <w:t>Planificación financiera</w:t>
      </w:r>
    </w:p>
    <w:p w14:paraId="26950FB8" w14:textId="77777777" w:rsidR="00721DD0" w:rsidRPr="00375216" w:rsidRDefault="00721DD0" w:rsidP="0031461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</w:rPr>
      </w:pPr>
    </w:p>
    <w:p w14:paraId="3F88BCD7" w14:textId="3B45CF46" w:rsidR="000A5BAC" w:rsidRPr="00375216" w:rsidRDefault="000A5BAC" w:rsidP="004D410C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 w:rsidRPr="00375216">
        <w:rPr>
          <w:rFonts w:ascii="Arial" w:hAnsi="Arial" w:cs="Arial"/>
          <w:color w:val="000000" w:themeColor="text1"/>
          <w:sz w:val="20"/>
        </w:rPr>
        <w:t xml:space="preserve">La </w:t>
      </w:r>
      <w:r w:rsidR="006F63DE">
        <w:rPr>
          <w:rFonts w:ascii="Arial" w:hAnsi="Arial" w:cs="Arial"/>
          <w:color w:val="000000" w:themeColor="text1"/>
          <w:sz w:val="20"/>
        </w:rPr>
        <w:t>Coordinación</w:t>
      </w:r>
      <w:r w:rsidR="00375216" w:rsidRPr="00375216">
        <w:rPr>
          <w:rFonts w:ascii="Arial" w:hAnsi="Arial" w:cs="Arial"/>
          <w:color w:val="000000" w:themeColor="text1"/>
          <w:sz w:val="20"/>
        </w:rPr>
        <w:t>,</w:t>
      </w:r>
      <w:r w:rsidR="00236EE2">
        <w:rPr>
          <w:rFonts w:ascii="Arial" w:hAnsi="Arial" w:cs="Arial"/>
          <w:color w:val="000000" w:themeColor="text1"/>
          <w:sz w:val="20"/>
        </w:rPr>
        <w:t xml:space="preserve"> </w:t>
      </w:r>
      <w:r w:rsidR="00A42A25">
        <w:rPr>
          <w:rFonts w:ascii="Arial" w:hAnsi="Arial" w:cs="Arial"/>
          <w:color w:val="000000" w:themeColor="text1"/>
          <w:sz w:val="20"/>
        </w:rPr>
        <w:t>el equipo técnico y los e</w:t>
      </w:r>
      <w:r w:rsidR="00375216" w:rsidRPr="00375216">
        <w:rPr>
          <w:rFonts w:ascii="Arial" w:hAnsi="Arial" w:cs="Arial"/>
          <w:color w:val="000000" w:themeColor="text1"/>
          <w:sz w:val="20"/>
        </w:rPr>
        <w:t xml:space="preserve">specialistas fiduciarios </w:t>
      </w:r>
      <w:r w:rsidR="00BA4660">
        <w:rPr>
          <w:rFonts w:ascii="Arial" w:hAnsi="Arial" w:cs="Arial"/>
          <w:color w:val="000000" w:themeColor="text1"/>
          <w:sz w:val="20"/>
        </w:rPr>
        <w:t>del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="00B34EE6"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7A05D9" w:rsidRPr="00375216">
        <w:rPr>
          <w:rFonts w:ascii="Arial" w:hAnsi="Arial" w:cs="Arial"/>
          <w:color w:val="000000" w:themeColor="text1"/>
          <w:sz w:val="20"/>
        </w:rPr>
        <w:t>mantendrá</w:t>
      </w:r>
      <w:r w:rsidR="00B34EE6" w:rsidRPr="00375216">
        <w:rPr>
          <w:rFonts w:ascii="Arial" w:hAnsi="Arial" w:cs="Arial"/>
          <w:color w:val="000000" w:themeColor="text1"/>
          <w:sz w:val="20"/>
        </w:rPr>
        <w:t>n</w:t>
      </w:r>
      <w:r w:rsidRPr="00375216">
        <w:rPr>
          <w:rFonts w:ascii="Arial" w:hAnsi="Arial" w:cs="Arial"/>
          <w:color w:val="000000" w:themeColor="text1"/>
          <w:sz w:val="20"/>
        </w:rPr>
        <w:t xml:space="preserve"> reuniones periódicas con el BID para el seguimiento del </w:t>
      </w:r>
      <w:r w:rsidR="002B7FA8">
        <w:rPr>
          <w:rFonts w:ascii="Arial" w:hAnsi="Arial" w:cs="Arial"/>
          <w:color w:val="000000" w:themeColor="text1"/>
          <w:sz w:val="20"/>
        </w:rPr>
        <w:t>Programa</w:t>
      </w:r>
      <w:r w:rsidRPr="00375216">
        <w:rPr>
          <w:rFonts w:ascii="Arial" w:hAnsi="Arial" w:cs="Arial"/>
          <w:color w:val="000000" w:themeColor="text1"/>
          <w:sz w:val="20"/>
        </w:rPr>
        <w:t xml:space="preserve">, en momentos específicos durante la ejecución del mismo a fin de evaluar los aspectos relevantes, problemas que hayan </w:t>
      </w:r>
      <w:r w:rsidRPr="00375216">
        <w:rPr>
          <w:rFonts w:ascii="Arial" w:hAnsi="Arial" w:cs="Arial"/>
          <w:color w:val="000000" w:themeColor="text1"/>
          <w:sz w:val="20"/>
        </w:rPr>
        <w:lastRenderedPageBreak/>
        <w:t>surgido y apoyar en las sugerencias para plantear y acordar las acciones correctivas que sean necesarias para una eficiente ejecución.</w:t>
      </w:r>
    </w:p>
    <w:p w14:paraId="7BC16A61" w14:textId="77777777" w:rsidR="000A5BAC" w:rsidRDefault="000A5BAC" w:rsidP="000A5BAC">
      <w:pPr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</w:p>
    <w:p w14:paraId="461B091E" w14:textId="77777777" w:rsidR="006F63DE" w:rsidRPr="003A1F08" w:rsidRDefault="006F63DE" w:rsidP="000A5BAC">
      <w:pPr>
        <w:tabs>
          <w:tab w:val="left" w:pos="567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</w:p>
    <w:p w14:paraId="1639A3BC" w14:textId="77777777" w:rsidR="002824F1" w:rsidRDefault="00646EAB" w:rsidP="00474FB4">
      <w:pPr>
        <w:pStyle w:val="ListParagraph"/>
        <w:tabs>
          <w:tab w:val="left" w:pos="567"/>
        </w:tabs>
        <w:spacing w:after="0" w:line="240" w:lineRule="auto"/>
        <w:ind w:left="567"/>
        <w:jc w:val="both"/>
        <w:outlineLvl w:val="2"/>
        <w:rPr>
          <w:rFonts w:ascii="Arial" w:hAnsi="Arial" w:cs="Arial"/>
          <w:b/>
          <w:color w:val="000000" w:themeColor="text1"/>
        </w:rPr>
      </w:pPr>
      <w:bookmarkStart w:id="141" w:name="_Toc15932309"/>
      <w:bookmarkStart w:id="142" w:name="_Toc16284615"/>
      <w:r>
        <w:rPr>
          <w:rFonts w:ascii="Arial" w:hAnsi="Arial" w:cs="Arial"/>
          <w:b/>
          <w:color w:val="000000" w:themeColor="text1"/>
        </w:rPr>
        <w:t>3.</w:t>
      </w:r>
      <w:r w:rsidR="006D36F2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</w:rPr>
        <w:t xml:space="preserve">.2 </w:t>
      </w:r>
      <w:r w:rsidRPr="00244F0D">
        <w:rPr>
          <w:rFonts w:ascii="Arial" w:hAnsi="Arial" w:cs="Arial"/>
          <w:b/>
          <w:color w:val="000000" w:themeColor="text1"/>
        </w:rPr>
        <w:t>Liquidaci</w:t>
      </w:r>
      <w:r>
        <w:rPr>
          <w:rFonts w:ascii="Arial" w:hAnsi="Arial" w:cs="Arial"/>
          <w:b/>
          <w:color w:val="000000" w:themeColor="text1"/>
        </w:rPr>
        <w:t>ó</w:t>
      </w:r>
      <w:r w:rsidRPr="00244F0D">
        <w:rPr>
          <w:rFonts w:ascii="Arial" w:hAnsi="Arial" w:cs="Arial"/>
          <w:b/>
          <w:color w:val="000000" w:themeColor="text1"/>
        </w:rPr>
        <w:t xml:space="preserve">n </w:t>
      </w:r>
      <w:r>
        <w:rPr>
          <w:rFonts w:ascii="Arial" w:hAnsi="Arial" w:cs="Arial"/>
          <w:b/>
          <w:color w:val="000000" w:themeColor="text1"/>
        </w:rPr>
        <w:t>y</w:t>
      </w:r>
      <w:r w:rsidRPr="00244F0D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</w:t>
      </w:r>
      <w:r w:rsidRPr="00244F0D">
        <w:rPr>
          <w:rFonts w:ascii="Arial" w:hAnsi="Arial" w:cs="Arial"/>
          <w:b/>
          <w:color w:val="000000" w:themeColor="text1"/>
        </w:rPr>
        <w:t xml:space="preserve">ierre </w:t>
      </w:r>
      <w:r>
        <w:rPr>
          <w:rFonts w:ascii="Arial" w:hAnsi="Arial" w:cs="Arial"/>
          <w:b/>
          <w:color w:val="000000" w:themeColor="text1"/>
        </w:rPr>
        <w:t>d</w:t>
      </w:r>
      <w:r w:rsidR="00375216">
        <w:rPr>
          <w:rFonts w:ascii="Arial" w:hAnsi="Arial" w:cs="Arial"/>
          <w:b/>
          <w:color w:val="000000" w:themeColor="text1"/>
        </w:rPr>
        <w:t xml:space="preserve">el </w:t>
      </w:r>
      <w:r w:rsidR="002B7FA8">
        <w:rPr>
          <w:rFonts w:ascii="Arial" w:hAnsi="Arial" w:cs="Arial"/>
          <w:b/>
          <w:color w:val="000000" w:themeColor="text1"/>
        </w:rPr>
        <w:t>Programa</w:t>
      </w:r>
      <w:bookmarkEnd w:id="141"/>
      <w:bookmarkEnd w:id="142"/>
    </w:p>
    <w:p w14:paraId="3C4B22FD" w14:textId="3310C4C8" w:rsidR="002824F1" w:rsidRDefault="000A5BAC" w:rsidP="004D410C">
      <w:pPr>
        <w:pStyle w:val="ListParagraph"/>
        <w:tabs>
          <w:tab w:val="left" w:pos="567"/>
          <w:tab w:val="left" w:pos="1418"/>
        </w:tabs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</w:rPr>
      </w:pPr>
      <w:r w:rsidRPr="00375216">
        <w:rPr>
          <w:rFonts w:ascii="Arial" w:hAnsi="Arial" w:cs="Arial"/>
          <w:color w:val="000000" w:themeColor="text1"/>
          <w:sz w:val="20"/>
        </w:rPr>
        <w:t>Una vez concluidas las actividades de</w:t>
      </w:r>
      <w:r w:rsidR="002204FC" w:rsidRPr="00375216">
        <w:rPr>
          <w:rFonts w:ascii="Arial" w:hAnsi="Arial" w:cs="Arial"/>
          <w:color w:val="000000" w:themeColor="text1"/>
          <w:sz w:val="20"/>
        </w:rPr>
        <w:t>l</w:t>
      </w:r>
      <w:r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2B7FA8">
        <w:rPr>
          <w:rFonts w:ascii="Arial" w:hAnsi="Arial" w:cs="Arial"/>
          <w:color w:val="000000" w:themeColor="text1"/>
          <w:sz w:val="20"/>
        </w:rPr>
        <w:t>Programa</w:t>
      </w:r>
      <w:r w:rsidR="00B34EE6" w:rsidRPr="00375216">
        <w:rPr>
          <w:rFonts w:ascii="Arial" w:hAnsi="Arial" w:cs="Arial"/>
          <w:color w:val="000000" w:themeColor="text1"/>
          <w:sz w:val="20"/>
        </w:rPr>
        <w:t xml:space="preserve">, la </w:t>
      </w:r>
      <w:r w:rsidR="00BA4660">
        <w:rPr>
          <w:rFonts w:ascii="Arial" w:hAnsi="Arial" w:cs="Arial"/>
          <w:color w:val="000000" w:themeColor="text1"/>
          <w:sz w:val="20"/>
        </w:rPr>
        <w:t>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="00375216"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Pr="00375216">
        <w:rPr>
          <w:rFonts w:ascii="Arial" w:hAnsi="Arial" w:cs="Arial"/>
          <w:color w:val="000000" w:themeColor="text1"/>
          <w:sz w:val="20"/>
        </w:rPr>
        <w:t>procederá a la liquidación de los saldos del financiamiento del BID</w:t>
      </w:r>
      <w:r w:rsidR="00B34EE6" w:rsidRPr="00375216">
        <w:rPr>
          <w:rFonts w:ascii="Arial" w:hAnsi="Arial" w:cs="Arial"/>
          <w:color w:val="000000" w:themeColor="text1"/>
          <w:sz w:val="20"/>
        </w:rPr>
        <w:t xml:space="preserve"> y</w:t>
      </w:r>
      <w:r w:rsidRPr="00375216">
        <w:rPr>
          <w:rFonts w:ascii="Arial" w:hAnsi="Arial" w:cs="Arial"/>
          <w:color w:val="000000" w:themeColor="text1"/>
          <w:sz w:val="20"/>
        </w:rPr>
        <w:t xml:space="preserve"> a elaborar el informe final a ser remitido al Banco</w:t>
      </w:r>
      <w:r w:rsidR="00B34EE6" w:rsidRPr="00375216">
        <w:rPr>
          <w:rFonts w:ascii="Arial" w:hAnsi="Arial" w:cs="Arial"/>
          <w:color w:val="000000" w:themeColor="text1"/>
          <w:sz w:val="20"/>
        </w:rPr>
        <w:t xml:space="preserve"> a través de la </w:t>
      </w:r>
      <w:r w:rsidR="006F63DE">
        <w:rPr>
          <w:rFonts w:ascii="Arial" w:hAnsi="Arial" w:cs="Arial"/>
          <w:color w:val="000000" w:themeColor="text1"/>
          <w:sz w:val="20"/>
        </w:rPr>
        <w:t>Coordinación</w:t>
      </w:r>
      <w:r w:rsidR="00A42A25">
        <w:rPr>
          <w:rFonts w:ascii="Arial" w:hAnsi="Arial" w:cs="Arial"/>
          <w:color w:val="000000" w:themeColor="text1"/>
          <w:sz w:val="20"/>
        </w:rPr>
        <w:t xml:space="preserve"> </w:t>
      </w:r>
      <w:r w:rsidR="00BA4660">
        <w:rPr>
          <w:rFonts w:ascii="Arial" w:hAnsi="Arial" w:cs="Arial"/>
          <w:color w:val="000000" w:themeColor="text1"/>
          <w:sz w:val="20"/>
        </w:rPr>
        <w:t>del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="00B34EE6" w:rsidRPr="00375216">
        <w:rPr>
          <w:rFonts w:ascii="Arial" w:hAnsi="Arial" w:cs="Arial"/>
          <w:color w:val="000000" w:themeColor="text1"/>
          <w:sz w:val="20"/>
        </w:rPr>
        <w:t>.</w:t>
      </w:r>
      <w:r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B34EE6" w:rsidRPr="00375216">
        <w:rPr>
          <w:rFonts w:ascii="Arial" w:hAnsi="Arial" w:cs="Arial"/>
          <w:color w:val="000000" w:themeColor="text1"/>
          <w:sz w:val="20"/>
        </w:rPr>
        <w:t xml:space="preserve">Una </w:t>
      </w:r>
      <w:r w:rsidRPr="00375216">
        <w:rPr>
          <w:rFonts w:ascii="Arial" w:hAnsi="Arial" w:cs="Arial"/>
          <w:color w:val="000000" w:themeColor="text1"/>
          <w:sz w:val="20"/>
        </w:rPr>
        <w:t>vez se cuente con la no objeción al mismo</w:t>
      </w:r>
      <w:r w:rsidR="00B34EE6" w:rsidRPr="00375216">
        <w:rPr>
          <w:rFonts w:ascii="Arial" w:hAnsi="Arial" w:cs="Arial"/>
          <w:color w:val="000000" w:themeColor="text1"/>
          <w:sz w:val="20"/>
        </w:rPr>
        <w:t>,</w:t>
      </w:r>
      <w:r w:rsidRPr="00375216">
        <w:rPr>
          <w:rFonts w:ascii="Arial" w:hAnsi="Arial" w:cs="Arial"/>
          <w:color w:val="000000" w:themeColor="text1"/>
          <w:sz w:val="20"/>
        </w:rPr>
        <w:t xml:space="preserve"> </w:t>
      </w:r>
      <w:r w:rsidR="00A42A25">
        <w:rPr>
          <w:rFonts w:ascii="Arial" w:hAnsi="Arial" w:cs="Arial"/>
          <w:color w:val="000000" w:themeColor="text1"/>
          <w:sz w:val="20"/>
        </w:rPr>
        <w:t xml:space="preserve">los responsables técnicos </w:t>
      </w:r>
      <w:r w:rsidRPr="00375216">
        <w:rPr>
          <w:rFonts w:ascii="Arial" w:hAnsi="Arial" w:cs="Arial"/>
          <w:color w:val="000000" w:themeColor="text1"/>
          <w:sz w:val="20"/>
        </w:rPr>
        <w:t>elaborará</w:t>
      </w:r>
      <w:r w:rsidR="00236EE2">
        <w:rPr>
          <w:rFonts w:ascii="Arial" w:hAnsi="Arial" w:cs="Arial"/>
          <w:color w:val="000000" w:themeColor="text1"/>
          <w:sz w:val="20"/>
        </w:rPr>
        <w:t>n</w:t>
      </w:r>
      <w:r w:rsidRPr="00375216">
        <w:rPr>
          <w:rFonts w:ascii="Arial" w:hAnsi="Arial" w:cs="Arial"/>
          <w:color w:val="000000" w:themeColor="text1"/>
          <w:sz w:val="20"/>
        </w:rPr>
        <w:t xml:space="preserve"> el informe de cierre del </w:t>
      </w:r>
      <w:r w:rsidR="002B7FA8">
        <w:rPr>
          <w:rFonts w:ascii="Arial" w:hAnsi="Arial" w:cs="Arial"/>
          <w:color w:val="000000" w:themeColor="text1"/>
          <w:sz w:val="20"/>
        </w:rPr>
        <w:t>Programa</w:t>
      </w:r>
      <w:r w:rsidR="00236EE2">
        <w:rPr>
          <w:rFonts w:ascii="Arial" w:hAnsi="Arial" w:cs="Arial"/>
          <w:color w:val="000000" w:themeColor="text1"/>
          <w:sz w:val="20"/>
        </w:rPr>
        <w:t xml:space="preserve">, información que será utilizada por la Unidad Formuladora </w:t>
      </w:r>
      <w:r w:rsidR="00A42A25">
        <w:rPr>
          <w:rFonts w:ascii="Arial" w:hAnsi="Arial" w:cs="Arial"/>
          <w:color w:val="000000" w:themeColor="text1"/>
          <w:sz w:val="20"/>
        </w:rPr>
        <w:t>del P</w:t>
      </w:r>
      <w:r w:rsidR="006F63DE">
        <w:rPr>
          <w:rFonts w:ascii="Arial" w:hAnsi="Arial" w:cs="Arial"/>
          <w:color w:val="000000" w:themeColor="text1"/>
          <w:sz w:val="20"/>
        </w:rPr>
        <w:t>J</w:t>
      </w:r>
      <w:r w:rsidR="00236EE2">
        <w:rPr>
          <w:rFonts w:ascii="Arial" w:hAnsi="Arial" w:cs="Arial"/>
          <w:color w:val="000000" w:themeColor="text1"/>
          <w:sz w:val="20"/>
        </w:rPr>
        <w:t xml:space="preserve"> para dar cumplimiento a</w:t>
      </w:r>
      <w:r w:rsidRPr="00375216">
        <w:rPr>
          <w:rFonts w:ascii="Arial" w:hAnsi="Arial" w:cs="Arial"/>
          <w:color w:val="000000" w:themeColor="text1"/>
          <w:sz w:val="20"/>
        </w:rPr>
        <w:t xml:space="preserve"> la normatividad del Sistema </w:t>
      </w:r>
      <w:r w:rsidR="00B34EE6" w:rsidRPr="00375216">
        <w:rPr>
          <w:rFonts w:ascii="Arial" w:hAnsi="Arial" w:cs="Arial"/>
          <w:color w:val="000000"/>
          <w:sz w:val="20"/>
        </w:rPr>
        <w:t>de Programación Multianual y Gestión de Inversiones (Invierte.pe).</w:t>
      </w:r>
    </w:p>
    <w:p w14:paraId="298A0686" w14:textId="77777777" w:rsidR="006D36F2" w:rsidRPr="004D410C" w:rsidRDefault="006D36F2" w:rsidP="006D36F2">
      <w:pPr>
        <w:pStyle w:val="Title"/>
        <w:tabs>
          <w:tab w:val="left" w:pos="851"/>
        </w:tabs>
        <w:spacing w:after="0" w:afterAutospacing="0"/>
        <w:ind w:left="142"/>
        <w:outlineLvl w:val="1"/>
        <w:rPr>
          <w:rFonts w:cs="Arial"/>
          <w:b/>
          <w:color w:val="000000" w:themeColor="text1"/>
          <w:sz w:val="22"/>
          <w:szCs w:val="22"/>
        </w:rPr>
      </w:pPr>
      <w:bookmarkStart w:id="143" w:name="_Toc16284616"/>
      <w:r w:rsidRPr="004D410C">
        <w:rPr>
          <w:rFonts w:cs="Arial"/>
          <w:b/>
          <w:color w:val="000000" w:themeColor="text1"/>
          <w:sz w:val="22"/>
          <w:szCs w:val="22"/>
        </w:rPr>
        <w:t>3.</w:t>
      </w:r>
      <w:r>
        <w:rPr>
          <w:rFonts w:cs="Arial"/>
          <w:b/>
          <w:color w:val="000000" w:themeColor="text1"/>
          <w:sz w:val="22"/>
          <w:szCs w:val="22"/>
        </w:rPr>
        <w:t>6</w:t>
      </w:r>
      <w:r w:rsidRPr="004D410C"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b/>
          <w:color w:val="000000" w:themeColor="text1"/>
          <w:sz w:val="22"/>
          <w:szCs w:val="22"/>
        </w:rPr>
        <w:t>Registro Contable</w:t>
      </w:r>
      <w:bookmarkEnd w:id="143"/>
    </w:p>
    <w:p w14:paraId="2F290884" w14:textId="074B23BF" w:rsidR="006D36F2" w:rsidRPr="00503D7B" w:rsidRDefault="00BA4660" w:rsidP="006D36F2">
      <w:pPr>
        <w:pStyle w:val="ListParagraph"/>
        <w:tabs>
          <w:tab w:val="left" w:pos="567"/>
          <w:tab w:val="left" w:pos="1418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="006D36F2" w:rsidRPr="00503D7B">
        <w:rPr>
          <w:rFonts w:ascii="Arial" w:hAnsi="Arial" w:cs="Arial"/>
          <w:color w:val="000000" w:themeColor="text1"/>
          <w:sz w:val="20"/>
        </w:rPr>
        <w:t xml:space="preserve"> utilizará el SIAF para el registro de los compromisos, devengados, giros y pagos con cargo al </w:t>
      </w:r>
      <w:r w:rsidR="00A42A25">
        <w:rPr>
          <w:rFonts w:ascii="Arial" w:hAnsi="Arial" w:cs="Arial"/>
          <w:color w:val="000000" w:themeColor="text1"/>
          <w:sz w:val="20"/>
        </w:rPr>
        <w:t>Programa</w:t>
      </w:r>
      <w:r w:rsidR="006D36F2" w:rsidRPr="00503D7B">
        <w:rPr>
          <w:rFonts w:ascii="Arial" w:hAnsi="Arial" w:cs="Arial"/>
          <w:color w:val="000000" w:themeColor="text1"/>
          <w:sz w:val="20"/>
        </w:rPr>
        <w:t>.  Asimismo, utilizará el SIAF para efectuar la evaluación presupuestal y financiera de las actividades comprendidas en el POA y</w:t>
      </w:r>
      <w:r w:rsidR="006D36F2">
        <w:rPr>
          <w:rFonts w:ascii="Arial" w:hAnsi="Arial" w:cs="Arial"/>
          <w:color w:val="000000" w:themeColor="text1"/>
          <w:sz w:val="20"/>
        </w:rPr>
        <w:t xml:space="preserve"> PA</w:t>
      </w:r>
      <w:r w:rsidR="006D36F2" w:rsidRPr="00503D7B">
        <w:rPr>
          <w:rFonts w:ascii="Arial" w:hAnsi="Arial" w:cs="Arial"/>
          <w:color w:val="000000" w:themeColor="text1"/>
          <w:sz w:val="20"/>
        </w:rPr>
        <w:t xml:space="preserve">, y financiadas con los recursos del </w:t>
      </w:r>
      <w:r w:rsidR="00A42A25">
        <w:rPr>
          <w:rFonts w:ascii="Arial" w:hAnsi="Arial" w:cs="Arial"/>
          <w:color w:val="000000" w:themeColor="text1"/>
          <w:sz w:val="20"/>
        </w:rPr>
        <w:t>Programa.</w:t>
      </w:r>
    </w:p>
    <w:p w14:paraId="54386E84" w14:textId="77777777" w:rsidR="006D36F2" w:rsidRDefault="006D36F2" w:rsidP="006D36F2">
      <w:pPr>
        <w:pStyle w:val="ListParagraph"/>
        <w:tabs>
          <w:tab w:val="left" w:pos="567"/>
          <w:tab w:val="left" w:pos="1418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</w:p>
    <w:p w14:paraId="13F4B17F" w14:textId="6C4BE848" w:rsidR="006D36F2" w:rsidRPr="003A65FA" w:rsidRDefault="00BA4660" w:rsidP="006D36F2">
      <w:pPr>
        <w:pStyle w:val="ListParagraph"/>
        <w:tabs>
          <w:tab w:val="left" w:pos="567"/>
          <w:tab w:val="left" w:pos="1418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="006D36F2" w:rsidRPr="00503D7B">
        <w:rPr>
          <w:rFonts w:ascii="Arial" w:hAnsi="Arial" w:cs="Arial"/>
          <w:color w:val="000000" w:themeColor="text1"/>
          <w:sz w:val="20"/>
        </w:rPr>
        <w:t xml:space="preserve"> utilizará el Módulo de Ejecución de Proyecto del SIAF (MEP-SIAF) con la finalidad de emitir información y reportes financieros solicitados por el Banco.  Los reportes financieros serán emitidos en Dólares de los Estados Unidos de Norte América, considerando la base contable de efectivo requerida por el Banco.</w:t>
      </w:r>
    </w:p>
    <w:p w14:paraId="2D4A0C10" w14:textId="77777777" w:rsidR="002824F1" w:rsidRPr="004D410C" w:rsidRDefault="004D000B" w:rsidP="00474FB4">
      <w:pPr>
        <w:pStyle w:val="Title"/>
        <w:tabs>
          <w:tab w:val="left" w:pos="851"/>
        </w:tabs>
        <w:spacing w:after="0" w:afterAutospacing="0"/>
        <w:ind w:left="142"/>
        <w:outlineLvl w:val="1"/>
        <w:rPr>
          <w:rFonts w:cs="Arial"/>
          <w:b/>
          <w:color w:val="000000" w:themeColor="text1"/>
          <w:sz w:val="22"/>
          <w:szCs w:val="22"/>
        </w:rPr>
      </w:pPr>
      <w:bookmarkStart w:id="144" w:name="_Toc16284617"/>
      <w:bookmarkEnd w:id="137"/>
      <w:bookmarkEnd w:id="138"/>
      <w:r w:rsidRPr="004D410C">
        <w:rPr>
          <w:rFonts w:cs="Arial"/>
          <w:b/>
          <w:color w:val="000000" w:themeColor="text1"/>
          <w:sz w:val="22"/>
          <w:szCs w:val="22"/>
        </w:rPr>
        <w:t>3.</w:t>
      </w:r>
      <w:r w:rsidR="006D36F2">
        <w:rPr>
          <w:rFonts w:cs="Arial"/>
          <w:b/>
          <w:color w:val="000000" w:themeColor="text1"/>
          <w:sz w:val="22"/>
          <w:szCs w:val="22"/>
        </w:rPr>
        <w:t>7</w:t>
      </w:r>
      <w:r w:rsidRPr="004D410C">
        <w:rPr>
          <w:rFonts w:cs="Arial"/>
          <w:b/>
          <w:color w:val="000000" w:themeColor="text1"/>
          <w:sz w:val="22"/>
          <w:szCs w:val="22"/>
        </w:rPr>
        <w:t xml:space="preserve"> Auditoría</w:t>
      </w:r>
      <w:r>
        <w:rPr>
          <w:rFonts w:cs="Arial"/>
          <w:b/>
          <w:color w:val="000000" w:themeColor="text1"/>
          <w:sz w:val="22"/>
          <w:szCs w:val="22"/>
        </w:rPr>
        <w:t>, Registros</w:t>
      </w:r>
      <w:r w:rsidR="007B19A5">
        <w:rPr>
          <w:rFonts w:cs="Arial"/>
          <w:b/>
          <w:color w:val="000000" w:themeColor="text1"/>
          <w:sz w:val="22"/>
          <w:szCs w:val="22"/>
        </w:rPr>
        <w:t xml:space="preserve"> y</w:t>
      </w:r>
      <w:r w:rsidR="00A50694" w:rsidRPr="004D410C">
        <w:rPr>
          <w:rFonts w:cs="Arial"/>
          <w:b/>
          <w:color w:val="000000" w:themeColor="text1"/>
          <w:sz w:val="22"/>
          <w:szCs w:val="22"/>
        </w:rPr>
        <w:t xml:space="preserve"> A</w:t>
      </w:r>
      <w:r w:rsidR="007B19A5">
        <w:rPr>
          <w:rFonts w:cs="Arial"/>
          <w:b/>
          <w:color w:val="000000" w:themeColor="text1"/>
          <w:sz w:val="22"/>
          <w:szCs w:val="22"/>
        </w:rPr>
        <w:t>rchivos</w:t>
      </w:r>
      <w:bookmarkEnd w:id="144"/>
    </w:p>
    <w:p w14:paraId="0CBD7AC3" w14:textId="77777777" w:rsidR="002824F1" w:rsidRDefault="008056DD" w:rsidP="00474FB4">
      <w:pPr>
        <w:pStyle w:val="Title"/>
        <w:ind w:left="567"/>
        <w:outlineLvl w:val="2"/>
        <w:rPr>
          <w:b/>
          <w:sz w:val="22"/>
          <w:szCs w:val="22"/>
        </w:rPr>
      </w:pPr>
      <w:bookmarkStart w:id="145" w:name="_Toc15932311"/>
      <w:bookmarkStart w:id="146" w:name="_Toc15991701"/>
      <w:bookmarkStart w:id="147" w:name="_Toc16284618"/>
      <w:r>
        <w:rPr>
          <w:b/>
          <w:sz w:val="22"/>
          <w:szCs w:val="22"/>
        </w:rPr>
        <w:t>3.</w:t>
      </w:r>
      <w:r w:rsidR="006D36F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1F2A74">
        <w:rPr>
          <w:b/>
          <w:sz w:val="22"/>
          <w:szCs w:val="22"/>
        </w:rPr>
        <w:t>1 Auditor</w:t>
      </w:r>
      <w:r w:rsidR="00AE6E67">
        <w:rPr>
          <w:b/>
          <w:sz w:val="22"/>
          <w:szCs w:val="22"/>
        </w:rPr>
        <w:t>í</w:t>
      </w:r>
      <w:r w:rsidR="001F2A74">
        <w:rPr>
          <w:b/>
          <w:sz w:val="22"/>
          <w:szCs w:val="22"/>
        </w:rPr>
        <w:t xml:space="preserve">as </w:t>
      </w:r>
      <w:r w:rsidR="00AE6E67">
        <w:rPr>
          <w:b/>
          <w:sz w:val="22"/>
          <w:szCs w:val="22"/>
        </w:rPr>
        <w:t>e</w:t>
      </w:r>
      <w:r w:rsidR="001F2A74">
        <w:rPr>
          <w:b/>
          <w:sz w:val="22"/>
          <w:szCs w:val="22"/>
        </w:rPr>
        <w:t>xternas</w:t>
      </w:r>
      <w:bookmarkEnd w:id="145"/>
      <w:bookmarkEnd w:id="146"/>
      <w:bookmarkEnd w:id="147"/>
    </w:p>
    <w:p w14:paraId="5C1B401D" w14:textId="77777777" w:rsidR="006D36F2" w:rsidRPr="00D335E1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bookmarkStart w:id="148" w:name="_Hlk15991482"/>
      <w:r w:rsidRPr="00D335E1">
        <w:rPr>
          <w:rFonts w:ascii="Arial" w:hAnsi="Arial" w:cs="Arial"/>
          <w:color w:val="000000" w:themeColor="text1"/>
          <w:sz w:val="20"/>
        </w:rPr>
        <w:t xml:space="preserve">Con base a los registros de contabilidad, y sin perjuicio de la necesidad de información complementaria que pudiera requerirse, los estados financieros deberán incluir como mínimo lo siguiente: </w:t>
      </w:r>
    </w:p>
    <w:p w14:paraId="1C7777FF" w14:textId="77777777" w:rsidR="006D36F2" w:rsidRPr="00D335E1" w:rsidRDefault="006D36F2" w:rsidP="00AA08AA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D335E1">
        <w:rPr>
          <w:rFonts w:ascii="Arial" w:hAnsi="Arial" w:cs="Arial"/>
          <w:color w:val="000000" w:themeColor="text1"/>
          <w:sz w:val="20"/>
        </w:rPr>
        <w:t xml:space="preserve">Estado de Inversiones Acumulada. </w:t>
      </w:r>
    </w:p>
    <w:p w14:paraId="2E4334D9" w14:textId="77777777" w:rsidR="006D36F2" w:rsidRPr="00D335E1" w:rsidRDefault="006D36F2" w:rsidP="00AA08AA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D335E1">
        <w:rPr>
          <w:rFonts w:ascii="Arial" w:hAnsi="Arial" w:cs="Arial"/>
          <w:color w:val="000000" w:themeColor="text1"/>
          <w:sz w:val="20"/>
        </w:rPr>
        <w:t xml:space="preserve">Estado de Flujos de Efectivos. </w:t>
      </w:r>
    </w:p>
    <w:p w14:paraId="634F400C" w14:textId="77777777" w:rsidR="006D36F2" w:rsidRPr="00D335E1" w:rsidRDefault="006D36F2" w:rsidP="00AA08AA">
      <w:pPr>
        <w:pStyle w:val="ListParagraph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D335E1">
        <w:rPr>
          <w:rFonts w:ascii="Arial" w:hAnsi="Arial" w:cs="Arial"/>
          <w:color w:val="000000" w:themeColor="text1"/>
          <w:sz w:val="20"/>
        </w:rPr>
        <w:t>Notas a los Estados Financieros.</w:t>
      </w:r>
    </w:p>
    <w:p w14:paraId="7258F6AE" w14:textId="77777777" w:rsidR="00C0034E" w:rsidRDefault="00C0034E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</w:p>
    <w:p w14:paraId="59FC67BF" w14:textId="77777777" w:rsidR="006D36F2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 w:rsidRPr="00D335E1">
        <w:rPr>
          <w:rFonts w:ascii="Arial" w:hAnsi="Arial" w:cs="Arial"/>
          <w:color w:val="000000" w:themeColor="text1"/>
          <w:sz w:val="20"/>
        </w:rPr>
        <w:t>Los estados financieros deberán ser presentados en Dólares de los Estados Unidos de Norte América.</w:t>
      </w:r>
    </w:p>
    <w:p w14:paraId="4324F203" w14:textId="77777777" w:rsidR="00C0034E" w:rsidRPr="00D335E1" w:rsidRDefault="00C0034E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</w:p>
    <w:p w14:paraId="7B653EF1" w14:textId="32044434" w:rsidR="006D36F2" w:rsidRPr="00D335E1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 w:rsidRPr="00D335E1">
        <w:rPr>
          <w:rFonts w:ascii="Arial" w:hAnsi="Arial" w:cs="Arial"/>
          <w:color w:val="000000" w:themeColor="text1"/>
          <w:sz w:val="20"/>
        </w:rPr>
        <w:t xml:space="preserve">La </w:t>
      </w:r>
      <w:r w:rsidR="006F63DE">
        <w:rPr>
          <w:rFonts w:ascii="Arial" w:hAnsi="Arial" w:cs="Arial"/>
          <w:color w:val="000000" w:themeColor="text1"/>
          <w:sz w:val="20"/>
        </w:rPr>
        <w:t>Coordinación</w:t>
      </w:r>
      <w:r w:rsidR="00C0034E">
        <w:rPr>
          <w:rFonts w:ascii="Arial" w:hAnsi="Arial" w:cs="Arial"/>
          <w:color w:val="000000" w:themeColor="text1"/>
          <w:sz w:val="20"/>
        </w:rPr>
        <w:t xml:space="preserve"> </w:t>
      </w:r>
      <w:r w:rsidR="00BA4660">
        <w:rPr>
          <w:rFonts w:ascii="Arial" w:hAnsi="Arial" w:cs="Arial"/>
          <w:color w:val="000000" w:themeColor="text1"/>
          <w:sz w:val="20"/>
        </w:rPr>
        <w:t>del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Pr="00D335E1">
        <w:rPr>
          <w:rFonts w:ascii="Arial" w:hAnsi="Arial" w:cs="Arial"/>
          <w:color w:val="000000" w:themeColor="text1"/>
          <w:sz w:val="20"/>
        </w:rPr>
        <w:t xml:space="preserve"> es responsable de la elaboración y suscripción de los Estados Financieros - EEFF del P</w:t>
      </w:r>
      <w:r w:rsidR="00C0034E">
        <w:rPr>
          <w:rFonts w:ascii="Arial" w:hAnsi="Arial" w:cs="Arial"/>
          <w:color w:val="000000" w:themeColor="text1"/>
          <w:sz w:val="20"/>
        </w:rPr>
        <w:t>rograma.</w:t>
      </w:r>
    </w:p>
    <w:p w14:paraId="762CAC4B" w14:textId="77777777" w:rsidR="006D36F2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</w:p>
    <w:p w14:paraId="2ADAA61E" w14:textId="26E76E21" w:rsidR="006D36F2" w:rsidRPr="004D000B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 w:rsidRPr="004D000B">
        <w:rPr>
          <w:rFonts w:ascii="Arial" w:hAnsi="Arial" w:cs="Arial"/>
          <w:color w:val="000000" w:themeColor="text1"/>
          <w:sz w:val="20"/>
        </w:rPr>
        <w:t xml:space="preserve">Durante la ejecución del </w:t>
      </w:r>
      <w:r w:rsidR="00C0034E">
        <w:rPr>
          <w:rFonts w:ascii="Arial" w:hAnsi="Arial" w:cs="Arial"/>
          <w:color w:val="000000" w:themeColor="text1"/>
          <w:sz w:val="20"/>
        </w:rPr>
        <w:t>Programa</w:t>
      </w:r>
      <w:r w:rsidRPr="004D000B">
        <w:rPr>
          <w:rFonts w:ascii="Arial" w:hAnsi="Arial" w:cs="Arial"/>
          <w:color w:val="000000" w:themeColor="text1"/>
          <w:sz w:val="20"/>
        </w:rPr>
        <w:t xml:space="preserve">, la </w:t>
      </w:r>
      <w:r w:rsidR="006F63DE">
        <w:rPr>
          <w:rFonts w:ascii="Arial" w:hAnsi="Arial" w:cs="Arial"/>
          <w:color w:val="000000" w:themeColor="text1"/>
          <w:sz w:val="20"/>
        </w:rPr>
        <w:t>Coordinación</w:t>
      </w:r>
      <w:r w:rsidR="00C0034E">
        <w:rPr>
          <w:rFonts w:ascii="Arial" w:hAnsi="Arial" w:cs="Arial"/>
          <w:color w:val="000000" w:themeColor="text1"/>
          <w:sz w:val="20"/>
        </w:rPr>
        <w:t xml:space="preserve"> </w:t>
      </w:r>
      <w:r w:rsidR="00BA4660">
        <w:rPr>
          <w:rFonts w:ascii="Arial" w:hAnsi="Arial" w:cs="Arial"/>
          <w:color w:val="000000" w:themeColor="text1"/>
          <w:sz w:val="20"/>
        </w:rPr>
        <w:t>del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="00613B1B">
        <w:rPr>
          <w:rFonts w:ascii="Arial" w:hAnsi="Arial" w:cs="Arial"/>
          <w:color w:val="000000" w:themeColor="text1"/>
          <w:sz w:val="20"/>
        </w:rPr>
        <w:t xml:space="preserve"> deb</w:t>
      </w:r>
      <w:r w:rsidRPr="004D000B">
        <w:rPr>
          <w:rFonts w:ascii="Arial" w:hAnsi="Arial" w:cs="Arial"/>
          <w:color w:val="000000" w:themeColor="text1"/>
          <w:sz w:val="20"/>
        </w:rPr>
        <w:t>e remitir anualmente al BID los Estados Financieros auditados del proyecto, a más tardar dentro de los 120 días de finalizado el correspondiente ejercicio fiscal. El último de los estados financieros auditados del proyecto deberá presentarse dentro de los 120 días siguientes a la fecha estipulada para el último desembolso de financiamiento.</w:t>
      </w:r>
    </w:p>
    <w:p w14:paraId="2123A3E4" w14:textId="77777777" w:rsidR="006D36F2" w:rsidRPr="004D000B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</w:p>
    <w:p w14:paraId="6F53373E" w14:textId="12F27149" w:rsidR="006D36F2" w:rsidRPr="00D335E1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 w:rsidRPr="00D335E1">
        <w:rPr>
          <w:rFonts w:ascii="Arial" w:hAnsi="Arial" w:cs="Arial"/>
          <w:color w:val="000000" w:themeColor="text1"/>
          <w:sz w:val="20"/>
        </w:rPr>
        <w:t xml:space="preserve">La auditoría a los EEFF será efectuada por una Firma Auditora Independiente (FAI) aceptable por el BID, de acuerdo con los requerimientos de éste y sobre la base de términos de referencia previamente aprobados. Para dicho efecto el Banco, remitirá el Documento Estándar para la Selección y Contratación de firma auditora a fin de que el Especialista </w:t>
      </w:r>
      <w:r w:rsidR="00613B1B">
        <w:rPr>
          <w:rFonts w:ascii="Arial" w:hAnsi="Arial" w:cs="Arial"/>
          <w:color w:val="000000" w:themeColor="text1"/>
          <w:sz w:val="20"/>
        </w:rPr>
        <w:t>Financiero-Contable</w:t>
      </w:r>
      <w:r w:rsidRPr="00D335E1">
        <w:rPr>
          <w:rFonts w:ascii="Arial" w:hAnsi="Arial" w:cs="Arial"/>
          <w:color w:val="000000" w:themeColor="text1"/>
          <w:sz w:val="20"/>
        </w:rPr>
        <w:t xml:space="preserve"> incluya la información del Pro</w:t>
      </w:r>
      <w:r w:rsidR="00613B1B">
        <w:rPr>
          <w:rFonts w:ascii="Arial" w:hAnsi="Arial" w:cs="Arial"/>
          <w:color w:val="000000" w:themeColor="text1"/>
          <w:sz w:val="20"/>
        </w:rPr>
        <w:t>grama</w:t>
      </w:r>
      <w:r w:rsidRPr="00D335E1">
        <w:rPr>
          <w:rFonts w:ascii="Arial" w:hAnsi="Arial" w:cs="Arial"/>
          <w:color w:val="000000" w:themeColor="text1"/>
          <w:sz w:val="20"/>
        </w:rPr>
        <w:t xml:space="preserve"> en el citado documento.  </w:t>
      </w:r>
      <w:r w:rsidR="00BA4660">
        <w:rPr>
          <w:rFonts w:ascii="Arial" w:hAnsi="Arial" w:cs="Arial"/>
          <w:color w:val="000000" w:themeColor="text1"/>
          <w:sz w:val="20"/>
        </w:rPr>
        <w:t>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Pr="00D335E1">
        <w:rPr>
          <w:rFonts w:ascii="Arial" w:hAnsi="Arial" w:cs="Arial"/>
          <w:color w:val="000000" w:themeColor="text1"/>
          <w:sz w:val="20"/>
        </w:rPr>
        <w:t xml:space="preserve"> solicitará la no objeción del Banco al Documento Estándar.  Luego, la </w:t>
      </w:r>
      <w:r w:rsidR="00BA4660">
        <w:rPr>
          <w:rFonts w:ascii="Arial" w:hAnsi="Arial" w:cs="Arial"/>
          <w:color w:val="000000" w:themeColor="text1"/>
          <w:sz w:val="20"/>
        </w:rPr>
        <w:t>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Pr="00D335E1">
        <w:rPr>
          <w:rFonts w:ascii="Arial" w:hAnsi="Arial" w:cs="Arial"/>
          <w:color w:val="000000" w:themeColor="text1"/>
          <w:sz w:val="20"/>
        </w:rPr>
        <w:t xml:space="preserve"> deberá solicitar la autorización de la Contraloría General de la República del Perú para iniciar el proceso de selección y contratación en el marco del Documento Estándar con no objeción del Banco. </w:t>
      </w:r>
    </w:p>
    <w:p w14:paraId="667B486C" w14:textId="77777777" w:rsidR="006D36F2" w:rsidRPr="004D000B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</w:p>
    <w:p w14:paraId="22963DAA" w14:textId="77777777" w:rsidR="006D36F2" w:rsidRPr="004D000B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 w:rsidRPr="00D335E1">
        <w:rPr>
          <w:rFonts w:ascii="Arial" w:hAnsi="Arial" w:cs="Arial"/>
          <w:color w:val="000000" w:themeColor="text1"/>
          <w:sz w:val="20"/>
        </w:rPr>
        <w:t xml:space="preserve">Con el objeto de reducir costos y, principalmente, optimizar los beneficios de los servicios de auditoría externa a lo largo de la ejecución del </w:t>
      </w:r>
      <w:r w:rsidR="00613B1B">
        <w:rPr>
          <w:rFonts w:ascii="Arial" w:hAnsi="Arial" w:cs="Arial"/>
          <w:color w:val="000000" w:themeColor="text1"/>
          <w:sz w:val="20"/>
        </w:rPr>
        <w:t>Programa,</w:t>
      </w:r>
      <w:r w:rsidRPr="00D335E1">
        <w:rPr>
          <w:rFonts w:ascii="Arial" w:hAnsi="Arial" w:cs="Arial"/>
          <w:color w:val="000000" w:themeColor="text1"/>
          <w:sz w:val="20"/>
        </w:rPr>
        <w:t xml:space="preserve"> una FAI será contratada por un período equivalente a la vida de</w:t>
      </w:r>
      <w:r w:rsidR="00613B1B">
        <w:rPr>
          <w:rFonts w:ascii="Arial" w:hAnsi="Arial" w:cs="Arial"/>
          <w:color w:val="000000" w:themeColor="text1"/>
          <w:sz w:val="20"/>
        </w:rPr>
        <w:t>l mismo</w:t>
      </w:r>
      <w:r w:rsidRPr="00D335E1">
        <w:rPr>
          <w:rFonts w:ascii="Arial" w:hAnsi="Arial" w:cs="Arial"/>
          <w:color w:val="000000" w:themeColor="text1"/>
          <w:sz w:val="20"/>
        </w:rPr>
        <w:t>.</w:t>
      </w:r>
      <w:r>
        <w:rPr>
          <w:lang w:val="es-ES_tradnl"/>
        </w:rPr>
        <w:t xml:space="preserve"> </w:t>
      </w:r>
      <w:r w:rsidRPr="004D000B">
        <w:rPr>
          <w:rFonts w:ascii="Arial" w:hAnsi="Arial" w:cs="Arial"/>
          <w:color w:val="000000" w:themeColor="text1"/>
          <w:sz w:val="20"/>
        </w:rPr>
        <w:t xml:space="preserve">Los costos de la auditoría formarán parte del costo del </w:t>
      </w:r>
      <w:r w:rsidR="00613B1B">
        <w:rPr>
          <w:rFonts w:ascii="Arial" w:hAnsi="Arial" w:cs="Arial"/>
          <w:color w:val="000000" w:themeColor="text1"/>
          <w:sz w:val="20"/>
        </w:rPr>
        <w:t>programa</w:t>
      </w:r>
      <w:r w:rsidRPr="004D000B">
        <w:rPr>
          <w:rFonts w:ascii="Arial" w:hAnsi="Arial" w:cs="Arial"/>
          <w:color w:val="000000" w:themeColor="text1"/>
          <w:sz w:val="20"/>
        </w:rPr>
        <w:t xml:space="preserve"> y serán financiados con los recursos del préstamo y de contrapartida local.</w:t>
      </w:r>
    </w:p>
    <w:p w14:paraId="78C861D8" w14:textId="77777777" w:rsidR="006D36F2" w:rsidRPr="004D000B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</w:p>
    <w:p w14:paraId="3A5E996D" w14:textId="240A7E0F" w:rsidR="006D36F2" w:rsidRDefault="00BA4660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="006D36F2" w:rsidRPr="00D335E1">
        <w:rPr>
          <w:rFonts w:ascii="Arial" w:hAnsi="Arial" w:cs="Arial"/>
          <w:color w:val="000000" w:themeColor="text1"/>
          <w:sz w:val="20"/>
        </w:rPr>
        <w:t xml:space="preserve"> es responsable de efectuar el seguimiento a la implementación de las recomendaciones emitidas por la firma auditora, así como, como de las recomendaciones emitidas a partir de las visitas de supervisión financiera realizadas por el BID.  </w:t>
      </w:r>
    </w:p>
    <w:p w14:paraId="5A30AB1C" w14:textId="77777777" w:rsidR="006D36F2" w:rsidRPr="005B185C" w:rsidRDefault="006F63DE" w:rsidP="006D36F2">
      <w:pPr>
        <w:pStyle w:val="Title"/>
        <w:ind w:left="567"/>
        <w:outlineLvl w:val="2"/>
        <w:rPr>
          <w:b/>
          <w:sz w:val="22"/>
          <w:szCs w:val="22"/>
        </w:rPr>
      </w:pPr>
      <w:bookmarkStart w:id="149" w:name="_Toc10475034"/>
      <w:bookmarkStart w:id="150" w:name="_Toc15991702"/>
      <w:bookmarkStart w:id="151" w:name="_Toc16284619"/>
      <w:bookmarkEnd w:id="148"/>
      <w:r>
        <w:rPr>
          <w:b/>
          <w:sz w:val="22"/>
          <w:szCs w:val="22"/>
        </w:rPr>
        <w:t>3</w:t>
      </w:r>
      <w:r w:rsidR="006D36F2">
        <w:rPr>
          <w:b/>
          <w:sz w:val="22"/>
          <w:szCs w:val="22"/>
        </w:rPr>
        <w:t>.7.2 Registros y Archivos</w:t>
      </w:r>
      <w:bookmarkEnd w:id="149"/>
      <w:bookmarkEnd w:id="150"/>
      <w:bookmarkEnd w:id="151"/>
    </w:p>
    <w:p w14:paraId="18213A13" w14:textId="6B954461" w:rsidR="006D36F2" w:rsidRPr="004D000B" w:rsidRDefault="00613B1B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bookmarkStart w:id="152" w:name="_Hlk15991505"/>
      <w:r>
        <w:rPr>
          <w:rFonts w:ascii="Arial" w:hAnsi="Arial" w:cs="Arial"/>
          <w:color w:val="000000" w:themeColor="text1"/>
          <w:sz w:val="20"/>
        </w:rPr>
        <w:t xml:space="preserve">El </w:t>
      </w:r>
      <w:r w:rsidR="006F63DE">
        <w:rPr>
          <w:rFonts w:ascii="Arial" w:hAnsi="Arial" w:cs="Arial"/>
          <w:color w:val="000000" w:themeColor="text1"/>
          <w:sz w:val="20"/>
        </w:rPr>
        <w:t>PJ</w:t>
      </w:r>
      <w:r>
        <w:rPr>
          <w:rFonts w:ascii="Arial" w:hAnsi="Arial" w:cs="Arial"/>
          <w:color w:val="000000" w:themeColor="text1"/>
          <w:sz w:val="20"/>
        </w:rPr>
        <w:t xml:space="preserve"> a través </w:t>
      </w:r>
      <w:r w:rsidR="00BA4660">
        <w:rPr>
          <w:rFonts w:ascii="Arial" w:hAnsi="Arial" w:cs="Arial"/>
          <w:color w:val="000000" w:themeColor="text1"/>
          <w:sz w:val="20"/>
        </w:rPr>
        <w:t>del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="006D36F2" w:rsidRPr="004D000B">
        <w:rPr>
          <w:rFonts w:ascii="Arial" w:hAnsi="Arial" w:cs="Arial"/>
          <w:color w:val="000000" w:themeColor="text1"/>
          <w:sz w:val="20"/>
        </w:rPr>
        <w:t xml:space="preserve">, tiene la responsabilidad </w:t>
      </w:r>
      <w:r w:rsidR="006D36F2" w:rsidRPr="00503D7B">
        <w:rPr>
          <w:rFonts w:ascii="Arial" w:hAnsi="Arial" w:cs="Arial"/>
          <w:color w:val="000000" w:themeColor="text1"/>
          <w:sz w:val="20"/>
        </w:rPr>
        <w:t>administrar, clasificar, archivar y almacenar toda la documentación que se genere, producto de la ejecución del Pro</w:t>
      </w:r>
      <w:r>
        <w:rPr>
          <w:rFonts w:ascii="Arial" w:hAnsi="Arial" w:cs="Arial"/>
          <w:color w:val="000000" w:themeColor="text1"/>
          <w:sz w:val="20"/>
        </w:rPr>
        <w:t>grama</w:t>
      </w:r>
      <w:r w:rsidR="006D36F2" w:rsidRPr="00503D7B">
        <w:rPr>
          <w:rFonts w:ascii="Arial" w:hAnsi="Arial" w:cs="Arial"/>
          <w:color w:val="000000" w:themeColor="text1"/>
          <w:sz w:val="20"/>
        </w:rPr>
        <w:t xml:space="preserve">. La documentación será archivada de acuerdo con las normas internas del </w:t>
      </w:r>
      <w:r w:rsidR="006F63DE">
        <w:rPr>
          <w:rFonts w:ascii="Arial" w:hAnsi="Arial" w:cs="Arial"/>
          <w:color w:val="000000" w:themeColor="text1"/>
          <w:sz w:val="20"/>
        </w:rPr>
        <w:t>PJ</w:t>
      </w:r>
      <w:r w:rsidR="006D36F2" w:rsidRPr="00503D7B">
        <w:rPr>
          <w:rFonts w:ascii="Arial" w:hAnsi="Arial" w:cs="Arial"/>
          <w:color w:val="000000" w:themeColor="text1"/>
          <w:sz w:val="20"/>
        </w:rPr>
        <w:t xml:space="preserve"> para estos casos, contando con medidas que garanticen la conservación del acervo documentario.</w:t>
      </w:r>
    </w:p>
    <w:p w14:paraId="4DBDA9C4" w14:textId="77777777" w:rsidR="006D36F2" w:rsidRPr="004D000B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</w:p>
    <w:p w14:paraId="0026AD42" w14:textId="6E2094BB" w:rsidR="006D36F2" w:rsidRPr="004D000B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 w:rsidRPr="004D000B">
        <w:rPr>
          <w:rFonts w:ascii="Arial" w:hAnsi="Arial" w:cs="Arial"/>
          <w:color w:val="000000" w:themeColor="text1"/>
          <w:sz w:val="20"/>
        </w:rPr>
        <w:t xml:space="preserve">La </w:t>
      </w:r>
      <w:r w:rsidR="005668FA">
        <w:rPr>
          <w:rFonts w:ascii="Arial" w:hAnsi="Arial" w:cs="Arial"/>
          <w:color w:val="000000" w:themeColor="text1"/>
          <w:sz w:val="20"/>
        </w:rPr>
        <w:t>Coordinación</w:t>
      </w:r>
      <w:r w:rsidR="00613B1B">
        <w:rPr>
          <w:rFonts w:ascii="Arial" w:hAnsi="Arial" w:cs="Arial"/>
          <w:color w:val="000000" w:themeColor="text1"/>
          <w:sz w:val="20"/>
        </w:rPr>
        <w:t xml:space="preserve"> </w:t>
      </w:r>
      <w:r w:rsidR="00BA4660">
        <w:rPr>
          <w:rFonts w:ascii="Arial" w:hAnsi="Arial" w:cs="Arial"/>
          <w:color w:val="000000" w:themeColor="text1"/>
          <w:sz w:val="20"/>
        </w:rPr>
        <w:t>del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="00613B1B">
        <w:rPr>
          <w:rFonts w:ascii="Arial" w:hAnsi="Arial" w:cs="Arial"/>
          <w:color w:val="000000" w:themeColor="text1"/>
          <w:sz w:val="20"/>
        </w:rPr>
        <w:t>,</w:t>
      </w:r>
      <w:r w:rsidRPr="004D000B">
        <w:rPr>
          <w:rFonts w:ascii="Arial" w:hAnsi="Arial" w:cs="Arial"/>
          <w:color w:val="000000" w:themeColor="text1"/>
          <w:sz w:val="20"/>
        </w:rPr>
        <w:t xml:space="preserve"> deberá poner esos documentos originales a disposición de los auditores independientes para la realización de las auditorías externas, y del personal y los consultores del BID para que lleven a cabo la supervisión y el monitoreo de la operación. El BID requiere que </w:t>
      </w:r>
      <w:r>
        <w:rPr>
          <w:rFonts w:ascii="Arial" w:hAnsi="Arial" w:cs="Arial"/>
          <w:color w:val="000000" w:themeColor="text1"/>
          <w:sz w:val="20"/>
        </w:rPr>
        <w:t xml:space="preserve">el </w:t>
      </w:r>
      <w:r w:rsidR="00613B1B">
        <w:rPr>
          <w:rFonts w:ascii="Arial" w:hAnsi="Arial" w:cs="Arial"/>
          <w:color w:val="000000" w:themeColor="text1"/>
          <w:sz w:val="20"/>
        </w:rPr>
        <w:t>P</w:t>
      </w:r>
      <w:r w:rsidR="005668FA">
        <w:rPr>
          <w:rFonts w:ascii="Arial" w:hAnsi="Arial" w:cs="Arial"/>
          <w:color w:val="000000" w:themeColor="text1"/>
          <w:sz w:val="20"/>
        </w:rPr>
        <w:t>J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4D000B">
        <w:rPr>
          <w:rFonts w:ascii="Arial" w:hAnsi="Arial" w:cs="Arial"/>
          <w:color w:val="000000" w:themeColor="text1"/>
          <w:sz w:val="20"/>
        </w:rPr>
        <w:t>conserve todos los documentos y registros pertinentes durante un plazo mínimo de tres años a partir de la fecha de último desembolso, de conformidad con lo establecido en las políticas del BID y las disposiciones del Contrato de Préstamo.</w:t>
      </w:r>
    </w:p>
    <w:p w14:paraId="66D1636A" w14:textId="77777777" w:rsidR="006D36F2" w:rsidRPr="004D000B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</w:p>
    <w:p w14:paraId="09DFBA52" w14:textId="2E96B077" w:rsidR="006D36F2" w:rsidRPr="004D000B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 w:rsidRPr="004D000B">
        <w:rPr>
          <w:rFonts w:ascii="Arial" w:hAnsi="Arial" w:cs="Arial"/>
          <w:color w:val="000000" w:themeColor="text1"/>
          <w:sz w:val="20"/>
        </w:rPr>
        <w:t xml:space="preserve">La adecuada organización del archivo contable </w:t>
      </w:r>
      <w:r w:rsidR="00BA4660">
        <w:rPr>
          <w:rFonts w:ascii="Arial" w:hAnsi="Arial" w:cs="Arial"/>
          <w:color w:val="000000" w:themeColor="text1"/>
          <w:sz w:val="20"/>
        </w:rPr>
        <w:t>del 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4D000B">
        <w:rPr>
          <w:rFonts w:ascii="Arial" w:hAnsi="Arial" w:cs="Arial"/>
          <w:color w:val="000000" w:themeColor="text1"/>
          <w:sz w:val="20"/>
        </w:rPr>
        <w:t xml:space="preserve">permitirá conocer en forma oportuna el estado de situación de los comprobantes de pago generados con cargo </w:t>
      </w:r>
      <w:r w:rsidR="00613B1B">
        <w:rPr>
          <w:rFonts w:ascii="Arial" w:hAnsi="Arial" w:cs="Arial"/>
          <w:color w:val="000000" w:themeColor="text1"/>
          <w:sz w:val="20"/>
        </w:rPr>
        <w:t>al programa</w:t>
      </w:r>
      <w:r w:rsidRPr="004D000B">
        <w:rPr>
          <w:rFonts w:ascii="Arial" w:hAnsi="Arial" w:cs="Arial"/>
          <w:color w:val="000000" w:themeColor="text1"/>
          <w:sz w:val="20"/>
        </w:rPr>
        <w:t xml:space="preserve">, estando a disposición de las misiones del BID, de los auditores externos y de cualquier otra entidad de control que visite </w:t>
      </w:r>
      <w:r>
        <w:rPr>
          <w:rFonts w:ascii="Arial" w:hAnsi="Arial" w:cs="Arial"/>
          <w:color w:val="000000" w:themeColor="text1"/>
          <w:sz w:val="20"/>
        </w:rPr>
        <w:t xml:space="preserve">a la </w:t>
      </w:r>
      <w:r w:rsidR="00BA4660">
        <w:rPr>
          <w:rFonts w:ascii="Arial" w:hAnsi="Arial" w:cs="Arial"/>
          <w:color w:val="000000" w:themeColor="text1"/>
          <w:sz w:val="20"/>
        </w:rPr>
        <w:t>EDG</w:t>
      </w:r>
      <w:r w:rsidR="002F51C3">
        <w:rPr>
          <w:rFonts w:ascii="Arial" w:hAnsi="Arial" w:cs="Arial"/>
          <w:color w:val="000000" w:themeColor="text1"/>
          <w:sz w:val="20"/>
        </w:rPr>
        <w:t>002</w:t>
      </w:r>
      <w:r w:rsidRPr="004D000B">
        <w:rPr>
          <w:rFonts w:ascii="Arial" w:hAnsi="Arial" w:cs="Arial"/>
          <w:color w:val="000000" w:themeColor="text1"/>
          <w:sz w:val="20"/>
        </w:rPr>
        <w:t xml:space="preserve"> para las revisiones ex post. </w:t>
      </w:r>
    </w:p>
    <w:p w14:paraId="66FB915C" w14:textId="77777777" w:rsidR="006D36F2" w:rsidRDefault="006D36F2" w:rsidP="006D36F2">
      <w:pPr>
        <w:pStyle w:val="Title"/>
        <w:ind w:left="567"/>
        <w:outlineLvl w:val="2"/>
        <w:rPr>
          <w:b/>
          <w:sz w:val="22"/>
          <w:szCs w:val="22"/>
        </w:rPr>
      </w:pPr>
      <w:bookmarkStart w:id="153" w:name="_Toc15991703"/>
      <w:bookmarkStart w:id="154" w:name="_Toc16284620"/>
      <w:r>
        <w:rPr>
          <w:b/>
          <w:sz w:val="22"/>
          <w:szCs w:val="22"/>
        </w:rPr>
        <w:t>3.7.3 Control Interno</w:t>
      </w:r>
      <w:bookmarkEnd w:id="153"/>
      <w:bookmarkEnd w:id="154"/>
    </w:p>
    <w:p w14:paraId="5C0471C1" w14:textId="77777777" w:rsidR="006D36F2" w:rsidRPr="00503D7B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 w:rsidRPr="00503D7B">
        <w:rPr>
          <w:rFonts w:ascii="Arial" w:hAnsi="Arial" w:cs="Arial"/>
          <w:color w:val="000000" w:themeColor="text1"/>
          <w:sz w:val="20"/>
        </w:rPr>
        <w:t xml:space="preserve">El ambiente de control, las actividades de control, la comunicación e información y el monitoreo de las actividades del </w:t>
      </w:r>
      <w:r w:rsidR="00613B1B">
        <w:rPr>
          <w:rFonts w:ascii="Arial" w:hAnsi="Arial" w:cs="Arial"/>
          <w:color w:val="000000" w:themeColor="text1"/>
          <w:sz w:val="20"/>
        </w:rPr>
        <w:t>programa</w:t>
      </w:r>
      <w:r w:rsidRPr="00503D7B">
        <w:rPr>
          <w:rFonts w:ascii="Arial" w:hAnsi="Arial" w:cs="Arial"/>
          <w:color w:val="000000" w:themeColor="text1"/>
          <w:sz w:val="20"/>
        </w:rPr>
        <w:t xml:space="preserve"> están regidos por lo establecido en el Contrato de Préstamo</w:t>
      </w:r>
      <w:r>
        <w:rPr>
          <w:rFonts w:ascii="Arial" w:hAnsi="Arial" w:cs="Arial"/>
          <w:color w:val="000000" w:themeColor="text1"/>
          <w:sz w:val="20"/>
        </w:rPr>
        <w:t>.</w:t>
      </w:r>
      <w:r w:rsidRPr="00503D7B">
        <w:rPr>
          <w:rFonts w:ascii="Arial" w:hAnsi="Arial" w:cs="Arial"/>
          <w:color w:val="000000" w:themeColor="text1"/>
          <w:sz w:val="20"/>
        </w:rPr>
        <w:t xml:space="preserve"> </w:t>
      </w:r>
    </w:p>
    <w:p w14:paraId="318CD234" w14:textId="77777777" w:rsidR="006D36F2" w:rsidRDefault="006D36F2" w:rsidP="006D36F2">
      <w:pPr>
        <w:pStyle w:val="Title"/>
        <w:ind w:left="567"/>
        <w:outlineLvl w:val="2"/>
        <w:rPr>
          <w:b/>
          <w:sz w:val="22"/>
          <w:szCs w:val="22"/>
        </w:rPr>
      </w:pPr>
      <w:bookmarkStart w:id="155" w:name="_Toc15991704"/>
      <w:bookmarkStart w:id="156" w:name="_Toc16284621"/>
      <w:r>
        <w:rPr>
          <w:b/>
          <w:sz w:val="22"/>
          <w:szCs w:val="22"/>
        </w:rPr>
        <w:t>3.7.4 Cierre Financiero</w:t>
      </w:r>
      <w:bookmarkEnd w:id="155"/>
      <w:bookmarkEnd w:id="156"/>
    </w:p>
    <w:p w14:paraId="0268ED9C" w14:textId="77777777" w:rsidR="006D36F2" w:rsidRPr="00503D7B" w:rsidRDefault="006D36F2" w:rsidP="006D36F2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</w:rPr>
      </w:pPr>
      <w:r w:rsidRPr="00503D7B">
        <w:rPr>
          <w:rFonts w:ascii="Arial" w:hAnsi="Arial" w:cs="Arial"/>
          <w:color w:val="000000" w:themeColor="text1"/>
          <w:sz w:val="20"/>
        </w:rPr>
        <w:t xml:space="preserve">El cierre financiero de la operación se efectuará en el marco de lo establecido en el Contrato de Préstamo. </w:t>
      </w:r>
    </w:p>
    <w:bookmarkEnd w:id="152"/>
    <w:p w14:paraId="0E702F8C" w14:textId="77777777" w:rsidR="006D36F2" w:rsidRPr="00503D7B" w:rsidRDefault="006D36F2" w:rsidP="006D36F2">
      <w:pPr>
        <w:pStyle w:val="Title"/>
        <w:ind w:left="567"/>
        <w:outlineLvl w:val="2"/>
        <w:rPr>
          <w:b/>
          <w:sz w:val="22"/>
          <w:szCs w:val="22"/>
          <w:lang w:val="es-ES_tradnl"/>
        </w:rPr>
      </w:pPr>
    </w:p>
    <w:p w14:paraId="00DCD858" w14:textId="77777777" w:rsidR="000E746A" w:rsidRPr="006D36F2" w:rsidRDefault="000E746A" w:rsidP="005C6A6D">
      <w:pPr>
        <w:rPr>
          <w:rFonts w:ascii="Arial" w:hAnsi="Arial" w:cs="Arial"/>
          <w:b/>
          <w:bCs/>
          <w:color w:val="000000" w:themeColor="text1"/>
          <w:sz w:val="40"/>
          <w:szCs w:val="40"/>
          <w:lang w:val="es-ES_tradnl"/>
        </w:rPr>
      </w:pPr>
    </w:p>
    <w:p w14:paraId="33646137" w14:textId="77777777" w:rsidR="000E746A" w:rsidRDefault="000E746A" w:rsidP="005C6A6D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2CF24C21" w14:textId="77777777" w:rsidR="000E746A" w:rsidRDefault="000E746A" w:rsidP="005C6A6D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665F6876" w14:textId="77777777" w:rsidR="00F27D6B" w:rsidRDefault="00F27D6B" w:rsidP="005C6A6D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75377096" w14:textId="77777777" w:rsidR="00F27D6B" w:rsidRDefault="00F27D6B" w:rsidP="005C6A6D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6AE71A6F" w14:textId="77777777" w:rsidR="00895A64" w:rsidRDefault="00895A64" w:rsidP="004F5EB5">
      <w:pPr>
        <w:pStyle w:val="Default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EDFC8D" w14:textId="77777777" w:rsidR="00613B1B" w:rsidRDefault="00613B1B" w:rsidP="004F5EB5">
      <w:pPr>
        <w:pStyle w:val="Default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FE7A2C" w14:textId="77777777" w:rsidR="00613B1B" w:rsidRDefault="00613B1B" w:rsidP="004F5EB5">
      <w:pPr>
        <w:pStyle w:val="Default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A1D8BB" w14:textId="77777777" w:rsidR="00613B1B" w:rsidRDefault="00613B1B" w:rsidP="004F5EB5">
      <w:pPr>
        <w:pStyle w:val="Default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04433F" w14:textId="77777777" w:rsidR="00613B1B" w:rsidRDefault="00613B1B" w:rsidP="004F5EB5">
      <w:pPr>
        <w:pStyle w:val="Default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313114" w14:textId="77777777" w:rsidR="00613B1B" w:rsidRDefault="00613B1B" w:rsidP="00613B1B">
      <w:pPr>
        <w:pStyle w:val="Heading1"/>
        <w:numPr>
          <w:ilvl w:val="0"/>
          <w:numId w:val="0"/>
        </w:numPr>
        <w:spacing w:before="0"/>
        <w:rPr>
          <w:rFonts w:ascii="Arial" w:hAnsi="Arial" w:cs="Arial"/>
          <w:sz w:val="24"/>
          <w:szCs w:val="22"/>
        </w:rPr>
      </w:pPr>
    </w:p>
    <w:p w14:paraId="3734C7B6" w14:textId="77777777" w:rsidR="00613B1B" w:rsidRDefault="00613B1B" w:rsidP="00613B1B">
      <w:pPr>
        <w:pStyle w:val="Heading1"/>
        <w:numPr>
          <w:ilvl w:val="0"/>
          <w:numId w:val="0"/>
        </w:numPr>
        <w:spacing w:before="0"/>
        <w:rPr>
          <w:rFonts w:ascii="Arial" w:hAnsi="Arial" w:cs="Arial"/>
          <w:sz w:val="24"/>
          <w:szCs w:val="22"/>
        </w:rPr>
      </w:pPr>
      <w:bookmarkStart w:id="157" w:name="_Toc16284622"/>
      <w:r>
        <w:rPr>
          <w:rFonts w:ascii="Arial" w:hAnsi="Arial" w:cs="Arial"/>
          <w:sz w:val="24"/>
          <w:szCs w:val="22"/>
        </w:rPr>
        <w:t>ANEXOS</w:t>
      </w:r>
      <w:bookmarkEnd w:id="157"/>
    </w:p>
    <w:p w14:paraId="7EDE6170" w14:textId="77777777" w:rsidR="00613B1B" w:rsidRDefault="00613B1B" w:rsidP="00613B1B"/>
    <w:p w14:paraId="344CFB1A" w14:textId="3BBA7C87" w:rsidR="00613B1B" w:rsidRPr="00BB2620" w:rsidRDefault="00BB2620" w:rsidP="00AA08AA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/>
      </w:r>
      <w:r w:rsidR="00F97FF3">
        <w:rPr>
          <w:rFonts w:ascii="Arial" w:hAnsi="Arial" w:cs="Arial"/>
          <w:b/>
          <w:bCs/>
          <w:sz w:val="20"/>
          <w:szCs w:val="20"/>
        </w:rPr>
        <w:instrText>HYPERLINK "C:\\Users\\nathalieh\\AppData\\Local\\Microsoft\\Windows\\INetCache\\Content.Outlook\\LAVOOO5J\\Funciones y perfil mínimo requerido para el personal de las UEPs_PJ.docx"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13B1B" w:rsidRPr="00BB2620">
        <w:rPr>
          <w:rStyle w:val="Hyperlink"/>
          <w:rFonts w:ascii="Arial" w:hAnsi="Arial" w:cs="Arial"/>
          <w:b/>
          <w:bCs/>
          <w:sz w:val="20"/>
          <w:szCs w:val="20"/>
        </w:rPr>
        <w:t>ANEXO 1</w:t>
      </w:r>
      <w:r w:rsidR="00613B1B" w:rsidRPr="00BB2620">
        <w:rPr>
          <w:rStyle w:val="Hyperlink"/>
          <w:rFonts w:ascii="Arial" w:hAnsi="Arial" w:cs="Arial"/>
          <w:sz w:val="20"/>
          <w:szCs w:val="20"/>
        </w:rPr>
        <w:t xml:space="preserve"> – Funciones y Perfil mínimo del personal </w:t>
      </w:r>
      <w:r w:rsidR="00BA4660">
        <w:rPr>
          <w:rStyle w:val="Hyperlink"/>
          <w:rFonts w:ascii="Arial" w:hAnsi="Arial" w:cs="Arial"/>
          <w:sz w:val="20"/>
          <w:szCs w:val="20"/>
        </w:rPr>
        <w:t>EDG</w:t>
      </w:r>
      <w:r w:rsidR="005668FA" w:rsidRPr="00BB2620">
        <w:rPr>
          <w:rStyle w:val="Hyperlink"/>
          <w:rFonts w:ascii="Arial" w:hAnsi="Arial" w:cs="Arial"/>
          <w:sz w:val="20"/>
          <w:szCs w:val="20"/>
        </w:rPr>
        <w:t xml:space="preserve"> del Poder Judicial</w:t>
      </w:r>
    </w:p>
    <w:p w14:paraId="0849E034" w14:textId="77777777" w:rsidR="00613B1B" w:rsidRPr="00613B1B" w:rsidRDefault="00BB2620" w:rsidP="00613B1B">
      <w:r>
        <w:rPr>
          <w:rFonts w:ascii="Arial" w:eastAsia="Calibri" w:hAnsi="Arial" w:cs="Arial"/>
          <w:b/>
          <w:bCs/>
          <w:sz w:val="20"/>
          <w:szCs w:val="20"/>
        </w:rPr>
        <w:fldChar w:fldCharType="end"/>
      </w:r>
    </w:p>
    <w:p w14:paraId="152AD082" w14:textId="77777777" w:rsidR="00613B1B" w:rsidRPr="003A1F08" w:rsidRDefault="00613B1B" w:rsidP="004F5EB5">
      <w:pPr>
        <w:pStyle w:val="Default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613B1B" w:rsidRPr="003A1F08" w:rsidSect="002B5E46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E626" w14:textId="77777777" w:rsidR="00BD7651" w:rsidRDefault="00BD7651" w:rsidP="00406E51">
      <w:pPr>
        <w:spacing w:after="0" w:line="240" w:lineRule="auto"/>
      </w:pPr>
      <w:r>
        <w:separator/>
      </w:r>
    </w:p>
  </w:endnote>
  <w:endnote w:type="continuationSeparator" w:id="0">
    <w:p w14:paraId="4DAADCEC" w14:textId="77777777" w:rsidR="00BD7651" w:rsidRDefault="00BD7651" w:rsidP="00406E51">
      <w:pPr>
        <w:spacing w:after="0" w:line="240" w:lineRule="auto"/>
      </w:pPr>
      <w:r>
        <w:continuationSeparator/>
      </w:r>
    </w:p>
  </w:endnote>
  <w:endnote w:type="continuationNotice" w:id="1">
    <w:p w14:paraId="66B717D5" w14:textId="77777777" w:rsidR="00BD7651" w:rsidRDefault="00BD7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559751"/>
      <w:docPartObj>
        <w:docPartGallery w:val="Page Numbers (Bottom of Page)"/>
        <w:docPartUnique/>
      </w:docPartObj>
    </w:sdtPr>
    <w:sdtEndPr/>
    <w:sdtContent>
      <w:p w14:paraId="247111BE" w14:textId="77777777" w:rsidR="009E3E0B" w:rsidRDefault="009E3E0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0C26650" w14:textId="77777777" w:rsidR="009E3E0B" w:rsidRDefault="009E3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51BF4" w14:textId="77777777" w:rsidR="00BD7651" w:rsidRDefault="00BD7651" w:rsidP="00406E51">
      <w:pPr>
        <w:spacing w:after="0" w:line="240" w:lineRule="auto"/>
      </w:pPr>
      <w:r>
        <w:separator/>
      </w:r>
    </w:p>
  </w:footnote>
  <w:footnote w:type="continuationSeparator" w:id="0">
    <w:p w14:paraId="554677F1" w14:textId="77777777" w:rsidR="00BD7651" w:rsidRDefault="00BD7651" w:rsidP="00406E51">
      <w:pPr>
        <w:spacing w:after="0" w:line="240" w:lineRule="auto"/>
      </w:pPr>
      <w:r>
        <w:continuationSeparator/>
      </w:r>
    </w:p>
  </w:footnote>
  <w:footnote w:type="continuationNotice" w:id="1">
    <w:p w14:paraId="048CEEB1" w14:textId="77777777" w:rsidR="00BD7651" w:rsidRDefault="00BD7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AD06" w14:textId="76A0CA14" w:rsidR="009E3E0B" w:rsidRPr="00894FDF" w:rsidRDefault="00BD7651" w:rsidP="00894FDF">
    <w:pPr>
      <w:pBdr>
        <w:bottom w:val="single" w:sz="4" w:space="1" w:color="auto"/>
      </w:pBdr>
      <w:autoSpaceDE w:val="0"/>
      <w:autoSpaceDN w:val="0"/>
      <w:adjustRightInd w:val="0"/>
      <w:rPr>
        <w:rFonts w:ascii="Calibri" w:hAnsi="Calibri" w:cs="Calibri"/>
        <w:bCs/>
        <w:i/>
        <w:sz w:val="18"/>
        <w:szCs w:val="48"/>
        <w:lang w:val="es-PY"/>
      </w:rPr>
    </w:pPr>
    <w:r>
      <w:rPr>
        <w:rFonts w:ascii="Times New Roman" w:hAnsi="Times New Roman" w:cs="Times New Roman"/>
        <w:noProof/>
        <w:sz w:val="24"/>
        <w:szCs w:val="24"/>
        <w:lang w:val="es-ES" w:eastAsia="zh-TW"/>
      </w:rPr>
      <w:pict w14:anchorId="485E8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9E3E0B">
      <w:rPr>
        <w:rFonts w:ascii="Calibri" w:hAnsi="Calibri" w:cs="Calibri"/>
        <w:bCs/>
        <w:i/>
        <w:sz w:val="18"/>
        <w:szCs w:val="48"/>
        <w:lang w:val="es-PY"/>
      </w:rPr>
      <w:t>Programa de Mejoramiento de los Servicios de Justicia en Materia Penal (PE-l 1230)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6F1"/>
    <w:multiLevelType w:val="hybridMultilevel"/>
    <w:tmpl w:val="118EBBC4"/>
    <w:lvl w:ilvl="0" w:tplc="AA806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FA2"/>
    <w:multiLevelType w:val="hybridMultilevel"/>
    <w:tmpl w:val="76227C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2E8"/>
    <w:multiLevelType w:val="multilevel"/>
    <w:tmpl w:val="F1CCE28E"/>
    <w:lvl w:ilvl="0">
      <w:start w:val="1"/>
      <w:numFmt w:val="decimal"/>
      <w:pStyle w:val="ListNumber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36"/>
        </w:tabs>
        <w:ind w:left="936" w:hanging="567"/>
      </w:pPr>
      <w:rPr>
        <w:rFonts w:ascii="Times New Roman" w:hAnsi="Times New Roman" w:hint="default"/>
        <w:sz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701"/>
        </w:tabs>
        <w:ind w:left="1701" w:hanging="765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665"/>
        </w:tabs>
        <w:ind w:left="2665" w:hanging="9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ListNumber5"/>
      <w:lvlText w:val="%5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503"/>
        </w:tabs>
        <w:ind w:left="1503" w:hanging="567"/>
      </w:pPr>
      <w:rPr>
        <w:rFonts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sz w:val="24"/>
      </w:rPr>
    </w:lvl>
    <w:lvl w:ilvl="7">
      <w:start w:val="1"/>
      <w:numFmt w:val="lowerRoman"/>
      <w:lvlText w:val="%8)"/>
      <w:lvlJc w:val="left"/>
      <w:pPr>
        <w:tabs>
          <w:tab w:val="num" w:pos="3232"/>
        </w:tabs>
        <w:ind w:left="3232" w:hanging="567"/>
      </w:pPr>
      <w:rPr>
        <w:rFonts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tabs>
          <w:tab w:val="num" w:pos="1503"/>
        </w:tabs>
        <w:ind w:left="1503" w:hanging="567"/>
      </w:pPr>
      <w:rPr>
        <w:rFonts w:hint="default"/>
      </w:rPr>
    </w:lvl>
  </w:abstractNum>
  <w:abstractNum w:abstractNumId="3" w15:restartNumberingAfterBreak="0">
    <w:nsid w:val="06B74403"/>
    <w:multiLevelType w:val="hybridMultilevel"/>
    <w:tmpl w:val="F4561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2E13"/>
    <w:multiLevelType w:val="multilevel"/>
    <w:tmpl w:val="A350C1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C14175C"/>
    <w:multiLevelType w:val="hybridMultilevel"/>
    <w:tmpl w:val="D82A5C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67EE4"/>
    <w:multiLevelType w:val="hybridMultilevel"/>
    <w:tmpl w:val="0E0C455C"/>
    <w:lvl w:ilvl="0" w:tplc="F53A3A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DD1484"/>
    <w:multiLevelType w:val="hybridMultilevel"/>
    <w:tmpl w:val="7E18E70E"/>
    <w:lvl w:ilvl="0" w:tplc="C54EE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04EE"/>
    <w:multiLevelType w:val="multilevel"/>
    <w:tmpl w:val="F4C6DB4C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1746"/>
        </w:tabs>
        <w:ind w:left="1746" w:hanging="1296"/>
      </w:pPr>
      <w:rPr>
        <w:lang w:val="es-ES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9" w15:restartNumberingAfterBreak="0">
    <w:nsid w:val="161E44CF"/>
    <w:multiLevelType w:val="hybridMultilevel"/>
    <w:tmpl w:val="DFECE64C"/>
    <w:lvl w:ilvl="0" w:tplc="280A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1FEA7978"/>
    <w:multiLevelType w:val="hybridMultilevel"/>
    <w:tmpl w:val="A7E0C58A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385E70"/>
    <w:multiLevelType w:val="hybridMultilevel"/>
    <w:tmpl w:val="5BB47CA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087D82"/>
    <w:multiLevelType w:val="multilevel"/>
    <w:tmpl w:val="280A001F"/>
    <w:styleLink w:val="Estilo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9E3F82"/>
    <w:multiLevelType w:val="multilevel"/>
    <w:tmpl w:val="24C6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8B380F"/>
    <w:multiLevelType w:val="multilevel"/>
    <w:tmpl w:val="BAEA1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2A205211"/>
    <w:multiLevelType w:val="hybridMultilevel"/>
    <w:tmpl w:val="141863EA"/>
    <w:lvl w:ilvl="0" w:tplc="8A6A709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7" w:hanging="360"/>
      </w:pPr>
    </w:lvl>
    <w:lvl w:ilvl="2" w:tplc="280A001B">
      <w:start w:val="1"/>
      <w:numFmt w:val="lowerRoman"/>
      <w:lvlText w:val="%3."/>
      <w:lvlJc w:val="right"/>
      <w:pPr>
        <w:ind w:left="3077" w:hanging="180"/>
      </w:pPr>
    </w:lvl>
    <w:lvl w:ilvl="3" w:tplc="280A000F" w:tentative="1">
      <w:start w:val="1"/>
      <w:numFmt w:val="decimal"/>
      <w:lvlText w:val="%4."/>
      <w:lvlJc w:val="left"/>
      <w:pPr>
        <w:ind w:left="3797" w:hanging="360"/>
      </w:pPr>
    </w:lvl>
    <w:lvl w:ilvl="4" w:tplc="280A0019" w:tentative="1">
      <w:start w:val="1"/>
      <w:numFmt w:val="lowerLetter"/>
      <w:lvlText w:val="%5."/>
      <w:lvlJc w:val="left"/>
      <w:pPr>
        <w:ind w:left="4517" w:hanging="360"/>
      </w:pPr>
    </w:lvl>
    <w:lvl w:ilvl="5" w:tplc="280A001B" w:tentative="1">
      <w:start w:val="1"/>
      <w:numFmt w:val="lowerRoman"/>
      <w:lvlText w:val="%6."/>
      <w:lvlJc w:val="right"/>
      <w:pPr>
        <w:ind w:left="5237" w:hanging="180"/>
      </w:pPr>
    </w:lvl>
    <w:lvl w:ilvl="6" w:tplc="280A000F" w:tentative="1">
      <w:start w:val="1"/>
      <w:numFmt w:val="decimal"/>
      <w:lvlText w:val="%7."/>
      <w:lvlJc w:val="left"/>
      <w:pPr>
        <w:ind w:left="5957" w:hanging="360"/>
      </w:pPr>
    </w:lvl>
    <w:lvl w:ilvl="7" w:tplc="280A0019" w:tentative="1">
      <w:start w:val="1"/>
      <w:numFmt w:val="lowerLetter"/>
      <w:lvlText w:val="%8."/>
      <w:lvlJc w:val="left"/>
      <w:pPr>
        <w:ind w:left="6677" w:hanging="360"/>
      </w:pPr>
    </w:lvl>
    <w:lvl w:ilvl="8" w:tplc="2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2EB04858"/>
    <w:multiLevelType w:val="hybridMultilevel"/>
    <w:tmpl w:val="5DBC571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7" w15:restartNumberingAfterBreak="0">
    <w:nsid w:val="2FA760F0"/>
    <w:multiLevelType w:val="multilevel"/>
    <w:tmpl w:val="6972C67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3403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upperRoman"/>
      <w:pStyle w:val="Heading9"/>
      <w:lvlText w:val="%9)"/>
      <w:lvlJc w:val="left"/>
      <w:pPr>
        <w:ind w:left="5670" w:firstLine="0"/>
      </w:pPr>
      <w:rPr>
        <w:rFonts w:asciiTheme="minorHAnsi" w:eastAsiaTheme="minorEastAsia" w:hAnsiTheme="minorHAnsi" w:cstheme="minorBidi"/>
      </w:rPr>
    </w:lvl>
  </w:abstractNum>
  <w:abstractNum w:abstractNumId="18" w15:restartNumberingAfterBreak="0">
    <w:nsid w:val="34B66767"/>
    <w:multiLevelType w:val="hybridMultilevel"/>
    <w:tmpl w:val="5DB2D082"/>
    <w:lvl w:ilvl="0" w:tplc="8496DDA6">
      <w:start w:val="1"/>
      <w:numFmt w:val="bullet"/>
      <w:pStyle w:val="Fbu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438CA"/>
    <w:multiLevelType w:val="hybridMultilevel"/>
    <w:tmpl w:val="938283AE"/>
    <w:lvl w:ilvl="0" w:tplc="7FD0B9E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2717A"/>
    <w:multiLevelType w:val="hybridMultilevel"/>
    <w:tmpl w:val="349C922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2938D7"/>
    <w:multiLevelType w:val="hybridMultilevel"/>
    <w:tmpl w:val="5910525A"/>
    <w:lvl w:ilvl="0" w:tplc="945056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7BA7AFD"/>
    <w:multiLevelType w:val="hybridMultilevel"/>
    <w:tmpl w:val="F984EEE4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BC7216"/>
    <w:multiLevelType w:val="hybridMultilevel"/>
    <w:tmpl w:val="5F743D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46207"/>
    <w:multiLevelType w:val="hybridMultilevel"/>
    <w:tmpl w:val="FAECDFC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5E675D"/>
    <w:multiLevelType w:val="hybridMultilevel"/>
    <w:tmpl w:val="76227C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1CE6"/>
    <w:multiLevelType w:val="hybridMultilevel"/>
    <w:tmpl w:val="D128ACE6"/>
    <w:lvl w:ilvl="0" w:tplc="FC10B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3326D"/>
    <w:multiLevelType w:val="hybridMultilevel"/>
    <w:tmpl w:val="C02CF31A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31C6B"/>
    <w:multiLevelType w:val="hybridMultilevel"/>
    <w:tmpl w:val="55224AF4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1D0CDA"/>
    <w:multiLevelType w:val="hybridMultilevel"/>
    <w:tmpl w:val="76227C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F66C7"/>
    <w:multiLevelType w:val="hybridMultilevel"/>
    <w:tmpl w:val="56683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0FB9"/>
    <w:multiLevelType w:val="multilevel"/>
    <w:tmpl w:val="CE088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3655526"/>
    <w:multiLevelType w:val="hybridMultilevel"/>
    <w:tmpl w:val="C02CF31A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8078C0"/>
    <w:multiLevelType w:val="hybridMultilevel"/>
    <w:tmpl w:val="54B06E58"/>
    <w:lvl w:ilvl="0" w:tplc="53101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124DC1"/>
    <w:multiLevelType w:val="hybridMultilevel"/>
    <w:tmpl w:val="5ED8D76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E02685"/>
    <w:multiLevelType w:val="hybridMultilevel"/>
    <w:tmpl w:val="3196C2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A486C"/>
    <w:multiLevelType w:val="hybridMultilevel"/>
    <w:tmpl w:val="474A6350"/>
    <w:styleLink w:val="Estilo21"/>
    <w:lvl w:ilvl="0" w:tplc="280A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D4D"/>
    <w:multiLevelType w:val="hybridMultilevel"/>
    <w:tmpl w:val="0E0C455C"/>
    <w:lvl w:ilvl="0" w:tplc="F53A3A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EC332F"/>
    <w:multiLevelType w:val="hybridMultilevel"/>
    <w:tmpl w:val="9626C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E417E"/>
    <w:multiLevelType w:val="hybridMultilevel"/>
    <w:tmpl w:val="16622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B3193"/>
    <w:multiLevelType w:val="hybridMultilevel"/>
    <w:tmpl w:val="04BCE374"/>
    <w:lvl w:ilvl="0" w:tplc="D0525F00">
      <w:start w:val="1"/>
      <w:numFmt w:val="lowerLetter"/>
      <w:pStyle w:val="Fespecifica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124A9"/>
    <w:multiLevelType w:val="hybridMultilevel"/>
    <w:tmpl w:val="16C62FB2"/>
    <w:lvl w:ilvl="0" w:tplc="BB62217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36"/>
  </w:num>
  <w:num w:numId="5">
    <w:abstractNumId w:val="18"/>
  </w:num>
  <w:num w:numId="6">
    <w:abstractNumId w:val="40"/>
  </w:num>
  <w:num w:numId="7">
    <w:abstractNumId w:val="2"/>
  </w:num>
  <w:num w:numId="8">
    <w:abstractNumId w:val="41"/>
  </w:num>
  <w:num w:numId="9">
    <w:abstractNumId w:val="17"/>
  </w:num>
  <w:num w:numId="10">
    <w:abstractNumId w:val="35"/>
  </w:num>
  <w:num w:numId="11">
    <w:abstractNumId w:val="30"/>
  </w:num>
  <w:num w:numId="12">
    <w:abstractNumId w:val="19"/>
  </w:num>
  <w:num w:numId="13">
    <w:abstractNumId w:val="28"/>
  </w:num>
  <w:num w:numId="14">
    <w:abstractNumId w:val="31"/>
  </w:num>
  <w:num w:numId="15">
    <w:abstractNumId w:val="4"/>
  </w:num>
  <w:num w:numId="16">
    <w:abstractNumId w:val="15"/>
  </w:num>
  <w:num w:numId="17">
    <w:abstractNumId w:val="21"/>
  </w:num>
  <w:num w:numId="18">
    <w:abstractNumId w:val="5"/>
  </w:num>
  <w:num w:numId="19">
    <w:abstractNumId w:val="14"/>
  </w:num>
  <w:num w:numId="20">
    <w:abstractNumId w:val="10"/>
  </w:num>
  <w:num w:numId="21">
    <w:abstractNumId w:val="22"/>
  </w:num>
  <w:num w:numId="22">
    <w:abstractNumId w:val="32"/>
  </w:num>
  <w:num w:numId="23">
    <w:abstractNumId w:val="16"/>
  </w:num>
  <w:num w:numId="24">
    <w:abstractNumId w:val="20"/>
  </w:num>
  <w:num w:numId="25">
    <w:abstractNumId w:val="24"/>
  </w:num>
  <w:num w:numId="26">
    <w:abstractNumId w:val="27"/>
  </w:num>
  <w:num w:numId="27">
    <w:abstractNumId w:val="23"/>
  </w:num>
  <w:num w:numId="28">
    <w:abstractNumId w:val="7"/>
  </w:num>
  <w:num w:numId="29">
    <w:abstractNumId w:val="26"/>
  </w:num>
  <w:num w:numId="30">
    <w:abstractNumId w:val="9"/>
  </w:num>
  <w:num w:numId="31">
    <w:abstractNumId w:val="39"/>
  </w:num>
  <w:num w:numId="32">
    <w:abstractNumId w:val="13"/>
  </w:num>
  <w:num w:numId="33">
    <w:abstractNumId w:val="38"/>
  </w:num>
  <w:num w:numId="34">
    <w:abstractNumId w:val="11"/>
  </w:num>
  <w:num w:numId="35">
    <w:abstractNumId w:val="0"/>
  </w:num>
  <w:num w:numId="36">
    <w:abstractNumId w:val="37"/>
  </w:num>
  <w:num w:numId="37">
    <w:abstractNumId w:val="6"/>
  </w:num>
  <w:num w:numId="38">
    <w:abstractNumId w:val="34"/>
  </w:num>
  <w:num w:numId="39">
    <w:abstractNumId w:val="3"/>
  </w:num>
  <w:num w:numId="40">
    <w:abstractNumId w:val="29"/>
  </w:num>
  <w:num w:numId="41">
    <w:abstractNumId w:val="1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2F"/>
    <w:rsid w:val="0000210F"/>
    <w:rsid w:val="000058D1"/>
    <w:rsid w:val="000063E1"/>
    <w:rsid w:val="000116D7"/>
    <w:rsid w:val="000119A5"/>
    <w:rsid w:val="00014C08"/>
    <w:rsid w:val="000152F4"/>
    <w:rsid w:val="00015307"/>
    <w:rsid w:val="00015419"/>
    <w:rsid w:val="00015589"/>
    <w:rsid w:val="00015A9B"/>
    <w:rsid w:val="000163EF"/>
    <w:rsid w:val="00016755"/>
    <w:rsid w:val="00020F75"/>
    <w:rsid w:val="00024988"/>
    <w:rsid w:val="00026991"/>
    <w:rsid w:val="00026ABA"/>
    <w:rsid w:val="00026E3C"/>
    <w:rsid w:val="00026F49"/>
    <w:rsid w:val="00027351"/>
    <w:rsid w:val="0002758F"/>
    <w:rsid w:val="000302EA"/>
    <w:rsid w:val="00031798"/>
    <w:rsid w:val="00031EC4"/>
    <w:rsid w:val="00032036"/>
    <w:rsid w:val="00032ACD"/>
    <w:rsid w:val="000332E4"/>
    <w:rsid w:val="00033DFD"/>
    <w:rsid w:val="00034849"/>
    <w:rsid w:val="000352A5"/>
    <w:rsid w:val="00035B1B"/>
    <w:rsid w:val="00040943"/>
    <w:rsid w:val="00041369"/>
    <w:rsid w:val="00043803"/>
    <w:rsid w:val="000439D5"/>
    <w:rsid w:val="00043AB1"/>
    <w:rsid w:val="00044694"/>
    <w:rsid w:val="000453E5"/>
    <w:rsid w:val="000458E3"/>
    <w:rsid w:val="00050395"/>
    <w:rsid w:val="000536C7"/>
    <w:rsid w:val="0005442B"/>
    <w:rsid w:val="00054946"/>
    <w:rsid w:val="000553F3"/>
    <w:rsid w:val="000555B1"/>
    <w:rsid w:val="00056BF8"/>
    <w:rsid w:val="00060903"/>
    <w:rsid w:val="00061408"/>
    <w:rsid w:val="00061531"/>
    <w:rsid w:val="00061FA1"/>
    <w:rsid w:val="0006390A"/>
    <w:rsid w:val="000646D9"/>
    <w:rsid w:val="00066599"/>
    <w:rsid w:val="00066FF5"/>
    <w:rsid w:val="00067A97"/>
    <w:rsid w:val="0007031C"/>
    <w:rsid w:val="00070497"/>
    <w:rsid w:val="000717E8"/>
    <w:rsid w:val="00071D9F"/>
    <w:rsid w:val="00072D5B"/>
    <w:rsid w:val="00074843"/>
    <w:rsid w:val="0007509F"/>
    <w:rsid w:val="0007740A"/>
    <w:rsid w:val="00084223"/>
    <w:rsid w:val="000849B3"/>
    <w:rsid w:val="0008604C"/>
    <w:rsid w:val="000861DD"/>
    <w:rsid w:val="00086639"/>
    <w:rsid w:val="000870DE"/>
    <w:rsid w:val="0008766B"/>
    <w:rsid w:val="000905EC"/>
    <w:rsid w:val="000907B4"/>
    <w:rsid w:val="00091150"/>
    <w:rsid w:val="0009140F"/>
    <w:rsid w:val="00091502"/>
    <w:rsid w:val="00093918"/>
    <w:rsid w:val="0009472E"/>
    <w:rsid w:val="00096AF3"/>
    <w:rsid w:val="00096D44"/>
    <w:rsid w:val="0009776A"/>
    <w:rsid w:val="000A0386"/>
    <w:rsid w:val="000A1C78"/>
    <w:rsid w:val="000A30BC"/>
    <w:rsid w:val="000A4719"/>
    <w:rsid w:val="000A4F79"/>
    <w:rsid w:val="000A5BAC"/>
    <w:rsid w:val="000A6710"/>
    <w:rsid w:val="000A79B5"/>
    <w:rsid w:val="000B189F"/>
    <w:rsid w:val="000B39D8"/>
    <w:rsid w:val="000B46B0"/>
    <w:rsid w:val="000B68CA"/>
    <w:rsid w:val="000B7A17"/>
    <w:rsid w:val="000B7C50"/>
    <w:rsid w:val="000C07B1"/>
    <w:rsid w:val="000C24F6"/>
    <w:rsid w:val="000C2E2F"/>
    <w:rsid w:val="000C3893"/>
    <w:rsid w:val="000C588C"/>
    <w:rsid w:val="000C614C"/>
    <w:rsid w:val="000C6587"/>
    <w:rsid w:val="000C7274"/>
    <w:rsid w:val="000C7F27"/>
    <w:rsid w:val="000D00BC"/>
    <w:rsid w:val="000D054F"/>
    <w:rsid w:val="000D0B28"/>
    <w:rsid w:val="000D0C65"/>
    <w:rsid w:val="000D2F48"/>
    <w:rsid w:val="000D4888"/>
    <w:rsid w:val="000D6274"/>
    <w:rsid w:val="000D662F"/>
    <w:rsid w:val="000D7603"/>
    <w:rsid w:val="000E1A90"/>
    <w:rsid w:val="000E2458"/>
    <w:rsid w:val="000E36BF"/>
    <w:rsid w:val="000E5B80"/>
    <w:rsid w:val="000E5C96"/>
    <w:rsid w:val="000E7381"/>
    <w:rsid w:val="000E746A"/>
    <w:rsid w:val="000F0E37"/>
    <w:rsid w:val="000F14D9"/>
    <w:rsid w:val="000F25FD"/>
    <w:rsid w:val="000F3326"/>
    <w:rsid w:val="000F3D63"/>
    <w:rsid w:val="000F41B7"/>
    <w:rsid w:val="000F4FCA"/>
    <w:rsid w:val="000F627C"/>
    <w:rsid w:val="000F6412"/>
    <w:rsid w:val="000F791E"/>
    <w:rsid w:val="000F7BE1"/>
    <w:rsid w:val="00100E41"/>
    <w:rsid w:val="001020E0"/>
    <w:rsid w:val="0010226B"/>
    <w:rsid w:val="00102C77"/>
    <w:rsid w:val="00102CCB"/>
    <w:rsid w:val="00104670"/>
    <w:rsid w:val="00105630"/>
    <w:rsid w:val="0010595E"/>
    <w:rsid w:val="00107DAF"/>
    <w:rsid w:val="00112470"/>
    <w:rsid w:val="00112F5E"/>
    <w:rsid w:val="00114779"/>
    <w:rsid w:val="00114AAD"/>
    <w:rsid w:val="00115722"/>
    <w:rsid w:val="0011612C"/>
    <w:rsid w:val="00116602"/>
    <w:rsid w:val="0011664D"/>
    <w:rsid w:val="00120A7D"/>
    <w:rsid w:val="00121B53"/>
    <w:rsid w:val="00123D8D"/>
    <w:rsid w:val="00124204"/>
    <w:rsid w:val="00124E7A"/>
    <w:rsid w:val="00125A25"/>
    <w:rsid w:val="00125DFC"/>
    <w:rsid w:val="0012695D"/>
    <w:rsid w:val="001275CE"/>
    <w:rsid w:val="00130DEC"/>
    <w:rsid w:val="0013157C"/>
    <w:rsid w:val="00131BF3"/>
    <w:rsid w:val="00132DD3"/>
    <w:rsid w:val="001334BE"/>
    <w:rsid w:val="001334DF"/>
    <w:rsid w:val="00133E2F"/>
    <w:rsid w:val="001403FD"/>
    <w:rsid w:val="00140448"/>
    <w:rsid w:val="00140784"/>
    <w:rsid w:val="00140E18"/>
    <w:rsid w:val="0014265F"/>
    <w:rsid w:val="00142A8A"/>
    <w:rsid w:val="001440F4"/>
    <w:rsid w:val="001454DB"/>
    <w:rsid w:val="0014658F"/>
    <w:rsid w:val="001478D2"/>
    <w:rsid w:val="00150004"/>
    <w:rsid w:val="00151358"/>
    <w:rsid w:val="001521F7"/>
    <w:rsid w:val="00152959"/>
    <w:rsid w:val="00153DE9"/>
    <w:rsid w:val="001548B1"/>
    <w:rsid w:val="0015705A"/>
    <w:rsid w:val="00157A05"/>
    <w:rsid w:val="00160BAA"/>
    <w:rsid w:val="00160C5D"/>
    <w:rsid w:val="00160DA2"/>
    <w:rsid w:val="0016103A"/>
    <w:rsid w:val="00162453"/>
    <w:rsid w:val="00162507"/>
    <w:rsid w:val="00162D39"/>
    <w:rsid w:val="00162FEF"/>
    <w:rsid w:val="00163467"/>
    <w:rsid w:val="00163D98"/>
    <w:rsid w:val="00165C30"/>
    <w:rsid w:val="00165E4F"/>
    <w:rsid w:val="00165F14"/>
    <w:rsid w:val="00166BFA"/>
    <w:rsid w:val="00167B39"/>
    <w:rsid w:val="001704F6"/>
    <w:rsid w:val="0017103C"/>
    <w:rsid w:val="00171171"/>
    <w:rsid w:val="00171635"/>
    <w:rsid w:val="00171E42"/>
    <w:rsid w:val="001740D1"/>
    <w:rsid w:val="00174978"/>
    <w:rsid w:val="00175F8D"/>
    <w:rsid w:val="001776D8"/>
    <w:rsid w:val="001800FC"/>
    <w:rsid w:val="0018014D"/>
    <w:rsid w:val="001808ED"/>
    <w:rsid w:val="00182A06"/>
    <w:rsid w:val="00183693"/>
    <w:rsid w:val="0018389C"/>
    <w:rsid w:val="00190194"/>
    <w:rsid w:val="00190A4B"/>
    <w:rsid w:val="00191D44"/>
    <w:rsid w:val="00192777"/>
    <w:rsid w:val="001934E4"/>
    <w:rsid w:val="00194C1A"/>
    <w:rsid w:val="00194DD5"/>
    <w:rsid w:val="001954BC"/>
    <w:rsid w:val="00195A1D"/>
    <w:rsid w:val="001963BE"/>
    <w:rsid w:val="001A1EE8"/>
    <w:rsid w:val="001A1F64"/>
    <w:rsid w:val="001A3233"/>
    <w:rsid w:val="001A377D"/>
    <w:rsid w:val="001A48CA"/>
    <w:rsid w:val="001A5EE0"/>
    <w:rsid w:val="001A6355"/>
    <w:rsid w:val="001A7232"/>
    <w:rsid w:val="001A7FC0"/>
    <w:rsid w:val="001B04BA"/>
    <w:rsid w:val="001B331D"/>
    <w:rsid w:val="001B40D0"/>
    <w:rsid w:val="001B4198"/>
    <w:rsid w:val="001B6AB0"/>
    <w:rsid w:val="001C05A6"/>
    <w:rsid w:val="001C1D4B"/>
    <w:rsid w:val="001C1DFA"/>
    <w:rsid w:val="001C1E9C"/>
    <w:rsid w:val="001C1EA2"/>
    <w:rsid w:val="001C3918"/>
    <w:rsid w:val="001C461E"/>
    <w:rsid w:val="001C46B3"/>
    <w:rsid w:val="001C7999"/>
    <w:rsid w:val="001D0E4D"/>
    <w:rsid w:val="001D102E"/>
    <w:rsid w:val="001D1E35"/>
    <w:rsid w:val="001D3A59"/>
    <w:rsid w:val="001D4118"/>
    <w:rsid w:val="001D451E"/>
    <w:rsid w:val="001D63A3"/>
    <w:rsid w:val="001D706B"/>
    <w:rsid w:val="001E146A"/>
    <w:rsid w:val="001E1815"/>
    <w:rsid w:val="001E3F5F"/>
    <w:rsid w:val="001E4C06"/>
    <w:rsid w:val="001E66D9"/>
    <w:rsid w:val="001E67F5"/>
    <w:rsid w:val="001E69F4"/>
    <w:rsid w:val="001E7426"/>
    <w:rsid w:val="001F01D4"/>
    <w:rsid w:val="001F0B72"/>
    <w:rsid w:val="001F2A74"/>
    <w:rsid w:val="001F3A54"/>
    <w:rsid w:val="001F3CE6"/>
    <w:rsid w:val="001F5063"/>
    <w:rsid w:val="001F7C7F"/>
    <w:rsid w:val="001F7F70"/>
    <w:rsid w:val="00202DCA"/>
    <w:rsid w:val="00202EBA"/>
    <w:rsid w:val="00204DAD"/>
    <w:rsid w:val="00205D76"/>
    <w:rsid w:val="00206844"/>
    <w:rsid w:val="002069A0"/>
    <w:rsid w:val="0020704A"/>
    <w:rsid w:val="002135F7"/>
    <w:rsid w:val="00214EF4"/>
    <w:rsid w:val="002151DC"/>
    <w:rsid w:val="00216285"/>
    <w:rsid w:val="00217E3E"/>
    <w:rsid w:val="002204FC"/>
    <w:rsid w:val="00222C82"/>
    <w:rsid w:val="00224621"/>
    <w:rsid w:val="0022486E"/>
    <w:rsid w:val="00224A62"/>
    <w:rsid w:val="002252B8"/>
    <w:rsid w:val="00225356"/>
    <w:rsid w:val="00225ED8"/>
    <w:rsid w:val="00226CFB"/>
    <w:rsid w:val="0023047E"/>
    <w:rsid w:val="00235548"/>
    <w:rsid w:val="00235BA7"/>
    <w:rsid w:val="002364D0"/>
    <w:rsid w:val="00236989"/>
    <w:rsid w:val="00236EC3"/>
    <w:rsid w:val="00236EE2"/>
    <w:rsid w:val="00237007"/>
    <w:rsid w:val="00237188"/>
    <w:rsid w:val="0023719C"/>
    <w:rsid w:val="00237B7E"/>
    <w:rsid w:val="0024113D"/>
    <w:rsid w:val="002418CE"/>
    <w:rsid w:val="002436DA"/>
    <w:rsid w:val="0025066A"/>
    <w:rsid w:val="00251094"/>
    <w:rsid w:val="00254EC9"/>
    <w:rsid w:val="00255315"/>
    <w:rsid w:val="00255812"/>
    <w:rsid w:val="00255C0D"/>
    <w:rsid w:val="00256203"/>
    <w:rsid w:val="002601ED"/>
    <w:rsid w:val="002605D7"/>
    <w:rsid w:val="00261B43"/>
    <w:rsid w:val="00264A05"/>
    <w:rsid w:val="00266053"/>
    <w:rsid w:val="00267064"/>
    <w:rsid w:val="002679F0"/>
    <w:rsid w:val="00270A97"/>
    <w:rsid w:val="002710C4"/>
    <w:rsid w:val="002722B2"/>
    <w:rsid w:val="002724B7"/>
    <w:rsid w:val="002732F7"/>
    <w:rsid w:val="00273A71"/>
    <w:rsid w:val="00274A60"/>
    <w:rsid w:val="002779AC"/>
    <w:rsid w:val="00280B5A"/>
    <w:rsid w:val="002810EB"/>
    <w:rsid w:val="00281374"/>
    <w:rsid w:val="0028214E"/>
    <w:rsid w:val="002824F1"/>
    <w:rsid w:val="002833EF"/>
    <w:rsid w:val="00283732"/>
    <w:rsid w:val="00284394"/>
    <w:rsid w:val="00284B10"/>
    <w:rsid w:val="002865D8"/>
    <w:rsid w:val="00286713"/>
    <w:rsid w:val="002878AC"/>
    <w:rsid w:val="00287F6A"/>
    <w:rsid w:val="00291022"/>
    <w:rsid w:val="002918FB"/>
    <w:rsid w:val="00293097"/>
    <w:rsid w:val="00293B2B"/>
    <w:rsid w:val="0029449E"/>
    <w:rsid w:val="00296D80"/>
    <w:rsid w:val="00297C30"/>
    <w:rsid w:val="00297CC7"/>
    <w:rsid w:val="002A0C80"/>
    <w:rsid w:val="002A4AF3"/>
    <w:rsid w:val="002A546E"/>
    <w:rsid w:val="002A742F"/>
    <w:rsid w:val="002B0CD6"/>
    <w:rsid w:val="002B0EBC"/>
    <w:rsid w:val="002B3C46"/>
    <w:rsid w:val="002B3F5C"/>
    <w:rsid w:val="002B597E"/>
    <w:rsid w:val="002B599D"/>
    <w:rsid w:val="002B5E46"/>
    <w:rsid w:val="002B7C85"/>
    <w:rsid w:val="002B7FA8"/>
    <w:rsid w:val="002C17FA"/>
    <w:rsid w:val="002C1872"/>
    <w:rsid w:val="002C2056"/>
    <w:rsid w:val="002C220C"/>
    <w:rsid w:val="002C2448"/>
    <w:rsid w:val="002C3BFA"/>
    <w:rsid w:val="002C6469"/>
    <w:rsid w:val="002C7788"/>
    <w:rsid w:val="002D0F6F"/>
    <w:rsid w:val="002D1649"/>
    <w:rsid w:val="002D471D"/>
    <w:rsid w:val="002D5345"/>
    <w:rsid w:val="002D5351"/>
    <w:rsid w:val="002D5C86"/>
    <w:rsid w:val="002D665A"/>
    <w:rsid w:val="002D6744"/>
    <w:rsid w:val="002D74ED"/>
    <w:rsid w:val="002E452C"/>
    <w:rsid w:val="002E4839"/>
    <w:rsid w:val="002E4A21"/>
    <w:rsid w:val="002E7A7F"/>
    <w:rsid w:val="002F0AE0"/>
    <w:rsid w:val="002F51C3"/>
    <w:rsid w:val="002F5BED"/>
    <w:rsid w:val="002F66E2"/>
    <w:rsid w:val="002F696E"/>
    <w:rsid w:val="002F69CB"/>
    <w:rsid w:val="002F79D2"/>
    <w:rsid w:val="00300BCC"/>
    <w:rsid w:val="00300DE4"/>
    <w:rsid w:val="00303292"/>
    <w:rsid w:val="00303925"/>
    <w:rsid w:val="00303FB9"/>
    <w:rsid w:val="0030408D"/>
    <w:rsid w:val="0030458F"/>
    <w:rsid w:val="00304F0A"/>
    <w:rsid w:val="003061C2"/>
    <w:rsid w:val="00307390"/>
    <w:rsid w:val="00307DD7"/>
    <w:rsid w:val="00312947"/>
    <w:rsid w:val="00312BA4"/>
    <w:rsid w:val="003132C6"/>
    <w:rsid w:val="00314617"/>
    <w:rsid w:val="00314D97"/>
    <w:rsid w:val="00315375"/>
    <w:rsid w:val="00316557"/>
    <w:rsid w:val="003202E3"/>
    <w:rsid w:val="00322208"/>
    <w:rsid w:val="00323227"/>
    <w:rsid w:val="00323EAF"/>
    <w:rsid w:val="003253B8"/>
    <w:rsid w:val="00325E11"/>
    <w:rsid w:val="00325EF4"/>
    <w:rsid w:val="00325F5E"/>
    <w:rsid w:val="003262F6"/>
    <w:rsid w:val="003263A7"/>
    <w:rsid w:val="003274AC"/>
    <w:rsid w:val="0033007C"/>
    <w:rsid w:val="00334210"/>
    <w:rsid w:val="003345DA"/>
    <w:rsid w:val="00334B0D"/>
    <w:rsid w:val="0033508D"/>
    <w:rsid w:val="00335431"/>
    <w:rsid w:val="003364FC"/>
    <w:rsid w:val="00337F74"/>
    <w:rsid w:val="00340D59"/>
    <w:rsid w:val="00341AF9"/>
    <w:rsid w:val="00341F29"/>
    <w:rsid w:val="003426CA"/>
    <w:rsid w:val="00344C92"/>
    <w:rsid w:val="00346377"/>
    <w:rsid w:val="00351684"/>
    <w:rsid w:val="00352BAC"/>
    <w:rsid w:val="0035348E"/>
    <w:rsid w:val="003576A6"/>
    <w:rsid w:val="003603D6"/>
    <w:rsid w:val="00360604"/>
    <w:rsid w:val="003607F2"/>
    <w:rsid w:val="00360BF9"/>
    <w:rsid w:val="00361469"/>
    <w:rsid w:val="003616F5"/>
    <w:rsid w:val="003617CD"/>
    <w:rsid w:val="00361CBB"/>
    <w:rsid w:val="00362F7B"/>
    <w:rsid w:val="00363D88"/>
    <w:rsid w:val="003645BB"/>
    <w:rsid w:val="00365235"/>
    <w:rsid w:val="0036635F"/>
    <w:rsid w:val="00367743"/>
    <w:rsid w:val="003703DB"/>
    <w:rsid w:val="0037098F"/>
    <w:rsid w:val="00370B96"/>
    <w:rsid w:val="00372525"/>
    <w:rsid w:val="003726EB"/>
    <w:rsid w:val="00373650"/>
    <w:rsid w:val="0037445C"/>
    <w:rsid w:val="00374DE4"/>
    <w:rsid w:val="00375216"/>
    <w:rsid w:val="00377B23"/>
    <w:rsid w:val="00380525"/>
    <w:rsid w:val="00381834"/>
    <w:rsid w:val="003826A8"/>
    <w:rsid w:val="003827DD"/>
    <w:rsid w:val="0038452C"/>
    <w:rsid w:val="003849C5"/>
    <w:rsid w:val="00385C1B"/>
    <w:rsid w:val="00387294"/>
    <w:rsid w:val="00387E73"/>
    <w:rsid w:val="003902E8"/>
    <w:rsid w:val="00390FC7"/>
    <w:rsid w:val="0039332C"/>
    <w:rsid w:val="00393D33"/>
    <w:rsid w:val="00395083"/>
    <w:rsid w:val="00395755"/>
    <w:rsid w:val="00396616"/>
    <w:rsid w:val="00396E0C"/>
    <w:rsid w:val="0039704B"/>
    <w:rsid w:val="0039774B"/>
    <w:rsid w:val="00397DA3"/>
    <w:rsid w:val="003A1115"/>
    <w:rsid w:val="003A2483"/>
    <w:rsid w:val="003A3278"/>
    <w:rsid w:val="003A442B"/>
    <w:rsid w:val="003A470D"/>
    <w:rsid w:val="003A4A28"/>
    <w:rsid w:val="003A4F2F"/>
    <w:rsid w:val="003A56D2"/>
    <w:rsid w:val="003A5AFB"/>
    <w:rsid w:val="003A73A1"/>
    <w:rsid w:val="003B08C9"/>
    <w:rsid w:val="003B17D3"/>
    <w:rsid w:val="003B1A41"/>
    <w:rsid w:val="003B225F"/>
    <w:rsid w:val="003B39E3"/>
    <w:rsid w:val="003B3B8D"/>
    <w:rsid w:val="003B4893"/>
    <w:rsid w:val="003B51C3"/>
    <w:rsid w:val="003B56CF"/>
    <w:rsid w:val="003B60DA"/>
    <w:rsid w:val="003C02DF"/>
    <w:rsid w:val="003C08CD"/>
    <w:rsid w:val="003C3CF8"/>
    <w:rsid w:val="003C42E0"/>
    <w:rsid w:val="003C46DD"/>
    <w:rsid w:val="003C5C31"/>
    <w:rsid w:val="003C6424"/>
    <w:rsid w:val="003C7702"/>
    <w:rsid w:val="003C787C"/>
    <w:rsid w:val="003D09EE"/>
    <w:rsid w:val="003D166F"/>
    <w:rsid w:val="003D19F3"/>
    <w:rsid w:val="003D2D68"/>
    <w:rsid w:val="003D3110"/>
    <w:rsid w:val="003D5786"/>
    <w:rsid w:val="003D6024"/>
    <w:rsid w:val="003D6C37"/>
    <w:rsid w:val="003D7589"/>
    <w:rsid w:val="003D7BEB"/>
    <w:rsid w:val="003E0296"/>
    <w:rsid w:val="003E07AC"/>
    <w:rsid w:val="003E1C77"/>
    <w:rsid w:val="003E1E15"/>
    <w:rsid w:val="003E4FD1"/>
    <w:rsid w:val="003E5C7B"/>
    <w:rsid w:val="003E5F51"/>
    <w:rsid w:val="003E7409"/>
    <w:rsid w:val="003E78C3"/>
    <w:rsid w:val="003F0B7E"/>
    <w:rsid w:val="003F113A"/>
    <w:rsid w:val="003F2DD7"/>
    <w:rsid w:val="003F386C"/>
    <w:rsid w:val="003F6283"/>
    <w:rsid w:val="00400AEC"/>
    <w:rsid w:val="00400E09"/>
    <w:rsid w:val="00400FB2"/>
    <w:rsid w:val="00401B71"/>
    <w:rsid w:val="00403C2A"/>
    <w:rsid w:val="0040410A"/>
    <w:rsid w:val="00404BD4"/>
    <w:rsid w:val="00406E51"/>
    <w:rsid w:val="0041148A"/>
    <w:rsid w:val="00411AE3"/>
    <w:rsid w:val="00411C06"/>
    <w:rsid w:val="00412121"/>
    <w:rsid w:val="00415104"/>
    <w:rsid w:val="0041549B"/>
    <w:rsid w:val="004158B7"/>
    <w:rsid w:val="00415A30"/>
    <w:rsid w:val="00415CBA"/>
    <w:rsid w:val="00415E3E"/>
    <w:rsid w:val="00416DC5"/>
    <w:rsid w:val="00416F15"/>
    <w:rsid w:val="00417FC6"/>
    <w:rsid w:val="004200B2"/>
    <w:rsid w:val="00421AEE"/>
    <w:rsid w:val="00421D9B"/>
    <w:rsid w:val="00425115"/>
    <w:rsid w:val="00426B3E"/>
    <w:rsid w:val="00426DD6"/>
    <w:rsid w:val="004300FB"/>
    <w:rsid w:val="004301AD"/>
    <w:rsid w:val="0043281F"/>
    <w:rsid w:val="00432AD9"/>
    <w:rsid w:val="00433014"/>
    <w:rsid w:val="00435015"/>
    <w:rsid w:val="00440236"/>
    <w:rsid w:val="0044085D"/>
    <w:rsid w:val="00440BA5"/>
    <w:rsid w:val="004410E8"/>
    <w:rsid w:val="00442274"/>
    <w:rsid w:val="00442291"/>
    <w:rsid w:val="00443A6F"/>
    <w:rsid w:val="004442BF"/>
    <w:rsid w:val="00445170"/>
    <w:rsid w:val="00445F3C"/>
    <w:rsid w:val="004472DB"/>
    <w:rsid w:val="00447403"/>
    <w:rsid w:val="00447DC7"/>
    <w:rsid w:val="00447F29"/>
    <w:rsid w:val="00451424"/>
    <w:rsid w:val="00451799"/>
    <w:rsid w:val="00452347"/>
    <w:rsid w:val="00452D63"/>
    <w:rsid w:val="004567FC"/>
    <w:rsid w:val="004577FC"/>
    <w:rsid w:val="004604BA"/>
    <w:rsid w:val="00460F46"/>
    <w:rsid w:val="004622FD"/>
    <w:rsid w:val="00462A92"/>
    <w:rsid w:val="004652F9"/>
    <w:rsid w:val="004658AF"/>
    <w:rsid w:val="00466050"/>
    <w:rsid w:val="00466B17"/>
    <w:rsid w:val="00466C0B"/>
    <w:rsid w:val="00467287"/>
    <w:rsid w:val="004675B4"/>
    <w:rsid w:val="0046765B"/>
    <w:rsid w:val="00467F6E"/>
    <w:rsid w:val="00472A11"/>
    <w:rsid w:val="00473710"/>
    <w:rsid w:val="00473B11"/>
    <w:rsid w:val="0047488B"/>
    <w:rsid w:val="00474FB4"/>
    <w:rsid w:val="00475557"/>
    <w:rsid w:val="00476B1E"/>
    <w:rsid w:val="004779BB"/>
    <w:rsid w:val="00477C3C"/>
    <w:rsid w:val="00480939"/>
    <w:rsid w:val="00481A10"/>
    <w:rsid w:val="00482FDE"/>
    <w:rsid w:val="004842D8"/>
    <w:rsid w:val="00485043"/>
    <w:rsid w:val="00485084"/>
    <w:rsid w:val="00485B13"/>
    <w:rsid w:val="0049247A"/>
    <w:rsid w:val="0049291B"/>
    <w:rsid w:val="00494C3D"/>
    <w:rsid w:val="00495801"/>
    <w:rsid w:val="00495EF7"/>
    <w:rsid w:val="00496512"/>
    <w:rsid w:val="00496B2B"/>
    <w:rsid w:val="00497D51"/>
    <w:rsid w:val="004A046A"/>
    <w:rsid w:val="004A0FF1"/>
    <w:rsid w:val="004A2300"/>
    <w:rsid w:val="004A2E49"/>
    <w:rsid w:val="004A410D"/>
    <w:rsid w:val="004A542B"/>
    <w:rsid w:val="004A6DF9"/>
    <w:rsid w:val="004A6E0B"/>
    <w:rsid w:val="004A6E51"/>
    <w:rsid w:val="004A6FDC"/>
    <w:rsid w:val="004B2C53"/>
    <w:rsid w:val="004B35CD"/>
    <w:rsid w:val="004B58C6"/>
    <w:rsid w:val="004B6945"/>
    <w:rsid w:val="004B7D9E"/>
    <w:rsid w:val="004B7EE7"/>
    <w:rsid w:val="004C14BD"/>
    <w:rsid w:val="004C1A0F"/>
    <w:rsid w:val="004C2654"/>
    <w:rsid w:val="004C28E3"/>
    <w:rsid w:val="004C337E"/>
    <w:rsid w:val="004C3BBC"/>
    <w:rsid w:val="004C3DC0"/>
    <w:rsid w:val="004C3EE3"/>
    <w:rsid w:val="004C4252"/>
    <w:rsid w:val="004C445C"/>
    <w:rsid w:val="004C572F"/>
    <w:rsid w:val="004C59A6"/>
    <w:rsid w:val="004C5F58"/>
    <w:rsid w:val="004D000B"/>
    <w:rsid w:val="004D0C77"/>
    <w:rsid w:val="004D1A2C"/>
    <w:rsid w:val="004D2E27"/>
    <w:rsid w:val="004D410C"/>
    <w:rsid w:val="004D51D6"/>
    <w:rsid w:val="004D615F"/>
    <w:rsid w:val="004D6899"/>
    <w:rsid w:val="004D731C"/>
    <w:rsid w:val="004E0B59"/>
    <w:rsid w:val="004E11B3"/>
    <w:rsid w:val="004E1A17"/>
    <w:rsid w:val="004E41B9"/>
    <w:rsid w:val="004E6D3B"/>
    <w:rsid w:val="004E764C"/>
    <w:rsid w:val="004F034D"/>
    <w:rsid w:val="004F2F11"/>
    <w:rsid w:val="004F3002"/>
    <w:rsid w:val="004F5B3F"/>
    <w:rsid w:val="004F5EB5"/>
    <w:rsid w:val="004F6A9A"/>
    <w:rsid w:val="004F7D9B"/>
    <w:rsid w:val="0050034E"/>
    <w:rsid w:val="00501F8D"/>
    <w:rsid w:val="00502ABE"/>
    <w:rsid w:val="00502DC6"/>
    <w:rsid w:val="00504423"/>
    <w:rsid w:val="0050512A"/>
    <w:rsid w:val="005065C3"/>
    <w:rsid w:val="0050799F"/>
    <w:rsid w:val="0051045C"/>
    <w:rsid w:val="00511500"/>
    <w:rsid w:val="00511643"/>
    <w:rsid w:val="00520445"/>
    <w:rsid w:val="0052171E"/>
    <w:rsid w:val="005225A2"/>
    <w:rsid w:val="00522AC3"/>
    <w:rsid w:val="0052327E"/>
    <w:rsid w:val="00523C76"/>
    <w:rsid w:val="00524212"/>
    <w:rsid w:val="0052601D"/>
    <w:rsid w:val="0052765E"/>
    <w:rsid w:val="0053048B"/>
    <w:rsid w:val="00532983"/>
    <w:rsid w:val="005330D7"/>
    <w:rsid w:val="0053431B"/>
    <w:rsid w:val="00535CEE"/>
    <w:rsid w:val="005362F1"/>
    <w:rsid w:val="00536D0D"/>
    <w:rsid w:val="005379C8"/>
    <w:rsid w:val="00537F31"/>
    <w:rsid w:val="00541EF2"/>
    <w:rsid w:val="005428EB"/>
    <w:rsid w:val="00544863"/>
    <w:rsid w:val="00544E9D"/>
    <w:rsid w:val="00545AA4"/>
    <w:rsid w:val="005461CE"/>
    <w:rsid w:val="00547F8D"/>
    <w:rsid w:val="005505B4"/>
    <w:rsid w:val="00550982"/>
    <w:rsid w:val="00553732"/>
    <w:rsid w:val="005537D5"/>
    <w:rsid w:val="005537F1"/>
    <w:rsid w:val="00554B11"/>
    <w:rsid w:val="00560412"/>
    <w:rsid w:val="00561219"/>
    <w:rsid w:val="00562443"/>
    <w:rsid w:val="00564C67"/>
    <w:rsid w:val="005665F2"/>
    <w:rsid w:val="005668FA"/>
    <w:rsid w:val="0056777F"/>
    <w:rsid w:val="00567AB6"/>
    <w:rsid w:val="005738CC"/>
    <w:rsid w:val="00573C6B"/>
    <w:rsid w:val="00573C95"/>
    <w:rsid w:val="00573CD6"/>
    <w:rsid w:val="00576350"/>
    <w:rsid w:val="005764EB"/>
    <w:rsid w:val="00576AAD"/>
    <w:rsid w:val="005779F6"/>
    <w:rsid w:val="00582018"/>
    <w:rsid w:val="00585D8F"/>
    <w:rsid w:val="00585E09"/>
    <w:rsid w:val="0058609A"/>
    <w:rsid w:val="00586B44"/>
    <w:rsid w:val="00586CF4"/>
    <w:rsid w:val="005952BB"/>
    <w:rsid w:val="005957D5"/>
    <w:rsid w:val="0059585D"/>
    <w:rsid w:val="0059660B"/>
    <w:rsid w:val="005970BC"/>
    <w:rsid w:val="005A01B1"/>
    <w:rsid w:val="005A06F4"/>
    <w:rsid w:val="005A06F7"/>
    <w:rsid w:val="005A42BC"/>
    <w:rsid w:val="005A5446"/>
    <w:rsid w:val="005A552B"/>
    <w:rsid w:val="005A5712"/>
    <w:rsid w:val="005A5E44"/>
    <w:rsid w:val="005A74E2"/>
    <w:rsid w:val="005A7662"/>
    <w:rsid w:val="005B0B7C"/>
    <w:rsid w:val="005B17C7"/>
    <w:rsid w:val="005B185C"/>
    <w:rsid w:val="005B1E1F"/>
    <w:rsid w:val="005B522C"/>
    <w:rsid w:val="005B6666"/>
    <w:rsid w:val="005B6791"/>
    <w:rsid w:val="005B6E10"/>
    <w:rsid w:val="005C0B0C"/>
    <w:rsid w:val="005C0C33"/>
    <w:rsid w:val="005C112B"/>
    <w:rsid w:val="005C1AFA"/>
    <w:rsid w:val="005C4993"/>
    <w:rsid w:val="005C4C06"/>
    <w:rsid w:val="005C4D61"/>
    <w:rsid w:val="005C5708"/>
    <w:rsid w:val="005C5C2A"/>
    <w:rsid w:val="005C5EB1"/>
    <w:rsid w:val="005C6A6D"/>
    <w:rsid w:val="005C7337"/>
    <w:rsid w:val="005C7E26"/>
    <w:rsid w:val="005D06DA"/>
    <w:rsid w:val="005D0864"/>
    <w:rsid w:val="005D1FC0"/>
    <w:rsid w:val="005D2708"/>
    <w:rsid w:val="005D443A"/>
    <w:rsid w:val="005D4741"/>
    <w:rsid w:val="005D57CC"/>
    <w:rsid w:val="005D6037"/>
    <w:rsid w:val="005D60B9"/>
    <w:rsid w:val="005D60F2"/>
    <w:rsid w:val="005E09C0"/>
    <w:rsid w:val="005E16DE"/>
    <w:rsid w:val="005E49ED"/>
    <w:rsid w:val="005E4D67"/>
    <w:rsid w:val="005E54E0"/>
    <w:rsid w:val="005E7075"/>
    <w:rsid w:val="005E7539"/>
    <w:rsid w:val="005E7B65"/>
    <w:rsid w:val="005F0A10"/>
    <w:rsid w:val="005F0D70"/>
    <w:rsid w:val="005F2697"/>
    <w:rsid w:val="005F5447"/>
    <w:rsid w:val="005F5FE1"/>
    <w:rsid w:val="005F6326"/>
    <w:rsid w:val="005F6380"/>
    <w:rsid w:val="00600018"/>
    <w:rsid w:val="00601A23"/>
    <w:rsid w:val="00601D46"/>
    <w:rsid w:val="00604EB9"/>
    <w:rsid w:val="00605FBD"/>
    <w:rsid w:val="00606996"/>
    <w:rsid w:val="006069D1"/>
    <w:rsid w:val="00607AD1"/>
    <w:rsid w:val="00610CF3"/>
    <w:rsid w:val="006113FA"/>
    <w:rsid w:val="00612005"/>
    <w:rsid w:val="00612C8C"/>
    <w:rsid w:val="00613B1B"/>
    <w:rsid w:val="00614C02"/>
    <w:rsid w:val="0061626A"/>
    <w:rsid w:val="00616C71"/>
    <w:rsid w:val="00620640"/>
    <w:rsid w:val="00621A40"/>
    <w:rsid w:val="00622AA7"/>
    <w:rsid w:val="006230B1"/>
    <w:rsid w:val="00627248"/>
    <w:rsid w:val="0062783A"/>
    <w:rsid w:val="00627C54"/>
    <w:rsid w:val="00627E2B"/>
    <w:rsid w:val="00630841"/>
    <w:rsid w:val="00631BF2"/>
    <w:rsid w:val="006324DE"/>
    <w:rsid w:val="00634FB1"/>
    <w:rsid w:val="00636242"/>
    <w:rsid w:val="00636464"/>
    <w:rsid w:val="00642F54"/>
    <w:rsid w:val="0064315A"/>
    <w:rsid w:val="00644EDF"/>
    <w:rsid w:val="00645B47"/>
    <w:rsid w:val="00645D86"/>
    <w:rsid w:val="00646EAB"/>
    <w:rsid w:val="006471D7"/>
    <w:rsid w:val="00650B76"/>
    <w:rsid w:val="006520CA"/>
    <w:rsid w:val="00652892"/>
    <w:rsid w:val="00652B18"/>
    <w:rsid w:val="00653B9A"/>
    <w:rsid w:val="00653BEC"/>
    <w:rsid w:val="00653CE7"/>
    <w:rsid w:val="006549BF"/>
    <w:rsid w:val="00654FC0"/>
    <w:rsid w:val="00655744"/>
    <w:rsid w:val="0065677D"/>
    <w:rsid w:val="006574D7"/>
    <w:rsid w:val="00657650"/>
    <w:rsid w:val="0066025C"/>
    <w:rsid w:val="00661FE3"/>
    <w:rsid w:val="006620AD"/>
    <w:rsid w:val="006631BC"/>
    <w:rsid w:val="00664910"/>
    <w:rsid w:val="00664E80"/>
    <w:rsid w:val="00667CB3"/>
    <w:rsid w:val="00670987"/>
    <w:rsid w:val="00670A55"/>
    <w:rsid w:val="00672710"/>
    <w:rsid w:val="00672B06"/>
    <w:rsid w:val="00672D0A"/>
    <w:rsid w:val="00674E97"/>
    <w:rsid w:val="00675BE4"/>
    <w:rsid w:val="006768D1"/>
    <w:rsid w:val="00681CBB"/>
    <w:rsid w:val="0068227F"/>
    <w:rsid w:val="00683A7E"/>
    <w:rsid w:val="00683DFA"/>
    <w:rsid w:val="00684BCB"/>
    <w:rsid w:val="006856A2"/>
    <w:rsid w:val="00686920"/>
    <w:rsid w:val="00686B53"/>
    <w:rsid w:val="006906CC"/>
    <w:rsid w:val="00691FB6"/>
    <w:rsid w:val="0069208F"/>
    <w:rsid w:val="00692989"/>
    <w:rsid w:val="00692E82"/>
    <w:rsid w:val="00694CED"/>
    <w:rsid w:val="00696B25"/>
    <w:rsid w:val="006A034C"/>
    <w:rsid w:val="006A160F"/>
    <w:rsid w:val="006A2524"/>
    <w:rsid w:val="006A2A80"/>
    <w:rsid w:val="006A2EB0"/>
    <w:rsid w:val="006A3325"/>
    <w:rsid w:val="006A4850"/>
    <w:rsid w:val="006A67E5"/>
    <w:rsid w:val="006A7089"/>
    <w:rsid w:val="006B01A9"/>
    <w:rsid w:val="006B0D3A"/>
    <w:rsid w:val="006B1B9A"/>
    <w:rsid w:val="006B275F"/>
    <w:rsid w:val="006B2DD4"/>
    <w:rsid w:val="006B5FB1"/>
    <w:rsid w:val="006C040B"/>
    <w:rsid w:val="006C079B"/>
    <w:rsid w:val="006C0841"/>
    <w:rsid w:val="006C22CE"/>
    <w:rsid w:val="006C27DF"/>
    <w:rsid w:val="006C3787"/>
    <w:rsid w:val="006C3A63"/>
    <w:rsid w:val="006C5427"/>
    <w:rsid w:val="006C6EBB"/>
    <w:rsid w:val="006C7B77"/>
    <w:rsid w:val="006D0DF6"/>
    <w:rsid w:val="006D1182"/>
    <w:rsid w:val="006D176C"/>
    <w:rsid w:val="006D36F2"/>
    <w:rsid w:val="006D415F"/>
    <w:rsid w:val="006D5370"/>
    <w:rsid w:val="006D5ECD"/>
    <w:rsid w:val="006D65CA"/>
    <w:rsid w:val="006D6E66"/>
    <w:rsid w:val="006D74BA"/>
    <w:rsid w:val="006E15A7"/>
    <w:rsid w:val="006E2DC9"/>
    <w:rsid w:val="006E30B7"/>
    <w:rsid w:val="006E3396"/>
    <w:rsid w:val="006E34C0"/>
    <w:rsid w:val="006E4F32"/>
    <w:rsid w:val="006E642B"/>
    <w:rsid w:val="006F17F0"/>
    <w:rsid w:val="006F22F3"/>
    <w:rsid w:val="006F2B3A"/>
    <w:rsid w:val="006F41B5"/>
    <w:rsid w:val="006F42AF"/>
    <w:rsid w:val="006F4DCC"/>
    <w:rsid w:val="006F4EB0"/>
    <w:rsid w:val="006F61C6"/>
    <w:rsid w:val="006F63DE"/>
    <w:rsid w:val="006F742E"/>
    <w:rsid w:val="006F7456"/>
    <w:rsid w:val="006F7B11"/>
    <w:rsid w:val="006F7F9E"/>
    <w:rsid w:val="00701C75"/>
    <w:rsid w:val="007025C5"/>
    <w:rsid w:val="00702680"/>
    <w:rsid w:val="007036FE"/>
    <w:rsid w:val="00706562"/>
    <w:rsid w:val="007078AE"/>
    <w:rsid w:val="007079BD"/>
    <w:rsid w:val="00707AF3"/>
    <w:rsid w:val="007100B7"/>
    <w:rsid w:val="007105F1"/>
    <w:rsid w:val="00711F5A"/>
    <w:rsid w:val="00712630"/>
    <w:rsid w:val="00714C7E"/>
    <w:rsid w:val="00716397"/>
    <w:rsid w:val="00716DE4"/>
    <w:rsid w:val="00720C16"/>
    <w:rsid w:val="00720FF5"/>
    <w:rsid w:val="007210A3"/>
    <w:rsid w:val="00721DD0"/>
    <w:rsid w:val="00722C4B"/>
    <w:rsid w:val="00723932"/>
    <w:rsid w:val="00724903"/>
    <w:rsid w:val="007262DC"/>
    <w:rsid w:val="007266ED"/>
    <w:rsid w:val="0072686D"/>
    <w:rsid w:val="00727DA2"/>
    <w:rsid w:val="0073027E"/>
    <w:rsid w:val="00731158"/>
    <w:rsid w:val="00731C49"/>
    <w:rsid w:val="0073275F"/>
    <w:rsid w:val="00735331"/>
    <w:rsid w:val="0073574B"/>
    <w:rsid w:val="00735B96"/>
    <w:rsid w:val="00736097"/>
    <w:rsid w:val="00736730"/>
    <w:rsid w:val="007368C1"/>
    <w:rsid w:val="007368DA"/>
    <w:rsid w:val="00737AFA"/>
    <w:rsid w:val="00742D59"/>
    <w:rsid w:val="00744637"/>
    <w:rsid w:val="007452DB"/>
    <w:rsid w:val="0074601B"/>
    <w:rsid w:val="007461D9"/>
    <w:rsid w:val="00747801"/>
    <w:rsid w:val="00747817"/>
    <w:rsid w:val="00751CFF"/>
    <w:rsid w:val="00755BBC"/>
    <w:rsid w:val="00757029"/>
    <w:rsid w:val="007604B6"/>
    <w:rsid w:val="00760EF6"/>
    <w:rsid w:val="00761357"/>
    <w:rsid w:val="00764524"/>
    <w:rsid w:val="00765B7B"/>
    <w:rsid w:val="00766680"/>
    <w:rsid w:val="0076672F"/>
    <w:rsid w:val="00766B7B"/>
    <w:rsid w:val="0076720C"/>
    <w:rsid w:val="00767B89"/>
    <w:rsid w:val="00767E98"/>
    <w:rsid w:val="007705AA"/>
    <w:rsid w:val="00771CCA"/>
    <w:rsid w:val="007733FC"/>
    <w:rsid w:val="0077356E"/>
    <w:rsid w:val="007735ED"/>
    <w:rsid w:val="00774A97"/>
    <w:rsid w:val="00777586"/>
    <w:rsid w:val="007776A3"/>
    <w:rsid w:val="00777ADA"/>
    <w:rsid w:val="007809AB"/>
    <w:rsid w:val="00784845"/>
    <w:rsid w:val="00785CBE"/>
    <w:rsid w:val="00785FBF"/>
    <w:rsid w:val="00786279"/>
    <w:rsid w:val="0078638C"/>
    <w:rsid w:val="00790201"/>
    <w:rsid w:val="00792BF8"/>
    <w:rsid w:val="00794BFA"/>
    <w:rsid w:val="00794C23"/>
    <w:rsid w:val="00794E3F"/>
    <w:rsid w:val="00794E44"/>
    <w:rsid w:val="007950B8"/>
    <w:rsid w:val="0079582A"/>
    <w:rsid w:val="00795EED"/>
    <w:rsid w:val="007965B3"/>
    <w:rsid w:val="00796DC7"/>
    <w:rsid w:val="00797C5E"/>
    <w:rsid w:val="007A02BC"/>
    <w:rsid w:val="007A05D9"/>
    <w:rsid w:val="007A337B"/>
    <w:rsid w:val="007A3763"/>
    <w:rsid w:val="007A381A"/>
    <w:rsid w:val="007A3A27"/>
    <w:rsid w:val="007A3F97"/>
    <w:rsid w:val="007A442C"/>
    <w:rsid w:val="007A63A7"/>
    <w:rsid w:val="007A6926"/>
    <w:rsid w:val="007A6C22"/>
    <w:rsid w:val="007A7913"/>
    <w:rsid w:val="007B06BC"/>
    <w:rsid w:val="007B19A5"/>
    <w:rsid w:val="007B1EF1"/>
    <w:rsid w:val="007B2221"/>
    <w:rsid w:val="007B24B9"/>
    <w:rsid w:val="007B3B6E"/>
    <w:rsid w:val="007B3E11"/>
    <w:rsid w:val="007B4CB5"/>
    <w:rsid w:val="007B4DAE"/>
    <w:rsid w:val="007C00D8"/>
    <w:rsid w:val="007C03B8"/>
    <w:rsid w:val="007C3F6B"/>
    <w:rsid w:val="007C5563"/>
    <w:rsid w:val="007C7199"/>
    <w:rsid w:val="007C73DA"/>
    <w:rsid w:val="007D222E"/>
    <w:rsid w:val="007D2FA8"/>
    <w:rsid w:val="007D3A28"/>
    <w:rsid w:val="007D3AAC"/>
    <w:rsid w:val="007D4836"/>
    <w:rsid w:val="007D4B12"/>
    <w:rsid w:val="007D6100"/>
    <w:rsid w:val="007D6F76"/>
    <w:rsid w:val="007D78A7"/>
    <w:rsid w:val="007E01B2"/>
    <w:rsid w:val="007E2B65"/>
    <w:rsid w:val="007E31CF"/>
    <w:rsid w:val="007E32FA"/>
    <w:rsid w:val="007E3E45"/>
    <w:rsid w:val="007E4072"/>
    <w:rsid w:val="007E47A2"/>
    <w:rsid w:val="007E6BFA"/>
    <w:rsid w:val="007E6EC7"/>
    <w:rsid w:val="007E7FC4"/>
    <w:rsid w:val="007F0F36"/>
    <w:rsid w:val="007F0FD5"/>
    <w:rsid w:val="007F1C71"/>
    <w:rsid w:val="007F23D7"/>
    <w:rsid w:val="007F24C9"/>
    <w:rsid w:val="007F5E8A"/>
    <w:rsid w:val="007F685A"/>
    <w:rsid w:val="007F6DCC"/>
    <w:rsid w:val="00800C00"/>
    <w:rsid w:val="008029B1"/>
    <w:rsid w:val="008036A0"/>
    <w:rsid w:val="00803EF6"/>
    <w:rsid w:val="0080443F"/>
    <w:rsid w:val="00804868"/>
    <w:rsid w:val="00804E05"/>
    <w:rsid w:val="008054D0"/>
    <w:rsid w:val="008056DD"/>
    <w:rsid w:val="00805995"/>
    <w:rsid w:val="00807713"/>
    <w:rsid w:val="00807B67"/>
    <w:rsid w:val="00811BAC"/>
    <w:rsid w:val="008125FE"/>
    <w:rsid w:val="00813766"/>
    <w:rsid w:val="00815495"/>
    <w:rsid w:val="008159A7"/>
    <w:rsid w:val="00815C02"/>
    <w:rsid w:val="008202ED"/>
    <w:rsid w:val="00820DD5"/>
    <w:rsid w:val="0082207D"/>
    <w:rsid w:val="00824F69"/>
    <w:rsid w:val="008260F0"/>
    <w:rsid w:val="0082676A"/>
    <w:rsid w:val="00826B1F"/>
    <w:rsid w:val="00826C92"/>
    <w:rsid w:val="00831364"/>
    <w:rsid w:val="00832462"/>
    <w:rsid w:val="00832473"/>
    <w:rsid w:val="0083364C"/>
    <w:rsid w:val="00837FD3"/>
    <w:rsid w:val="008413C1"/>
    <w:rsid w:val="00842BEF"/>
    <w:rsid w:val="00842F2B"/>
    <w:rsid w:val="008436D8"/>
    <w:rsid w:val="00843E8C"/>
    <w:rsid w:val="00844C13"/>
    <w:rsid w:val="0084517B"/>
    <w:rsid w:val="008453AF"/>
    <w:rsid w:val="00845FC9"/>
    <w:rsid w:val="0084698B"/>
    <w:rsid w:val="00850D1E"/>
    <w:rsid w:val="00851EEF"/>
    <w:rsid w:val="0085345C"/>
    <w:rsid w:val="008545B3"/>
    <w:rsid w:val="00854810"/>
    <w:rsid w:val="008550DB"/>
    <w:rsid w:val="00855EBE"/>
    <w:rsid w:val="00860282"/>
    <w:rsid w:val="008621DE"/>
    <w:rsid w:val="008623E7"/>
    <w:rsid w:val="00862439"/>
    <w:rsid w:val="008648E2"/>
    <w:rsid w:val="00864AA8"/>
    <w:rsid w:val="00865176"/>
    <w:rsid w:val="00866F0C"/>
    <w:rsid w:val="00867174"/>
    <w:rsid w:val="0086768F"/>
    <w:rsid w:val="00867815"/>
    <w:rsid w:val="00871CA7"/>
    <w:rsid w:val="00872590"/>
    <w:rsid w:val="00872B47"/>
    <w:rsid w:val="008738D8"/>
    <w:rsid w:val="008742D9"/>
    <w:rsid w:val="008746B0"/>
    <w:rsid w:val="008751B5"/>
    <w:rsid w:val="00875823"/>
    <w:rsid w:val="00876742"/>
    <w:rsid w:val="008825A3"/>
    <w:rsid w:val="008834E3"/>
    <w:rsid w:val="008851B1"/>
    <w:rsid w:val="00885866"/>
    <w:rsid w:val="00885A6C"/>
    <w:rsid w:val="008875C2"/>
    <w:rsid w:val="00887A31"/>
    <w:rsid w:val="00887DB4"/>
    <w:rsid w:val="00892DC7"/>
    <w:rsid w:val="00894965"/>
    <w:rsid w:val="00894FDF"/>
    <w:rsid w:val="00895609"/>
    <w:rsid w:val="00895A64"/>
    <w:rsid w:val="0089693D"/>
    <w:rsid w:val="00897DAC"/>
    <w:rsid w:val="008A0B57"/>
    <w:rsid w:val="008A2B0A"/>
    <w:rsid w:val="008A3C77"/>
    <w:rsid w:val="008A4033"/>
    <w:rsid w:val="008A4838"/>
    <w:rsid w:val="008A6019"/>
    <w:rsid w:val="008A612A"/>
    <w:rsid w:val="008B045D"/>
    <w:rsid w:val="008B0B86"/>
    <w:rsid w:val="008B0E37"/>
    <w:rsid w:val="008B2787"/>
    <w:rsid w:val="008B4174"/>
    <w:rsid w:val="008B4B0D"/>
    <w:rsid w:val="008B4B23"/>
    <w:rsid w:val="008B4D5B"/>
    <w:rsid w:val="008B5866"/>
    <w:rsid w:val="008C191E"/>
    <w:rsid w:val="008C293C"/>
    <w:rsid w:val="008C46AC"/>
    <w:rsid w:val="008C47E0"/>
    <w:rsid w:val="008C572D"/>
    <w:rsid w:val="008C581F"/>
    <w:rsid w:val="008C61FD"/>
    <w:rsid w:val="008D04F0"/>
    <w:rsid w:val="008D12AC"/>
    <w:rsid w:val="008D1802"/>
    <w:rsid w:val="008D2BA9"/>
    <w:rsid w:val="008D442F"/>
    <w:rsid w:val="008D44F9"/>
    <w:rsid w:val="008D52B5"/>
    <w:rsid w:val="008D548F"/>
    <w:rsid w:val="008D5B9A"/>
    <w:rsid w:val="008D5F12"/>
    <w:rsid w:val="008D6F2E"/>
    <w:rsid w:val="008E0C46"/>
    <w:rsid w:val="008E1AE1"/>
    <w:rsid w:val="008E233A"/>
    <w:rsid w:val="008E29C0"/>
    <w:rsid w:val="008E2FA3"/>
    <w:rsid w:val="008E36AB"/>
    <w:rsid w:val="008E397D"/>
    <w:rsid w:val="008E5616"/>
    <w:rsid w:val="008E5D21"/>
    <w:rsid w:val="008E6254"/>
    <w:rsid w:val="008E6B56"/>
    <w:rsid w:val="008E6E4A"/>
    <w:rsid w:val="008F0C94"/>
    <w:rsid w:val="008F317F"/>
    <w:rsid w:val="008F3FA0"/>
    <w:rsid w:val="008F40FD"/>
    <w:rsid w:val="008F44AB"/>
    <w:rsid w:val="008F5091"/>
    <w:rsid w:val="008F6874"/>
    <w:rsid w:val="008F690B"/>
    <w:rsid w:val="008F6F98"/>
    <w:rsid w:val="008F7887"/>
    <w:rsid w:val="008F7C1B"/>
    <w:rsid w:val="00900D4C"/>
    <w:rsid w:val="009018CD"/>
    <w:rsid w:val="00902784"/>
    <w:rsid w:val="009039C4"/>
    <w:rsid w:val="0090568F"/>
    <w:rsid w:val="009077BE"/>
    <w:rsid w:val="00907DEE"/>
    <w:rsid w:val="00911A84"/>
    <w:rsid w:val="009121F2"/>
    <w:rsid w:val="00912BB1"/>
    <w:rsid w:val="00913191"/>
    <w:rsid w:val="0091453C"/>
    <w:rsid w:val="009153DB"/>
    <w:rsid w:val="009158E0"/>
    <w:rsid w:val="0091649F"/>
    <w:rsid w:val="00916B8D"/>
    <w:rsid w:val="00920059"/>
    <w:rsid w:val="00921B96"/>
    <w:rsid w:val="0092511F"/>
    <w:rsid w:val="00926259"/>
    <w:rsid w:val="00926998"/>
    <w:rsid w:val="00926F58"/>
    <w:rsid w:val="009277D7"/>
    <w:rsid w:val="0093264F"/>
    <w:rsid w:val="009330DF"/>
    <w:rsid w:val="00934315"/>
    <w:rsid w:val="00934DD7"/>
    <w:rsid w:val="009355AB"/>
    <w:rsid w:val="00937942"/>
    <w:rsid w:val="00937E3C"/>
    <w:rsid w:val="009400BB"/>
    <w:rsid w:val="009422D5"/>
    <w:rsid w:val="0094240E"/>
    <w:rsid w:val="00942A69"/>
    <w:rsid w:val="00942AC4"/>
    <w:rsid w:val="00942E42"/>
    <w:rsid w:val="00943468"/>
    <w:rsid w:val="00944C07"/>
    <w:rsid w:val="00944F6F"/>
    <w:rsid w:val="00946776"/>
    <w:rsid w:val="00946F48"/>
    <w:rsid w:val="00947668"/>
    <w:rsid w:val="00950041"/>
    <w:rsid w:val="009506ED"/>
    <w:rsid w:val="009509AF"/>
    <w:rsid w:val="00951B4E"/>
    <w:rsid w:val="00952B66"/>
    <w:rsid w:val="00952D74"/>
    <w:rsid w:val="00953FC7"/>
    <w:rsid w:val="009545B4"/>
    <w:rsid w:val="00954BEC"/>
    <w:rsid w:val="009560A1"/>
    <w:rsid w:val="00957FE0"/>
    <w:rsid w:val="00960BEA"/>
    <w:rsid w:val="00961F60"/>
    <w:rsid w:val="00962550"/>
    <w:rsid w:val="00962CEC"/>
    <w:rsid w:val="009650FD"/>
    <w:rsid w:val="0096556D"/>
    <w:rsid w:val="00965A82"/>
    <w:rsid w:val="00966C54"/>
    <w:rsid w:val="0096741E"/>
    <w:rsid w:val="00970796"/>
    <w:rsid w:val="00972C1E"/>
    <w:rsid w:val="00973133"/>
    <w:rsid w:val="00975716"/>
    <w:rsid w:val="00976502"/>
    <w:rsid w:val="00980B30"/>
    <w:rsid w:val="0098310C"/>
    <w:rsid w:val="009841F2"/>
    <w:rsid w:val="00984FDA"/>
    <w:rsid w:val="009868D1"/>
    <w:rsid w:val="00990350"/>
    <w:rsid w:val="00990E7E"/>
    <w:rsid w:val="00991030"/>
    <w:rsid w:val="00991572"/>
    <w:rsid w:val="00992606"/>
    <w:rsid w:val="009936CC"/>
    <w:rsid w:val="00996BAE"/>
    <w:rsid w:val="009A1627"/>
    <w:rsid w:val="009A30F2"/>
    <w:rsid w:val="009A32A5"/>
    <w:rsid w:val="009A52B7"/>
    <w:rsid w:val="009A6539"/>
    <w:rsid w:val="009A6E22"/>
    <w:rsid w:val="009A75AA"/>
    <w:rsid w:val="009B014D"/>
    <w:rsid w:val="009B270D"/>
    <w:rsid w:val="009B2B46"/>
    <w:rsid w:val="009B2C67"/>
    <w:rsid w:val="009B3A2C"/>
    <w:rsid w:val="009B4EF3"/>
    <w:rsid w:val="009B4FCD"/>
    <w:rsid w:val="009B5DEE"/>
    <w:rsid w:val="009B5F86"/>
    <w:rsid w:val="009B62F5"/>
    <w:rsid w:val="009B7601"/>
    <w:rsid w:val="009B79C2"/>
    <w:rsid w:val="009B7BB8"/>
    <w:rsid w:val="009C01B8"/>
    <w:rsid w:val="009C2A72"/>
    <w:rsid w:val="009C6BF8"/>
    <w:rsid w:val="009C6D19"/>
    <w:rsid w:val="009D01A8"/>
    <w:rsid w:val="009D1C5B"/>
    <w:rsid w:val="009D2855"/>
    <w:rsid w:val="009D2D8F"/>
    <w:rsid w:val="009D58AC"/>
    <w:rsid w:val="009D63B9"/>
    <w:rsid w:val="009D64AD"/>
    <w:rsid w:val="009D6D2C"/>
    <w:rsid w:val="009D77E4"/>
    <w:rsid w:val="009E0532"/>
    <w:rsid w:val="009E0A95"/>
    <w:rsid w:val="009E0B0C"/>
    <w:rsid w:val="009E0CB8"/>
    <w:rsid w:val="009E3E0B"/>
    <w:rsid w:val="009E4031"/>
    <w:rsid w:val="009E4940"/>
    <w:rsid w:val="009E55D4"/>
    <w:rsid w:val="009E6B58"/>
    <w:rsid w:val="009F030F"/>
    <w:rsid w:val="009F0ABA"/>
    <w:rsid w:val="009F0CD1"/>
    <w:rsid w:val="009F2D66"/>
    <w:rsid w:val="009F45AC"/>
    <w:rsid w:val="009F5178"/>
    <w:rsid w:val="009F520A"/>
    <w:rsid w:val="009F64E2"/>
    <w:rsid w:val="00A0240B"/>
    <w:rsid w:val="00A02693"/>
    <w:rsid w:val="00A02ED4"/>
    <w:rsid w:val="00A040AC"/>
    <w:rsid w:val="00A046D2"/>
    <w:rsid w:val="00A066C3"/>
    <w:rsid w:val="00A06FAC"/>
    <w:rsid w:val="00A10A64"/>
    <w:rsid w:val="00A1174E"/>
    <w:rsid w:val="00A12CE6"/>
    <w:rsid w:val="00A14569"/>
    <w:rsid w:val="00A15C9B"/>
    <w:rsid w:val="00A163E3"/>
    <w:rsid w:val="00A177B8"/>
    <w:rsid w:val="00A1791C"/>
    <w:rsid w:val="00A20862"/>
    <w:rsid w:val="00A22438"/>
    <w:rsid w:val="00A23808"/>
    <w:rsid w:val="00A23EF2"/>
    <w:rsid w:val="00A24381"/>
    <w:rsid w:val="00A25C76"/>
    <w:rsid w:val="00A26ADE"/>
    <w:rsid w:val="00A30E30"/>
    <w:rsid w:val="00A327EB"/>
    <w:rsid w:val="00A337E2"/>
    <w:rsid w:val="00A33BFC"/>
    <w:rsid w:val="00A3638E"/>
    <w:rsid w:val="00A37B7A"/>
    <w:rsid w:val="00A4025E"/>
    <w:rsid w:val="00A40D89"/>
    <w:rsid w:val="00A41372"/>
    <w:rsid w:val="00A42A25"/>
    <w:rsid w:val="00A4330D"/>
    <w:rsid w:val="00A47AB6"/>
    <w:rsid w:val="00A47D82"/>
    <w:rsid w:val="00A50694"/>
    <w:rsid w:val="00A509AC"/>
    <w:rsid w:val="00A51ADC"/>
    <w:rsid w:val="00A51C87"/>
    <w:rsid w:val="00A52B06"/>
    <w:rsid w:val="00A52F7C"/>
    <w:rsid w:val="00A54A08"/>
    <w:rsid w:val="00A55F35"/>
    <w:rsid w:val="00A568E7"/>
    <w:rsid w:val="00A57801"/>
    <w:rsid w:val="00A6493E"/>
    <w:rsid w:val="00A651D3"/>
    <w:rsid w:val="00A653A1"/>
    <w:rsid w:val="00A65C8B"/>
    <w:rsid w:val="00A672B5"/>
    <w:rsid w:val="00A6740A"/>
    <w:rsid w:val="00A71413"/>
    <w:rsid w:val="00A721FB"/>
    <w:rsid w:val="00A724F8"/>
    <w:rsid w:val="00A72535"/>
    <w:rsid w:val="00A72B28"/>
    <w:rsid w:val="00A73618"/>
    <w:rsid w:val="00A74320"/>
    <w:rsid w:val="00A7448E"/>
    <w:rsid w:val="00A759F1"/>
    <w:rsid w:val="00A76B9C"/>
    <w:rsid w:val="00A819C3"/>
    <w:rsid w:val="00A81A24"/>
    <w:rsid w:val="00A8271D"/>
    <w:rsid w:val="00A82C6C"/>
    <w:rsid w:val="00A842A1"/>
    <w:rsid w:val="00A84AE4"/>
    <w:rsid w:val="00A856DA"/>
    <w:rsid w:val="00A85B61"/>
    <w:rsid w:val="00A91221"/>
    <w:rsid w:val="00A927D5"/>
    <w:rsid w:val="00A9564B"/>
    <w:rsid w:val="00A9682B"/>
    <w:rsid w:val="00AA08AA"/>
    <w:rsid w:val="00AA0A77"/>
    <w:rsid w:val="00AA2902"/>
    <w:rsid w:val="00AA2959"/>
    <w:rsid w:val="00AA2F81"/>
    <w:rsid w:val="00AA4C9D"/>
    <w:rsid w:val="00AA5758"/>
    <w:rsid w:val="00AA60A8"/>
    <w:rsid w:val="00AA7459"/>
    <w:rsid w:val="00AB19E5"/>
    <w:rsid w:val="00AB348D"/>
    <w:rsid w:val="00AB37D1"/>
    <w:rsid w:val="00AB3D83"/>
    <w:rsid w:val="00AB3DC3"/>
    <w:rsid w:val="00AB430D"/>
    <w:rsid w:val="00AB4E3A"/>
    <w:rsid w:val="00AB5760"/>
    <w:rsid w:val="00AB622F"/>
    <w:rsid w:val="00AB64EB"/>
    <w:rsid w:val="00AB6E36"/>
    <w:rsid w:val="00AB78C6"/>
    <w:rsid w:val="00AC0036"/>
    <w:rsid w:val="00AC2F9C"/>
    <w:rsid w:val="00AC307D"/>
    <w:rsid w:val="00AC4A9E"/>
    <w:rsid w:val="00AC5A7E"/>
    <w:rsid w:val="00AC795A"/>
    <w:rsid w:val="00AD02BD"/>
    <w:rsid w:val="00AD0522"/>
    <w:rsid w:val="00AD0697"/>
    <w:rsid w:val="00AD1B79"/>
    <w:rsid w:val="00AD226B"/>
    <w:rsid w:val="00AD2538"/>
    <w:rsid w:val="00AD3812"/>
    <w:rsid w:val="00AD395E"/>
    <w:rsid w:val="00AD3DCB"/>
    <w:rsid w:val="00AD535E"/>
    <w:rsid w:val="00AD6333"/>
    <w:rsid w:val="00AE0082"/>
    <w:rsid w:val="00AE09CD"/>
    <w:rsid w:val="00AE1238"/>
    <w:rsid w:val="00AE2B76"/>
    <w:rsid w:val="00AE4AFC"/>
    <w:rsid w:val="00AE58F9"/>
    <w:rsid w:val="00AE6E67"/>
    <w:rsid w:val="00AE7D18"/>
    <w:rsid w:val="00AF0566"/>
    <w:rsid w:val="00AF1531"/>
    <w:rsid w:val="00AF1821"/>
    <w:rsid w:val="00AF25D1"/>
    <w:rsid w:val="00AF27DB"/>
    <w:rsid w:val="00AF528C"/>
    <w:rsid w:val="00AF5C9F"/>
    <w:rsid w:val="00AF6202"/>
    <w:rsid w:val="00AF638D"/>
    <w:rsid w:val="00B001E5"/>
    <w:rsid w:val="00B0115E"/>
    <w:rsid w:val="00B017E5"/>
    <w:rsid w:val="00B0249D"/>
    <w:rsid w:val="00B0641E"/>
    <w:rsid w:val="00B1018E"/>
    <w:rsid w:val="00B11444"/>
    <w:rsid w:val="00B11C69"/>
    <w:rsid w:val="00B1220C"/>
    <w:rsid w:val="00B12654"/>
    <w:rsid w:val="00B140B3"/>
    <w:rsid w:val="00B141CA"/>
    <w:rsid w:val="00B14EBC"/>
    <w:rsid w:val="00B1720F"/>
    <w:rsid w:val="00B17845"/>
    <w:rsid w:val="00B22E9A"/>
    <w:rsid w:val="00B23014"/>
    <w:rsid w:val="00B24535"/>
    <w:rsid w:val="00B25768"/>
    <w:rsid w:val="00B25A9B"/>
    <w:rsid w:val="00B263D2"/>
    <w:rsid w:val="00B30613"/>
    <w:rsid w:val="00B30A2B"/>
    <w:rsid w:val="00B33E53"/>
    <w:rsid w:val="00B34EE6"/>
    <w:rsid w:val="00B34F84"/>
    <w:rsid w:val="00B35EA4"/>
    <w:rsid w:val="00B36269"/>
    <w:rsid w:val="00B36530"/>
    <w:rsid w:val="00B367D3"/>
    <w:rsid w:val="00B36C03"/>
    <w:rsid w:val="00B374C0"/>
    <w:rsid w:val="00B40CFB"/>
    <w:rsid w:val="00B41266"/>
    <w:rsid w:val="00B42337"/>
    <w:rsid w:val="00B4299C"/>
    <w:rsid w:val="00B42B0B"/>
    <w:rsid w:val="00B42DAE"/>
    <w:rsid w:val="00B46F59"/>
    <w:rsid w:val="00B47655"/>
    <w:rsid w:val="00B47D10"/>
    <w:rsid w:val="00B50924"/>
    <w:rsid w:val="00B5149A"/>
    <w:rsid w:val="00B53EFA"/>
    <w:rsid w:val="00B5577E"/>
    <w:rsid w:val="00B60DFF"/>
    <w:rsid w:val="00B63E5A"/>
    <w:rsid w:val="00B66881"/>
    <w:rsid w:val="00B70150"/>
    <w:rsid w:val="00B724B2"/>
    <w:rsid w:val="00B740B1"/>
    <w:rsid w:val="00B7451F"/>
    <w:rsid w:val="00B77486"/>
    <w:rsid w:val="00B81DF4"/>
    <w:rsid w:val="00B823D3"/>
    <w:rsid w:val="00B82DAD"/>
    <w:rsid w:val="00B83762"/>
    <w:rsid w:val="00B852A4"/>
    <w:rsid w:val="00B9108D"/>
    <w:rsid w:val="00B91970"/>
    <w:rsid w:val="00B92B0B"/>
    <w:rsid w:val="00B93E14"/>
    <w:rsid w:val="00B93FD3"/>
    <w:rsid w:val="00B95191"/>
    <w:rsid w:val="00B95B65"/>
    <w:rsid w:val="00B97A76"/>
    <w:rsid w:val="00B97D68"/>
    <w:rsid w:val="00BA0EAC"/>
    <w:rsid w:val="00BA2F34"/>
    <w:rsid w:val="00BA3399"/>
    <w:rsid w:val="00BA40E9"/>
    <w:rsid w:val="00BA4660"/>
    <w:rsid w:val="00BA564D"/>
    <w:rsid w:val="00BA7EA7"/>
    <w:rsid w:val="00BA7F5F"/>
    <w:rsid w:val="00BB11CA"/>
    <w:rsid w:val="00BB2620"/>
    <w:rsid w:val="00BB41B9"/>
    <w:rsid w:val="00BB5008"/>
    <w:rsid w:val="00BB6CE6"/>
    <w:rsid w:val="00BB6D11"/>
    <w:rsid w:val="00BB72DF"/>
    <w:rsid w:val="00BB7394"/>
    <w:rsid w:val="00BC01D2"/>
    <w:rsid w:val="00BC1821"/>
    <w:rsid w:val="00BC1D43"/>
    <w:rsid w:val="00BC2298"/>
    <w:rsid w:val="00BC2A4C"/>
    <w:rsid w:val="00BC2A9F"/>
    <w:rsid w:val="00BC3830"/>
    <w:rsid w:val="00BC5804"/>
    <w:rsid w:val="00BC7A76"/>
    <w:rsid w:val="00BD019E"/>
    <w:rsid w:val="00BD04AC"/>
    <w:rsid w:val="00BD0A2C"/>
    <w:rsid w:val="00BD1831"/>
    <w:rsid w:val="00BD5067"/>
    <w:rsid w:val="00BD5E76"/>
    <w:rsid w:val="00BD6208"/>
    <w:rsid w:val="00BD7651"/>
    <w:rsid w:val="00BD7A42"/>
    <w:rsid w:val="00BE08DE"/>
    <w:rsid w:val="00BE47AD"/>
    <w:rsid w:val="00BE4BA4"/>
    <w:rsid w:val="00BE5174"/>
    <w:rsid w:val="00BE57CF"/>
    <w:rsid w:val="00BE5B57"/>
    <w:rsid w:val="00BE6366"/>
    <w:rsid w:val="00BE71AC"/>
    <w:rsid w:val="00BF01F5"/>
    <w:rsid w:val="00BF1C47"/>
    <w:rsid w:val="00BF4E18"/>
    <w:rsid w:val="00BF64D3"/>
    <w:rsid w:val="00BF6CAE"/>
    <w:rsid w:val="00C0034E"/>
    <w:rsid w:val="00C0048E"/>
    <w:rsid w:val="00C00920"/>
    <w:rsid w:val="00C01929"/>
    <w:rsid w:val="00C02F58"/>
    <w:rsid w:val="00C0336A"/>
    <w:rsid w:val="00C0440D"/>
    <w:rsid w:val="00C045F3"/>
    <w:rsid w:val="00C0468B"/>
    <w:rsid w:val="00C055DD"/>
    <w:rsid w:val="00C06CD1"/>
    <w:rsid w:val="00C075A8"/>
    <w:rsid w:val="00C07FA0"/>
    <w:rsid w:val="00C1008C"/>
    <w:rsid w:val="00C10E83"/>
    <w:rsid w:val="00C1181C"/>
    <w:rsid w:val="00C12105"/>
    <w:rsid w:val="00C125CE"/>
    <w:rsid w:val="00C137B2"/>
    <w:rsid w:val="00C14250"/>
    <w:rsid w:val="00C14EE3"/>
    <w:rsid w:val="00C162EE"/>
    <w:rsid w:val="00C167FE"/>
    <w:rsid w:val="00C16C92"/>
    <w:rsid w:val="00C20382"/>
    <w:rsid w:val="00C205E4"/>
    <w:rsid w:val="00C21B76"/>
    <w:rsid w:val="00C21BAD"/>
    <w:rsid w:val="00C21D22"/>
    <w:rsid w:val="00C237B3"/>
    <w:rsid w:val="00C2408D"/>
    <w:rsid w:val="00C247E0"/>
    <w:rsid w:val="00C25D0F"/>
    <w:rsid w:val="00C26A57"/>
    <w:rsid w:val="00C27A5D"/>
    <w:rsid w:val="00C307A6"/>
    <w:rsid w:val="00C31057"/>
    <w:rsid w:val="00C31AC2"/>
    <w:rsid w:val="00C331A4"/>
    <w:rsid w:val="00C345DC"/>
    <w:rsid w:val="00C34C35"/>
    <w:rsid w:val="00C36930"/>
    <w:rsid w:val="00C3735F"/>
    <w:rsid w:val="00C4149C"/>
    <w:rsid w:val="00C439E8"/>
    <w:rsid w:val="00C44121"/>
    <w:rsid w:val="00C45CE7"/>
    <w:rsid w:val="00C46774"/>
    <w:rsid w:val="00C53410"/>
    <w:rsid w:val="00C53490"/>
    <w:rsid w:val="00C5397A"/>
    <w:rsid w:val="00C539E4"/>
    <w:rsid w:val="00C53D9B"/>
    <w:rsid w:val="00C54638"/>
    <w:rsid w:val="00C563A0"/>
    <w:rsid w:val="00C575F1"/>
    <w:rsid w:val="00C609E8"/>
    <w:rsid w:val="00C60E60"/>
    <w:rsid w:val="00C612AE"/>
    <w:rsid w:val="00C61C89"/>
    <w:rsid w:val="00C62393"/>
    <w:rsid w:val="00C63BCB"/>
    <w:rsid w:val="00C63F4F"/>
    <w:rsid w:val="00C642EA"/>
    <w:rsid w:val="00C64EB8"/>
    <w:rsid w:val="00C662F6"/>
    <w:rsid w:val="00C66E01"/>
    <w:rsid w:val="00C707B2"/>
    <w:rsid w:val="00C712E7"/>
    <w:rsid w:val="00C723D6"/>
    <w:rsid w:val="00C729F4"/>
    <w:rsid w:val="00C72FAC"/>
    <w:rsid w:val="00C731B0"/>
    <w:rsid w:val="00C74A90"/>
    <w:rsid w:val="00C7572C"/>
    <w:rsid w:val="00C75E2C"/>
    <w:rsid w:val="00C77DE7"/>
    <w:rsid w:val="00C80444"/>
    <w:rsid w:val="00C82482"/>
    <w:rsid w:val="00C82565"/>
    <w:rsid w:val="00C83402"/>
    <w:rsid w:val="00C84DE3"/>
    <w:rsid w:val="00C85CE7"/>
    <w:rsid w:val="00C86A7E"/>
    <w:rsid w:val="00C86D96"/>
    <w:rsid w:val="00C875C2"/>
    <w:rsid w:val="00C875D7"/>
    <w:rsid w:val="00C87A4B"/>
    <w:rsid w:val="00C9003A"/>
    <w:rsid w:val="00C90572"/>
    <w:rsid w:val="00C91D16"/>
    <w:rsid w:val="00C944A1"/>
    <w:rsid w:val="00C968BD"/>
    <w:rsid w:val="00C96EA6"/>
    <w:rsid w:val="00C9709A"/>
    <w:rsid w:val="00C97340"/>
    <w:rsid w:val="00CA23D6"/>
    <w:rsid w:val="00CA255C"/>
    <w:rsid w:val="00CA59F7"/>
    <w:rsid w:val="00CA67A6"/>
    <w:rsid w:val="00CB10C7"/>
    <w:rsid w:val="00CB1D7D"/>
    <w:rsid w:val="00CB2D50"/>
    <w:rsid w:val="00CB3A58"/>
    <w:rsid w:val="00CB411F"/>
    <w:rsid w:val="00CB4292"/>
    <w:rsid w:val="00CB4996"/>
    <w:rsid w:val="00CB54F1"/>
    <w:rsid w:val="00CB65EE"/>
    <w:rsid w:val="00CB6920"/>
    <w:rsid w:val="00CC0628"/>
    <w:rsid w:val="00CC0735"/>
    <w:rsid w:val="00CC18B7"/>
    <w:rsid w:val="00CC2BFC"/>
    <w:rsid w:val="00CC4D88"/>
    <w:rsid w:val="00CC6F3A"/>
    <w:rsid w:val="00CC6FD8"/>
    <w:rsid w:val="00CC7098"/>
    <w:rsid w:val="00CC76D9"/>
    <w:rsid w:val="00CC7833"/>
    <w:rsid w:val="00CC7BA4"/>
    <w:rsid w:val="00CD0083"/>
    <w:rsid w:val="00CD1651"/>
    <w:rsid w:val="00CD263C"/>
    <w:rsid w:val="00CD28FE"/>
    <w:rsid w:val="00CD3013"/>
    <w:rsid w:val="00CD31D8"/>
    <w:rsid w:val="00CD486F"/>
    <w:rsid w:val="00CD4CF1"/>
    <w:rsid w:val="00CD4D55"/>
    <w:rsid w:val="00CD6586"/>
    <w:rsid w:val="00CD77DC"/>
    <w:rsid w:val="00CE2190"/>
    <w:rsid w:val="00CE68BF"/>
    <w:rsid w:val="00CE7E4D"/>
    <w:rsid w:val="00CF037A"/>
    <w:rsid w:val="00CF0CD0"/>
    <w:rsid w:val="00CF2D6F"/>
    <w:rsid w:val="00CF4BAF"/>
    <w:rsid w:val="00CF510B"/>
    <w:rsid w:val="00D01A18"/>
    <w:rsid w:val="00D01E2F"/>
    <w:rsid w:val="00D01F56"/>
    <w:rsid w:val="00D02E36"/>
    <w:rsid w:val="00D043CC"/>
    <w:rsid w:val="00D0532E"/>
    <w:rsid w:val="00D062CE"/>
    <w:rsid w:val="00D06B8F"/>
    <w:rsid w:val="00D07661"/>
    <w:rsid w:val="00D10313"/>
    <w:rsid w:val="00D13091"/>
    <w:rsid w:val="00D13819"/>
    <w:rsid w:val="00D1398E"/>
    <w:rsid w:val="00D14BB1"/>
    <w:rsid w:val="00D14C32"/>
    <w:rsid w:val="00D165E4"/>
    <w:rsid w:val="00D17E75"/>
    <w:rsid w:val="00D20A01"/>
    <w:rsid w:val="00D20D11"/>
    <w:rsid w:val="00D231F4"/>
    <w:rsid w:val="00D24D6C"/>
    <w:rsid w:val="00D25267"/>
    <w:rsid w:val="00D25AA9"/>
    <w:rsid w:val="00D25B2D"/>
    <w:rsid w:val="00D26E70"/>
    <w:rsid w:val="00D27277"/>
    <w:rsid w:val="00D273EC"/>
    <w:rsid w:val="00D305DB"/>
    <w:rsid w:val="00D30C11"/>
    <w:rsid w:val="00D324EB"/>
    <w:rsid w:val="00D352AB"/>
    <w:rsid w:val="00D37252"/>
    <w:rsid w:val="00D37BA6"/>
    <w:rsid w:val="00D40F2B"/>
    <w:rsid w:val="00D413B5"/>
    <w:rsid w:val="00D41C77"/>
    <w:rsid w:val="00D45702"/>
    <w:rsid w:val="00D45C68"/>
    <w:rsid w:val="00D4608B"/>
    <w:rsid w:val="00D46B25"/>
    <w:rsid w:val="00D50CF4"/>
    <w:rsid w:val="00D51A74"/>
    <w:rsid w:val="00D52C07"/>
    <w:rsid w:val="00D536F2"/>
    <w:rsid w:val="00D53DF1"/>
    <w:rsid w:val="00D54BB6"/>
    <w:rsid w:val="00D54EE7"/>
    <w:rsid w:val="00D54FC4"/>
    <w:rsid w:val="00D550D7"/>
    <w:rsid w:val="00D5553B"/>
    <w:rsid w:val="00D55AA9"/>
    <w:rsid w:val="00D565C1"/>
    <w:rsid w:val="00D57D7D"/>
    <w:rsid w:val="00D60A96"/>
    <w:rsid w:val="00D62894"/>
    <w:rsid w:val="00D628D9"/>
    <w:rsid w:val="00D6324D"/>
    <w:rsid w:val="00D6334D"/>
    <w:rsid w:val="00D64E5E"/>
    <w:rsid w:val="00D66340"/>
    <w:rsid w:val="00D703A2"/>
    <w:rsid w:val="00D708B7"/>
    <w:rsid w:val="00D72114"/>
    <w:rsid w:val="00D739AF"/>
    <w:rsid w:val="00D74526"/>
    <w:rsid w:val="00D776B4"/>
    <w:rsid w:val="00D810A8"/>
    <w:rsid w:val="00D83BF7"/>
    <w:rsid w:val="00D84875"/>
    <w:rsid w:val="00D85993"/>
    <w:rsid w:val="00D85CDC"/>
    <w:rsid w:val="00D86822"/>
    <w:rsid w:val="00D871FB"/>
    <w:rsid w:val="00D87FA8"/>
    <w:rsid w:val="00D90210"/>
    <w:rsid w:val="00D90465"/>
    <w:rsid w:val="00D90D92"/>
    <w:rsid w:val="00D9246D"/>
    <w:rsid w:val="00D9335D"/>
    <w:rsid w:val="00D933B8"/>
    <w:rsid w:val="00D95F6F"/>
    <w:rsid w:val="00DA13DB"/>
    <w:rsid w:val="00DA19AA"/>
    <w:rsid w:val="00DA1A22"/>
    <w:rsid w:val="00DA2C87"/>
    <w:rsid w:val="00DA2D30"/>
    <w:rsid w:val="00DA3EEB"/>
    <w:rsid w:val="00DA414F"/>
    <w:rsid w:val="00DA4307"/>
    <w:rsid w:val="00DA4543"/>
    <w:rsid w:val="00DA65F1"/>
    <w:rsid w:val="00DA7946"/>
    <w:rsid w:val="00DB12FD"/>
    <w:rsid w:val="00DB234F"/>
    <w:rsid w:val="00DB24E8"/>
    <w:rsid w:val="00DB3C21"/>
    <w:rsid w:val="00DB4F2A"/>
    <w:rsid w:val="00DB631A"/>
    <w:rsid w:val="00DB7E25"/>
    <w:rsid w:val="00DC01B0"/>
    <w:rsid w:val="00DC15D1"/>
    <w:rsid w:val="00DC1CC0"/>
    <w:rsid w:val="00DC20E5"/>
    <w:rsid w:val="00DC25E6"/>
    <w:rsid w:val="00DC40BD"/>
    <w:rsid w:val="00DC48A0"/>
    <w:rsid w:val="00DC5D79"/>
    <w:rsid w:val="00DC6A54"/>
    <w:rsid w:val="00DC6D57"/>
    <w:rsid w:val="00DC6F0E"/>
    <w:rsid w:val="00DC723D"/>
    <w:rsid w:val="00DC7D32"/>
    <w:rsid w:val="00DD1164"/>
    <w:rsid w:val="00DD1FA3"/>
    <w:rsid w:val="00DD277A"/>
    <w:rsid w:val="00DD4A87"/>
    <w:rsid w:val="00DD4B3B"/>
    <w:rsid w:val="00DD6ABD"/>
    <w:rsid w:val="00DE0690"/>
    <w:rsid w:val="00DE0B86"/>
    <w:rsid w:val="00DE25A2"/>
    <w:rsid w:val="00DE49C1"/>
    <w:rsid w:val="00DE5258"/>
    <w:rsid w:val="00DE5374"/>
    <w:rsid w:val="00DE5EB0"/>
    <w:rsid w:val="00DF030B"/>
    <w:rsid w:val="00DF2A3B"/>
    <w:rsid w:val="00DF2BC3"/>
    <w:rsid w:val="00DF3240"/>
    <w:rsid w:val="00DF48A9"/>
    <w:rsid w:val="00DF4B03"/>
    <w:rsid w:val="00DF5346"/>
    <w:rsid w:val="00DF62A7"/>
    <w:rsid w:val="00E00EE2"/>
    <w:rsid w:val="00E01086"/>
    <w:rsid w:val="00E01417"/>
    <w:rsid w:val="00E014B3"/>
    <w:rsid w:val="00E01685"/>
    <w:rsid w:val="00E01730"/>
    <w:rsid w:val="00E022D4"/>
    <w:rsid w:val="00E024A6"/>
    <w:rsid w:val="00E02BB1"/>
    <w:rsid w:val="00E04910"/>
    <w:rsid w:val="00E04CBF"/>
    <w:rsid w:val="00E05364"/>
    <w:rsid w:val="00E0599F"/>
    <w:rsid w:val="00E05F27"/>
    <w:rsid w:val="00E065EE"/>
    <w:rsid w:val="00E0782F"/>
    <w:rsid w:val="00E106C7"/>
    <w:rsid w:val="00E11DAA"/>
    <w:rsid w:val="00E120BF"/>
    <w:rsid w:val="00E121CB"/>
    <w:rsid w:val="00E12442"/>
    <w:rsid w:val="00E13C17"/>
    <w:rsid w:val="00E13DED"/>
    <w:rsid w:val="00E14B6C"/>
    <w:rsid w:val="00E14D4E"/>
    <w:rsid w:val="00E15EB3"/>
    <w:rsid w:val="00E16006"/>
    <w:rsid w:val="00E1706B"/>
    <w:rsid w:val="00E2070C"/>
    <w:rsid w:val="00E21030"/>
    <w:rsid w:val="00E2222E"/>
    <w:rsid w:val="00E2306E"/>
    <w:rsid w:val="00E23BEB"/>
    <w:rsid w:val="00E25554"/>
    <w:rsid w:val="00E25CB6"/>
    <w:rsid w:val="00E27852"/>
    <w:rsid w:val="00E30438"/>
    <w:rsid w:val="00E314F1"/>
    <w:rsid w:val="00E3182C"/>
    <w:rsid w:val="00E3468F"/>
    <w:rsid w:val="00E34AA0"/>
    <w:rsid w:val="00E34D8C"/>
    <w:rsid w:val="00E35982"/>
    <w:rsid w:val="00E36AD8"/>
    <w:rsid w:val="00E37529"/>
    <w:rsid w:val="00E40A46"/>
    <w:rsid w:val="00E418D4"/>
    <w:rsid w:val="00E438EE"/>
    <w:rsid w:val="00E440D8"/>
    <w:rsid w:val="00E459AE"/>
    <w:rsid w:val="00E46B02"/>
    <w:rsid w:val="00E47033"/>
    <w:rsid w:val="00E52C0A"/>
    <w:rsid w:val="00E53F17"/>
    <w:rsid w:val="00E54B38"/>
    <w:rsid w:val="00E567A9"/>
    <w:rsid w:val="00E57D17"/>
    <w:rsid w:val="00E6059B"/>
    <w:rsid w:val="00E607C4"/>
    <w:rsid w:val="00E60CCB"/>
    <w:rsid w:val="00E637AF"/>
    <w:rsid w:val="00E63C63"/>
    <w:rsid w:val="00E64E5C"/>
    <w:rsid w:val="00E64E89"/>
    <w:rsid w:val="00E664CF"/>
    <w:rsid w:val="00E66D44"/>
    <w:rsid w:val="00E66FCD"/>
    <w:rsid w:val="00E67425"/>
    <w:rsid w:val="00E67956"/>
    <w:rsid w:val="00E67C42"/>
    <w:rsid w:val="00E711B2"/>
    <w:rsid w:val="00E717FA"/>
    <w:rsid w:val="00E72DB8"/>
    <w:rsid w:val="00E74812"/>
    <w:rsid w:val="00E74C40"/>
    <w:rsid w:val="00E74F3A"/>
    <w:rsid w:val="00E752F1"/>
    <w:rsid w:val="00E756D1"/>
    <w:rsid w:val="00E77E63"/>
    <w:rsid w:val="00E77F1D"/>
    <w:rsid w:val="00E824AB"/>
    <w:rsid w:val="00E82E87"/>
    <w:rsid w:val="00E83E4B"/>
    <w:rsid w:val="00E8516C"/>
    <w:rsid w:val="00E87E4A"/>
    <w:rsid w:val="00E90464"/>
    <w:rsid w:val="00E9197D"/>
    <w:rsid w:val="00E92D31"/>
    <w:rsid w:val="00E95647"/>
    <w:rsid w:val="00E9579A"/>
    <w:rsid w:val="00E96C52"/>
    <w:rsid w:val="00E96FB0"/>
    <w:rsid w:val="00E973F1"/>
    <w:rsid w:val="00EA013D"/>
    <w:rsid w:val="00EA261C"/>
    <w:rsid w:val="00EA2E0C"/>
    <w:rsid w:val="00EA3BFE"/>
    <w:rsid w:val="00EA4794"/>
    <w:rsid w:val="00EA4A80"/>
    <w:rsid w:val="00EA4D6E"/>
    <w:rsid w:val="00EA5AA4"/>
    <w:rsid w:val="00EA6697"/>
    <w:rsid w:val="00EA6A55"/>
    <w:rsid w:val="00EB022F"/>
    <w:rsid w:val="00EB0F7C"/>
    <w:rsid w:val="00EB1EA7"/>
    <w:rsid w:val="00EB2593"/>
    <w:rsid w:val="00EB2CA1"/>
    <w:rsid w:val="00EB2EA1"/>
    <w:rsid w:val="00EB33D5"/>
    <w:rsid w:val="00EB352A"/>
    <w:rsid w:val="00EB361D"/>
    <w:rsid w:val="00EB3D04"/>
    <w:rsid w:val="00EB4BB7"/>
    <w:rsid w:val="00EB5108"/>
    <w:rsid w:val="00EB55B4"/>
    <w:rsid w:val="00EB61AD"/>
    <w:rsid w:val="00EB623C"/>
    <w:rsid w:val="00EB6680"/>
    <w:rsid w:val="00EB6A7C"/>
    <w:rsid w:val="00EB7024"/>
    <w:rsid w:val="00EB7F44"/>
    <w:rsid w:val="00EC0595"/>
    <w:rsid w:val="00EC1829"/>
    <w:rsid w:val="00EC2FDA"/>
    <w:rsid w:val="00EC3F90"/>
    <w:rsid w:val="00ED0681"/>
    <w:rsid w:val="00ED0890"/>
    <w:rsid w:val="00ED1764"/>
    <w:rsid w:val="00ED23EB"/>
    <w:rsid w:val="00ED336C"/>
    <w:rsid w:val="00ED37CE"/>
    <w:rsid w:val="00ED4493"/>
    <w:rsid w:val="00ED4C41"/>
    <w:rsid w:val="00ED6DB0"/>
    <w:rsid w:val="00ED7505"/>
    <w:rsid w:val="00ED7689"/>
    <w:rsid w:val="00EE0269"/>
    <w:rsid w:val="00EE0939"/>
    <w:rsid w:val="00EE0F3B"/>
    <w:rsid w:val="00EE1F82"/>
    <w:rsid w:val="00EE2293"/>
    <w:rsid w:val="00EE2468"/>
    <w:rsid w:val="00EE2E44"/>
    <w:rsid w:val="00EE5BD5"/>
    <w:rsid w:val="00EE5CA3"/>
    <w:rsid w:val="00EE6A8C"/>
    <w:rsid w:val="00EE7E19"/>
    <w:rsid w:val="00EE7FD1"/>
    <w:rsid w:val="00EF07D7"/>
    <w:rsid w:val="00EF0C0B"/>
    <w:rsid w:val="00EF0FE8"/>
    <w:rsid w:val="00EF14D2"/>
    <w:rsid w:val="00EF2DB8"/>
    <w:rsid w:val="00EF328B"/>
    <w:rsid w:val="00EF3C18"/>
    <w:rsid w:val="00EF4E02"/>
    <w:rsid w:val="00EF4FDC"/>
    <w:rsid w:val="00EF5AE9"/>
    <w:rsid w:val="00F002E6"/>
    <w:rsid w:val="00F0034B"/>
    <w:rsid w:val="00F00396"/>
    <w:rsid w:val="00F007BD"/>
    <w:rsid w:val="00F02189"/>
    <w:rsid w:val="00F02A3B"/>
    <w:rsid w:val="00F03095"/>
    <w:rsid w:val="00F03B6E"/>
    <w:rsid w:val="00F045D9"/>
    <w:rsid w:val="00F05C12"/>
    <w:rsid w:val="00F10716"/>
    <w:rsid w:val="00F119BA"/>
    <w:rsid w:val="00F121EB"/>
    <w:rsid w:val="00F126BE"/>
    <w:rsid w:val="00F13ED8"/>
    <w:rsid w:val="00F1465E"/>
    <w:rsid w:val="00F14D78"/>
    <w:rsid w:val="00F15425"/>
    <w:rsid w:val="00F15E10"/>
    <w:rsid w:val="00F16A86"/>
    <w:rsid w:val="00F170B8"/>
    <w:rsid w:val="00F21F29"/>
    <w:rsid w:val="00F2203B"/>
    <w:rsid w:val="00F2275B"/>
    <w:rsid w:val="00F233B2"/>
    <w:rsid w:val="00F235D6"/>
    <w:rsid w:val="00F242DB"/>
    <w:rsid w:val="00F262AD"/>
    <w:rsid w:val="00F27D6B"/>
    <w:rsid w:val="00F27E33"/>
    <w:rsid w:val="00F31B7E"/>
    <w:rsid w:val="00F324A1"/>
    <w:rsid w:val="00F331FF"/>
    <w:rsid w:val="00F34A34"/>
    <w:rsid w:val="00F370A5"/>
    <w:rsid w:val="00F37D1B"/>
    <w:rsid w:val="00F37DF6"/>
    <w:rsid w:val="00F413BB"/>
    <w:rsid w:val="00F418AC"/>
    <w:rsid w:val="00F4259B"/>
    <w:rsid w:val="00F428EF"/>
    <w:rsid w:val="00F5032D"/>
    <w:rsid w:val="00F50D2A"/>
    <w:rsid w:val="00F50F32"/>
    <w:rsid w:val="00F5197D"/>
    <w:rsid w:val="00F51DDD"/>
    <w:rsid w:val="00F528FB"/>
    <w:rsid w:val="00F5300C"/>
    <w:rsid w:val="00F53407"/>
    <w:rsid w:val="00F5459F"/>
    <w:rsid w:val="00F5469B"/>
    <w:rsid w:val="00F55AC9"/>
    <w:rsid w:val="00F56E01"/>
    <w:rsid w:val="00F5783E"/>
    <w:rsid w:val="00F57A60"/>
    <w:rsid w:val="00F6034D"/>
    <w:rsid w:val="00F61264"/>
    <w:rsid w:val="00F61B95"/>
    <w:rsid w:val="00F61E58"/>
    <w:rsid w:val="00F62885"/>
    <w:rsid w:val="00F62DE3"/>
    <w:rsid w:val="00F63A7A"/>
    <w:rsid w:val="00F643D6"/>
    <w:rsid w:val="00F64585"/>
    <w:rsid w:val="00F64CE2"/>
    <w:rsid w:val="00F710CE"/>
    <w:rsid w:val="00F739A7"/>
    <w:rsid w:val="00F73A58"/>
    <w:rsid w:val="00F741DE"/>
    <w:rsid w:val="00F74C6B"/>
    <w:rsid w:val="00F75AB1"/>
    <w:rsid w:val="00F76D6C"/>
    <w:rsid w:val="00F76F0F"/>
    <w:rsid w:val="00F77E3F"/>
    <w:rsid w:val="00F80257"/>
    <w:rsid w:val="00F81018"/>
    <w:rsid w:val="00F81EDA"/>
    <w:rsid w:val="00F8475E"/>
    <w:rsid w:val="00F84EE0"/>
    <w:rsid w:val="00F86EBC"/>
    <w:rsid w:val="00F87D2F"/>
    <w:rsid w:val="00F9067C"/>
    <w:rsid w:val="00F9088D"/>
    <w:rsid w:val="00F90B83"/>
    <w:rsid w:val="00F91FD6"/>
    <w:rsid w:val="00F94304"/>
    <w:rsid w:val="00F949D9"/>
    <w:rsid w:val="00F9694D"/>
    <w:rsid w:val="00F969FC"/>
    <w:rsid w:val="00F973A0"/>
    <w:rsid w:val="00F974E8"/>
    <w:rsid w:val="00F97FF3"/>
    <w:rsid w:val="00FA24B3"/>
    <w:rsid w:val="00FA4279"/>
    <w:rsid w:val="00FA4607"/>
    <w:rsid w:val="00FA4910"/>
    <w:rsid w:val="00FA4D8D"/>
    <w:rsid w:val="00FA5862"/>
    <w:rsid w:val="00FA63BA"/>
    <w:rsid w:val="00FA70F6"/>
    <w:rsid w:val="00FA72BD"/>
    <w:rsid w:val="00FA78F4"/>
    <w:rsid w:val="00FA7C93"/>
    <w:rsid w:val="00FB04C9"/>
    <w:rsid w:val="00FB05B7"/>
    <w:rsid w:val="00FB093F"/>
    <w:rsid w:val="00FB0F8B"/>
    <w:rsid w:val="00FB102E"/>
    <w:rsid w:val="00FB3070"/>
    <w:rsid w:val="00FB3AF6"/>
    <w:rsid w:val="00FB67C1"/>
    <w:rsid w:val="00FB6A0F"/>
    <w:rsid w:val="00FB6AC1"/>
    <w:rsid w:val="00FB6B3F"/>
    <w:rsid w:val="00FC00B0"/>
    <w:rsid w:val="00FC1A96"/>
    <w:rsid w:val="00FC20F3"/>
    <w:rsid w:val="00FC3C0A"/>
    <w:rsid w:val="00FC4D36"/>
    <w:rsid w:val="00FC6675"/>
    <w:rsid w:val="00FC6A89"/>
    <w:rsid w:val="00FD0069"/>
    <w:rsid w:val="00FD064C"/>
    <w:rsid w:val="00FD0889"/>
    <w:rsid w:val="00FD15DA"/>
    <w:rsid w:val="00FD190F"/>
    <w:rsid w:val="00FD1A36"/>
    <w:rsid w:val="00FD1EBB"/>
    <w:rsid w:val="00FD2911"/>
    <w:rsid w:val="00FD4A09"/>
    <w:rsid w:val="00FD4A41"/>
    <w:rsid w:val="00FD4C78"/>
    <w:rsid w:val="00FD5FE2"/>
    <w:rsid w:val="00FD646B"/>
    <w:rsid w:val="00FD64F4"/>
    <w:rsid w:val="00FD7785"/>
    <w:rsid w:val="00FE102C"/>
    <w:rsid w:val="00FE109C"/>
    <w:rsid w:val="00FE1CF3"/>
    <w:rsid w:val="00FE273B"/>
    <w:rsid w:val="00FE281F"/>
    <w:rsid w:val="00FE29B5"/>
    <w:rsid w:val="00FE4630"/>
    <w:rsid w:val="00FE4C40"/>
    <w:rsid w:val="00FE5107"/>
    <w:rsid w:val="00FE6A0E"/>
    <w:rsid w:val="00FE76C6"/>
    <w:rsid w:val="00FF067B"/>
    <w:rsid w:val="00FF104E"/>
    <w:rsid w:val="00FF19D5"/>
    <w:rsid w:val="00FF2578"/>
    <w:rsid w:val="00FF3669"/>
    <w:rsid w:val="00FF3D85"/>
    <w:rsid w:val="00FF458F"/>
    <w:rsid w:val="00FF6E9A"/>
    <w:rsid w:val="00FF7572"/>
    <w:rsid w:val="00FF783B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A843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2578"/>
  </w:style>
  <w:style w:type="paragraph" w:styleId="Heading1">
    <w:name w:val="heading 1"/>
    <w:aliases w:val="Rubro (A,B,C)"/>
    <w:basedOn w:val="Normal"/>
    <w:next w:val="Normal"/>
    <w:link w:val="Heading1Char"/>
    <w:qFormat/>
    <w:rsid w:val="006C3A63"/>
    <w:pPr>
      <w:keepNext/>
      <w:keepLines/>
      <w:numPr>
        <w:numId w:val="9"/>
      </w:numPr>
      <w:spacing w:before="480" w:after="0"/>
      <w:outlineLvl w:val="0"/>
    </w:pPr>
    <w:rPr>
      <w:rFonts w:ascii="Calibri" w:eastAsia="Times New Roman" w:hAnsi="Calibri" w:cs="Times New Roma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D5B"/>
    <w:pPr>
      <w:keepNext/>
      <w:keepLines/>
      <w:numPr>
        <w:ilvl w:val="1"/>
        <w:numId w:val="9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274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0C7274"/>
    <w:pPr>
      <w:numPr>
        <w:ilvl w:val="3"/>
        <w:numId w:val="9"/>
      </w:numPr>
      <w:spacing w:after="0" w:line="240" w:lineRule="auto"/>
      <w:outlineLvl w:val="3"/>
    </w:pPr>
    <w:rPr>
      <w:rFonts w:ascii="Times New Roman" w:eastAsiaTheme="minorHAnsi" w:hAnsi="Times New Roman"/>
      <w:lang w:eastAsia="en-US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0C7274"/>
    <w:pPr>
      <w:numPr>
        <w:ilvl w:val="4"/>
        <w:numId w:val="9"/>
      </w:numPr>
      <w:spacing w:after="0" w:line="240" w:lineRule="auto"/>
      <w:outlineLvl w:val="4"/>
    </w:pPr>
    <w:rPr>
      <w:rFonts w:ascii="Times New Roman" w:eastAsiaTheme="minorHAnsi" w:hAnsi="Times New Roman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01E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01E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1E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01E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3E2F"/>
    <w:pPr>
      <w:spacing w:after="0" w:line="240" w:lineRule="auto"/>
    </w:pPr>
    <w:rPr>
      <w:rFonts w:ascii="Arial" w:eastAsia="Calibri" w:hAnsi="Arial" w:cs="Times New Roman"/>
      <w:lang w:val="es-ES_tradnl"/>
    </w:rPr>
  </w:style>
  <w:style w:type="character" w:customStyle="1" w:styleId="NoSpacingChar">
    <w:name w:val="No Spacing Char"/>
    <w:link w:val="NoSpacing"/>
    <w:rsid w:val="00133E2F"/>
    <w:rPr>
      <w:rFonts w:ascii="Arial" w:eastAsia="Calibri" w:hAnsi="Arial" w:cs="Times New Roman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Rubro (A Char,B Char,C) Char"/>
    <w:basedOn w:val="DefaultParagraphFont"/>
    <w:link w:val="Heading1"/>
    <w:rsid w:val="006C3A63"/>
    <w:rPr>
      <w:rFonts w:ascii="Calibri" w:eastAsia="Times New Roman" w:hAnsi="Calibri" w:cs="Times New Roman"/>
      <w:b/>
      <w:bCs/>
      <w:color w:val="000000" w:themeColor="text1"/>
      <w:sz w:val="28"/>
      <w:szCs w:val="28"/>
    </w:rPr>
  </w:style>
  <w:style w:type="paragraph" w:styleId="ListParagraph">
    <w:name w:val="List Paragraph"/>
    <w:aliases w:val="titulo 5,MAPA,Viñeta,TITULO A,Cuadro 2-1,paul2,Iz - Párrafo de lista,Sivsa Parrafo,Titulo de Fígura,Fundamentacion,Lista vistosa - Énfasis 11,Report Para,Number Bullets,Resume Title,heading 4,Citation List,WinDForce-Letter,Heading 2_sj"/>
    <w:basedOn w:val="Normal"/>
    <w:link w:val="ListParagraphChar"/>
    <w:uiPriority w:val="34"/>
    <w:qFormat/>
    <w:rsid w:val="006C3A6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Estilo2">
    <w:name w:val="Estilo2"/>
    <w:uiPriority w:val="99"/>
    <w:rsid w:val="006C3A63"/>
    <w:pPr>
      <w:numPr>
        <w:numId w:val="1"/>
      </w:numPr>
    </w:pPr>
  </w:style>
  <w:style w:type="paragraph" w:styleId="FootnoteText">
    <w:name w:val="footnote text"/>
    <w:aliases w:val="Footnote Text English,fn,single space,footnote text,FOOTNOTES,Texto nota pie IIRSA, Car3 Car,Car3 Car,Footnote Text Char Char Char,Footnote Text Char Char,FT,footnote, Car,CO Texto nota pie,Ftnote Txt 11ptG Car Car,Ftnote Txt 11ptG Car,Ca"/>
    <w:basedOn w:val="Normal"/>
    <w:link w:val="FootnoteTextChar"/>
    <w:uiPriority w:val="99"/>
    <w:qFormat/>
    <w:rsid w:val="00406E5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FootnoteTextChar">
    <w:name w:val="Footnote Text Char"/>
    <w:aliases w:val="Footnote Text English Char,fn Char,single space Char,footnote text Char,FOOTNOTES Char,Texto nota pie IIRSA Char, Car3 Car Char,Car3 Car Char,Footnote Text Char Char Char Char,Footnote Text Char Char Char1,FT Char,footnote Char"/>
    <w:basedOn w:val="DefaultParagraphFont"/>
    <w:link w:val="FootnoteText"/>
    <w:uiPriority w:val="99"/>
    <w:rsid w:val="00406E51"/>
    <w:rPr>
      <w:rFonts w:ascii="Arial" w:eastAsia="Times New Roman" w:hAnsi="Arial" w:cs="Times New Roman"/>
      <w:sz w:val="20"/>
      <w:szCs w:val="20"/>
      <w:lang w:eastAsia="es-ES"/>
    </w:rPr>
  </w:style>
  <w:style w:type="character" w:styleId="FootnoteReference">
    <w:name w:val="footnote reference"/>
    <w:aliases w:val="16 Point,Superscript 6 Point,sobrescrito,Ref. de nota al pi,FC,ftref,Style 6,Ref,de nota al pie, BVI fnr,BVI fnr,referencia nota al pie,Fußnotenzeichen DISS,Style 24,titulo 2,pie pddes,Ref. de nota al pie.,(Ref. de nota al pie),fr"/>
    <w:qFormat/>
    <w:rsid w:val="00406E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794B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07B67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7B67"/>
    <w:rPr>
      <w:rFonts w:ascii="Arial" w:eastAsia="Times New Roman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A30BC"/>
    <w:pPr>
      <w:outlineLvl w:val="9"/>
    </w:pPr>
    <w:rPr>
      <w:lang w:val="es-ES"/>
    </w:rPr>
  </w:style>
  <w:style w:type="paragraph" w:styleId="Caption">
    <w:name w:val="caption"/>
    <w:basedOn w:val="Normal"/>
    <w:next w:val="Normal"/>
    <w:uiPriority w:val="35"/>
    <w:qFormat/>
    <w:rsid w:val="000A30BC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paragraph" w:styleId="Header">
    <w:name w:val="header"/>
    <w:aliases w:val="encabezado,En-tête Chapitre,Car,de1,tda,ContentsHeader,heading 3 after h2,h3+,Haut de page,Encabezado 2"/>
    <w:basedOn w:val="Normal"/>
    <w:link w:val="HeaderChar"/>
    <w:uiPriority w:val="99"/>
    <w:unhideWhenUsed/>
    <w:rsid w:val="002D74ED"/>
    <w:pPr>
      <w:tabs>
        <w:tab w:val="center" w:pos="4419"/>
        <w:tab w:val="right" w:pos="8838"/>
      </w:tabs>
      <w:spacing w:after="0" w:line="240" w:lineRule="auto"/>
    </w:pPr>
    <w:rPr>
      <w:rFonts w:ascii="Constantia" w:eastAsia="Constantia" w:hAnsi="Constantia" w:cs="Times New Roman"/>
    </w:rPr>
  </w:style>
  <w:style w:type="character" w:customStyle="1" w:styleId="HeaderChar">
    <w:name w:val="Header Char"/>
    <w:aliases w:val="encabezado Char,En-tête Chapitre Char,Car Char,de1 Char,tda Char,ContentsHeader Char,heading 3 after h2 Char,h3+ Char,Haut de page Char,Encabezado 2 Char"/>
    <w:basedOn w:val="DefaultParagraphFont"/>
    <w:link w:val="Header"/>
    <w:uiPriority w:val="99"/>
    <w:rsid w:val="002D74ED"/>
    <w:rPr>
      <w:rFonts w:ascii="Constantia" w:eastAsia="Constantia" w:hAnsi="Constantia" w:cs="Times New Roman"/>
    </w:rPr>
  </w:style>
  <w:style w:type="table" w:styleId="TableGrid">
    <w:name w:val="Table Grid"/>
    <w:basedOn w:val="TableNormal"/>
    <w:uiPriority w:val="39"/>
    <w:rsid w:val="002D74ED"/>
    <w:pPr>
      <w:spacing w:after="0" w:line="240" w:lineRule="auto"/>
    </w:pPr>
    <w:rPr>
      <w:rFonts w:ascii="Constantia" w:eastAsia="Constantia" w:hAnsi="Constant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semiHidden/>
    <w:rsid w:val="002D74ED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rsid w:val="002D74ED"/>
    <w:rPr>
      <w:rFonts w:ascii="Arial" w:eastAsia="Times New Roman" w:hAnsi="Arial" w:cs="Times New Roman"/>
      <w:sz w:val="20"/>
      <w:szCs w:val="20"/>
      <w:lang w:val="es-ES_tradnl" w:eastAsia="es-PE"/>
    </w:rPr>
  </w:style>
  <w:style w:type="paragraph" w:styleId="Footer">
    <w:name w:val="footer"/>
    <w:basedOn w:val="Normal"/>
    <w:link w:val="FooterChar"/>
    <w:uiPriority w:val="99"/>
    <w:unhideWhenUsed/>
    <w:rsid w:val="00C07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A0"/>
  </w:style>
  <w:style w:type="paragraph" w:customStyle="1" w:styleId="Normal3">
    <w:name w:val="Normal 3"/>
    <w:basedOn w:val="Normal"/>
    <w:qFormat/>
    <w:rsid w:val="001E69F4"/>
    <w:pPr>
      <w:spacing w:line="360" w:lineRule="auto"/>
      <w:ind w:left="708"/>
      <w:jc w:val="both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0BAA"/>
    <w:rPr>
      <w:strike w:val="0"/>
      <w:dstrike w:val="0"/>
      <w:color w:val="003399"/>
      <w:u w:val="none"/>
      <w:effect w:val="none"/>
    </w:rPr>
  </w:style>
  <w:style w:type="paragraph" w:customStyle="1" w:styleId="consultaletra">
    <w:name w:val="consulta_letra"/>
    <w:basedOn w:val="Normal"/>
    <w:rsid w:val="00160B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ListParagraphChar">
    <w:name w:val="List Paragraph Char"/>
    <w:aliases w:val="titulo 5 Char,MAPA Char,Viñeta Char,TITULO A Char,Cuadro 2-1 Char,paul2 Char,Iz - Párrafo de lista Char,Sivsa Parrafo Char,Titulo de Fígura Char,Fundamentacion Char,Lista vistosa - Énfasis 11 Char,Report Para Char,Number Bullets Char"/>
    <w:link w:val="ListParagraph"/>
    <w:uiPriority w:val="34"/>
    <w:qFormat/>
    <w:rsid w:val="00961F60"/>
    <w:rPr>
      <w:rFonts w:ascii="Calibri" w:eastAsia="Calibri" w:hAnsi="Calibri" w:cs="Times New Roman"/>
    </w:rPr>
  </w:style>
  <w:style w:type="character" w:customStyle="1" w:styleId="Estilo2Car">
    <w:name w:val="Estilo2 Car"/>
    <w:basedOn w:val="Heading1Char"/>
    <w:rsid w:val="00961F60"/>
    <w:rPr>
      <w:rFonts w:ascii="Arial" w:eastAsia="Times New Roman" w:hAnsi="Arial" w:cs="Arial"/>
      <w:b/>
      <w:bCs/>
      <w:caps/>
      <w:color w:val="000000" w:themeColor="text1"/>
      <w:sz w:val="21"/>
      <w:szCs w:val="21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8B4D5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2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4FB4"/>
    <w:pPr>
      <w:tabs>
        <w:tab w:val="left" w:pos="1276"/>
        <w:tab w:val="right" w:leader="dot" w:pos="9356"/>
      </w:tabs>
      <w:spacing w:after="0" w:line="240" w:lineRule="auto"/>
      <w:ind w:left="709" w:hanging="567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2462"/>
    <w:pPr>
      <w:tabs>
        <w:tab w:val="right" w:leader="dot" w:pos="9350"/>
      </w:tabs>
      <w:spacing w:before="240" w:after="0"/>
    </w:pPr>
    <w:rPr>
      <w:rFonts w:ascii="Arial" w:hAnsi="Arial" w:cs="Arial"/>
      <w:b/>
      <w:noProof/>
      <w:lang w:val="es-PY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7274"/>
    <w:pPr>
      <w:spacing w:after="0"/>
      <w:ind w:left="22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C7274"/>
    <w:rPr>
      <w:rFonts w:ascii="Times New Roman" w:eastAsiaTheme="minorHAnsi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C7274"/>
    <w:rPr>
      <w:rFonts w:ascii="Times New Roman" w:eastAsiaTheme="minorHAnsi" w:hAnsi="Times New Roman" w:cs="Times New Roman"/>
      <w:lang w:eastAsia="en-US"/>
    </w:rPr>
  </w:style>
  <w:style w:type="paragraph" w:customStyle="1" w:styleId="Normal2">
    <w:name w:val="Normal 2"/>
    <w:basedOn w:val="Normal"/>
    <w:qFormat/>
    <w:rsid w:val="000C7274"/>
    <w:pPr>
      <w:spacing w:after="0" w:line="240" w:lineRule="auto"/>
      <w:ind w:left="360"/>
    </w:pPr>
    <w:rPr>
      <w:rFonts w:ascii="Times New Roman" w:eastAsiaTheme="minorHAnsi" w:hAnsi="Times New Roman" w:cs="Times New Roman"/>
      <w:lang w:eastAsia="en-US"/>
    </w:rPr>
  </w:style>
  <w:style w:type="paragraph" w:customStyle="1" w:styleId="Normal4">
    <w:name w:val="Normal 4"/>
    <w:basedOn w:val="Normal"/>
    <w:qFormat/>
    <w:rsid w:val="000C7274"/>
    <w:pPr>
      <w:spacing w:after="0" w:line="240" w:lineRule="auto"/>
      <w:ind w:left="1080"/>
    </w:pPr>
    <w:rPr>
      <w:rFonts w:ascii="Times New Roman" w:eastAsiaTheme="minorHAnsi" w:hAnsi="Times New Roman" w:cs="Times New Roman"/>
      <w:lang w:eastAsia="en-US"/>
    </w:rPr>
  </w:style>
  <w:style w:type="paragraph" w:customStyle="1" w:styleId="Normal5">
    <w:name w:val="Normal 5"/>
    <w:basedOn w:val="Normal"/>
    <w:qFormat/>
    <w:rsid w:val="000C7274"/>
    <w:pPr>
      <w:spacing w:after="0" w:line="240" w:lineRule="auto"/>
      <w:ind w:left="1416"/>
    </w:pPr>
    <w:rPr>
      <w:rFonts w:ascii="Times New Roman" w:eastAsiaTheme="minorHAnsi" w:hAnsi="Times New Roman" w:cs="Times New Roman"/>
      <w:lang w:eastAsia="en-US"/>
    </w:rPr>
  </w:style>
  <w:style w:type="paragraph" w:customStyle="1" w:styleId="Normal1">
    <w:name w:val="Normal 1"/>
    <w:basedOn w:val="Normal"/>
    <w:qFormat/>
    <w:rsid w:val="000C727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hapter">
    <w:name w:val="Chapter"/>
    <w:basedOn w:val="Normal"/>
    <w:next w:val="Normal"/>
    <w:rsid w:val="000C7274"/>
    <w:pPr>
      <w:keepNext/>
      <w:numPr>
        <w:numId w:val="3"/>
      </w:numPr>
      <w:tabs>
        <w:tab w:val="clear" w:pos="1800"/>
        <w:tab w:val="num" w:pos="648"/>
        <w:tab w:val="left" w:pos="1440"/>
      </w:tabs>
      <w:spacing w:before="240" w:after="240" w:line="240" w:lineRule="auto"/>
      <w:ind w:left="0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val="es-ES" w:eastAsia="en-US"/>
    </w:rPr>
  </w:style>
  <w:style w:type="paragraph" w:customStyle="1" w:styleId="Paragraph">
    <w:name w:val="Paragraph"/>
    <w:aliases w:val="paragraph,p,PARAGRAPH,PG,pa,at,paragraph+1"/>
    <w:basedOn w:val="BodyTextIndent"/>
    <w:link w:val="ParagraphChar"/>
    <w:qFormat/>
    <w:rsid w:val="000C7274"/>
    <w:pPr>
      <w:numPr>
        <w:ilvl w:val="1"/>
        <w:numId w:val="3"/>
      </w:numPr>
      <w:tabs>
        <w:tab w:val="clear" w:pos="1746"/>
      </w:tabs>
      <w:ind w:left="283" w:firstLine="0"/>
    </w:pPr>
  </w:style>
  <w:style w:type="paragraph" w:customStyle="1" w:styleId="subpar">
    <w:name w:val="subpar"/>
    <w:basedOn w:val="BodyTextIndent3"/>
    <w:rsid w:val="000C7274"/>
    <w:pPr>
      <w:numPr>
        <w:ilvl w:val="2"/>
        <w:numId w:val="3"/>
      </w:numPr>
      <w:tabs>
        <w:tab w:val="clear" w:pos="2304"/>
      </w:tabs>
      <w:ind w:left="283" w:firstLine="0"/>
    </w:pPr>
  </w:style>
  <w:style w:type="paragraph" w:customStyle="1" w:styleId="SubSubPar">
    <w:name w:val="SubSubPar"/>
    <w:basedOn w:val="subpar"/>
    <w:rsid w:val="000C7274"/>
    <w:pPr>
      <w:numPr>
        <w:ilvl w:val="3"/>
      </w:numPr>
      <w:tabs>
        <w:tab w:val="clear" w:pos="2736"/>
        <w:tab w:val="left" w:pos="0"/>
        <w:tab w:val="num" w:pos="360"/>
        <w:tab w:val="num" w:pos="1152"/>
        <w:tab w:val="num" w:pos="1296"/>
      </w:tabs>
      <w:spacing w:before="120"/>
      <w:ind w:left="1296"/>
      <w:outlineLvl w:val="2"/>
    </w:pPr>
    <w:rPr>
      <w:rFonts w:eastAsia="Times New Roman"/>
      <w:sz w:val="24"/>
      <w:szCs w:val="24"/>
      <w:lang w:val="es-ES"/>
    </w:rPr>
  </w:style>
  <w:style w:type="character" w:customStyle="1" w:styleId="ParagraphChar">
    <w:name w:val="Paragraph Char"/>
    <w:aliases w:val="p Char,PARAGRAPH Char,PG Char,pa Char,at Char,paragraph Char"/>
    <w:basedOn w:val="Heading2Char"/>
    <w:link w:val="Paragraph"/>
    <w:rsid w:val="000C7274"/>
    <w:rPr>
      <w:rFonts w:ascii="Times New Roman" w:eastAsiaTheme="minorHAnsi" w:hAnsi="Times New Roman" w:cs="Times New Roman"/>
      <w:b w:val="0"/>
      <w:bCs w:val="0"/>
      <w:sz w:val="24"/>
      <w:szCs w:val="2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274"/>
    <w:pPr>
      <w:spacing w:after="120" w:line="240" w:lineRule="auto"/>
      <w:ind w:left="283"/>
    </w:pPr>
    <w:rPr>
      <w:rFonts w:ascii="Times New Roman" w:eastAsiaTheme="minorHAnsi" w:hAnsi="Times New Roman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274"/>
    <w:rPr>
      <w:rFonts w:ascii="Times New Roman" w:eastAsiaTheme="minorHAnsi" w:hAnsi="Times New Roman"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7274"/>
    <w:pPr>
      <w:spacing w:after="120" w:line="240" w:lineRule="auto"/>
      <w:ind w:left="283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7274"/>
    <w:rPr>
      <w:rFonts w:ascii="Times New Roman" w:eastAsiaTheme="minorHAnsi" w:hAnsi="Times New Roman" w:cs="Times New Roman"/>
      <w:sz w:val="16"/>
      <w:szCs w:val="16"/>
      <w:lang w:eastAsia="en-US"/>
    </w:rPr>
  </w:style>
  <w:style w:type="numbering" w:customStyle="1" w:styleId="Estilo21">
    <w:name w:val="Estilo21"/>
    <w:basedOn w:val="NoList"/>
    <w:rsid w:val="000C7274"/>
    <w:pPr>
      <w:numPr>
        <w:numId w:val="4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0C7274"/>
    <w:pPr>
      <w:spacing w:after="0"/>
      <w:ind w:left="440"/>
    </w:pPr>
    <w:rPr>
      <w:sz w:val="20"/>
      <w:szCs w:val="20"/>
    </w:rPr>
  </w:style>
  <w:style w:type="paragraph" w:customStyle="1" w:styleId="Encabezado1">
    <w:name w:val="Encabezado1"/>
    <w:basedOn w:val="Normal"/>
    <w:qFormat/>
    <w:rsid w:val="000C7274"/>
    <w:pPr>
      <w:spacing w:after="0" w:line="240" w:lineRule="auto"/>
      <w:jc w:val="center"/>
    </w:pPr>
    <w:rPr>
      <w:rFonts w:ascii="Times New Roman" w:eastAsiaTheme="minorHAnsi" w:hAnsi="Times New Roman" w:cs="Times New Roman"/>
      <w:smallCaps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7274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274"/>
    <w:pPr>
      <w:spacing w:after="120" w:line="240" w:lineRule="auto"/>
    </w:pPr>
    <w:rPr>
      <w:rFonts w:ascii="Times New Roman" w:eastAsiaTheme="minorHAnsi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274"/>
    <w:rPr>
      <w:rFonts w:ascii="Times New Roman" w:eastAsiaTheme="minorHAnsi" w:hAnsi="Times New Roman" w:cs="Times New Roman"/>
      <w:lang w:eastAsia="en-US"/>
    </w:rPr>
  </w:style>
  <w:style w:type="character" w:customStyle="1" w:styleId="ParagraphCar">
    <w:name w:val="Paragraph Car"/>
    <w:basedOn w:val="DefaultParagraphFont"/>
    <w:locked/>
    <w:rsid w:val="000C7274"/>
    <w:rPr>
      <w:sz w:val="24"/>
      <w:lang w:val="es-ES"/>
    </w:rPr>
  </w:style>
  <w:style w:type="paragraph" w:customStyle="1" w:styleId="Fespecifica">
    <w:name w:val="F_especifica"/>
    <w:basedOn w:val="Normal"/>
    <w:qFormat/>
    <w:rsid w:val="000C7274"/>
    <w:pPr>
      <w:numPr>
        <w:numId w:val="6"/>
      </w:num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Fbull">
    <w:name w:val="F_bull"/>
    <w:basedOn w:val="ListParagraph"/>
    <w:qFormat/>
    <w:rsid w:val="000C7274"/>
    <w:pPr>
      <w:numPr>
        <w:numId w:val="5"/>
      </w:numPr>
      <w:spacing w:after="0" w:line="240" w:lineRule="auto"/>
      <w:contextualSpacing w:val="0"/>
    </w:pPr>
    <w:rPr>
      <w:rFonts w:ascii="Times New Roman" w:hAnsi="Times New Roman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C7274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C7274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C7274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C7274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C7274"/>
    <w:pPr>
      <w:spacing w:after="0"/>
      <w:ind w:left="1540"/>
    </w:pPr>
    <w:rPr>
      <w:sz w:val="20"/>
      <w:szCs w:val="20"/>
    </w:rPr>
  </w:style>
  <w:style w:type="paragraph" w:customStyle="1" w:styleId="P1">
    <w:name w:val="P1"/>
    <w:basedOn w:val="Normal"/>
    <w:qFormat/>
    <w:rsid w:val="000C7274"/>
    <w:pPr>
      <w:spacing w:before="120" w:after="120"/>
      <w:ind w:left="357"/>
    </w:pPr>
    <w:rPr>
      <w:rFonts w:ascii="Times New Roman" w:eastAsia="Times New Roman" w:hAnsi="Times New Roman" w:cs="Times New Roman"/>
      <w:sz w:val="24"/>
      <w:lang w:eastAsia="en-US" w:bidi="en-US"/>
    </w:rPr>
  </w:style>
  <w:style w:type="character" w:styleId="CommentReference">
    <w:name w:val="annotation reference"/>
    <w:basedOn w:val="DefaultParagraphFont"/>
    <w:uiPriority w:val="99"/>
    <w:unhideWhenUsed/>
    <w:rsid w:val="000C7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27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27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274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ListNumber">
    <w:name w:val="List Number"/>
    <w:basedOn w:val="Normal"/>
    <w:next w:val="Normal1"/>
    <w:rsid w:val="000C7274"/>
    <w:pPr>
      <w:keepNext/>
      <w:keepLines/>
      <w:numPr>
        <w:numId w:val="7"/>
      </w:numPr>
      <w:spacing w:before="240" w:after="80" w:line="240" w:lineRule="auto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paragraph" w:styleId="ListNumber2">
    <w:name w:val="List Number 2"/>
    <w:basedOn w:val="Normal"/>
    <w:next w:val="Normal2"/>
    <w:rsid w:val="000C7274"/>
    <w:pPr>
      <w:keepNext/>
      <w:keepLines/>
      <w:numPr>
        <w:ilvl w:val="1"/>
        <w:numId w:val="7"/>
      </w:numPr>
      <w:spacing w:after="80" w:line="240" w:lineRule="auto"/>
    </w:pPr>
    <w:rPr>
      <w:rFonts w:ascii="Times New Roman" w:eastAsia="Times New Roman" w:hAnsi="Times New Roman" w:cs="Times New Roman"/>
      <w:sz w:val="20"/>
      <w:szCs w:val="24"/>
      <w:u w:val="single"/>
      <w:lang w:eastAsia="es-ES"/>
    </w:rPr>
  </w:style>
  <w:style w:type="paragraph" w:styleId="ListNumber3">
    <w:name w:val="List Number 3"/>
    <w:basedOn w:val="Normal"/>
    <w:next w:val="Normal3"/>
    <w:rsid w:val="000C7274"/>
    <w:pPr>
      <w:keepNext/>
      <w:keepLines/>
      <w:numPr>
        <w:ilvl w:val="2"/>
        <w:numId w:val="7"/>
      </w:numPr>
      <w:spacing w:after="80" w:line="240" w:lineRule="auto"/>
    </w:pPr>
    <w:rPr>
      <w:rFonts w:ascii="Times New Roman" w:eastAsia="Times New Roman" w:hAnsi="Times New Roman" w:cs="Times New Roman"/>
      <w:sz w:val="20"/>
      <w:szCs w:val="24"/>
      <w:u w:val="single"/>
      <w:lang w:eastAsia="es-ES"/>
    </w:rPr>
  </w:style>
  <w:style w:type="paragraph" w:styleId="ListNumber4">
    <w:name w:val="List Number 4"/>
    <w:basedOn w:val="Normal"/>
    <w:next w:val="Normal4"/>
    <w:rsid w:val="000C7274"/>
    <w:pPr>
      <w:keepNext/>
      <w:keepLines/>
      <w:numPr>
        <w:ilvl w:val="3"/>
        <w:numId w:val="7"/>
      </w:numPr>
      <w:spacing w:after="80" w:line="240" w:lineRule="auto"/>
    </w:pPr>
    <w:rPr>
      <w:rFonts w:ascii="Times New Roman" w:eastAsia="Times New Roman" w:hAnsi="Times New Roman" w:cs="Times New Roman"/>
      <w:sz w:val="20"/>
      <w:szCs w:val="24"/>
      <w:u w:val="single"/>
      <w:lang w:eastAsia="es-ES"/>
    </w:rPr>
  </w:style>
  <w:style w:type="paragraph" w:styleId="ListNumber5">
    <w:name w:val="List Number 5"/>
    <w:basedOn w:val="Normal"/>
    <w:rsid w:val="000C7274"/>
    <w:pPr>
      <w:numPr>
        <w:ilvl w:val="4"/>
        <w:numId w:val="7"/>
      </w:numPr>
      <w:tabs>
        <w:tab w:val="clear" w:pos="1985"/>
        <w:tab w:val="num" w:pos="936"/>
      </w:tabs>
      <w:spacing w:after="80" w:line="240" w:lineRule="auto"/>
      <w:ind w:left="936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Revision">
    <w:name w:val="Revision"/>
    <w:hidden/>
    <w:uiPriority w:val="99"/>
    <w:semiHidden/>
    <w:rsid w:val="000C727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727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7274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27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7274"/>
    <w:rPr>
      <w:vertAlign w:val="superscript"/>
    </w:rPr>
  </w:style>
  <w:style w:type="character" w:customStyle="1" w:styleId="st1">
    <w:name w:val="st1"/>
    <w:basedOn w:val="DefaultParagraphFont"/>
    <w:rsid w:val="00813766"/>
  </w:style>
  <w:style w:type="character" w:customStyle="1" w:styleId="Heading6Char">
    <w:name w:val="Heading 6 Char"/>
    <w:basedOn w:val="DefaultParagraphFont"/>
    <w:link w:val="Heading6"/>
    <w:uiPriority w:val="9"/>
    <w:rsid w:val="002601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01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1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01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semiHidden/>
    <w:rsid w:val="00872B47"/>
    <w:pPr>
      <w:tabs>
        <w:tab w:val="left" w:pos="8820"/>
      </w:tabs>
      <w:spacing w:after="0" w:line="240" w:lineRule="auto"/>
      <w:ind w:left="1260" w:right="18" w:hanging="540"/>
      <w:jc w:val="both"/>
    </w:pPr>
    <w:rPr>
      <w:rFonts w:ascii="Arial" w:eastAsia="Times New Roman" w:hAnsi="Arial" w:cs="Arial"/>
      <w:sz w:val="18"/>
      <w:szCs w:val="24"/>
      <w:lang w:val="es-ES" w:eastAsia="es-ES"/>
    </w:rPr>
  </w:style>
  <w:style w:type="character" w:customStyle="1" w:styleId="DefaultChar">
    <w:name w:val="Default Char"/>
    <w:basedOn w:val="DefaultParagraphFont"/>
    <w:link w:val="Default"/>
    <w:rsid w:val="00C045F3"/>
    <w:rPr>
      <w:rFonts w:ascii="Calibri" w:eastAsia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rsid w:val="00AD3812"/>
  </w:style>
  <w:style w:type="paragraph" w:customStyle="1" w:styleId="Epgrafe1CarCar">
    <w:name w:val="Epígrafe 1 Car Car"/>
    <w:basedOn w:val="Normal"/>
    <w:next w:val="Normal"/>
    <w:qFormat/>
    <w:rsid w:val="00AD38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7368C1"/>
    <w:rPr>
      <w:color w:val="605E5C"/>
      <w:shd w:val="clear" w:color="auto" w:fill="E1DFDD"/>
    </w:rPr>
  </w:style>
  <w:style w:type="paragraph" w:customStyle="1" w:styleId="P2">
    <w:name w:val="P2"/>
    <w:basedOn w:val="Normal"/>
    <w:uiPriority w:val="99"/>
    <w:rsid w:val="00A33BFC"/>
    <w:pPr>
      <w:spacing w:before="120" w:after="120"/>
      <w:ind w:left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92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54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header" Target="header1.xml"/><Relationship Id="rId26" Type="http://schemas.openxmlformats.org/officeDocument/2006/relationships/customXml" Target="../customXml/item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23" Type="http://schemas.openxmlformats.org/officeDocument/2006/relationships/customXml" Target="../customXml/item3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7" Type="http://schemas.openxmlformats.org/officeDocument/2006/relationships/customXml" Target="../customXml/item7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99575E76BF4B3B40837D986A6B6EE4A6" ma:contentTypeVersion="2843" ma:contentTypeDescription="The base project type from which other project content types inherit their information." ma:contentTypeScope="" ma:versionID="5270bd692b0b67afd9eb4fb4e4a3cae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ee57c56bc1105c59e0b9cb0f6d74f402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PE-L1230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default="LON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F4D464F2A5A4F64EA4796819647617EB" ma:contentTypeVersion="2843" ma:contentTypeDescription="A content type to manage public (operations) IDB documents" ma:contentTypeScope="" ma:versionID="78c4d5d7585bd91ed46f7507842fe73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4c78f2983d23c0402cda64ffb8bfa497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E-L1230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L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Record_x0020_Number xmlns="cdc7663a-08f0-4737-9e8c-148ce897a09c" xsi:nil="true"/>
    <Key_x0020_Document xmlns="cdc7663a-08f0-4737-9e8c-148ce897a09c">false</Key_x0020_Document>
    <Division_x0020_or_x0020_Unit xmlns="cdc7663a-08f0-4737-9e8c-148ce897a09c">IFD/ICS</Division_x0020_or_x0020_Unit>
    <_dlc_DocId xmlns="cdc7663a-08f0-4737-9e8c-148ce897a09c">EZSHARE-961945135-88</_dlc_DocId>
    <Document_x0020_Author xmlns="cdc7663a-08f0-4737-9e8c-148ce897a09c">Hoffman, Nathalie Alexandra</Document_x0020_Author>
    <TaxCatchAll xmlns="cdc7663a-08f0-4737-9e8c-148ce897a09c">
      <Value>71</Value>
      <Value>44</Value>
      <Value>1</Value>
      <Value>31</Value>
    </TaxCatchAll>
    <Fiscal_x0020_Year_x0020_IDB xmlns="cdc7663a-08f0-4737-9e8c-148ce897a09c">2019</Fiscal_x0020_Year_x0020_IDB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</TermName>
          <TermId xmlns="http://schemas.microsoft.com/office/infopath/2007/PartnerControls">c988f60b-81f1-4c24-8da7-d5473741c5b0</TermId>
        </TermInfo>
      </Terms>
    </ic46d7e087fd4a108fb86518ca413cc6>
    <Operation_x0020_Type xmlns="cdc7663a-08f0-4737-9e8c-148ce897a09c">LON</Operation_x0020_Type>
    <b26cdb1da78c4bb4b1c1bac2f6ac5911 xmlns="cdc7663a-08f0-4737-9e8c-148ce897a09c">
      <Terms xmlns="http://schemas.microsoft.com/office/infopath/2007/PartnerControls"/>
    </b26cdb1da78c4bb4b1c1bac2f6ac5911>
    <Project_x0020_Number xmlns="cdc7663a-08f0-4737-9e8c-148ce897a09c">PE-L1230</Project_x0020_Number>
    <Migration_x0020_Info xmlns="cdc7663a-08f0-4737-9e8c-148ce897a09c" xsi:nil="true"/>
    <Package_x0020_Code xmlns="cdc7663a-08f0-4737-9e8c-148ce897a09c" xsi:nil="true"/>
    <Related_x0020_SisCor_x0020_Number xmlns="cdc7663a-08f0-4737-9e8c-148ce897a09c" xsi:nil="true"/>
    <Approval_x0020_Number xmlns="cdc7663a-08f0-4737-9e8c-148ce897a09c">4959/OC-PE;</Approval_x0020_Number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Business_x0020_Area xmlns="cdc7663a-08f0-4737-9e8c-148ce897a09c" xsi:nil="true"/>
    <SISCOR_x0020_Number xmlns="cdc7663a-08f0-4737-9e8c-148ce897a09c" xsi:nil="true"/>
    <Access_x0020_to_x0020_Information_x00a0_Policy xmlns="cdc7663a-08f0-4737-9e8c-148ce897a09c">Public - Simultaneous Disclosure</Access_x0020_to_x0020_Information_x00a0_Policy>
    <Identifier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RM-JUS</TermName>
          <TermId xmlns="http://schemas.microsoft.com/office/infopath/2007/PartnerControls">8f414175-31d2-470b-971f-627feb27bbc3</TermId>
        </TermInfo>
      </Terms>
    </b2ec7cfb18674cb8803df6b262e8b107>
    <Document_x0020_Language_x0020_IDB xmlns="cdc7663a-08f0-4737-9e8c-148ce897a09c">Spanish</Document_x0020_Language_x0020_IDB>
    <g511464f9e53401d84b16fa9b379a574 xmlns="cdc7663a-08f0-4737-9e8c-148ce897a09c">
      <Terms xmlns="http://schemas.microsoft.com/office/infopath/2007/PartnerControls"/>
    </g511464f9e53401d84b16fa9b379a574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RM</TermName>
          <TermId xmlns="http://schemas.microsoft.com/office/infopath/2007/PartnerControls">c8fda4a7-691a-4c65-b227-9825197b5cd2</TermId>
        </TermInfo>
      </Terms>
    </nddeef1749674d76abdbe4b239a70bc6>
    <_dlc_DocIdUrl xmlns="cdc7663a-08f0-4737-9e8c-148ce897a09c">
      <Url>https://idbg.sharepoint.com/teams/EZ-PE-LON/PE-L1230/_layouts/15/DocIdRedir.aspx?ID=EZSHARE-961945135-88</Url>
      <Description>EZSHARE-961945135-88</Description>
    </_dlc_DocIdUrl>
    <Phase xmlns="cdc7663a-08f0-4737-9e8c-148ce897a09c" xsi:nil="true"/>
    <Other_x0020_Author xmlns="cdc7663a-08f0-4737-9e8c-148ce897a09c" xsi:nil="true"/>
    <IDBDocs_x0020_Number xmlns="cdc7663a-08f0-4737-9e8c-148ce897a09c" xsi:nil="true"/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F1796136-D4A3-40CD-B3DD-D272CACED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7D298-3AA9-4C9E-B8C6-3A66B69E5D44}"/>
</file>

<file path=customXml/itemProps3.xml><?xml version="1.0" encoding="utf-8"?>
<ds:datastoreItem xmlns:ds="http://schemas.openxmlformats.org/officeDocument/2006/customXml" ds:itemID="{DFCCFE6D-E0B4-4A4C-BDFD-7E75443FAECE}"/>
</file>

<file path=customXml/itemProps4.xml><?xml version="1.0" encoding="utf-8"?>
<ds:datastoreItem xmlns:ds="http://schemas.openxmlformats.org/officeDocument/2006/customXml" ds:itemID="{352775D2-1871-4FFC-A779-CCC0D6F849DE}"/>
</file>

<file path=customXml/itemProps5.xml><?xml version="1.0" encoding="utf-8"?>
<ds:datastoreItem xmlns:ds="http://schemas.openxmlformats.org/officeDocument/2006/customXml" ds:itemID="{83362FFB-309B-4463-86BB-FFD4F5E3B954}"/>
</file>

<file path=customXml/itemProps6.xml><?xml version="1.0" encoding="utf-8"?>
<ds:datastoreItem xmlns:ds="http://schemas.openxmlformats.org/officeDocument/2006/customXml" ds:itemID="{48709CC9-DEE5-4F67-AE31-5640C72F799E}"/>
</file>

<file path=customXml/itemProps7.xml><?xml version="1.0" encoding="utf-8"?>
<ds:datastoreItem xmlns:ds="http://schemas.openxmlformats.org/officeDocument/2006/customXml" ds:itemID="{47685136-2C0E-4C0D-AAAE-11BCDA959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8888</Words>
  <Characters>50663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2019-11-27T17:01:00Z</dcterms:created>
  <dcterms:modified xsi:type="dcterms:W3CDTF">2019-11-27T17:01:00Z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4" name="TaxKeywordTaxHTField">
    <vt:lpwstr/>
  </property>
  <property fmtid="{D5CDD505-2E9C-101B-9397-08002B2CF9AE}" pid="5" name="Sub-Sector">
    <vt:lpwstr>71;#RM-JUS|8f414175-31d2-470b-971f-627feb27bbc3</vt:lpwstr>
  </property>
  <property fmtid="{D5CDD505-2E9C-101B-9397-08002B2CF9AE}" pid="6" name="Series Operations IDB">
    <vt:lpwstr/>
  </property>
  <property fmtid="{D5CDD505-2E9C-101B-9397-08002B2CF9AE}" pid="7" name="Country">
    <vt:lpwstr>31;#PE|c988f60b-81f1-4c24-8da7-d5473741c5b0</vt:lpwstr>
  </property>
  <property fmtid="{D5CDD505-2E9C-101B-9397-08002B2CF9AE}" pid="8" name="_dlc_DocIdItemGuid">
    <vt:lpwstr>a6eb2613-d29b-4661-98f6-9b9901af4c6e</vt:lpwstr>
  </property>
  <property fmtid="{D5CDD505-2E9C-101B-9397-08002B2CF9AE}" pid="9" name="Fund IDB">
    <vt:lpwstr/>
  </property>
  <property fmtid="{D5CDD505-2E9C-101B-9397-08002B2CF9AE}" pid="10" name="Disclosed">
    <vt:bool>false</vt:bool>
  </property>
  <property fmtid="{D5CDD505-2E9C-101B-9397-08002B2CF9AE}" pid="11" name="Sector IDB">
    <vt:lpwstr>44;#RM|c8fda4a7-691a-4c65-b227-9825197b5cd2</vt:lpwstr>
  </property>
  <property fmtid="{D5CDD505-2E9C-101B-9397-08002B2CF9AE}" pid="12" name="Function Operations IDB">
    <vt:lpwstr>1;#Project Preparation, Planning and Design|29ca0c72-1fc4-435f-a09c-28585cb5eac9</vt:lpwstr>
  </property>
  <property fmtid="{D5CDD505-2E9C-101B-9397-08002B2CF9AE}" pid="13" name="Disclosure Activity">
    <vt:lpwstr>Loan Proposal</vt:lpwstr>
  </property>
  <property fmtid="{D5CDD505-2E9C-101B-9397-08002B2CF9AE}" pid="14" name="ContentTypeId">
    <vt:lpwstr>0x0101001A458A224826124E8B45B1D613300CFC00F4D464F2A5A4F64EA4796819647617EB</vt:lpwstr>
  </property>
</Properties>
</file>