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1A171" w14:textId="77777777" w:rsidR="00C419B8" w:rsidRPr="001C59A0" w:rsidRDefault="00C419B8" w:rsidP="00C419B8">
      <w:pPr>
        <w:pStyle w:val="Title"/>
        <w:keepNext/>
        <w:rPr>
          <w:rFonts w:ascii="Arial" w:hAnsi="Arial" w:cs="Arial"/>
          <w:smallCaps/>
          <w:sz w:val="20"/>
        </w:rPr>
      </w:pPr>
      <w:bookmarkStart w:id="0" w:name="_GoBack"/>
      <w:bookmarkEnd w:id="0"/>
      <w:r w:rsidRPr="001C59A0">
        <w:rPr>
          <w:rFonts w:ascii="Arial" w:hAnsi="Arial" w:cs="Arial"/>
          <w:smallCaps/>
          <w:sz w:val="20"/>
        </w:rPr>
        <w:t>Documento del Banco Interamericano de Desarrollo</w:t>
      </w:r>
    </w:p>
    <w:p w14:paraId="27AB1424" w14:textId="77777777" w:rsidR="00C419B8" w:rsidRPr="001C59A0" w:rsidRDefault="00C419B8" w:rsidP="00C419B8">
      <w:pPr>
        <w:keepNext/>
        <w:jc w:val="center"/>
        <w:outlineLvl w:val="0"/>
        <w:rPr>
          <w:rFonts w:ascii="Arial" w:hAnsi="Arial" w:cs="Arial"/>
          <w:lang w:val="es-ES"/>
        </w:rPr>
      </w:pPr>
    </w:p>
    <w:p w14:paraId="6930635F" w14:textId="77777777" w:rsidR="00C419B8" w:rsidRPr="001C59A0" w:rsidRDefault="00C419B8" w:rsidP="00C419B8">
      <w:pPr>
        <w:keepNext/>
        <w:jc w:val="center"/>
        <w:rPr>
          <w:rFonts w:ascii="Arial" w:hAnsi="Arial" w:cs="Arial"/>
          <w:lang w:val="es-ES"/>
        </w:rPr>
      </w:pPr>
    </w:p>
    <w:p w14:paraId="0061197E" w14:textId="77777777" w:rsidR="00C419B8" w:rsidRPr="001C59A0" w:rsidRDefault="00C419B8" w:rsidP="00C419B8">
      <w:pPr>
        <w:keepNext/>
        <w:jc w:val="center"/>
        <w:rPr>
          <w:rFonts w:ascii="Arial" w:hAnsi="Arial" w:cs="Arial"/>
          <w:lang w:val="es-ES"/>
        </w:rPr>
      </w:pPr>
    </w:p>
    <w:p w14:paraId="281BB26B" w14:textId="77777777" w:rsidR="00C419B8" w:rsidRPr="001C59A0" w:rsidRDefault="00C419B8" w:rsidP="00C419B8">
      <w:pPr>
        <w:keepNext/>
        <w:jc w:val="center"/>
        <w:rPr>
          <w:rFonts w:ascii="Arial" w:hAnsi="Arial" w:cs="Arial"/>
          <w:lang w:val="es-ES"/>
        </w:rPr>
      </w:pPr>
    </w:p>
    <w:p w14:paraId="49987CD4" w14:textId="77777777" w:rsidR="00C419B8" w:rsidRPr="001C59A0" w:rsidRDefault="00C419B8" w:rsidP="00C419B8">
      <w:pPr>
        <w:keepNext/>
        <w:jc w:val="center"/>
        <w:rPr>
          <w:rFonts w:ascii="Arial" w:hAnsi="Arial" w:cs="Arial"/>
          <w:lang w:val="es-ES"/>
        </w:rPr>
      </w:pPr>
    </w:p>
    <w:p w14:paraId="79F99D97" w14:textId="77777777" w:rsidR="00C419B8" w:rsidRPr="001C59A0" w:rsidRDefault="00C419B8" w:rsidP="00C419B8">
      <w:pPr>
        <w:keepNext/>
        <w:jc w:val="center"/>
        <w:rPr>
          <w:rFonts w:ascii="Arial" w:hAnsi="Arial" w:cs="Arial"/>
          <w:lang w:val="es-ES"/>
        </w:rPr>
      </w:pPr>
    </w:p>
    <w:p w14:paraId="781F9C1E" w14:textId="77777777" w:rsidR="00C419B8" w:rsidRPr="001C59A0" w:rsidRDefault="00C419B8" w:rsidP="00C419B8">
      <w:pPr>
        <w:keepNext/>
        <w:jc w:val="center"/>
        <w:rPr>
          <w:rFonts w:ascii="Arial" w:hAnsi="Arial" w:cs="Arial"/>
          <w:lang w:val="es-ES"/>
        </w:rPr>
      </w:pPr>
    </w:p>
    <w:p w14:paraId="474A6416" w14:textId="77777777" w:rsidR="004D09F4" w:rsidRPr="00046E14" w:rsidRDefault="004D09F4" w:rsidP="004D09F4">
      <w:pPr>
        <w:tabs>
          <w:tab w:val="left" w:pos="1440"/>
          <w:tab w:val="left" w:pos="3060"/>
        </w:tabs>
        <w:jc w:val="center"/>
        <w:rPr>
          <w:rFonts w:ascii="Arial" w:hAnsi="Arial" w:cs="Arial"/>
          <w:b/>
          <w:smallCaps/>
          <w:sz w:val="28"/>
          <w:szCs w:val="28"/>
          <w:lang w:val="es-ES"/>
        </w:rPr>
      </w:pPr>
      <w:r>
        <w:rPr>
          <w:rFonts w:ascii="Arial" w:hAnsi="Arial" w:cs="Arial"/>
          <w:b/>
          <w:smallCaps/>
          <w:sz w:val="28"/>
          <w:szCs w:val="28"/>
          <w:lang w:val="es-ES"/>
        </w:rPr>
        <w:t>México</w:t>
      </w:r>
    </w:p>
    <w:p w14:paraId="0BEE6BD3" w14:textId="77777777" w:rsidR="004D09F4" w:rsidRPr="00046E14" w:rsidRDefault="004D09F4" w:rsidP="004D09F4">
      <w:pPr>
        <w:tabs>
          <w:tab w:val="left" w:pos="1440"/>
          <w:tab w:val="left" w:pos="3060"/>
        </w:tabs>
        <w:jc w:val="center"/>
        <w:rPr>
          <w:rFonts w:ascii="Arial" w:hAnsi="Arial" w:cs="Arial"/>
          <w:smallCaps/>
          <w:sz w:val="22"/>
          <w:szCs w:val="22"/>
          <w:lang w:val="es-ES"/>
        </w:rPr>
      </w:pPr>
    </w:p>
    <w:p w14:paraId="54AB2A3C" w14:textId="77777777" w:rsidR="004D09F4" w:rsidRPr="00046E14" w:rsidRDefault="004D09F4" w:rsidP="004D09F4">
      <w:pPr>
        <w:tabs>
          <w:tab w:val="left" w:pos="1440"/>
          <w:tab w:val="left" w:pos="3060"/>
        </w:tabs>
        <w:jc w:val="center"/>
        <w:rPr>
          <w:rFonts w:ascii="Arial" w:hAnsi="Arial" w:cs="Arial"/>
          <w:smallCaps/>
          <w:sz w:val="22"/>
          <w:szCs w:val="22"/>
          <w:lang w:val="es-ES"/>
        </w:rPr>
      </w:pPr>
    </w:p>
    <w:p w14:paraId="45801C8F" w14:textId="77777777" w:rsidR="004D09F4" w:rsidRPr="00046E14" w:rsidRDefault="004D09F4" w:rsidP="004D09F4">
      <w:pPr>
        <w:tabs>
          <w:tab w:val="left" w:pos="1440"/>
          <w:tab w:val="left" w:pos="3060"/>
        </w:tabs>
        <w:jc w:val="center"/>
        <w:rPr>
          <w:rFonts w:ascii="Arial" w:hAnsi="Arial" w:cs="Arial"/>
          <w:smallCaps/>
          <w:sz w:val="22"/>
          <w:szCs w:val="22"/>
          <w:lang w:val="es-ES"/>
        </w:rPr>
      </w:pPr>
    </w:p>
    <w:p w14:paraId="5ED46ED7" w14:textId="77777777" w:rsidR="004D09F4" w:rsidRPr="00046E14" w:rsidRDefault="004D09F4" w:rsidP="004D09F4">
      <w:pPr>
        <w:tabs>
          <w:tab w:val="left" w:pos="1440"/>
          <w:tab w:val="left" w:pos="3060"/>
        </w:tabs>
        <w:jc w:val="center"/>
        <w:rPr>
          <w:rFonts w:ascii="Arial" w:hAnsi="Arial" w:cs="Arial"/>
          <w:smallCaps/>
          <w:sz w:val="22"/>
          <w:szCs w:val="22"/>
          <w:lang w:val="es-ES"/>
        </w:rPr>
      </w:pPr>
    </w:p>
    <w:p w14:paraId="16AD2698" w14:textId="77777777" w:rsidR="004D09F4" w:rsidRPr="00046E14" w:rsidRDefault="004D09F4" w:rsidP="004D09F4">
      <w:pPr>
        <w:tabs>
          <w:tab w:val="left" w:pos="1440"/>
          <w:tab w:val="left" w:pos="3060"/>
        </w:tabs>
        <w:jc w:val="center"/>
        <w:rPr>
          <w:rFonts w:ascii="Arial" w:hAnsi="Arial" w:cs="Arial"/>
          <w:smallCaps/>
          <w:sz w:val="22"/>
          <w:szCs w:val="22"/>
          <w:lang w:val="es-ES"/>
        </w:rPr>
      </w:pPr>
    </w:p>
    <w:p w14:paraId="0BAE4BB2" w14:textId="77777777" w:rsidR="004D09F4" w:rsidRPr="00046E14" w:rsidRDefault="004D09F4" w:rsidP="004D09F4">
      <w:pPr>
        <w:tabs>
          <w:tab w:val="left" w:pos="1440"/>
          <w:tab w:val="left" w:pos="3060"/>
        </w:tabs>
        <w:jc w:val="center"/>
        <w:rPr>
          <w:rFonts w:ascii="Arial" w:hAnsi="Arial" w:cs="Arial"/>
          <w:smallCaps/>
          <w:sz w:val="22"/>
          <w:szCs w:val="22"/>
          <w:lang w:val="es-ES"/>
        </w:rPr>
      </w:pPr>
    </w:p>
    <w:p w14:paraId="389AA12A" w14:textId="77777777" w:rsidR="004D09F4" w:rsidRPr="00046E14" w:rsidRDefault="004D09F4" w:rsidP="004D09F4">
      <w:pPr>
        <w:pStyle w:val="Newpage"/>
        <w:rPr>
          <w:rFonts w:ascii="Arial" w:hAnsi="Arial"/>
          <w:b w:val="0"/>
          <w:caps/>
          <w:smallCaps w:val="0"/>
          <w:sz w:val="22"/>
          <w:szCs w:val="22"/>
        </w:rPr>
      </w:pPr>
      <w:r w:rsidRPr="00EF23A4">
        <w:rPr>
          <w:rFonts w:ascii="Arial" w:hAnsi="Arial"/>
          <w:sz w:val="28"/>
          <w:szCs w:val="28"/>
        </w:rPr>
        <w:t xml:space="preserve">Programa de Apoyo a la Implementación </w:t>
      </w:r>
      <w:r>
        <w:rPr>
          <w:rFonts w:ascii="Arial" w:hAnsi="Arial"/>
          <w:sz w:val="28"/>
          <w:szCs w:val="28"/>
        </w:rPr>
        <w:t>y Fortalecimiento</w:t>
      </w:r>
      <w:r w:rsidRPr="00EF23A4">
        <w:rPr>
          <w:rFonts w:ascii="Arial" w:hAnsi="Arial"/>
          <w:sz w:val="28"/>
          <w:szCs w:val="28"/>
        </w:rPr>
        <w:t xml:space="preserve"> de la Reforma Energética </w:t>
      </w:r>
    </w:p>
    <w:p w14:paraId="1F259643" w14:textId="77777777" w:rsidR="004D09F4" w:rsidRPr="00046E14" w:rsidRDefault="004D09F4" w:rsidP="004D09F4">
      <w:pPr>
        <w:pStyle w:val="Newpage"/>
        <w:rPr>
          <w:rFonts w:ascii="Arial" w:hAnsi="Arial"/>
          <w:b w:val="0"/>
          <w:caps/>
          <w:smallCaps w:val="0"/>
          <w:sz w:val="22"/>
          <w:szCs w:val="22"/>
        </w:rPr>
      </w:pPr>
    </w:p>
    <w:p w14:paraId="00023F31" w14:textId="77777777" w:rsidR="004D09F4" w:rsidRPr="00046E14" w:rsidRDefault="004D09F4" w:rsidP="004D09F4">
      <w:pPr>
        <w:tabs>
          <w:tab w:val="left" w:pos="1440"/>
          <w:tab w:val="left" w:pos="3060"/>
        </w:tabs>
        <w:jc w:val="center"/>
        <w:rPr>
          <w:rFonts w:ascii="Arial" w:hAnsi="Arial" w:cs="Arial"/>
          <w:b/>
          <w:smallCaps/>
          <w:sz w:val="22"/>
          <w:szCs w:val="22"/>
          <w:lang w:val="es-ES"/>
        </w:rPr>
      </w:pPr>
      <w:r w:rsidRPr="00046E14">
        <w:rPr>
          <w:rFonts w:ascii="Arial" w:hAnsi="Arial" w:cs="Arial"/>
          <w:b/>
          <w:smallCaps/>
          <w:sz w:val="22"/>
          <w:szCs w:val="22"/>
          <w:lang w:val="es-ES"/>
        </w:rPr>
        <w:t>(</w:t>
      </w:r>
      <w:r>
        <w:rPr>
          <w:rFonts w:ascii="Arial" w:hAnsi="Arial" w:cs="Arial"/>
          <w:b/>
          <w:smallCaps/>
          <w:sz w:val="22"/>
          <w:szCs w:val="22"/>
          <w:lang w:val="es-ES"/>
        </w:rPr>
        <w:t>ME-L1264</w:t>
      </w:r>
      <w:r w:rsidRPr="00046E14">
        <w:rPr>
          <w:rFonts w:ascii="Arial" w:hAnsi="Arial" w:cs="Arial"/>
          <w:b/>
          <w:smallCaps/>
          <w:sz w:val="22"/>
          <w:szCs w:val="22"/>
          <w:lang w:val="es-ES"/>
        </w:rPr>
        <w:t>)</w:t>
      </w:r>
    </w:p>
    <w:p w14:paraId="5DEDEAA8" w14:textId="77777777" w:rsidR="00C419B8" w:rsidRPr="001C59A0" w:rsidRDefault="00C419B8" w:rsidP="00C419B8">
      <w:pPr>
        <w:tabs>
          <w:tab w:val="left" w:pos="1440"/>
          <w:tab w:val="left" w:pos="3060"/>
        </w:tabs>
        <w:jc w:val="center"/>
        <w:rPr>
          <w:rFonts w:ascii="Arial" w:hAnsi="Arial" w:cs="Arial"/>
          <w:smallCaps/>
          <w:szCs w:val="22"/>
          <w:lang w:val="es-ES"/>
        </w:rPr>
      </w:pPr>
    </w:p>
    <w:p w14:paraId="0B500E45" w14:textId="77777777" w:rsidR="00C419B8" w:rsidRDefault="00C419B8" w:rsidP="00C419B8">
      <w:pPr>
        <w:tabs>
          <w:tab w:val="left" w:pos="1440"/>
          <w:tab w:val="left" w:pos="3060"/>
        </w:tabs>
        <w:jc w:val="center"/>
        <w:rPr>
          <w:rFonts w:ascii="Arial" w:hAnsi="Arial" w:cs="Arial"/>
          <w:smallCaps/>
          <w:szCs w:val="22"/>
          <w:lang w:val="es-ES"/>
        </w:rPr>
      </w:pPr>
    </w:p>
    <w:p w14:paraId="19401B60" w14:textId="77777777" w:rsidR="001C59A0" w:rsidRDefault="001C59A0" w:rsidP="00C419B8">
      <w:pPr>
        <w:tabs>
          <w:tab w:val="left" w:pos="1440"/>
          <w:tab w:val="left" w:pos="3060"/>
        </w:tabs>
        <w:jc w:val="center"/>
        <w:rPr>
          <w:rFonts w:ascii="Arial" w:hAnsi="Arial" w:cs="Arial"/>
          <w:smallCaps/>
          <w:szCs w:val="22"/>
          <w:lang w:val="es-ES"/>
        </w:rPr>
      </w:pPr>
    </w:p>
    <w:p w14:paraId="4B66EF17" w14:textId="77777777" w:rsidR="001C59A0" w:rsidRDefault="001C59A0" w:rsidP="00C419B8">
      <w:pPr>
        <w:tabs>
          <w:tab w:val="left" w:pos="1440"/>
          <w:tab w:val="left" w:pos="3060"/>
        </w:tabs>
        <w:jc w:val="center"/>
        <w:rPr>
          <w:rFonts w:ascii="Arial" w:hAnsi="Arial" w:cs="Arial"/>
          <w:smallCaps/>
          <w:szCs w:val="22"/>
          <w:lang w:val="es-ES"/>
        </w:rPr>
      </w:pPr>
    </w:p>
    <w:p w14:paraId="46EF2E8E" w14:textId="77777777" w:rsidR="001C59A0" w:rsidRDefault="001C59A0" w:rsidP="00C419B8">
      <w:pPr>
        <w:tabs>
          <w:tab w:val="left" w:pos="1440"/>
          <w:tab w:val="left" w:pos="3060"/>
        </w:tabs>
        <w:jc w:val="center"/>
        <w:rPr>
          <w:rFonts w:ascii="Arial" w:hAnsi="Arial" w:cs="Arial"/>
          <w:smallCaps/>
          <w:szCs w:val="22"/>
          <w:lang w:val="es-ES"/>
        </w:rPr>
      </w:pPr>
    </w:p>
    <w:p w14:paraId="60D9D853" w14:textId="77777777" w:rsidR="001C59A0" w:rsidRDefault="001C59A0" w:rsidP="00C419B8">
      <w:pPr>
        <w:tabs>
          <w:tab w:val="left" w:pos="1440"/>
          <w:tab w:val="left" w:pos="3060"/>
        </w:tabs>
        <w:jc w:val="center"/>
        <w:rPr>
          <w:rFonts w:ascii="Arial" w:hAnsi="Arial" w:cs="Arial"/>
          <w:smallCaps/>
          <w:szCs w:val="22"/>
          <w:lang w:val="es-ES"/>
        </w:rPr>
      </w:pPr>
    </w:p>
    <w:p w14:paraId="204CC0B8" w14:textId="77777777" w:rsidR="001C59A0" w:rsidRDefault="001C59A0" w:rsidP="00C419B8">
      <w:pPr>
        <w:tabs>
          <w:tab w:val="left" w:pos="1440"/>
          <w:tab w:val="left" w:pos="3060"/>
        </w:tabs>
        <w:jc w:val="center"/>
        <w:rPr>
          <w:rFonts w:ascii="Arial" w:hAnsi="Arial" w:cs="Arial"/>
          <w:smallCaps/>
          <w:szCs w:val="22"/>
          <w:lang w:val="es-ES"/>
        </w:rPr>
      </w:pPr>
    </w:p>
    <w:p w14:paraId="3B8A2125" w14:textId="77777777" w:rsidR="001C59A0" w:rsidRDefault="001C59A0" w:rsidP="00C419B8">
      <w:pPr>
        <w:tabs>
          <w:tab w:val="left" w:pos="1440"/>
          <w:tab w:val="left" w:pos="3060"/>
        </w:tabs>
        <w:jc w:val="center"/>
        <w:rPr>
          <w:rFonts w:ascii="Arial" w:hAnsi="Arial" w:cs="Arial"/>
          <w:smallCaps/>
          <w:szCs w:val="22"/>
          <w:lang w:val="es-ES"/>
        </w:rPr>
      </w:pPr>
    </w:p>
    <w:p w14:paraId="3D265B2A" w14:textId="77777777" w:rsidR="001C59A0" w:rsidRPr="001C59A0" w:rsidRDefault="001C59A0" w:rsidP="00C419B8">
      <w:pPr>
        <w:tabs>
          <w:tab w:val="left" w:pos="1440"/>
          <w:tab w:val="left" w:pos="3060"/>
        </w:tabs>
        <w:jc w:val="center"/>
        <w:rPr>
          <w:rFonts w:ascii="Arial" w:hAnsi="Arial" w:cs="Arial"/>
          <w:smallCaps/>
          <w:szCs w:val="22"/>
          <w:lang w:val="es-ES"/>
        </w:rPr>
      </w:pPr>
    </w:p>
    <w:p w14:paraId="0384221E" w14:textId="77777777" w:rsidR="00C419B8" w:rsidRPr="001C59A0" w:rsidRDefault="00C419B8" w:rsidP="00C419B8">
      <w:pPr>
        <w:tabs>
          <w:tab w:val="left" w:pos="1440"/>
          <w:tab w:val="left" w:pos="3060"/>
        </w:tabs>
        <w:jc w:val="center"/>
        <w:rPr>
          <w:rFonts w:ascii="Arial" w:hAnsi="Arial" w:cs="Arial"/>
          <w:smallCaps/>
          <w:szCs w:val="22"/>
          <w:lang w:val="es-ES"/>
        </w:rPr>
      </w:pPr>
    </w:p>
    <w:p w14:paraId="7F1D93CA" w14:textId="77777777" w:rsidR="00C419B8" w:rsidRPr="001C59A0" w:rsidRDefault="00C419B8" w:rsidP="00C419B8">
      <w:pPr>
        <w:tabs>
          <w:tab w:val="left" w:pos="1440"/>
          <w:tab w:val="left" w:pos="3060"/>
        </w:tabs>
        <w:jc w:val="center"/>
        <w:rPr>
          <w:rFonts w:ascii="Arial" w:hAnsi="Arial" w:cs="Arial"/>
          <w:smallCaps/>
          <w:szCs w:val="22"/>
          <w:lang w:val="es-ES"/>
        </w:rPr>
      </w:pPr>
    </w:p>
    <w:p w14:paraId="2CBBA3BF" w14:textId="6AD1A2F6" w:rsidR="00C419B8" w:rsidRPr="001C59A0" w:rsidRDefault="00C419B8" w:rsidP="00C419B8">
      <w:pPr>
        <w:tabs>
          <w:tab w:val="left" w:pos="1440"/>
          <w:tab w:val="left" w:pos="3060"/>
        </w:tabs>
        <w:jc w:val="center"/>
        <w:outlineLvl w:val="0"/>
        <w:rPr>
          <w:rFonts w:ascii="Arial" w:hAnsi="Arial" w:cs="Arial"/>
          <w:b/>
          <w:sz w:val="28"/>
          <w:lang w:val="es-ES"/>
        </w:rPr>
      </w:pPr>
      <w:r w:rsidRPr="001C59A0">
        <w:rPr>
          <w:rFonts w:ascii="Arial" w:hAnsi="Arial" w:cs="Arial"/>
          <w:b/>
          <w:smallCaps/>
          <w:sz w:val="28"/>
          <w:lang w:val="es-ES"/>
        </w:rPr>
        <w:t xml:space="preserve">Plan de </w:t>
      </w:r>
      <w:r w:rsidR="00734F91">
        <w:rPr>
          <w:rFonts w:ascii="Arial" w:hAnsi="Arial" w:cs="Arial"/>
          <w:b/>
          <w:smallCaps/>
          <w:sz w:val="28"/>
          <w:lang w:val="es-ES"/>
        </w:rPr>
        <w:t>Monitoreo</w:t>
      </w:r>
      <w:r w:rsidR="00734F91" w:rsidRPr="001C59A0">
        <w:rPr>
          <w:rFonts w:ascii="Arial" w:hAnsi="Arial" w:cs="Arial"/>
          <w:b/>
          <w:smallCaps/>
          <w:sz w:val="28"/>
          <w:lang w:val="es-ES"/>
        </w:rPr>
        <w:t xml:space="preserve"> </w:t>
      </w:r>
      <w:r w:rsidRPr="001C59A0">
        <w:rPr>
          <w:rFonts w:ascii="Arial" w:hAnsi="Arial" w:cs="Arial"/>
          <w:b/>
          <w:smallCaps/>
          <w:sz w:val="28"/>
          <w:lang w:val="es-ES"/>
        </w:rPr>
        <w:t>y Evaluación</w:t>
      </w:r>
    </w:p>
    <w:p w14:paraId="35859780" w14:textId="77777777" w:rsidR="00C419B8" w:rsidRPr="001C59A0" w:rsidRDefault="00C419B8" w:rsidP="00C419B8">
      <w:pPr>
        <w:pStyle w:val="ListParagraph"/>
        <w:tabs>
          <w:tab w:val="left" w:pos="1440"/>
          <w:tab w:val="left" w:pos="3060"/>
        </w:tabs>
        <w:ind w:left="1080"/>
        <w:jc w:val="center"/>
        <w:rPr>
          <w:rFonts w:ascii="Arial" w:hAnsi="Arial" w:cs="Arial"/>
          <w:szCs w:val="22"/>
          <w:lang w:val="es-ES"/>
        </w:rPr>
      </w:pPr>
    </w:p>
    <w:p w14:paraId="6111DD6B" w14:textId="77777777" w:rsidR="00C419B8" w:rsidRPr="001C59A0" w:rsidRDefault="00C419B8" w:rsidP="00C419B8">
      <w:pPr>
        <w:pStyle w:val="ListParagraph"/>
        <w:tabs>
          <w:tab w:val="left" w:pos="1440"/>
          <w:tab w:val="left" w:pos="3060"/>
        </w:tabs>
        <w:ind w:left="1080"/>
        <w:rPr>
          <w:rFonts w:ascii="Arial" w:hAnsi="Arial" w:cs="Arial"/>
          <w:sz w:val="22"/>
          <w:szCs w:val="22"/>
          <w:lang w:val="es-ES"/>
        </w:rPr>
      </w:pPr>
    </w:p>
    <w:p w14:paraId="05683C7F" w14:textId="77777777" w:rsidR="00C419B8" w:rsidRPr="001C59A0" w:rsidRDefault="00C419B8" w:rsidP="00C419B8">
      <w:pPr>
        <w:pStyle w:val="ListParagraph"/>
        <w:tabs>
          <w:tab w:val="left" w:pos="1440"/>
          <w:tab w:val="left" w:pos="3060"/>
        </w:tabs>
        <w:ind w:left="1080"/>
        <w:rPr>
          <w:rFonts w:ascii="Arial" w:hAnsi="Arial" w:cs="Arial"/>
          <w:sz w:val="22"/>
          <w:szCs w:val="22"/>
          <w:lang w:val="es-ES"/>
        </w:rPr>
      </w:pPr>
    </w:p>
    <w:p w14:paraId="0AE599D3" w14:textId="77777777" w:rsidR="00C419B8" w:rsidRPr="001C59A0" w:rsidRDefault="00C419B8" w:rsidP="00C419B8">
      <w:pPr>
        <w:pStyle w:val="ListParagraph"/>
        <w:tabs>
          <w:tab w:val="left" w:pos="1440"/>
          <w:tab w:val="left" w:pos="3060"/>
        </w:tabs>
        <w:ind w:left="1080"/>
        <w:rPr>
          <w:rFonts w:ascii="Arial" w:hAnsi="Arial" w:cs="Arial"/>
          <w:sz w:val="22"/>
          <w:szCs w:val="22"/>
          <w:lang w:val="es-ES"/>
        </w:rPr>
      </w:pPr>
    </w:p>
    <w:p w14:paraId="254AE448" w14:textId="77777777" w:rsidR="00C419B8" w:rsidRPr="001C59A0" w:rsidRDefault="00C419B8" w:rsidP="00C419B8">
      <w:pPr>
        <w:pStyle w:val="ListParagraph"/>
        <w:tabs>
          <w:tab w:val="left" w:pos="1440"/>
          <w:tab w:val="left" w:pos="3060"/>
        </w:tabs>
        <w:ind w:left="1080"/>
        <w:rPr>
          <w:rFonts w:ascii="Arial" w:hAnsi="Arial" w:cs="Arial"/>
          <w:sz w:val="22"/>
          <w:szCs w:val="22"/>
          <w:lang w:val="es-ES"/>
        </w:rPr>
      </w:pPr>
    </w:p>
    <w:p w14:paraId="45247393" w14:textId="77777777" w:rsidR="00C419B8" w:rsidRPr="001C59A0" w:rsidRDefault="00C419B8" w:rsidP="00C419B8">
      <w:pPr>
        <w:pStyle w:val="ListParagraph"/>
        <w:tabs>
          <w:tab w:val="left" w:pos="1440"/>
          <w:tab w:val="left" w:pos="3060"/>
        </w:tabs>
        <w:ind w:left="1080"/>
        <w:rPr>
          <w:rFonts w:ascii="Arial" w:hAnsi="Arial" w:cs="Arial"/>
          <w:sz w:val="22"/>
          <w:szCs w:val="22"/>
          <w:lang w:val="es-ES"/>
        </w:rPr>
      </w:pPr>
    </w:p>
    <w:p w14:paraId="46394F9E" w14:textId="49EDA08F" w:rsidR="00C419B8" w:rsidRDefault="00C419B8" w:rsidP="00C419B8">
      <w:pPr>
        <w:pStyle w:val="ListParagraph"/>
        <w:tabs>
          <w:tab w:val="left" w:pos="1440"/>
          <w:tab w:val="left" w:pos="3060"/>
        </w:tabs>
        <w:ind w:left="1080"/>
        <w:rPr>
          <w:rFonts w:ascii="Arial" w:hAnsi="Arial" w:cs="Arial"/>
          <w:sz w:val="22"/>
          <w:szCs w:val="22"/>
          <w:lang w:val="es-ES"/>
        </w:rPr>
      </w:pPr>
    </w:p>
    <w:p w14:paraId="3C357C8B" w14:textId="77777777" w:rsidR="00E24E40" w:rsidRPr="001C59A0" w:rsidRDefault="00E24E40" w:rsidP="00C419B8">
      <w:pPr>
        <w:pStyle w:val="ListParagraph"/>
        <w:tabs>
          <w:tab w:val="left" w:pos="1440"/>
          <w:tab w:val="left" w:pos="3060"/>
        </w:tabs>
        <w:ind w:left="1080"/>
        <w:rPr>
          <w:rFonts w:ascii="Arial" w:hAnsi="Arial" w:cs="Arial"/>
          <w:sz w:val="22"/>
          <w:szCs w:val="22"/>
          <w:lang w:val="es-ES"/>
        </w:rPr>
      </w:pPr>
    </w:p>
    <w:p w14:paraId="1FB03C1D" w14:textId="77777777" w:rsidR="00C419B8" w:rsidRPr="001C59A0" w:rsidRDefault="00C419B8" w:rsidP="00C419B8">
      <w:pPr>
        <w:pStyle w:val="ListParagraph"/>
        <w:tabs>
          <w:tab w:val="left" w:pos="1440"/>
          <w:tab w:val="left" w:pos="3060"/>
        </w:tabs>
        <w:ind w:left="1080"/>
        <w:rPr>
          <w:rFonts w:ascii="Arial" w:hAnsi="Arial" w:cs="Arial"/>
          <w:sz w:val="22"/>
          <w:szCs w:val="22"/>
          <w:lang w:val="es-ES"/>
        </w:rPr>
      </w:pPr>
    </w:p>
    <w:p w14:paraId="46FEE499" w14:textId="77777777" w:rsidR="00C419B8" w:rsidRPr="001C59A0" w:rsidRDefault="00C419B8" w:rsidP="00C419B8">
      <w:pPr>
        <w:pStyle w:val="ListParagraph"/>
        <w:tabs>
          <w:tab w:val="left" w:pos="1440"/>
          <w:tab w:val="left" w:pos="3060"/>
        </w:tabs>
        <w:ind w:left="1080"/>
        <w:rPr>
          <w:rFonts w:ascii="Arial" w:hAnsi="Arial" w:cs="Arial"/>
          <w:sz w:val="22"/>
          <w:szCs w:val="22"/>
          <w:lang w:val="es-ES"/>
        </w:rPr>
      </w:pPr>
    </w:p>
    <w:p w14:paraId="3B94A709" w14:textId="314424B6" w:rsidR="00C419B8" w:rsidRDefault="00C419B8" w:rsidP="00C419B8">
      <w:pPr>
        <w:pStyle w:val="ListParagraph"/>
        <w:tabs>
          <w:tab w:val="left" w:pos="1440"/>
          <w:tab w:val="left" w:pos="3060"/>
        </w:tabs>
        <w:ind w:left="1080"/>
        <w:rPr>
          <w:rFonts w:ascii="Arial" w:hAnsi="Arial" w:cs="Arial"/>
          <w:sz w:val="22"/>
          <w:szCs w:val="22"/>
          <w:lang w:val="es-ES"/>
        </w:rPr>
      </w:pPr>
    </w:p>
    <w:p w14:paraId="1E411CE1" w14:textId="42FDB782" w:rsidR="004D09F4" w:rsidRDefault="004D09F4" w:rsidP="00C419B8">
      <w:pPr>
        <w:pStyle w:val="ListParagraph"/>
        <w:tabs>
          <w:tab w:val="left" w:pos="1440"/>
          <w:tab w:val="left" w:pos="3060"/>
        </w:tabs>
        <w:ind w:left="1080"/>
        <w:rPr>
          <w:rFonts w:ascii="Arial" w:hAnsi="Arial" w:cs="Arial"/>
          <w:sz w:val="22"/>
          <w:szCs w:val="22"/>
          <w:lang w:val="es-ES"/>
        </w:rPr>
      </w:pPr>
    </w:p>
    <w:p w14:paraId="1A75D2EA" w14:textId="77777777" w:rsidR="004D09F4" w:rsidRPr="001C59A0" w:rsidRDefault="004D09F4" w:rsidP="00C419B8">
      <w:pPr>
        <w:pStyle w:val="ListParagraph"/>
        <w:tabs>
          <w:tab w:val="left" w:pos="1440"/>
          <w:tab w:val="left" w:pos="3060"/>
        </w:tabs>
        <w:ind w:left="1080"/>
        <w:rPr>
          <w:rFonts w:ascii="Arial" w:hAnsi="Arial" w:cs="Arial"/>
          <w:sz w:val="22"/>
          <w:szCs w:val="22"/>
          <w:lang w:val="es-ES"/>
        </w:rPr>
      </w:pPr>
    </w:p>
    <w:p w14:paraId="50D8DBDC" w14:textId="77777777" w:rsidR="00C419B8" w:rsidRPr="001C59A0" w:rsidRDefault="00C419B8" w:rsidP="00C419B8">
      <w:pPr>
        <w:pStyle w:val="ListParagraph"/>
        <w:tabs>
          <w:tab w:val="left" w:pos="1440"/>
          <w:tab w:val="left" w:pos="3060"/>
        </w:tabs>
        <w:ind w:left="1080"/>
        <w:rPr>
          <w:rFonts w:ascii="Arial" w:hAnsi="Arial" w:cs="Arial"/>
          <w:sz w:val="22"/>
          <w:szCs w:val="22"/>
          <w:lang w:val="es-ES"/>
        </w:rPr>
      </w:pPr>
    </w:p>
    <w:p w14:paraId="5A9796A5" w14:textId="0765BA6C" w:rsidR="00E24E40" w:rsidRPr="00E24E40" w:rsidRDefault="004D09F4" w:rsidP="00E24E40">
      <w:pPr>
        <w:pStyle w:val="BodyText"/>
        <w:pBdr>
          <w:top w:val="single" w:sz="4" w:space="1" w:color="auto"/>
          <w:left w:val="single" w:sz="4" w:space="4" w:color="auto"/>
          <w:bottom w:val="single" w:sz="4" w:space="1" w:color="auto"/>
          <w:right w:val="single" w:sz="4" w:space="4" w:color="auto"/>
        </w:pBdr>
        <w:tabs>
          <w:tab w:val="left" w:pos="1440"/>
        </w:tabs>
        <w:jc w:val="both"/>
        <w:rPr>
          <w:rFonts w:ascii="Arial" w:hAnsi="Arial" w:cs="Arial"/>
          <w:sz w:val="20"/>
          <w:lang w:val="es-ES"/>
        </w:rPr>
      </w:pPr>
      <w:r w:rsidRPr="004D09F4">
        <w:rPr>
          <w:rFonts w:ascii="Arial" w:hAnsi="Arial" w:cs="Arial"/>
          <w:sz w:val="20"/>
          <w:lang w:val="es-ES"/>
        </w:rPr>
        <w:t xml:space="preserve">Este documento fue preparado por el equipo de proyecto integrado por: José Antonio Urteaga (ENE/CME), Jefe de Equipo; Roberto Aiello; Jesús Tejeda; Javier Cuervo; Rodrigo Aragón; Wilkferg Vanegas; Stephanie Suber; Marina Massini (INE/ENE); Gmelina Ramírez (CSD/CCS); Germán Zappani (VPC/FMP); </w:t>
      </w:r>
      <w:r w:rsidR="00734F91">
        <w:rPr>
          <w:rFonts w:ascii="Arial" w:hAnsi="Arial" w:cs="Arial"/>
          <w:sz w:val="20"/>
          <w:lang w:val="es-ES"/>
        </w:rPr>
        <w:t>Ariel Rodríguez</w:t>
      </w:r>
      <w:r w:rsidRPr="004D09F4">
        <w:rPr>
          <w:rFonts w:ascii="Arial" w:hAnsi="Arial" w:cs="Arial"/>
          <w:sz w:val="20"/>
          <w:lang w:val="es-ES"/>
        </w:rPr>
        <w:t xml:space="preserve"> (VPC/FMP); Juan Carlos Pérez-Segnini (LEG/SGO); y Tatiana Virviescas (CID/CME).</w:t>
      </w:r>
    </w:p>
    <w:p w14:paraId="42B93423" w14:textId="77777777" w:rsidR="00C419B8" w:rsidRPr="001C59A0" w:rsidRDefault="00C419B8" w:rsidP="00C419B8">
      <w:pPr>
        <w:pStyle w:val="ListParagraph"/>
        <w:numPr>
          <w:ilvl w:val="0"/>
          <w:numId w:val="4"/>
        </w:numPr>
        <w:spacing w:before="120" w:after="120"/>
        <w:ind w:left="540" w:hanging="540"/>
        <w:contextualSpacing w:val="0"/>
        <w:rPr>
          <w:rFonts w:ascii="Arial" w:hAnsi="Arial" w:cs="Arial"/>
          <w:b/>
          <w:smallCaps/>
          <w:lang w:val="es-ES"/>
        </w:rPr>
      </w:pPr>
      <w:r w:rsidRPr="001C59A0">
        <w:rPr>
          <w:rFonts w:ascii="Arial" w:hAnsi="Arial" w:cs="Arial"/>
          <w:b/>
          <w:smallCaps/>
          <w:lang w:val="es-ES"/>
        </w:rPr>
        <w:lastRenderedPageBreak/>
        <w:t>Introducción</w:t>
      </w:r>
    </w:p>
    <w:p w14:paraId="56120C10" w14:textId="7EB6ADB8" w:rsidR="00C419B8" w:rsidRPr="001C59A0" w:rsidRDefault="00C419B8" w:rsidP="00C419B8">
      <w:pPr>
        <w:pStyle w:val="ListParagraph"/>
        <w:numPr>
          <w:ilvl w:val="1"/>
          <w:numId w:val="4"/>
        </w:numPr>
        <w:spacing w:before="120" w:after="120"/>
        <w:ind w:left="540" w:hanging="540"/>
        <w:contextualSpacing w:val="0"/>
        <w:jc w:val="both"/>
        <w:rPr>
          <w:rFonts w:ascii="Arial" w:hAnsi="Arial" w:cs="Arial"/>
          <w:lang w:val="es-ES"/>
        </w:rPr>
      </w:pPr>
      <w:r w:rsidRPr="001C59A0">
        <w:rPr>
          <w:rFonts w:ascii="Arial" w:hAnsi="Arial" w:cs="Arial"/>
          <w:lang w:val="es-ES"/>
        </w:rPr>
        <w:t xml:space="preserve">El presente documento describe las tareas de monitoreo y evaluación necesarias respecto a las actividades, compromisos de política y resultados del Programa de </w:t>
      </w:r>
      <w:r w:rsidR="00DE7057">
        <w:rPr>
          <w:rFonts w:ascii="Arial" w:hAnsi="Arial" w:cs="Arial"/>
          <w:lang w:val="es-ES"/>
        </w:rPr>
        <w:t>Apoyo a</w:t>
      </w:r>
      <w:r w:rsidR="005E3FB9">
        <w:rPr>
          <w:rFonts w:ascii="Arial" w:hAnsi="Arial" w:cs="Arial"/>
          <w:lang w:val="es-ES"/>
        </w:rPr>
        <w:t xml:space="preserve"> la Implementación y Fortalecimiento de la reforma Energética de México</w:t>
      </w:r>
      <w:r w:rsidR="00DE7057">
        <w:rPr>
          <w:rFonts w:ascii="Arial" w:hAnsi="Arial" w:cs="Arial"/>
          <w:lang w:val="es-ES"/>
        </w:rPr>
        <w:t xml:space="preserve"> </w:t>
      </w:r>
      <w:r w:rsidRPr="001C59A0">
        <w:rPr>
          <w:rFonts w:ascii="Arial" w:hAnsi="Arial" w:cs="Arial"/>
          <w:lang w:val="es-ES"/>
        </w:rPr>
        <w:t>(</w:t>
      </w:r>
      <w:r w:rsidR="005E3FB9">
        <w:rPr>
          <w:rFonts w:ascii="Arial" w:hAnsi="Arial" w:cs="Arial"/>
          <w:lang w:val="es-ES"/>
        </w:rPr>
        <w:t>ME-L1264)</w:t>
      </w:r>
      <w:r w:rsidRPr="001C59A0">
        <w:rPr>
          <w:rFonts w:ascii="Arial" w:hAnsi="Arial" w:cs="Arial"/>
          <w:lang w:val="es-ES"/>
        </w:rPr>
        <w:t>.</w:t>
      </w:r>
    </w:p>
    <w:p w14:paraId="34934E84" w14:textId="64AD68DF" w:rsidR="005E3FB9" w:rsidRDefault="00317F64" w:rsidP="00317F64">
      <w:pPr>
        <w:pStyle w:val="ListParagraph"/>
        <w:numPr>
          <w:ilvl w:val="1"/>
          <w:numId w:val="4"/>
        </w:numPr>
        <w:spacing w:before="120" w:after="120"/>
        <w:ind w:left="540" w:hanging="540"/>
        <w:contextualSpacing w:val="0"/>
        <w:jc w:val="both"/>
        <w:rPr>
          <w:rFonts w:ascii="Arial" w:hAnsi="Arial" w:cs="Arial"/>
          <w:lang w:val="es-ES"/>
        </w:rPr>
      </w:pPr>
      <w:r>
        <w:rPr>
          <w:rFonts w:ascii="Arial" w:hAnsi="Arial" w:cs="Arial"/>
          <w:lang w:val="es-ES"/>
        </w:rPr>
        <w:t>E</w:t>
      </w:r>
      <w:r w:rsidRPr="00317F64">
        <w:rPr>
          <w:rFonts w:ascii="Arial" w:hAnsi="Arial" w:cs="Arial"/>
          <w:lang w:val="es-ES"/>
        </w:rPr>
        <w:t xml:space="preserve">l programa tiene como objetivo general </w:t>
      </w:r>
      <w:r w:rsidR="005E3FB9">
        <w:rPr>
          <w:rFonts w:ascii="Arial" w:hAnsi="Arial" w:cs="Arial"/>
          <w:lang w:val="es-ES"/>
        </w:rPr>
        <w:t xml:space="preserve">contribuir </w:t>
      </w:r>
      <w:r w:rsidR="005E3FB9" w:rsidRPr="005E3FB9">
        <w:rPr>
          <w:rFonts w:ascii="Arial" w:hAnsi="Arial" w:cs="Arial"/>
          <w:lang w:val="es-ES"/>
        </w:rPr>
        <w:t xml:space="preserve">a la seguridad del suministro </w:t>
      </w:r>
      <w:r w:rsidR="00734F91">
        <w:rPr>
          <w:rFonts w:ascii="Arial" w:hAnsi="Arial" w:cs="Arial"/>
          <w:lang w:val="es-ES"/>
        </w:rPr>
        <w:t xml:space="preserve">de energía y a la sostenibilidad </w:t>
      </w:r>
      <w:r w:rsidR="005E3FB9" w:rsidRPr="005E3FB9">
        <w:rPr>
          <w:rFonts w:ascii="Arial" w:hAnsi="Arial" w:cs="Arial"/>
          <w:lang w:val="es-ES"/>
        </w:rPr>
        <w:t>del sector energético mexicano. Los objetivos específicos son: (i) fortalecer a las instituciones del sector en materia de regulación, generación de información, planeación, operación, y de coordinación; (ii) asegurar el suministro de GN y la expansión de la red nacional de gasoductos; (iii) reducir las pérdidas de energía eléctrica en distribución; (iv) contribuir a la reducción de emisiones de Gases de Efecto Invernadero (GEI), mediante la promoción del  uso de tecnologías y combustibles más limpios en la generación de energía eléctrica, y la implementación de medidas de Eficiencia Energética (EE); y (v) cerrar la brecha de acceso sostenible a la energía eléctrica en comunidades rurales.</w:t>
      </w:r>
    </w:p>
    <w:p w14:paraId="0D94F45A" w14:textId="77777777" w:rsidR="00C419B8" w:rsidRPr="00DE7057" w:rsidRDefault="00C419B8" w:rsidP="00DE7057">
      <w:pPr>
        <w:pStyle w:val="ListParagraph"/>
        <w:numPr>
          <w:ilvl w:val="1"/>
          <w:numId w:val="4"/>
        </w:numPr>
        <w:spacing w:before="120" w:after="120"/>
        <w:ind w:left="540" w:hanging="540"/>
        <w:contextualSpacing w:val="0"/>
        <w:jc w:val="both"/>
        <w:rPr>
          <w:rFonts w:ascii="Arial" w:hAnsi="Arial" w:cs="Arial"/>
          <w:lang w:val="es-ES"/>
        </w:rPr>
      </w:pPr>
      <w:r w:rsidRPr="00DE7057">
        <w:rPr>
          <w:rFonts w:ascii="Arial" w:hAnsi="Arial" w:cs="Arial"/>
          <w:lang w:val="es-ES"/>
        </w:rPr>
        <w:t xml:space="preserve">El método adecuado de evaluación para un </w:t>
      </w:r>
      <w:r w:rsidR="00DE7057">
        <w:rPr>
          <w:rFonts w:ascii="Arial" w:hAnsi="Arial" w:cs="Arial"/>
          <w:lang w:val="es-ES"/>
        </w:rPr>
        <w:t>P</w:t>
      </w:r>
      <w:r w:rsidRPr="00DE7057">
        <w:rPr>
          <w:rFonts w:ascii="Arial" w:hAnsi="Arial" w:cs="Arial"/>
          <w:lang w:val="es-ES"/>
        </w:rPr>
        <w:t xml:space="preserve">réstamo </w:t>
      </w:r>
      <w:r w:rsidR="00DE7057" w:rsidRPr="00DE7057">
        <w:rPr>
          <w:rFonts w:ascii="Arial" w:hAnsi="Arial" w:cs="Arial"/>
          <w:lang w:val="es-ES"/>
        </w:rPr>
        <w:t>Programático de Apoyo a Re</w:t>
      </w:r>
      <w:r w:rsidR="00DE7057">
        <w:rPr>
          <w:rFonts w:ascii="Arial" w:hAnsi="Arial" w:cs="Arial"/>
          <w:lang w:val="es-ES"/>
        </w:rPr>
        <w:t xml:space="preserve">formas de Política (PBP) </w:t>
      </w:r>
      <w:r w:rsidRPr="00DE7057">
        <w:rPr>
          <w:rFonts w:ascii="Arial" w:hAnsi="Arial" w:cs="Arial"/>
          <w:lang w:val="es-ES"/>
        </w:rPr>
        <w:t xml:space="preserve">con objetivos y metas específicas es el de evaluación reflexiva. El equipo evaluará la consecución de los objetivos del programa tomando como referencia las metas e indicadores establecidos en las matrices de política y de resultados de las operaciones del programa. </w:t>
      </w:r>
    </w:p>
    <w:p w14:paraId="266EC603" w14:textId="77777777" w:rsidR="00C419B8" w:rsidRPr="001C59A0" w:rsidRDefault="00C419B8" w:rsidP="00C419B8">
      <w:pPr>
        <w:pStyle w:val="ListParagraph"/>
        <w:numPr>
          <w:ilvl w:val="0"/>
          <w:numId w:val="4"/>
        </w:numPr>
        <w:spacing w:before="120" w:after="120"/>
        <w:ind w:left="540" w:hanging="540"/>
        <w:contextualSpacing w:val="0"/>
        <w:rPr>
          <w:rFonts w:ascii="Arial" w:hAnsi="Arial" w:cs="Arial"/>
          <w:b/>
          <w:smallCaps/>
          <w:lang w:val="es-ES"/>
        </w:rPr>
      </w:pPr>
      <w:r w:rsidRPr="001C59A0">
        <w:rPr>
          <w:rFonts w:ascii="Arial" w:hAnsi="Arial" w:cs="Arial"/>
          <w:b/>
          <w:smallCaps/>
          <w:lang w:val="es-ES"/>
        </w:rPr>
        <w:t>Monitoreo</w:t>
      </w:r>
    </w:p>
    <w:p w14:paraId="02AF261A" w14:textId="01A73332" w:rsidR="00C419B8" w:rsidRPr="001C59A0" w:rsidRDefault="00C419B8" w:rsidP="00C419B8">
      <w:pPr>
        <w:pStyle w:val="ListParagraph"/>
        <w:numPr>
          <w:ilvl w:val="1"/>
          <w:numId w:val="4"/>
        </w:numPr>
        <w:spacing w:before="120" w:after="120"/>
        <w:ind w:left="540" w:hanging="540"/>
        <w:contextualSpacing w:val="0"/>
        <w:jc w:val="both"/>
        <w:rPr>
          <w:rFonts w:ascii="Arial" w:hAnsi="Arial" w:cs="Arial"/>
          <w:bCs/>
          <w:lang w:val="es-ES"/>
        </w:rPr>
      </w:pPr>
      <w:r w:rsidRPr="001C59A0">
        <w:rPr>
          <w:rFonts w:ascii="Arial" w:hAnsi="Arial" w:cs="Arial"/>
          <w:bCs/>
          <w:lang w:val="es-ES"/>
        </w:rPr>
        <w:t xml:space="preserve">El objetivo del monitoreo es: (i) verificar el cumplimiento de los compromisos de política del Gobierno de </w:t>
      </w:r>
      <w:r w:rsidR="00734F91">
        <w:rPr>
          <w:rFonts w:ascii="Arial" w:hAnsi="Arial" w:cs="Arial"/>
          <w:lang w:val="es-ES"/>
        </w:rPr>
        <w:t>México</w:t>
      </w:r>
      <w:r w:rsidR="00734F91" w:rsidRPr="001C59A0">
        <w:rPr>
          <w:rFonts w:ascii="Arial" w:hAnsi="Arial" w:cs="Arial"/>
          <w:bCs/>
          <w:lang w:val="es-ES"/>
        </w:rPr>
        <w:t xml:space="preserve"> </w:t>
      </w:r>
      <w:r w:rsidRPr="001C59A0">
        <w:rPr>
          <w:rFonts w:ascii="Arial" w:hAnsi="Arial" w:cs="Arial"/>
          <w:bCs/>
          <w:lang w:val="es-ES"/>
        </w:rPr>
        <w:t xml:space="preserve">establecidos en la matriz de políticas (Anexo II del POD); y (ii) verificar su alcance e impacto </w:t>
      </w:r>
      <w:r w:rsidR="0038128F" w:rsidRPr="001C59A0">
        <w:rPr>
          <w:rFonts w:ascii="Arial" w:hAnsi="Arial" w:cs="Arial"/>
          <w:bCs/>
          <w:lang w:val="es-ES"/>
        </w:rPr>
        <w:t>de acuerdo con</w:t>
      </w:r>
      <w:r w:rsidRPr="001C59A0">
        <w:rPr>
          <w:rFonts w:ascii="Arial" w:hAnsi="Arial" w:cs="Arial"/>
          <w:bCs/>
          <w:lang w:val="es-ES"/>
        </w:rPr>
        <w:t xml:space="preserve"> las metas e indicadores establecidos en la matriz de políticas y en la de resultados.</w:t>
      </w:r>
    </w:p>
    <w:p w14:paraId="2BAE8677" w14:textId="7686A265" w:rsidR="0038128F" w:rsidRDefault="0038128F" w:rsidP="00C419B8">
      <w:pPr>
        <w:pStyle w:val="ListParagraph"/>
        <w:numPr>
          <w:ilvl w:val="1"/>
          <w:numId w:val="4"/>
        </w:numPr>
        <w:spacing w:before="120" w:after="120"/>
        <w:ind w:left="540" w:hanging="540"/>
        <w:contextualSpacing w:val="0"/>
        <w:jc w:val="both"/>
        <w:rPr>
          <w:rFonts w:ascii="Arial" w:hAnsi="Arial" w:cs="Arial"/>
          <w:bCs/>
          <w:lang w:val="es-ES"/>
        </w:rPr>
      </w:pPr>
      <w:r>
        <w:rPr>
          <w:rFonts w:ascii="Arial" w:hAnsi="Arial" w:cs="Arial"/>
          <w:bCs/>
          <w:lang w:val="es-ES"/>
        </w:rPr>
        <w:t xml:space="preserve">Los productos del Programa corresponden a las condiciones de </w:t>
      </w:r>
      <w:r w:rsidR="00614179">
        <w:rPr>
          <w:rFonts w:ascii="Arial" w:hAnsi="Arial" w:cs="Arial"/>
          <w:bCs/>
          <w:lang w:val="es-ES"/>
        </w:rPr>
        <w:t>p</w:t>
      </w:r>
      <w:r>
        <w:rPr>
          <w:rFonts w:ascii="Arial" w:hAnsi="Arial" w:cs="Arial"/>
          <w:bCs/>
          <w:lang w:val="es-ES"/>
        </w:rPr>
        <w:t xml:space="preserve">olítica detalladas en la Matriz de Políticas y Medios de Verificación, por consiguiente, el monitoreo del cumplimiento de este </w:t>
      </w:r>
      <w:r w:rsidR="00614179">
        <w:rPr>
          <w:rFonts w:ascii="Arial" w:hAnsi="Arial" w:cs="Arial"/>
          <w:bCs/>
          <w:lang w:val="es-ES"/>
        </w:rPr>
        <w:t>PBL</w:t>
      </w:r>
      <w:r>
        <w:rPr>
          <w:rFonts w:ascii="Arial" w:hAnsi="Arial" w:cs="Arial"/>
          <w:bCs/>
          <w:lang w:val="es-ES"/>
        </w:rPr>
        <w:t xml:space="preserve"> se realizó de manea </w:t>
      </w:r>
      <w:r w:rsidR="00B53C7C" w:rsidRPr="00B53C7C">
        <w:rPr>
          <w:rFonts w:ascii="Arial" w:hAnsi="Arial" w:cs="Arial"/>
          <w:bCs/>
          <w:i/>
          <w:lang w:val="es-ES"/>
        </w:rPr>
        <w:t xml:space="preserve">ex </w:t>
      </w:r>
      <w:r w:rsidR="00B53C7C">
        <w:rPr>
          <w:rFonts w:ascii="Arial" w:hAnsi="Arial" w:cs="Arial"/>
          <w:bCs/>
          <w:i/>
          <w:lang w:val="es-ES"/>
        </w:rPr>
        <w:t>–</w:t>
      </w:r>
      <w:r w:rsidR="00B53C7C" w:rsidRPr="00B53C7C">
        <w:rPr>
          <w:rFonts w:ascii="Arial" w:hAnsi="Arial" w:cs="Arial"/>
          <w:bCs/>
          <w:i/>
          <w:lang w:val="es-ES"/>
        </w:rPr>
        <w:t xml:space="preserve"> </w:t>
      </w:r>
      <w:r w:rsidRPr="00B53C7C">
        <w:rPr>
          <w:rFonts w:ascii="Arial" w:hAnsi="Arial" w:cs="Arial"/>
          <w:bCs/>
          <w:i/>
          <w:lang w:val="es-ES"/>
        </w:rPr>
        <w:t>ante</w:t>
      </w:r>
      <w:r w:rsidR="00B53C7C">
        <w:rPr>
          <w:rFonts w:ascii="Arial" w:hAnsi="Arial" w:cs="Arial"/>
          <w:bCs/>
          <w:lang w:val="es-ES"/>
        </w:rPr>
        <w:t xml:space="preserve"> y no requerirá nuevos ins</w:t>
      </w:r>
      <w:r w:rsidR="00BC143B">
        <w:rPr>
          <w:rFonts w:ascii="Arial" w:hAnsi="Arial" w:cs="Arial"/>
          <w:bCs/>
          <w:lang w:val="es-ES"/>
        </w:rPr>
        <w:t>trumentos de coordinación, establecimiento de un plan de trabajo o presupuesto previos al desembolso.</w:t>
      </w:r>
    </w:p>
    <w:p w14:paraId="14557217" w14:textId="7CAAC232" w:rsidR="00C419B8" w:rsidRDefault="00C419B8" w:rsidP="00C419B8">
      <w:pPr>
        <w:pStyle w:val="ListParagraph"/>
        <w:numPr>
          <w:ilvl w:val="1"/>
          <w:numId w:val="4"/>
        </w:numPr>
        <w:spacing w:before="120" w:after="120"/>
        <w:ind w:left="540" w:hanging="540"/>
        <w:contextualSpacing w:val="0"/>
        <w:jc w:val="both"/>
        <w:rPr>
          <w:rFonts w:ascii="Arial" w:hAnsi="Arial" w:cs="Arial"/>
          <w:bCs/>
          <w:lang w:val="es-ES"/>
        </w:rPr>
      </w:pPr>
      <w:r w:rsidRPr="001C59A0">
        <w:rPr>
          <w:rFonts w:ascii="Arial" w:hAnsi="Arial" w:cs="Arial"/>
          <w:bCs/>
          <w:lang w:val="es-ES"/>
        </w:rPr>
        <w:t xml:space="preserve">El </w:t>
      </w:r>
      <w:r w:rsidR="00614179">
        <w:rPr>
          <w:rFonts w:ascii="Arial" w:hAnsi="Arial" w:cs="Arial"/>
          <w:bCs/>
          <w:lang w:val="es-ES"/>
        </w:rPr>
        <w:t>informe de seguimiento de progreso (PMR) se utilizará para el monitoreo de las condiciones de política y el avance de los resultados del PBL</w:t>
      </w:r>
      <w:r w:rsidRPr="001C59A0">
        <w:rPr>
          <w:rFonts w:ascii="Arial" w:hAnsi="Arial" w:cs="Arial"/>
          <w:bCs/>
          <w:lang w:val="es-ES"/>
        </w:rPr>
        <w:t>.</w:t>
      </w:r>
    </w:p>
    <w:p w14:paraId="12A213F9" w14:textId="4F5A98AF" w:rsidR="003D552E" w:rsidRDefault="003D552E" w:rsidP="003D552E">
      <w:pPr>
        <w:spacing w:before="120" w:after="120"/>
        <w:jc w:val="both"/>
        <w:rPr>
          <w:lang w:val="es-ES"/>
        </w:rPr>
      </w:pPr>
    </w:p>
    <w:p w14:paraId="6EEE50E1" w14:textId="77777777" w:rsidR="00C419B8" w:rsidRPr="001C59A0" w:rsidRDefault="00C419B8" w:rsidP="00C419B8">
      <w:pPr>
        <w:pStyle w:val="ListParagraph"/>
        <w:numPr>
          <w:ilvl w:val="0"/>
          <w:numId w:val="5"/>
        </w:numPr>
        <w:spacing w:before="120" w:after="120"/>
        <w:ind w:left="540" w:hanging="540"/>
        <w:contextualSpacing w:val="0"/>
        <w:jc w:val="both"/>
        <w:rPr>
          <w:rFonts w:ascii="Arial" w:hAnsi="Arial" w:cs="Arial"/>
          <w:b/>
          <w:bCs/>
          <w:lang w:val="es-ES"/>
        </w:rPr>
      </w:pPr>
      <w:r w:rsidRPr="001C59A0">
        <w:rPr>
          <w:rFonts w:ascii="Arial" w:hAnsi="Arial" w:cs="Arial"/>
          <w:b/>
          <w:bCs/>
          <w:lang w:val="es-ES"/>
        </w:rPr>
        <w:t>Indicadores de producto.</w:t>
      </w:r>
    </w:p>
    <w:p w14:paraId="0D3B6B12" w14:textId="7905F7D4" w:rsidR="00F1122D" w:rsidRDefault="00614179" w:rsidP="00614179">
      <w:pPr>
        <w:pStyle w:val="ListParagraph"/>
        <w:numPr>
          <w:ilvl w:val="1"/>
          <w:numId w:val="4"/>
        </w:numPr>
        <w:spacing w:before="120" w:after="120"/>
        <w:ind w:left="540" w:hanging="540"/>
        <w:contextualSpacing w:val="0"/>
        <w:jc w:val="both"/>
        <w:rPr>
          <w:rFonts w:ascii="Arial" w:hAnsi="Arial" w:cs="Arial"/>
          <w:bCs/>
          <w:lang w:val="es-ES"/>
        </w:rPr>
      </w:pPr>
      <w:bookmarkStart w:id="1" w:name="_Toc402794297"/>
      <w:r w:rsidRPr="00614179">
        <w:rPr>
          <w:rFonts w:ascii="Arial" w:hAnsi="Arial" w:cs="Arial"/>
          <w:bCs/>
          <w:lang w:val="es-ES"/>
        </w:rPr>
        <w:t>L</w:t>
      </w:r>
      <w:r>
        <w:rPr>
          <w:rFonts w:ascii="Arial" w:hAnsi="Arial" w:cs="Arial"/>
          <w:bCs/>
          <w:lang w:val="es-ES"/>
        </w:rPr>
        <w:t xml:space="preserve">os indicadores de producto establecidos </w:t>
      </w:r>
      <w:r w:rsidR="006823BD">
        <w:rPr>
          <w:rFonts w:ascii="Arial" w:hAnsi="Arial" w:cs="Arial"/>
          <w:bCs/>
          <w:lang w:val="es-ES"/>
        </w:rPr>
        <w:t xml:space="preserve">como condiciones de política, así como sus respectivos medios de verificación, se presentan en la Tabla 1. </w:t>
      </w:r>
    </w:p>
    <w:p w14:paraId="372C3599" w14:textId="77777777" w:rsidR="00B21326" w:rsidRDefault="00B21326" w:rsidP="006823BD">
      <w:pPr>
        <w:pStyle w:val="ListParagraph"/>
        <w:spacing w:before="120" w:after="120"/>
        <w:ind w:left="0"/>
        <w:contextualSpacing w:val="0"/>
        <w:jc w:val="both"/>
        <w:rPr>
          <w:rFonts w:ascii="Arial" w:hAnsi="Arial" w:cs="Arial"/>
          <w:bCs/>
          <w:lang w:val="es-ES"/>
        </w:rPr>
      </w:pPr>
    </w:p>
    <w:p w14:paraId="44F5FA7F" w14:textId="77777777" w:rsidR="00B21326" w:rsidRDefault="00B21326" w:rsidP="006823BD">
      <w:pPr>
        <w:pStyle w:val="ListParagraph"/>
        <w:spacing w:before="120" w:after="120"/>
        <w:ind w:left="0"/>
        <w:contextualSpacing w:val="0"/>
        <w:jc w:val="both"/>
        <w:rPr>
          <w:rFonts w:ascii="Arial" w:hAnsi="Arial" w:cs="Arial"/>
          <w:bCs/>
          <w:lang w:val="es-ES"/>
        </w:rPr>
      </w:pPr>
    </w:p>
    <w:p w14:paraId="73902A21" w14:textId="77777777" w:rsidR="00B21326" w:rsidRDefault="00B21326" w:rsidP="006823BD">
      <w:pPr>
        <w:pStyle w:val="ListParagraph"/>
        <w:spacing w:before="120" w:after="120"/>
        <w:ind w:left="0"/>
        <w:contextualSpacing w:val="0"/>
        <w:jc w:val="both"/>
        <w:rPr>
          <w:rFonts w:ascii="Arial" w:hAnsi="Arial" w:cs="Arial"/>
          <w:bCs/>
          <w:lang w:val="es-ES"/>
        </w:rPr>
      </w:pPr>
    </w:p>
    <w:p w14:paraId="1C6485CA" w14:textId="77777777" w:rsidR="00B21326" w:rsidRDefault="00B21326" w:rsidP="006823BD">
      <w:pPr>
        <w:pStyle w:val="ListParagraph"/>
        <w:spacing w:before="120" w:after="120"/>
        <w:ind w:left="0"/>
        <w:contextualSpacing w:val="0"/>
        <w:jc w:val="both"/>
        <w:rPr>
          <w:rFonts w:ascii="Arial" w:hAnsi="Arial" w:cs="Arial"/>
          <w:bCs/>
          <w:lang w:val="es-ES"/>
        </w:rPr>
      </w:pPr>
    </w:p>
    <w:p w14:paraId="750189CE" w14:textId="79B2754D" w:rsidR="006823BD" w:rsidRDefault="006823BD" w:rsidP="007A4AEE">
      <w:pPr>
        <w:pStyle w:val="ListParagraph"/>
        <w:spacing w:before="120" w:after="120"/>
        <w:ind w:left="0"/>
        <w:contextualSpacing w:val="0"/>
        <w:jc w:val="center"/>
        <w:rPr>
          <w:rFonts w:ascii="Arial" w:hAnsi="Arial" w:cs="Arial"/>
          <w:bCs/>
          <w:lang w:val="es-ES"/>
        </w:rPr>
      </w:pPr>
      <w:r>
        <w:rPr>
          <w:rFonts w:ascii="Arial" w:hAnsi="Arial" w:cs="Arial"/>
          <w:bCs/>
          <w:lang w:val="es-ES"/>
        </w:rPr>
        <w:lastRenderedPageBreak/>
        <w:t>Tabla 1.</w:t>
      </w:r>
    </w:p>
    <w:tbl>
      <w:tblPr>
        <w:tblpPr w:leftFromText="180" w:rightFromText="180" w:vertAnchor="text" w:tblpX="-635" w:tblpY="1"/>
        <w:tblOverlap w:val="never"/>
        <w:tblW w:w="5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5"/>
        <w:gridCol w:w="687"/>
        <w:gridCol w:w="622"/>
        <w:gridCol w:w="689"/>
        <w:gridCol w:w="4277"/>
      </w:tblGrid>
      <w:tr w:rsidR="00000FF4" w:rsidRPr="00E043F6" w14:paraId="439DB1E3" w14:textId="77777777" w:rsidTr="00E043F6">
        <w:trPr>
          <w:trHeight w:val="440"/>
          <w:tblHeader/>
        </w:trPr>
        <w:tc>
          <w:tcPr>
            <w:tcW w:w="1831" w:type="pct"/>
            <w:shd w:val="clear" w:color="auto" w:fill="BFBFBF" w:themeFill="background1" w:themeFillShade="BF"/>
            <w:vAlign w:val="center"/>
            <w:hideMark/>
          </w:tcPr>
          <w:p w14:paraId="25392B28" w14:textId="77777777" w:rsidR="00000FF4" w:rsidRPr="00E043F6" w:rsidRDefault="00000FF4" w:rsidP="00000FF4">
            <w:pPr>
              <w:jc w:val="center"/>
              <w:rPr>
                <w:rFonts w:ascii="Arial" w:hAnsi="Arial" w:cs="Arial"/>
                <w:b/>
                <w:bCs/>
                <w:color w:val="000000" w:themeColor="text1"/>
                <w:sz w:val="16"/>
                <w:szCs w:val="16"/>
                <w:lang w:val="es-MX"/>
              </w:rPr>
            </w:pPr>
            <w:r w:rsidRPr="00E043F6">
              <w:rPr>
                <w:rFonts w:ascii="Arial" w:hAnsi="Arial" w:cs="Arial"/>
                <w:sz w:val="16"/>
                <w:szCs w:val="16"/>
                <w:lang w:val="es-ES"/>
              </w:rPr>
              <w:br w:type="page"/>
            </w:r>
            <w:r w:rsidRPr="00E043F6">
              <w:rPr>
                <w:rFonts w:ascii="Arial" w:hAnsi="Arial" w:cs="Arial"/>
                <w:b/>
                <w:bCs/>
                <w:color w:val="000000" w:themeColor="text1"/>
                <w:sz w:val="16"/>
                <w:szCs w:val="16"/>
                <w:lang w:val="es-ES"/>
              </w:rPr>
              <w:t>Productos</w:t>
            </w:r>
          </w:p>
        </w:tc>
        <w:tc>
          <w:tcPr>
            <w:tcW w:w="347" w:type="pct"/>
            <w:shd w:val="clear" w:color="auto" w:fill="BFBFBF" w:themeFill="background1" w:themeFillShade="BF"/>
            <w:vAlign w:val="center"/>
            <w:hideMark/>
          </w:tcPr>
          <w:p w14:paraId="1D395AD3" w14:textId="77777777" w:rsidR="00000FF4" w:rsidRPr="00E043F6" w:rsidRDefault="00000FF4" w:rsidP="00000FF4">
            <w:pPr>
              <w:jc w:val="center"/>
              <w:rPr>
                <w:rFonts w:ascii="Arial" w:hAnsi="Arial" w:cs="Arial"/>
                <w:b/>
                <w:bCs/>
                <w:color w:val="000000" w:themeColor="text1"/>
                <w:sz w:val="16"/>
                <w:szCs w:val="16"/>
              </w:rPr>
            </w:pPr>
            <w:r w:rsidRPr="00E043F6">
              <w:rPr>
                <w:rFonts w:ascii="Arial" w:hAnsi="Arial" w:cs="Arial"/>
                <w:b/>
                <w:bCs/>
                <w:color w:val="000000" w:themeColor="text1"/>
                <w:sz w:val="16"/>
                <w:szCs w:val="16"/>
                <w:lang w:val="es-MX"/>
              </w:rPr>
              <w:t xml:space="preserve">Linea </w:t>
            </w:r>
            <w:r w:rsidRPr="00E043F6">
              <w:rPr>
                <w:rFonts w:ascii="Arial" w:hAnsi="Arial" w:cs="Arial"/>
                <w:b/>
                <w:bCs/>
                <w:color w:val="000000" w:themeColor="text1"/>
                <w:sz w:val="16"/>
                <w:szCs w:val="16"/>
              </w:rPr>
              <w:t>base 2015</w:t>
            </w:r>
          </w:p>
        </w:tc>
        <w:tc>
          <w:tcPr>
            <w:tcW w:w="314" w:type="pct"/>
            <w:shd w:val="clear" w:color="auto" w:fill="BFBFBF" w:themeFill="background1" w:themeFillShade="BF"/>
            <w:vAlign w:val="center"/>
            <w:hideMark/>
          </w:tcPr>
          <w:p w14:paraId="3C5E1A75" w14:textId="77777777" w:rsidR="00000FF4" w:rsidRPr="00E043F6" w:rsidRDefault="00000FF4" w:rsidP="00000FF4">
            <w:pPr>
              <w:jc w:val="center"/>
              <w:rPr>
                <w:rFonts w:ascii="Arial" w:hAnsi="Arial" w:cs="Arial"/>
                <w:b/>
                <w:bCs/>
                <w:color w:val="000000" w:themeColor="text1"/>
                <w:sz w:val="16"/>
                <w:szCs w:val="16"/>
              </w:rPr>
            </w:pPr>
            <w:r w:rsidRPr="00E043F6">
              <w:rPr>
                <w:rFonts w:ascii="Arial" w:hAnsi="Arial" w:cs="Arial"/>
                <w:b/>
                <w:bCs/>
                <w:color w:val="000000" w:themeColor="text1"/>
                <w:sz w:val="16"/>
                <w:szCs w:val="16"/>
              </w:rPr>
              <w:t>Meta</w:t>
            </w:r>
          </w:p>
          <w:p w14:paraId="0129D120" w14:textId="77777777" w:rsidR="00000FF4" w:rsidRPr="00E043F6" w:rsidRDefault="00000FF4" w:rsidP="00000FF4">
            <w:pPr>
              <w:jc w:val="center"/>
              <w:rPr>
                <w:rFonts w:ascii="Arial" w:hAnsi="Arial" w:cs="Arial"/>
                <w:b/>
                <w:bCs/>
                <w:color w:val="000000" w:themeColor="text1"/>
                <w:sz w:val="16"/>
                <w:szCs w:val="16"/>
              </w:rPr>
            </w:pPr>
            <w:r w:rsidRPr="00E043F6">
              <w:rPr>
                <w:rFonts w:ascii="Arial" w:hAnsi="Arial" w:cs="Arial"/>
                <w:b/>
                <w:bCs/>
                <w:color w:val="000000" w:themeColor="text1"/>
                <w:sz w:val="16"/>
                <w:szCs w:val="16"/>
              </w:rPr>
              <w:t>2017</w:t>
            </w:r>
          </w:p>
        </w:tc>
        <w:tc>
          <w:tcPr>
            <w:tcW w:w="348" w:type="pct"/>
            <w:shd w:val="clear" w:color="auto" w:fill="BFBFBF" w:themeFill="background1" w:themeFillShade="BF"/>
            <w:vAlign w:val="center"/>
            <w:hideMark/>
          </w:tcPr>
          <w:p w14:paraId="3C486B34" w14:textId="77777777" w:rsidR="00000FF4" w:rsidRPr="00E043F6" w:rsidRDefault="00000FF4" w:rsidP="00000FF4">
            <w:pPr>
              <w:jc w:val="center"/>
              <w:rPr>
                <w:rFonts w:ascii="Arial" w:hAnsi="Arial" w:cs="Arial"/>
                <w:b/>
                <w:bCs/>
                <w:color w:val="000000" w:themeColor="text1"/>
                <w:sz w:val="16"/>
                <w:szCs w:val="16"/>
              </w:rPr>
            </w:pPr>
            <w:r w:rsidRPr="00E043F6">
              <w:rPr>
                <w:rFonts w:ascii="Arial" w:hAnsi="Arial" w:cs="Arial"/>
                <w:b/>
                <w:bCs/>
                <w:color w:val="000000" w:themeColor="text1"/>
                <w:sz w:val="16"/>
                <w:szCs w:val="16"/>
              </w:rPr>
              <w:t>Meta</w:t>
            </w:r>
          </w:p>
          <w:p w14:paraId="414574AC" w14:textId="77777777" w:rsidR="00000FF4" w:rsidRPr="00E043F6" w:rsidRDefault="00000FF4" w:rsidP="00000FF4">
            <w:pPr>
              <w:jc w:val="center"/>
              <w:rPr>
                <w:rFonts w:ascii="Arial" w:hAnsi="Arial" w:cs="Arial"/>
                <w:b/>
                <w:bCs/>
                <w:color w:val="000000" w:themeColor="text1"/>
                <w:sz w:val="16"/>
                <w:szCs w:val="16"/>
              </w:rPr>
            </w:pPr>
            <w:r w:rsidRPr="00E043F6">
              <w:rPr>
                <w:rFonts w:ascii="Arial" w:hAnsi="Arial" w:cs="Arial"/>
                <w:b/>
                <w:bCs/>
                <w:color w:val="000000" w:themeColor="text1"/>
                <w:sz w:val="16"/>
                <w:szCs w:val="16"/>
              </w:rPr>
              <w:t>2018</w:t>
            </w:r>
          </w:p>
        </w:tc>
        <w:tc>
          <w:tcPr>
            <w:tcW w:w="2160" w:type="pct"/>
            <w:shd w:val="clear" w:color="auto" w:fill="BFBFBF" w:themeFill="background1" w:themeFillShade="BF"/>
          </w:tcPr>
          <w:p w14:paraId="2099B411" w14:textId="77777777" w:rsidR="00000FF4" w:rsidRPr="00E043F6" w:rsidRDefault="00000FF4" w:rsidP="00000FF4">
            <w:pPr>
              <w:jc w:val="center"/>
              <w:rPr>
                <w:rFonts w:ascii="Arial" w:hAnsi="Arial" w:cs="Arial"/>
                <w:b/>
                <w:bCs/>
                <w:color w:val="000000" w:themeColor="text1"/>
                <w:sz w:val="16"/>
                <w:szCs w:val="16"/>
                <w:lang w:val="es-ES"/>
              </w:rPr>
            </w:pPr>
            <w:r w:rsidRPr="00E043F6">
              <w:rPr>
                <w:rFonts w:ascii="Arial" w:hAnsi="Arial" w:cs="Arial"/>
                <w:b/>
                <w:bCs/>
                <w:color w:val="000000" w:themeColor="text1"/>
                <w:sz w:val="16"/>
                <w:szCs w:val="16"/>
                <w:lang w:val="es-ES"/>
              </w:rPr>
              <w:t>Medios de verificación</w:t>
            </w:r>
          </w:p>
        </w:tc>
      </w:tr>
      <w:tr w:rsidR="00000FF4" w:rsidRPr="00E043F6" w14:paraId="79646C62" w14:textId="77777777" w:rsidTr="00000FF4">
        <w:trPr>
          <w:trHeight w:val="287"/>
        </w:trPr>
        <w:tc>
          <w:tcPr>
            <w:tcW w:w="2840" w:type="pct"/>
            <w:gridSpan w:val="4"/>
            <w:shd w:val="clear" w:color="auto" w:fill="auto"/>
            <w:vAlign w:val="center"/>
            <w:hideMark/>
          </w:tcPr>
          <w:p w14:paraId="13BE36C5" w14:textId="77777777" w:rsidR="00000FF4" w:rsidRPr="00E043F6" w:rsidRDefault="00000FF4" w:rsidP="00000FF4">
            <w:pPr>
              <w:rPr>
                <w:rFonts w:ascii="Arial" w:hAnsi="Arial" w:cs="Arial"/>
                <w:b/>
                <w:bCs/>
                <w:color w:val="000000" w:themeColor="text1"/>
                <w:sz w:val="16"/>
                <w:szCs w:val="16"/>
                <w:lang w:val="es-MX"/>
              </w:rPr>
            </w:pPr>
            <w:r w:rsidRPr="00E043F6">
              <w:rPr>
                <w:rFonts w:ascii="Arial" w:hAnsi="Arial" w:cs="Arial"/>
                <w:b/>
                <w:bCs/>
                <w:color w:val="000000" w:themeColor="text1"/>
                <w:sz w:val="16"/>
                <w:szCs w:val="16"/>
                <w:lang w:val="es-MX"/>
              </w:rPr>
              <w:t>I. Estabilidad Macroeconómica</w:t>
            </w:r>
          </w:p>
        </w:tc>
        <w:tc>
          <w:tcPr>
            <w:tcW w:w="2160" w:type="pct"/>
          </w:tcPr>
          <w:p w14:paraId="0347ED3A" w14:textId="77777777" w:rsidR="00000FF4" w:rsidRPr="00E043F6" w:rsidRDefault="00000FF4" w:rsidP="00000FF4">
            <w:pPr>
              <w:rPr>
                <w:rFonts w:ascii="Arial" w:hAnsi="Arial" w:cs="Arial"/>
                <w:b/>
                <w:bCs/>
                <w:color w:val="000000"/>
                <w:sz w:val="16"/>
                <w:szCs w:val="16"/>
                <w:lang w:val="es-MX"/>
              </w:rPr>
            </w:pPr>
          </w:p>
        </w:tc>
      </w:tr>
      <w:tr w:rsidR="00000FF4" w:rsidRPr="006B046D" w14:paraId="4FB36DD4" w14:textId="77777777" w:rsidTr="00E043F6">
        <w:trPr>
          <w:trHeight w:val="693"/>
        </w:trPr>
        <w:tc>
          <w:tcPr>
            <w:tcW w:w="1831" w:type="pct"/>
            <w:shd w:val="clear" w:color="auto" w:fill="auto"/>
            <w:vAlign w:val="center"/>
          </w:tcPr>
          <w:p w14:paraId="1C9EF327"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ES"/>
              </w:rPr>
              <w:t>Marco macroeconómico consistente con los objetivos del Programa y con los lineamientos establecidos en la carta de política sectorial.</w:t>
            </w:r>
          </w:p>
        </w:tc>
        <w:tc>
          <w:tcPr>
            <w:tcW w:w="347" w:type="pct"/>
            <w:shd w:val="clear" w:color="auto" w:fill="auto"/>
            <w:vAlign w:val="center"/>
          </w:tcPr>
          <w:p w14:paraId="18E2D9D7" w14:textId="77777777" w:rsidR="00000FF4" w:rsidRPr="00E043F6" w:rsidRDefault="00000FF4" w:rsidP="00000FF4">
            <w:pPr>
              <w:jc w:val="center"/>
              <w:rPr>
                <w:rFonts w:ascii="Arial" w:hAnsi="Arial" w:cs="Arial"/>
                <w:color w:val="000000" w:themeColor="text1"/>
                <w:sz w:val="16"/>
                <w:szCs w:val="16"/>
                <w:lang w:val="es-ES"/>
              </w:rPr>
            </w:pPr>
            <w:r w:rsidRPr="00E043F6">
              <w:rPr>
                <w:rFonts w:ascii="Arial" w:hAnsi="Arial" w:cs="Arial"/>
                <w:color w:val="000000" w:themeColor="text1"/>
                <w:sz w:val="16"/>
                <w:szCs w:val="16"/>
                <w:lang w:val="es-ES"/>
              </w:rPr>
              <w:t>1</w:t>
            </w:r>
          </w:p>
        </w:tc>
        <w:tc>
          <w:tcPr>
            <w:tcW w:w="314" w:type="pct"/>
            <w:shd w:val="clear" w:color="auto" w:fill="auto"/>
            <w:vAlign w:val="center"/>
          </w:tcPr>
          <w:p w14:paraId="51CBC932" w14:textId="77777777" w:rsidR="00000FF4" w:rsidRPr="00E043F6" w:rsidRDefault="00000FF4" w:rsidP="00000FF4">
            <w:pPr>
              <w:jc w:val="center"/>
              <w:rPr>
                <w:rFonts w:ascii="Arial" w:hAnsi="Arial" w:cs="Arial"/>
                <w:color w:val="000000" w:themeColor="text1"/>
                <w:sz w:val="16"/>
                <w:szCs w:val="16"/>
                <w:lang w:val="es-ES"/>
              </w:rPr>
            </w:pPr>
            <w:r w:rsidRPr="00E043F6">
              <w:rPr>
                <w:rFonts w:ascii="Arial" w:hAnsi="Arial" w:cs="Arial"/>
                <w:color w:val="000000" w:themeColor="text1"/>
                <w:sz w:val="16"/>
                <w:szCs w:val="16"/>
                <w:lang w:val="es-ES"/>
              </w:rPr>
              <w:t>1</w:t>
            </w:r>
          </w:p>
        </w:tc>
        <w:tc>
          <w:tcPr>
            <w:tcW w:w="348" w:type="pct"/>
            <w:shd w:val="clear" w:color="auto" w:fill="auto"/>
            <w:vAlign w:val="center"/>
          </w:tcPr>
          <w:p w14:paraId="11F276EE" w14:textId="77777777" w:rsidR="00000FF4" w:rsidRPr="00E043F6" w:rsidRDefault="00000FF4" w:rsidP="00000FF4">
            <w:pPr>
              <w:jc w:val="center"/>
              <w:rPr>
                <w:rFonts w:ascii="Arial" w:hAnsi="Arial" w:cs="Arial"/>
                <w:color w:val="000000" w:themeColor="text1"/>
                <w:sz w:val="16"/>
                <w:szCs w:val="16"/>
                <w:lang w:val="es-ES"/>
              </w:rPr>
            </w:pPr>
            <w:r w:rsidRPr="00E043F6">
              <w:rPr>
                <w:rFonts w:ascii="Arial" w:hAnsi="Arial" w:cs="Arial"/>
                <w:color w:val="000000" w:themeColor="text1"/>
                <w:sz w:val="16"/>
                <w:szCs w:val="16"/>
                <w:lang w:val="es-ES"/>
              </w:rPr>
              <w:t>1</w:t>
            </w:r>
          </w:p>
        </w:tc>
        <w:tc>
          <w:tcPr>
            <w:tcW w:w="2160" w:type="pct"/>
          </w:tcPr>
          <w:p w14:paraId="1DC9544A" w14:textId="77777777" w:rsidR="00000FF4" w:rsidRPr="00E043F6" w:rsidRDefault="00000FF4" w:rsidP="00000FF4">
            <w:pPr>
              <w:rPr>
                <w:rFonts w:ascii="Arial" w:hAnsi="Arial" w:cs="Arial"/>
                <w:sz w:val="16"/>
                <w:szCs w:val="16"/>
                <w:lang w:val="es-MX"/>
              </w:rPr>
            </w:pPr>
            <w:r w:rsidRPr="00E043F6">
              <w:rPr>
                <w:rFonts w:ascii="Arial" w:hAnsi="Arial" w:cs="Arial"/>
                <w:sz w:val="16"/>
                <w:szCs w:val="16"/>
                <w:lang w:val="es-MX"/>
              </w:rPr>
              <w:t>Evaluación Independiente de Condiciones Macroeconómicas (IAMC, por sus siglas en inglés) vigente.</w:t>
            </w:r>
          </w:p>
        </w:tc>
      </w:tr>
      <w:tr w:rsidR="00000FF4" w:rsidRPr="006B046D" w14:paraId="48ED388F" w14:textId="77777777" w:rsidTr="00000FF4">
        <w:trPr>
          <w:trHeight w:val="428"/>
        </w:trPr>
        <w:tc>
          <w:tcPr>
            <w:tcW w:w="2840" w:type="pct"/>
            <w:gridSpan w:val="4"/>
            <w:shd w:val="clear" w:color="auto" w:fill="auto"/>
            <w:vAlign w:val="center"/>
          </w:tcPr>
          <w:p w14:paraId="31893AC7" w14:textId="6FD6F328" w:rsidR="00000FF4" w:rsidRPr="00E043F6" w:rsidRDefault="00000FF4" w:rsidP="00000FF4">
            <w:pPr>
              <w:rPr>
                <w:rFonts w:ascii="Arial" w:hAnsi="Arial" w:cs="Arial"/>
                <w:color w:val="000000" w:themeColor="text1"/>
                <w:sz w:val="16"/>
                <w:szCs w:val="16"/>
                <w:lang w:val="es-ES"/>
              </w:rPr>
            </w:pPr>
            <w:r w:rsidRPr="00E043F6">
              <w:rPr>
                <w:rFonts w:ascii="Arial" w:hAnsi="Arial" w:cs="Arial"/>
                <w:b/>
                <w:bCs/>
                <w:color w:val="000000" w:themeColor="text1"/>
                <w:sz w:val="16"/>
                <w:szCs w:val="16"/>
                <w:lang w:val="es-ES"/>
              </w:rPr>
              <w:t xml:space="preserve">II. </w:t>
            </w:r>
            <w:r w:rsidR="004E53F2">
              <w:rPr>
                <w:rFonts w:ascii="Arial" w:hAnsi="Arial" w:cs="Arial"/>
                <w:b/>
                <w:bCs/>
                <w:color w:val="000000" w:themeColor="text1"/>
                <w:sz w:val="16"/>
                <w:szCs w:val="16"/>
                <w:lang w:val="es-ES"/>
              </w:rPr>
              <w:t>Marco</w:t>
            </w:r>
            <w:r w:rsidRPr="00E043F6">
              <w:rPr>
                <w:rFonts w:ascii="Arial" w:hAnsi="Arial" w:cs="Arial"/>
                <w:b/>
                <w:bCs/>
                <w:color w:val="000000" w:themeColor="text1"/>
                <w:sz w:val="16"/>
                <w:szCs w:val="16"/>
                <w:lang w:val="es-ES"/>
              </w:rPr>
              <w:t xml:space="preserve"> Institucional</w:t>
            </w:r>
            <w:r w:rsidR="004E53F2">
              <w:rPr>
                <w:rFonts w:ascii="Arial" w:hAnsi="Arial" w:cs="Arial"/>
                <w:b/>
                <w:bCs/>
                <w:color w:val="000000" w:themeColor="text1"/>
                <w:sz w:val="16"/>
                <w:szCs w:val="16"/>
                <w:lang w:val="es-ES"/>
              </w:rPr>
              <w:t xml:space="preserve"> del Sector</w:t>
            </w:r>
          </w:p>
        </w:tc>
        <w:tc>
          <w:tcPr>
            <w:tcW w:w="2160" w:type="pct"/>
          </w:tcPr>
          <w:p w14:paraId="78A0B92F" w14:textId="77777777" w:rsidR="00000FF4" w:rsidRPr="00E043F6" w:rsidRDefault="00000FF4" w:rsidP="00000FF4">
            <w:pPr>
              <w:rPr>
                <w:rFonts w:ascii="Arial" w:hAnsi="Arial" w:cs="Arial"/>
                <w:b/>
                <w:color w:val="000000"/>
                <w:sz w:val="16"/>
                <w:szCs w:val="16"/>
                <w:lang w:val="es-ES_tradnl"/>
              </w:rPr>
            </w:pPr>
          </w:p>
        </w:tc>
      </w:tr>
      <w:tr w:rsidR="00000FF4" w:rsidRPr="006B046D" w14:paraId="02C1AF46" w14:textId="77777777" w:rsidTr="00E043F6">
        <w:trPr>
          <w:trHeight w:val="459"/>
        </w:trPr>
        <w:tc>
          <w:tcPr>
            <w:tcW w:w="1831" w:type="pct"/>
            <w:shd w:val="clear" w:color="auto" w:fill="auto"/>
            <w:vAlign w:val="center"/>
          </w:tcPr>
          <w:p w14:paraId="4F9FA2C9" w14:textId="77777777" w:rsidR="00000FF4" w:rsidRPr="00E043F6" w:rsidRDefault="00000FF4" w:rsidP="00000FF4">
            <w:pPr>
              <w:rPr>
                <w:rFonts w:ascii="Arial" w:hAnsi="Arial" w:cs="Arial"/>
                <w:sz w:val="16"/>
                <w:szCs w:val="16"/>
                <w:lang w:val="es-MX"/>
              </w:rPr>
            </w:pPr>
            <w:r w:rsidRPr="00E043F6">
              <w:rPr>
                <w:rFonts w:ascii="Arial" w:hAnsi="Arial" w:cs="Arial"/>
                <w:color w:val="000000" w:themeColor="text1"/>
                <w:sz w:val="16"/>
                <w:szCs w:val="16"/>
                <w:lang w:val="es-ES"/>
              </w:rPr>
              <w:t>Creación del Consejo Consultivo para la Transición Energética (CCTE).</w:t>
            </w:r>
          </w:p>
        </w:tc>
        <w:tc>
          <w:tcPr>
            <w:tcW w:w="347" w:type="pct"/>
            <w:shd w:val="clear" w:color="auto" w:fill="auto"/>
            <w:vAlign w:val="center"/>
          </w:tcPr>
          <w:p w14:paraId="3A34D4E2"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14" w:type="pct"/>
            <w:shd w:val="clear" w:color="auto" w:fill="auto"/>
            <w:vAlign w:val="center"/>
          </w:tcPr>
          <w:p w14:paraId="17D7B01B"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1</w:t>
            </w:r>
          </w:p>
        </w:tc>
        <w:tc>
          <w:tcPr>
            <w:tcW w:w="348" w:type="pct"/>
            <w:shd w:val="clear" w:color="auto" w:fill="auto"/>
            <w:vAlign w:val="center"/>
          </w:tcPr>
          <w:p w14:paraId="488BB2A8" w14:textId="77777777" w:rsidR="00000FF4" w:rsidRPr="00E043F6" w:rsidRDefault="00000FF4" w:rsidP="00000FF4">
            <w:pPr>
              <w:jc w:val="center"/>
              <w:rPr>
                <w:rFonts w:ascii="Arial" w:hAnsi="Arial" w:cs="Arial"/>
                <w:sz w:val="16"/>
                <w:szCs w:val="16"/>
                <w:lang w:val="es-MX"/>
              </w:rPr>
            </w:pPr>
            <w:r w:rsidRPr="00E043F6">
              <w:rPr>
                <w:rFonts w:ascii="Arial" w:hAnsi="Arial" w:cs="Arial"/>
                <w:sz w:val="16"/>
                <w:szCs w:val="16"/>
                <w:lang w:val="es-MX"/>
              </w:rPr>
              <w:t>-</w:t>
            </w:r>
          </w:p>
        </w:tc>
        <w:tc>
          <w:tcPr>
            <w:tcW w:w="2160" w:type="pct"/>
            <w:vAlign w:val="center"/>
          </w:tcPr>
          <w:p w14:paraId="3251AF5F"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ES"/>
              </w:rPr>
              <w:t xml:space="preserve">Acta de la reunión de instalación del CCTE, publicada en el Portal del Gobierno de México (PGdM). </w:t>
            </w:r>
          </w:p>
        </w:tc>
      </w:tr>
      <w:tr w:rsidR="00000FF4" w:rsidRPr="006B046D" w14:paraId="6E03437D" w14:textId="77777777" w:rsidTr="00E043F6">
        <w:trPr>
          <w:trHeight w:val="531"/>
        </w:trPr>
        <w:tc>
          <w:tcPr>
            <w:tcW w:w="1831" w:type="pct"/>
            <w:shd w:val="clear" w:color="auto" w:fill="auto"/>
            <w:vAlign w:val="center"/>
          </w:tcPr>
          <w:p w14:paraId="5B6DC926" w14:textId="77777777" w:rsidR="00000FF4" w:rsidRPr="00E043F6" w:rsidRDefault="00000FF4" w:rsidP="00000FF4">
            <w:pPr>
              <w:rPr>
                <w:rFonts w:ascii="Arial" w:hAnsi="Arial" w:cs="Arial"/>
                <w:sz w:val="16"/>
                <w:szCs w:val="16"/>
                <w:lang w:val="es-MX"/>
              </w:rPr>
            </w:pPr>
            <w:r w:rsidRPr="00E043F6">
              <w:rPr>
                <w:rFonts w:ascii="Arial" w:hAnsi="Arial" w:cs="Arial"/>
                <w:color w:val="000000" w:themeColor="text1"/>
                <w:sz w:val="16"/>
                <w:szCs w:val="16"/>
                <w:lang w:val="es-ES"/>
              </w:rPr>
              <w:t>Aprobación y publicación de las reglas de Operación del CCTE.</w:t>
            </w:r>
          </w:p>
        </w:tc>
        <w:tc>
          <w:tcPr>
            <w:tcW w:w="347" w:type="pct"/>
            <w:shd w:val="clear" w:color="auto" w:fill="auto"/>
            <w:vAlign w:val="center"/>
          </w:tcPr>
          <w:p w14:paraId="1DCAA3E8"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14" w:type="pct"/>
            <w:shd w:val="clear" w:color="auto" w:fill="auto"/>
            <w:vAlign w:val="center"/>
          </w:tcPr>
          <w:p w14:paraId="01FEB162"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1</w:t>
            </w:r>
          </w:p>
        </w:tc>
        <w:tc>
          <w:tcPr>
            <w:tcW w:w="348" w:type="pct"/>
            <w:shd w:val="clear" w:color="auto" w:fill="auto"/>
            <w:vAlign w:val="center"/>
          </w:tcPr>
          <w:p w14:paraId="22E7B5A0" w14:textId="77777777" w:rsidR="00000FF4" w:rsidRPr="00E043F6" w:rsidRDefault="00000FF4" w:rsidP="00000FF4">
            <w:pPr>
              <w:jc w:val="center"/>
              <w:rPr>
                <w:rFonts w:ascii="Arial" w:hAnsi="Arial" w:cs="Arial"/>
                <w:sz w:val="16"/>
                <w:szCs w:val="16"/>
                <w:lang w:val="es-MX"/>
              </w:rPr>
            </w:pPr>
            <w:r w:rsidRPr="00E043F6">
              <w:rPr>
                <w:rFonts w:ascii="Arial" w:hAnsi="Arial" w:cs="Arial"/>
                <w:sz w:val="16"/>
                <w:szCs w:val="16"/>
                <w:lang w:val="es-MX"/>
              </w:rPr>
              <w:t>-</w:t>
            </w:r>
          </w:p>
        </w:tc>
        <w:tc>
          <w:tcPr>
            <w:tcW w:w="2160" w:type="pct"/>
            <w:vAlign w:val="center"/>
          </w:tcPr>
          <w:p w14:paraId="2E2F775F"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ES"/>
              </w:rPr>
              <w:t>Reglas de Operación del CCTE, publicadas en el (PGdM).</w:t>
            </w:r>
          </w:p>
        </w:tc>
      </w:tr>
      <w:tr w:rsidR="00000FF4" w:rsidRPr="006B046D" w14:paraId="2CA5F4B4" w14:textId="77777777" w:rsidTr="00E043F6">
        <w:trPr>
          <w:trHeight w:val="485"/>
        </w:trPr>
        <w:tc>
          <w:tcPr>
            <w:tcW w:w="1831" w:type="pct"/>
            <w:shd w:val="clear" w:color="auto" w:fill="auto"/>
            <w:vAlign w:val="center"/>
          </w:tcPr>
          <w:p w14:paraId="0E40F34C" w14:textId="77777777" w:rsidR="00000FF4" w:rsidRPr="00E043F6" w:rsidRDefault="00000FF4" w:rsidP="00000FF4">
            <w:pPr>
              <w:rPr>
                <w:rFonts w:ascii="Arial" w:hAnsi="Arial" w:cs="Arial"/>
                <w:sz w:val="16"/>
                <w:szCs w:val="16"/>
                <w:lang w:val="es-MX"/>
              </w:rPr>
            </w:pPr>
            <w:r w:rsidRPr="00E043F6">
              <w:rPr>
                <w:rFonts w:ascii="Arial" w:hAnsi="Arial" w:cs="Arial"/>
                <w:color w:val="000000" w:themeColor="text1"/>
                <w:sz w:val="16"/>
                <w:szCs w:val="16"/>
                <w:lang w:val="es-MX"/>
              </w:rPr>
              <w:t xml:space="preserve">Creación del </w:t>
            </w:r>
            <w:r w:rsidRPr="00E043F6">
              <w:rPr>
                <w:rFonts w:ascii="Arial" w:hAnsi="Arial" w:cs="Arial"/>
                <w:color w:val="000000" w:themeColor="text1"/>
                <w:sz w:val="16"/>
                <w:szCs w:val="16"/>
                <w:lang w:val="es-ES"/>
              </w:rPr>
              <w:t>Comité de Coordinación del Sector Energético (CCSE).</w:t>
            </w:r>
            <w:hyperlink w:anchor="_ftn1" w:history="1"/>
          </w:p>
        </w:tc>
        <w:tc>
          <w:tcPr>
            <w:tcW w:w="347" w:type="pct"/>
            <w:shd w:val="clear" w:color="auto" w:fill="auto"/>
            <w:vAlign w:val="center"/>
          </w:tcPr>
          <w:p w14:paraId="6CC258D6"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14" w:type="pct"/>
            <w:shd w:val="clear" w:color="auto" w:fill="auto"/>
            <w:vAlign w:val="center"/>
          </w:tcPr>
          <w:p w14:paraId="76D70CB7"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1</w:t>
            </w:r>
          </w:p>
        </w:tc>
        <w:tc>
          <w:tcPr>
            <w:tcW w:w="348" w:type="pct"/>
            <w:shd w:val="clear" w:color="auto" w:fill="auto"/>
            <w:vAlign w:val="center"/>
          </w:tcPr>
          <w:p w14:paraId="330FB5CD" w14:textId="77777777" w:rsidR="00000FF4" w:rsidRPr="00E043F6" w:rsidRDefault="00000FF4" w:rsidP="00000FF4">
            <w:pPr>
              <w:jc w:val="center"/>
              <w:rPr>
                <w:rFonts w:ascii="Arial" w:hAnsi="Arial" w:cs="Arial"/>
                <w:sz w:val="16"/>
                <w:szCs w:val="16"/>
                <w:lang w:val="es-MX"/>
              </w:rPr>
            </w:pPr>
            <w:r w:rsidRPr="00E043F6">
              <w:rPr>
                <w:rFonts w:ascii="Arial" w:hAnsi="Arial" w:cs="Arial"/>
                <w:sz w:val="16"/>
                <w:szCs w:val="16"/>
                <w:lang w:val="es-MX"/>
              </w:rPr>
              <w:t>-</w:t>
            </w:r>
          </w:p>
        </w:tc>
        <w:tc>
          <w:tcPr>
            <w:tcW w:w="2160" w:type="pct"/>
            <w:vAlign w:val="center"/>
          </w:tcPr>
          <w:p w14:paraId="7CBE53E8"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ES"/>
              </w:rPr>
              <w:t>Acta de la Reunión instalación del CCSE, publicada en el PGdM.</w:t>
            </w:r>
          </w:p>
        </w:tc>
      </w:tr>
      <w:tr w:rsidR="00000FF4" w:rsidRPr="006B046D" w14:paraId="6877575E" w14:textId="77777777" w:rsidTr="00E043F6">
        <w:trPr>
          <w:trHeight w:val="603"/>
        </w:trPr>
        <w:tc>
          <w:tcPr>
            <w:tcW w:w="1831" w:type="pct"/>
            <w:shd w:val="clear" w:color="auto" w:fill="auto"/>
            <w:vAlign w:val="center"/>
          </w:tcPr>
          <w:p w14:paraId="7C539D86" w14:textId="5DCC8591" w:rsidR="00000FF4" w:rsidRPr="00E043F6" w:rsidRDefault="00000FF4" w:rsidP="00E043F6">
            <w:pPr>
              <w:spacing w:before="60"/>
              <w:jc w:val="both"/>
              <w:rPr>
                <w:rFonts w:ascii="Arial" w:hAnsi="Arial" w:cs="Arial"/>
                <w:color w:val="000000" w:themeColor="text1"/>
                <w:sz w:val="16"/>
                <w:szCs w:val="16"/>
                <w:lang w:val="es-ES"/>
              </w:rPr>
            </w:pPr>
            <w:bookmarkStart w:id="2" w:name="_Hlk493484257"/>
            <w:r w:rsidRPr="00E043F6">
              <w:rPr>
                <w:rFonts w:ascii="Arial" w:hAnsi="Arial" w:cs="Arial"/>
                <w:color w:val="000000" w:themeColor="text1"/>
                <w:sz w:val="16"/>
                <w:szCs w:val="16"/>
                <w:lang w:val="es-ES"/>
              </w:rPr>
              <w:t>Presentación</w:t>
            </w:r>
            <w:r w:rsidRPr="00E043F6">
              <w:rPr>
                <w:rFonts w:ascii="Arial" w:hAnsi="Arial" w:cs="Arial"/>
                <w:sz w:val="16"/>
                <w:szCs w:val="16"/>
                <w:lang w:val="es-ES"/>
              </w:rPr>
              <w:t xml:space="preserve"> de los obstáculos para el cumplimiento de las metas de EL y EE establecidas en la LTE, identificados en las consultas con los integrantes del sector eléctrico, usuarios del suministro eléctrico, sector académico y sociedad civil</w:t>
            </w:r>
            <w:r w:rsidRPr="00E043F6">
              <w:rPr>
                <w:rFonts w:ascii="Arial" w:hAnsi="Arial" w:cs="Arial"/>
                <w:color w:val="000000" w:themeColor="text1"/>
                <w:sz w:val="16"/>
                <w:szCs w:val="16"/>
                <w:lang w:val="es-ES"/>
              </w:rPr>
              <w:t>.</w:t>
            </w:r>
            <w:bookmarkEnd w:id="2"/>
          </w:p>
        </w:tc>
        <w:tc>
          <w:tcPr>
            <w:tcW w:w="347" w:type="pct"/>
            <w:shd w:val="clear" w:color="auto" w:fill="auto"/>
            <w:vAlign w:val="center"/>
          </w:tcPr>
          <w:p w14:paraId="2ECF11E5"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14" w:type="pct"/>
            <w:shd w:val="clear" w:color="auto" w:fill="auto"/>
            <w:vAlign w:val="center"/>
          </w:tcPr>
          <w:p w14:paraId="58EE4D8A"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48" w:type="pct"/>
            <w:shd w:val="clear" w:color="auto" w:fill="auto"/>
            <w:vAlign w:val="center"/>
          </w:tcPr>
          <w:p w14:paraId="49218EAF" w14:textId="77777777" w:rsidR="00000FF4" w:rsidRPr="00E043F6" w:rsidRDefault="00000FF4" w:rsidP="00000FF4">
            <w:pPr>
              <w:jc w:val="center"/>
              <w:rPr>
                <w:rFonts w:ascii="Arial" w:hAnsi="Arial" w:cs="Arial"/>
                <w:sz w:val="16"/>
                <w:szCs w:val="16"/>
                <w:lang w:val="es-MX"/>
              </w:rPr>
            </w:pPr>
            <w:r w:rsidRPr="00E043F6">
              <w:rPr>
                <w:rFonts w:ascii="Arial" w:hAnsi="Arial" w:cs="Arial"/>
                <w:sz w:val="16"/>
                <w:szCs w:val="16"/>
                <w:lang w:val="es-MX"/>
              </w:rPr>
              <w:t>1</w:t>
            </w:r>
          </w:p>
        </w:tc>
        <w:tc>
          <w:tcPr>
            <w:tcW w:w="2160" w:type="pct"/>
            <w:vAlign w:val="center"/>
          </w:tcPr>
          <w:p w14:paraId="276BAA77"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ES"/>
              </w:rPr>
              <w:t>Actas/minutas/informes de las consultas publicadas en el PGdM.</w:t>
            </w:r>
          </w:p>
        </w:tc>
      </w:tr>
      <w:tr w:rsidR="00000FF4" w:rsidRPr="006B046D" w14:paraId="1B102546" w14:textId="77777777" w:rsidTr="00E043F6">
        <w:trPr>
          <w:trHeight w:val="603"/>
        </w:trPr>
        <w:tc>
          <w:tcPr>
            <w:tcW w:w="1831" w:type="pct"/>
            <w:shd w:val="clear" w:color="auto" w:fill="auto"/>
            <w:vAlign w:val="center"/>
          </w:tcPr>
          <w:p w14:paraId="455F9D92"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ES"/>
              </w:rPr>
              <w:t>Emisión de criterios</w:t>
            </w:r>
            <w:r w:rsidRPr="00E043F6">
              <w:rPr>
                <w:rFonts w:ascii="Arial" w:hAnsi="Arial" w:cs="Arial"/>
                <w:sz w:val="16"/>
                <w:szCs w:val="16"/>
                <w:lang w:val="es-ES"/>
              </w:rPr>
              <w:t xml:space="preserve"> actualizados para la identificación de las zonas con potencial renovable para generar energía eléctrica.</w:t>
            </w:r>
          </w:p>
        </w:tc>
        <w:tc>
          <w:tcPr>
            <w:tcW w:w="347" w:type="pct"/>
            <w:shd w:val="clear" w:color="auto" w:fill="auto"/>
            <w:vAlign w:val="center"/>
          </w:tcPr>
          <w:p w14:paraId="002CBD83"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ES"/>
              </w:rPr>
              <w:t>0</w:t>
            </w:r>
          </w:p>
        </w:tc>
        <w:tc>
          <w:tcPr>
            <w:tcW w:w="314" w:type="pct"/>
            <w:shd w:val="clear" w:color="auto" w:fill="auto"/>
            <w:vAlign w:val="center"/>
          </w:tcPr>
          <w:p w14:paraId="4F6F0B67"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48" w:type="pct"/>
            <w:shd w:val="clear" w:color="auto" w:fill="auto"/>
            <w:vAlign w:val="center"/>
          </w:tcPr>
          <w:p w14:paraId="72154CD4" w14:textId="77777777" w:rsidR="00000FF4" w:rsidRPr="00E043F6" w:rsidRDefault="00000FF4" w:rsidP="00000FF4">
            <w:pPr>
              <w:jc w:val="center"/>
              <w:rPr>
                <w:rFonts w:ascii="Arial" w:hAnsi="Arial" w:cs="Arial"/>
                <w:sz w:val="16"/>
                <w:szCs w:val="16"/>
                <w:lang w:val="es-MX"/>
              </w:rPr>
            </w:pPr>
            <w:r w:rsidRPr="00E043F6">
              <w:rPr>
                <w:rFonts w:ascii="Arial" w:hAnsi="Arial" w:cs="Arial"/>
                <w:sz w:val="16"/>
                <w:szCs w:val="16"/>
                <w:lang w:val="es-MX"/>
              </w:rPr>
              <w:t>1</w:t>
            </w:r>
          </w:p>
        </w:tc>
        <w:tc>
          <w:tcPr>
            <w:tcW w:w="2160" w:type="pct"/>
            <w:vAlign w:val="center"/>
          </w:tcPr>
          <w:p w14:paraId="36314426"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ES"/>
              </w:rPr>
              <w:t>Actas/minutas/informes de las consultas publicadas en el PGdM.</w:t>
            </w:r>
          </w:p>
        </w:tc>
      </w:tr>
      <w:tr w:rsidR="00000FF4" w:rsidRPr="006B046D" w14:paraId="545018FD" w14:textId="77777777" w:rsidTr="00E043F6">
        <w:trPr>
          <w:trHeight w:val="603"/>
        </w:trPr>
        <w:tc>
          <w:tcPr>
            <w:tcW w:w="1831" w:type="pct"/>
            <w:shd w:val="clear" w:color="auto" w:fill="auto"/>
            <w:vAlign w:val="center"/>
          </w:tcPr>
          <w:p w14:paraId="55729C23" w14:textId="5294844D" w:rsidR="00000FF4" w:rsidRPr="00E043F6" w:rsidRDefault="00000FF4" w:rsidP="00000FF4">
            <w:pPr>
              <w:rPr>
                <w:rFonts w:ascii="Arial" w:hAnsi="Arial" w:cs="Arial"/>
                <w:color w:val="000000" w:themeColor="text1"/>
                <w:sz w:val="16"/>
                <w:szCs w:val="16"/>
                <w:lang w:val="es-ES"/>
              </w:rPr>
            </w:pPr>
            <w:bookmarkStart w:id="3" w:name="_Hlk494885167"/>
            <w:r w:rsidRPr="00E043F6">
              <w:rPr>
                <w:rFonts w:ascii="Arial" w:hAnsi="Arial" w:cs="Arial"/>
                <w:color w:val="2F2F2F"/>
                <w:sz w:val="16"/>
                <w:szCs w:val="16"/>
                <w:shd w:val="clear" w:color="auto" w:fill="FFFFFF"/>
                <w:lang w:val="es-MX"/>
              </w:rPr>
              <w:t>Presentación de la e</w:t>
            </w:r>
            <w:r w:rsidRPr="00E043F6">
              <w:rPr>
                <w:rFonts w:ascii="Arial" w:hAnsi="Arial" w:cs="Arial"/>
                <w:color w:val="2F2F2F"/>
                <w:sz w:val="16"/>
                <w:szCs w:val="16"/>
                <w:lang w:val="es-MX"/>
              </w:rPr>
              <w:t>valuación de los avances en las metas EL y EE, incluyendo las barreras identificadas, oportunidades de mejora, y medidas correctivas, en el caso de los indicadores de cumplimiento que no alcancen los resultados comprometidos.</w:t>
            </w:r>
            <w:bookmarkEnd w:id="3"/>
          </w:p>
        </w:tc>
        <w:tc>
          <w:tcPr>
            <w:tcW w:w="347" w:type="pct"/>
            <w:shd w:val="clear" w:color="auto" w:fill="auto"/>
            <w:vAlign w:val="center"/>
          </w:tcPr>
          <w:p w14:paraId="28DCBCEA"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14" w:type="pct"/>
            <w:shd w:val="clear" w:color="auto" w:fill="auto"/>
            <w:vAlign w:val="center"/>
          </w:tcPr>
          <w:p w14:paraId="37481A73"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48" w:type="pct"/>
            <w:shd w:val="clear" w:color="auto" w:fill="auto"/>
            <w:vAlign w:val="center"/>
          </w:tcPr>
          <w:p w14:paraId="642B8584" w14:textId="77777777" w:rsidR="00000FF4" w:rsidRPr="00E043F6" w:rsidRDefault="00000FF4" w:rsidP="00000FF4">
            <w:pPr>
              <w:jc w:val="center"/>
              <w:rPr>
                <w:rFonts w:ascii="Arial" w:hAnsi="Arial" w:cs="Arial"/>
                <w:sz w:val="16"/>
                <w:szCs w:val="16"/>
                <w:lang w:val="es-MX"/>
              </w:rPr>
            </w:pPr>
            <w:r w:rsidRPr="00E043F6">
              <w:rPr>
                <w:rFonts w:ascii="Arial" w:hAnsi="Arial" w:cs="Arial"/>
                <w:sz w:val="16"/>
                <w:szCs w:val="16"/>
                <w:lang w:val="es-MX"/>
              </w:rPr>
              <w:t>1</w:t>
            </w:r>
          </w:p>
        </w:tc>
        <w:tc>
          <w:tcPr>
            <w:tcW w:w="2160" w:type="pct"/>
            <w:vAlign w:val="center"/>
          </w:tcPr>
          <w:p w14:paraId="74AE0DB0"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ES"/>
              </w:rPr>
              <w:t>Actas/minutas/informes de las consultas publicadas en el PGdM.</w:t>
            </w:r>
          </w:p>
        </w:tc>
      </w:tr>
      <w:tr w:rsidR="00000FF4" w:rsidRPr="006B046D" w14:paraId="0E037F5D" w14:textId="77777777" w:rsidTr="00E043F6">
        <w:trPr>
          <w:trHeight w:val="422"/>
        </w:trPr>
        <w:tc>
          <w:tcPr>
            <w:tcW w:w="1831" w:type="pct"/>
            <w:shd w:val="clear" w:color="auto" w:fill="auto"/>
            <w:vAlign w:val="center"/>
          </w:tcPr>
          <w:p w14:paraId="1FDB8C16" w14:textId="77777777" w:rsidR="00000FF4" w:rsidRPr="00E043F6" w:rsidRDefault="00000FF4" w:rsidP="00000FF4">
            <w:pPr>
              <w:rPr>
                <w:rFonts w:ascii="Arial" w:hAnsi="Arial" w:cs="Arial"/>
                <w:sz w:val="16"/>
                <w:szCs w:val="16"/>
                <w:lang w:val="es-MX"/>
              </w:rPr>
            </w:pPr>
            <w:r w:rsidRPr="00E043F6">
              <w:rPr>
                <w:rFonts w:ascii="Arial" w:hAnsi="Arial" w:cs="Arial"/>
                <w:color w:val="000000" w:themeColor="text1"/>
                <w:sz w:val="16"/>
                <w:szCs w:val="16"/>
                <w:lang w:val="es-ES"/>
              </w:rPr>
              <w:t>Aprobación y publicación de las reglas de Operación del CCSE, aprobadas.</w:t>
            </w:r>
          </w:p>
        </w:tc>
        <w:tc>
          <w:tcPr>
            <w:tcW w:w="347" w:type="pct"/>
            <w:shd w:val="clear" w:color="auto" w:fill="auto"/>
            <w:vAlign w:val="center"/>
          </w:tcPr>
          <w:p w14:paraId="4499EA3B"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14" w:type="pct"/>
            <w:shd w:val="clear" w:color="auto" w:fill="auto"/>
            <w:vAlign w:val="center"/>
          </w:tcPr>
          <w:p w14:paraId="5FBBA2C9"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1</w:t>
            </w:r>
          </w:p>
        </w:tc>
        <w:tc>
          <w:tcPr>
            <w:tcW w:w="348" w:type="pct"/>
            <w:shd w:val="clear" w:color="auto" w:fill="auto"/>
            <w:vAlign w:val="center"/>
          </w:tcPr>
          <w:p w14:paraId="3C60F28E" w14:textId="77777777" w:rsidR="00000FF4" w:rsidRPr="00E043F6" w:rsidRDefault="00000FF4" w:rsidP="00000FF4">
            <w:pPr>
              <w:jc w:val="center"/>
              <w:rPr>
                <w:rFonts w:ascii="Arial" w:hAnsi="Arial" w:cs="Arial"/>
                <w:sz w:val="16"/>
                <w:szCs w:val="16"/>
                <w:lang w:val="es-MX"/>
              </w:rPr>
            </w:pPr>
            <w:r w:rsidRPr="00E043F6">
              <w:rPr>
                <w:rFonts w:ascii="Arial" w:hAnsi="Arial" w:cs="Arial"/>
                <w:sz w:val="16"/>
                <w:szCs w:val="16"/>
                <w:lang w:val="es-MX"/>
              </w:rPr>
              <w:t>-</w:t>
            </w:r>
          </w:p>
        </w:tc>
        <w:tc>
          <w:tcPr>
            <w:tcW w:w="2160" w:type="pct"/>
            <w:vAlign w:val="center"/>
          </w:tcPr>
          <w:p w14:paraId="6E45FCE3"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ES"/>
              </w:rPr>
              <w:t>Reglas para la operación del CCSE, (PGdM).</w:t>
            </w:r>
          </w:p>
        </w:tc>
      </w:tr>
      <w:tr w:rsidR="00000FF4" w:rsidRPr="006B046D" w14:paraId="4CD4B557" w14:textId="77777777" w:rsidTr="00E043F6">
        <w:trPr>
          <w:trHeight w:val="603"/>
        </w:trPr>
        <w:tc>
          <w:tcPr>
            <w:tcW w:w="1831" w:type="pct"/>
            <w:shd w:val="clear" w:color="auto" w:fill="auto"/>
            <w:vAlign w:val="center"/>
          </w:tcPr>
          <w:p w14:paraId="3739BFAB" w14:textId="16750A2B" w:rsidR="00000FF4" w:rsidRPr="00E043F6" w:rsidRDefault="00000FF4" w:rsidP="00000FF4">
            <w:pPr>
              <w:spacing w:before="60"/>
              <w:jc w:val="both"/>
              <w:rPr>
                <w:rFonts w:ascii="Arial" w:hAnsi="Arial" w:cs="Arial"/>
                <w:color w:val="000000" w:themeColor="text1"/>
                <w:sz w:val="16"/>
                <w:szCs w:val="16"/>
                <w:lang w:val="es-ES"/>
              </w:rPr>
            </w:pPr>
            <w:bookmarkStart w:id="4" w:name="_Hlk493484682"/>
            <w:r w:rsidRPr="00E043F6">
              <w:rPr>
                <w:rFonts w:ascii="Arial" w:hAnsi="Arial" w:cs="Arial"/>
                <w:color w:val="000000" w:themeColor="text1"/>
                <w:sz w:val="16"/>
                <w:szCs w:val="16"/>
                <w:lang w:val="es-ES"/>
              </w:rPr>
              <w:t>Desarrollo y operación de sistemas de información compartida y cooperación institucional de los integrantes del CCSE.</w:t>
            </w:r>
            <w:bookmarkEnd w:id="4"/>
          </w:p>
        </w:tc>
        <w:tc>
          <w:tcPr>
            <w:tcW w:w="347" w:type="pct"/>
            <w:shd w:val="clear" w:color="auto" w:fill="auto"/>
            <w:vAlign w:val="center"/>
          </w:tcPr>
          <w:p w14:paraId="3D7AD565"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14" w:type="pct"/>
            <w:shd w:val="clear" w:color="auto" w:fill="auto"/>
            <w:vAlign w:val="center"/>
          </w:tcPr>
          <w:p w14:paraId="2C59481A"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48" w:type="pct"/>
            <w:shd w:val="clear" w:color="auto" w:fill="auto"/>
            <w:vAlign w:val="center"/>
          </w:tcPr>
          <w:p w14:paraId="782FE110" w14:textId="77777777" w:rsidR="00000FF4" w:rsidRPr="00E043F6" w:rsidRDefault="00000FF4" w:rsidP="00000FF4">
            <w:pPr>
              <w:jc w:val="center"/>
              <w:rPr>
                <w:rFonts w:ascii="Arial" w:hAnsi="Arial" w:cs="Arial"/>
                <w:sz w:val="16"/>
                <w:szCs w:val="16"/>
                <w:lang w:val="es-MX"/>
              </w:rPr>
            </w:pPr>
            <w:r w:rsidRPr="00E043F6">
              <w:rPr>
                <w:rFonts w:ascii="Arial" w:hAnsi="Arial" w:cs="Arial"/>
                <w:sz w:val="16"/>
                <w:szCs w:val="16"/>
                <w:lang w:val="es-MX"/>
              </w:rPr>
              <w:t>1</w:t>
            </w:r>
          </w:p>
        </w:tc>
        <w:tc>
          <w:tcPr>
            <w:tcW w:w="2160" w:type="pct"/>
            <w:vAlign w:val="center"/>
          </w:tcPr>
          <w:p w14:paraId="5FDA17EC"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ES"/>
              </w:rPr>
              <w:t>Actas/minutas/informes de las consultas publicadas en el PGdM.</w:t>
            </w:r>
          </w:p>
        </w:tc>
      </w:tr>
      <w:tr w:rsidR="00000FF4" w:rsidRPr="006B046D" w14:paraId="43A81045" w14:textId="77777777" w:rsidTr="00E043F6">
        <w:trPr>
          <w:trHeight w:val="603"/>
        </w:trPr>
        <w:tc>
          <w:tcPr>
            <w:tcW w:w="1831" w:type="pct"/>
            <w:shd w:val="clear" w:color="auto" w:fill="auto"/>
            <w:vAlign w:val="center"/>
          </w:tcPr>
          <w:p w14:paraId="173DA712" w14:textId="4DC88F9F" w:rsidR="00000FF4" w:rsidRPr="00E043F6" w:rsidRDefault="00000FF4" w:rsidP="00000FF4">
            <w:pPr>
              <w:spacing w:before="60"/>
              <w:jc w:val="both"/>
              <w:rPr>
                <w:rFonts w:ascii="Arial" w:hAnsi="Arial" w:cs="Arial"/>
                <w:sz w:val="16"/>
                <w:szCs w:val="16"/>
                <w:lang w:val="es-ES"/>
              </w:rPr>
            </w:pPr>
            <w:bookmarkStart w:id="5" w:name="_Hlk493484707"/>
            <w:r w:rsidRPr="00E043F6">
              <w:rPr>
                <w:rFonts w:ascii="Arial" w:hAnsi="Arial" w:cs="Arial"/>
                <w:color w:val="000000" w:themeColor="text1"/>
                <w:sz w:val="16"/>
                <w:szCs w:val="16"/>
                <w:lang w:val="es-ES"/>
              </w:rPr>
              <w:t>Emisión de recomendaciones de política del sector energético, incluidas en los programas de trabajo de la CRE y la CNH.</w:t>
            </w:r>
            <w:bookmarkEnd w:id="5"/>
          </w:p>
        </w:tc>
        <w:tc>
          <w:tcPr>
            <w:tcW w:w="347" w:type="pct"/>
            <w:shd w:val="clear" w:color="auto" w:fill="auto"/>
            <w:vAlign w:val="center"/>
          </w:tcPr>
          <w:p w14:paraId="333F1690"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14" w:type="pct"/>
            <w:shd w:val="clear" w:color="auto" w:fill="auto"/>
            <w:vAlign w:val="center"/>
          </w:tcPr>
          <w:p w14:paraId="16514E8F"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48" w:type="pct"/>
            <w:shd w:val="clear" w:color="auto" w:fill="auto"/>
            <w:vAlign w:val="center"/>
          </w:tcPr>
          <w:p w14:paraId="483F78EC" w14:textId="77777777" w:rsidR="00000FF4" w:rsidRPr="00E043F6" w:rsidRDefault="00000FF4" w:rsidP="00000FF4">
            <w:pPr>
              <w:jc w:val="center"/>
              <w:rPr>
                <w:rFonts w:ascii="Arial" w:hAnsi="Arial" w:cs="Arial"/>
                <w:sz w:val="16"/>
                <w:szCs w:val="16"/>
                <w:lang w:val="es-MX"/>
              </w:rPr>
            </w:pPr>
            <w:r w:rsidRPr="00E043F6">
              <w:rPr>
                <w:rFonts w:ascii="Arial" w:hAnsi="Arial" w:cs="Arial"/>
                <w:sz w:val="16"/>
                <w:szCs w:val="16"/>
                <w:lang w:val="es-MX"/>
              </w:rPr>
              <w:t>1</w:t>
            </w:r>
          </w:p>
        </w:tc>
        <w:tc>
          <w:tcPr>
            <w:tcW w:w="2160" w:type="pct"/>
            <w:vAlign w:val="center"/>
          </w:tcPr>
          <w:p w14:paraId="460EDFAF"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ES"/>
              </w:rPr>
              <w:t>Actas/minutas/informes de las consultas publicadas en el PGdM.</w:t>
            </w:r>
          </w:p>
        </w:tc>
      </w:tr>
      <w:tr w:rsidR="00000FF4" w:rsidRPr="006B046D" w14:paraId="699F5668" w14:textId="77777777" w:rsidTr="00E043F6">
        <w:trPr>
          <w:trHeight w:val="603"/>
        </w:trPr>
        <w:tc>
          <w:tcPr>
            <w:tcW w:w="1831" w:type="pct"/>
            <w:shd w:val="clear" w:color="auto" w:fill="auto"/>
            <w:vAlign w:val="center"/>
          </w:tcPr>
          <w:p w14:paraId="2184FCC9"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ES"/>
              </w:rPr>
              <w:t>Revisión y actualización del Programa para el Aprovechamiento Sustentable de la Energía (PRONASE)</w:t>
            </w:r>
          </w:p>
        </w:tc>
        <w:tc>
          <w:tcPr>
            <w:tcW w:w="347" w:type="pct"/>
            <w:shd w:val="clear" w:color="auto" w:fill="auto"/>
            <w:vAlign w:val="center"/>
          </w:tcPr>
          <w:p w14:paraId="05E27D12"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14" w:type="pct"/>
            <w:shd w:val="clear" w:color="auto" w:fill="auto"/>
            <w:vAlign w:val="center"/>
          </w:tcPr>
          <w:p w14:paraId="5CE4CB0B"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1</w:t>
            </w:r>
          </w:p>
        </w:tc>
        <w:tc>
          <w:tcPr>
            <w:tcW w:w="348" w:type="pct"/>
            <w:shd w:val="clear" w:color="auto" w:fill="auto"/>
            <w:vAlign w:val="center"/>
          </w:tcPr>
          <w:p w14:paraId="504E44FB" w14:textId="77777777" w:rsidR="00000FF4" w:rsidRPr="00E043F6" w:rsidRDefault="00000FF4" w:rsidP="00000FF4">
            <w:pPr>
              <w:jc w:val="center"/>
              <w:rPr>
                <w:rFonts w:ascii="Arial" w:hAnsi="Arial" w:cs="Arial"/>
                <w:sz w:val="16"/>
                <w:szCs w:val="16"/>
                <w:lang w:val="es-MX"/>
              </w:rPr>
            </w:pPr>
            <w:r w:rsidRPr="00E043F6">
              <w:rPr>
                <w:rFonts w:ascii="Arial" w:hAnsi="Arial" w:cs="Arial"/>
                <w:sz w:val="16"/>
                <w:szCs w:val="16"/>
                <w:lang w:val="es-MX"/>
              </w:rPr>
              <w:t>-</w:t>
            </w:r>
          </w:p>
        </w:tc>
        <w:tc>
          <w:tcPr>
            <w:tcW w:w="2160" w:type="pct"/>
            <w:vAlign w:val="center"/>
          </w:tcPr>
          <w:p w14:paraId="65B91ECF" w14:textId="77777777" w:rsidR="00000FF4" w:rsidRPr="00E043F6" w:rsidRDefault="00000FF4" w:rsidP="00000FF4">
            <w:pPr>
              <w:rPr>
                <w:rFonts w:ascii="Arial" w:hAnsi="Arial" w:cs="Arial"/>
                <w:color w:val="000000"/>
                <w:sz w:val="16"/>
                <w:szCs w:val="16"/>
                <w:lang w:val="es-ES_tradnl"/>
              </w:rPr>
            </w:pPr>
          </w:p>
          <w:p w14:paraId="09DFCBEF"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ES"/>
              </w:rPr>
              <w:t>PRONASE publicado en el portal de la Comisión Nacional para el Uso Eficiente de la Energía (CONUEE)</w:t>
            </w:r>
          </w:p>
        </w:tc>
      </w:tr>
      <w:tr w:rsidR="00000FF4" w:rsidRPr="00E043F6" w14:paraId="305897D0" w14:textId="77777777" w:rsidTr="00000FF4">
        <w:trPr>
          <w:trHeight w:val="542"/>
        </w:trPr>
        <w:tc>
          <w:tcPr>
            <w:tcW w:w="2840" w:type="pct"/>
            <w:gridSpan w:val="4"/>
            <w:shd w:val="clear" w:color="auto" w:fill="auto"/>
            <w:vAlign w:val="center"/>
            <w:hideMark/>
          </w:tcPr>
          <w:p w14:paraId="20C2B1AB" w14:textId="77777777" w:rsidR="00000FF4" w:rsidRPr="00E043F6" w:rsidRDefault="00000FF4" w:rsidP="00000FF4">
            <w:pPr>
              <w:rPr>
                <w:rFonts w:ascii="Arial" w:hAnsi="Arial" w:cs="Arial"/>
                <w:b/>
                <w:bCs/>
                <w:color w:val="000000" w:themeColor="text1"/>
                <w:sz w:val="16"/>
                <w:szCs w:val="16"/>
                <w:lang w:val="es-ES"/>
              </w:rPr>
            </w:pPr>
            <w:r w:rsidRPr="00E043F6">
              <w:rPr>
                <w:rFonts w:ascii="Arial" w:hAnsi="Arial" w:cs="Arial"/>
                <w:b/>
                <w:bCs/>
                <w:color w:val="000000" w:themeColor="text1"/>
                <w:sz w:val="16"/>
                <w:szCs w:val="16"/>
                <w:lang w:val="es-ES"/>
              </w:rPr>
              <w:t>III. Seguridad Energética</w:t>
            </w:r>
          </w:p>
        </w:tc>
        <w:tc>
          <w:tcPr>
            <w:tcW w:w="2160" w:type="pct"/>
          </w:tcPr>
          <w:p w14:paraId="6826B773" w14:textId="77777777" w:rsidR="00000FF4" w:rsidRPr="00E043F6" w:rsidRDefault="00000FF4" w:rsidP="00000FF4">
            <w:pPr>
              <w:rPr>
                <w:rFonts w:ascii="Arial" w:hAnsi="Arial" w:cs="Arial"/>
                <w:b/>
                <w:color w:val="000000"/>
                <w:sz w:val="16"/>
                <w:szCs w:val="16"/>
                <w:lang w:val="es-ES_tradnl"/>
              </w:rPr>
            </w:pPr>
          </w:p>
        </w:tc>
      </w:tr>
      <w:tr w:rsidR="00000FF4" w:rsidRPr="006B046D" w14:paraId="0BD79682" w14:textId="77777777" w:rsidTr="00E043F6">
        <w:trPr>
          <w:trHeight w:val="441"/>
        </w:trPr>
        <w:tc>
          <w:tcPr>
            <w:tcW w:w="1831" w:type="pct"/>
            <w:shd w:val="clear" w:color="auto" w:fill="auto"/>
            <w:vAlign w:val="center"/>
          </w:tcPr>
          <w:p w14:paraId="51C4C2A7" w14:textId="77777777" w:rsidR="00000FF4" w:rsidRPr="00E043F6" w:rsidRDefault="00000FF4" w:rsidP="00000FF4">
            <w:pPr>
              <w:rPr>
                <w:rFonts w:ascii="Arial" w:hAnsi="Arial" w:cs="Arial"/>
                <w:sz w:val="16"/>
                <w:szCs w:val="16"/>
                <w:lang w:val="es-MX"/>
              </w:rPr>
            </w:pPr>
            <w:r w:rsidRPr="00E043F6">
              <w:rPr>
                <w:rFonts w:ascii="Arial" w:hAnsi="Arial" w:cs="Arial"/>
                <w:color w:val="000000" w:themeColor="text1"/>
                <w:sz w:val="16"/>
                <w:szCs w:val="16"/>
                <w:lang w:val="es-ES"/>
              </w:rPr>
              <w:t>Aprobación de la Política para la Implementación del Mercado de Gas Natural (GN).</w:t>
            </w:r>
          </w:p>
        </w:tc>
        <w:tc>
          <w:tcPr>
            <w:tcW w:w="347" w:type="pct"/>
            <w:shd w:val="clear" w:color="auto" w:fill="auto"/>
            <w:vAlign w:val="center"/>
          </w:tcPr>
          <w:p w14:paraId="046C7470"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14" w:type="pct"/>
            <w:shd w:val="clear" w:color="auto" w:fill="auto"/>
            <w:vAlign w:val="center"/>
          </w:tcPr>
          <w:p w14:paraId="4FBB9227"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1</w:t>
            </w:r>
          </w:p>
        </w:tc>
        <w:tc>
          <w:tcPr>
            <w:tcW w:w="348" w:type="pct"/>
            <w:shd w:val="clear" w:color="auto" w:fill="auto"/>
            <w:vAlign w:val="center"/>
          </w:tcPr>
          <w:p w14:paraId="69E2B51D" w14:textId="77777777" w:rsidR="00000FF4" w:rsidRPr="00E043F6" w:rsidRDefault="00000FF4" w:rsidP="00000FF4">
            <w:pPr>
              <w:jc w:val="center"/>
              <w:rPr>
                <w:rFonts w:ascii="Arial" w:hAnsi="Arial" w:cs="Arial"/>
                <w:sz w:val="16"/>
                <w:szCs w:val="16"/>
                <w:lang w:val="es-MX"/>
              </w:rPr>
            </w:pPr>
            <w:r w:rsidRPr="00E043F6">
              <w:rPr>
                <w:rFonts w:ascii="Arial" w:hAnsi="Arial" w:cs="Arial"/>
                <w:sz w:val="16"/>
                <w:szCs w:val="16"/>
                <w:lang w:val="es-MX"/>
              </w:rPr>
              <w:t>-</w:t>
            </w:r>
          </w:p>
        </w:tc>
        <w:tc>
          <w:tcPr>
            <w:tcW w:w="2160" w:type="pct"/>
            <w:vAlign w:val="center"/>
          </w:tcPr>
          <w:p w14:paraId="394AF64C" w14:textId="77777777" w:rsidR="00000FF4" w:rsidRPr="00E043F6" w:rsidRDefault="00000FF4" w:rsidP="00000FF4">
            <w:pPr>
              <w:rPr>
                <w:rFonts w:ascii="Arial" w:hAnsi="Arial" w:cs="Arial"/>
                <w:color w:val="000000" w:themeColor="text1"/>
                <w:sz w:val="16"/>
                <w:szCs w:val="16"/>
                <w:lang w:val="es-MX"/>
              </w:rPr>
            </w:pPr>
            <w:r w:rsidRPr="00E043F6">
              <w:rPr>
                <w:rFonts w:ascii="Arial" w:hAnsi="Arial" w:cs="Arial"/>
                <w:color w:val="000000" w:themeColor="text1"/>
                <w:sz w:val="16"/>
                <w:szCs w:val="16"/>
                <w:lang w:val="es-ES"/>
              </w:rPr>
              <w:t>Política Pública para la Implementación del Mercado de Gas Natural, publicado en el PGdM.</w:t>
            </w:r>
          </w:p>
        </w:tc>
      </w:tr>
      <w:tr w:rsidR="00000FF4" w:rsidRPr="006B046D" w14:paraId="2D941C49" w14:textId="77777777" w:rsidTr="00E043F6">
        <w:trPr>
          <w:trHeight w:val="441"/>
        </w:trPr>
        <w:tc>
          <w:tcPr>
            <w:tcW w:w="1831" w:type="pct"/>
            <w:shd w:val="clear" w:color="auto" w:fill="auto"/>
            <w:vAlign w:val="center"/>
          </w:tcPr>
          <w:p w14:paraId="68B5A4FC"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MX"/>
              </w:rPr>
              <w:t>Actualización del reporte de transacciones comerciales de GN.</w:t>
            </w:r>
          </w:p>
        </w:tc>
        <w:tc>
          <w:tcPr>
            <w:tcW w:w="347" w:type="pct"/>
            <w:shd w:val="clear" w:color="auto" w:fill="auto"/>
            <w:vAlign w:val="center"/>
          </w:tcPr>
          <w:p w14:paraId="1B873463"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14" w:type="pct"/>
            <w:shd w:val="clear" w:color="auto" w:fill="auto"/>
            <w:vAlign w:val="center"/>
          </w:tcPr>
          <w:p w14:paraId="2CF16F77"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48" w:type="pct"/>
            <w:shd w:val="clear" w:color="auto" w:fill="auto"/>
            <w:vAlign w:val="center"/>
          </w:tcPr>
          <w:p w14:paraId="454DF63B" w14:textId="77777777" w:rsidR="00000FF4" w:rsidRPr="00E043F6" w:rsidRDefault="00000FF4" w:rsidP="00000FF4">
            <w:pPr>
              <w:jc w:val="center"/>
              <w:rPr>
                <w:rFonts w:ascii="Arial" w:hAnsi="Arial" w:cs="Arial"/>
                <w:sz w:val="16"/>
                <w:szCs w:val="16"/>
                <w:lang w:val="es-MX"/>
              </w:rPr>
            </w:pPr>
            <w:r w:rsidRPr="00E043F6">
              <w:rPr>
                <w:rFonts w:ascii="Arial" w:hAnsi="Arial" w:cs="Arial"/>
                <w:sz w:val="16"/>
                <w:szCs w:val="16"/>
                <w:lang w:val="es-MX"/>
              </w:rPr>
              <w:t>1</w:t>
            </w:r>
          </w:p>
        </w:tc>
        <w:tc>
          <w:tcPr>
            <w:tcW w:w="2160" w:type="pct"/>
            <w:vAlign w:val="center"/>
          </w:tcPr>
          <w:p w14:paraId="5AEC12A5"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ES"/>
              </w:rPr>
              <w:t>Reporte de transacciones comerciales de GN, actualizado en la Plataforma Informática del SNG, publicado en el portal de CENAGAS.</w:t>
            </w:r>
          </w:p>
        </w:tc>
      </w:tr>
      <w:tr w:rsidR="00000FF4" w:rsidRPr="006B046D" w14:paraId="32C56DB0" w14:textId="77777777" w:rsidTr="00E043F6">
        <w:trPr>
          <w:trHeight w:val="441"/>
        </w:trPr>
        <w:tc>
          <w:tcPr>
            <w:tcW w:w="1831" w:type="pct"/>
            <w:shd w:val="clear" w:color="auto" w:fill="auto"/>
            <w:vAlign w:val="center"/>
          </w:tcPr>
          <w:p w14:paraId="260DD5EB" w14:textId="77777777" w:rsidR="00000FF4" w:rsidRPr="00E043F6" w:rsidRDefault="00000FF4" w:rsidP="00000FF4">
            <w:pPr>
              <w:rPr>
                <w:rFonts w:ascii="Arial" w:hAnsi="Arial" w:cs="Arial"/>
                <w:sz w:val="16"/>
                <w:szCs w:val="16"/>
                <w:lang w:val="es-MX"/>
              </w:rPr>
            </w:pPr>
            <w:r w:rsidRPr="00E043F6">
              <w:rPr>
                <w:rFonts w:ascii="Arial" w:hAnsi="Arial" w:cs="Arial"/>
                <w:color w:val="000000" w:themeColor="text1"/>
                <w:sz w:val="16"/>
                <w:szCs w:val="16"/>
                <w:lang w:val="es-ES"/>
              </w:rPr>
              <w:t>Aprobación y actualización del Plan Quinquenal de Expansión del Sistema de Transporte y Almacenamiento Nacional Integrado de Gas Natural 2015-2019.</w:t>
            </w:r>
          </w:p>
        </w:tc>
        <w:tc>
          <w:tcPr>
            <w:tcW w:w="347" w:type="pct"/>
            <w:shd w:val="clear" w:color="auto" w:fill="auto"/>
            <w:vAlign w:val="center"/>
          </w:tcPr>
          <w:p w14:paraId="7BD45117"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14" w:type="pct"/>
            <w:shd w:val="clear" w:color="auto" w:fill="auto"/>
            <w:vAlign w:val="center"/>
          </w:tcPr>
          <w:p w14:paraId="1B37CC74"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1</w:t>
            </w:r>
          </w:p>
        </w:tc>
        <w:tc>
          <w:tcPr>
            <w:tcW w:w="348" w:type="pct"/>
            <w:shd w:val="clear" w:color="auto" w:fill="auto"/>
            <w:vAlign w:val="center"/>
          </w:tcPr>
          <w:p w14:paraId="46AB4399" w14:textId="77777777" w:rsidR="00000FF4" w:rsidRPr="00E043F6" w:rsidRDefault="00000FF4" w:rsidP="00000FF4">
            <w:pPr>
              <w:jc w:val="center"/>
              <w:rPr>
                <w:rFonts w:ascii="Arial" w:hAnsi="Arial" w:cs="Arial"/>
                <w:sz w:val="16"/>
                <w:szCs w:val="16"/>
                <w:lang w:val="es-MX"/>
              </w:rPr>
            </w:pPr>
            <w:r w:rsidRPr="00E043F6">
              <w:rPr>
                <w:rFonts w:ascii="Arial" w:hAnsi="Arial" w:cs="Arial"/>
                <w:sz w:val="16"/>
                <w:szCs w:val="16"/>
                <w:lang w:val="es-MX"/>
              </w:rPr>
              <w:t>-</w:t>
            </w:r>
          </w:p>
        </w:tc>
        <w:tc>
          <w:tcPr>
            <w:tcW w:w="2160" w:type="pct"/>
            <w:vAlign w:val="center"/>
          </w:tcPr>
          <w:p w14:paraId="334D2D08" w14:textId="77777777" w:rsidR="00000FF4" w:rsidRPr="00E043F6" w:rsidRDefault="00000FF4" w:rsidP="00000FF4">
            <w:pPr>
              <w:rPr>
                <w:rFonts w:ascii="Arial" w:hAnsi="Arial" w:cs="Arial"/>
                <w:color w:val="000000" w:themeColor="text1"/>
                <w:sz w:val="16"/>
                <w:szCs w:val="16"/>
                <w:lang w:val="es-MX"/>
              </w:rPr>
            </w:pPr>
            <w:r w:rsidRPr="00E043F6">
              <w:rPr>
                <w:rFonts w:ascii="Arial" w:hAnsi="Arial" w:cs="Arial"/>
                <w:color w:val="000000" w:themeColor="text1"/>
                <w:sz w:val="16"/>
                <w:szCs w:val="16"/>
                <w:lang w:val="es-ES"/>
              </w:rPr>
              <w:t>Programa Quinquenal de Licitaciones para la Exploración y Extracción de Hidrocarburos 2015-2019, publicado en el PGdM.</w:t>
            </w:r>
          </w:p>
        </w:tc>
      </w:tr>
      <w:tr w:rsidR="00000FF4" w:rsidRPr="006B046D" w14:paraId="0A97B846" w14:textId="77777777" w:rsidTr="00E043F6">
        <w:trPr>
          <w:trHeight w:val="441"/>
        </w:trPr>
        <w:tc>
          <w:tcPr>
            <w:tcW w:w="1831" w:type="pct"/>
            <w:shd w:val="clear" w:color="auto" w:fill="auto"/>
            <w:vAlign w:val="center"/>
          </w:tcPr>
          <w:p w14:paraId="5B0DD459"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ES"/>
              </w:rPr>
              <w:t>Ampliación de la red nacional de gasoductos, de acuerdo con lo establecido en el Plan Quinquenal de Expansión del SISTRANGAS</w:t>
            </w:r>
          </w:p>
        </w:tc>
        <w:tc>
          <w:tcPr>
            <w:tcW w:w="347" w:type="pct"/>
            <w:shd w:val="clear" w:color="auto" w:fill="auto"/>
            <w:vAlign w:val="center"/>
          </w:tcPr>
          <w:p w14:paraId="3C984B40"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14" w:type="pct"/>
            <w:shd w:val="clear" w:color="auto" w:fill="auto"/>
            <w:vAlign w:val="center"/>
          </w:tcPr>
          <w:p w14:paraId="398BA5D3" w14:textId="77777777" w:rsidR="00000FF4" w:rsidRPr="00E043F6" w:rsidRDefault="00000FF4" w:rsidP="00000FF4">
            <w:pPr>
              <w:jc w:val="center"/>
              <w:rPr>
                <w:rFonts w:ascii="Arial" w:hAnsi="Arial" w:cs="Arial"/>
                <w:color w:val="000000"/>
                <w:sz w:val="16"/>
                <w:szCs w:val="16"/>
                <w:lang w:val="es-MX"/>
              </w:rPr>
            </w:pPr>
          </w:p>
        </w:tc>
        <w:tc>
          <w:tcPr>
            <w:tcW w:w="348" w:type="pct"/>
            <w:shd w:val="clear" w:color="auto" w:fill="auto"/>
            <w:vAlign w:val="center"/>
          </w:tcPr>
          <w:p w14:paraId="3D6565BF" w14:textId="77777777" w:rsidR="00000FF4" w:rsidRPr="00E043F6" w:rsidRDefault="00000FF4" w:rsidP="00000FF4">
            <w:pPr>
              <w:jc w:val="center"/>
              <w:rPr>
                <w:rFonts w:ascii="Arial" w:hAnsi="Arial" w:cs="Arial"/>
                <w:sz w:val="16"/>
                <w:szCs w:val="16"/>
                <w:lang w:val="es-MX"/>
              </w:rPr>
            </w:pPr>
          </w:p>
        </w:tc>
        <w:tc>
          <w:tcPr>
            <w:tcW w:w="2160" w:type="pct"/>
            <w:vAlign w:val="center"/>
          </w:tcPr>
          <w:p w14:paraId="75FD1EE9"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ES"/>
              </w:rPr>
              <w:t>Extensión de la red nacional de gasoductos, reportada en la Prospectiva de Gas Natural, publicada en el PGdM.</w:t>
            </w:r>
          </w:p>
        </w:tc>
      </w:tr>
      <w:tr w:rsidR="00000FF4" w:rsidRPr="006B046D" w14:paraId="1935AA47" w14:textId="77777777" w:rsidTr="00E043F6">
        <w:trPr>
          <w:trHeight w:val="441"/>
        </w:trPr>
        <w:tc>
          <w:tcPr>
            <w:tcW w:w="1831" w:type="pct"/>
            <w:shd w:val="clear" w:color="auto" w:fill="auto"/>
            <w:vAlign w:val="center"/>
          </w:tcPr>
          <w:p w14:paraId="798510FF"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ES"/>
              </w:rPr>
              <w:t>Implementación operativa de la Plataforma informática del Sistema Nacional de Gasoductos (SNG), operativa.</w:t>
            </w:r>
          </w:p>
        </w:tc>
        <w:tc>
          <w:tcPr>
            <w:tcW w:w="347" w:type="pct"/>
            <w:shd w:val="clear" w:color="auto" w:fill="auto"/>
            <w:vAlign w:val="center"/>
          </w:tcPr>
          <w:p w14:paraId="00E9EFFD"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14" w:type="pct"/>
            <w:shd w:val="clear" w:color="auto" w:fill="auto"/>
            <w:vAlign w:val="center"/>
          </w:tcPr>
          <w:p w14:paraId="29A87F60"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1</w:t>
            </w:r>
          </w:p>
        </w:tc>
        <w:tc>
          <w:tcPr>
            <w:tcW w:w="348" w:type="pct"/>
            <w:shd w:val="clear" w:color="auto" w:fill="auto"/>
            <w:vAlign w:val="center"/>
          </w:tcPr>
          <w:p w14:paraId="402B3DC6" w14:textId="77777777" w:rsidR="00000FF4" w:rsidRPr="00E043F6" w:rsidRDefault="00000FF4" w:rsidP="00000FF4">
            <w:pPr>
              <w:jc w:val="center"/>
              <w:rPr>
                <w:rFonts w:ascii="Arial" w:hAnsi="Arial" w:cs="Arial"/>
                <w:sz w:val="16"/>
                <w:szCs w:val="16"/>
                <w:lang w:val="es-MX"/>
              </w:rPr>
            </w:pPr>
            <w:r w:rsidRPr="00E043F6">
              <w:rPr>
                <w:rFonts w:ascii="Arial" w:hAnsi="Arial" w:cs="Arial"/>
                <w:sz w:val="16"/>
                <w:szCs w:val="16"/>
                <w:lang w:val="es-MX"/>
              </w:rPr>
              <w:t>-</w:t>
            </w:r>
          </w:p>
        </w:tc>
        <w:tc>
          <w:tcPr>
            <w:tcW w:w="2160" w:type="pct"/>
            <w:vAlign w:val="center"/>
          </w:tcPr>
          <w:p w14:paraId="55EDA73D"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ES"/>
              </w:rPr>
              <w:t>Boletín Electrónico del Sistema Nacional de Gasoductos, publicado en el Portal del Gobierno de México.</w:t>
            </w:r>
          </w:p>
        </w:tc>
      </w:tr>
      <w:tr w:rsidR="00000FF4" w:rsidRPr="006B046D" w14:paraId="34C14BDF" w14:textId="77777777" w:rsidTr="00E043F6">
        <w:trPr>
          <w:trHeight w:val="441"/>
        </w:trPr>
        <w:tc>
          <w:tcPr>
            <w:tcW w:w="1831" w:type="pct"/>
            <w:shd w:val="clear" w:color="auto" w:fill="auto"/>
            <w:vAlign w:val="center"/>
          </w:tcPr>
          <w:p w14:paraId="3AD21479"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ES"/>
              </w:rPr>
              <w:t xml:space="preserve">Mantenimiento actualizado de la información contenida en la Plataforma del SNG conteniendo información actualizada sobre:  descripción general del SNG; permisos de </w:t>
            </w:r>
            <w:r w:rsidRPr="00E043F6">
              <w:rPr>
                <w:rFonts w:ascii="Arial" w:hAnsi="Arial" w:cs="Arial"/>
                <w:color w:val="000000" w:themeColor="text1"/>
                <w:sz w:val="16"/>
                <w:szCs w:val="16"/>
                <w:lang w:val="es-ES"/>
              </w:rPr>
              <w:lastRenderedPageBreak/>
              <w:t>transporte; tarifas aprobadas por la CRE; capacidad de transporte; reportes de calidad de gas; mantenimientos programados; solicitudes de transporte e interconexiones; y temporada abierta del SNG</w:t>
            </w:r>
          </w:p>
        </w:tc>
        <w:tc>
          <w:tcPr>
            <w:tcW w:w="347" w:type="pct"/>
            <w:shd w:val="clear" w:color="auto" w:fill="auto"/>
            <w:vAlign w:val="center"/>
          </w:tcPr>
          <w:p w14:paraId="28684604"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lastRenderedPageBreak/>
              <w:t>0</w:t>
            </w:r>
          </w:p>
        </w:tc>
        <w:tc>
          <w:tcPr>
            <w:tcW w:w="314" w:type="pct"/>
            <w:shd w:val="clear" w:color="auto" w:fill="auto"/>
            <w:vAlign w:val="center"/>
          </w:tcPr>
          <w:p w14:paraId="4352DC0C"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48" w:type="pct"/>
            <w:shd w:val="clear" w:color="auto" w:fill="auto"/>
            <w:vAlign w:val="center"/>
          </w:tcPr>
          <w:p w14:paraId="5CD094F8" w14:textId="77777777" w:rsidR="00000FF4" w:rsidRPr="00E043F6" w:rsidRDefault="00000FF4" w:rsidP="00000FF4">
            <w:pPr>
              <w:jc w:val="center"/>
              <w:rPr>
                <w:rFonts w:ascii="Arial" w:hAnsi="Arial" w:cs="Arial"/>
                <w:sz w:val="16"/>
                <w:szCs w:val="16"/>
                <w:lang w:val="es-MX"/>
              </w:rPr>
            </w:pPr>
            <w:r w:rsidRPr="00E043F6">
              <w:rPr>
                <w:rFonts w:ascii="Arial" w:hAnsi="Arial" w:cs="Arial"/>
                <w:sz w:val="16"/>
                <w:szCs w:val="16"/>
                <w:lang w:val="es-MX"/>
              </w:rPr>
              <w:t>1</w:t>
            </w:r>
          </w:p>
        </w:tc>
        <w:tc>
          <w:tcPr>
            <w:tcW w:w="2160" w:type="pct"/>
            <w:vAlign w:val="center"/>
          </w:tcPr>
          <w:p w14:paraId="48EFDB6A"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ES"/>
              </w:rPr>
              <w:t>Comunicación de la SENER presentando un informe de operación de la plataforma del SNG</w:t>
            </w:r>
          </w:p>
        </w:tc>
      </w:tr>
      <w:tr w:rsidR="00000FF4" w:rsidRPr="006B046D" w14:paraId="3D005EE9" w14:textId="77777777" w:rsidTr="00E043F6">
        <w:trPr>
          <w:trHeight w:val="441"/>
        </w:trPr>
        <w:tc>
          <w:tcPr>
            <w:tcW w:w="1831" w:type="pct"/>
            <w:shd w:val="clear" w:color="auto" w:fill="auto"/>
            <w:vAlign w:val="center"/>
          </w:tcPr>
          <w:p w14:paraId="76888618" w14:textId="77777777" w:rsidR="00000FF4" w:rsidRPr="00E043F6" w:rsidRDefault="00000FF4" w:rsidP="00000FF4">
            <w:pPr>
              <w:rPr>
                <w:rFonts w:ascii="Arial" w:hAnsi="Arial" w:cs="Arial"/>
                <w:sz w:val="16"/>
                <w:szCs w:val="16"/>
                <w:lang w:val="es-MX"/>
              </w:rPr>
            </w:pPr>
            <w:r w:rsidRPr="00E043F6">
              <w:rPr>
                <w:rFonts w:ascii="Arial" w:hAnsi="Arial" w:cs="Arial"/>
                <w:color w:val="000000" w:themeColor="text1"/>
                <w:sz w:val="16"/>
                <w:szCs w:val="16"/>
                <w:lang w:val="es-ES"/>
              </w:rPr>
              <w:t>Publicación de las acciones de reducción de pérdidas de energía eléctrica en la distribución establecidas en el PRODESEN (2016-2030), aprobadas.</w:t>
            </w:r>
          </w:p>
        </w:tc>
        <w:tc>
          <w:tcPr>
            <w:tcW w:w="347" w:type="pct"/>
            <w:shd w:val="clear" w:color="auto" w:fill="auto"/>
            <w:vAlign w:val="center"/>
          </w:tcPr>
          <w:p w14:paraId="6E8D4FFC"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14" w:type="pct"/>
            <w:shd w:val="clear" w:color="auto" w:fill="auto"/>
            <w:vAlign w:val="center"/>
          </w:tcPr>
          <w:p w14:paraId="3E426DC2"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1</w:t>
            </w:r>
          </w:p>
        </w:tc>
        <w:tc>
          <w:tcPr>
            <w:tcW w:w="348" w:type="pct"/>
            <w:shd w:val="clear" w:color="auto" w:fill="auto"/>
            <w:vAlign w:val="center"/>
          </w:tcPr>
          <w:p w14:paraId="15798505" w14:textId="77777777" w:rsidR="00000FF4" w:rsidRPr="00E043F6" w:rsidRDefault="00000FF4" w:rsidP="00000FF4">
            <w:pPr>
              <w:jc w:val="center"/>
              <w:rPr>
                <w:rFonts w:ascii="Arial" w:hAnsi="Arial" w:cs="Arial"/>
                <w:sz w:val="16"/>
                <w:szCs w:val="16"/>
                <w:lang w:val="es-MX"/>
              </w:rPr>
            </w:pPr>
            <w:r w:rsidRPr="00E043F6">
              <w:rPr>
                <w:rFonts w:ascii="Arial" w:hAnsi="Arial" w:cs="Arial"/>
                <w:sz w:val="16"/>
                <w:szCs w:val="16"/>
                <w:lang w:val="es-MX"/>
              </w:rPr>
              <w:t>-</w:t>
            </w:r>
          </w:p>
        </w:tc>
        <w:tc>
          <w:tcPr>
            <w:tcW w:w="2160" w:type="pct"/>
            <w:vAlign w:val="center"/>
          </w:tcPr>
          <w:p w14:paraId="71F0C69D" w14:textId="77777777" w:rsidR="00000FF4" w:rsidRPr="00E043F6" w:rsidRDefault="00000FF4" w:rsidP="00000FF4">
            <w:pPr>
              <w:rPr>
                <w:rFonts w:ascii="Arial" w:hAnsi="Arial" w:cs="Arial"/>
                <w:color w:val="000000" w:themeColor="text1"/>
                <w:sz w:val="16"/>
                <w:szCs w:val="16"/>
                <w:lang w:val="es-MX"/>
              </w:rPr>
            </w:pPr>
            <w:r w:rsidRPr="00E043F6">
              <w:rPr>
                <w:rFonts w:ascii="Arial" w:hAnsi="Arial" w:cs="Arial"/>
                <w:color w:val="000000" w:themeColor="text1"/>
                <w:sz w:val="16"/>
                <w:szCs w:val="16"/>
                <w:lang w:val="es-ES"/>
              </w:rPr>
              <w:t>PRODESEN 2016-2030, publicado en el Portal del Gobierno de México.</w:t>
            </w:r>
          </w:p>
        </w:tc>
      </w:tr>
      <w:tr w:rsidR="00000FF4" w:rsidRPr="006B046D" w14:paraId="07155FD3" w14:textId="77777777" w:rsidTr="00E043F6">
        <w:trPr>
          <w:trHeight w:val="441"/>
        </w:trPr>
        <w:tc>
          <w:tcPr>
            <w:tcW w:w="1831" w:type="pct"/>
            <w:shd w:val="clear" w:color="auto" w:fill="auto"/>
            <w:vAlign w:val="center"/>
          </w:tcPr>
          <w:p w14:paraId="5245DD72"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ES"/>
              </w:rPr>
              <w:t>Presentación de los avances en la reducción de pérdidas de energía eléctrica en distribución, de acuerdo con las metas establecidas en el PRODESEN (2016-2030).</w:t>
            </w:r>
          </w:p>
        </w:tc>
        <w:tc>
          <w:tcPr>
            <w:tcW w:w="347" w:type="pct"/>
            <w:shd w:val="clear" w:color="auto" w:fill="auto"/>
            <w:vAlign w:val="center"/>
          </w:tcPr>
          <w:p w14:paraId="5D4D3F38"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14" w:type="pct"/>
            <w:shd w:val="clear" w:color="auto" w:fill="auto"/>
            <w:vAlign w:val="center"/>
          </w:tcPr>
          <w:p w14:paraId="777F3B41"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48" w:type="pct"/>
            <w:shd w:val="clear" w:color="auto" w:fill="auto"/>
            <w:vAlign w:val="center"/>
          </w:tcPr>
          <w:p w14:paraId="67112CBD" w14:textId="77777777" w:rsidR="00000FF4" w:rsidRPr="00E043F6" w:rsidRDefault="00000FF4" w:rsidP="00000FF4">
            <w:pPr>
              <w:jc w:val="center"/>
              <w:rPr>
                <w:rFonts w:ascii="Arial" w:hAnsi="Arial" w:cs="Arial"/>
                <w:sz w:val="16"/>
                <w:szCs w:val="16"/>
                <w:lang w:val="es-MX"/>
              </w:rPr>
            </w:pPr>
            <w:r w:rsidRPr="00E043F6">
              <w:rPr>
                <w:rFonts w:ascii="Arial" w:hAnsi="Arial" w:cs="Arial"/>
                <w:sz w:val="16"/>
                <w:szCs w:val="16"/>
                <w:lang w:val="es-MX"/>
              </w:rPr>
              <w:t>1</w:t>
            </w:r>
          </w:p>
        </w:tc>
        <w:tc>
          <w:tcPr>
            <w:tcW w:w="2160" w:type="pct"/>
            <w:vAlign w:val="center"/>
          </w:tcPr>
          <w:p w14:paraId="18EE3FE1"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ES"/>
              </w:rPr>
              <w:t>PRODESEN actualizado, publicado en el PdGM.</w:t>
            </w:r>
          </w:p>
        </w:tc>
      </w:tr>
      <w:tr w:rsidR="00000FF4" w:rsidRPr="006B046D" w14:paraId="1F13BFEB" w14:textId="77777777" w:rsidTr="00E043F6">
        <w:trPr>
          <w:trHeight w:val="441"/>
        </w:trPr>
        <w:tc>
          <w:tcPr>
            <w:tcW w:w="1831" w:type="pct"/>
            <w:shd w:val="clear" w:color="auto" w:fill="auto"/>
            <w:vAlign w:val="center"/>
          </w:tcPr>
          <w:p w14:paraId="5A09E742" w14:textId="77777777" w:rsidR="00000FF4" w:rsidRPr="00E043F6" w:rsidRDefault="00000FF4" w:rsidP="00000FF4">
            <w:pPr>
              <w:rPr>
                <w:rFonts w:ascii="Arial" w:hAnsi="Arial" w:cs="Arial"/>
                <w:sz w:val="16"/>
                <w:szCs w:val="16"/>
                <w:lang w:val="es-MX"/>
              </w:rPr>
            </w:pPr>
            <w:r w:rsidRPr="00E043F6">
              <w:rPr>
                <w:rFonts w:ascii="Arial" w:hAnsi="Arial" w:cs="Arial"/>
                <w:color w:val="000000" w:themeColor="text1"/>
                <w:sz w:val="16"/>
                <w:szCs w:val="16"/>
                <w:lang w:val="es-MX"/>
              </w:rPr>
              <w:t>Aprobación y publicación del Programa de Redes Inteligentes (PREI), aprobado.</w:t>
            </w:r>
          </w:p>
        </w:tc>
        <w:tc>
          <w:tcPr>
            <w:tcW w:w="347" w:type="pct"/>
            <w:shd w:val="clear" w:color="auto" w:fill="auto"/>
            <w:vAlign w:val="center"/>
          </w:tcPr>
          <w:p w14:paraId="48F9C55D"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14" w:type="pct"/>
            <w:shd w:val="clear" w:color="auto" w:fill="auto"/>
            <w:vAlign w:val="center"/>
          </w:tcPr>
          <w:p w14:paraId="31155A53"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1</w:t>
            </w:r>
          </w:p>
        </w:tc>
        <w:tc>
          <w:tcPr>
            <w:tcW w:w="348" w:type="pct"/>
            <w:shd w:val="clear" w:color="auto" w:fill="auto"/>
            <w:vAlign w:val="center"/>
          </w:tcPr>
          <w:p w14:paraId="1B36FE51" w14:textId="77777777" w:rsidR="00000FF4" w:rsidRPr="00E043F6" w:rsidRDefault="00000FF4" w:rsidP="00000FF4">
            <w:pPr>
              <w:jc w:val="center"/>
              <w:rPr>
                <w:rFonts w:ascii="Arial" w:hAnsi="Arial" w:cs="Arial"/>
                <w:sz w:val="16"/>
                <w:szCs w:val="16"/>
                <w:lang w:val="es-MX"/>
              </w:rPr>
            </w:pPr>
            <w:r w:rsidRPr="00E043F6">
              <w:rPr>
                <w:rFonts w:ascii="Arial" w:hAnsi="Arial" w:cs="Arial"/>
                <w:sz w:val="16"/>
                <w:szCs w:val="16"/>
                <w:lang w:val="es-MX"/>
              </w:rPr>
              <w:t>-</w:t>
            </w:r>
          </w:p>
        </w:tc>
        <w:tc>
          <w:tcPr>
            <w:tcW w:w="2160" w:type="pct"/>
            <w:vAlign w:val="center"/>
          </w:tcPr>
          <w:p w14:paraId="27C72CF0" w14:textId="77777777" w:rsidR="00000FF4" w:rsidRPr="00E043F6" w:rsidRDefault="00000FF4" w:rsidP="00000FF4">
            <w:pPr>
              <w:rPr>
                <w:rFonts w:ascii="Arial" w:hAnsi="Arial" w:cs="Arial"/>
                <w:color w:val="000000" w:themeColor="text1"/>
                <w:sz w:val="16"/>
                <w:szCs w:val="16"/>
                <w:lang w:val="es-MX"/>
              </w:rPr>
            </w:pPr>
            <w:r w:rsidRPr="00E043F6">
              <w:rPr>
                <w:rFonts w:ascii="Arial" w:hAnsi="Arial" w:cs="Arial"/>
                <w:color w:val="000000" w:themeColor="text1"/>
                <w:sz w:val="16"/>
                <w:szCs w:val="16"/>
                <w:lang w:val="es-ES"/>
              </w:rPr>
              <w:t>PREI, publicado en el PGdM.</w:t>
            </w:r>
          </w:p>
        </w:tc>
      </w:tr>
      <w:tr w:rsidR="00000FF4" w:rsidRPr="006B046D" w14:paraId="40CB62E6" w14:textId="77777777" w:rsidTr="00E043F6">
        <w:trPr>
          <w:trHeight w:val="441"/>
        </w:trPr>
        <w:tc>
          <w:tcPr>
            <w:tcW w:w="1831" w:type="pct"/>
            <w:shd w:val="clear" w:color="auto" w:fill="auto"/>
            <w:vAlign w:val="center"/>
          </w:tcPr>
          <w:p w14:paraId="53B64DD9" w14:textId="77777777" w:rsidR="00000FF4" w:rsidRPr="00E043F6" w:rsidRDefault="00000FF4" w:rsidP="00000FF4">
            <w:pPr>
              <w:rPr>
                <w:rFonts w:ascii="Arial" w:hAnsi="Arial" w:cs="Arial"/>
                <w:color w:val="000000" w:themeColor="text1"/>
                <w:sz w:val="16"/>
                <w:szCs w:val="16"/>
                <w:lang w:val="es-MX"/>
              </w:rPr>
            </w:pPr>
            <w:r w:rsidRPr="00E043F6">
              <w:rPr>
                <w:rFonts w:ascii="Arial" w:hAnsi="Arial" w:cs="Arial"/>
                <w:color w:val="000000" w:themeColor="text1"/>
                <w:sz w:val="16"/>
                <w:szCs w:val="16"/>
                <w:lang w:val="es-ES"/>
              </w:rPr>
              <w:t>Presentación de avances en la implementación del PREI.</w:t>
            </w:r>
          </w:p>
        </w:tc>
        <w:tc>
          <w:tcPr>
            <w:tcW w:w="347" w:type="pct"/>
            <w:shd w:val="clear" w:color="auto" w:fill="auto"/>
            <w:vAlign w:val="center"/>
          </w:tcPr>
          <w:p w14:paraId="13D54F82"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14" w:type="pct"/>
            <w:shd w:val="clear" w:color="auto" w:fill="auto"/>
            <w:vAlign w:val="center"/>
          </w:tcPr>
          <w:p w14:paraId="7957E140"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48" w:type="pct"/>
            <w:shd w:val="clear" w:color="auto" w:fill="auto"/>
            <w:vAlign w:val="center"/>
          </w:tcPr>
          <w:p w14:paraId="3B6948D7" w14:textId="77777777" w:rsidR="00000FF4" w:rsidRPr="00E043F6" w:rsidRDefault="00000FF4" w:rsidP="00000FF4">
            <w:pPr>
              <w:jc w:val="center"/>
              <w:rPr>
                <w:rFonts w:ascii="Arial" w:hAnsi="Arial" w:cs="Arial"/>
                <w:sz w:val="16"/>
                <w:szCs w:val="16"/>
                <w:lang w:val="es-MX"/>
              </w:rPr>
            </w:pPr>
            <w:r w:rsidRPr="00E043F6">
              <w:rPr>
                <w:rFonts w:ascii="Arial" w:hAnsi="Arial" w:cs="Arial"/>
                <w:sz w:val="16"/>
                <w:szCs w:val="16"/>
                <w:lang w:val="es-MX"/>
              </w:rPr>
              <w:t>1</w:t>
            </w:r>
          </w:p>
        </w:tc>
        <w:tc>
          <w:tcPr>
            <w:tcW w:w="2160" w:type="pct"/>
            <w:vAlign w:val="center"/>
          </w:tcPr>
          <w:p w14:paraId="511C2BDB"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MX"/>
              </w:rPr>
              <w:t>Informe de avances del PREI, publicado en el PGdM.</w:t>
            </w:r>
          </w:p>
        </w:tc>
      </w:tr>
      <w:tr w:rsidR="00000FF4" w:rsidRPr="00E043F6" w14:paraId="276A8735" w14:textId="77777777" w:rsidTr="00000FF4">
        <w:trPr>
          <w:trHeight w:val="542"/>
        </w:trPr>
        <w:tc>
          <w:tcPr>
            <w:tcW w:w="5000" w:type="pct"/>
            <w:gridSpan w:val="5"/>
            <w:shd w:val="clear" w:color="auto" w:fill="auto"/>
            <w:vAlign w:val="center"/>
            <w:hideMark/>
          </w:tcPr>
          <w:p w14:paraId="559DF270" w14:textId="77777777" w:rsidR="00000FF4" w:rsidRPr="00E043F6" w:rsidRDefault="00000FF4" w:rsidP="00000FF4">
            <w:pPr>
              <w:rPr>
                <w:rFonts w:ascii="Arial" w:hAnsi="Arial" w:cs="Arial"/>
                <w:b/>
                <w:bCs/>
                <w:color w:val="000000" w:themeColor="text1"/>
                <w:sz w:val="16"/>
                <w:szCs w:val="16"/>
                <w:lang w:val="es-ES"/>
              </w:rPr>
            </w:pPr>
            <w:r w:rsidRPr="00E043F6">
              <w:rPr>
                <w:rFonts w:ascii="Arial" w:hAnsi="Arial" w:cs="Arial"/>
                <w:b/>
                <w:bCs/>
                <w:color w:val="000000" w:themeColor="text1"/>
                <w:sz w:val="16"/>
                <w:szCs w:val="16"/>
                <w:lang w:val="es-ES"/>
              </w:rPr>
              <w:t>IV.  Sustentabilidad Energética</w:t>
            </w:r>
          </w:p>
        </w:tc>
      </w:tr>
      <w:tr w:rsidR="00000FF4" w:rsidRPr="006B046D" w14:paraId="0ACA2677" w14:textId="77777777" w:rsidTr="00E043F6">
        <w:trPr>
          <w:trHeight w:val="441"/>
        </w:trPr>
        <w:tc>
          <w:tcPr>
            <w:tcW w:w="1831" w:type="pct"/>
            <w:shd w:val="clear" w:color="auto" w:fill="auto"/>
            <w:vAlign w:val="center"/>
          </w:tcPr>
          <w:p w14:paraId="3CD1D1E6" w14:textId="77777777" w:rsidR="00000FF4" w:rsidRPr="00E043F6" w:rsidRDefault="00000FF4" w:rsidP="00000FF4">
            <w:pPr>
              <w:rPr>
                <w:rFonts w:ascii="Arial" w:hAnsi="Arial" w:cs="Arial"/>
                <w:sz w:val="16"/>
                <w:szCs w:val="16"/>
                <w:lang w:val="es-MX"/>
              </w:rPr>
            </w:pPr>
            <w:r w:rsidRPr="00E043F6">
              <w:rPr>
                <w:rFonts w:ascii="Arial" w:hAnsi="Arial" w:cs="Arial"/>
                <w:color w:val="000000" w:themeColor="text1"/>
                <w:sz w:val="16"/>
                <w:szCs w:val="16"/>
                <w:lang w:val="es-ES"/>
              </w:rPr>
              <w:t>Aprobación y publicación del Programa de Desarrollo del Sector Eléctrico Nacional 2016-2030 (PRODESEN), aprobado.</w:t>
            </w:r>
          </w:p>
        </w:tc>
        <w:tc>
          <w:tcPr>
            <w:tcW w:w="347" w:type="pct"/>
            <w:shd w:val="clear" w:color="auto" w:fill="auto"/>
            <w:vAlign w:val="center"/>
          </w:tcPr>
          <w:p w14:paraId="586E2FA2"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14" w:type="pct"/>
            <w:shd w:val="clear" w:color="auto" w:fill="auto"/>
            <w:vAlign w:val="center"/>
          </w:tcPr>
          <w:p w14:paraId="162633D8"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1</w:t>
            </w:r>
          </w:p>
        </w:tc>
        <w:tc>
          <w:tcPr>
            <w:tcW w:w="348" w:type="pct"/>
            <w:shd w:val="clear" w:color="auto" w:fill="auto"/>
            <w:vAlign w:val="center"/>
          </w:tcPr>
          <w:p w14:paraId="529F9EB7" w14:textId="77777777" w:rsidR="00000FF4" w:rsidRPr="00E043F6" w:rsidRDefault="00000FF4" w:rsidP="00000FF4">
            <w:pPr>
              <w:jc w:val="center"/>
              <w:rPr>
                <w:rFonts w:ascii="Arial" w:hAnsi="Arial" w:cs="Arial"/>
                <w:sz w:val="16"/>
                <w:szCs w:val="16"/>
                <w:lang w:val="es-MX"/>
              </w:rPr>
            </w:pPr>
            <w:r w:rsidRPr="00E043F6">
              <w:rPr>
                <w:rFonts w:ascii="Arial" w:hAnsi="Arial" w:cs="Arial"/>
                <w:sz w:val="16"/>
                <w:szCs w:val="16"/>
                <w:lang w:val="es-MX"/>
              </w:rPr>
              <w:t>-</w:t>
            </w:r>
          </w:p>
        </w:tc>
        <w:tc>
          <w:tcPr>
            <w:tcW w:w="2160" w:type="pct"/>
            <w:vAlign w:val="center"/>
          </w:tcPr>
          <w:p w14:paraId="5098A3A1" w14:textId="77777777" w:rsidR="00000FF4" w:rsidRPr="00E043F6" w:rsidRDefault="00000FF4" w:rsidP="00000FF4">
            <w:pPr>
              <w:rPr>
                <w:rFonts w:ascii="Arial" w:hAnsi="Arial" w:cs="Arial"/>
                <w:sz w:val="16"/>
                <w:szCs w:val="16"/>
                <w:lang w:val="es-MX"/>
              </w:rPr>
            </w:pPr>
            <w:r w:rsidRPr="00E043F6">
              <w:rPr>
                <w:rFonts w:ascii="Arial" w:hAnsi="Arial" w:cs="Arial"/>
                <w:color w:val="000000" w:themeColor="text1"/>
                <w:sz w:val="16"/>
                <w:szCs w:val="16"/>
                <w:lang w:val="es-ES"/>
              </w:rPr>
              <w:t>PRODESEN 2016-2030, publicado en el PGdM.</w:t>
            </w:r>
          </w:p>
        </w:tc>
      </w:tr>
      <w:tr w:rsidR="00000FF4" w:rsidRPr="006B046D" w14:paraId="5B89430D" w14:textId="77777777" w:rsidTr="00E043F6">
        <w:trPr>
          <w:trHeight w:val="441"/>
        </w:trPr>
        <w:tc>
          <w:tcPr>
            <w:tcW w:w="1831" w:type="pct"/>
            <w:shd w:val="clear" w:color="auto" w:fill="auto"/>
            <w:vAlign w:val="center"/>
          </w:tcPr>
          <w:p w14:paraId="083267F2"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sz w:val="16"/>
                <w:szCs w:val="16"/>
                <w:lang w:val="es-ES"/>
              </w:rPr>
              <w:t>Cumplimiento de los requisitos de CEL como proporción del total de energía consumida durante un año por los participantes obligados</w:t>
            </w:r>
            <w:r w:rsidRPr="00E043F6">
              <w:rPr>
                <w:rFonts w:ascii="Arial" w:hAnsi="Arial" w:cs="Arial"/>
                <w:color w:val="000000" w:themeColor="text1"/>
                <w:sz w:val="16"/>
                <w:szCs w:val="16"/>
                <w:lang w:val="es-MX"/>
              </w:rPr>
              <w:t>.</w:t>
            </w:r>
          </w:p>
        </w:tc>
        <w:tc>
          <w:tcPr>
            <w:tcW w:w="347" w:type="pct"/>
            <w:shd w:val="clear" w:color="auto" w:fill="auto"/>
            <w:vAlign w:val="center"/>
          </w:tcPr>
          <w:p w14:paraId="10CA51AF"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14" w:type="pct"/>
            <w:shd w:val="clear" w:color="auto" w:fill="auto"/>
            <w:vAlign w:val="center"/>
          </w:tcPr>
          <w:p w14:paraId="3CAC64D7"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48" w:type="pct"/>
            <w:shd w:val="clear" w:color="auto" w:fill="auto"/>
            <w:vAlign w:val="center"/>
          </w:tcPr>
          <w:p w14:paraId="3CA563C6" w14:textId="77777777" w:rsidR="00000FF4" w:rsidRPr="00E043F6" w:rsidRDefault="00000FF4" w:rsidP="00000FF4">
            <w:pPr>
              <w:jc w:val="center"/>
              <w:rPr>
                <w:rFonts w:ascii="Arial" w:hAnsi="Arial" w:cs="Arial"/>
                <w:sz w:val="16"/>
                <w:szCs w:val="16"/>
                <w:lang w:val="es-MX"/>
              </w:rPr>
            </w:pPr>
            <w:r w:rsidRPr="00E043F6">
              <w:rPr>
                <w:rFonts w:ascii="Arial" w:hAnsi="Arial" w:cs="Arial"/>
                <w:sz w:val="16"/>
                <w:szCs w:val="16"/>
                <w:lang w:val="es-MX"/>
              </w:rPr>
              <w:t>1</w:t>
            </w:r>
          </w:p>
        </w:tc>
        <w:tc>
          <w:tcPr>
            <w:tcW w:w="2160" w:type="pct"/>
            <w:vAlign w:val="center"/>
          </w:tcPr>
          <w:p w14:paraId="2FF16A56"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ES"/>
              </w:rPr>
              <w:t>PRODESEN actualizado, publicado en el PGdM.</w:t>
            </w:r>
          </w:p>
        </w:tc>
      </w:tr>
      <w:tr w:rsidR="00000FF4" w:rsidRPr="006B046D" w14:paraId="1CB0207D" w14:textId="77777777" w:rsidTr="00E043F6">
        <w:trPr>
          <w:trHeight w:val="441"/>
        </w:trPr>
        <w:tc>
          <w:tcPr>
            <w:tcW w:w="1831" w:type="pct"/>
            <w:shd w:val="clear" w:color="auto" w:fill="auto"/>
            <w:vAlign w:val="center"/>
          </w:tcPr>
          <w:p w14:paraId="3BDE3372"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ES"/>
              </w:rPr>
              <w:t>Aprobación del reglamento de la Ley de Transición Energética.</w:t>
            </w:r>
          </w:p>
        </w:tc>
        <w:tc>
          <w:tcPr>
            <w:tcW w:w="347" w:type="pct"/>
            <w:shd w:val="clear" w:color="auto" w:fill="auto"/>
            <w:vAlign w:val="center"/>
          </w:tcPr>
          <w:p w14:paraId="56688191" w14:textId="77777777" w:rsidR="00000FF4" w:rsidRPr="00E043F6" w:rsidRDefault="00000FF4" w:rsidP="00000FF4">
            <w:pPr>
              <w:jc w:val="center"/>
              <w:rPr>
                <w:rFonts w:ascii="Arial" w:hAnsi="Arial" w:cs="Arial"/>
                <w:color w:val="000000" w:themeColor="text1"/>
                <w:sz w:val="16"/>
                <w:szCs w:val="16"/>
                <w:lang w:val="es-ES"/>
              </w:rPr>
            </w:pPr>
            <w:r w:rsidRPr="00E043F6">
              <w:rPr>
                <w:rFonts w:ascii="Arial" w:hAnsi="Arial" w:cs="Arial"/>
                <w:color w:val="000000" w:themeColor="text1"/>
                <w:sz w:val="16"/>
                <w:szCs w:val="16"/>
                <w:lang w:val="es-MX"/>
              </w:rPr>
              <w:t>0</w:t>
            </w:r>
          </w:p>
        </w:tc>
        <w:tc>
          <w:tcPr>
            <w:tcW w:w="314" w:type="pct"/>
            <w:shd w:val="clear" w:color="auto" w:fill="auto"/>
            <w:vAlign w:val="center"/>
          </w:tcPr>
          <w:p w14:paraId="023F79C3"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1</w:t>
            </w:r>
          </w:p>
        </w:tc>
        <w:tc>
          <w:tcPr>
            <w:tcW w:w="348" w:type="pct"/>
            <w:shd w:val="clear" w:color="auto" w:fill="auto"/>
            <w:vAlign w:val="center"/>
          </w:tcPr>
          <w:p w14:paraId="582ED866" w14:textId="77777777" w:rsidR="00000FF4" w:rsidRPr="00E043F6" w:rsidRDefault="00000FF4" w:rsidP="00000FF4">
            <w:pPr>
              <w:jc w:val="center"/>
              <w:rPr>
                <w:rFonts w:ascii="Arial" w:hAnsi="Arial" w:cs="Arial"/>
                <w:sz w:val="16"/>
                <w:szCs w:val="16"/>
                <w:lang w:val="es-MX"/>
              </w:rPr>
            </w:pPr>
            <w:r w:rsidRPr="00E043F6">
              <w:rPr>
                <w:rFonts w:ascii="Arial" w:hAnsi="Arial" w:cs="Arial"/>
                <w:sz w:val="16"/>
                <w:szCs w:val="16"/>
                <w:lang w:val="es-MX"/>
              </w:rPr>
              <w:t>-</w:t>
            </w:r>
          </w:p>
        </w:tc>
        <w:tc>
          <w:tcPr>
            <w:tcW w:w="2160" w:type="pct"/>
            <w:vAlign w:val="center"/>
          </w:tcPr>
          <w:p w14:paraId="1830A17E"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ES"/>
              </w:rPr>
              <w:t>Reglamento de la Ley de Transición Energética, publicado en el DOF.</w:t>
            </w:r>
          </w:p>
        </w:tc>
      </w:tr>
      <w:tr w:rsidR="00000FF4" w:rsidRPr="006B046D" w14:paraId="5C824DB6" w14:textId="77777777" w:rsidTr="00E043F6">
        <w:trPr>
          <w:trHeight w:val="441"/>
        </w:trPr>
        <w:tc>
          <w:tcPr>
            <w:tcW w:w="1831" w:type="pct"/>
            <w:shd w:val="clear" w:color="auto" w:fill="auto"/>
            <w:vAlign w:val="center"/>
          </w:tcPr>
          <w:p w14:paraId="2BDB1A5A" w14:textId="77777777" w:rsidR="00000FF4" w:rsidRPr="00E043F6" w:rsidRDefault="00000FF4" w:rsidP="00000FF4">
            <w:pPr>
              <w:rPr>
                <w:rFonts w:ascii="Arial" w:hAnsi="Arial" w:cs="Arial"/>
                <w:sz w:val="16"/>
                <w:szCs w:val="16"/>
                <w:lang w:val="es-ES"/>
              </w:rPr>
            </w:pPr>
            <w:r w:rsidRPr="00E043F6">
              <w:rPr>
                <w:rFonts w:ascii="Arial" w:hAnsi="Arial" w:cs="Arial"/>
                <w:color w:val="000000" w:themeColor="text1"/>
                <w:sz w:val="16"/>
                <w:szCs w:val="16"/>
                <w:lang w:val="es-ES"/>
              </w:rPr>
              <w:t>Elaboración de los escenarios</w:t>
            </w:r>
            <w:r w:rsidRPr="00E043F6">
              <w:rPr>
                <w:rFonts w:ascii="Arial" w:hAnsi="Arial" w:cs="Arial"/>
                <w:sz w:val="16"/>
                <w:szCs w:val="16"/>
                <w:lang w:val="es-ES"/>
              </w:rPr>
              <w:t xml:space="preserve"> prospectivos del sector energía, con los elementos provistos por el INEEL, la CRE, el CENACE y la SEMARNAT, para actualizar las metas de EL y ET de   la Estrategia de Transición para Promover el Uso de Tecnologías y Combustibles más Limpios (ETE).</w:t>
            </w:r>
          </w:p>
        </w:tc>
        <w:tc>
          <w:tcPr>
            <w:tcW w:w="347" w:type="pct"/>
            <w:shd w:val="clear" w:color="auto" w:fill="auto"/>
            <w:vAlign w:val="center"/>
          </w:tcPr>
          <w:p w14:paraId="0F8EB85A"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14" w:type="pct"/>
            <w:shd w:val="clear" w:color="auto" w:fill="auto"/>
            <w:vAlign w:val="center"/>
          </w:tcPr>
          <w:p w14:paraId="71431D60"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48" w:type="pct"/>
            <w:shd w:val="clear" w:color="auto" w:fill="auto"/>
            <w:vAlign w:val="center"/>
          </w:tcPr>
          <w:p w14:paraId="36CACD0F" w14:textId="77777777" w:rsidR="00000FF4" w:rsidRPr="00E043F6" w:rsidRDefault="00000FF4" w:rsidP="00000FF4">
            <w:pPr>
              <w:jc w:val="center"/>
              <w:rPr>
                <w:rFonts w:ascii="Arial" w:hAnsi="Arial" w:cs="Arial"/>
                <w:sz w:val="16"/>
                <w:szCs w:val="16"/>
                <w:lang w:val="es-MX"/>
              </w:rPr>
            </w:pPr>
            <w:r w:rsidRPr="00E043F6">
              <w:rPr>
                <w:rFonts w:ascii="Arial" w:hAnsi="Arial" w:cs="Arial"/>
                <w:sz w:val="16"/>
                <w:szCs w:val="16"/>
                <w:lang w:val="es-MX"/>
              </w:rPr>
              <w:t>1</w:t>
            </w:r>
          </w:p>
        </w:tc>
        <w:tc>
          <w:tcPr>
            <w:tcW w:w="2160" w:type="pct"/>
            <w:vAlign w:val="center"/>
          </w:tcPr>
          <w:p w14:paraId="1D29828E"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ES"/>
              </w:rPr>
              <w:t>Publicación en el portal de SENER.</w:t>
            </w:r>
          </w:p>
        </w:tc>
      </w:tr>
      <w:tr w:rsidR="00000FF4" w:rsidRPr="006B046D" w14:paraId="7EA2299F" w14:textId="77777777" w:rsidTr="00E043F6">
        <w:trPr>
          <w:trHeight w:val="441"/>
        </w:trPr>
        <w:tc>
          <w:tcPr>
            <w:tcW w:w="1831" w:type="pct"/>
            <w:shd w:val="clear" w:color="auto" w:fill="auto"/>
            <w:vAlign w:val="center"/>
          </w:tcPr>
          <w:p w14:paraId="0DEC2DF1" w14:textId="77777777" w:rsidR="00000FF4" w:rsidRPr="00E043F6" w:rsidRDefault="00000FF4" w:rsidP="00000FF4">
            <w:pPr>
              <w:rPr>
                <w:rFonts w:ascii="Arial" w:hAnsi="Arial" w:cs="Arial"/>
                <w:sz w:val="16"/>
                <w:szCs w:val="16"/>
                <w:lang w:val="es-MX"/>
              </w:rPr>
            </w:pPr>
            <w:r w:rsidRPr="00E043F6">
              <w:rPr>
                <w:rFonts w:ascii="Arial" w:hAnsi="Arial" w:cs="Arial"/>
                <w:color w:val="000000" w:themeColor="text1"/>
                <w:sz w:val="16"/>
                <w:szCs w:val="16"/>
                <w:lang w:val="es-ES"/>
              </w:rPr>
              <w:t>Aprobación de la Estrategia de Transición para Promover el Uso de Tecnologías y Combustibles más Limpios (ETE).</w:t>
            </w:r>
          </w:p>
        </w:tc>
        <w:tc>
          <w:tcPr>
            <w:tcW w:w="347" w:type="pct"/>
            <w:shd w:val="clear" w:color="auto" w:fill="auto"/>
            <w:vAlign w:val="center"/>
          </w:tcPr>
          <w:p w14:paraId="38AB1C77"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14" w:type="pct"/>
            <w:shd w:val="clear" w:color="auto" w:fill="auto"/>
            <w:vAlign w:val="center"/>
          </w:tcPr>
          <w:p w14:paraId="176FD7A0"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1</w:t>
            </w:r>
          </w:p>
        </w:tc>
        <w:tc>
          <w:tcPr>
            <w:tcW w:w="348" w:type="pct"/>
            <w:shd w:val="clear" w:color="auto" w:fill="auto"/>
            <w:vAlign w:val="center"/>
          </w:tcPr>
          <w:p w14:paraId="38AFD929" w14:textId="77777777" w:rsidR="00000FF4" w:rsidRPr="00E043F6" w:rsidRDefault="00000FF4" w:rsidP="00000FF4">
            <w:pPr>
              <w:jc w:val="center"/>
              <w:rPr>
                <w:rFonts w:ascii="Arial" w:hAnsi="Arial" w:cs="Arial"/>
                <w:sz w:val="16"/>
                <w:szCs w:val="16"/>
                <w:lang w:val="es-MX"/>
              </w:rPr>
            </w:pPr>
            <w:r w:rsidRPr="00E043F6">
              <w:rPr>
                <w:rFonts w:ascii="Arial" w:hAnsi="Arial" w:cs="Arial"/>
                <w:sz w:val="16"/>
                <w:szCs w:val="16"/>
                <w:lang w:val="es-MX"/>
              </w:rPr>
              <w:t>-</w:t>
            </w:r>
          </w:p>
        </w:tc>
        <w:tc>
          <w:tcPr>
            <w:tcW w:w="2160" w:type="pct"/>
            <w:vAlign w:val="center"/>
          </w:tcPr>
          <w:p w14:paraId="4D2AD109" w14:textId="77777777" w:rsidR="00000FF4" w:rsidRPr="00E043F6" w:rsidRDefault="00000FF4" w:rsidP="00000FF4">
            <w:pPr>
              <w:rPr>
                <w:rFonts w:ascii="Arial" w:hAnsi="Arial" w:cs="Arial"/>
                <w:sz w:val="16"/>
                <w:szCs w:val="16"/>
                <w:lang w:val="es-MX"/>
              </w:rPr>
            </w:pPr>
            <w:r w:rsidRPr="00E043F6">
              <w:rPr>
                <w:rFonts w:ascii="Arial" w:hAnsi="Arial" w:cs="Arial"/>
                <w:color w:val="000000" w:themeColor="text1"/>
                <w:sz w:val="16"/>
                <w:szCs w:val="16"/>
                <w:lang w:val="es-ES"/>
              </w:rPr>
              <w:t>Decreto mediante el cual la SENER aprueba y publica la ETE, publicado en el DOF.</w:t>
            </w:r>
          </w:p>
        </w:tc>
      </w:tr>
      <w:tr w:rsidR="00000FF4" w:rsidRPr="006B046D" w14:paraId="583715F7" w14:textId="77777777" w:rsidTr="00E043F6">
        <w:trPr>
          <w:trHeight w:val="441"/>
        </w:trPr>
        <w:tc>
          <w:tcPr>
            <w:tcW w:w="1831" w:type="pct"/>
            <w:shd w:val="clear" w:color="auto" w:fill="auto"/>
            <w:vAlign w:val="center"/>
          </w:tcPr>
          <w:p w14:paraId="2E23B36C"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sz w:val="16"/>
                <w:szCs w:val="16"/>
                <w:lang w:val="es-MX"/>
              </w:rPr>
              <w:t>Cumplimiento de las metas de disminución de la intensidad energética del consumo final, respecto a 2014.</w:t>
            </w:r>
          </w:p>
        </w:tc>
        <w:tc>
          <w:tcPr>
            <w:tcW w:w="347" w:type="pct"/>
            <w:shd w:val="clear" w:color="auto" w:fill="auto"/>
            <w:vAlign w:val="center"/>
          </w:tcPr>
          <w:p w14:paraId="2AA6F70D"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14" w:type="pct"/>
            <w:shd w:val="clear" w:color="auto" w:fill="auto"/>
            <w:vAlign w:val="center"/>
          </w:tcPr>
          <w:p w14:paraId="626065C4"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48" w:type="pct"/>
            <w:shd w:val="clear" w:color="auto" w:fill="auto"/>
            <w:vAlign w:val="center"/>
          </w:tcPr>
          <w:p w14:paraId="272D0B50" w14:textId="77777777" w:rsidR="00000FF4" w:rsidRPr="00E043F6" w:rsidRDefault="00000FF4" w:rsidP="00000FF4">
            <w:pPr>
              <w:jc w:val="center"/>
              <w:rPr>
                <w:rFonts w:ascii="Arial" w:hAnsi="Arial" w:cs="Arial"/>
                <w:sz w:val="16"/>
                <w:szCs w:val="16"/>
                <w:lang w:val="es-MX"/>
              </w:rPr>
            </w:pPr>
            <w:r w:rsidRPr="00E043F6">
              <w:rPr>
                <w:rFonts w:ascii="Arial" w:hAnsi="Arial" w:cs="Arial"/>
                <w:sz w:val="16"/>
                <w:szCs w:val="16"/>
                <w:lang w:val="es-MX"/>
              </w:rPr>
              <w:t>1</w:t>
            </w:r>
          </w:p>
        </w:tc>
        <w:tc>
          <w:tcPr>
            <w:tcW w:w="2160" w:type="pct"/>
            <w:vAlign w:val="center"/>
          </w:tcPr>
          <w:p w14:paraId="0617C040"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sz w:val="16"/>
                <w:szCs w:val="16"/>
                <w:lang w:val="es-MX"/>
              </w:rPr>
              <w:t>Reporte de cumplimiento de las metas de eficiencia energética, publicado en el portal de SENER.</w:t>
            </w:r>
          </w:p>
        </w:tc>
      </w:tr>
      <w:tr w:rsidR="00000FF4" w:rsidRPr="006B046D" w14:paraId="47419F5C" w14:textId="77777777" w:rsidTr="00E043F6">
        <w:trPr>
          <w:trHeight w:val="441"/>
        </w:trPr>
        <w:tc>
          <w:tcPr>
            <w:tcW w:w="1831" w:type="pct"/>
            <w:shd w:val="clear" w:color="auto" w:fill="auto"/>
            <w:vAlign w:val="center"/>
          </w:tcPr>
          <w:p w14:paraId="54527FD8" w14:textId="77777777" w:rsidR="00000FF4" w:rsidRPr="00E043F6" w:rsidRDefault="00000FF4" w:rsidP="00000FF4">
            <w:pPr>
              <w:rPr>
                <w:rFonts w:ascii="Arial" w:hAnsi="Arial" w:cs="Arial"/>
                <w:sz w:val="16"/>
                <w:szCs w:val="16"/>
                <w:lang w:val="es-MX"/>
              </w:rPr>
            </w:pPr>
            <w:r w:rsidRPr="00E043F6">
              <w:rPr>
                <w:rFonts w:ascii="Arial" w:hAnsi="Arial" w:cs="Arial"/>
                <w:color w:val="000000" w:themeColor="text1"/>
                <w:sz w:val="16"/>
                <w:szCs w:val="16"/>
                <w:lang w:val="es-ES"/>
              </w:rPr>
              <w:t xml:space="preserve">Aprobación y actualización del Programa Especial de Transición Energética, aprobado. </w:t>
            </w:r>
          </w:p>
        </w:tc>
        <w:tc>
          <w:tcPr>
            <w:tcW w:w="347" w:type="pct"/>
            <w:shd w:val="clear" w:color="auto" w:fill="auto"/>
            <w:vAlign w:val="center"/>
          </w:tcPr>
          <w:p w14:paraId="7BFF5682"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14" w:type="pct"/>
            <w:shd w:val="clear" w:color="auto" w:fill="auto"/>
            <w:vAlign w:val="center"/>
          </w:tcPr>
          <w:p w14:paraId="0DA6BFA7"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1</w:t>
            </w:r>
          </w:p>
        </w:tc>
        <w:tc>
          <w:tcPr>
            <w:tcW w:w="348" w:type="pct"/>
            <w:shd w:val="clear" w:color="auto" w:fill="auto"/>
            <w:vAlign w:val="center"/>
          </w:tcPr>
          <w:p w14:paraId="5113180C" w14:textId="77777777" w:rsidR="00000FF4" w:rsidRPr="00E043F6" w:rsidRDefault="00000FF4" w:rsidP="00000FF4">
            <w:pPr>
              <w:jc w:val="center"/>
              <w:rPr>
                <w:rFonts w:ascii="Arial" w:hAnsi="Arial" w:cs="Arial"/>
                <w:sz w:val="16"/>
                <w:szCs w:val="16"/>
                <w:lang w:val="es-MX"/>
              </w:rPr>
            </w:pPr>
            <w:r w:rsidRPr="00E043F6">
              <w:rPr>
                <w:rFonts w:ascii="Arial" w:hAnsi="Arial" w:cs="Arial"/>
                <w:sz w:val="16"/>
                <w:szCs w:val="16"/>
                <w:lang w:val="es-MX"/>
              </w:rPr>
              <w:t>-</w:t>
            </w:r>
          </w:p>
        </w:tc>
        <w:tc>
          <w:tcPr>
            <w:tcW w:w="2160" w:type="pct"/>
            <w:vAlign w:val="center"/>
          </w:tcPr>
          <w:p w14:paraId="648E6EE8" w14:textId="77777777" w:rsidR="00000FF4" w:rsidRPr="00E043F6" w:rsidRDefault="00000FF4" w:rsidP="00000FF4">
            <w:pPr>
              <w:rPr>
                <w:rFonts w:ascii="Arial" w:hAnsi="Arial" w:cs="Arial"/>
                <w:sz w:val="16"/>
                <w:szCs w:val="16"/>
                <w:lang w:val="es-MX"/>
              </w:rPr>
            </w:pPr>
            <w:r w:rsidRPr="00E043F6">
              <w:rPr>
                <w:rFonts w:ascii="Arial" w:hAnsi="Arial" w:cs="Arial"/>
                <w:color w:val="000000" w:themeColor="text1"/>
                <w:sz w:val="16"/>
                <w:szCs w:val="16"/>
                <w:lang w:val="es-ES"/>
              </w:rPr>
              <w:t>Acuerdo por el que se emite el Programa Especial de Transición Energética, publicado en el DOF.</w:t>
            </w:r>
          </w:p>
        </w:tc>
      </w:tr>
      <w:tr w:rsidR="00000FF4" w:rsidRPr="006B046D" w14:paraId="0C66FA19" w14:textId="77777777" w:rsidTr="00E043F6">
        <w:trPr>
          <w:trHeight w:val="441"/>
        </w:trPr>
        <w:tc>
          <w:tcPr>
            <w:tcW w:w="1831" w:type="pct"/>
            <w:shd w:val="clear" w:color="auto" w:fill="auto"/>
            <w:vAlign w:val="center"/>
          </w:tcPr>
          <w:p w14:paraId="3B8B6789"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ES"/>
              </w:rPr>
              <w:t>Cumplimiento de las metas de participación de energías limpias en la generación de energía eléctrica.</w:t>
            </w:r>
          </w:p>
        </w:tc>
        <w:tc>
          <w:tcPr>
            <w:tcW w:w="347" w:type="pct"/>
            <w:shd w:val="clear" w:color="auto" w:fill="auto"/>
            <w:vAlign w:val="center"/>
          </w:tcPr>
          <w:p w14:paraId="6E0FC7D0"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14" w:type="pct"/>
            <w:shd w:val="clear" w:color="auto" w:fill="auto"/>
            <w:vAlign w:val="center"/>
          </w:tcPr>
          <w:p w14:paraId="6E71569E"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48" w:type="pct"/>
            <w:shd w:val="clear" w:color="auto" w:fill="auto"/>
            <w:vAlign w:val="center"/>
          </w:tcPr>
          <w:p w14:paraId="0D14E682" w14:textId="77777777" w:rsidR="00000FF4" w:rsidRPr="00E043F6" w:rsidRDefault="00000FF4" w:rsidP="00000FF4">
            <w:pPr>
              <w:jc w:val="center"/>
              <w:rPr>
                <w:rFonts w:ascii="Arial" w:hAnsi="Arial" w:cs="Arial"/>
                <w:sz w:val="16"/>
                <w:szCs w:val="16"/>
                <w:lang w:val="es-MX"/>
              </w:rPr>
            </w:pPr>
            <w:r w:rsidRPr="00E043F6">
              <w:rPr>
                <w:rFonts w:ascii="Arial" w:hAnsi="Arial" w:cs="Arial"/>
                <w:sz w:val="16"/>
                <w:szCs w:val="16"/>
                <w:lang w:val="es-MX"/>
              </w:rPr>
              <w:t>1</w:t>
            </w:r>
          </w:p>
        </w:tc>
        <w:tc>
          <w:tcPr>
            <w:tcW w:w="2160" w:type="pct"/>
            <w:vAlign w:val="center"/>
          </w:tcPr>
          <w:p w14:paraId="75DBCD7C"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ES"/>
              </w:rPr>
              <w:t>Informe de avance del PETE, publicado en el portal de SENER.</w:t>
            </w:r>
          </w:p>
        </w:tc>
      </w:tr>
      <w:tr w:rsidR="00000FF4" w:rsidRPr="006B046D" w14:paraId="40B608C3" w14:textId="77777777" w:rsidTr="00E043F6">
        <w:trPr>
          <w:trHeight w:val="441"/>
        </w:trPr>
        <w:tc>
          <w:tcPr>
            <w:tcW w:w="1831" w:type="pct"/>
            <w:shd w:val="clear" w:color="auto" w:fill="auto"/>
            <w:vAlign w:val="center"/>
          </w:tcPr>
          <w:p w14:paraId="659541DC" w14:textId="77777777" w:rsidR="00000FF4" w:rsidRPr="00E043F6" w:rsidRDefault="00000FF4" w:rsidP="00000FF4">
            <w:pPr>
              <w:rPr>
                <w:rFonts w:ascii="Arial" w:hAnsi="Arial" w:cs="Arial"/>
                <w:sz w:val="16"/>
                <w:szCs w:val="16"/>
                <w:lang w:val="es-MX"/>
              </w:rPr>
            </w:pPr>
            <w:r w:rsidRPr="00E043F6">
              <w:rPr>
                <w:rFonts w:ascii="Arial" w:hAnsi="Arial" w:cs="Arial"/>
                <w:color w:val="000000" w:themeColor="text1"/>
                <w:sz w:val="16"/>
                <w:szCs w:val="16"/>
                <w:lang w:val="es-ES"/>
              </w:rPr>
              <w:t>Aprobación y actualización del Programa Nacional para el Aprovechamiento Sustentable de Energía PRONASE).</w:t>
            </w:r>
          </w:p>
        </w:tc>
        <w:tc>
          <w:tcPr>
            <w:tcW w:w="347" w:type="pct"/>
            <w:shd w:val="clear" w:color="auto" w:fill="auto"/>
            <w:vAlign w:val="center"/>
          </w:tcPr>
          <w:p w14:paraId="2A0C7847"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14" w:type="pct"/>
            <w:shd w:val="clear" w:color="auto" w:fill="auto"/>
            <w:vAlign w:val="center"/>
          </w:tcPr>
          <w:p w14:paraId="3B6F1017"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1</w:t>
            </w:r>
          </w:p>
        </w:tc>
        <w:tc>
          <w:tcPr>
            <w:tcW w:w="348" w:type="pct"/>
            <w:shd w:val="clear" w:color="auto" w:fill="auto"/>
            <w:vAlign w:val="center"/>
          </w:tcPr>
          <w:p w14:paraId="2EC90318" w14:textId="77777777" w:rsidR="00000FF4" w:rsidRPr="00E043F6" w:rsidRDefault="00000FF4" w:rsidP="00000FF4">
            <w:pPr>
              <w:jc w:val="center"/>
              <w:rPr>
                <w:rFonts w:ascii="Arial" w:hAnsi="Arial" w:cs="Arial"/>
                <w:sz w:val="16"/>
                <w:szCs w:val="16"/>
                <w:lang w:val="es-MX"/>
              </w:rPr>
            </w:pPr>
            <w:r w:rsidRPr="00E043F6">
              <w:rPr>
                <w:rFonts w:ascii="Arial" w:hAnsi="Arial" w:cs="Arial"/>
                <w:sz w:val="16"/>
                <w:szCs w:val="16"/>
                <w:lang w:val="es-MX"/>
              </w:rPr>
              <w:t>-</w:t>
            </w:r>
          </w:p>
        </w:tc>
        <w:tc>
          <w:tcPr>
            <w:tcW w:w="2160" w:type="pct"/>
            <w:vAlign w:val="center"/>
          </w:tcPr>
          <w:p w14:paraId="70888728" w14:textId="77777777" w:rsidR="00000FF4" w:rsidRPr="00E043F6" w:rsidRDefault="00000FF4" w:rsidP="00000FF4">
            <w:pPr>
              <w:rPr>
                <w:rFonts w:ascii="Arial" w:hAnsi="Arial" w:cs="Arial"/>
                <w:sz w:val="16"/>
                <w:szCs w:val="16"/>
                <w:lang w:val="es-MX"/>
              </w:rPr>
            </w:pPr>
            <w:r w:rsidRPr="00E043F6">
              <w:rPr>
                <w:rFonts w:ascii="Arial" w:hAnsi="Arial" w:cs="Arial"/>
                <w:color w:val="000000" w:themeColor="text1"/>
                <w:sz w:val="16"/>
                <w:szCs w:val="16"/>
                <w:lang w:val="es-ES"/>
              </w:rPr>
              <w:t>Acuerdo por el que la SENER aprueba y Publica el PRONASE, publicado en el DOF.</w:t>
            </w:r>
          </w:p>
        </w:tc>
      </w:tr>
      <w:tr w:rsidR="00000FF4" w:rsidRPr="006B046D" w14:paraId="14ED7F6A" w14:textId="77777777" w:rsidTr="00E043F6">
        <w:trPr>
          <w:trHeight w:val="855"/>
        </w:trPr>
        <w:tc>
          <w:tcPr>
            <w:tcW w:w="1831" w:type="pct"/>
            <w:shd w:val="clear" w:color="auto" w:fill="auto"/>
            <w:vAlign w:val="center"/>
          </w:tcPr>
          <w:p w14:paraId="227AE4CD"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ES"/>
              </w:rPr>
              <w:t>Emisión de las disposiciones administrativas de carácter general en materia de eficiencia energética en los inmuebles, flotas vehiculares e instalaciones industriales de la Administración Pública Federal.</w:t>
            </w:r>
          </w:p>
        </w:tc>
        <w:tc>
          <w:tcPr>
            <w:tcW w:w="347" w:type="pct"/>
            <w:shd w:val="clear" w:color="auto" w:fill="auto"/>
            <w:vAlign w:val="center"/>
          </w:tcPr>
          <w:p w14:paraId="5FA85CA5"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14" w:type="pct"/>
            <w:shd w:val="clear" w:color="auto" w:fill="auto"/>
            <w:vAlign w:val="center"/>
          </w:tcPr>
          <w:p w14:paraId="58F70D6B"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48" w:type="pct"/>
            <w:shd w:val="clear" w:color="auto" w:fill="auto"/>
            <w:vAlign w:val="center"/>
          </w:tcPr>
          <w:p w14:paraId="18CA95CB" w14:textId="77777777" w:rsidR="00000FF4" w:rsidRPr="00E043F6" w:rsidRDefault="00000FF4" w:rsidP="00000FF4">
            <w:pPr>
              <w:jc w:val="center"/>
              <w:rPr>
                <w:rFonts w:ascii="Arial" w:hAnsi="Arial" w:cs="Arial"/>
                <w:sz w:val="16"/>
                <w:szCs w:val="16"/>
                <w:lang w:val="es-MX"/>
              </w:rPr>
            </w:pPr>
            <w:r w:rsidRPr="00E043F6">
              <w:rPr>
                <w:rFonts w:ascii="Arial" w:hAnsi="Arial" w:cs="Arial"/>
                <w:sz w:val="16"/>
                <w:szCs w:val="16"/>
                <w:lang w:val="es-MX"/>
              </w:rPr>
              <w:t>1</w:t>
            </w:r>
          </w:p>
        </w:tc>
        <w:tc>
          <w:tcPr>
            <w:tcW w:w="2160" w:type="pct"/>
            <w:vAlign w:val="bottom"/>
          </w:tcPr>
          <w:p w14:paraId="2EE15102"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ES"/>
              </w:rPr>
              <w:t>Disposiciones administrativas de carácter general en materia de eficiencia energética en los inmuebles, flotas vehiculares e instalaciones industriales de la Administración Pública Federal publicadas en el DOF.</w:t>
            </w:r>
          </w:p>
        </w:tc>
      </w:tr>
      <w:tr w:rsidR="00000FF4" w:rsidRPr="006B046D" w14:paraId="4EC27300" w14:textId="77777777" w:rsidTr="00E043F6">
        <w:trPr>
          <w:trHeight w:val="1145"/>
        </w:trPr>
        <w:tc>
          <w:tcPr>
            <w:tcW w:w="1831" w:type="pct"/>
            <w:shd w:val="clear" w:color="auto" w:fill="auto"/>
            <w:vAlign w:val="center"/>
          </w:tcPr>
          <w:p w14:paraId="763DB622" w14:textId="77777777" w:rsidR="00000FF4" w:rsidRPr="00E043F6" w:rsidRDefault="00000FF4" w:rsidP="00000FF4">
            <w:pPr>
              <w:rPr>
                <w:rFonts w:ascii="Arial" w:hAnsi="Arial" w:cs="Arial"/>
                <w:sz w:val="16"/>
                <w:szCs w:val="16"/>
                <w:lang w:val="es-MX"/>
              </w:rPr>
            </w:pPr>
            <w:r w:rsidRPr="00E043F6">
              <w:rPr>
                <w:rFonts w:ascii="Arial" w:hAnsi="Arial" w:cs="Arial"/>
                <w:color w:val="000000" w:themeColor="text1"/>
                <w:sz w:val="16"/>
                <w:szCs w:val="16"/>
                <w:lang w:val="es-ES"/>
              </w:rPr>
              <w:t>Publicación de la regulación para la adquisición de Certificados de Energía Limpia (CELs), aprobada.</w:t>
            </w:r>
          </w:p>
        </w:tc>
        <w:tc>
          <w:tcPr>
            <w:tcW w:w="347" w:type="pct"/>
            <w:shd w:val="clear" w:color="auto" w:fill="auto"/>
            <w:vAlign w:val="center"/>
          </w:tcPr>
          <w:p w14:paraId="38813222"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14" w:type="pct"/>
            <w:shd w:val="clear" w:color="auto" w:fill="auto"/>
            <w:vAlign w:val="center"/>
          </w:tcPr>
          <w:p w14:paraId="4F6D1EE3"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1</w:t>
            </w:r>
          </w:p>
        </w:tc>
        <w:tc>
          <w:tcPr>
            <w:tcW w:w="348" w:type="pct"/>
            <w:shd w:val="clear" w:color="auto" w:fill="auto"/>
            <w:vAlign w:val="center"/>
          </w:tcPr>
          <w:p w14:paraId="2846D0D2" w14:textId="77777777" w:rsidR="00000FF4" w:rsidRPr="00E043F6" w:rsidRDefault="00000FF4" w:rsidP="00000FF4">
            <w:pPr>
              <w:jc w:val="center"/>
              <w:rPr>
                <w:rFonts w:ascii="Arial" w:hAnsi="Arial" w:cs="Arial"/>
                <w:sz w:val="16"/>
                <w:szCs w:val="16"/>
                <w:lang w:val="es-MX"/>
              </w:rPr>
            </w:pPr>
            <w:r w:rsidRPr="00E043F6">
              <w:rPr>
                <w:rFonts w:ascii="Arial" w:hAnsi="Arial" w:cs="Arial"/>
                <w:sz w:val="16"/>
                <w:szCs w:val="16"/>
                <w:lang w:val="es-MX"/>
              </w:rPr>
              <w:t>-</w:t>
            </w:r>
          </w:p>
        </w:tc>
        <w:tc>
          <w:tcPr>
            <w:tcW w:w="2160" w:type="pct"/>
            <w:vAlign w:val="bottom"/>
          </w:tcPr>
          <w:p w14:paraId="3FC5C069"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ES"/>
              </w:rPr>
              <w:t>Aviso por el que se da a conocer el requisito para la adquisición de CELs en 2018, publicado en el DOF.</w:t>
            </w:r>
          </w:p>
          <w:p w14:paraId="207357DC" w14:textId="77777777" w:rsidR="00000FF4" w:rsidRPr="00E043F6" w:rsidRDefault="00000FF4" w:rsidP="00000FF4">
            <w:pPr>
              <w:rPr>
                <w:rFonts w:ascii="Arial" w:hAnsi="Arial" w:cs="Arial"/>
                <w:color w:val="000000"/>
                <w:sz w:val="16"/>
                <w:szCs w:val="16"/>
                <w:lang w:val="es-ES_tradnl"/>
              </w:rPr>
            </w:pPr>
          </w:p>
          <w:p w14:paraId="03FE52FD" w14:textId="77777777" w:rsidR="00000FF4" w:rsidRPr="00E043F6" w:rsidRDefault="00000FF4" w:rsidP="00000FF4">
            <w:pPr>
              <w:rPr>
                <w:rFonts w:ascii="Arial" w:hAnsi="Arial" w:cs="Arial"/>
                <w:sz w:val="16"/>
                <w:szCs w:val="16"/>
                <w:lang w:val="es-MX"/>
              </w:rPr>
            </w:pPr>
            <w:r w:rsidRPr="00E043F6">
              <w:rPr>
                <w:rFonts w:ascii="Arial" w:hAnsi="Arial" w:cs="Arial"/>
                <w:color w:val="000000" w:themeColor="text1"/>
                <w:sz w:val="16"/>
                <w:szCs w:val="16"/>
                <w:lang w:val="es-ES"/>
              </w:rPr>
              <w:t>Resolución por la que se expiden los criterios para la imposición de sanciones que deriven del incumplimiento de las obligaciones en materia de energías limpias, publicado en el DOF.</w:t>
            </w:r>
          </w:p>
        </w:tc>
      </w:tr>
      <w:tr w:rsidR="00000FF4" w:rsidRPr="006B046D" w14:paraId="70CEE8DA" w14:textId="77777777" w:rsidTr="00E043F6">
        <w:trPr>
          <w:trHeight w:val="441"/>
        </w:trPr>
        <w:tc>
          <w:tcPr>
            <w:tcW w:w="1831" w:type="pct"/>
            <w:shd w:val="clear" w:color="auto" w:fill="auto"/>
            <w:vAlign w:val="bottom"/>
          </w:tcPr>
          <w:p w14:paraId="14C29E98"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ES"/>
              </w:rPr>
              <w:t>Asignación de CEL de acuerdo con la regulación y requisitos establecidos.</w:t>
            </w:r>
          </w:p>
        </w:tc>
        <w:tc>
          <w:tcPr>
            <w:tcW w:w="347" w:type="pct"/>
            <w:shd w:val="clear" w:color="auto" w:fill="auto"/>
            <w:vAlign w:val="center"/>
          </w:tcPr>
          <w:p w14:paraId="094AEDA9"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14" w:type="pct"/>
            <w:shd w:val="clear" w:color="auto" w:fill="auto"/>
            <w:vAlign w:val="center"/>
          </w:tcPr>
          <w:p w14:paraId="1A8C27F7"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48" w:type="pct"/>
            <w:shd w:val="clear" w:color="auto" w:fill="auto"/>
            <w:vAlign w:val="center"/>
          </w:tcPr>
          <w:p w14:paraId="0DE5F1B8" w14:textId="77777777" w:rsidR="00000FF4" w:rsidRPr="00E043F6" w:rsidRDefault="00000FF4" w:rsidP="00000FF4">
            <w:pPr>
              <w:jc w:val="center"/>
              <w:rPr>
                <w:rFonts w:ascii="Arial" w:hAnsi="Arial" w:cs="Arial"/>
                <w:sz w:val="16"/>
                <w:szCs w:val="16"/>
                <w:lang w:val="es-MX"/>
              </w:rPr>
            </w:pPr>
            <w:r w:rsidRPr="00E043F6">
              <w:rPr>
                <w:rFonts w:ascii="Arial" w:hAnsi="Arial" w:cs="Arial"/>
                <w:sz w:val="16"/>
                <w:szCs w:val="16"/>
                <w:lang w:val="es-MX"/>
              </w:rPr>
              <w:t>1</w:t>
            </w:r>
          </w:p>
        </w:tc>
        <w:tc>
          <w:tcPr>
            <w:tcW w:w="2160" w:type="pct"/>
          </w:tcPr>
          <w:p w14:paraId="4976E228"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ES"/>
              </w:rPr>
              <w:t>Reporte de asignación de CEL emitido por la CRE y publicado en su portal.</w:t>
            </w:r>
          </w:p>
        </w:tc>
      </w:tr>
      <w:tr w:rsidR="00000FF4" w:rsidRPr="006B046D" w14:paraId="6BA66746" w14:textId="77777777" w:rsidTr="00E043F6">
        <w:trPr>
          <w:trHeight w:val="638"/>
        </w:trPr>
        <w:tc>
          <w:tcPr>
            <w:tcW w:w="1831" w:type="pct"/>
            <w:shd w:val="clear" w:color="auto" w:fill="auto"/>
            <w:vAlign w:val="bottom"/>
          </w:tcPr>
          <w:p w14:paraId="4CC7E89C" w14:textId="77777777" w:rsidR="00000FF4" w:rsidRPr="00E043F6" w:rsidRDefault="00000FF4" w:rsidP="00000FF4">
            <w:pPr>
              <w:rPr>
                <w:rFonts w:ascii="Arial" w:hAnsi="Arial" w:cs="Arial"/>
                <w:sz w:val="16"/>
                <w:szCs w:val="16"/>
                <w:lang w:val="es-MX"/>
              </w:rPr>
            </w:pPr>
            <w:r w:rsidRPr="00E043F6">
              <w:rPr>
                <w:rFonts w:ascii="Arial" w:hAnsi="Arial" w:cs="Arial"/>
                <w:color w:val="000000" w:themeColor="text1"/>
                <w:sz w:val="16"/>
                <w:szCs w:val="16"/>
                <w:lang w:val="es-ES"/>
              </w:rPr>
              <w:t>Publicación de los resultados de las primeras dos Subastas de Largo Plazo del Mercado Eléctrico Mayorista, realizadas.</w:t>
            </w:r>
          </w:p>
        </w:tc>
        <w:tc>
          <w:tcPr>
            <w:tcW w:w="347" w:type="pct"/>
            <w:shd w:val="clear" w:color="auto" w:fill="auto"/>
            <w:vAlign w:val="center"/>
          </w:tcPr>
          <w:p w14:paraId="2C33746D"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14" w:type="pct"/>
            <w:shd w:val="clear" w:color="auto" w:fill="auto"/>
            <w:vAlign w:val="center"/>
          </w:tcPr>
          <w:p w14:paraId="4D064593"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1</w:t>
            </w:r>
          </w:p>
        </w:tc>
        <w:tc>
          <w:tcPr>
            <w:tcW w:w="348" w:type="pct"/>
            <w:shd w:val="clear" w:color="auto" w:fill="auto"/>
            <w:vAlign w:val="center"/>
          </w:tcPr>
          <w:p w14:paraId="04A7F94A" w14:textId="77777777" w:rsidR="00000FF4" w:rsidRPr="00E043F6" w:rsidRDefault="00000FF4" w:rsidP="00000FF4">
            <w:pPr>
              <w:jc w:val="center"/>
              <w:rPr>
                <w:rFonts w:ascii="Arial" w:hAnsi="Arial" w:cs="Arial"/>
                <w:sz w:val="16"/>
                <w:szCs w:val="16"/>
                <w:lang w:val="es-MX"/>
              </w:rPr>
            </w:pPr>
            <w:r w:rsidRPr="00E043F6">
              <w:rPr>
                <w:rFonts w:ascii="Arial" w:hAnsi="Arial" w:cs="Arial"/>
                <w:sz w:val="16"/>
                <w:szCs w:val="16"/>
                <w:lang w:val="es-MX"/>
              </w:rPr>
              <w:t>-</w:t>
            </w:r>
          </w:p>
        </w:tc>
        <w:tc>
          <w:tcPr>
            <w:tcW w:w="2160" w:type="pct"/>
          </w:tcPr>
          <w:p w14:paraId="3B133A0A" w14:textId="77777777" w:rsidR="00000FF4" w:rsidRPr="00E043F6" w:rsidRDefault="00000FF4" w:rsidP="00000FF4">
            <w:pPr>
              <w:rPr>
                <w:rFonts w:ascii="Arial" w:hAnsi="Arial" w:cs="Arial"/>
                <w:sz w:val="16"/>
                <w:szCs w:val="16"/>
                <w:lang w:val="es-MX"/>
              </w:rPr>
            </w:pPr>
            <w:r w:rsidRPr="00E043F6">
              <w:rPr>
                <w:rFonts w:ascii="Arial" w:hAnsi="Arial" w:cs="Arial"/>
                <w:color w:val="000000" w:themeColor="text1"/>
                <w:sz w:val="16"/>
                <w:szCs w:val="16"/>
                <w:lang w:val="es-ES"/>
              </w:rPr>
              <w:t>Resultados de las dos primeras Subasta de Largo, publicados en el portal de CENACE.</w:t>
            </w:r>
          </w:p>
        </w:tc>
      </w:tr>
      <w:tr w:rsidR="00000FF4" w:rsidRPr="006B046D" w14:paraId="48FD5D05" w14:textId="77777777" w:rsidTr="00E043F6">
        <w:trPr>
          <w:trHeight w:val="441"/>
        </w:trPr>
        <w:tc>
          <w:tcPr>
            <w:tcW w:w="1831" w:type="pct"/>
            <w:shd w:val="clear" w:color="auto" w:fill="auto"/>
            <w:vAlign w:val="center"/>
          </w:tcPr>
          <w:p w14:paraId="69D4D9DE" w14:textId="77777777" w:rsidR="00000FF4" w:rsidRPr="00E043F6" w:rsidRDefault="00000FF4" w:rsidP="00000FF4">
            <w:pPr>
              <w:rPr>
                <w:rFonts w:ascii="Arial" w:hAnsi="Arial" w:cs="Arial"/>
                <w:color w:val="000000" w:themeColor="text1"/>
                <w:sz w:val="16"/>
                <w:szCs w:val="16"/>
                <w:lang w:val="es-MX"/>
              </w:rPr>
            </w:pPr>
            <w:r w:rsidRPr="00E043F6">
              <w:rPr>
                <w:rFonts w:ascii="Arial" w:hAnsi="Arial" w:cs="Arial"/>
                <w:color w:val="000000" w:themeColor="text1"/>
                <w:sz w:val="16"/>
                <w:szCs w:val="16"/>
                <w:lang w:val="es-ES"/>
              </w:rPr>
              <w:t>Realización de nuevas Subastas de Largo Plazo del Mercado Mayorista.</w:t>
            </w:r>
          </w:p>
        </w:tc>
        <w:tc>
          <w:tcPr>
            <w:tcW w:w="347" w:type="pct"/>
            <w:shd w:val="clear" w:color="auto" w:fill="auto"/>
            <w:vAlign w:val="center"/>
          </w:tcPr>
          <w:p w14:paraId="25B71A27"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14" w:type="pct"/>
            <w:shd w:val="clear" w:color="auto" w:fill="auto"/>
            <w:vAlign w:val="center"/>
          </w:tcPr>
          <w:p w14:paraId="7C731159"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48" w:type="pct"/>
            <w:shd w:val="clear" w:color="auto" w:fill="auto"/>
            <w:vAlign w:val="center"/>
          </w:tcPr>
          <w:p w14:paraId="656D7299" w14:textId="77777777" w:rsidR="00000FF4" w:rsidRPr="00E043F6" w:rsidRDefault="00000FF4" w:rsidP="00000FF4">
            <w:pPr>
              <w:jc w:val="center"/>
              <w:rPr>
                <w:rFonts w:ascii="Arial" w:hAnsi="Arial" w:cs="Arial"/>
                <w:sz w:val="16"/>
                <w:szCs w:val="16"/>
                <w:lang w:val="es-MX"/>
              </w:rPr>
            </w:pPr>
            <w:r w:rsidRPr="00E043F6">
              <w:rPr>
                <w:rFonts w:ascii="Arial" w:hAnsi="Arial" w:cs="Arial"/>
                <w:sz w:val="16"/>
                <w:szCs w:val="16"/>
                <w:lang w:val="es-MX"/>
              </w:rPr>
              <w:t>1</w:t>
            </w:r>
          </w:p>
        </w:tc>
        <w:tc>
          <w:tcPr>
            <w:tcW w:w="2160" w:type="pct"/>
            <w:vAlign w:val="center"/>
          </w:tcPr>
          <w:p w14:paraId="32D24DBF"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ES"/>
              </w:rPr>
              <w:t>Resultados de las nuevas Subasta de Largo Plazo, publicados en portal de CENACE.</w:t>
            </w:r>
          </w:p>
        </w:tc>
      </w:tr>
      <w:tr w:rsidR="00000FF4" w:rsidRPr="006B046D" w14:paraId="3596FF5B" w14:textId="77777777" w:rsidTr="00000FF4">
        <w:trPr>
          <w:trHeight w:val="297"/>
        </w:trPr>
        <w:tc>
          <w:tcPr>
            <w:tcW w:w="5000" w:type="pct"/>
            <w:gridSpan w:val="5"/>
            <w:shd w:val="clear" w:color="auto" w:fill="auto"/>
            <w:vAlign w:val="center"/>
            <w:hideMark/>
          </w:tcPr>
          <w:p w14:paraId="3AE67158" w14:textId="77777777" w:rsidR="00000FF4" w:rsidRPr="00E043F6" w:rsidRDefault="00000FF4" w:rsidP="00000FF4">
            <w:pPr>
              <w:rPr>
                <w:rFonts w:ascii="Arial" w:hAnsi="Arial" w:cs="Arial"/>
                <w:b/>
                <w:bCs/>
                <w:color w:val="000000" w:themeColor="text1"/>
                <w:sz w:val="16"/>
                <w:szCs w:val="16"/>
                <w:lang w:val="es-ES"/>
              </w:rPr>
            </w:pPr>
            <w:r w:rsidRPr="00E043F6">
              <w:rPr>
                <w:rFonts w:ascii="Arial" w:hAnsi="Arial" w:cs="Arial"/>
                <w:b/>
                <w:bCs/>
                <w:color w:val="000000" w:themeColor="text1"/>
                <w:sz w:val="16"/>
                <w:szCs w:val="16"/>
                <w:lang w:val="es-ES"/>
              </w:rPr>
              <w:lastRenderedPageBreak/>
              <w:t>V. Acceso a Electricidad mediante energías renovables</w:t>
            </w:r>
          </w:p>
        </w:tc>
      </w:tr>
      <w:tr w:rsidR="00000FF4" w:rsidRPr="006B046D" w14:paraId="52B0CDF6" w14:textId="77777777" w:rsidTr="00E043F6">
        <w:trPr>
          <w:trHeight w:val="711"/>
        </w:trPr>
        <w:tc>
          <w:tcPr>
            <w:tcW w:w="1831" w:type="pct"/>
            <w:shd w:val="clear" w:color="auto" w:fill="auto"/>
            <w:vAlign w:val="center"/>
          </w:tcPr>
          <w:p w14:paraId="7CCF1D59" w14:textId="77777777" w:rsidR="00000FF4" w:rsidRPr="00E043F6" w:rsidRDefault="00000FF4" w:rsidP="00000FF4">
            <w:pPr>
              <w:rPr>
                <w:rFonts w:ascii="Arial" w:hAnsi="Arial" w:cs="Arial"/>
                <w:color w:val="000000" w:themeColor="text1"/>
                <w:sz w:val="16"/>
                <w:szCs w:val="16"/>
                <w:lang w:val="es-MX"/>
              </w:rPr>
            </w:pPr>
            <w:r w:rsidRPr="00E043F6">
              <w:rPr>
                <w:rFonts w:ascii="Arial" w:hAnsi="Arial" w:cs="Arial"/>
                <w:color w:val="000000" w:themeColor="text1"/>
                <w:sz w:val="16"/>
                <w:szCs w:val="16"/>
                <w:lang w:val="es-ES"/>
              </w:rPr>
              <w:t>Publicación de la regulación del Fondo de Servicio Universal Eléctrico, aprobada.</w:t>
            </w:r>
          </w:p>
        </w:tc>
        <w:tc>
          <w:tcPr>
            <w:tcW w:w="347" w:type="pct"/>
            <w:shd w:val="clear" w:color="auto" w:fill="auto"/>
            <w:vAlign w:val="center"/>
          </w:tcPr>
          <w:p w14:paraId="30A5D0A0"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14" w:type="pct"/>
            <w:shd w:val="clear" w:color="auto" w:fill="auto"/>
            <w:vAlign w:val="center"/>
          </w:tcPr>
          <w:p w14:paraId="6441562D"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1</w:t>
            </w:r>
          </w:p>
        </w:tc>
        <w:tc>
          <w:tcPr>
            <w:tcW w:w="348" w:type="pct"/>
            <w:shd w:val="clear" w:color="auto" w:fill="auto"/>
            <w:vAlign w:val="center"/>
          </w:tcPr>
          <w:p w14:paraId="3993E433" w14:textId="77777777" w:rsidR="00000FF4" w:rsidRPr="00E043F6" w:rsidRDefault="00000FF4" w:rsidP="00000FF4">
            <w:pPr>
              <w:jc w:val="center"/>
              <w:rPr>
                <w:rFonts w:ascii="Arial" w:hAnsi="Arial" w:cs="Arial"/>
                <w:color w:val="000000" w:themeColor="text1"/>
                <w:sz w:val="16"/>
                <w:szCs w:val="16"/>
                <w:lang w:val="es-ES"/>
              </w:rPr>
            </w:pPr>
            <w:r w:rsidRPr="00E043F6">
              <w:rPr>
                <w:rFonts w:ascii="Arial" w:hAnsi="Arial" w:cs="Arial"/>
                <w:color w:val="000000" w:themeColor="text1"/>
                <w:sz w:val="16"/>
                <w:szCs w:val="16"/>
                <w:lang w:val="es-ES"/>
              </w:rPr>
              <w:t>-</w:t>
            </w:r>
          </w:p>
        </w:tc>
        <w:tc>
          <w:tcPr>
            <w:tcW w:w="2160" w:type="pct"/>
            <w:vAlign w:val="center"/>
          </w:tcPr>
          <w:p w14:paraId="79A648EC" w14:textId="77777777" w:rsidR="00000FF4" w:rsidRPr="00E043F6" w:rsidRDefault="00000FF4" w:rsidP="00000FF4">
            <w:pPr>
              <w:rPr>
                <w:rFonts w:ascii="Arial" w:hAnsi="Arial" w:cs="Arial"/>
                <w:color w:val="000000" w:themeColor="text1"/>
                <w:sz w:val="16"/>
                <w:szCs w:val="16"/>
                <w:lang w:val="es-ES"/>
              </w:rPr>
            </w:pPr>
            <w:r w:rsidRPr="00E043F6">
              <w:rPr>
                <w:rFonts w:ascii="Arial" w:hAnsi="Arial" w:cs="Arial"/>
                <w:color w:val="000000" w:themeColor="text1"/>
                <w:sz w:val="16"/>
                <w:szCs w:val="16"/>
                <w:lang w:val="es-ES"/>
              </w:rPr>
              <w:t>Convenio modificatorio contrato de creación del FSUE, publicado en el PGdM.</w:t>
            </w:r>
          </w:p>
          <w:p w14:paraId="7B48821D" w14:textId="77777777" w:rsidR="00000FF4" w:rsidRPr="00E043F6" w:rsidRDefault="00000FF4" w:rsidP="00000FF4">
            <w:pPr>
              <w:rPr>
                <w:rFonts w:ascii="Arial" w:hAnsi="Arial" w:cs="Arial"/>
                <w:color w:val="000000"/>
                <w:sz w:val="16"/>
                <w:szCs w:val="16"/>
                <w:lang w:val="es-ES_tradnl"/>
              </w:rPr>
            </w:pPr>
          </w:p>
          <w:p w14:paraId="27B48075" w14:textId="77777777" w:rsidR="00000FF4" w:rsidRPr="00E043F6" w:rsidRDefault="00000FF4" w:rsidP="00000FF4">
            <w:pPr>
              <w:rPr>
                <w:rFonts w:ascii="Arial" w:hAnsi="Arial" w:cs="Arial"/>
                <w:sz w:val="16"/>
                <w:szCs w:val="16"/>
                <w:lang w:val="es-MX"/>
              </w:rPr>
            </w:pPr>
            <w:r w:rsidRPr="00E043F6">
              <w:rPr>
                <w:rFonts w:ascii="Arial" w:hAnsi="Arial" w:cs="Arial"/>
                <w:color w:val="000000" w:themeColor="text1"/>
                <w:sz w:val="16"/>
                <w:szCs w:val="16"/>
                <w:lang w:val="es-ES"/>
              </w:rPr>
              <w:t>Reglas de operación del FSUE, en el PGdM.</w:t>
            </w:r>
          </w:p>
        </w:tc>
      </w:tr>
      <w:tr w:rsidR="00000FF4" w:rsidRPr="006B046D" w14:paraId="68AC78FA" w14:textId="77777777" w:rsidTr="00E043F6">
        <w:trPr>
          <w:trHeight w:val="504"/>
        </w:trPr>
        <w:tc>
          <w:tcPr>
            <w:tcW w:w="1831" w:type="pct"/>
            <w:shd w:val="clear" w:color="auto" w:fill="auto"/>
            <w:vAlign w:val="center"/>
          </w:tcPr>
          <w:p w14:paraId="63DA3ED1" w14:textId="0A2E786D" w:rsidR="00000FF4" w:rsidRPr="00E043F6" w:rsidRDefault="00000FF4" w:rsidP="00000FF4">
            <w:pPr>
              <w:rPr>
                <w:rFonts w:ascii="Arial" w:hAnsi="Arial" w:cs="Arial"/>
                <w:color w:val="000000" w:themeColor="text1"/>
                <w:sz w:val="16"/>
                <w:szCs w:val="16"/>
                <w:lang w:val="es-MX"/>
              </w:rPr>
            </w:pPr>
            <w:r w:rsidRPr="00E043F6">
              <w:rPr>
                <w:rFonts w:ascii="Arial" w:hAnsi="Arial" w:cs="Arial"/>
                <w:color w:val="000000" w:themeColor="text1"/>
                <w:sz w:val="16"/>
                <w:szCs w:val="16"/>
                <w:lang w:val="es-ES"/>
              </w:rPr>
              <w:t xml:space="preserve">Publicación de la invitación a los distribuidores para presentar proyectos de electrificación en las comunidades rurales y zonas </w:t>
            </w:r>
            <w:r w:rsidR="00863C3F" w:rsidRPr="00E043F6">
              <w:rPr>
                <w:rFonts w:ascii="Arial" w:hAnsi="Arial" w:cs="Arial"/>
                <w:color w:val="000000" w:themeColor="text1"/>
                <w:sz w:val="16"/>
                <w:szCs w:val="16"/>
                <w:lang w:val="es-ES"/>
              </w:rPr>
              <w:t>urbano-marginadas</w:t>
            </w:r>
            <w:r w:rsidRPr="00E043F6">
              <w:rPr>
                <w:rFonts w:ascii="Arial" w:hAnsi="Arial" w:cs="Arial"/>
                <w:color w:val="000000" w:themeColor="text1"/>
                <w:sz w:val="16"/>
                <w:szCs w:val="16"/>
                <w:lang w:val="es-ES"/>
              </w:rPr>
              <w:t>.</w:t>
            </w:r>
          </w:p>
        </w:tc>
        <w:tc>
          <w:tcPr>
            <w:tcW w:w="347" w:type="pct"/>
            <w:shd w:val="clear" w:color="auto" w:fill="auto"/>
            <w:vAlign w:val="center"/>
          </w:tcPr>
          <w:p w14:paraId="46A8B9B5"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14" w:type="pct"/>
            <w:shd w:val="clear" w:color="auto" w:fill="auto"/>
            <w:vAlign w:val="center"/>
          </w:tcPr>
          <w:p w14:paraId="51E9302A"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1</w:t>
            </w:r>
          </w:p>
        </w:tc>
        <w:tc>
          <w:tcPr>
            <w:tcW w:w="348" w:type="pct"/>
            <w:shd w:val="clear" w:color="auto" w:fill="auto"/>
            <w:vAlign w:val="center"/>
          </w:tcPr>
          <w:p w14:paraId="79E9AC2C" w14:textId="77777777" w:rsidR="00000FF4" w:rsidRPr="00E043F6" w:rsidRDefault="00000FF4" w:rsidP="00000FF4">
            <w:pPr>
              <w:jc w:val="center"/>
              <w:rPr>
                <w:rFonts w:ascii="Arial" w:hAnsi="Arial" w:cs="Arial"/>
                <w:color w:val="000000" w:themeColor="text1"/>
                <w:sz w:val="16"/>
                <w:szCs w:val="16"/>
                <w:lang w:val="es-CO"/>
              </w:rPr>
            </w:pPr>
            <w:r w:rsidRPr="00E043F6">
              <w:rPr>
                <w:rFonts w:ascii="Arial" w:hAnsi="Arial" w:cs="Arial"/>
                <w:color w:val="000000" w:themeColor="text1"/>
                <w:sz w:val="16"/>
                <w:szCs w:val="16"/>
                <w:lang w:val="es-CO"/>
              </w:rPr>
              <w:t>-</w:t>
            </w:r>
          </w:p>
        </w:tc>
        <w:tc>
          <w:tcPr>
            <w:tcW w:w="2160" w:type="pct"/>
            <w:vAlign w:val="center"/>
          </w:tcPr>
          <w:p w14:paraId="147F09ED" w14:textId="77777777" w:rsidR="00000FF4" w:rsidRPr="00E043F6" w:rsidRDefault="00000FF4" w:rsidP="00000FF4">
            <w:pPr>
              <w:rPr>
                <w:rFonts w:ascii="Arial" w:hAnsi="Arial" w:cs="Arial"/>
                <w:color w:val="000000" w:themeColor="text1"/>
                <w:sz w:val="16"/>
                <w:szCs w:val="16"/>
                <w:lang w:val="es-MX"/>
              </w:rPr>
            </w:pPr>
            <w:r w:rsidRPr="00E043F6">
              <w:rPr>
                <w:rFonts w:ascii="Arial" w:hAnsi="Arial" w:cs="Arial"/>
                <w:color w:val="000000" w:themeColor="text1"/>
                <w:sz w:val="16"/>
                <w:szCs w:val="16"/>
                <w:lang w:val="es-ES"/>
              </w:rPr>
              <w:t>Invitación a los distribuidores para presentar proyectos de electrificación en comunidades rurales y zonas urbanas marginadas, publicada en la plataforma del Fideicomiso para el Ahorro de Energía Eléctrica (FIDE).</w:t>
            </w:r>
          </w:p>
        </w:tc>
      </w:tr>
      <w:tr w:rsidR="00000FF4" w:rsidRPr="006B046D" w14:paraId="5416D74C" w14:textId="77777777" w:rsidTr="00E043F6">
        <w:trPr>
          <w:trHeight w:val="530"/>
        </w:trPr>
        <w:tc>
          <w:tcPr>
            <w:tcW w:w="1831" w:type="pct"/>
            <w:shd w:val="clear" w:color="auto" w:fill="auto"/>
            <w:vAlign w:val="center"/>
          </w:tcPr>
          <w:p w14:paraId="3BA9EB48" w14:textId="77777777" w:rsidR="00000FF4" w:rsidRPr="00E043F6" w:rsidRDefault="00000FF4" w:rsidP="00000FF4">
            <w:pPr>
              <w:rPr>
                <w:rFonts w:ascii="Arial" w:hAnsi="Arial" w:cs="Arial"/>
                <w:sz w:val="16"/>
                <w:szCs w:val="16"/>
                <w:lang w:val="es-MX"/>
              </w:rPr>
            </w:pPr>
            <w:r w:rsidRPr="00E043F6">
              <w:rPr>
                <w:rFonts w:ascii="Arial" w:hAnsi="Arial" w:cs="Arial"/>
                <w:color w:val="000000" w:themeColor="text1"/>
                <w:sz w:val="16"/>
                <w:szCs w:val="16"/>
                <w:lang w:val="es-MX"/>
              </w:rPr>
              <w:t>Publicación del número de localidades electrificadas</w:t>
            </w:r>
            <w:r w:rsidRPr="00E043F6">
              <w:rPr>
                <w:rFonts w:ascii="Arial" w:hAnsi="Arial" w:cs="Arial"/>
                <w:color w:val="000000" w:themeColor="text1"/>
                <w:sz w:val="16"/>
                <w:szCs w:val="16"/>
                <w:lang w:val="es-ES"/>
              </w:rPr>
              <w:t>.</w:t>
            </w:r>
          </w:p>
        </w:tc>
        <w:tc>
          <w:tcPr>
            <w:tcW w:w="347" w:type="pct"/>
            <w:shd w:val="clear" w:color="auto" w:fill="auto"/>
            <w:vAlign w:val="center"/>
          </w:tcPr>
          <w:p w14:paraId="00B4088B"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0</w:t>
            </w:r>
          </w:p>
        </w:tc>
        <w:tc>
          <w:tcPr>
            <w:tcW w:w="314" w:type="pct"/>
            <w:shd w:val="clear" w:color="auto" w:fill="auto"/>
            <w:vAlign w:val="center"/>
          </w:tcPr>
          <w:p w14:paraId="15B878BE" w14:textId="77777777" w:rsidR="00000FF4" w:rsidRPr="00E043F6" w:rsidRDefault="00000FF4" w:rsidP="00000FF4">
            <w:pPr>
              <w:jc w:val="center"/>
              <w:rPr>
                <w:rFonts w:ascii="Arial" w:hAnsi="Arial" w:cs="Arial"/>
                <w:color w:val="000000" w:themeColor="text1"/>
                <w:sz w:val="16"/>
                <w:szCs w:val="16"/>
                <w:lang w:val="es-ES"/>
              </w:rPr>
            </w:pPr>
            <w:r w:rsidRPr="00E043F6">
              <w:rPr>
                <w:rFonts w:ascii="Arial" w:hAnsi="Arial" w:cs="Arial"/>
                <w:color w:val="000000" w:themeColor="text1"/>
                <w:sz w:val="16"/>
                <w:szCs w:val="16"/>
                <w:lang w:val="es-ES"/>
              </w:rPr>
              <w:t>0</w:t>
            </w:r>
          </w:p>
        </w:tc>
        <w:tc>
          <w:tcPr>
            <w:tcW w:w="348" w:type="pct"/>
            <w:shd w:val="clear" w:color="auto" w:fill="auto"/>
            <w:vAlign w:val="center"/>
          </w:tcPr>
          <w:p w14:paraId="60FCC5FF" w14:textId="77777777" w:rsidR="00000FF4" w:rsidRPr="00E043F6" w:rsidRDefault="00000FF4" w:rsidP="00000FF4">
            <w:pPr>
              <w:jc w:val="center"/>
              <w:rPr>
                <w:rFonts w:ascii="Arial" w:hAnsi="Arial" w:cs="Arial"/>
                <w:color w:val="000000" w:themeColor="text1"/>
                <w:sz w:val="16"/>
                <w:szCs w:val="16"/>
                <w:lang w:val="es-MX"/>
              </w:rPr>
            </w:pPr>
            <w:r w:rsidRPr="00E043F6">
              <w:rPr>
                <w:rFonts w:ascii="Arial" w:hAnsi="Arial" w:cs="Arial"/>
                <w:color w:val="000000" w:themeColor="text1"/>
                <w:sz w:val="16"/>
                <w:szCs w:val="16"/>
                <w:lang w:val="es-MX"/>
              </w:rPr>
              <w:t>1</w:t>
            </w:r>
          </w:p>
        </w:tc>
        <w:tc>
          <w:tcPr>
            <w:tcW w:w="2160" w:type="pct"/>
            <w:vAlign w:val="center"/>
          </w:tcPr>
          <w:p w14:paraId="5C44BD16" w14:textId="77777777" w:rsidR="00000FF4" w:rsidRPr="00E043F6" w:rsidRDefault="00000FF4" w:rsidP="00000FF4">
            <w:pPr>
              <w:rPr>
                <w:rFonts w:ascii="Arial" w:hAnsi="Arial" w:cs="Arial"/>
                <w:color w:val="000000" w:themeColor="text1"/>
                <w:sz w:val="16"/>
                <w:szCs w:val="16"/>
                <w:lang w:val="es-MX"/>
              </w:rPr>
            </w:pPr>
            <w:r w:rsidRPr="00E043F6">
              <w:rPr>
                <w:rFonts w:ascii="Arial" w:hAnsi="Arial" w:cs="Arial"/>
                <w:color w:val="000000" w:themeColor="text1"/>
                <w:sz w:val="16"/>
                <w:szCs w:val="16"/>
                <w:lang w:val="es-ES"/>
              </w:rPr>
              <w:t>Reportes de localidades electrificadas, con recursos del FSUE, en el portal de FIDE.</w:t>
            </w:r>
          </w:p>
        </w:tc>
      </w:tr>
    </w:tbl>
    <w:p w14:paraId="1078632A" w14:textId="77777777" w:rsidR="00034D60" w:rsidRPr="00D1081B" w:rsidRDefault="00034D60" w:rsidP="00F1122D">
      <w:pPr>
        <w:jc w:val="center"/>
        <w:rPr>
          <w:rFonts w:ascii="Arial" w:hAnsi="Arial" w:cs="Arial"/>
          <w:b/>
          <w:smallCaps/>
          <w:color w:val="000000"/>
          <w:sz w:val="20"/>
          <w:szCs w:val="20"/>
          <w:lang w:val="es-CR"/>
        </w:rPr>
      </w:pPr>
    </w:p>
    <w:p w14:paraId="2034ECDA" w14:textId="77777777" w:rsidR="00F1122D" w:rsidRPr="00837749" w:rsidRDefault="00F1122D" w:rsidP="00F1122D">
      <w:pPr>
        <w:rPr>
          <w:rFonts w:ascii="Arial" w:hAnsi="Arial" w:cs="Arial"/>
          <w:sz w:val="19"/>
          <w:szCs w:val="19"/>
          <w:lang w:val="es-ES_tradnl"/>
        </w:rPr>
      </w:pPr>
    </w:p>
    <w:bookmarkEnd w:id="1"/>
    <w:p w14:paraId="581EDF2D" w14:textId="77777777" w:rsidR="00C419B8" w:rsidRPr="001C59A0" w:rsidRDefault="00C419B8" w:rsidP="00C419B8">
      <w:pPr>
        <w:pStyle w:val="FirstHeading"/>
        <w:keepNext w:val="0"/>
        <w:widowControl w:val="0"/>
        <w:numPr>
          <w:ilvl w:val="0"/>
          <w:numId w:val="4"/>
        </w:numPr>
        <w:tabs>
          <w:tab w:val="clear" w:pos="90"/>
        </w:tabs>
        <w:ind w:left="540" w:hanging="540"/>
        <w:rPr>
          <w:rFonts w:ascii="Arial" w:hAnsi="Arial" w:cs="Arial"/>
          <w:szCs w:val="24"/>
        </w:rPr>
      </w:pPr>
      <w:r w:rsidRPr="001C59A0">
        <w:rPr>
          <w:rFonts w:ascii="Arial" w:hAnsi="Arial" w:cs="Arial"/>
          <w:szCs w:val="24"/>
        </w:rPr>
        <w:t>Evaluación</w:t>
      </w:r>
    </w:p>
    <w:p w14:paraId="33649E7C" w14:textId="77777777" w:rsidR="00C419B8" w:rsidRPr="001C59A0" w:rsidRDefault="00C419B8" w:rsidP="00C419B8">
      <w:pPr>
        <w:pStyle w:val="BodyText2"/>
        <w:numPr>
          <w:ilvl w:val="1"/>
          <w:numId w:val="4"/>
        </w:numPr>
        <w:tabs>
          <w:tab w:val="left" w:pos="0"/>
          <w:tab w:val="left" w:pos="720"/>
        </w:tabs>
        <w:spacing w:before="120" w:line="240" w:lineRule="auto"/>
        <w:ind w:left="540" w:hanging="540"/>
        <w:jc w:val="both"/>
        <w:rPr>
          <w:rFonts w:ascii="Arial" w:hAnsi="Arial" w:cs="Arial"/>
          <w:szCs w:val="24"/>
          <w:lang w:val="es-ES"/>
        </w:rPr>
      </w:pPr>
      <w:r w:rsidRPr="001C59A0">
        <w:rPr>
          <w:rFonts w:ascii="Arial" w:hAnsi="Arial" w:cs="Arial"/>
          <w:szCs w:val="24"/>
          <w:lang w:val="es-ES"/>
        </w:rPr>
        <w:t xml:space="preserve">En esta sección se presenta la metodología de evaluación del programa, partiendo de las preguntas de evaluación, </w:t>
      </w:r>
      <w:r w:rsidRPr="001C59A0">
        <w:rPr>
          <w:rFonts w:ascii="Arial" w:eastAsia="Arial Unicode MS" w:hAnsi="Arial" w:cs="Arial"/>
          <w:bCs/>
          <w:szCs w:val="24"/>
          <w:lang w:val="es-ES"/>
        </w:rPr>
        <w:t>describiendo</w:t>
      </w:r>
      <w:r w:rsidRPr="001C59A0">
        <w:rPr>
          <w:rFonts w:ascii="Arial" w:hAnsi="Arial" w:cs="Arial"/>
          <w:szCs w:val="24"/>
          <w:lang w:val="es-ES"/>
        </w:rPr>
        <w:t xml:space="preserve"> el alcance y los mecanismos de recolección de información</w:t>
      </w:r>
      <w:r w:rsidR="0005070E">
        <w:rPr>
          <w:rFonts w:ascii="Arial" w:hAnsi="Arial" w:cs="Arial"/>
          <w:szCs w:val="24"/>
          <w:lang w:val="es-ES"/>
        </w:rPr>
        <w:t>,</w:t>
      </w:r>
      <w:r w:rsidRPr="001C59A0">
        <w:rPr>
          <w:rFonts w:ascii="Arial" w:hAnsi="Arial" w:cs="Arial"/>
          <w:szCs w:val="24"/>
          <w:lang w:val="es-ES"/>
        </w:rPr>
        <w:t xml:space="preserve"> y </w:t>
      </w:r>
      <w:r w:rsidRPr="001C59A0">
        <w:rPr>
          <w:rFonts w:ascii="Arial" w:hAnsi="Arial" w:cs="Arial"/>
          <w:bCs/>
          <w:szCs w:val="24"/>
          <w:lang w:val="es-ES"/>
        </w:rPr>
        <w:t>presentando</w:t>
      </w:r>
      <w:r w:rsidRPr="001C59A0">
        <w:rPr>
          <w:rFonts w:ascii="Arial" w:hAnsi="Arial" w:cs="Arial"/>
          <w:szCs w:val="24"/>
          <w:lang w:val="es-ES"/>
        </w:rPr>
        <w:t xml:space="preserve"> los indicadores de resultado e impacto definidos.</w:t>
      </w:r>
    </w:p>
    <w:p w14:paraId="5928B60D" w14:textId="66E96CBD" w:rsidR="00B20E2A" w:rsidRPr="00273D71" w:rsidRDefault="00C419B8" w:rsidP="007A4AEE">
      <w:pPr>
        <w:pStyle w:val="Paragraph"/>
        <w:widowControl w:val="0"/>
        <w:numPr>
          <w:ilvl w:val="0"/>
          <w:numId w:val="3"/>
        </w:numPr>
        <w:tabs>
          <w:tab w:val="left" w:pos="0"/>
        </w:tabs>
        <w:ind w:left="540" w:hanging="540"/>
        <w:rPr>
          <w:rFonts w:ascii="Arial" w:hAnsi="Arial" w:cs="Arial"/>
          <w:b/>
          <w:spacing w:val="-3"/>
          <w:szCs w:val="24"/>
          <w:lang w:val="es-ES"/>
        </w:rPr>
      </w:pPr>
      <w:r w:rsidRPr="001C59A0">
        <w:rPr>
          <w:rFonts w:ascii="Arial" w:hAnsi="Arial" w:cs="Arial"/>
          <w:b/>
          <w:spacing w:val="-3"/>
          <w:szCs w:val="24"/>
          <w:lang w:val="es-ES"/>
        </w:rPr>
        <w:t>Principales preguntas de evaluación.</w:t>
      </w:r>
    </w:p>
    <w:p w14:paraId="2A59FAC0" w14:textId="3C0B58EE" w:rsidR="00B20E2A" w:rsidRPr="00DD1317" w:rsidRDefault="00B20E2A" w:rsidP="007A4AEE">
      <w:pPr>
        <w:pStyle w:val="Paragraph"/>
        <w:widowControl w:val="0"/>
        <w:numPr>
          <w:ilvl w:val="1"/>
          <w:numId w:val="4"/>
        </w:numPr>
        <w:ind w:left="540" w:hanging="540"/>
        <w:rPr>
          <w:rFonts w:ascii="Arial" w:hAnsi="Arial" w:cs="Arial"/>
          <w:spacing w:val="-3"/>
          <w:szCs w:val="24"/>
          <w:lang w:val="es-ES"/>
        </w:rPr>
      </w:pPr>
      <w:r>
        <w:rPr>
          <w:rFonts w:ascii="Arial" w:hAnsi="Arial" w:cs="Arial"/>
          <w:spacing w:val="-3"/>
          <w:szCs w:val="24"/>
          <w:lang w:val="es-ES"/>
        </w:rPr>
        <w:t xml:space="preserve">La evaluación tiene como propósito confirmar que el Programa contribuyó a cumplir con los objetivos del Programa en lo que corresponde a la seguridad </w:t>
      </w:r>
      <w:r w:rsidRPr="00DD1317">
        <w:rPr>
          <w:rFonts w:ascii="Arial" w:hAnsi="Arial" w:cs="Arial"/>
          <w:spacing w:val="-3"/>
          <w:szCs w:val="24"/>
          <w:lang w:val="es-ES"/>
        </w:rPr>
        <w:t>del suministro de energía y a la sostenibilidad del sector energético del país.</w:t>
      </w:r>
    </w:p>
    <w:p w14:paraId="28E9C089" w14:textId="23F33E9A" w:rsidR="00B20E2A" w:rsidRPr="00273D71" w:rsidRDefault="00B20E2A" w:rsidP="007A4AEE">
      <w:pPr>
        <w:pStyle w:val="Paragraph"/>
        <w:widowControl w:val="0"/>
        <w:numPr>
          <w:ilvl w:val="1"/>
          <w:numId w:val="4"/>
        </w:numPr>
        <w:ind w:left="540" w:hanging="540"/>
        <w:rPr>
          <w:rFonts w:ascii="Arial" w:hAnsi="Arial" w:cs="Arial"/>
          <w:spacing w:val="-3"/>
          <w:szCs w:val="24"/>
          <w:lang w:val="es-ES"/>
        </w:rPr>
      </w:pPr>
      <w:r>
        <w:rPr>
          <w:rFonts w:ascii="Arial" w:hAnsi="Arial" w:cs="Arial"/>
          <w:spacing w:val="-3"/>
          <w:szCs w:val="24"/>
          <w:lang w:val="es-ES"/>
        </w:rPr>
        <w:t xml:space="preserve">A </w:t>
      </w:r>
      <w:r w:rsidR="00DD1317">
        <w:rPr>
          <w:rFonts w:ascii="Arial" w:hAnsi="Arial" w:cs="Arial"/>
          <w:spacing w:val="-3"/>
          <w:szCs w:val="24"/>
          <w:lang w:val="es-ES"/>
        </w:rPr>
        <w:t>continuación,</w:t>
      </w:r>
      <w:r>
        <w:rPr>
          <w:rFonts w:ascii="Arial" w:hAnsi="Arial" w:cs="Arial"/>
          <w:spacing w:val="-3"/>
          <w:szCs w:val="24"/>
          <w:lang w:val="es-ES"/>
        </w:rPr>
        <w:t xml:space="preserve"> se presentan las principales preguntas que se deben </w:t>
      </w:r>
      <w:r w:rsidR="00DD1317">
        <w:rPr>
          <w:rFonts w:ascii="Arial" w:hAnsi="Arial" w:cs="Arial"/>
          <w:spacing w:val="-3"/>
          <w:szCs w:val="24"/>
          <w:lang w:val="es-ES"/>
        </w:rPr>
        <w:t>responder</w:t>
      </w:r>
      <w:r>
        <w:rPr>
          <w:rFonts w:ascii="Arial" w:hAnsi="Arial" w:cs="Arial"/>
          <w:spacing w:val="-3"/>
          <w:szCs w:val="24"/>
          <w:lang w:val="es-ES"/>
        </w:rPr>
        <w:t xml:space="preserve"> para evaluar el desarrollo del Programa:</w:t>
      </w:r>
    </w:p>
    <w:p w14:paraId="3D0F0347" w14:textId="47635F1C" w:rsidR="00AC7477" w:rsidRDefault="00C419B8">
      <w:pPr>
        <w:pStyle w:val="ListParagraph"/>
        <w:numPr>
          <w:ilvl w:val="0"/>
          <w:numId w:val="6"/>
        </w:numPr>
        <w:tabs>
          <w:tab w:val="left" w:pos="0"/>
        </w:tabs>
        <w:spacing w:before="120" w:after="120"/>
        <w:ind w:left="540" w:hanging="540"/>
        <w:contextualSpacing w:val="0"/>
        <w:jc w:val="both"/>
        <w:rPr>
          <w:rFonts w:ascii="Arial" w:hAnsi="Arial" w:cs="Arial"/>
          <w:lang w:val="es-ES_tradnl"/>
        </w:rPr>
      </w:pPr>
      <w:r w:rsidRPr="00AC7477">
        <w:rPr>
          <w:rFonts w:ascii="Arial" w:hAnsi="Arial" w:cs="Arial"/>
          <w:lang w:val="es-ES_tradnl"/>
        </w:rPr>
        <w:t>¿</w:t>
      </w:r>
      <w:r w:rsidR="00DD1317">
        <w:rPr>
          <w:rFonts w:ascii="Arial" w:hAnsi="Arial" w:cs="Arial"/>
          <w:lang w:val="es-ES_tradnl"/>
        </w:rPr>
        <w:t>Se han f</w:t>
      </w:r>
      <w:r w:rsidR="00776CCD" w:rsidRPr="00DD1317">
        <w:rPr>
          <w:rFonts w:ascii="Arial" w:hAnsi="Arial" w:cs="Arial"/>
          <w:lang w:val="es-ES_tradnl"/>
        </w:rPr>
        <w:t>ortalec</w:t>
      </w:r>
      <w:r w:rsidR="00DD1317">
        <w:rPr>
          <w:rFonts w:ascii="Arial" w:hAnsi="Arial" w:cs="Arial"/>
          <w:lang w:val="es-ES_tradnl"/>
        </w:rPr>
        <w:t>ido</w:t>
      </w:r>
      <w:r w:rsidR="00776CCD" w:rsidRPr="00DD1317">
        <w:rPr>
          <w:rFonts w:ascii="Arial" w:hAnsi="Arial" w:cs="Arial"/>
          <w:lang w:val="es-ES_tradnl"/>
        </w:rPr>
        <w:t xml:space="preserve"> a las instituciones del sector </w:t>
      </w:r>
      <w:r w:rsidR="00DD1317">
        <w:rPr>
          <w:rFonts w:ascii="Arial" w:hAnsi="Arial" w:cs="Arial"/>
          <w:lang w:val="es-ES_tradnl"/>
        </w:rPr>
        <w:t xml:space="preserve">energético </w:t>
      </w:r>
      <w:r w:rsidR="00776CCD" w:rsidRPr="00DD1317">
        <w:rPr>
          <w:rFonts w:ascii="Arial" w:hAnsi="Arial" w:cs="Arial"/>
          <w:lang w:val="es-ES_tradnl"/>
        </w:rPr>
        <w:t>en materia de regulación, generación de información, planeación, operación, y de coordinación</w:t>
      </w:r>
      <w:r w:rsidR="00DD1317">
        <w:rPr>
          <w:rFonts w:ascii="Arial" w:hAnsi="Arial" w:cs="Arial"/>
          <w:lang w:val="es-ES_tradnl"/>
        </w:rPr>
        <w:t xml:space="preserve">, y se </w:t>
      </w:r>
      <w:r w:rsidRPr="00AC7477">
        <w:rPr>
          <w:rFonts w:ascii="Arial" w:hAnsi="Arial" w:cs="Arial"/>
          <w:lang w:val="es-ES_tradnl"/>
        </w:rPr>
        <w:t xml:space="preserve">ha </w:t>
      </w:r>
      <w:r w:rsidR="00992DC0" w:rsidRPr="00AC7477">
        <w:rPr>
          <w:rFonts w:ascii="Arial" w:hAnsi="Arial" w:cs="Arial"/>
          <w:lang w:val="es-ES_tradnl"/>
        </w:rPr>
        <w:t xml:space="preserve">mejorado la capacidad </w:t>
      </w:r>
      <w:r w:rsidR="00AC7477" w:rsidRPr="00AC7477">
        <w:rPr>
          <w:rFonts w:ascii="Arial" w:hAnsi="Arial" w:cs="Arial"/>
          <w:lang w:val="es-ES_tradnl"/>
        </w:rPr>
        <w:t>institucional</w:t>
      </w:r>
      <w:r w:rsidR="00992DC0" w:rsidRPr="00AC7477">
        <w:rPr>
          <w:rFonts w:ascii="Arial" w:hAnsi="Arial" w:cs="Arial"/>
          <w:lang w:val="es-ES_tradnl"/>
        </w:rPr>
        <w:t xml:space="preserve"> de los municipios en materia de EE?</w:t>
      </w:r>
    </w:p>
    <w:p w14:paraId="2A0F8C76" w14:textId="69D0D639" w:rsidR="00DE7057" w:rsidRPr="00AC7477" w:rsidRDefault="00DE7057">
      <w:pPr>
        <w:pStyle w:val="ListParagraph"/>
        <w:numPr>
          <w:ilvl w:val="0"/>
          <w:numId w:val="6"/>
        </w:numPr>
        <w:tabs>
          <w:tab w:val="left" w:pos="0"/>
        </w:tabs>
        <w:spacing w:before="120" w:after="120"/>
        <w:ind w:left="540" w:hanging="540"/>
        <w:contextualSpacing w:val="0"/>
        <w:jc w:val="both"/>
        <w:rPr>
          <w:rFonts w:ascii="Arial" w:hAnsi="Arial" w:cs="Arial"/>
          <w:lang w:val="es-ES_tradnl"/>
        </w:rPr>
      </w:pPr>
      <w:r w:rsidRPr="00AC7477">
        <w:rPr>
          <w:rFonts w:ascii="Arial" w:hAnsi="Arial" w:cs="Arial"/>
          <w:lang w:val="es-ES_tradnl"/>
        </w:rPr>
        <w:t>¿Se ha</w:t>
      </w:r>
      <w:r w:rsidR="00AC7477">
        <w:rPr>
          <w:rFonts w:ascii="Arial" w:hAnsi="Arial" w:cs="Arial"/>
          <w:lang w:val="es-ES_tradnl"/>
        </w:rPr>
        <w:t xml:space="preserve"> </w:t>
      </w:r>
      <w:r w:rsidR="00DD1317">
        <w:rPr>
          <w:rFonts w:ascii="Arial" w:hAnsi="Arial" w:cs="Arial"/>
          <w:lang w:val="es-ES_tradnl"/>
        </w:rPr>
        <w:t>expandido</w:t>
      </w:r>
      <w:r w:rsidR="00AC7477">
        <w:rPr>
          <w:rFonts w:ascii="Arial" w:hAnsi="Arial" w:cs="Arial"/>
          <w:lang w:val="es-ES_tradnl"/>
        </w:rPr>
        <w:t xml:space="preserve"> la red nacional de gasoductos</w:t>
      </w:r>
      <w:r w:rsidRPr="00AC7477">
        <w:rPr>
          <w:rFonts w:ascii="Arial" w:hAnsi="Arial" w:cs="Arial"/>
          <w:lang w:val="es-ES_tradnl"/>
        </w:rPr>
        <w:t>?</w:t>
      </w:r>
    </w:p>
    <w:p w14:paraId="68D840A1" w14:textId="39820549" w:rsidR="00DD1317" w:rsidRPr="00DD1317" w:rsidRDefault="00DE7057" w:rsidP="00DD1317">
      <w:pPr>
        <w:pStyle w:val="ListParagraph"/>
        <w:numPr>
          <w:ilvl w:val="0"/>
          <w:numId w:val="6"/>
        </w:numPr>
        <w:tabs>
          <w:tab w:val="left" w:pos="0"/>
        </w:tabs>
        <w:spacing w:before="120" w:after="120"/>
        <w:ind w:left="540" w:hanging="540"/>
        <w:contextualSpacing w:val="0"/>
        <w:jc w:val="both"/>
        <w:rPr>
          <w:rFonts w:ascii="Arial" w:hAnsi="Arial" w:cs="Arial"/>
          <w:lang w:val="es-ES_tradnl"/>
        </w:rPr>
      </w:pPr>
      <w:r>
        <w:rPr>
          <w:rFonts w:ascii="Arial" w:hAnsi="Arial" w:cs="Arial"/>
          <w:lang w:val="es-ES_tradnl"/>
        </w:rPr>
        <w:t>¿Se</w:t>
      </w:r>
      <w:r w:rsidR="00AC7477">
        <w:rPr>
          <w:rFonts w:ascii="Arial" w:hAnsi="Arial" w:cs="Arial"/>
          <w:lang w:val="es-ES_tradnl"/>
        </w:rPr>
        <w:t xml:space="preserve"> ha</w:t>
      </w:r>
      <w:r w:rsidR="00B20E2A">
        <w:rPr>
          <w:rFonts w:ascii="Arial" w:hAnsi="Arial" w:cs="Arial"/>
          <w:lang w:val="es-ES_tradnl"/>
        </w:rPr>
        <w:t>n</w:t>
      </w:r>
      <w:r w:rsidR="00AC7477">
        <w:rPr>
          <w:rFonts w:ascii="Arial" w:hAnsi="Arial" w:cs="Arial"/>
          <w:lang w:val="es-ES_tradnl"/>
        </w:rPr>
        <w:t xml:space="preserve"> logrado reducir las pérdidas de energía eléctrica por distribución en el país?</w:t>
      </w:r>
      <w:r w:rsidRPr="00DD1317">
        <w:rPr>
          <w:rFonts w:ascii="Arial" w:hAnsi="Arial" w:cs="Arial"/>
          <w:lang w:val="es-ES_tradnl"/>
        </w:rPr>
        <w:t>¿</w:t>
      </w:r>
      <w:r w:rsidR="00DD1317">
        <w:rPr>
          <w:rFonts w:ascii="Arial" w:hAnsi="Arial" w:cs="Arial"/>
          <w:lang w:val="es-ES_tradnl"/>
        </w:rPr>
        <w:t xml:space="preserve">Se </w:t>
      </w:r>
      <w:r w:rsidR="00DD1317" w:rsidRPr="00DD1317">
        <w:rPr>
          <w:rFonts w:ascii="Arial" w:hAnsi="Arial" w:cs="Arial"/>
          <w:sz w:val="22"/>
          <w:szCs w:val="22"/>
          <w:lang w:val="es-ES_tradnl"/>
        </w:rPr>
        <w:t xml:space="preserve">ha </w:t>
      </w:r>
      <w:r w:rsidR="00950E1B">
        <w:rPr>
          <w:rFonts w:ascii="Arial" w:hAnsi="Arial" w:cs="Arial"/>
          <w:sz w:val="22"/>
          <w:szCs w:val="22"/>
          <w:lang w:val="es-ES_tradnl"/>
        </w:rPr>
        <w:t>contribuido</w:t>
      </w:r>
      <w:r w:rsidR="00DD1317" w:rsidRPr="00DD1317">
        <w:rPr>
          <w:rFonts w:ascii="Arial" w:hAnsi="Arial" w:cs="Arial"/>
          <w:bCs/>
          <w:color w:val="000000" w:themeColor="text1"/>
          <w:sz w:val="22"/>
          <w:szCs w:val="22"/>
          <w:lang w:val="es-ES"/>
        </w:rPr>
        <w:t xml:space="preserve"> a la reducción de emisiones de Gases de Efecto Invernadero (GEI), mediante la promoción del uso de tecnologías y combustibles más limpios en la generación de energía eléctrica, y la Eficiencia Energética (EE)</w:t>
      </w:r>
      <w:r w:rsidR="00DD1317">
        <w:rPr>
          <w:rFonts w:ascii="Arial" w:hAnsi="Arial" w:cs="Arial"/>
          <w:bCs/>
          <w:color w:val="000000" w:themeColor="text1"/>
          <w:sz w:val="22"/>
          <w:szCs w:val="22"/>
          <w:lang w:val="es-ES"/>
        </w:rPr>
        <w:t>?</w:t>
      </w:r>
    </w:p>
    <w:p w14:paraId="6FAA6053" w14:textId="043498D0" w:rsidR="00940452" w:rsidRDefault="00DD1317" w:rsidP="00DE7057">
      <w:pPr>
        <w:pStyle w:val="ListParagraph"/>
        <w:numPr>
          <w:ilvl w:val="0"/>
          <w:numId w:val="6"/>
        </w:numPr>
        <w:tabs>
          <w:tab w:val="left" w:pos="0"/>
        </w:tabs>
        <w:spacing w:before="120" w:after="120"/>
        <w:ind w:left="540" w:hanging="540"/>
        <w:contextualSpacing w:val="0"/>
        <w:jc w:val="both"/>
        <w:rPr>
          <w:rFonts w:ascii="Arial" w:hAnsi="Arial" w:cs="Arial"/>
          <w:lang w:val="es-ES_tradnl"/>
        </w:rPr>
      </w:pPr>
      <w:r>
        <w:rPr>
          <w:rFonts w:ascii="Arial" w:hAnsi="Arial" w:cs="Arial"/>
          <w:lang w:val="es-ES_tradnl"/>
        </w:rPr>
        <w:t>¿</w:t>
      </w:r>
      <w:r w:rsidR="00940452">
        <w:rPr>
          <w:rFonts w:ascii="Arial" w:hAnsi="Arial" w:cs="Arial"/>
          <w:lang w:val="es-ES_tradnl"/>
        </w:rPr>
        <w:t xml:space="preserve">Se ha </w:t>
      </w:r>
      <w:r w:rsidR="00AC7477">
        <w:rPr>
          <w:rFonts w:ascii="Arial" w:hAnsi="Arial" w:cs="Arial"/>
          <w:lang w:val="es-ES_tradnl"/>
        </w:rPr>
        <w:t>reducido el crecimiento promedio anual de la intensidad energética?</w:t>
      </w:r>
    </w:p>
    <w:p w14:paraId="69F7E784" w14:textId="4C1189FA" w:rsidR="004A508F" w:rsidRDefault="004A508F" w:rsidP="00DE7057">
      <w:pPr>
        <w:pStyle w:val="ListParagraph"/>
        <w:numPr>
          <w:ilvl w:val="0"/>
          <w:numId w:val="6"/>
        </w:numPr>
        <w:tabs>
          <w:tab w:val="left" w:pos="0"/>
        </w:tabs>
        <w:spacing w:before="120" w:after="120"/>
        <w:ind w:left="540" w:hanging="540"/>
        <w:contextualSpacing w:val="0"/>
        <w:jc w:val="both"/>
        <w:rPr>
          <w:rFonts w:ascii="Arial" w:hAnsi="Arial" w:cs="Arial"/>
          <w:lang w:val="es-ES_tradnl"/>
        </w:rPr>
      </w:pPr>
      <w:r>
        <w:rPr>
          <w:rFonts w:ascii="Arial" w:hAnsi="Arial" w:cs="Arial"/>
          <w:lang w:val="es-ES_tradnl"/>
        </w:rPr>
        <w:t>¿</w:t>
      </w:r>
      <w:r w:rsidR="00DD1317">
        <w:rPr>
          <w:rFonts w:ascii="Arial" w:hAnsi="Arial" w:cs="Arial"/>
          <w:lang w:val="es-ES_tradnl"/>
        </w:rPr>
        <w:t xml:space="preserve">Se ha incrementado </w:t>
      </w:r>
      <w:r w:rsidR="00AC7477">
        <w:rPr>
          <w:rFonts w:ascii="Arial" w:hAnsi="Arial" w:cs="Arial"/>
          <w:lang w:val="es-ES_tradnl"/>
        </w:rPr>
        <w:t>la participación de las energías limpias en la generación eléctrica?</w:t>
      </w:r>
      <w:r w:rsidR="00AC7477" w:rsidDel="00AC7477">
        <w:rPr>
          <w:rFonts w:ascii="Arial" w:hAnsi="Arial" w:cs="Arial"/>
          <w:lang w:val="es-ES_tradnl"/>
        </w:rPr>
        <w:t xml:space="preserve"> </w:t>
      </w:r>
    </w:p>
    <w:p w14:paraId="302A69B2" w14:textId="552E7D79" w:rsidR="00F45712" w:rsidRDefault="00F45712" w:rsidP="00F45712">
      <w:pPr>
        <w:pStyle w:val="ListParagraph"/>
        <w:numPr>
          <w:ilvl w:val="0"/>
          <w:numId w:val="6"/>
        </w:numPr>
        <w:tabs>
          <w:tab w:val="left" w:pos="0"/>
        </w:tabs>
        <w:spacing w:before="120" w:after="120"/>
        <w:ind w:left="540" w:hanging="540"/>
        <w:contextualSpacing w:val="0"/>
        <w:jc w:val="both"/>
        <w:rPr>
          <w:rFonts w:ascii="Arial" w:hAnsi="Arial" w:cs="Arial"/>
          <w:lang w:val="es-ES_tradnl"/>
        </w:rPr>
      </w:pPr>
      <w:r>
        <w:rPr>
          <w:rFonts w:ascii="Arial" w:hAnsi="Arial" w:cs="Arial"/>
          <w:lang w:val="es-ES_tradnl"/>
        </w:rPr>
        <w:t xml:space="preserve">¿Se </w:t>
      </w:r>
      <w:r w:rsidR="00DD1317">
        <w:rPr>
          <w:rFonts w:ascii="Arial" w:hAnsi="Arial" w:cs="Arial"/>
          <w:lang w:val="es-ES_tradnl"/>
        </w:rPr>
        <w:t xml:space="preserve">ha </w:t>
      </w:r>
      <w:r>
        <w:rPr>
          <w:rFonts w:ascii="Arial" w:hAnsi="Arial" w:cs="Arial"/>
          <w:lang w:val="es-ES_tradnl"/>
        </w:rPr>
        <w:t>incrementa</w:t>
      </w:r>
      <w:r w:rsidR="00DD1317">
        <w:rPr>
          <w:rFonts w:ascii="Arial" w:hAnsi="Arial" w:cs="Arial"/>
          <w:lang w:val="es-ES_tradnl"/>
        </w:rPr>
        <w:t>do</w:t>
      </w:r>
      <w:r>
        <w:rPr>
          <w:rFonts w:ascii="Arial" w:hAnsi="Arial" w:cs="Arial"/>
          <w:lang w:val="es-ES_tradnl"/>
        </w:rPr>
        <w:t xml:space="preserve"> </w:t>
      </w:r>
      <w:r w:rsidR="00DD1317">
        <w:rPr>
          <w:rFonts w:ascii="Arial" w:hAnsi="Arial" w:cs="Arial"/>
          <w:lang w:val="es-ES_tradnl"/>
        </w:rPr>
        <w:t>el porcentaje de</w:t>
      </w:r>
      <w:r>
        <w:rPr>
          <w:rFonts w:ascii="Arial" w:hAnsi="Arial" w:cs="Arial"/>
          <w:lang w:val="es-ES_tradnl"/>
        </w:rPr>
        <w:t xml:space="preserve"> hogares con acceso al servicio de </w:t>
      </w:r>
      <w:r w:rsidR="00AC7477">
        <w:rPr>
          <w:rFonts w:ascii="Arial" w:hAnsi="Arial" w:cs="Arial"/>
          <w:lang w:val="es-ES_tradnl"/>
        </w:rPr>
        <w:t>energía eléctrica</w:t>
      </w:r>
      <w:r>
        <w:rPr>
          <w:rFonts w:ascii="Arial" w:hAnsi="Arial" w:cs="Arial"/>
          <w:lang w:val="es-ES_tradnl"/>
        </w:rPr>
        <w:t>?</w:t>
      </w:r>
    </w:p>
    <w:p w14:paraId="4BC67109" w14:textId="0F9BB6F6" w:rsidR="00C419B8" w:rsidRPr="001C59A0" w:rsidRDefault="00AC7477" w:rsidP="007A4AEE">
      <w:pPr>
        <w:tabs>
          <w:tab w:val="left" w:pos="0"/>
        </w:tabs>
        <w:spacing w:before="120" w:after="120"/>
        <w:jc w:val="both"/>
        <w:rPr>
          <w:rFonts w:ascii="Arial" w:hAnsi="Arial" w:cs="Arial"/>
          <w:lang w:val="es-BO"/>
        </w:rPr>
      </w:pPr>
      <w:r w:rsidDel="00AC7477">
        <w:rPr>
          <w:rFonts w:ascii="Arial" w:hAnsi="Arial" w:cs="Arial"/>
          <w:lang w:val="es-ES_tradnl"/>
        </w:rPr>
        <w:t xml:space="preserve"> </w:t>
      </w:r>
      <w:r w:rsidR="0092689F" w:rsidRPr="001C59A0">
        <w:rPr>
          <w:rFonts w:ascii="Arial" w:hAnsi="Arial" w:cs="Arial"/>
          <w:b/>
          <w:lang w:val="es-BO"/>
        </w:rPr>
        <w:t xml:space="preserve"> </w:t>
      </w:r>
      <w:r w:rsidR="00C419B8" w:rsidRPr="001C59A0">
        <w:rPr>
          <w:rFonts w:ascii="Arial" w:hAnsi="Arial" w:cs="Arial"/>
          <w:b/>
          <w:lang w:val="es-BO"/>
        </w:rPr>
        <w:t>Conocimiento existente.</w:t>
      </w:r>
      <w:r w:rsidR="00C419B8" w:rsidRPr="001C59A0">
        <w:rPr>
          <w:rFonts w:ascii="Arial" w:hAnsi="Arial" w:cs="Arial"/>
          <w:lang w:val="es-BO"/>
        </w:rPr>
        <w:t xml:space="preserve"> </w:t>
      </w:r>
    </w:p>
    <w:p w14:paraId="567FC569" w14:textId="7C5959AB" w:rsidR="00D13185" w:rsidRPr="0009162C" w:rsidRDefault="00C419B8" w:rsidP="008F4D21">
      <w:pPr>
        <w:pStyle w:val="BodyText2"/>
        <w:numPr>
          <w:ilvl w:val="1"/>
          <w:numId w:val="4"/>
        </w:numPr>
        <w:tabs>
          <w:tab w:val="left" w:pos="0"/>
          <w:tab w:val="left" w:pos="720"/>
        </w:tabs>
        <w:spacing w:before="120" w:line="240" w:lineRule="auto"/>
        <w:ind w:left="540" w:hanging="540"/>
        <w:jc w:val="both"/>
        <w:rPr>
          <w:rFonts w:ascii="Arial" w:hAnsi="Arial" w:cs="Arial"/>
          <w:szCs w:val="24"/>
          <w:lang w:val="es-ES"/>
        </w:rPr>
      </w:pPr>
      <w:r w:rsidRPr="00625725">
        <w:rPr>
          <w:rFonts w:ascii="Arial" w:hAnsi="Arial" w:cs="Arial"/>
          <w:szCs w:val="24"/>
          <w:lang w:val="es-ES"/>
        </w:rPr>
        <w:t>Durante la preparación</w:t>
      </w:r>
      <w:r w:rsidR="006460EB">
        <w:rPr>
          <w:rFonts w:ascii="Arial" w:hAnsi="Arial" w:cs="Arial"/>
          <w:szCs w:val="24"/>
          <w:lang w:val="es-ES"/>
        </w:rPr>
        <w:t xml:space="preserve"> del PBL</w:t>
      </w:r>
      <w:r w:rsidRPr="00625725">
        <w:rPr>
          <w:rFonts w:ascii="Arial" w:hAnsi="Arial" w:cs="Arial"/>
          <w:szCs w:val="24"/>
          <w:lang w:val="es-ES"/>
        </w:rPr>
        <w:t xml:space="preserve"> se realizó un</w:t>
      </w:r>
      <w:r w:rsidR="00C959FD">
        <w:rPr>
          <w:rFonts w:ascii="Arial" w:hAnsi="Arial" w:cs="Arial"/>
          <w:szCs w:val="24"/>
          <w:lang w:val="es-ES"/>
        </w:rPr>
        <w:t>a</w:t>
      </w:r>
      <w:r w:rsidRPr="00625725">
        <w:rPr>
          <w:rFonts w:ascii="Arial" w:hAnsi="Arial" w:cs="Arial"/>
          <w:szCs w:val="24"/>
          <w:lang w:val="es-ES"/>
        </w:rPr>
        <w:t xml:space="preserve"> </w:t>
      </w:r>
      <w:r w:rsidR="00C959FD">
        <w:rPr>
          <w:rFonts w:ascii="Arial" w:hAnsi="Arial" w:cs="Arial"/>
          <w:szCs w:val="24"/>
          <w:lang w:val="es-ES"/>
        </w:rPr>
        <w:t>Evaluación</w:t>
      </w:r>
      <w:r w:rsidRPr="00625725">
        <w:rPr>
          <w:rFonts w:ascii="Arial" w:hAnsi="Arial" w:cs="Arial"/>
          <w:szCs w:val="24"/>
          <w:lang w:val="es-ES"/>
        </w:rPr>
        <w:t xml:space="preserve"> Económic</w:t>
      </w:r>
      <w:r w:rsidR="00C959FD">
        <w:rPr>
          <w:rFonts w:ascii="Arial" w:hAnsi="Arial" w:cs="Arial"/>
          <w:szCs w:val="24"/>
          <w:lang w:val="es-ES"/>
        </w:rPr>
        <w:t>a</w:t>
      </w:r>
      <w:r w:rsidRPr="00625725">
        <w:rPr>
          <w:rFonts w:ascii="Arial" w:hAnsi="Arial" w:cs="Arial"/>
          <w:szCs w:val="24"/>
          <w:lang w:val="es-ES"/>
        </w:rPr>
        <w:t xml:space="preserve"> (Anexo I) </w:t>
      </w:r>
      <w:r w:rsidR="00AC7477">
        <w:rPr>
          <w:rFonts w:ascii="Arial" w:hAnsi="Arial" w:cs="Arial"/>
          <w:szCs w:val="24"/>
          <w:lang w:val="es-ES"/>
        </w:rPr>
        <w:t>que analizó</w:t>
      </w:r>
      <w:r w:rsidR="00D13185" w:rsidRPr="0009162C">
        <w:rPr>
          <w:rFonts w:ascii="Arial" w:hAnsi="Arial" w:cs="Arial"/>
          <w:szCs w:val="24"/>
          <w:lang w:val="es-ES"/>
        </w:rPr>
        <w:t xml:space="preserve"> los beneficios derivados de la reforma apoyada por el programa. Se estima que el Valor Presente Neto (VPN) de</w:t>
      </w:r>
      <w:r w:rsidR="0009162C">
        <w:rPr>
          <w:rFonts w:ascii="Arial" w:hAnsi="Arial" w:cs="Arial"/>
          <w:szCs w:val="24"/>
          <w:lang w:val="es-ES"/>
        </w:rPr>
        <w:t xml:space="preserve"> </w:t>
      </w:r>
      <w:r w:rsidR="00D13185" w:rsidRPr="0009162C">
        <w:rPr>
          <w:rFonts w:ascii="Arial" w:hAnsi="Arial" w:cs="Arial"/>
          <w:szCs w:val="24"/>
          <w:lang w:val="es-ES"/>
        </w:rPr>
        <w:t>los beneficios por alcanzar una mayor eficiencia energética son US $11</w:t>
      </w:r>
      <w:r w:rsidR="00DA0D03">
        <w:rPr>
          <w:rFonts w:ascii="Arial" w:hAnsi="Arial" w:cs="Arial"/>
          <w:szCs w:val="24"/>
          <w:lang w:val="es-ES"/>
        </w:rPr>
        <w:t>.</w:t>
      </w:r>
      <w:r w:rsidR="00D13185" w:rsidRPr="0009162C">
        <w:rPr>
          <w:rFonts w:ascii="Arial" w:hAnsi="Arial" w:cs="Arial"/>
          <w:szCs w:val="24"/>
          <w:lang w:val="es-ES"/>
        </w:rPr>
        <w:t>300 millones explicados por menores emisiones de CO</w:t>
      </w:r>
      <w:r w:rsidR="00D13185" w:rsidRPr="00DA0D03">
        <w:rPr>
          <w:rFonts w:ascii="Arial" w:hAnsi="Arial" w:cs="Arial"/>
          <w:szCs w:val="24"/>
          <w:vertAlign w:val="subscript"/>
          <w:lang w:val="es-ES"/>
        </w:rPr>
        <w:t>2</w:t>
      </w:r>
      <w:r w:rsidR="00D13185" w:rsidRPr="0009162C">
        <w:rPr>
          <w:rFonts w:ascii="Arial" w:hAnsi="Arial" w:cs="Arial"/>
          <w:szCs w:val="24"/>
          <w:lang w:val="es-ES"/>
        </w:rPr>
        <w:t xml:space="preserve">, menores costos de generación y menores costos de inversión en potencia con una TIR de 60%. Con respecto a la diversificación de la matriz energética con la incorporación de tecnologías limpias, el VPN de los </w:t>
      </w:r>
      <w:r w:rsidR="00D13185" w:rsidRPr="0009162C">
        <w:rPr>
          <w:rFonts w:ascii="Arial" w:hAnsi="Arial" w:cs="Arial"/>
          <w:szCs w:val="24"/>
          <w:lang w:val="es-ES"/>
        </w:rPr>
        <w:lastRenderedPageBreak/>
        <w:t>beneficios asociados a menor emisión de CO</w:t>
      </w:r>
      <w:r w:rsidR="00D13185" w:rsidRPr="00DA0D03">
        <w:rPr>
          <w:rFonts w:ascii="Arial" w:hAnsi="Arial" w:cs="Arial"/>
          <w:szCs w:val="24"/>
          <w:vertAlign w:val="subscript"/>
          <w:lang w:val="es-ES"/>
        </w:rPr>
        <w:t>2</w:t>
      </w:r>
      <w:r w:rsidR="00D13185" w:rsidRPr="0009162C">
        <w:rPr>
          <w:rFonts w:ascii="Arial" w:hAnsi="Arial" w:cs="Arial"/>
          <w:szCs w:val="24"/>
          <w:lang w:val="es-ES"/>
        </w:rPr>
        <w:t xml:space="preserve"> y menores costos de generación suma US$2</w:t>
      </w:r>
      <w:r w:rsidR="00DA0D03">
        <w:rPr>
          <w:rFonts w:ascii="Arial" w:hAnsi="Arial" w:cs="Arial"/>
          <w:szCs w:val="24"/>
          <w:lang w:val="es-ES"/>
        </w:rPr>
        <w:t>.</w:t>
      </w:r>
      <w:r w:rsidR="00D13185" w:rsidRPr="0009162C">
        <w:rPr>
          <w:rFonts w:ascii="Arial" w:hAnsi="Arial" w:cs="Arial"/>
          <w:szCs w:val="24"/>
          <w:lang w:val="es-ES"/>
        </w:rPr>
        <w:t>800 millones con una TIR del 13%. Los resultados del análisis combinado del programa arrojan un VPN de US$10,140 millones (los beneficios netos para la electrificación rural son negativos) y una TIR del 32%. Los principales supuestos del análisis son: un diferencial de costo marginal de US$13,8/MWh con la introducción de energía limpia, tasa de descuento 10% y valor de la tonelada de CO</w:t>
      </w:r>
      <w:r w:rsidR="00D13185" w:rsidRPr="00DA0D03">
        <w:rPr>
          <w:rFonts w:ascii="Arial" w:hAnsi="Arial" w:cs="Arial"/>
          <w:szCs w:val="24"/>
          <w:vertAlign w:val="subscript"/>
          <w:lang w:val="es-ES"/>
        </w:rPr>
        <w:t>2</w:t>
      </w:r>
      <w:r w:rsidR="00D13185" w:rsidRPr="0009162C">
        <w:rPr>
          <w:rFonts w:ascii="Arial" w:hAnsi="Arial" w:cs="Arial"/>
          <w:szCs w:val="24"/>
          <w:lang w:val="es-ES"/>
        </w:rPr>
        <w:t xml:space="preserve"> US$6,93. </w:t>
      </w:r>
    </w:p>
    <w:p w14:paraId="00D492DB" w14:textId="7EC521A9" w:rsidR="00D13185" w:rsidRDefault="00D13185">
      <w:pPr>
        <w:pStyle w:val="BodyText2"/>
        <w:numPr>
          <w:ilvl w:val="1"/>
          <w:numId w:val="4"/>
        </w:numPr>
        <w:tabs>
          <w:tab w:val="left" w:pos="0"/>
          <w:tab w:val="left" w:pos="720"/>
        </w:tabs>
        <w:spacing w:before="120" w:line="240" w:lineRule="auto"/>
        <w:ind w:left="540" w:hanging="540"/>
        <w:jc w:val="both"/>
        <w:rPr>
          <w:rFonts w:ascii="Arial" w:hAnsi="Arial" w:cs="Arial"/>
          <w:szCs w:val="24"/>
          <w:lang w:val="es-ES"/>
        </w:rPr>
      </w:pPr>
      <w:r w:rsidRPr="00D13185">
        <w:rPr>
          <w:rFonts w:ascii="Arial" w:hAnsi="Arial" w:cs="Arial"/>
          <w:szCs w:val="24"/>
          <w:lang w:val="es-ES"/>
        </w:rPr>
        <w:t>Se realizaron análisis de sensibilidad a cambios en los supuestos de costos marginales de generación y de valor monetario de la tonelada de CO</w:t>
      </w:r>
      <w:r w:rsidRPr="009D1317">
        <w:rPr>
          <w:rFonts w:ascii="Arial" w:hAnsi="Arial" w:cs="Arial"/>
          <w:szCs w:val="24"/>
          <w:vertAlign w:val="subscript"/>
          <w:lang w:val="es-ES"/>
        </w:rPr>
        <w:t>2</w:t>
      </w:r>
      <w:r w:rsidRPr="00D13185">
        <w:rPr>
          <w:rFonts w:ascii="Arial" w:hAnsi="Arial" w:cs="Arial"/>
          <w:szCs w:val="24"/>
          <w:lang w:val="es-ES"/>
        </w:rPr>
        <w:t>, observándose robustez en los resultados</w:t>
      </w:r>
    </w:p>
    <w:p w14:paraId="04E2D93C" w14:textId="77777777" w:rsidR="00C419B8" w:rsidRPr="001C59A0" w:rsidRDefault="00C419B8" w:rsidP="00C419B8">
      <w:pPr>
        <w:pStyle w:val="Paragraph"/>
        <w:widowControl w:val="0"/>
        <w:numPr>
          <w:ilvl w:val="0"/>
          <w:numId w:val="3"/>
        </w:numPr>
        <w:tabs>
          <w:tab w:val="left" w:pos="0"/>
        </w:tabs>
        <w:ind w:left="540" w:hanging="540"/>
        <w:rPr>
          <w:rFonts w:ascii="Arial" w:hAnsi="Arial" w:cs="Arial"/>
          <w:szCs w:val="24"/>
          <w:lang w:val="es-BO"/>
        </w:rPr>
      </w:pPr>
      <w:r w:rsidRPr="001C59A0">
        <w:rPr>
          <w:rFonts w:ascii="Arial" w:hAnsi="Arial" w:cs="Arial"/>
          <w:b/>
          <w:spacing w:val="-3"/>
          <w:szCs w:val="24"/>
          <w:lang w:val="es-ES"/>
        </w:rPr>
        <w:t>Indicadores</w:t>
      </w:r>
      <w:r w:rsidRPr="001C59A0">
        <w:rPr>
          <w:rFonts w:ascii="Arial" w:hAnsi="Arial" w:cs="Arial"/>
          <w:b/>
          <w:szCs w:val="24"/>
          <w:lang w:val="es-BO"/>
        </w:rPr>
        <w:t xml:space="preserve"> principales para la evaluación.</w:t>
      </w:r>
      <w:r w:rsidRPr="001C59A0">
        <w:rPr>
          <w:rFonts w:ascii="Arial" w:hAnsi="Arial" w:cs="Arial"/>
          <w:szCs w:val="24"/>
          <w:lang w:val="es-BO"/>
        </w:rPr>
        <w:t xml:space="preserve"> </w:t>
      </w:r>
    </w:p>
    <w:p w14:paraId="3B182260" w14:textId="77777777" w:rsidR="00E30072" w:rsidRDefault="00C419B8" w:rsidP="00C419B8">
      <w:pPr>
        <w:pStyle w:val="BodyText2"/>
        <w:numPr>
          <w:ilvl w:val="1"/>
          <w:numId w:val="4"/>
        </w:numPr>
        <w:tabs>
          <w:tab w:val="left" w:pos="0"/>
          <w:tab w:val="left" w:pos="720"/>
        </w:tabs>
        <w:spacing w:before="120" w:line="240" w:lineRule="auto"/>
        <w:ind w:left="540" w:hanging="540"/>
        <w:jc w:val="both"/>
        <w:rPr>
          <w:rFonts w:ascii="Arial" w:hAnsi="Arial" w:cs="Arial"/>
          <w:szCs w:val="24"/>
          <w:lang w:val="es-ES"/>
        </w:rPr>
      </w:pPr>
      <w:r w:rsidRPr="001C59A0">
        <w:rPr>
          <w:rFonts w:ascii="Arial" w:hAnsi="Arial" w:cs="Arial"/>
          <w:szCs w:val="24"/>
          <w:lang w:val="es-ES"/>
        </w:rPr>
        <w:t>Los indicadores principales considerados para la evaluación del programa son:</w:t>
      </w:r>
    </w:p>
    <w:p w14:paraId="43EA3077" w14:textId="0E1688AC" w:rsidR="00F1122D" w:rsidRPr="00F1122D" w:rsidRDefault="00F1122D" w:rsidP="00F1122D">
      <w:pPr>
        <w:pStyle w:val="NoSpacing"/>
        <w:jc w:val="center"/>
        <w:rPr>
          <w:b/>
          <w:smallCaps/>
          <w:sz w:val="20"/>
          <w:szCs w:val="20"/>
          <w:lang w:val="es-BO"/>
        </w:rPr>
      </w:pPr>
      <w:r>
        <w:rPr>
          <w:b/>
          <w:smallCaps/>
          <w:sz w:val="20"/>
          <w:szCs w:val="20"/>
          <w:lang w:val="es-BO"/>
        </w:rPr>
        <w:t>IMPACTOS ESPERADOS</w:t>
      </w:r>
    </w:p>
    <w:p w14:paraId="7B17321B" w14:textId="66CB59F5" w:rsidR="00F1122D" w:rsidRDefault="00F1122D" w:rsidP="007A4AEE">
      <w:pPr>
        <w:pStyle w:val="NoSpacing"/>
        <w:rPr>
          <w:b/>
          <w:smallCaps/>
          <w:sz w:val="20"/>
          <w:szCs w:val="20"/>
          <w:lang w:val="es-ES_tradnl"/>
        </w:rPr>
      </w:pPr>
    </w:p>
    <w:tbl>
      <w:tblPr>
        <w:tblW w:w="5788"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2252"/>
        <w:gridCol w:w="1171"/>
        <w:gridCol w:w="737"/>
        <w:gridCol w:w="3041"/>
      </w:tblGrid>
      <w:tr w:rsidR="006264EA" w:rsidRPr="00F940F5" w14:paraId="6ABFC1AB" w14:textId="77777777" w:rsidTr="006264EA">
        <w:trPr>
          <w:trHeight w:val="142"/>
          <w:tblHeader/>
        </w:trPr>
        <w:tc>
          <w:tcPr>
            <w:tcW w:w="1396" w:type="pct"/>
            <w:vMerge w:val="restart"/>
            <w:shd w:val="pct25" w:color="auto" w:fill="auto"/>
            <w:vAlign w:val="center"/>
          </w:tcPr>
          <w:p w14:paraId="2ABFEF82" w14:textId="2BDF9EE6" w:rsidR="006264EA" w:rsidRPr="00F940F5" w:rsidRDefault="006264EA" w:rsidP="007E3B66">
            <w:pPr>
              <w:jc w:val="center"/>
              <w:rPr>
                <w:rFonts w:ascii="Arial" w:hAnsi="Arial" w:cs="Arial"/>
                <w:b/>
                <w:sz w:val="18"/>
                <w:szCs w:val="18"/>
              </w:rPr>
            </w:pPr>
            <w:r w:rsidRPr="00F940F5">
              <w:rPr>
                <w:rFonts w:ascii="Arial" w:hAnsi="Arial" w:cs="Arial"/>
                <w:b/>
                <w:sz w:val="18"/>
                <w:szCs w:val="18"/>
              </w:rPr>
              <w:t>Impacto</w:t>
            </w:r>
          </w:p>
        </w:tc>
        <w:tc>
          <w:tcPr>
            <w:tcW w:w="1127" w:type="pct"/>
            <w:vMerge w:val="restart"/>
            <w:shd w:val="pct25" w:color="auto" w:fill="auto"/>
            <w:vAlign w:val="center"/>
          </w:tcPr>
          <w:p w14:paraId="20540AD9" w14:textId="75B8976C" w:rsidR="006264EA" w:rsidRPr="00F940F5" w:rsidRDefault="006264EA" w:rsidP="007E3B66">
            <w:pPr>
              <w:jc w:val="center"/>
              <w:rPr>
                <w:rFonts w:ascii="Arial" w:hAnsi="Arial" w:cs="Arial"/>
                <w:b/>
                <w:sz w:val="18"/>
                <w:szCs w:val="18"/>
                <w:lang w:val="es-ES"/>
              </w:rPr>
            </w:pPr>
            <w:r w:rsidRPr="00F940F5">
              <w:rPr>
                <w:rFonts w:ascii="Arial" w:hAnsi="Arial" w:cs="Arial"/>
                <w:b/>
                <w:sz w:val="18"/>
                <w:szCs w:val="18"/>
                <w:lang w:val="es-ES"/>
              </w:rPr>
              <w:t>Indicador</w:t>
            </w:r>
          </w:p>
        </w:tc>
        <w:tc>
          <w:tcPr>
            <w:tcW w:w="955" w:type="pct"/>
            <w:gridSpan w:val="2"/>
            <w:shd w:val="pct25" w:color="auto" w:fill="auto"/>
            <w:vAlign w:val="center"/>
          </w:tcPr>
          <w:p w14:paraId="13E63DDE" w14:textId="633EBF09" w:rsidR="006264EA" w:rsidRPr="00F940F5" w:rsidRDefault="006264EA" w:rsidP="007E3B66">
            <w:pPr>
              <w:jc w:val="center"/>
              <w:rPr>
                <w:rFonts w:ascii="Arial" w:hAnsi="Arial" w:cs="Arial"/>
                <w:b/>
                <w:sz w:val="18"/>
                <w:szCs w:val="18"/>
              </w:rPr>
            </w:pPr>
            <w:r>
              <w:rPr>
                <w:rFonts w:ascii="Arial" w:hAnsi="Arial" w:cs="Arial"/>
                <w:b/>
                <w:sz w:val="18"/>
                <w:szCs w:val="18"/>
              </w:rPr>
              <w:t>Al 2030</w:t>
            </w:r>
          </w:p>
        </w:tc>
        <w:tc>
          <w:tcPr>
            <w:tcW w:w="1522" w:type="pct"/>
            <w:vMerge w:val="restart"/>
            <w:shd w:val="pct25" w:color="auto" w:fill="auto"/>
            <w:vAlign w:val="center"/>
          </w:tcPr>
          <w:p w14:paraId="02E01CDB" w14:textId="0CBB6495" w:rsidR="006264EA" w:rsidRPr="00F940F5" w:rsidRDefault="006264EA" w:rsidP="007E3B66">
            <w:pPr>
              <w:jc w:val="center"/>
              <w:rPr>
                <w:rFonts w:ascii="Arial" w:hAnsi="Arial" w:cs="Arial"/>
                <w:b/>
                <w:sz w:val="18"/>
                <w:szCs w:val="18"/>
                <w:lang w:val="es-ES"/>
              </w:rPr>
            </w:pPr>
            <w:r w:rsidRPr="00F940F5">
              <w:rPr>
                <w:rFonts w:ascii="Arial" w:hAnsi="Arial" w:cs="Arial"/>
                <w:b/>
                <w:sz w:val="18"/>
                <w:szCs w:val="18"/>
                <w:lang w:val="es-ES"/>
              </w:rPr>
              <w:t>Medios</w:t>
            </w:r>
            <w:r w:rsidRPr="00F940F5">
              <w:rPr>
                <w:rFonts w:ascii="Arial" w:hAnsi="Arial" w:cs="Arial"/>
                <w:b/>
                <w:sz w:val="18"/>
                <w:szCs w:val="18"/>
              </w:rPr>
              <w:t xml:space="preserve"> de </w:t>
            </w:r>
            <w:r w:rsidRPr="00F940F5">
              <w:rPr>
                <w:rFonts w:ascii="Arial" w:hAnsi="Arial" w:cs="Arial"/>
                <w:b/>
                <w:sz w:val="18"/>
                <w:szCs w:val="18"/>
                <w:lang w:val="es-ES_tradnl"/>
              </w:rPr>
              <w:t>verificación/Responsable</w:t>
            </w:r>
          </w:p>
        </w:tc>
      </w:tr>
      <w:tr w:rsidR="006264EA" w:rsidRPr="00F940F5" w14:paraId="402FEDC9" w14:textId="77777777" w:rsidTr="00E043F6">
        <w:trPr>
          <w:trHeight w:val="467"/>
          <w:tblHeader/>
        </w:trPr>
        <w:tc>
          <w:tcPr>
            <w:tcW w:w="1396" w:type="pct"/>
            <w:vMerge/>
            <w:shd w:val="pct25" w:color="auto" w:fill="auto"/>
            <w:vAlign w:val="center"/>
          </w:tcPr>
          <w:p w14:paraId="0A67744C" w14:textId="5DBCB7AF" w:rsidR="006264EA" w:rsidRPr="00F940F5" w:rsidRDefault="006264EA" w:rsidP="007E3B66">
            <w:pPr>
              <w:jc w:val="center"/>
              <w:rPr>
                <w:rFonts w:ascii="Arial" w:hAnsi="Arial" w:cs="Arial"/>
                <w:b/>
                <w:sz w:val="18"/>
                <w:szCs w:val="18"/>
              </w:rPr>
            </w:pPr>
          </w:p>
        </w:tc>
        <w:tc>
          <w:tcPr>
            <w:tcW w:w="1127" w:type="pct"/>
            <w:vMerge/>
            <w:shd w:val="pct25" w:color="auto" w:fill="auto"/>
            <w:vAlign w:val="center"/>
          </w:tcPr>
          <w:p w14:paraId="3DE531F2" w14:textId="6DABDFE0" w:rsidR="006264EA" w:rsidRPr="00F940F5" w:rsidRDefault="006264EA" w:rsidP="007E3B66">
            <w:pPr>
              <w:jc w:val="center"/>
              <w:rPr>
                <w:rFonts w:ascii="Arial" w:hAnsi="Arial" w:cs="Arial"/>
                <w:b/>
                <w:sz w:val="18"/>
                <w:szCs w:val="18"/>
              </w:rPr>
            </w:pPr>
          </w:p>
        </w:tc>
        <w:tc>
          <w:tcPr>
            <w:tcW w:w="586" w:type="pct"/>
            <w:shd w:val="pct25" w:color="auto" w:fill="auto"/>
            <w:vAlign w:val="center"/>
          </w:tcPr>
          <w:p w14:paraId="1CB9DC72" w14:textId="0AD1F10E" w:rsidR="006264EA" w:rsidRPr="00F940F5" w:rsidRDefault="006264EA" w:rsidP="007E3B66">
            <w:pPr>
              <w:jc w:val="center"/>
              <w:rPr>
                <w:rFonts w:ascii="Arial" w:hAnsi="Arial" w:cs="Arial"/>
                <w:b/>
                <w:sz w:val="18"/>
                <w:szCs w:val="18"/>
              </w:rPr>
            </w:pPr>
            <w:r w:rsidRPr="00F940F5">
              <w:rPr>
                <w:rFonts w:ascii="Arial" w:hAnsi="Arial" w:cs="Arial"/>
                <w:b/>
                <w:sz w:val="18"/>
                <w:szCs w:val="18"/>
                <w:lang w:val="es-ES"/>
              </w:rPr>
              <w:t>Línea</w:t>
            </w:r>
            <w:r w:rsidRPr="00F940F5">
              <w:rPr>
                <w:rFonts w:ascii="Arial" w:hAnsi="Arial" w:cs="Arial"/>
                <w:b/>
                <w:sz w:val="18"/>
                <w:szCs w:val="18"/>
              </w:rPr>
              <w:t xml:space="preserve"> base </w:t>
            </w:r>
          </w:p>
        </w:tc>
        <w:tc>
          <w:tcPr>
            <w:tcW w:w="369" w:type="pct"/>
            <w:shd w:val="pct25" w:color="auto" w:fill="auto"/>
            <w:vAlign w:val="center"/>
          </w:tcPr>
          <w:p w14:paraId="4A945A4B" w14:textId="181AA8E9" w:rsidR="006264EA" w:rsidRPr="00F940F5" w:rsidRDefault="006264EA">
            <w:pPr>
              <w:jc w:val="center"/>
              <w:rPr>
                <w:rFonts w:ascii="Arial" w:hAnsi="Arial" w:cs="Arial"/>
                <w:b/>
                <w:sz w:val="18"/>
                <w:szCs w:val="18"/>
              </w:rPr>
            </w:pPr>
            <w:r w:rsidRPr="00F940F5">
              <w:rPr>
                <w:rFonts w:ascii="Arial" w:hAnsi="Arial" w:cs="Arial"/>
                <w:b/>
                <w:sz w:val="18"/>
                <w:szCs w:val="18"/>
              </w:rPr>
              <w:t>Me</w:t>
            </w:r>
            <w:r>
              <w:rPr>
                <w:rFonts w:ascii="Arial" w:hAnsi="Arial" w:cs="Arial"/>
                <w:b/>
                <w:sz w:val="18"/>
                <w:szCs w:val="18"/>
              </w:rPr>
              <w:t>ta</w:t>
            </w:r>
          </w:p>
        </w:tc>
        <w:tc>
          <w:tcPr>
            <w:tcW w:w="1522" w:type="pct"/>
            <w:vMerge/>
            <w:shd w:val="pct25" w:color="auto" w:fill="auto"/>
            <w:vAlign w:val="center"/>
          </w:tcPr>
          <w:p w14:paraId="3858C2A4" w14:textId="52A48627" w:rsidR="006264EA" w:rsidRPr="00F940F5" w:rsidRDefault="006264EA" w:rsidP="007E3B66">
            <w:pPr>
              <w:jc w:val="center"/>
              <w:rPr>
                <w:rFonts w:ascii="Arial" w:hAnsi="Arial" w:cs="Arial"/>
                <w:b/>
                <w:sz w:val="18"/>
                <w:szCs w:val="18"/>
              </w:rPr>
            </w:pPr>
          </w:p>
        </w:tc>
      </w:tr>
      <w:tr w:rsidR="006264EA" w:rsidRPr="006B046D" w14:paraId="2E48E8ED" w14:textId="77777777" w:rsidTr="00E043F6">
        <w:trPr>
          <w:trHeight w:val="142"/>
        </w:trPr>
        <w:tc>
          <w:tcPr>
            <w:tcW w:w="1396" w:type="pct"/>
            <w:vAlign w:val="center"/>
          </w:tcPr>
          <w:p w14:paraId="09C21A8E" w14:textId="2DCFD336" w:rsidR="0009162C" w:rsidRPr="00F940F5" w:rsidRDefault="0009162C" w:rsidP="007E3B66">
            <w:pPr>
              <w:rPr>
                <w:rFonts w:ascii="Arial" w:hAnsi="Arial" w:cs="Arial"/>
                <w:color w:val="000000"/>
                <w:sz w:val="18"/>
                <w:szCs w:val="18"/>
                <w:lang w:val="es-ES_tradnl"/>
              </w:rPr>
            </w:pPr>
            <w:r w:rsidRPr="00F940F5">
              <w:rPr>
                <w:rFonts w:ascii="Arial" w:hAnsi="Arial" w:cs="Arial"/>
                <w:sz w:val="18"/>
                <w:szCs w:val="18"/>
                <w:lang w:val="es-ES_tradnl"/>
              </w:rPr>
              <w:t>Reducción de emisiones de CO</w:t>
            </w:r>
            <w:r w:rsidRPr="00F940F5">
              <w:rPr>
                <w:rFonts w:ascii="Arial" w:hAnsi="Arial" w:cs="Arial"/>
                <w:sz w:val="18"/>
                <w:szCs w:val="18"/>
                <w:vertAlign w:val="subscript"/>
                <w:lang w:val="es-ES_tradnl"/>
              </w:rPr>
              <w:t>2.</w:t>
            </w:r>
            <w:r w:rsidRPr="00F940F5">
              <w:rPr>
                <w:rFonts w:ascii="Arial" w:hAnsi="Arial" w:cs="Arial"/>
                <w:sz w:val="18"/>
                <w:szCs w:val="18"/>
                <w:lang w:val="es-ES_tradnl"/>
              </w:rPr>
              <w:t>e</w:t>
            </w:r>
            <w:r w:rsidR="006264EA">
              <w:rPr>
                <w:rFonts w:ascii="Arial" w:hAnsi="Arial" w:cs="Arial"/>
                <w:sz w:val="18"/>
                <w:szCs w:val="18"/>
                <w:lang w:val="es-ES_tradnl"/>
              </w:rPr>
              <w:t>, del sector eléctrico</w:t>
            </w:r>
            <w:r w:rsidR="00F32826">
              <w:rPr>
                <w:rFonts w:ascii="Arial" w:hAnsi="Arial" w:cs="Arial"/>
                <w:sz w:val="18"/>
                <w:szCs w:val="18"/>
                <w:lang w:val="es-ES_tradnl"/>
              </w:rPr>
              <w:t>.</w:t>
            </w:r>
          </w:p>
        </w:tc>
        <w:tc>
          <w:tcPr>
            <w:tcW w:w="1127" w:type="pct"/>
            <w:vAlign w:val="center"/>
          </w:tcPr>
          <w:p w14:paraId="76816797" w14:textId="214CF913" w:rsidR="0009162C" w:rsidRPr="00F940F5" w:rsidRDefault="0009162C" w:rsidP="007E3B66">
            <w:pPr>
              <w:jc w:val="center"/>
              <w:rPr>
                <w:rFonts w:ascii="Arial" w:hAnsi="Arial" w:cs="Arial"/>
                <w:color w:val="000000"/>
                <w:sz w:val="18"/>
                <w:szCs w:val="18"/>
                <w:lang w:val="es-ES_tradnl"/>
              </w:rPr>
            </w:pPr>
            <w:r w:rsidRPr="00F940F5">
              <w:rPr>
                <w:rFonts w:ascii="Arial" w:hAnsi="Arial" w:cs="Arial"/>
                <w:sz w:val="18"/>
                <w:szCs w:val="18"/>
                <w:lang w:val="es-AR"/>
              </w:rPr>
              <w:t>Emisiones anuales (M</w:t>
            </w:r>
            <w:r w:rsidR="006264EA">
              <w:rPr>
                <w:rFonts w:ascii="Arial" w:hAnsi="Arial" w:cs="Arial"/>
                <w:sz w:val="18"/>
                <w:szCs w:val="18"/>
                <w:lang w:val="es-AR"/>
              </w:rPr>
              <w:t>t</w:t>
            </w:r>
            <w:r w:rsidRPr="00F940F5">
              <w:rPr>
                <w:rFonts w:ascii="Arial" w:hAnsi="Arial" w:cs="Arial"/>
                <w:sz w:val="18"/>
                <w:szCs w:val="18"/>
                <w:lang w:val="es-AR"/>
              </w:rPr>
              <w:t>CO</w:t>
            </w:r>
            <w:r w:rsidRPr="00F940F5">
              <w:rPr>
                <w:rFonts w:ascii="Arial" w:hAnsi="Arial" w:cs="Arial"/>
                <w:sz w:val="18"/>
                <w:szCs w:val="18"/>
                <w:vertAlign w:val="subscript"/>
                <w:lang w:val="es-AR"/>
              </w:rPr>
              <w:t>2</w:t>
            </w:r>
            <w:r w:rsidR="006264EA" w:rsidRPr="007A4AEE">
              <w:rPr>
                <w:rFonts w:ascii="Arial" w:hAnsi="Arial" w:cs="Arial"/>
                <w:sz w:val="18"/>
                <w:szCs w:val="18"/>
                <w:lang w:val="es-AR"/>
              </w:rPr>
              <w:t>e</w:t>
            </w:r>
            <w:r w:rsidRPr="00F940F5">
              <w:rPr>
                <w:rFonts w:ascii="Arial" w:hAnsi="Arial" w:cs="Arial"/>
                <w:sz w:val="18"/>
                <w:szCs w:val="18"/>
                <w:lang w:val="es-AR"/>
              </w:rPr>
              <w:t>)</w:t>
            </w:r>
          </w:p>
        </w:tc>
        <w:tc>
          <w:tcPr>
            <w:tcW w:w="586" w:type="pct"/>
            <w:shd w:val="clear" w:color="auto" w:fill="auto"/>
            <w:vAlign w:val="center"/>
          </w:tcPr>
          <w:p w14:paraId="5D6FF9EC" w14:textId="20FC06DA" w:rsidR="0009162C" w:rsidRPr="00F940F5" w:rsidRDefault="006264EA" w:rsidP="007E3B66">
            <w:pPr>
              <w:jc w:val="center"/>
              <w:rPr>
                <w:rFonts w:ascii="Arial" w:hAnsi="Arial" w:cs="Arial"/>
                <w:color w:val="000000"/>
                <w:sz w:val="18"/>
                <w:szCs w:val="18"/>
                <w:lang w:val="es-ES_tradnl"/>
              </w:rPr>
            </w:pPr>
            <w:r>
              <w:rPr>
                <w:rFonts w:ascii="Arial" w:hAnsi="Arial" w:cs="Arial"/>
                <w:sz w:val="18"/>
                <w:szCs w:val="18"/>
                <w:lang w:val="es-AR"/>
              </w:rPr>
              <w:t>20</w:t>
            </w:r>
            <w:r w:rsidR="0009162C" w:rsidRPr="00F940F5">
              <w:rPr>
                <w:rFonts w:ascii="Arial" w:hAnsi="Arial" w:cs="Arial"/>
                <w:sz w:val="18"/>
                <w:szCs w:val="18"/>
                <w:lang w:val="es-AR"/>
              </w:rPr>
              <w:t>2</w:t>
            </w:r>
            <w:r w:rsidR="0009162C" w:rsidRPr="00F940F5">
              <w:rPr>
                <w:rStyle w:val="FootnoteReference"/>
                <w:rFonts w:cs="Arial"/>
                <w:sz w:val="18"/>
                <w:szCs w:val="18"/>
                <w:lang w:val="es-AR"/>
              </w:rPr>
              <w:footnoteReference w:id="1"/>
            </w:r>
          </w:p>
        </w:tc>
        <w:tc>
          <w:tcPr>
            <w:tcW w:w="369" w:type="pct"/>
            <w:shd w:val="clear" w:color="auto" w:fill="auto"/>
            <w:vAlign w:val="center"/>
          </w:tcPr>
          <w:p w14:paraId="2BD3CC7F" w14:textId="7F9F8E77" w:rsidR="0009162C" w:rsidRPr="00F940F5" w:rsidRDefault="006264EA" w:rsidP="007E3B66">
            <w:pPr>
              <w:jc w:val="center"/>
              <w:rPr>
                <w:rFonts w:ascii="Arial" w:hAnsi="Arial" w:cs="Arial"/>
                <w:color w:val="000000"/>
                <w:sz w:val="18"/>
                <w:szCs w:val="18"/>
                <w:lang w:val="es-ES_tradnl"/>
              </w:rPr>
            </w:pPr>
            <w:r>
              <w:rPr>
                <w:rFonts w:ascii="Arial" w:hAnsi="Arial" w:cs="Arial"/>
                <w:sz w:val="18"/>
                <w:szCs w:val="18"/>
                <w:lang w:val="es-ES_tradnl"/>
              </w:rPr>
              <w:t>139</w:t>
            </w:r>
          </w:p>
        </w:tc>
        <w:tc>
          <w:tcPr>
            <w:tcW w:w="1522" w:type="pct"/>
            <w:shd w:val="clear" w:color="auto" w:fill="auto"/>
            <w:vAlign w:val="center"/>
          </w:tcPr>
          <w:p w14:paraId="2748C8B7" w14:textId="4B229F91" w:rsidR="0009162C" w:rsidRPr="00F940F5" w:rsidRDefault="0009162C" w:rsidP="007A4AEE">
            <w:pPr>
              <w:rPr>
                <w:rFonts w:ascii="Arial" w:hAnsi="Arial" w:cs="Arial"/>
                <w:color w:val="000000"/>
                <w:sz w:val="18"/>
                <w:szCs w:val="18"/>
                <w:lang w:val="es-ES_tradnl"/>
              </w:rPr>
            </w:pPr>
            <w:r w:rsidRPr="00F940F5">
              <w:rPr>
                <w:rFonts w:ascii="Arial" w:hAnsi="Arial" w:cs="Arial"/>
                <w:sz w:val="18"/>
                <w:szCs w:val="18"/>
                <w:lang w:val="es-ES_tradnl"/>
              </w:rPr>
              <w:t>Inventario de Emisiones de Gases de Efecto Invernadero</w:t>
            </w:r>
            <w:r w:rsidR="00F32826">
              <w:rPr>
                <w:rFonts w:ascii="Arial" w:hAnsi="Arial" w:cs="Arial"/>
                <w:sz w:val="18"/>
                <w:szCs w:val="18"/>
                <w:lang w:val="es-ES_tradnl"/>
              </w:rPr>
              <w:t xml:space="preserve">, publicado en el portal de </w:t>
            </w:r>
            <w:r w:rsidRPr="00F940F5">
              <w:rPr>
                <w:rFonts w:ascii="Arial" w:hAnsi="Arial" w:cs="Arial"/>
                <w:sz w:val="18"/>
                <w:szCs w:val="18"/>
                <w:lang w:val="es-ES_tradnl"/>
              </w:rPr>
              <w:t>Instituto Nacional de Ecología y Cambio Climático (INECC)</w:t>
            </w:r>
            <w:r w:rsidR="00F32826">
              <w:rPr>
                <w:rFonts w:ascii="Arial" w:hAnsi="Arial" w:cs="Arial"/>
                <w:sz w:val="18"/>
                <w:szCs w:val="18"/>
                <w:lang w:val="es-ES_tradnl"/>
              </w:rPr>
              <w:t>.</w:t>
            </w:r>
          </w:p>
        </w:tc>
      </w:tr>
    </w:tbl>
    <w:p w14:paraId="5E5C641B" w14:textId="691275C9" w:rsidR="0009162C" w:rsidRDefault="0009162C" w:rsidP="00F1122D">
      <w:pPr>
        <w:pStyle w:val="NoSpacing"/>
        <w:jc w:val="center"/>
        <w:rPr>
          <w:b/>
          <w:smallCaps/>
          <w:sz w:val="20"/>
          <w:szCs w:val="20"/>
          <w:lang w:val="es-ES_tradnl"/>
        </w:rPr>
      </w:pPr>
    </w:p>
    <w:p w14:paraId="043D906A" w14:textId="77777777" w:rsidR="00A03E6A" w:rsidRDefault="00A03E6A" w:rsidP="00F1122D">
      <w:pPr>
        <w:pStyle w:val="NoSpacing"/>
        <w:jc w:val="center"/>
        <w:rPr>
          <w:b/>
          <w:smallCaps/>
          <w:sz w:val="20"/>
          <w:szCs w:val="20"/>
          <w:lang w:val="es-ES_tradnl"/>
        </w:rPr>
      </w:pPr>
    </w:p>
    <w:p w14:paraId="5BDEB8E1" w14:textId="77777777" w:rsidR="0009162C" w:rsidRPr="00F1122D" w:rsidRDefault="0009162C" w:rsidP="00F1122D">
      <w:pPr>
        <w:pStyle w:val="NoSpacing"/>
        <w:jc w:val="center"/>
        <w:rPr>
          <w:b/>
          <w:smallCaps/>
          <w:sz w:val="20"/>
          <w:szCs w:val="20"/>
          <w:lang w:val="es-ES_tradnl"/>
        </w:rPr>
      </w:pPr>
    </w:p>
    <w:p w14:paraId="0DB483E1" w14:textId="252E3BD1" w:rsidR="00C419B8" w:rsidRDefault="00F1122D" w:rsidP="007A4AEE">
      <w:pPr>
        <w:pStyle w:val="NoSpacing"/>
        <w:spacing w:after="120"/>
        <w:jc w:val="center"/>
        <w:rPr>
          <w:lang w:val="es-ES"/>
        </w:rPr>
      </w:pPr>
      <w:r>
        <w:rPr>
          <w:b/>
          <w:smallCaps/>
          <w:sz w:val="20"/>
          <w:szCs w:val="20"/>
          <w:lang w:val="es-BO"/>
        </w:rPr>
        <w:t>RESULTADOS ESPERADOS</w:t>
      </w:r>
      <w:r w:rsidR="00E30072" w:rsidRPr="00940452" w:rsidDel="00E30072">
        <w:rPr>
          <w:highlight w:val="yellow"/>
          <w:lang w:val="es-ES"/>
        </w:rPr>
        <w:t xml:space="preserve"> </w:t>
      </w:r>
    </w:p>
    <w:tbl>
      <w:tblPr>
        <w:tblW w:w="5788"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619"/>
        <w:gridCol w:w="1081"/>
        <w:gridCol w:w="811"/>
        <w:gridCol w:w="2689"/>
      </w:tblGrid>
      <w:tr w:rsidR="00F2208C" w:rsidRPr="00F940F5" w14:paraId="49B0FF3B" w14:textId="77777777" w:rsidTr="007A4AEE">
        <w:trPr>
          <w:trHeight w:val="684"/>
          <w:tblHeader/>
        </w:trPr>
        <w:tc>
          <w:tcPr>
            <w:tcW w:w="1396" w:type="pct"/>
            <w:shd w:val="pct25" w:color="auto" w:fill="auto"/>
            <w:vAlign w:val="center"/>
          </w:tcPr>
          <w:p w14:paraId="2AD4EB69" w14:textId="40DBCFD3" w:rsidR="00537155" w:rsidRPr="00F940F5" w:rsidRDefault="00537155" w:rsidP="00795618">
            <w:pPr>
              <w:jc w:val="center"/>
              <w:rPr>
                <w:rFonts w:ascii="Arial" w:hAnsi="Arial" w:cs="Arial"/>
                <w:b/>
                <w:sz w:val="18"/>
                <w:szCs w:val="18"/>
              </w:rPr>
            </w:pPr>
            <w:r>
              <w:rPr>
                <w:rFonts w:ascii="Arial" w:hAnsi="Arial" w:cs="Arial"/>
                <w:b/>
                <w:sz w:val="18"/>
                <w:szCs w:val="18"/>
              </w:rPr>
              <w:t>Resultados</w:t>
            </w:r>
          </w:p>
        </w:tc>
        <w:tc>
          <w:tcPr>
            <w:tcW w:w="1311" w:type="pct"/>
            <w:shd w:val="pct25" w:color="auto" w:fill="auto"/>
            <w:vAlign w:val="center"/>
          </w:tcPr>
          <w:p w14:paraId="4557ED1E" w14:textId="77777777" w:rsidR="00537155" w:rsidRPr="00F940F5" w:rsidRDefault="00537155" w:rsidP="00795618">
            <w:pPr>
              <w:jc w:val="center"/>
              <w:rPr>
                <w:rFonts w:ascii="Arial" w:hAnsi="Arial" w:cs="Arial"/>
                <w:b/>
                <w:sz w:val="18"/>
                <w:szCs w:val="18"/>
                <w:lang w:val="es-ES"/>
              </w:rPr>
            </w:pPr>
            <w:r w:rsidRPr="00F940F5">
              <w:rPr>
                <w:rFonts w:ascii="Arial" w:hAnsi="Arial" w:cs="Arial"/>
                <w:b/>
                <w:sz w:val="18"/>
                <w:szCs w:val="18"/>
                <w:lang w:val="es-ES"/>
              </w:rPr>
              <w:t>Indicador</w:t>
            </w:r>
          </w:p>
        </w:tc>
        <w:tc>
          <w:tcPr>
            <w:tcW w:w="541" w:type="pct"/>
            <w:shd w:val="pct25" w:color="auto" w:fill="auto"/>
            <w:vAlign w:val="center"/>
          </w:tcPr>
          <w:p w14:paraId="0FEC4388" w14:textId="1F1108DD" w:rsidR="00537155" w:rsidRDefault="00537155" w:rsidP="007A4AEE">
            <w:pPr>
              <w:spacing w:line="288" w:lineRule="auto"/>
              <w:jc w:val="center"/>
              <w:rPr>
                <w:rFonts w:ascii="Arial" w:hAnsi="Arial" w:cs="Arial"/>
                <w:b/>
                <w:sz w:val="18"/>
                <w:szCs w:val="18"/>
              </w:rPr>
            </w:pPr>
            <w:r>
              <w:rPr>
                <w:rFonts w:ascii="Arial" w:hAnsi="Arial" w:cs="Arial"/>
                <w:b/>
                <w:sz w:val="18"/>
                <w:szCs w:val="18"/>
                <w:lang w:val="es-ES"/>
              </w:rPr>
              <w:t>Año</w:t>
            </w:r>
            <w:r w:rsidRPr="00F940F5">
              <w:rPr>
                <w:rFonts w:ascii="Arial" w:hAnsi="Arial" w:cs="Arial"/>
                <w:b/>
                <w:sz w:val="18"/>
                <w:szCs w:val="18"/>
              </w:rPr>
              <w:t xml:space="preserve"> base</w:t>
            </w:r>
          </w:p>
          <w:p w14:paraId="31496B8B" w14:textId="3866D0A4" w:rsidR="00537155" w:rsidRPr="00F940F5" w:rsidRDefault="00537155" w:rsidP="007A4AEE">
            <w:pPr>
              <w:spacing w:line="288" w:lineRule="auto"/>
              <w:jc w:val="center"/>
              <w:rPr>
                <w:rFonts w:ascii="Arial" w:hAnsi="Arial" w:cs="Arial"/>
                <w:b/>
                <w:sz w:val="18"/>
                <w:szCs w:val="18"/>
              </w:rPr>
            </w:pPr>
            <w:r>
              <w:rPr>
                <w:rFonts w:ascii="Arial" w:hAnsi="Arial" w:cs="Arial"/>
                <w:b/>
                <w:sz w:val="18"/>
                <w:szCs w:val="18"/>
              </w:rPr>
              <w:t>2015</w:t>
            </w:r>
            <w:r w:rsidRPr="00F940F5">
              <w:rPr>
                <w:rFonts w:ascii="Arial" w:hAnsi="Arial" w:cs="Arial"/>
                <w:b/>
                <w:sz w:val="18"/>
                <w:szCs w:val="18"/>
              </w:rPr>
              <w:t xml:space="preserve"> </w:t>
            </w:r>
          </w:p>
        </w:tc>
        <w:tc>
          <w:tcPr>
            <w:tcW w:w="406" w:type="pct"/>
            <w:shd w:val="pct25" w:color="auto" w:fill="auto"/>
            <w:vAlign w:val="center"/>
          </w:tcPr>
          <w:p w14:paraId="64161B98" w14:textId="77777777" w:rsidR="00537155" w:rsidRDefault="00537155" w:rsidP="007A4AEE">
            <w:pPr>
              <w:spacing w:line="288" w:lineRule="auto"/>
              <w:jc w:val="center"/>
              <w:rPr>
                <w:rFonts w:ascii="Arial" w:hAnsi="Arial" w:cs="Arial"/>
                <w:b/>
                <w:sz w:val="18"/>
                <w:szCs w:val="18"/>
              </w:rPr>
            </w:pPr>
            <w:r w:rsidRPr="00F940F5">
              <w:rPr>
                <w:rFonts w:ascii="Arial" w:hAnsi="Arial" w:cs="Arial"/>
                <w:b/>
                <w:sz w:val="18"/>
                <w:szCs w:val="18"/>
              </w:rPr>
              <w:t>Me</w:t>
            </w:r>
            <w:r>
              <w:rPr>
                <w:rFonts w:ascii="Arial" w:hAnsi="Arial" w:cs="Arial"/>
                <w:b/>
                <w:sz w:val="18"/>
                <w:szCs w:val="18"/>
              </w:rPr>
              <w:t>ta</w:t>
            </w:r>
          </w:p>
          <w:p w14:paraId="593066CC" w14:textId="05D48878" w:rsidR="00537155" w:rsidRPr="00F940F5" w:rsidRDefault="00537155" w:rsidP="007A4AEE">
            <w:pPr>
              <w:spacing w:line="288" w:lineRule="auto"/>
              <w:jc w:val="center"/>
              <w:rPr>
                <w:rFonts w:ascii="Arial" w:hAnsi="Arial" w:cs="Arial"/>
                <w:b/>
                <w:sz w:val="18"/>
                <w:szCs w:val="18"/>
              </w:rPr>
            </w:pPr>
            <w:r>
              <w:rPr>
                <w:rFonts w:ascii="Arial" w:hAnsi="Arial" w:cs="Arial"/>
                <w:b/>
                <w:sz w:val="18"/>
                <w:szCs w:val="18"/>
              </w:rPr>
              <w:t>2019</w:t>
            </w:r>
          </w:p>
        </w:tc>
        <w:tc>
          <w:tcPr>
            <w:tcW w:w="1346" w:type="pct"/>
            <w:shd w:val="pct25" w:color="auto" w:fill="auto"/>
            <w:vAlign w:val="center"/>
          </w:tcPr>
          <w:p w14:paraId="30E48437" w14:textId="77777777" w:rsidR="00537155" w:rsidRPr="00F940F5" w:rsidRDefault="00537155" w:rsidP="00795618">
            <w:pPr>
              <w:jc w:val="center"/>
              <w:rPr>
                <w:rFonts w:ascii="Arial" w:hAnsi="Arial" w:cs="Arial"/>
                <w:b/>
                <w:sz w:val="18"/>
                <w:szCs w:val="18"/>
                <w:lang w:val="es-ES"/>
              </w:rPr>
            </w:pPr>
            <w:r w:rsidRPr="00F940F5">
              <w:rPr>
                <w:rFonts w:ascii="Arial" w:hAnsi="Arial" w:cs="Arial"/>
                <w:b/>
                <w:sz w:val="18"/>
                <w:szCs w:val="18"/>
                <w:lang w:val="es-ES"/>
              </w:rPr>
              <w:t>Medios</w:t>
            </w:r>
            <w:r w:rsidRPr="00F940F5">
              <w:rPr>
                <w:rFonts w:ascii="Arial" w:hAnsi="Arial" w:cs="Arial"/>
                <w:b/>
                <w:sz w:val="18"/>
                <w:szCs w:val="18"/>
              </w:rPr>
              <w:t xml:space="preserve"> de </w:t>
            </w:r>
            <w:r w:rsidRPr="00F940F5">
              <w:rPr>
                <w:rFonts w:ascii="Arial" w:hAnsi="Arial" w:cs="Arial"/>
                <w:b/>
                <w:sz w:val="18"/>
                <w:szCs w:val="18"/>
                <w:lang w:val="es-ES_tradnl"/>
              </w:rPr>
              <w:t>verificación/Responsable</w:t>
            </w:r>
          </w:p>
        </w:tc>
      </w:tr>
      <w:tr w:rsidR="00F32826" w:rsidRPr="00F940F5" w14:paraId="763A4ABB" w14:textId="77777777" w:rsidTr="00F32826">
        <w:trPr>
          <w:trHeight w:val="142"/>
        </w:trPr>
        <w:tc>
          <w:tcPr>
            <w:tcW w:w="5000" w:type="pct"/>
            <w:gridSpan w:val="5"/>
            <w:vAlign w:val="center"/>
          </w:tcPr>
          <w:p w14:paraId="119AAF0D" w14:textId="17F14D5C" w:rsidR="00F32826" w:rsidRPr="007A4AEE" w:rsidRDefault="00F32826" w:rsidP="007A4AEE">
            <w:pPr>
              <w:pStyle w:val="ListParagraph"/>
              <w:numPr>
                <w:ilvl w:val="0"/>
                <w:numId w:val="34"/>
              </w:numPr>
              <w:ind w:left="256" w:hanging="270"/>
              <w:rPr>
                <w:rFonts w:ascii="Arial" w:hAnsi="Arial" w:cs="Arial"/>
                <w:sz w:val="18"/>
                <w:szCs w:val="18"/>
                <w:lang w:val="es-ES_tradnl"/>
              </w:rPr>
            </w:pPr>
            <w:r>
              <w:rPr>
                <w:rFonts w:ascii="Arial" w:hAnsi="Arial" w:cs="Arial"/>
                <w:b/>
                <w:sz w:val="18"/>
                <w:szCs w:val="18"/>
                <w:lang w:val="es-ES_tradnl"/>
              </w:rPr>
              <w:t>Marco General de Políticas Macroeconómicas</w:t>
            </w:r>
          </w:p>
        </w:tc>
      </w:tr>
      <w:tr w:rsidR="00F2208C" w:rsidRPr="006B046D" w14:paraId="0772FF27" w14:textId="77777777" w:rsidTr="007A4AEE">
        <w:trPr>
          <w:trHeight w:val="142"/>
        </w:trPr>
        <w:tc>
          <w:tcPr>
            <w:tcW w:w="1396" w:type="pct"/>
            <w:vAlign w:val="center"/>
          </w:tcPr>
          <w:p w14:paraId="328024CE" w14:textId="5972F750" w:rsidR="00F32826" w:rsidRPr="00F940F5" w:rsidRDefault="00F32826" w:rsidP="00795618">
            <w:pPr>
              <w:rPr>
                <w:rFonts w:ascii="Arial" w:hAnsi="Arial" w:cs="Arial"/>
                <w:sz w:val="18"/>
                <w:szCs w:val="18"/>
                <w:lang w:val="es-ES_tradnl"/>
              </w:rPr>
            </w:pPr>
            <w:r>
              <w:rPr>
                <w:rFonts w:ascii="Arial" w:hAnsi="Arial" w:cs="Arial"/>
                <w:sz w:val="18"/>
                <w:szCs w:val="18"/>
                <w:lang w:val="es-ES_tradnl"/>
              </w:rPr>
              <w:t>Marco macroeconómico consistente con los objetivos del Programa y con los lineamientos establecidos en la carta de política sectorial.</w:t>
            </w:r>
          </w:p>
        </w:tc>
        <w:tc>
          <w:tcPr>
            <w:tcW w:w="1311" w:type="pct"/>
            <w:vAlign w:val="center"/>
          </w:tcPr>
          <w:p w14:paraId="7910CD59" w14:textId="012FE6FE" w:rsidR="00F2208C" w:rsidRPr="00F940F5" w:rsidRDefault="00F2208C" w:rsidP="007A4AEE">
            <w:pPr>
              <w:rPr>
                <w:rFonts w:ascii="Arial" w:hAnsi="Arial" w:cs="Arial"/>
                <w:sz w:val="18"/>
                <w:szCs w:val="18"/>
                <w:lang w:val="es-AR"/>
              </w:rPr>
            </w:pPr>
            <w:r>
              <w:rPr>
                <w:rFonts w:ascii="Arial" w:hAnsi="Arial" w:cs="Arial"/>
                <w:sz w:val="18"/>
                <w:szCs w:val="18"/>
                <w:lang w:val="es-AR"/>
              </w:rPr>
              <w:t>Opinión técnica de FMI Marco macroeconómico estable.</w:t>
            </w:r>
          </w:p>
        </w:tc>
        <w:tc>
          <w:tcPr>
            <w:tcW w:w="541" w:type="pct"/>
            <w:shd w:val="clear" w:color="auto" w:fill="auto"/>
            <w:vAlign w:val="center"/>
          </w:tcPr>
          <w:p w14:paraId="14A2B95C" w14:textId="25BD5C64" w:rsidR="00F32826" w:rsidRDefault="00F2208C" w:rsidP="00795618">
            <w:pPr>
              <w:jc w:val="center"/>
              <w:rPr>
                <w:rFonts w:ascii="Arial" w:hAnsi="Arial" w:cs="Arial"/>
                <w:sz w:val="18"/>
                <w:szCs w:val="18"/>
                <w:lang w:val="es-AR"/>
              </w:rPr>
            </w:pPr>
            <w:r>
              <w:rPr>
                <w:rFonts w:ascii="Arial" w:hAnsi="Arial" w:cs="Arial"/>
                <w:sz w:val="18"/>
                <w:szCs w:val="18"/>
                <w:lang w:val="es-AR"/>
              </w:rPr>
              <w:t>1</w:t>
            </w:r>
          </w:p>
        </w:tc>
        <w:tc>
          <w:tcPr>
            <w:tcW w:w="406" w:type="pct"/>
            <w:shd w:val="clear" w:color="auto" w:fill="auto"/>
            <w:vAlign w:val="center"/>
          </w:tcPr>
          <w:p w14:paraId="41ADB2CC" w14:textId="6C8E320E" w:rsidR="00F32826" w:rsidRDefault="00F2208C" w:rsidP="00795618">
            <w:pPr>
              <w:jc w:val="center"/>
              <w:rPr>
                <w:rFonts w:ascii="Arial" w:hAnsi="Arial" w:cs="Arial"/>
                <w:sz w:val="18"/>
                <w:szCs w:val="18"/>
                <w:lang w:val="es-ES_tradnl"/>
              </w:rPr>
            </w:pPr>
            <w:r>
              <w:rPr>
                <w:rFonts w:ascii="Arial" w:hAnsi="Arial" w:cs="Arial"/>
                <w:sz w:val="18"/>
                <w:szCs w:val="18"/>
                <w:lang w:val="es-ES_tradnl"/>
              </w:rPr>
              <w:t>1</w:t>
            </w:r>
          </w:p>
        </w:tc>
        <w:tc>
          <w:tcPr>
            <w:tcW w:w="1346" w:type="pct"/>
            <w:shd w:val="clear" w:color="auto" w:fill="auto"/>
            <w:vAlign w:val="center"/>
          </w:tcPr>
          <w:p w14:paraId="3FB114AD" w14:textId="0291A6E3" w:rsidR="00F32826" w:rsidRPr="00F940F5" w:rsidRDefault="00F2208C" w:rsidP="00795618">
            <w:pPr>
              <w:jc w:val="center"/>
              <w:rPr>
                <w:rFonts w:ascii="Arial" w:hAnsi="Arial" w:cs="Arial"/>
                <w:sz w:val="18"/>
                <w:szCs w:val="18"/>
                <w:lang w:val="es-ES_tradnl"/>
              </w:rPr>
            </w:pPr>
            <w:r>
              <w:rPr>
                <w:rFonts w:ascii="Arial" w:hAnsi="Arial" w:cs="Arial"/>
                <w:sz w:val="18"/>
                <w:szCs w:val="18"/>
                <w:lang w:val="es-ES_tradnl"/>
              </w:rPr>
              <w:t>Consulta artículo IV del FMI</w:t>
            </w:r>
            <w:r w:rsidR="00950E1B">
              <w:rPr>
                <w:rFonts w:ascii="Arial" w:hAnsi="Arial" w:cs="Arial"/>
                <w:sz w:val="18"/>
                <w:szCs w:val="18"/>
                <w:lang w:val="es-ES_tradnl"/>
              </w:rPr>
              <w:t>.</w:t>
            </w:r>
          </w:p>
        </w:tc>
      </w:tr>
      <w:tr w:rsidR="00F32826" w:rsidRPr="001C7BE0" w14:paraId="6DF18BDE" w14:textId="77777777" w:rsidTr="00F32826">
        <w:trPr>
          <w:trHeight w:val="142"/>
        </w:trPr>
        <w:tc>
          <w:tcPr>
            <w:tcW w:w="5000" w:type="pct"/>
            <w:gridSpan w:val="5"/>
            <w:vAlign w:val="center"/>
          </w:tcPr>
          <w:p w14:paraId="716C9734" w14:textId="7DD8D9B1" w:rsidR="00F32826" w:rsidRPr="007A4AEE" w:rsidRDefault="004E53F2" w:rsidP="007A4AEE">
            <w:pPr>
              <w:pStyle w:val="ListParagraph"/>
              <w:numPr>
                <w:ilvl w:val="0"/>
                <w:numId w:val="34"/>
              </w:numPr>
              <w:ind w:left="256" w:hanging="270"/>
              <w:jc w:val="both"/>
              <w:rPr>
                <w:rFonts w:ascii="Arial" w:hAnsi="Arial" w:cs="Arial"/>
                <w:b/>
                <w:sz w:val="18"/>
                <w:szCs w:val="18"/>
                <w:lang w:val="es-ES_tradnl"/>
              </w:rPr>
            </w:pPr>
            <w:r>
              <w:rPr>
                <w:rFonts w:ascii="Arial" w:hAnsi="Arial" w:cs="Arial"/>
                <w:b/>
                <w:sz w:val="18"/>
                <w:szCs w:val="18"/>
                <w:lang w:val="es-ES_tradnl"/>
              </w:rPr>
              <w:t xml:space="preserve">Marco </w:t>
            </w:r>
            <w:r w:rsidR="00F32826">
              <w:rPr>
                <w:rFonts w:ascii="Arial" w:hAnsi="Arial" w:cs="Arial"/>
                <w:b/>
                <w:sz w:val="18"/>
                <w:szCs w:val="18"/>
                <w:lang w:val="es-ES_tradnl"/>
              </w:rPr>
              <w:t>Institucional</w:t>
            </w:r>
            <w:r>
              <w:rPr>
                <w:rFonts w:ascii="Arial" w:hAnsi="Arial" w:cs="Arial"/>
                <w:b/>
                <w:sz w:val="18"/>
                <w:szCs w:val="18"/>
                <w:lang w:val="es-ES_tradnl"/>
              </w:rPr>
              <w:t xml:space="preserve"> del Sector</w:t>
            </w:r>
          </w:p>
        </w:tc>
      </w:tr>
      <w:tr w:rsidR="00F2208C" w:rsidRPr="00E043F6" w14:paraId="5BDBB949" w14:textId="77777777" w:rsidTr="007A4AEE">
        <w:trPr>
          <w:trHeight w:val="142"/>
        </w:trPr>
        <w:tc>
          <w:tcPr>
            <w:tcW w:w="1396" w:type="pct"/>
            <w:vAlign w:val="center"/>
          </w:tcPr>
          <w:p w14:paraId="04DE0318" w14:textId="1D51E663" w:rsidR="00F32826" w:rsidRPr="00F940F5" w:rsidRDefault="00C414F3" w:rsidP="00E043F6">
            <w:pPr>
              <w:rPr>
                <w:rFonts w:ascii="Arial" w:hAnsi="Arial" w:cs="Arial"/>
                <w:sz w:val="18"/>
                <w:szCs w:val="18"/>
                <w:lang w:val="es-ES_tradnl"/>
              </w:rPr>
            </w:pPr>
            <w:r w:rsidRPr="00E043F6">
              <w:rPr>
                <w:rFonts w:ascii="Arial" w:hAnsi="Arial" w:cs="Arial"/>
                <w:sz w:val="18"/>
                <w:szCs w:val="18"/>
                <w:lang w:val="es-ES_tradnl"/>
              </w:rPr>
              <w:t>Municipios apoyados con asistencia técnica en materia de eficiencia energética en los servicios públicos de su competencia.</w:t>
            </w:r>
          </w:p>
        </w:tc>
        <w:tc>
          <w:tcPr>
            <w:tcW w:w="1311" w:type="pct"/>
            <w:vAlign w:val="center"/>
          </w:tcPr>
          <w:p w14:paraId="5429599A" w14:textId="28BBF2C3" w:rsidR="00F32826" w:rsidRPr="00F940F5" w:rsidRDefault="00F32826" w:rsidP="00795618">
            <w:pPr>
              <w:jc w:val="center"/>
              <w:rPr>
                <w:rFonts w:ascii="Arial" w:hAnsi="Arial" w:cs="Arial"/>
                <w:sz w:val="18"/>
                <w:szCs w:val="18"/>
                <w:lang w:val="es-AR"/>
              </w:rPr>
            </w:pPr>
            <w:r>
              <w:rPr>
                <w:rFonts w:ascii="Arial" w:hAnsi="Arial" w:cs="Arial"/>
                <w:sz w:val="18"/>
                <w:szCs w:val="18"/>
                <w:lang w:val="es-AR"/>
              </w:rPr>
              <w:t>Número de municipios</w:t>
            </w:r>
            <w:r w:rsidR="00950E1B">
              <w:rPr>
                <w:rFonts w:ascii="Arial" w:hAnsi="Arial" w:cs="Arial"/>
                <w:sz w:val="18"/>
                <w:szCs w:val="18"/>
                <w:lang w:val="es-AR"/>
              </w:rPr>
              <w:t>.</w:t>
            </w:r>
          </w:p>
        </w:tc>
        <w:tc>
          <w:tcPr>
            <w:tcW w:w="541" w:type="pct"/>
            <w:shd w:val="clear" w:color="auto" w:fill="auto"/>
            <w:vAlign w:val="center"/>
          </w:tcPr>
          <w:p w14:paraId="515F5764" w14:textId="3DD1F39D" w:rsidR="00F32826" w:rsidRDefault="00F32826" w:rsidP="00795618">
            <w:pPr>
              <w:jc w:val="center"/>
              <w:rPr>
                <w:rFonts w:ascii="Arial" w:hAnsi="Arial" w:cs="Arial"/>
                <w:sz w:val="18"/>
                <w:szCs w:val="18"/>
                <w:lang w:val="es-AR"/>
              </w:rPr>
            </w:pPr>
            <w:r>
              <w:rPr>
                <w:rFonts w:ascii="Arial" w:hAnsi="Arial" w:cs="Arial"/>
                <w:sz w:val="18"/>
                <w:szCs w:val="18"/>
                <w:lang w:val="es-AR"/>
              </w:rPr>
              <w:t>750</w:t>
            </w:r>
          </w:p>
        </w:tc>
        <w:tc>
          <w:tcPr>
            <w:tcW w:w="406" w:type="pct"/>
            <w:shd w:val="clear" w:color="auto" w:fill="auto"/>
            <w:vAlign w:val="center"/>
          </w:tcPr>
          <w:p w14:paraId="51A86720" w14:textId="7E598ED6" w:rsidR="00F32826" w:rsidRDefault="009E59B5" w:rsidP="00795618">
            <w:pPr>
              <w:jc w:val="center"/>
              <w:rPr>
                <w:rFonts w:ascii="Arial" w:hAnsi="Arial" w:cs="Arial"/>
                <w:sz w:val="18"/>
                <w:szCs w:val="18"/>
                <w:lang w:val="es-ES_tradnl"/>
              </w:rPr>
            </w:pPr>
            <w:r>
              <w:rPr>
                <w:rFonts w:ascii="Arial" w:hAnsi="Arial" w:cs="Arial"/>
                <w:sz w:val="18"/>
                <w:szCs w:val="18"/>
                <w:lang w:val="es-ES_tradnl"/>
              </w:rPr>
              <w:t>1.</w:t>
            </w:r>
            <w:r w:rsidR="00F32826">
              <w:rPr>
                <w:rFonts w:ascii="Arial" w:hAnsi="Arial" w:cs="Arial"/>
                <w:sz w:val="18"/>
                <w:szCs w:val="18"/>
                <w:lang w:val="es-ES_tradnl"/>
              </w:rPr>
              <w:t>500</w:t>
            </w:r>
          </w:p>
        </w:tc>
        <w:tc>
          <w:tcPr>
            <w:tcW w:w="1346" w:type="pct"/>
            <w:shd w:val="clear" w:color="auto" w:fill="auto"/>
            <w:vAlign w:val="center"/>
          </w:tcPr>
          <w:p w14:paraId="4489219F" w14:textId="545A23B1" w:rsidR="00F32826" w:rsidRPr="00F940F5" w:rsidRDefault="00F32826" w:rsidP="00E043F6">
            <w:pPr>
              <w:jc w:val="center"/>
              <w:rPr>
                <w:rFonts w:ascii="Arial" w:hAnsi="Arial" w:cs="Arial"/>
                <w:sz w:val="18"/>
                <w:szCs w:val="18"/>
                <w:lang w:val="es-ES_tradnl"/>
              </w:rPr>
            </w:pPr>
            <w:r w:rsidRPr="007878EE">
              <w:rPr>
                <w:rFonts w:ascii="Arial" w:hAnsi="Arial" w:cs="Arial"/>
                <w:sz w:val="19"/>
                <w:szCs w:val="19"/>
                <w:lang w:val="es-ES_tradnl"/>
              </w:rPr>
              <w:t>PRONASE.</w:t>
            </w:r>
          </w:p>
        </w:tc>
      </w:tr>
      <w:tr w:rsidR="00F2208C" w:rsidRPr="001C7BE0" w14:paraId="46123671" w14:textId="77777777" w:rsidTr="00F2208C">
        <w:trPr>
          <w:trHeight w:val="142"/>
        </w:trPr>
        <w:tc>
          <w:tcPr>
            <w:tcW w:w="5000" w:type="pct"/>
            <w:gridSpan w:val="5"/>
            <w:vAlign w:val="center"/>
          </w:tcPr>
          <w:p w14:paraId="7C864501" w14:textId="17A17E08" w:rsidR="00F2208C" w:rsidRPr="007A4AEE" w:rsidRDefault="00F2208C" w:rsidP="007A4AEE">
            <w:pPr>
              <w:pStyle w:val="ListParagraph"/>
              <w:numPr>
                <w:ilvl w:val="0"/>
                <w:numId w:val="34"/>
              </w:numPr>
              <w:ind w:left="256" w:hanging="270"/>
              <w:rPr>
                <w:rFonts w:ascii="Arial" w:hAnsi="Arial" w:cs="Arial"/>
                <w:b/>
                <w:sz w:val="18"/>
                <w:szCs w:val="18"/>
                <w:lang w:val="es-ES_tradnl"/>
              </w:rPr>
            </w:pPr>
            <w:r>
              <w:rPr>
                <w:rFonts w:ascii="Arial" w:hAnsi="Arial" w:cs="Arial"/>
                <w:b/>
                <w:sz w:val="18"/>
                <w:szCs w:val="18"/>
                <w:lang w:val="es-ES_tradnl"/>
              </w:rPr>
              <w:t>Seguridad Energética</w:t>
            </w:r>
          </w:p>
        </w:tc>
      </w:tr>
      <w:tr w:rsidR="00F2208C" w:rsidRPr="006B046D" w14:paraId="75827BF4" w14:textId="77777777" w:rsidTr="007A4AEE">
        <w:trPr>
          <w:trHeight w:val="142"/>
        </w:trPr>
        <w:tc>
          <w:tcPr>
            <w:tcW w:w="1396" w:type="pct"/>
            <w:vAlign w:val="center"/>
          </w:tcPr>
          <w:p w14:paraId="343B6D34" w14:textId="64A714C3" w:rsidR="00F32826" w:rsidRPr="007A4AEE" w:rsidRDefault="00156639" w:rsidP="00795618">
            <w:pPr>
              <w:rPr>
                <w:rFonts w:ascii="Arial" w:hAnsi="Arial" w:cs="Arial"/>
                <w:sz w:val="18"/>
                <w:szCs w:val="18"/>
                <w:lang w:val="es-MX"/>
              </w:rPr>
            </w:pPr>
            <w:r>
              <w:rPr>
                <w:rFonts w:ascii="Arial" w:hAnsi="Arial" w:cs="Arial"/>
                <w:sz w:val="18"/>
                <w:szCs w:val="18"/>
                <w:lang w:val="es-ES_tradnl"/>
              </w:rPr>
              <w:t>Expans</w:t>
            </w:r>
            <w:r w:rsidR="004101AB">
              <w:rPr>
                <w:rFonts w:ascii="Arial" w:hAnsi="Arial" w:cs="Arial"/>
                <w:sz w:val="18"/>
                <w:szCs w:val="18"/>
                <w:lang w:val="es-ES_tradnl"/>
              </w:rPr>
              <w:t>ión de la red nacional de ga</w:t>
            </w:r>
            <w:r w:rsidR="009E59B5">
              <w:rPr>
                <w:rFonts w:ascii="Arial" w:hAnsi="Arial" w:cs="Arial"/>
                <w:sz w:val="18"/>
                <w:szCs w:val="18"/>
                <w:lang w:val="es-ES_tradnl"/>
              </w:rPr>
              <w:t>soductos</w:t>
            </w:r>
            <w:r>
              <w:rPr>
                <w:rFonts w:ascii="Arial" w:hAnsi="Arial" w:cs="Arial"/>
                <w:sz w:val="18"/>
                <w:szCs w:val="18"/>
                <w:lang w:val="es-ES_tradnl"/>
              </w:rPr>
              <w:t>.</w:t>
            </w:r>
          </w:p>
        </w:tc>
        <w:tc>
          <w:tcPr>
            <w:tcW w:w="1311" w:type="pct"/>
            <w:vAlign w:val="center"/>
          </w:tcPr>
          <w:p w14:paraId="66D945F8" w14:textId="6D329D10" w:rsidR="00F32826" w:rsidRPr="00F940F5" w:rsidRDefault="009E59B5" w:rsidP="00795618">
            <w:pPr>
              <w:jc w:val="center"/>
              <w:rPr>
                <w:rFonts w:ascii="Arial" w:hAnsi="Arial" w:cs="Arial"/>
                <w:sz w:val="18"/>
                <w:szCs w:val="18"/>
                <w:lang w:val="es-AR"/>
              </w:rPr>
            </w:pPr>
            <w:r>
              <w:rPr>
                <w:rFonts w:ascii="Arial" w:hAnsi="Arial" w:cs="Arial"/>
                <w:sz w:val="18"/>
                <w:szCs w:val="18"/>
                <w:lang w:val="es-AR"/>
              </w:rPr>
              <w:t>Kilómetros de gasoductos</w:t>
            </w:r>
            <w:r w:rsidR="00156639">
              <w:rPr>
                <w:rFonts w:ascii="Arial" w:hAnsi="Arial" w:cs="Arial"/>
                <w:sz w:val="18"/>
                <w:szCs w:val="18"/>
                <w:lang w:val="es-AR"/>
              </w:rPr>
              <w:t>.</w:t>
            </w:r>
            <w:r>
              <w:rPr>
                <w:rStyle w:val="FootnoteReference"/>
                <w:rFonts w:ascii="Arial" w:hAnsi="Arial" w:cs="Arial"/>
                <w:sz w:val="18"/>
                <w:szCs w:val="18"/>
                <w:lang w:val="es-AR"/>
              </w:rPr>
              <w:footnoteReference w:id="2"/>
            </w:r>
            <w:r w:rsidR="003F403F">
              <w:rPr>
                <w:rFonts w:ascii="Arial" w:hAnsi="Arial" w:cs="Arial"/>
                <w:sz w:val="18"/>
                <w:szCs w:val="18"/>
                <w:lang w:val="es-AR"/>
              </w:rPr>
              <w:br/>
            </w:r>
          </w:p>
        </w:tc>
        <w:tc>
          <w:tcPr>
            <w:tcW w:w="541" w:type="pct"/>
            <w:shd w:val="clear" w:color="auto" w:fill="auto"/>
            <w:vAlign w:val="center"/>
          </w:tcPr>
          <w:p w14:paraId="385E3261" w14:textId="3387B6A2" w:rsidR="00F32826" w:rsidRDefault="009E59B5" w:rsidP="00795618">
            <w:pPr>
              <w:jc w:val="center"/>
              <w:rPr>
                <w:rFonts w:ascii="Arial" w:hAnsi="Arial" w:cs="Arial"/>
                <w:sz w:val="18"/>
                <w:szCs w:val="18"/>
                <w:lang w:val="es-AR"/>
              </w:rPr>
            </w:pPr>
            <w:r>
              <w:rPr>
                <w:rFonts w:ascii="Arial" w:hAnsi="Arial" w:cs="Arial"/>
                <w:sz w:val="18"/>
                <w:szCs w:val="18"/>
                <w:lang w:val="es-AR"/>
              </w:rPr>
              <w:t>14.785</w:t>
            </w:r>
          </w:p>
        </w:tc>
        <w:tc>
          <w:tcPr>
            <w:tcW w:w="406" w:type="pct"/>
            <w:shd w:val="clear" w:color="auto" w:fill="auto"/>
            <w:vAlign w:val="center"/>
          </w:tcPr>
          <w:p w14:paraId="10BF93AD" w14:textId="7B961A2F" w:rsidR="00F32826" w:rsidRDefault="009E59B5" w:rsidP="00795618">
            <w:pPr>
              <w:jc w:val="center"/>
              <w:rPr>
                <w:rFonts w:ascii="Arial" w:hAnsi="Arial" w:cs="Arial"/>
                <w:sz w:val="18"/>
                <w:szCs w:val="18"/>
                <w:lang w:val="es-ES_tradnl"/>
              </w:rPr>
            </w:pPr>
            <w:r>
              <w:rPr>
                <w:rFonts w:ascii="Arial" w:hAnsi="Arial" w:cs="Arial"/>
                <w:sz w:val="18"/>
                <w:szCs w:val="18"/>
                <w:lang w:val="es-ES_tradnl"/>
              </w:rPr>
              <w:t>19.414</w:t>
            </w:r>
          </w:p>
        </w:tc>
        <w:tc>
          <w:tcPr>
            <w:tcW w:w="1346" w:type="pct"/>
            <w:shd w:val="clear" w:color="auto" w:fill="auto"/>
            <w:vAlign w:val="center"/>
          </w:tcPr>
          <w:p w14:paraId="2090FE8F" w14:textId="558B8F3C" w:rsidR="00F32826" w:rsidRPr="00F940F5" w:rsidRDefault="00156639" w:rsidP="00795618">
            <w:pPr>
              <w:jc w:val="center"/>
              <w:rPr>
                <w:rFonts w:ascii="Arial" w:hAnsi="Arial" w:cs="Arial"/>
                <w:sz w:val="18"/>
                <w:szCs w:val="18"/>
                <w:lang w:val="es-ES_tradnl"/>
              </w:rPr>
            </w:pPr>
            <w:r w:rsidRPr="78C0BD4D">
              <w:rPr>
                <w:rFonts w:ascii="Arial" w:hAnsi="Arial" w:cs="Arial"/>
                <w:color w:val="000000" w:themeColor="text1"/>
                <w:sz w:val="18"/>
                <w:szCs w:val="18"/>
                <w:lang w:val="es-ES"/>
              </w:rPr>
              <w:t xml:space="preserve">Informe de revisión anual del Plan Quinquenal de Expansión del </w:t>
            </w:r>
            <w:r>
              <w:rPr>
                <w:rFonts w:ascii="Arial" w:hAnsi="Arial" w:cs="Arial"/>
                <w:color w:val="000000" w:themeColor="text1"/>
                <w:sz w:val="18"/>
                <w:szCs w:val="18"/>
                <w:lang w:val="es-ES"/>
              </w:rPr>
              <w:t xml:space="preserve">Sistema de </w:t>
            </w:r>
            <w:r w:rsidRPr="78C0BD4D">
              <w:rPr>
                <w:rFonts w:ascii="Arial" w:hAnsi="Arial" w:cs="Arial"/>
                <w:color w:val="000000" w:themeColor="text1"/>
                <w:sz w:val="18"/>
                <w:szCs w:val="18"/>
                <w:lang w:val="es-ES"/>
              </w:rPr>
              <w:t>Trans</w:t>
            </w:r>
            <w:r>
              <w:rPr>
                <w:rFonts w:ascii="Arial" w:hAnsi="Arial" w:cs="Arial"/>
                <w:color w:val="000000" w:themeColor="text1"/>
                <w:sz w:val="18"/>
                <w:szCs w:val="18"/>
                <w:lang w:val="es-ES"/>
              </w:rPr>
              <w:t>porte y Almacenamiento Nacional Integrado de Gas N</w:t>
            </w:r>
            <w:r w:rsidRPr="78C0BD4D">
              <w:rPr>
                <w:rFonts w:ascii="Arial" w:hAnsi="Arial" w:cs="Arial"/>
                <w:color w:val="000000" w:themeColor="text1"/>
                <w:sz w:val="18"/>
                <w:szCs w:val="18"/>
                <w:lang w:val="es-ES"/>
              </w:rPr>
              <w:t>atural 2015-2019</w:t>
            </w:r>
            <w:r>
              <w:rPr>
                <w:rFonts w:ascii="Arial" w:hAnsi="Arial" w:cs="Arial"/>
                <w:color w:val="000000" w:themeColor="text1"/>
                <w:sz w:val="18"/>
                <w:szCs w:val="18"/>
                <w:lang w:val="es-ES"/>
              </w:rPr>
              <w:t>.</w:t>
            </w:r>
          </w:p>
        </w:tc>
      </w:tr>
      <w:tr w:rsidR="00F2208C" w:rsidRPr="00E043F6" w14:paraId="201A2F79" w14:textId="77777777" w:rsidTr="007A4AEE">
        <w:trPr>
          <w:trHeight w:val="142"/>
        </w:trPr>
        <w:tc>
          <w:tcPr>
            <w:tcW w:w="1396" w:type="pct"/>
            <w:vAlign w:val="center"/>
          </w:tcPr>
          <w:p w14:paraId="4FC5545D" w14:textId="6F24B6D2" w:rsidR="00F32826" w:rsidRPr="00F940F5" w:rsidRDefault="003F403F" w:rsidP="00795618">
            <w:pPr>
              <w:rPr>
                <w:rFonts w:ascii="Arial" w:hAnsi="Arial" w:cs="Arial"/>
                <w:sz w:val="18"/>
                <w:szCs w:val="18"/>
                <w:lang w:val="es-ES_tradnl"/>
              </w:rPr>
            </w:pPr>
            <w:r>
              <w:rPr>
                <w:rFonts w:ascii="Arial" w:hAnsi="Arial" w:cs="Arial"/>
                <w:sz w:val="18"/>
                <w:szCs w:val="18"/>
                <w:lang w:val="es-ES_tradnl"/>
              </w:rPr>
              <w:lastRenderedPageBreak/>
              <w:t>Reducción de pérdidas de energía eléctrica en distribución.</w:t>
            </w:r>
          </w:p>
        </w:tc>
        <w:tc>
          <w:tcPr>
            <w:tcW w:w="1311" w:type="pct"/>
            <w:vAlign w:val="center"/>
          </w:tcPr>
          <w:p w14:paraId="378430B1" w14:textId="77777777" w:rsidR="00F32826" w:rsidRDefault="00795618" w:rsidP="00795618">
            <w:pPr>
              <w:jc w:val="center"/>
              <w:rPr>
                <w:rFonts w:ascii="Arial" w:hAnsi="Arial" w:cs="Arial"/>
                <w:sz w:val="18"/>
                <w:szCs w:val="18"/>
                <w:lang w:val="es-ES_tradnl"/>
              </w:rPr>
            </w:pPr>
            <w:r>
              <w:rPr>
                <w:rFonts w:ascii="Arial" w:hAnsi="Arial" w:cs="Arial"/>
                <w:sz w:val="18"/>
                <w:szCs w:val="18"/>
                <w:lang w:val="es-ES_tradnl"/>
              </w:rPr>
              <w:t xml:space="preserve">Porcentaje de </w:t>
            </w:r>
            <w:r w:rsidR="00934562">
              <w:rPr>
                <w:rFonts w:ascii="Arial" w:hAnsi="Arial" w:cs="Arial"/>
                <w:sz w:val="18"/>
                <w:szCs w:val="18"/>
                <w:lang w:val="es-ES_tradnl"/>
              </w:rPr>
              <w:t>pérdidas de energía eléctrica</w:t>
            </w:r>
          </w:p>
          <w:p w14:paraId="604259D6" w14:textId="7F3D5716" w:rsidR="00934562" w:rsidRPr="007A4AEE" w:rsidRDefault="00934562" w:rsidP="00795618">
            <w:pPr>
              <w:jc w:val="center"/>
              <w:rPr>
                <w:rFonts w:ascii="Arial" w:hAnsi="Arial" w:cs="Arial"/>
                <w:sz w:val="18"/>
                <w:szCs w:val="18"/>
                <w:lang w:val="es-ES_tradnl"/>
              </w:rPr>
            </w:pPr>
            <w:r>
              <w:rPr>
                <w:rFonts w:ascii="Arial" w:hAnsi="Arial" w:cs="Arial"/>
                <w:sz w:val="18"/>
                <w:szCs w:val="18"/>
                <w:lang w:val="es-ES_tradnl"/>
              </w:rPr>
              <w:t>(%)</w:t>
            </w:r>
            <w:r w:rsidR="00950E1B">
              <w:rPr>
                <w:rFonts w:ascii="Arial" w:hAnsi="Arial" w:cs="Arial"/>
                <w:sz w:val="18"/>
                <w:szCs w:val="18"/>
                <w:lang w:val="es-ES_tradnl"/>
              </w:rPr>
              <w:t>.</w:t>
            </w:r>
          </w:p>
        </w:tc>
        <w:tc>
          <w:tcPr>
            <w:tcW w:w="541" w:type="pct"/>
            <w:shd w:val="clear" w:color="auto" w:fill="auto"/>
            <w:vAlign w:val="center"/>
          </w:tcPr>
          <w:p w14:paraId="6C7D4FB7" w14:textId="3419C9BA" w:rsidR="00F32826" w:rsidRDefault="00934562" w:rsidP="00795618">
            <w:pPr>
              <w:jc w:val="center"/>
              <w:rPr>
                <w:rFonts w:ascii="Arial" w:hAnsi="Arial" w:cs="Arial"/>
                <w:sz w:val="18"/>
                <w:szCs w:val="18"/>
                <w:lang w:val="es-AR"/>
              </w:rPr>
            </w:pPr>
            <w:r>
              <w:rPr>
                <w:rFonts w:ascii="Arial" w:hAnsi="Arial" w:cs="Arial"/>
                <w:sz w:val="18"/>
                <w:szCs w:val="18"/>
                <w:lang w:val="es-AR"/>
              </w:rPr>
              <w:t>13,1%</w:t>
            </w:r>
          </w:p>
        </w:tc>
        <w:tc>
          <w:tcPr>
            <w:tcW w:w="406" w:type="pct"/>
            <w:shd w:val="clear" w:color="auto" w:fill="auto"/>
            <w:vAlign w:val="center"/>
          </w:tcPr>
          <w:p w14:paraId="1E680BAE" w14:textId="12F9F2BA" w:rsidR="00F32826" w:rsidRDefault="00934562" w:rsidP="00795618">
            <w:pPr>
              <w:jc w:val="center"/>
              <w:rPr>
                <w:rFonts w:ascii="Arial" w:hAnsi="Arial" w:cs="Arial"/>
                <w:sz w:val="18"/>
                <w:szCs w:val="18"/>
                <w:lang w:val="es-ES_tradnl"/>
              </w:rPr>
            </w:pPr>
            <w:r>
              <w:rPr>
                <w:rFonts w:ascii="Arial" w:hAnsi="Arial" w:cs="Arial"/>
                <w:sz w:val="18"/>
                <w:szCs w:val="18"/>
                <w:lang w:val="es-ES_tradnl"/>
              </w:rPr>
              <w:t>10,0%</w:t>
            </w:r>
            <w:r>
              <w:rPr>
                <w:rFonts w:ascii="Arial" w:hAnsi="Arial" w:cs="Arial"/>
                <w:sz w:val="18"/>
                <w:szCs w:val="18"/>
                <w:lang w:val="es-ES_tradnl"/>
              </w:rPr>
              <w:br/>
              <w:t>(2018)</w:t>
            </w:r>
          </w:p>
        </w:tc>
        <w:tc>
          <w:tcPr>
            <w:tcW w:w="1346" w:type="pct"/>
            <w:shd w:val="clear" w:color="auto" w:fill="auto"/>
            <w:vAlign w:val="center"/>
          </w:tcPr>
          <w:p w14:paraId="6D9F75FB" w14:textId="77777777" w:rsidR="00F32826" w:rsidRDefault="00934562" w:rsidP="00795618">
            <w:pPr>
              <w:jc w:val="center"/>
              <w:rPr>
                <w:rFonts w:ascii="Arial" w:hAnsi="Arial" w:cs="Arial"/>
                <w:sz w:val="18"/>
                <w:szCs w:val="18"/>
                <w:lang w:val="es-ES_tradnl"/>
              </w:rPr>
            </w:pPr>
            <w:r>
              <w:rPr>
                <w:rFonts w:ascii="Arial" w:hAnsi="Arial" w:cs="Arial"/>
                <w:sz w:val="18"/>
                <w:szCs w:val="18"/>
                <w:lang w:val="es-ES_tradnl"/>
              </w:rPr>
              <w:t>P</w:t>
            </w:r>
            <w:r w:rsidR="004A51E1">
              <w:rPr>
                <w:rFonts w:ascii="Arial" w:hAnsi="Arial" w:cs="Arial"/>
                <w:sz w:val="18"/>
                <w:szCs w:val="18"/>
                <w:lang w:val="es-ES_tradnl"/>
              </w:rPr>
              <w:t>rograma de Desarrollo del Sector Eléctrico Nacional</w:t>
            </w:r>
          </w:p>
          <w:p w14:paraId="1894D0C7" w14:textId="68B9A7B8" w:rsidR="004A51E1" w:rsidRPr="00F940F5" w:rsidRDefault="004A51E1" w:rsidP="00795618">
            <w:pPr>
              <w:jc w:val="center"/>
              <w:rPr>
                <w:rFonts w:ascii="Arial" w:hAnsi="Arial" w:cs="Arial"/>
                <w:sz w:val="18"/>
                <w:szCs w:val="18"/>
                <w:lang w:val="es-ES_tradnl"/>
              </w:rPr>
            </w:pPr>
            <w:r>
              <w:rPr>
                <w:rFonts w:ascii="Arial" w:hAnsi="Arial" w:cs="Arial"/>
                <w:sz w:val="18"/>
                <w:szCs w:val="18"/>
                <w:lang w:val="es-ES_tradnl"/>
              </w:rPr>
              <w:t>SENER.</w:t>
            </w:r>
          </w:p>
        </w:tc>
      </w:tr>
      <w:tr w:rsidR="00950E1B" w:rsidRPr="001C7BE0" w14:paraId="500FE1F4" w14:textId="77777777" w:rsidTr="00950E1B">
        <w:trPr>
          <w:trHeight w:val="142"/>
        </w:trPr>
        <w:tc>
          <w:tcPr>
            <w:tcW w:w="5000" w:type="pct"/>
            <w:gridSpan w:val="5"/>
            <w:vAlign w:val="center"/>
          </w:tcPr>
          <w:p w14:paraId="7B6E4311" w14:textId="3C470F65" w:rsidR="00950E1B" w:rsidRPr="007A4AEE" w:rsidRDefault="00950E1B" w:rsidP="007A4AEE">
            <w:pPr>
              <w:pStyle w:val="ListParagraph"/>
              <w:numPr>
                <w:ilvl w:val="0"/>
                <w:numId w:val="34"/>
              </w:numPr>
              <w:ind w:left="346" w:hanging="360"/>
              <w:rPr>
                <w:rFonts w:ascii="Arial" w:hAnsi="Arial" w:cs="Arial"/>
                <w:b/>
                <w:sz w:val="18"/>
                <w:szCs w:val="18"/>
                <w:lang w:val="es-ES_tradnl"/>
              </w:rPr>
            </w:pPr>
            <w:r>
              <w:rPr>
                <w:rFonts w:ascii="Arial" w:hAnsi="Arial" w:cs="Arial"/>
                <w:b/>
                <w:sz w:val="18"/>
                <w:szCs w:val="18"/>
                <w:lang w:val="es-ES_tradnl"/>
              </w:rPr>
              <w:t>Aprovechamiento Sustentable de Energía</w:t>
            </w:r>
          </w:p>
        </w:tc>
      </w:tr>
      <w:tr w:rsidR="00950E1B" w:rsidRPr="006B046D" w14:paraId="2FF2C5C2" w14:textId="77777777" w:rsidTr="007A4AEE">
        <w:trPr>
          <w:trHeight w:val="142"/>
        </w:trPr>
        <w:tc>
          <w:tcPr>
            <w:tcW w:w="1396" w:type="pct"/>
            <w:vAlign w:val="center"/>
          </w:tcPr>
          <w:p w14:paraId="5810B0D1" w14:textId="472ED1AB" w:rsidR="00950E1B" w:rsidRPr="00F940F5" w:rsidRDefault="00950E1B" w:rsidP="00950E1B">
            <w:pPr>
              <w:rPr>
                <w:rFonts w:ascii="Arial" w:hAnsi="Arial" w:cs="Arial"/>
                <w:sz w:val="18"/>
                <w:szCs w:val="18"/>
                <w:lang w:val="es-ES_tradnl"/>
              </w:rPr>
            </w:pPr>
            <w:r>
              <w:rPr>
                <w:rFonts w:ascii="Arial" w:hAnsi="Arial" w:cs="Arial"/>
                <w:sz w:val="18"/>
                <w:szCs w:val="18"/>
                <w:lang w:val="es-ES_tradnl"/>
              </w:rPr>
              <w:t>Reducción del crecimiento promedio anual de la intensidad energética.</w:t>
            </w:r>
          </w:p>
        </w:tc>
        <w:tc>
          <w:tcPr>
            <w:tcW w:w="1311" w:type="pct"/>
            <w:vAlign w:val="center"/>
          </w:tcPr>
          <w:p w14:paraId="135C2176" w14:textId="6302C4A4" w:rsidR="00950E1B" w:rsidRPr="00F940F5" w:rsidRDefault="004A51E1" w:rsidP="00950E1B">
            <w:pPr>
              <w:jc w:val="center"/>
              <w:rPr>
                <w:rFonts w:ascii="Arial" w:hAnsi="Arial" w:cs="Arial"/>
                <w:sz w:val="18"/>
                <w:szCs w:val="18"/>
                <w:lang w:val="es-AR"/>
              </w:rPr>
            </w:pPr>
            <w:r w:rsidRPr="00993D6B">
              <w:rPr>
                <w:rFonts w:ascii="Arial" w:hAnsi="Arial" w:cs="Arial"/>
                <w:sz w:val="18"/>
                <w:szCs w:val="18"/>
                <w:lang w:val="es-AR"/>
              </w:rPr>
              <w:t>Porcentaje de reducción del promedio anual de la intensidad energética</w:t>
            </w:r>
            <w:r w:rsidRPr="00993D6B">
              <w:rPr>
                <w:rStyle w:val="FootnoteReference"/>
                <w:rFonts w:cs="Arial"/>
                <w:sz w:val="18"/>
                <w:szCs w:val="18"/>
                <w:lang w:val="es-AR"/>
              </w:rPr>
              <w:footnoteReference w:id="3"/>
            </w:r>
            <w:r w:rsidRPr="00993D6B">
              <w:rPr>
                <w:rFonts w:ascii="Arial" w:hAnsi="Arial" w:cs="Arial"/>
                <w:sz w:val="18"/>
                <w:szCs w:val="18"/>
                <w:lang w:val="es-AR"/>
              </w:rPr>
              <w:t xml:space="preserve"> (reducción de KJ/$ producido).</w:t>
            </w:r>
          </w:p>
        </w:tc>
        <w:tc>
          <w:tcPr>
            <w:tcW w:w="541" w:type="pct"/>
            <w:shd w:val="clear" w:color="auto" w:fill="auto"/>
            <w:vAlign w:val="center"/>
          </w:tcPr>
          <w:p w14:paraId="507C760C" w14:textId="683FCFF3" w:rsidR="00950E1B" w:rsidRDefault="00950E1B" w:rsidP="00950E1B">
            <w:pPr>
              <w:jc w:val="center"/>
              <w:rPr>
                <w:rFonts w:ascii="Arial" w:hAnsi="Arial" w:cs="Arial"/>
                <w:sz w:val="18"/>
                <w:szCs w:val="18"/>
                <w:lang w:val="es-AR"/>
              </w:rPr>
            </w:pPr>
            <w:r>
              <w:rPr>
                <w:rFonts w:ascii="Arial" w:hAnsi="Arial" w:cs="Arial"/>
                <w:sz w:val="18"/>
                <w:szCs w:val="18"/>
                <w:lang w:val="es-AR"/>
              </w:rPr>
              <w:t>-0,15</w:t>
            </w:r>
            <w:r>
              <w:rPr>
                <w:rStyle w:val="FootnoteReference"/>
                <w:rFonts w:ascii="Arial" w:hAnsi="Arial" w:cs="Arial"/>
                <w:sz w:val="18"/>
                <w:szCs w:val="18"/>
                <w:lang w:val="es-AR"/>
              </w:rPr>
              <w:footnoteReference w:id="4"/>
            </w:r>
          </w:p>
        </w:tc>
        <w:tc>
          <w:tcPr>
            <w:tcW w:w="406" w:type="pct"/>
            <w:shd w:val="clear" w:color="auto" w:fill="auto"/>
            <w:vAlign w:val="center"/>
          </w:tcPr>
          <w:p w14:paraId="51C97D74" w14:textId="27F7CCBE" w:rsidR="00950E1B" w:rsidRDefault="00950E1B" w:rsidP="00950E1B">
            <w:pPr>
              <w:jc w:val="center"/>
              <w:rPr>
                <w:rFonts w:ascii="Arial" w:hAnsi="Arial" w:cs="Arial"/>
                <w:sz w:val="18"/>
                <w:szCs w:val="18"/>
                <w:lang w:val="es-ES_tradnl"/>
              </w:rPr>
            </w:pPr>
            <w:r>
              <w:rPr>
                <w:rFonts w:ascii="Arial" w:hAnsi="Arial" w:cs="Arial"/>
                <w:sz w:val="18"/>
                <w:szCs w:val="18"/>
                <w:lang w:val="es-ES_tradnl"/>
              </w:rPr>
              <w:t>-1,</w:t>
            </w:r>
            <w:r w:rsidR="001F566D">
              <w:rPr>
                <w:rFonts w:ascii="Arial" w:hAnsi="Arial" w:cs="Arial"/>
                <w:sz w:val="18"/>
                <w:szCs w:val="18"/>
                <w:lang w:val="es-ES_tradnl"/>
              </w:rPr>
              <w:t>90</w:t>
            </w:r>
            <w:r>
              <w:rPr>
                <w:rStyle w:val="FootnoteReference"/>
                <w:rFonts w:ascii="Arial" w:hAnsi="Arial" w:cs="Arial"/>
                <w:sz w:val="18"/>
                <w:szCs w:val="18"/>
                <w:lang w:val="es-ES_tradnl"/>
              </w:rPr>
              <w:footnoteReference w:id="5"/>
            </w:r>
          </w:p>
        </w:tc>
        <w:tc>
          <w:tcPr>
            <w:tcW w:w="1346" w:type="pct"/>
            <w:shd w:val="clear" w:color="auto" w:fill="auto"/>
            <w:vAlign w:val="center"/>
          </w:tcPr>
          <w:p w14:paraId="39DEB5D7" w14:textId="579575F1" w:rsidR="00950E1B" w:rsidRPr="00F940F5" w:rsidRDefault="00950E1B" w:rsidP="00950E1B">
            <w:pPr>
              <w:jc w:val="center"/>
              <w:rPr>
                <w:rFonts w:ascii="Arial" w:hAnsi="Arial" w:cs="Arial"/>
                <w:sz w:val="18"/>
                <w:szCs w:val="18"/>
                <w:lang w:val="es-ES_tradnl"/>
              </w:rPr>
            </w:pPr>
            <w:r>
              <w:rPr>
                <w:rFonts w:ascii="Arial" w:hAnsi="Arial" w:cs="Arial"/>
                <w:sz w:val="18"/>
                <w:szCs w:val="18"/>
                <w:lang w:val="es-ES_tradnl"/>
              </w:rPr>
              <w:t>Balance Nacional de Energía</w:t>
            </w:r>
            <w:r w:rsidR="001F566D">
              <w:rPr>
                <w:rFonts w:ascii="Arial" w:hAnsi="Arial" w:cs="Arial"/>
                <w:sz w:val="18"/>
                <w:szCs w:val="18"/>
                <w:lang w:val="es-ES_tradnl"/>
              </w:rPr>
              <w:t xml:space="preserve"> SENER</w:t>
            </w:r>
          </w:p>
        </w:tc>
      </w:tr>
      <w:tr w:rsidR="00950E1B" w:rsidRPr="006B046D" w14:paraId="0FCB835A" w14:textId="77777777" w:rsidTr="007A4AEE">
        <w:trPr>
          <w:trHeight w:val="142"/>
        </w:trPr>
        <w:tc>
          <w:tcPr>
            <w:tcW w:w="1396" w:type="pct"/>
            <w:vAlign w:val="center"/>
          </w:tcPr>
          <w:p w14:paraId="221DD906" w14:textId="263A78EA" w:rsidR="00950E1B" w:rsidRPr="00F940F5" w:rsidRDefault="00950E1B" w:rsidP="00950E1B">
            <w:pPr>
              <w:rPr>
                <w:rFonts w:ascii="Arial" w:hAnsi="Arial" w:cs="Arial"/>
                <w:sz w:val="18"/>
                <w:szCs w:val="18"/>
                <w:lang w:val="es-ES_tradnl"/>
              </w:rPr>
            </w:pPr>
            <w:r>
              <w:rPr>
                <w:rFonts w:ascii="Arial" w:hAnsi="Arial" w:cs="Arial"/>
                <w:sz w:val="18"/>
                <w:szCs w:val="18"/>
                <w:lang w:val="es-ES_tradnl"/>
              </w:rPr>
              <w:t>Incremento de la participación de energías limpias en la generación de energía eléctrica.</w:t>
            </w:r>
          </w:p>
        </w:tc>
        <w:tc>
          <w:tcPr>
            <w:tcW w:w="1311" w:type="pct"/>
            <w:vAlign w:val="center"/>
          </w:tcPr>
          <w:p w14:paraId="25C65A80" w14:textId="77777777" w:rsidR="00950E1B" w:rsidRDefault="00950E1B" w:rsidP="00950E1B">
            <w:pPr>
              <w:jc w:val="center"/>
              <w:rPr>
                <w:rFonts w:ascii="Arial" w:hAnsi="Arial" w:cs="Arial"/>
                <w:sz w:val="18"/>
                <w:szCs w:val="18"/>
                <w:lang w:val="es-ES_tradnl"/>
              </w:rPr>
            </w:pPr>
            <w:r>
              <w:rPr>
                <w:rFonts w:ascii="Arial" w:hAnsi="Arial" w:cs="Arial"/>
                <w:sz w:val="18"/>
                <w:szCs w:val="18"/>
                <w:lang w:val="es-ES_tradnl"/>
              </w:rPr>
              <w:t>Porcentaje de participación de energía limpias en la generación de energía eléctrica</w:t>
            </w:r>
          </w:p>
          <w:p w14:paraId="6E1B7206" w14:textId="287FD809" w:rsidR="00950E1B" w:rsidRPr="007A4AEE" w:rsidRDefault="00950E1B" w:rsidP="00950E1B">
            <w:pPr>
              <w:jc w:val="center"/>
              <w:rPr>
                <w:rFonts w:ascii="Arial" w:hAnsi="Arial" w:cs="Arial"/>
                <w:sz w:val="18"/>
                <w:szCs w:val="18"/>
                <w:lang w:val="es-ES_tradnl"/>
              </w:rPr>
            </w:pPr>
            <w:r>
              <w:rPr>
                <w:rFonts w:ascii="Arial" w:hAnsi="Arial" w:cs="Arial"/>
                <w:sz w:val="18"/>
                <w:szCs w:val="18"/>
                <w:lang w:val="es-ES_tradnl"/>
              </w:rPr>
              <w:t>(</w:t>
            </w:r>
            <w:r w:rsidR="001F566D">
              <w:rPr>
                <w:rFonts w:ascii="Arial" w:hAnsi="Arial" w:cs="Arial"/>
                <w:sz w:val="18"/>
                <w:szCs w:val="18"/>
                <w:lang w:val="es-ES_tradnl"/>
              </w:rPr>
              <w:t>%</w:t>
            </w:r>
            <w:r>
              <w:rPr>
                <w:rFonts w:ascii="Arial" w:hAnsi="Arial" w:cs="Arial"/>
                <w:sz w:val="18"/>
                <w:szCs w:val="18"/>
                <w:lang w:val="es-ES_tradnl"/>
              </w:rPr>
              <w:t>).</w:t>
            </w:r>
          </w:p>
        </w:tc>
        <w:tc>
          <w:tcPr>
            <w:tcW w:w="541" w:type="pct"/>
            <w:shd w:val="clear" w:color="auto" w:fill="auto"/>
            <w:vAlign w:val="center"/>
          </w:tcPr>
          <w:p w14:paraId="2DF24EE3" w14:textId="3624EC7D" w:rsidR="00950E1B" w:rsidRDefault="00950E1B" w:rsidP="00950E1B">
            <w:pPr>
              <w:jc w:val="center"/>
              <w:rPr>
                <w:rFonts w:ascii="Arial" w:hAnsi="Arial" w:cs="Arial"/>
                <w:sz w:val="18"/>
                <w:szCs w:val="18"/>
                <w:lang w:val="es-AR"/>
              </w:rPr>
            </w:pPr>
            <w:r>
              <w:rPr>
                <w:rFonts w:ascii="Arial" w:hAnsi="Arial" w:cs="Arial"/>
                <w:sz w:val="18"/>
                <w:szCs w:val="18"/>
                <w:lang w:val="es-AR"/>
              </w:rPr>
              <w:t>20</w:t>
            </w:r>
            <w:r w:rsidR="00696049">
              <w:rPr>
                <w:rFonts w:ascii="Arial" w:hAnsi="Arial" w:cs="Arial"/>
                <w:sz w:val="18"/>
                <w:szCs w:val="18"/>
                <w:lang w:val="es-AR"/>
              </w:rPr>
              <w:t>,0</w:t>
            </w:r>
            <w:r>
              <w:rPr>
                <w:rFonts w:ascii="Arial" w:hAnsi="Arial" w:cs="Arial"/>
                <w:sz w:val="18"/>
                <w:szCs w:val="18"/>
                <w:lang w:val="es-AR"/>
              </w:rPr>
              <w:t>%</w:t>
            </w:r>
          </w:p>
        </w:tc>
        <w:tc>
          <w:tcPr>
            <w:tcW w:w="406" w:type="pct"/>
            <w:shd w:val="clear" w:color="auto" w:fill="auto"/>
            <w:vAlign w:val="center"/>
          </w:tcPr>
          <w:p w14:paraId="43C913EF" w14:textId="7B23E13E" w:rsidR="00950E1B" w:rsidRDefault="00950E1B" w:rsidP="00950E1B">
            <w:pPr>
              <w:jc w:val="center"/>
              <w:rPr>
                <w:rFonts w:ascii="Arial" w:hAnsi="Arial" w:cs="Arial"/>
                <w:sz w:val="18"/>
                <w:szCs w:val="18"/>
                <w:lang w:val="es-ES_tradnl"/>
              </w:rPr>
            </w:pPr>
            <w:r>
              <w:rPr>
                <w:rFonts w:ascii="Arial" w:hAnsi="Arial" w:cs="Arial"/>
                <w:sz w:val="18"/>
                <w:szCs w:val="18"/>
                <w:lang w:val="es-ES_tradnl"/>
              </w:rPr>
              <w:t>24</w:t>
            </w:r>
            <w:r w:rsidR="00696049">
              <w:rPr>
                <w:rFonts w:ascii="Arial" w:hAnsi="Arial" w:cs="Arial"/>
                <w:sz w:val="18"/>
                <w:szCs w:val="18"/>
                <w:lang w:val="es-ES_tradnl"/>
              </w:rPr>
              <w:t>,0</w:t>
            </w:r>
            <w:r>
              <w:rPr>
                <w:rFonts w:ascii="Arial" w:hAnsi="Arial" w:cs="Arial"/>
                <w:sz w:val="18"/>
                <w:szCs w:val="18"/>
                <w:lang w:val="es-ES_tradnl"/>
              </w:rPr>
              <w:t>%</w:t>
            </w:r>
            <w:r>
              <w:rPr>
                <w:rFonts w:ascii="Arial" w:hAnsi="Arial" w:cs="Arial"/>
                <w:sz w:val="18"/>
                <w:szCs w:val="18"/>
                <w:lang w:val="es-ES_tradnl"/>
              </w:rPr>
              <w:br/>
              <w:t>(2020)</w:t>
            </w:r>
          </w:p>
        </w:tc>
        <w:tc>
          <w:tcPr>
            <w:tcW w:w="1346" w:type="pct"/>
            <w:shd w:val="clear" w:color="auto" w:fill="auto"/>
            <w:vAlign w:val="center"/>
          </w:tcPr>
          <w:p w14:paraId="140E9DE1" w14:textId="7C9874D5" w:rsidR="00950E1B" w:rsidRPr="00F940F5" w:rsidRDefault="00950E1B" w:rsidP="00950E1B">
            <w:pPr>
              <w:jc w:val="center"/>
              <w:rPr>
                <w:rFonts w:ascii="Arial" w:hAnsi="Arial" w:cs="Arial"/>
                <w:sz w:val="18"/>
                <w:szCs w:val="18"/>
                <w:lang w:val="es-ES_tradnl"/>
              </w:rPr>
            </w:pPr>
            <w:r>
              <w:rPr>
                <w:rFonts w:ascii="Arial" w:hAnsi="Arial" w:cs="Arial"/>
                <w:sz w:val="18"/>
                <w:szCs w:val="18"/>
                <w:lang w:val="es-ES_tradnl"/>
              </w:rPr>
              <w:t>Balance Nacional de Energía</w:t>
            </w:r>
            <w:r w:rsidR="001F566D">
              <w:rPr>
                <w:rFonts w:ascii="Arial" w:hAnsi="Arial" w:cs="Arial"/>
                <w:sz w:val="18"/>
                <w:szCs w:val="18"/>
                <w:lang w:val="es-ES_tradnl"/>
              </w:rPr>
              <w:t xml:space="preserve"> SENER</w:t>
            </w:r>
          </w:p>
        </w:tc>
      </w:tr>
      <w:tr w:rsidR="00950E1B" w:rsidRPr="006B046D" w14:paraId="041C7F78" w14:textId="77777777" w:rsidTr="00950E1B">
        <w:trPr>
          <w:trHeight w:val="142"/>
        </w:trPr>
        <w:tc>
          <w:tcPr>
            <w:tcW w:w="5000" w:type="pct"/>
            <w:gridSpan w:val="5"/>
            <w:vAlign w:val="center"/>
          </w:tcPr>
          <w:p w14:paraId="53D3EC49" w14:textId="191EF3DF" w:rsidR="00950E1B" w:rsidRPr="00273D71" w:rsidRDefault="00950E1B" w:rsidP="00273D71">
            <w:pPr>
              <w:pStyle w:val="ListParagraph"/>
              <w:numPr>
                <w:ilvl w:val="0"/>
                <w:numId w:val="34"/>
              </w:numPr>
              <w:ind w:left="346" w:hanging="360"/>
              <w:rPr>
                <w:rFonts w:ascii="Arial" w:hAnsi="Arial" w:cs="Arial"/>
                <w:b/>
                <w:sz w:val="18"/>
                <w:szCs w:val="18"/>
                <w:lang w:val="es-ES_tradnl"/>
              </w:rPr>
            </w:pPr>
            <w:r>
              <w:rPr>
                <w:rFonts w:ascii="Arial" w:hAnsi="Arial" w:cs="Arial"/>
                <w:b/>
                <w:sz w:val="18"/>
                <w:szCs w:val="18"/>
                <w:lang w:val="es-ES_tradnl"/>
              </w:rPr>
              <w:t>Acceso a Electricidad Mediante Energías Limpias</w:t>
            </w:r>
          </w:p>
        </w:tc>
      </w:tr>
      <w:tr w:rsidR="00950E1B" w:rsidRPr="006B046D" w14:paraId="0CFD5106" w14:textId="77777777" w:rsidTr="00273D71">
        <w:trPr>
          <w:trHeight w:val="142"/>
        </w:trPr>
        <w:tc>
          <w:tcPr>
            <w:tcW w:w="1396" w:type="pct"/>
            <w:vAlign w:val="center"/>
          </w:tcPr>
          <w:p w14:paraId="33960F5B" w14:textId="4875116A" w:rsidR="00950E1B" w:rsidRPr="00F940F5" w:rsidRDefault="00696049" w:rsidP="00950E1B">
            <w:pPr>
              <w:rPr>
                <w:rFonts w:ascii="Arial" w:hAnsi="Arial" w:cs="Arial"/>
                <w:sz w:val="18"/>
                <w:szCs w:val="18"/>
                <w:lang w:val="es-ES_tradnl"/>
              </w:rPr>
            </w:pPr>
            <w:r>
              <w:rPr>
                <w:rFonts w:ascii="Arial" w:hAnsi="Arial" w:cs="Arial"/>
                <w:sz w:val="18"/>
                <w:szCs w:val="18"/>
                <w:lang w:val="es-ES_tradnl"/>
              </w:rPr>
              <w:t>Incremento de la cobertura de acceso a la energía eléctrica, a nivel nacional.</w:t>
            </w:r>
          </w:p>
        </w:tc>
        <w:tc>
          <w:tcPr>
            <w:tcW w:w="1311" w:type="pct"/>
            <w:vAlign w:val="center"/>
          </w:tcPr>
          <w:p w14:paraId="2E1E0E30" w14:textId="77777777" w:rsidR="00950E1B" w:rsidRDefault="00696049" w:rsidP="00950E1B">
            <w:pPr>
              <w:jc w:val="center"/>
              <w:rPr>
                <w:rFonts w:ascii="Arial" w:hAnsi="Arial" w:cs="Arial"/>
                <w:sz w:val="18"/>
                <w:szCs w:val="18"/>
                <w:lang w:val="es-ES_tradnl"/>
              </w:rPr>
            </w:pPr>
            <w:r>
              <w:rPr>
                <w:rFonts w:ascii="Arial" w:hAnsi="Arial" w:cs="Arial"/>
                <w:sz w:val="18"/>
                <w:szCs w:val="18"/>
                <w:lang w:val="es-ES_tradnl"/>
              </w:rPr>
              <w:t>Porcentaje de cobertura de acceso a la energía eléctrica, a nivel nacional</w:t>
            </w:r>
          </w:p>
          <w:p w14:paraId="1ED7DE24" w14:textId="5F9A364C" w:rsidR="00696049" w:rsidRPr="00273D71" w:rsidRDefault="00696049" w:rsidP="00950E1B">
            <w:pPr>
              <w:jc w:val="center"/>
              <w:rPr>
                <w:rFonts w:ascii="Arial" w:hAnsi="Arial" w:cs="Arial"/>
                <w:sz w:val="18"/>
                <w:szCs w:val="18"/>
                <w:lang w:val="es-ES_tradnl"/>
              </w:rPr>
            </w:pPr>
            <w:r>
              <w:rPr>
                <w:rFonts w:ascii="Arial" w:hAnsi="Arial" w:cs="Arial"/>
                <w:sz w:val="18"/>
                <w:szCs w:val="18"/>
                <w:lang w:val="es-ES_tradnl"/>
              </w:rPr>
              <w:t>(%).</w:t>
            </w:r>
          </w:p>
        </w:tc>
        <w:tc>
          <w:tcPr>
            <w:tcW w:w="541" w:type="pct"/>
            <w:shd w:val="clear" w:color="auto" w:fill="auto"/>
            <w:vAlign w:val="center"/>
          </w:tcPr>
          <w:p w14:paraId="5A71DAE0" w14:textId="39147612" w:rsidR="00950E1B" w:rsidRDefault="00696049" w:rsidP="00950E1B">
            <w:pPr>
              <w:jc w:val="center"/>
              <w:rPr>
                <w:rFonts w:ascii="Arial" w:hAnsi="Arial" w:cs="Arial"/>
                <w:sz w:val="18"/>
                <w:szCs w:val="18"/>
                <w:lang w:val="es-AR"/>
              </w:rPr>
            </w:pPr>
            <w:r>
              <w:rPr>
                <w:rFonts w:ascii="Arial" w:hAnsi="Arial" w:cs="Arial"/>
                <w:sz w:val="18"/>
                <w:szCs w:val="18"/>
                <w:lang w:val="es-AR"/>
              </w:rPr>
              <w:t>98,5%</w:t>
            </w:r>
          </w:p>
        </w:tc>
        <w:tc>
          <w:tcPr>
            <w:tcW w:w="406" w:type="pct"/>
            <w:shd w:val="clear" w:color="auto" w:fill="auto"/>
            <w:vAlign w:val="center"/>
          </w:tcPr>
          <w:p w14:paraId="5CE6AE5F" w14:textId="51B92428" w:rsidR="00950E1B" w:rsidRDefault="00696049" w:rsidP="00950E1B">
            <w:pPr>
              <w:jc w:val="center"/>
              <w:rPr>
                <w:rFonts w:ascii="Arial" w:hAnsi="Arial" w:cs="Arial"/>
                <w:sz w:val="18"/>
                <w:szCs w:val="18"/>
                <w:lang w:val="es-ES_tradnl"/>
              </w:rPr>
            </w:pPr>
            <w:r>
              <w:rPr>
                <w:rFonts w:ascii="Arial" w:hAnsi="Arial" w:cs="Arial"/>
                <w:sz w:val="18"/>
                <w:szCs w:val="18"/>
                <w:lang w:val="es-ES_tradnl"/>
              </w:rPr>
              <w:t>98,7%</w:t>
            </w:r>
          </w:p>
        </w:tc>
        <w:tc>
          <w:tcPr>
            <w:tcW w:w="1346" w:type="pct"/>
            <w:shd w:val="clear" w:color="auto" w:fill="auto"/>
            <w:vAlign w:val="center"/>
          </w:tcPr>
          <w:p w14:paraId="18BC5B0A" w14:textId="51AA08E4" w:rsidR="00950E1B" w:rsidRPr="00F940F5" w:rsidRDefault="00821D3E" w:rsidP="00950E1B">
            <w:pPr>
              <w:jc w:val="center"/>
              <w:rPr>
                <w:rFonts w:ascii="Arial" w:hAnsi="Arial" w:cs="Arial"/>
                <w:sz w:val="18"/>
                <w:szCs w:val="18"/>
                <w:lang w:val="es-ES_tradnl"/>
              </w:rPr>
            </w:pPr>
            <w:r>
              <w:rPr>
                <w:rFonts w:ascii="Arial" w:hAnsi="Arial" w:cs="Arial"/>
                <w:sz w:val="18"/>
                <w:szCs w:val="18"/>
                <w:lang w:val="es-ES_tradnl"/>
              </w:rPr>
              <w:t>Programa</w:t>
            </w:r>
            <w:r w:rsidR="005D5015">
              <w:rPr>
                <w:rFonts w:ascii="Arial" w:hAnsi="Arial" w:cs="Arial"/>
                <w:sz w:val="18"/>
                <w:szCs w:val="18"/>
                <w:lang w:val="es-ES_tradnl"/>
              </w:rPr>
              <w:t xml:space="preserve"> de Desarrollo del Sector Eléctrico Nacional</w:t>
            </w:r>
          </w:p>
        </w:tc>
      </w:tr>
    </w:tbl>
    <w:p w14:paraId="79B98615" w14:textId="77777777" w:rsidR="006E0CEB" w:rsidRPr="00273D71" w:rsidRDefault="006E0CEB" w:rsidP="00273D71">
      <w:pPr>
        <w:pStyle w:val="NoSpacing"/>
        <w:spacing w:after="120"/>
        <w:jc w:val="center"/>
        <w:rPr>
          <w:lang w:val="es-MX"/>
        </w:rPr>
      </w:pPr>
    </w:p>
    <w:p w14:paraId="23206B56" w14:textId="5F37917E" w:rsidR="00C419B8" w:rsidRPr="001C59A0" w:rsidRDefault="00C419B8" w:rsidP="00C419B8">
      <w:pPr>
        <w:pStyle w:val="Paragraph"/>
        <w:widowControl w:val="0"/>
        <w:numPr>
          <w:ilvl w:val="0"/>
          <w:numId w:val="3"/>
        </w:numPr>
        <w:ind w:left="540" w:hanging="540"/>
        <w:rPr>
          <w:rFonts w:ascii="Arial" w:hAnsi="Arial" w:cs="Arial"/>
          <w:szCs w:val="24"/>
          <w:lang w:val="es-ES"/>
        </w:rPr>
      </w:pPr>
      <w:r w:rsidRPr="001C59A0">
        <w:rPr>
          <w:rFonts w:ascii="Arial" w:hAnsi="Arial" w:cs="Arial"/>
          <w:b/>
          <w:szCs w:val="24"/>
          <w:lang w:val="es-ES"/>
        </w:rPr>
        <w:t xml:space="preserve">Metodología de Evaluación. </w:t>
      </w:r>
    </w:p>
    <w:p w14:paraId="2DC2847B" w14:textId="72AAB723" w:rsidR="00C419B8" w:rsidRPr="001C59A0" w:rsidRDefault="00941723" w:rsidP="00C419B8">
      <w:pPr>
        <w:pStyle w:val="Paragraph"/>
        <w:numPr>
          <w:ilvl w:val="1"/>
          <w:numId w:val="4"/>
        </w:numPr>
        <w:spacing w:before="100" w:after="100"/>
        <w:ind w:left="540" w:hanging="540"/>
        <w:rPr>
          <w:rFonts w:ascii="Arial" w:hAnsi="Arial" w:cs="Arial"/>
          <w:color w:val="000000"/>
          <w:lang w:val="es-ES"/>
        </w:rPr>
      </w:pPr>
      <w:r>
        <w:rPr>
          <w:rFonts w:ascii="Arial" w:hAnsi="Arial" w:cs="Arial"/>
          <w:color w:val="000000"/>
          <w:lang w:val="es-ES"/>
        </w:rPr>
        <w:t>Con el objetivo de evaluar los avances de los resultados previstos por el Programa</w:t>
      </w:r>
      <w:r w:rsidR="00115408">
        <w:rPr>
          <w:rFonts w:ascii="Arial" w:hAnsi="Arial" w:cs="Arial"/>
          <w:color w:val="000000"/>
          <w:lang w:val="es-ES"/>
        </w:rPr>
        <w:t xml:space="preserve">, el BID realizará, en el segundo semestre de 2019, una revisión cualitativa de los indicadores de producto del Programa, siguiendo los lineamientos de los reportes de Finalización del Programa ((PCR). </w:t>
      </w:r>
      <w:r w:rsidR="00C419B8" w:rsidRPr="001C59A0">
        <w:rPr>
          <w:rFonts w:ascii="Arial" w:hAnsi="Arial" w:cs="Arial"/>
          <w:color w:val="000000"/>
          <w:lang w:val="es-ES"/>
        </w:rPr>
        <w:t xml:space="preserve">Las metodologías propuestas consisten en un análisis antes – después para medir el alcance de los resultados y una evaluación </w:t>
      </w:r>
      <w:r w:rsidR="007F5B8A">
        <w:rPr>
          <w:rFonts w:ascii="Arial" w:hAnsi="Arial" w:cs="Arial"/>
          <w:color w:val="000000"/>
          <w:lang w:val="es-ES"/>
        </w:rPr>
        <w:t>de impacto</w:t>
      </w:r>
      <w:r w:rsidR="00C419B8" w:rsidRPr="001C59A0">
        <w:rPr>
          <w:rFonts w:ascii="Arial" w:hAnsi="Arial" w:cs="Arial"/>
          <w:color w:val="000000"/>
          <w:lang w:val="es-ES"/>
        </w:rPr>
        <w:t>.</w:t>
      </w:r>
      <w:r w:rsidR="00115408">
        <w:rPr>
          <w:rFonts w:ascii="Arial" w:hAnsi="Arial" w:cs="Arial"/>
          <w:color w:val="000000"/>
          <w:lang w:val="es-ES"/>
        </w:rPr>
        <w:t xml:space="preserve"> La evaluación se efectuará</w:t>
      </w:r>
      <w:r w:rsidR="00227DCD">
        <w:rPr>
          <w:rFonts w:ascii="Arial" w:hAnsi="Arial" w:cs="Arial"/>
          <w:color w:val="000000"/>
          <w:lang w:val="es-ES"/>
        </w:rPr>
        <w:t xml:space="preserve"> a partir del término de la segunda fase del Programa y tomará como base las previsiones de la Matriz de Políticas y la Matriz de Resultados.</w:t>
      </w:r>
    </w:p>
    <w:p w14:paraId="1E3FE1EF" w14:textId="74B130B1" w:rsidR="00227DCD" w:rsidRDefault="00227DCD" w:rsidP="00227DCD">
      <w:pPr>
        <w:pStyle w:val="BodyText2"/>
        <w:numPr>
          <w:ilvl w:val="1"/>
          <w:numId w:val="4"/>
        </w:numPr>
        <w:tabs>
          <w:tab w:val="left" w:pos="0"/>
          <w:tab w:val="left" w:pos="720"/>
        </w:tabs>
        <w:spacing w:before="120" w:line="240" w:lineRule="auto"/>
        <w:ind w:left="540" w:hanging="540"/>
        <w:jc w:val="both"/>
        <w:rPr>
          <w:rFonts w:ascii="Arial" w:hAnsi="Arial" w:cs="Arial"/>
          <w:szCs w:val="24"/>
          <w:lang w:val="es-ES"/>
        </w:rPr>
      </w:pPr>
      <w:r>
        <w:rPr>
          <w:rFonts w:ascii="Arial" w:hAnsi="Arial" w:cs="Arial"/>
          <w:szCs w:val="24"/>
          <w:lang w:val="es-ES"/>
        </w:rPr>
        <w:t>Adicionalmente, c</w:t>
      </w:r>
      <w:r w:rsidRPr="001927AE">
        <w:rPr>
          <w:rFonts w:ascii="Arial" w:hAnsi="Arial" w:cs="Arial"/>
          <w:szCs w:val="24"/>
          <w:lang w:val="es-ES"/>
        </w:rPr>
        <w:t>onsiderando el alcance de las medidas del Programa, y que estas tendrán efecto en el mediano y largo plazo, se plantea que la medición de indicadores de resultado se evalúe con una periodicidad de entre tres a cinco años</w:t>
      </w:r>
      <w:r w:rsidR="009D454E">
        <w:rPr>
          <w:rFonts w:ascii="Arial" w:hAnsi="Arial" w:cs="Arial"/>
          <w:szCs w:val="24"/>
          <w:lang w:val="es-ES"/>
        </w:rPr>
        <w:t>,</w:t>
      </w:r>
      <w:r w:rsidRPr="001927AE">
        <w:rPr>
          <w:rFonts w:ascii="Arial" w:hAnsi="Arial" w:cs="Arial"/>
          <w:szCs w:val="24"/>
          <w:lang w:val="es-ES"/>
        </w:rPr>
        <w:t xml:space="preserve"> tomando como referencia de línea base el año 2015 (periodo con mayor disponibilidad de información actualmente)</w:t>
      </w:r>
      <w:r w:rsidR="009D454E">
        <w:rPr>
          <w:rFonts w:ascii="Arial" w:hAnsi="Arial" w:cs="Arial"/>
          <w:szCs w:val="24"/>
          <w:lang w:val="es-ES"/>
        </w:rPr>
        <w:t>, y de acuerdo con las metas establecidas en los impactos y resultados esperados para los años 2018, 2019 y 2020</w:t>
      </w:r>
      <w:r w:rsidRPr="001927AE">
        <w:rPr>
          <w:rFonts w:ascii="Arial" w:hAnsi="Arial" w:cs="Arial"/>
          <w:szCs w:val="24"/>
          <w:lang w:val="es-ES"/>
        </w:rPr>
        <w:t>. Adicionalmente, se debe tener en cuenta que existe un rezago natural en la medición y publicación de cierta información (en algunos casos de hasta un año y medio), por lo cual el análisis con cierto periodo de corte tendrá que hacerse aproximadamente un año después (por ejemplo, el análisis de datos del año 2020 deberá hacerse probablemente en a finales del 2021 o principios de 2022).</w:t>
      </w:r>
    </w:p>
    <w:p w14:paraId="4CA5F2C2" w14:textId="0F4AE73E" w:rsidR="009D454E" w:rsidRPr="001927AE" w:rsidRDefault="009D454E" w:rsidP="00227DCD">
      <w:pPr>
        <w:pStyle w:val="BodyText2"/>
        <w:numPr>
          <w:ilvl w:val="1"/>
          <w:numId w:val="4"/>
        </w:numPr>
        <w:tabs>
          <w:tab w:val="left" w:pos="0"/>
          <w:tab w:val="left" w:pos="720"/>
        </w:tabs>
        <w:spacing w:before="120" w:line="240" w:lineRule="auto"/>
        <w:ind w:left="540" w:hanging="540"/>
        <w:jc w:val="both"/>
        <w:rPr>
          <w:rFonts w:ascii="Arial" w:hAnsi="Arial" w:cs="Arial"/>
          <w:szCs w:val="24"/>
          <w:lang w:val="es-ES"/>
        </w:rPr>
      </w:pPr>
      <w:r>
        <w:rPr>
          <w:rFonts w:ascii="Arial" w:hAnsi="Arial" w:cs="Arial"/>
          <w:szCs w:val="24"/>
          <w:lang w:val="es-ES"/>
        </w:rPr>
        <w:t xml:space="preserve">Con la periodicidad indicada en el párrafo anterior, el BID llevará a cabo los análisis costo beneficio </w:t>
      </w:r>
      <w:r>
        <w:rPr>
          <w:rFonts w:ascii="Arial" w:hAnsi="Arial" w:cs="Arial"/>
          <w:i/>
          <w:szCs w:val="24"/>
          <w:lang w:val="es-ES"/>
        </w:rPr>
        <w:t>ex-post</w:t>
      </w:r>
      <w:r>
        <w:rPr>
          <w:rFonts w:ascii="Arial" w:hAnsi="Arial" w:cs="Arial"/>
          <w:szCs w:val="24"/>
          <w:lang w:val="es-ES"/>
        </w:rPr>
        <w:t xml:space="preserve">, con base en los </w:t>
      </w:r>
      <w:r w:rsidR="0039194D">
        <w:rPr>
          <w:rFonts w:ascii="Arial" w:hAnsi="Arial" w:cs="Arial"/>
          <w:szCs w:val="24"/>
          <w:lang w:val="es-ES"/>
        </w:rPr>
        <w:t xml:space="preserve">supuestos considerados y los </w:t>
      </w:r>
      <w:r>
        <w:rPr>
          <w:rFonts w:ascii="Arial" w:hAnsi="Arial" w:cs="Arial"/>
          <w:szCs w:val="24"/>
          <w:lang w:val="es-ES"/>
        </w:rPr>
        <w:lastRenderedPageBreak/>
        <w:t>resultados alcanzados</w:t>
      </w:r>
      <w:r w:rsidR="0039194D">
        <w:rPr>
          <w:rFonts w:ascii="Arial" w:hAnsi="Arial" w:cs="Arial"/>
          <w:szCs w:val="24"/>
          <w:lang w:val="es-ES"/>
        </w:rPr>
        <w:t>. La evaluación económica será consistente con la Matriz de Políticas y la Matriz de resultados y se concentrará en los siguiente:</w:t>
      </w:r>
    </w:p>
    <w:p w14:paraId="089629BA" w14:textId="008F2FD9" w:rsidR="00F13BF8" w:rsidRPr="00273D71" w:rsidRDefault="00F13BF8" w:rsidP="00273D71">
      <w:pPr>
        <w:pStyle w:val="BodyText2"/>
        <w:numPr>
          <w:ilvl w:val="1"/>
          <w:numId w:val="4"/>
        </w:numPr>
        <w:tabs>
          <w:tab w:val="left" w:pos="0"/>
          <w:tab w:val="left" w:pos="720"/>
        </w:tabs>
        <w:spacing w:before="120" w:line="240" w:lineRule="auto"/>
        <w:ind w:left="540" w:hanging="540"/>
        <w:jc w:val="both"/>
        <w:rPr>
          <w:rFonts w:ascii="Arial" w:hAnsi="Arial" w:cs="Arial"/>
          <w:b/>
          <w:color w:val="000000"/>
          <w:lang w:val="es-ES"/>
        </w:rPr>
      </w:pPr>
      <w:r w:rsidRPr="00273D71">
        <w:rPr>
          <w:rFonts w:ascii="Arial" w:hAnsi="Arial" w:cs="Arial"/>
          <w:b/>
          <w:color w:val="000000"/>
          <w:lang w:val="es-ES"/>
        </w:rPr>
        <w:t>Reducció</w:t>
      </w:r>
      <w:r>
        <w:rPr>
          <w:rFonts w:ascii="Arial" w:hAnsi="Arial" w:cs="Arial"/>
          <w:b/>
          <w:color w:val="000000"/>
          <w:lang w:val="es-ES"/>
        </w:rPr>
        <w:t>n de pérdidas de energía eléctrica en distribución</w:t>
      </w:r>
      <w:r w:rsidR="00404E57">
        <w:rPr>
          <w:rFonts w:ascii="Arial" w:hAnsi="Arial" w:cs="Arial"/>
          <w:b/>
          <w:color w:val="000000"/>
          <w:lang w:val="es-ES"/>
        </w:rPr>
        <w:t xml:space="preserve">. </w:t>
      </w:r>
      <w:r w:rsidR="00404E57">
        <w:rPr>
          <w:rFonts w:ascii="Arial" w:hAnsi="Arial" w:cs="Arial"/>
          <w:color w:val="000000"/>
          <w:lang w:val="es-ES"/>
        </w:rPr>
        <w:t>En virtud de que no se esperan mayores ingresos, dado que las pérdidas en distribución de energía eléctrica se registran en el suministro a usuarios con tarifas subsidiadas, no se estima ningún beneficio por este concepto.</w:t>
      </w:r>
    </w:p>
    <w:p w14:paraId="102B38BB" w14:textId="7415D50A" w:rsidR="00404E57" w:rsidRPr="00273D71" w:rsidRDefault="00404E57" w:rsidP="001C7BE0">
      <w:pPr>
        <w:pStyle w:val="BodyText2"/>
        <w:numPr>
          <w:ilvl w:val="1"/>
          <w:numId w:val="4"/>
        </w:numPr>
        <w:tabs>
          <w:tab w:val="left" w:pos="0"/>
          <w:tab w:val="left" w:pos="720"/>
        </w:tabs>
        <w:spacing w:before="120" w:line="240" w:lineRule="auto"/>
        <w:ind w:left="540" w:hanging="540"/>
        <w:jc w:val="both"/>
        <w:rPr>
          <w:rFonts w:ascii="Arial" w:hAnsi="Arial" w:cs="Arial"/>
          <w:b/>
          <w:color w:val="000000"/>
          <w:lang w:val="es-ES"/>
        </w:rPr>
      </w:pPr>
      <w:r>
        <w:rPr>
          <w:rFonts w:ascii="Arial" w:hAnsi="Arial" w:cs="Arial"/>
          <w:color w:val="000000"/>
          <w:lang w:val="es-ES"/>
        </w:rPr>
        <w:t>Con relación a los costos, se considerarán las inversiones reportadas en el PRODESEN, considerando las acciones contempladas en la versión actual del PRODESEN, como son: instalación de equipos de infraestructura avanzada de medición</w:t>
      </w:r>
      <w:r w:rsidR="004447B5">
        <w:rPr>
          <w:rFonts w:ascii="Arial" w:hAnsi="Arial" w:cs="Arial"/>
          <w:color w:val="000000"/>
          <w:lang w:val="es-ES"/>
        </w:rPr>
        <w:t>, instalación de equipo automatizado de medición, regularización de colonias populares, instalación de acometidas y medidores, y equipamiento operativo para las redes generales de distribución, entre otras.</w:t>
      </w:r>
      <w:r w:rsidR="00273D71">
        <w:rPr>
          <w:rFonts w:ascii="Arial" w:hAnsi="Arial" w:cs="Arial"/>
          <w:color w:val="000000"/>
          <w:lang w:val="es-ES"/>
        </w:rPr>
        <w:t xml:space="preserve"> Es importante señalar que el PRODESEN i</w:t>
      </w:r>
      <w:r w:rsidR="00901B02">
        <w:rPr>
          <w:rFonts w:ascii="Arial" w:hAnsi="Arial" w:cs="Arial"/>
          <w:color w:val="000000"/>
          <w:lang w:val="es-ES"/>
        </w:rPr>
        <w:t>ncluye la evolución histórica de las pérdidas</w:t>
      </w:r>
      <w:r w:rsidR="00273D71">
        <w:rPr>
          <w:rFonts w:ascii="Arial" w:hAnsi="Arial" w:cs="Arial"/>
          <w:color w:val="000000"/>
          <w:lang w:val="es-ES"/>
        </w:rPr>
        <w:t>.</w:t>
      </w:r>
    </w:p>
    <w:p w14:paraId="127B996C" w14:textId="5849217A" w:rsidR="004831BD" w:rsidRDefault="0039194D" w:rsidP="001C7BE0">
      <w:pPr>
        <w:pStyle w:val="BodyText2"/>
        <w:numPr>
          <w:ilvl w:val="1"/>
          <w:numId w:val="4"/>
        </w:numPr>
        <w:tabs>
          <w:tab w:val="left" w:pos="0"/>
          <w:tab w:val="left" w:pos="720"/>
        </w:tabs>
        <w:spacing w:before="120" w:line="240" w:lineRule="auto"/>
        <w:ind w:left="540" w:hanging="540"/>
        <w:jc w:val="both"/>
        <w:rPr>
          <w:rFonts w:ascii="Arial" w:hAnsi="Arial" w:cs="Arial"/>
          <w:color w:val="000000"/>
          <w:lang w:val="es-ES"/>
        </w:rPr>
      </w:pPr>
      <w:r>
        <w:rPr>
          <w:rFonts w:ascii="Arial" w:hAnsi="Arial" w:cs="Arial"/>
          <w:b/>
          <w:color w:val="000000"/>
          <w:lang w:val="es-ES"/>
        </w:rPr>
        <w:t xml:space="preserve">Reducción del crecimiento, promedio anual, de la intensidad energética. </w:t>
      </w:r>
      <w:r w:rsidR="004831BD">
        <w:rPr>
          <w:rFonts w:ascii="Arial" w:hAnsi="Arial" w:cs="Arial"/>
          <w:color w:val="000000"/>
          <w:lang w:val="es-ES"/>
        </w:rPr>
        <w:t>Los beneficios de este resultado incluirán: (i) valoración de las menores emisiones de GEI, con base en el precio que se otorgue a la tonelada de CO</w:t>
      </w:r>
      <w:r w:rsidR="004831BD" w:rsidRPr="001C7BE0">
        <w:rPr>
          <w:rFonts w:ascii="Arial" w:hAnsi="Arial" w:cs="Arial"/>
          <w:color w:val="000000"/>
          <w:vertAlign w:val="subscript"/>
          <w:lang w:val="es-ES"/>
        </w:rPr>
        <w:t>2</w:t>
      </w:r>
      <w:r w:rsidR="004831BD">
        <w:rPr>
          <w:rFonts w:ascii="Arial" w:hAnsi="Arial" w:cs="Arial"/>
          <w:color w:val="000000"/>
          <w:lang w:val="es-ES"/>
        </w:rPr>
        <w:t xml:space="preserve"> evitada, en los mercados que estén operando en el momento de la evaluación; (ii) menores costos de generación; </w:t>
      </w:r>
      <w:r w:rsidR="00073B9C">
        <w:rPr>
          <w:rFonts w:ascii="Arial" w:hAnsi="Arial" w:cs="Arial"/>
          <w:color w:val="000000"/>
          <w:lang w:val="es-ES"/>
        </w:rPr>
        <w:t xml:space="preserve">y </w:t>
      </w:r>
      <w:r w:rsidR="004831BD">
        <w:rPr>
          <w:rFonts w:ascii="Arial" w:hAnsi="Arial" w:cs="Arial"/>
          <w:color w:val="000000"/>
          <w:lang w:val="es-ES"/>
        </w:rPr>
        <w:t>(iii) menores costos de inversión; los numerales (ii) y (iii) se estimarán con base en los costos nivelados de generación disponibles en el momento de la evaluación.</w:t>
      </w:r>
    </w:p>
    <w:p w14:paraId="70F92BFE" w14:textId="63F443E6" w:rsidR="0039194D" w:rsidRDefault="004831BD" w:rsidP="001C7BE0">
      <w:pPr>
        <w:pStyle w:val="BodyText2"/>
        <w:numPr>
          <w:ilvl w:val="1"/>
          <w:numId w:val="4"/>
        </w:numPr>
        <w:tabs>
          <w:tab w:val="left" w:pos="0"/>
          <w:tab w:val="left" w:pos="720"/>
        </w:tabs>
        <w:spacing w:before="120" w:line="240" w:lineRule="auto"/>
        <w:ind w:left="540" w:hanging="540"/>
        <w:jc w:val="both"/>
        <w:rPr>
          <w:rFonts w:ascii="Arial" w:hAnsi="Arial" w:cs="Arial"/>
          <w:color w:val="000000"/>
          <w:lang w:val="es-ES"/>
        </w:rPr>
      </w:pPr>
      <w:r>
        <w:rPr>
          <w:rFonts w:ascii="Arial" w:hAnsi="Arial" w:cs="Arial"/>
          <w:color w:val="000000"/>
          <w:lang w:val="es-ES"/>
        </w:rPr>
        <w:t>Con relación a los costos, se considerarán los costos de implementación de los programas y acciones de EE</w:t>
      </w:r>
      <w:r w:rsidR="009B7E7B">
        <w:rPr>
          <w:rFonts w:ascii="Arial" w:hAnsi="Arial" w:cs="Arial"/>
          <w:color w:val="000000"/>
          <w:lang w:val="es-ES"/>
        </w:rPr>
        <w:t xml:space="preserve">. </w:t>
      </w:r>
      <w:r w:rsidR="00C959FD">
        <w:rPr>
          <w:rFonts w:ascii="Arial" w:hAnsi="Arial" w:cs="Arial"/>
          <w:color w:val="000000"/>
          <w:lang w:val="es-ES"/>
        </w:rPr>
        <w:t>En coordinación con la SENER como ejecutor del Programa y la CONUEE que a nivel del GdM funge como órgano técnico en materia de aprovechamiento sustentable de energía, se actualizará el costo de la eficiencia utilizado para l</w:t>
      </w:r>
      <w:r w:rsidR="00471D32">
        <w:rPr>
          <w:rFonts w:ascii="Arial" w:hAnsi="Arial" w:cs="Arial"/>
          <w:color w:val="000000"/>
          <w:lang w:val="es-ES"/>
        </w:rPr>
        <w:t>a</w:t>
      </w:r>
      <w:r w:rsidR="00C959FD">
        <w:rPr>
          <w:rFonts w:ascii="Arial" w:hAnsi="Arial" w:cs="Arial"/>
          <w:color w:val="000000"/>
          <w:lang w:val="es-ES"/>
        </w:rPr>
        <w:t xml:space="preserve"> E</w:t>
      </w:r>
      <w:r w:rsidR="00471D32">
        <w:rPr>
          <w:rFonts w:ascii="Arial" w:hAnsi="Arial" w:cs="Arial"/>
          <w:color w:val="000000"/>
          <w:lang w:val="es-ES"/>
        </w:rPr>
        <w:t>valuación</w:t>
      </w:r>
      <w:r w:rsidR="00C959FD">
        <w:rPr>
          <w:rFonts w:ascii="Arial" w:hAnsi="Arial" w:cs="Arial"/>
          <w:color w:val="000000"/>
          <w:lang w:val="es-ES"/>
        </w:rPr>
        <w:t xml:space="preserve"> Económic</w:t>
      </w:r>
      <w:r w:rsidR="00471D32">
        <w:rPr>
          <w:rFonts w:ascii="Arial" w:hAnsi="Arial" w:cs="Arial"/>
          <w:color w:val="000000"/>
          <w:lang w:val="es-ES"/>
        </w:rPr>
        <w:t>a</w:t>
      </w:r>
      <w:r w:rsidR="00C959FD">
        <w:rPr>
          <w:rFonts w:ascii="Arial" w:hAnsi="Arial" w:cs="Arial"/>
          <w:color w:val="000000"/>
          <w:lang w:val="es-ES"/>
        </w:rPr>
        <w:t xml:space="preserve"> elaborad</w:t>
      </w:r>
      <w:r w:rsidR="00471D32">
        <w:rPr>
          <w:rFonts w:ascii="Arial" w:hAnsi="Arial" w:cs="Arial"/>
          <w:color w:val="000000"/>
          <w:lang w:val="es-ES"/>
        </w:rPr>
        <w:t>a</w:t>
      </w:r>
      <w:r w:rsidR="00C959FD">
        <w:rPr>
          <w:rFonts w:ascii="Arial" w:hAnsi="Arial" w:cs="Arial"/>
          <w:color w:val="000000"/>
          <w:lang w:val="es-ES"/>
        </w:rPr>
        <w:t xml:space="preserve"> como parte del diseño del Progr</w:t>
      </w:r>
      <w:r w:rsidR="00471D32">
        <w:rPr>
          <w:rFonts w:ascii="Arial" w:hAnsi="Arial" w:cs="Arial"/>
          <w:color w:val="000000"/>
          <w:lang w:val="es-ES"/>
        </w:rPr>
        <w:t>a</w:t>
      </w:r>
      <w:r w:rsidR="00C959FD">
        <w:rPr>
          <w:rFonts w:ascii="Arial" w:hAnsi="Arial" w:cs="Arial"/>
          <w:color w:val="000000"/>
          <w:lang w:val="es-ES"/>
        </w:rPr>
        <w:t>ma</w:t>
      </w:r>
      <w:r w:rsidR="00471D32">
        <w:rPr>
          <w:rFonts w:ascii="Arial" w:hAnsi="Arial" w:cs="Arial"/>
          <w:color w:val="000000"/>
          <w:lang w:val="es-ES"/>
        </w:rPr>
        <w:t>.</w:t>
      </w:r>
    </w:p>
    <w:p w14:paraId="2CDDB608" w14:textId="6724A646" w:rsidR="00471D32" w:rsidRDefault="00A90743" w:rsidP="001C7BE0">
      <w:pPr>
        <w:pStyle w:val="BodyText2"/>
        <w:numPr>
          <w:ilvl w:val="1"/>
          <w:numId w:val="4"/>
        </w:numPr>
        <w:tabs>
          <w:tab w:val="left" w:pos="0"/>
          <w:tab w:val="left" w:pos="720"/>
        </w:tabs>
        <w:spacing w:before="120" w:line="240" w:lineRule="auto"/>
        <w:ind w:left="540" w:hanging="540"/>
        <w:jc w:val="both"/>
        <w:rPr>
          <w:rFonts w:ascii="Arial" w:hAnsi="Arial" w:cs="Arial"/>
          <w:color w:val="000000"/>
          <w:lang w:val="es-ES"/>
        </w:rPr>
      </w:pPr>
      <w:r>
        <w:rPr>
          <w:rFonts w:ascii="Arial" w:hAnsi="Arial" w:cs="Arial"/>
          <w:color w:val="000000"/>
          <w:lang w:val="es-ES"/>
        </w:rPr>
        <w:t>Los costos por considerar son los que se generan por</w:t>
      </w:r>
      <w:r w:rsidR="00471D32">
        <w:rPr>
          <w:rFonts w:ascii="Arial" w:hAnsi="Arial" w:cs="Arial"/>
          <w:color w:val="000000"/>
          <w:lang w:val="es-ES"/>
        </w:rPr>
        <w:t xml:space="preserve"> la implementación de programas y acciones de EE, inclu</w:t>
      </w:r>
      <w:r>
        <w:rPr>
          <w:rFonts w:ascii="Arial" w:hAnsi="Arial" w:cs="Arial"/>
          <w:color w:val="000000"/>
          <w:lang w:val="es-ES"/>
        </w:rPr>
        <w:t xml:space="preserve">idos </w:t>
      </w:r>
      <w:r w:rsidR="00471D32">
        <w:rPr>
          <w:rFonts w:ascii="Arial" w:hAnsi="Arial" w:cs="Arial"/>
          <w:color w:val="000000"/>
          <w:lang w:val="es-ES"/>
        </w:rPr>
        <w:t>el PRONASE, como son</w:t>
      </w:r>
      <w:r>
        <w:rPr>
          <w:rFonts w:ascii="Arial" w:hAnsi="Arial" w:cs="Arial"/>
          <w:color w:val="000000"/>
          <w:lang w:val="es-ES"/>
        </w:rPr>
        <w:t>, entre otros</w:t>
      </w:r>
      <w:r w:rsidR="00471D32">
        <w:rPr>
          <w:rFonts w:ascii="Arial" w:hAnsi="Arial" w:cs="Arial"/>
          <w:color w:val="000000"/>
          <w:lang w:val="es-ES"/>
        </w:rPr>
        <w:t>:</w:t>
      </w:r>
      <w:r>
        <w:rPr>
          <w:rFonts w:ascii="Arial" w:hAnsi="Arial" w:cs="Arial"/>
          <w:color w:val="000000"/>
          <w:lang w:val="es-ES"/>
        </w:rPr>
        <w:t xml:space="preserve"> </w:t>
      </w:r>
    </w:p>
    <w:tbl>
      <w:tblPr>
        <w:tblStyle w:val="TableGrid"/>
        <w:tblW w:w="9720" w:type="dxa"/>
        <w:tblInd w:w="-545" w:type="dxa"/>
        <w:tblLook w:val="04A0" w:firstRow="1" w:lastRow="0" w:firstColumn="1" w:lastColumn="0" w:noHBand="0" w:noVBand="1"/>
      </w:tblPr>
      <w:tblGrid>
        <w:gridCol w:w="2610"/>
        <w:gridCol w:w="7110"/>
      </w:tblGrid>
      <w:tr w:rsidR="009244BF" w:rsidRPr="001C7BE0" w14:paraId="53424566" w14:textId="77777777" w:rsidTr="009244BF">
        <w:tc>
          <w:tcPr>
            <w:tcW w:w="2610" w:type="dxa"/>
            <w:shd w:val="clear" w:color="auto" w:fill="D9D9D9" w:themeFill="background1" w:themeFillShade="D9"/>
          </w:tcPr>
          <w:p w14:paraId="15769408" w14:textId="6BB5BFCC" w:rsidR="00A90743" w:rsidRPr="001C7BE0" w:rsidRDefault="00A90743" w:rsidP="001C7BE0">
            <w:pPr>
              <w:pStyle w:val="BodyText2"/>
              <w:tabs>
                <w:tab w:val="left" w:pos="0"/>
                <w:tab w:val="left" w:pos="720"/>
              </w:tabs>
              <w:spacing w:before="120" w:line="240" w:lineRule="auto"/>
              <w:jc w:val="center"/>
              <w:rPr>
                <w:rFonts w:ascii="Arial" w:hAnsi="Arial" w:cs="Arial"/>
                <w:b/>
                <w:color w:val="000000"/>
                <w:sz w:val="22"/>
                <w:szCs w:val="22"/>
                <w:lang w:val="es-ES"/>
              </w:rPr>
            </w:pPr>
            <w:r w:rsidRPr="001C7BE0">
              <w:rPr>
                <w:rFonts w:ascii="Arial" w:hAnsi="Arial" w:cs="Arial"/>
                <w:b/>
                <w:color w:val="000000"/>
                <w:sz w:val="22"/>
                <w:szCs w:val="22"/>
                <w:lang w:val="es-ES"/>
              </w:rPr>
              <w:t>Estrategia</w:t>
            </w:r>
          </w:p>
        </w:tc>
        <w:tc>
          <w:tcPr>
            <w:tcW w:w="7110" w:type="dxa"/>
            <w:shd w:val="clear" w:color="auto" w:fill="D9D9D9" w:themeFill="background1" w:themeFillShade="D9"/>
          </w:tcPr>
          <w:p w14:paraId="0119BBB2" w14:textId="22599CE2" w:rsidR="00A90743" w:rsidRPr="001C7BE0" w:rsidRDefault="00A90743" w:rsidP="001C7BE0">
            <w:pPr>
              <w:pStyle w:val="BodyText2"/>
              <w:tabs>
                <w:tab w:val="left" w:pos="0"/>
                <w:tab w:val="left" w:pos="720"/>
              </w:tabs>
              <w:spacing w:before="120" w:line="240" w:lineRule="auto"/>
              <w:jc w:val="center"/>
              <w:rPr>
                <w:rFonts w:ascii="Arial" w:hAnsi="Arial" w:cs="Arial"/>
                <w:b/>
                <w:color w:val="000000"/>
                <w:sz w:val="22"/>
                <w:szCs w:val="22"/>
                <w:lang w:val="es-ES"/>
              </w:rPr>
            </w:pPr>
            <w:r w:rsidRPr="001C7BE0">
              <w:rPr>
                <w:rFonts w:ascii="Arial" w:hAnsi="Arial" w:cs="Arial"/>
                <w:b/>
                <w:color w:val="000000"/>
                <w:sz w:val="22"/>
                <w:szCs w:val="22"/>
                <w:lang w:val="es-ES"/>
              </w:rPr>
              <w:t>Líneas de acción</w:t>
            </w:r>
          </w:p>
        </w:tc>
      </w:tr>
      <w:tr w:rsidR="009244BF" w:rsidRPr="006B046D" w14:paraId="03EFF929" w14:textId="77777777" w:rsidTr="009244BF">
        <w:tc>
          <w:tcPr>
            <w:tcW w:w="2610" w:type="dxa"/>
          </w:tcPr>
          <w:p w14:paraId="306D3A91" w14:textId="4C5EE6CD" w:rsidR="00A90743" w:rsidRPr="001C7BE0" w:rsidRDefault="00302E6D" w:rsidP="00A90743">
            <w:pPr>
              <w:pStyle w:val="BodyText2"/>
              <w:tabs>
                <w:tab w:val="left" w:pos="0"/>
                <w:tab w:val="left" w:pos="720"/>
              </w:tabs>
              <w:spacing w:before="120" w:line="240" w:lineRule="auto"/>
              <w:jc w:val="both"/>
              <w:rPr>
                <w:rFonts w:ascii="Arial" w:hAnsi="Arial" w:cs="Arial"/>
                <w:color w:val="000000"/>
                <w:sz w:val="22"/>
                <w:szCs w:val="22"/>
                <w:lang w:val="es-ES"/>
              </w:rPr>
            </w:pPr>
            <w:r w:rsidRPr="001C7BE0">
              <w:rPr>
                <w:rFonts w:ascii="Arial" w:hAnsi="Arial" w:cs="Arial"/>
                <w:color w:val="000000"/>
                <w:sz w:val="22"/>
                <w:szCs w:val="22"/>
                <w:lang w:val="es-ES"/>
              </w:rPr>
              <w:t>Implementar acciones de EE en PEMEX y CFE</w:t>
            </w:r>
          </w:p>
        </w:tc>
        <w:tc>
          <w:tcPr>
            <w:tcW w:w="7110" w:type="dxa"/>
          </w:tcPr>
          <w:p w14:paraId="20531E0C" w14:textId="39AFE7C6" w:rsidR="00302E6D" w:rsidRPr="001C7BE0" w:rsidRDefault="009244BF" w:rsidP="001C7BE0">
            <w:pPr>
              <w:pStyle w:val="ListParagraph"/>
              <w:numPr>
                <w:ilvl w:val="0"/>
                <w:numId w:val="36"/>
              </w:numPr>
              <w:shd w:val="clear" w:color="auto" w:fill="FFFFFF"/>
              <w:ind w:left="156" w:hanging="250"/>
              <w:jc w:val="both"/>
              <w:rPr>
                <w:rFonts w:ascii="Arial" w:hAnsi="Arial" w:cs="Arial"/>
                <w:color w:val="2F2F2F"/>
                <w:sz w:val="22"/>
                <w:szCs w:val="22"/>
                <w:lang w:val="es-MX"/>
              </w:rPr>
            </w:pPr>
            <w:r>
              <w:rPr>
                <w:rFonts w:ascii="Arial" w:hAnsi="Arial" w:cs="Arial"/>
                <w:color w:val="2F2F2F"/>
                <w:sz w:val="22"/>
                <w:szCs w:val="22"/>
                <w:lang w:val="es-MX"/>
              </w:rPr>
              <w:t>Impulsar p</w:t>
            </w:r>
            <w:r w:rsidR="00302E6D" w:rsidRPr="001C7BE0">
              <w:rPr>
                <w:rFonts w:ascii="Arial" w:hAnsi="Arial" w:cs="Arial"/>
                <w:color w:val="2F2F2F"/>
                <w:sz w:val="22"/>
                <w:szCs w:val="22"/>
                <w:lang w:val="es-MX"/>
              </w:rPr>
              <w:t>royectos de EE en procesos industriales de los centros de trabajo, activos y sistemas de distribución de combustibles en Petróleos Mexicanos.</w:t>
            </w:r>
          </w:p>
          <w:p w14:paraId="0905075C" w14:textId="77777777" w:rsidR="00302E6D" w:rsidRPr="001C7BE0" w:rsidRDefault="00302E6D" w:rsidP="001C7BE0">
            <w:pPr>
              <w:pStyle w:val="ListParagraph"/>
              <w:numPr>
                <w:ilvl w:val="0"/>
                <w:numId w:val="36"/>
              </w:numPr>
              <w:shd w:val="clear" w:color="auto" w:fill="FFFFFF"/>
              <w:ind w:left="156" w:hanging="250"/>
              <w:jc w:val="both"/>
              <w:rPr>
                <w:rFonts w:ascii="Arial" w:hAnsi="Arial" w:cs="Arial"/>
                <w:color w:val="2F2F2F"/>
                <w:sz w:val="22"/>
                <w:szCs w:val="22"/>
                <w:lang w:val="es-MX"/>
              </w:rPr>
            </w:pPr>
            <w:r w:rsidRPr="001C7BE0">
              <w:rPr>
                <w:rFonts w:ascii="Arial" w:hAnsi="Arial" w:cs="Arial"/>
                <w:color w:val="2F2F2F"/>
                <w:sz w:val="22"/>
                <w:szCs w:val="22"/>
                <w:lang w:val="es-MX"/>
              </w:rPr>
              <w:t>Incrementar el aprovechamiento de los potenciales de cogeneración en instalaciones de Petróleos Mexicanos.</w:t>
            </w:r>
          </w:p>
          <w:p w14:paraId="00A128D8" w14:textId="14C5F54E" w:rsidR="00302E6D" w:rsidRPr="001C7BE0" w:rsidRDefault="00302E6D" w:rsidP="001C7BE0">
            <w:pPr>
              <w:pStyle w:val="ListParagraph"/>
              <w:numPr>
                <w:ilvl w:val="0"/>
                <w:numId w:val="36"/>
              </w:numPr>
              <w:shd w:val="clear" w:color="auto" w:fill="FFFFFF"/>
              <w:ind w:left="156" w:hanging="250"/>
              <w:jc w:val="both"/>
              <w:rPr>
                <w:rFonts w:ascii="Arial" w:hAnsi="Arial" w:cs="Arial"/>
                <w:color w:val="2F2F2F"/>
                <w:sz w:val="22"/>
                <w:szCs w:val="22"/>
                <w:lang w:val="es-MX"/>
              </w:rPr>
            </w:pPr>
            <w:r w:rsidRPr="001C7BE0">
              <w:rPr>
                <w:rFonts w:ascii="Arial" w:hAnsi="Arial" w:cs="Arial"/>
                <w:color w:val="2F2F2F"/>
                <w:sz w:val="22"/>
                <w:szCs w:val="22"/>
                <w:lang w:val="es-MX"/>
              </w:rPr>
              <w:t>Impulsar proyectos de rehabilitación, modernización y conversión de centrales de generación de electricidad que permitan un mayor aprovechamiento térmico y económico de los combustibles en C</w:t>
            </w:r>
            <w:r w:rsidR="009244BF">
              <w:rPr>
                <w:rFonts w:ascii="Arial" w:hAnsi="Arial" w:cs="Arial"/>
                <w:color w:val="2F2F2F"/>
                <w:sz w:val="22"/>
                <w:szCs w:val="22"/>
                <w:lang w:val="es-MX"/>
              </w:rPr>
              <w:t>FE</w:t>
            </w:r>
            <w:r w:rsidRPr="001C7BE0">
              <w:rPr>
                <w:rFonts w:ascii="Arial" w:hAnsi="Arial" w:cs="Arial"/>
                <w:color w:val="2F2F2F"/>
                <w:sz w:val="22"/>
                <w:szCs w:val="22"/>
                <w:lang w:val="es-MX"/>
              </w:rPr>
              <w:t>.</w:t>
            </w:r>
          </w:p>
          <w:p w14:paraId="799FCC9C" w14:textId="0619FEF5" w:rsidR="00302E6D" w:rsidRPr="007A4AEE" w:rsidRDefault="00302E6D" w:rsidP="001C7BE0">
            <w:pPr>
              <w:pStyle w:val="ListParagraph"/>
              <w:numPr>
                <w:ilvl w:val="0"/>
                <w:numId w:val="36"/>
              </w:numPr>
              <w:shd w:val="clear" w:color="auto" w:fill="FFFFFF"/>
              <w:ind w:left="156" w:hanging="250"/>
              <w:jc w:val="both"/>
              <w:rPr>
                <w:rFonts w:ascii="Arial" w:hAnsi="Arial" w:cs="Arial"/>
                <w:color w:val="2F2F2F"/>
                <w:sz w:val="22"/>
                <w:szCs w:val="22"/>
                <w:lang w:val="es-MX"/>
              </w:rPr>
            </w:pPr>
            <w:r w:rsidRPr="001C7BE0">
              <w:rPr>
                <w:rFonts w:ascii="Arial" w:hAnsi="Arial" w:cs="Arial"/>
                <w:color w:val="2F2F2F"/>
                <w:sz w:val="22"/>
                <w:szCs w:val="22"/>
                <w:lang w:val="es-MX"/>
              </w:rPr>
              <w:t>Continuar con las acciones del Programa de Ahorro de Energía del Sector Eléctrico en la</w:t>
            </w:r>
            <w:r w:rsidRPr="007A4AEE">
              <w:rPr>
                <w:rFonts w:ascii="Arial" w:hAnsi="Arial" w:cs="Arial"/>
                <w:color w:val="2F2F2F"/>
                <w:sz w:val="22"/>
                <w:szCs w:val="22"/>
                <w:lang w:val="es-MX"/>
              </w:rPr>
              <w:t xml:space="preserve"> </w:t>
            </w:r>
            <w:r w:rsidRPr="001C7BE0">
              <w:rPr>
                <w:rFonts w:ascii="Arial" w:hAnsi="Arial" w:cs="Arial"/>
                <w:color w:val="2F2F2F"/>
                <w:sz w:val="22"/>
                <w:szCs w:val="22"/>
                <w:lang w:val="es-MX"/>
              </w:rPr>
              <w:t>CFE.</w:t>
            </w:r>
            <w:r w:rsidRPr="007A4AEE">
              <w:rPr>
                <w:rFonts w:ascii="Arial" w:hAnsi="Arial" w:cs="Arial"/>
                <w:color w:val="2F2F2F"/>
                <w:sz w:val="22"/>
                <w:szCs w:val="22"/>
                <w:lang w:val="es-MX"/>
              </w:rPr>
              <w:t xml:space="preserve"> </w:t>
            </w:r>
          </w:p>
          <w:p w14:paraId="696C89D1" w14:textId="4BBF01B2" w:rsidR="00A90743" w:rsidRPr="007A4AEE" w:rsidRDefault="00302E6D" w:rsidP="001C7BE0">
            <w:pPr>
              <w:pStyle w:val="ListParagraph"/>
              <w:numPr>
                <w:ilvl w:val="0"/>
                <w:numId w:val="36"/>
              </w:numPr>
              <w:shd w:val="clear" w:color="auto" w:fill="FFFFFF"/>
              <w:ind w:left="156" w:hanging="250"/>
              <w:jc w:val="both"/>
              <w:rPr>
                <w:rFonts w:ascii="Arial" w:hAnsi="Arial" w:cs="Arial"/>
                <w:color w:val="2F2F2F"/>
                <w:sz w:val="22"/>
                <w:szCs w:val="22"/>
                <w:lang w:val="es-MX"/>
              </w:rPr>
            </w:pPr>
            <w:r w:rsidRPr="007A4AEE">
              <w:rPr>
                <w:rFonts w:ascii="Arial" w:hAnsi="Arial" w:cs="Arial"/>
                <w:color w:val="2F2F2F"/>
                <w:sz w:val="22"/>
                <w:szCs w:val="22"/>
                <w:lang w:val="es-MX"/>
              </w:rPr>
              <w:t xml:space="preserve">Implementar Sistemas de Gestión de la Energía en las principales instalaciones de </w:t>
            </w:r>
            <w:r w:rsidR="009244BF">
              <w:rPr>
                <w:rFonts w:ascii="Arial" w:hAnsi="Arial" w:cs="Arial"/>
                <w:color w:val="2F2F2F"/>
                <w:sz w:val="22"/>
                <w:szCs w:val="22"/>
                <w:lang w:val="es-MX"/>
              </w:rPr>
              <w:t>PEMEX y CFE</w:t>
            </w:r>
            <w:r w:rsidRPr="007A4AEE">
              <w:rPr>
                <w:rFonts w:ascii="Arial" w:hAnsi="Arial" w:cs="Arial"/>
                <w:color w:val="2F2F2F"/>
                <w:sz w:val="22"/>
                <w:szCs w:val="22"/>
                <w:lang w:val="es-MX"/>
              </w:rPr>
              <w:t>.</w:t>
            </w:r>
          </w:p>
        </w:tc>
      </w:tr>
      <w:tr w:rsidR="009244BF" w:rsidRPr="006B046D" w14:paraId="70E52623" w14:textId="77777777" w:rsidTr="009244BF">
        <w:tc>
          <w:tcPr>
            <w:tcW w:w="2610" w:type="dxa"/>
          </w:tcPr>
          <w:p w14:paraId="28365264" w14:textId="4C865D92" w:rsidR="00A90743" w:rsidRPr="001C7BE0" w:rsidRDefault="009244BF" w:rsidP="001C7BE0">
            <w:pPr>
              <w:pStyle w:val="BodyText2"/>
              <w:tabs>
                <w:tab w:val="left" w:pos="0"/>
                <w:tab w:val="left" w:pos="720"/>
              </w:tabs>
              <w:spacing w:before="120" w:line="240" w:lineRule="auto"/>
              <w:rPr>
                <w:rFonts w:ascii="Arial" w:hAnsi="Arial" w:cs="Arial"/>
                <w:color w:val="000000"/>
                <w:sz w:val="22"/>
                <w:szCs w:val="22"/>
                <w:lang w:val="es-ES"/>
              </w:rPr>
            </w:pPr>
            <w:r w:rsidRPr="001C7BE0">
              <w:rPr>
                <w:rFonts w:ascii="Arial" w:hAnsi="Arial" w:cs="Arial"/>
                <w:color w:val="000000"/>
                <w:sz w:val="22"/>
                <w:szCs w:val="22"/>
                <w:lang w:val="es-ES"/>
              </w:rPr>
              <w:t xml:space="preserve">Incrementar la </w:t>
            </w:r>
            <w:r>
              <w:rPr>
                <w:rFonts w:ascii="Arial" w:hAnsi="Arial" w:cs="Arial"/>
                <w:color w:val="000000"/>
                <w:sz w:val="22"/>
                <w:szCs w:val="22"/>
                <w:lang w:val="es-ES"/>
              </w:rPr>
              <w:t>EE</w:t>
            </w:r>
            <w:r w:rsidRPr="001C7BE0">
              <w:rPr>
                <w:rFonts w:ascii="Arial" w:hAnsi="Arial" w:cs="Arial"/>
                <w:color w:val="000000"/>
                <w:sz w:val="22"/>
                <w:szCs w:val="22"/>
                <w:lang w:val="es-ES"/>
              </w:rPr>
              <w:t xml:space="preserve"> en los se</w:t>
            </w:r>
            <w:r w:rsidRPr="00273D71">
              <w:rPr>
                <w:rFonts w:ascii="Arial" w:hAnsi="Arial" w:cs="Arial"/>
                <w:color w:val="000000"/>
                <w:sz w:val="22"/>
                <w:szCs w:val="22"/>
                <w:lang w:val="es-ES"/>
              </w:rPr>
              <w:t xml:space="preserve">ctores residencial, comercial, </w:t>
            </w:r>
            <w:r w:rsidR="00462D45">
              <w:rPr>
                <w:rFonts w:ascii="Arial" w:hAnsi="Arial" w:cs="Arial"/>
                <w:color w:val="000000"/>
                <w:sz w:val="22"/>
                <w:szCs w:val="22"/>
                <w:lang w:val="es-ES"/>
              </w:rPr>
              <w:t>s</w:t>
            </w:r>
            <w:r w:rsidR="00462D45" w:rsidRPr="00273D71">
              <w:rPr>
                <w:rFonts w:ascii="Arial" w:hAnsi="Arial" w:cs="Arial"/>
                <w:color w:val="000000"/>
                <w:sz w:val="22"/>
                <w:szCs w:val="22"/>
                <w:lang w:val="es-ES"/>
              </w:rPr>
              <w:t>ervicios</w:t>
            </w:r>
            <w:r w:rsidR="00462D45">
              <w:rPr>
                <w:rFonts w:ascii="Arial" w:hAnsi="Arial" w:cs="Arial"/>
                <w:color w:val="000000"/>
                <w:sz w:val="22"/>
                <w:szCs w:val="22"/>
                <w:lang w:val="es-ES"/>
              </w:rPr>
              <w:t xml:space="preserve">, </w:t>
            </w:r>
            <w:r w:rsidR="00462D45" w:rsidRPr="00273D71">
              <w:rPr>
                <w:rFonts w:ascii="Arial" w:hAnsi="Arial" w:cs="Arial"/>
                <w:color w:val="000000"/>
                <w:sz w:val="22"/>
                <w:szCs w:val="22"/>
                <w:lang w:val="es-ES"/>
              </w:rPr>
              <w:t>agropecuario</w:t>
            </w:r>
            <w:r w:rsidRPr="001C7BE0">
              <w:rPr>
                <w:rFonts w:ascii="Arial" w:hAnsi="Arial" w:cs="Arial"/>
                <w:color w:val="000000"/>
                <w:sz w:val="22"/>
                <w:szCs w:val="22"/>
                <w:lang w:val="es-ES"/>
              </w:rPr>
              <w:t xml:space="preserve"> e industrial </w:t>
            </w:r>
            <w:r w:rsidRPr="001C7BE0">
              <w:rPr>
                <w:rFonts w:ascii="Arial" w:hAnsi="Arial" w:cs="Arial"/>
                <w:color w:val="000000"/>
                <w:sz w:val="22"/>
                <w:szCs w:val="22"/>
                <w:lang w:val="es-ES"/>
              </w:rPr>
              <w:lastRenderedPageBreak/>
              <w:t>mediante la sustitución de tecnologías</w:t>
            </w:r>
          </w:p>
        </w:tc>
        <w:tc>
          <w:tcPr>
            <w:tcW w:w="7110" w:type="dxa"/>
          </w:tcPr>
          <w:p w14:paraId="22D3A2C4" w14:textId="77777777" w:rsidR="000259E1" w:rsidRDefault="000259E1" w:rsidP="001C7BE0">
            <w:pPr>
              <w:pStyle w:val="ListParagraph"/>
              <w:numPr>
                <w:ilvl w:val="0"/>
                <w:numId w:val="37"/>
              </w:numPr>
              <w:shd w:val="clear" w:color="auto" w:fill="FFFFFF"/>
              <w:ind w:left="156" w:hanging="256"/>
              <w:jc w:val="both"/>
              <w:rPr>
                <w:rFonts w:ascii="Arial" w:hAnsi="Arial" w:cs="Arial"/>
                <w:color w:val="2F2F2F"/>
                <w:sz w:val="22"/>
                <w:szCs w:val="22"/>
                <w:lang w:val="es-MX"/>
              </w:rPr>
            </w:pPr>
            <w:r w:rsidRPr="001C7BE0">
              <w:rPr>
                <w:rFonts w:ascii="Arial" w:hAnsi="Arial" w:cs="Arial"/>
                <w:color w:val="2F2F2F"/>
                <w:sz w:val="22"/>
                <w:szCs w:val="22"/>
                <w:lang w:val="es-MX"/>
              </w:rPr>
              <w:lastRenderedPageBreak/>
              <w:t>D</w:t>
            </w:r>
            <w:r w:rsidRPr="00273D71">
              <w:rPr>
                <w:rFonts w:ascii="Arial" w:hAnsi="Arial" w:cs="Arial"/>
                <w:color w:val="2F2F2F"/>
                <w:sz w:val="22"/>
                <w:szCs w:val="22"/>
                <w:lang w:val="es-MX"/>
              </w:rPr>
              <w:t>e</w:t>
            </w:r>
            <w:r w:rsidRPr="001C7BE0">
              <w:rPr>
                <w:rFonts w:ascii="Arial" w:hAnsi="Arial" w:cs="Arial"/>
                <w:color w:val="2F2F2F"/>
                <w:sz w:val="22"/>
                <w:szCs w:val="22"/>
                <w:lang w:val="es-MX"/>
              </w:rPr>
              <w:t xml:space="preserve">sarrollar programas </w:t>
            </w:r>
            <w:r w:rsidRPr="00273D71">
              <w:rPr>
                <w:rFonts w:ascii="Arial" w:hAnsi="Arial" w:cs="Arial"/>
                <w:color w:val="2F2F2F"/>
                <w:sz w:val="22"/>
                <w:szCs w:val="22"/>
                <w:lang w:val="es-MX"/>
              </w:rPr>
              <w:t>para</w:t>
            </w:r>
            <w:r w:rsidRPr="001C7BE0">
              <w:rPr>
                <w:rFonts w:ascii="Arial" w:hAnsi="Arial" w:cs="Arial"/>
                <w:color w:val="2F2F2F"/>
                <w:sz w:val="22"/>
                <w:szCs w:val="22"/>
                <w:lang w:val="es-MX"/>
              </w:rPr>
              <w:t>la adopción de tecnologías eficientes en el sector residencial.</w:t>
            </w:r>
            <w:r w:rsidRPr="00273D71">
              <w:rPr>
                <w:rFonts w:ascii="Arial" w:hAnsi="Arial" w:cs="Arial"/>
                <w:color w:val="2F2F2F"/>
                <w:sz w:val="22"/>
                <w:szCs w:val="22"/>
                <w:lang w:val="es-MX"/>
              </w:rPr>
              <w:t xml:space="preserve"> </w:t>
            </w:r>
          </w:p>
          <w:p w14:paraId="0BDEEB19" w14:textId="77777777" w:rsidR="000259E1" w:rsidRDefault="000259E1" w:rsidP="001C7BE0">
            <w:pPr>
              <w:pStyle w:val="ListParagraph"/>
              <w:numPr>
                <w:ilvl w:val="0"/>
                <w:numId w:val="37"/>
              </w:numPr>
              <w:shd w:val="clear" w:color="auto" w:fill="FFFFFF"/>
              <w:ind w:left="156" w:hanging="256"/>
              <w:jc w:val="both"/>
              <w:rPr>
                <w:rFonts w:ascii="Arial" w:hAnsi="Arial" w:cs="Arial"/>
                <w:color w:val="2F2F2F"/>
                <w:sz w:val="22"/>
                <w:szCs w:val="22"/>
                <w:lang w:val="es-MX"/>
              </w:rPr>
            </w:pPr>
            <w:r w:rsidRPr="007A4AEE">
              <w:rPr>
                <w:rFonts w:ascii="Arial" w:hAnsi="Arial" w:cs="Arial"/>
                <w:color w:val="2F2F2F"/>
                <w:sz w:val="22"/>
                <w:szCs w:val="22"/>
                <w:lang w:val="es-MX"/>
              </w:rPr>
              <w:t>Desarrollar acciones de aislamiento térmico en viviendas existentes en zonas de climas extremosos.</w:t>
            </w:r>
          </w:p>
          <w:p w14:paraId="29B81BF0" w14:textId="77777777" w:rsidR="000259E1" w:rsidRDefault="000259E1" w:rsidP="001C7BE0">
            <w:pPr>
              <w:pStyle w:val="ListParagraph"/>
              <w:numPr>
                <w:ilvl w:val="0"/>
                <w:numId w:val="37"/>
              </w:numPr>
              <w:shd w:val="clear" w:color="auto" w:fill="FFFFFF"/>
              <w:ind w:left="156" w:hanging="256"/>
              <w:jc w:val="both"/>
              <w:rPr>
                <w:rFonts w:ascii="Arial" w:hAnsi="Arial" w:cs="Arial"/>
                <w:color w:val="2F2F2F"/>
                <w:sz w:val="22"/>
                <w:szCs w:val="22"/>
                <w:lang w:val="es-MX"/>
              </w:rPr>
            </w:pPr>
            <w:r w:rsidRPr="007A4AEE">
              <w:rPr>
                <w:rFonts w:ascii="Arial" w:hAnsi="Arial" w:cs="Arial"/>
                <w:color w:val="2F2F2F"/>
                <w:sz w:val="22"/>
                <w:szCs w:val="22"/>
                <w:lang w:val="es-MX"/>
              </w:rPr>
              <w:lastRenderedPageBreak/>
              <w:t>Operar programas para la sustitución de equipos ineficientes en el consumo de electricidad en los sectores industrial, comercial y de servicios.</w:t>
            </w:r>
            <w:r w:rsidRPr="00273D71">
              <w:rPr>
                <w:rFonts w:ascii="Arial" w:hAnsi="Arial" w:cs="Arial"/>
                <w:color w:val="2F2F2F"/>
                <w:sz w:val="22"/>
                <w:szCs w:val="22"/>
                <w:lang w:val="es-MX"/>
              </w:rPr>
              <w:t xml:space="preserve"> </w:t>
            </w:r>
          </w:p>
          <w:p w14:paraId="328384EF" w14:textId="77777777" w:rsidR="000259E1" w:rsidRDefault="000259E1" w:rsidP="001C7BE0">
            <w:pPr>
              <w:pStyle w:val="ListParagraph"/>
              <w:numPr>
                <w:ilvl w:val="0"/>
                <w:numId w:val="37"/>
              </w:numPr>
              <w:shd w:val="clear" w:color="auto" w:fill="FFFFFF"/>
              <w:ind w:left="156" w:hanging="256"/>
              <w:jc w:val="both"/>
              <w:rPr>
                <w:rFonts w:ascii="Arial" w:hAnsi="Arial" w:cs="Arial"/>
                <w:color w:val="2F2F2F"/>
                <w:sz w:val="22"/>
                <w:szCs w:val="22"/>
                <w:lang w:val="es-MX"/>
              </w:rPr>
            </w:pPr>
            <w:r w:rsidRPr="007A4AEE">
              <w:rPr>
                <w:rFonts w:ascii="Arial" w:hAnsi="Arial" w:cs="Arial"/>
                <w:color w:val="2F2F2F"/>
                <w:sz w:val="22"/>
                <w:szCs w:val="22"/>
                <w:lang w:val="es-MX"/>
              </w:rPr>
              <w:t>Fortalecer programas de eficiencia energética en el sector agropecuario.</w:t>
            </w:r>
            <w:r w:rsidRPr="00273D71">
              <w:rPr>
                <w:rFonts w:ascii="Arial" w:hAnsi="Arial" w:cs="Arial"/>
                <w:color w:val="2F2F2F"/>
                <w:sz w:val="22"/>
                <w:szCs w:val="22"/>
                <w:lang w:val="es-MX"/>
              </w:rPr>
              <w:t xml:space="preserve"> </w:t>
            </w:r>
          </w:p>
          <w:p w14:paraId="273364AE" w14:textId="77777777" w:rsidR="000259E1" w:rsidRDefault="000259E1" w:rsidP="001C7BE0">
            <w:pPr>
              <w:pStyle w:val="ListParagraph"/>
              <w:numPr>
                <w:ilvl w:val="0"/>
                <w:numId w:val="37"/>
              </w:numPr>
              <w:shd w:val="clear" w:color="auto" w:fill="FFFFFF"/>
              <w:ind w:left="156" w:hanging="256"/>
              <w:jc w:val="both"/>
              <w:rPr>
                <w:rFonts w:ascii="Arial" w:hAnsi="Arial" w:cs="Arial"/>
                <w:color w:val="2F2F2F"/>
                <w:sz w:val="22"/>
                <w:szCs w:val="22"/>
                <w:lang w:val="es-MX"/>
              </w:rPr>
            </w:pPr>
            <w:r w:rsidRPr="001C7BE0">
              <w:rPr>
                <w:rFonts w:ascii="Arial" w:hAnsi="Arial" w:cs="Arial"/>
                <w:color w:val="2F2F2F"/>
                <w:sz w:val="22"/>
                <w:szCs w:val="22"/>
                <w:lang w:val="es-MX"/>
              </w:rPr>
              <w:t>Fortalecer programas de uso de calentadores solares de agua en los sectores de consumo final.</w:t>
            </w:r>
            <w:r w:rsidRPr="00273D71">
              <w:rPr>
                <w:rFonts w:ascii="Arial" w:hAnsi="Arial" w:cs="Arial"/>
                <w:color w:val="2F2F2F"/>
                <w:sz w:val="22"/>
                <w:szCs w:val="22"/>
                <w:lang w:val="es-MX"/>
              </w:rPr>
              <w:t xml:space="preserve"> </w:t>
            </w:r>
          </w:p>
          <w:p w14:paraId="14EF2379" w14:textId="77777777" w:rsidR="000259E1" w:rsidRDefault="000259E1" w:rsidP="001C7BE0">
            <w:pPr>
              <w:pStyle w:val="ListParagraph"/>
              <w:numPr>
                <w:ilvl w:val="0"/>
                <w:numId w:val="37"/>
              </w:numPr>
              <w:shd w:val="clear" w:color="auto" w:fill="FFFFFF"/>
              <w:ind w:left="156" w:hanging="256"/>
              <w:jc w:val="both"/>
              <w:rPr>
                <w:rFonts w:ascii="Arial" w:hAnsi="Arial" w:cs="Arial"/>
                <w:color w:val="2F2F2F"/>
                <w:sz w:val="22"/>
                <w:szCs w:val="22"/>
                <w:lang w:val="es-MX"/>
              </w:rPr>
            </w:pPr>
            <w:r w:rsidRPr="007A4AEE">
              <w:rPr>
                <w:rFonts w:ascii="Arial" w:hAnsi="Arial" w:cs="Arial"/>
                <w:color w:val="2F2F2F"/>
                <w:sz w:val="22"/>
                <w:szCs w:val="22"/>
                <w:lang w:val="es-MX"/>
              </w:rPr>
              <w:t>Promover políticas para incrementar el aprovechamiento de los potenciales de cogeneración en los sectores de consumo final.</w:t>
            </w:r>
            <w:r w:rsidRPr="00273D71">
              <w:rPr>
                <w:rFonts w:ascii="Arial" w:hAnsi="Arial" w:cs="Arial"/>
                <w:color w:val="2F2F2F"/>
                <w:sz w:val="22"/>
                <w:szCs w:val="22"/>
                <w:lang w:val="es-MX"/>
              </w:rPr>
              <w:t xml:space="preserve"> </w:t>
            </w:r>
          </w:p>
          <w:p w14:paraId="62146BB4" w14:textId="77777777" w:rsidR="000259E1" w:rsidRDefault="000259E1" w:rsidP="001C7BE0">
            <w:pPr>
              <w:pStyle w:val="ListParagraph"/>
              <w:numPr>
                <w:ilvl w:val="0"/>
                <w:numId w:val="37"/>
              </w:numPr>
              <w:shd w:val="clear" w:color="auto" w:fill="FFFFFF"/>
              <w:ind w:left="156" w:hanging="256"/>
              <w:jc w:val="both"/>
              <w:rPr>
                <w:rFonts w:ascii="Arial" w:hAnsi="Arial" w:cs="Arial"/>
                <w:color w:val="2F2F2F"/>
                <w:sz w:val="22"/>
                <w:szCs w:val="22"/>
                <w:lang w:val="es-MX"/>
              </w:rPr>
            </w:pPr>
            <w:r w:rsidRPr="007A4AEE">
              <w:rPr>
                <w:rFonts w:ascii="Arial" w:hAnsi="Arial" w:cs="Arial"/>
                <w:color w:val="2F2F2F"/>
                <w:sz w:val="22"/>
                <w:szCs w:val="22"/>
                <w:lang w:val="es-MX"/>
              </w:rPr>
              <w:t>Continuar el Horario de Verano en las distintas zonas del país.</w:t>
            </w:r>
          </w:p>
          <w:p w14:paraId="47039E85" w14:textId="2941FDB6" w:rsidR="00A90743" w:rsidRPr="007A4AEE" w:rsidRDefault="000259E1" w:rsidP="001C7BE0">
            <w:pPr>
              <w:pStyle w:val="ListParagraph"/>
              <w:numPr>
                <w:ilvl w:val="0"/>
                <w:numId w:val="37"/>
              </w:numPr>
              <w:shd w:val="clear" w:color="auto" w:fill="FFFFFF"/>
              <w:ind w:left="156" w:hanging="706"/>
              <w:jc w:val="both"/>
              <w:rPr>
                <w:rFonts w:ascii="Arial" w:hAnsi="Arial" w:cs="Arial"/>
                <w:color w:val="2F2F2F"/>
                <w:sz w:val="22"/>
                <w:szCs w:val="22"/>
                <w:lang w:val="es-MX"/>
              </w:rPr>
            </w:pPr>
            <w:r w:rsidRPr="007A4AEE">
              <w:rPr>
                <w:rFonts w:ascii="Arial" w:hAnsi="Arial" w:cs="Arial"/>
                <w:color w:val="2F2F2F"/>
                <w:sz w:val="22"/>
                <w:szCs w:val="22"/>
                <w:lang w:val="es-MX"/>
              </w:rPr>
              <w:t>Promover el uso de esquemas de generación distribuida de pequeña y gran escala.</w:t>
            </w:r>
            <w:r w:rsidR="002B7AF1" w:rsidRPr="00273D71">
              <w:rPr>
                <w:rFonts w:ascii="Arial" w:hAnsi="Arial" w:cs="Arial"/>
                <w:color w:val="2F2F2F"/>
                <w:sz w:val="22"/>
                <w:szCs w:val="22"/>
                <w:lang w:val="es-MX"/>
              </w:rPr>
              <w:t xml:space="preserve"> </w:t>
            </w:r>
          </w:p>
        </w:tc>
      </w:tr>
      <w:tr w:rsidR="009244BF" w:rsidRPr="006B046D" w14:paraId="20CBBC8F" w14:textId="77777777" w:rsidTr="007A4AEE">
        <w:trPr>
          <w:trHeight w:val="1610"/>
        </w:trPr>
        <w:tc>
          <w:tcPr>
            <w:tcW w:w="2610" w:type="dxa"/>
          </w:tcPr>
          <w:p w14:paraId="21F4F40B" w14:textId="6106BAE5" w:rsidR="00A90743" w:rsidRPr="007A4AEE" w:rsidRDefault="00FF0031" w:rsidP="007A4AEE">
            <w:pPr>
              <w:pStyle w:val="BodyText2"/>
              <w:tabs>
                <w:tab w:val="left" w:pos="0"/>
              </w:tabs>
              <w:spacing w:before="120" w:line="240" w:lineRule="auto"/>
              <w:ind w:right="-102"/>
              <w:rPr>
                <w:rFonts w:ascii="Arial" w:hAnsi="Arial" w:cs="Arial"/>
                <w:color w:val="000000"/>
                <w:sz w:val="22"/>
                <w:szCs w:val="22"/>
                <w:lang w:val="es-ES"/>
              </w:rPr>
            </w:pPr>
            <w:r w:rsidRPr="007A4AEE">
              <w:rPr>
                <w:rFonts w:ascii="Arial" w:hAnsi="Arial" w:cs="Arial"/>
                <w:bCs/>
                <w:color w:val="2F2F2F"/>
                <w:sz w:val="22"/>
                <w:szCs w:val="22"/>
                <w:shd w:val="clear" w:color="auto" w:fill="FFFFFF"/>
              </w:rPr>
              <w:lastRenderedPageBreak/>
              <w:t>Propiciar programas de eficiencia energética dentro de las</w:t>
            </w:r>
            <w:r>
              <w:rPr>
                <w:rFonts w:ascii="Arial" w:hAnsi="Arial" w:cs="Arial"/>
                <w:bCs/>
                <w:color w:val="2F2F2F"/>
                <w:sz w:val="22"/>
                <w:szCs w:val="22"/>
                <w:shd w:val="clear" w:color="auto" w:fill="FFFFFF"/>
              </w:rPr>
              <w:t xml:space="preserve"> entidades y dependencias de la Administración Pública Federal</w:t>
            </w:r>
            <w:r w:rsidRPr="007A4AEE">
              <w:rPr>
                <w:rFonts w:ascii="Arial" w:hAnsi="Arial" w:cs="Arial"/>
                <w:bCs/>
                <w:color w:val="2F2F2F"/>
                <w:sz w:val="22"/>
                <w:szCs w:val="22"/>
                <w:shd w:val="clear" w:color="auto" w:fill="FFFFFF"/>
              </w:rPr>
              <w:t>.</w:t>
            </w:r>
          </w:p>
        </w:tc>
        <w:tc>
          <w:tcPr>
            <w:tcW w:w="7110" w:type="dxa"/>
          </w:tcPr>
          <w:p w14:paraId="5B1FCDB0" w14:textId="20D952F5" w:rsidR="00FF0031" w:rsidRDefault="00FF0031" w:rsidP="007A4AEE">
            <w:pPr>
              <w:pStyle w:val="ListParagraph"/>
              <w:numPr>
                <w:ilvl w:val="0"/>
                <w:numId w:val="38"/>
              </w:numPr>
              <w:shd w:val="clear" w:color="auto" w:fill="FFFFFF"/>
              <w:ind w:left="156" w:hanging="180"/>
              <w:jc w:val="both"/>
              <w:rPr>
                <w:rFonts w:ascii="Arial" w:hAnsi="Arial" w:cs="Arial"/>
                <w:color w:val="2F2F2F"/>
                <w:sz w:val="22"/>
                <w:szCs w:val="22"/>
                <w:lang w:val="es-MX"/>
              </w:rPr>
            </w:pPr>
            <w:r w:rsidRPr="007A4AEE">
              <w:rPr>
                <w:rFonts w:ascii="Arial" w:hAnsi="Arial" w:cs="Arial"/>
                <w:color w:val="2F2F2F"/>
                <w:sz w:val="22"/>
                <w:szCs w:val="22"/>
                <w:lang w:val="es-MX"/>
              </w:rPr>
              <w:t>Emitir</w:t>
            </w:r>
            <w:r w:rsidRPr="007A4AEE">
              <w:rPr>
                <w:rFonts w:ascii="Arial" w:hAnsi="Arial" w:cs="Arial"/>
                <w:color w:val="2F2F2F"/>
                <w:sz w:val="18"/>
                <w:szCs w:val="18"/>
                <w:lang w:val="es-MX"/>
              </w:rPr>
              <w:t xml:space="preserve"> </w:t>
            </w:r>
            <w:r w:rsidRPr="007A4AEE">
              <w:rPr>
                <w:rFonts w:ascii="Arial" w:hAnsi="Arial" w:cs="Arial"/>
                <w:color w:val="2F2F2F"/>
                <w:sz w:val="22"/>
                <w:szCs w:val="22"/>
                <w:lang w:val="es-MX"/>
              </w:rPr>
              <w:t xml:space="preserve">disposiciones anuales para </w:t>
            </w:r>
            <w:r>
              <w:rPr>
                <w:rFonts w:ascii="Arial" w:hAnsi="Arial" w:cs="Arial"/>
                <w:color w:val="2F2F2F"/>
                <w:sz w:val="22"/>
                <w:szCs w:val="22"/>
                <w:lang w:val="es-MX"/>
              </w:rPr>
              <w:t>implem</w:t>
            </w:r>
            <w:r w:rsidRPr="007A4AEE">
              <w:rPr>
                <w:rFonts w:ascii="Arial" w:hAnsi="Arial" w:cs="Arial"/>
                <w:color w:val="2F2F2F"/>
                <w:sz w:val="22"/>
                <w:szCs w:val="22"/>
                <w:lang w:val="es-MX"/>
              </w:rPr>
              <w:t>enta</w:t>
            </w:r>
            <w:r>
              <w:rPr>
                <w:rFonts w:ascii="Arial" w:hAnsi="Arial" w:cs="Arial"/>
                <w:color w:val="2F2F2F"/>
                <w:sz w:val="22"/>
                <w:szCs w:val="22"/>
                <w:lang w:val="es-MX"/>
              </w:rPr>
              <w:t>r</w:t>
            </w:r>
            <w:r w:rsidRPr="00273D71">
              <w:rPr>
                <w:rFonts w:ascii="Arial" w:hAnsi="Arial" w:cs="Arial"/>
                <w:color w:val="2F2F2F"/>
                <w:sz w:val="22"/>
                <w:szCs w:val="22"/>
                <w:lang w:val="es-MX"/>
              </w:rPr>
              <w:t xml:space="preserve"> de programas </w:t>
            </w:r>
            <w:r w:rsidRPr="007A4AEE">
              <w:rPr>
                <w:rFonts w:ascii="Arial" w:hAnsi="Arial" w:cs="Arial"/>
                <w:color w:val="2F2F2F"/>
                <w:sz w:val="22"/>
                <w:szCs w:val="22"/>
                <w:lang w:val="es-MX"/>
              </w:rPr>
              <w:t xml:space="preserve">de </w:t>
            </w:r>
            <w:r>
              <w:rPr>
                <w:rFonts w:ascii="Arial" w:hAnsi="Arial" w:cs="Arial"/>
                <w:color w:val="2F2F2F"/>
                <w:sz w:val="22"/>
                <w:szCs w:val="22"/>
                <w:lang w:val="es-MX"/>
              </w:rPr>
              <w:t>EE</w:t>
            </w:r>
            <w:r w:rsidRPr="007A4AEE">
              <w:rPr>
                <w:rFonts w:ascii="Arial" w:hAnsi="Arial" w:cs="Arial"/>
                <w:color w:val="2F2F2F"/>
                <w:sz w:val="22"/>
                <w:szCs w:val="22"/>
                <w:lang w:val="es-MX"/>
              </w:rPr>
              <w:t>.</w:t>
            </w:r>
            <w:r w:rsidRPr="00273D71">
              <w:rPr>
                <w:rFonts w:ascii="Arial" w:hAnsi="Arial" w:cs="Arial"/>
                <w:color w:val="2F2F2F"/>
                <w:sz w:val="22"/>
                <w:szCs w:val="22"/>
                <w:lang w:val="es-MX"/>
              </w:rPr>
              <w:t xml:space="preserve"> </w:t>
            </w:r>
          </w:p>
          <w:p w14:paraId="082D2B97" w14:textId="2A494B30" w:rsidR="00FF0031" w:rsidRDefault="00FF0031" w:rsidP="007A4AEE">
            <w:pPr>
              <w:pStyle w:val="ListParagraph"/>
              <w:numPr>
                <w:ilvl w:val="0"/>
                <w:numId w:val="38"/>
              </w:numPr>
              <w:shd w:val="clear" w:color="auto" w:fill="FFFFFF"/>
              <w:ind w:left="156" w:hanging="180"/>
              <w:jc w:val="both"/>
              <w:rPr>
                <w:rFonts w:ascii="Arial" w:hAnsi="Arial" w:cs="Arial"/>
                <w:color w:val="2F2F2F"/>
                <w:sz w:val="22"/>
                <w:szCs w:val="22"/>
                <w:lang w:val="es-MX"/>
              </w:rPr>
            </w:pPr>
            <w:r w:rsidRPr="007A4AEE">
              <w:rPr>
                <w:rFonts w:ascii="Arial" w:hAnsi="Arial" w:cs="Arial"/>
                <w:color w:val="2F2F2F"/>
                <w:sz w:val="22"/>
                <w:szCs w:val="22"/>
                <w:lang w:val="es-MX"/>
              </w:rPr>
              <w:t>E</w:t>
            </w:r>
            <w:r w:rsidRPr="00273D71">
              <w:rPr>
                <w:rFonts w:ascii="Arial" w:hAnsi="Arial" w:cs="Arial"/>
                <w:color w:val="2F2F2F"/>
                <w:sz w:val="22"/>
                <w:szCs w:val="22"/>
                <w:lang w:val="es-MX"/>
              </w:rPr>
              <w:t xml:space="preserve">mitir lineamientos con </w:t>
            </w:r>
            <w:r w:rsidRPr="007A4AEE">
              <w:rPr>
                <w:rFonts w:ascii="Arial" w:hAnsi="Arial" w:cs="Arial"/>
                <w:color w:val="2F2F2F"/>
                <w:sz w:val="22"/>
                <w:szCs w:val="22"/>
                <w:lang w:val="es-MX"/>
              </w:rPr>
              <w:t>criterios de aprovechamiento sustentable de la energía, para las adquisiciones, arrendamientos, obras y servicios que contraten.</w:t>
            </w:r>
            <w:r w:rsidRPr="00273D71">
              <w:rPr>
                <w:rFonts w:ascii="Arial" w:hAnsi="Arial" w:cs="Arial"/>
                <w:color w:val="2F2F2F"/>
                <w:sz w:val="22"/>
                <w:szCs w:val="22"/>
                <w:lang w:val="es-MX"/>
              </w:rPr>
              <w:t xml:space="preserve"> </w:t>
            </w:r>
          </w:p>
          <w:p w14:paraId="4AA0721F" w14:textId="2A9C1E3A" w:rsidR="00FF0031" w:rsidRPr="007A4AEE" w:rsidRDefault="00FF0031" w:rsidP="007A4AEE">
            <w:pPr>
              <w:shd w:val="clear" w:color="auto" w:fill="FFFFFF"/>
              <w:jc w:val="both"/>
              <w:rPr>
                <w:rFonts w:ascii="Arial" w:hAnsi="Arial" w:cs="Arial"/>
                <w:color w:val="2F2F2F"/>
                <w:sz w:val="22"/>
                <w:szCs w:val="22"/>
                <w:lang w:val="es-MX"/>
              </w:rPr>
            </w:pPr>
          </w:p>
          <w:p w14:paraId="4D43100E" w14:textId="77777777" w:rsidR="00A90743" w:rsidRPr="007A4AEE" w:rsidRDefault="00A90743" w:rsidP="00A90743">
            <w:pPr>
              <w:pStyle w:val="BodyText2"/>
              <w:tabs>
                <w:tab w:val="left" w:pos="0"/>
                <w:tab w:val="left" w:pos="720"/>
              </w:tabs>
              <w:spacing w:before="120" w:line="240" w:lineRule="auto"/>
              <w:jc w:val="both"/>
              <w:rPr>
                <w:rFonts w:ascii="Arial" w:hAnsi="Arial" w:cs="Arial"/>
                <w:color w:val="000000"/>
                <w:sz w:val="22"/>
                <w:szCs w:val="22"/>
                <w:lang w:val="es-MX"/>
              </w:rPr>
            </w:pPr>
          </w:p>
        </w:tc>
      </w:tr>
      <w:tr w:rsidR="009244BF" w:rsidRPr="006B046D" w14:paraId="577190FE" w14:textId="77777777" w:rsidTr="009244BF">
        <w:tc>
          <w:tcPr>
            <w:tcW w:w="2610" w:type="dxa"/>
          </w:tcPr>
          <w:p w14:paraId="430D7AC3" w14:textId="1184190A" w:rsidR="00A90743" w:rsidRPr="001C7BE0" w:rsidRDefault="00FF0031" w:rsidP="001C7BE0">
            <w:pPr>
              <w:pStyle w:val="BodyText2"/>
              <w:tabs>
                <w:tab w:val="left" w:pos="0"/>
              </w:tabs>
              <w:spacing w:before="120" w:line="240" w:lineRule="auto"/>
              <w:ind w:right="-102"/>
              <w:rPr>
                <w:rFonts w:ascii="Arial" w:hAnsi="Arial" w:cs="Arial"/>
                <w:bCs/>
                <w:color w:val="2F2F2F"/>
                <w:sz w:val="22"/>
                <w:szCs w:val="22"/>
                <w:shd w:val="clear" w:color="auto" w:fill="FFFFFF"/>
              </w:rPr>
            </w:pPr>
            <w:r w:rsidRPr="001C7BE0">
              <w:rPr>
                <w:rFonts w:ascii="Arial" w:hAnsi="Arial" w:cs="Arial"/>
                <w:bCs/>
                <w:color w:val="2F2F2F"/>
                <w:sz w:val="22"/>
                <w:szCs w:val="22"/>
                <w:shd w:val="clear" w:color="auto" w:fill="FFFFFF"/>
              </w:rPr>
              <w:t>Dar continuidad y fortalecer las acciones de eficiencia energética en los servicios que proveen los estados y municipios</w:t>
            </w:r>
            <w:r w:rsidR="00BD4FAD">
              <w:rPr>
                <w:rFonts w:ascii="Arial" w:hAnsi="Arial" w:cs="Arial"/>
                <w:bCs/>
                <w:color w:val="2F2F2F"/>
                <w:sz w:val="22"/>
                <w:szCs w:val="22"/>
                <w:shd w:val="clear" w:color="auto" w:fill="FFFFFF"/>
              </w:rPr>
              <w:t>.</w:t>
            </w:r>
          </w:p>
        </w:tc>
        <w:tc>
          <w:tcPr>
            <w:tcW w:w="7110" w:type="dxa"/>
          </w:tcPr>
          <w:p w14:paraId="33F2DAC3" w14:textId="77777777" w:rsidR="00FF0031" w:rsidRPr="001C7BE0" w:rsidRDefault="00FF0031" w:rsidP="007A4AEE">
            <w:pPr>
              <w:pStyle w:val="ListParagraph"/>
              <w:numPr>
                <w:ilvl w:val="0"/>
                <w:numId w:val="39"/>
              </w:numPr>
              <w:shd w:val="clear" w:color="auto" w:fill="FFFFFF"/>
              <w:ind w:left="156" w:hanging="180"/>
              <w:jc w:val="both"/>
              <w:rPr>
                <w:rFonts w:ascii="Arial" w:hAnsi="Arial" w:cs="Arial"/>
                <w:color w:val="2F2F2F"/>
                <w:sz w:val="22"/>
                <w:szCs w:val="22"/>
                <w:lang w:val="es-MX"/>
              </w:rPr>
            </w:pPr>
            <w:r w:rsidRPr="007A4AEE">
              <w:rPr>
                <w:rFonts w:ascii="Arial" w:hAnsi="Arial" w:cs="Arial"/>
                <w:color w:val="2F2F2F"/>
                <w:sz w:val="22"/>
                <w:szCs w:val="22"/>
                <w:lang w:val="es-MX"/>
              </w:rPr>
              <w:t>Continuar con la operación el Proyecto Nacional de Eficiencia Energética de Alumbrado Público Municipal.</w:t>
            </w:r>
          </w:p>
          <w:p w14:paraId="6908ED98" w14:textId="4F8D5630" w:rsidR="00FF0031" w:rsidRPr="001C7BE0" w:rsidRDefault="00FF0031" w:rsidP="007A4AEE">
            <w:pPr>
              <w:pStyle w:val="ListParagraph"/>
              <w:numPr>
                <w:ilvl w:val="0"/>
                <w:numId w:val="39"/>
              </w:numPr>
              <w:shd w:val="clear" w:color="auto" w:fill="FFFFFF"/>
              <w:ind w:left="156" w:hanging="180"/>
              <w:jc w:val="both"/>
              <w:rPr>
                <w:rFonts w:ascii="Arial" w:hAnsi="Arial" w:cs="Arial"/>
                <w:color w:val="2F2F2F"/>
                <w:sz w:val="18"/>
                <w:szCs w:val="18"/>
                <w:lang w:val="es-MX"/>
              </w:rPr>
            </w:pPr>
            <w:r w:rsidRPr="001C7BE0">
              <w:rPr>
                <w:rFonts w:ascii="Arial" w:hAnsi="Arial" w:cs="Arial"/>
                <w:color w:val="2F2F2F"/>
                <w:sz w:val="22"/>
                <w:szCs w:val="22"/>
                <w:lang w:val="es-MX"/>
              </w:rPr>
              <w:t xml:space="preserve">Promover acciones de eficiencia energética en los sistemas operados por </w:t>
            </w:r>
            <w:r w:rsidR="00BD4FAD" w:rsidRPr="00273D71">
              <w:rPr>
                <w:rFonts w:ascii="Arial" w:hAnsi="Arial" w:cs="Arial"/>
                <w:color w:val="2F2F2F"/>
                <w:sz w:val="22"/>
                <w:szCs w:val="22"/>
                <w:lang w:val="es-MX"/>
              </w:rPr>
              <w:t>municipios</w:t>
            </w:r>
            <w:r w:rsidR="00BD4FAD" w:rsidRPr="00273D71">
              <w:rPr>
                <w:rFonts w:ascii="Arial" w:hAnsi="Arial" w:cs="Arial"/>
                <w:color w:val="2F2F2F"/>
                <w:sz w:val="18"/>
                <w:szCs w:val="18"/>
                <w:lang w:val="es-MX"/>
              </w:rPr>
              <w:t>.</w:t>
            </w:r>
          </w:p>
          <w:p w14:paraId="772B693F" w14:textId="77777777" w:rsidR="00A90743" w:rsidRPr="001C7BE0" w:rsidRDefault="00A90743" w:rsidP="001C7BE0">
            <w:pPr>
              <w:pStyle w:val="BodyText2"/>
              <w:tabs>
                <w:tab w:val="left" w:pos="0"/>
              </w:tabs>
              <w:spacing w:before="120" w:line="240" w:lineRule="auto"/>
              <w:ind w:right="-102"/>
              <w:rPr>
                <w:rFonts w:ascii="Arial" w:hAnsi="Arial" w:cs="Arial"/>
                <w:bCs/>
                <w:color w:val="2F2F2F"/>
                <w:sz w:val="22"/>
                <w:szCs w:val="22"/>
                <w:shd w:val="clear" w:color="auto" w:fill="FFFFFF"/>
                <w:lang w:val="es-MX"/>
              </w:rPr>
            </w:pPr>
          </w:p>
        </w:tc>
      </w:tr>
      <w:tr w:rsidR="009244BF" w:rsidRPr="006B046D" w14:paraId="1F9D3E27" w14:textId="77777777" w:rsidTr="009244BF">
        <w:tc>
          <w:tcPr>
            <w:tcW w:w="2610" w:type="dxa"/>
          </w:tcPr>
          <w:p w14:paraId="3AD44AE6" w14:textId="2BC07638" w:rsidR="00A90743" w:rsidRPr="001C7BE0" w:rsidRDefault="00FF0031" w:rsidP="001C7BE0">
            <w:pPr>
              <w:pStyle w:val="BodyText2"/>
              <w:tabs>
                <w:tab w:val="left" w:pos="0"/>
                <w:tab w:val="left" w:pos="720"/>
              </w:tabs>
              <w:spacing w:before="120" w:line="240" w:lineRule="auto"/>
              <w:rPr>
                <w:rFonts w:ascii="Arial" w:hAnsi="Arial" w:cs="Arial"/>
                <w:color w:val="000000"/>
                <w:sz w:val="22"/>
                <w:szCs w:val="22"/>
                <w:lang w:val="es-ES"/>
              </w:rPr>
            </w:pPr>
            <w:r w:rsidRPr="001C7BE0">
              <w:rPr>
                <w:rFonts w:ascii="Arial" w:hAnsi="Arial" w:cs="Arial"/>
                <w:bCs/>
                <w:color w:val="2F2F2F"/>
                <w:sz w:val="22"/>
                <w:szCs w:val="22"/>
                <w:shd w:val="clear" w:color="auto" w:fill="FFFFFF"/>
              </w:rPr>
              <w:t>Apoyar las actividades de normalizació</w:t>
            </w:r>
            <w:r w:rsidR="00BD4FAD">
              <w:rPr>
                <w:rFonts w:ascii="Arial" w:hAnsi="Arial" w:cs="Arial"/>
                <w:bCs/>
                <w:color w:val="2F2F2F"/>
                <w:sz w:val="22"/>
                <w:szCs w:val="22"/>
                <w:shd w:val="clear" w:color="auto" w:fill="FFFFFF"/>
              </w:rPr>
              <w:t>n</w:t>
            </w:r>
            <w:r w:rsidR="00BD4FAD" w:rsidRPr="00273D71">
              <w:rPr>
                <w:rFonts w:ascii="Arial" w:hAnsi="Arial" w:cs="Arial"/>
                <w:bCs/>
                <w:color w:val="2F2F2F"/>
                <w:sz w:val="22"/>
                <w:szCs w:val="22"/>
                <w:shd w:val="clear" w:color="auto" w:fill="FFFFFF"/>
              </w:rPr>
              <w:t xml:space="preserve"> </w:t>
            </w:r>
            <w:r w:rsidR="00BD4FAD">
              <w:rPr>
                <w:rFonts w:ascii="Arial" w:hAnsi="Arial" w:cs="Arial"/>
                <w:bCs/>
                <w:color w:val="2F2F2F"/>
                <w:sz w:val="22"/>
                <w:szCs w:val="22"/>
                <w:shd w:val="clear" w:color="auto" w:fill="FFFFFF"/>
              </w:rPr>
              <w:t>de eficiencia energética.</w:t>
            </w:r>
          </w:p>
        </w:tc>
        <w:tc>
          <w:tcPr>
            <w:tcW w:w="7110" w:type="dxa"/>
          </w:tcPr>
          <w:p w14:paraId="645B09B2" w14:textId="77777777" w:rsidR="00FF0031" w:rsidRPr="001C7BE0" w:rsidRDefault="00FF0031" w:rsidP="001C7BE0">
            <w:pPr>
              <w:pStyle w:val="ListParagraph"/>
              <w:numPr>
                <w:ilvl w:val="0"/>
                <w:numId w:val="40"/>
              </w:numPr>
              <w:shd w:val="clear" w:color="auto" w:fill="FFFFFF"/>
              <w:ind w:left="156" w:hanging="180"/>
              <w:jc w:val="both"/>
              <w:rPr>
                <w:rFonts w:ascii="Arial" w:hAnsi="Arial" w:cs="Arial"/>
                <w:color w:val="2F2F2F"/>
                <w:sz w:val="22"/>
                <w:szCs w:val="22"/>
                <w:lang w:val="es-MX"/>
              </w:rPr>
            </w:pPr>
            <w:r w:rsidRPr="001C7BE0">
              <w:rPr>
                <w:rFonts w:ascii="Arial" w:hAnsi="Arial" w:cs="Arial"/>
                <w:color w:val="2F2F2F"/>
                <w:sz w:val="22"/>
                <w:szCs w:val="22"/>
                <w:lang w:val="es-MX"/>
              </w:rPr>
              <w:t>Ratificar, actualizar, y/o cancelar por revisión quinquenal las Normas Oficiales Mexicanas (NOM) que correspondan durante el periodo 2014-2018.</w:t>
            </w:r>
          </w:p>
          <w:p w14:paraId="138FCBF5" w14:textId="7E038784" w:rsidR="00FF0031" w:rsidRPr="001C7BE0" w:rsidRDefault="00FF0031" w:rsidP="001C7BE0">
            <w:pPr>
              <w:pStyle w:val="ListParagraph"/>
              <w:numPr>
                <w:ilvl w:val="0"/>
                <w:numId w:val="40"/>
              </w:numPr>
              <w:shd w:val="clear" w:color="auto" w:fill="FFFFFF"/>
              <w:ind w:left="156" w:hanging="180"/>
              <w:jc w:val="both"/>
              <w:rPr>
                <w:rFonts w:ascii="Arial" w:hAnsi="Arial" w:cs="Arial"/>
                <w:color w:val="2F2F2F"/>
                <w:sz w:val="22"/>
                <w:szCs w:val="22"/>
                <w:lang w:val="es-MX"/>
              </w:rPr>
            </w:pPr>
            <w:r w:rsidRPr="001C7BE0">
              <w:rPr>
                <w:rFonts w:ascii="Arial" w:hAnsi="Arial" w:cs="Arial"/>
                <w:color w:val="2F2F2F"/>
                <w:sz w:val="22"/>
                <w:szCs w:val="22"/>
                <w:lang w:val="es-MX"/>
              </w:rPr>
              <w:t>Identificar y desarrollar nuevas NOM de eficiencia energética en equipos, aparatos y sistemas.</w:t>
            </w:r>
          </w:p>
          <w:p w14:paraId="0E9024C3" w14:textId="066519A2" w:rsidR="00FF0031" w:rsidRPr="001C7BE0" w:rsidRDefault="00FF0031" w:rsidP="001C7BE0">
            <w:pPr>
              <w:pStyle w:val="ListParagraph"/>
              <w:numPr>
                <w:ilvl w:val="0"/>
                <w:numId w:val="40"/>
              </w:numPr>
              <w:shd w:val="clear" w:color="auto" w:fill="FFFFFF"/>
              <w:ind w:left="156" w:hanging="180"/>
              <w:jc w:val="both"/>
              <w:rPr>
                <w:rFonts w:ascii="Arial" w:hAnsi="Arial" w:cs="Arial"/>
                <w:color w:val="2F2F2F"/>
                <w:sz w:val="22"/>
                <w:szCs w:val="22"/>
                <w:lang w:val="es-MX"/>
              </w:rPr>
            </w:pPr>
            <w:r w:rsidRPr="001C7BE0">
              <w:rPr>
                <w:rFonts w:ascii="Arial" w:hAnsi="Arial" w:cs="Arial"/>
                <w:color w:val="2F2F2F"/>
                <w:sz w:val="22"/>
                <w:szCs w:val="22"/>
                <w:lang w:val="es-MX"/>
              </w:rPr>
              <w:t>Promover la aplicación de las NOM de sistemas por parte de gobiernos municipales y estatales, y de dependencias y entidades del gobierno federal.</w:t>
            </w:r>
          </w:p>
          <w:p w14:paraId="7D4A1F3C" w14:textId="4D5A2676" w:rsidR="00A90743" w:rsidRPr="001C7BE0" w:rsidRDefault="00FF0031" w:rsidP="001C7BE0">
            <w:pPr>
              <w:pStyle w:val="ListParagraph"/>
              <w:numPr>
                <w:ilvl w:val="0"/>
                <w:numId w:val="40"/>
              </w:numPr>
              <w:shd w:val="clear" w:color="auto" w:fill="FFFFFF"/>
              <w:ind w:left="156" w:hanging="180"/>
              <w:jc w:val="both"/>
              <w:rPr>
                <w:rFonts w:ascii="Arial" w:hAnsi="Arial" w:cs="Arial"/>
                <w:color w:val="2F2F2F"/>
                <w:sz w:val="22"/>
                <w:szCs w:val="22"/>
                <w:lang w:val="es-MX"/>
              </w:rPr>
            </w:pPr>
            <w:r w:rsidRPr="001C7BE0">
              <w:rPr>
                <w:rFonts w:ascii="Arial" w:hAnsi="Arial" w:cs="Arial"/>
                <w:color w:val="2F2F2F"/>
                <w:sz w:val="22"/>
                <w:szCs w:val="22"/>
                <w:lang w:val="es-MX"/>
              </w:rPr>
              <w:t>Coadyuvar al diseño de regulaciones ambientales para vehículos importados usados mediante criterios de eficiencia energética.</w:t>
            </w:r>
          </w:p>
        </w:tc>
      </w:tr>
    </w:tbl>
    <w:p w14:paraId="2AB088F2" w14:textId="2CB1AE3E" w:rsidR="00901B02" w:rsidRPr="00901B02" w:rsidRDefault="00901B02" w:rsidP="001C7BE0">
      <w:pPr>
        <w:pStyle w:val="Paragraph"/>
        <w:tabs>
          <w:tab w:val="clear" w:pos="1440"/>
        </w:tabs>
        <w:spacing w:before="100" w:after="100"/>
        <w:ind w:left="0" w:firstLine="0"/>
        <w:rPr>
          <w:rFonts w:ascii="Arial" w:hAnsi="Arial" w:cs="Arial"/>
          <w:b/>
          <w:color w:val="000000"/>
          <w:lang w:val="es-ES"/>
        </w:rPr>
      </w:pPr>
    </w:p>
    <w:p w14:paraId="53194C16" w14:textId="28F36D33" w:rsidR="00901B02" w:rsidRPr="001C7BE0" w:rsidRDefault="00901B02" w:rsidP="00C419B8">
      <w:pPr>
        <w:pStyle w:val="Paragraph"/>
        <w:numPr>
          <w:ilvl w:val="1"/>
          <w:numId w:val="4"/>
        </w:numPr>
        <w:spacing w:before="100" w:after="100"/>
        <w:ind w:left="540" w:hanging="540"/>
        <w:rPr>
          <w:rFonts w:ascii="Arial" w:hAnsi="Arial" w:cs="Arial"/>
          <w:color w:val="000000"/>
          <w:lang w:val="es-ES"/>
        </w:rPr>
      </w:pPr>
      <w:r>
        <w:rPr>
          <w:rFonts w:ascii="Arial" w:hAnsi="Arial" w:cs="Arial"/>
          <w:color w:val="000000"/>
          <w:lang w:val="es-ES"/>
        </w:rPr>
        <w:t>Los Balances Nacionales de Energía que se publican anualmente, contienen la serie de tiempo actualizada del índice de intensidad energética.</w:t>
      </w:r>
    </w:p>
    <w:p w14:paraId="17178805" w14:textId="007DD030" w:rsidR="00767B5B" w:rsidRPr="001927AE" w:rsidRDefault="00BD4FAD" w:rsidP="00273D71">
      <w:pPr>
        <w:pStyle w:val="BodyText2"/>
        <w:numPr>
          <w:ilvl w:val="1"/>
          <w:numId w:val="4"/>
        </w:numPr>
        <w:tabs>
          <w:tab w:val="left" w:pos="0"/>
          <w:tab w:val="left" w:pos="720"/>
        </w:tabs>
        <w:spacing w:before="120" w:line="240" w:lineRule="auto"/>
        <w:ind w:left="540" w:hanging="540"/>
        <w:jc w:val="both"/>
        <w:rPr>
          <w:rFonts w:ascii="Arial" w:hAnsi="Arial" w:cs="Arial"/>
          <w:szCs w:val="24"/>
          <w:lang w:val="es-ES"/>
        </w:rPr>
      </w:pPr>
      <w:r>
        <w:rPr>
          <w:rFonts w:ascii="Arial" w:hAnsi="Arial" w:cs="Arial"/>
          <w:b/>
          <w:color w:val="000000"/>
          <w:lang w:val="es-ES"/>
        </w:rPr>
        <w:t>Incremento de la participación de energías limpias en la generación de energía eléctrica</w:t>
      </w:r>
      <w:r w:rsidR="00767B5B" w:rsidRPr="001927AE">
        <w:rPr>
          <w:rFonts w:ascii="Arial" w:hAnsi="Arial" w:cs="Arial"/>
          <w:szCs w:val="24"/>
          <w:lang w:val="es-ES"/>
        </w:rPr>
        <w:t>.</w:t>
      </w:r>
      <w:r w:rsidR="00073B9C">
        <w:rPr>
          <w:rFonts w:ascii="Arial" w:hAnsi="Arial" w:cs="Arial"/>
          <w:szCs w:val="24"/>
          <w:lang w:val="es-ES"/>
        </w:rPr>
        <w:t xml:space="preserve"> </w:t>
      </w:r>
      <w:r w:rsidR="00073B9C">
        <w:rPr>
          <w:rFonts w:ascii="Arial" w:hAnsi="Arial" w:cs="Arial"/>
          <w:color w:val="000000"/>
          <w:lang w:val="es-ES"/>
        </w:rPr>
        <w:t>Los beneficios de este resultado incluirán: (i) valoración de las menores emisiones de GEI, con base en el precio que se otorgue a la tonelada de CO</w:t>
      </w:r>
      <w:r w:rsidR="00073B9C" w:rsidRPr="00DF72AC">
        <w:rPr>
          <w:rFonts w:ascii="Arial" w:hAnsi="Arial" w:cs="Arial"/>
          <w:color w:val="000000"/>
          <w:vertAlign w:val="subscript"/>
          <w:lang w:val="es-ES"/>
        </w:rPr>
        <w:t>2</w:t>
      </w:r>
      <w:r w:rsidR="00073B9C">
        <w:rPr>
          <w:rFonts w:ascii="Arial" w:hAnsi="Arial" w:cs="Arial"/>
          <w:color w:val="000000"/>
          <w:lang w:val="es-ES"/>
        </w:rPr>
        <w:t xml:space="preserve"> evitada, en los mercados que estén operando en el momento de la evaluación; y (ii) menores costos de generación, por el uso de energía limpias, principalmente renovables.</w:t>
      </w:r>
    </w:p>
    <w:p w14:paraId="6ACAC2B2" w14:textId="77777777" w:rsidR="00F13BF8" w:rsidRPr="001C7BE0" w:rsidRDefault="00073B9C" w:rsidP="001927AE">
      <w:pPr>
        <w:pStyle w:val="BodyText2"/>
        <w:numPr>
          <w:ilvl w:val="1"/>
          <w:numId w:val="4"/>
        </w:numPr>
        <w:tabs>
          <w:tab w:val="left" w:pos="0"/>
          <w:tab w:val="left" w:pos="720"/>
        </w:tabs>
        <w:spacing w:before="120" w:line="240" w:lineRule="auto"/>
        <w:ind w:left="540" w:hanging="540"/>
        <w:jc w:val="both"/>
        <w:rPr>
          <w:rFonts w:ascii="Arial" w:hAnsi="Arial" w:cs="Arial"/>
          <w:szCs w:val="24"/>
          <w:lang w:val="es-ES"/>
        </w:rPr>
      </w:pPr>
      <w:r>
        <w:rPr>
          <w:rFonts w:ascii="Arial" w:hAnsi="Arial" w:cs="Arial"/>
          <w:color w:val="000000"/>
          <w:lang w:val="es-ES"/>
        </w:rPr>
        <w:t xml:space="preserve">Con relación a los costos, se considerarán los </w:t>
      </w:r>
      <w:r w:rsidR="00F13BF8">
        <w:rPr>
          <w:rFonts w:ascii="Arial" w:hAnsi="Arial" w:cs="Arial"/>
          <w:color w:val="000000"/>
          <w:lang w:val="es-ES"/>
        </w:rPr>
        <w:t>mayores costos de inversión tanto en capacidad de generación, como en transmisión.</w:t>
      </w:r>
    </w:p>
    <w:p w14:paraId="7CC9D67E" w14:textId="660F64C0" w:rsidR="00767B5B" w:rsidRPr="001927AE" w:rsidRDefault="00F13BF8" w:rsidP="001927AE">
      <w:pPr>
        <w:pStyle w:val="BodyText2"/>
        <w:numPr>
          <w:ilvl w:val="1"/>
          <w:numId w:val="4"/>
        </w:numPr>
        <w:tabs>
          <w:tab w:val="left" w:pos="0"/>
          <w:tab w:val="left" w:pos="720"/>
        </w:tabs>
        <w:spacing w:before="120" w:line="240" w:lineRule="auto"/>
        <w:ind w:left="540" w:hanging="540"/>
        <w:jc w:val="both"/>
        <w:rPr>
          <w:rFonts w:ascii="Arial" w:hAnsi="Arial" w:cs="Arial"/>
          <w:szCs w:val="24"/>
          <w:lang w:val="es-ES"/>
        </w:rPr>
      </w:pPr>
      <w:r>
        <w:rPr>
          <w:rFonts w:ascii="Arial" w:hAnsi="Arial" w:cs="Arial"/>
          <w:color w:val="000000"/>
          <w:lang w:val="es-ES"/>
        </w:rPr>
        <w:t xml:space="preserve">En lo que se refiere a los costos por inversión en capacidad de generación, se utilizarán tanto los costos nivelados disponibles al momento de la evaluación, </w:t>
      </w:r>
      <w:r>
        <w:rPr>
          <w:rFonts w:ascii="Arial" w:hAnsi="Arial" w:cs="Arial"/>
          <w:color w:val="000000"/>
          <w:lang w:val="es-ES"/>
        </w:rPr>
        <w:lastRenderedPageBreak/>
        <w:t xml:space="preserve">como las inversiones que resulten de la instalación de centrales de generación de energía eléctrica ganadoras en las subastas, de largo y </w:t>
      </w:r>
      <w:r w:rsidR="004447B5">
        <w:rPr>
          <w:rFonts w:ascii="Arial" w:hAnsi="Arial" w:cs="Arial"/>
          <w:color w:val="000000"/>
          <w:lang w:val="es-ES"/>
        </w:rPr>
        <w:t>mediano plazo</w:t>
      </w:r>
      <w:r>
        <w:rPr>
          <w:rFonts w:ascii="Arial" w:hAnsi="Arial" w:cs="Arial"/>
          <w:color w:val="000000"/>
          <w:lang w:val="es-ES"/>
        </w:rPr>
        <w:t>, del mercado eléctrico. En tanto que las inversiones en líneas de transmisión se actualizarán con la información publicada en el PRODESEN más actualizado.</w:t>
      </w:r>
      <w:r w:rsidR="00073B9C">
        <w:rPr>
          <w:rFonts w:ascii="Arial" w:hAnsi="Arial" w:cs="Arial"/>
          <w:color w:val="000000"/>
          <w:lang w:val="es-ES"/>
        </w:rPr>
        <w:t xml:space="preserve"> </w:t>
      </w:r>
    </w:p>
    <w:p w14:paraId="415AAA60" w14:textId="30604216" w:rsidR="004447B5" w:rsidRPr="001C7BE0" w:rsidRDefault="004447B5" w:rsidP="001927AE">
      <w:pPr>
        <w:pStyle w:val="BodyText2"/>
        <w:numPr>
          <w:ilvl w:val="1"/>
          <w:numId w:val="4"/>
        </w:numPr>
        <w:tabs>
          <w:tab w:val="left" w:pos="0"/>
          <w:tab w:val="left" w:pos="720"/>
        </w:tabs>
        <w:spacing w:before="120" w:line="240" w:lineRule="auto"/>
        <w:ind w:left="540" w:hanging="540"/>
        <w:jc w:val="both"/>
        <w:rPr>
          <w:rFonts w:ascii="Arial" w:hAnsi="Arial" w:cs="Arial"/>
          <w:szCs w:val="24"/>
          <w:lang w:val="es-ES"/>
        </w:rPr>
      </w:pPr>
      <w:r>
        <w:rPr>
          <w:rFonts w:ascii="Arial" w:hAnsi="Arial" w:cs="Arial"/>
          <w:b/>
          <w:szCs w:val="24"/>
          <w:lang w:val="es-ES"/>
        </w:rPr>
        <w:t xml:space="preserve">Incremento en la cobertura de acceso a la energía eléctrica a nivel nacional. </w:t>
      </w:r>
      <w:r>
        <w:rPr>
          <w:rFonts w:ascii="Arial" w:hAnsi="Arial" w:cs="Arial"/>
          <w:color w:val="000000"/>
          <w:lang w:val="es-ES"/>
        </w:rPr>
        <w:t>Los beneficios de este resultado incluirán: (i) valoración de las menores emisiones de GEI, con base en el precio que se otorgue a la tonelada de CO</w:t>
      </w:r>
      <w:r w:rsidRPr="00DF72AC">
        <w:rPr>
          <w:rFonts w:ascii="Arial" w:hAnsi="Arial" w:cs="Arial"/>
          <w:color w:val="000000"/>
          <w:vertAlign w:val="subscript"/>
          <w:lang w:val="es-ES"/>
        </w:rPr>
        <w:t>2</w:t>
      </w:r>
      <w:r>
        <w:rPr>
          <w:rFonts w:ascii="Arial" w:hAnsi="Arial" w:cs="Arial"/>
          <w:color w:val="000000"/>
          <w:lang w:val="es-ES"/>
        </w:rPr>
        <w:t xml:space="preserve"> evitada, en los mercados que estén operando en el momento de la evaluación, dado que el incremento de la cobertura será mediante el aprovechamiento de energías renovables, principalmente fotovoltaica; y (ii) menores costos de generación, por el uso de energía limpias, principalmente fotovoltaica.</w:t>
      </w:r>
    </w:p>
    <w:p w14:paraId="77D411BE" w14:textId="2A4DEBB0" w:rsidR="004447B5" w:rsidRPr="001C7BE0" w:rsidRDefault="004447B5" w:rsidP="001927AE">
      <w:pPr>
        <w:pStyle w:val="BodyText2"/>
        <w:numPr>
          <w:ilvl w:val="1"/>
          <w:numId w:val="4"/>
        </w:numPr>
        <w:tabs>
          <w:tab w:val="left" w:pos="0"/>
          <w:tab w:val="left" w:pos="720"/>
        </w:tabs>
        <w:spacing w:before="120" w:line="240" w:lineRule="auto"/>
        <w:ind w:left="540" w:hanging="540"/>
        <w:jc w:val="both"/>
        <w:rPr>
          <w:rFonts w:ascii="Arial" w:hAnsi="Arial" w:cs="Arial"/>
          <w:szCs w:val="24"/>
          <w:lang w:val="es-ES"/>
        </w:rPr>
      </w:pPr>
      <w:r>
        <w:rPr>
          <w:rFonts w:ascii="Arial" w:hAnsi="Arial" w:cs="Arial"/>
          <w:color w:val="000000"/>
          <w:lang w:val="es-ES"/>
        </w:rPr>
        <w:t xml:space="preserve">En lo que se refiere a los costos por inversión en capacidad de generación y mantenimiento de la generación distribuida instalada para la ampliación de la cobertura del servicio eléctrico, se utilizará la información que se genere de los recursos ejercidos por el Fondo de Servicio Universal Eléctrico (FOSUE), que deberán publicarse tanto por la SENER, como por el Fideicomiso para el Ahorro de Energía Eléctrica (FIDE), que es un fideicomiso privado sin fines de lucro, y que actualmente funge como la agencia implementadora del programa de </w:t>
      </w:r>
      <w:r w:rsidR="006268F1">
        <w:rPr>
          <w:rFonts w:ascii="Arial" w:hAnsi="Arial" w:cs="Arial"/>
          <w:color w:val="000000"/>
          <w:lang w:val="es-ES"/>
        </w:rPr>
        <w:t>electrificación</w:t>
      </w:r>
      <w:r>
        <w:rPr>
          <w:rFonts w:ascii="Arial" w:hAnsi="Arial" w:cs="Arial"/>
          <w:color w:val="000000"/>
          <w:lang w:val="es-ES"/>
        </w:rPr>
        <w:t xml:space="preserve"> con recursos del FOSUE</w:t>
      </w:r>
      <w:r w:rsidR="00901B02">
        <w:rPr>
          <w:rFonts w:ascii="Arial" w:hAnsi="Arial" w:cs="Arial"/>
          <w:color w:val="000000"/>
          <w:lang w:val="es-ES"/>
        </w:rPr>
        <w:t>.</w:t>
      </w:r>
    </w:p>
    <w:p w14:paraId="0A57963C" w14:textId="5F5C1114" w:rsidR="00901B02" w:rsidRDefault="00901B02" w:rsidP="001927AE">
      <w:pPr>
        <w:pStyle w:val="BodyText2"/>
        <w:numPr>
          <w:ilvl w:val="1"/>
          <w:numId w:val="4"/>
        </w:numPr>
        <w:tabs>
          <w:tab w:val="left" w:pos="0"/>
          <w:tab w:val="left" w:pos="720"/>
        </w:tabs>
        <w:spacing w:before="120" w:line="240" w:lineRule="auto"/>
        <w:ind w:left="540" w:hanging="540"/>
        <w:jc w:val="both"/>
        <w:rPr>
          <w:rFonts w:ascii="Arial" w:hAnsi="Arial" w:cs="Arial"/>
          <w:szCs w:val="24"/>
          <w:lang w:val="es-ES"/>
        </w:rPr>
      </w:pPr>
      <w:r>
        <w:rPr>
          <w:rFonts w:ascii="Arial" w:hAnsi="Arial" w:cs="Arial"/>
          <w:color w:val="000000"/>
          <w:lang w:val="es-ES"/>
        </w:rPr>
        <w:t>El PRODESEN que se actualiza anualmente, contiene los datos históricos de la evolución del nivel de electrificación del país.</w:t>
      </w:r>
    </w:p>
    <w:p w14:paraId="6636A631" w14:textId="688B4172" w:rsidR="00767B5B" w:rsidRPr="001927AE" w:rsidRDefault="00767B5B" w:rsidP="001927AE">
      <w:pPr>
        <w:pStyle w:val="BodyText2"/>
        <w:numPr>
          <w:ilvl w:val="1"/>
          <w:numId w:val="4"/>
        </w:numPr>
        <w:tabs>
          <w:tab w:val="left" w:pos="0"/>
          <w:tab w:val="left" w:pos="720"/>
        </w:tabs>
        <w:spacing w:before="120" w:line="240" w:lineRule="auto"/>
        <w:ind w:left="540" w:hanging="540"/>
        <w:jc w:val="both"/>
        <w:rPr>
          <w:rFonts w:ascii="Arial" w:hAnsi="Arial" w:cs="Arial"/>
          <w:szCs w:val="24"/>
          <w:lang w:val="es-ES"/>
        </w:rPr>
      </w:pPr>
      <w:r w:rsidRPr="001927AE">
        <w:rPr>
          <w:rFonts w:ascii="Arial" w:hAnsi="Arial" w:cs="Arial"/>
          <w:szCs w:val="24"/>
          <w:lang w:val="es-ES"/>
        </w:rPr>
        <w:t xml:space="preserve">Para efectos del monitoreo y recopilación de datos, </w:t>
      </w:r>
      <w:r w:rsidR="00F40A8D">
        <w:rPr>
          <w:rFonts w:ascii="Arial" w:hAnsi="Arial" w:cs="Arial"/>
          <w:szCs w:val="24"/>
          <w:lang w:val="es-ES"/>
        </w:rPr>
        <w:t>e</w:t>
      </w:r>
      <w:r w:rsidR="006141B6">
        <w:rPr>
          <w:rFonts w:ascii="Arial" w:hAnsi="Arial" w:cs="Arial"/>
          <w:szCs w:val="24"/>
          <w:lang w:val="es-ES"/>
        </w:rPr>
        <w:t>l Banco usará</w:t>
      </w:r>
      <w:r w:rsidRPr="001927AE">
        <w:rPr>
          <w:rFonts w:ascii="Arial" w:hAnsi="Arial" w:cs="Arial"/>
          <w:szCs w:val="24"/>
          <w:lang w:val="es-ES"/>
        </w:rPr>
        <w:t xml:space="preserve"> los informes periódicos que ya son publicados por las entidades oficiales como la </w:t>
      </w:r>
      <w:r w:rsidR="0009162C">
        <w:rPr>
          <w:rFonts w:ascii="Arial" w:hAnsi="Arial" w:cs="Arial"/>
          <w:szCs w:val="24"/>
          <w:lang w:val="es-ES"/>
        </w:rPr>
        <w:t>S</w:t>
      </w:r>
      <w:r w:rsidR="0009162C" w:rsidRPr="008F4D21">
        <w:rPr>
          <w:rFonts w:ascii="Arial" w:hAnsi="Arial" w:cs="Arial"/>
          <w:szCs w:val="24"/>
        </w:rPr>
        <w:t>E</w:t>
      </w:r>
      <w:r w:rsidR="0009162C">
        <w:rPr>
          <w:rFonts w:ascii="Arial" w:hAnsi="Arial" w:cs="Arial"/>
          <w:szCs w:val="24"/>
          <w:lang w:val="es-ES"/>
        </w:rPr>
        <w:t>NER y la CRE</w:t>
      </w:r>
      <w:r w:rsidR="0009162C" w:rsidRPr="001927AE">
        <w:rPr>
          <w:rFonts w:ascii="Arial" w:hAnsi="Arial" w:cs="Arial"/>
          <w:szCs w:val="24"/>
          <w:lang w:val="es-ES"/>
        </w:rPr>
        <w:t xml:space="preserve"> </w:t>
      </w:r>
      <w:r w:rsidRPr="001927AE">
        <w:rPr>
          <w:rFonts w:ascii="Arial" w:hAnsi="Arial" w:cs="Arial"/>
          <w:szCs w:val="24"/>
          <w:lang w:val="es-ES"/>
        </w:rPr>
        <w:t xml:space="preserve">en sus </w:t>
      </w:r>
      <w:r w:rsidR="0009162C">
        <w:rPr>
          <w:rFonts w:ascii="Arial" w:hAnsi="Arial" w:cs="Arial"/>
          <w:szCs w:val="24"/>
          <w:lang w:val="es-ES"/>
        </w:rPr>
        <w:t>informes de estadísticas del sector s</w:t>
      </w:r>
      <w:r w:rsidRPr="001927AE">
        <w:rPr>
          <w:rFonts w:ascii="Arial" w:hAnsi="Arial" w:cs="Arial"/>
          <w:szCs w:val="24"/>
          <w:lang w:val="es-ES"/>
        </w:rPr>
        <w:t>emestrales</w:t>
      </w:r>
      <w:r w:rsidR="0009162C">
        <w:rPr>
          <w:rFonts w:ascii="Arial" w:hAnsi="Arial" w:cs="Arial"/>
          <w:szCs w:val="24"/>
          <w:lang w:val="es-ES"/>
        </w:rPr>
        <w:t xml:space="preserve">. </w:t>
      </w:r>
    </w:p>
    <w:p w14:paraId="4C8CB8CF" w14:textId="5969CB10" w:rsidR="00EC0F38" w:rsidRDefault="00767B5B" w:rsidP="008F4D21">
      <w:pPr>
        <w:pStyle w:val="BodyText2"/>
        <w:numPr>
          <w:ilvl w:val="1"/>
          <w:numId w:val="4"/>
        </w:numPr>
        <w:tabs>
          <w:tab w:val="left" w:pos="0"/>
          <w:tab w:val="left" w:pos="720"/>
        </w:tabs>
        <w:spacing w:before="120" w:line="240" w:lineRule="auto"/>
        <w:ind w:left="540" w:hanging="540"/>
        <w:jc w:val="both"/>
      </w:pPr>
      <w:r w:rsidRPr="001927AE">
        <w:rPr>
          <w:rFonts w:ascii="Arial" w:hAnsi="Arial" w:cs="Arial"/>
          <w:szCs w:val="24"/>
          <w:lang w:val="es-ES"/>
        </w:rPr>
        <w:t>Es importante que la recopilación y monitoreo de datos sea complementada con análisis particulares de las causas de los resultados con el fin de poder identificar posibles efectos cruzados de eventos macroeconómicos particulares u otras coyunturas que alteren el comportamiento de la oferta y la demanda.</w:t>
      </w:r>
    </w:p>
    <w:p w14:paraId="3447AF80" w14:textId="77777777" w:rsidR="00EA0363" w:rsidRPr="00625725" w:rsidRDefault="00EA0363" w:rsidP="00153BE9">
      <w:pPr>
        <w:pStyle w:val="Paragraph"/>
        <w:tabs>
          <w:tab w:val="clear" w:pos="1440"/>
        </w:tabs>
        <w:spacing w:before="100" w:after="100"/>
        <w:ind w:left="540" w:firstLine="0"/>
        <w:rPr>
          <w:rFonts w:ascii="Arial" w:hAnsi="Arial" w:cs="Arial"/>
          <w:color w:val="000000"/>
          <w:lang w:val="es-ES"/>
        </w:rPr>
      </w:pPr>
    </w:p>
    <w:p w14:paraId="3D24A30F" w14:textId="77777777" w:rsidR="00C419B8" w:rsidRPr="001C59A0" w:rsidRDefault="00C419B8" w:rsidP="00C419B8">
      <w:pPr>
        <w:pStyle w:val="Paragraph"/>
        <w:widowControl w:val="0"/>
        <w:numPr>
          <w:ilvl w:val="0"/>
          <w:numId w:val="3"/>
        </w:numPr>
        <w:rPr>
          <w:rFonts w:ascii="Arial" w:hAnsi="Arial" w:cs="Arial"/>
          <w:b/>
          <w:spacing w:val="-3"/>
          <w:szCs w:val="24"/>
          <w:lang w:val="es-ES"/>
        </w:rPr>
      </w:pPr>
      <w:r w:rsidRPr="001C59A0">
        <w:rPr>
          <w:rFonts w:ascii="Arial" w:hAnsi="Arial" w:cs="Arial"/>
          <w:b/>
          <w:spacing w:val="-3"/>
          <w:szCs w:val="24"/>
          <w:lang w:val="es-ES"/>
        </w:rPr>
        <w:t>Informe de Terminación del Proyecto (PCR)</w:t>
      </w:r>
    </w:p>
    <w:p w14:paraId="41903CF5" w14:textId="77777777" w:rsidR="00C419B8" w:rsidRPr="001C59A0" w:rsidRDefault="00C419B8" w:rsidP="00C419B8">
      <w:pPr>
        <w:pStyle w:val="Paragraph"/>
        <w:numPr>
          <w:ilvl w:val="1"/>
          <w:numId w:val="4"/>
        </w:numPr>
        <w:spacing w:before="100" w:after="100"/>
        <w:ind w:left="540" w:hanging="540"/>
        <w:rPr>
          <w:rFonts w:ascii="Arial" w:hAnsi="Arial" w:cs="Arial"/>
          <w:spacing w:val="-3"/>
          <w:szCs w:val="24"/>
          <w:lang w:val="es-ES"/>
        </w:rPr>
      </w:pPr>
      <w:bookmarkStart w:id="6" w:name="_Ref463963712"/>
      <w:r w:rsidRPr="001C59A0">
        <w:rPr>
          <w:rFonts w:ascii="Arial" w:hAnsi="Arial" w:cs="Arial"/>
          <w:lang w:val="es-ES_tradnl" w:eastAsia="es-ES"/>
        </w:rPr>
        <w:t>El Informe de Terminación de Proyecto o PCR, por sus siglas en inglés, es el principal instrumento de rendición de cuentas que utiliza el Banco para mostrar tanto a partes involucradas internos y externos al Banco, el desempeño de sus operaciones con garantía soberana y la efectividad en el Desarrollo de las mismas. Asimismo, presenta los principales hallazgos y recomendaciones a fin de fortalecer el diseño y ejecución de futuros proyectos.</w:t>
      </w:r>
      <w:bookmarkEnd w:id="6"/>
    </w:p>
    <w:p w14:paraId="557F59EB" w14:textId="3AD8E807" w:rsidR="00C419B8" w:rsidRPr="001C59A0" w:rsidRDefault="00C419B8" w:rsidP="00C419B8">
      <w:pPr>
        <w:pStyle w:val="Paragraph"/>
        <w:numPr>
          <w:ilvl w:val="1"/>
          <w:numId w:val="4"/>
        </w:numPr>
        <w:spacing w:before="100" w:after="100"/>
        <w:ind w:left="540" w:hanging="540"/>
        <w:rPr>
          <w:rFonts w:ascii="Arial" w:hAnsi="Arial" w:cs="Arial"/>
          <w:lang w:val="es-ES_tradnl" w:eastAsia="es-ES"/>
        </w:rPr>
      </w:pPr>
      <w:r w:rsidRPr="001C59A0">
        <w:rPr>
          <w:rFonts w:ascii="Arial" w:hAnsi="Arial" w:cs="Arial"/>
          <w:spacing w:val="-3"/>
          <w:szCs w:val="24"/>
          <w:lang w:val="es-ES"/>
        </w:rPr>
        <w:t xml:space="preserve">El PCR será aplicado según las nuevas guías que entraron en vigencia el 5 de </w:t>
      </w:r>
      <w:r w:rsidR="000152B2">
        <w:rPr>
          <w:rFonts w:ascii="Arial" w:hAnsi="Arial" w:cs="Arial"/>
          <w:spacing w:val="-3"/>
          <w:szCs w:val="24"/>
          <w:lang w:val="es-ES"/>
        </w:rPr>
        <w:t>a</w:t>
      </w:r>
      <w:r w:rsidRPr="001C59A0">
        <w:rPr>
          <w:rFonts w:ascii="Arial" w:hAnsi="Arial" w:cs="Arial"/>
          <w:spacing w:val="-3"/>
          <w:szCs w:val="24"/>
          <w:lang w:val="es-ES"/>
        </w:rPr>
        <w:t xml:space="preserve">gosto de 2014, bajo el código OP-1242; y tuvieron su primera actualización en </w:t>
      </w:r>
      <w:r w:rsidR="00E6662B">
        <w:rPr>
          <w:rFonts w:ascii="Arial" w:hAnsi="Arial" w:cs="Arial"/>
          <w:spacing w:val="-3"/>
          <w:szCs w:val="24"/>
          <w:lang w:val="es-ES"/>
        </w:rPr>
        <w:t>f</w:t>
      </w:r>
      <w:r w:rsidRPr="001C59A0">
        <w:rPr>
          <w:rFonts w:ascii="Arial" w:hAnsi="Arial" w:cs="Arial"/>
          <w:spacing w:val="-3"/>
          <w:szCs w:val="24"/>
          <w:lang w:val="es-ES"/>
        </w:rPr>
        <w:t>ebrero de 2015.</w:t>
      </w:r>
    </w:p>
    <w:p w14:paraId="11A98130" w14:textId="77777777" w:rsidR="00C419B8" w:rsidRPr="001C59A0" w:rsidRDefault="00C419B8" w:rsidP="00C419B8">
      <w:pPr>
        <w:pStyle w:val="Paragraph"/>
        <w:numPr>
          <w:ilvl w:val="1"/>
          <w:numId w:val="4"/>
        </w:numPr>
        <w:spacing w:before="100" w:after="100"/>
        <w:ind w:left="540" w:hanging="540"/>
        <w:rPr>
          <w:rFonts w:ascii="Arial" w:hAnsi="Arial" w:cs="Arial"/>
          <w:lang w:val="es-ES_tradnl" w:eastAsia="es-ES"/>
        </w:rPr>
      </w:pPr>
      <w:r w:rsidRPr="001C59A0">
        <w:rPr>
          <w:rFonts w:ascii="Arial" w:hAnsi="Arial" w:cs="Arial"/>
          <w:spacing w:val="-3"/>
          <w:szCs w:val="24"/>
          <w:lang w:val="es-ES"/>
        </w:rPr>
        <w:t xml:space="preserve">La evaluación será conducida a partir del análisis de los </w:t>
      </w:r>
      <w:r w:rsidRPr="001C59A0">
        <w:rPr>
          <w:rFonts w:ascii="Arial" w:hAnsi="Arial" w:cs="Arial"/>
          <w:lang w:val="es-ES_tradnl" w:eastAsia="es-ES"/>
        </w:rPr>
        <w:t xml:space="preserve">criterios centrales y criterios no centrales. Los criterios centrales del PCR, básicamente evalúan el desempeño del proyecto y se determinan en forma objetiva con base en </w:t>
      </w:r>
      <w:r w:rsidRPr="001C59A0">
        <w:rPr>
          <w:rFonts w:ascii="Arial" w:hAnsi="Arial" w:cs="Arial"/>
          <w:lang w:val="es-ES_tradnl" w:eastAsia="es-ES"/>
        </w:rPr>
        <w:lastRenderedPageBreak/>
        <w:t xml:space="preserve">los resultados y </w:t>
      </w:r>
      <w:r w:rsidRPr="001C59A0">
        <w:rPr>
          <w:rFonts w:ascii="Arial" w:hAnsi="Arial" w:cs="Arial"/>
          <w:spacing w:val="-3"/>
          <w:szCs w:val="24"/>
          <w:lang w:val="es-ES"/>
        </w:rPr>
        <w:t>productos</w:t>
      </w:r>
      <w:r w:rsidRPr="001C59A0">
        <w:rPr>
          <w:rFonts w:ascii="Arial" w:hAnsi="Arial" w:cs="Arial"/>
          <w:lang w:val="es-ES_tradnl" w:eastAsia="es-ES"/>
        </w:rPr>
        <w:t xml:space="preserve"> del mismo, y se califica a través de cuatro criterios: (i) Efectividad, (ii) Eficiencia</w:t>
      </w:r>
      <w:r w:rsidRPr="001C59A0">
        <w:rPr>
          <w:rStyle w:val="FootnoteReference"/>
          <w:rFonts w:ascii="Arial" w:hAnsi="Arial" w:cs="Arial"/>
          <w:lang w:val="es-ES_tradnl" w:eastAsia="es-ES"/>
        </w:rPr>
        <w:footnoteReference w:id="6"/>
      </w:r>
      <w:r w:rsidRPr="001C59A0">
        <w:rPr>
          <w:rFonts w:ascii="Arial" w:hAnsi="Arial" w:cs="Arial"/>
          <w:lang w:val="es-ES_tradnl" w:eastAsia="es-ES"/>
        </w:rPr>
        <w:t xml:space="preserve">, (iii) Relevancia y (iv) Sostenibilidad.  </w:t>
      </w:r>
    </w:p>
    <w:p w14:paraId="702933A6" w14:textId="77777777" w:rsidR="00C419B8" w:rsidRPr="001C59A0" w:rsidRDefault="00C419B8" w:rsidP="00C419B8">
      <w:pPr>
        <w:pStyle w:val="Paragraph"/>
        <w:numPr>
          <w:ilvl w:val="1"/>
          <w:numId w:val="4"/>
        </w:numPr>
        <w:spacing w:before="100" w:after="100"/>
        <w:ind w:left="540" w:hanging="540"/>
        <w:rPr>
          <w:rFonts w:ascii="Arial" w:hAnsi="Arial" w:cs="Arial"/>
          <w:lang w:val="es-BO" w:eastAsia="es-ES"/>
        </w:rPr>
      </w:pPr>
      <w:r w:rsidRPr="001C59A0">
        <w:rPr>
          <w:rFonts w:ascii="Arial" w:hAnsi="Arial" w:cs="Arial"/>
          <w:lang w:val="es-BO" w:eastAsia="es-ES"/>
        </w:rPr>
        <w:t xml:space="preserve">Los criterios no centrales del PCR son aquellos evaluables, pero que no califican la efectividad de la intervención. En su defecto evalúan la contribución de la operación a los </w:t>
      </w:r>
      <w:r w:rsidRPr="001C59A0">
        <w:rPr>
          <w:rFonts w:ascii="Arial" w:hAnsi="Arial" w:cs="Arial"/>
          <w:spacing w:val="-3"/>
          <w:szCs w:val="24"/>
          <w:lang w:val="es-ES"/>
        </w:rPr>
        <w:t>objetivos</w:t>
      </w:r>
      <w:r w:rsidRPr="001C59A0">
        <w:rPr>
          <w:rFonts w:ascii="Arial" w:hAnsi="Arial" w:cs="Arial"/>
          <w:lang w:val="es-BO" w:eastAsia="es-ES"/>
        </w:rPr>
        <w:t xml:space="preserve"> de desarrollo del Banco; la contribución a los objetivos de desarrollo del país; el cumplimiento del plan de monitoreo y evaluación; el uso de sistemas país y la implementación y mitigación de salvaguardas ambientales y sociales.</w:t>
      </w:r>
    </w:p>
    <w:p w14:paraId="77AF579E" w14:textId="3C71C522" w:rsidR="00C419B8" w:rsidRDefault="00C419B8" w:rsidP="00C419B8">
      <w:pPr>
        <w:pStyle w:val="Paragraph"/>
        <w:numPr>
          <w:ilvl w:val="1"/>
          <w:numId w:val="4"/>
        </w:numPr>
        <w:spacing w:before="100" w:after="100"/>
        <w:ind w:left="540" w:hanging="540"/>
        <w:rPr>
          <w:rFonts w:ascii="Arial" w:hAnsi="Arial" w:cs="Arial"/>
          <w:spacing w:val="-3"/>
          <w:szCs w:val="24"/>
          <w:lang w:val="es-ES"/>
        </w:rPr>
      </w:pPr>
      <w:r w:rsidRPr="001C59A0">
        <w:rPr>
          <w:rFonts w:ascii="Arial" w:hAnsi="Arial" w:cs="Arial"/>
          <w:spacing w:val="-3"/>
          <w:szCs w:val="24"/>
          <w:lang w:val="es-ES"/>
        </w:rPr>
        <w:t xml:space="preserve">Será realizado hasta 6 meses después de haber desembolsado </w:t>
      </w:r>
      <w:r w:rsidR="00064FEF">
        <w:rPr>
          <w:rFonts w:ascii="Arial" w:hAnsi="Arial" w:cs="Arial"/>
          <w:spacing w:val="-3"/>
          <w:szCs w:val="24"/>
          <w:lang w:val="es-ES"/>
        </w:rPr>
        <w:t>la</w:t>
      </w:r>
      <w:r w:rsidR="00064FEF" w:rsidRPr="001C59A0">
        <w:rPr>
          <w:rFonts w:ascii="Arial" w:hAnsi="Arial" w:cs="Arial"/>
          <w:spacing w:val="-3"/>
          <w:szCs w:val="24"/>
          <w:lang w:val="es-ES"/>
        </w:rPr>
        <w:t xml:space="preserve"> </w:t>
      </w:r>
      <w:r w:rsidRPr="001C59A0">
        <w:rPr>
          <w:rFonts w:ascii="Arial" w:hAnsi="Arial" w:cs="Arial"/>
          <w:spacing w:val="-3"/>
          <w:szCs w:val="24"/>
          <w:lang w:val="es-ES"/>
        </w:rPr>
        <w:t>segund</w:t>
      </w:r>
      <w:r w:rsidR="00064FEF">
        <w:rPr>
          <w:rFonts w:ascii="Arial" w:hAnsi="Arial" w:cs="Arial"/>
          <w:spacing w:val="-3"/>
          <w:szCs w:val="24"/>
          <w:lang w:val="es-ES"/>
        </w:rPr>
        <w:t xml:space="preserve">a </w:t>
      </w:r>
      <w:r w:rsidRPr="001C59A0">
        <w:rPr>
          <w:rFonts w:ascii="Arial" w:hAnsi="Arial" w:cs="Arial"/>
          <w:spacing w:val="-3"/>
          <w:szCs w:val="24"/>
          <w:lang w:val="es-ES"/>
        </w:rPr>
        <w:t>operación</w:t>
      </w:r>
      <w:r w:rsidR="00064FEF">
        <w:rPr>
          <w:rFonts w:ascii="Arial" w:hAnsi="Arial" w:cs="Arial"/>
          <w:spacing w:val="-3"/>
          <w:szCs w:val="24"/>
          <w:lang w:val="es-ES"/>
        </w:rPr>
        <w:t xml:space="preserve"> programática</w:t>
      </w:r>
      <w:r w:rsidRPr="001C59A0">
        <w:rPr>
          <w:rFonts w:ascii="Arial" w:hAnsi="Arial" w:cs="Arial"/>
          <w:spacing w:val="-3"/>
          <w:szCs w:val="24"/>
          <w:lang w:val="es-ES"/>
        </w:rPr>
        <w:t>.</w:t>
      </w:r>
    </w:p>
    <w:p w14:paraId="3FA8FB12" w14:textId="77777777" w:rsidR="00C419B8" w:rsidRPr="001C59A0" w:rsidRDefault="00C419B8" w:rsidP="00C419B8">
      <w:pPr>
        <w:pStyle w:val="Paragraph"/>
        <w:tabs>
          <w:tab w:val="clear" w:pos="1440"/>
        </w:tabs>
        <w:spacing w:before="100" w:after="100"/>
        <w:ind w:left="900" w:firstLine="0"/>
        <w:jc w:val="center"/>
        <w:rPr>
          <w:rFonts w:ascii="Arial" w:hAnsi="Arial" w:cs="Arial"/>
          <w:spacing w:val="-3"/>
          <w:szCs w:val="24"/>
          <w:lang w:val="es-ES"/>
        </w:rPr>
      </w:pPr>
      <w:r w:rsidRPr="001C59A0">
        <w:rPr>
          <w:rFonts w:ascii="Arial" w:hAnsi="Arial" w:cs="Arial"/>
          <w:b/>
          <w:bCs/>
          <w:color w:val="000000"/>
          <w:sz w:val="20"/>
          <w:lang w:val="es-ES"/>
        </w:rPr>
        <w:t>Plan de Trabajo de Evaluación</w:t>
      </w:r>
    </w:p>
    <w:tbl>
      <w:tblPr>
        <w:tblW w:w="4794" w:type="pct"/>
        <w:jc w:val="center"/>
        <w:tblLayout w:type="fixed"/>
        <w:tblLook w:val="04A0" w:firstRow="1" w:lastRow="0" w:firstColumn="1" w:lastColumn="0" w:noHBand="0" w:noVBand="1"/>
      </w:tblPr>
      <w:tblGrid>
        <w:gridCol w:w="3463"/>
        <w:gridCol w:w="681"/>
        <w:gridCol w:w="705"/>
        <w:gridCol w:w="629"/>
        <w:gridCol w:w="721"/>
        <w:gridCol w:w="2071"/>
      </w:tblGrid>
      <w:tr w:rsidR="00625725" w:rsidRPr="001C59A0" w14:paraId="69FCB720" w14:textId="77777777" w:rsidTr="006B046D">
        <w:trPr>
          <w:trHeight w:val="250"/>
          <w:jc w:val="center"/>
        </w:trPr>
        <w:tc>
          <w:tcPr>
            <w:tcW w:w="2094" w:type="pc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50B4AFEA" w14:textId="77777777" w:rsidR="00625725" w:rsidRPr="001C59A0" w:rsidRDefault="00625725" w:rsidP="00DE4B10">
            <w:pPr>
              <w:spacing w:before="120" w:after="120"/>
              <w:jc w:val="center"/>
              <w:rPr>
                <w:rFonts w:ascii="Arial" w:hAnsi="Arial" w:cs="Arial"/>
                <w:b/>
                <w:bCs/>
                <w:color w:val="000000"/>
                <w:sz w:val="18"/>
                <w:szCs w:val="20"/>
                <w:lang w:val="es-ES"/>
              </w:rPr>
            </w:pPr>
            <w:r w:rsidRPr="001C59A0">
              <w:rPr>
                <w:rFonts w:ascii="Arial" w:hAnsi="Arial" w:cs="Arial"/>
                <w:b/>
                <w:bCs/>
                <w:color w:val="000000"/>
                <w:sz w:val="18"/>
                <w:szCs w:val="20"/>
                <w:lang w:val="es-ES"/>
              </w:rPr>
              <w:t>Actividad</w:t>
            </w:r>
          </w:p>
        </w:tc>
        <w:tc>
          <w:tcPr>
            <w:tcW w:w="412" w:type="pct"/>
            <w:tcBorders>
              <w:top w:val="single" w:sz="8" w:space="0" w:color="auto"/>
              <w:left w:val="nil"/>
              <w:right w:val="single" w:sz="8" w:space="0" w:color="000000"/>
            </w:tcBorders>
            <w:shd w:val="clear" w:color="000000" w:fill="D9D9D9"/>
            <w:noWrap/>
            <w:vAlign w:val="center"/>
            <w:hideMark/>
          </w:tcPr>
          <w:p w14:paraId="3ECD7DB3" w14:textId="77777777" w:rsidR="00625725" w:rsidRPr="001C59A0" w:rsidRDefault="00625725" w:rsidP="00DE4B10">
            <w:pPr>
              <w:spacing w:before="120" w:after="120"/>
              <w:jc w:val="center"/>
              <w:rPr>
                <w:rFonts w:ascii="Arial" w:hAnsi="Arial" w:cs="Arial"/>
                <w:b/>
                <w:bCs/>
                <w:color w:val="000000"/>
                <w:sz w:val="18"/>
                <w:szCs w:val="20"/>
                <w:lang w:val="es-ES"/>
              </w:rPr>
            </w:pPr>
            <w:r>
              <w:rPr>
                <w:rFonts w:ascii="Arial" w:hAnsi="Arial" w:cs="Arial"/>
                <w:b/>
                <w:bCs/>
                <w:color w:val="000000"/>
                <w:sz w:val="18"/>
                <w:szCs w:val="20"/>
                <w:lang w:val="es-ES"/>
              </w:rPr>
              <w:t>2017</w:t>
            </w:r>
          </w:p>
        </w:tc>
        <w:tc>
          <w:tcPr>
            <w:tcW w:w="426" w:type="pct"/>
            <w:tcBorders>
              <w:top w:val="single" w:sz="8" w:space="0" w:color="auto"/>
              <w:left w:val="nil"/>
              <w:right w:val="single" w:sz="8" w:space="0" w:color="000000"/>
            </w:tcBorders>
            <w:shd w:val="clear" w:color="000000" w:fill="D9D9D9"/>
            <w:noWrap/>
            <w:vAlign w:val="center"/>
            <w:hideMark/>
          </w:tcPr>
          <w:p w14:paraId="6C5BFFC3" w14:textId="77777777" w:rsidR="00625725" w:rsidRPr="001C59A0" w:rsidRDefault="00625725" w:rsidP="00DE4B10">
            <w:pPr>
              <w:spacing w:before="120" w:after="120"/>
              <w:jc w:val="center"/>
              <w:rPr>
                <w:rFonts w:ascii="Arial" w:hAnsi="Arial" w:cs="Arial"/>
                <w:b/>
                <w:bCs/>
                <w:color w:val="000000"/>
                <w:sz w:val="18"/>
                <w:szCs w:val="20"/>
                <w:lang w:val="es-ES"/>
              </w:rPr>
            </w:pPr>
            <w:r>
              <w:rPr>
                <w:rFonts w:ascii="Arial" w:hAnsi="Arial" w:cs="Arial"/>
                <w:b/>
                <w:bCs/>
                <w:color w:val="000000"/>
                <w:sz w:val="18"/>
                <w:szCs w:val="20"/>
                <w:lang w:val="es-ES"/>
              </w:rPr>
              <w:t>2018</w:t>
            </w:r>
          </w:p>
        </w:tc>
        <w:tc>
          <w:tcPr>
            <w:tcW w:w="380" w:type="pct"/>
            <w:tcBorders>
              <w:top w:val="single" w:sz="8" w:space="0" w:color="auto"/>
              <w:left w:val="nil"/>
              <w:bottom w:val="single" w:sz="8" w:space="0" w:color="auto"/>
              <w:right w:val="single" w:sz="8" w:space="0" w:color="000000"/>
            </w:tcBorders>
            <w:shd w:val="clear" w:color="000000" w:fill="D9D9D9"/>
            <w:noWrap/>
            <w:vAlign w:val="center"/>
            <w:hideMark/>
          </w:tcPr>
          <w:p w14:paraId="206FBD79" w14:textId="77777777" w:rsidR="00625725" w:rsidRPr="001C59A0" w:rsidRDefault="00625725" w:rsidP="00DE4B10">
            <w:pPr>
              <w:spacing w:before="120" w:after="120"/>
              <w:jc w:val="center"/>
              <w:rPr>
                <w:rFonts w:ascii="Arial" w:hAnsi="Arial" w:cs="Arial"/>
                <w:b/>
                <w:bCs/>
                <w:color w:val="000000"/>
                <w:sz w:val="18"/>
                <w:szCs w:val="20"/>
                <w:lang w:val="es-ES"/>
              </w:rPr>
            </w:pPr>
            <w:r w:rsidRPr="001C59A0">
              <w:rPr>
                <w:rFonts w:ascii="Arial" w:hAnsi="Arial" w:cs="Arial"/>
                <w:b/>
                <w:bCs/>
                <w:color w:val="000000"/>
                <w:sz w:val="18"/>
                <w:szCs w:val="20"/>
                <w:lang w:val="es-ES"/>
              </w:rPr>
              <w:t>201</w:t>
            </w:r>
            <w:r>
              <w:rPr>
                <w:rFonts w:ascii="Arial" w:hAnsi="Arial" w:cs="Arial"/>
                <w:b/>
                <w:bCs/>
                <w:color w:val="000000"/>
                <w:sz w:val="18"/>
                <w:szCs w:val="20"/>
                <w:lang w:val="es-ES"/>
              </w:rPr>
              <w:t>9</w:t>
            </w:r>
          </w:p>
        </w:tc>
        <w:tc>
          <w:tcPr>
            <w:tcW w:w="436" w:type="pct"/>
            <w:tcBorders>
              <w:top w:val="single" w:sz="8" w:space="0" w:color="auto"/>
              <w:left w:val="nil"/>
              <w:right w:val="single" w:sz="8" w:space="0" w:color="000000"/>
            </w:tcBorders>
            <w:shd w:val="clear" w:color="000000" w:fill="D9D9D9"/>
            <w:noWrap/>
            <w:vAlign w:val="center"/>
            <w:hideMark/>
          </w:tcPr>
          <w:p w14:paraId="79C49881" w14:textId="77777777" w:rsidR="00625725" w:rsidRPr="001C59A0" w:rsidRDefault="00625725" w:rsidP="00DE4B10">
            <w:pPr>
              <w:spacing w:before="120" w:after="120"/>
              <w:jc w:val="center"/>
              <w:rPr>
                <w:rFonts w:ascii="Arial" w:hAnsi="Arial" w:cs="Arial"/>
                <w:b/>
                <w:bCs/>
                <w:color w:val="000000"/>
                <w:sz w:val="18"/>
                <w:szCs w:val="20"/>
                <w:lang w:val="es-ES"/>
              </w:rPr>
            </w:pPr>
            <w:r>
              <w:rPr>
                <w:rFonts w:ascii="Arial" w:hAnsi="Arial" w:cs="Arial"/>
                <w:b/>
                <w:bCs/>
                <w:color w:val="000000"/>
                <w:sz w:val="18"/>
                <w:szCs w:val="20"/>
                <w:lang w:val="es-ES"/>
              </w:rPr>
              <w:t>2020</w:t>
            </w:r>
          </w:p>
        </w:tc>
        <w:tc>
          <w:tcPr>
            <w:tcW w:w="1252" w:type="pct"/>
            <w:tcBorders>
              <w:top w:val="single" w:sz="8" w:space="0" w:color="auto"/>
              <w:left w:val="single" w:sz="8" w:space="0" w:color="auto"/>
              <w:right w:val="single" w:sz="4" w:space="0" w:color="auto"/>
            </w:tcBorders>
            <w:shd w:val="clear" w:color="000000" w:fill="D9D9D9"/>
          </w:tcPr>
          <w:p w14:paraId="061B8CFF" w14:textId="77777777" w:rsidR="00625725" w:rsidRPr="001C59A0" w:rsidRDefault="00625725" w:rsidP="00DE4B10">
            <w:pPr>
              <w:spacing w:before="120" w:after="120"/>
              <w:jc w:val="center"/>
              <w:rPr>
                <w:rFonts w:ascii="Arial" w:hAnsi="Arial" w:cs="Arial"/>
                <w:b/>
                <w:bCs/>
                <w:color w:val="000000"/>
                <w:sz w:val="18"/>
                <w:szCs w:val="20"/>
                <w:lang w:val="es-ES"/>
              </w:rPr>
            </w:pPr>
            <w:r w:rsidRPr="001C59A0">
              <w:rPr>
                <w:rFonts w:ascii="Arial" w:hAnsi="Arial" w:cs="Arial"/>
                <w:b/>
                <w:bCs/>
                <w:color w:val="000000"/>
                <w:sz w:val="18"/>
                <w:szCs w:val="20"/>
                <w:lang w:val="es-ES"/>
              </w:rPr>
              <w:t>Responsable y Costo</w:t>
            </w:r>
          </w:p>
        </w:tc>
      </w:tr>
      <w:tr w:rsidR="00625725" w:rsidRPr="006B046D" w14:paraId="15146120" w14:textId="77777777" w:rsidTr="006B046D">
        <w:trPr>
          <w:trHeight w:val="394"/>
          <w:jc w:val="center"/>
        </w:trPr>
        <w:tc>
          <w:tcPr>
            <w:tcW w:w="2094" w:type="pct"/>
            <w:tcBorders>
              <w:top w:val="nil"/>
              <w:left w:val="single" w:sz="8" w:space="0" w:color="auto"/>
              <w:bottom w:val="single" w:sz="8" w:space="0" w:color="auto"/>
              <w:right w:val="single" w:sz="8" w:space="0" w:color="auto"/>
            </w:tcBorders>
            <w:shd w:val="clear" w:color="auto" w:fill="auto"/>
            <w:noWrap/>
            <w:vAlign w:val="center"/>
            <w:hideMark/>
          </w:tcPr>
          <w:p w14:paraId="1F0A3213" w14:textId="77777777" w:rsidR="00625725" w:rsidRPr="00063817" w:rsidRDefault="00625725" w:rsidP="00DE4B10">
            <w:pPr>
              <w:rPr>
                <w:rFonts w:ascii="Arial" w:hAnsi="Arial" w:cs="Arial"/>
                <w:b/>
                <w:bCs/>
                <w:color w:val="000000"/>
                <w:sz w:val="18"/>
                <w:szCs w:val="20"/>
                <w:lang w:val="es-MX"/>
              </w:rPr>
            </w:pPr>
            <w:r w:rsidRPr="00063817">
              <w:rPr>
                <w:rFonts w:ascii="Arial" w:hAnsi="Arial" w:cs="Arial"/>
                <w:b/>
                <w:bCs/>
                <w:color w:val="000000"/>
                <w:sz w:val="18"/>
                <w:szCs w:val="20"/>
                <w:lang w:val="es-MX"/>
              </w:rPr>
              <w:t xml:space="preserve">Informe de Terminación de Proyecto (PCR) </w:t>
            </w:r>
          </w:p>
        </w:tc>
        <w:tc>
          <w:tcPr>
            <w:tcW w:w="412" w:type="pct"/>
            <w:tcBorders>
              <w:top w:val="single" w:sz="8" w:space="0" w:color="auto"/>
              <w:left w:val="nil"/>
              <w:bottom w:val="single" w:sz="8" w:space="0" w:color="auto"/>
              <w:right w:val="single" w:sz="8" w:space="0" w:color="auto"/>
            </w:tcBorders>
            <w:shd w:val="clear" w:color="auto" w:fill="auto"/>
            <w:noWrap/>
            <w:vAlign w:val="center"/>
            <w:hideMark/>
          </w:tcPr>
          <w:p w14:paraId="652FC882" w14:textId="77777777" w:rsidR="00625725" w:rsidRPr="001C59A0" w:rsidRDefault="00625725" w:rsidP="00DE4B10">
            <w:pPr>
              <w:jc w:val="center"/>
              <w:rPr>
                <w:rFonts w:ascii="Arial" w:hAnsi="Arial" w:cs="Arial"/>
                <w:bCs/>
                <w:color w:val="000000"/>
                <w:sz w:val="18"/>
                <w:szCs w:val="20"/>
                <w:lang w:val="es-MX"/>
              </w:rPr>
            </w:pPr>
          </w:p>
          <w:p w14:paraId="752C199C" w14:textId="77777777" w:rsidR="00625725" w:rsidRPr="001C59A0" w:rsidRDefault="00625725" w:rsidP="00DE4B10">
            <w:pPr>
              <w:jc w:val="center"/>
              <w:rPr>
                <w:rFonts w:ascii="Arial" w:hAnsi="Arial" w:cs="Arial"/>
                <w:bCs/>
                <w:color w:val="000000"/>
                <w:sz w:val="18"/>
                <w:szCs w:val="20"/>
                <w:lang w:val="es-MX"/>
              </w:rPr>
            </w:pPr>
          </w:p>
        </w:tc>
        <w:tc>
          <w:tcPr>
            <w:tcW w:w="426" w:type="pct"/>
            <w:tcBorders>
              <w:top w:val="single" w:sz="8" w:space="0" w:color="auto"/>
              <w:left w:val="nil"/>
              <w:bottom w:val="single" w:sz="8" w:space="0" w:color="auto"/>
              <w:right w:val="single" w:sz="8" w:space="0" w:color="auto"/>
            </w:tcBorders>
            <w:shd w:val="clear" w:color="auto" w:fill="auto"/>
            <w:noWrap/>
            <w:vAlign w:val="center"/>
          </w:tcPr>
          <w:p w14:paraId="37DF7593" w14:textId="77777777" w:rsidR="00625725" w:rsidRPr="001C59A0" w:rsidRDefault="00625725" w:rsidP="00DE4B10">
            <w:pPr>
              <w:jc w:val="center"/>
              <w:rPr>
                <w:rFonts w:ascii="Arial" w:hAnsi="Arial" w:cs="Arial"/>
                <w:bCs/>
                <w:color w:val="000000"/>
                <w:sz w:val="18"/>
                <w:szCs w:val="20"/>
                <w:lang w:val="es-MX"/>
              </w:rPr>
            </w:pPr>
          </w:p>
        </w:tc>
        <w:tc>
          <w:tcPr>
            <w:tcW w:w="380"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2AE64A4" w14:textId="4BA5005C" w:rsidR="00625725" w:rsidRPr="001C59A0" w:rsidRDefault="00625725" w:rsidP="00DE4B10">
            <w:pPr>
              <w:jc w:val="center"/>
              <w:rPr>
                <w:rFonts w:ascii="Arial" w:hAnsi="Arial" w:cs="Arial"/>
                <w:bCs/>
                <w:color w:val="000000"/>
                <w:sz w:val="18"/>
                <w:szCs w:val="20"/>
                <w:lang w:val="es-MX"/>
              </w:rPr>
            </w:pPr>
          </w:p>
        </w:tc>
        <w:tc>
          <w:tcPr>
            <w:tcW w:w="436" w:type="pct"/>
            <w:tcBorders>
              <w:top w:val="single" w:sz="8" w:space="0" w:color="auto"/>
              <w:left w:val="nil"/>
              <w:bottom w:val="single" w:sz="8" w:space="0" w:color="auto"/>
              <w:right w:val="single" w:sz="8" w:space="0" w:color="auto"/>
            </w:tcBorders>
            <w:shd w:val="clear" w:color="auto" w:fill="auto"/>
            <w:noWrap/>
            <w:vAlign w:val="center"/>
            <w:hideMark/>
          </w:tcPr>
          <w:p w14:paraId="4757B20F" w14:textId="77777777" w:rsidR="00625725" w:rsidRPr="001C59A0" w:rsidRDefault="00625725" w:rsidP="00DE4B10">
            <w:pPr>
              <w:jc w:val="center"/>
              <w:rPr>
                <w:rFonts w:ascii="Arial" w:hAnsi="Arial" w:cs="Arial"/>
                <w:bCs/>
                <w:color w:val="000000"/>
                <w:sz w:val="18"/>
                <w:szCs w:val="20"/>
                <w:lang w:val="es-MX"/>
              </w:rPr>
            </w:pPr>
          </w:p>
          <w:p w14:paraId="0A56B20F" w14:textId="77777777" w:rsidR="00625725" w:rsidRPr="001C59A0" w:rsidRDefault="00625725" w:rsidP="00DE4B10">
            <w:pPr>
              <w:jc w:val="center"/>
              <w:rPr>
                <w:rFonts w:ascii="Arial" w:hAnsi="Arial" w:cs="Arial"/>
                <w:bCs/>
                <w:color w:val="000000"/>
                <w:sz w:val="18"/>
                <w:szCs w:val="20"/>
                <w:lang w:val="es-MX"/>
              </w:rPr>
            </w:pPr>
          </w:p>
        </w:tc>
        <w:tc>
          <w:tcPr>
            <w:tcW w:w="1252" w:type="pct"/>
            <w:tcBorders>
              <w:top w:val="single" w:sz="8" w:space="0" w:color="auto"/>
              <w:left w:val="nil"/>
              <w:bottom w:val="single" w:sz="8" w:space="0" w:color="auto"/>
              <w:right w:val="single" w:sz="8" w:space="0" w:color="auto"/>
            </w:tcBorders>
            <w:shd w:val="clear" w:color="auto" w:fill="auto"/>
            <w:vAlign w:val="center"/>
          </w:tcPr>
          <w:p w14:paraId="3AF99D4D" w14:textId="61BD8FDB" w:rsidR="00625725" w:rsidRPr="001C59A0" w:rsidRDefault="00625725" w:rsidP="00625725">
            <w:pPr>
              <w:jc w:val="center"/>
              <w:rPr>
                <w:rFonts w:ascii="Arial" w:hAnsi="Arial" w:cs="Arial"/>
                <w:bCs/>
                <w:color w:val="000000"/>
                <w:sz w:val="18"/>
                <w:szCs w:val="20"/>
                <w:lang w:val="es-MX"/>
              </w:rPr>
            </w:pPr>
          </w:p>
        </w:tc>
      </w:tr>
      <w:tr w:rsidR="00063817" w:rsidRPr="00063817" w14:paraId="3CB5F127" w14:textId="77777777" w:rsidTr="006B046D">
        <w:trPr>
          <w:trHeight w:val="394"/>
          <w:jc w:val="center"/>
        </w:trPr>
        <w:tc>
          <w:tcPr>
            <w:tcW w:w="2094" w:type="pct"/>
            <w:tcBorders>
              <w:top w:val="nil"/>
              <w:left w:val="single" w:sz="8" w:space="0" w:color="auto"/>
              <w:bottom w:val="single" w:sz="8" w:space="0" w:color="auto"/>
              <w:right w:val="single" w:sz="8" w:space="0" w:color="auto"/>
            </w:tcBorders>
            <w:shd w:val="clear" w:color="auto" w:fill="auto"/>
            <w:noWrap/>
            <w:vAlign w:val="center"/>
          </w:tcPr>
          <w:p w14:paraId="4FBBAD65" w14:textId="5EC23D3D" w:rsidR="00063817" w:rsidRPr="001C59A0" w:rsidRDefault="00063817" w:rsidP="00063817">
            <w:pPr>
              <w:jc w:val="right"/>
              <w:rPr>
                <w:rFonts w:ascii="Arial" w:hAnsi="Arial" w:cs="Arial"/>
                <w:bCs/>
                <w:color w:val="000000"/>
                <w:sz w:val="18"/>
                <w:szCs w:val="20"/>
                <w:lang w:val="es-MX"/>
              </w:rPr>
            </w:pPr>
            <w:r>
              <w:rPr>
                <w:rFonts w:ascii="Arial" w:hAnsi="Arial" w:cs="Arial"/>
                <w:bCs/>
                <w:color w:val="000000"/>
                <w:sz w:val="18"/>
                <w:szCs w:val="20"/>
                <w:lang w:val="es-MX"/>
              </w:rPr>
              <w:t>Contratación de consultor para la preparación del PCR</w:t>
            </w:r>
          </w:p>
        </w:tc>
        <w:tc>
          <w:tcPr>
            <w:tcW w:w="412" w:type="pct"/>
            <w:tcBorders>
              <w:top w:val="single" w:sz="8" w:space="0" w:color="auto"/>
              <w:left w:val="nil"/>
              <w:bottom w:val="single" w:sz="8" w:space="0" w:color="auto"/>
              <w:right w:val="single" w:sz="8" w:space="0" w:color="auto"/>
            </w:tcBorders>
            <w:shd w:val="clear" w:color="auto" w:fill="auto"/>
            <w:noWrap/>
            <w:vAlign w:val="center"/>
          </w:tcPr>
          <w:p w14:paraId="6DF7D0BC" w14:textId="77777777" w:rsidR="00063817" w:rsidRPr="001C59A0" w:rsidRDefault="00063817" w:rsidP="00DE4B10">
            <w:pPr>
              <w:jc w:val="center"/>
              <w:rPr>
                <w:rFonts w:ascii="Arial" w:hAnsi="Arial" w:cs="Arial"/>
                <w:bCs/>
                <w:color w:val="000000"/>
                <w:sz w:val="18"/>
                <w:szCs w:val="20"/>
                <w:lang w:val="es-MX"/>
              </w:rPr>
            </w:pPr>
          </w:p>
        </w:tc>
        <w:tc>
          <w:tcPr>
            <w:tcW w:w="426" w:type="pct"/>
            <w:tcBorders>
              <w:top w:val="single" w:sz="8" w:space="0" w:color="auto"/>
              <w:left w:val="nil"/>
              <w:bottom w:val="single" w:sz="8" w:space="0" w:color="auto"/>
              <w:right w:val="single" w:sz="8" w:space="0" w:color="auto"/>
            </w:tcBorders>
            <w:shd w:val="clear" w:color="auto" w:fill="auto"/>
            <w:noWrap/>
            <w:vAlign w:val="center"/>
          </w:tcPr>
          <w:p w14:paraId="570FAABD" w14:textId="77777777" w:rsidR="00063817" w:rsidRPr="001C59A0" w:rsidRDefault="00063817" w:rsidP="00DE4B10">
            <w:pPr>
              <w:jc w:val="center"/>
              <w:rPr>
                <w:rFonts w:ascii="Arial" w:hAnsi="Arial" w:cs="Arial"/>
                <w:bCs/>
                <w:color w:val="000000"/>
                <w:sz w:val="18"/>
                <w:szCs w:val="20"/>
                <w:lang w:val="es-MX"/>
              </w:rPr>
            </w:pPr>
          </w:p>
        </w:tc>
        <w:tc>
          <w:tcPr>
            <w:tcW w:w="380"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0F160AFA" w14:textId="77777777" w:rsidR="00063817" w:rsidRDefault="00063817" w:rsidP="00DE4B10">
            <w:pPr>
              <w:jc w:val="center"/>
              <w:rPr>
                <w:rFonts w:ascii="Arial" w:hAnsi="Arial" w:cs="Arial"/>
                <w:bCs/>
                <w:color w:val="000000"/>
                <w:sz w:val="18"/>
                <w:szCs w:val="20"/>
                <w:lang w:val="es-MX"/>
              </w:rPr>
            </w:pPr>
          </w:p>
        </w:tc>
        <w:tc>
          <w:tcPr>
            <w:tcW w:w="436" w:type="pct"/>
            <w:tcBorders>
              <w:top w:val="single" w:sz="8" w:space="0" w:color="auto"/>
              <w:left w:val="nil"/>
              <w:bottom w:val="single" w:sz="8" w:space="0" w:color="auto"/>
              <w:right w:val="single" w:sz="8" w:space="0" w:color="auto"/>
            </w:tcBorders>
            <w:shd w:val="clear" w:color="auto" w:fill="auto"/>
            <w:noWrap/>
            <w:vAlign w:val="center"/>
          </w:tcPr>
          <w:p w14:paraId="5BAFC507" w14:textId="77777777" w:rsidR="00063817" w:rsidRPr="001C59A0" w:rsidRDefault="00063817" w:rsidP="00DE4B10">
            <w:pPr>
              <w:jc w:val="center"/>
              <w:rPr>
                <w:rFonts w:ascii="Arial" w:hAnsi="Arial" w:cs="Arial"/>
                <w:bCs/>
                <w:color w:val="000000"/>
                <w:sz w:val="18"/>
                <w:szCs w:val="20"/>
                <w:lang w:val="es-MX"/>
              </w:rPr>
            </w:pPr>
          </w:p>
        </w:tc>
        <w:tc>
          <w:tcPr>
            <w:tcW w:w="1252" w:type="pct"/>
            <w:tcBorders>
              <w:top w:val="single" w:sz="8" w:space="0" w:color="auto"/>
              <w:left w:val="nil"/>
              <w:bottom w:val="single" w:sz="8" w:space="0" w:color="auto"/>
              <w:right w:val="single" w:sz="8" w:space="0" w:color="auto"/>
            </w:tcBorders>
            <w:shd w:val="clear" w:color="auto" w:fill="auto"/>
            <w:vAlign w:val="center"/>
          </w:tcPr>
          <w:p w14:paraId="01267DD4" w14:textId="00FBB7C4" w:rsidR="00063817" w:rsidRPr="001C59A0" w:rsidRDefault="00063817" w:rsidP="00625725">
            <w:pPr>
              <w:jc w:val="center"/>
              <w:rPr>
                <w:rFonts w:ascii="Arial" w:hAnsi="Arial" w:cs="Arial"/>
                <w:bCs/>
                <w:color w:val="000000"/>
                <w:sz w:val="18"/>
                <w:szCs w:val="20"/>
                <w:lang w:val="es-MX"/>
              </w:rPr>
            </w:pPr>
            <w:r w:rsidRPr="001C59A0">
              <w:rPr>
                <w:rFonts w:ascii="Arial" w:hAnsi="Arial" w:cs="Arial"/>
                <w:bCs/>
                <w:color w:val="000000"/>
                <w:sz w:val="18"/>
                <w:szCs w:val="20"/>
                <w:lang w:val="es-MX"/>
              </w:rPr>
              <w:t>US$15,000</w:t>
            </w:r>
            <w:r>
              <w:rPr>
                <w:rFonts w:ascii="Arial" w:hAnsi="Arial" w:cs="Arial"/>
                <w:bCs/>
                <w:color w:val="000000"/>
                <w:sz w:val="18"/>
                <w:szCs w:val="20"/>
                <w:lang w:val="es-MX"/>
              </w:rPr>
              <w:t xml:space="preserve"> IDB</w:t>
            </w:r>
          </w:p>
        </w:tc>
      </w:tr>
      <w:tr w:rsidR="00063817" w:rsidRPr="00063817" w14:paraId="38A49E74" w14:textId="77777777" w:rsidTr="006B046D">
        <w:trPr>
          <w:trHeight w:val="394"/>
          <w:jc w:val="center"/>
        </w:trPr>
        <w:tc>
          <w:tcPr>
            <w:tcW w:w="2094" w:type="pct"/>
            <w:tcBorders>
              <w:top w:val="nil"/>
              <w:left w:val="single" w:sz="8" w:space="0" w:color="auto"/>
              <w:bottom w:val="single" w:sz="8" w:space="0" w:color="auto"/>
              <w:right w:val="single" w:sz="8" w:space="0" w:color="auto"/>
            </w:tcBorders>
            <w:shd w:val="clear" w:color="auto" w:fill="auto"/>
            <w:noWrap/>
            <w:vAlign w:val="center"/>
          </w:tcPr>
          <w:p w14:paraId="415FA94A" w14:textId="25A88BD6" w:rsidR="00063817" w:rsidRPr="001C59A0" w:rsidRDefault="00063817" w:rsidP="00063817">
            <w:pPr>
              <w:jc w:val="right"/>
              <w:rPr>
                <w:rFonts w:ascii="Arial" w:hAnsi="Arial" w:cs="Arial"/>
                <w:bCs/>
                <w:color w:val="000000"/>
                <w:sz w:val="18"/>
                <w:szCs w:val="20"/>
                <w:lang w:val="es-MX"/>
              </w:rPr>
            </w:pPr>
            <w:r>
              <w:rPr>
                <w:rFonts w:ascii="Arial" w:hAnsi="Arial" w:cs="Arial"/>
                <w:bCs/>
                <w:color w:val="000000"/>
                <w:sz w:val="18"/>
                <w:szCs w:val="20"/>
                <w:lang w:val="es-MX"/>
              </w:rPr>
              <w:t>Preparación y entrega de los medios de verificación de la primera operación</w:t>
            </w:r>
          </w:p>
        </w:tc>
        <w:tc>
          <w:tcPr>
            <w:tcW w:w="412" w:type="pct"/>
            <w:tcBorders>
              <w:top w:val="single" w:sz="8" w:space="0" w:color="auto"/>
              <w:left w:val="nil"/>
              <w:bottom w:val="single" w:sz="8" w:space="0" w:color="auto"/>
              <w:right w:val="single" w:sz="8" w:space="0" w:color="auto"/>
            </w:tcBorders>
            <w:shd w:val="clear" w:color="auto" w:fill="BFBFBF" w:themeFill="background1" w:themeFillShade="BF"/>
            <w:noWrap/>
            <w:vAlign w:val="center"/>
          </w:tcPr>
          <w:p w14:paraId="0DEE5D98" w14:textId="77777777" w:rsidR="00063817" w:rsidRPr="001C59A0" w:rsidRDefault="00063817" w:rsidP="00DE4B10">
            <w:pPr>
              <w:jc w:val="center"/>
              <w:rPr>
                <w:rFonts w:ascii="Arial" w:hAnsi="Arial" w:cs="Arial"/>
                <w:bCs/>
                <w:color w:val="000000"/>
                <w:sz w:val="18"/>
                <w:szCs w:val="20"/>
                <w:lang w:val="es-MX"/>
              </w:rPr>
            </w:pPr>
          </w:p>
        </w:tc>
        <w:tc>
          <w:tcPr>
            <w:tcW w:w="426" w:type="pct"/>
            <w:tcBorders>
              <w:top w:val="single" w:sz="8" w:space="0" w:color="auto"/>
              <w:left w:val="nil"/>
              <w:bottom w:val="single" w:sz="8" w:space="0" w:color="auto"/>
              <w:right w:val="single" w:sz="8" w:space="0" w:color="auto"/>
            </w:tcBorders>
            <w:shd w:val="clear" w:color="auto" w:fill="auto"/>
            <w:noWrap/>
            <w:vAlign w:val="center"/>
          </w:tcPr>
          <w:p w14:paraId="0C893E4E" w14:textId="77777777" w:rsidR="00063817" w:rsidRPr="001C59A0" w:rsidRDefault="00063817" w:rsidP="00DE4B10">
            <w:pPr>
              <w:jc w:val="center"/>
              <w:rPr>
                <w:rFonts w:ascii="Arial" w:hAnsi="Arial" w:cs="Arial"/>
                <w:bCs/>
                <w:color w:val="000000"/>
                <w:sz w:val="18"/>
                <w:szCs w:val="20"/>
                <w:lang w:val="es-MX"/>
              </w:rPr>
            </w:pPr>
          </w:p>
        </w:tc>
        <w:tc>
          <w:tcPr>
            <w:tcW w:w="380" w:type="pct"/>
            <w:tcBorders>
              <w:top w:val="single" w:sz="8" w:space="0" w:color="auto"/>
              <w:left w:val="nil"/>
              <w:bottom w:val="single" w:sz="8" w:space="0" w:color="auto"/>
              <w:right w:val="single" w:sz="8" w:space="0" w:color="auto"/>
            </w:tcBorders>
            <w:shd w:val="clear" w:color="auto" w:fill="auto"/>
            <w:noWrap/>
            <w:vAlign w:val="center"/>
          </w:tcPr>
          <w:p w14:paraId="0827DEA7" w14:textId="77777777" w:rsidR="00063817" w:rsidRPr="001C59A0" w:rsidRDefault="00063817" w:rsidP="00DE4B10">
            <w:pPr>
              <w:jc w:val="center"/>
              <w:rPr>
                <w:rFonts w:ascii="Arial" w:hAnsi="Arial" w:cs="Arial"/>
                <w:bCs/>
                <w:color w:val="000000"/>
                <w:sz w:val="18"/>
                <w:szCs w:val="20"/>
                <w:lang w:val="es-MX"/>
              </w:rPr>
            </w:pPr>
          </w:p>
        </w:tc>
        <w:tc>
          <w:tcPr>
            <w:tcW w:w="436" w:type="pct"/>
            <w:tcBorders>
              <w:top w:val="single" w:sz="8" w:space="0" w:color="auto"/>
              <w:left w:val="nil"/>
              <w:bottom w:val="single" w:sz="8" w:space="0" w:color="auto"/>
              <w:right w:val="single" w:sz="8" w:space="0" w:color="auto"/>
            </w:tcBorders>
            <w:shd w:val="clear" w:color="auto" w:fill="auto"/>
            <w:noWrap/>
            <w:vAlign w:val="center"/>
          </w:tcPr>
          <w:p w14:paraId="7C955580" w14:textId="77777777" w:rsidR="00063817" w:rsidRPr="001C59A0" w:rsidRDefault="00063817" w:rsidP="00DE4B10">
            <w:pPr>
              <w:jc w:val="center"/>
              <w:rPr>
                <w:rFonts w:ascii="Arial" w:hAnsi="Arial" w:cs="Arial"/>
                <w:bCs/>
                <w:color w:val="000000"/>
                <w:sz w:val="18"/>
                <w:szCs w:val="20"/>
                <w:lang w:val="es-MX"/>
              </w:rPr>
            </w:pPr>
          </w:p>
        </w:tc>
        <w:tc>
          <w:tcPr>
            <w:tcW w:w="1252" w:type="pct"/>
            <w:tcBorders>
              <w:top w:val="single" w:sz="8" w:space="0" w:color="auto"/>
              <w:left w:val="nil"/>
              <w:bottom w:val="single" w:sz="8" w:space="0" w:color="auto"/>
              <w:right w:val="single" w:sz="8" w:space="0" w:color="auto"/>
            </w:tcBorders>
            <w:shd w:val="clear" w:color="auto" w:fill="auto"/>
            <w:vAlign w:val="center"/>
          </w:tcPr>
          <w:p w14:paraId="07FE0F7B" w14:textId="6762EF5C" w:rsidR="00063817" w:rsidRPr="001C59A0" w:rsidRDefault="00063817" w:rsidP="00625725">
            <w:pPr>
              <w:jc w:val="center"/>
              <w:rPr>
                <w:rFonts w:ascii="Arial" w:hAnsi="Arial" w:cs="Arial"/>
                <w:bCs/>
                <w:color w:val="000000"/>
                <w:sz w:val="18"/>
                <w:szCs w:val="20"/>
                <w:lang w:val="es-MX"/>
              </w:rPr>
            </w:pPr>
            <w:r>
              <w:rPr>
                <w:rFonts w:ascii="Arial" w:hAnsi="Arial" w:cs="Arial"/>
                <w:bCs/>
                <w:color w:val="000000"/>
                <w:sz w:val="18"/>
                <w:szCs w:val="20"/>
                <w:lang w:val="es-MX"/>
              </w:rPr>
              <w:t>US$</w:t>
            </w:r>
            <w:r w:rsidRPr="001C59A0">
              <w:rPr>
                <w:rFonts w:ascii="Arial" w:hAnsi="Arial" w:cs="Arial"/>
                <w:bCs/>
                <w:color w:val="000000"/>
                <w:sz w:val="18"/>
                <w:szCs w:val="20"/>
                <w:lang w:val="es-MX"/>
              </w:rPr>
              <w:t>5,000</w:t>
            </w:r>
            <w:r>
              <w:rPr>
                <w:rFonts w:ascii="Arial" w:hAnsi="Arial" w:cs="Arial"/>
                <w:bCs/>
                <w:color w:val="000000"/>
                <w:sz w:val="18"/>
                <w:szCs w:val="20"/>
                <w:lang w:val="es-MX"/>
              </w:rPr>
              <w:t xml:space="preserve"> </w:t>
            </w:r>
            <w:r w:rsidR="003D496A">
              <w:rPr>
                <w:rFonts w:ascii="Arial" w:hAnsi="Arial" w:cs="Arial"/>
                <w:bCs/>
                <w:color w:val="000000"/>
                <w:sz w:val="18"/>
                <w:szCs w:val="20"/>
                <w:lang w:val="es-MX"/>
              </w:rPr>
              <w:t>SENER</w:t>
            </w:r>
          </w:p>
        </w:tc>
      </w:tr>
      <w:tr w:rsidR="00063817" w:rsidRPr="00063817" w14:paraId="2D7624B2" w14:textId="77777777" w:rsidTr="006B046D">
        <w:trPr>
          <w:trHeight w:val="394"/>
          <w:jc w:val="center"/>
        </w:trPr>
        <w:tc>
          <w:tcPr>
            <w:tcW w:w="2094" w:type="pct"/>
            <w:tcBorders>
              <w:top w:val="nil"/>
              <w:left w:val="single" w:sz="8" w:space="0" w:color="auto"/>
              <w:bottom w:val="single" w:sz="8" w:space="0" w:color="auto"/>
              <w:right w:val="single" w:sz="8" w:space="0" w:color="auto"/>
            </w:tcBorders>
            <w:shd w:val="clear" w:color="auto" w:fill="auto"/>
            <w:noWrap/>
            <w:vAlign w:val="center"/>
          </w:tcPr>
          <w:p w14:paraId="12CF33E7" w14:textId="5F86B600" w:rsidR="00063817" w:rsidRPr="001C59A0" w:rsidRDefault="00063817" w:rsidP="00063817">
            <w:pPr>
              <w:jc w:val="right"/>
              <w:rPr>
                <w:rFonts w:ascii="Arial" w:hAnsi="Arial" w:cs="Arial"/>
                <w:bCs/>
                <w:color w:val="000000"/>
                <w:sz w:val="18"/>
                <w:szCs w:val="20"/>
                <w:lang w:val="es-MX"/>
              </w:rPr>
            </w:pPr>
            <w:r>
              <w:rPr>
                <w:rFonts w:ascii="Arial" w:hAnsi="Arial" w:cs="Arial"/>
                <w:bCs/>
                <w:color w:val="000000"/>
                <w:sz w:val="18"/>
                <w:szCs w:val="20"/>
                <w:lang w:val="es-MX"/>
              </w:rPr>
              <w:t>Preparación y entrega de los medios de verificación de la segunda operación</w:t>
            </w:r>
          </w:p>
        </w:tc>
        <w:tc>
          <w:tcPr>
            <w:tcW w:w="412" w:type="pct"/>
            <w:tcBorders>
              <w:top w:val="single" w:sz="8" w:space="0" w:color="auto"/>
              <w:left w:val="nil"/>
              <w:bottom w:val="single" w:sz="8" w:space="0" w:color="auto"/>
              <w:right w:val="single" w:sz="8" w:space="0" w:color="auto"/>
            </w:tcBorders>
            <w:shd w:val="clear" w:color="auto" w:fill="auto"/>
            <w:noWrap/>
            <w:vAlign w:val="center"/>
          </w:tcPr>
          <w:p w14:paraId="3206DB3E" w14:textId="77777777" w:rsidR="00063817" w:rsidRPr="001C59A0" w:rsidRDefault="00063817" w:rsidP="00DE4B10">
            <w:pPr>
              <w:jc w:val="center"/>
              <w:rPr>
                <w:rFonts w:ascii="Arial" w:hAnsi="Arial" w:cs="Arial"/>
                <w:bCs/>
                <w:color w:val="000000"/>
                <w:sz w:val="18"/>
                <w:szCs w:val="20"/>
                <w:lang w:val="es-MX"/>
              </w:rPr>
            </w:pPr>
          </w:p>
        </w:tc>
        <w:tc>
          <w:tcPr>
            <w:tcW w:w="426"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C15A773" w14:textId="77777777" w:rsidR="00063817" w:rsidRPr="001C59A0" w:rsidRDefault="00063817" w:rsidP="00DE4B10">
            <w:pPr>
              <w:jc w:val="center"/>
              <w:rPr>
                <w:rFonts w:ascii="Arial" w:hAnsi="Arial" w:cs="Arial"/>
                <w:bCs/>
                <w:color w:val="000000"/>
                <w:sz w:val="18"/>
                <w:szCs w:val="20"/>
                <w:lang w:val="es-MX"/>
              </w:rPr>
            </w:pPr>
          </w:p>
        </w:tc>
        <w:tc>
          <w:tcPr>
            <w:tcW w:w="380"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5C5BD04" w14:textId="77777777" w:rsidR="00063817" w:rsidRPr="001C59A0" w:rsidRDefault="00063817" w:rsidP="00DE4B10">
            <w:pPr>
              <w:jc w:val="center"/>
              <w:rPr>
                <w:rFonts w:ascii="Arial" w:hAnsi="Arial" w:cs="Arial"/>
                <w:bCs/>
                <w:color w:val="000000"/>
                <w:sz w:val="18"/>
                <w:szCs w:val="20"/>
                <w:lang w:val="es-MX"/>
              </w:rPr>
            </w:pPr>
          </w:p>
        </w:tc>
        <w:tc>
          <w:tcPr>
            <w:tcW w:w="436" w:type="pct"/>
            <w:tcBorders>
              <w:top w:val="single" w:sz="8" w:space="0" w:color="auto"/>
              <w:left w:val="nil"/>
              <w:bottom w:val="single" w:sz="8" w:space="0" w:color="auto"/>
              <w:right w:val="single" w:sz="8" w:space="0" w:color="auto"/>
            </w:tcBorders>
            <w:shd w:val="clear" w:color="auto" w:fill="auto"/>
            <w:noWrap/>
            <w:vAlign w:val="center"/>
          </w:tcPr>
          <w:p w14:paraId="3DF14547" w14:textId="77777777" w:rsidR="00063817" w:rsidRPr="001C59A0" w:rsidRDefault="00063817" w:rsidP="00DE4B10">
            <w:pPr>
              <w:jc w:val="center"/>
              <w:rPr>
                <w:rFonts w:ascii="Arial" w:hAnsi="Arial" w:cs="Arial"/>
                <w:bCs/>
                <w:color w:val="000000"/>
                <w:sz w:val="18"/>
                <w:szCs w:val="20"/>
                <w:lang w:val="es-MX"/>
              </w:rPr>
            </w:pPr>
          </w:p>
        </w:tc>
        <w:tc>
          <w:tcPr>
            <w:tcW w:w="1252" w:type="pct"/>
            <w:tcBorders>
              <w:top w:val="single" w:sz="8" w:space="0" w:color="auto"/>
              <w:left w:val="nil"/>
              <w:bottom w:val="single" w:sz="8" w:space="0" w:color="auto"/>
              <w:right w:val="single" w:sz="8" w:space="0" w:color="auto"/>
            </w:tcBorders>
            <w:shd w:val="clear" w:color="auto" w:fill="auto"/>
            <w:vAlign w:val="center"/>
          </w:tcPr>
          <w:p w14:paraId="6BFB9453" w14:textId="598579DB" w:rsidR="00063817" w:rsidRPr="001C59A0" w:rsidRDefault="00063817" w:rsidP="00625725">
            <w:pPr>
              <w:jc w:val="center"/>
              <w:rPr>
                <w:rFonts w:ascii="Arial" w:hAnsi="Arial" w:cs="Arial"/>
                <w:bCs/>
                <w:color w:val="000000"/>
                <w:sz w:val="18"/>
                <w:szCs w:val="20"/>
                <w:lang w:val="es-MX"/>
              </w:rPr>
            </w:pPr>
            <w:r w:rsidRPr="001C59A0">
              <w:rPr>
                <w:rFonts w:ascii="Arial" w:hAnsi="Arial" w:cs="Arial"/>
                <w:bCs/>
                <w:color w:val="000000"/>
                <w:sz w:val="18"/>
                <w:szCs w:val="20"/>
                <w:lang w:val="es-MX"/>
              </w:rPr>
              <w:t>US$5,000</w:t>
            </w:r>
            <w:r>
              <w:rPr>
                <w:rFonts w:ascii="Arial" w:hAnsi="Arial" w:cs="Arial"/>
                <w:bCs/>
                <w:color w:val="000000"/>
                <w:sz w:val="18"/>
                <w:szCs w:val="20"/>
                <w:lang w:val="es-MX"/>
              </w:rPr>
              <w:t xml:space="preserve"> </w:t>
            </w:r>
            <w:r w:rsidR="003D496A">
              <w:rPr>
                <w:rFonts w:ascii="Arial" w:hAnsi="Arial" w:cs="Arial"/>
                <w:bCs/>
                <w:color w:val="000000"/>
                <w:sz w:val="18"/>
                <w:szCs w:val="20"/>
                <w:lang w:val="es-MX"/>
              </w:rPr>
              <w:t>SENER</w:t>
            </w:r>
          </w:p>
        </w:tc>
      </w:tr>
      <w:tr w:rsidR="00625725" w:rsidRPr="001C59A0" w14:paraId="1766AAC7" w14:textId="77777777" w:rsidTr="006B046D">
        <w:trPr>
          <w:trHeight w:val="394"/>
          <w:jc w:val="center"/>
        </w:trPr>
        <w:tc>
          <w:tcPr>
            <w:tcW w:w="2094" w:type="pct"/>
            <w:tcBorders>
              <w:top w:val="nil"/>
              <w:left w:val="single" w:sz="8" w:space="0" w:color="auto"/>
              <w:bottom w:val="single" w:sz="8" w:space="0" w:color="auto"/>
              <w:right w:val="single" w:sz="8" w:space="0" w:color="auto"/>
            </w:tcBorders>
            <w:shd w:val="clear" w:color="auto" w:fill="auto"/>
            <w:noWrap/>
            <w:vAlign w:val="center"/>
          </w:tcPr>
          <w:p w14:paraId="49DECD69" w14:textId="77777777" w:rsidR="00625725" w:rsidRPr="00063817" w:rsidRDefault="00625725" w:rsidP="00DE4B10">
            <w:pPr>
              <w:rPr>
                <w:rFonts w:ascii="Arial" w:hAnsi="Arial" w:cs="Arial"/>
                <w:b/>
                <w:bCs/>
                <w:color w:val="000000"/>
                <w:sz w:val="18"/>
                <w:szCs w:val="20"/>
                <w:lang w:val="es-MX"/>
              </w:rPr>
            </w:pPr>
            <w:r w:rsidRPr="00063817">
              <w:rPr>
                <w:rFonts w:ascii="Arial" w:hAnsi="Arial" w:cs="Arial"/>
                <w:b/>
                <w:bCs/>
                <w:color w:val="000000"/>
                <w:sz w:val="18"/>
                <w:szCs w:val="20"/>
                <w:lang w:val="es-MX"/>
              </w:rPr>
              <w:t>Evaluación económica ex post</w:t>
            </w:r>
          </w:p>
        </w:tc>
        <w:tc>
          <w:tcPr>
            <w:tcW w:w="412" w:type="pct"/>
            <w:tcBorders>
              <w:top w:val="single" w:sz="8" w:space="0" w:color="auto"/>
              <w:left w:val="nil"/>
              <w:bottom w:val="single" w:sz="8" w:space="0" w:color="auto"/>
              <w:right w:val="single" w:sz="8" w:space="0" w:color="auto"/>
            </w:tcBorders>
            <w:shd w:val="clear" w:color="auto" w:fill="auto"/>
            <w:noWrap/>
            <w:vAlign w:val="center"/>
          </w:tcPr>
          <w:p w14:paraId="037B053F" w14:textId="77777777" w:rsidR="00625725" w:rsidRPr="001C59A0" w:rsidRDefault="00625725" w:rsidP="00DE4B10">
            <w:pPr>
              <w:jc w:val="center"/>
              <w:rPr>
                <w:rFonts w:ascii="Arial" w:hAnsi="Arial" w:cs="Arial"/>
                <w:bCs/>
                <w:color w:val="000000"/>
                <w:sz w:val="18"/>
                <w:szCs w:val="20"/>
                <w:lang w:val="es-MX"/>
              </w:rPr>
            </w:pPr>
          </w:p>
        </w:tc>
        <w:tc>
          <w:tcPr>
            <w:tcW w:w="426" w:type="pct"/>
            <w:tcBorders>
              <w:top w:val="single" w:sz="8" w:space="0" w:color="auto"/>
              <w:left w:val="nil"/>
              <w:bottom w:val="single" w:sz="8" w:space="0" w:color="auto"/>
              <w:right w:val="single" w:sz="8" w:space="0" w:color="auto"/>
            </w:tcBorders>
            <w:shd w:val="clear" w:color="auto" w:fill="auto"/>
            <w:noWrap/>
            <w:vAlign w:val="center"/>
          </w:tcPr>
          <w:p w14:paraId="2184FC09" w14:textId="77777777" w:rsidR="00625725" w:rsidRPr="001C59A0" w:rsidRDefault="00625725" w:rsidP="00DE4B10">
            <w:pPr>
              <w:jc w:val="center"/>
              <w:rPr>
                <w:rFonts w:ascii="Arial" w:hAnsi="Arial" w:cs="Arial"/>
                <w:bCs/>
                <w:color w:val="000000"/>
                <w:sz w:val="18"/>
                <w:szCs w:val="20"/>
                <w:lang w:val="es-MX"/>
              </w:rPr>
            </w:pPr>
          </w:p>
        </w:tc>
        <w:tc>
          <w:tcPr>
            <w:tcW w:w="380" w:type="pct"/>
            <w:tcBorders>
              <w:top w:val="single" w:sz="8" w:space="0" w:color="auto"/>
              <w:left w:val="nil"/>
              <w:bottom w:val="single" w:sz="8" w:space="0" w:color="auto"/>
              <w:right w:val="single" w:sz="8" w:space="0" w:color="auto"/>
            </w:tcBorders>
            <w:shd w:val="clear" w:color="auto" w:fill="auto"/>
            <w:noWrap/>
            <w:vAlign w:val="center"/>
          </w:tcPr>
          <w:p w14:paraId="05C596F3" w14:textId="77777777" w:rsidR="00625725" w:rsidRPr="001C59A0" w:rsidRDefault="00625725" w:rsidP="00625725">
            <w:pPr>
              <w:jc w:val="center"/>
              <w:rPr>
                <w:rFonts w:ascii="Arial" w:hAnsi="Arial" w:cs="Arial"/>
                <w:bCs/>
                <w:color w:val="000000"/>
                <w:sz w:val="18"/>
                <w:szCs w:val="20"/>
                <w:lang w:val="es-MX"/>
              </w:rPr>
            </w:pPr>
          </w:p>
        </w:tc>
        <w:tc>
          <w:tcPr>
            <w:tcW w:w="436"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AA59077" w14:textId="1A5B5B40" w:rsidR="00625725" w:rsidRPr="001C59A0" w:rsidRDefault="00625725" w:rsidP="00625725">
            <w:pPr>
              <w:jc w:val="center"/>
              <w:rPr>
                <w:rFonts w:ascii="Arial" w:hAnsi="Arial" w:cs="Arial"/>
                <w:bCs/>
                <w:color w:val="000000"/>
                <w:sz w:val="18"/>
                <w:szCs w:val="20"/>
                <w:lang w:val="es-MX"/>
              </w:rPr>
            </w:pPr>
          </w:p>
        </w:tc>
        <w:tc>
          <w:tcPr>
            <w:tcW w:w="1252" w:type="pct"/>
            <w:tcBorders>
              <w:top w:val="single" w:sz="8" w:space="0" w:color="auto"/>
              <w:left w:val="nil"/>
              <w:bottom w:val="single" w:sz="8" w:space="0" w:color="auto"/>
              <w:right w:val="single" w:sz="8" w:space="0" w:color="auto"/>
            </w:tcBorders>
            <w:shd w:val="clear" w:color="auto" w:fill="auto"/>
            <w:vAlign w:val="center"/>
          </w:tcPr>
          <w:p w14:paraId="5CA3EA76" w14:textId="76F8F2A1" w:rsidR="00625725" w:rsidRPr="001C59A0" w:rsidRDefault="00625725" w:rsidP="007F5B8A">
            <w:pPr>
              <w:jc w:val="center"/>
              <w:rPr>
                <w:rFonts w:ascii="Arial" w:hAnsi="Arial" w:cs="Arial"/>
                <w:bCs/>
                <w:color w:val="000000"/>
                <w:sz w:val="18"/>
                <w:szCs w:val="20"/>
                <w:lang w:val="es-MX"/>
              </w:rPr>
            </w:pPr>
          </w:p>
        </w:tc>
      </w:tr>
      <w:tr w:rsidR="00063817" w:rsidRPr="00063817" w14:paraId="798345BC" w14:textId="77777777" w:rsidTr="006B046D">
        <w:trPr>
          <w:trHeight w:val="394"/>
          <w:jc w:val="center"/>
        </w:trPr>
        <w:tc>
          <w:tcPr>
            <w:tcW w:w="2094" w:type="pct"/>
            <w:tcBorders>
              <w:top w:val="nil"/>
              <w:left w:val="single" w:sz="8" w:space="0" w:color="auto"/>
              <w:bottom w:val="single" w:sz="8" w:space="0" w:color="auto"/>
              <w:right w:val="single" w:sz="8" w:space="0" w:color="auto"/>
            </w:tcBorders>
            <w:shd w:val="clear" w:color="auto" w:fill="auto"/>
            <w:noWrap/>
            <w:vAlign w:val="center"/>
          </w:tcPr>
          <w:p w14:paraId="0D06FA19" w14:textId="425445F5" w:rsidR="00063817" w:rsidRDefault="00063817" w:rsidP="00063817">
            <w:pPr>
              <w:jc w:val="right"/>
              <w:rPr>
                <w:rFonts w:ascii="Arial" w:hAnsi="Arial" w:cs="Arial"/>
                <w:bCs/>
                <w:color w:val="000000"/>
                <w:sz w:val="18"/>
                <w:szCs w:val="20"/>
                <w:lang w:val="es-MX"/>
              </w:rPr>
            </w:pPr>
            <w:r>
              <w:rPr>
                <w:rFonts w:ascii="Arial" w:hAnsi="Arial" w:cs="Arial"/>
                <w:bCs/>
                <w:color w:val="000000"/>
                <w:sz w:val="18"/>
                <w:szCs w:val="20"/>
                <w:lang w:val="es-MX"/>
              </w:rPr>
              <w:t>Contratación de consultor para la preparación del PCR</w:t>
            </w:r>
          </w:p>
        </w:tc>
        <w:tc>
          <w:tcPr>
            <w:tcW w:w="412" w:type="pct"/>
            <w:tcBorders>
              <w:top w:val="single" w:sz="8" w:space="0" w:color="auto"/>
              <w:left w:val="nil"/>
              <w:bottom w:val="single" w:sz="8" w:space="0" w:color="auto"/>
              <w:right w:val="single" w:sz="8" w:space="0" w:color="auto"/>
            </w:tcBorders>
            <w:shd w:val="clear" w:color="auto" w:fill="auto"/>
            <w:noWrap/>
            <w:vAlign w:val="center"/>
          </w:tcPr>
          <w:p w14:paraId="5FB54515" w14:textId="77777777" w:rsidR="00063817" w:rsidRPr="001C59A0" w:rsidRDefault="00063817" w:rsidP="00DE4B10">
            <w:pPr>
              <w:jc w:val="center"/>
              <w:rPr>
                <w:rFonts w:ascii="Arial" w:hAnsi="Arial" w:cs="Arial"/>
                <w:bCs/>
                <w:color w:val="000000"/>
                <w:sz w:val="18"/>
                <w:szCs w:val="20"/>
                <w:lang w:val="es-MX"/>
              </w:rPr>
            </w:pPr>
          </w:p>
        </w:tc>
        <w:tc>
          <w:tcPr>
            <w:tcW w:w="426" w:type="pct"/>
            <w:tcBorders>
              <w:top w:val="single" w:sz="8" w:space="0" w:color="auto"/>
              <w:left w:val="nil"/>
              <w:bottom w:val="single" w:sz="8" w:space="0" w:color="auto"/>
              <w:right w:val="single" w:sz="8" w:space="0" w:color="auto"/>
            </w:tcBorders>
            <w:shd w:val="clear" w:color="auto" w:fill="auto"/>
            <w:noWrap/>
            <w:vAlign w:val="center"/>
          </w:tcPr>
          <w:p w14:paraId="482812B7" w14:textId="77777777" w:rsidR="00063817" w:rsidRPr="001C59A0" w:rsidRDefault="00063817" w:rsidP="00DE4B10">
            <w:pPr>
              <w:jc w:val="center"/>
              <w:rPr>
                <w:rFonts w:ascii="Arial" w:hAnsi="Arial" w:cs="Arial"/>
                <w:bCs/>
                <w:color w:val="000000"/>
                <w:sz w:val="18"/>
                <w:szCs w:val="20"/>
                <w:lang w:val="es-MX"/>
              </w:rPr>
            </w:pPr>
          </w:p>
        </w:tc>
        <w:tc>
          <w:tcPr>
            <w:tcW w:w="380" w:type="pct"/>
            <w:tcBorders>
              <w:top w:val="single" w:sz="8" w:space="0" w:color="auto"/>
              <w:left w:val="nil"/>
              <w:bottom w:val="single" w:sz="8" w:space="0" w:color="auto"/>
              <w:right w:val="single" w:sz="8" w:space="0" w:color="auto"/>
            </w:tcBorders>
            <w:shd w:val="clear" w:color="auto" w:fill="auto"/>
            <w:noWrap/>
            <w:vAlign w:val="center"/>
          </w:tcPr>
          <w:p w14:paraId="4462D963" w14:textId="77777777" w:rsidR="00063817" w:rsidRPr="001C59A0" w:rsidRDefault="00063817" w:rsidP="00625725">
            <w:pPr>
              <w:jc w:val="center"/>
              <w:rPr>
                <w:rFonts w:ascii="Arial" w:hAnsi="Arial" w:cs="Arial"/>
                <w:bCs/>
                <w:color w:val="000000"/>
                <w:sz w:val="18"/>
                <w:szCs w:val="20"/>
                <w:lang w:val="es-MX"/>
              </w:rPr>
            </w:pPr>
          </w:p>
        </w:tc>
        <w:tc>
          <w:tcPr>
            <w:tcW w:w="436"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F3A7BD1" w14:textId="77777777" w:rsidR="00063817" w:rsidRPr="001C59A0" w:rsidRDefault="00063817" w:rsidP="00625725">
            <w:pPr>
              <w:jc w:val="center"/>
              <w:rPr>
                <w:rFonts w:ascii="Arial" w:hAnsi="Arial" w:cs="Arial"/>
                <w:bCs/>
                <w:color w:val="000000"/>
                <w:sz w:val="18"/>
                <w:szCs w:val="20"/>
                <w:lang w:val="es-MX"/>
              </w:rPr>
            </w:pPr>
          </w:p>
        </w:tc>
        <w:tc>
          <w:tcPr>
            <w:tcW w:w="1252" w:type="pct"/>
            <w:tcBorders>
              <w:top w:val="single" w:sz="8" w:space="0" w:color="auto"/>
              <w:left w:val="nil"/>
              <w:bottom w:val="single" w:sz="8" w:space="0" w:color="auto"/>
              <w:right w:val="single" w:sz="8" w:space="0" w:color="auto"/>
            </w:tcBorders>
            <w:shd w:val="clear" w:color="auto" w:fill="auto"/>
            <w:vAlign w:val="center"/>
          </w:tcPr>
          <w:p w14:paraId="21ACB407" w14:textId="48FEB83F" w:rsidR="00063817" w:rsidRPr="001C59A0" w:rsidRDefault="00063817" w:rsidP="007F5B8A">
            <w:pPr>
              <w:jc w:val="center"/>
              <w:rPr>
                <w:rFonts w:ascii="Arial" w:hAnsi="Arial" w:cs="Arial"/>
                <w:bCs/>
                <w:color w:val="000000"/>
                <w:sz w:val="18"/>
                <w:szCs w:val="20"/>
                <w:lang w:val="es-MX"/>
              </w:rPr>
            </w:pPr>
            <w:r w:rsidRPr="001C59A0">
              <w:rPr>
                <w:rFonts w:ascii="Arial" w:hAnsi="Arial" w:cs="Arial"/>
                <w:bCs/>
                <w:color w:val="000000"/>
                <w:sz w:val="18"/>
                <w:szCs w:val="20"/>
                <w:lang w:val="es-MX"/>
              </w:rPr>
              <w:t>US$</w:t>
            </w:r>
            <w:r>
              <w:rPr>
                <w:rFonts w:ascii="Arial" w:hAnsi="Arial" w:cs="Arial"/>
                <w:bCs/>
                <w:color w:val="000000"/>
                <w:sz w:val="18"/>
                <w:szCs w:val="20"/>
                <w:lang w:val="es-MX"/>
              </w:rPr>
              <w:t>20</w:t>
            </w:r>
            <w:r w:rsidRPr="001C59A0">
              <w:rPr>
                <w:rFonts w:ascii="Arial" w:hAnsi="Arial" w:cs="Arial"/>
                <w:bCs/>
                <w:color w:val="000000"/>
                <w:sz w:val="18"/>
                <w:szCs w:val="20"/>
                <w:lang w:val="es-MX"/>
              </w:rPr>
              <w:t>,000 IDB</w:t>
            </w:r>
          </w:p>
        </w:tc>
      </w:tr>
      <w:tr w:rsidR="00625725" w:rsidRPr="001C59A0" w14:paraId="3A506FEC" w14:textId="77777777" w:rsidTr="006B046D">
        <w:trPr>
          <w:trHeight w:val="394"/>
          <w:jc w:val="center"/>
        </w:trPr>
        <w:tc>
          <w:tcPr>
            <w:tcW w:w="2094" w:type="pct"/>
            <w:tcBorders>
              <w:top w:val="nil"/>
              <w:left w:val="single" w:sz="8" w:space="0" w:color="auto"/>
              <w:bottom w:val="single" w:sz="8" w:space="0" w:color="auto"/>
              <w:right w:val="single" w:sz="8" w:space="0" w:color="auto"/>
            </w:tcBorders>
            <w:shd w:val="clear" w:color="auto" w:fill="auto"/>
            <w:noWrap/>
            <w:vAlign w:val="center"/>
          </w:tcPr>
          <w:p w14:paraId="58B25C13" w14:textId="77777777" w:rsidR="00625725" w:rsidRPr="001C59A0" w:rsidRDefault="00625725" w:rsidP="00DE4B10">
            <w:pPr>
              <w:rPr>
                <w:rFonts w:ascii="Arial" w:hAnsi="Arial" w:cs="Arial"/>
                <w:bCs/>
                <w:color w:val="000000"/>
                <w:sz w:val="18"/>
                <w:szCs w:val="20"/>
                <w:lang w:val="es-MX"/>
              </w:rPr>
            </w:pPr>
            <w:r w:rsidRPr="001C59A0">
              <w:rPr>
                <w:rFonts w:ascii="Arial" w:hAnsi="Arial" w:cs="Arial"/>
                <w:bCs/>
                <w:color w:val="000000"/>
                <w:sz w:val="18"/>
                <w:szCs w:val="20"/>
                <w:lang w:val="es-MX"/>
              </w:rPr>
              <w:t>Total</w:t>
            </w:r>
          </w:p>
        </w:tc>
        <w:tc>
          <w:tcPr>
            <w:tcW w:w="2906" w:type="pct"/>
            <w:gridSpan w:val="5"/>
            <w:tcBorders>
              <w:top w:val="single" w:sz="8" w:space="0" w:color="auto"/>
              <w:left w:val="nil"/>
              <w:bottom w:val="single" w:sz="8" w:space="0" w:color="auto"/>
              <w:right w:val="single" w:sz="8" w:space="0" w:color="auto"/>
            </w:tcBorders>
            <w:shd w:val="clear" w:color="auto" w:fill="auto"/>
            <w:noWrap/>
            <w:vAlign w:val="center"/>
          </w:tcPr>
          <w:p w14:paraId="4D831F31" w14:textId="162E9183" w:rsidR="00625725" w:rsidRPr="001C59A0" w:rsidRDefault="00531586" w:rsidP="00625725">
            <w:pPr>
              <w:jc w:val="right"/>
              <w:rPr>
                <w:rFonts w:ascii="Arial" w:hAnsi="Arial" w:cs="Arial"/>
                <w:bCs/>
                <w:color w:val="000000"/>
                <w:sz w:val="18"/>
                <w:szCs w:val="20"/>
                <w:lang w:val="es-MX"/>
              </w:rPr>
            </w:pPr>
            <w:r>
              <w:rPr>
                <w:rFonts w:ascii="Arial" w:hAnsi="Arial" w:cs="Arial"/>
                <w:bCs/>
                <w:color w:val="000000"/>
                <w:sz w:val="18"/>
                <w:szCs w:val="20"/>
                <w:lang w:val="es-MX"/>
              </w:rPr>
              <w:t xml:space="preserve">US$ </w:t>
            </w:r>
            <w:r w:rsidR="00063817">
              <w:rPr>
                <w:rFonts w:ascii="Arial" w:hAnsi="Arial" w:cs="Arial"/>
                <w:bCs/>
                <w:color w:val="000000"/>
                <w:sz w:val="18"/>
                <w:szCs w:val="20"/>
                <w:lang w:val="es-MX"/>
              </w:rPr>
              <w:t>45</w:t>
            </w:r>
            <w:r w:rsidR="00625725" w:rsidRPr="001C59A0">
              <w:rPr>
                <w:rFonts w:ascii="Arial" w:hAnsi="Arial" w:cs="Arial"/>
                <w:bCs/>
                <w:color w:val="000000"/>
                <w:sz w:val="18"/>
                <w:szCs w:val="20"/>
                <w:lang w:val="es-MX"/>
              </w:rPr>
              <w:t>,000</w:t>
            </w:r>
          </w:p>
        </w:tc>
      </w:tr>
    </w:tbl>
    <w:p w14:paraId="3AE27166" w14:textId="77777777" w:rsidR="00C419B8" w:rsidRPr="001C59A0" w:rsidRDefault="00C419B8" w:rsidP="00474389">
      <w:pPr>
        <w:pStyle w:val="Paragraph"/>
        <w:tabs>
          <w:tab w:val="clear" w:pos="1440"/>
        </w:tabs>
        <w:spacing w:before="100" w:after="100"/>
        <w:ind w:left="900" w:firstLine="0"/>
        <w:rPr>
          <w:rFonts w:ascii="Arial" w:hAnsi="Arial" w:cs="Arial"/>
          <w:b/>
          <w:lang w:val="es-ES" w:eastAsia="x-none"/>
        </w:rPr>
      </w:pPr>
    </w:p>
    <w:sectPr w:rsidR="00C419B8" w:rsidRPr="001C59A0" w:rsidSect="005951F0">
      <w:headerReference w:type="default" r:id="rId14"/>
      <w:pgSz w:w="12240" w:h="15840"/>
      <w:pgMar w:top="1440" w:right="1800" w:bottom="907"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787B6" w14:textId="77777777" w:rsidR="00A03E6A" w:rsidRDefault="00A03E6A" w:rsidP="00530A6E">
      <w:r>
        <w:separator/>
      </w:r>
    </w:p>
  </w:endnote>
  <w:endnote w:type="continuationSeparator" w:id="0">
    <w:p w14:paraId="2586BE43" w14:textId="77777777" w:rsidR="00A03E6A" w:rsidRDefault="00A03E6A" w:rsidP="0053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F2EA2" w14:textId="77777777" w:rsidR="00A03E6A" w:rsidRDefault="00A03E6A" w:rsidP="00530A6E">
      <w:r>
        <w:separator/>
      </w:r>
    </w:p>
  </w:footnote>
  <w:footnote w:type="continuationSeparator" w:id="0">
    <w:p w14:paraId="602D8A13" w14:textId="77777777" w:rsidR="00A03E6A" w:rsidRDefault="00A03E6A" w:rsidP="00530A6E">
      <w:r>
        <w:continuationSeparator/>
      </w:r>
    </w:p>
  </w:footnote>
  <w:footnote w:id="1">
    <w:p w14:paraId="3E1C9AC6" w14:textId="77990977" w:rsidR="00A03E6A" w:rsidRPr="007A4AEE" w:rsidRDefault="00A03E6A" w:rsidP="0009162C">
      <w:pPr>
        <w:pStyle w:val="FootnoteText"/>
        <w:rPr>
          <w:rFonts w:ascii="Arial" w:hAnsi="Arial" w:cs="Arial"/>
          <w:sz w:val="18"/>
          <w:szCs w:val="18"/>
          <w:lang w:val="es-MX"/>
        </w:rPr>
      </w:pPr>
      <w:r w:rsidRPr="007A4AEE">
        <w:rPr>
          <w:rStyle w:val="FootnoteReference"/>
          <w:rFonts w:ascii="Arial" w:hAnsi="Arial" w:cs="Arial"/>
          <w:sz w:val="18"/>
          <w:szCs w:val="18"/>
        </w:rPr>
        <w:footnoteRef/>
      </w:r>
      <w:r w:rsidRPr="007A4AEE">
        <w:rPr>
          <w:rFonts w:ascii="Arial" w:hAnsi="Arial" w:cs="Arial"/>
          <w:sz w:val="18"/>
          <w:szCs w:val="18"/>
          <w:lang w:val="es-MX"/>
        </w:rPr>
        <w:t xml:space="preserve"> Estimado de emisiones de CO</w:t>
      </w:r>
      <w:r w:rsidRPr="007A4AEE">
        <w:rPr>
          <w:rFonts w:ascii="Arial" w:hAnsi="Arial" w:cs="Arial"/>
          <w:sz w:val="18"/>
          <w:szCs w:val="18"/>
          <w:vertAlign w:val="subscript"/>
          <w:lang w:val="es-MX"/>
        </w:rPr>
        <w:t xml:space="preserve">2 </w:t>
      </w:r>
      <w:r w:rsidRPr="007A4AEE">
        <w:rPr>
          <w:rFonts w:ascii="Arial" w:hAnsi="Arial" w:cs="Arial"/>
          <w:sz w:val="18"/>
          <w:szCs w:val="18"/>
          <w:lang w:val="es-MX"/>
        </w:rPr>
        <w:t xml:space="preserve">al 2030, de acuerdo con la línea base. </w:t>
      </w:r>
    </w:p>
  </w:footnote>
  <w:footnote w:id="2">
    <w:p w14:paraId="0F91AAD1" w14:textId="510B2F77" w:rsidR="00A03E6A" w:rsidRPr="007A4AEE" w:rsidRDefault="00A03E6A">
      <w:pPr>
        <w:pStyle w:val="FootnoteText"/>
        <w:rPr>
          <w:rFonts w:ascii="Arial" w:hAnsi="Arial" w:cs="Arial"/>
          <w:sz w:val="18"/>
          <w:szCs w:val="18"/>
          <w:lang w:val="es-MX"/>
        </w:rPr>
      </w:pPr>
      <w:r w:rsidRPr="007A4AEE">
        <w:rPr>
          <w:rStyle w:val="FootnoteReference"/>
          <w:rFonts w:ascii="Arial" w:hAnsi="Arial" w:cs="Arial"/>
          <w:sz w:val="18"/>
          <w:szCs w:val="18"/>
        </w:rPr>
        <w:footnoteRef/>
      </w:r>
      <w:r w:rsidRPr="007A4AEE">
        <w:rPr>
          <w:rFonts w:ascii="Arial" w:hAnsi="Arial" w:cs="Arial"/>
          <w:sz w:val="18"/>
          <w:szCs w:val="18"/>
          <w:lang w:val="es-MX"/>
        </w:rPr>
        <w:t xml:space="preserve"> Fuente: Prospecti</w:t>
      </w:r>
      <w:r w:rsidR="004A51E1">
        <w:rPr>
          <w:rFonts w:ascii="Arial" w:hAnsi="Arial" w:cs="Arial"/>
          <w:sz w:val="18"/>
          <w:szCs w:val="18"/>
          <w:lang w:val="es-MX"/>
        </w:rPr>
        <w:t>va de Gas natural 2016-2030,</w:t>
      </w:r>
      <w:r w:rsidRPr="007A4AEE">
        <w:rPr>
          <w:rFonts w:ascii="Arial" w:hAnsi="Arial" w:cs="Arial"/>
          <w:sz w:val="18"/>
          <w:szCs w:val="18"/>
          <w:lang w:val="es-MX"/>
        </w:rPr>
        <w:t xml:space="preserve"> </w:t>
      </w:r>
      <w:hyperlink r:id="rId1" w:history="1">
        <w:r w:rsidRPr="007A4AEE">
          <w:rPr>
            <w:rStyle w:val="Hyperlink"/>
            <w:rFonts w:ascii="Arial" w:hAnsi="Arial" w:cs="Arial"/>
            <w:sz w:val="18"/>
            <w:szCs w:val="18"/>
            <w:lang w:val="es-MX"/>
          </w:rPr>
          <w:t>https://www.gob.mx/cms/uploads/attachment/file/177624/Prospectiva_de_Gas_Natural_2016-2030.pdf</w:t>
        </w:r>
      </w:hyperlink>
    </w:p>
    <w:p w14:paraId="31D084B5" w14:textId="77777777" w:rsidR="00A03E6A" w:rsidRPr="007A4AEE" w:rsidRDefault="00A03E6A">
      <w:pPr>
        <w:pStyle w:val="FootnoteText"/>
        <w:rPr>
          <w:lang w:val="es-MX"/>
        </w:rPr>
      </w:pPr>
    </w:p>
  </w:footnote>
  <w:footnote w:id="3">
    <w:p w14:paraId="7C3EBB90" w14:textId="77777777" w:rsidR="004A51E1" w:rsidRPr="00993D6B" w:rsidRDefault="004A51E1" w:rsidP="004A51E1">
      <w:pPr>
        <w:pStyle w:val="FootnoteText"/>
        <w:rPr>
          <w:rFonts w:ascii="Arial" w:hAnsi="Arial" w:cs="Arial"/>
          <w:sz w:val="18"/>
          <w:lang w:val="es-MX"/>
        </w:rPr>
      </w:pPr>
      <w:r w:rsidRPr="00993D6B">
        <w:rPr>
          <w:rStyle w:val="FootnoteReference"/>
          <w:rFonts w:cs="Arial"/>
          <w:sz w:val="18"/>
        </w:rPr>
        <w:footnoteRef/>
      </w:r>
      <w:r w:rsidRPr="00993D6B">
        <w:rPr>
          <w:rFonts w:ascii="Arial" w:hAnsi="Arial" w:cs="Arial"/>
          <w:sz w:val="18"/>
          <w:lang w:val="es-MX"/>
        </w:rPr>
        <w:t xml:space="preserve"> Se refiere al consumo final de energía</w:t>
      </w:r>
      <w:r>
        <w:rPr>
          <w:rFonts w:ascii="Arial" w:hAnsi="Arial" w:cs="Arial"/>
          <w:sz w:val="18"/>
          <w:lang w:val="es-MX"/>
        </w:rPr>
        <w:t>.</w:t>
      </w:r>
    </w:p>
  </w:footnote>
  <w:footnote w:id="4">
    <w:p w14:paraId="73197C35" w14:textId="77777777" w:rsidR="00A03E6A" w:rsidRPr="00DF72AC" w:rsidRDefault="00A03E6A">
      <w:pPr>
        <w:pStyle w:val="FootnoteText"/>
        <w:rPr>
          <w:rFonts w:ascii="Arial" w:hAnsi="Arial" w:cs="Arial"/>
          <w:sz w:val="18"/>
          <w:szCs w:val="18"/>
          <w:lang w:val="es-MX"/>
        </w:rPr>
      </w:pPr>
      <w:r w:rsidRPr="00DF72AC">
        <w:rPr>
          <w:rStyle w:val="FootnoteReference"/>
          <w:rFonts w:ascii="Arial" w:hAnsi="Arial" w:cs="Arial"/>
          <w:sz w:val="18"/>
          <w:szCs w:val="18"/>
        </w:rPr>
        <w:footnoteRef/>
      </w:r>
      <w:r w:rsidRPr="00DF72AC">
        <w:rPr>
          <w:rFonts w:ascii="Arial" w:hAnsi="Arial" w:cs="Arial"/>
          <w:sz w:val="18"/>
          <w:szCs w:val="18"/>
          <w:lang w:val="es-MX"/>
        </w:rPr>
        <w:t xml:space="preserve"> Se refiere al periodo 2005-2015.</w:t>
      </w:r>
    </w:p>
  </w:footnote>
  <w:footnote w:id="5">
    <w:p w14:paraId="41DA5A25" w14:textId="77777777" w:rsidR="00A03E6A" w:rsidRPr="00DF72AC" w:rsidRDefault="00A03E6A">
      <w:pPr>
        <w:pStyle w:val="FootnoteText"/>
        <w:rPr>
          <w:rFonts w:ascii="Arial" w:hAnsi="Arial" w:cs="Arial"/>
          <w:sz w:val="18"/>
          <w:szCs w:val="18"/>
          <w:lang w:val="es-MX"/>
        </w:rPr>
      </w:pPr>
      <w:r w:rsidRPr="00DF72AC">
        <w:rPr>
          <w:rStyle w:val="FootnoteReference"/>
          <w:rFonts w:ascii="Arial" w:hAnsi="Arial" w:cs="Arial"/>
          <w:sz w:val="18"/>
          <w:szCs w:val="18"/>
        </w:rPr>
        <w:footnoteRef/>
      </w:r>
      <w:r w:rsidRPr="00DF72AC">
        <w:rPr>
          <w:rFonts w:ascii="Arial" w:hAnsi="Arial" w:cs="Arial"/>
          <w:sz w:val="18"/>
          <w:szCs w:val="18"/>
          <w:lang w:val="es-MX"/>
        </w:rPr>
        <w:t xml:space="preserve"> Se refiere al periodo 2016-2019</w:t>
      </w:r>
    </w:p>
  </w:footnote>
  <w:footnote w:id="6">
    <w:p w14:paraId="24AC5116" w14:textId="54DAB609" w:rsidR="00A03E6A" w:rsidRPr="00D6554E" w:rsidRDefault="00A03E6A" w:rsidP="00D6554E">
      <w:pPr>
        <w:pStyle w:val="FootnoteText"/>
        <w:ind w:left="180" w:hanging="180"/>
        <w:rPr>
          <w:sz w:val="18"/>
          <w:szCs w:val="18"/>
          <w:lang w:val="es-BO"/>
        </w:rPr>
      </w:pPr>
      <w:r w:rsidRPr="00D6554E">
        <w:rPr>
          <w:rStyle w:val="FootnoteReference"/>
          <w:sz w:val="18"/>
          <w:szCs w:val="18"/>
        </w:rPr>
        <w:footnoteRef/>
      </w:r>
      <w:r w:rsidRPr="00D6554E">
        <w:rPr>
          <w:sz w:val="18"/>
          <w:szCs w:val="18"/>
          <w:lang w:val="es-BO"/>
        </w:rPr>
        <w:t xml:space="preserve"> </w:t>
      </w:r>
      <w:r w:rsidRPr="00D6554E">
        <w:rPr>
          <w:sz w:val="18"/>
          <w:szCs w:val="18"/>
          <w:lang w:val="es-ES_tradnl" w:eastAsia="es-ES"/>
        </w:rPr>
        <w:t xml:space="preserve">En este caso, el criterio de eficiencia se </w:t>
      </w:r>
      <w:r w:rsidR="006B046D" w:rsidRPr="00D6554E">
        <w:rPr>
          <w:sz w:val="18"/>
          <w:szCs w:val="18"/>
          <w:lang w:val="es-ES_tradnl" w:eastAsia="es-ES"/>
        </w:rPr>
        <w:t>evalúa,</w:t>
      </w:r>
      <w:r w:rsidRPr="00D6554E">
        <w:rPr>
          <w:sz w:val="18"/>
          <w:szCs w:val="18"/>
          <w:lang w:val="es-ES_tradnl" w:eastAsia="es-ES"/>
        </w:rPr>
        <w:t xml:space="preserve"> pero no se califica al ser un programático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307712577"/>
      <w:docPartObj>
        <w:docPartGallery w:val="Page Numbers (Top of Page)"/>
        <w:docPartUnique/>
      </w:docPartObj>
    </w:sdtPr>
    <w:sdtEndPr>
      <w:rPr>
        <w:sz w:val="24"/>
      </w:rPr>
    </w:sdtEndPr>
    <w:sdtContent>
      <w:p w14:paraId="2306499B" w14:textId="77777777" w:rsidR="00A03E6A" w:rsidRDefault="00A03E6A" w:rsidP="001167C9">
        <w:pPr>
          <w:pStyle w:val="Header"/>
          <w:jc w:val="right"/>
        </w:pPr>
      </w:p>
      <w:p w14:paraId="43429028" w14:textId="77777777" w:rsidR="00A03E6A" w:rsidRPr="001641DD" w:rsidRDefault="003831BD" w:rsidP="001641DD">
        <w:pPr>
          <w:pStyle w:val="Header"/>
          <w:jc w:val="right"/>
          <w:rPr>
            <w:lang w:val="es-ES_tradnl"/>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B94"/>
    <w:multiLevelType w:val="hybridMultilevel"/>
    <w:tmpl w:val="5A168D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4B37A62"/>
    <w:multiLevelType w:val="hybridMultilevel"/>
    <w:tmpl w:val="5448A330"/>
    <w:lvl w:ilvl="0" w:tplc="8892B9BC">
      <w:start w:val="1"/>
      <w:numFmt w:val="decimal"/>
      <w:pStyle w:val="Banknumbered"/>
      <w:lvlText w:val="%1."/>
      <w:lvlJc w:val="left"/>
      <w:pPr>
        <w:ind w:left="720" w:hanging="360"/>
      </w:pPr>
    </w:lvl>
    <w:lvl w:ilvl="1" w:tplc="D062F1AC">
      <w:start w:val="1"/>
      <w:numFmt w:val="lowerLetter"/>
      <w:lvlText w:val="%2."/>
      <w:lvlJc w:val="left"/>
      <w:pPr>
        <w:ind w:left="1440" w:hanging="360"/>
      </w:pPr>
    </w:lvl>
    <w:lvl w:ilvl="2" w:tplc="EC7CEA70">
      <w:start w:val="1"/>
      <w:numFmt w:val="lowerRoman"/>
      <w:lvlText w:val="%3."/>
      <w:lvlJc w:val="right"/>
      <w:pPr>
        <w:ind w:left="2160" w:hanging="180"/>
      </w:pPr>
    </w:lvl>
    <w:lvl w:ilvl="3" w:tplc="7DCC7474">
      <w:start w:val="1"/>
      <w:numFmt w:val="decimal"/>
      <w:lvlText w:val="%4."/>
      <w:lvlJc w:val="left"/>
      <w:pPr>
        <w:ind w:left="2880" w:hanging="360"/>
      </w:pPr>
    </w:lvl>
    <w:lvl w:ilvl="4" w:tplc="F1E46218">
      <w:start w:val="1"/>
      <w:numFmt w:val="lowerLetter"/>
      <w:lvlText w:val="%5."/>
      <w:lvlJc w:val="left"/>
      <w:pPr>
        <w:ind w:left="3600" w:hanging="360"/>
      </w:pPr>
    </w:lvl>
    <w:lvl w:ilvl="5" w:tplc="B2D421B2">
      <w:start w:val="1"/>
      <w:numFmt w:val="lowerRoman"/>
      <w:lvlText w:val="%6."/>
      <w:lvlJc w:val="right"/>
      <w:pPr>
        <w:ind w:left="4320" w:hanging="180"/>
      </w:pPr>
    </w:lvl>
    <w:lvl w:ilvl="6" w:tplc="02CE06CE">
      <w:start w:val="1"/>
      <w:numFmt w:val="decimal"/>
      <w:lvlText w:val="%7."/>
      <w:lvlJc w:val="left"/>
      <w:pPr>
        <w:ind w:left="5040" w:hanging="360"/>
      </w:pPr>
    </w:lvl>
    <w:lvl w:ilvl="7" w:tplc="90F69492">
      <w:start w:val="1"/>
      <w:numFmt w:val="lowerLetter"/>
      <w:lvlText w:val="%8."/>
      <w:lvlJc w:val="left"/>
      <w:pPr>
        <w:ind w:left="5760" w:hanging="360"/>
      </w:pPr>
    </w:lvl>
    <w:lvl w:ilvl="8" w:tplc="5120964A">
      <w:start w:val="1"/>
      <w:numFmt w:val="lowerRoman"/>
      <w:lvlText w:val="%9."/>
      <w:lvlJc w:val="right"/>
      <w:pPr>
        <w:ind w:left="6480" w:hanging="180"/>
      </w:pPr>
    </w:lvl>
  </w:abstractNum>
  <w:abstractNum w:abstractNumId="2" w15:restartNumberingAfterBreak="0">
    <w:nsid w:val="06BF7158"/>
    <w:multiLevelType w:val="hybridMultilevel"/>
    <w:tmpl w:val="FF6426A0"/>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 w15:restartNumberingAfterBreak="0">
    <w:nsid w:val="0A3254A0"/>
    <w:multiLevelType w:val="hybridMultilevel"/>
    <w:tmpl w:val="1AA22BF0"/>
    <w:lvl w:ilvl="0" w:tplc="E5220954">
      <w:start w:val="1"/>
      <w:numFmt w:val="lowerLetter"/>
      <w:lvlText w:val="%1)"/>
      <w:lvlJc w:val="left"/>
      <w:pPr>
        <w:ind w:left="1152" w:hanging="360"/>
      </w:pPr>
      <w:rPr>
        <w:rFonts w:hint="default"/>
      </w:rPr>
    </w:lvl>
    <w:lvl w:ilvl="1" w:tplc="340A0019" w:tentative="1">
      <w:start w:val="1"/>
      <w:numFmt w:val="lowerLetter"/>
      <w:lvlText w:val="%2."/>
      <w:lvlJc w:val="left"/>
      <w:pPr>
        <w:ind w:left="1872" w:hanging="360"/>
      </w:pPr>
    </w:lvl>
    <w:lvl w:ilvl="2" w:tplc="340A001B" w:tentative="1">
      <w:start w:val="1"/>
      <w:numFmt w:val="lowerRoman"/>
      <w:lvlText w:val="%3."/>
      <w:lvlJc w:val="right"/>
      <w:pPr>
        <w:ind w:left="2592" w:hanging="180"/>
      </w:pPr>
    </w:lvl>
    <w:lvl w:ilvl="3" w:tplc="340A000F" w:tentative="1">
      <w:start w:val="1"/>
      <w:numFmt w:val="decimal"/>
      <w:lvlText w:val="%4."/>
      <w:lvlJc w:val="left"/>
      <w:pPr>
        <w:ind w:left="3312" w:hanging="360"/>
      </w:pPr>
    </w:lvl>
    <w:lvl w:ilvl="4" w:tplc="340A0019" w:tentative="1">
      <w:start w:val="1"/>
      <w:numFmt w:val="lowerLetter"/>
      <w:lvlText w:val="%5."/>
      <w:lvlJc w:val="left"/>
      <w:pPr>
        <w:ind w:left="4032" w:hanging="360"/>
      </w:pPr>
    </w:lvl>
    <w:lvl w:ilvl="5" w:tplc="340A001B" w:tentative="1">
      <w:start w:val="1"/>
      <w:numFmt w:val="lowerRoman"/>
      <w:lvlText w:val="%6."/>
      <w:lvlJc w:val="right"/>
      <w:pPr>
        <w:ind w:left="4752" w:hanging="180"/>
      </w:pPr>
    </w:lvl>
    <w:lvl w:ilvl="6" w:tplc="340A000F" w:tentative="1">
      <w:start w:val="1"/>
      <w:numFmt w:val="decimal"/>
      <w:lvlText w:val="%7."/>
      <w:lvlJc w:val="left"/>
      <w:pPr>
        <w:ind w:left="5472" w:hanging="360"/>
      </w:pPr>
    </w:lvl>
    <w:lvl w:ilvl="7" w:tplc="340A0019" w:tentative="1">
      <w:start w:val="1"/>
      <w:numFmt w:val="lowerLetter"/>
      <w:lvlText w:val="%8."/>
      <w:lvlJc w:val="left"/>
      <w:pPr>
        <w:ind w:left="6192" w:hanging="360"/>
      </w:pPr>
    </w:lvl>
    <w:lvl w:ilvl="8" w:tplc="340A001B" w:tentative="1">
      <w:start w:val="1"/>
      <w:numFmt w:val="lowerRoman"/>
      <w:lvlText w:val="%9."/>
      <w:lvlJc w:val="right"/>
      <w:pPr>
        <w:ind w:left="6912" w:hanging="180"/>
      </w:pPr>
    </w:lvl>
  </w:abstractNum>
  <w:abstractNum w:abstractNumId="4" w15:restartNumberingAfterBreak="0">
    <w:nsid w:val="0CA3768B"/>
    <w:multiLevelType w:val="hybridMultilevel"/>
    <w:tmpl w:val="1076FB32"/>
    <w:lvl w:ilvl="0" w:tplc="340A0001">
      <w:start w:val="1"/>
      <w:numFmt w:val="bullet"/>
      <w:lvlText w:val=""/>
      <w:lvlJc w:val="left"/>
      <w:pPr>
        <w:ind w:left="765" w:hanging="360"/>
      </w:pPr>
      <w:rPr>
        <w:rFonts w:ascii="Symbol" w:hAnsi="Symbol" w:hint="default"/>
      </w:rPr>
    </w:lvl>
    <w:lvl w:ilvl="1" w:tplc="340A0003">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5" w15:restartNumberingAfterBreak="0">
    <w:nsid w:val="0F3818FC"/>
    <w:multiLevelType w:val="hybridMultilevel"/>
    <w:tmpl w:val="4E884436"/>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6" w15:restartNumberingAfterBreak="0">
    <w:nsid w:val="135A1E92"/>
    <w:multiLevelType w:val="hybridMultilevel"/>
    <w:tmpl w:val="2166C040"/>
    <w:lvl w:ilvl="0" w:tplc="16DAF15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6C654F1"/>
    <w:multiLevelType w:val="hybridMultilevel"/>
    <w:tmpl w:val="19D434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C4052E"/>
    <w:multiLevelType w:val="hybridMultilevel"/>
    <w:tmpl w:val="C30409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D79533A"/>
    <w:multiLevelType w:val="multilevel"/>
    <w:tmpl w:val="FF560952"/>
    <w:lvl w:ilvl="0">
      <w:start w:val="1"/>
      <w:numFmt w:val="upperRoman"/>
      <w:pStyle w:val="FirstHeading"/>
      <w:lvlText w:val="%1."/>
      <w:lvlJc w:val="righ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666"/>
        </w:tabs>
        <w:ind w:left="666"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15:restartNumberingAfterBreak="0">
    <w:nsid w:val="2260681E"/>
    <w:multiLevelType w:val="hybridMultilevel"/>
    <w:tmpl w:val="7B10A50C"/>
    <w:lvl w:ilvl="0" w:tplc="312E07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1711D"/>
    <w:multiLevelType w:val="hybridMultilevel"/>
    <w:tmpl w:val="AFC483F4"/>
    <w:lvl w:ilvl="0" w:tplc="A0EC231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F62C0"/>
    <w:multiLevelType w:val="hybridMultilevel"/>
    <w:tmpl w:val="DCF6762C"/>
    <w:lvl w:ilvl="0" w:tplc="F092A1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55E3D"/>
    <w:multiLevelType w:val="hybridMultilevel"/>
    <w:tmpl w:val="E56CF87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1067149"/>
    <w:multiLevelType w:val="hybridMultilevel"/>
    <w:tmpl w:val="EC1A559C"/>
    <w:lvl w:ilvl="0" w:tplc="54A4A546">
      <w:start w:val="20"/>
      <w:numFmt w:val="bullet"/>
      <w:lvlText w:val="-"/>
      <w:lvlJc w:val="left"/>
      <w:pPr>
        <w:ind w:left="720" w:hanging="360"/>
      </w:pPr>
      <w:rPr>
        <w:rFonts w:ascii="Calibri" w:eastAsiaTheme="minorHAnsi"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30E4F99"/>
    <w:multiLevelType w:val="hybridMultilevel"/>
    <w:tmpl w:val="AE2A16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39E7FC8"/>
    <w:multiLevelType w:val="hybridMultilevel"/>
    <w:tmpl w:val="C85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F2F02"/>
    <w:multiLevelType w:val="hybridMultilevel"/>
    <w:tmpl w:val="12BCFCBA"/>
    <w:lvl w:ilvl="0" w:tplc="ED62782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6191D7D"/>
    <w:multiLevelType w:val="hybridMultilevel"/>
    <w:tmpl w:val="D1D67784"/>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9" w15:restartNumberingAfterBreak="0">
    <w:nsid w:val="377D739D"/>
    <w:multiLevelType w:val="multilevel"/>
    <w:tmpl w:val="F6E65D82"/>
    <w:lvl w:ilvl="0">
      <w:start w:val="3"/>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val="0"/>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37CB2C9B"/>
    <w:multiLevelType w:val="hybridMultilevel"/>
    <w:tmpl w:val="7F2077CE"/>
    <w:lvl w:ilvl="0" w:tplc="C3C4A706">
      <w:start w:val="1"/>
      <w:numFmt w:val="bullet"/>
      <w:pStyle w:val="Bullet"/>
      <w:lvlText w:val=""/>
      <w:lvlJc w:val="left"/>
      <w:pPr>
        <w:ind w:left="1080" w:hanging="360"/>
      </w:pPr>
      <w:rPr>
        <w:rFonts w:ascii="Symbol" w:hAnsi="Symbol"/>
      </w:rPr>
    </w:lvl>
    <w:lvl w:ilvl="1" w:tplc="359E5848">
      <w:start w:val="1"/>
      <w:numFmt w:val="bullet"/>
      <w:lvlText w:val="o"/>
      <w:lvlJc w:val="left"/>
      <w:pPr>
        <w:ind w:left="1800" w:hanging="360"/>
      </w:pPr>
      <w:rPr>
        <w:rFonts w:ascii="Courier New" w:hAnsi="Courier New"/>
      </w:rPr>
    </w:lvl>
    <w:lvl w:ilvl="2" w:tplc="1C0437E4">
      <w:start w:val="1"/>
      <w:numFmt w:val="bullet"/>
      <w:lvlText w:val=""/>
      <w:lvlJc w:val="left"/>
      <w:pPr>
        <w:ind w:left="2520" w:hanging="360"/>
      </w:pPr>
      <w:rPr>
        <w:rFonts w:ascii="Wingdings" w:hAnsi="Wingdings"/>
      </w:rPr>
    </w:lvl>
    <w:lvl w:ilvl="3" w:tplc="78B2B2AE">
      <w:start w:val="1"/>
      <w:numFmt w:val="bullet"/>
      <w:lvlText w:val=""/>
      <w:lvlJc w:val="left"/>
      <w:pPr>
        <w:ind w:left="3240" w:hanging="360"/>
      </w:pPr>
      <w:rPr>
        <w:rFonts w:ascii="Symbol" w:hAnsi="Symbol"/>
      </w:rPr>
    </w:lvl>
    <w:lvl w:ilvl="4" w:tplc="3F48FC98">
      <w:start w:val="1"/>
      <w:numFmt w:val="bullet"/>
      <w:lvlText w:val="o"/>
      <w:lvlJc w:val="left"/>
      <w:pPr>
        <w:ind w:left="3960" w:hanging="360"/>
      </w:pPr>
      <w:rPr>
        <w:rFonts w:ascii="Courier New" w:hAnsi="Courier New"/>
      </w:rPr>
    </w:lvl>
    <w:lvl w:ilvl="5" w:tplc="2004B80C">
      <w:start w:val="1"/>
      <w:numFmt w:val="bullet"/>
      <w:lvlText w:val=""/>
      <w:lvlJc w:val="left"/>
      <w:pPr>
        <w:ind w:left="4680" w:hanging="360"/>
      </w:pPr>
      <w:rPr>
        <w:rFonts w:ascii="Wingdings" w:hAnsi="Wingdings"/>
      </w:rPr>
    </w:lvl>
    <w:lvl w:ilvl="6" w:tplc="4E326A10">
      <w:start w:val="1"/>
      <w:numFmt w:val="bullet"/>
      <w:lvlText w:val=""/>
      <w:lvlJc w:val="left"/>
      <w:pPr>
        <w:ind w:left="5400" w:hanging="360"/>
      </w:pPr>
      <w:rPr>
        <w:rFonts w:ascii="Symbol" w:hAnsi="Symbol"/>
      </w:rPr>
    </w:lvl>
    <w:lvl w:ilvl="7" w:tplc="65E22BF2">
      <w:start w:val="1"/>
      <w:numFmt w:val="bullet"/>
      <w:lvlText w:val="o"/>
      <w:lvlJc w:val="left"/>
      <w:pPr>
        <w:ind w:left="6120" w:hanging="360"/>
      </w:pPr>
      <w:rPr>
        <w:rFonts w:ascii="Courier New" w:hAnsi="Courier New"/>
      </w:rPr>
    </w:lvl>
    <w:lvl w:ilvl="8" w:tplc="43CE85B4">
      <w:start w:val="1"/>
      <w:numFmt w:val="bullet"/>
      <w:lvlText w:val=""/>
      <w:lvlJc w:val="left"/>
      <w:pPr>
        <w:ind w:left="6840" w:hanging="360"/>
      </w:pPr>
      <w:rPr>
        <w:rFonts w:ascii="Wingdings" w:hAnsi="Wingdings"/>
      </w:rPr>
    </w:lvl>
  </w:abstractNum>
  <w:abstractNum w:abstractNumId="21" w15:restartNumberingAfterBreak="0">
    <w:nsid w:val="39257BA7"/>
    <w:multiLevelType w:val="multilevel"/>
    <w:tmpl w:val="18C21D76"/>
    <w:lvl w:ilvl="0">
      <w:start w:val="1"/>
      <w:numFmt w:val="decimal"/>
      <w:lvlText w:val="%1."/>
      <w:lvlJc w:val="left"/>
      <w:pPr>
        <w:ind w:left="720" w:hanging="360"/>
      </w:pPr>
      <w:rPr>
        <w:rFonts w:hint="default"/>
        <w:b/>
        <w:u w:val="singl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D9A79F9"/>
    <w:multiLevelType w:val="hybridMultilevel"/>
    <w:tmpl w:val="3E628EC2"/>
    <w:lvl w:ilvl="0" w:tplc="4202C67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2E2F48"/>
    <w:multiLevelType w:val="hybridMultilevel"/>
    <w:tmpl w:val="7C681796"/>
    <w:lvl w:ilvl="0" w:tplc="A6241B8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2364EF7"/>
    <w:multiLevelType w:val="hybridMultilevel"/>
    <w:tmpl w:val="41666986"/>
    <w:lvl w:ilvl="0" w:tplc="39A279E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9D816FB"/>
    <w:multiLevelType w:val="multilevel"/>
    <w:tmpl w:val="36DC049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EF72575"/>
    <w:multiLevelType w:val="hybridMultilevel"/>
    <w:tmpl w:val="497C86C6"/>
    <w:lvl w:ilvl="0" w:tplc="C1E043AA">
      <w:start w:val="20"/>
      <w:numFmt w:val="bullet"/>
      <w:lvlText w:val="-"/>
      <w:lvlJc w:val="left"/>
      <w:pPr>
        <w:ind w:left="720" w:hanging="360"/>
      </w:pPr>
      <w:rPr>
        <w:rFonts w:ascii="Calibri" w:eastAsiaTheme="minorHAnsi"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3BC15C4"/>
    <w:multiLevelType w:val="hybridMultilevel"/>
    <w:tmpl w:val="FE9AE7A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49054F7"/>
    <w:multiLevelType w:val="hybridMultilevel"/>
    <w:tmpl w:val="A86CB0A0"/>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9" w15:restartNumberingAfterBreak="0">
    <w:nsid w:val="54CC52B8"/>
    <w:multiLevelType w:val="hybridMultilevel"/>
    <w:tmpl w:val="2AEAC32E"/>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0" w15:restartNumberingAfterBreak="0">
    <w:nsid w:val="5F0C2B5C"/>
    <w:multiLevelType w:val="hybridMultilevel"/>
    <w:tmpl w:val="2590825E"/>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1" w15:restartNumberingAfterBreak="0">
    <w:nsid w:val="61B10987"/>
    <w:multiLevelType w:val="hybridMultilevel"/>
    <w:tmpl w:val="670497E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3AB6D73"/>
    <w:multiLevelType w:val="hybridMultilevel"/>
    <w:tmpl w:val="A5121D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50A7A19"/>
    <w:multiLevelType w:val="hybridMultilevel"/>
    <w:tmpl w:val="9C865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D0E22"/>
    <w:multiLevelType w:val="hybridMultilevel"/>
    <w:tmpl w:val="5F56FD20"/>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6FC81475"/>
    <w:multiLevelType w:val="hybridMultilevel"/>
    <w:tmpl w:val="1772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74592"/>
    <w:multiLevelType w:val="multilevel"/>
    <w:tmpl w:val="D68E96DE"/>
    <w:lvl w:ilvl="0">
      <w:start w:val="1"/>
      <w:numFmt w:val="upperRoman"/>
      <w:pStyle w:val="Heading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7" w15:restartNumberingAfterBreak="0">
    <w:nsid w:val="758E0EF5"/>
    <w:multiLevelType w:val="hybridMultilevel"/>
    <w:tmpl w:val="FED4A2DA"/>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38" w15:restartNumberingAfterBreak="0">
    <w:nsid w:val="7F3E4506"/>
    <w:multiLevelType w:val="multilevel"/>
    <w:tmpl w:val="28441710"/>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1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9"/>
  </w:num>
  <w:num w:numId="3">
    <w:abstractNumId w:val="10"/>
  </w:num>
  <w:num w:numId="4">
    <w:abstractNumId w:val="25"/>
  </w:num>
  <w:num w:numId="5">
    <w:abstractNumId w:val="34"/>
  </w:num>
  <w:num w:numId="6">
    <w:abstractNumId w:val="17"/>
  </w:num>
  <w:num w:numId="7">
    <w:abstractNumId w:val="23"/>
  </w:num>
  <w:num w:numId="8">
    <w:abstractNumId w:val="38"/>
  </w:num>
  <w:num w:numId="9">
    <w:abstractNumId w:val="32"/>
  </w:num>
  <w:num w:numId="10">
    <w:abstractNumId w:val="15"/>
  </w:num>
  <w:num w:numId="11">
    <w:abstractNumId w:val="1"/>
  </w:num>
  <w:num w:numId="12">
    <w:abstractNumId w:val="20"/>
  </w:num>
  <w:num w:numId="13">
    <w:abstractNumId w:val="3"/>
  </w:num>
  <w:num w:numId="14">
    <w:abstractNumId w:val="31"/>
  </w:num>
  <w:num w:numId="15">
    <w:abstractNumId w:val="13"/>
  </w:num>
  <w:num w:numId="16">
    <w:abstractNumId w:val="7"/>
  </w:num>
  <w:num w:numId="17">
    <w:abstractNumId w:val="27"/>
  </w:num>
  <w:num w:numId="18">
    <w:abstractNumId w:val="8"/>
  </w:num>
  <w:num w:numId="19">
    <w:abstractNumId w:val="0"/>
  </w:num>
  <w:num w:numId="20">
    <w:abstractNumId w:val="4"/>
  </w:num>
  <w:num w:numId="21">
    <w:abstractNumId w:val="37"/>
  </w:num>
  <w:num w:numId="22">
    <w:abstractNumId w:val="6"/>
  </w:num>
  <w:num w:numId="23">
    <w:abstractNumId w:val="24"/>
  </w:num>
  <w:num w:numId="24">
    <w:abstractNumId w:val="14"/>
  </w:num>
  <w:num w:numId="25">
    <w:abstractNumId w:val="26"/>
  </w:num>
  <w:num w:numId="26">
    <w:abstractNumId w:val="33"/>
  </w:num>
  <w:num w:numId="27">
    <w:abstractNumId w:val="11"/>
  </w:num>
  <w:num w:numId="28">
    <w:abstractNumId w:val="21"/>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2"/>
  </w:num>
  <w:num w:numId="32">
    <w:abstractNumId w:val="16"/>
  </w:num>
  <w:num w:numId="33">
    <w:abstractNumId w:val="5"/>
  </w:num>
  <w:num w:numId="34">
    <w:abstractNumId w:val="22"/>
  </w:num>
  <w:num w:numId="35">
    <w:abstractNumId w:val="35"/>
  </w:num>
  <w:num w:numId="36">
    <w:abstractNumId w:val="30"/>
  </w:num>
  <w:num w:numId="37">
    <w:abstractNumId w:val="18"/>
  </w:num>
  <w:num w:numId="38">
    <w:abstractNumId w:val="28"/>
  </w:num>
  <w:num w:numId="39">
    <w:abstractNumId w:val="2"/>
  </w:num>
  <w:num w:numId="40">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visionView w:markup="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C3"/>
    <w:rsid w:val="00000FF4"/>
    <w:rsid w:val="000014BF"/>
    <w:rsid w:val="000031D9"/>
    <w:rsid w:val="00005C0E"/>
    <w:rsid w:val="0000675F"/>
    <w:rsid w:val="00010F47"/>
    <w:rsid w:val="00013939"/>
    <w:rsid w:val="00014D26"/>
    <w:rsid w:val="000152B2"/>
    <w:rsid w:val="00015FDF"/>
    <w:rsid w:val="00023C66"/>
    <w:rsid w:val="000259E1"/>
    <w:rsid w:val="0002710C"/>
    <w:rsid w:val="00030889"/>
    <w:rsid w:val="00031C82"/>
    <w:rsid w:val="00034D60"/>
    <w:rsid w:val="00043BD5"/>
    <w:rsid w:val="0005070E"/>
    <w:rsid w:val="000519FA"/>
    <w:rsid w:val="00052B85"/>
    <w:rsid w:val="00053E35"/>
    <w:rsid w:val="000605EA"/>
    <w:rsid w:val="00062A61"/>
    <w:rsid w:val="00062ECE"/>
    <w:rsid w:val="00063544"/>
    <w:rsid w:val="00063817"/>
    <w:rsid w:val="000649B6"/>
    <w:rsid w:val="00064FEF"/>
    <w:rsid w:val="00066FD8"/>
    <w:rsid w:val="00067A0D"/>
    <w:rsid w:val="000721CB"/>
    <w:rsid w:val="00073B9C"/>
    <w:rsid w:val="00080E6B"/>
    <w:rsid w:val="000817FB"/>
    <w:rsid w:val="00081862"/>
    <w:rsid w:val="00086045"/>
    <w:rsid w:val="0009162C"/>
    <w:rsid w:val="000947FF"/>
    <w:rsid w:val="000952A5"/>
    <w:rsid w:val="000957B7"/>
    <w:rsid w:val="000960C6"/>
    <w:rsid w:val="00097AB2"/>
    <w:rsid w:val="000A063F"/>
    <w:rsid w:val="000A17AF"/>
    <w:rsid w:val="000A23F0"/>
    <w:rsid w:val="000A2949"/>
    <w:rsid w:val="000A5FF0"/>
    <w:rsid w:val="000B0A6A"/>
    <w:rsid w:val="000B186A"/>
    <w:rsid w:val="000B2024"/>
    <w:rsid w:val="000B2894"/>
    <w:rsid w:val="000B656A"/>
    <w:rsid w:val="000B6E87"/>
    <w:rsid w:val="000C3BE1"/>
    <w:rsid w:val="000C4727"/>
    <w:rsid w:val="000C6386"/>
    <w:rsid w:val="000C7A6C"/>
    <w:rsid w:val="000D17A6"/>
    <w:rsid w:val="000D556E"/>
    <w:rsid w:val="000D5C45"/>
    <w:rsid w:val="000E16C1"/>
    <w:rsid w:val="000E583F"/>
    <w:rsid w:val="000E7A18"/>
    <w:rsid w:val="00100989"/>
    <w:rsid w:val="00107663"/>
    <w:rsid w:val="00107D44"/>
    <w:rsid w:val="0011098F"/>
    <w:rsid w:val="00110F7A"/>
    <w:rsid w:val="0011167D"/>
    <w:rsid w:val="00111AEE"/>
    <w:rsid w:val="001136F5"/>
    <w:rsid w:val="00115408"/>
    <w:rsid w:val="001167C9"/>
    <w:rsid w:val="00117928"/>
    <w:rsid w:val="00120FEC"/>
    <w:rsid w:val="0012118F"/>
    <w:rsid w:val="0012414D"/>
    <w:rsid w:val="00124DF5"/>
    <w:rsid w:val="00131F49"/>
    <w:rsid w:val="00131F93"/>
    <w:rsid w:val="001322DF"/>
    <w:rsid w:val="00133551"/>
    <w:rsid w:val="001347A7"/>
    <w:rsid w:val="00134831"/>
    <w:rsid w:val="00136BF0"/>
    <w:rsid w:val="0014161E"/>
    <w:rsid w:val="001417F1"/>
    <w:rsid w:val="001468FE"/>
    <w:rsid w:val="001515E6"/>
    <w:rsid w:val="001530F4"/>
    <w:rsid w:val="00153BE9"/>
    <w:rsid w:val="00154610"/>
    <w:rsid w:val="0015621C"/>
    <w:rsid w:val="00156639"/>
    <w:rsid w:val="00160777"/>
    <w:rsid w:val="00160B02"/>
    <w:rsid w:val="001633A2"/>
    <w:rsid w:val="001641BB"/>
    <w:rsid w:val="001641DD"/>
    <w:rsid w:val="001743E5"/>
    <w:rsid w:val="00176B50"/>
    <w:rsid w:val="001818D8"/>
    <w:rsid w:val="0018341D"/>
    <w:rsid w:val="001927AE"/>
    <w:rsid w:val="00192BBB"/>
    <w:rsid w:val="001933FE"/>
    <w:rsid w:val="001957AE"/>
    <w:rsid w:val="00195FC2"/>
    <w:rsid w:val="001A1F50"/>
    <w:rsid w:val="001A44BD"/>
    <w:rsid w:val="001A57EC"/>
    <w:rsid w:val="001A67BC"/>
    <w:rsid w:val="001B054B"/>
    <w:rsid w:val="001B2D4B"/>
    <w:rsid w:val="001B4FED"/>
    <w:rsid w:val="001B5576"/>
    <w:rsid w:val="001C59A0"/>
    <w:rsid w:val="001C7BE0"/>
    <w:rsid w:val="001D3EC6"/>
    <w:rsid w:val="001D45B1"/>
    <w:rsid w:val="001E2995"/>
    <w:rsid w:val="001E31CC"/>
    <w:rsid w:val="001E577D"/>
    <w:rsid w:val="001E63CD"/>
    <w:rsid w:val="001E7DC3"/>
    <w:rsid w:val="001F01A7"/>
    <w:rsid w:val="001F05F8"/>
    <w:rsid w:val="001F19D7"/>
    <w:rsid w:val="001F36D0"/>
    <w:rsid w:val="001F485A"/>
    <w:rsid w:val="001F566D"/>
    <w:rsid w:val="00202900"/>
    <w:rsid w:val="00204536"/>
    <w:rsid w:val="002057D1"/>
    <w:rsid w:val="002063FA"/>
    <w:rsid w:val="0020705F"/>
    <w:rsid w:val="00215334"/>
    <w:rsid w:val="00216D03"/>
    <w:rsid w:val="002177B7"/>
    <w:rsid w:val="0022066F"/>
    <w:rsid w:val="002211A9"/>
    <w:rsid w:val="00222644"/>
    <w:rsid w:val="0022270B"/>
    <w:rsid w:val="00223F4F"/>
    <w:rsid w:val="00224B8A"/>
    <w:rsid w:val="00227DCD"/>
    <w:rsid w:val="0023656F"/>
    <w:rsid w:val="00237567"/>
    <w:rsid w:val="00240631"/>
    <w:rsid w:val="00244D4B"/>
    <w:rsid w:val="00246FC9"/>
    <w:rsid w:val="00252416"/>
    <w:rsid w:val="002559C0"/>
    <w:rsid w:val="0025681E"/>
    <w:rsid w:val="00261F8D"/>
    <w:rsid w:val="00263F58"/>
    <w:rsid w:val="00265D8F"/>
    <w:rsid w:val="00267C80"/>
    <w:rsid w:val="00271FDC"/>
    <w:rsid w:val="002736CF"/>
    <w:rsid w:val="00273D71"/>
    <w:rsid w:val="00274390"/>
    <w:rsid w:val="00275756"/>
    <w:rsid w:val="00280DC2"/>
    <w:rsid w:val="00281268"/>
    <w:rsid w:val="00281AC3"/>
    <w:rsid w:val="00282FBD"/>
    <w:rsid w:val="00283322"/>
    <w:rsid w:val="00284D79"/>
    <w:rsid w:val="00285916"/>
    <w:rsid w:val="00287C3B"/>
    <w:rsid w:val="00287EA0"/>
    <w:rsid w:val="002949F4"/>
    <w:rsid w:val="00294FFB"/>
    <w:rsid w:val="00295D75"/>
    <w:rsid w:val="00296583"/>
    <w:rsid w:val="0029730E"/>
    <w:rsid w:val="002A056E"/>
    <w:rsid w:val="002A33C2"/>
    <w:rsid w:val="002B3102"/>
    <w:rsid w:val="002B384A"/>
    <w:rsid w:val="002B5636"/>
    <w:rsid w:val="002B6F72"/>
    <w:rsid w:val="002B792C"/>
    <w:rsid w:val="002B7AF1"/>
    <w:rsid w:val="002C134D"/>
    <w:rsid w:val="002C268E"/>
    <w:rsid w:val="002C28AD"/>
    <w:rsid w:val="002C3FFE"/>
    <w:rsid w:val="002C6AF3"/>
    <w:rsid w:val="002D1B02"/>
    <w:rsid w:val="002D1E15"/>
    <w:rsid w:val="002D374F"/>
    <w:rsid w:val="002D680E"/>
    <w:rsid w:val="002D796D"/>
    <w:rsid w:val="002E1F46"/>
    <w:rsid w:val="002E2C7A"/>
    <w:rsid w:val="002E3F77"/>
    <w:rsid w:val="002E46A5"/>
    <w:rsid w:val="002E5F6C"/>
    <w:rsid w:val="002F0D17"/>
    <w:rsid w:val="002F255C"/>
    <w:rsid w:val="002F50CB"/>
    <w:rsid w:val="002F5DD6"/>
    <w:rsid w:val="002F6F90"/>
    <w:rsid w:val="0030253E"/>
    <w:rsid w:val="003026EE"/>
    <w:rsid w:val="00302AB7"/>
    <w:rsid w:val="00302E6D"/>
    <w:rsid w:val="00305BF8"/>
    <w:rsid w:val="00306757"/>
    <w:rsid w:val="003123A6"/>
    <w:rsid w:val="00317F64"/>
    <w:rsid w:val="003227BA"/>
    <w:rsid w:val="0032663A"/>
    <w:rsid w:val="00332070"/>
    <w:rsid w:val="00337543"/>
    <w:rsid w:val="003515E9"/>
    <w:rsid w:val="00356FFF"/>
    <w:rsid w:val="003604CF"/>
    <w:rsid w:val="00363626"/>
    <w:rsid w:val="00370BE7"/>
    <w:rsid w:val="003750FA"/>
    <w:rsid w:val="00377B03"/>
    <w:rsid w:val="0038128F"/>
    <w:rsid w:val="0038164A"/>
    <w:rsid w:val="003822BF"/>
    <w:rsid w:val="003822C0"/>
    <w:rsid w:val="00382F1F"/>
    <w:rsid w:val="003831BD"/>
    <w:rsid w:val="0038338A"/>
    <w:rsid w:val="00383BB2"/>
    <w:rsid w:val="0038441B"/>
    <w:rsid w:val="003854BB"/>
    <w:rsid w:val="0039194D"/>
    <w:rsid w:val="003964FB"/>
    <w:rsid w:val="00396984"/>
    <w:rsid w:val="00396F81"/>
    <w:rsid w:val="003A36D4"/>
    <w:rsid w:val="003A5574"/>
    <w:rsid w:val="003A5826"/>
    <w:rsid w:val="003B0B3A"/>
    <w:rsid w:val="003B25D4"/>
    <w:rsid w:val="003B2E3C"/>
    <w:rsid w:val="003B374F"/>
    <w:rsid w:val="003B40CB"/>
    <w:rsid w:val="003B4E98"/>
    <w:rsid w:val="003B62A4"/>
    <w:rsid w:val="003B79A7"/>
    <w:rsid w:val="003C6E2A"/>
    <w:rsid w:val="003C6FEE"/>
    <w:rsid w:val="003D496A"/>
    <w:rsid w:val="003D552E"/>
    <w:rsid w:val="003D5532"/>
    <w:rsid w:val="003D7955"/>
    <w:rsid w:val="003E1D96"/>
    <w:rsid w:val="003E3BDC"/>
    <w:rsid w:val="003E68D0"/>
    <w:rsid w:val="003F2323"/>
    <w:rsid w:val="003F403F"/>
    <w:rsid w:val="004016ED"/>
    <w:rsid w:val="00402A76"/>
    <w:rsid w:val="00403D11"/>
    <w:rsid w:val="00404E57"/>
    <w:rsid w:val="00405174"/>
    <w:rsid w:val="004060BD"/>
    <w:rsid w:val="004064E5"/>
    <w:rsid w:val="00406B8C"/>
    <w:rsid w:val="00406EA6"/>
    <w:rsid w:val="0041011B"/>
    <w:rsid w:val="004101AB"/>
    <w:rsid w:val="0041239D"/>
    <w:rsid w:val="004132C1"/>
    <w:rsid w:val="0041339E"/>
    <w:rsid w:val="00414BEE"/>
    <w:rsid w:val="00415E16"/>
    <w:rsid w:val="00416285"/>
    <w:rsid w:val="0042162C"/>
    <w:rsid w:val="00422B81"/>
    <w:rsid w:val="00422E5F"/>
    <w:rsid w:val="00424184"/>
    <w:rsid w:val="0042669F"/>
    <w:rsid w:val="00426E2F"/>
    <w:rsid w:val="00427FF6"/>
    <w:rsid w:val="00431177"/>
    <w:rsid w:val="004312E6"/>
    <w:rsid w:val="00442883"/>
    <w:rsid w:val="004447B5"/>
    <w:rsid w:val="00444D9C"/>
    <w:rsid w:val="0044674F"/>
    <w:rsid w:val="00451BB6"/>
    <w:rsid w:val="00451BF2"/>
    <w:rsid w:val="00452F78"/>
    <w:rsid w:val="0045536F"/>
    <w:rsid w:val="00455860"/>
    <w:rsid w:val="00455B4E"/>
    <w:rsid w:val="004569C2"/>
    <w:rsid w:val="00461414"/>
    <w:rsid w:val="00462D45"/>
    <w:rsid w:val="00463526"/>
    <w:rsid w:val="00465DB8"/>
    <w:rsid w:val="00465EA8"/>
    <w:rsid w:val="00466834"/>
    <w:rsid w:val="004670F6"/>
    <w:rsid w:val="00467806"/>
    <w:rsid w:val="00471D32"/>
    <w:rsid w:val="0047412F"/>
    <w:rsid w:val="00474389"/>
    <w:rsid w:val="00477B70"/>
    <w:rsid w:val="00480F0A"/>
    <w:rsid w:val="004831BD"/>
    <w:rsid w:val="00487E74"/>
    <w:rsid w:val="00490161"/>
    <w:rsid w:val="00491A40"/>
    <w:rsid w:val="004A0843"/>
    <w:rsid w:val="004A34BE"/>
    <w:rsid w:val="004A508F"/>
    <w:rsid w:val="004A51E1"/>
    <w:rsid w:val="004A616F"/>
    <w:rsid w:val="004B0002"/>
    <w:rsid w:val="004B45D3"/>
    <w:rsid w:val="004B4CE8"/>
    <w:rsid w:val="004C1B17"/>
    <w:rsid w:val="004C24A6"/>
    <w:rsid w:val="004C3EA9"/>
    <w:rsid w:val="004C651D"/>
    <w:rsid w:val="004C658A"/>
    <w:rsid w:val="004D09F4"/>
    <w:rsid w:val="004D1B8B"/>
    <w:rsid w:val="004D2882"/>
    <w:rsid w:val="004D32ED"/>
    <w:rsid w:val="004D3462"/>
    <w:rsid w:val="004D40E5"/>
    <w:rsid w:val="004D6218"/>
    <w:rsid w:val="004D6B22"/>
    <w:rsid w:val="004E4CBC"/>
    <w:rsid w:val="004E53F2"/>
    <w:rsid w:val="004F53DE"/>
    <w:rsid w:val="00500499"/>
    <w:rsid w:val="00501185"/>
    <w:rsid w:val="00501620"/>
    <w:rsid w:val="00502F0E"/>
    <w:rsid w:val="0050342B"/>
    <w:rsid w:val="00506B35"/>
    <w:rsid w:val="005071F8"/>
    <w:rsid w:val="0051105A"/>
    <w:rsid w:val="0051240D"/>
    <w:rsid w:val="00513F9F"/>
    <w:rsid w:val="00514DBD"/>
    <w:rsid w:val="005172F0"/>
    <w:rsid w:val="005177B2"/>
    <w:rsid w:val="00525915"/>
    <w:rsid w:val="00530A6E"/>
    <w:rsid w:val="00530EA8"/>
    <w:rsid w:val="00531586"/>
    <w:rsid w:val="00537155"/>
    <w:rsid w:val="00537521"/>
    <w:rsid w:val="005401BC"/>
    <w:rsid w:val="005408E3"/>
    <w:rsid w:val="005421BB"/>
    <w:rsid w:val="00543F4F"/>
    <w:rsid w:val="00544C35"/>
    <w:rsid w:val="00546169"/>
    <w:rsid w:val="00546746"/>
    <w:rsid w:val="00547E9D"/>
    <w:rsid w:val="00550DB9"/>
    <w:rsid w:val="005552D8"/>
    <w:rsid w:val="00560C2F"/>
    <w:rsid w:val="0056272E"/>
    <w:rsid w:val="005633A9"/>
    <w:rsid w:val="00566D4F"/>
    <w:rsid w:val="0057086D"/>
    <w:rsid w:val="00574C7F"/>
    <w:rsid w:val="00575B19"/>
    <w:rsid w:val="00576462"/>
    <w:rsid w:val="005770E5"/>
    <w:rsid w:val="00580214"/>
    <w:rsid w:val="00583036"/>
    <w:rsid w:val="00583C33"/>
    <w:rsid w:val="0058495B"/>
    <w:rsid w:val="00584D54"/>
    <w:rsid w:val="005852B3"/>
    <w:rsid w:val="00586BDE"/>
    <w:rsid w:val="00591D50"/>
    <w:rsid w:val="0059210B"/>
    <w:rsid w:val="005925ED"/>
    <w:rsid w:val="005951F0"/>
    <w:rsid w:val="005978C6"/>
    <w:rsid w:val="005A21F9"/>
    <w:rsid w:val="005A516D"/>
    <w:rsid w:val="005A5BAB"/>
    <w:rsid w:val="005A715C"/>
    <w:rsid w:val="005B4051"/>
    <w:rsid w:val="005B44EB"/>
    <w:rsid w:val="005B6341"/>
    <w:rsid w:val="005B76CB"/>
    <w:rsid w:val="005B7707"/>
    <w:rsid w:val="005C3B68"/>
    <w:rsid w:val="005C6DEA"/>
    <w:rsid w:val="005C7538"/>
    <w:rsid w:val="005D5015"/>
    <w:rsid w:val="005D513C"/>
    <w:rsid w:val="005E0ECB"/>
    <w:rsid w:val="005E39A5"/>
    <w:rsid w:val="005E3EE8"/>
    <w:rsid w:val="005E3FB9"/>
    <w:rsid w:val="005E4065"/>
    <w:rsid w:val="005E5C11"/>
    <w:rsid w:val="005F5628"/>
    <w:rsid w:val="005F6874"/>
    <w:rsid w:val="005F72E3"/>
    <w:rsid w:val="005F7D9F"/>
    <w:rsid w:val="00602972"/>
    <w:rsid w:val="006040FC"/>
    <w:rsid w:val="006041CE"/>
    <w:rsid w:val="006053CA"/>
    <w:rsid w:val="00605D0A"/>
    <w:rsid w:val="006069D2"/>
    <w:rsid w:val="006078F1"/>
    <w:rsid w:val="00610BC3"/>
    <w:rsid w:val="006124F6"/>
    <w:rsid w:val="00612E61"/>
    <w:rsid w:val="0061307E"/>
    <w:rsid w:val="00614179"/>
    <w:rsid w:val="006141B6"/>
    <w:rsid w:val="00620CEB"/>
    <w:rsid w:val="00621CB7"/>
    <w:rsid w:val="00625725"/>
    <w:rsid w:val="00626246"/>
    <w:rsid w:val="006264EA"/>
    <w:rsid w:val="006268F1"/>
    <w:rsid w:val="00630287"/>
    <w:rsid w:val="00630669"/>
    <w:rsid w:val="00634B20"/>
    <w:rsid w:val="006370F5"/>
    <w:rsid w:val="006429AF"/>
    <w:rsid w:val="00644492"/>
    <w:rsid w:val="00644504"/>
    <w:rsid w:val="006448E2"/>
    <w:rsid w:val="006460EB"/>
    <w:rsid w:val="006505D5"/>
    <w:rsid w:val="006507FA"/>
    <w:rsid w:val="00654FFB"/>
    <w:rsid w:val="0066116F"/>
    <w:rsid w:val="006715A0"/>
    <w:rsid w:val="00671CF3"/>
    <w:rsid w:val="006730AD"/>
    <w:rsid w:val="006733CD"/>
    <w:rsid w:val="00674C06"/>
    <w:rsid w:val="006753A6"/>
    <w:rsid w:val="00677927"/>
    <w:rsid w:val="00677EBA"/>
    <w:rsid w:val="0068168C"/>
    <w:rsid w:val="006823BD"/>
    <w:rsid w:val="00695621"/>
    <w:rsid w:val="00696049"/>
    <w:rsid w:val="00697030"/>
    <w:rsid w:val="006A1055"/>
    <w:rsid w:val="006A3C1E"/>
    <w:rsid w:val="006A4243"/>
    <w:rsid w:val="006B046D"/>
    <w:rsid w:val="006B0ED2"/>
    <w:rsid w:val="006B5C00"/>
    <w:rsid w:val="006D1765"/>
    <w:rsid w:val="006D23DD"/>
    <w:rsid w:val="006E0CEB"/>
    <w:rsid w:val="006E1CBC"/>
    <w:rsid w:val="006E3E1D"/>
    <w:rsid w:val="006E6941"/>
    <w:rsid w:val="006E6B25"/>
    <w:rsid w:val="006F1EF5"/>
    <w:rsid w:val="006F63C5"/>
    <w:rsid w:val="006F6810"/>
    <w:rsid w:val="0070013A"/>
    <w:rsid w:val="00703794"/>
    <w:rsid w:val="00704FFB"/>
    <w:rsid w:val="007069E2"/>
    <w:rsid w:val="00707E32"/>
    <w:rsid w:val="00711630"/>
    <w:rsid w:val="00720022"/>
    <w:rsid w:val="0072337A"/>
    <w:rsid w:val="00725C3C"/>
    <w:rsid w:val="00727A64"/>
    <w:rsid w:val="00731137"/>
    <w:rsid w:val="0073377D"/>
    <w:rsid w:val="00734E4D"/>
    <w:rsid w:val="00734F91"/>
    <w:rsid w:val="00736479"/>
    <w:rsid w:val="00737813"/>
    <w:rsid w:val="00740F31"/>
    <w:rsid w:val="0074165A"/>
    <w:rsid w:val="00743617"/>
    <w:rsid w:val="00744029"/>
    <w:rsid w:val="00745C43"/>
    <w:rsid w:val="00747EA1"/>
    <w:rsid w:val="00752F9F"/>
    <w:rsid w:val="00753475"/>
    <w:rsid w:val="0075390D"/>
    <w:rsid w:val="00753A15"/>
    <w:rsid w:val="00766BAA"/>
    <w:rsid w:val="00767B5B"/>
    <w:rsid w:val="00770A7A"/>
    <w:rsid w:val="007745D7"/>
    <w:rsid w:val="00776CCD"/>
    <w:rsid w:val="0078177B"/>
    <w:rsid w:val="007825C2"/>
    <w:rsid w:val="00784651"/>
    <w:rsid w:val="00785271"/>
    <w:rsid w:val="00795618"/>
    <w:rsid w:val="007972EC"/>
    <w:rsid w:val="007A1939"/>
    <w:rsid w:val="007A4AEE"/>
    <w:rsid w:val="007A5866"/>
    <w:rsid w:val="007A7B00"/>
    <w:rsid w:val="007B1349"/>
    <w:rsid w:val="007B48F2"/>
    <w:rsid w:val="007B4CF4"/>
    <w:rsid w:val="007B4F7A"/>
    <w:rsid w:val="007B64A6"/>
    <w:rsid w:val="007C2848"/>
    <w:rsid w:val="007C3521"/>
    <w:rsid w:val="007C4F9A"/>
    <w:rsid w:val="007D14F5"/>
    <w:rsid w:val="007D390F"/>
    <w:rsid w:val="007E213F"/>
    <w:rsid w:val="007E21E3"/>
    <w:rsid w:val="007E3B66"/>
    <w:rsid w:val="007E5C10"/>
    <w:rsid w:val="007E71D7"/>
    <w:rsid w:val="007F5B8A"/>
    <w:rsid w:val="0080052B"/>
    <w:rsid w:val="008013C2"/>
    <w:rsid w:val="0080255F"/>
    <w:rsid w:val="00802C7C"/>
    <w:rsid w:val="00802F10"/>
    <w:rsid w:val="00804169"/>
    <w:rsid w:val="00806623"/>
    <w:rsid w:val="00807308"/>
    <w:rsid w:val="00807EA0"/>
    <w:rsid w:val="00813B7B"/>
    <w:rsid w:val="00815AF4"/>
    <w:rsid w:val="00820CBF"/>
    <w:rsid w:val="00821D3E"/>
    <w:rsid w:val="008228C7"/>
    <w:rsid w:val="00823F65"/>
    <w:rsid w:val="00824F9F"/>
    <w:rsid w:val="00826150"/>
    <w:rsid w:val="0082675A"/>
    <w:rsid w:val="00826769"/>
    <w:rsid w:val="0082742E"/>
    <w:rsid w:val="0083077A"/>
    <w:rsid w:val="008312DD"/>
    <w:rsid w:val="00833622"/>
    <w:rsid w:val="00834C64"/>
    <w:rsid w:val="00836BA8"/>
    <w:rsid w:val="00837749"/>
    <w:rsid w:val="00841D23"/>
    <w:rsid w:val="0084207C"/>
    <w:rsid w:val="00842C66"/>
    <w:rsid w:val="00847F01"/>
    <w:rsid w:val="008501D1"/>
    <w:rsid w:val="00850D05"/>
    <w:rsid w:val="0086131C"/>
    <w:rsid w:val="008615F7"/>
    <w:rsid w:val="00861B6E"/>
    <w:rsid w:val="00862B43"/>
    <w:rsid w:val="00862FD4"/>
    <w:rsid w:val="00862FF9"/>
    <w:rsid w:val="008633A2"/>
    <w:rsid w:val="00863C3F"/>
    <w:rsid w:val="00863EF0"/>
    <w:rsid w:val="00867044"/>
    <w:rsid w:val="00873348"/>
    <w:rsid w:val="00876B8A"/>
    <w:rsid w:val="008808C9"/>
    <w:rsid w:val="00880CF0"/>
    <w:rsid w:val="008814E5"/>
    <w:rsid w:val="00881C2D"/>
    <w:rsid w:val="00883FD0"/>
    <w:rsid w:val="008874E7"/>
    <w:rsid w:val="0089001F"/>
    <w:rsid w:val="00891BB1"/>
    <w:rsid w:val="008929DD"/>
    <w:rsid w:val="008A02B3"/>
    <w:rsid w:val="008A1CFF"/>
    <w:rsid w:val="008A2909"/>
    <w:rsid w:val="008A78D3"/>
    <w:rsid w:val="008B16EE"/>
    <w:rsid w:val="008B2DC3"/>
    <w:rsid w:val="008B4802"/>
    <w:rsid w:val="008B4CA5"/>
    <w:rsid w:val="008B7D21"/>
    <w:rsid w:val="008C03F9"/>
    <w:rsid w:val="008C3C38"/>
    <w:rsid w:val="008C7AAE"/>
    <w:rsid w:val="008D21A6"/>
    <w:rsid w:val="008D3017"/>
    <w:rsid w:val="008D344E"/>
    <w:rsid w:val="008D3F00"/>
    <w:rsid w:val="008D7077"/>
    <w:rsid w:val="008E4A17"/>
    <w:rsid w:val="008E5E30"/>
    <w:rsid w:val="008E7AE4"/>
    <w:rsid w:val="008F3092"/>
    <w:rsid w:val="008F4D21"/>
    <w:rsid w:val="008F5693"/>
    <w:rsid w:val="008F63DC"/>
    <w:rsid w:val="00901B02"/>
    <w:rsid w:val="0090222F"/>
    <w:rsid w:val="00905E6B"/>
    <w:rsid w:val="00906F21"/>
    <w:rsid w:val="00911D51"/>
    <w:rsid w:val="00911E00"/>
    <w:rsid w:val="00913D8C"/>
    <w:rsid w:val="00917B5A"/>
    <w:rsid w:val="0092094B"/>
    <w:rsid w:val="009244BF"/>
    <w:rsid w:val="00924A7C"/>
    <w:rsid w:val="00925B80"/>
    <w:rsid w:val="0092689F"/>
    <w:rsid w:val="00931518"/>
    <w:rsid w:val="00931554"/>
    <w:rsid w:val="0093182C"/>
    <w:rsid w:val="009320BF"/>
    <w:rsid w:val="009338EF"/>
    <w:rsid w:val="00934562"/>
    <w:rsid w:val="00940452"/>
    <w:rsid w:val="00941723"/>
    <w:rsid w:val="00944E8E"/>
    <w:rsid w:val="009469E9"/>
    <w:rsid w:val="009501D6"/>
    <w:rsid w:val="00950E1B"/>
    <w:rsid w:val="009516C2"/>
    <w:rsid w:val="00951C99"/>
    <w:rsid w:val="0095312F"/>
    <w:rsid w:val="00953CE5"/>
    <w:rsid w:val="009547B5"/>
    <w:rsid w:val="0095796F"/>
    <w:rsid w:val="00964042"/>
    <w:rsid w:val="00965C57"/>
    <w:rsid w:val="009672BA"/>
    <w:rsid w:val="009673C0"/>
    <w:rsid w:val="00967531"/>
    <w:rsid w:val="00967655"/>
    <w:rsid w:val="00967F11"/>
    <w:rsid w:val="009727F1"/>
    <w:rsid w:val="0097477C"/>
    <w:rsid w:val="00980A2F"/>
    <w:rsid w:val="0098318B"/>
    <w:rsid w:val="00983F30"/>
    <w:rsid w:val="00986E88"/>
    <w:rsid w:val="009920D8"/>
    <w:rsid w:val="00992DC0"/>
    <w:rsid w:val="009A0475"/>
    <w:rsid w:val="009A0A9D"/>
    <w:rsid w:val="009A50FA"/>
    <w:rsid w:val="009B261D"/>
    <w:rsid w:val="009B3935"/>
    <w:rsid w:val="009B7749"/>
    <w:rsid w:val="009B7E7B"/>
    <w:rsid w:val="009C0610"/>
    <w:rsid w:val="009C22BB"/>
    <w:rsid w:val="009C4493"/>
    <w:rsid w:val="009D1317"/>
    <w:rsid w:val="009D14E5"/>
    <w:rsid w:val="009D454E"/>
    <w:rsid w:val="009E0CAB"/>
    <w:rsid w:val="009E266C"/>
    <w:rsid w:val="009E2E3E"/>
    <w:rsid w:val="009E59B5"/>
    <w:rsid w:val="009F0721"/>
    <w:rsid w:val="009F2624"/>
    <w:rsid w:val="009F2CEB"/>
    <w:rsid w:val="009F4DA7"/>
    <w:rsid w:val="009F6685"/>
    <w:rsid w:val="009F7F76"/>
    <w:rsid w:val="00A03E6A"/>
    <w:rsid w:val="00A04CEE"/>
    <w:rsid w:val="00A04F71"/>
    <w:rsid w:val="00A067B4"/>
    <w:rsid w:val="00A07837"/>
    <w:rsid w:val="00A1248A"/>
    <w:rsid w:val="00A13D71"/>
    <w:rsid w:val="00A147A9"/>
    <w:rsid w:val="00A16089"/>
    <w:rsid w:val="00A202DD"/>
    <w:rsid w:val="00A207CA"/>
    <w:rsid w:val="00A20BD6"/>
    <w:rsid w:val="00A23341"/>
    <w:rsid w:val="00A26100"/>
    <w:rsid w:val="00A266B9"/>
    <w:rsid w:val="00A307FA"/>
    <w:rsid w:val="00A30CCE"/>
    <w:rsid w:val="00A312A3"/>
    <w:rsid w:val="00A32A8D"/>
    <w:rsid w:val="00A33E7E"/>
    <w:rsid w:val="00A34AC6"/>
    <w:rsid w:val="00A3532E"/>
    <w:rsid w:val="00A40DDA"/>
    <w:rsid w:val="00A437AA"/>
    <w:rsid w:val="00A45F54"/>
    <w:rsid w:val="00A464B1"/>
    <w:rsid w:val="00A46F13"/>
    <w:rsid w:val="00A50F9B"/>
    <w:rsid w:val="00A512C4"/>
    <w:rsid w:val="00A6072B"/>
    <w:rsid w:val="00A631ED"/>
    <w:rsid w:val="00A701F5"/>
    <w:rsid w:val="00A71C85"/>
    <w:rsid w:val="00A740B3"/>
    <w:rsid w:val="00A743C1"/>
    <w:rsid w:val="00A84885"/>
    <w:rsid w:val="00A857B0"/>
    <w:rsid w:val="00A85A58"/>
    <w:rsid w:val="00A90743"/>
    <w:rsid w:val="00A90B17"/>
    <w:rsid w:val="00A9234B"/>
    <w:rsid w:val="00A92D54"/>
    <w:rsid w:val="00A93F35"/>
    <w:rsid w:val="00A94144"/>
    <w:rsid w:val="00A95993"/>
    <w:rsid w:val="00A95F68"/>
    <w:rsid w:val="00AA17B1"/>
    <w:rsid w:val="00AA27A8"/>
    <w:rsid w:val="00AA2D61"/>
    <w:rsid w:val="00AA53BC"/>
    <w:rsid w:val="00AA5554"/>
    <w:rsid w:val="00AB5FEC"/>
    <w:rsid w:val="00AB74E4"/>
    <w:rsid w:val="00AC035E"/>
    <w:rsid w:val="00AC0CF1"/>
    <w:rsid w:val="00AC0D1D"/>
    <w:rsid w:val="00AC2F5A"/>
    <w:rsid w:val="00AC36FC"/>
    <w:rsid w:val="00AC6FA9"/>
    <w:rsid w:val="00AC72F1"/>
    <w:rsid w:val="00AC7477"/>
    <w:rsid w:val="00AD0A37"/>
    <w:rsid w:val="00AD5ADC"/>
    <w:rsid w:val="00AE2997"/>
    <w:rsid w:val="00AE41B0"/>
    <w:rsid w:val="00AE426C"/>
    <w:rsid w:val="00AE60BC"/>
    <w:rsid w:val="00AF6BD2"/>
    <w:rsid w:val="00B00245"/>
    <w:rsid w:val="00B004F6"/>
    <w:rsid w:val="00B04502"/>
    <w:rsid w:val="00B06A15"/>
    <w:rsid w:val="00B10D6F"/>
    <w:rsid w:val="00B11C51"/>
    <w:rsid w:val="00B1729D"/>
    <w:rsid w:val="00B20E2A"/>
    <w:rsid w:val="00B21326"/>
    <w:rsid w:val="00B21909"/>
    <w:rsid w:val="00B2439C"/>
    <w:rsid w:val="00B25CEA"/>
    <w:rsid w:val="00B3074F"/>
    <w:rsid w:val="00B30A1C"/>
    <w:rsid w:val="00B32DB2"/>
    <w:rsid w:val="00B3490C"/>
    <w:rsid w:val="00B34CD9"/>
    <w:rsid w:val="00B360E2"/>
    <w:rsid w:val="00B377C1"/>
    <w:rsid w:val="00B43240"/>
    <w:rsid w:val="00B43B25"/>
    <w:rsid w:val="00B43BFA"/>
    <w:rsid w:val="00B44AE7"/>
    <w:rsid w:val="00B45C40"/>
    <w:rsid w:val="00B47A58"/>
    <w:rsid w:val="00B5320D"/>
    <w:rsid w:val="00B53250"/>
    <w:rsid w:val="00B53C7C"/>
    <w:rsid w:val="00B558D6"/>
    <w:rsid w:val="00B60FDF"/>
    <w:rsid w:val="00B6292D"/>
    <w:rsid w:val="00B62BC2"/>
    <w:rsid w:val="00B70874"/>
    <w:rsid w:val="00B741C6"/>
    <w:rsid w:val="00B83ACB"/>
    <w:rsid w:val="00B85E8E"/>
    <w:rsid w:val="00B86024"/>
    <w:rsid w:val="00B92B03"/>
    <w:rsid w:val="00B92C37"/>
    <w:rsid w:val="00B9574D"/>
    <w:rsid w:val="00B96E22"/>
    <w:rsid w:val="00BA0857"/>
    <w:rsid w:val="00BA7303"/>
    <w:rsid w:val="00BB23BB"/>
    <w:rsid w:val="00BB2401"/>
    <w:rsid w:val="00BB25A4"/>
    <w:rsid w:val="00BB4723"/>
    <w:rsid w:val="00BB56D3"/>
    <w:rsid w:val="00BB6C0D"/>
    <w:rsid w:val="00BB7199"/>
    <w:rsid w:val="00BB72C2"/>
    <w:rsid w:val="00BC112D"/>
    <w:rsid w:val="00BC143B"/>
    <w:rsid w:val="00BC49D5"/>
    <w:rsid w:val="00BC5F7D"/>
    <w:rsid w:val="00BC6D71"/>
    <w:rsid w:val="00BD3434"/>
    <w:rsid w:val="00BD4FAD"/>
    <w:rsid w:val="00BE07FC"/>
    <w:rsid w:val="00BE1EB7"/>
    <w:rsid w:val="00BE4DB4"/>
    <w:rsid w:val="00BF2D78"/>
    <w:rsid w:val="00BF3BC6"/>
    <w:rsid w:val="00C00771"/>
    <w:rsid w:val="00C04622"/>
    <w:rsid w:val="00C10BB5"/>
    <w:rsid w:val="00C11822"/>
    <w:rsid w:val="00C135C6"/>
    <w:rsid w:val="00C13FEB"/>
    <w:rsid w:val="00C2281A"/>
    <w:rsid w:val="00C251A1"/>
    <w:rsid w:val="00C251A9"/>
    <w:rsid w:val="00C257C0"/>
    <w:rsid w:val="00C278F6"/>
    <w:rsid w:val="00C27D0F"/>
    <w:rsid w:val="00C31500"/>
    <w:rsid w:val="00C32265"/>
    <w:rsid w:val="00C414F3"/>
    <w:rsid w:val="00C419B8"/>
    <w:rsid w:val="00C43FE4"/>
    <w:rsid w:val="00C44EF7"/>
    <w:rsid w:val="00C62E47"/>
    <w:rsid w:val="00C656F9"/>
    <w:rsid w:val="00C65733"/>
    <w:rsid w:val="00C66195"/>
    <w:rsid w:val="00C66460"/>
    <w:rsid w:val="00C67010"/>
    <w:rsid w:val="00C6742B"/>
    <w:rsid w:val="00C74B5C"/>
    <w:rsid w:val="00C7553D"/>
    <w:rsid w:val="00C77024"/>
    <w:rsid w:val="00C81905"/>
    <w:rsid w:val="00C8615D"/>
    <w:rsid w:val="00C90C58"/>
    <w:rsid w:val="00C90E92"/>
    <w:rsid w:val="00C92DE3"/>
    <w:rsid w:val="00C9366B"/>
    <w:rsid w:val="00C9431E"/>
    <w:rsid w:val="00C95495"/>
    <w:rsid w:val="00C959FD"/>
    <w:rsid w:val="00C960A4"/>
    <w:rsid w:val="00CA34DF"/>
    <w:rsid w:val="00CA685C"/>
    <w:rsid w:val="00CB11D0"/>
    <w:rsid w:val="00CB1DA3"/>
    <w:rsid w:val="00CB31AE"/>
    <w:rsid w:val="00CB5170"/>
    <w:rsid w:val="00CB5781"/>
    <w:rsid w:val="00CB609D"/>
    <w:rsid w:val="00CC09E6"/>
    <w:rsid w:val="00CC1F25"/>
    <w:rsid w:val="00CC1F90"/>
    <w:rsid w:val="00CC5C8B"/>
    <w:rsid w:val="00CC698C"/>
    <w:rsid w:val="00CD0E5B"/>
    <w:rsid w:val="00CD5D91"/>
    <w:rsid w:val="00CD62B5"/>
    <w:rsid w:val="00CD6C31"/>
    <w:rsid w:val="00CD76B8"/>
    <w:rsid w:val="00CD7F04"/>
    <w:rsid w:val="00CE351B"/>
    <w:rsid w:val="00CE4005"/>
    <w:rsid w:val="00CE4A94"/>
    <w:rsid w:val="00CE4C2E"/>
    <w:rsid w:val="00CE79F7"/>
    <w:rsid w:val="00CF1ECC"/>
    <w:rsid w:val="00CF2264"/>
    <w:rsid w:val="00CF3132"/>
    <w:rsid w:val="00CF36A8"/>
    <w:rsid w:val="00CF5875"/>
    <w:rsid w:val="00CF7AD8"/>
    <w:rsid w:val="00D01B96"/>
    <w:rsid w:val="00D03AA1"/>
    <w:rsid w:val="00D11900"/>
    <w:rsid w:val="00D12CD7"/>
    <w:rsid w:val="00D13185"/>
    <w:rsid w:val="00D13BF8"/>
    <w:rsid w:val="00D1589B"/>
    <w:rsid w:val="00D214E9"/>
    <w:rsid w:val="00D21530"/>
    <w:rsid w:val="00D23607"/>
    <w:rsid w:val="00D30BF0"/>
    <w:rsid w:val="00D334BD"/>
    <w:rsid w:val="00D344B3"/>
    <w:rsid w:val="00D344E0"/>
    <w:rsid w:val="00D35C29"/>
    <w:rsid w:val="00D413F8"/>
    <w:rsid w:val="00D41E6D"/>
    <w:rsid w:val="00D430CD"/>
    <w:rsid w:val="00D468C8"/>
    <w:rsid w:val="00D54564"/>
    <w:rsid w:val="00D55EF4"/>
    <w:rsid w:val="00D6554E"/>
    <w:rsid w:val="00D735C1"/>
    <w:rsid w:val="00D80E0C"/>
    <w:rsid w:val="00D81D2F"/>
    <w:rsid w:val="00D83F41"/>
    <w:rsid w:val="00D85E53"/>
    <w:rsid w:val="00D8655E"/>
    <w:rsid w:val="00D938E2"/>
    <w:rsid w:val="00D947B1"/>
    <w:rsid w:val="00DA0D03"/>
    <w:rsid w:val="00DA5910"/>
    <w:rsid w:val="00DA618B"/>
    <w:rsid w:val="00DA6654"/>
    <w:rsid w:val="00DB449D"/>
    <w:rsid w:val="00DB6067"/>
    <w:rsid w:val="00DB723D"/>
    <w:rsid w:val="00DC0C04"/>
    <w:rsid w:val="00DC1490"/>
    <w:rsid w:val="00DC2CEA"/>
    <w:rsid w:val="00DC3075"/>
    <w:rsid w:val="00DC6154"/>
    <w:rsid w:val="00DD1317"/>
    <w:rsid w:val="00DD404A"/>
    <w:rsid w:val="00DD7E83"/>
    <w:rsid w:val="00DE1F4E"/>
    <w:rsid w:val="00DE2706"/>
    <w:rsid w:val="00DE3A7D"/>
    <w:rsid w:val="00DE4B10"/>
    <w:rsid w:val="00DE7057"/>
    <w:rsid w:val="00DF062D"/>
    <w:rsid w:val="00DF0FB7"/>
    <w:rsid w:val="00DF10A8"/>
    <w:rsid w:val="00DF1DB9"/>
    <w:rsid w:val="00DF47A2"/>
    <w:rsid w:val="00DF634C"/>
    <w:rsid w:val="00E01F0D"/>
    <w:rsid w:val="00E02538"/>
    <w:rsid w:val="00E043F6"/>
    <w:rsid w:val="00E11669"/>
    <w:rsid w:val="00E16155"/>
    <w:rsid w:val="00E22102"/>
    <w:rsid w:val="00E238D2"/>
    <w:rsid w:val="00E24255"/>
    <w:rsid w:val="00E24C6D"/>
    <w:rsid w:val="00E24E40"/>
    <w:rsid w:val="00E2561A"/>
    <w:rsid w:val="00E26929"/>
    <w:rsid w:val="00E30072"/>
    <w:rsid w:val="00E30C1D"/>
    <w:rsid w:val="00E353EA"/>
    <w:rsid w:val="00E35E37"/>
    <w:rsid w:val="00E40AD9"/>
    <w:rsid w:val="00E42122"/>
    <w:rsid w:val="00E4288A"/>
    <w:rsid w:val="00E54DAB"/>
    <w:rsid w:val="00E55C10"/>
    <w:rsid w:val="00E62070"/>
    <w:rsid w:val="00E64643"/>
    <w:rsid w:val="00E6662B"/>
    <w:rsid w:val="00E751FE"/>
    <w:rsid w:val="00E75320"/>
    <w:rsid w:val="00E75A99"/>
    <w:rsid w:val="00E75AA9"/>
    <w:rsid w:val="00E7686E"/>
    <w:rsid w:val="00E80B23"/>
    <w:rsid w:val="00E851F1"/>
    <w:rsid w:val="00E87FDB"/>
    <w:rsid w:val="00E90BC0"/>
    <w:rsid w:val="00E9162E"/>
    <w:rsid w:val="00E92350"/>
    <w:rsid w:val="00E939DD"/>
    <w:rsid w:val="00EA0363"/>
    <w:rsid w:val="00EA0588"/>
    <w:rsid w:val="00EA0C0E"/>
    <w:rsid w:val="00EA5512"/>
    <w:rsid w:val="00EB01CA"/>
    <w:rsid w:val="00EC0F38"/>
    <w:rsid w:val="00EC2B31"/>
    <w:rsid w:val="00EC2E10"/>
    <w:rsid w:val="00EC58FE"/>
    <w:rsid w:val="00ED13FF"/>
    <w:rsid w:val="00ED1E05"/>
    <w:rsid w:val="00ED2892"/>
    <w:rsid w:val="00ED7A60"/>
    <w:rsid w:val="00EE40B0"/>
    <w:rsid w:val="00EE5B06"/>
    <w:rsid w:val="00EF1400"/>
    <w:rsid w:val="00EF2734"/>
    <w:rsid w:val="00EF39B2"/>
    <w:rsid w:val="00EF4F23"/>
    <w:rsid w:val="00EF594E"/>
    <w:rsid w:val="00EF5C16"/>
    <w:rsid w:val="00F0059C"/>
    <w:rsid w:val="00F03497"/>
    <w:rsid w:val="00F044ED"/>
    <w:rsid w:val="00F07AD0"/>
    <w:rsid w:val="00F10905"/>
    <w:rsid w:val="00F1122D"/>
    <w:rsid w:val="00F13BF8"/>
    <w:rsid w:val="00F2208C"/>
    <w:rsid w:val="00F24B5D"/>
    <w:rsid w:val="00F25582"/>
    <w:rsid w:val="00F25C3F"/>
    <w:rsid w:val="00F32826"/>
    <w:rsid w:val="00F32FB1"/>
    <w:rsid w:val="00F40A8D"/>
    <w:rsid w:val="00F4441E"/>
    <w:rsid w:val="00F45712"/>
    <w:rsid w:val="00F5671C"/>
    <w:rsid w:val="00F57288"/>
    <w:rsid w:val="00F7051D"/>
    <w:rsid w:val="00F76EB7"/>
    <w:rsid w:val="00F82BE1"/>
    <w:rsid w:val="00F830C8"/>
    <w:rsid w:val="00F836CD"/>
    <w:rsid w:val="00F9783B"/>
    <w:rsid w:val="00FA13DD"/>
    <w:rsid w:val="00FA4C31"/>
    <w:rsid w:val="00FB1D32"/>
    <w:rsid w:val="00FB22C0"/>
    <w:rsid w:val="00FC0EE7"/>
    <w:rsid w:val="00FC2BC4"/>
    <w:rsid w:val="00FC3B46"/>
    <w:rsid w:val="00FC4367"/>
    <w:rsid w:val="00FC4BB5"/>
    <w:rsid w:val="00FC4DE0"/>
    <w:rsid w:val="00FC6ABF"/>
    <w:rsid w:val="00FC7BCA"/>
    <w:rsid w:val="00FD4703"/>
    <w:rsid w:val="00FD484A"/>
    <w:rsid w:val="00FD48BC"/>
    <w:rsid w:val="00FD597C"/>
    <w:rsid w:val="00FD76B8"/>
    <w:rsid w:val="00FD7EFA"/>
    <w:rsid w:val="00FE1AD9"/>
    <w:rsid w:val="00FE2135"/>
    <w:rsid w:val="00FE542B"/>
    <w:rsid w:val="00FE7BE1"/>
    <w:rsid w:val="00FF0031"/>
    <w:rsid w:val="00FF254C"/>
    <w:rsid w:val="00FF2F9D"/>
    <w:rsid w:val="00FF519E"/>
    <w:rsid w:val="00FF7B23"/>
    <w:rsid w:val="00FF7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469DE9"/>
  <w15:docId w15:val="{924FA5F9-9442-4744-AF0F-27B1125C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0A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0A6E"/>
    <w:pPr>
      <w:keepNext/>
      <w:numPr>
        <w:numId w:val="1"/>
      </w:numPr>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unhideWhenUsed/>
    <w:qFormat/>
    <w:rsid w:val="00C44E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530A6E"/>
    <w:pPr>
      <w:keepNext/>
      <w:numPr>
        <w:ilvl w:val="2"/>
        <w:numId w:val="1"/>
      </w:numPr>
      <w:spacing w:before="240" w:after="60"/>
      <w:outlineLvl w:val="2"/>
    </w:pPr>
    <w:rPr>
      <w:rFonts w:ascii="Arial" w:hAnsi="Arial"/>
      <w:szCs w:val="20"/>
    </w:rPr>
  </w:style>
  <w:style w:type="paragraph" w:styleId="Heading4">
    <w:name w:val="heading 4"/>
    <w:basedOn w:val="Normal"/>
    <w:next w:val="Normal"/>
    <w:link w:val="Heading4Char"/>
    <w:uiPriority w:val="9"/>
    <w:qFormat/>
    <w:rsid w:val="00530A6E"/>
    <w:pPr>
      <w:keepNext/>
      <w:numPr>
        <w:ilvl w:val="3"/>
        <w:numId w:val="1"/>
      </w:numPr>
      <w:spacing w:before="240" w:after="60"/>
      <w:outlineLvl w:val="3"/>
    </w:pPr>
    <w:rPr>
      <w:rFonts w:ascii="Arial" w:hAnsi="Arial"/>
      <w:b/>
      <w:szCs w:val="20"/>
    </w:rPr>
  </w:style>
  <w:style w:type="paragraph" w:styleId="Heading5">
    <w:name w:val="heading 5"/>
    <w:basedOn w:val="Normal"/>
    <w:next w:val="Normal"/>
    <w:link w:val="Heading5Char"/>
    <w:uiPriority w:val="9"/>
    <w:semiHidden/>
    <w:unhideWhenUsed/>
    <w:qFormat/>
    <w:rsid w:val="004B0002"/>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530A6E"/>
    <w:pPr>
      <w:numPr>
        <w:ilvl w:val="5"/>
        <w:numId w:val="1"/>
      </w:numPr>
      <w:spacing w:before="240" w:after="60"/>
      <w:outlineLvl w:val="5"/>
    </w:pPr>
    <w:rPr>
      <w:i/>
      <w:sz w:val="22"/>
      <w:szCs w:val="20"/>
    </w:rPr>
  </w:style>
  <w:style w:type="paragraph" w:styleId="Heading7">
    <w:name w:val="heading 7"/>
    <w:basedOn w:val="Normal"/>
    <w:next w:val="Normal"/>
    <w:link w:val="Heading7Char"/>
    <w:uiPriority w:val="9"/>
    <w:qFormat/>
    <w:rsid w:val="00530A6E"/>
    <w:pPr>
      <w:numPr>
        <w:ilvl w:val="6"/>
        <w:numId w:val="1"/>
      </w:numPr>
      <w:spacing w:before="240" w:after="60"/>
      <w:outlineLvl w:val="6"/>
    </w:pPr>
    <w:rPr>
      <w:rFonts w:ascii="Arial" w:hAnsi="Arial"/>
      <w:szCs w:val="20"/>
    </w:rPr>
  </w:style>
  <w:style w:type="paragraph" w:styleId="Heading8">
    <w:name w:val="heading 8"/>
    <w:basedOn w:val="Normal"/>
    <w:next w:val="Normal"/>
    <w:link w:val="Heading8Char"/>
    <w:uiPriority w:val="9"/>
    <w:qFormat/>
    <w:rsid w:val="00530A6E"/>
    <w:pPr>
      <w:numPr>
        <w:ilvl w:val="7"/>
        <w:numId w:val="1"/>
      </w:numPr>
      <w:spacing w:before="240" w:after="60"/>
      <w:outlineLvl w:val="7"/>
    </w:pPr>
    <w:rPr>
      <w:rFonts w:ascii="Arial" w:hAnsi="Arial"/>
      <w:i/>
      <w:szCs w:val="20"/>
    </w:rPr>
  </w:style>
  <w:style w:type="paragraph" w:styleId="Heading9">
    <w:name w:val="heading 9"/>
    <w:basedOn w:val="Normal"/>
    <w:next w:val="Normal"/>
    <w:link w:val="Heading9Char"/>
    <w:uiPriority w:val="9"/>
    <w:qFormat/>
    <w:rsid w:val="00530A6E"/>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81AC3"/>
    <w:pPr>
      <w:spacing w:after="0" w:line="240" w:lineRule="auto"/>
    </w:pPr>
  </w:style>
  <w:style w:type="character" w:customStyle="1" w:styleId="Heading1Char">
    <w:name w:val="Heading 1 Char"/>
    <w:basedOn w:val="DefaultParagraphFont"/>
    <w:link w:val="Heading1"/>
    <w:uiPriority w:val="9"/>
    <w:rsid w:val="00530A6E"/>
    <w:rPr>
      <w:rFonts w:ascii="Arial" w:eastAsia="Times New Roman" w:hAnsi="Arial" w:cs="Times New Roman"/>
      <w:b/>
      <w:kern w:val="28"/>
      <w:sz w:val="28"/>
      <w:szCs w:val="20"/>
    </w:rPr>
  </w:style>
  <w:style w:type="character" w:customStyle="1" w:styleId="Heading3Char">
    <w:name w:val="Heading 3 Char"/>
    <w:basedOn w:val="DefaultParagraphFont"/>
    <w:link w:val="Heading3"/>
    <w:uiPriority w:val="9"/>
    <w:rsid w:val="00530A6E"/>
    <w:rPr>
      <w:rFonts w:ascii="Arial" w:eastAsia="Times New Roman" w:hAnsi="Arial" w:cs="Times New Roman"/>
      <w:sz w:val="24"/>
      <w:szCs w:val="20"/>
    </w:rPr>
  </w:style>
  <w:style w:type="character" w:customStyle="1" w:styleId="Heading4Char">
    <w:name w:val="Heading 4 Char"/>
    <w:basedOn w:val="DefaultParagraphFont"/>
    <w:link w:val="Heading4"/>
    <w:uiPriority w:val="9"/>
    <w:rsid w:val="00530A6E"/>
    <w:rPr>
      <w:rFonts w:ascii="Arial" w:eastAsia="Times New Roman" w:hAnsi="Arial" w:cs="Times New Roman"/>
      <w:b/>
      <w:sz w:val="24"/>
      <w:szCs w:val="20"/>
    </w:rPr>
  </w:style>
  <w:style w:type="character" w:customStyle="1" w:styleId="Heading6Char">
    <w:name w:val="Heading 6 Char"/>
    <w:basedOn w:val="DefaultParagraphFont"/>
    <w:link w:val="Heading6"/>
    <w:rsid w:val="00530A6E"/>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
    <w:rsid w:val="00530A6E"/>
    <w:rPr>
      <w:rFonts w:ascii="Arial" w:eastAsia="Times New Roman" w:hAnsi="Arial" w:cs="Times New Roman"/>
      <w:sz w:val="24"/>
      <w:szCs w:val="20"/>
    </w:rPr>
  </w:style>
  <w:style w:type="character" w:customStyle="1" w:styleId="Heading8Char">
    <w:name w:val="Heading 8 Char"/>
    <w:basedOn w:val="DefaultParagraphFont"/>
    <w:link w:val="Heading8"/>
    <w:uiPriority w:val="9"/>
    <w:rsid w:val="00530A6E"/>
    <w:rPr>
      <w:rFonts w:ascii="Arial" w:eastAsia="Times New Roman" w:hAnsi="Arial" w:cs="Times New Roman"/>
      <w:i/>
      <w:sz w:val="24"/>
      <w:szCs w:val="20"/>
    </w:rPr>
  </w:style>
  <w:style w:type="character" w:customStyle="1" w:styleId="Heading9Char">
    <w:name w:val="Heading 9 Char"/>
    <w:basedOn w:val="DefaultParagraphFont"/>
    <w:link w:val="Heading9"/>
    <w:uiPriority w:val="9"/>
    <w:rsid w:val="00530A6E"/>
    <w:rPr>
      <w:rFonts w:ascii="Arial" w:eastAsia="Times New Roman" w:hAnsi="Arial" w:cs="Times New Roman"/>
      <w:b/>
      <w:i/>
      <w:sz w:val="18"/>
      <w:szCs w:val="20"/>
    </w:rPr>
  </w:style>
  <w:style w:type="paragraph" w:customStyle="1" w:styleId="Chapter">
    <w:name w:val="Chapter"/>
    <w:basedOn w:val="Normal"/>
    <w:next w:val="Normal"/>
    <w:rsid w:val="00530A6E"/>
    <w:pPr>
      <w:tabs>
        <w:tab w:val="num" w:pos="720"/>
        <w:tab w:val="left" w:pos="1440"/>
      </w:tabs>
      <w:spacing w:after="240"/>
      <w:ind w:left="720" w:hanging="720"/>
      <w:jc w:val="center"/>
    </w:pPr>
    <w:rPr>
      <w:b/>
      <w:smallCaps/>
      <w:noProof/>
      <w:szCs w:val="20"/>
    </w:rPr>
  </w:style>
  <w:style w:type="paragraph" w:customStyle="1" w:styleId="Paragraph">
    <w:name w:val="Paragraph"/>
    <w:aliases w:val="paragraph,p,PARAGRAPH,PG,pa,at"/>
    <w:basedOn w:val="BodyTextIndent"/>
    <w:link w:val="ParagraphChar"/>
    <w:qFormat/>
    <w:rsid w:val="00530A6E"/>
    <w:pPr>
      <w:tabs>
        <w:tab w:val="num" w:pos="1440"/>
      </w:tabs>
      <w:spacing w:before="120"/>
      <w:ind w:left="1440" w:hanging="720"/>
      <w:jc w:val="both"/>
      <w:outlineLvl w:val="1"/>
    </w:pPr>
    <w:rPr>
      <w:szCs w:val="20"/>
    </w:rPr>
  </w:style>
  <w:style w:type="paragraph" w:styleId="Header">
    <w:name w:val="header"/>
    <w:basedOn w:val="Normal"/>
    <w:link w:val="HeaderChar"/>
    <w:rsid w:val="00530A6E"/>
    <w:pPr>
      <w:tabs>
        <w:tab w:val="center" w:pos="4320"/>
        <w:tab w:val="right" w:pos="8640"/>
      </w:tabs>
    </w:pPr>
  </w:style>
  <w:style w:type="character" w:customStyle="1" w:styleId="HeaderChar">
    <w:name w:val="Header Char"/>
    <w:basedOn w:val="DefaultParagraphFont"/>
    <w:link w:val="Header"/>
    <w:rsid w:val="00530A6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530A6E"/>
    <w:pPr>
      <w:spacing w:after="120"/>
      <w:ind w:left="360"/>
    </w:pPr>
  </w:style>
  <w:style w:type="character" w:customStyle="1" w:styleId="BodyTextIndentChar">
    <w:name w:val="Body Text Indent Char"/>
    <w:basedOn w:val="DefaultParagraphFont"/>
    <w:link w:val="BodyTextIndent"/>
    <w:uiPriority w:val="99"/>
    <w:semiHidden/>
    <w:rsid w:val="00530A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0A6E"/>
    <w:pPr>
      <w:tabs>
        <w:tab w:val="center" w:pos="4680"/>
        <w:tab w:val="right" w:pos="9360"/>
      </w:tabs>
    </w:pPr>
  </w:style>
  <w:style w:type="character" w:customStyle="1" w:styleId="FooterChar">
    <w:name w:val="Footer Char"/>
    <w:basedOn w:val="DefaultParagraphFont"/>
    <w:link w:val="Footer"/>
    <w:uiPriority w:val="99"/>
    <w:rsid w:val="00530A6E"/>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530A6E"/>
    <w:rPr>
      <w:rFonts w:ascii="Tahoma" w:hAnsi="Tahoma" w:cs="Tahoma"/>
      <w:sz w:val="16"/>
      <w:szCs w:val="16"/>
    </w:rPr>
  </w:style>
  <w:style w:type="character" w:customStyle="1" w:styleId="BalloonTextChar">
    <w:name w:val="Balloon Text Char"/>
    <w:basedOn w:val="DefaultParagraphFont"/>
    <w:link w:val="BalloonText"/>
    <w:uiPriority w:val="99"/>
    <w:rsid w:val="00530A6E"/>
    <w:rPr>
      <w:rFonts w:ascii="Tahoma" w:eastAsia="Times New Roman" w:hAnsi="Tahoma" w:cs="Tahoma"/>
      <w:sz w:val="16"/>
      <w:szCs w:val="16"/>
    </w:rPr>
  </w:style>
  <w:style w:type="character" w:customStyle="1" w:styleId="Heading2Char">
    <w:name w:val="Heading 2 Char"/>
    <w:basedOn w:val="DefaultParagraphFont"/>
    <w:link w:val="Heading2"/>
    <w:uiPriority w:val="99"/>
    <w:rsid w:val="00C44EF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C44EF7"/>
    <w:pPr>
      <w:spacing w:after="120"/>
    </w:pPr>
  </w:style>
  <w:style w:type="character" w:customStyle="1" w:styleId="BodyTextChar">
    <w:name w:val="Body Text Char"/>
    <w:basedOn w:val="DefaultParagraphFont"/>
    <w:link w:val="BodyText"/>
    <w:uiPriority w:val="99"/>
    <w:rsid w:val="00C44EF7"/>
    <w:rPr>
      <w:rFonts w:ascii="Times New Roman" w:eastAsia="Times New Roman" w:hAnsi="Times New Roman" w:cs="Times New Roman"/>
      <w:sz w:val="24"/>
      <w:szCs w:val="24"/>
    </w:rPr>
  </w:style>
  <w:style w:type="character" w:styleId="PageNumber">
    <w:name w:val="page number"/>
    <w:basedOn w:val="DefaultParagraphFont"/>
    <w:rsid w:val="00C44EF7"/>
  </w:style>
  <w:style w:type="paragraph" w:styleId="Subtitle">
    <w:name w:val="Subtitle"/>
    <w:basedOn w:val="Normal"/>
    <w:link w:val="SubtitleChar"/>
    <w:uiPriority w:val="11"/>
    <w:qFormat/>
    <w:rsid w:val="00C44EF7"/>
    <w:pPr>
      <w:tabs>
        <w:tab w:val="center" w:pos="4680"/>
      </w:tabs>
      <w:spacing w:before="120"/>
      <w:jc w:val="center"/>
    </w:pPr>
    <w:rPr>
      <w:b/>
      <w:bCs/>
      <w:szCs w:val="20"/>
      <w:lang w:val="es-ES"/>
    </w:rPr>
  </w:style>
  <w:style w:type="character" w:customStyle="1" w:styleId="SubtitleChar">
    <w:name w:val="Subtitle Char"/>
    <w:basedOn w:val="DefaultParagraphFont"/>
    <w:link w:val="Subtitle"/>
    <w:uiPriority w:val="11"/>
    <w:rsid w:val="00C44EF7"/>
    <w:rPr>
      <w:rFonts w:ascii="Times New Roman" w:eastAsia="Times New Roman" w:hAnsi="Times New Roman" w:cs="Times New Roman"/>
      <w:b/>
      <w:bCs/>
      <w:sz w:val="24"/>
      <w:szCs w:val="20"/>
      <w:lang w:val="es-ES"/>
    </w:rPr>
  </w:style>
  <w:style w:type="character" w:styleId="Hyperlink">
    <w:name w:val="Hyperlink"/>
    <w:basedOn w:val="DefaultParagraphFont"/>
    <w:uiPriority w:val="99"/>
    <w:rsid w:val="00891BB1"/>
    <w:rPr>
      <w:color w:val="0000FF"/>
      <w:u w:val="single"/>
    </w:rPr>
  </w:style>
  <w:style w:type="paragraph" w:styleId="ListParagraph">
    <w:name w:val="List Paragraph"/>
    <w:basedOn w:val="Normal"/>
    <w:link w:val="ListParagraphChar"/>
    <w:uiPriority w:val="34"/>
    <w:qFormat/>
    <w:rsid w:val="00731137"/>
    <w:pPr>
      <w:ind w:left="720"/>
      <w:contextualSpacing/>
    </w:pPr>
  </w:style>
  <w:style w:type="paragraph" w:customStyle="1" w:styleId="subpar">
    <w:name w:val="subpar"/>
    <w:basedOn w:val="BodyTextIndent3"/>
    <w:rsid w:val="002D1E15"/>
    <w:pPr>
      <w:tabs>
        <w:tab w:val="num" w:pos="1152"/>
      </w:tabs>
      <w:spacing w:before="120"/>
      <w:ind w:left="1152" w:hanging="432"/>
      <w:jc w:val="both"/>
      <w:outlineLvl w:val="2"/>
    </w:pPr>
    <w:rPr>
      <w:sz w:val="24"/>
      <w:szCs w:val="20"/>
    </w:rPr>
  </w:style>
  <w:style w:type="paragraph" w:customStyle="1" w:styleId="SubSubPar">
    <w:name w:val="SubSubPar"/>
    <w:basedOn w:val="subpar"/>
    <w:rsid w:val="002D1E15"/>
  </w:style>
  <w:style w:type="character" w:customStyle="1" w:styleId="ParagraphChar">
    <w:name w:val="Paragraph Char"/>
    <w:aliases w:val="paragraph Char,p Char,PARAGRAPH Char,PG Char,pa Char,at Char"/>
    <w:basedOn w:val="DefaultParagraphFont"/>
    <w:link w:val="Paragraph"/>
    <w:locked/>
    <w:rsid w:val="002D1E15"/>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2D1E1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D1E15"/>
    <w:rPr>
      <w:rFonts w:ascii="Times New Roman" w:eastAsia="Times New Roman" w:hAnsi="Times New Roman" w:cs="Times New Roman"/>
      <w:sz w:val="16"/>
      <w:szCs w:val="16"/>
    </w:rPr>
  </w:style>
  <w:style w:type="paragraph" w:styleId="FootnoteText">
    <w:name w:val="footnote text"/>
    <w:aliases w:val="fn,single space,footnote text,foottextfra,footnote,F,Texto nota pie Car Car,texto de nota al pie,Nota a pie/Bibliog,Texto nota pie Car Car Car Car Car Car Car Car,Texto nota pie Car Car Car,f,FOOTNOTES,Footnote Text Char Char,ALTS FOOTNOTE"/>
    <w:basedOn w:val="Normal"/>
    <w:link w:val="FootnoteTextChar1"/>
    <w:uiPriority w:val="99"/>
    <w:qFormat/>
    <w:rsid w:val="002D1E15"/>
    <w:rPr>
      <w:sz w:val="20"/>
      <w:szCs w:val="20"/>
    </w:rPr>
  </w:style>
  <w:style w:type="character" w:customStyle="1" w:styleId="FootnoteTextChar">
    <w:name w:val="Footnote Text Char"/>
    <w:aliases w:val="foottextfra Char,footnote Char,F Char,Texto nota pie Car Car Char,texto de nota al pie Char,Nota a pie/Bibliog Char,Texto nota pie Car Car Car Car Car Car Car Car Char,Texto nota pie Car Car Car Char,Texto de rodapé Char,fn Char1"/>
    <w:basedOn w:val="DefaultParagraphFont"/>
    <w:uiPriority w:val="99"/>
    <w:rsid w:val="002D1E15"/>
    <w:rPr>
      <w:rFonts w:ascii="Times New Roman" w:eastAsia="Times New Roman" w:hAnsi="Times New Roman" w:cs="Times New Roman"/>
      <w:sz w:val="20"/>
      <w:szCs w:val="20"/>
    </w:rPr>
  </w:style>
  <w:style w:type="character" w:styleId="FootnoteReference">
    <w:name w:val="footnote reference"/>
    <w:aliases w:val="referencia nota al pie,ftref,16 Point,Superscript 6 Point,FC,Ref,de nota al pie,(Ref. de nota al pie),Fußnotenzeichen DISS,Style 24,Appel note de bas de page,Ref. de nota al pie.,Footnote Referencefra,Referência de rodapé,titulo 2"/>
    <w:basedOn w:val="DefaultParagraphFont"/>
    <w:uiPriority w:val="99"/>
    <w:qFormat/>
    <w:rsid w:val="002D1E15"/>
    <w:rPr>
      <w:vertAlign w:val="superscript"/>
    </w:rPr>
  </w:style>
  <w:style w:type="character" w:customStyle="1" w:styleId="FootnoteTextChar1">
    <w:name w:val="Footnote Text Char1"/>
    <w:aliases w:val="fn Char,single space Char,footnote text Char,foottextfra Char1,footnote Char1,F Char1,Texto nota pie Car Car Char1,texto de nota al pie Char1,Nota a pie/Bibliog Char1,Texto nota pie Car Car Car Car Car Car Car Car Char1,f Char"/>
    <w:basedOn w:val="DefaultParagraphFont"/>
    <w:link w:val="FootnoteText"/>
    <w:uiPriority w:val="99"/>
    <w:locked/>
    <w:rsid w:val="002D1E15"/>
    <w:rPr>
      <w:rFonts w:ascii="Times New Roman" w:eastAsia="Times New Roman" w:hAnsi="Times New Roman" w:cs="Times New Roman"/>
      <w:sz w:val="20"/>
      <w:szCs w:val="20"/>
    </w:rPr>
  </w:style>
  <w:style w:type="paragraph" w:customStyle="1" w:styleId="heading-b24">
    <w:name w:val="heading-b24"/>
    <w:basedOn w:val="Normal"/>
    <w:next w:val="Normal"/>
    <w:rsid w:val="00396984"/>
    <w:pPr>
      <w:spacing w:after="600"/>
      <w:jc w:val="center"/>
    </w:pPr>
    <w:rPr>
      <w:rFonts w:ascii="Times New Roman Bold" w:hAnsi="Times New Roman Bold"/>
      <w:b/>
      <w:smallCaps/>
      <w:spacing w:val="-3"/>
      <w:szCs w:val="20"/>
      <w:lang w:val="es-ES_tradnl"/>
    </w:rPr>
  </w:style>
  <w:style w:type="character" w:styleId="Strong">
    <w:name w:val="Strong"/>
    <w:basedOn w:val="DefaultParagraphFont"/>
    <w:uiPriority w:val="22"/>
    <w:qFormat/>
    <w:rsid w:val="00396984"/>
    <w:rPr>
      <w:b/>
      <w:bCs/>
    </w:rPr>
  </w:style>
  <w:style w:type="character" w:styleId="CommentReference">
    <w:name w:val="annotation reference"/>
    <w:basedOn w:val="DefaultParagraphFont"/>
    <w:unhideWhenUsed/>
    <w:rsid w:val="00CD6C31"/>
    <w:rPr>
      <w:sz w:val="16"/>
      <w:szCs w:val="16"/>
    </w:rPr>
  </w:style>
  <w:style w:type="paragraph" w:styleId="CommentText">
    <w:name w:val="annotation text"/>
    <w:basedOn w:val="Normal"/>
    <w:link w:val="CommentTextChar"/>
    <w:unhideWhenUsed/>
    <w:rsid w:val="00CD6C31"/>
    <w:rPr>
      <w:sz w:val="20"/>
      <w:szCs w:val="20"/>
    </w:rPr>
  </w:style>
  <w:style w:type="character" w:customStyle="1" w:styleId="CommentTextChar">
    <w:name w:val="Comment Text Char"/>
    <w:basedOn w:val="DefaultParagraphFont"/>
    <w:link w:val="CommentText"/>
    <w:rsid w:val="00CD6C31"/>
    <w:rPr>
      <w:rFonts w:ascii="Times New Roman" w:eastAsia="Times New Roman" w:hAnsi="Times New Roman" w:cs="Times New Roman"/>
      <w:sz w:val="20"/>
      <w:szCs w:val="20"/>
    </w:rPr>
  </w:style>
  <w:style w:type="character" w:customStyle="1" w:styleId="NoSpacingChar">
    <w:name w:val="No Spacing Char"/>
    <w:link w:val="NoSpacing"/>
    <w:uiPriority w:val="1"/>
    <w:rsid w:val="0047412F"/>
  </w:style>
  <w:style w:type="paragraph" w:styleId="Title">
    <w:name w:val="Title"/>
    <w:basedOn w:val="Normal"/>
    <w:link w:val="TitleChar"/>
    <w:qFormat/>
    <w:rsid w:val="0047412F"/>
    <w:pPr>
      <w:tabs>
        <w:tab w:val="left" w:pos="1440"/>
        <w:tab w:val="left" w:pos="3060"/>
      </w:tabs>
      <w:jc w:val="center"/>
      <w:outlineLvl w:val="0"/>
    </w:pPr>
    <w:rPr>
      <w:lang w:val="es-ES" w:eastAsia="x-none"/>
    </w:rPr>
  </w:style>
  <w:style w:type="character" w:customStyle="1" w:styleId="TitleChar">
    <w:name w:val="Title Char"/>
    <w:basedOn w:val="DefaultParagraphFont"/>
    <w:link w:val="Title"/>
    <w:rsid w:val="0047412F"/>
    <w:rPr>
      <w:rFonts w:ascii="Times New Roman" w:eastAsia="Times New Roman" w:hAnsi="Times New Roman" w:cs="Times New Roman"/>
      <w:sz w:val="24"/>
      <w:szCs w:val="24"/>
      <w:lang w:val="es-ES" w:eastAsia="x-none"/>
    </w:rPr>
  </w:style>
  <w:style w:type="paragraph" w:customStyle="1" w:styleId="FirstHeading">
    <w:name w:val="FirstHeading"/>
    <w:basedOn w:val="Normal"/>
    <w:link w:val="FirstHeadingChar"/>
    <w:uiPriority w:val="99"/>
    <w:rsid w:val="0047412F"/>
    <w:pPr>
      <w:keepNext/>
      <w:numPr>
        <w:numId w:val="2"/>
      </w:numPr>
      <w:tabs>
        <w:tab w:val="left" w:pos="0"/>
        <w:tab w:val="left" w:pos="90"/>
      </w:tabs>
      <w:spacing w:before="120" w:after="120"/>
    </w:pPr>
    <w:rPr>
      <w:rFonts w:eastAsia="Batang"/>
      <w:b/>
      <w:szCs w:val="20"/>
      <w:lang w:val="es-ES"/>
    </w:rPr>
  </w:style>
  <w:style w:type="paragraph" w:customStyle="1" w:styleId="SecHeading">
    <w:name w:val="SecHeading"/>
    <w:basedOn w:val="Normal"/>
    <w:next w:val="Normal"/>
    <w:uiPriority w:val="99"/>
    <w:rsid w:val="0047412F"/>
    <w:pPr>
      <w:keepNext/>
      <w:numPr>
        <w:ilvl w:val="1"/>
        <w:numId w:val="2"/>
      </w:numPr>
      <w:spacing w:before="120" w:after="120"/>
    </w:pPr>
    <w:rPr>
      <w:rFonts w:eastAsia="Batang"/>
      <w:b/>
      <w:szCs w:val="20"/>
      <w:lang w:val="es-ES_tradnl"/>
    </w:rPr>
  </w:style>
  <w:style w:type="paragraph" w:customStyle="1" w:styleId="SubHeading1">
    <w:name w:val="SubHeading1"/>
    <w:basedOn w:val="SecHeading"/>
    <w:uiPriority w:val="99"/>
    <w:rsid w:val="0047412F"/>
    <w:pPr>
      <w:numPr>
        <w:ilvl w:val="2"/>
      </w:numPr>
    </w:pPr>
  </w:style>
  <w:style w:type="paragraph" w:customStyle="1" w:styleId="Subheading2">
    <w:name w:val="Subheading2"/>
    <w:basedOn w:val="SecHeading"/>
    <w:uiPriority w:val="99"/>
    <w:rsid w:val="0047412F"/>
    <w:pPr>
      <w:numPr>
        <w:ilvl w:val="3"/>
      </w:numPr>
    </w:pPr>
  </w:style>
  <w:style w:type="paragraph" w:styleId="CommentSubject">
    <w:name w:val="annotation subject"/>
    <w:basedOn w:val="CommentText"/>
    <w:next w:val="CommentText"/>
    <w:link w:val="CommentSubjectChar"/>
    <w:uiPriority w:val="99"/>
    <w:semiHidden/>
    <w:unhideWhenUsed/>
    <w:rsid w:val="00A6072B"/>
    <w:rPr>
      <w:b/>
      <w:bCs/>
    </w:rPr>
  </w:style>
  <w:style w:type="character" w:customStyle="1" w:styleId="CommentSubjectChar">
    <w:name w:val="Comment Subject Char"/>
    <w:basedOn w:val="CommentTextChar"/>
    <w:link w:val="CommentSubject"/>
    <w:uiPriority w:val="99"/>
    <w:semiHidden/>
    <w:rsid w:val="00A6072B"/>
    <w:rPr>
      <w:rFonts w:ascii="Times New Roman" w:eastAsia="Times New Roman" w:hAnsi="Times New Roman" w:cs="Times New Roman"/>
      <w:b/>
      <w:bCs/>
      <w:sz w:val="20"/>
      <w:szCs w:val="20"/>
    </w:rPr>
  </w:style>
  <w:style w:type="paragraph" w:styleId="Revision">
    <w:name w:val="Revision"/>
    <w:hidden/>
    <w:uiPriority w:val="99"/>
    <w:semiHidden/>
    <w:rsid w:val="00A6072B"/>
    <w:pPr>
      <w:spacing w:after="0" w:line="240" w:lineRule="auto"/>
    </w:pPr>
    <w:rPr>
      <w:rFonts w:ascii="Times New Roman" w:eastAsia="Times New Roman" w:hAnsi="Times New Roman" w:cs="Times New Roman"/>
      <w:sz w:val="24"/>
      <w:szCs w:val="24"/>
    </w:rPr>
  </w:style>
  <w:style w:type="paragraph" w:customStyle="1" w:styleId="Newpage">
    <w:name w:val="Newpage"/>
    <w:basedOn w:val="Normal"/>
    <w:link w:val="NewpageChar"/>
    <w:rsid w:val="00CE79F7"/>
    <w:pPr>
      <w:tabs>
        <w:tab w:val="left" w:pos="1440"/>
        <w:tab w:val="left" w:pos="3060"/>
      </w:tabs>
      <w:jc w:val="center"/>
    </w:pPr>
    <w:rPr>
      <w:rFonts w:cs="Arial"/>
      <w:b/>
      <w:smallCaps/>
      <w:spacing w:val="-3"/>
      <w:szCs w:val="20"/>
      <w:lang w:val="es-ES_tradnl"/>
    </w:rPr>
  </w:style>
  <w:style w:type="character" w:customStyle="1" w:styleId="ParagraphCar">
    <w:name w:val="Paragraph Car"/>
    <w:rsid w:val="00911E00"/>
    <w:rPr>
      <w:sz w:val="24"/>
    </w:rPr>
  </w:style>
  <w:style w:type="character" w:customStyle="1" w:styleId="FirstHeadingChar">
    <w:name w:val="FirstHeading Char"/>
    <w:link w:val="FirstHeading"/>
    <w:uiPriority w:val="99"/>
    <w:rsid w:val="00911E00"/>
    <w:rPr>
      <w:rFonts w:ascii="Times New Roman" w:eastAsia="Batang" w:hAnsi="Times New Roman" w:cs="Times New Roman"/>
      <w:b/>
      <w:sz w:val="24"/>
      <w:szCs w:val="20"/>
      <w:lang w:val="es-ES"/>
    </w:rPr>
  </w:style>
  <w:style w:type="table" w:styleId="TableGrid">
    <w:name w:val="Table Grid"/>
    <w:basedOn w:val="TableNormal"/>
    <w:uiPriority w:val="39"/>
    <w:rsid w:val="002226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Car1">
    <w:name w:val="Paragraph Car1"/>
    <w:locked/>
    <w:rsid w:val="009727F1"/>
    <w:rPr>
      <w:sz w:val="24"/>
    </w:rPr>
  </w:style>
  <w:style w:type="paragraph" w:customStyle="1" w:styleId="Default">
    <w:name w:val="Default"/>
    <w:rsid w:val="005011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wpageChar">
    <w:name w:val="Newpage Char"/>
    <w:link w:val="Newpage"/>
    <w:rsid w:val="00480F0A"/>
    <w:rPr>
      <w:rFonts w:ascii="Times New Roman" w:eastAsia="Times New Roman" w:hAnsi="Times New Roman" w:cs="Arial"/>
      <w:b/>
      <w:smallCaps/>
      <w:spacing w:val="-3"/>
      <w:sz w:val="24"/>
      <w:szCs w:val="20"/>
      <w:lang w:val="es-ES_tradnl"/>
    </w:rPr>
  </w:style>
  <w:style w:type="character" w:customStyle="1" w:styleId="ListParagraphChar">
    <w:name w:val="List Paragraph Char"/>
    <w:link w:val="ListParagraph"/>
    <w:uiPriority w:val="34"/>
    <w:locked/>
    <w:rsid w:val="00422B81"/>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4B0002"/>
    <w:rPr>
      <w:rFonts w:eastAsiaTheme="minorEastAsia"/>
      <w:b/>
      <w:bCs/>
      <w:i/>
      <w:iCs/>
      <w:sz w:val="26"/>
      <w:szCs w:val="26"/>
    </w:rPr>
  </w:style>
  <w:style w:type="character" w:styleId="FollowedHyperlink">
    <w:name w:val="FollowedHyperlink"/>
    <w:basedOn w:val="DefaultParagraphFont"/>
    <w:uiPriority w:val="99"/>
    <w:semiHidden/>
    <w:unhideWhenUsed/>
    <w:rsid w:val="00281268"/>
    <w:rPr>
      <w:color w:val="800080" w:themeColor="followedHyperlink"/>
      <w:u w:val="single"/>
    </w:rPr>
  </w:style>
  <w:style w:type="paragraph" w:styleId="NormalWeb">
    <w:name w:val="Normal (Web)"/>
    <w:basedOn w:val="Normal"/>
    <w:uiPriority w:val="99"/>
    <w:semiHidden/>
    <w:unhideWhenUsed/>
    <w:rsid w:val="00465EA8"/>
    <w:pPr>
      <w:spacing w:before="100" w:beforeAutospacing="1" w:after="100" w:afterAutospacing="1"/>
    </w:pPr>
  </w:style>
  <w:style w:type="paragraph" w:styleId="BodyText2">
    <w:name w:val="Body Text 2"/>
    <w:basedOn w:val="Normal"/>
    <w:link w:val="BodyText2Char"/>
    <w:rsid w:val="00415E16"/>
    <w:pPr>
      <w:spacing w:after="120" w:line="480" w:lineRule="auto"/>
    </w:pPr>
    <w:rPr>
      <w:spacing w:val="-3"/>
      <w:szCs w:val="20"/>
      <w:lang w:val="es-ES_tradnl"/>
    </w:rPr>
  </w:style>
  <w:style w:type="character" w:customStyle="1" w:styleId="BodyText2Char">
    <w:name w:val="Body Text 2 Char"/>
    <w:basedOn w:val="DefaultParagraphFont"/>
    <w:link w:val="BodyText2"/>
    <w:rsid w:val="00415E16"/>
    <w:rPr>
      <w:rFonts w:ascii="Times New Roman" w:eastAsia="Times New Roman" w:hAnsi="Times New Roman" w:cs="Times New Roman"/>
      <w:spacing w:val="-3"/>
      <w:sz w:val="24"/>
      <w:szCs w:val="20"/>
      <w:lang w:val="es-ES_tradnl"/>
    </w:rPr>
  </w:style>
  <w:style w:type="paragraph" w:styleId="BodyText3">
    <w:name w:val="Body Text 3"/>
    <w:basedOn w:val="Normal"/>
    <w:link w:val="BodyText3Char"/>
    <w:uiPriority w:val="99"/>
    <w:rsid w:val="00377B03"/>
    <w:rPr>
      <w:szCs w:val="20"/>
      <w:lang w:val="es-ES_tradnl" w:eastAsia="es-ES"/>
    </w:rPr>
  </w:style>
  <w:style w:type="character" w:customStyle="1" w:styleId="BodyText3Char">
    <w:name w:val="Body Text 3 Char"/>
    <w:basedOn w:val="DefaultParagraphFont"/>
    <w:link w:val="BodyText3"/>
    <w:uiPriority w:val="99"/>
    <w:rsid w:val="00377B03"/>
    <w:rPr>
      <w:rFonts w:ascii="Times New Roman" w:eastAsia="Times New Roman" w:hAnsi="Times New Roman" w:cs="Times New Roman"/>
      <w:sz w:val="24"/>
      <w:szCs w:val="20"/>
      <w:lang w:val="es-ES_tradnl" w:eastAsia="es-ES"/>
    </w:rPr>
  </w:style>
  <w:style w:type="paragraph" w:customStyle="1" w:styleId="Bullet">
    <w:name w:val="Bullet"/>
    <w:basedOn w:val="ListParagraph"/>
    <w:qFormat/>
    <w:rsid w:val="00377B03"/>
    <w:pPr>
      <w:numPr>
        <w:numId w:val="12"/>
      </w:numPr>
      <w:spacing w:before="120"/>
      <w:contextualSpacing w:val="0"/>
    </w:pPr>
    <w:rPr>
      <w:rFonts w:eastAsiaTheme="minorHAnsi" w:cstheme="minorBidi"/>
      <w:szCs w:val="22"/>
    </w:rPr>
  </w:style>
  <w:style w:type="paragraph" w:customStyle="1" w:styleId="Banknumbered">
    <w:name w:val="Bank numbered"/>
    <w:qFormat/>
    <w:rsid w:val="00377B03"/>
    <w:pPr>
      <w:numPr>
        <w:numId w:val="11"/>
      </w:numPr>
      <w:spacing w:before="120" w:after="0" w:line="240" w:lineRule="auto"/>
      <w:ind w:left="0" w:firstLine="0"/>
    </w:pPr>
    <w:rPr>
      <w:rFonts w:ascii="Times New Roman" w:hAnsi="Times New Roman"/>
      <w:sz w:val="24"/>
      <w:szCs w:val="24"/>
    </w:rPr>
  </w:style>
  <w:style w:type="paragraph" w:styleId="EndnoteText">
    <w:name w:val="endnote text"/>
    <w:basedOn w:val="Normal"/>
    <w:link w:val="EndnoteTextChar"/>
    <w:uiPriority w:val="99"/>
    <w:semiHidden/>
    <w:unhideWhenUsed/>
    <w:rsid w:val="00377B03"/>
    <w:rPr>
      <w:sz w:val="20"/>
      <w:szCs w:val="20"/>
    </w:rPr>
  </w:style>
  <w:style w:type="character" w:customStyle="1" w:styleId="EndnoteTextChar">
    <w:name w:val="Endnote Text Char"/>
    <w:basedOn w:val="DefaultParagraphFont"/>
    <w:link w:val="EndnoteText"/>
    <w:uiPriority w:val="99"/>
    <w:semiHidden/>
    <w:rsid w:val="00377B0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77B03"/>
    <w:rPr>
      <w:vertAlign w:val="superscript"/>
    </w:rPr>
  </w:style>
  <w:style w:type="character" w:customStyle="1" w:styleId="apple-converted-space">
    <w:name w:val="apple-converted-space"/>
    <w:basedOn w:val="DefaultParagraphFont"/>
    <w:rsid w:val="00377B03"/>
  </w:style>
  <w:style w:type="character" w:customStyle="1" w:styleId="Estilo1Car">
    <w:name w:val="Estilo1 Car"/>
    <w:basedOn w:val="DefaultParagraphFont"/>
    <w:link w:val="Estilo1"/>
    <w:locked/>
    <w:rsid w:val="00377B03"/>
    <w:rPr>
      <w:rFonts w:ascii="Times New Roman" w:eastAsiaTheme="majorEastAsia" w:hAnsi="Times New Roman" w:cstheme="majorBidi"/>
      <w:sz w:val="24"/>
      <w:szCs w:val="24"/>
      <w:lang w:bidi="en-US"/>
    </w:rPr>
  </w:style>
  <w:style w:type="paragraph" w:customStyle="1" w:styleId="Estilo1">
    <w:name w:val="Estilo1"/>
    <w:basedOn w:val="Normal"/>
    <w:link w:val="Estilo1Car"/>
    <w:qFormat/>
    <w:rsid w:val="00377B03"/>
    <w:pPr>
      <w:spacing w:before="120" w:after="320"/>
      <w:ind w:firstLine="284"/>
      <w:jc w:val="both"/>
    </w:pPr>
    <w:rPr>
      <w:rFonts w:eastAsiaTheme="majorEastAsia" w:cstheme="majorBidi"/>
      <w:lang w:bidi="en-US"/>
    </w:rPr>
  </w:style>
  <w:style w:type="paragraph" w:styleId="TOCHeading">
    <w:name w:val="TOC Heading"/>
    <w:basedOn w:val="Heading1"/>
    <w:next w:val="Normal"/>
    <w:uiPriority w:val="39"/>
    <w:unhideWhenUsed/>
    <w:qFormat/>
    <w:rsid w:val="00377B03"/>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lang w:val="es-CL" w:eastAsia="es-CL"/>
    </w:rPr>
  </w:style>
  <w:style w:type="paragraph" w:styleId="TOC1">
    <w:name w:val="toc 1"/>
    <w:basedOn w:val="Normal"/>
    <w:next w:val="Normal"/>
    <w:autoRedefine/>
    <w:uiPriority w:val="39"/>
    <w:unhideWhenUsed/>
    <w:rsid w:val="00377B03"/>
    <w:pPr>
      <w:spacing w:after="100"/>
    </w:pPr>
    <w:rPr>
      <w:rFonts w:eastAsiaTheme="minorHAnsi"/>
      <w:lang w:val="es-CL" w:eastAsia="es-CL"/>
    </w:rPr>
  </w:style>
  <w:style w:type="paragraph" w:styleId="TOC2">
    <w:name w:val="toc 2"/>
    <w:basedOn w:val="Normal"/>
    <w:next w:val="Normal"/>
    <w:autoRedefine/>
    <w:uiPriority w:val="39"/>
    <w:unhideWhenUsed/>
    <w:rsid w:val="00377B03"/>
    <w:pPr>
      <w:spacing w:after="100"/>
      <w:ind w:left="240"/>
    </w:pPr>
    <w:rPr>
      <w:rFonts w:eastAsiaTheme="minorHAnsi"/>
      <w:lang w:val="es-CL" w:eastAsia="es-CL"/>
    </w:rPr>
  </w:style>
  <w:style w:type="paragraph" w:styleId="TOC3">
    <w:name w:val="toc 3"/>
    <w:basedOn w:val="Normal"/>
    <w:next w:val="Normal"/>
    <w:autoRedefine/>
    <w:uiPriority w:val="39"/>
    <w:unhideWhenUsed/>
    <w:rsid w:val="00377B03"/>
    <w:pPr>
      <w:spacing w:after="100"/>
      <w:ind w:left="480"/>
    </w:pPr>
    <w:rPr>
      <w:rFonts w:eastAsiaTheme="minorHAnsi"/>
      <w:lang w:val="es-CL" w:eastAsia="es-CL"/>
    </w:rPr>
  </w:style>
  <w:style w:type="character" w:customStyle="1" w:styleId="a">
    <w:name w:val="a"/>
    <w:basedOn w:val="DefaultParagraphFont"/>
    <w:rsid w:val="00377B03"/>
  </w:style>
  <w:style w:type="paragraph" w:styleId="Caption">
    <w:name w:val="caption"/>
    <w:basedOn w:val="Normal"/>
    <w:next w:val="Normal"/>
    <w:uiPriority w:val="35"/>
    <w:unhideWhenUsed/>
    <w:qFormat/>
    <w:rsid w:val="00EA0363"/>
    <w:pPr>
      <w:spacing w:after="200"/>
    </w:pPr>
    <w:rPr>
      <w:rFonts w:asciiTheme="minorHAnsi" w:eastAsiaTheme="minorHAnsi" w:hAnsiTheme="minorHAnsi" w:cstheme="minorBidi"/>
      <w:b/>
      <w:bCs/>
      <w:color w:val="4F81BD" w:themeColor="accent1"/>
      <w:sz w:val="18"/>
      <w:szCs w:val="18"/>
      <w:lang w:val="es-ES"/>
    </w:rPr>
  </w:style>
  <w:style w:type="character" w:customStyle="1" w:styleId="UnresolvedMention">
    <w:name w:val="Unresolved Mention"/>
    <w:basedOn w:val="DefaultParagraphFont"/>
    <w:uiPriority w:val="99"/>
    <w:semiHidden/>
    <w:unhideWhenUsed/>
    <w:rsid w:val="00BC49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343293">
      <w:bodyDiv w:val="1"/>
      <w:marLeft w:val="0"/>
      <w:marRight w:val="0"/>
      <w:marTop w:val="0"/>
      <w:marBottom w:val="0"/>
      <w:divBdr>
        <w:top w:val="none" w:sz="0" w:space="0" w:color="auto"/>
        <w:left w:val="none" w:sz="0" w:space="0" w:color="auto"/>
        <w:bottom w:val="none" w:sz="0" w:space="0" w:color="auto"/>
        <w:right w:val="none" w:sz="0" w:space="0" w:color="auto"/>
      </w:divBdr>
    </w:div>
    <w:div w:id="482161392">
      <w:bodyDiv w:val="1"/>
      <w:marLeft w:val="0"/>
      <w:marRight w:val="0"/>
      <w:marTop w:val="0"/>
      <w:marBottom w:val="0"/>
      <w:divBdr>
        <w:top w:val="none" w:sz="0" w:space="0" w:color="auto"/>
        <w:left w:val="none" w:sz="0" w:space="0" w:color="auto"/>
        <w:bottom w:val="none" w:sz="0" w:space="0" w:color="auto"/>
        <w:right w:val="none" w:sz="0" w:space="0" w:color="auto"/>
      </w:divBdr>
    </w:div>
    <w:div w:id="547448528">
      <w:bodyDiv w:val="1"/>
      <w:marLeft w:val="0"/>
      <w:marRight w:val="0"/>
      <w:marTop w:val="0"/>
      <w:marBottom w:val="0"/>
      <w:divBdr>
        <w:top w:val="none" w:sz="0" w:space="0" w:color="auto"/>
        <w:left w:val="none" w:sz="0" w:space="0" w:color="auto"/>
        <w:bottom w:val="none" w:sz="0" w:space="0" w:color="auto"/>
        <w:right w:val="none" w:sz="0" w:space="0" w:color="auto"/>
      </w:divBdr>
      <w:divsChild>
        <w:div w:id="1068192800">
          <w:marLeft w:val="994"/>
          <w:marRight w:val="0"/>
          <w:marTop w:val="0"/>
          <w:marBottom w:val="101"/>
          <w:divBdr>
            <w:top w:val="none" w:sz="0" w:space="0" w:color="auto"/>
            <w:left w:val="none" w:sz="0" w:space="0" w:color="auto"/>
            <w:bottom w:val="none" w:sz="0" w:space="0" w:color="auto"/>
            <w:right w:val="none" w:sz="0" w:space="0" w:color="auto"/>
          </w:divBdr>
        </w:div>
        <w:div w:id="2029915153">
          <w:marLeft w:val="994"/>
          <w:marRight w:val="0"/>
          <w:marTop w:val="0"/>
          <w:marBottom w:val="101"/>
          <w:divBdr>
            <w:top w:val="none" w:sz="0" w:space="0" w:color="auto"/>
            <w:left w:val="none" w:sz="0" w:space="0" w:color="auto"/>
            <w:bottom w:val="none" w:sz="0" w:space="0" w:color="auto"/>
            <w:right w:val="none" w:sz="0" w:space="0" w:color="auto"/>
          </w:divBdr>
        </w:div>
        <w:div w:id="97482374">
          <w:marLeft w:val="994"/>
          <w:marRight w:val="0"/>
          <w:marTop w:val="0"/>
          <w:marBottom w:val="101"/>
          <w:divBdr>
            <w:top w:val="none" w:sz="0" w:space="0" w:color="auto"/>
            <w:left w:val="none" w:sz="0" w:space="0" w:color="auto"/>
            <w:bottom w:val="none" w:sz="0" w:space="0" w:color="auto"/>
            <w:right w:val="none" w:sz="0" w:space="0" w:color="auto"/>
          </w:divBdr>
        </w:div>
      </w:divsChild>
    </w:div>
    <w:div w:id="652871791">
      <w:bodyDiv w:val="1"/>
      <w:marLeft w:val="0"/>
      <w:marRight w:val="0"/>
      <w:marTop w:val="0"/>
      <w:marBottom w:val="0"/>
      <w:divBdr>
        <w:top w:val="none" w:sz="0" w:space="0" w:color="auto"/>
        <w:left w:val="none" w:sz="0" w:space="0" w:color="auto"/>
        <w:bottom w:val="none" w:sz="0" w:space="0" w:color="auto"/>
        <w:right w:val="none" w:sz="0" w:space="0" w:color="auto"/>
      </w:divBdr>
    </w:div>
    <w:div w:id="690494743">
      <w:bodyDiv w:val="1"/>
      <w:marLeft w:val="0"/>
      <w:marRight w:val="0"/>
      <w:marTop w:val="0"/>
      <w:marBottom w:val="0"/>
      <w:divBdr>
        <w:top w:val="none" w:sz="0" w:space="0" w:color="auto"/>
        <w:left w:val="none" w:sz="0" w:space="0" w:color="auto"/>
        <w:bottom w:val="none" w:sz="0" w:space="0" w:color="auto"/>
        <w:right w:val="none" w:sz="0" w:space="0" w:color="auto"/>
      </w:divBdr>
    </w:div>
    <w:div w:id="876890506">
      <w:bodyDiv w:val="1"/>
      <w:marLeft w:val="0"/>
      <w:marRight w:val="0"/>
      <w:marTop w:val="0"/>
      <w:marBottom w:val="0"/>
      <w:divBdr>
        <w:top w:val="none" w:sz="0" w:space="0" w:color="auto"/>
        <w:left w:val="none" w:sz="0" w:space="0" w:color="auto"/>
        <w:bottom w:val="none" w:sz="0" w:space="0" w:color="auto"/>
        <w:right w:val="none" w:sz="0" w:space="0" w:color="auto"/>
      </w:divBdr>
    </w:div>
    <w:div w:id="1128202982">
      <w:bodyDiv w:val="1"/>
      <w:marLeft w:val="0"/>
      <w:marRight w:val="0"/>
      <w:marTop w:val="0"/>
      <w:marBottom w:val="0"/>
      <w:divBdr>
        <w:top w:val="none" w:sz="0" w:space="0" w:color="auto"/>
        <w:left w:val="none" w:sz="0" w:space="0" w:color="auto"/>
        <w:bottom w:val="none" w:sz="0" w:space="0" w:color="auto"/>
        <w:right w:val="none" w:sz="0" w:space="0" w:color="auto"/>
      </w:divBdr>
    </w:div>
    <w:div w:id="1225870904">
      <w:bodyDiv w:val="1"/>
      <w:marLeft w:val="0"/>
      <w:marRight w:val="0"/>
      <w:marTop w:val="0"/>
      <w:marBottom w:val="0"/>
      <w:divBdr>
        <w:top w:val="none" w:sz="0" w:space="0" w:color="auto"/>
        <w:left w:val="none" w:sz="0" w:space="0" w:color="auto"/>
        <w:bottom w:val="none" w:sz="0" w:space="0" w:color="auto"/>
        <w:right w:val="none" w:sz="0" w:space="0" w:color="auto"/>
      </w:divBdr>
      <w:divsChild>
        <w:div w:id="1811744789">
          <w:marLeft w:val="994"/>
          <w:marRight w:val="0"/>
          <w:marTop w:val="0"/>
          <w:marBottom w:val="101"/>
          <w:divBdr>
            <w:top w:val="none" w:sz="0" w:space="0" w:color="auto"/>
            <w:left w:val="none" w:sz="0" w:space="0" w:color="auto"/>
            <w:bottom w:val="none" w:sz="0" w:space="0" w:color="auto"/>
            <w:right w:val="none" w:sz="0" w:space="0" w:color="auto"/>
          </w:divBdr>
        </w:div>
        <w:div w:id="133759551">
          <w:marLeft w:val="994"/>
          <w:marRight w:val="0"/>
          <w:marTop w:val="0"/>
          <w:marBottom w:val="101"/>
          <w:divBdr>
            <w:top w:val="none" w:sz="0" w:space="0" w:color="auto"/>
            <w:left w:val="none" w:sz="0" w:space="0" w:color="auto"/>
            <w:bottom w:val="none" w:sz="0" w:space="0" w:color="auto"/>
            <w:right w:val="none" w:sz="0" w:space="0" w:color="auto"/>
          </w:divBdr>
        </w:div>
        <w:div w:id="1072656663">
          <w:marLeft w:val="994"/>
          <w:marRight w:val="0"/>
          <w:marTop w:val="0"/>
          <w:marBottom w:val="101"/>
          <w:divBdr>
            <w:top w:val="none" w:sz="0" w:space="0" w:color="auto"/>
            <w:left w:val="none" w:sz="0" w:space="0" w:color="auto"/>
            <w:bottom w:val="none" w:sz="0" w:space="0" w:color="auto"/>
            <w:right w:val="none" w:sz="0" w:space="0" w:color="auto"/>
          </w:divBdr>
        </w:div>
        <w:div w:id="879513947">
          <w:marLeft w:val="994"/>
          <w:marRight w:val="0"/>
          <w:marTop w:val="0"/>
          <w:marBottom w:val="101"/>
          <w:divBdr>
            <w:top w:val="none" w:sz="0" w:space="0" w:color="auto"/>
            <w:left w:val="none" w:sz="0" w:space="0" w:color="auto"/>
            <w:bottom w:val="none" w:sz="0" w:space="0" w:color="auto"/>
            <w:right w:val="none" w:sz="0" w:space="0" w:color="auto"/>
          </w:divBdr>
        </w:div>
        <w:div w:id="743719811">
          <w:marLeft w:val="994"/>
          <w:marRight w:val="0"/>
          <w:marTop w:val="0"/>
          <w:marBottom w:val="101"/>
          <w:divBdr>
            <w:top w:val="none" w:sz="0" w:space="0" w:color="auto"/>
            <w:left w:val="none" w:sz="0" w:space="0" w:color="auto"/>
            <w:bottom w:val="none" w:sz="0" w:space="0" w:color="auto"/>
            <w:right w:val="none" w:sz="0" w:space="0" w:color="auto"/>
          </w:divBdr>
        </w:div>
        <w:div w:id="162203313">
          <w:marLeft w:val="994"/>
          <w:marRight w:val="0"/>
          <w:marTop w:val="0"/>
          <w:marBottom w:val="101"/>
          <w:divBdr>
            <w:top w:val="none" w:sz="0" w:space="0" w:color="auto"/>
            <w:left w:val="none" w:sz="0" w:space="0" w:color="auto"/>
            <w:bottom w:val="none" w:sz="0" w:space="0" w:color="auto"/>
            <w:right w:val="none" w:sz="0" w:space="0" w:color="auto"/>
          </w:divBdr>
        </w:div>
        <w:div w:id="791095244">
          <w:marLeft w:val="994"/>
          <w:marRight w:val="0"/>
          <w:marTop w:val="0"/>
          <w:marBottom w:val="101"/>
          <w:divBdr>
            <w:top w:val="none" w:sz="0" w:space="0" w:color="auto"/>
            <w:left w:val="none" w:sz="0" w:space="0" w:color="auto"/>
            <w:bottom w:val="none" w:sz="0" w:space="0" w:color="auto"/>
            <w:right w:val="none" w:sz="0" w:space="0" w:color="auto"/>
          </w:divBdr>
        </w:div>
      </w:divsChild>
    </w:div>
    <w:div w:id="1500001832">
      <w:bodyDiv w:val="1"/>
      <w:marLeft w:val="0"/>
      <w:marRight w:val="0"/>
      <w:marTop w:val="0"/>
      <w:marBottom w:val="0"/>
      <w:divBdr>
        <w:top w:val="none" w:sz="0" w:space="0" w:color="auto"/>
        <w:left w:val="none" w:sz="0" w:space="0" w:color="auto"/>
        <w:bottom w:val="none" w:sz="0" w:space="0" w:color="auto"/>
        <w:right w:val="none" w:sz="0" w:space="0" w:color="auto"/>
      </w:divBdr>
      <w:divsChild>
        <w:div w:id="1326856114">
          <w:marLeft w:val="994"/>
          <w:marRight w:val="0"/>
          <w:marTop w:val="0"/>
          <w:marBottom w:val="101"/>
          <w:divBdr>
            <w:top w:val="none" w:sz="0" w:space="0" w:color="auto"/>
            <w:left w:val="none" w:sz="0" w:space="0" w:color="auto"/>
            <w:bottom w:val="none" w:sz="0" w:space="0" w:color="auto"/>
            <w:right w:val="none" w:sz="0" w:space="0" w:color="auto"/>
          </w:divBdr>
        </w:div>
        <w:div w:id="932981201">
          <w:marLeft w:val="994"/>
          <w:marRight w:val="0"/>
          <w:marTop w:val="0"/>
          <w:marBottom w:val="101"/>
          <w:divBdr>
            <w:top w:val="none" w:sz="0" w:space="0" w:color="auto"/>
            <w:left w:val="none" w:sz="0" w:space="0" w:color="auto"/>
            <w:bottom w:val="none" w:sz="0" w:space="0" w:color="auto"/>
            <w:right w:val="none" w:sz="0" w:space="0" w:color="auto"/>
          </w:divBdr>
        </w:div>
      </w:divsChild>
    </w:div>
    <w:div w:id="1753165976">
      <w:bodyDiv w:val="1"/>
      <w:marLeft w:val="0"/>
      <w:marRight w:val="0"/>
      <w:marTop w:val="0"/>
      <w:marBottom w:val="0"/>
      <w:divBdr>
        <w:top w:val="none" w:sz="0" w:space="0" w:color="auto"/>
        <w:left w:val="none" w:sz="0" w:space="0" w:color="auto"/>
        <w:bottom w:val="none" w:sz="0" w:space="0" w:color="auto"/>
        <w:right w:val="none" w:sz="0" w:space="0" w:color="auto"/>
      </w:divBdr>
      <w:divsChild>
        <w:div w:id="1959947762">
          <w:marLeft w:val="994"/>
          <w:marRight w:val="0"/>
          <w:marTop w:val="0"/>
          <w:marBottom w:val="101"/>
          <w:divBdr>
            <w:top w:val="none" w:sz="0" w:space="0" w:color="auto"/>
            <w:left w:val="none" w:sz="0" w:space="0" w:color="auto"/>
            <w:bottom w:val="none" w:sz="0" w:space="0" w:color="auto"/>
            <w:right w:val="none" w:sz="0" w:space="0" w:color="auto"/>
          </w:divBdr>
        </w:div>
        <w:div w:id="236139118">
          <w:marLeft w:val="994"/>
          <w:marRight w:val="0"/>
          <w:marTop w:val="0"/>
          <w:marBottom w:val="101"/>
          <w:divBdr>
            <w:top w:val="none" w:sz="0" w:space="0" w:color="auto"/>
            <w:left w:val="none" w:sz="0" w:space="0" w:color="auto"/>
            <w:bottom w:val="none" w:sz="0" w:space="0" w:color="auto"/>
            <w:right w:val="none" w:sz="0" w:space="0" w:color="auto"/>
          </w:divBdr>
        </w:div>
        <w:div w:id="870995728">
          <w:marLeft w:val="994"/>
          <w:marRight w:val="0"/>
          <w:marTop w:val="0"/>
          <w:marBottom w:val="101"/>
          <w:divBdr>
            <w:top w:val="none" w:sz="0" w:space="0" w:color="auto"/>
            <w:left w:val="none" w:sz="0" w:space="0" w:color="auto"/>
            <w:bottom w:val="none" w:sz="0" w:space="0" w:color="auto"/>
            <w:right w:val="none" w:sz="0" w:space="0" w:color="auto"/>
          </w:divBdr>
        </w:div>
        <w:div w:id="712193018">
          <w:marLeft w:val="994"/>
          <w:marRight w:val="0"/>
          <w:marTop w:val="0"/>
          <w:marBottom w:val="101"/>
          <w:divBdr>
            <w:top w:val="none" w:sz="0" w:space="0" w:color="auto"/>
            <w:left w:val="none" w:sz="0" w:space="0" w:color="auto"/>
            <w:bottom w:val="none" w:sz="0" w:space="0" w:color="auto"/>
            <w:right w:val="none" w:sz="0" w:space="0" w:color="auto"/>
          </w:divBdr>
        </w:div>
        <w:div w:id="674579574">
          <w:marLeft w:val="994"/>
          <w:marRight w:val="0"/>
          <w:marTop w:val="0"/>
          <w:marBottom w:val="101"/>
          <w:divBdr>
            <w:top w:val="none" w:sz="0" w:space="0" w:color="auto"/>
            <w:left w:val="none" w:sz="0" w:space="0" w:color="auto"/>
            <w:bottom w:val="none" w:sz="0" w:space="0" w:color="auto"/>
            <w:right w:val="none" w:sz="0" w:space="0" w:color="auto"/>
          </w:divBdr>
        </w:div>
        <w:div w:id="1992562222">
          <w:marLeft w:val="994"/>
          <w:marRight w:val="0"/>
          <w:marTop w:val="0"/>
          <w:marBottom w:val="101"/>
          <w:divBdr>
            <w:top w:val="none" w:sz="0" w:space="0" w:color="auto"/>
            <w:left w:val="none" w:sz="0" w:space="0" w:color="auto"/>
            <w:bottom w:val="none" w:sz="0" w:space="0" w:color="auto"/>
            <w:right w:val="none" w:sz="0" w:space="0" w:color="auto"/>
          </w:divBdr>
        </w:div>
        <w:div w:id="1787583476">
          <w:marLeft w:val="994"/>
          <w:marRight w:val="0"/>
          <w:marTop w:val="0"/>
          <w:marBottom w:val="101"/>
          <w:divBdr>
            <w:top w:val="none" w:sz="0" w:space="0" w:color="auto"/>
            <w:left w:val="none" w:sz="0" w:space="0" w:color="auto"/>
            <w:bottom w:val="none" w:sz="0" w:space="0" w:color="auto"/>
            <w:right w:val="none" w:sz="0" w:space="0" w:color="auto"/>
          </w:divBdr>
        </w:div>
        <w:div w:id="806121111">
          <w:marLeft w:val="994"/>
          <w:marRight w:val="0"/>
          <w:marTop w:val="0"/>
          <w:marBottom w:val="101"/>
          <w:divBdr>
            <w:top w:val="none" w:sz="0" w:space="0" w:color="auto"/>
            <w:left w:val="none" w:sz="0" w:space="0" w:color="auto"/>
            <w:bottom w:val="none" w:sz="0" w:space="0" w:color="auto"/>
            <w:right w:val="none" w:sz="0" w:space="0" w:color="auto"/>
          </w:divBdr>
        </w:div>
        <w:div w:id="1260212526">
          <w:marLeft w:val="994"/>
          <w:marRight w:val="0"/>
          <w:marTop w:val="0"/>
          <w:marBottom w:val="101"/>
          <w:divBdr>
            <w:top w:val="none" w:sz="0" w:space="0" w:color="auto"/>
            <w:left w:val="none" w:sz="0" w:space="0" w:color="auto"/>
            <w:bottom w:val="none" w:sz="0" w:space="0" w:color="auto"/>
            <w:right w:val="none" w:sz="0" w:space="0" w:color="auto"/>
          </w:divBdr>
        </w:div>
      </w:divsChild>
    </w:div>
    <w:div w:id="1943299008">
      <w:bodyDiv w:val="1"/>
      <w:marLeft w:val="0"/>
      <w:marRight w:val="0"/>
      <w:marTop w:val="0"/>
      <w:marBottom w:val="0"/>
      <w:divBdr>
        <w:top w:val="none" w:sz="0" w:space="0" w:color="auto"/>
        <w:left w:val="none" w:sz="0" w:space="0" w:color="auto"/>
        <w:bottom w:val="none" w:sz="0" w:space="0" w:color="auto"/>
        <w:right w:val="none" w:sz="0" w:space="0" w:color="auto"/>
      </w:divBdr>
    </w:div>
    <w:div w:id="1994723736">
      <w:bodyDiv w:val="1"/>
      <w:marLeft w:val="0"/>
      <w:marRight w:val="0"/>
      <w:marTop w:val="0"/>
      <w:marBottom w:val="0"/>
      <w:divBdr>
        <w:top w:val="none" w:sz="0" w:space="0" w:color="auto"/>
        <w:left w:val="none" w:sz="0" w:space="0" w:color="auto"/>
        <w:bottom w:val="none" w:sz="0" w:space="0" w:color="auto"/>
        <w:right w:val="none" w:sz="0" w:space="0" w:color="auto"/>
      </w:divBdr>
      <w:divsChild>
        <w:div w:id="1818182208">
          <w:marLeft w:val="994"/>
          <w:marRight w:val="0"/>
          <w:marTop w:val="0"/>
          <w:marBottom w:val="101"/>
          <w:divBdr>
            <w:top w:val="none" w:sz="0" w:space="0" w:color="auto"/>
            <w:left w:val="none" w:sz="0" w:space="0" w:color="auto"/>
            <w:bottom w:val="none" w:sz="0" w:space="0" w:color="auto"/>
            <w:right w:val="none" w:sz="0" w:space="0" w:color="auto"/>
          </w:divBdr>
        </w:div>
        <w:div w:id="908270638">
          <w:marLeft w:val="994"/>
          <w:marRight w:val="0"/>
          <w:marTop w:val="0"/>
          <w:marBottom w:val="101"/>
          <w:divBdr>
            <w:top w:val="none" w:sz="0" w:space="0" w:color="auto"/>
            <w:left w:val="none" w:sz="0" w:space="0" w:color="auto"/>
            <w:bottom w:val="none" w:sz="0" w:space="0" w:color="auto"/>
            <w:right w:val="none" w:sz="0" w:space="0" w:color="auto"/>
          </w:divBdr>
        </w:div>
        <w:div w:id="681663613">
          <w:marLeft w:val="994"/>
          <w:marRight w:val="0"/>
          <w:marTop w:val="0"/>
          <w:marBottom w:val="101"/>
          <w:divBdr>
            <w:top w:val="none" w:sz="0" w:space="0" w:color="auto"/>
            <w:left w:val="none" w:sz="0" w:space="0" w:color="auto"/>
            <w:bottom w:val="none" w:sz="0" w:space="0" w:color="auto"/>
            <w:right w:val="none" w:sz="0" w:space="0" w:color="auto"/>
          </w:divBdr>
        </w:div>
        <w:div w:id="1429425944">
          <w:marLeft w:val="994"/>
          <w:marRight w:val="0"/>
          <w:marTop w:val="0"/>
          <w:marBottom w:val="10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b.mx/cms/uploads/attachment/file/177624/Prospectiva_de_Gas_Natural_2016-20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9CAFE1C1AA6E314EB95F751642D94F05" ma:contentTypeVersion="33" ma:contentTypeDescription="A content type to manage public (operations) IDB documents" ma:contentTypeScope="" ma:versionID="c9cd6daa088a0e63932582e8f21724c7">
  <xsd:schema xmlns:xsd="http://www.w3.org/2001/XMLSchema" xmlns:xs="http://www.w3.org/2001/XMLSchema" xmlns:p="http://schemas.microsoft.com/office/2006/metadata/properties" xmlns:ns2="cdc7663a-08f0-4737-9e8c-148ce897a09c" targetNamespace="http://schemas.microsoft.com/office/2006/metadata/properties" ma:root="true" ma:fieldsID="aabbb6792aead3024e7e7b1ca72a9eef"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ME-L1264"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Mexico</TermName>
          <TermId xmlns="http://schemas.microsoft.com/office/infopath/2007/PartnerControls">0eba6470-e7ea-46fd-a959-d4c243acaf26</TermId>
        </TermInfo>
      </Terms>
    </ic46d7e087fd4a108fb86518ca413cc6>
    <IDBDocs_x0020_Number xmlns="cdc7663a-08f0-4737-9e8c-148ce897a09c" xsi:nil="true"/>
    <Division_x0020_or_x0020_Unit xmlns="cdc7663a-08f0-4737-9e8c-148ce897a09c">INE/ENE</Division_x0020_or_x0020_Unit>
    <Fiscal_x0020_Year_x0020_IDB xmlns="cdc7663a-08f0-4737-9e8c-148ce897a09c">2018</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e46fe2894295491da65140ffd2369f49>
    <Other_x0020_Author xmlns="cdc7663a-08f0-4737-9e8c-148ce897a09c" xsi:nil="true"/>
    <Migration_x0020_Info xmlns="cdc7663a-08f0-4737-9e8c-148ce897a09c" xsi:nil="true"/>
    <Approval_x0020_Number xmlns="cdc7663a-08f0-4737-9e8c-148ce897a09c">4501/OC-ME;</Approval_x0020_Number>
    <Phase xmlns="cdc7663a-08f0-4737-9e8c-148ce897a09c">ACTIVE</Phase>
    <Document_x0020_Author xmlns="cdc7663a-08f0-4737-9e8c-148ce897a09c">Suber, Stephanie Anne</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ENERGY EFFICIENCY AND RENEWABLE ENERGY IN END USE</TermName>
          <TermId xmlns="http://schemas.microsoft.com/office/infopath/2007/PartnerControls">ab88142a-aa14-42df-80f4-969425d6f976</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TaxCatchAll xmlns="cdc7663a-08f0-4737-9e8c-148ce897a09c">
      <Value>19</Value>
      <Value>65</Value>
      <Value>24</Value>
      <Value>2</Value>
      <Value>64</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ME-L1264</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ENERGY</TermName>
          <TermId xmlns="http://schemas.microsoft.com/office/infopath/2007/PartnerControls">4fed196a-cd0b-4970-87de-42da17f9b203</TermId>
        </TermInfo>
      </Terms>
    </nddeef1749674d76abdbe4b239a70bc6>
    <Record_x0020_Number xmlns="cdc7663a-08f0-4737-9e8c-148ce897a09c">R0000998895</Record_x0020_Number>
    <_dlc_DocId xmlns="cdc7663a-08f0-4737-9e8c-148ce897a09c">EZSHARE-929407820-24</_dlc_DocId>
    <_dlc_DocIdUrl xmlns="cdc7663a-08f0-4737-9e8c-148ce897a09c">
      <Url>https://idbg.sharepoint.com/teams/EZ-ME-LON/ME-L1264/_layouts/15/DocIdRedir.aspx?ID=EZSHARE-929407820-24</Url>
      <Description>EZSHARE-929407820-24</Description>
    </_dlc_DocIdUrl>
    <Related_x0020_SisCor_x0020_Numbe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Climate Change and Renewable Energy;Electricity;Energy;Energy Distribution and Transmission;Energy Management and Regulation;Energy Markets and Studies;</Webtopic>
    <Abstract xmlns="cdc7663a-08f0-4737-9e8c-148ce897a09c" xsi:nil="true"/>
    <Publishing_x0020_House xmlns="cdc7663a-08f0-4737-9e8c-148ce897a09c" xsi:nil="true"/>
  </documentManagement>
</p:properties>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8400A-4BFE-49DA-8950-67C2F0AD8158}">
  <ds:schemaRefs>
    <ds:schemaRef ds:uri="http://schemas.microsoft.com/sharepoint/events"/>
  </ds:schemaRefs>
</ds:datastoreItem>
</file>

<file path=customXml/itemProps2.xml><?xml version="1.0" encoding="utf-8"?>
<ds:datastoreItem xmlns:ds="http://schemas.openxmlformats.org/officeDocument/2006/customXml" ds:itemID="{89CB7E51-FB23-4E4B-ABAA-20E4F01C8283}"/>
</file>

<file path=customXml/itemProps3.xml><?xml version="1.0" encoding="utf-8"?>
<ds:datastoreItem xmlns:ds="http://schemas.openxmlformats.org/officeDocument/2006/customXml" ds:itemID="{C5188A7E-0F9C-4217-89AA-04EC03C7A0C0}">
  <ds:schemaRefs>
    <ds:schemaRef ds:uri="http://purl.org/dc/terms/"/>
    <ds:schemaRef ds:uri="http://schemas.microsoft.com/office/2006/metadata/properties"/>
    <ds:schemaRef ds:uri="http://schemas.openxmlformats.org/package/2006/metadata/core-properties"/>
    <ds:schemaRef ds:uri="http://purl.org/dc/elements/1.1/"/>
    <ds:schemaRef ds:uri="http://www.w3.org/XML/1998/namespace"/>
    <ds:schemaRef ds:uri="http://purl.org/dc/dcmitype/"/>
    <ds:schemaRef ds:uri="http://schemas.microsoft.com/office/infopath/2007/PartnerControls"/>
    <ds:schemaRef ds:uri="http://schemas.microsoft.com/office/2006/documentManagement/types"/>
    <ds:schemaRef ds:uri="cdc7663a-08f0-4737-9e8c-148ce897a09c"/>
  </ds:schemaRefs>
</ds:datastoreItem>
</file>

<file path=customXml/itemProps4.xml><?xml version="1.0" encoding="utf-8"?>
<ds:datastoreItem xmlns:ds="http://schemas.openxmlformats.org/officeDocument/2006/customXml" ds:itemID="{FE0E09B9-70DE-4710-90EE-B31D8F52D0A1}"/>
</file>

<file path=customXml/itemProps5.xml><?xml version="1.0" encoding="utf-8"?>
<ds:datastoreItem xmlns:ds="http://schemas.openxmlformats.org/officeDocument/2006/customXml" ds:itemID="{9D6395DD-F3DC-4977-85C7-7904B9B82FD6}"/>
</file>

<file path=customXml/itemProps6.xml><?xml version="1.0" encoding="utf-8"?>
<ds:datastoreItem xmlns:ds="http://schemas.openxmlformats.org/officeDocument/2006/customXml" ds:itemID="{5C27067A-710F-4010-9961-626021A404D4}">
  <ds:schemaRefs>
    <ds:schemaRef ds:uri="http://schemas.microsoft.com/sharepoint/v3/contenttype/forms"/>
  </ds:schemaRefs>
</ds:datastoreItem>
</file>

<file path=customXml/itemProps7.xml><?xml version="1.0" encoding="utf-8"?>
<ds:datastoreItem xmlns:ds="http://schemas.openxmlformats.org/officeDocument/2006/customXml" ds:itemID="{2837D943-2B83-43F4-BD51-20E1C07E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11</Pages>
  <Words>4188</Words>
  <Characters>23876</Characters>
  <Application>Microsoft Office Word</Application>
  <DocSecurity>0</DocSecurity>
  <Lines>198</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28008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almar</dc:creator>
  <cp:keywords/>
  <dc:description/>
  <cp:lastModifiedBy>Suber, Stephanie Anne</cp:lastModifiedBy>
  <cp:revision>15</cp:revision>
  <cp:lastPrinted>2014-05-13T14:10:00Z</cp:lastPrinted>
  <dcterms:created xsi:type="dcterms:W3CDTF">2017-09-25T19:50:00Z</dcterms:created>
  <dcterms:modified xsi:type="dcterms:W3CDTF">2017-11-10T16:41:00Z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65;#ENERGY EFFICIENCY AND RENEWABLE ENERGY IN END USE|ab88142a-aa14-42df-80f4-969425d6f976</vt:lpwstr>
  </property>
  <property fmtid="{D5CDD505-2E9C-101B-9397-08002B2CF9AE}" pid="7" name="Fund IDB">
    <vt:lpwstr>24;#ORC|c028a4b2-ad8b-4cf4-9cac-a2ae6a778e23</vt:lpwstr>
  </property>
  <property fmtid="{D5CDD505-2E9C-101B-9397-08002B2CF9AE}" pid="8" name="Country">
    <vt:lpwstr>19;#Mexico|0eba6470-e7ea-46fd-a959-d4c243acaf26</vt:lpwstr>
  </property>
  <property fmtid="{D5CDD505-2E9C-101B-9397-08002B2CF9AE}" pid="9" name="Sector IDB">
    <vt:lpwstr>64;#ENERGY|4fed196a-cd0b-4970-87de-42da17f9b203</vt:lpwstr>
  </property>
  <property fmtid="{D5CDD505-2E9C-101B-9397-08002B2CF9AE}" pid="10" name="Function Operations IDB">
    <vt:lpwstr>2;#Monitoring and Reporting|df3c2aa1-d63e-41aa-b1f5-bb15dee691ca</vt:lpwstr>
  </property>
  <property fmtid="{D5CDD505-2E9C-101B-9397-08002B2CF9AE}" pid="11" name="_dlc_DocIdItemGuid">
    <vt:lpwstr>d7ca4162-de39-436b-a484-06453370f33c</vt:lpwstr>
  </property>
  <property fmtid="{D5CDD505-2E9C-101B-9397-08002B2CF9AE}" pid="12" name="RecordPoint_ActiveItemMoved">
    <vt:lpwstr>/teams/EZ-ME-LON/ME-L1264/15 LifeCycle Milestones/Draft Area/Plan de Monitoreo y Evaluacion.docx</vt:lpwstr>
  </property>
  <property fmtid="{D5CDD505-2E9C-101B-9397-08002B2CF9AE}" pid="13" name="RecordStorageActiveId">
    <vt:lpwstr>bc0b1de5-a181-45f4-9ca0-58e358f9a65f</vt:lpwstr>
  </property>
  <property fmtid="{D5CDD505-2E9C-101B-9397-08002B2CF9AE}" pid="14" name="Disclosure Activity">
    <vt:lpwstr>Loan Proposal</vt:lpwstr>
  </property>
  <property fmtid="{D5CDD505-2E9C-101B-9397-08002B2CF9AE}" pid="15" name="ContentTypeId">
    <vt:lpwstr>0x0101001A458A224826124E8B45B1D613300CFC009CAFE1C1AA6E314EB95F751642D94F05</vt:lpwstr>
  </property>
</Properties>
</file>