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D6AC7" w14:textId="21344B76" w:rsidR="00212B7C" w:rsidRPr="00E451FB" w:rsidRDefault="00212B7C" w:rsidP="003624B6">
      <w:pPr>
        <w:rPr>
          <w:rFonts w:ascii="Arial" w:hAnsi="Arial" w:cs="Arial"/>
          <w:b/>
          <w:bCs/>
          <w:sz w:val="22"/>
          <w:szCs w:val="22"/>
          <w:lang w:val="es-ES_tradnl"/>
        </w:rPr>
      </w:pPr>
      <w:r w:rsidRPr="00E451FB">
        <w:rPr>
          <w:rFonts w:ascii="Arial" w:hAnsi="Arial" w:cs="Arial"/>
          <w:b/>
          <w:bCs/>
          <w:sz w:val="22"/>
          <w:szCs w:val="22"/>
          <w:lang w:val="es-ES_tradnl"/>
        </w:rPr>
        <w:t>ANEX</w:t>
      </w:r>
      <w:r w:rsidR="00CC6AB9" w:rsidRPr="00E451FB">
        <w:rPr>
          <w:rFonts w:ascii="Arial" w:hAnsi="Arial" w:cs="Arial"/>
          <w:b/>
          <w:bCs/>
          <w:sz w:val="22"/>
          <w:szCs w:val="22"/>
          <w:lang w:val="es-ES_tradnl"/>
        </w:rPr>
        <w:t>O</w:t>
      </w:r>
      <w:r w:rsidRPr="00E451FB">
        <w:rPr>
          <w:rFonts w:ascii="Arial" w:hAnsi="Arial" w:cs="Arial"/>
          <w:b/>
          <w:bCs/>
          <w:sz w:val="22"/>
          <w:szCs w:val="22"/>
          <w:lang w:val="es-ES_tradnl"/>
        </w:rPr>
        <w:t xml:space="preserve"> A</w:t>
      </w:r>
    </w:p>
    <w:p w14:paraId="5F74D15F" w14:textId="77777777" w:rsidR="00212B7C" w:rsidRPr="00E451FB" w:rsidRDefault="00212B7C" w:rsidP="003624B6">
      <w:pPr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660160DA" w14:textId="1CFDE52B" w:rsidR="003624B6" w:rsidRPr="00E451FB" w:rsidRDefault="003624B6" w:rsidP="003624B6">
      <w:pPr>
        <w:rPr>
          <w:rFonts w:ascii="Arial" w:hAnsi="Arial" w:cs="Arial"/>
          <w:b/>
          <w:bCs/>
          <w:sz w:val="22"/>
          <w:szCs w:val="22"/>
          <w:lang w:val="es-ES_tradnl"/>
        </w:rPr>
      </w:pPr>
      <w:r w:rsidRPr="00E451FB">
        <w:rPr>
          <w:rFonts w:ascii="Arial" w:hAnsi="Arial" w:cs="Arial"/>
          <w:b/>
          <w:bCs/>
          <w:sz w:val="22"/>
          <w:szCs w:val="22"/>
          <w:lang w:val="es-ES_tradnl"/>
        </w:rPr>
        <w:t>Infraestructura y Energía/División de Energía (INE/ENE)</w:t>
      </w:r>
    </w:p>
    <w:p w14:paraId="70A169A2" w14:textId="77777777" w:rsidR="00AE2BDA" w:rsidRPr="00E451FB" w:rsidRDefault="00AE2BDA" w:rsidP="00253D5A">
      <w:pPr>
        <w:rPr>
          <w:rFonts w:ascii="Arial" w:hAnsi="Arial" w:cs="Arial"/>
          <w:sz w:val="22"/>
          <w:szCs w:val="22"/>
          <w:u w:val="single"/>
          <w:lang w:val="es-ES_tradnl"/>
        </w:rPr>
      </w:pPr>
    </w:p>
    <w:p w14:paraId="7B5E6648" w14:textId="02A1E9F6" w:rsidR="00AE2BDA" w:rsidRPr="00E451FB" w:rsidRDefault="006055A8" w:rsidP="003624B6">
      <w:pPr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REGIONAL</w:t>
      </w:r>
      <w:r w:rsidR="00D17E66">
        <w:rPr>
          <w:rFonts w:ascii="Arial" w:hAnsi="Arial" w:cs="Arial"/>
          <w:b/>
          <w:bCs/>
          <w:sz w:val="22"/>
          <w:szCs w:val="22"/>
          <w:lang w:val="es-ES_tradnl"/>
        </w:rPr>
        <w:t xml:space="preserve"> (CSC)</w:t>
      </w:r>
    </w:p>
    <w:p w14:paraId="16741804" w14:textId="77777777" w:rsidR="00D17E66" w:rsidRDefault="00D17E66" w:rsidP="003624B6">
      <w:pPr>
        <w:rPr>
          <w:rFonts w:ascii="Arial" w:hAnsi="Arial" w:cs="Arial"/>
          <w:b/>
          <w:bCs/>
          <w:sz w:val="22"/>
          <w:szCs w:val="22"/>
          <w:lang w:val="es-ES"/>
        </w:rPr>
      </w:pPr>
      <w:r w:rsidRPr="00D17E66">
        <w:rPr>
          <w:rFonts w:ascii="Arial" w:hAnsi="Arial" w:cs="Arial"/>
          <w:b/>
          <w:bCs/>
          <w:sz w:val="22"/>
          <w:szCs w:val="22"/>
          <w:lang w:val="es-ES"/>
        </w:rPr>
        <w:t>Apoyo a la Modernización y Repotenciación del Complejo Hidroe</w:t>
      </w:r>
      <w:r>
        <w:rPr>
          <w:rFonts w:ascii="Arial" w:hAnsi="Arial" w:cs="Arial"/>
          <w:b/>
          <w:bCs/>
          <w:sz w:val="22"/>
          <w:szCs w:val="22"/>
          <w:lang w:val="es-ES"/>
        </w:rPr>
        <w:t>léctrico Salto Grande. Fase II.</w:t>
      </w:r>
    </w:p>
    <w:p w14:paraId="1B4C81D8" w14:textId="22C5357E" w:rsidR="007A4FF0" w:rsidRPr="004818D1" w:rsidRDefault="00D17E66" w:rsidP="003624B6">
      <w:pPr>
        <w:rPr>
          <w:rFonts w:ascii="Arial" w:hAnsi="Arial" w:cs="Arial"/>
          <w:iCs/>
          <w:sz w:val="22"/>
          <w:szCs w:val="22"/>
          <w:lang w:val="es-ES_tradnl"/>
        </w:rPr>
      </w:pPr>
      <w:r>
        <w:rPr>
          <w:rFonts w:ascii="Arial" w:hAnsi="Arial" w:cs="Arial"/>
          <w:b/>
          <w:iCs/>
          <w:sz w:val="22"/>
          <w:szCs w:val="22"/>
          <w:lang w:val="es-ES_tradnl"/>
        </w:rPr>
        <w:t>RG-T2923</w:t>
      </w:r>
    </w:p>
    <w:p w14:paraId="4B417707" w14:textId="77777777" w:rsidR="004818D1" w:rsidRDefault="004818D1" w:rsidP="003624B6">
      <w:pPr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5098D71A" w14:textId="77777777" w:rsidR="00AE2BDA" w:rsidRPr="007F729B" w:rsidRDefault="00AE2BDA" w:rsidP="003624B6">
      <w:pPr>
        <w:rPr>
          <w:rFonts w:ascii="Arial" w:hAnsi="Arial" w:cs="Arial"/>
          <w:b/>
          <w:bCs/>
          <w:sz w:val="22"/>
          <w:szCs w:val="22"/>
          <w:lang w:val="es-ES_tradnl"/>
        </w:rPr>
      </w:pPr>
      <w:r w:rsidRPr="007F729B">
        <w:rPr>
          <w:rFonts w:ascii="Arial" w:hAnsi="Arial" w:cs="Arial"/>
          <w:b/>
          <w:bCs/>
          <w:sz w:val="22"/>
          <w:szCs w:val="22"/>
          <w:lang w:val="es-ES_tradnl"/>
        </w:rPr>
        <w:t>TERM</w:t>
      </w:r>
      <w:r w:rsidR="00D956AD" w:rsidRPr="007F729B">
        <w:rPr>
          <w:rFonts w:ascii="Arial" w:hAnsi="Arial" w:cs="Arial"/>
          <w:b/>
          <w:bCs/>
          <w:sz w:val="22"/>
          <w:szCs w:val="22"/>
          <w:lang w:val="es-ES_tradnl"/>
        </w:rPr>
        <w:t>INO</w:t>
      </w:r>
      <w:r w:rsidRPr="007F729B">
        <w:rPr>
          <w:rFonts w:ascii="Arial" w:hAnsi="Arial" w:cs="Arial"/>
          <w:b/>
          <w:bCs/>
          <w:sz w:val="22"/>
          <w:szCs w:val="22"/>
          <w:lang w:val="es-ES_tradnl"/>
        </w:rPr>
        <w:t xml:space="preserve">S </w:t>
      </w:r>
      <w:r w:rsidR="00D956AD" w:rsidRPr="007F729B">
        <w:rPr>
          <w:rFonts w:ascii="Arial" w:hAnsi="Arial" w:cs="Arial"/>
          <w:b/>
          <w:bCs/>
          <w:sz w:val="22"/>
          <w:szCs w:val="22"/>
          <w:lang w:val="es-ES_tradnl"/>
        </w:rPr>
        <w:t>DE</w:t>
      </w:r>
      <w:r w:rsidRPr="007F729B">
        <w:rPr>
          <w:rFonts w:ascii="Arial" w:hAnsi="Arial" w:cs="Arial"/>
          <w:b/>
          <w:bCs/>
          <w:sz w:val="22"/>
          <w:szCs w:val="22"/>
          <w:lang w:val="es-ES_tradnl"/>
        </w:rPr>
        <w:t xml:space="preserve"> REFERENC</w:t>
      </w:r>
      <w:r w:rsidR="00D956AD" w:rsidRPr="007F729B">
        <w:rPr>
          <w:rFonts w:ascii="Arial" w:hAnsi="Arial" w:cs="Arial"/>
          <w:b/>
          <w:bCs/>
          <w:sz w:val="22"/>
          <w:szCs w:val="22"/>
          <w:lang w:val="es-ES_tradnl"/>
        </w:rPr>
        <w:t>IA</w:t>
      </w:r>
    </w:p>
    <w:p w14:paraId="14E59542" w14:textId="21CF3A49" w:rsidR="00802EA0" w:rsidRPr="007F729B" w:rsidRDefault="00D17E66" w:rsidP="00253D5A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D17E66">
        <w:rPr>
          <w:rFonts w:ascii="Arial" w:hAnsi="Arial" w:cs="Arial"/>
          <w:b/>
          <w:iCs/>
          <w:sz w:val="22"/>
          <w:szCs w:val="22"/>
          <w:lang w:val="es-ES_tradnl"/>
        </w:rPr>
        <w:t>Estudios económicos/financieros y pliegos de licitación bajo plan de inversiones</w:t>
      </w:r>
    </w:p>
    <w:p w14:paraId="25FBC8CE" w14:textId="77777777" w:rsidR="00D17E66" w:rsidRDefault="00D17E66" w:rsidP="00212B7C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763D1F93" w14:textId="77777777" w:rsidR="004F2393" w:rsidRPr="007F729B" w:rsidRDefault="0017002A" w:rsidP="00212B7C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F729B">
        <w:rPr>
          <w:rFonts w:ascii="Arial" w:hAnsi="Arial" w:cs="Arial"/>
          <w:b/>
          <w:bCs/>
          <w:sz w:val="22"/>
          <w:szCs w:val="22"/>
          <w:lang w:val="es-ES_tradnl"/>
        </w:rPr>
        <w:t xml:space="preserve">ANTECEDENTES </w:t>
      </w:r>
    </w:p>
    <w:p w14:paraId="21F14CDB" w14:textId="77777777" w:rsidR="00202CC0" w:rsidRPr="007F729B" w:rsidRDefault="00202CC0" w:rsidP="0097085E">
      <w:pPr>
        <w:spacing w:after="120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p w14:paraId="2C32BC4F" w14:textId="77777777" w:rsidR="00927AA4" w:rsidRPr="007A4FF0" w:rsidRDefault="00B57F47" w:rsidP="00212B7C">
      <w:pPr>
        <w:tabs>
          <w:tab w:val="left" w:pos="720"/>
        </w:tabs>
        <w:spacing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E451FB">
        <w:rPr>
          <w:rFonts w:ascii="Arial" w:hAnsi="Arial" w:cs="Arial"/>
          <w:bCs/>
          <w:sz w:val="22"/>
          <w:szCs w:val="22"/>
          <w:lang w:val="es-ES"/>
        </w:rPr>
        <w:t xml:space="preserve">La División de Energía (ENE) del Banco Interamericano de Desarrollo (BID) es una división funcional dentro del Departamento Sectorial de Infraestructura y Energía (INE), bajo la Vicepresidencia de Sectores y Conocimiento del BID. La división de referencia (INE/ENE) está encargada del desarrollo de </w:t>
      </w:r>
      <w:r w:rsidR="00034C8E" w:rsidRPr="00E451FB">
        <w:rPr>
          <w:rFonts w:ascii="Arial" w:hAnsi="Arial" w:cs="Arial"/>
          <w:bCs/>
          <w:sz w:val="22"/>
          <w:szCs w:val="22"/>
          <w:lang w:val="es-ES"/>
        </w:rPr>
        <w:t xml:space="preserve">préstamos con garantía soberana, cooperaciones técnicas no reembolsables, incluyendo </w:t>
      </w:r>
      <w:r w:rsidRPr="00E451FB">
        <w:rPr>
          <w:rFonts w:ascii="Arial" w:hAnsi="Arial" w:cs="Arial"/>
          <w:bCs/>
          <w:sz w:val="22"/>
          <w:szCs w:val="22"/>
          <w:lang w:val="es-ES"/>
        </w:rPr>
        <w:t>análisis técnico</w:t>
      </w:r>
      <w:r w:rsidR="00034C8E" w:rsidRPr="00E451FB">
        <w:rPr>
          <w:rFonts w:ascii="Arial" w:hAnsi="Arial" w:cs="Arial"/>
          <w:bCs/>
          <w:sz w:val="22"/>
          <w:szCs w:val="22"/>
          <w:lang w:val="es-ES"/>
        </w:rPr>
        <w:t xml:space="preserve">, </w:t>
      </w:r>
      <w:r w:rsidR="003E676A" w:rsidRPr="00E451FB">
        <w:rPr>
          <w:rFonts w:ascii="Arial" w:hAnsi="Arial" w:cs="Arial"/>
          <w:bCs/>
          <w:sz w:val="22"/>
          <w:szCs w:val="22"/>
          <w:lang w:val="es-ES"/>
        </w:rPr>
        <w:t xml:space="preserve">económico, regulatorio, </w:t>
      </w:r>
      <w:r w:rsidRPr="00E451FB">
        <w:rPr>
          <w:rFonts w:ascii="Arial" w:hAnsi="Arial" w:cs="Arial"/>
          <w:bCs/>
          <w:sz w:val="22"/>
          <w:szCs w:val="22"/>
          <w:lang w:val="es-ES"/>
        </w:rPr>
        <w:t xml:space="preserve">identificación y preparación </w:t>
      </w:r>
      <w:r w:rsidRPr="007A4FF0">
        <w:rPr>
          <w:rFonts w:ascii="Arial" w:hAnsi="Arial" w:cs="Arial"/>
          <w:bCs/>
          <w:sz w:val="22"/>
          <w:szCs w:val="22"/>
          <w:lang w:val="es-ES"/>
        </w:rPr>
        <w:t>de programas, proyectos, estudios y notas sectoriales en el sector de energía</w:t>
      </w:r>
      <w:r w:rsidR="00034C8E" w:rsidRPr="007A4FF0">
        <w:rPr>
          <w:rFonts w:ascii="Arial" w:hAnsi="Arial" w:cs="Arial"/>
          <w:bCs/>
          <w:sz w:val="22"/>
          <w:szCs w:val="22"/>
          <w:lang w:val="es-ES"/>
        </w:rPr>
        <w:t>.</w:t>
      </w:r>
    </w:p>
    <w:p w14:paraId="204603D5" w14:textId="419E421A" w:rsidR="00D17E66" w:rsidRDefault="00D17E66" w:rsidP="00212B7C">
      <w:pPr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 w:rsidRPr="00D17E66">
        <w:rPr>
          <w:rFonts w:ascii="Arial" w:hAnsi="Arial" w:cs="Arial"/>
          <w:sz w:val="22"/>
          <w:szCs w:val="22"/>
          <w:lang w:val="es-ES"/>
        </w:rPr>
        <w:t>La energía hidroeléctrica es la fuente de energía renovable más utilizada en el mundo, y particularmente en Latinoamérica y el Caribe (LAC) suministra 52% de la demanda eléctrica, mucho más que el promedio mundial que es 16%. Al 2015 la capacidad instalada en LAC fue 171.25 Giga-watts (GW), y si bien se ha aprovechado una buena parte de la capacidad de las grandes cuencas hídricas, se estima que solo 25% del potencial total (678GW) ha sido explotado</w:t>
      </w:r>
      <w:r>
        <w:rPr>
          <w:rFonts w:ascii="Arial" w:hAnsi="Arial" w:cs="Arial"/>
          <w:sz w:val="22"/>
          <w:szCs w:val="22"/>
          <w:lang w:val="es-ES"/>
        </w:rPr>
        <w:t xml:space="preserve">. </w:t>
      </w:r>
      <w:r w:rsidR="00655D22" w:rsidRPr="00655D22">
        <w:rPr>
          <w:rFonts w:ascii="Arial" w:hAnsi="Arial" w:cs="Arial"/>
          <w:sz w:val="22"/>
          <w:szCs w:val="22"/>
          <w:lang w:val="es-ES"/>
        </w:rPr>
        <w:t>La hidroelectricidad continúa siendo una tecnología clave para el desarrollo de los sectores eléctricos de la región, al ser una tecnología madura, confiable y que provee energía de bajo costo. Las proyecciones disponible</w:t>
      </w:r>
      <w:r w:rsidR="00655D22">
        <w:rPr>
          <w:rFonts w:ascii="Arial" w:hAnsi="Arial" w:cs="Arial"/>
          <w:sz w:val="22"/>
          <w:szCs w:val="22"/>
          <w:lang w:val="es-ES"/>
        </w:rPr>
        <w:t xml:space="preserve">s </w:t>
      </w:r>
      <w:r w:rsidR="00655D22" w:rsidRPr="00655D22">
        <w:rPr>
          <w:rFonts w:ascii="Arial" w:hAnsi="Arial" w:cs="Arial"/>
          <w:sz w:val="22"/>
          <w:szCs w:val="22"/>
          <w:lang w:val="es-ES"/>
        </w:rPr>
        <w:t>apuntan a que la generación hidroeléctrica continuará siendo esencial para cubrir la demanda de energía eléctrica en LAC</w:t>
      </w:r>
      <w:r w:rsidR="00655D22">
        <w:rPr>
          <w:rFonts w:ascii="Arial" w:hAnsi="Arial" w:cs="Arial"/>
          <w:sz w:val="22"/>
          <w:szCs w:val="22"/>
          <w:lang w:val="es-ES"/>
        </w:rPr>
        <w:t xml:space="preserve">, por lo que la modernización y rehabilitación de las centrales hidroeléctricas es prescindible para la sostenibilidad de esta fuente de energía y seguridad de suministros en países de carácter binacional. </w:t>
      </w:r>
    </w:p>
    <w:p w14:paraId="542024A8" w14:textId="17D30102" w:rsidR="00D17E66" w:rsidRDefault="00D17E66" w:rsidP="00212B7C">
      <w:pPr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El Complejo Hidroeléctrico binacional Salto Grande (CHBSG) </w:t>
      </w:r>
      <w:r w:rsidRPr="00D17E66">
        <w:rPr>
          <w:rFonts w:ascii="Arial" w:hAnsi="Arial" w:cs="Arial"/>
          <w:sz w:val="22"/>
          <w:szCs w:val="22"/>
          <w:lang w:val="es-ES"/>
        </w:rPr>
        <w:t>es un complejo hidroeléctrico binacional entre Argentina y Uruguay, ubicado en el Rio Uruguay, y es gestionado desde 1979 por la Comisión Técnica Mixta de Salto Grande (CTM Salto Grande). El Proyecto fue financiado por el BID en los años 70 y 80. La comisión está integrada por delegados de Argentina y Uruguay de quienes dependen los cuerpos técnicos y administrativos del organismo. CHSG tiene una potencia instalada de 1.890 Mega-Watts (MW). La energía media anual producida por la central es de 8.730 Giga-Watt-hora (</w:t>
      </w:r>
      <w:proofErr w:type="spellStart"/>
      <w:r w:rsidRPr="00D17E66">
        <w:rPr>
          <w:rFonts w:ascii="Arial" w:hAnsi="Arial" w:cs="Arial"/>
          <w:sz w:val="22"/>
          <w:szCs w:val="22"/>
          <w:lang w:val="es-ES"/>
        </w:rPr>
        <w:t>GWh</w:t>
      </w:r>
      <w:proofErr w:type="spellEnd"/>
      <w:r w:rsidRPr="00D17E66">
        <w:rPr>
          <w:rFonts w:ascii="Arial" w:hAnsi="Arial" w:cs="Arial"/>
          <w:sz w:val="22"/>
          <w:szCs w:val="22"/>
          <w:lang w:val="es-ES"/>
        </w:rPr>
        <w:t>). La interconexión entre los dos países incluye cuatro estaciones transformadoras (dos en cada país) y 330 km de línea de transmisión en 500 kilo-volts (KV). La energía eléctrica generada ha abastecido en promedio en los últimos años el 50% de la energía del sistema uruguayo y el 7% del sistema argentino.</w:t>
      </w:r>
      <w:r>
        <w:rPr>
          <w:rStyle w:val="FootnoteReference"/>
          <w:rFonts w:ascii="Arial" w:hAnsi="Arial" w:cs="Arial"/>
          <w:sz w:val="22"/>
          <w:szCs w:val="22"/>
          <w:lang w:val="es-ES"/>
        </w:rPr>
        <w:footnoteReference w:id="1"/>
      </w:r>
      <w:r w:rsidRPr="00D17E66">
        <w:rPr>
          <w:rFonts w:ascii="Arial" w:hAnsi="Arial" w:cs="Arial"/>
          <w:sz w:val="22"/>
          <w:szCs w:val="22"/>
          <w:lang w:val="es-ES"/>
        </w:rPr>
        <w:t xml:space="preserve">  El CHSG ha tenido un excelente desempeño técnico a lo largo de los años y es un aporte importante a las matrices energéticas de Argentina y Uruguay</w:t>
      </w:r>
      <w:r>
        <w:rPr>
          <w:rFonts w:ascii="Arial" w:hAnsi="Arial" w:cs="Arial"/>
          <w:sz w:val="22"/>
          <w:szCs w:val="22"/>
          <w:lang w:val="es-ES"/>
        </w:rPr>
        <w:t>.</w:t>
      </w:r>
      <w:r>
        <w:rPr>
          <w:rStyle w:val="FootnoteReference"/>
          <w:rFonts w:ascii="Arial" w:hAnsi="Arial" w:cs="Arial"/>
          <w:sz w:val="22"/>
          <w:szCs w:val="22"/>
          <w:lang w:val="es-ES"/>
        </w:rPr>
        <w:footnoteReference w:id="2"/>
      </w:r>
    </w:p>
    <w:p w14:paraId="433C5175" w14:textId="1EFE3B2A" w:rsidR="00D17E66" w:rsidRDefault="00EC167F" w:rsidP="00212B7C">
      <w:pPr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lastRenderedPageBreak/>
        <w:t>Desde el 2013, e</w:t>
      </w:r>
      <w:r w:rsidRPr="00EC167F">
        <w:rPr>
          <w:rFonts w:ascii="Arial" w:hAnsi="Arial" w:cs="Arial"/>
          <w:sz w:val="22"/>
          <w:szCs w:val="22"/>
          <w:lang w:val="es-ES"/>
        </w:rPr>
        <w:t>l BID ha venido apoyando a CTM Salto Grande con una CT “Apoyo a los Estudios de Diagnóstico y Modernización del Complejo Hidroeléctrico Salto Grande (RG-T2256)” (US$1.360.000 de aportes BID) cuya ejecución se completó en 2016. Esta CT financió estudios de diagnóstico integral del equipamiento y otros activos del complejo hidroeléctrico (denominado RG-T2256-SN1), que incluyeron estudios técnicos y la elaboración de un plan estratégico general de inversiones de corto, mediano y largo plazo; se estudiaron las condiciones operacionales actuales de CTM, instalaciones eléctricas, electro-mecánicas y obras civiles, incluyendo las de generación y transmisión (subestaciones y líneas) que constituyen los activos principales del complejo; se realizaron análisis preliminares del potencial incremento en la capacidad de generación bajo distintos escenarios y soluciones técnicas. Adicionalmente se realizaron estudios hidrológicos de la cuenca del Río Uruguay (RG-T2256-SN2), y de modernización de la gestión ambiental (RG-T2256-SN3).</w:t>
      </w:r>
      <w:r>
        <w:rPr>
          <w:rStyle w:val="FootnoteReference"/>
          <w:rFonts w:ascii="Arial" w:hAnsi="Arial" w:cs="Arial"/>
          <w:sz w:val="22"/>
          <w:szCs w:val="22"/>
          <w:lang w:val="es-ES"/>
        </w:rPr>
        <w:footnoteReference w:id="3"/>
      </w:r>
      <w:r w:rsidRPr="00EC167F">
        <w:rPr>
          <w:rFonts w:ascii="Arial" w:hAnsi="Arial" w:cs="Arial"/>
          <w:sz w:val="22"/>
          <w:szCs w:val="22"/>
          <w:lang w:val="es-ES"/>
        </w:rPr>
        <w:t xml:space="preserve">  </w:t>
      </w:r>
    </w:p>
    <w:p w14:paraId="6A2A95C2" w14:textId="09BACBFE" w:rsidR="00EC167F" w:rsidRDefault="00EC167F" w:rsidP="00212B7C">
      <w:pPr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 w:rsidRPr="00EC167F">
        <w:rPr>
          <w:rFonts w:ascii="Arial" w:hAnsi="Arial" w:cs="Arial"/>
          <w:sz w:val="22"/>
          <w:szCs w:val="22"/>
          <w:lang w:val="es-ES"/>
        </w:rPr>
        <w:t>Los estudios mostraron que la central está muy bien gestionada, y que para la edad de la misma (con</w:t>
      </w:r>
      <w:r>
        <w:rPr>
          <w:rFonts w:ascii="Arial" w:hAnsi="Arial" w:cs="Arial"/>
          <w:sz w:val="22"/>
          <w:szCs w:val="22"/>
          <w:lang w:val="es-ES"/>
        </w:rPr>
        <w:t xml:space="preserve"> 35 años de operación continua)</w:t>
      </w:r>
      <w:r>
        <w:rPr>
          <w:rStyle w:val="FootnoteReference"/>
          <w:rFonts w:ascii="Arial" w:hAnsi="Arial" w:cs="Arial"/>
          <w:sz w:val="22"/>
          <w:szCs w:val="22"/>
          <w:lang w:val="es-ES"/>
        </w:rPr>
        <w:footnoteReference w:id="4"/>
      </w:r>
      <w:r w:rsidRPr="00EC167F">
        <w:rPr>
          <w:rFonts w:ascii="Arial" w:hAnsi="Arial" w:cs="Arial"/>
          <w:sz w:val="22"/>
          <w:szCs w:val="22"/>
          <w:lang w:val="es-ES"/>
        </w:rPr>
        <w:t>, los equipos están en buenas condiciones de funcionamiento. No obstante, considerando las experiencias internacionales para centrales comparables, y dado el envejecimiento natural que ocurre en los equipos electromecánicos, se espera que en los próximos años los principales equipos que no han sido reemplazados o modernizados, especialmente las 14 turbinas y generadores que están alcanzando su vida útil, pueden comenzar a reducir su eficiencia, y eventualmente enfrentar problemas, por lo cual se requerirá urgentemente el planteo de un plan estratégico de inversiones de largo plazo .</w:t>
      </w:r>
    </w:p>
    <w:p w14:paraId="7EC0170E" w14:textId="5DFC652F" w:rsidR="00EC167F" w:rsidRDefault="00387A11" w:rsidP="00212B7C">
      <w:pPr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 w:rsidRPr="00387A11">
        <w:rPr>
          <w:rFonts w:ascii="Arial" w:hAnsi="Arial" w:cs="Arial"/>
          <w:sz w:val="22"/>
          <w:szCs w:val="22"/>
          <w:lang w:val="es-ES"/>
        </w:rPr>
        <w:t>La CTM Salto Grande, por tratarse de una entidad binacional, se plantearán dos préstamos similares con garantía soberana de sus respectivos gobiernos: uno para Uruguay y otro para Argentina. Los préstamos tendrán el mismo objetivo de financiar el plan de inversiones de corto p</w:t>
      </w:r>
      <w:r>
        <w:rPr>
          <w:rFonts w:ascii="Arial" w:hAnsi="Arial" w:cs="Arial"/>
          <w:sz w:val="22"/>
          <w:szCs w:val="22"/>
          <w:lang w:val="es-ES"/>
        </w:rPr>
        <w:t>lazo para modernizar la central</w:t>
      </w:r>
      <w:r w:rsidRPr="00387A11">
        <w:rPr>
          <w:rFonts w:ascii="Arial" w:hAnsi="Arial" w:cs="Arial"/>
          <w:sz w:val="22"/>
          <w:szCs w:val="22"/>
          <w:lang w:val="es-ES"/>
        </w:rPr>
        <w:t>. Las inversiones a ser financiadas con el préstamo incluyen la rehabilitación y/o reemplazo de las compuertas de los vertederos, compuertas de toma, rejas de toma, transformadores elevadores, equipos de control, sistemas de seguridad, grúas y otros equipos auxiliares, y diseño e ingeniería para la rehabilitación de la primera unidad generadora (turbina y generador). Serán préstamos de integración regional y de apoyo a energías renovables.</w:t>
      </w:r>
    </w:p>
    <w:p w14:paraId="2A415D49" w14:textId="4A03C2B8" w:rsidR="00EC167F" w:rsidRDefault="00387A11" w:rsidP="00212B7C">
      <w:pPr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En este contexto, </w:t>
      </w:r>
      <w:r w:rsidR="00346615">
        <w:rPr>
          <w:rFonts w:ascii="Arial" w:hAnsi="Arial" w:cs="Arial"/>
          <w:sz w:val="22"/>
          <w:szCs w:val="22"/>
          <w:lang w:val="es-ES"/>
        </w:rPr>
        <w:t>es indispensable la elaboración de los estudios necesarios para la preparación del plan de inversiones de corto plazo y la preparación de los pliegos de licitación de las intervenciones bajo este plan de inversiones.</w:t>
      </w:r>
    </w:p>
    <w:p w14:paraId="002C24F9" w14:textId="77777777" w:rsidR="0080549B" w:rsidRPr="00E451FB" w:rsidRDefault="0080549B" w:rsidP="00253D5A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14:paraId="389312C3" w14:textId="77777777" w:rsidR="00B10C07" w:rsidRPr="00E451FB" w:rsidRDefault="005A3D4C" w:rsidP="00212B7C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E451FB">
        <w:rPr>
          <w:rFonts w:ascii="Arial" w:hAnsi="Arial" w:cs="Arial"/>
          <w:b/>
          <w:bCs/>
          <w:sz w:val="22"/>
          <w:szCs w:val="22"/>
          <w:lang w:val="es-ES"/>
        </w:rPr>
        <w:t>OBJETIVO DE LA CONSULTORIA</w:t>
      </w:r>
    </w:p>
    <w:p w14:paraId="73107E4E" w14:textId="77777777" w:rsidR="00A57692" w:rsidRDefault="00A57692" w:rsidP="00A57692">
      <w:pPr>
        <w:tabs>
          <w:tab w:val="left" w:pos="720"/>
        </w:tabs>
        <w:spacing w:after="120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p w14:paraId="331E5F49" w14:textId="5DD34EF3" w:rsidR="006034D3" w:rsidRDefault="00A57692" w:rsidP="00A57692">
      <w:pPr>
        <w:tabs>
          <w:tab w:val="left" w:pos="720"/>
        </w:tabs>
        <w:spacing w:after="120"/>
        <w:jc w:val="both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 xml:space="preserve">El objetivo general de esta consultoría es apoyar </w:t>
      </w:r>
      <w:r w:rsidR="00291A97">
        <w:rPr>
          <w:rFonts w:ascii="Arial" w:hAnsi="Arial" w:cs="Arial"/>
          <w:bCs/>
          <w:sz w:val="22"/>
          <w:szCs w:val="22"/>
          <w:lang w:val="es-ES_tradnl"/>
        </w:rPr>
        <w:t xml:space="preserve">en la elaboración de los estudios económicos y financieros de las inversiones que conformarán el proyecto de préstamo del BID para la modernización y repotenciación de la CHSG, así como preparar los pliegos de licitación de las intervenciones bajo el plan de inversiones de corto plazo. Los objetivos específicos son: i) </w:t>
      </w:r>
      <w:r w:rsidR="006034D3">
        <w:rPr>
          <w:rFonts w:ascii="Arial" w:hAnsi="Arial" w:cs="Arial"/>
          <w:bCs/>
          <w:sz w:val="22"/>
          <w:szCs w:val="22"/>
          <w:lang w:val="es-ES_tradnl"/>
        </w:rPr>
        <w:t>elaboración de los análisis económicos y financieros siguiendo las guías de ACB de proyectos financiados por el BID y el formato de entrega del mismo; ii) elaboración de los pliegos de licitación de las inversiones que serán financiadas bajo el préstamo, así como identificar el plan de gestión de las mismas.</w:t>
      </w:r>
    </w:p>
    <w:p w14:paraId="47E1605E" w14:textId="029BFCA7" w:rsidR="00FE4A0A" w:rsidRPr="00E451FB" w:rsidRDefault="00FE4A0A" w:rsidP="00A57692">
      <w:pPr>
        <w:spacing w:after="120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14:paraId="2C3ABFA8" w14:textId="68CF8E4D" w:rsidR="003C6E41" w:rsidRPr="00E451FB" w:rsidRDefault="005A3D4C" w:rsidP="00212B7C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E451FB">
        <w:rPr>
          <w:rFonts w:ascii="Arial" w:hAnsi="Arial" w:cs="Arial"/>
          <w:b/>
          <w:bCs/>
          <w:sz w:val="22"/>
          <w:szCs w:val="22"/>
          <w:lang w:val="es-ES"/>
        </w:rPr>
        <w:lastRenderedPageBreak/>
        <w:t xml:space="preserve">ACTIVIDADES PRINCIPALES </w:t>
      </w:r>
    </w:p>
    <w:p w14:paraId="64D74AC6" w14:textId="77777777" w:rsidR="00202CC0" w:rsidRPr="00E451FB" w:rsidRDefault="00202CC0" w:rsidP="00253D5A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325C775B" w14:textId="3341C36A" w:rsidR="00294785" w:rsidRDefault="00571AB5" w:rsidP="00212B7C">
      <w:pPr>
        <w:spacing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E451FB">
        <w:rPr>
          <w:rFonts w:ascii="Arial" w:hAnsi="Arial" w:cs="Arial"/>
          <w:bCs/>
          <w:sz w:val="22"/>
          <w:szCs w:val="22"/>
          <w:lang w:val="es-ES"/>
        </w:rPr>
        <w:t xml:space="preserve">Para el </w:t>
      </w:r>
      <w:r w:rsidR="004B2673" w:rsidRPr="00E451FB">
        <w:rPr>
          <w:rFonts w:ascii="Arial" w:hAnsi="Arial" w:cs="Arial"/>
          <w:bCs/>
          <w:sz w:val="22"/>
          <w:szCs w:val="22"/>
          <w:lang w:val="es-ES"/>
        </w:rPr>
        <w:t>cumplimiento del objetivo</w:t>
      </w:r>
      <w:r w:rsidR="00CC6AB9" w:rsidRPr="00E451FB">
        <w:rPr>
          <w:rFonts w:ascii="Arial" w:hAnsi="Arial" w:cs="Arial"/>
          <w:bCs/>
          <w:sz w:val="22"/>
          <w:szCs w:val="22"/>
          <w:lang w:val="es-ES"/>
        </w:rPr>
        <w:t>, el contractual</w:t>
      </w:r>
      <w:r w:rsidR="004B2673" w:rsidRPr="00E451FB">
        <w:rPr>
          <w:rFonts w:ascii="Arial" w:hAnsi="Arial" w:cs="Arial"/>
          <w:bCs/>
          <w:sz w:val="22"/>
          <w:szCs w:val="22"/>
          <w:lang w:val="es-ES"/>
        </w:rPr>
        <w:t xml:space="preserve"> deberá realizar entre otros, las siguientes actividades</w:t>
      </w:r>
      <w:r w:rsidRPr="00E451FB">
        <w:rPr>
          <w:rFonts w:ascii="Arial" w:hAnsi="Arial" w:cs="Arial"/>
          <w:bCs/>
          <w:sz w:val="22"/>
          <w:szCs w:val="22"/>
          <w:lang w:val="es-ES"/>
        </w:rPr>
        <w:t>:</w:t>
      </w:r>
    </w:p>
    <w:p w14:paraId="4200B256" w14:textId="77777777" w:rsidR="00CC1D33" w:rsidRDefault="00CC1D33" w:rsidP="00212B7C">
      <w:pPr>
        <w:spacing w:after="120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14:paraId="4756698D" w14:textId="25C1A0CA" w:rsidR="007D6C3D" w:rsidRPr="007D6C3D" w:rsidRDefault="007D6C3D" w:rsidP="00212B7C">
      <w:pPr>
        <w:spacing w:after="120"/>
        <w:jc w:val="both"/>
        <w:rPr>
          <w:rFonts w:ascii="Arial" w:hAnsi="Arial" w:cs="Arial"/>
          <w:b/>
          <w:bCs/>
          <w:i/>
          <w:sz w:val="22"/>
          <w:szCs w:val="22"/>
          <w:lang w:val="es-ES"/>
        </w:rPr>
      </w:pPr>
      <w:r w:rsidRPr="007D6C3D">
        <w:rPr>
          <w:rFonts w:ascii="Arial" w:hAnsi="Arial" w:cs="Arial"/>
          <w:b/>
          <w:bCs/>
          <w:i/>
          <w:sz w:val="22"/>
          <w:szCs w:val="22"/>
          <w:lang w:val="es-ES"/>
        </w:rPr>
        <w:t xml:space="preserve">Actividad </w:t>
      </w:r>
      <w:r w:rsidR="00CC1D33">
        <w:rPr>
          <w:rFonts w:ascii="Arial" w:hAnsi="Arial" w:cs="Arial"/>
          <w:b/>
          <w:bCs/>
          <w:i/>
          <w:sz w:val="22"/>
          <w:szCs w:val="22"/>
          <w:lang w:val="es-ES"/>
        </w:rPr>
        <w:t>#</w:t>
      </w:r>
      <w:r w:rsidRPr="007D6C3D">
        <w:rPr>
          <w:rFonts w:ascii="Arial" w:hAnsi="Arial" w:cs="Arial"/>
          <w:b/>
          <w:bCs/>
          <w:i/>
          <w:sz w:val="22"/>
          <w:szCs w:val="22"/>
          <w:lang w:val="es-ES"/>
        </w:rPr>
        <w:t>1. Elaboración del análisis económico y financiero.</w:t>
      </w:r>
    </w:p>
    <w:p w14:paraId="2DA24B15" w14:textId="2B6286C4" w:rsidR="000D26A2" w:rsidRDefault="000D26A2" w:rsidP="00CC1D33">
      <w:pPr>
        <w:spacing w:after="120"/>
        <w:ind w:left="72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El contractual</w:t>
      </w:r>
      <w:r w:rsidRPr="000D26A2">
        <w:rPr>
          <w:rFonts w:ascii="Arial" w:hAnsi="Arial" w:cs="Arial"/>
          <w:bCs/>
          <w:sz w:val="22"/>
          <w:szCs w:val="22"/>
          <w:lang w:val="es-ES"/>
        </w:rPr>
        <w:t xml:space="preserve"> deberá realizar un análisis </w:t>
      </w:r>
      <w:r>
        <w:rPr>
          <w:rFonts w:ascii="Arial" w:hAnsi="Arial" w:cs="Arial"/>
          <w:bCs/>
          <w:sz w:val="22"/>
          <w:szCs w:val="22"/>
          <w:lang w:val="es-ES"/>
        </w:rPr>
        <w:t>económico</w:t>
      </w:r>
      <w:r w:rsidRPr="000D26A2">
        <w:rPr>
          <w:rFonts w:ascii="Arial" w:hAnsi="Arial" w:cs="Arial"/>
          <w:bCs/>
          <w:sz w:val="22"/>
          <w:szCs w:val="22"/>
          <w:lang w:val="es-ES"/>
        </w:rPr>
        <w:t xml:space="preserve"> de las inversiones previstas en el programa de inversión de corto plazo para la rehabilitación y modernización de la central hidroeléctrica Salto Grande siguiendo la metodología y parámetros utilizados en el BID para proyectos comparables.</w:t>
      </w:r>
    </w:p>
    <w:p w14:paraId="7A3B8D77" w14:textId="03EDF0A4" w:rsidR="001E1738" w:rsidRDefault="007D6C3D" w:rsidP="00CC1D33">
      <w:pPr>
        <w:spacing w:after="120"/>
        <w:ind w:left="72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El proceso del análisis económico contiene parámetros desarrollados que son estructurados en </w:t>
      </w:r>
      <w:r w:rsidR="001E1738">
        <w:rPr>
          <w:rFonts w:ascii="Arial" w:hAnsi="Arial" w:cs="Arial"/>
          <w:bCs/>
          <w:sz w:val="22"/>
          <w:szCs w:val="22"/>
          <w:lang w:val="es-ES"/>
        </w:rPr>
        <w:t xml:space="preserve">un </w:t>
      </w:r>
      <w:r>
        <w:rPr>
          <w:rFonts w:ascii="Arial" w:hAnsi="Arial" w:cs="Arial"/>
          <w:bCs/>
          <w:sz w:val="22"/>
          <w:szCs w:val="22"/>
          <w:lang w:val="es-ES"/>
        </w:rPr>
        <w:t xml:space="preserve">modelo </w:t>
      </w:r>
      <w:r w:rsidR="000D26A2">
        <w:rPr>
          <w:rFonts w:ascii="Arial" w:hAnsi="Arial" w:cs="Arial"/>
          <w:bCs/>
          <w:sz w:val="22"/>
          <w:szCs w:val="22"/>
          <w:lang w:val="es-ES"/>
        </w:rPr>
        <w:t xml:space="preserve">costo-beneficio </w:t>
      </w:r>
      <w:r w:rsidR="001E1738">
        <w:rPr>
          <w:rFonts w:ascii="Arial" w:hAnsi="Arial" w:cs="Arial"/>
          <w:bCs/>
          <w:sz w:val="22"/>
          <w:szCs w:val="22"/>
          <w:lang w:val="es-ES"/>
        </w:rPr>
        <w:t>con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el objetivo </w:t>
      </w:r>
      <w:r w:rsidR="008378E1">
        <w:rPr>
          <w:rFonts w:ascii="Arial" w:hAnsi="Arial" w:cs="Arial"/>
          <w:bCs/>
          <w:sz w:val="22"/>
          <w:szCs w:val="22"/>
          <w:lang w:val="es-ES"/>
        </w:rPr>
        <w:t xml:space="preserve">de evaluar la factibilidad del proyecto en cuestión bajo diferentes escenarios que cuantifican su </w:t>
      </w:r>
      <w:proofErr w:type="spellStart"/>
      <w:r w:rsidR="008378E1">
        <w:rPr>
          <w:rFonts w:ascii="Arial" w:hAnsi="Arial" w:cs="Arial"/>
          <w:bCs/>
          <w:sz w:val="22"/>
          <w:szCs w:val="22"/>
          <w:lang w:val="es-ES"/>
        </w:rPr>
        <w:t>prefactibilidad</w:t>
      </w:r>
      <w:proofErr w:type="spellEnd"/>
      <w:r w:rsidR="008378E1">
        <w:rPr>
          <w:rFonts w:ascii="Arial" w:hAnsi="Arial" w:cs="Arial"/>
          <w:bCs/>
          <w:sz w:val="22"/>
          <w:szCs w:val="22"/>
          <w:lang w:val="es-ES"/>
        </w:rPr>
        <w:t xml:space="preserve">. </w:t>
      </w:r>
      <w:r w:rsidR="001E1738">
        <w:rPr>
          <w:rFonts w:ascii="Arial" w:hAnsi="Arial" w:cs="Arial"/>
          <w:bCs/>
          <w:sz w:val="22"/>
          <w:szCs w:val="22"/>
          <w:lang w:val="es-ES"/>
        </w:rPr>
        <w:t>El contenido de este análisis deberá estar estructurado tal como se presenta a continuación:</w:t>
      </w:r>
    </w:p>
    <w:p w14:paraId="0491B962" w14:textId="648837D1" w:rsidR="007D6C3D" w:rsidRDefault="001E1738" w:rsidP="008378E1">
      <w:pPr>
        <w:pStyle w:val="ListParagraph"/>
        <w:numPr>
          <w:ilvl w:val="0"/>
          <w:numId w:val="27"/>
        </w:numPr>
        <w:spacing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Introducción;</w:t>
      </w:r>
    </w:p>
    <w:p w14:paraId="75D76047" w14:textId="2DCC36AA" w:rsidR="008378E1" w:rsidRDefault="001E1738" w:rsidP="008378E1">
      <w:pPr>
        <w:pStyle w:val="ListParagraph"/>
        <w:numPr>
          <w:ilvl w:val="0"/>
          <w:numId w:val="27"/>
        </w:numPr>
        <w:spacing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Supuestos de las metodologías;</w:t>
      </w:r>
    </w:p>
    <w:p w14:paraId="5EBD8F76" w14:textId="3CC5FC69" w:rsidR="008378E1" w:rsidRDefault="001E1738" w:rsidP="008378E1">
      <w:pPr>
        <w:pStyle w:val="ListParagraph"/>
        <w:numPr>
          <w:ilvl w:val="0"/>
          <w:numId w:val="27"/>
        </w:numPr>
        <w:spacing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Beneficios económicos</w:t>
      </w:r>
      <w:r w:rsidR="008378E1">
        <w:rPr>
          <w:rFonts w:ascii="Arial" w:hAnsi="Arial" w:cs="Arial"/>
          <w:bCs/>
          <w:sz w:val="22"/>
          <w:szCs w:val="22"/>
          <w:lang w:val="es-ES"/>
        </w:rPr>
        <w:t>;</w:t>
      </w:r>
    </w:p>
    <w:p w14:paraId="12711B18" w14:textId="3836F2DE" w:rsidR="001E1738" w:rsidRDefault="001E1738" w:rsidP="008378E1">
      <w:pPr>
        <w:pStyle w:val="ListParagraph"/>
        <w:numPr>
          <w:ilvl w:val="0"/>
          <w:numId w:val="27"/>
        </w:numPr>
        <w:spacing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Costos económicos;</w:t>
      </w:r>
    </w:p>
    <w:p w14:paraId="7C7539CA" w14:textId="67835580" w:rsidR="001E1738" w:rsidRDefault="001E1738" w:rsidP="008378E1">
      <w:pPr>
        <w:pStyle w:val="ListParagraph"/>
        <w:numPr>
          <w:ilvl w:val="0"/>
          <w:numId w:val="27"/>
        </w:numPr>
        <w:spacing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Retorno económico;</w:t>
      </w:r>
    </w:p>
    <w:p w14:paraId="5873A4BA" w14:textId="0DF49C8E" w:rsidR="001E1738" w:rsidRDefault="001E1738" w:rsidP="008378E1">
      <w:pPr>
        <w:pStyle w:val="ListParagraph"/>
        <w:numPr>
          <w:ilvl w:val="0"/>
          <w:numId w:val="27"/>
        </w:numPr>
        <w:spacing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Análisis de sensibilidad;</w:t>
      </w:r>
    </w:p>
    <w:p w14:paraId="601E8581" w14:textId="080DC697" w:rsidR="001E1738" w:rsidRDefault="001E1738" w:rsidP="008378E1">
      <w:pPr>
        <w:pStyle w:val="ListParagraph"/>
        <w:numPr>
          <w:ilvl w:val="0"/>
          <w:numId w:val="27"/>
        </w:numPr>
        <w:spacing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Análisis de </w:t>
      </w:r>
      <w:proofErr w:type="spellStart"/>
      <w:r>
        <w:rPr>
          <w:rFonts w:ascii="Arial" w:hAnsi="Arial" w:cs="Arial"/>
          <w:bCs/>
          <w:sz w:val="22"/>
          <w:szCs w:val="22"/>
          <w:lang w:val="es-ES"/>
        </w:rPr>
        <w:t>adicionalidad</w:t>
      </w:r>
      <w:proofErr w:type="spellEnd"/>
      <w:r>
        <w:rPr>
          <w:rFonts w:ascii="Arial" w:hAnsi="Arial" w:cs="Arial"/>
          <w:bCs/>
          <w:sz w:val="22"/>
          <w:szCs w:val="22"/>
          <w:lang w:val="es-ES"/>
        </w:rPr>
        <w:t xml:space="preserve"> (si se requiere)</w:t>
      </w:r>
      <w:r>
        <w:rPr>
          <w:rStyle w:val="FootnoteReference"/>
          <w:rFonts w:ascii="Arial" w:hAnsi="Arial" w:cs="Arial"/>
          <w:bCs/>
          <w:sz w:val="22"/>
          <w:szCs w:val="22"/>
          <w:lang w:val="es-ES"/>
        </w:rPr>
        <w:footnoteReference w:id="5"/>
      </w:r>
      <w:r>
        <w:rPr>
          <w:rFonts w:ascii="Arial" w:hAnsi="Arial" w:cs="Arial"/>
          <w:bCs/>
          <w:sz w:val="22"/>
          <w:szCs w:val="22"/>
          <w:lang w:val="es-ES"/>
        </w:rPr>
        <w:t>;</w:t>
      </w:r>
    </w:p>
    <w:p w14:paraId="2B4D4291" w14:textId="730CF160" w:rsidR="008378E1" w:rsidRPr="008378E1" w:rsidRDefault="009263C9" w:rsidP="008378E1">
      <w:pPr>
        <w:pStyle w:val="ListParagraph"/>
        <w:numPr>
          <w:ilvl w:val="0"/>
          <w:numId w:val="27"/>
        </w:numPr>
        <w:spacing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Conclusiones</w:t>
      </w:r>
      <w:r w:rsidR="00CC1D33">
        <w:rPr>
          <w:rFonts w:ascii="Arial" w:hAnsi="Arial" w:cs="Arial"/>
          <w:bCs/>
          <w:sz w:val="22"/>
          <w:szCs w:val="22"/>
          <w:lang w:val="es-ES"/>
        </w:rPr>
        <w:t>.</w:t>
      </w:r>
    </w:p>
    <w:p w14:paraId="2182DED3" w14:textId="27AB88AF" w:rsidR="00F07331" w:rsidRDefault="00F07331" w:rsidP="00CC1D33">
      <w:pPr>
        <w:spacing w:after="120"/>
        <w:ind w:left="72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Asimismo, el contractual </w:t>
      </w:r>
      <w:r w:rsidRPr="00F07331">
        <w:rPr>
          <w:rFonts w:ascii="Arial" w:hAnsi="Arial" w:cs="Arial"/>
          <w:bCs/>
          <w:sz w:val="22"/>
          <w:szCs w:val="22"/>
          <w:lang w:val="es-ES"/>
        </w:rPr>
        <w:t>deberá analizar los aspectos financieros de CTM Salto Grande, incluyendo su sistema contable, sistema de control financiero, los flujos financieros, fuentes de recursos, y otros aspectos relevantes, especialmente los aspectos particulares por tratarse de una entidad binacional.</w:t>
      </w:r>
    </w:p>
    <w:p w14:paraId="46FFE77E" w14:textId="143714C7" w:rsidR="007D6C3D" w:rsidRDefault="00CC1D33" w:rsidP="00CC1D33">
      <w:pPr>
        <w:spacing w:after="120"/>
        <w:ind w:left="72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En Contractual podrá seguir la Guía de Análisis Económico para proyectos financiados por el Banco.</w:t>
      </w:r>
    </w:p>
    <w:p w14:paraId="5ECBD9FA" w14:textId="77777777" w:rsidR="004818D1" w:rsidRDefault="004818D1" w:rsidP="00253D5A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14:paraId="648E05CA" w14:textId="6FAD2C3A" w:rsidR="00CC1D33" w:rsidRPr="007D6C3D" w:rsidRDefault="00CC1D33" w:rsidP="00CC1D33">
      <w:pPr>
        <w:spacing w:after="120"/>
        <w:jc w:val="both"/>
        <w:rPr>
          <w:rFonts w:ascii="Arial" w:hAnsi="Arial" w:cs="Arial"/>
          <w:b/>
          <w:bCs/>
          <w:i/>
          <w:sz w:val="22"/>
          <w:szCs w:val="22"/>
          <w:lang w:val="es-ES"/>
        </w:rPr>
      </w:pPr>
      <w:r>
        <w:rPr>
          <w:rFonts w:ascii="Arial" w:hAnsi="Arial" w:cs="Arial"/>
          <w:b/>
          <w:bCs/>
          <w:i/>
          <w:sz w:val="22"/>
          <w:szCs w:val="22"/>
          <w:lang w:val="es-ES"/>
        </w:rPr>
        <w:t>Actividad #2</w:t>
      </w:r>
      <w:r w:rsidRPr="007D6C3D">
        <w:rPr>
          <w:rFonts w:ascii="Arial" w:hAnsi="Arial" w:cs="Arial"/>
          <w:b/>
          <w:bCs/>
          <w:i/>
          <w:sz w:val="22"/>
          <w:szCs w:val="22"/>
          <w:lang w:val="es-ES"/>
        </w:rPr>
        <w:t xml:space="preserve">. Elaboración </w:t>
      </w:r>
      <w:r>
        <w:rPr>
          <w:rFonts w:ascii="Arial" w:hAnsi="Arial" w:cs="Arial"/>
          <w:b/>
          <w:bCs/>
          <w:i/>
          <w:sz w:val="22"/>
          <w:szCs w:val="22"/>
          <w:lang w:val="es-ES"/>
        </w:rPr>
        <w:t>de los pliegos de licitación de las inversiones de corto plazo</w:t>
      </w:r>
      <w:r w:rsidRPr="007D6C3D">
        <w:rPr>
          <w:rFonts w:ascii="Arial" w:hAnsi="Arial" w:cs="Arial"/>
          <w:b/>
          <w:bCs/>
          <w:i/>
          <w:sz w:val="22"/>
          <w:szCs w:val="22"/>
          <w:lang w:val="es-ES"/>
        </w:rPr>
        <w:t>.</w:t>
      </w:r>
    </w:p>
    <w:p w14:paraId="7EA6E03E" w14:textId="6E47D254" w:rsidR="00CC1D33" w:rsidRDefault="00CC1D33" w:rsidP="00CC1D33">
      <w:pPr>
        <w:ind w:left="72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El objetivo de esta actividad y apoyar en la elaboración de los pliegos de licitación para la adquisición de los bienes y servicios de las inversiones de corto plazo que se financiarán en el proyecto. El Contractual deberá identificar los mecanismos de licitación más apropiados y de acuerdo a las políticas de adquisidores de la contraparte y del Banco. Este proceso se enfocará en el desarrollo de todos los documentos requeridos </w:t>
      </w:r>
      <w:r w:rsidR="00FA5A2A">
        <w:rPr>
          <w:rFonts w:ascii="Arial" w:hAnsi="Arial" w:cs="Arial"/>
          <w:bCs/>
          <w:sz w:val="22"/>
          <w:szCs w:val="22"/>
          <w:lang w:val="es-ES"/>
        </w:rPr>
        <w:t xml:space="preserve">del modelo de pliegos </w:t>
      </w:r>
      <w:r>
        <w:rPr>
          <w:rFonts w:ascii="Arial" w:hAnsi="Arial" w:cs="Arial"/>
          <w:bCs/>
          <w:sz w:val="22"/>
          <w:szCs w:val="22"/>
          <w:lang w:val="es-ES"/>
        </w:rPr>
        <w:t xml:space="preserve">de licitación de corto plazo </w:t>
      </w:r>
      <w:r w:rsidR="00FA5A2A">
        <w:rPr>
          <w:rFonts w:ascii="Arial" w:hAnsi="Arial" w:cs="Arial"/>
          <w:bCs/>
          <w:sz w:val="22"/>
          <w:szCs w:val="22"/>
          <w:lang w:val="es-ES"/>
        </w:rPr>
        <w:t xml:space="preserve">de bienes y servicios, </w:t>
      </w:r>
      <w:r>
        <w:rPr>
          <w:rFonts w:ascii="Arial" w:hAnsi="Arial" w:cs="Arial"/>
          <w:bCs/>
          <w:sz w:val="22"/>
          <w:szCs w:val="22"/>
          <w:lang w:val="es-ES"/>
        </w:rPr>
        <w:t>tales como:</w:t>
      </w:r>
    </w:p>
    <w:p w14:paraId="49ECB890" w14:textId="6AADC7C2" w:rsidR="00CC1D33" w:rsidRDefault="00CC1D33" w:rsidP="00CC1D33">
      <w:pPr>
        <w:ind w:left="720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14:paraId="0D6828F4" w14:textId="4792928F" w:rsidR="00FA5A2A" w:rsidRDefault="00FA5A2A" w:rsidP="00836A07">
      <w:pPr>
        <w:pStyle w:val="ListParagraph"/>
        <w:numPr>
          <w:ilvl w:val="0"/>
          <w:numId w:val="27"/>
        </w:numPr>
        <w:spacing w:before="120"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Condiciones particulares de Licitación de bienes y/o servicios;</w:t>
      </w:r>
    </w:p>
    <w:p w14:paraId="78EA1773" w14:textId="5A6E6DA5" w:rsidR="00FA5A2A" w:rsidRDefault="00FA5A2A" w:rsidP="00836A07">
      <w:pPr>
        <w:pStyle w:val="ListParagraph"/>
        <w:numPr>
          <w:ilvl w:val="0"/>
          <w:numId w:val="27"/>
        </w:numPr>
        <w:spacing w:before="120"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lastRenderedPageBreak/>
        <w:t>Condiciones generales para la adquisición de bienes y/o contratación de servicios;</w:t>
      </w:r>
    </w:p>
    <w:p w14:paraId="70FAA3E5" w14:textId="657F49F2" w:rsidR="00FA5A2A" w:rsidRDefault="00FA5A2A" w:rsidP="00836A07">
      <w:pPr>
        <w:pStyle w:val="ListParagraph"/>
        <w:numPr>
          <w:ilvl w:val="0"/>
          <w:numId w:val="27"/>
        </w:numPr>
        <w:spacing w:before="120"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Formulario de ofertas;</w:t>
      </w:r>
    </w:p>
    <w:p w14:paraId="59712AAE" w14:textId="3CD08101" w:rsidR="00FA5A2A" w:rsidRDefault="00FA5A2A" w:rsidP="00836A07">
      <w:pPr>
        <w:pStyle w:val="ListParagraph"/>
        <w:numPr>
          <w:ilvl w:val="0"/>
          <w:numId w:val="27"/>
        </w:numPr>
        <w:spacing w:before="120"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Formulario de compromiso de asociación o consorcio;</w:t>
      </w:r>
    </w:p>
    <w:p w14:paraId="6CDE95D4" w14:textId="26EBE7FA" w:rsidR="00FA5A2A" w:rsidRDefault="00FA5A2A" w:rsidP="00836A07">
      <w:pPr>
        <w:pStyle w:val="ListParagraph"/>
        <w:numPr>
          <w:ilvl w:val="0"/>
          <w:numId w:val="27"/>
        </w:numPr>
        <w:spacing w:before="120"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Condiciones particulares de los contratos de Licitación de bienes y/o servicios;</w:t>
      </w:r>
    </w:p>
    <w:p w14:paraId="4C77B1C6" w14:textId="6F2DEAD4" w:rsidR="00FA5A2A" w:rsidRPr="00CC1D33" w:rsidRDefault="00FA5A2A" w:rsidP="00836A07">
      <w:pPr>
        <w:pStyle w:val="ListParagraph"/>
        <w:numPr>
          <w:ilvl w:val="0"/>
          <w:numId w:val="27"/>
        </w:numPr>
        <w:spacing w:before="120"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Condiciones generales de los contratos para la adquisición de bienes y/o contratación de servicios.</w:t>
      </w:r>
    </w:p>
    <w:p w14:paraId="6A7B9624" w14:textId="77777777" w:rsidR="00CC1D33" w:rsidRDefault="00CC1D33" w:rsidP="00253D5A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14:paraId="023CF708" w14:textId="6388439D" w:rsidR="004818D1" w:rsidRDefault="002467D6" w:rsidP="00253D5A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2467D6">
        <w:rPr>
          <w:rFonts w:ascii="Arial" w:hAnsi="Arial" w:cs="Arial"/>
          <w:bCs/>
          <w:sz w:val="22"/>
          <w:szCs w:val="22"/>
          <w:lang w:val="es-ES"/>
        </w:rPr>
        <w:t xml:space="preserve">El </w:t>
      </w:r>
      <w:r w:rsidR="00F07331">
        <w:rPr>
          <w:rFonts w:ascii="Arial" w:hAnsi="Arial" w:cs="Arial"/>
          <w:bCs/>
          <w:sz w:val="22"/>
          <w:szCs w:val="22"/>
          <w:lang w:val="es-ES"/>
        </w:rPr>
        <w:t>contractual</w:t>
      </w:r>
      <w:r w:rsidRPr="002467D6">
        <w:rPr>
          <w:rFonts w:ascii="Arial" w:hAnsi="Arial" w:cs="Arial"/>
          <w:bCs/>
          <w:sz w:val="22"/>
          <w:szCs w:val="22"/>
          <w:lang w:val="es-ES"/>
        </w:rPr>
        <w:t xml:space="preserve"> deberá realizar las actividades descriptas en estrecha coordinación con el equipo técnico del BID</w:t>
      </w:r>
      <w:r>
        <w:rPr>
          <w:rFonts w:ascii="Arial" w:hAnsi="Arial" w:cs="Arial"/>
          <w:bCs/>
          <w:sz w:val="22"/>
          <w:szCs w:val="22"/>
          <w:lang w:val="es-ES"/>
        </w:rPr>
        <w:t>.</w:t>
      </w:r>
    </w:p>
    <w:p w14:paraId="1027DC65" w14:textId="77777777" w:rsidR="004818D1" w:rsidRDefault="004818D1" w:rsidP="004818D1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7021F41E" w14:textId="77777777" w:rsidR="00AE2BDA" w:rsidRPr="00E451FB" w:rsidRDefault="005A3D4C" w:rsidP="004818D1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E451FB">
        <w:rPr>
          <w:rFonts w:ascii="Arial" w:hAnsi="Arial" w:cs="Arial"/>
          <w:b/>
          <w:bCs/>
          <w:sz w:val="22"/>
          <w:szCs w:val="22"/>
          <w:lang w:val="es-ES"/>
        </w:rPr>
        <w:t xml:space="preserve">INFORMES Y ENTREGABLES </w:t>
      </w:r>
    </w:p>
    <w:p w14:paraId="619F1324" w14:textId="77777777" w:rsidR="00202CC0" w:rsidRDefault="00202CC0" w:rsidP="004818D1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14:paraId="0D59FB3E" w14:textId="4A2E0EB1" w:rsidR="00F07331" w:rsidRDefault="00F07331" w:rsidP="004818D1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El contractual deberá entregar los siguientes informes y que deberán contener todas y cada una de las actividades descritas en estos términos de referencia.</w:t>
      </w:r>
    </w:p>
    <w:p w14:paraId="500832EB" w14:textId="77777777" w:rsidR="00F07331" w:rsidRPr="00E451FB" w:rsidRDefault="00F07331" w:rsidP="004818D1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14:paraId="357E66AE" w14:textId="20FA185D" w:rsidR="00FC6980" w:rsidRDefault="00836A07" w:rsidP="00212B7C">
      <w:pPr>
        <w:pStyle w:val="ListParagraph"/>
        <w:numPr>
          <w:ilvl w:val="0"/>
          <w:numId w:val="22"/>
        </w:numPr>
        <w:spacing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El reporte final del análisis económico y financiero de los proyectos identificados en las inversiones de corto plazo en la modernización y repotenciación de la CHSG.</w:t>
      </w:r>
    </w:p>
    <w:p w14:paraId="1282F445" w14:textId="48081B1D" w:rsidR="00A57692" w:rsidRDefault="000D26A2" w:rsidP="00212B7C">
      <w:pPr>
        <w:pStyle w:val="ListParagraph"/>
        <w:numPr>
          <w:ilvl w:val="0"/>
          <w:numId w:val="22"/>
        </w:numPr>
        <w:spacing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El reporte final de los pliegos de licitación de las inversiones identificadas en el proyecto de préstamo.</w:t>
      </w:r>
    </w:p>
    <w:p w14:paraId="3D64DBBC" w14:textId="1D76042F" w:rsidR="00FE4A0A" w:rsidRPr="00E451FB" w:rsidRDefault="00BC43E9" w:rsidP="00212B7C">
      <w:pPr>
        <w:spacing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E451FB">
        <w:rPr>
          <w:rFonts w:ascii="Arial" w:hAnsi="Arial" w:cs="Arial"/>
          <w:bCs/>
          <w:sz w:val="22"/>
          <w:szCs w:val="22"/>
          <w:lang w:val="es-ES"/>
        </w:rPr>
        <w:t xml:space="preserve">Los informes deberán </w:t>
      </w:r>
      <w:r w:rsidR="002067D2" w:rsidRPr="00E451FB">
        <w:rPr>
          <w:rFonts w:ascii="Arial" w:hAnsi="Arial" w:cs="Arial"/>
          <w:bCs/>
          <w:sz w:val="22"/>
          <w:szCs w:val="22"/>
          <w:lang w:val="es-ES"/>
        </w:rPr>
        <w:t xml:space="preserve">ser </w:t>
      </w:r>
      <w:r w:rsidRPr="00E451FB">
        <w:rPr>
          <w:rFonts w:ascii="Arial" w:hAnsi="Arial" w:cs="Arial"/>
          <w:bCs/>
          <w:sz w:val="22"/>
          <w:szCs w:val="22"/>
          <w:lang w:val="es-ES"/>
        </w:rPr>
        <w:t xml:space="preserve">elaborados en español y </w:t>
      </w:r>
      <w:r w:rsidR="00C44A9E" w:rsidRPr="00E451FB">
        <w:rPr>
          <w:rFonts w:ascii="Arial" w:hAnsi="Arial" w:cs="Arial"/>
          <w:bCs/>
          <w:sz w:val="22"/>
          <w:szCs w:val="22"/>
          <w:lang w:val="es-ES"/>
        </w:rPr>
        <w:t>entregado</w:t>
      </w:r>
      <w:r w:rsidRPr="00E451FB">
        <w:rPr>
          <w:rFonts w:ascii="Arial" w:hAnsi="Arial" w:cs="Arial"/>
          <w:bCs/>
          <w:sz w:val="22"/>
          <w:szCs w:val="22"/>
          <w:lang w:val="es-ES"/>
        </w:rPr>
        <w:t xml:space="preserve">s </w:t>
      </w:r>
      <w:r w:rsidR="00C44A9E" w:rsidRPr="00E451FB">
        <w:rPr>
          <w:rFonts w:ascii="Arial" w:hAnsi="Arial" w:cs="Arial"/>
          <w:bCs/>
          <w:sz w:val="22"/>
          <w:szCs w:val="22"/>
          <w:lang w:val="es-ES"/>
        </w:rPr>
        <w:t>en forma electrónica</w:t>
      </w:r>
      <w:r w:rsidRPr="00E451FB">
        <w:rPr>
          <w:rFonts w:ascii="Arial" w:hAnsi="Arial" w:cs="Arial"/>
          <w:bCs/>
          <w:sz w:val="22"/>
          <w:szCs w:val="22"/>
          <w:lang w:val="es-ES"/>
        </w:rPr>
        <w:t xml:space="preserve">, </w:t>
      </w:r>
      <w:r w:rsidR="00C44A9E" w:rsidRPr="00E451FB">
        <w:rPr>
          <w:rFonts w:ascii="Arial" w:hAnsi="Arial" w:cs="Arial"/>
          <w:bCs/>
          <w:sz w:val="22"/>
          <w:szCs w:val="22"/>
          <w:lang w:val="es-ES"/>
        </w:rPr>
        <w:t>en formato Microsoft Word</w:t>
      </w:r>
      <w:r w:rsidR="007A214C" w:rsidRPr="00E451FB">
        <w:rPr>
          <w:rFonts w:ascii="Arial" w:hAnsi="Arial" w:cs="Arial"/>
          <w:bCs/>
          <w:sz w:val="22"/>
          <w:szCs w:val="22"/>
          <w:lang w:val="es-ES"/>
        </w:rPr>
        <w:t xml:space="preserve">, y </w:t>
      </w:r>
      <w:r w:rsidR="00F07331">
        <w:rPr>
          <w:rFonts w:ascii="Arial" w:hAnsi="Arial" w:cs="Arial"/>
          <w:bCs/>
          <w:sz w:val="22"/>
          <w:szCs w:val="22"/>
          <w:lang w:val="es-ES"/>
        </w:rPr>
        <w:t>deberán</w:t>
      </w:r>
      <w:r w:rsidR="007A214C" w:rsidRPr="00E451FB">
        <w:rPr>
          <w:rFonts w:ascii="Arial" w:hAnsi="Arial" w:cs="Arial"/>
          <w:bCs/>
          <w:sz w:val="22"/>
          <w:szCs w:val="22"/>
          <w:lang w:val="es-ES"/>
        </w:rPr>
        <w:t xml:space="preserve"> incluir </w:t>
      </w:r>
      <w:r w:rsidR="00F07331">
        <w:rPr>
          <w:rFonts w:ascii="Arial" w:hAnsi="Arial" w:cs="Arial"/>
          <w:bCs/>
          <w:sz w:val="22"/>
          <w:szCs w:val="22"/>
          <w:lang w:val="es-ES"/>
        </w:rPr>
        <w:t xml:space="preserve">las </w:t>
      </w:r>
      <w:r w:rsidR="007A214C" w:rsidRPr="00E451FB">
        <w:rPr>
          <w:rFonts w:ascii="Arial" w:hAnsi="Arial" w:cs="Arial"/>
          <w:bCs/>
          <w:sz w:val="22"/>
          <w:szCs w:val="22"/>
          <w:lang w:val="es-ES"/>
        </w:rPr>
        <w:t>tablas adjuntas en Excel; así como copia en PDF de los documentos tomados como información de base para el ejercicio</w:t>
      </w:r>
      <w:r w:rsidR="00C44A9E" w:rsidRPr="00E451FB">
        <w:rPr>
          <w:rFonts w:ascii="Arial" w:hAnsi="Arial" w:cs="Arial"/>
          <w:bCs/>
          <w:sz w:val="22"/>
          <w:szCs w:val="22"/>
          <w:lang w:val="es-ES"/>
        </w:rPr>
        <w:t>.</w:t>
      </w:r>
      <w:r w:rsidRPr="00E451FB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965CAB" w:rsidRPr="00E451FB">
        <w:rPr>
          <w:rFonts w:ascii="Arial" w:hAnsi="Arial" w:cs="Arial"/>
          <w:bCs/>
          <w:sz w:val="22"/>
          <w:szCs w:val="22"/>
          <w:lang w:val="es-ES"/>
        </w:rPr>
        <w:t>Los informes deberán incluir una carátula, el documento principal y los anexos (no se aceptarán archivos en formato Zip).</w:t>
      </w:r>
      <w:r w:rsidR="00491E27" w:rsidRPr="00E451FB">
        <w:rPr>
          <w:rFonts w:ascii="Arial" w:hAnsi="Arial" w:cs="Arial"/>
          <w:bCs/>
          <w:sz w:val="22"/>
          <w:szCs w:val="22"/>
          <w:lang w:val="es-ES"/>
        </w:rPr>
        <w:t xml:space="preserve"> </w:t>
      </w:r>
    </w:p>
    <w:p w14:paraId="5278E1DF" w14:textId="77777777" w:rsidR="00212B7C" w:rsidRPr="00E451FB" w:rsidRDefault="00212B7C" w:rsidP="00212B7C">
      <w:pPr>
        <w:jc w:val="both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</w:p>
    <w:p w14:paraId="1DED3AB3" w14:textId="26E24B8B" w:rsidR="00752A29" w:rsidRPr="00E451FB" w:rsidRDefault="005A3D4C" w:rsidP="00212B7C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E451FB">
        <w:rPr>
          <w:rFonts w:ascii="Arial" w:hAnsi="Arial" w:cs="Arial"/>
          <w:b/>
          <w:bCs/>
          <w:sz w:val="22"/>
          <w:szCs w:val="22"/>
          <w:lang w:val="es-ES"/>
        </w:rPr>
        <w:t xml:space="preserve">CRONOGRAMA DE PAGOS </w:t>
      </w:r>
    </w:p>
    <w:p w14:paraId="30F1B43A" w14:textId="77777777" w:rsidR="00202CC0" w:rsidRPr="00E451FB" w:rsidRDefault="00202CC0" w:rsidP="00253D5A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14:paraId="3B858083" w14:textId="76EB7874" w:rsidR="0047164A" w:rsidRPr="00E451FB" w:rsidRDefault="0047164A" w:rsidP="00212B7C">
      <w:pPr>
        <w:spacing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E451FB">
        <w:rPr>
          <w:rFonts w:ascii="Arial" w:hAnsi="Arial" w:cs="Arial"/>
          <w:bCs/>
          <w:sz w:val="22"/>
          <w:szCs w:val="22"/>
          <w:lang w:val="es-ES"/>
        </w:rPr>
        <w:t xml:space="preserve">El pago total por esta consultoría que es por suma alzada </w:t>
      </w:r>
      <w:r w:rsidR="00B5276D" w:rsidRPr="00E451FB">
        <w:rPr>
          <w:rFonts w:ascii="Arial" w:hAnsi="Arial" w:cs="Arial"/>
          <w:bCs/>
          <w:sz w:val="22"/>
          <w:szCs w:val="22"/>
          <w:lang w:val="es-ES"/>
        </w:rPr>
        <w:t>i</w:t>
      </w:r>
      <w:r w:rsidRPr="00E451FB">
        <w:rPr>
          <w:rFonts w:ascii="Arial" w:hAnsi="Arial" w:cs="Arial"/>
          <w:bCs/>
          <w:sz w:val="22"/>
          <w:szCs w:val="22"/>
          <w:lang w:val="es-ES"/>
        </w:rPr>
        <w:t>ncluyendo todos los impuestos, retenciones y otros gastos que pudieran corresponder, y se acordará siguiendo las normas del BID.</w:t>
      </w:r>
    </w:p>
    <w:p w14:paraId="0B9FF909" w14:textId="77777777" w:rsidR="0047164A" w:rsidRPr="00E451FB" w:rsidRDefault="0047164A" w:rsidP="00212B7C">
      <w:pPr>
        <w:spacing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E451FB">
        <w:rPr>
          <w:rFonts w:ascii="Arial" w:hAnsi="Arial" w:cs="Arial"/>
          <w:bCs/>
          <w:sz w:val="22"/>
          <w:szCs w:val="22"/>
          <w:lang w:val="es-ES"/>
        </w:rPr>
        <w:t>El cronograma de pagos prevista es contra la presentación y aprobación de los siguientes productos:</w:t>
      </w:r>
    </w:p>
    <w:p w14:paraId="1B1895BF" w14:textId="59A755A2" w:rsidR="007D7062" w:rsidRDefault="00802EA0" w:rsidP="007D7062">
      <w:pPr>
        <w:pStyle w:val="ListParagraph"/>
        <w:numPr>
          <w:ilvl w:val="0"/>
          <w:numId w:val="20"/>
        </w:numPr>
        <w:spacing w:after="120"/>
        <w:ind w:left="144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2</w:t>
      </w:r>
      <w:r w:rsidR="0032354D" w:rsidRPr="00E451FB">
        <w:rPr>
          <w:rFonts w:ascii="Arial" w:hAnsi="Arial" w:cs="Arial"/>
          <w:bCs/>
          <w:sz w:val="22"/>
          <w:szCs w:val="22"/>
          <w:lang w:val="es-ES"/>
        </w:rPr>
        <w:t>0% a</w:t>
      </w:r>
      <w:r w:rsidR="007D7062" w:rsidRPr="00E451FB">
        <w:rPr>
          <w:rFonts w:ascii="Arial" w:hAnsi="Arial" w:cs="Arial"/>
          <w:bCs/>
          <w:sz w:val="22"/>
          <w:szCs w:val="22"/>
          <w:lang w:val="es-ES"/>
        </w:rPr>
        <w:t xml:space="preserve"> la firma de contrato y presentac</w:t>
      </w:r>
      <w:r>
        <w:rPr>
          <w:rFonts w:ascii="Arial" w:hAnsi="Arial" w:cs="Arial"/>
          <w:bCs/>
          <w:sz w:val="22"/>
          <w:szCs w:val="22"/>
          <w:lang w:val="es-ES"/>
        </w:rPr>
        <w:t>ión del plan de trabajo</w:t>
      </w:r>
      <w:r w:rsidR="007D7062" w:rsidRPr="00E451FB">
        <w:rPr>
          <w:rFonts w:ascii="Arial" w:hAnsi="Arial" w:cs="Arial"/>
          <w:bCs/>
          <w:sz w:val="22"/>
          <w:szCs w:val="22"/>
          <w:lang w:val="es-ES"/>
        </w:rPr>
        <w:t>.</w:t>
      </w:r>
    </w:p>
    <w:p w14:paraId="1A12F6EA" w14:textId="0E0DAB8D" w:rsidR="00836A07" w:rsidRDefault="00836A07" w:rsidP="007D7062">
      <w:pPr>
        <w:pStyle w:val="ListParagraph"/>
        <w:numPr>
          <w:ilvl w:val="0"/>
          <w:numId w:val="20"/>
        </w:numPr>
        <w:spacing w:after="120"/>
        <w:ind w:left="144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20% a la presentación del borrador del Informe Parcial de la Actividad #1.</w:t>
      </w:r>
    </w:p>
    <w:p w14:paraId="199EEC58" w14:textId="3D7B03BC" w:rsidR="00836A07" w:rsidRDefault="00836A07" w:rsidP="007D7062">
      <w:pPr>
        <w:pStyle w:val="ListParagraph"/>
        <w:numPr>
          <w:ilvl w:val="0"/>
          <w:numId w:val="20"/>
        </w:numPr>
        <w:spacing w:after="120"/>
        <w:ind w:left="144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20% a la presentación del borrador del Informe Parcial de la Actividad #2.</w:t>
      </w:r>
    </w:p>
    <w:p w14:paraId="0F676608" w14:textId="77777777" w:rsidR="00F07331" w:rsidRDefault="00836A07" w:rsidP="00F07331">
      <w:pPr>
        <w:pStyle w:val="ListParagraph"/>
        <w:numPr>
          <w:ilvl w:val="0"/>
          <w:numId w:val="20"/>
        </w:numPr>
        <w:spacing w:after="120"/>
        <w:ind w:left="1440"/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20% a la presentación y aprobación del Informe Final de la Actividad #1 el cual deberá contener las opiniones del equipo del BID.</w:t>
      </w:r>
    </w:p>
    <w:p w14:paraId="45E95040" w14:textId="3392CB02" w:rsidR="00F07331" w:rsidRPr="00F07331" w:rsidRDefault="00F07331" w:rsidP="00F07331">
      <w:pPr>
        <w:pStyle w:val="ListParagraph"/>
        <w:numPr>
          <w:ilvl w:val="0"/>
          <w:numId w:val="20"/>
        </w:numPr>
        <w:spacing w:after="120"/>
        <w:ind w:left="144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F07331">
        <w:rPr>
          <w:rFonts w:ascii="Arial" w:hAnsi="Arial" w:cs="Arial"/>
          <w:bCs/>
          <w:sz w:val="22"/>
          <w:szCs w:val="22"/>
          <w:lang w:val="es-ES"/>
        </w:rPr>
        <w:t xml:space="preserve">20% a la presentación y aprobación del </w:t>
      </w:r>
      <w:r>
        <w:rPr>
          <w:rFonts w:ascii="Arial" w:hAnsi="Arial" w:cs="Arial"/>
          <w:bCs/>
          <w:sz w:val="22"/>
          <w:szCs w:val="22"/>
          <w:lang w:val="es-ES"/>
        </w:rPr>
        <w:t>Informe Final de la Actividad #2</w:t>
      </w:r>
      <w:r w:rsidRPr="00F07331">
        <w:rPr>
          <w:rFonts w:ascii="Arial" w:hAnsi="Arial" w:cs="Arial"/>
          <w:bCs/>
          <w:sz w:val="22"/>
          <w:szCs w:val="22"/>
          <w:lang w:val="es-ES"/>
        </w:rPr>
        <w:t xml:space="preserve"> el cual deberá contener las opiniones del equipo del BID.</w:t>
      </w:r>
    </w:p>
    <w:p w14:paraId="296BED03" w14:textId="707B19FC" w:rsidR="00B5276D" w:rsidRPr="002D540E" w:rsidRDefault="00B5276D" w:rsidP="00FC6980">
      <w:pPr>
        <w:pStyle w:val="ListParagraph"/>
        <w:spacing w:after="120"/>
        <w:ind w:left="1080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14:paraId="51F96C89" w14:textId="77777777" w:rsidR="00253D5A" w:rsidRPr="00E451FB" w:rsidRDefault="005A3D4C" w:rsidP="00212B7C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E451FB">
        <w:rPr>
          <w:rFonts w:ascii="Arial" w:hAnsi="Arial" w:cs="Arial"/>
          <w:b/>
          <w:bCs/>
          <w:sz w:val="22"/>
          <w:szCs w:val="22"/>
          <w:lang w:val="es-ES"/>
        </w:rPr>
        <w:t xml:space="preserve">CALIFICACIONES </w:t>
      </w:r>
    </w:p>
    <w:p w14:paraId="68C5A6BF" w14:textId="77777777" w:rsidR="00C44A9E" w:rsidRPr="00E451FB" w:rsidRDefault="00C44A9E" w:rsidP="00C44A9E">
      <w:pPr>
        <w:pStyle w:val="ListParagraph"/>
        <w:spacing w:after="120"/>
        <w:jc w:val="both"/>
        <w:rPr>
          <w:rFonts w:ascii="Arial" w:hAnsi="Arial" w:cs="Arial"/>
          <w:sz w:val="22"/>
          <w:szCs w:val="22"/>
          <w:lang w:val="es-ES"/>
        </w:rPr>
      </w:pPr>
    </w:p>
    <w:p w14:paraId="4EB4C863" w14:textId="3F2ABC0E" w:rsidR="0085024C" w:rsidRPr="00E451FB" w:rsidRDefault="00182178" w:rsidP="00182178">
      <w:pPr>
        <w:pStyle w:val="ListParagraph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 w:rsidRPr="00E451FB">
        <w:rPr>
          <w:rFonts w:ascii="Arial" w:hAnsi="Arial" w:cs="Arial"/>
          <w:b/>
          <w:sz w:val="22"/>
          <w:szCs w:val="22"/>
          <w:lang w:val="es-ES"/>
        </w:rPr>
        <w:t>Título/Nivel Académico &amp; Años de Experiencia Profesional</w:t>
      </w:r>
      <w:r w:rsidRPr="00E451FB">
        <w:rPr>
          <w:rFonts w:ascii="Arial" w:hAnsi="Arial" w:cs="Arial"/>
          <w:sz w:val="22"/>
          <w:szCs w:val="22"/>
          <w:lang w:val="es-ES"/>
        </w:rPr>
        <w:t>: El contractual</w:t>
      </w:r>
      <w:r w:rsidR="0085024C" w:rsidRPr="00E451FB">
        <w:rPr>
          <w:rFonts w:ascii="Arial" w:hAnsi="Arial" w:cs="Arial"/>
          <w:sz w:val="22"/>
          <w:szCs w:val="22"/>
          <w:lang w:val="es-ES"/>
        </w:rPr>
        <w:t xml:space="preserve"> deberá tener un título de </w:t>
      </w:r>
      <w:r w:rsidR="009A21BD" w:rsidRPr="00E451FB">
        <w:rPr>
          <w:rFonts w:ascii="Arial" w:hAnsi="Arial" w:cs="Arial"/>
          <w:sz w:val="22"/>
          <w:szCs w:val="22"/>
          <w:lang w:val="es-ES"/>
        </w:rPr>
        <w:t>licenciado en economía</w:t>
      </w:r>
      <w:r w:rsidR="009A21BD">
        <w:rPr>
          <w:rFonts w:ascii="Arial" w:hAnsi="Arial" w:cs="Arial"/>
          <w:sz w:val="22"/>
          <w:szCs w:val="22"/>
          <w:lang w:val="es-ES"/>
        </w:rPr>
        <w:t>,</w:t>
      </w:r>
      <w:r w:rsidR="009A21BD" w:rsidRPr="00E451FB">
        <w:rPr>
          <w:rFonts w:ascii="Arial" w:hAnsi="Arial" w:cs="Arial"/>
          <w:sz w:val="22"/>
          <w:szCs w:val="22"/>
          <w:lang w:val="es-ES"/>
        </w:rPr>
        <w:t xml:space="preserve"> </w:t>
      </w:r>
      <w:r w:rsidR="00FC6980" w:rsidRPr="00E451FB">
        <w:rPr>
          <w:rFonts w:ascii="Arial" w:hAnsi="Arial" w:cs="Arial"/>
          <w:sz w:val="22"/>
          <w:szCs w:val="22"/>
          <w:lang w:val="es-ES"/>
        </w:rPr>
        <w:t>ingeniero mecánico, ingeniero civil, ingeniero industrial, ingeniero electricista</w:t>
      </w:r>
      <w:r w:rsidR="00FC6980">
        <w:rPr>
          <w:rFonts w:ascii="Arial" w:hAnsi="Arial" w:cs="Arial"/>
          <w:sz w:val="22"/>
          <w:szCs w:val="22"/>
          <w:lang w:val="es-ES"/>
        </w:rPr>
        <w:t xml:space="preserve">, </w:t>
      </w:r>
      <w:r w:rsidR="00FC6980" w:rsidRPr="00E451FB">
        <w:rPr>
          <w:rFonts w:ascii="Arial" w:hAnsi="Arial" w:cs="Arial"/>
          <w:sz w:val="22"/>
          <w:szCs w:val="22"/>
          <w:lang w:val="es-ES"/>
        </w:rPr>
        <w:t>ingeniero electromecánico</w:t>
      </w:r>
      <w:r w:rsidR="00FC6980">
        <w:rPr>
          <w:rFonts w:ascii="Arial" w:hAnsi="Arial" w:cs="Arial"/>
          <w:sz w:val="22"/>
          <w:szCs w:val="22"/>
          <w:lang w:val="es-ES"/>
        </w:rPr>
        <w:t>,</w:t>
      </w:r>
      <w:r w:rsidR="00FC6980" w:rsidRPr="00E451FB">
        <w:rPr>
          <w:rFonts w:ascii="Arial" w:hAnsi="Arial" w:cs="Arial"/>
          <w:sz w:val="22"/>
          <w:szCs w:val="22"/>
          <w:lang w:val="es-ES"/>
        </w:rPr>
        <w:t xml:space="preserve"> </w:t>
      </w:r>
      <w:r w:rsidR="0085024C" w:rsidRPr="00E451FB">
        <w:rPr>
          <w:rFonts w:ascii="Arial" w:hAnsi="Arial" w:cs="Arial"/>
          <w:sz w:val="22"/>
          <w:szCs w:val="22"/>
          <w:lang w:val="es-ES"/>
        </w:rPr>
        <w:t xml:space="preserve">licenciado en administración, </w:t>
      </w:r>
      <w:r w:rsidR="00F3271A" w:rsidRPr="00E451FB">
        <w:rPr>
          <w:rFonts w:ascii="Arial" w:hAnsi="Arial" w:cs="Arial"/>
          <w:sz w:val="22"/>
          <w:szCs w:val="22"/>
          <w:lang w:val="es-ES"/>
        </w:rPr>
        <w:t>preferentemente</w:t>
      </w:r>
      <w:r w:rsidR="0085024C" w:rsidRPr="00E451FB">
        <w:rPr>
          <w:rFonts w:ascii="Arial" w:hAnsi="Arial" w:cs="Arial"/>
          <w:sz w:val="22"/>
          <w:szCs w:val="22"/>
          <w:lang w:val="es-ES"/>
        </w:rPr>
        <w:t xml:space="preserve"> con estudios de maestría en energía, </w:t>
      </w:r>
      <w:r w:rsidR="00802EA0">
        <w:rPr>
          <w:rFonts w:ascii="Arial" w:hAnsi="Arial" w:cs="Arial"/>
          <w:sz w:val="22"/>
          <w:szCs w:val="22"/>
          <w:lang w:val="es-ES"/>
        </w:rPr>
        <w:t xml:space="preserve">o hidroelectricidad, </w:t>
      </w:r>
      <w:r w:rsidR="009A21BD">
        <w:rPr>
          <w:rFonts w:ascii="Arial" w:hAnsi="Arial" w:cs="Arial"/>
          <w:sz w:val="22"/>
          <w:szCs w:val="22"/>
          <w:lang w:val="es-ES"/>
        </w:rPr>
        <w:t>y amplio conocimiento en evaluación económica-financiera de proyectos, y las políticas de adquisiciones de proyectos de infraestructura de envergadura hidroeléctrica. El contractual deberá tener c</w:t>
      </w:r>
      <w:r w:rsidR="0085024C" w:rsidRPr="00E451FB">
        <w:rPr>
          <w:rFonts w:ascii="Arial" w:hAnsi="Arial" w:cs="Arial"/>
          <w:sz w:val="22"/>
          <w:szCs w:val="22"/>
          <w:lang w:val="es-ES"/>
        </w:rPr>
        <w:t xml:space="preserve">on al menos </w:t>
      </w:r>
      <w:r w:rsidR="00802EA0">
        <w:rPr>
          <w:rFonts w:ascii="Arial" w:hAnsi="Arial" w:cs="Arial"/>
          <w:sz w:val="22"/>
          <w:szCs w:val="22"/>
          <w:lang w:val="es-ES"/>
        </w:rPr>
        <w:t>10</w:t>
      </w:r>
      <w:r w:rsidR="0085024C" w:rsidRPr="00E451FB">
        <w:rPr>
          <w:rFonts w:ascii="Arial" w:hAnsi="Arial" w:cs="Arial"/>
          <w:sz w:val="22"/>
          <w:szCs w:val="22"/>
          <w:lang w:val="es-ES"/>
        </w:rPr>
        <w:t xml:space="preserve"> años de experiencia en la materia. </w:t>
      </w:r>
    </w:p>
    <w:p w14:paraId="64B8E889" w14:textId="1F2E1308" w:rsidR="00182178" w:rsidRPr="00E451FB" w:rsidRDefault="00182178" w:rsidP="00182178">
      <w:pPr>
        <w:pStyle w:val="ListParagraph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 w:rsidRPr="00E451FB">
        <w:rPr>
          <w:rFonts w:ascii="Arial" w:hAnsi="Arial" w:cs="Arial"/>
          <w:b/>
          <w:sz w:val="22"/>
          <w:szCs w:val="22"/>
          <w:lang w:val="es-ES"/>
        </w:rPr>
        <w:t>Idiomas:</w:t>
      </w:r>
      <w:r w:rsidRPr="00E451FB">
        <w:rPr>
          <w:rFonts w:ascii="Arial" w:hAnsi="Arial" w:cs="Arial"/>
          <w:sz w:val="22"/>
          <w:szCs w:val="22"/>
          <w:lang w:val="es-ES"/>
        </w:rPr>
        <w:t xml:space="preserve"> español </w:t>
      </w:r>
      <w:r w:rsidR="00524D30">
        <w:rPr>
          <w:rFonts w:ascii="Arial" w:hAnsi="Arial" w:cs="Arial"/>
          <w:sz w:val="22"/>
          <w:szCs w:val="22"/>
          <w:lang w:val="es-ES"/>
        </w:rPr>
        <w:t>e inglés.</w:t>
      </w:r>
    </w:p>
    <w:p w14:paraId="6F440D9E" w14:textId="0ACA3EB5" w:rsidR="00182178" w:rsidRPr="00E451FB" w:rsidRDefault="00182178" w:rsidP="00182178">
      <w:pPr>
        <w:pStyle w:val="ListParagraph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 w:rsidRPr="00E451FB">
        <w:rPr>
          <w:rFonts w:ascii="Arial" w:hAnsi="Arial" w:cs="Arial"/>
          <w:b/>
          <w:sz w:val="22"/>
          <w:szCs w:val="22"/>
          <w:lang w:val="es-ES"/>
        </w:rPr>
        <w:t>Área de Especialización:</w:t>
      </w:r>
      <w:r w:rsidRPr="00E451FB">
        <w:rPr>
          <w:rFonts w:ascii="Arial" w:hAnsi="Arial" w:cs="Arial"/>
          <w:sz w:val="22"/>
          <w:szCs w:val="22"/>
          <w:lang w:val="es-ES"/>
        </w:rPr>
        <w:t xml:space="preserve"> con amplio conocimiento y especialización en el sector energía, en particular en los temas de </w:t>
      </w:r>
      <w:r w:rsidR="00524D30">
        <w:rPr>
          <w:rFonts w:ascii="Arial" w:hAnsi="Arial" w:cs="Arial"/>
          <w:sz w:val="22"/>
          <w:szCs w:val="22"/>
          <w:lang w:val="es-ES"/>
        </w:rPr>
        <w:t>proyectos hidroeléctricos en la región LAC</w:t>
      </w:r>
      <w:r w:rsidRPr="00E451FB">
        <w:rPr>
          <w:rFonts w:ascii="Arial" w:hAnsi="Arial" w:cs="Arial"/>
          <w:sz w:val="22"/>
          <w:szCs w:val="22"/>
          <w:lang w:val="es-ES"/>
        </w:rPr>
        <w:t xml:space="preserve">, </w:t>
      </w:r>
      <w:r w:rsidR="00524D30">
        <w:rPr>
          <w:rFonts w:ascii="Arial" w:hAnsi="Arial" w:cs="Arial"/>
          <w:sz w:val="22"/>
          <w:szCs w:val="22"/>
          <w:lang w:val="es-ES"/>
        </w:rPr>
        <w:t>gestión de proyectos</w:t>
      </w:r>
      <w:r w:rsidRPr="00E451FB">
        <w:rPr>
          <w:rFonts w:ascii="Arial" w:hAnsi="Arial" w:cs="Arial"/>
          <w:sz w:val="22"/>
          <w:szCs w:val="22"/>
          <w:lang w:val="es-ES"/>
        </w:rPr>
        <w:t xml:space="preserve">, </w:t>
      </w:r>
      <w:r w:rsidR="00524D30">
        <w:rPr>
          <w:rFonts w:ascii="Arial" w:hAnsi="Arial" w:cs="Arial"/>
          <w:sz w:val="22"/>
          <w:szCs w:val="22"/>
          <w:lang w:val="es-ES"/>
        </w:rPr>
        <w:t xml:space="preserve">evaluación técnico-económica de proyectos de energía, </w:t>
      </w:r>
      <w:r w:rsidRPr="00E451FB">
        <w:rPr>
          <w:rFonts w:ascii="Arial" w:hAnsi="Arial" w:cs="Arial"/>
          <w:sz w:val="22"/>
          <w:szCs w:val="22"/>
          <w:lang w:val="es-ES"/>
        </w:rPr>
        <w:t>marcos regulatorios e institucionales del sector energético</w:t>
      </w:r>
      <w:r w:rsidR="00524D30">
        <w:rPr>
          <w:rFonts w:ascii="Arial" w:hAnsi="Arial" w:cs="Arial"/>
          <w:sz w:val="22"/>
          <w:szCs w:val="22"/>
          <w:lang w:val="es-ES"/>
        </w:rPr>
        <w:t>.</w:t>
      </w:r>
    </w:p>
    <w:p w14:paraId="0F25E4F9" w14:textId="0BD46E4A" w:rsidR="0085024C" w:rsidRPr="00E451FB" w:rsidRDefault="00182178" w:rsidP="00182178">
      <w:pPr>
        <w:pStyle w:val="ListParagraph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 w:rsidRPr="00E451FB">
        <w:rPr>
          <w:rFonts w:ascii="Arial" w:hAnsi="Arial" w:cs="Arial"/>
          <w:b/>
          <w:sz w:val="22"/>
          <w:szCs w:val="22"/>
          <w:lang w:val="es-ES"/>
        </w:rPr>
        <w:t>Habilidades</w:t>
      </w:r>
      <w:r w:rsidRPr="00E451FB">
        <w:rPr>
          <w:rFonts w:ascii="Arial" w:hAnsi="Arial" w:cs="Arial"/>
          <w:sz w:val="22"/>
          <w:szCs w:val="22"/>
          <w:lang w:val="es-ES"/>
        </w:rPr>
        <w:t xml:space="preserve">: </w:t>
      </w:r>
      <w:r w:rsidR="0085024C" w:rsidRPr="00E451FB">
        <w:rPr>
          <w:rFonts w:ascii="Arial" w:hAnsi="Arial" w:cs="Arial"/>
          <w:sz w:val="22"/>
          <w:szCs w:val="22"/>
          <w:lang w:val="es-ES"/>
        </w:rPr>
        <w:t xml:space="preserve">Se valorará especialmente experiencias previas en </w:t>
      </w:r>
      <w:r w:rsidR="00524D30">
        <w:rPr>
          <w:rFonts w:ascii="Arial" w:hAnsi="Arial" w:cs="Arial"/>
          <w:sz w:val="22"/>
          <w:szCs w:val="22"/>
          <w:lang w:val="es-ES"/>
        </w:rPr>
        <w:t xml:space="preserve">gestión de proyectos hidroeléctricos y diseño de proyectos de inversión en el sector energía. </w:t>
      </w:r>
    </w:p>
    <w:p w14:paraId="2F4BEF05" w14:textId="77777777" w:rsidR="00A44B2E" w:rsidRPr="00E451FB" w:rsidRDefault="00A44B2E" w:rsidP="00C44A9E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es-ES"/>
        </w:rPr>
      </w:pPr>
    </w:p>
    <w:p w14:paraId="0F1D6864" w14:textId="77777777" w:rsidR="00EB7525" w:rsidRPr="00E451FB" w:rsidRDefault="005A3D4C" w:rsidP="00212B7C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E451FB">
        <w:rPr>
          <w:rFonts w:ascii="Arial" w:hAnsi="Arial" w:cs="Arial"/>
          <w:b/>
          <w:bCs/>
          <w:sz w:val="22"/>
          <w:szCs w:val="22"/>
          <w:lang w:val="es-ES"/>
        </w:rPr>
        <w:t xml:space="preserve">CARACTERISTICAS DE LA CONSULTORIA </w:t>
      </w:r>
    </w:p>
    <w:p w14:paraId="763A6D93" w14:textId="77777777" w:rsidR="00EB7525" w:rsidRPr="00E451FB" w:rsidRDefault="00EB7525" w:rsidP="00EB7525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14:paraId="3A8A8D29" w14:textId="1D6CEA14" w:rsidR="00B15D2C" w:rsidRPr="00E451FB" w:rsidRDefault="00B15D2C" w:rsidP="00182178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2"/>
          <w:szCs w:val="22"/>
          <w:lang w:val="es-ES"/>
        </w:rPr>
      </w:pPr>
      <w:r w:rsidRPr="00E451FB">
        <w:rPr>
          <w:rFonts w:ascii="Arial" w:hAnsi="Arial" w:cs="Arial"/>
          <w:b/>
          <w:bCs/>
          <w:sz w:val="22"/>
          <w:szCs w:val="22"/>
          <w:lang w:val="es-ES"/>
        </w:rPr>
        <w:t>Categoría y Modalidad</w:t>
      </w:r>
      <w:r w:rsidRPr="00E451FB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E451FB">
        <w:rPr>
          <w:rFonts w:ascii="Arial" w:hAnsi="Arial" w:cs="Arial"/>
          <w:b/>
          <w:bCs/>
          <w:sz w:val="22"/>
          <w:szCs w:val="22"/>
          <w:lang w:val="es-ES"/>
        </w:rPr>
        <w:t>de la Consultoría</w:t>
      </w:r>
      <w:r w:rsidRPr="00E451FB">
        <w:rPr>
          <w:rFonts w:ascii="Arial" w:hAnsi="Arial" w:cs="Arial"/>
          <w:bCs/>
          <w:sz w:val="22"/>
          <w:szCs w:val="22"/>
          <w:lang w:val="es-ES"/>
        </w:rPr>
        <w:t xml:space="preserve">: </w:t>
      </w:r>
      <w:r w:rsidR="00182178" w:rsidRPr="00E451FB">
        <w:rPr>
          <w:rFonts w:ascii="Arial" w:hAnsi="Arial" w:cs="Arial"/>
          <w:bCs/>
          <w:sz w:val="22"/>
          <w:szCs w:val="22"/>
          <w:lang w:val="es-ES"/>
        </w:rPr>
        <w:t>contractual de Productos y Servicios Externos, Suma Alzada</w:t>
      </w:r>
    </w:p>
    <w:p w14:paraId="765CC48C" w14:textId="77777777" w:rsidR="00182178" w:rsidRPr="00E451FB" w:rsidRDefault="00182178" w:rsidP="00182178">
      <w:pPr>
        <w:pStyle w:val="ListParagraph"/>
        <w:rPr>
          <w:rFonts w:ascii="Arial" w:hAnsi="Arial" w:cs="Arial"/>
          <w:bCs/>
          <w:sz w:val="22"/>
          <w:szCs w:val="22"/>
          <w:lang w:val="es-ES"/>
        </w:rPr>
      </w:pPr>
    </w:p>
    <w:p w14:paraId="70563D93" w14:textId="17F2DA77" w:rsidR="00B15D2C" w:rsidRPr="00E451FB" w:rsidRDefault="00B15D2C" w:rsidP="00212B7C">
      <w:pPr>
        <w:pStyle w:val="ListParagraph"/>
        <w:numPr>
          <w:ilvl w:val="0"/>
          <w:numId w:val="23"/>
        </w:numPr>
        <w:spacing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E451FB">
        <w:rPr>
          <w:rFonts w:ascii="Arial" w:hAnsi="Arial" w:cs="Arial"/>
          <w:b/>
          <w:bCs/>
          <w:sz w:val="22"/>
          <w:szCs w:val="22"/>
          <w:lang w:val="es-ES"/>
        </w:rPr>
        <w:t>Duración del Contrato:</w:t>
      </w:r>
      <w:r w:rsidRPr="00E451FB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524D30">
        <w:rPr>
          <w:rFonts w:ascii="Arial" w:hAnsi="Arial" w:cs="Arial"/>
          <w:bCs/>
          <w:sz w:val="22"/>
          <w:szCs w:val="22"/>
          <w:lang w:val="es-ES"/>
        </w:rPr>
        <w:t xml:space="preserve">duración de </w:t>
      </w:r>
      <w:r w:rsidR="009A21BD">
        <w:rPr>
          <w:rFonts w:ascii="Arial" w:hAnsi="Arial" w:cs="Arial"/>
          <w:bCs/>
          <w:sz w:val="22"/>
          <w:szCs w:val="22"/>
          <w:lang w:val="es-ES"/>
        </w:rPr>
        <w:t>cinco</w:t>
      </w:r>
      <w:r w:rsidR="00F018A6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524D30">
        <w:rPr>
          <w:rFonts w:ascii="Arial" w:hAnsi="Arial" w:cs="Arial"/>
          <w:bCs/>
          <w:sz w:val="22"/>
          <w:szCs w:val="22"/>
          <w:lang w:val="es-ES"/>
        </w:rPr>
        <w:t>(</w:t>
      </w:r>
      <w:r w:rsidR="009A21BD">
        <w:rPr>
          <w:rFonts w:ascii="Arial" w:hAnsi="Arial" w:cs="Arial"/>
          <w:bCs/>
          <w:sz w:val="22"/>
          <w:szCs w:val="22"/>
          <w:lang w:val="es-ES"/>
        </w:rPr>
        <w:t>5</w:t>
      </w:r>
      <w:r w:rsidR="00524D30">
        <w:rPr>
          <w:rFonts w:ascii="Arial" w:hAnsi="Arial" w:cs="Arial"/>
          <w:bCs/>
          <w:sz w:val="22"/>
          <w:szCs w:val="22"/>
          <w:lang w:val="es-ES"/>
        </w:rPr>
        <w:t>) meses a partir de la firma del contrato.</w:t>
      </w:r>
    </w:p>
    <w:p w14:paraId="37852EE2" w14:textId="5BD35556" w:rsidR="00B15D2C" w:rsidRPr="00E451FB" w:rsidRDefault="00B15D2C" w:rsidP="00212B7C">
      <w:pPr>
        <w:pStyle w:val="ListParagraph"/>
        <w:numPr>
          <w:ilvl w:val="0"/>
          <w:numId w:val="23"/>
        </w:numPr>
        <w:spacing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E451FB">
        <w:rPr>
          <w:rFonts w:ascii="Arial" w:hAnsi="Arial" w:cs="Arial"/>
          <w:b/>
          <w:bCs/>
          <w:sz w:val="22"/>
          <w:szCs w:val="22"/>
          <w:lang w:val="es-ES"/>
        </w:rPr>
        <w:t>Lugar(es) de trabajo:</w:t>
      </w:r>
      <w:r w:rsidRPr="00E451FB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D95C7F" w:rsidRPr="00E451FB">
        <w:rPr>
          <w:rFonts w:ascii="Arial" w:hAnsi="Arial" w:cs="Arial"/>
          <w:bCs/>
          <w:sz w:val="22"/>
          <w:szCs w:val="22"/>
          <w:lang w:val="es-ES"/>
        </w:rPr>
        <w:t xml:space="preserve">Se desarrollará en </w:t>
      </w:r>
      <w:r w:rsidR="00524D30">
        <w:rPr>
          <w:rFonts w:ascii="Arial" w:hAnsi="Arial" w:cs="Arial"/>
          <w:bCs/>
          <w:sz w:val="22"/>
          <w:szCs w:val="22"/>
          <w:lang w:val="es-ES"/>
        </w:rPr>
        <w:t>el lugar de trabajo del consultor</w:t>
      </w:r>
      <w:r w:rsidR="00D95C7F" w:rsidRPr="00E451FB">
        <w:rPr>
          <w:rFonts w:ascii="Arial" w:hAnsi="Arial" w:cs="Arial"/>
          <w:bCs/>
          <w:sz w:val="22"/>
          <w:szCs w:val="22"/>
          <w:lang w:val="es-ES"/>
        </w:rPr>
        <w:t>. No se contemplan viajes.</w:t>
      </w:r>
    </w:p>
    <w:p w14:paraId="2B448A72" w14:textId="3CF3AF48" w:rsidR="0032354D" w:rsidRPr="00E451FB" w:rsidRDefault="00B15D2C" w:rsidP="009A21BD">
      <w:pPr>
        <w:pStyle w:val="ListParagraph"/>
        <w:numPr>
          <w:ilvl w:val="0"/>
          <w:numId w:val="23"/>
        </w:numPr>
        <w:spacing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E451FB">
        <w:rPr>
          <w:rFonts w:ascii="Arial" w:hAnsi="Arial" w:cs="Arial"/>
          <w:b/>
          <w:bCs/>
          <w:sz w:val="22"/>
          <w:szCs w:val="22"/>
          <w:lang w:val="es-ES"/>
        </w:rPr>
        <w:t>El Coordinador</w:t>
      </w:r>
      <w:r w:rsidRPr="00E451FB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965CAB" w:rsidRPr="00E451FB">
        <w:rPr>
          <w:rFonts w:ascii="Arial" w:hAnsi="Arial" w:cs="Arial"/>
          <w:bCs/>
          <w:sz w:val="22"/>
          <w:szCs w:val="22"/>
          <w:lang w:val="es-ES"/>
        </w:rPr>
        <w:t>de esta consultoría será el Sr</w:t>
      </w:r>
      <w:r w:rsidR="005A3D4C" w:rsidRPr="00E451FB">
        <w:rPr>
          <w:rFonts w:ascii="Arial" w:hAnsi="Arial" w:cs="Arial"/>
          <w:bCs/>
          <w:sz w:val="22"/>
          <w:szCs w:val="22"/>
          <w:lang w:val="es-ES"/>
        </w:rPr>
        <w:t>.</w:t>
      </w:r>
      <w:r w:rsidR="00965CAB" w:rsidRPr="00E451FB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FA5A2A">
        <w:rPr>
          <w:rFonts w:ascii="Arial" w:hAnsi="Arial" w:cs="Arial"/>
          <w:bCs/>
          <w:sz w:val="22"/>
          <w:szCs w:val="22"/>
          <w:lang w:val="es-ES"/>
        </w:rPr>
        <w:t>Emilio Sawada</w:t>
      </w:r>
      <w:r w:rsidRPr="00E451FB">
        <w:rPr>
          <w:rFonts w:ascii="Arial" w:hAnsi="Arial" w:cs="Arial"/>
          <w:bCs/>
          <w:sz w:val="22"/>
          <w:szCs w:val="22"/>
          <w:lang w:val="es-ES"/>
        </w:rPr>
        <w:t xml:space="preserve">, Especialista </w:t>
      </w:r>
      <w:r w:rsidR="00965CAB" w:rsidRPr="00E451FB">
        <w:rPr>
          <w:rFonts w:ascii="Arial" w:hAnsi="Arial" w:cs="Arial"/>
          <w:bCs/>
          <w:sz w:val="22"/>
          <w:szCs w:val="22"/>
          <w:lang w:val="es-ES"/>
        </w:rPr>
        <w:t>Regional d</w:t>
      </w:r>
      <w:r w:rsidRPr="00E451FB">
        <w:rPr>
          <w:rFonts w:ascii="Arial" w:hAnsi="Arial" w:cs="Arial"/>
          <w:bCs/>
          <w:sz w:val="22"/>
          <w:szCs w:val="22"/>
          <w:lang w:val="es-ES"/>
        </w:rPr>
        <w:t>e Energía (ENE/C</w:t>
      </w:r>
      <w:r w:rsidR="00FA5A2A">
        <w:rPr>
          <w:rFonts w:ascii="Arial" w:hAnsi="Arial" w:cs="Arial"/>
          <w:bCs/>
          <w:sz w:val="22"/>
          <w:szCs w:val="22"/>
          <w:lang w:val="es-ES"/>
        </w:rPr>
        <w:t>UR</w:t>
      </w:r>
      <w:r w:rsidRPr="00E451FB">
        <w:rPr>
          <w:rFonts w:ascii="Arial" w:hAnsi="Arial" w:cs="Arial"/>
          <w:bCs/>
          <w:sz w:val="22"/>
          <w:szCs w:val="22"/>
          <w:lang w:val="es-ES"/>
        </w:rPr>
        <w:t>) (</w:t>
      </w:r>
      <w:hyperlink r:id="rId14" w:history="1">
        <w:r w:rsidR="00FA5A2A" w:rsidRPr="003060E7">
          <w:rPr>
            <w:rStyle w:val="Hyperlink"/>
            <w:rFonts w:ascii="Arial" w:hAnsi="Arial" w:cs="Arial"/>
            <w:bCs/>
            <w:sz w:val="22"/>
            <w:szCs w:val="22"/>
            <w:lang w:val="es-ES"/>
          </w:rPr>
          <w:t>emilios@iadb.org</w:t>
        </w:r>
      </w:hyperlink>
      <w:r w:rsidRPr="00E451FB">
        <w:rPr>
          <w:rFonts w:ascii="Arial" w:hAnsi="Arial" w:cs="Arial"/>
          <w:bCs/>
          <w:sz w:val="22"/>
          <w:szCs w:val="22"/>
          <w:lang w:val="es-ES"/>
        </w:rPr>
        <w:t>;</w:t>
      </w:r>
      <w:r w:rsidR="00D02ED4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E451FB">
        <w:rPr>
          <w:rFonts w:ascii="Arial" w:hAnsi="Arial" w:cs="Arial"/>
          <w:bCs/>
          <w:sz w:val="22"/>
          <w:szCs w:val="22"/>
          <w:lang w:val="es-ES"/>
        </w:rPr>
        <w:t>Tel</w:t>
      </w:r>
      <w:r w:rsidR="00524D30">
        <w:rPr>
          <w:rFonts w:ascii="Arial" w:hAnsi="Arial" w:cs="Arial"/>
          <w:bCs/>
          <w:sz w:val="22"/>
          <w:szCs w:val="22"/>
          <w:lang w:val="es-ES"/>
        </w:rPr>
        <w:t xml:space="preserve">: </w:t>
      </w:r>
      <w:proofErr w:type="gramStart"/>
      <w:r w:rsidR="009A21BD">
        <w:rPr>
          <w:rFonts w:ascii="Arial" w:hAnsi="Arial" w:cs="Arial"/>
          <w:bCs/>
          <w:sz w:val="22"/>
          <w:szCs w:val="22"/>
          <w:lang w:val="es-ES"/>
        </w:rPr>
        <w:t>+</w:t>
      </w:r>
      <w:r w:rsidR="009A21BD" w:rsidRPr="009A21BD">
        <w:rPr>
          <w:rFonts w:ascii="Arial" w:hAnsi="Arial" w:cs="Arial"/>
          <w:bCs/>
          <w:sz w:val="22"/>
          <w:szCs w:val="22"/>
          <w:lang w:val="es-ES"/>
        </w:rPr>
        <w:t>(</w:t>
      </w:r>
      <w:proofErr w:type="gramEnd"/>
      <w:r w:rsidR="009A21BD" w:rsidRPr="009A21BD">
        <w:rPr>
          <w:rFonts w:ascii="Arial" w:hAnsi="Arial" w:cs="Arial"/>
          <w:bCs/>
          <w:sz w:val="22"/>
          <w:szCs w:val="22"/>
          <w:lang w:val="es-ES"/>
        </w:rPr>
        <w:t>598) 2915-4330</w:t>
      </w:r>
      <w:r w:rsidR="00965CAB" w:rsidRPr="00E451FB">
        <w:rPr>
          <w:rFonts w:ascii="Arial" w:hAnsi="Arial" w:cs="Arial"/>
          <w:bCs/>
          <w:sz w:val="22"/>
          <w:szCs w:val="22"/>
          <w:lang w:val="es-ES"/>
        </w:rPr>
        <w:t xml:space="preserve">, de la División de Energía del BID, </w:t>
      </w:r>
      <w:r w:rsidR="0039312B" w:rsidRPr="00E451FB">
        <w:rPr>
          <w:rFonts w:ascii="Arial" w:hAnsi="Arial" w:cs="Arial"/>
          <w:bCs/>
          <w:sz w:val="22"/>
          <w:szCs w:val="22"/>
          <w:lang w:val="es-ES"/>
        </w:rPr>
        <w:t xml:space="preserve">basado en la Oficina de Representación del BID en </w:t>
      </w:r>
      <w:r w:rsidR="00FA5A2A">
        <w:rPr>
          <w:rFonts w:ascii="Arial" w:hAnsi="Arial" w:cs="Arial"/>
          <w:bCs/>
          <w:sz w:val="22"/>
          <w:szCs w:val="22"/>
          <w:lang w:val="es-ES"/>
        </w:rPr>
        <w:t>Uruguay</w:t>
      </w:r>
      <w:r w:rsidR="00FC6980">
        <w:rPr>
          <w:rFonts w:ascii="Arial" w:hAnsi="Arial" w:cs="Arial"/>
          <w:bCs/>
          <w:sz w:val="22"/>
          <w:szCs w:val="22"/>
          <w:lang w:val="es-ES"/>
        </w:rPr>
        <w:t xml:space="preserve">. </w:t>
      </w:r>
    </w:p>
    <w:p w14:paraId="7F7FEEEF" w14:textId="77777777" w:rsidR="0032354D" w:rsidRDefault="0032354D" w:rsidP="00253D5A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AB3B71C" w14:textId="77777777" w:rsidR="009A21BD" w:rsidRPr="00E451FB" w:rsidRDefault="009A21BD" w:rsidP="00253D5A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96C8349" w14:textId="77777777" w:rsidR="00182178" w:rsidRPr="00D02ED4" w:rsidRDefault="00182178" w:rsidP="00182178">
      <w:pPr>
        <w:jc w:val="both"/>
        <w:rPr>
          <w:rFonts w:ascii="Arial" w:hAnsi="Arial" w:cs="Arial"/>
          <w:szCs w:val="22"/>
          <w:lang w:val="es-ES"/>
        </w:rPr>
      </w:pPr>
      <w:r w:rsidRPr="00D02ED4">
        <w:rPr>
          <w:rFonts w:ascii="Arial" w:hAnsi="Arial" w:cs="Arial"/>
          <w:b/>
          <w:szCs w:val="22"/>
          <w:lang w:val="es-ES"/>
        </w:rPr>
        <w:t xml:space="preserve">Pago y Condiciones: </w:t>
      </w:r>
      <w:r w:rsidRPr="00D02ED4">
        <w:rPr>
          <w:rFonts w:ascii="Arial" w:hAnsi="Arial" w:cs="Arial"/>
          <w:szCs w:val="22"/>
          <w:lang w:val="es-ES"/>
        </w:rPr>
        <w:t xml:space="preserve">La compensación será determinada de acuerdo a las políticas y procedimientos del Banco. Adicionalmente, los candidatos deberán ser ciudadanos de uno de los países miembros del BID. </w:t>
      </w:r>
    </w:p>
    <w:p w14:paraId="42F54B7B" w14:textId="77777777" w:rsidR="00182178" w:rsidRPr="00D02ED4" w:rsidRDefault="00182178" w:rsidP="00182178">
      <w:pPr>
        <w:jc w:val="both"/>
        <w:rPr>
          <w:rFonts w:ascii="Arial" w:hAnsi="Arial" w:cs="Arial"/>
          <w:szCs w:val="22"/>
          <w:lang w:val="es-ES"/>
        </w:rPr>
      </w:pPr>
      <w:r w:rsidRPr="00D02ED4">
        <w:rPr>
          <w:rFonts w:ascii="Arial" w:hAnsi="Arial" w:cs="Arial"/>
          <w:szCs w:val="22"/>
          <w:lang w:val="es-ES"/>
        </w:rPr>
        <w:t xml:space="preserve"> </w:t>
      </w:r>
    </w:p>
    <w:p w14:paraId="575D7DDB" w14:textId="77777777" w:rsidR="00182178" w:rsidRPr="00D02ED4" w:rsidRDefault="00182178" w:rsidP="00182178">
      <w:pPr>
        <w:jc w:val="both"/>
        <w:rPr>
          <w:rFonts w:ascii="Arial" w:hAnsi="Arial" w:cs="Arial"/>
          <w:szCs w:val="22"/>
          <w:lang w:val="es-ES"/>
        </w:rPr>
      </w:pPr>
      <w:r w:rsidRPr="00D02ED4">
        <w:rPr>
          <w:rFonts w:ascii="Arial" w:hAnsi="Arial" w:cs="Arial"/>
          <w:b/>
          <w:szCs w:val="22"/>
          <w:lang w:val="es-ES"/>
        </w:rPr>
        <w:t xml:space="preserve">Consanguinidad: </w:t>
      </w:r>
      <w:r w:rsidRPr="00D02ED4">
        <w:rPr>
          <w:rFonts w:ascii="Arial" w:hAnsi="Arial" w:cs="Arial"/>
          <w:szCs w:val="22"/>
          <w:lang w:val="es-ES"/>
        </w:rPr>
        <w:t>De conformidad con la política del Banco aplicable, los candidatos con parientes (incluyendo cuarto grado de consanguinidad y segundo grado de afinidad, incluyendo conyugue) que trabajan para el Banco como funcionario o contractual de la fuerza contractual complementaria, no serán elegibles para proveer servicios al Banco.</w:t>
      </w:r>
    </w:p>
    <w:p w14:paraId="38B22209" w14:textId="77777777" w:rsidR="00182178" w:rsidRPr="00D02ED4" w:rsidRDefault="00182178" w:rsidP="00182178">
      <w:pPr>
        <w:jc w:val="both"/>
        <w:rPr>
          <w:rFonts w:ascii="Arial" w:hAnsi="Arial" w:cs="Arial"/>
          <w:b/>
          <w:szCs w:val="22"/>
          <w:lang w:val="es-ES"/>
        </w:rPr>
      </w:pPr>
      <w:r w:rsidRPr="00D02ED4">
        <w:rPr>
          <w:rFonts w:ascii="Arial" w:hAnsi="Arial" w:cs="Arial"/>
          <w:b/>
          <w:szCs w:val="22"/>
          <w:lang w:val="es-ES"/>
        </w:rPr>
        <w:t xml:space="preserve"> </w:t>
      </w:r>
    </w:p>
    <w:p w14:paraId="281A4423" w14:textId="01C35B62" w:rsidR="0032354D" w:rsidRPr="00D02ED4" w:rsidRDefault="00182178" w:rsidP="00253D5A">
      <w:pPr>
        <w:jc w:val="both"/>
        <w:rPr>
          <w:rFonts w:ascii="Arial" w:hAnsi="Arial" w:cs="Arial"/>
          <w:szCs w:val="22"/>
          <w:lang w:val="es-ES"/>
        </w:rPr>
      </w:pPr>
      <w:r w:rsidRPr="00D02ED4">
        <w:rPr>
          <w:rFonts w:ascii="Arial" w:hAnsi="Arial" w:cs="Arial"/>
          <w:b/>
          <w:szCs w:val="22"/>
          <w:lang w:val="es-ES"/>
        </w:rPr>
        <w:t xml:space="preserve">Diversidad: </w:t>
      </w:r>
      <w:r w:rsidRPr="00D02ED4">
        <w:rPr>
          <w:rFonts w:ascii="Arial" w:hAnsi="Arial" w:cs="Arial"/>
          <w:szCs w:val="22"/>
          <w:lang w:val="es-ES"/>
        </w:rPr>
        <w:t xml:space="preserve">El Banco está comprometido con la diversidad e inclusión y la igualdad de oportunidades para todos los candidatos. Acogemos la diversidad sobre la base de género, edad, educación, origen nacional, origen étnico, raza, discapacidad, orientación sexual, religión, y estatus de VIH/SIDA. Alentamos a aplicar a mujeres, </w:t>
      </w:r>
      <w:proofErr w:type="spellStart"/>
      <w:r w:rsidRPr="00D02ED4">
        <w:rPr>
          <w:rFonts w:ascii="Arial" w:hAnsi="Arial" w:cs="Arial"/>
          <w:szCs w:val="22"/>
          <w:lang w:val="es-ES"/>
        </w:rPr>
        <w:t>afrodescendientes</w:t>
      </w:r>
      <w:proofErr w:type="spellEnd"/>
      <w:r w:rsidRPr="00D02ED4">
        <w:rPr>
          <w:rFonts w:ascii="Arial" w:hAnsi="Arial" w:cs="Arial"/>
          <w:szCs w:val="22"/>
          <w:lang w:val="es-ES"/>
        </w:rPr>
        <w:t xml:space="preserve"> y a personas de origen indígena.</w:t>
      </w:r>
    </w:p>
    <w:sectPr w:rsidR="0032354D" w:rsidRPr="00D02ED4" w:rsidSect="00EB7525">
      <w:headerReference w:type="default" r:id="rId15"/>
      <w:footerReference w:type="default" r:id="rId16"/>
      <w:pgSz w:w="12240" w:h="15840"/>
      <w:pgMar w:top="1440" w:right="1440" w:bottom="1440" w:left="1440" w:header="720" w:footer="20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7C822" w14:textId="77777777" w:rsidR="00D277F5" w:rsidRDefault="00D277F5">
      <w:r>
        <w:separator/>
      </w:r>
    </w:p>
  </w:endnote>
  <w:endnote w:type="continuationSeparator" w:id="0">
    <w:p w14:paraId="5D33577B" w14:textId="77777777" w:rsidR="00D277F5" w:rsidRDefault="00D2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4A2AA" w14:textId="15D9EE12" w:rsidR="00A57692" w:rsidRDefault="00A57692" w:rsidP="00182178">
    <w:pPr>
      <w:pStyle w:val="Footer"/>
    </w:pPr>
  </w:p>
  <w:p w14:paraId="24C14C52" w14:textId="77777777" w:rsidR="00A57692" w:rsidRDefault="00A57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60E81" w14:textId="77777777" w:rsidR="00D277F5" w:rsidRDefault="00D277F5">
      <w:r>
        <w:separator/>
      </w:r>
    </w:p>
  </w:footnote>
  <w:footnote w:type="continuationSeparator" w:id="0">
    <w:p w14:paraId="10821A7C" w14:textId="77777777" w:rsidR="00D277F5" w:rsidRDefault="00D277F5">
      <w:r>
        <w:continuationSeparator/>
      </w:r>
    </w:p>
  </w:footnote>
  <w:footnote w:id="1">
    <w:p w14:paraId="1A872201" w14:textId="5FC7A29B" w:rsidR="00D17E66" w:rsidRPr="00655D22" w:rsidRDefault="00D17E66" w:rsidP="00D17E66">
      <w:pPr>
        <w:pStyle w:val="FootnoteText"/>
        <w:tabs>
          <w:tab w:val="left" w:pos="180"/>
        </w:tabs>
        <w:rPr>
          <w:sz w:val="18"/>
        </w:rPr>
      </w:pPr>
      <w:r w:rsidRPr="00655D22">
        <w:rPr>
          <w:rStyle w:val="FootnoteReference"/>
          <w:sz w:val="18"/>
        </w:rPr>
        <w:footnoteRef/>
      </w:r>
      <w:r w:rsidRPr="00655D22">
        <w:rPr>
          <w:sz w:val="18"/>
        </w:rPr>
        <w:t xml:space="preserve"> </w:t>
      </w:r>
      <w:r w:rsidRPr="00655D22">
        <w:rPr>
          <w:sz w:val="18"/>
        </w:rPr>
        <w:tab/>
        <w:t xml:space="preserve">Fuente: </w:t>
      </w:r>
      <w:hyperlink r:id="rId1" w:history="1">
        <w:r w:rsidRPr="00655D22">
          <w:rPr>
            <w:rStyle w:val="Hyperlink"/>
            <w:sz w:val="18"/>
          </w:rPr>
          <w:t>https://www.saltogrande.org/generacion.php</w:t>
        </w:r>
      </w:hyperlink>
      <w:r w:rsidRPr="00655D22">
        <w:rPr>
          <w:sz w:val="18"/>
        </w:rPr>
        <w:t xml:space="preserve"> </w:t>
      </w:r>
    </w:p>
  </w:footnote>
  <w:footnote w:id="2">
    <w:p w14:paraId="14DA7508" w14:textId="7D441BBC" w:rsidR="00D17E66" w:rsidRPr="00D17E66" w:rsidRDefault="00D17E66" w:rsidP="00D17E66">
      <w:pPr>
        <w:pStyle w:val="FootnoteText"/>
        <w:tabs>
          <w:tab w:val="left" w:pos="180"/>
        </w:tabs>
        <w:jc w:val="both"/>
      </w:pPr>
      <w:r w:rsidRPr="00655D22">
        <w:rPr>
          <w:rStyle w:val="FootnoteReference"/>
          <w:sz w:val="18"/>
        </w:rPr>
        <w:footnoteRef/>
      </w:r>
      <w:r w:rsidRPr="00655D22">
        <w:rPr>
          <w:sz w:val="18"/>
        </w:rPr>
        <w:t xml:space="preserve"> </w:t>
      </w:r>
      <w:r w:rsidRPr="00655D22">
        <w:rPr>
          <w:sz w:val="18"/>
        </w:rPr>
        <w:tab/>
        <w:t>Esta central es muy importante para Uruguay ya que proporciona energía de base al sistema. También es importante para Argentina, ya que su matriz eléctrica continúa teniendo 2/3 de fuentes térmicas, y la detención de cualquiera de las unidades de Salto Grande implicaría la necesidad de sustituir dicha energía con fuentes fósiles.</w:t>
      </w:r>
    </w:p>
  </w:footnote>
  <w:footnote w:id="3">
    <w:p w14:paraId="1A307288" w14:textId="30177573" w:rsidR="00EC167F" w:rsidRPr="00EC167F" w:rsidRDefault="00EC167F" w:rsidP="00EC167F">
      <w:pPr>
        <w:pStyle w:val="FootnoteText"/>
        <w:tabs>
          <w:tab w:val="left" w:pos="180"/>
        </w:tabs>
        <w:rPr>
          <w:sz w:val="18"/>
          <w:szCs w:val="18"/>
        </w:rPr>
      </w:pPr>
      <w:r w:rsidRPr="00EC167F">
        <w:rPr>
          <w:rStyle w:val="FootnoteReference"/>
          <w:sz w:val="18"/>
          <w:szCs w:val="18"/>
        </w:rPr>
        <w:footnoteRef/>
      </w:r>
      <w:r w:rsidRPr="00EC167F">
        <w:rPr>
          <w:sz w:val="18"/>
          <w:szCs w:val="18"/>
        </w:rPr>
        <w:t xml:space="preserve"> </w:t>
      </w:r>
      <w:r w:rsidRPr="00EC167F">
        <w:rPr>
          <w:sz w:val="18"/>
          <w:szCs w:val="18"/>
        </w:rPr>
        <w:tab/>
        <w:t>La experiencia del Banco con CTM Salto Grande con la CT RG-T2256 ha sido muy buena. El beneficiario mostró un fuerte interés y prestó un fuerte apoyo durante la ejecución de la CT.</w:t>
      </w:r>
    </w:p>
  </w:footnote>
  <w:footnote w:id="4">
    <w:p w14:paraId="5E3087F5" w14:textId="3BBF0690" w:rsidR="00EC167F" w:rsidRPr="00EC167F" w:rsidRDefault="00EC167F" w:rsidP="00EC167F">
      <w:pPr>
        <w:pStyle w:val="FootnoteText"/>
        <w:tabs>
          <w:tab w:val="left" w:pos="180"/>
        </w:tabs>
        <w:rPr>
          <w:sz w:val="18"/>
          <w:szCs w:val="18"/>
        </w:rPr>
      </w:pPr>
      <w:r w:rsidRPr="00EC167F">
        <w:rPr>
          <w:rStyle w:val="FootnoteReference"/>
          <w:sz w:val="18"/>
          <w:szCs w:val="18"/>
        </w:rPr>
        <w:footnoteRef/>
      </w:r>
      <w:r w:rsidRPr="00EC167F">
        <w:rPr>
          <w:sz w:val="18"/>
          <w:szCs w:val="18"/>
        </w:rPr>
        <w:t xml:space="preserve"> </w:t>
      </w:r>
      <w:r w:rsidRPr="00EC167F">
        <w:rPr>
          <w:sz w:val="18"/>
          <w:szCs w:val="18"/>
        </w:rPr>
        <w:tab/>
        <w:t>En 1983 quedó formalmente inaugurado el CHSG al poner en operación todas las turbinas.</w:t>
      </w:r>
    </w:p>
  </w:footnote>
  <w:footnote w:id="5">
    <w:p w14:paraId="13884183" w14:textId="4C7D4D7E" w:rsidR="001E1738" w:rsidRPr="00F07331" w:rsidRDefault="001E1738" w:rsidP="00F07331">
      <w:pPr>
        <w:pStyle w:val="FootnoteText"/>
        <w:tabs>
          <w:tab w:val="left" w:pos="180"/>
        </w:tabs>
        <w:rPr>
          <w:sz w:val="18"/>
          <w:szCs w:val="18"/>
          <w:lang w:val="es-ES_tradnl"/>
        </w:rPr>
      </w:pPr>
      <w:r w:rsidRPr="00F07331">
        <w:rPr>
          <w:rStyle w:val="FootnoteReference"/>
          <w:sz w:val="18"/>
          <w:szCs w:val="18"/>
        </w:rPr>
        <w:footnoteRef/>
      </w:r>
      <w:r w:rsidRPr="00F07331">
        <w:rPr>
          <w:sz w:val="18"/>
          <w:szCs w:val="18"/>
        </w:rPr>
        <w:t xml:space="preserve"> </w:t>
      </w:r>
      <w:r w:rsidRPr="00F07331">
        <w:rPr>
          <w:sz w:val="18"/>
          <w:szCs w:val="18"/>
          <w:lang w:val="es-ES_tradnl"/>
        </w:rPr>
        <w:tab/>
        <w:t>Incluye algún otro análisis socioeconómico que pueda ser relevante en la valoración del proyecto.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D6C35" w14:textId="5F05831D" w:rsidR="00A57692" w:rsidRDefault="00A57692">
    <w:pPr>
      <w:pStyle w:val="Header"/>
      <w:jc w:val="right"/>
    </w:pPr>
    <w:proofErr w:type="spellStart"/>
    <w:r>
      <w:t>Página</w:t>
    </w:r>
    <w:proofErr w:type="spellEnd"/>
    <w:r>
      <w:t xml:space="preserve"> </w:t>
    </w:r>
    <w:sdt>
      <w:sdtPr>
        <w:id w:val="-91369352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331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de 5</w:t>
        </w:r>
      </w:sdtContent>
    </w:sdt>
  </w:p>
  <w:p w14:paraId="336BBA6E" w14:textId="4AEF11EB" w:rsidR="00A57692" w:rsidRPr="003624B6" w:rsidRDefault="00A57692" w:rsidP="0080549B">
    <w:pPr>
      <w:pStyle w:val="Header"/>
      <w:jc w:val="right"/>
      <w:rPr>
        <w:sz w:val="22"/>
        <w:szCs w:val="22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70D"/>
    <w:multiLevelType w:val="hybridMultilevel"/>
    <w:tmpl w:val="C50C0B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0D7"/>
    <w:multiLevelType w:val="multilevel"/>
    <w:tmpl w:val="89305D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4CF1BC5"/>
    <w:multiLevelType w:val="hybridMultilevel"/>
    <w:tmpl w:val="39EC7B32"/>
    <w:lvl w:ilvl="0" w:tplc="16AAF7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E42A5"/>
    <w:multiLevelType w:val="hybridMultilevel"/>
    <w:tmpl w:val="E3D60D3A"/>
    <w:lvl w:ilvl="0" w:tplc="AF18A44E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8017A6"/>
    <w:multiLevelType w:val="multilevel"/>
    <w:tmpl w:val="89305D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0DAB7FC9"/>
    <w:multiLevelType w:val="multilevel"/>
    <w:tmpl w:val="84FAFBF2"/>
    <w:lvl w:ilvl="0">
      <w:start w:val="1"/>
      <w:numFmt w:val="upperRoman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152"/>
        </w:tabs>
        <w:ind w:left="1152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0FB82C8F"/>
    <w:multiLevelType w:val="multilevel"/>
    <w:tmpl w:val="B8C63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CC43CA6"/>
    <w:multiLevelType w:val="hybridMultilevel"/>
    <w:tmpl w:val="C7C21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C37A78"/>
    <w:multiLevelType w:val="hybridMultilevel"/>
    <w:tmpl w:val="37FA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C26DB"/>
    <w:multiLevelType w:val="multilevel"/>
    <w:tmpl w:val="89305D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5032D3E"/>
    <w:multiLevelType w:val="hybridMultilevel"/>
    <w:tmpl w:val="8B884D06"/>
    <w:lvl w:ilvl="0" w:tplc="DC38033C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654122D"/>
    <w:multiLevelType w:val="hybridMultilevel"/>
    <w:tmpl w:val="12D2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13CFE"/>
    <w:multiLevelType w:val="hybridMultilevel"/>
    <w:tmpl w:val="5BF8C38E"/>
    <w:lvl w:ilvl="0" w:tplc="F466988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D6607B"/>
    <w:multiLevelType w:val="multilevel"/>
    <w:tmpl w:val="89305D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1264E7A"/>
    <w:multiLevelType w:val="hybridMultilevel"/>
    <w:tmpl w:val="C7CC7532"/>
    <w:lvl w:ilvl="0" w:tplc="498284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F91212"/>
    <w:multiLevelType w:val="hybridMultilevel"/>
    <w:tmpl w:val="F392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30A6C"/>
    <w:multiLevelType w:val="multilevel"/>
    <w:tmpl w:val="45427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D81E8C"/>
    <w:multiLevelType w:val="multilevel"/>
    <w:tmpl w:val="761EE7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B75CDA"/>
    <w:multiLevelType w:val="multilevel"/>
    <w:tmpl w:val="89305D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5BA21E9D"/>
    <w:multiLevelType w:val="multilevel"/>
    <w:tmpl w:val="89305D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69425F44"/>
    <w:multiLevelType w:val="hybridMultilevel"/>
    <w:tmpl w:val="DE52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C57CE"/>
    <w:multiLevelType w:val="hybridMultilevel"/>
    <w:tmpl w:val="12989FA8"/>
    <w:lvl w:ilvl="0" w:tplc="97EA5A92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9C20502"/>
    <w:multiLevelType w:val="hybridMultilevel"/>
    <w:tmpl w:val="659C982C"/>
    <w:lvl w:ilvl="0" w:tplc="0FD00072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91FF3"/>
    <w:multiLevelType w:val="hybridMultilevel"/>
    <w:tmpl w:val="D8C8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A472B"/>
    <w:multiLevelType w:val="multilevel"/>
    <w:tmpl w:val="7068DA16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7926B15"/>
    <w:multiLevelType w:val="hybridMultilevel"/>
    <w:tmpl w:val="04DE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937CE"/>
    <w:multiLevelType w:val="hybridMultilevel"/>
    <w:tmpl w:val="608E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19"/>
  </w:num>
  <w:num w:numId="5">
    <w:abstractNumId w:val="13"/>
  </w:num>
  <w:num w:numId="6">
    <w:abstractNumId w:val="4"/>
  </w:num>
  <w:num w:numId="7">
    <w:abstractNumId w:val="1"/>
  </w:num>
  <w:num w:numId="8">
    <w:abstractNumId w:val="11"/>
  </w:num>
  <w:num w:numId="9">
    <w:abstractNumId w:val="26"/>
  </w:num>
  <w:num w:numId="10">
    <w:abstractNumId w:val="6"/>
  </w:num>
  <w:num w:numId="11">
    <w:abstractNumId w:val="16"/>
  </w:num>
  <w:num w:numId="12">
    <w:abstractNumId w:val="17"/>
  </w:num>
  <w:num w:numId="13">
    <w:abstractNumId w:val="3"/>
  </w:num>
  <w:num w:numId="14">
    <w:abstractNumId w:val="10"/>
  </w:num>
  <w:num w:numId="15">
    <w:abstractNumId w:val="14"/>
  </w:num>
  <w:num w:numId="16">
    <w:abstractNumId w:val="5"/>
  </w:num>
  <w:num w:numId="17">
    <w:abstractNumId w:val="0"/>
  </w:num>
  <w:num w:numId="18">
    <w:abstractNumId w:val="22"/>
  </w:num>
  <w:num w:numId="19">
    <w:abstractNumId w:val="2"/>
  </w:num>
  <w:num w:numId="20">
    <w:abstractNumId w:val="12"/>
  </w:num>
  <w:num w:numId="21">
    <w:abstractNumId w:val="20"/>
  </w:num>
  <w:num w:numId="22">
    <w:abstractNumId w:val="15"/>
  </w:num>
  <w:num w:numId="23">
    <w:abstractNumId w:val="23"/>
  </w:num>
  <w:num w:numId="24">
    <w:abstractNumId w:val="8"/>
  </w:num>
  <w:num w:numId="25">
    <w:abstractNumId w:val="25"/>
  </w:num>
  <w:num w:numId="26">
    <w:abstractNumId w:val="24"/>
  </w:num>
  <w:num w:numId="27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arcon, Arturo">
    <w15:presenceInfo w15:providerId="AD" w15:userId="S-1-5-21-3560232635-1406422398-2702866923-957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25"/>
    <w:rsid w:val="000022B9"/>
    <w:rsid w:val="00002CC9"/>
    <w:rsid w:val="0000336D"/>
    <w:rsid w:val="000215DB"/>
    <w:rsid w:val="00027697"/>
    <w:rsid w:val="00034C8E"/>
    <w:rsid w:val="00037B0C"/>
    <w:rsid w:val="00052A1A"/>
    <w:rsid w:val="00053AE6"/>
    <w:rsid w:val="00054890"/>
    <w:rsid w:val="00056B5A"/>
    <w:rsid w:val="00064CE4"/>
    <w:rsid w:val="00086701"/>
    <w:rsid w:val="0009009E"/>
    <w:rsid w:val="000A13F8"/>
    <w:rsid w:val="000C0F0A"/>
    <w:rsid w:val="000D26A2"/>
    <w:rsid w:val="000D6FAD"/>
    <w:rsid w:val="000E6942"/>
    <w:rsid w:val="00106D34"/>
    <w:rsid w:val="001675BA"/>
    <w:rsid w:val="0017002A"/>
    <w:rsid w:val="00173297"/>
    <w:rsid w:val="00182178"/>
    <w:rsid w:val="00183196"/>
    <w:rsid w:val="001A0B27"/>
    <w:rsid w:val="001B4F65"/>
    <w:rsid w:val="001E1738"/>
    <w:rsid w:val="001E339B"/>
    <w:rsid w:val="001F5D15"/>
    <w:rsid w:val="00200716"/>
    <w:rsid w:val="00202C8D"/>
    <w:rsid w:val="00202CC0"/>
    <w:rsid w:val="002067D2"/>
    <w:rsid w:val="00207DD1"/>
    <w:rsid w:val="00212B7C"/>
    <w:rsid w:val="00226385"/>
    <w:rsid w:val="00232F8C"/>
    <w:rsid w:val="002361C6"/>
    <w:rsid w:val="00236CC5"/>
    <w:rsid w:val="002467D6"/>
    <w:rsid w:val="00253D5A"/>
    <w:rsid w:val="00263584"/>
    <w:rsid w:val="00275667"/>
    <w:rsid w:val="002775E9"/>
    <w:rsid w:val="00283806"/>
    <w:rsid w:val="00290607"/>
    <w:rsid w:val="00291A97"/>
    <w:rsid w:val="00294785"/>
    <w:rsid w:val="002A45A3"/>
    <w:rsid w:val="002B411D"/>
    <w:rsid w:val="002C58A7"/>
    <w:rsid w:val="002D540E"/>
    <w:rsid w:val="002F1096"/>
    <w:rsid w:val="002F1C07"/>
    <w:rsid w:val="002F7099"/>
    <w:rsid w:val="0030136E"/>
    <w:rsid w:val="003041E2"/>
    <w:rsid w:val="0032051D"/>
    <w:rsid w:val="0032354D"/>
    <w:rsid w:val="00346615"/>
    <w:rsid w:val="003473DD"/>
    <w:rsid w:val="0035019B"/>
    <w:rsid w:val="00351D44"/>
    <w:rsid w:val="003624B6"/>
    <w:rsid w:val="0036557D"/>
    <w:rsid w:val="0037669B"/>
    <w:rsid w:val="00381358"/>
    <w:rsid w:val="00387A11"/>
    <w:rsid w:val="00387C6A"/>
    <w:rsid w:val="0039312B"/>
    <w:rsid w:val="003A4515"/>
    <w:rsid w:val="003C6E41"/>
    <w:rsid w:val="003D10A3"/>
    <w:rsid w:val="003E060A"/>
    <w:rsid w:val="003E29F3"/>
    <w:rsid w:val="003E676A"/>
    <w:rsid w:val="0040016F"/>
    <w:rsid w:val="00414E38"/>
    <w:rsid w:val="004209CD"/>
    <w:rsid w:val="00436B94"/>
    <w:rsid w:val="00440F69"/>
    <w:rsid w:val="00452A7C"/>
    <w:rsid w:val="004645C6"/>
    <w:rsid w:val="00466FBA"/>
    <w:rsid w:val="0047164A"/>
    <w:rsid w:val="00472C06"/>
    <w:rsid w:val="00474831"/>
    <w:rsid w:val="00481545"/>
    <w:rsid w:val="004818D1"/>
    <w:rsid w:val="00491E27"/>
    <w:rsid w:val="004A4C0A"/>
    <w:rsid w:val="004B2673"/>
    <w:rsid w:val="004B5ACA"/>
    <w:rsid w:val="004D046D"/>
    <w:rsid w:val="004E28D0"/>
    <w:rsid w:val="004F2393"/>
    <w:rsid w:val="005001EF"/>
    <w:rsid w:val="00505693"/>
    <w:rsid w:val="00506011"/>
    <w:rsid w:val="005114FC"/>
    <w:rsid w:val="00523BB3"/>
    <w:rsid w:val="00524D30"/>
    <w:rsid w:val="00527C01"/>
    <w:rsid w:val="00531867"/>
    <w:rsid w:val="00533654"/>
    <w:rsid w:val="00555EB2"/>
    <w:rsid w:val="005579B4"/>
    <w:rsid w:val="005620C2"/>
    <w:rsid w:val="00566E0B"/>
    <w:rsid w:val="00567911"/>
    <w:rsid w:val="00571AB5"/>
    <w:rsid w:val="00576F7E"/>
    <w:rsid w:val="00577CC0"/>
    <w:rsid w:val="005838BA"/>
    <w:rsid w:val="00583A1B"/>
    <w:rsid w:val="005907C2"/>
    <w:rsid w:val="005A3D4C"/>
    <w:rsid w:val="005A4A07"/>
    <w:rsid w:val="005A79D7"/>
    <w:rsid w:val="005B7F25"/>
    <w:rsid w:val="005D4C5B"/>
    <w:rsid w:val="006034D3"/>
    <w:rsid w:val="006055A8"/>
    <w:rsid w:val="0060760E"/>
    <w:rsid w:val="00610AFB"/>
    <w:rsid w:val="00614FC3"/>
    <w:rsid w:val="00620D13"/>
    <w:rsid w:val="00621CA7"/>
    <w:rsid w:val="00643208"/>
    <w:rsid w:val="00655D22"/>
    <w:rsid w:val="00662B4D"/>
    <w:rsid w:val="00675F8A"/>
    <w:rsid w:val="0069217A"/>
    <w:rsid w:val="006A21B1"/>
    <w:rsid w:val="006C0B0B"/>
    <w:rsid w:val="006C6950"/>
    <w:rsid w:val="006D7437"/>
    <w:rsid w:val="006F23A3"/>
    <w:rsid w:val="00702F04"/>
    <w:rsid w:val="00705EA4"/>
    <w:rsid w:val="0071720B"/>
    <w:rsid w:val="00720967"/>
    <w:rsid w:val="00720F96"/>
    <w:rsid w:val="007257B8"/>
    <w:rsid w:val="00752A29"/>
    <w:rsid w:val="00766C3F"/>
    <w:rsid w:val="007A214C"/>
    <w:rsid w:val="007A4FF0"/>
    <w:rsid w:val="007B4F37"/>
    <w:rsid w:val="007C4B75"/>
    <w:rsid w:val="007C7215"/>
    <w:rsid w:val="007D4DAD"/>
    <w:rsid w:val="007D6C3D"/>
    <w:rsid w:val="007D7062"/>
    <w:rsid w:val="007D7B6B"/>
    <w:rsid w:val="007F729B"/>
    <w:rsid w:val="00802EA0"/>
    <w:rsid w:val="0080549B"/>
    <w:rsid w:val="00836A07"/>
    <w:rsid w:val="008378E1"/>
    <w:rsid w:val="00841B6D"/>
    <w:rsid w:val="0085024C"/>
    <w:rsid w:val="00861EA7"/>
    <w:rsid w:val="00864858"/>
    <w:rsid w:val="00864FA2"/>
    <w:rsid w:val="00865DBF"/>
    <w:rsid w:val="0087491E"/>
    <w:rsid w:val="008A10D1"/>
    <w:rsid w:val="008B3AC7"/>
    <w:rsid w:val="008D2FB6"/>
    <w:rsid w:val="008F5BBF"/>
    <w:rsid w:val="0092211B"/>
    <w:rsid w:val="009263C9"/>
    <w:rsid w:val="00927AA4"/>
    <w:rsid w:val="00930FFF"/>
    <w:rsid w:val="00934437"/>
    <w:rsid w:val="0093579C"/>
    <w:rsid w:val="00944B74"/>
    <w:rsid w:val="009544F0"/>
    <w:rsid w:val="0095742D"/>
    <w:rsid w:val="009635FB"/>
    <w:rsid w:val="00964860"/>
    <w:rsid w:val="00965CAB"/>
    <w:rsid w:val="00970022"/>
    <w:rsid w:val="0097085E"/>
    <w:rsid w:val="0097784A"/>
    <w:rsid w:val="00993F1D"/>
    <w:rsid w:val="0099552C"/>
    <w:rsid w:val="0099747C"/>
    <w:rsid w:val="009A21BD"/>
    <w:rsid w:val="009A53E4"/>
    <w:rsid w:val="009B0344"/>
    <w:rsid w:val="009B6748"/>
    <w:rsid w:val="009B7531"/>
    <w:rsid w:val="009D7567"/>
    <w:rsid w:val="009E049C"/>
    <w:rsid w:val="009E3A88"/>
    <w:rsid w:val="009F2CF4"/>
    <w:rsid w:val="009F43F3"/>
    <w:rsid w:val="009F6A35"/>
    <w:rsid w:val="00A03A43"/>
    <w:rsid w:val="00A066FE"/>
    <w:rsid w:val="00A11703"/>
    <w:rsid w:val="00A33B7C"/>
    <w:rsid w:val="00A44B2E"/>
    <w:rsid w:val="00A57692"/>
    <w:rsid w:val="00A579BE"/>
    <w:rsid w:val="00A821CE"/>
    <w:rsid w:val="00A91CAF"/>
    <w:rsid w:val="00A94A9B"/>
    <w:rsid w:val="00AB7D37"/>
    <w:rsid w:val="00AC03C7"/>
    <w:rsid w:val="00AC6FD5"/>
    <w:rsid w:val="00AE2BDA"/>
    <w:rsid w:val="00AF35BC"/>
    <w:rsid w:val="00B021E2"/>
    <w:rsid w:val="00B030A7"/>
    <w:rsid w:val="00B0449F"/>
    <w:rsid w:val="00B04840"/>
    <w:rsid w:val="00B05652"/>
    <w:rsid w:val="00B10C07"/>
    <w:rsid w:val="00B15D2C"/>
    <w:rsid w:val="00B5276D"/>
    <w:rsid w:val="00B57F47"/>
    <w:rsid w:val="00B64855"/>
    <w:rsid w:val="00B82555"/>
    <w:rsid w:val="00B96A0E"/>
    <w:rsid w:val="00B97688"/>
    <w:rsid w:val="00BA5AEC"/>
    <w:rsid w:val="00BB01C8"/>
    <w:rsid w:val="00BB04B2"/>
    <w:rsid w:val="00BC43E9"/>
    <w:rsid w:val="00BE4D09"/>
    <w:rsid w:val="00BE4D37"/>
    <w:rsid w:val="00BF23F4"/>
    <w:rsid w:val="00C04CF2"/>
    <w:rsid w:val="00C13E5D"/>
    <w:rsid w:val="00C16958"/>
    <w:rsid w:val="00C17BE2"/>
    <w:rsid w:val="00C21F73"/>
    <w:rsid w:val="00C32294"/>
    <w:rsid w:val="00C34EF1"/>
    <w:rsid w:val="00C37ECD"/>
    <w:rsid w:val="00C4454B"/>
    <w:rsid w:val="00C44A9E"/>
    <w:rsid w:val="00C50F11"/>
    <w:rsid w:val="00C65D50"/>
    <w:rsid w:val="00C809C6"/>
    <w:rsid w:val="00C86506"/>
    <w:rsid w:val="00C87DD8"/>
    <w:rsid w:val="00C967F9"/>
    <w:rsid w:val="00CA5E53"/>
    <w:rsid w:val="00CA6237"/>
    <w:rsid w:val="00CA6B11"/>
    <w:rsid w:val="00CA6BB8"/>
    <w:rsid w:val="00CC1D33"/>
    <w:rsid w:val="00CC2D62"/>
    <w:rsid w:val="00CC620E"/>
    <w:rsid w:val="00CC6AB9"/>
    <w:rsid w:val="00CF4B67"/>
    <w:rsid w:val="00D002F6"/>
    <w:rsid w:val="00D02650"/>
    <w:rsid w:val="00D02ED4"/>
    <w:rsid w:val="00D1334C"/>
    <w:rsid w:val="00D17E66"/>
    <w:rsid w:val="00D277F5"/>
    <w:rsid w:val="00D36D4D"/>
    <w:rsid w:val="00D43820"/>
    <w:rsid w:val="00D4452D"/>
    <w:rsid w:val="00D92297"/>
    <w:rsid w:val="00D94F0D"/>
    <w:rsid w:val="00D956AD"/>
    <w:rsid w:val="00D95C7F"/>
    <w:rsid w:val="00DA5EB8"/>
    <w:rsid w:val="00DB30DA"/>
    <w:rsid w:val="00DC53B9"/>
    <w:rsid w:val="00DD3904"/>
    <w:rsid w:val="00DE1B23"/>
    <w:rsid w:val="00DF4CD8"/>
    <w:rsid w:val="00E0333A"/>
    <w:rsid w:val="00E15259"/>
    <w:rsid w:val="00E31EF8"/>
    <w:rsid w:val="00E357B9"/>
    <w:rsid w:val="00E362F3"/>
    <w:rsid w:val="00E36B37"/>
    <w:rsid w:val="00E451FB"/>
    <w:rsid w:val="00E508DC"/>
    <w:rsid w:val="00E6439D"/>
    <w:rsid w:val="00E66659"/>
    <w:rsid w:val="00E966D3"/>
    <w:rsid w:val="00EB2D40"/>
    <w:rsid w:val="00EB5F2B"/>
    <w:rsid w:val="00EB7525"/>
    <w:rsid w:val="00EC167F"/>
    <w:rsid w:val="00ED1E6B"/>
    <w:rsid w:val="00F018A6"/>
    <w:rsid w:val="00F07331"/>
    <w:rsid w:val="00F102A2"/>
    <w:rsid w:val="00F25DB3"/>
    <w:rsid w:val="00F25F3A"/>
    <w:rsid w:val="00F3271A"/>
    <w:rsid w:val="00F32EB1"/>
    <w:rsid w:val="00F35F75"/>
    <w:rsid w:val="00F44BCC"/>
    <w:rsid w:val="00F44E22"/>
    <w:rsid w:val="00F5124E"/>
    <w:rsid w:val="00F512E3"/>
    <w:rsid w:val="00F52F75"/>
    <w:rsid w:val="00F53FFF"/>
    <w:rsid w:val="00F6330B"/>
    <w:rsid w:val="00F6395F"/>
    <w:rsid w:val="00F776A7"/>
    <w:rsid w:val="00F77932"/>
    <w:rsid w:val="00FA5A2A"/>
    <w:rsid w:val="00FA5AF8"/>
    <w:rsid w:val="00FB286D"/>
    <w:rsid w:val="00FC6980"/>
    <w:rsid w:val="00FD0296"/>
    <w:rsid w:val="00FD421E"/>
    <w:rsid w:val="00FE21AF"/>
    <w:rsid w:val="00FE4A0A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85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D5"/>
  </w:style>
  <w:style w:type="paragraph" w:styleId="Heading1">
    <w:name w:val="heading 1"/>
    <w:basedOn w:val="Normal"/>
    <w:next w:val="Normal"/>
    <w:qFormat/>
    <w:rsid w:val="00AC6FD5"/>
    <w:pPr>
      <w:keepNext/>
      <w:jc w:val="right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AC6FD5"/>
    <w:pPr>
      <w:keepNext/>
      <w:jc w:val="center"/>
      <w:outlineLvl w:val="1"/>
    </w:pPr>
    <w:rPr>
      <w:b/>
      <w:bCs/>
      <w:sz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C6FD5"/>
    <w:pPr>
      <w:ind w:left="720" w:hanging="810"/>
    </w:pPr>
    <w:rPr>
      <w:i/>
      <w:iCs/>
      <w:sz w:val="24"/>
      <w:lang w:val="es-ES"/>
    </w:rPr>
  </w:style>
  <w:style w:type="paragraph" w:styleId="BodyText">
    <w:name w:val="Body Text"/>
    <w:basedOn w:val="Normal"/>
    <w:link w:val="BodyTextChar"/>
    <w:semiHidden/>
    <w:rsid w:val="00AC6FD5"/>
    <w:rPr>
      <w:sz w:val="24"/>
    </w:rPr>
  </w:style>
  <w:style w:type="paragraph" w:styleId="ListParagraph">
    <w:name w:val="List Paragraph"/>
    <w:basedOn w:val="Normal"/>
    <w:uiPriority w:val="34"/>
    <w:qFormat/>
    <w:rsid w:val="005B7F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53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D5A"/>
  </w:style>
  <w:style w:type="paragraph" w:styleId="Footer">
    <w:name w:val="footer"/>
    <w:basedOn w:val="Normal"/>
    <w:link w:val="FooterChar"/>
    <w:uiPriority w:val="99"/>
    <w:unhideWhenUsed/>
    <w:rsid w:val="00253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D5A"/>
  </w:style>
  <w:style w:type="paragraph" w:styleId="BalloonText">
    <w:name w:val="Balloon Text"/>
    <w:basedOn w:val="Normal"/>
    <w:link w:val="BalloonTextChar"/>
    <w:uiPriority w:val="99"/>
    <w:semiHidden/>
    <w:unhideWhenUsed/>
    <w:rsid w:val="00253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0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4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4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49C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BB04B2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70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552C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C17BE2"/>
    <w:rPr>
      <w:sz w:val="24"/>
    </w:rPr>
  </w:style>
  <w:style w:type="paragraph" w:customStyle="1" w:styleId="Chapter">
    <w:name w:val="Chapter"/>
    <w:basedOn w:val="Normal"/>
    <w:next w:val="Normal"/>
    <w:rsid w:val="00C17BE2"/>
    <w:pPr>
      <w:tabs>
        <w:tab w:val="num" w:pos="648"/>
        <w:tab w:val="left" w:pos="1440"/>
      </w:tabs>
      <w:spacing w:after="240"/>
      <w:ind w:firstLine="288"/>
      <w:jc w:val="center"/>
    </w:pPr>
    <w:rPr>
      <w:b/>
      <w:smallCaps/>
      <w:sz w:val="24"/>
      <w:lang w:val="es-ES"/>
    </w:rPr>
  </w:style>
  <w:style w:type="paragraph" w:customStyle="1" w:styleId="Paragraph">
    <w:name w:val="Paragraph"/>
    <w:basedOn w:val="BodyTextIndent"/>
    <w:rsid w:val="00C17BE2"/>
    <w:pPr>
      <w:tabs>
        <w:tab w:val="num" w:pos="720"/>
      </w:tabs>
      <w:spacing w:before="120" w:after="120"/>
      <w:ind w:hanging="720"/>
      <w:jc w:val="both"/>
      <w:outlineLvl w:val="1"/>
    </w:pPr>
    <w:rPr>
      <w:i w:val="0"/>
      <w:iCs w:val="0"/>
    </w:rPr>
  </w:style>
  <w:style w:type="paragraph" w:customStyle="1" w:styleId="subpar">
    <w:name w:val="subpar"/>
    <w:basedOn w:val="BodyTextIndent3"/>
    <w:rsid w:val="00C17BE2"/>
    <w:pPr>
      <w:tabs>
        <w:tab w:val="num" w:pos="720"/>
        <w:tab w:val="num" w:pos="1152"/>
      </w:tabs>
      <w:spacing w:before="120"/>
      <w:ind w:left="1152" w:hanging="432"/>
      <w:jc w:val="both"/>
      <w:outlineLvl w:val="2"/>
    </w:pPr>
    <w:rPr>
      <w:sz w:val="24"/>
      <w:szCs w:val="20"/>
      <w:lang w:val="es-ES_tradnl"/>
    </w:rPr>
  </w:style>
  <w:style w:type="character" w:styleId="Strong">
    <w:name w:val="Strong"/>
    <w:basedOn w:val="DefaultParagraphFont"/>
    <w:qFormat/>
    <w:rsid w:val="00C17BE2"/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7BE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7BE2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4B75"/>
    <w:rPr>
      <w:rFonts w:asciiTheme="minorHAnsi" w:eastAsiaTheme="minorHAnsi" w:hAnsiTheme="minorHAnsi" w:cstheme="minorBidi"/>
      <w:lang w:val="es-A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B75"/>
    <w:rPr>
      <w:rFonts w:asciiTheme="minorHAnsi" w:eastAsiaTheme="minorHAnsi" w:hAnsiTheme="minorHAnsi" w:cstheme="minorBidi"/>
      <w:lang w:val="es-AR"/>
    </w:rPr>
  </w:style>
  <w:style w:type="character" w:styleId="FootnoteReference">
    <w:name w:val="footnote reference"/>
    <w:basedOn w:val="DefaultParagraphFont"/>
    <w:uiPriority w:val="99"/>
    <w:semiHidden/>
    <w:unhideWhenUsed/>
    <w:rsid w:val="007C4B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D5"/>
  </w:style>
  <w:style w:type="paragraph" w:styleId="Heading1">
    <w:name w:val="heading 1"/>
    <w:basedOn w:val="Normal"/>
    <w:next w:val="Normal"/>
    <w:qFormat/>
    <w:rsid w:val="00AC6FD5"/>
    <w:pPr>
      <w:keepNext/>
      <w:jc w:val="right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AC6FD5"/>
    <w:pPr>
      <w:keepNext/>
      <w:jc w:val="center"/>
      <w:outlineLvl w:val="1"/>
    </w:pPr>
    <w:rPr>
      <w:b/>
      <w:bCs/>
      <w:sz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C6FD5"/>
    <w:pPr>
      <w:ind w:left="720" w:hanging="810"/>
    </w:pPr>
    <w:rPr>
      <w:i/>
      <w:iCs/>
      <w:sz w:val="24"/>
      <w:lang w:val="es-ES"/>
    </w:rPr>
  </w:style>
  <w:style w:type="paragraph" w:styleId="BodyText">
    <w:name w:val="Body Text"/>
    <w:basedOn w:val="Normal"/>
    <w:link w:val="BodyTextChar"/>
    <w:semiHidden/>
    <w:rsid w:val="00AC6FD5"/>
    <w:rPr>
      <w:sz w:val="24"/>
    </w:rPr>
  </w:style>
  <w:style w:type="paragraph" w:styleId="ListParagraph">
    <w:name w:val="List Paragraph"/>
    <w:basedOn w:val="Normal"/>
    <w:uiPriority w:val="34"/>
    <w:qFormat/>
    <w:rsid w:val="005B7F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53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D5A"/>
  </w:style>
  <w:style w:type="paragraph" w:styleId="Footer">
    <w:name w:val="footer"/>
    <w:basedOn w:val="Normal"/>
    <w:link w:val="FooterChar"/>
    <w:uiPriority w:val="99"/>
    <w:unhideWhenUsed/>
    <w:rsid w:val="00253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D5A"/>
  </w:style>
  <w:style w:type="paragraph" w:styleId="BalloonText">
    <w:name w:val="Balloon Text"/>
    <w:basedOn w:val="Normal"/>
    <w:link w:val="BalloonTextChar"/>
    <w:uiPriority w:val="99"/>
    <w:semiHidden/>
    <w:unhideWhenUsed/>
    <w:rsid w:val="00253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0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4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4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49C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BB04B2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70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552C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C17BE2"/>
    <w:rPr>
      <w:sz w:val="24"/>
    </w:rPr>
  </w:style>
  <w:style w:type="paragraph" w:customStyle="1" w:styleId="Chapter">
    <w:name w:val="Chapter"/>
    <w:basedOn w:val="Normal"/>
    <w:next w:val="Normal"/>
    <w:rsid w:val="00C17BE2"/>
    <w:pPr>
      <w:tabs>
        <w:tab w:val="num" w:pos="648"/>
        <w:tab w:val="left" w:pos="1440"/>
      </w:tabs>
      <w:spacing w:after="240"/>
      <w:ind w:firstLine="288"/>
      <w:jc w:val="center"/>
    </w:pPr>
    <w:rPr>
      <w:b/>
      <w:smallCaps/>
      <w:sz w:val="24"/>
      <w:lang w:val="es-ES"/>
    </w:rPr>
  </w:style>
  <w:style w:type="paragraph" w:customStyle="1" w:styleId="Paragraph">
    <w:name w:val="Paragraph"/>
    <w:basedOn w:val="BodyTextIndent"/>
    <w:rsid w:val="00C17BE2"/>
    <w:pPr>
      <w:tabs>
        <w:tab w:val="num" w:pos="720"/>
      </w:tabs>
      <w:spacing w:before="120" w:after="120"/>
      <w:ind w:hanging="720"/>
      <w:jc w:val="both"/>
      <w:outlineLvl w:val="1"/>
    </w:pPr>
    <w:rPr>
      <w:i w:val="0"/>
      <w:iCs w:val="0"/>
    </w:rPr>
  </w:style>
  <w:style w:type="paragraph" w:customStyle="1" w:styleId="subpar">
    <w:name w:val="subpar"/>
    <w:basedOn w:val="BodyTextIndent3"/>
    <w:rsid w:val="00C17BE2"/>
    <w:pPr>
      <w:tabs>
        <w:tab w:val="num" w:pos="720"/>
        <w:tab w:val="num" w:pos="1152"/>
      </w:tabs>
      <w:spacing w:before="120"/>
      <w:ind w:left="1152" w:hanging="432"/>
      <w:jc w:val="both"/>
      <w:outlineLvl w:val="2"/>
    </w:pPr>
    <w:rPr>
      <w:sz w:val="24"/>
      <w:szCs w:val="20"/>
      <w:lang w:val="es-ES_tradnl"/>
    </w:rPr>
  </w:style>
  <w:style w:type="character" w:styleId="Strong">
    <w:name w:val="Strong"/>
    <w:basedOn w:val="DefaultParagraphFont"/>
    <w:qFormat/>
    <w:rsid w:val="00C17BE2"/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7BE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7BE2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4B75"/>
    <w:rPr>
      <w:rFonts w:asciiTheme="minorHAnsi" w:eastAsiaTheme="minorHAnsi" w:hAnsiTheme="minorHAnsi" w:cstheme="minorBidi"/>
      <w:lang w:val="es-A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B75"/>
    <w:rPr>
      <w:rFonts w:asciiTheme="minorHAnsi" w:eastAsiaTheme="minorHAnsi" w:hAnsiTheme="minorHAnsi" w:cstheme="minorBidi"/>
      <w:lang w:val="es-AR"/>
    </w:rPr>
  </w:style>
  <w:style w:type="character" w:styleId="FootnoteReference">
    <w:name w:val="footnote reference"/>
    <w:basedOn w:val="DefaultParagraphFont"/>
    <w:uiPriority w:val="99"/>
    <w:semiHidden/>
    <w:unhideWhenUsed/>
    <w:rsid w:val="007C4B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emilios@iadb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ltogrande.org/generacio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B249DA9DA101AA4CAD98D63F18766C30" ma:contentTypeVersion="8" ma:contentTypeDescription="The base project type from which other project content types inherit their information." ma:contentTypeScope="" ma:versionID="6bd6eb5d56e686f4ffd9a99918043355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bb03db798cf05ff65938c0f6d3330ac0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Confidential</Access_x0020_to_x0020_Information_x00a0_Policy>
    <SISCOR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Argentina</TermName>
          <TermId xmlns="http://schemas.microsoft.com/office/infopath/2007/PartnerControls">eb1b705c-195f-4c3b-9661-b201f2fee3c5</TermId>
        </TermInfo>
      </Terms>
    </ic46d7e087fd4a108fb86518ca413cc6>
    <IDBDocs_x0020_Number xmlns="cdc7663a-08f0-4737-9e8c-148ce897a09c" xsi:nil="true"/>
    <Division_x0020_or_x0020_Unit xmlns="cdc7663a-08f0-4737-9e8c-148ce897a09c">INE/ENE</Division_x0020_or_x0020_Unit>
    <From_x003a_ xmlns="cdc7663a-08f0-4737-9e8c-148ce897a09c" xsi:nil="true"/>
    <Fiscal_x0020_Year_x0020_IDB xmlns="cdc7663a-08f0-4737-9e8c-148ce897a09c">2017</Fiscal_x0020_Year_x0020_IDB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</TermName>
          <TermId xmlns="http://schemas.microsoft.com/office/infopath/2007/PartnerControls">4a833e0c-b04e-4136-8e27-6c06cac1e274</TermId>
        </TermInfo>
      </Terms>
    </e46fe2894295491da65140ffd2369f49>
    <Other_x0020_Author xmlns="cdc7663a-08f0-4737-9e8c-148ce897a09c" xsi:nil="true"/>
    <Migration_x0020_Info xmlns="cdc7663a-08f0-4737-9e8c-148ce897a09c" xsi:nil="true"/>
    <Approval_x0020_Number xmlns="cdc7663a-08f0-4737-9e8c-148ce897a09c" xsi:nil="true"/>
    <Phase xmlns="cdc7663a-08f0-4737-9e8c-148ce897a09c" xsi:nil="true"/>
    <Document_x0020_Author xmlns="cdc7663a-08f0-4737-9e8c-148ce897a09c">joelh</Document_x0020_Author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 EFFICIENCY AND RENEWABLE ENERGY IN END USE</TermName>
          <TermId xmlns="http://schemas.microsoft.com/office/infopath/2007/PartnerControls">ab88142a-aa14-42df-80f4-969425d6f976</TermId>
        </TermInfo>
      </Terms>
    </b2ec7cfb18674cb8803df6b262e8b107>
    <Business_x0020_Area xmlns="cdc7663a-08f0-4737-9e8c-148ce897a09c" xsi:nil="true"/>
    <Key_x0020_Document xmlns="cdc7663a-08f0-4737-9e8c-148ce897a09c">false</Key_x0020_Document>
    <Document_x0020_Language_x0020_IDB xmlns="cdc7663a-08f0-4737-9e8c-148ce897a09c">Spanish</Document_x0020_Language_x0020_IDB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TBD</TermName>
          <TermId xmlns="http://schemas.microsoft.com/office/infopath/2007/PartnerControls">d62f6e05-3e80-4abd-9bb4-5f10b4906ff6</TermId>
        </TermInfo>
      </Terms>
    </g511464f9e53401d84b16fa9b379a574>
    <TaxCatchAll xmlns="cdc7663a-08f0-4737-9e8c-148ce897a09c">
      <Value>69</Value>
      <Value>5</Value>
      <Value>28</Value>
      <Value>85</Value>
      <Value>84</Value>
    </TaxCatchAll>
    <Operation_x0020_Type xmlns="cdc7663a-08f0-4737-9e8c-148ce897a09c" xsi:nil="true"/>
    <Package_x0020_Code xmlns="cdc7663a-08f0-4737-9e8c-148ce897a09c" xsi:nil="true"/>
    <To_x003a_ xmlns="cdc7663a-08f0-4737-9e8c-148ce897a09c" xsi:nil="true"/>
    <Identifier xmlns="cdc7663a-08f0-4737-9e8c-148ce897a09c" xsi:nil="true"/>
    <Project_x0020_Number xmlns="cdc7663a-08f0-4737-9e8c-148ce897a09c">AR-T1147;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</TermName>
          <TermId xmlns="http://schemas.microsoft.com/office/infopath/2007/PartnerControls">4fed196a-cd0b-4970-87de-42da17f9b203</TermId>
        </TermInfo>
      </Terms>
    </nddeef1749674d76abdbe4b239a70bc6>
    <Record_x0020_Number xmlns="cdc7663a-08f0-4737-9e8c-148ce897a09c">R0000947153</Record_x0020_Number>
    <_dlc_DocId xmlns="cdc7663a-08f0-4737-9e8c-148ce897a09c">EZSHARE-622315255-2</_dlc_DocId>
    <_dlc_DocIdUrl xmlns="cdc7663a-08f0-4737-9e8c-148ce897a09c">
      <Url>https://idbg.sharepoint.com/teams/EZ-AR-TCP/AR-T1147/_layouts/15/DocIdRedir.aspx?ID=EZSHARE-622315255-2</Url>
      <Description>EZSHARE-622315255-2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C7E2-06A5-45B3-8272-14264A87B9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CBFDB7-A01F-4FC6-9DCE-39FF0577CF1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85AB4D2-9F8F-452F-801B-B353F775B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663a-08f0-4737-9e8c-148ce897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0A276F-B470-4102-A6DD-F34CA3F4E4DA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5.xml><?xml version="1.0" encoding="utf-8"?>
<ds:datastoreItem xmlns:ds="http://schemas.openxmlformats.org/officeDocument/2006/customXml" ds:itemID="{69CA715C-592A-494E-9B89-2C3E1A0381A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71DAA84-0E44-4623-8F51-0948DFAA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1962</Words>
  <Characters>11186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A</vt:lpstr>
      <vt:lpstr>ANNEX A</vt:lpstr>
    </vt:vector>
  </TitlesOfParts>
  <Company>Inter-American Development Bank</Company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</dc:title>
  <dc:creator>ITS/ITC</dc:creator>
  <cp:lastModifiedBy>Hernandez-Santoyo, Joel</cp:lastModifiedBy>
  <cp:revision>11</cp:revision>
  <cp:lastPrinted>2016-07-12T14:59:00Z</cp:lastPrinted>
  <dcterms:created xsi:type="dcterms:W3CDTF">2017-09-12T19:44:00Z</dcterms:created>
  <dcterms:modified xsi:type="dcterms:W3CDTF">2017-11-14T21:50:00Z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0x010100ACF722E9F6B0B149B0CD8BE2560A667200B249DA9DA101AA4CAD98D63F18766C30</vt:lpwstr>
  </property>
  <property fmtid="{D5CDD505-2E9C-101B-9397-08002B2CF9AE}" pid="3" name="TaxKeyword">
    <vt:lpwstr/>
  </property>
  <property fmtid="{D5CDD505-2E9C-101B-9397-08002B2CF9AE}" pid="4" name="TaxKeywordTaxHTField">
    <vt:lpwstr/>
  </property>
  <property fmtid="{D5CDD505-2E9C-101B-9397-08002B2CF9AE}" pid="5" name="Series Operations IDB">
    <vt:lpwstr/>
  </property>
  <property fmtid="{D5CDD505-2E9C-101B-9397-08002B2CF9AE}" pid="6" name="Sub-Sector">
    <vt:lpwstr>85;#ENERGY EFFICIENCY AND RENEWABLE ENERGY IN END USE|ab88142a-aa14-42df-80f4-969425d6f976</vt:lpwstr>
  </property>
  <property fmtid="{D5CDD505-2E9C-101B-9397-08002B2CF9AE}" pid="7" name="Fund IDB">
    <vt:lpwstr>69;#TBD|d62f6e05-3e80-4abd-9bb4-5f10b4906ff6</vt:lpwstr>
  </property>
  <property fmtid="{D5CDD505-2E9C-101B-9397-08002B2CF9AE}" pid="8" name="Country">
    <vt:lpwstr>28;#Argentina|eb1b705c-195f-4c3b-9661-b201f2fee3c5</vt:lpwstr>
  </property>
  <property fmtid="{D5CDD505-2E9C-101B-9397-08002B2CF9AE}" pid="9" name="Sector IDB">
    <vt:lpwstr>84;#ENERGY|4fed196a-cd0b-4970-87de-42da17f9b203</vt:lpwstr>
  </property>
  <property fmtid="{D5CDD505-2E9C-101B-9397-08002B2CF9AE}" pid="10" name="Function Operations IDB">
    <vt:lpwstr>5;#Legal|4a833e0c-b04e-4136-8e27-6c06cac1e274</vt:lpwstr>
  </property>
  <property fmtid="{D5CDD505-2E9C-101B-9397-08002B2CF9AE}" pid="11" name="_dlc_DocIdItemGuid">
    <vt:lpwstr>d885187a-5cc7-4fef-befb-92658f79b60e</vt:lpwstr>
  </property>
</Properties>
</file>