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B2E5" w14:textId="77777777" w:rsidR="002C2C5D" w:rsidRPr="0012655E" w:rsidRDefault="0012655E">
      <w:pPr>
        <w:spacing w:before="200" w:after="200"/>
        <w:jc w:val="center"/>
        <w:rPr>
          <w:lang w:val="es-PR"/>
        </w:rPr>
      </w:pPr>
      <w:r w:rsidRPr="0012655E">
        <w:rPr>
          <w:rFonts w:ascii="Arial" w:hAnsi="Arial" w:cs="Arial"/>
          <w:b/>
          <w:lang w:val="es-PR"/>
        </w:rPr>
        <w:t>ABSTRACTO DE COOPERACIÓN TÉCNICA</w:t>
      </w:r>
    </w:p>
    <w:p w14:paraId="315DE07F" w14:textId="77777777" w:rsidR="002C2C5D" w:rsidRPr="0012655E" w:rsidRDefault="0012655E">
      <w:pPr>
        <w:spacing w:before="120" w:after="120"/>
        <w:ind w:left="579" w:hanging="579"/>
        <w:rPr>
          <w:lang w:val="es-PR"/>
        </w:rPr>
      </w:pPr>
      <w:r w:rsidRPr="0012655E">
        <w:rPr>
          <w:rFonts w:ascii="Arial" w:hAnsi="Arial" w:cs="Arial"/>
          <w:b/>
          <w:lang w:val="es-PR"/>
        </w:rPr>
        <w:t>I.</w:t>
      </w:r>
      <w:r w:rsidRPr="0012655E">
        <w:rPr>
          <w:rFonts w:ascii="Arial" w:hAnsi="Arial" w:cs="Arial"/>
          <w:b/>
          <w:lang w:val="es-PR"/>
        </w:rPr>
        <w:tab/>
        <w:t>Información Básica del Proyecto</w:t>
      </w:r>
    </w:p>
    <w:tbl>
      <w:tblPr>
        <w:tblStyle w:val="TableGrid"/>
        <w:tblW w:w="5000" w:type="auto"/>
        <w:jc w:val="center"/>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ook w:val="04A0" w:firstRow="1" w:lastRow="0" w:firstColumn="1" w:lastColumn="0" w:noHBand="0" w:noVBand="1"/>
      </w:tblPr>
      <w:tblGrid>
        <w:gridCol w:w="4054"/>
        <w:gridCol w:w="4966"/>
      </w:tblGrid>
      <w:tr w:rsidR="002C2C5D" w14:paraId="09A493EF" w14:textId="77777777">
        <w:trPr>
          <w:jc w:val="center"/>
        </w:trPr>
        <w:tc>
          <w:tcPr>
            <w:tcW w:w="5250" w:type="dxa"/>
          </w:tcPr>
          <w:p w14:paraId="797A31CA"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País/</w:t>
            </w:r>
            <w:proofErr w:type="spellStart"/>
            <w:r>
              <w:rPr>
                <w:rFonts w:ascii="Arial" w:hAnsi="Arial" w:cs="Arial"/>
                <w:sz w:val="18"/>
                <w:szCs w:val="18"/>
              </w:rPr>
              <w:t>Región</w:t>
            </w:r>
            <w:proofErr w:type="spellEnd"/>
            <w:r>
              <w:rPr>
                <w:rFonts w:ascii="Arial" w:hAnsi="Arial" w:cs="Arial"/>
                <w:sz w:val="18"/>
                <w:szCs w:val="18"/>
              </w:rPr>
              <w:t>:</w:t>
            </w:r>
          </w:p>
        </w:tc>
        <w:tc>
          <w:tcPr>
            <w:tcW w:w="6750" w:type="dxa"/>
          </w:tcPr>
          <w:p w14:paraId="5FD5016D" w14:textId="77777777" w:rsidR="002C2C5D" w:rsidRDefault="0012655E">
            <w:pPr>
              <w:spacing w:before="40" w:after="40"/>
            </w:pPr>
            <w:r>
              <w:rPr>
                <w:rFonts w:ascii="Arial" w:hAnsi="Arial" w:cs="Arial"/>
                <w:sz w:val="18"/>
                <w:szCs w:val="18"/>
              </w:rPr>
              <w:t xml:space="preserve">BRASIL/CSC - </w:t>
            </w:r>
            <w:proofErr w:type="spellStart"/>
            <w:r>
              <w:rPr>
                <w:rFonts w:ascii="Arial" w:hAnsi="Arial" w:cs="Arial"/>
                <w:sz w:val="18"/>
                <w:szCs w:val="18"/>
              </w:rPr>
              <w:t>Cono</w:t>
            </w:r>
            <w:proofErr w:type="spellEnd"/>
            <w:r>
              <w:rPr>
                <w:rFonts w:ascii="Arial" w:hAnsi="Arial" w:cs="Arial"/>
                <w:sz w:val="18"/>
                <w:szCs w:val="18"/>
              </w:rPr>
              <w:t xml:space="preserve"> Sur</w:t>
            </w:r>
          </w:p>
        </w:tc>
      </w:tr>
      <w:tr w:rsidR="002C2C5D" w:rsidRPr="0012655E" w14:paraId="5E3ACE10" w14:textId="77777777">
        <w:trPr>
          <w:jc w:val="center"/>
        </w:trPr>
        <w:tc>
          <w:tcPr>
            <w:tcW w:w="5250" w:type="dxa"/>
          </w:tcPr>
          <w:p w14:paraId="09CBE96E"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Nombre</w:t>
            </w:r>
            <w:proofErr w:type="spellEnd"/>
            <w:r>
              <w:rPr>
                <w:rFonts w:ascii="Arial" w:hAnsi="Arial" w:cs="Arial"/>
                <w:sz w:val="18"/>
                <w:szCs w:val="18"/>
              </w:rPr>
              <w:t xml:space="preserve"> de la CT:</w:t>
            </w:r>
          </w:p>
        </w:tc>
        <w:tc>
          <w:tcPr>
            <w:tcW w:w="6750" w:type="dxa"/>
          </w:tcPr>
          <w:p w14:paraId="6EC6DDE0" w14:textId="77777777" w:rsidR="002C2C5D" w:rsidRPr="0012655E" w:rsidRDefault="0012655E">
            <w:pPr>
              <w:spacing w:before="40" w:after="40"/>
              <w:rPr>
                <w:lang w:val="es-PR"/>
              </w:rPr>
            </w:pPr>
            <w:r w:rsidRPr="0012655E">
              <w:rPr>
                <w:rFonts w:ascii="Arial" w:hAnsi="Arial" w:cs="Arial"/>
                <w:sz w:val="18"/>
                <w:szCs w:val="18"/>
                <w:lang w:val="es-PR"/>
              </w:rPr>
              <w:t>Apoyo a la Preparación del Programa de Saneamiento Sustentable de Joinville - PROSAJ</w:t>
            </w:r>
          </w:p>
        </w:tc>
      </w:tr>
      <w:tr w:rsidR="002C2C5D" w14:paraId="194ACEA2" w14:textId="77777777">
        <w:trPr>
          <w:jc w:val="center"/>
        </w:trPr>
        <w:tc>
          <w:tcPr>
            <w:tcW w:w="5250" w:type="dxa"/>
          </w:tcPr>
          <w:p w14:paraId="1100270A"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Número</w:t>
            </w:r>
            <w:proofErr w:type="spellEnd"/>
            <w:r>
              <w:rPr>
                <w:rFonts w:ascii="Arial" w:hAnsi="Arial" w:cs="Arial"/>
                <w:sz w:val="18"/>
                <w:szCs w:val="18"/>
              </w:rPr>
              <w:t xml:space="preserve"> de CT:</w:t>
            </w:r>
          </w:p>
        </w:tc>
        <w:tc>
          <w:tcPr>
            <w:tcW w:w="6750" w:type="dxa"/>
          </w:tcPr>
          <w:p w14:paraId="4DE65B56" w14:textId="77777777" w:rsidR="002C2C5D" w:rsidRDefault="0012655E">
            <w:pPr>
              <w:spacing w:before="40" w:after="40"/>
            </w:pPr>
            <w:r>
              <w:rPr>
                <w:rFonts w:ascii="Arial" w:hAnsi="Arial" w:cs="Arial"/>
                <w:sz w:val="18"/>
                <w:szCs w:val="18"/>
              </w:rPr>
              <w:t>BR-T1524</w:t>
            </w:r>
          </w:p>
        </w:tc>
      </w:tr>
      <w:tr w:rsidR="002C2C5D" w:rsidRPr="0012655E" w14:paraId="658546E7" w14:textId="77777777">
        <w:trPr>
          <w:jc w:val="center"/>
        </w:trPr>
        <w:tc>
          <w:tcPr>
            <w:tcW w:w="5250" w:type="dxa"/>
          </w:tcPr>
          <w:p w14:paraId="65E5CEE7"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Jefe de </w:t>
            </w:r>
            <w:proofErr w:type="spellStart"/>
            <w:r>
              <w:rPr>
                <w:rFonts w:ascii="Arial" w:hAnsi="Arial" w:cs="Arial"/>
                <w:sz w:val="18"/>
                <w:szCs w:val="18"/>
              </w:rPr>
              <w:t>Equipo</w:t>
            </w:r>
            <w:proofErr w:type="spellEnd"/>
            <w:r>
              <w:rPr>
                <w:rFonts w:ascii="Arial" w:hAnsi="Arial" w:cs="Arial"/>
                <w:sz w:val="18"/>
                <w:szCs w:val="18"/>
              </w:rPr>
              <w:t>/</w:t>
            </w:r>
            <w:proofErr w:type="spellStart"/>
            <w:r>
              <w:rPr>
                <w:rFonts w:ascii="Arial" w:hAnsi="Arial" w:cs="Arial"/>
                <w:sz w:val="18"/>
                <w:szCs w:val="18"/>
              </w:rPr>
              <w:t>Miembros</w:t>
            </w:r>
            <w:proofErr w:type="spellEnd"/>
            <w:r>
              <w:rPr>
                <w:rFonts w:ascii="Arial" w:hAnsi="Arial" w:cs="Arial"/>
                <w:sz w:val="18"/>
                <w:szCs w:val="18"/>
              </w:rPr>
              <w:t>:</w:t>
            </w:r>
          </w:p>
        </w:tc>
        <w:tc>
          <w:tcPr>
            <w:tcW w:w="6750" w:type="dxa"/>
          </w:tcPr>
          <w:p w14:paraId="3C3F5AA5" w14:textId="77777777" w:rsidR="002C2C5D" w:rsidRPr="0012655E" w:rsidRDefault="0012655E">
            <w:pPr>
              <w:spacing w:before="40" w:after="40"/>
              <w:rPr>
                <w:lang w:val="es-PR"/>
              </w:rPr>
            </w:pPr>
            <w:r w:rsidRPr="0012655E">
              <w:rPr>
                <w:rFonts w:ascii="Arial" w:hAnsi="Arial" w:cs="Arial"/>
                <w:sz w:val="18"/>
                <w:szCs w:val="18"/>
                <w:lang w:val="es-PR"/>
              </w:rPr>
              <w:t>PEREIRA, TIAGO PENA (INE/WSA) Líder del Equipo; MENDEZ TORRICO, E. GUSTAVO (INE/WSA) Jefe Alterno del Equipo de Proyecto; GUERRERO RIVERA, MARILYN IVETTE (INE/WSA); VERISSIMO DA SILVA, CAROLINA (LEG/SGO); CHAMPI TICONA, DIANA CARLA (INE/WS</w:t>
            </w:r>
            <w:r w:rsidRPr="0012655E">
              <w:rPr>
                <w:rFonts w:ascii="Arial" w:hAnsi="Arial" w:cs="Arial"/>
                <w:sz w:val="18"/>
                <w:szCs w:val="18"/>
                <w:lang w:val="es-PR"/>
              </w:rPr>
              <w:t>A)</w:t>
            </w:r>
          </w:p>
        </w:tc>
      </w:tr>
      <w:tr w:rsidR="002C2C5D" w14:paraId="059C8B8D" w14:textId="77777777">
        <w:trPr>
          <w:jc w:val="center"/>
        </w:trPr>
        <w:tc>
          <w:tcPr>
            <w:tcW w:w="5250" w:type="dxa"/>
          </w:tcPr>
          <w:p w14:paraId="44FDF963"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Taxonomía</w:t>
            </w:r>
            <w:proofErr w:type="spellEnd"/>
            <w:r>
              <w:rPr>
                <w:rFonts w:ascii="Arial" w:hAnsi="Arial" w:cs="Arial"/>
                <w:sz w:val="18"/>
                <w:szCs w:val="18"/>
              </w:rPr>
              <w:t>:</w:t>
            </w:r>
          </w:p>
        </w:tc>
        <w:tc>
          <w:tcPr>
            <w:tcW w:w="6750" w:type="dxa"/>
          </w:tcPr>
          <w:p w14:paraId="5E553343" w14:textId="77777777" w:rsidR="002C2C5D" w:rsidRDefault="0012655E">
            <w:pPr>
              <w:spacing w:before="40" w:after="40"/>
            </w:pPr>
            <w:proofErr w:type="spellStart"/>
            <w:r>
              <w:rPr>
                <w:rFonts w:ascii="Arial" w:hAnsi="Arial" w:cs="Arial"/>
                <w:sz w:val="18"/>
                <w:szCs w:val="18"/>
              </w:rPr>
              <w:t>Apoyo</w:t>
            </w:r>
            <w:proofErr w:type="spellEnd"/>
            <w:r>
              <w:rPr>
                <w:rFonts w:ascii="Arial" w:hAnsi="Arial" w:cs="Arial"/>
                <w:sz w:val="18"/>
                <w:szCs w:val="18"/>
              </w:rPr>
              <w:t xml:space="preserve"> </w:t>
            </w:r>
            <w:proofErr w:type="spellStart"/>
            <w:r>
              <w:rPr>
                <w:rFonts w:ascii="Arial" w:hAnsi="Arial" w:cs="Arial"/>
                <w:sz w:val="18"/>
                <w:szCs w:val="18"/>
              </w:rPr>
              <w:t>Operativo</w:t>
            </w:r>
            <w:proofErr w:type="spellEnd"/>
          </w:p>
        </w:tc>
      </w:tr>
      <w:tr w:rsidR="002C2C5D" w:rsidRPr="0012655E" w14:paraId="35A89B18" w14:textId="77777777">
        <w:trPr>
          <w:jc w:val="center"/>
        </w:trPr>
        <w:tc>
          <w:tcPr>
            <w:tcW w:w="5250" w:type="dxa"/>
          </w:tcPr>
          <w:p w14:paraId="61A25D83" w14:textId="77777777" w:rsidR="002C2C5D" w:rsidRPr="0012655E" w:rsidRDefault="0012655E">
            <w:pPr>
              <w:spacing w:before="40" w:after="40"/>
              <w:ind w:left="115" w:hanging="115"/>
              <w:rPr>
                <w:lang w:val="es-PR"/>
              </w:rPr>
            </w:pPr>
            <w:r w:rsidRPr="0012655E">
              <w:rPr>
                <w:rFonts w:ascii="Arial" w:hAnsi="Arial" w:cs="Arial"/>
                <w:sz w:val="18"/>
                <w:szCs w:val="18"/>
                <w:lang w:val="es-PR"/>
              </w:rPr>
              <w:t>▪</w:t>
            </w:r>
            <w:r w:rsidRPr="0012655E">
              <w:rPr>
                <w:rFonts w:ascii="Arial" w:hAnsi="Arial" w:cs="Arial"/>
                <w:sz w:val="18"/>
                <w:szCs w:val="18"/>
                <w:lang w:val="es-PR"/>
              </w:rPr>
              <w:t xml:space="preserve"> Número y nombre de la operación que apoyará la CT:</w:t>
            </w:r>
          </w:p>
        </w:tc>
        <w:tc>
          <w:tcPr>
            <w:tcW w:w="6750" w:type="dxa"/>
          </w:tcPr>
          <w:p w14:paraId="2CEA5AC2" w14:textId="77777777" w:rsidR="002C2C5D" w:rsidRPr="0012655E" w:rsidRDefault="0012655E">
            <w:pPr>
              <w:spacing w:before="40" w:after="40"/>
              <w:rPr>
                <w:lang w:val="es-PR"/>
              </w:rPr>
            </w:pPr>
            <w:r w:rsidRPr="0012655E">
              <w:rPr>
                <w:rFonts w:ascii="Arial" w:hAnsi="Arial" w:cs="Arial"/>
                <w:sz w:val="18"/>
                <w:szCs w:val="18"/>
                <w:lang w:val="es-PR"/>
              </w:rPr>
              <w:t xml:space="preserve">Programa de Saneamiento Básico Sostenible de Joinville - PROSAJ - BR-L1594 </w:t>
            </w:r>
            <w:r w:rsidRPr="0012655E">
              <w:rPr>
                <w:rFonts w:ascii="Arial" w:hAnsi="Arial" w:cs="Arial"/>
                <w:sz w:val="18"/>
                <w:szCs w:val="18"/>
                <w:lang w:val="es-PR"/>
              </w:rPr>
              <w:br/>
            </w:r>
            <w:r w:rsidRPr="0012655E">
              <w:rPr>
                <w:rFonts w:ascii="Arial" w:hAnsi="Arial" w:cs="Arial"/>
                <w:sz w:val="18"/>
                <w:szCs w:val="18"/>
                <w:lang w:val="es-PR"/>
              </w:rPr>
              <w:br/>
            </w:r>
          </w:p>
        </w:tc>
      </w:tr>
      <w:tr w:rsidR="002C2C5D" w14:paraId="59192276" w14:textId="77777777">
        <w:trPr>
          <w:jc w:val="center"/>
        </w:trPr>
        <w:tc>
          <w:tcPr>
            <w:tcW w:w="5250" w:type="dxa"/>
          </w:tcPr>
          <w:p w14:paraId="2052C0A9" w14:textId="77777777" w:rsidR="002C2C5D" w:rsidRPr="0012655E" w:rsidRDefault="0012655E">
            <w:pPr>
              <w:spacing w:before="40" w:after="40"/>
              <w:ind w:left="115" w:hanging="115"/>
              <w:rPr>
                <w:lang w:val="es-PR"/>
              </w:rPr>
            </w:pPr>
            <w:r w:rsidRPr="0012655E">
              <w:rPr>
                <w:rFonts w:ascii="Arial" w:hAnsi="Arial" w:cs="Arial"/>
                <w:sz w:val="18"/>
                <w:szCs w:val="18"/>
                <w:lang w:val="es-PR"/>
              </w:rPr>
              <w:t>▪</w:t>
            </w:r>
            <w:r w:rsidRPr="0012655E">
              <w:rPr>
                <w:rFonts w:ascii="Arial" w:hAnsi="Arial" w:cs="Arial"/>
                <w:sz w:val="18"/>
                <w:szCs w:val="18"/>
                <w:lang w:val="es-PR"/>
              </w:rPr>
              <w:t xml:space="preserve"> Fecha del Abstracto de CT:</w:t>
            </w:r>
          </w:p>
        </w:tc>
        <w:tc>
          <w:tcPr>
            <w:tcW w:w="6750" w:type="dxa"/>
          </w:tcPr>
          <w:p w14:paraId="21B5DE2D" w14:textId="77777777" w:rsidR="002C2C5D" w:rsidRDefault="0012655E">
            <w:pPr>
              <w:spacing w:before="40" w:after="40"/>
            </w:pPr>
            <w:r>
              <w:rPr>
                <w:rFonts w:ascii="Arial" w:hAnsi="Arial" w:cs="Arial"/>
                <w:sz w:val="18"/>
                <w:szCs w:val="18"/>
              </w:rPr>
              <w:t>04 May 2022</w:t>
            </w:r>
          </w:p>
        </w:tc>
      </w:tr>
      <w:tr w:rsidR="002C2C5D" w14:paraId="09850785" w14:textId="77777777">
        <w:trPr>
          <w:jc w:val="center"/>
        </w:trPr>
        <w:tc>
          <w:tcPr>
            <w:tcW w:w="5250" w:type="dxa"/>
          </w:tcPr>
          <w:p w14:paraId="344BF8F6"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Beneficiario</w:t>
            </w:r>
            <w:proofErr w:type="spellEnd"/>
            <w:r>
              <w:rPr>
                <w:rFonts w:ascii="Arial" w:hAnsi="Arial" w:cs="Arial"/>
                <w:sz w:val="18"/>
                <w:szCs w:val="18"/>
              </w:rPr>
              <w:t>:</w:t>
            </w:r>
          </w:p>
        </w:tc>
        <w:tc>
          <w:tcPr>
            <w:tcW w:w="6750" w:type="dxa"/>
          </w:tcPr>
          <w:p w14:paraId="619AC504" w14:textId="77777777" w:rsidR="002C2C5D" w:rsidRDefault="0012655E">
            <w:pPr>
              <w:spacing w:before="40" w:after="40"/>
            </w:pPr>
            <w:proofErr w:type="spellStart"/>
            <w:r>
              <w:rPr>
                <w:rFonts w:ascii="Arial" w:hAnsi="Arial" w:cs="Arial"/>
                <w:sz w:val="18"/>
                <w:szCs w:val="18"/>
              </w:rPr>
              <w:t>Compañía</w:t>
            </w:r>
            <w:proofErr w:type="spellEnd"/>
            <w:r>
              <w:rPr>
                <w:rFonts w:ascii="Arial" w:hAnsi="Arial" w:cs="Arial"/>
                <w:sz w:val="18"/>
                <w:szCs w:val="18"/>
              </w:rPr>
              <w:t xml:space="preserve"> </w:t>
            </w:r>
            <w:proofErr w:type="spellStart"/>
            <w:r>
              <w:rPr>
                <w:rFonts w:ascii="Arial" w:hAnsi="Arial" w:cs="Arial"/>
                <w:sz w:val="18"/>
                <w:szCs w:val="18"/>
              </w:rPr>
              <w:t>Aguas</w:t>
            </w:r>
            <w:proofErr w:type="spellEnd"/>
            <w:r>
              <w:rPr>
                <w:rFonts w:ascii="Arial" w:hAnsi="Arial" w:cs="Arial"/>
                <w:sz w:val="18"/>
                <w:szCs w:val="18"/>
              </w:rPr>
              <w:t xml:space="preserve"> de </w:t>
            </w:r>
            <w:r>
              <w:rPr>
                <w:rFonts w:ascii="Arial" w:hAnsi="Arial" w:cs="Arial"/>
                <w:sz w:val="18"/>
                <w:szCs w:val="18"/>
              </w:rPr>
              <w:t>Joinville</w:t>
            </w:r>
          </w:p>
        </w:tc>
      </w:tr>
      <w:tr w:rsidR="002C2C5D" w14:paraId="0CC361CA" w14:textId="77777777">
        <w:trPr>
          <w:jc w:val="center"/>
        </w:trPr>
        <w:tc>
          <w:tcPr>
            <w:tcW w:w="5250" w:type="dxa"/>
          </w:tcPr>
          <w:p w14:paraId="4F7E1D5B"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Agencia</w:t>
            </w:r>
            <w:proofErr w:type="spellEnd"/>
            <w:r>
              <w:rPr>
                <w:rFonts w:ascii="Arial" w:hAnsi="Arial" w:cs="Arial"/>
                <w:sz w:val="18"/>
                <w:szCs w:val="18"/>
              </w:rPr>
              <w:t xml:space="preserve"> </w:t>
            </w:r>
            <w:proofErr w:type="spellStart"/>
            <w:r>
              <w:rPr>
                <w:rFonts w:ascii="Arial" w:hAnsi="Arial" w:cs="Arial"/>
                <w:sz w:val="18"/>
                <w:szCs w:val="18"/>
              </w:rPr>
              <w:t>Ejecutora</w:t>
            </w:r>
            <w:proofErr w:type="spellEnd"/>
            <w:r>
              <w:rPr>
                <w:rFonts w:ascii="Arial" w:hAnsi="Arial" w:cs="Arial"/>
                <w:sz w:val="18"/>
                <w:szCs w:val="18"/>
              </w:rPr>
              <w:t>:</w:t>
            </w:r>
          </w:p>
        </w:tc>
        <w:tc>
          <w:tcPr>
            <w:tcW w:w="6750" w:type="dxa"/>
          </w:tcPr>
          <w:p w14:paraId="3439140F" w14:textId="77777777" w:rsidR="002C2C5D" w:rsidRDefault="0012655E">
            <w:pPr>
              <w:spacing w:before="40" w:after="40"/>
            </w:pPr>
            <w:r>
              <w:rPr>
                <w:rFonts w:ascii="Arial" w:hAnsi="Arial" w:cs="Arial"/>
                <w:sz w:val="18"/>
                <w:szCs w:val="18"/>
              </w:rPr>
              <w:t>INTER-AMERICAN DEVELOPMENT BANK</w:t>
            </w:r>
          </w:p>
        </w:tc>
      </w:tr>
      <w:tr w:rsidR="002C2C5D" w14:paraId="58C0AA36" w14:textId="77777777">
        <w:trPr>
          <w:jc w:val="center"/>
        </w:trPr>
        <w:tc>
          <w:tcPr>
            <w:tcW w:w="5250" w:type="dxa"/>
          </w:tcPr>
          <w:p w14:paraId="3E8B29CC"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Financiamiento</w:t>
            </w:r>
            <w:proofErr w:type="spellEnd"/>
            <w:r>
              <w:rPr>
                <w:rFonts w:ascii="Arial" w:hAnsi="Arial" w:cs="Arial"/>
                <w:sz w:val="18"/>
                <w:szCs w:val="18"/>
              </w:rPr>
              <w:t xml:space="preserve"> </w:t>
            </w:r>
            <w:proofErr w:type="spellStart"/>
            <w:r>
              <w:rPr>
                <w:rFonts w:ascii="Arial" w:hAnsi="Arial" w:cs="Arial"/>
                <w:sz w:val="18"/>
                <w:szCs w:val="18"/>
              </w:rPr>
              <w:t>solicitado</w:t>
            </w:r>
            <w:proofErr w:type="spellEnd"/>
            <w:r>
              <w:rPr>
                <w:rFonts w:ascii="Arial" w:hAnsi="Arial" w:cs="Arial"/>
                <w:sz w:val="18"/>
                <w:szCs w:val="18"/>
              </w:rPr>
              <w:t xml:space="preserve"> del BID:</w:t>
            </w:r>
          </w:p>
        </w:tc>
        <w:tc>
          <w:tcPr>
            <w:tcW w:w="6750" w:type="dxa"/>
          </w:tcPr>
          <w:p w14:paraId="7BCF3F69" w14:textId="77777777" w:rsidR="002C2C5D" w:rsidRDefault="0012655E">
            <w:pPr>
              <w:bidi/>
              <w:spacing w:before="40" w:after="40"/>
            </w:pPr>
            <w:r>
              <w:rPr>
                <w:rFonts w:ascii="Arial" w:hAnsi="Arial" w:cs="Arial"/>
                <w:sz w:val="18"/>
                <w:szCs w:val="18"/>
              </w:rPr>
              <w:t>US$200,000.00</w:t>
            </w:r>
          </w:p>
        </w:tc>
      </w:tr>
      <w:tr w:rsidR="002C2C5D" w14:paraId="6F024DE3" w14:textId="77777777">
        <w:trPr>
          <w:jc w:val="center"/>
        </w:trPr>
        <w:tc>
          <w:tcPr>
            <w:tcW w:w="5250" w:type="dxa"/>
          </w:tcPr>
          <w:p w14:paraId="724EB840"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Contrapartida</w:t>
            </w:r>
            <w:proofErr w:type="spellEnd"/>
            <w:r>
              <w:rPr>
                <w:rFonts w:ascii="Arial" w:hAnsi="Arial" w:cs="Arial"/>
                <w:sz w:val="18"/>
                <w:szCs w:val="18"/>
              </w:rPr>
              <w:t xml:space="preserve"> Local:</w:t>
            </w:r>
          </w:p>
        </w:tc>
        <w:tc>
          <w:tcPr>
            <w:tcW w:w="6750" w:type="dxa"/>
          </w:tcPr>
          <w:p w14:paraId="50FF58E6" w14:textId="77777777" w:rsidR="002C2C5D" w:rsidRDefault="0012655E">
            <w:pPr>
              <w:bidi/>
              <w:spacing w:before="40" w:after="40"/>
            </w:pPr>
            <w:r>
              <w:rPr>
                <w:rFonts w:ascii="Arial" w:hAnsi="Arial" w:cs="Arial"/>
                <w:sz w:val="18"/>
                <w:szCs w:val="18"/>
              </w:rPr>
              <w:t>US$0.00</w:t>
            </w:r>
          </w:p>
        </w:tc>
      </w:tr>
      <w:tr w:rsidR="002C2C5D" w14:paraId="4AB71E7B" w14:textId="77777777">
        <w:trPr>
          <w:jc w:val="center"/>
        </w:trPr>
        <w:tc>
          <w:tcPr>
            <w:tcW w:w="5250" w:type="dxa"/>
          </w:tcPr>
          <w:p w14:paraId="4672F19B"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Periodo</w:t>
            </w:r>
            <w:proofErr w:type="spellEnd"/>
            <w:r>
              <w:rPr>
                <w:rFonts w:ascii="Arial" w:hAnsi="Arial" w:cs="Arial"/>
                <w:sz w:val="18"/>
                <w:szCs w:val="18"/>
              </w:rPr>
              <w:t xml:space="preserve"> de </w:t>
            </w:r>
            <w:proofErr w:type="spellStart"/>
            <w:r>
              <w:rPr>
                <w:rFonts w:ascii="Arial" w:hAnsi="Arial" w:cs="Arial"/>
                <w:sz w:val="18"/>
                <w:szCs w:val="18"/>
              </w:rPr>
              <w:t>Desembolso</w:t>
            </w:r>
            <w:proofErr w:type="spellEnd"/>
            <w:r>
              <w:rPr>
                <w:rFonts w:ascii="Arial" w:hAnsi="Arial" w:cs="Arial"/>
                <w:sz w:val="18"/>
                <w:szCs w:val="18"/>
              </w:rPr>
              <w:t>:</w:t>
            </w:r>
          </w:p>
        </w:tc>
        <w:tc>
          <w:tcPr>
            <w:tcW w:w="6750" w:type="dxa"/>
          </w:tcPr>
          <w:p w14:paraId="42AB8FC4" w14:textId="77777777" w:rsidR="002C2C5D" w:rsidRDefault="0012655E">
            <w:pPr>
              <w:bidi/>
              <w:spacing w:before="40" w:after="40"/>
            </w:pPr>
            <w:r>
              <w:rPr>
                <w:rFonts w:ascii="Arial" w:hAnsi="Arial" w:cs="Arial"/>
                <w:sz w:val="18"/>
                <w:szCs w:val="18"/>
              </w:rPr>
              <w:t>24 meses</w:t>
            </w:r>
          </w:p>
        </w:tc>
      </w:tr>
      <w:tr w:rsidR="002C2C5D" w14:paraId="6245FB1D" w14:textId="77777777">
        <w:trPr>
          <w:jc w:val="center"/>
        </w:trPr>
        <w:tc>
          <w:tcPr>
            <w:tcW w:w="5250" w:type="dxa"/>
          </w:tcPr>
          <w:p w14:paraId="6E192B13"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Tipos</w:t>
            </w:r>
            <w:proofErr w:type="spellEnd"/>
            <w:r>
              <w:rPr>
                <w:rFonts w:ascii="Arial" w:hAnsi="Arial" w:cs="Arial"/>
                <w:sz w:val="18"/>
                <w:szCs w:val="18"/>
              </w:rPr>
              <w:t xml:space="preserve"> de </w:t>
            </w:r>
            <w:proofErr w:type="spellStart"/>
            <w:r>
              <w:rPr>
                <w:rFonts w:ascii="Arial" w:hAnsi="Arial" w:cs="Arial"/>
                <w:sz w:val="18"/>
                <w:szCs w:val="18"/>
              </w:rPr>
              <w:t>consultores</w:t>
            </w:r>
            <w:proofErr w:type="spellEnd"/>
            <w:r>
              <w:rPr>
                <w:rFonts w:ascii="Arial" w:hAnsi="Arial" w:cs="Arial"/>
                <w:sz w:val="18"/>
                <w:szCs w:val="18"/>
              </w:rPr>
              <w:t>:</w:t>
            </w:r>
          </w:p>
        </w:tc>
        <w:tc>
          <w:tcPr>
            <w:tcW w:w="6750" w:type="dxa"/>
          </w:tcPr>
          <w:p w14:paraId="5696624D" w14:textId="77777777" w:rsidR="002C2C5D" w:rsidRDefault="0012655E">
            <w:pPr>
              <w:spacing w:before="40" w:after="40"/>
            </w:pPr>
            <w:proofErr w:type="spellStart"/>
            <w:r>
              <w:rPr>
                <w:rFonts w:ascii="Arial" w:hAnsi="Arial" w:cs="Arial"/>
                <w:sz w:val="18"/>
                <w:szCs w:val="18"/>
              </w:rPr>
              <w:t>Individuos</w:t>
            </w:r>
            <w:proofErr w:type="spellEnd"/>
            <w:r>
              <w:rPr>
                <w:rFonts w:ascii="Arial" w:hAnsi="Arial" w:cs="Arial"/>
                <w:sz w:val="18"/>
                <w:szCs w:val="18"/>
              </w:rPr>
              <w:t xml:space="preserve">; </w:t>
            </w:r>
            <w:proofErr w:type="spellStart"/>
            <w:r>
              <w:rPr>
                <w:rFonts w:ascii="Arial" w:hAnsi="Arial" w:cs="Arial"/>
                <w:sz w:val="18"/>
                <w:szCs w:val="18"/>
              </w:rPr>
              <w:t>Empresas</w:t>
            </w:r>
            <w:proofErr w:type="spellEnd"/>
          </w:p>
        </w:tc>
      </w:tr>
      <w:tr w:rsidR="002C2C5D" w:rsidRPr="0012655E" w14:paraId="6B8A695C" w14:textId="77777777">
        <w:trPr>
          <w:jc w:val="center"/>
        </w:trPr>
        <w:tc>
          <w:tcPr>
            <w:tcW w:w="5250" w:type="dxa"/>
          </w:tcPr>
          <w:p w14:paraId="31BF6AE4"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Unidad </w:t>
            </w:r>
            <w:proofErr w:type="spellStart"/>
            <w:r>
              <w:rPr>
                <w:rFonts w:ascii="Arial" w:hAnsi="Arial" w:cs="Arial"/>
                <w:sz w:val="18"/>
                <w:szCs w:val="18"/>
              </w:rPr>
              <w:t>Responsable</w:t>
            </w:r>
            <w:proofErr w:type="spellEnd"/>
            <w:r>
              <w:rPr>
                <w:rFonts w:ascii="Arial" w:hAnsi="Arial" w:cs="Arial"/>
                <w:sz w:val="18"/>
                <w:szCs w:val="18"/>
              </w:rPr>
              <w:t xml:space="preserve"> de </w:t>
            </w:r>
            <w:proofErr w:type="spellStart"/>
            <w:r>
              <w:rPr>
                <w:rFonts w:ascii="Arial" w:hAnsi="Arial" w:cs="Arial"/>
                <w:sz w:val="18"/>
                <w:szCs w:val="18"/>
              </w:rPr>
              <w:t>Preparación</w:t>
            </w:r>
            <w:proofErr w:type="spellEnd"/>
            <w:r>
              <w:rPr>
                <w:rFonts w:ascii="Arial" w:hAnsi="Arial" w:cs="Arial"/>
                <w:sz w:val="18"/>
                <w:szCs w:val="18"/>
              </w:rPr>
              <w:t>:</w:t>
            </w:r>
          </w:p>
        </w:tc>
        <w:tc>
          <w:tcPr>
            <w:tcW w:w="6750" w:type="dxa"/>
          </w:tcPr>
          <w:p w14:paraId="17748120" w14:textId="77777777" w:rsidR="002C2C5D" w:rsidRPr="0012655E" w:rsidRDefault="0012655E">
            <w:pPr>
              <w:spacing w:before="40" w:after="40"/>
              <w:rPr>
                <w:lang w:val="es-PR"/>
              </w:rPr>
            </w:pPr>
            <w:r w:rsidRPr="0012655E">
              <w:rPr>
                <w:rFonts w:ascii="Arial" w:hAnsi="Arial" w:cs="Arial"/>
                <w:sz w:val="18"/>
                <w:szCs w:val="18"/>
                <w:lang w:val="es-PR"/>
              </w:rPr>
              <w:t>INE/WSA - Agua y Saneamiento</w:t>
            </w:r>
          </w:p>
        </w:tc>
      </w:tr>
      <w:tr w:rsidR="002C2C5D" w14:paraId="7109ABDE" w14:textId="77777777">
        <w:trPr>
          <w:jc w:val="center"/>
        </w:trPr>
        <w:tc>
          <w:tcPr>
            <w:tcW w:w="5250" w:type="dxa"/>
          </w:tcPr>
          <w:p w14:paraId="37F8EC3A" w14:textId="77777777" w:rsidR="002C2C5D" w:rsidRDefault="0012655E">
            <w:pPr>
              <w:spacing w:before="40" w:after="40"/>
              <w:ind w:left="115" w:hanging="115"/>
            </w:pPr>
            <w:r>
              <w:rPr>
                <w:rFonts w:ascii="Arial" w:hAnsi="Arial" w:cs="Arial"/>
                <w:sz w:val="18"/>
                <w:szCs w:val="18"/>
              </w:rPr>
              <w:t>▪</w:t>
            </w:r>
            <w:r>
              <w:rPr>
                <w:rFonts w:ascii="Arial" w:hAnsi="Arial" w:cs="Arial"/>
                <w:sz w:val="18"/>
                <w:szCs w:val="18"/>
              </w:rPr>
              <w:t xml:space="preserve"> Unidad </w:t>
            </w:r>
            <w:proofErr w:type="spellStart"/>
            <w:r>
              <w:rPr>
                <w:rFonts w:ascii="Arial" w:hAnsi="Arial" w:cs="Arial"/>
                <w:sz w:val="18"/>
                <w:szCs w:val="18"/>
              </w:rPr>
              <w:t>Responsable</w:t>
            </w:r>
            <w:proofErr w:type="spellEnd"/>
            <w:r>
              <w:rPr>
                <w:rFonts w:ascii="Arial" w:hAnsi="Arial" w:cs="Arial"/>
                <w:sz w:val="18"/>
                <w:szCs w:val="18"/>
              </w:rPr>
              <w:t xml:space="preserve"> de </w:t>
            </w:r>
            <w:proofErr w:type="spellStart"/>
            <w:r>
              <w:rPr>
                <w:rFonts w:ascii="Arial" w:hAnsi="Arial" w:cs="Arial"/>
                <w:sz w:val="18"/>
                <w:szCs w:val="18"/>
              </w:rPr>
              <w:t>Desembolso</w:t>
            </w:r>
            <w:proofErr w:type="spellEnd"/>
            <w:r>
              <w:rPr>
                <w:rFonts w:ascii="Arial" w:hAnsi="Arial" w:cs="Arial"/>
                <w:sz w:val="18"/>
                <w:szCs w:val="18"/>
              </w:rPr>
              <w:t>:</w:t>
            </w:r>
          </w:p>
        </w:tc>
        <w:tc>
          <w:tcPr>
            <w:tcW w:w="6750" w:type="dxa"/>
          </w:tcPr>
          <w:p w14:paraId="638B4602" w14:textId="77777777" w:rsidR="002C2C5D" w:rsidRDefault="0012655E">
            <w:pPr>
              <w:spacing w:before="40" w:after="40"/>
            </w:pPr>
            <w:r>
              <w:rPr>
                <w:rFonts w:ascii="Arial" w:hAnsi="Arial" w:cs="Arial"/>
                <w:sz w:val="18"/>
                <w:szCs w:val="18"/>
              </w:rPr>
              <w:t xml:space="preserve">CSC/CBR - </w:t>
            </w:r>
            <w:proofErr w:type="spellStart"/>
            <w:r>
              <w:rPr>
                <w:rFonts w:ascii="Arial" w:hAnsi="Arial" w:cs="Arial"/>
                <w:sz w:val="18"/>
                <w:szCs w:val="18"/>
              </w:rPr>
              <w:t>Representación</w:t>
            </w:r>
            <w:proofErr w:type="spellEnd"/>
            <w:r>
              <w:rPr>
                <w:rFonts w:ascii="Arial" w:hAnsi="Arial" w:cs="Arial"/>
                <w:sz w:val="18"/>
                <w:szCs w:val="18"/>
              </w:rPr>
              <w:t xml:space="preserve"> </w:t>
            </w:r>
            <w:proofErr w:type="spellStart"/>
            <w:r>
              <w:rPr>
                <w:rFonts w:ascii="Arial" w:hAnsi="Arial" w:cs="Arial"/>
                <w:sz w:val="18"/>
                <w:szCs w:val="18"/>
              </w:rPr>
              <w:t>Brasil</w:t>
            </w:r>
            <w:proofErr w:type="spellEnd"/>
          </w:p>
        </w:tc>
      </w:tr>
      <w:tr w:rsidR="002C2C5D" w14:paraId="48A9B95D" w14:textId="77777777">
        <w:trPr>
          <w:jc w:val="center"/>
        </w:trPr>
        <w:tc>
          <w:tcPr>
            <w:tcW w:w="5250" w:type="dxa"/>
          </w:tcPr>
          <w:p w14:paraId="1B134821" w14:textId="77777777" w:rsidR="002C2C5D" w:rsidRPr="0012655E" w:rsidRDefault="0012655E">
            <w:pPr>
              <w:spacing w:before="40" w:after="40"/>
              <w:rPr>
                <w:lang w:val="es-PR"/>
              </w:rPr>
            </w:pPr>
            <w:r w:rsidRPr="0012655E">
              <w:rPr>
                <w:rFonts w:ascii="Arial" w:hAnsi="Arial" w:cs="Arial"/>
                <w:sz w:val="18"/>
                <w:szCs w:val="18"/>
                <w:lang w:val="es-PR"/>
              </w:rPr>
              <w:t>▪</w:t>
            </w:r>
            <w:r w:rsidRPr="0012655E">
              <w:rPr>
                <w:rFonts w:ascii="Arial" w:hAnsi="Arial" w:cs="Arial"/>
                <w:sz w:val="18"/>
                <w:szCs w:val="18"/>
                <w:lang w:val="es-PR"/>
              </w:rPr>
              <w:t xml:space="preserve"> CT incluida en la Estrategia de País (s/n):</w:t>
            </w:r>
            <w:r w:rsidRPr="0012655E">
              <w:rPr>
                <w:rFonts w:ascii="Arial" w:hAnsi="Arial" w:cs="Arial"/>
                <w:sz w:val="18"/>
                <w:szCs w:val="18"/>
                <w:lang w:val="es-PR"/>
              </w:rPr>
              <w:br/>
            </w:r>
            <w:r w:rsidRPr="0012655E">
              <w:rPr>
                <w:rFonts w:ascii="Arial" w:hAnsi="Arial" w:cs="Arial"/>
                <w:sz w:val="18"/>
                <w:szCs w:val="18"/>
                <w:lang w:val="es-PR"/>
              </w:rPr>
              <w:br/>
              <w:t>▪ CT incluida en CPD (s/n):</w:t>
            </w:r>
          </w:p>
        </w:tc>
        <w:tc>
          <w:tcPr>
            <w:tcW w:w="6750" w:type="dxa"/>
          </w:tcPr>
          <w:p w14:paraId="4DC2E3CB" w14:textId="77777777" w:rsidR="002C2C5D" w:rsidRDefault="0012655E">
            <w:pPr>
              <w:spacing w:before="40" w:after="40"/>
            </w:pPr>
            <w:proofErr w:type="spellStart"/>
            <w:r>
              <w:rPr>
                <w:rFonts w:ascii="Arial" w:hAnsi="Arial" w:cs="Arial"/>
                <w:sz w:val="18"/>
                <w:szCs w:val="18"/>
              </w:rPr>
              <w:t>Sí</w:t>
            </w:r>
            <w:proofErr w:type="spellEnd"/>
            <w:r>
              <w:rPr>
                <w:rFonts w:ascii="Arial" w:hAnsi="Arial" w:cs="Arial"/>
                <w:sz w:val="18"/>
                <w:szCs w:val="18"/>
              </w:rPr>
              <w:br/>
            </w:r>
            <w:r>
              <w:rPr>
                <w:rFonts w:ascii="Arial" w:hAnsi="Arial" w:cs="Arial"/>
                <w:sz w:val="18"/>
                <w:szCs w:val="18"/>
              </w:rPr>
              <w:br/>
            </w:r>
            <w:proofErr w:type="spellStart"/>
            <w:r>
              <w:rPr>
                <w:rFonts w:ascii="Arial" w:hAnsi="Arial" w:cs="Arial"/>
                <w:sz w:val="18"/>
                <w:szCs w:val="18"/>
              </w:rPr>
              <w:t>Sí</w:t>
            </w:r>
            <w:proofErr w:type="spellEnd"/>
          </w:p>
        </w:tc>
      </w:tr>
      <w:tr w:rsidR="002C2C5D" w:rsidRPr="0012655E" w14:paraId="46A3A1D0" w14:textId="77777777">
        <w:trPr>
          <w:jc w:val="center"/>
        </w:trPr>
        <w:tc>
          <w:tcPr>
            <w:tcW w:w="5250" w:type="dxa"/>
          </w:tcPr>
          <w:p w14:paraId="3238FDBA" w14:textId="77777777" w:rsidR="002C2C5D" w:rsidRPr="0012655E" w:rsidRDefault="0012655E">
            <w:pPr>
              <w:spacing w:before="40" w:after="40"/>
              <w:ind w:left="115" w:hanging="115"/>
              <w:rPr>
                <w:lang w:val="es-PR"/>
              </w:rPr>
            </w:pPr>
            <w:r w:rsidRPr="0012655E">
              <w:rPr>
                <w:rFonts w:ascii="Arial" w:hAnsi="Arial" w:cs="Arial"/>
                <w:sz w:val="18"/>
                <w:szCs w:val="18"/>
                <w:lang w:val="es-PR"/>
              </w:rPr>
              <w:t>▪</w:t>
            </w:r>
            <w:r w:rsidRPr="0012655E">
              <w:rPr>
                <w:rFonts w:ascii="Arial" w:hAnsi="Arial" w:cs="Arial"/>
                <w:sz w:val="18"/>
                <w:szCs w:val="18"/>
                <w:lang w:val="es-PR"/>
              </w:rPr>
              <w:t xml:space="preserve"> Alineación a la Actualización de la </w:t>
            </w:r>
            <w:r w:rsidRPr="0012655E">
              <w:rPr>
                <w:rFonts w:ascii="Arial" w:hAnsi="Arial" w:cs="Arial"/>
                <w:sz w:val="18"/>
                <w:szCs w:val="18"/>
                <w:lang w:val="es-PR"/>
              </w:rPr>
              <w:t>Estrategia Institucional 2010-2020:</w:t>
            </w:r>
          </w:p>
        </w:tc>
        <w:tc>
          <w:tcPr>
            <w:tcW w:w="6750" w:type="dxa"/>
          </w:tcPr>
          <w:p w14:paraId="4F6A9359" w14:textId="77777777" w:rsidR="002C2C5D" w:rsidRPr="0012655E" w:rsidRDefault="0012655E">
            <w:pPr>
              <w:spacing w:before="40" w:after="40"/>
              <w:rPr>
                <w:lang w:val="es-PR"/>
              </w:rPr>
            </w:pPr>
            <w:r w:rsidRPr="0012655E">
              <w:rPr>
                <w:rFonts w:ascii="Arial" w:hAnsi="Arial" w:cs="Arial"/>
                <w:sz w:val="18"/>
                <w:szCs w:val="18"/>
                <w:lang w:val="es-PR"/>
              </w:rPr>
              <w:t>Inclusión social e igualdad; Productividad e innovación; Capacidad institucional y estado de derecho; Sostenibilidad ambiental; Igualdad de género</w:t>
            </w:r>
          </w:p>
        </w:tc>
      </w:tr>
      <w:tr w:rsidR="002C2C5D" w:rsidRPr="0012655E" w14:paraId="03120C42" w14:textId="77777777">
        <w:trPr>
          <w:jc w:val="center"/>
        </w:trPr>
        <w:tc>
          <w:tcPr>
            <w:tcW w:w="5250" w:type="dxa"/>
          </w:tcPr>
          <w:p w14:paraId="0E83724C" w14:textId="77777777" w:rsidR="002C2C5D" w:rsidRPr="0012655E" w:rsidRDefault="002C2C5D">
            <w:pPr>
              <w:rPr>
                <w:lang w:val="es-PR"/>
              </w:rPr>
            </w:pPr>
          </w:p>
        </w:tc>
        <w:tc>
          <w:tcPr>
            <w:tcW w:w="6750" w:type="dxa"/>
          </w:tcPr>
          <w:p w14:paraId="63C476E5" w14:textId="77777777" w:rsidR="002C2C5D" w:rsidRPr="0012655E" w:rsidRDefault="002C2C5D">
            <w:pPr>
              <w:rPr>
                <w:lang w:val="es-PR"/>
              </w:rPr>
            </w:pPr>
          </w:p>
        </w:tc>
      </w:tr>
    </w:tbl>
    <w:p w14:paraId="666CE404" w14:textId="77777777" w:rsidR="002C2C5D" w:rsidRPr="0012655E" w:rsidRDefault="0012655E">
      <w:pPr>
        <w:spacing w:before="120" w:after="120"/>
        <w:ind w:left="579" w:hanging="579"/>
        <w:rPr>
          <w:lang w:val="es-PR"/>
        </w:rPr>
      </w:pPr>
      <w:r w:rsidRPr="0012655E">
        <w:rPr>
          <w:rFonts w:ascii="Arial" w:hAnsi="Arial" w:cs="Arial"/>
          <w:b/>
          <w:lang w:val="es-PR"/>
        </w:rPr>
        <w:t>II.</w:t>
      </w:r>
      <w:r w:rsidRPr="0012655E">
        <w:rPr>
          <w:rFonts w:ascii="Arial" w:hAnsi="Arial" w:cs="Arial"/>
          <w:b/>
          <w:lang w:val="es-PR"/>
        </w:rPr>
        <w:tab/>
        <w:t>Objetivos y Justificación de la CT</w:t>
      </w:r>
    </w:p>
    <w:p w14:paraId="7A745574" w14:textId="77777777" w:rsidR="002C2C5D" w:rsidRPr="0012655E" w:rsidRDefault="0012655E">
      <w:pPr>
        <w:spacing w:before="120" w:after="120"/>
        <w:ind w:left="579" w:hanging="579"/>
        <w:jc w:val="both"/>
        <w:rPr>
          <w:lang w:val="es-PR"/>
        </w:rPr>
      </w:pPr>
      <w:r w:rsidRPr="0012655E">
        <w:rPr>
          <w:rFonts w:ascii="Arial" w:hAnsi="Arial" w:cs="Arial"/>
          <w:lang w:val="es-PR"/>
        </w:rPr>
        <w:t>2.1</w:t>
      </w:r>
      <w:r w:rsidRPr="0012655E">
        <w:rPr>
          <w:rFonts w:ascii="Arial" w:hAnsi="Arial" w:cs="Arial"/>
          <w:lang w:val="es-PR"/>
        </w:rPr>
        <w:tab/>
        <w:t xml:space="preserve">La CT tiene como </w:t>
      </w:r>
      <w:r w:rsidRPr="0012655E">
        <w:rPr>
          <w:rFonts w:ascii="Arial" w:hAnsi="Arial" w:cs="Arial"/>
          <w:lang w:val="es-PR"/>
        </w:rPr>
        <w:t>objetivo apoyar en la elaboración de estudios, documentos operativos, proyectos y otras actividades requeridas para la definición, planificación y preparación adecuada del Programa de Saneamiento Sustentable de Joinville - PROSAJ, y al mismo tiempo generar</w:t>
      </w:r>
      <w:r w:rsidRPr="0012655E">
        <w:rPr>
          <w:rFonts w:ascii="Arial" w:hAnsi="Arial" w:cs="Arial"/>
          <w:lang w:val="es-PR"/>
        </w:rPr>
        <w:t xml:space="preserve"> condiciones para una eficiente ejecución de este.</w:t>
      </w:r>
    </w:p>
    <w:p w14:paraId="5BFF387A" w14:textId="77777777" w:rsidR="002C2C5D" w:rsidRPr="0012655E" w:rsidRDefault="0012655E">
      <w:pPr>
        <w:spacing w:before="120" w:after="120"/>
        <w:ind w:left="579" w:hanging="579"/>
        <w:jc w:val="both"/>
        <w:rPr>
          <w:lang w:val="es-PR"/>
        </w:rPr>
      </w:pPr>
      <w:r w:rsidRPr="0012655E">
        <w:rPr>
          <w:rFonts w:ascii="Arial" w:hAnsi="Arial" w:cs="Arial"/>
          <w:lang w:val="es-PR"/>
        </w:rPr>
        <w:t>2.2</w:t>
      </w:r>
      <w:r w:rsidRPr="0012655E">
        <w:rPr>
          <w:rFonts w:ascii="Arial" w:hAnsi="Arial" w:cs="Arial"/>
          <w:lang w:val="es-PR"/>
        </w:rPr>
        <w:tab/>
        <w:t xml:space="preserve">El municipio de Joinville (MdJ) está ubicado en la Región Sur de Brasil, al norte del estado de Santa Catarina. Con 604.708 habitantes (IBGE para 2021), y es la mayor ciudad del estado. </w:t>
      </w:r>
    </w:p>
    <w:p w14:paraId="69268B8A" w14:textId="77777777" w:rsidR="002C2C5D" w:rsidRPr="0012655E" w:rsidRDefault="0012655E">
      <w:pPr>
        <w:spacing w:before="120" w:after="120"/>
        <w:ind w:left="579" w:hanging="579"/>
        <w:jc w:val="both"/>
        <w:rPr>
          <w:lang w:val="es-PR"/>
        </w:rPr>
      </w:pPr>
      <w:r w:rsidRPr="0012655E">
        <w:rPr>
          <w:rFonts w:ascii="Arial" w:hAnsi="Arial" w:cs="Arial"/>
          <w:lang w:val="es-PR"/>
        </w:rPr>
        <w:t>2.3</w:t>
      </w:r>
      <w:r w:rsidRPr="0012655E">
        <w:rPr>
          <w:rFonts w:ascii="Arial" w:hAnsi="Arial" w:cs="Arial"/>
          <w:lang w:val="es-PR"/>
        </w:rPr>
        <w:tab/>
        <w:t>En 2005, l</w:t>
      </w:r>
      <w:r w:rsidRPr="0012655E">
        <w:rPr>
          <w:rFonts w:ascii="Arial" w:hAnsi="Arial" w:cs="Arial"/>
          <w:lang w:val="es-PR"/>
        </w:rPr>
        <w:t>a Compañía Aguas de Joinville (CAJ) firmó un contrato de concesión para la prestación de los servicios públicos de agua y alcantarillado con el MdJ por un período de 20 años, renovable. En septiembre de 2019, se modificó la ley de creación de la CAJ para e</w:t>
      </w:r>
      <w:r w:rsidRPr="0012655E">
        <w:rPr>
          <w:rFonts w:ascii="Arial" w:hAnsi="Arial" w:cs="Arial"/>
          <w:lang w:val="es-PR"/>
        </w:rPr>
        <w:t>stablecer que la misma se constituye como una empresa pública de capital cerrado, integralmente perteneciente al MdJ, y que se mantiene la concesión de los servicios de agua y alcantarillado por tiempo indeterminado.  La CAJ es regulada por la Agencia Inte</w:t>
      </w:r>
      <w:r w:rsidRPr="0012655E">
        <w:rPr>
          <w:rFonts w:ascii="Arial" w:hAnsi="Arial" w:cs="Arial"/>
          <w:lang w:val="es-PR"/>
        </w:rPr>
        <w:t>rmunicipal de Regulación de Saneamiento (ARIS).</w:t>
      </w:r>
    </w:p>
    <w:p w14:paraId="06C42A91" w14:textId="77777777" w:rsidR="002C2C5D" w:rsidRPr="0012655E" w:rsidRDefault="0012655E">
      <w:pPr>
        <w:spacing w:before="120" w:after="120"/>
        <w:ind w:left="579" w:hanging="579"/>
        <w:jc w:val="both"/>
        <w:rPr>
          <w:lang w:val="es-PR"/>
        </w:rPr>
      </w:pPr>
      <w:r w:rsidRPr="0012655E">
        <w:rPr>
          <w:rFonts w:ascii="Arial" w:hAnsi="Arial" w:cs="Arial"/>
          <w:lang w:val="es-PR"/>
        </w:rPr>
        <w:lastRenderedPageBreak/>
        <w:t>2.4</w:t>
      </w:r>
      <w:r w:rsidRPr="0012655E">
        <w:rPr>
          <w:rFonts w:ascii="Arial" w:hAnsi="Arial" w:cs="Arial"/>
          <w:lang w:val="es-PR"/>
        </w:rPr>
        <w:tab/>
        <w:t>Al cierre de 2020, la cobertura del servicio de agua en el MdJ fue del 99,93% con la producción concentrada en sólo dos captaciones, entre ellas la del sistema Cubatão que produce el 75% del agua consumid</w:t>
      </w:r>
      <w:r w:rsidRPr="0012655E">
        <w:rPr>
          <w:rFonts w:ascii="Arial" w:hAnsi="Arial" w:cs="Arial"/>
          <w:lang w:val="es-PR"/>
        </w:rPr>
        <w:t>a en la ciudad, situación que compromete la sostenibilidad del abastecimiento en periodos de crisis hídrica, no solo por la poca flexibilidad operacional del sistema, sino también por el alto índice de degradación de la cuenca Por otro lado, la CAJ present</w:t>
      </w:r>
      <w:r w:rsidRPr="0012655E">
        <w:rPr>
          <w:rFonts w:ascii="Arial" w:hAnsi="Arial" w:cs="Arial"/>
          <w:lang w:val="es-PR"/>
        </w:rPr>
        <w:t>a importantes desafíos relacionados con la calidad del servicio, principalmente por insuficiente producción de agua, capacidad de almacenamiento y control de presión en la región sur, lo que genera un servicio discontinuo a la población (en los últimos 6 a</w:t>
      </w:r>
      <w:r w:rsidRPr="0012655E">
        <w:rPr>
          <w:rFonts w:ascii="Arial" w:hAnsi="Arial" w:cs="Arial"/>
          <w:lang w:val="es-PR"/>
        </w:rPr>
        <w:t>ños la CAJ registró una media de 299 reclamos por mes de falta de agua en esta región). Adicionalmente, presenta una baja eficiencia operacional con un alto índice de pérdidas de agua de 486 litros/conexión/día (lo que representa un promedio de 48%, frente</w:t>
      </w:r>
      <w:r w:rsidRPr="0012655E">
        <w:rPr>
          <w:rFonts w:ascii="Arial" w:hAnsi="Arial" w:cs="Arial"/>
          <w:lang w:val="es-PR"/>
        </w:rPr>
        <w:t xml:space="preserve"> al promedio nacional de 38%) y un consumo de energía de 0.51 Kwh/m3 que podría mejorar a 0.46 Kwh/m3 a partir de medidas de eficiencia energética. Con relación al alcantarillado sanitario, el nivel de recolección es solamente del 40,74% y el de tratamient</w:t>
      </w:r>
      <w:r w:rsidRPr="0012655E">
        <w:rPr>
          <w:rFonts w:ascii="Arial" w:hAnsi="Arial" w:cs="Arial"/>
          <w:lang w:val="es-PR"/>
        </w:rPr>
        <w:t xml:space="preserve">o de aguas residuales de 100% de las aguas </w:t>
      </w:r>
      <w:proofErr w:type="gramStart"/>
      <w:r w:rsidRPr="0012655E">
        <w:rPr>
          <w:rFonts w:ascii="Arial" w:hAnsi="Arial" w:cs="Arial"/>
          <w:lang w:val="es-PR"/>
        </w:rPr>
        <w:t>recolectadas ,</w:t>
      </w:r>
      <w:proofErr w:type="gramEnd"/>
      <w:r w:rsidRPr="0012655E">
        <w:rPr>
          <w:rFonts w:ascii="Arial" w:hAnsi="Arial" w:cs="Arial"/>
          <w:lang w:val="es-PR"/>
        </w:rPr>
        <w:t xml:space="preserve"> situación que afecta negativamente al medio ambiente y a la salud de la población.</w:t>
      </w:r>
    </w:p>
    <w:p w14:paraId="2EA1B2B3" w14:textId="77777777" w:rsidR="002C2C5D" w:rsidRPr="0012655E" w:rsidRDefault="0012655E">
      <w:pPr>
        <w:spacing w:before="120" w:after="120"/>
        <w:ind w:left="579" w:hanging="579"/>
        <w:jc w:val="both"/>
        <w:rPr>
          <w:lang w:val="es-PR"/>
        </w:rPr>
      </w:pPr>
      <w:r w:rsidRPr="0012655E">
        <w:rPr>
          <w:rFonts w:ascii="Arial" w:hAnsi="Arial" w:cs="Arial"/>
          <w:lang w:val="es-PR"/>
        </w:rPr>
        <w:t>2.5</w:t>
      </w:r>
      <w:r w:rsidRPr="0012655E">
        <w:rPr>
          <w:rFonts w:ascii="Arial" w:hAnsi="Arial" w:cs="Arial"/>
          <w:lang w:val="es-PR"/>
        </w:rPr>
        <w:tab/>
        <w:t xml:space="preserve">Descripción del Programa de Inversiones: El PROSAJ pretende financiar las siguientes intervenciones: (i) obras </w:t>
      </w:r>
      <w:r w:rsidRPr="0012655E">
        <w:rPr>
          <w:rFonts w:ascii="Arial" w:hAnsi="Arial" w:cs="Arial"/>
          <w:lang w:val="es-PR"/>
        </w:rPr>
        <w:t>de abastecimiento de agua con las cuales se ampliará el sistema de agua existente, con la implementación de una nueva captación en el río Piraí y la ejecución de obras en estaciones de bombeo, planta de tratamiento, aductoras de agua cruda y tratada y rese</w:t>
      </w:r>
      <w:r w:rsidRPr="0012655E">
        <w:rPr>
          <w:rFonts w:ascii="Arial" w:hAnsi="Arial" w:cs="Arial"/>
          <w:lang w:val="es-PR"/>
        </w:rPr>
        <w:t>rvorio; (ii) obras de alcantarillado sanitario, con las cuales se busca atender a varios barrios del MdJ. Se evaluarán las posibilidades de implementar proyectos de infraestructura verde y medidas complementarias de economía circular; y (iii) medidas de di</w:t>
      </w:r>
      <w:r w:rsidRPr="0012655E">
        <w:rPr>
          <w:rFonts w:ascii="Arial" w:hAnsi="Arial" w:cs="Arial"/>
          <w:lang w:val="es-PR"/>
        </w:rPr>
        <w:t>sminución de las pérdidas de agua, de incremento de la eficiencia en el consumo de energía eléctrica y de recuperación y modernización de las instalaciones operacionales de agua y alcantarillado. Se ha previsto que el Programa sea ejecutado en un periodo d</w:t>
      </w:r>
      <w:r w:rsidRPr="0012655E">
        <w:rPr>
          <w:rFonts w:ascii="Arial" w:hAnsi="Arial" w:cs="Arial"/>
          <w:lang w:val="es-PR"/>
        </w:rPr>
        <w:t>e 5 años. El costo total del Programa, preliminarmente estimado, es de US$ 136.000.000,00, de los cuales US$ 128.000.000,00 serían captados vía operación de crédito con el BID, donde la CAJ aportaría US$ 8.000.000,00.</w:t>
      </w:r>
    </w:p>
    <w:p w14:paraId="0C515572" w14:textId="77777777" w:rsidR="002C2C5D" w:rsidRPr="0012655E" w:rsidRDefault="0012655E">
      <w:pPr>
        <w:spacing w:before="120" w:after="120"/>
        <w:ind w:left="579" w:hanging="579"/>
        <w:rPr>
          <w:lang w:val="es-PR"/>
        </w:rPr>
      </w:pPr>
      <w:r w:rsidRPr="0012655E">
        <w:rPr>
          <w:rFonts w:ascii="Arial" w:hAnsi="Arial" w:cs="Arial"/>
          <w:b/>
          <w:lang w:val="es-PR"/>
        </w:rPr>
        <w:t>III.</w:t>
      </w:r>
      <w:r w:rsidRPr="0012655E">
        <w:rPr>
          <w:rFonts w:ascii="Arial" w:hAnsi="Arial" w:cs="Arial"/>
          <w:b/>
          <w:lang w:val="es-PR"/>
        </w:rPr>
        <w:tab/>
        <w:t xml:space="preserve">Descripción de las Actividades y </w:t>
      </w:r>
      <w:r w:rsidRPr="0012655E">
        <w:rPr>
          <w:rFonts w:ascii="Arial" w:hAnsi="Arial" w:cs="Arial"/>
          <w:b/>
          <w:lang w:val="es-PR"/>
        </w:rPr>
        <w:t>Resultados</w:t>
      </w:r>
    </w:p>
    <w:p w14:paraId="2747B6C8" w14:textId="77777777" w:rsidR="002C2C5D" w:rsidRPr="0012655E" w:rsidRDefault="0012655E">
      <w:pPr>
        <w:spacing w:before="120" w:after="120"/>
        <w:ind w:left="579" w:hanging="579"/>
        <w:jc w:val="both"/>
        <w:rPr>
          <w:lang w:val="es-PR"/>
        </w:rPr>
      </w:pPr>
      <w:r w:rsidRPr="0012655E">
        <w:rPr>
          <w:rFonts w:ascii="Arial" w:hAnsi="Arial" w:cs="Arial"/>
          <w:lang w:val="es-PR"/>
        </w:rPr>
        <w:t>3.1</w:t>
      </w:r>
      <w:r w:rsidRPr="0012655E">
        <w:rPr>
          <w:rFonts w:ascii="Arial" w:hAnsi="Arial" w:cs="Arial"/>
          <w:lang w:val="es-PR"/>
        </w:rPr>
        <w:tab/>
      </w:r>
      <w:r w:rsidRPr="0012655E">
        <w:rPr>
          <w:rFonts w:ascii="Arial" w:hAnsi="Arial" w:cs="Arial"/>
          <w:b/>
          <w:lang w:val="es-PR"/>
        </w:rPr>
        <w:t xml:space="preserve">Componente I: Apoyo en la Preparación del Programa. </w:t>
      </w:r>
      <w:r w:rsidRPr="0012655E">
        <w:rPr>
          <w:rFonts w:ascii="Arial" w:hAnsi="Arial" w:cs="Arial"/>
          <w:lang w:val="es-PR"/>
        </w:rPr>
        <w:t xml:space="preserve">Actividad 1.1: Realización de los estudios ambientales y sociales, incluyendo Análisis Ambientales y Sociales y también una consultoría de análisis de biodiversidad; actividad 1.2: </w:t>
      </w:r>
      <w:r w:rsidRPr="0012655E">
        <w:rPr>
          <w:rFonts w:ascii="Arial" w:hAnsi="Arial" w:cs="Arial"/>
          <w:lang w:val="es-PR"/>
        </w:rPr>
        <w:t>Consultorías de evaluaciones de factibilidad financiera, económica e institucional de las obras; actividad 1.3: Consultorías para el desarrollo de instrumentos operativos, técnicos y de planificación, como: ROP, principales instrumentos de planificación fí</w:t>
      </w:r>
      <w:r w:rsidRPr="0012655E">
        <w:rPr>
          <w:rFonts w:ascii="Arial" w:hAnsi="Arial" w:cs="Arial"/>
          <w:lang w:val="es-PR"/>
        </w:rPr>
        <w:t>sica y financiera; y análisis de viabilidad técnico.</w:t>
      </w:r>
    </w:p>
    <w:p w14:paraId="053BCB43" w14:textId="77777777" w:rsidR="002C2C5D" w:rsidRPr="0012655E" w:rsidRDefault="0012655E">
      <w:pPr>
        <w:spacing w:before="120" w:after="120"/>
        <w:ind w:left="579" w:hanging="579"/>
        <w:jc w:val="both"/>
        <w:rPr>
          <w:lang w:val="es-PR"/>
        </w:rPr>
      </w:pPr>
      <w:r w:rsidRPr="0012655E">
        <w:rPr>
          <w:rFonts w:ascii="Arial" w:hAnsi="Arial" w:cs="Arial"/>
          <w:lang w:val="es-PR"/>
        </w:rPr>
        <w:t>3.2</w:t>
      </w:r>
      <w:r w:rsidRPr="0012655E">
        <w:rPr>
          <w:rFonts w:ascii="Arial" w:hAnsi="Arial" w:cs="Arial"/>
          <w:lang w:val="es-PR"/>
        </w:rPr>
        <w:tab/>
      </w:r>
      <w:r w:rsidRPr="0012655E">
        <w:rPr>
          <w:rFonts w:ascii="Arial" w:hAnsi="Arial" w:cs="Arial"/>
          <w:b/>
          <w:lang w:val="es-PR"/>
        </w:rPr>
        <w:t xml:space="preserve">Componente II: Apoyo Técnico Institucional a la CAJ. </w:t>
      </w:r>
      <w:r w:rsidRPr="0012655E">
        <w:rPr>
          <w:rFonts w:ascii="Arial" w:hAnsi="Arial" w:cs="Arial"/>
          <w:lang w:val="es-PR"/>
        </w:rPr>
        <w:t>Se financiarán consultorías para el desarrollo de estudios complementarios de medidas transversales como: estudios y pilotos para incluir innovaci</w:t>
      </w:r>
      <w:r w:rsidRPr="0012655E">
        <w:rPr>
          <w:rFonts w:ascii="Arial" w:hAnsi="Arial" w:cs="Arial"/>
          <w:lang w:val="es-PR"/>
        </w:rPr>
        <w:t>ón en el programa, estudios socioambientales de la CAJ, mejorías operacionales y otros, que consecuentemente mejoren los impactos de las intervenciones, apoyando el desarrollo sostenible y con equidad en el ámbito del Programa.</w:t>
      </w:r>
    </w:p>
    <w:p w14:paraId="61F16A15" w14:textId="77777777" w:rsidR="002C2C5D" w:rsidRDefault="0012655E">
      <w:pPr>
        <w:spacing w:before="120" w:after="120"/>
        <w:ind w:left="579" w:hanging="579"/>
      </w:pPr>
      <w:r>
        <w:rPr>
          <w:rFonts w:ascii="Arial" w:hAnsi="Arial" w:cs="Arial"/>
          <w:b/>
        </w:rPr>
        <w:t>IV.</w:t>
      </w:r>
      <w:r>
        <w:rPr>
          <w:rFonts w:ascii="Arial" w:hAnsi="Arial" w:cs="Arial"/>
          <w:b/>
        </w:rPr>
        <w:tab/>
      </w:r>
      <w:proofErr w:type="spellStart"/>
      <w:r>
        <w:rPr>
          <w:rFonts w:ascii="Arial" w:hAnsi="Arial" w:cs="Arial"/>
          <w:b/>
        </w:rPr>
        <w:t>Presupuesto</w:t>
      </w:r>
      <w:proofErr w:type="spellEnd"/>
    </w:p>
    <w:p w14:paraId="057F8FEF" w14:textId="77777777" w:rsidR="002C2C5D" w:rsidRDefault="0012655E">
      <w:pPr>
        <w:spacing w:before="240" w:after="120"/>
        <w:jc w:val="center"/>
      </w:pPr>
      <w:proofErr w:type="spellStart"/>
      <w:r>
        <w:rPr>
          <w:rFonts w:ascii="Arial" w:hAnsi="Arial" w:cs="Arial"/>
          <w:b/>
          <w:sz w:val="18"/>
          <w:szCs w:val="18"/>
        </w:rPr>
        <w:t>Presupuesto</w:t>
      </w:r>
      <w:proofErr w:type="spellEnd"/>
      <w:r>
        <w:rPr>
          <w:rFonts w:ascii="Arial" w:hAnsi="Arial" w:cs="Arial"/>
          <w:b/>
          <w:sz w:val="18"/>
          <w:szCs w:val="18"/>
        </w:rPr>
        <w:t xml:space="preserve"> </w:t>
      </w:r>
      <w:proofErr w:type="spellStart"/>
      <w:r>
        <w:rPr>
          <w:rFonts w:ascii="Arial" w:hAnsi="Arial" w:cs="Arial"/>
          <w:b/>
          <w:sz w:val="18"/>
          <w:szCs w:val="18"/>
        </w:rPr>
        <w:t>Indicativo</w:t>
      </w:r>
      <w:proofErr w:type="spellEnd"/>
    </w:p>
    <w:tbl>
      <w:tblPr>
        <w:tblStyle w:val="TableGrid"/>
        <w:tblW w:w="5000" w:type="auto"/>
        <w:tblLook w:val="04A0" w:firstRow="1" w:lastRow="0" w:firstColumn="1" w:lastColumn="0" w:noHBand="0" w:noVBand="1"/>
      </w:tblPr>
      <w:tblGrid>
        <w:gridCol w:w="2297"/>
        <w:gridCol w:w="2269"/>
        <w:gridCol w:w="2218"/>
        <w:gridCol w:w="2232"/>
      </w:tblGrid>
      <w:tr w:rsidR="002C2C5D" w14:paraId="2423620B" w14:textId="77777777">
        <w:tc>
          <w:tcPr>
            <w:tcW w:w="2310" w:type="dxa"/>
            <w:vAlign w:val="center"/>
          </w:tcPr>
          <w:p w14:paraId="09C1714F" w14:textId="77777777" w:rsidR="002C2C5D" w:rsidRDefault="0012655E">
            <w:pPr>
              <w:spacing w:before="40" w:after="40"/>
              <w:jc w:val="center"/>
            </w:pPr>
            <w:proofErr w:type="spellStart"/>
            <w:r>
              <w:rPr>
                <w:rFonts w:ascii="Arial" w:hAnsi="Arial" w:cs="Arial"/>
                <w:b/>
                <w:sz w:val="18"/>
                <w:szCs w:val="18"/>
              </w:rPr>
              <w:t>Actividad</w:t>
            </w:r>
            <w:proofErr w:type="spellEnd"/>
            <w:r>
              <w:rPr>
                <w:rFonts w:ascii="Arial" w:hAnsi="Arial" w:cs="Arial"/>
                <w:b/>
                <w:sz w:val="18"/>
                <w:szCs w:val="18"/>
              </w:rPr>
              <w:t>/</w:t>
            </w:r>
            <w:proofErr w:type="spellStart"/>
            <w:r>
              <w:rPr>
                <w:rFonts w:ascii="Arial" w:hAnsi="Arial" w:cs="Arial"/>
                <w:b/>
                <w:sz w:val="18"/>
                <w:szCs w:val="18"/>
              </w:rPr>
              <w:t>Componente</w:t>
            </w:r>
            <w:proofErr w:type="spellEnd"/>
          </w:p>
        </w:tc>
        <w:tc>
          <w:tcPr>
            <w:tcW w:w="2310" w:type="dxa"/>
          </w:tcPr>
          <w:p w14:paraId="5D24A0FD" w14:textId="77777777" w:rsidR="002C2C5D" w:rsidRDefault="0012655E">
            <w:pPr>
              <w:spacing w:before="40" w:after="40"/>
              <w:jc w:val="center"/>
            </w:pPr>
            <w:r>
              <w:rPr>
                <w:rFonts w:ascii="Arial" w:hAnsi="Arial" w:cs="Arial"/>
                <w:b/>
                <w:sz w:val="18"/>
                <w:szCs w:val="18"/>
              </w:rPr>
              <w:t>BID/</w:t>
            </w:r>
            <w:proofErr w:type="spellStart"/>
            <w:r>
              <w:rPr>
                <w:rFonts w:ascii="Arial" w:hAnsi="Arial" w:cs="Arial"/>
                <w:b/>
                <w:sz w:val="18"/>
                <w:szCs w:val="18"/>
              </w:rPr>
              <w:t>Financiamiento</w:t>
            </w:r>
            <w:proofErr w:type="spellEnd"/>
            <w:r>
              <w:rPr>
                <w:rFonts w:ascii="Arial" w:hAnsi="Arial" w:cs="Arial"/>
                <w:b/>
                <w:sz w:val="18"/>
                <w:szCs w:val="18"/>
              </w:rPr>
              <w:t xml:space="preserve"> </w:t>
            </w:r>
            <w:proofErr w:type="spellStart"/>
            <w:r>
              <w:rPr>
                <w:rFonts w:ascii="Arial" w:hAnsi="Arial" w:cs="Arial"/>
                <w:b/>
                <w:sz w:val="18"/>
                <w:szCs w:val="18"/>
              </w:rPr>
              <w:t>por</w:t>
            </w:r>
            <w:proofErr w:type="spellEnd"/>
            <w:r>
              <w:rPr>
                <w:rFonts w:ascii="Arial" w:hAnsi="Arial" w:cs="Arial"/>
                <w:b/>
                <w:sz w:val="18"/>
                <w:szCs w:val="18"/>
              </w:rPr>
              <w:t xml:space="preserve"> </w:t>
            </w:r>
            <w:proofErr w:type="spellStart"/>
            <w:r>
              <w:rPr>
                <w:rFonts w:ascii="Arial" w:hAnsi="Arial" w:cs="Arial"/>
                <w:b/>
                <w:sz w:val="18"/>
                <w:szCs w:val="18"/>
              </w:rPr>
              <w:t>Fondo</w:t>
            </w:r>
            <w:proofErr w:type="spellEnd"/>
          </w:p>
        </w:tc>
        <w:tc>
          <w:tcPr>
            <w:tcW w:w="2310" w:type="dxa"/>
          </w:tcPr>
          <w:p w14:paraId="6140FA13" w14:textId="77777777" w:rsidR="002C2C5D" w:rsidRDefault="0012655E">
            <w:pPr>
              <w:spacing w:before="40" w:after="40"/>
              <w:jc w:val="center"/>
            </w:pPr>
            <w:proofErr w:type="spellStart"/>
            <w:r>
              <w:rPr>
                <w:rFonts w:ascii="Arial" w:hAnsi="Arial" w:cs="Arial"/>
                <w:b/>
                <w:sz w:val="18"/>
                <w:szCs w:val="18"/>
              </w:rPr>
              <w:t>Contrapartida</w:t>
            </w:r>
            <w:proofErr w:type="spellEnd"/>
            <w:r>
              <w:rPr>
                <w:rFonts w:ascii="Arial" w:hAnsi="Arial" w:cs="Arial"/>
                <w:b/>
                <w:sz w:val="18"/>
                <w:szCs w:val="18"/>
              </w:rPr>
              <w:t xml:space="preserve"> Local</w:t>
            </w:r>
          </w:p>
        </w:tc>
        <w:tc>
          <w:tcPr>
            <w:tcW w:w="2310" w:type="dxa"/>
          </w:tcPr>
          <w:p w14:paraId="14C6A7E3" w14:textId="77777777" w:rsidR="002C2C5D" w:rsidRDefault="0012655E">
            <w:pPr>
              <w:spacing w:before="40" w:after="40"/>
              <w:jc w:val="center"/>
            </w:pPr>
            <w:proofErr w:type="spellStart"/>
            <w:r>
              <w:rPr>
                <w:rFonts w:ascii="Arial" w:hAnsi="Arial" w:cs="Arial"/>
                <w:b/>
                <w:sz w:val="18"/>
                <w:szCs w:val="18"/>
              </w:rPr>
              <w:t>Financiamiento</w:t>
            </w:r>
            <w:proofErr w:type="spellEnd"/>
            <w:r>
              <w:rPr>
                <w:rFonts w:ascii="Arial" w:hAnsi="Arial" w:cs="Arial"/>
                <w:b/>
                <w:sz w:val="18"/>
                <w:szCs w:val="18"/>
              </w:rPr>
              <w:t xml:space="preserve"> Total</w:t>
            </w:r>
          </w:p>
        </w:tc>
      </w:tr>
      <w:tr w:rsidR="002C2C5D" w14:paraId="4910D122" w14:textId="77777777">
        <w:tc>
          <w:tcPr>
            <w:tcW w:w="2310" w:type="dxa"/>
            <w:vAlign w:val="center"/>
          </w:tcPr>
          <w:p w14:paraId="7C750AC5" w14:textId="77777777" w:rsidR="002C2C5D" w:rsidRPr="0012655E" w:rsidRDefault="0012655E">
            <w:pPr>
              <w:spacing w:before="40" w:after="40"/>
              <w:rPr>
                <w:lang w:val="es-PR"/>
              </w:rPr>
            </w:pPr>
            <w:r w:rsidRPr="0012655E">
              <w:rPr>
                <w:rFonts w:ascii="Arial" w:hAnsi="Arial" w:cs="Arial"/>
                <w:sz w:val="18"/>
                <w:szCs w:val="18"/>
                <w:lang w:val="es-PR"/>
              </w:rPr>
              <w:t>Apoyo en la Preparación del Programa</w:t>
            </w:r>
          </w:p>
        </w:tc>
        <w:tc>
          <w:tcPr>
            <w:tcW w:w="2310" w:type="dxa"/>
            <w:vAlign w:val="center"/>
          </w:tcPr>
          <w:p w14:paraId="312B3269" w14:textId="77777777" w:rsidR="002C2C5D" w:rsidRDefault="0012655E">
            <w:pPr>
              <w:spacing w:before="40" w:after="40"/>
              <w:jc w:val="right"/>
            </w:pPr>
            <w:r>
              <w:rPr>
                <w:rFonts w:ascii="Arial" w:hAnsi="Arial" w:cs="Arial"/>
                <w:sz w:val="18"/>
                <w:szCs w:val="18"/>
              </w:rPr>
              <w:t>US$92,000.00</w:t>
            </w:r>
          </w:p>
        </w:tc>
        <w:tc>
          <w:tcPr>
            <w:tcW w:w="2310" w:type="dxa"/>
            <w:vAlign w:val="center"/>
          </w:tcPr>
          <w:p w14:paraId="6139AFF2" w14:textId="77777777" w:rsidR="002C2C5D" w:rsidRDefault="0012655E">
            <w:pPr>
              <w:spacing w:before="40" w:after="40"/>
              <w:jc w:val="right"/>
            </w:pPr>
            <w:r>
              <w:rPr>
                <w:rFonts w:ascii="Arial" w:hAnsi="Arial" w:cs="Arial"/>
                <w:sz w:val="18"/>
                <w:szCs w:val="18"/>
              </w:rPr>
              <w:t>US$0.00</w:t>
            </w:r>
          </w:p>
        </w:tc>
        <w:tc>
          <w:tcPr>
            <w:tcW w:w="2310" w:type="dxa"/>
            <w:vAlign w:val="center"/>
          </w:tcPr>
          <w:p w14:paraId="7D1FD3E4" w14:textId="77777777" w:rsidR="002C2C5D" w:rsidRDefault="0012655E">
            <w:pPr>
              <w:spacing w:before="40" w:after="40"/>
              <w:jc w:val="right"/>
            </w:pPr>
            <w:r>
              <w:rPr>
                <w:rFonts w:ascii="Arial" w:hAnsi="Arial" w:cs="Arial"/>
                <w:sz w:val="18"/>
                <w:szCs w:val="18"/>
              </w:rPr>
              <w:t>US$92,000.00</w:t>
            </w:r>
          </w:p>
        </w:tc>
      </w:tr>
      <w:tr w:rsidR="002C2C5D" w14:paraId="4771FAE7" w14:textId="77777777">
        <w:tc>
          <w:tcPr>
            <w:tcW w:w="2310" w:type="dxa"/>
            <w:vAlign w:val="center"/>
          </w:tcPr>
          <w:p w14:paraId="2533D035" w14:textId="77777777" w:rsidR="002C2C5D" w:rsidRPr="0012655E" w:rsidRDefault="0012655E">
            <w:pPr>
              <w:spacing w:before="40" w:after="40"/>
              <w:rPr>
                <w:lang w:val="es-PR"/>
              </w:rPr>
            </w:pPr>
            <w:r w:rsidRPr="0012655E">
              <w:rPr>
                <w:rFonts w:ascii="Arial" w:hAnsi="Arial" w:cs="Arial"/>
                <w:sz w:val="18"/>
                <w:szCs w:val="18"/>
                <w:lang w:val="es-PR"/>
              </w:rPr>
              <w:lastRenderedPageBreak/>
              <w:t>Apoyo Técnico Institucional a la CAJ</w:t>
            </w:r>
          </w:p>
        </w:tc>
        <w:tc>
          <w:tcPr>
            <w:tcW w:w="2310" w:type="dxa"/>
            <w:vAlign w:val="center"/>
          </w:tcPr>
          <w:p w14:paraId="4FC74656" w14:textId="77777777" w:rsidR="002C2C5D" w:rsidRDefault="0012655E">
            <w:pPr>
              <w:spacing w:before="40" w:after="40"/>
              <w:jc w:val="right"/>
            </w:pPr>
            <w:r>
              <w:rPr>
                <w:rFonts w:ascii="Arial" w:hAnsi="Arial" w:cs="Arial"/>
                <w:sz w:val="18"/>
                <w:szCs w:val="18"/>
              </w:rPr>
              <w:t>US$108,000.00</w:t>
            </w:r>
          </w:p>
        </w:tc>
        <w:tc>
          <w:tcPr>
            <w:tcW w:w="2310" w:type="dxa"/>
            <w:vAlign w:val="center"/>
          </w:tcPr>
          <w:p w14:paraId="2AE23D37" w14:textId="77777777" w:rsidR="002C2C5D" w:rsidRDefault="0012655E">
            <w:pPr>
              <w:spacing w:before="40" w:after="40"/>
              <w:jc w:val="right"/>
            </w:pPr>
            <w:r>
              <w:rPr>
                <w:rFonts w:ascii="Arial" w:hAnsi="Arial" w:cs="Arial"/>
                <w:sz w:val="18"/>
                <w:szCs w:val="18"/>
              </w:rPr>
              <w:t>US$0.00</w:t>
            </w:r>
          </w:p>
        </w:tc>
        <w:tc>
          <w:tcPr>
            <w:tcW w:w="2310" w:type="dxa"/>
            <w:vAlign w:val="center"/>
          </w:tcPr>
          <w:p w14:paraId="44533701" w14:textId="77777777" w:rsidR="002C2C5D" w:rsidRDefault="0012655E">
            <w:pPr>
              <w:spacing w:before="40" w:after="40"/>
              <w:jc w:val="right"/>
            </w:pPr>
            <w:r>
              <w:rPr>
                <w:rFonts w:ascii="Arial" w:hAnsi="Arial" w:cs="Arial"/>
                <w:sz w:val="18"/>
                <w:szCs w:val="18"/>
              </w:rPr>
              <w:t>US$108,000.00</w:t>
            </w:r>
          </w:p>
        </w:tc>
      </w:tr>
      <w:tr w:rsidR="002C2C5D" w14:paraId="74611268" w14:textId="77777777">
        <w:tc>
          <w:tcPr>
            <w:tcW w:w="2310" w:type="dxa"/>
            <w:vAlign w:val="center"/>
          </w:tcPr>
          <w:p w14:paraId="7AB34C14" w14:textId="77777777" w:rsidR="002C2C5D" w:rsidRDefault="0012655E">
            <w:pPr>
              <w:spacing w:before="40" w:after="40"/>
            </w:pPr>
            <w:r>
              <w:rPr>
                <w:rFonts w:ascii="Arial" w:hAnsi="Arial" w:cs="Arial"/>
                <w:b/>
                <w:sz w:val="18"/>
                <w:szCs w:val="18"/>
              </w:rPr>
              <w:t>Total</w:t>
            </w:r>
          </w:p>
        </w:tc>
        <w:tc>
          <w:tcPr>
            <w:tcW w:w="2310" w:type="dxa"/>
            <w:vAlign w:val="center"/>
          </w:tcPr>
          <w:p w14:paraId="4B7A8524" w14:textId="77777777" w:rsidR="002C2C5D" w:rsidRDefault="0012655E">
            <w:pPr>
              <w:spacing w:before="40" w:after="40"/>
              <w:jc w:val="right"/>
            </w:pPr>
            <w:r>
              <w:rPr>
                <w:rFonts w:ascii="Arial" w:hAnsi="Arial" w:cs="Arial"/>
                <w:b/>
                <w:sz w:val="18"/>
                <w:szCs w:val="18"/>
              </w:rPr>
              <w:t>US$200,000.00</w:t>
            </w:r>
          </w:p>
        </w:tc>
        <w:tc>
          <w:tcPr>
            <w:tcW w:w="2310" w:type="dxa"/>
            <w:vAlign w:val="center"/>
          </w:tcPr>
          <w:p w14:paraId="365282E1" w14:textId="77777777" w:rsidR="002C2C5D" w:rsidRDefault="0012655E">
            <w:pPr>
              <w:spacing w:before="40" w:after="40"/>
              <w:jc w:val="right"/>
            </w:pPr>
            <w:r>
              <w:rPr>
                <w:rFonts w:ascii="Arial" w:hAnsi="Arial" w:cs="Arial"/>
                <w:b/>
                <w:sz w:val="18"/>
                <w:szCs w:val="18"/>
              </w:rPr>
              <w:t>US$0.00</w:t>
            </w:r>
          </w:p>
        </w:tc>
        <w:tc>
          <w:tcPr>
            <w:tcW w:w="2310" w:type="dxa"/>
            <w:vAlign w:val="center"/>
          </w:tcPr>
          <w:p w14:paraId="1673D28C" w14:textId="77777777" w:rsidR="002C2C5D" w:rsidRDefault="0012655E">
            <w:pPr>
              <w:spacing w:before="40" w:after="40"/>
              <w:jc w:val="right"/>
            </w:pPr>
            <w:r>
              <w:rPr>
                <w:rFonts w:ascii="Arial" w:hAnsi="Arial" w:cs="Arial"/>
                <w:b/>
                <w:sz w:val="18"/>
                <w:szCs w:val="18"/>
              </w:rPr>
              <w:t>US$200,000.00</w:t>
            </w:r>
          </w:p>
        </w:tc>
      </w:tr>
    </w:tbl>
    <w:p w14:paraId="4B0C1FE9" w14:textId="77777777" w:rsidR="002C2C5D" w:rsidRPr="0012655E" w:rsidRDefault="0012655E">
      <w:pPr>
        <w:spacing w:before="120" w:after="120"/>
        <w:ind w:left="579" w:hanging="579"/>
        <w:rPr>
          <w:lang w:val="es-PR"/>
        </w:rPr>
      </w:pPr>
      <w:r w:rsidRPr="0012655E">
        <w:rPr>
          <w:rFonts w:ascii="Arial" w:hAnsi="Arial" w:cs="Arial"/>
          <w:b/>
          <w:lang w:val="es-PR"/>
        </w:rPr>
        <w:t>V.</w:t>
      </w:r>
      <w:r w:rsidRPr="0012655E">
        <w:rPr>
          <w:rFonts w:ascii="Arial" w:hAnsi="Arial" w:cs="Arial"/>
          <w:b/>
          <w:lang w:val="es-PR"/>
        </w:rPr>
        <w:tab/>
        <w:t>Agencia Ejecutora y Estructura de Ejecución</w:t>
      </w:r>
    </w:p>
    <w:p w14:paraId="2B30F880" w14:textId="77777777" w:rsidR="002C2C5D" w:rsidRPr="0012655E" w:rsidRDefault="0012655E">
      <w:pPr>
        <w:spacing w:before="200" w:after="200"/>
        <w:ind w:left="579" w:hanging="579"/>
        <w:jc w:val="both"/>
        <w:rPr>
          <w:lang w:val="es-PR"/>
        </w:rPr>
      </w:pPr>
      <w:r w:rsidRPr="0012655E">
        <w:rPr>
          <w:rFonts w:ascii="Arial" w:hAnsi="Arial" w:cs="Arial"/>
          <w:lang w:val="es-PR"/>
        </w:rPr>
        <w:t>5.1</w:t>
      </w:r>
      <w:r w:rsidRPr="0012655E">
        <w:rPr>
          <w:rFonts w:ascii="Arial" w:hAnsi="Arial" w:cs="Arial"/>
          <w:lang w:val="es-PR"/>
        </w:rPr>
        <w:tab/>
        <w:t>A solicitud del beneficiario, las actividades financiadas bajo la CT serán ejecutadas por el Banco, a través de la División INE/WSA. Además, las ac</w:t>
      </w:r>
      <w:r w:rsidRPr="0012655E">
        <w:rPr>
          <w:rFonts w:ascii="Arial" w:hAnsi="Arial" w:cs="Arial"/>
          <w:lang w:val="es-PR"/>
        </w:rPr>
        <w:t>tividades propuestas son congruentes con la estrategia y programa de país del Banco (en su sección 2.7).</w:t>
      </w:r>
    </w:p>
    <w:p w14:paraId="10BA0B96" w14:textId="77777777" w:rsidR="002C2C5D" w:rsidRPr="0012655E" w:rsidRDefault="0012655E">
      <w:pPr>
        <w:spacing w:before="200" w:after="200"/>
        <w:ind w:left="579" w:hanging="579"/>
        <w:jc w:val="both"/>
        <w:rPr>
          <w:lang w:val="es-PR"/>
        </w:rPr>
      </w:pPr>
      <w:r w:rsidRPr="0012655E">
        <w:rPr>
          <w:rFonts w:ascii="Arial" w:hAnsi="Arial" w:cs="Arial"/>
          <w:lang w:val="es-PR"/>
        </w:rPr>
        <w:t>5.2</w:t>
      </w:r>
      <w:r w:rsidRPr="0012655E">
        <w:rPr>
          <w:rFonts w:ascii="Arial" w:hAnsi="Arial" w:cs="Arial"/>
          <w:lang w:val="es-PR"/>
        </w:rPr>
        <w:tab/>
        <w:t>Esta distribución en la ejecución permitirá aumentar la eficiencia y eficacia en la implementación de estas acciones, contribuyendo a evitar retras</w:t>
      </w:r>
      <w:r w:rsidRPr="0012655E">
        <w:rPr>
          <w:rFonts w:ascii="Arial" w:hAnsi="Arial" w:cs="Arial"/>
          <w:lang w:val="es-PR"/>
        </w:rPr>
        <w:t>os y a acelerar los tiempos de preparación de la operación.</w:t>
      </w:r>
    </w:p>
    <w:p w14:paraId="4C5B3F1A" w14:textId="77777777" w:rsidR="002C2C5D" w:rsidRPr="0012655E" w:rsidRDefault="0012655E">
      <w:pPr>
        <w:spacing w:before="200" w:after="200"/>
        <w:ind w:left="579" w:hanging="579"/>
        <w:jc w:val="both"/>
        <w:rPr>
          <w:lang w:val="es-PR"/>
        </w:rPr>
      </w:pPr>
      <w:r w:rsidRPr="0012655E">
        <w:rPr>
          <w:rFonts w:ascii="Arial" w:hAnsi="Arial" w:cs="Arial"/>
          <w:lang w:val="es-PR"/>
        </w:rPr>
        <w:t>5.3</w:t>
      </w:r>
      <w:r w:rsidRPr="0012655E">
        <w:rPr>
          <w:rFonts w:ascii="Arial" w:hAnsi="Arial" w:cs="Arial"/>
          <w:lang w:val="es-PR"/>
        </w:rPr>
        <w:tab/>
        <w:t>Se promoverá la creación y funcionamiento regular de un comité de coordinación entre las unidades a cargo de la ejecución de las futuras obras de infraestructura y de la operación y mantenimie</w:t>
      </w:r>
      <w:r w:rsidRPr="0012655E">
        <w:rPr>
          <w:rFonts w:ascii="Arial" w:hAnsi="Arial" w:cs="Arial"/>
          <w:lang w:val="es-PR"/>
        </w:rPr>
        <w:t>nto de estas, todas bajo el liderazgo de la CAJ.</w:t>
      </w:r>
    </w:p>
    <w:p w14:paraId="63909878" w14:textId="77777777" w:rsidR="002C2C5D" w:rsidRPr="0012655E" w:rsidRDefault="0012655E">
      <w:pPr>
        <w:spacing w:before="200" w:after="200"/>
        <w:ind w:left="579" w:hanging="579"/>
        <w:jc w:val="both"/>
        <w:rPr>
          <w:lang w:val="es-PR"/>
        </w:rPr>
      </w:pPr>
      <w:r w:rsidRPr="0012655E">
        <w:rPr>
          <w:rFonts w:ascii="Arial" w:hAnsi="Arial" w:cs="Arial"/>
          <w:lang w:val="es-PR"/>
        </w:rPr>
        <w:t>5.4</w:t>
      </w:r>
      <w:r w:rsidRPr="0012655E">
        <w:rPr>
          <w:rFonts w:ascii="Arial" w:hAnsi="Arial" w:cs="Arial"/>
          <w:lang w:val="es-PR"/>
        </w:rPr>
        <w:tab/>
        <w:t xml:space="preserve">El Banco llevará a cabo las contrataciones de conformidad con las Políticas de Adquisiciones para Bienes y Obras financiadas por el BID (GN-2349-9) y las Políticas para la Contratación de </w:t>
      </w:r>
      <w:r w:rsidRPr="0012655E">
        <w:rPr>
          <w:rFonts w:ascii="Arial" w:hAnsi="Arial" w:cs="Arial"/>
          <w:lang w:val="es-PR"/>
        </w:rPr>
        <w:t>Consultores financiadas por el BID (GN-2350-9), y de acuerdo con un plan de adquisiciones.</w:t>
      </w:r>
    </w:p>
    <w:p w14:paraId="3D360D22" w14:textId="77777777" w:rsidR="002C2C5D" w:rsidRDefault="0012655E">
      <w:pPr>
        <w:spacing w:before="120" w:after="120"/>
        <w:ind w:left="579" w:hanging="579"/>
      </w:pPr>
      <w:r>
        <w:rPr>
          <w:rFonts w:ascii="Arial" w:hAnsi="Arial" w:cs="Arial"/>
          <w:b/>
        </w:rPr>
        <w:t>VI.</w:t>
      </w:r>
      <w:r>
        <w:rPr>
          <w:rFonts w:ascii="Arial" w:hAnsi="Arial" w:cs="Arial"/>
          <w:b/>
        </w:rPr>
        <w:tab/>
      </w:r>
      <w:proofErr w:type="spellStart"/>
      <w:r>
        <w:rPr>
          <w:rFonts w:ascii="Arial" w:hAnsi="Arial" w:cs="Arial"/>
          <w:b/>
        </w:rPr>
        <w:t>Riesgos</w:t>
      </w:r>
      <w:proofErr w:type="spellEnd"/>
      <w:r>
        <w:rPr>
          <w:rFonts w:ascii="Arial" w:hAnsi="Arial" w:cs="Arial"/>
          <w:b/>
        </w:rPr>
        <w:t xml:space="preserve"> </w:t>
      </w:r>
      <w:proofErr w:type="spellStart"/>
      <w:r>
        <w:rPr>
          <w:rFonts w:ascii="Arial" w:hAnsi="Arial" w:cs="Arial"/>
          <w:b/>
        </w:rPr>
        <w:t>Importantes</w:t>
      </w:r>
      <w:proofErr w:type="spellEnd"/>
    </w:p>
    <w:p w14:paraId="5DA2AD83" w14:textId="77777777" w:rsidR="002C2C5D" w:rsidRPr="0012655E" w:rsidRDefault="0012655E">
      <w:pPr>
        <w:spacing w:before="200" w:after="200"/>
        <w:ind w:left="579" w:hanging="579"/>
        <w:jc w:val="both"/>
        <w:rPr>
          <w:lang w:val="es-PR"/>
        </w:rPr>
      </w:pPr>
      <w:r w:rsidRPr="0012655E">
        <w:rPr>
          <w:rFonts w:ascii="Arial" w:hAnsi="Arial" w:cs="Arial"/>
          <w:lang w:val="es-PR"/>
        </w:rPr>
        <w:t>6.1</w:t>
      </w:r>
      <w:r w:rsidRPr="0012655E">
        <w:rPr>
          <w:rFonts w:ascii="Arial" w:hAnsi="Arial" w:cs="Arial"/>
          <w:lang w:val="es-PR"/>
        </w:rPr>
        <w:tab/>
        <w:t>Los riesgos importantes para la ejecución de la CT y el logro de sus objetivos y las respectivas medidas de mitigación se presentan a con</w:t>
      </w:r>
      <w:r w:rsidRPr="0012655E">
        <w:rPr>
          <w:rFonts w:ascii="Arial" w:hAnsi="Arial" w:cs="Arial"/>
          <w:lang w:val="es-PR"/>
        </w:rPr>
        <w:t>tinuación: La falta de coordinación entre las áreas de la CAJ involucradas con la preparación de la operación podría demorar la ejecución de la CT (riesgo bajo). Para minimizar este riesgo se promoverá la creación y funcionamiento regular de un comité de c</w:t>
      </w:r>
      <w:r w:rsidRPr="0012655E">
        <w:rPr>
          <w:rFonts w:ascii="Arial" w:hAnsi="Arial" w:cs="Arial"/>
          <w:lang w:val="es-PR"/>
        </w:rPr>
        <w:t>oordinación entre las diferentes áreas involucradas con la preparación del proyecto, y las unidades a cargo de la ejecución de las futuras obras de infraestructura y de la operación y mantenimiento de estas, todas bajo el liderazgo de la CAJ.</w:t>
      </w:r>
    </w:p>
    <w:p w14:paraId="44E76477" w14:textId="77777777" w:rsidR="002C2C5D" w:rsidRPr="0012655E" w:rsidRDefault="0012655E">
      <w:pPr>
        <w:spacing w:before="120" w:after="120"/>
        <w:ind w:left="579" w:hanging="579"/>
        <w:rPr>
          <w:lang w:val="es-PR"/>
        </w:rPr>
      </w:pPr>
      <w:r w:rsidRPr="0012655E">
        <w:rPr>
          <w:rFonts w:ascii="Arial" w:hAnsi="Arial" w:cs="Arial"/>
          <w:b/>
          <w:lang w:val="es-PR"/>
        </w:rPr>
        <w:t>VII.</w:t>
      </w:r>
      <w:r w:rsidRPr="0012655E">
        <w:rPr>
          <w:rFonts w:ascii="Arial" w:hAnsi="Arial" w:cs="Arial"/>
          <w:b/>
          <w:lang w:val="es-PR"/>
        </w:rPr>
        <w:tab/>
        <w:t>Salvagua</w:t>
      </w:r>
      <w:r w:rsidRPr="0012655E">
        <w:rPr>
          <w:rFonts w:ascii="Arial" w:hAnsi="Arial" w:cs="Arial"/>
          <w:b/>
          <w:lang w:val="es-PR"/>
        </w:rPr>
        <w:t>rdias Ambientales</w:t>
      </w:r>
    </w:p>
    <w:p w14:paraId="7C05F5F4" w14:textId="77777777" w:rsidR="002C2C5D" w:rsidRPr="0012655E" w:rsidRDefault="0012655E">
      <w:pPr>
        <w:spacing w:before="240" w:after="120"/>
        <w:ind w:left="579" w:hanging="579"/>
        <w:jc w:val="both"/>
        <w:rPr>
          <w:lang w:val="es-PR"/>
        </w:rPr>
      </w:pPr>
      <w:r w:rsidRPr="0012655E">
        <w:rPr>
          <w:rFonts w:ascii="Arial" w:hAnsi="Arial" w:cs="Arial"/>
          <w:lang w:val="es-PR"/>
        </w:rPr>
        <w:t>7.1</w:t>
      </w:r>
      <w:r w:rsidRPr="0012655E">
        <w:rPr>
          <w:rFonts w:ascii="Arial" w:hAnsi="Arial" w:cs="Arial"/>
          <w:lang w:val="es-PR"/>
        </w:rPr>
        <w:tab/>
        <w:t>La clasificación ESG para esta operación es "indefinida".</w:t>
      </w:r>
    </w:p>
    <w:sectPr w:rsidR="002C2C5D" w:rsidRPr="0012655E" w:rsidSect="00FC302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E983F" w14:textId="77777777" w:rsidR="00000000" w:rsidRDefault="0012655E">
      <w:r>
        <w:separator/>
      </w:r>
    </w:p>
  </w:endnote>
  <w:endnote w:type="continuationSeparator" w:id="0">
    <w:p w14:paraId="4510093F" w14:textId="77777777" w:rsidR="00000000" w:rsidRDefault="0012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29F0" w14:textId="77777777" w:rsidR="002C2C5D" w:rsidRDefault="0012655E">
    <w:pPr>
      <w:pStyle w:val="FooterStyle"/>
      <w:jc w:val="center"/>
    </w:pPr>
    <w:r>
      <w:t xml:space="preserve"> - </w:t>
    </w:r>
    <w:r>
      <w:fldChar w:fldCharType="begin"/>
    </w:r>
    <w:r>
      <w:instrText xml:space="preserve"> PAGE </w:instrText>
    </w:r>
    <w:r>
      <w:fldChar w:fldCharType="separate"/>
    </w:r>
    <w:r>
      <w:rPr>
        <w:noProof/>
      </w:rP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91D9" w14:textId="77777777" w:rsidR="00000000" w:rsidRDefault="0012655E">
      <w:r>
        <w:separator/>
      </w:r>
    </w:p>
  </w:footnote>
  <w:footnote w:type="continuationSeparator" w:id="0">
    <w:p w14:paraId="135F6757" w14:textId="77777777" w:rsidR="00000000" w:rsidRDefault="00126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2655E"/>
    <w:rsid w:val="001915A3"/>
    <w:rsid w:val="00217F62"/>
    <w:rsid w:val="002C2C5D"/>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1C64"/>
  <w15:docId w15:val="{432A3D94-4BF9-49E2-B60B-A929DE01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Style">
    <w:name w:val="FooterStyle"/>
    <w:rPr>
      <w:rFonts w:ascii="Arial" w:eastAsia="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C559A01D57A7E2419E4C289B19FD6087" ma:contentTypeVersion="0" ma:contentTypeDescription="The base project type from which other project content types inherit their information." ma:contentTypeScope="" ma:versionID="9fa45d5ee546c75904f3e01bf31878e1">
  <xsd:schema xmlns:xsd="http://www.w3.org/2001/XMLSchema" xmlns:xs="http://www.w3.org/2001/XMLSchema" xmlns:p="http://schemas.microsoft.com/office/2006/metadata/properties" xmlns:ns2="cdc7663a-08f0-4737-9e8c-148ce897a09c" targetNamespace="http://schemas.microsoft.com/office/2006/metadata/properties" ma:root="true" ma:fieldsID="69ba69ea47660d1fb4bf02e512a4e71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ae61f9b1-e23d-4f49-b3d7-56b991556c4b" ContentTypeId="0x010100ACF722E9F6B0B149B0CD8BE2560A6672" PreviousValue="false" LastSyncTimeStamp="2021-11-30T20:17:31.51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TC Abstract</TermName>
          <TermId xmlns="http://schemas.microsoft.com/office/infopath/2007/PartnerControls">7d12d2c9-3b07-4a95-a4b4-99c2881b0472</TermId>
        </TermInfo>
      </Term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INE/WSA</Division_x0020_or_x0020_Unit>
    <From_x003a_ xmlns="cdc7663a-08f0-4737-9e8c-148ce897a09c" xsi:nil="true"/>
    <Fiscal_x0020_Year_x0020_IDB xmlns="cdc7663a-08f0-4737-9e8c-148ce897a09c">2022</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PHASE_PREPARATION</Phase>
    <Document_x0020_Author xmlns="cdc7663a-08f0-4737-9e8c-148ce897a09c">Guerrero Rivera Marilyn Ivette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SUPPLY URBAN</TermName>
          <TermId xmlns="http://schemas.microsoft.com/office/infopath/2007/PartnerControls">28df1b5d-8f50-49f8-b50a-8bcbae67d2a4</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MAF</TermName>
          <TermId xmlns="http://schemas.microsoft.com/office/infopath/2007/PartnerControls">e43db9f5-6ed8-400e-be55-a0e52f6e8c79</TermId>
        </TermInfo>
      </Terms>
    </g511464f9e53401d84b16fa9b379a574>
    <Related_x0020_SisCor_x0020_Number xmlns="cdc7663a-08f0-4737-9e8c-148ce897a09c" xsi:nil="true"/>
    <Transaction_x0020_Type xmlns="cdc7663a-08f0-4737-9e8c-148ce897a09c" xsi:nil="true"/>
    <TaxCatchAll xmlns="cdc7663a-08f0-4737-9e8c-148ce897a09c">
      <Value>33</Value>
      <Value>32</Value>
      <Value>30</Value>
      <Value>437</Value>
      <Value>36</Value>
      <Value>1</Value>
    </TaxCatchAll>
    <Operation_x0020_Type xmlns="cdc7663a-08f0-4737-9e8c-148ce897a09c">TCP</Operation_x0020_Type>
    <Package_x0020_Code xmlns="cdc7663a-08f0-4737-9e8c-148ce897a09c" xsi:nil="true"/>
    <To_x003a_ xmlns="cdc7663a-08f0-4737-9e8c-148ce897a09c" xsi:nil="true"/>
    <Identifier xmlns="cdc7663a-08f0-4737-9e8c-148ce897a09c" xsi:nil="true"/>
    <Project_x0020_Number xmlns="cdc7663a-08f0-4737-9e8c-148ce897a09c">BR-T1524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 xsi:nil="true"/>
    <Transaction_x0020_Number xmlns="cdc7663a-08f0-4737-9e8c-148ce897a09c" xsi:nil="true"/>
    <Extracted_x0020_Keywords xmlns="cdc7663a-08f0-4737-9e8c-148ce897a09c" xsi:nil="true"/>
    <Approval_x0020_date xmlns="cdc7663a-08f0-4737-9e8c-148ce897a09c" xsi:nil="true"/>
    <_dlc_DocId xmlns="cdc7663a-08f0-4737-9e8c-148ce897a09c">EZSHARE-857593063-2</_dlc_DocId>
    <_dlc_DocIdUrl xmlns="cdc7663a-08f0-4737-9e8c-148ce897a09c">
      <Url>https://idbg.sharepoint.com/teams/EZ-BR-TCP/BR-T1524/_layouts/15/DocIdRedir.aspx?ID=EZSHARE-857593063-2</Url>
      <Description>EZSHARE-857593063-2</Description>
    </_dlc_DocIdUrl>
  </documentManagement>
</p:properties>
</file>

<file path=customXml/itemProps1.xml><?xml version="1.0" encoding="utf-8"?>
<ds:datastoreItem xmlns:ds="http://schemas.openxmlformats.org/officeDocument/2006/customXml" ds:itemID="{71BD5D29-59AE-44CA-B866-01DD0772A2E2}"/>
</file>

<file path=customXml/itemProps2.xml><?xml version="1.0" encoding="utf-8"?>
<ds:datastoreItem xmlns:ds="http://schemas.openxmlformats.org/officeDocument/2006/customXml" ds:itemID="{48A63F2F-1304-4EC4-AB14-B27451E703FD}"/>
</file>

<file path=customXml/itemProps3.xml><?xml version="1.0" encoding="utf-8"?>
<ds:datastoreItem xmlns:ds="http://schemas.openxmlformats.org/officeDocument/2006/customXml" ds:itemID="{95BD1CCB-61D8-4DF2-A50D-E9E18ACC7C48}"/>
</file>

<file path=customXml/itemProps4.xml><?xml version="1.0" encoding="utf-8"?>
<ds:datastoreItem xmlns:ds="http://schemas.openxmlformats.org/officeDocument/2006/customXml" ds:itemID="{B63FDD89-EAAD-4FDA-ADD1-F0F250600E9C}"/>
</file>

<file path=customXml/itemProps5.xml><?xml version="1.0" encoding="utf-8"?>
<ds:datastoreItem xmlns:ds="http://schemas.openxmlformats.org/officeDocument/2006/customXml" ds:itemID="{8888B01A-3347-4418-B61E-F694DAC0E8D4}"/>
</file>

<file path=customXml/itemProps6.xml><?xml version="1.0" encoding="utf-8"?>
<ds:datastoreItem xmlns:ds="http://schemas.openxmlformats.org/officeDocument/2006/customXml" ds:itemID="{C6EA7486-9A3D-48B2-BE93-41534D916ABC}"/>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Guerrero Rivera, Marilyn Ivette</dc:creator>
  <cp:keywords/>
  <cp:lastModifiedBy>Guerrero Rivera, Marilyn Ivette</cp:lastModifiedBy>
  <cp:revision>2</cp:revision>
  <dcterms:created xsi:type="dcterms:W3CDTF">2022-05-20T17:17:00Z</dcterms:created>
  <dcterms:modified xsi:type="dcterms:W3CDTF">2022-05-20T17:17:00Z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0x010100ACF722E9F6B0B149B0CD8BE2560A667200C559A01D57A7E2419E4C289B19FD6087</vt:lpwstr>
  </property>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32;#Brazil|7deb27ec-6837-4974-9aa8-6cfbac841ef8</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1;#Project Preparation Planning and Design|29ca0c72-1fc4-435f-a09c-28585cb5eac9</vt:lpwstr>
  </property>
  <property fmtid="{D5CDD505-2E9C-101B-9397-08002B2CF9AE}" pid="10" name="Sector_x0020_IDB">
    <vt:lpwstr/>
  </property>
  <property fmtid="{D5CDD505-2E9C-101B-9397-08002B2CF9AE}" pid="11" name="Sub-Sector">
    <vt:lpwstr>437;#WATER SUPPLY URBAN|28df1b5d-8f50-49f8-b50a-8bcbae67d2a4</vt:lpwstr>
  </property>
  <property fmtid="{D5CDD505-2E9C-101B-9397-08002B2CF9AE}" pid="12" name="Series Operations IDB">
    <vt:lpwstr>30;#TC Abstract|7d12d2c9-3b07-4a95-a4b4-99c2881b0472</vt:lpwstr>
  </property>
  <property fmtid="{D5CDD505-2E9C-101B-9397-08002B2CF9AE}" pid="13" name="Fund IDB">
    <vt:lpwstr>36;#MAF|e43db9f5-6ed8-400e-be55-a0e52f6e8c79</vt:lpwstr>
  </property>
  <property fmtid="{D5CDD505-2E9C-101B-9397-08002B2CF9AE}" pid="14" name="Sector IDB">
    <vt:lpwstr>33;#WATER AND SANITATION|ba6b63cd-e402-47cb-9357-08149f7ce046</vt:lpwstr>
  </property>
  <property fmtid="{D5CDD505-2E9C-101B-9397-08002B2CF9AE}" pid="15" name="_dlc_DocIdItemGuid">
    <vt:lpwstr>b2603aee-05e8-46d9-a965-f49b07b8518c</vt:lpwstr>
  </property>
  <property fmtid="{D5CDD505-2E9C-101B-9397-08002B2CF9AE}" pid="16" name="Disclosure Activity">
    <vt:lpwstr>TC Abstract</vt:lpwstr>
  </property>
  <property fmtid="{D5CDD505-2E9C-101B-9397-08002B2CF9AE}" pid="17" name="Webtopic">
    <vt:lpwstr>Water and Sanitation;</vt:lpwstr>
  </property>
</Properties>
</file>