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46E3F" w14:textId="0294DE0E" w:rsidR="006C3B20" w:rsidRDefault="000C118D" w:rsidP="006C3B20">
      <w:pPr>
        <w:pStyle w:val="Heading1a"/>
        <w:keepNext w:val="0"/>
        <w:keepLines w:val="0"/>
        <w:tabs>
          <w:tab w:val="clear" w:pos="-720"/>
        </w:tabs>
        <w:suppressAutoHyphens w:val="0"/>
        <w:jc w:val="left"/>
        <w:rPr>
          <w:rFonts w:asciiTheme="minorHAnsi" w:hAnsiTheme="minorHAnsi" w:cstheme="minorHAnsi"/>
          <w:bCs/>
          <w:smallCaps w:val="0"/>
          <w:sz w:val="28"/>
          <w:u w:val="single"/>
        </w:rPr>
      </w:pPr>
      <w:r>
        <w:rPr>
          <w:noProof/>
        </w:rPr>
        <w:drawing>
          <wp:inline distT="0" distB="0" distL="0" distR="0" wp14:anchorId="24176DB2" wp14:editId="66398157">
            <wp:extent cx="1952625" cy="495300"/>
            <wp:effectExtent l="0" t="0" r="9525" b="0"/>
            <wp:docPr id="16246843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inline>
        </w:drawing>
      </w:r>
      <w:r w:rsidR="2CDD2216" w:rsidRPr="2CDD2216">
        <w:rPr>
          <w:rFonts w:asciiTheme="minorHAnsi" w:eastAsiaTheme="minorEastAsia" w:hAnsiTheme="minorHAnsi" w:cstheme="minorBidi"/>
          <w:noProof/>
        </w:rPr>
        <w:t xml:space="preserve">                </w:t>
      </w:r>
    </w:p>
    <w:p w14:paraId="20F9977C" w14:textId="3EA367EE" w:rsidR="2CDD2216" w:rsidRDefault="2CDD2216" w:rsidP="2CDD2216">
      <w:pPr>
        <w:pStyle w:val="Heading1a"/>
        <w:rPr>
          <w:rFonts w:asciiTheme="minorHAnsi" w:eastAsiaTheme="minorEastAsia" w:hAnsiTheme="minorHAnsi" w:cstheme="minorBidi"/>
          <w:color w:val="FF0000"/>
          <w:sz w:val="28"/>
          <w:szCs w:val="28"/>
          <w:highlight w:val="yellow"/>
          <w:u w:val="single"/>
        </w:rPr>
      </w:pPr>
    </w:p>
    <w:p w14:paraId="7BC714B6" w14:textId="77777777" w:rsidR="0003493A" w:rsidRDefault="0003493A" w:rsidP="2CDD2216">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2CDD2216">
        <w:rPr>
          <w:rFonts w:asciiTheme="minorHAnsi" w:eastAsiaTheme="minorEastAsia" w:hAnsiTheme="minorHAnsi" w:cstheme="minorBidi"/>
          <w:smallCaps w:val="0"/>
          <w:sz w:val="28"/>
          <w:szCs w:val="28"/>
          <w:u w:val="single"/>
        </w:rPr>
        <w:t xml:space="preserve">REQUEST FOR EXPRESSIONS </w:t>
      </w:r>
      <w:r w:rsidR="006C3B20" w:rsidRPr="2CDD2216">
        <w:rPr>
          <w:rFonts w:asciiTheme="minorHAnsi" w:eastAsiaTheme="minorEastAsia" w:hAnsiTheme="minorHAnsi" w:cstheme="minorBidi"/>
          <w:smallCaps w:val="0"/>
          <w:sz w:val="28"/>
          <w:szCs w:val="28"/>
          <w:u w:val="single"/>
        </w:rPr>
        <w:t>OF INTEREST</w:t>
      </w:r>
    </w:p>
    <w:p w14:paraId="2B02FCF8" w14:textId="0D5C203F" w:rsidR="006C3B20" w:rsidRPr="00637BD8" w:rsidRDefault="006C3B20" w:rsidP="6D59273E">
      <w:pPr>
        <w:pStyle w:val="Heading1a"/>
        <w:keepNext w:val="0"/>
        <w:keepLines w:val="0"/>
        <w:tabs>
          <w:tab w:val="clear" w:pos="-720"/>
        </w:tabs>
        <w:suppressAutoHyphens w:val="0"/>
        <w:rPr>
          <w:rFonts w:asciiTheme="minorHAnsi" w:eastAsiaTheme="minorEastAsia" w:hAnsiTheme="minorHAnsi" w:cstheme="minorBidi"/>
          <w:color w:val="FF0000"/>
          <w:sz w:val="28"/>
          <w:szCs w:val="28"/>
          <w:u w:val="single"/>
        </w:rPr>
      </w:pPr>
      <w:r w:rsidRPr="6D59273E">
        <w:rPr>
          <w:rFonts w:asciiTheme="minorHAnsi" w:eastAsiaTheme="minorEastAsia" w:hAnsiTheme="minorHAnsi" w:cstheme="minorBidi"/>
          <w:smallCaps w:val="0"/>
          <w:sz w:val="28"/>
          <w:szCs w:val="28"/>
          <w:u w:val="single"/>
        </w:rPr>
        <w:t>CONSULTING SERVICES</w:t>
      </w:r>
      <w:r w:rsidR="00637BD8" w:rsidRPr="6D59273E">
        <w:rPr>
          <w:rFonts w:asciiTheme="minorHAnsi" w:eastAsiaTheme="minorEastAsia" w:hAnsiTheme="minorHAnsi" w:cstheme="minorBidi"/>
          <w:smallCaps w:val="0"/>
          <w:sz w:val="28"/>
          <w:szCs w:val="28"/>
          <w:u w:val="single"/>
        </w:rPr>
        <w:t xml:space="preserve"> </w:t>
      </w:r>
    </w:p>
    <w:p w14:paraId="2E615853" w14:textId="77777777" w:rsidR="003F5CA1" w:rsidRPr="006C3B20" w:rsidRDefault="003F5CA1" w:rsidP="00901303">
      <w:pPr>
        <w:jc w:val="both"/>
        <w:rPr>
          <w:rFonts w:asciiTheme="minorHAnsi" w:hAnsiTheme="minorHAnsi" w:cs="Times New Roman"/>
          <w:color w:val="auto"/>
        </w:rPr>
      </w:pPr>
    </w:p>
    <w:p w14:paraId="628BF229" w14:textId="10C51D4F" w:rsidR="00F45D9C" w:rsidRPr="00834FF1" w:rsidRDefault="00655DDF" w:rsidP="2CDD2216">
      <w:pPr>
        <w:suppressAutoHyphens/>
        <w:rPr>
          <w:rFonts w:asciiTheme="minorHAnsi" w:hAnsiTheme="minorHAnsi" w:cstheme="minorBidi"/>
          <w:color w:val="auto"/>
        </w:rPr>
      </w:pPr>
      <w:r>
        <w:rPr>
          <w:rFonts w:asciiTheme="minorHAnsi" w:hAnsiTheme="minorHAnsi" w:cstheme="minorBidi"/>
          <w:color w:val="auto"/>
        </w:rPr>
        <w:t xml:space="preserve">Selection #: </w:t>
      </w:r>
      <w:r w:rsidR="002118B7">
        <w:rPr>
          <w:rFonts w:asciiTheme="minorHAnsi" w:hAnsiTheme="minorHAnsi" w:cstheme="minorBidi"/>
          <w:color w:val="auto"/>
        </w:rPr>
        <w:t>RG-T27</w:t>
      </w:r>
      <w:r w:rsidR="00DA2E66">
        <w:rPr>
          <w:rFonts w:asciiTheme="minorHAnsi" w:hAnsiTheme="minorHAnsi" w:cstheme="minorBidi"/>
          <w:color w:val="auto"/>
        </w:rPr>
        <w:t>85</w:t>
      </w:r>
      <w:r w:rsidR="002118B7">
        <w:rPr>
          <w:rFonts w:asciiTheme="minorHAnsi" w:hAnsiTheme="minorHAnsi" w:cstheme="minorBidi"/>
          <w:color w:val="auto"/>
        </w:rPr>
        <w:t>-P00</w:t>
      </w:r>
      <w:r w:rsidR="00DA2E66">
        <w:rPr>
          <w:rFonts w:asciiTheme="minorHAnsi" w:hAnsiTheme="minorHAnsi" w:cstheme="minorBidi"/>
          <w:color w:val="auto"/>
        </w:rPr>
        <w:t>3</w:t>
      </w:r>
    </w:p>
    <w:p w14:paraId="2FE659F0" w14:textId="53F33FFC" w:rsidR="672BA234" w:rsidRPr="00834FF1" w:rsidRDefault="00655DDF" w:rsidP="672BA234">
      <w:pPr>
        <w:rPr>
          <w:rFonts w:asciiTheme="minorHAnsi" w:hAnsiTheme="minorHAnsi" w:cstheme="minorBidi"/>
          <w:color w:val="auto"/>
        </w:rPr>
      </w:pPr>
      <w:r>
        <w:rPr>
          <w:rFonts w:asciiTheme="minorHAnsi" w:hAnsiTheme="minorHAnsi" w:cstheme="minorBidi"/>
          <w:color w:val="auto"/>
        </w:rPr>
        <w:t xml:space="preserve">Selection Method: </w:t>
      </w:r>
      <w:r w:rsidR="00DA2E66">
        <w:rPr>
          <w:rFonts w:asciiTheme="minorHAnsi" w:hAnsiTheme="minorHAnsi" w:cstheme="minorBidi"/>
          <w:color w:val="auto"/>
        </w:rPr>
        <w:t xml:space="preserve">Full </w:t>
      </w:r>
      <w:r w:rsidR="004311FF" w:rsidRPr="00834FF1">
        <w:rPr>
          <w:rFonts w:asciiTheme="minorHAnsi" w:hAnsiTheme="minorHAnsi" w:cstheme="minorBidi"/>
          <w:color w:val="auto"/>
        </w:rPr>
        <w:t>Competitive Selection</w:t>
      </w:r>
    </w:p>
    <w:p w14:paraId="4356DB27" w14:textId="49F687DC" w:rsidR="00F45D9C" w:rsidRPr="00834FF1" w:rsidRDefault="00F45D9C" w:rsidP="2CDD2216">
      <w:pPr>
        <w:suppressAutoHyphens/>
        <w:rPr>
          <w:rFonts w:asciiTheme="minorHAnsi" w:hAnsiTheme="minorHAnsi" w:cstheme="minorBidi"/>
          <w:color w:val="auto"/>
        </w:rPr>
      </w:pPr>
      <w:r w:rsidRPr="00834FF1">
        <w:rPr>
          <w:rFonts w:asciiTheme="minorHAnsi" w:hAnsiTheme="minorHAnsi" w:cstheme="minorBidi"/>
          <w:color w:val="auto"/>
        </w:rPr>
        <w:t xml:space="preserve">Country: </w:t>
      </w:r>
      <w:r w:rsidR="00DA2E66">
        <w:rPr>
          <w:rFonts w:asciiTheme="minorHAnsi" w:hAnsiTheme="minorHAnsi" w:cstheme="minorBidi"/>
          <w:color w:val="auto"/>
        </w:rPr>
        <w:t>Paraguay</w:t>
      </w:r>
      <w:r w:rsidRPr="00834FF1">
        <w:rPr>
          <w:rFonts w:asciiTheme="minorHAnsi" w:hAnsiTheme="minorHAnsi" w:cstheme="minorBidi"/>
          <w:color w:val="auto"/>
        </w:rPr>
        <w:t xml:space="preserve"> </w:t>
      </w:r>
    </w:p>
    <w:p w14:paraId="4C834057" w14:textId="208539F4" w:rsidR="00F45D9C" w:rsidRPr="00834FF1" w:rsidRDefault="2CDD2216" w:rsidP="2CDD2216">
      <w:pPr>
        <w:suppressAutoHyphens/>
        <w:rPr>
          <w:rFonts w:asciiTheme="minorHAnsi" w:hAnsiTheme="minorHAnsi" w:cstheme="minorBidi"/>
          <w:color w:val="auto"/>
        </w:rPr>
      </w:pPr>
      <w:r w:rsidRPr="00834FF1">
        <w:rPr>
          <w:rFonts w:asciiTheme="minorHAnsi" w:hAnsiTheme="minorHAnsi" w:cstheme="minorBidi"/>
          <w:color w:val="auto"/>
        </w:rPr>
        <w:t>Sector:</w:t>
      </w:r>
      <w:r w:rsidR="004311FF" w:rsidRPr="00834FF1">
        <w:rPr>
          <w:rFonts w:asciiTheme="minorHAnsi" w:hAnsiTheme="minorHAnsi" w:cstheme="minorBidi"/>
          <w:color w:val="auto"/>
        </w:rPr>
        <w:t xml:space="preserve"> IFD/CMF</w:t>
      </w:r>
    </w:p>
    <w:p w14:paraId="77DFD1F0" w14:textId="1679EFD7" w:rsidR="0024224B" w:rsidRPr="0024224B" w:rsidRDefault="2CDD2216" w:rsidP="0024224B">
      <w:pPr>
        <w:suppressAutoHyphens/>
        <w:rPr>
          <w:rFonts w:asciiTheme="minorHAnsi" w:hAnsiTheme="minorHAnsi" w:cstheme="minorBidi"/>
          <w:color w:val="auto"/>
        </w:rPr>
      </w:pPr>
      <w:r w:rsidRPr="00834FF1">
        <w:rPr>
          <w:rFonts w:asciiTheme="minorHAnsi" w:hAnsiTheme="minorHAnsi" w:cstheme="minorBidi"/>
          <w:color w:val="auto"/>
        </w:rPr>
        <w:t>Funding – TC #:</w:t>
      </w:r>
      <w:r w:rsidR="0024224B">
        <w:rPr>
          <w:rFonts w:asciiTheme="minorHAnsi" w:hAnsiTheme="minorHAnsi" w:cstheme="minorBidi"/>
          <w:color w:val="auto"/>
        </w:rPr>
        <w:t xml:space="preserve"> </w:t>
      </w:r>
      <w:r w:rsidR="00DA2E66" w:rsidRPr="00DA2E66">
        <w:rPr>
          <w:rFonts w:asciiTheme="minorHAnsi" w:hAnsiTheme="minorHAnsi" w:cstheme="minorBidi"/>
          <w:color w:val="auto"/>
        </w:rPr>
        <w:t>ATN/KK-16057-RG</w:t>
      </w:r>
    </w:p>
    <w:p w14:paraId="6B175998" w14:textId="233A449B" w:rsidR="00F45D9C" w:rsidRPr="00834FF1" w:rsidRDefault="2CDD2216" w:rsidP="00F45D9C">
      <w:pPr>
        <w:pStyle w:val="BodyText"/>
        <w:rPr>
          <w:rFonts w:asciiTheme="minorHAnsi" w:eastAsiaTheme="minorEastAsia" w:hAnsiTheme="minorHAnsi" w:cstheme="minorBidi"/>
          <w:spacing w:val="0"/>
          <w:szCs w:val="24"/>
          <w:lang w:eastAsia="es-AR"/>
        </w:rPr>
      </w:pPr>
      <w:r w:rsidRPr="00834FF1">
        <w:rPr>
          <w:rFonts w:asciiTheme="minorHAnsi" w:eastAsiaTheme="minorEastAsia" w:hAnsiTheme="minorHAnsi" w:cstheme="minorBidi"/>
          <w:spacing w:val="0"/>
          <w:szCs w:val="24"/>
          <w:lang w:eastAsia="es-AR"/>
        </w:rPr>
        <w:t>Project #:</w:t>
      </w:r>
      <w:r w:rsidR="004311FF" w:rsidRPr="00834FF1">
        <w:rPr>
          <w:rFonts w:asciiTheme="minorHAnsi" w:eastAsiaTheme="minorEastAsia" w:hAnsiTheme="minorHAnsi" w:cstheme="minorBidi"/>
          <w:spacing w:val="0"/>
          <w:szCs w:val="24"/>
          <w:lang w:eastAsia="es-AR"/>
        </w:rPr>
        <w:t xml:space="preserve"> RG-T27</w:t>
      </w:r>
      <w:r w:rsidR="00DA2E66">
        <w:rPr>
          <w:rFonts w:asciiTheme="minorHAnsi" w:eastAsiaTheme="minorEastAsia" w:hAnsiTheme="minorHAnsi" w:cstheme="minorBidi"/>
          <w:spacing w:val="0"/>
          <w:szCs w:val="24"/>
          <w:lang w:eastAsia="es-AR"/>
        </w:rPr>
        <w:t>85</w:t>
      </w:r>
    </w:p>
    <w:p w14:paraId="08959238" w14:textId="0086AD02" w:rsidR="00F45D9C" w:rsidRPr="00834FF1" w:rsidRDefault="672BA234" w:rsidP="00170248">
      <w:pPr>
        <w:pStyle w:val="BodyText"/>
        <w:tabs>
          <w:tab w:val="left" w:pos="6645"/>
        </w:tabs>
        <w:rPr>
          <w:rFonts w:asciiTheme="minorHAnsi" w:eastAsiaTheme="minorEastAsia" w:hAnsiTheme="minorHAnsi" w:cstheme="minorBidi"/>
          <w:spacing w:val="0"/>
          <w:szCs w:val="24"/>
          <w:lang w:eastAsia="es-AR"/>
        </w:rPr>
      </w:pPr>
      <w:r w:rsidRPr="00834FF1">
        <w:rPr>
          <w:rFonts w:asciiTheme="minorHAnsi" w:eastAsiaTheme="minorEastAsia" w:hAnsiTheme="minorHAnsi" w:cstheme="minorBidi"/>
          <w:spacing w:val="0"/>
          <w:szCs w:val="24"/>
          <w:lang w:eastAsia="es-AR"/>
        </w:rPr>
        <w:t>TC name:</w:t>
      </w:r>
      <w:r w:rsidR="00DA2E66">
        <w:rPr>
          <w:rFonts w:asciiTheme="minorHAnsi" w:eastAsiaTheme="minorEastAsia" w:hAnsiTheme="minorHAnsi" w:cstheme="minorBidi"/>
          <w:spacing w:val="0"/>
          <w:szCs w:val="24"/>
          <w:lang w:eastAsia="es-AR"/>
        </w:rPr>
        <w:t xml:space="preserve"> Development of Digital Infrastructure in Paraguay</w:t>
      </w:r>
      <w:r w:rsidR="00170248" w:rsidRPr="00834FF1">
        <w:rPr>
          <w:rFonts w:asciiTheme="minorHAnsi" w:eastAsiaTheme="minorEastAsia" w:hAnsiTheme="minorHAnsi" w:cstheme="minorBidi"/>
          <w:spacing w:val="0"/>
          <w:szCs w:val="24"/>
          <w:lang w:eastAsia="es-AR"/>
        </w:rPr>
        <w:tab/>
      </w:r>
    </w:p>
    <w:p w14:paraId="13CDD907" w14:textId="0540E7C9" w:rsidR="00DA2E66" w:rsidRPr="00DA2E66" w:rsidRDefault="6D59273E" w:rsidP="00DA2E66">
      <w:pPr>
        <w:pStyle w:val="BodyText"/>
        <w:rPr>
          <w:rFonts w:asciiTheme="minorHAnsi" w:eastAsiaTheme="minorEastAsia" w:hAnsiTheme="minorHAnsi" w:cstheme="minorBidi"/>
          <w:spacing w:val="0"/>
          <w:szCs w:val="24"/>
          <w:lang w:eastAsia="es-AR"/>
        </w:rPr>
      </w:pPr>
      <w:r w:rsidRPr="00834FF1">
        <w:rPr>
          <w:rFonts w:asciiTheme="minorHAnsi" w:eastAsiaTheme="minorEastAsia" w:hAnsiTheme="minorHAnsi" w:cstheme="minorBidi"/>
          <w:spacing w:val="0"/>
          <w:szCs w:val="24"/>
          <w:lang w:eastAsia="es-AR"/>
        </w:rPr>
        <w:t>Description of Services:</w:t>
      </w:r>
      <w:r w:rsidR="004311FF" w:rsidRPr="00834FF1">
        <w:rPr>
          <w:rFonts w:asciiTheme="minorHAnsi" w:eastAsiaTheme="minorEastAsia" w:hAnsiTheme="minorHAnsi" w:cstheme="minorBidi"/>
          <w:spacing w:val="0"/>
          <w:szCs w:val="24"/>
          <w:lang w:eastAsia="es-AR"/>
        </w:rPr>
        <w:t xml:space="preserve"> </w:t>
      </w:r>
      <w:r w:rsidR="00DA2E66" w:rsidRPr="00DA2E66">
        <w:rPr>
          <w:rFonts w:asciiTheme="minorHAnsi" w:eastAsiaTheme="minorEastAsia" w:hAnsiTheme="minorHAnsi" w:cstheme="minorBidi"/>
          <w:spacing w:val="0"/>
          <w:szCs w:val="24"/>
          <w:lang w:eastAsia="es-AR"/>
        </w:rPr>
        <w:t>IFD/CMF seeks to hire an internationally experienced consultancy firm or consortium of firms to support the efforts of ANDE (Paraguayan Electricity Company) at designing a robust broadband action plan taking into account country specificities and global best practices, as a tool to accelerate infrastructure deployment with the involvement of the private sector (including Public Private Partnerships);</w:t>
      </w:r>
      <w:r w:rsidR="00DA2E66">
        <w:rPr>
          <w:rFonts w:asciiTheme="minorHAnsi" w:eastAsiaTheme="minorEastAsia" w:hAnsiTheme="minorHAnsi" w:cstheme="minorBidi"/>
          <w:spacing w:val="0"/>
          <w:szCs w:val="24"/>
          <w:lang w:eastAsia="es-AR"/>
        </w:rPr>
        <w:t xml:space="preserve"> </w:t>
      </w:r>
      <w:r w:rsidR="00DA2E66" w:rsidRPr="00DA2E66">
        <w:rPr>
          <w:rFonts w:asciiTheme="minorHAnsi" w:eastAsiaTheme="minorEastAsia" w:hAnsiTheme="minorHAnsi" w:cstheme="minorBidi"/>
          <w:spacing w:val="0"/>
          <w:szCs w:val="24"/>
          <w:lang w:eastAsia="es-AR"/>
        </w:rPr>
        <w:t>It is understood that the above objective will be reached in (</w:t>
      </w:r>
      <w:proofErr w:type="spellStart"/>
      <w:r w:rsidR="00DA2E66" w:rsidRPr="00DA2E66">
        <w:rPr>
          <w:rFonts w:asciiTheme="minorHAnsi" w:eastAsiaTheme="minorEastAsia" w:hAnsiTheme="minorHAnsi" w:cstheme="minorBidi"/>
          <w:spacing w:val="0"/>
          <w:szCs w:val="24"/>
          <w:lang w:eastAsia="es-AR"/>
        </w:rPr>
        <w:t>i</w:t>
      </w:r>
      <w:proofErr w:type="spellEnd"/>
      <w:r w:rsidR="00DA2E66" w:rsidRPr="00DA2E66">
        <w:rPr>
          <w:rFonts w:asciiTheme="minorHAnsi" w:eastAsiaTheme="minorEastAsia" w:hAnsiTheme="minorHAnsi" w:cstheme="minorBidi"/>
          <w:spacing w:val="0"/>
          <w:szCs w:val="24"/>
          <w:lang w:eastAsia="es-AR"/>
        </w:rPr>
        <w:t>) close cooperation with ANDE, CONATEL and DINAPI; and (ii) in tight consultations with relevant private, public, and other stakeholders.</w:t>
      </w:r>
    </w:p>
    <w:p w14:paraId="35128683" w14:textId="02CE7B20" w:rsidR="00F45D9C" w:rsidRPr="00834FF1" w:rsidRDefault="004311FF" w:rsidP="6D59273E">
      <w:pPr>
        <w:pStyle w:val="BodyText"/>
        <w:rPr>
          <w:rFonts w:asciiTheme="minorHAnsi" w:eastAsiaTheme="minorEastAsia" w:hAnsiTheme="minorHAnsi" w:cstheme="minorBidi"/>
          <w:spacing w:val="0"/>
          <w:szCs w:val="24"/>
          <w:lang w:eastAsia="es-AR"/>
        </w:rPr>
      </w:pPr>
      <w:r w:rsidRPr="00834FF1">
        <w:rPr>
          <w:rFonts w:asciiTheme="minorHAnsi" w:eastAsiaTheme="minorEastAsia" w:hAnsiTheme="minorHAnsi" w:cstheme="minorBidi"/>
          <w:spacing w:val="0"/>
          <w:szCs w:val="24"/>
          <w:lang w:eastAsia="es-AR"/>
        </w:rPr>
        <w:t xml:space="preserve"> </w:t>
      </w:r>
      <w:r w:rsidR="6D59273E" w:rsidRPr="00834FF1">
        <w:rPr>
          <w:rFonts w:asciiTheme="minorHAnsi" w:eastAsiaTheme="minorEastAsia" w:hAnsiTheme="minorHAnsi" w:cstheme="minorBidi"/>
          <w:spacing w:val="0"/>
          <w:szCs w:val="24"/>
          <w:lang w:eastAsia="es-AR"/>
        </w:rPr>
        <w:t xml:space="preserve">  </w:t>
      </w:r>
    </w:p>
    <w:p w14:paraId="19F1721F" w14:textId="77777777" w:rsidR="00F45D9C" w:rsidRPr="00834FF1" w:rsidRDefault="00F45D9C" w:rsidP="00F45D9C">
      <w:pPr>
        <w:pStyle w:val="BodyText"/>
        <w:rPr>
          <w:rFonts w:asciiTheme="minorHAnsi" w:eastAsiaTheme="minorEastAsia" w:hAnsiTheme="minorHAnsi" w:cstheme="minorBidi"/>
          <w:spacing w:val="0"/>
          <w:szCs w:val="24"/>
          <w:lang w:eastAsia="es-AR"/>
        </w:rPr>
      </w:pPr>
    </w:p>
    <w:p w14:paraId="377A4CE6" w14:textId="0312EF03" w:rsidR="00DA2E66" w:rsidRPr="00834FF1" w:rsidRDefault="00655DDF" w:rsidP="6D59273E">
      <w:pPr>
        <w:pStyle w:val="BodyText"/>
        <w:rPr>
          <w:rFonts w:asciiTheme="minorHAnsi" w:eastAsiaTheme="minorEastAsia" w:hAnsiTheme="minorHAnsi" w:cstheme="minorBidi"/>
          <w:spacing w:val="0"/>
          <w:szCs w:val="24"/>
          <w:lang w:eastAsia="es-AR"/>
        </w:rPr>
      </w:pPr>
      <w:r>
        <w:rPr>
          <w:rFonts w:asciiTheme="minorHAnsi" w:eastAsiaTheme="minorEastAsia" w:hAnsiTheme="minorHAnsi" w:cstheme="minorBidi"/>
          <w:spacing w:val="0"/>
          <w:szCs w:val="24"/>
          <w:lang w:eastAsia="es-AR"/>
        </w:rPr>
        <w:t xml:space="preserve">Link to TC Document: </w:t>
      </w:r>
      <w:r w:rsidR="00DA2E66" w:rsidRPr="00DA2E66">
        <w:rPr>
          <w:rFonts w:asciiTheme="minorHAnsi" w:eastAsiaTheme="minorEastAsia" w:hAnsiTheme="minorHAnsi" w:cstheme="minorBidi"/>
          <w:spacing w:val="0"/>
          <w:szCs w:val="24"/>
          <w:lang w:eastAsia="es-AR"/>
        </w:rPr>
        <w:t>http://www.iadb.org/en/projects/project-description-title,1303.html?id=RG%2DT2785</w:t>
      </w:r>
    </w:p>
    <w:p w14:paraId="5D15DF79" w14:textId="77777777" w:rsidR="00F45D9C" w:rsidRDefault="00F45D9C" w:rsidP="00F45D9C">
      <w:pPr>
        <w:pStyle w:val="BodyText"/>
        <w:rPr>
          <w:rFonts w:asciiTheme="minorHAnsi" w:hAnsiTheme="minorHAnsi" w:cstheme="minorHAnsi"/>
          <w:i/>
          <w:color w:val="0070C0"/>
          <w:szCs w:val="24"/>
        </w:rPr>
      </w:pPr>
    </w:p>
    <w:p w14:paraId="2C0FC91B" w14:textId="77777777" w:rsidR="00F45D9C" w:rsidRPr="00AE7268" w:rsidRDefault="00F45D9C" w:rsidP="2CDD2216">
      <w:pPr>
        <w:spacing w:line="320" w:lineRule="atLeast"/>
        <w:jc w:val="both"/>
        <w:rPr>
          <w:rFonts w:asciiTheme="minorHAnsi" w:hAnsiTheme="minorHAnsi" w:cstheme="minorBidi"/>
        </w:rPr>
      </w:pPr>
      <w:r w:rsidRPr="2CDD2216">
        <w:rPr>
          <w:rFonts w:asciiTheme="minorHAnsi" w:hAnsiTheme="minorHAnsi" w:cstheme="minorBidi"/>
          <w:color w:val="auto"/>
        </w:rPr>
        <w:t xml:space="preserve">The Inter-American Development Bank (IDB) is executing the above mentioned operation.  For this operation, the IDB </w:t>
      </w:r>
      <w:r w:rsidRPr="2CDD2216">
        <w:rPr>
          <w:rFonts w:asciiTheme="minorHAnsi" w:hAnsiTheme="minorHAnsi" w:cstheme="minorBidi"/>
          <w:spacing w:val="-2"/>
        </w:rPr>
        <w:t>intends to contract consulting services described in this Request for Expressions of Interest.</w:t>
      </w:r>
    </w:p>
    <w:p w14:paraId="2CDBF98B" w14:textId="77777777" w:rsidR="00F45D9C" w:rsidRPr="00AE7268" w:rsidRDefault="00F45D9C" w:rsidP="00F45D9C">
      <w:pPr>
        <w:spacing w:line="320" w:lineRule="atLeast"/>
        <w:jc w:val="both"/>
        <w:rPr>
          <w:rFonts w:asciiTheme="minorHAnsi" w:hAnsiTheme="minorHAnsi" w:cstheme="minorHAnsi"/>
          <w:spacing w:val="-2"/>
        </w:rPr>
      </w:pPr>
    </w:p>
    <w:p w14:paraId="07FF4D24" w14:textId="1DC3B53A" w:rsidR="004311FF" w:rsidRDefault="00F45D9C" w:rsidP="2CDD2216">
      <w:pPr>
        <w:suppressAutoHyphens/>
        <w:jc w:val="both"/>
        <w:rPr>
          <w:rFonts w:asciiTheme="minorHAnsi" w:hAnsiTheme="minorHAnsi" w:cstheme="minorBidi"/>
          <w:spacing w:val="-2"/>
        </w:rPr>
      </w:pPr>
      <w:r w:rsidRPr="2CDD2216">
        <w:rPr>
          <w:rFonts w:asciiTheme="minorHAnsi" w:hAnsiTheme="minorHAnsi" w:cstheme="minorBidi"/>
          <w:spacing w:val="-2"/>
        </w:rPr>
        <w:t>The consulting services (“the Services”) include</w:t>
      </w:r>
    </w:p>
    <w:p w14:paraId="780C2428" w14:textId="04D40FED" w:rsidR="00DA2E66" w:rsidRDefault="00DA2E66" w:rsidP="2CDD2216">
      <w:pPr>
        <w:suppressAutoHyphens/>
        <w:jc w:val="both"/>
        <w:rPr>
          <w:rFonts w:asciiTheme="minorHAnsi" w:hAnsiTheme="minorHAnsi" w:cstheme="minorBidi"/>
          <w:spacing w:val="-2"/>
        </w:rPr>
      </w:pPr>
    </w:p>
    <w:p w14:paraId="5673BCDB" w14:textId="4D457C49" w:rsidR="00DA2E66" w:rsidRDefault="00DA2E66" w:rsidP="00DA2E66">
      <w:pPr>
        <w:pStyle w:val="ListParagraph"/>
        <w:tabs>
          <w:tab w:val="num" w:pos="2088"/>
        </w:tabs>
        <w:spacing w:before="120" w:after="120" w:line="240" w:lineRule="auto"/>
        <w:ind w:left="0"/>
        <w:contextualSpacing w:val="0"/>
        <w:jc w:val="both"/>
        <w:rPr>
          <w:rFonts w:asciiTheme="minorHAnsi" w:hAnsiTheme="minorHAnsi" w:cs="Arial"/>
          <w:sz w:val="24"/>
          <w:lang w:val="en-US"/>
        </w:rPr>
      </w:pPr>
      <w:r>
        <w:rPr>
          <w:rFonts w:asciiTheme="minorHAnsi" w:hAnsiTheme="minorHAnsi" w:cs="Arial"/>
          <w:sz w:val="24"/>
          <w:lang w:val="en-US"/>
        </w:rPr>
        <w:t>C</w:t>
      </w:r>
      <w:r w:rsidRPr="00DA2E66">
        <w:rPr>
          <w:rFonts w:asciiTheme="minorHAnsi" w:hAnsiTheme="minorHAnsi" w:cs="Arial"/>
          <w:sz w:val="24"/>
          <w:lang w:val="en-US"/>
        </w:rPr>
        <w:t>omponent 1: Socio-economic characterization of the population and estimation of the expected demand (hereinafter Demand Forecast Analysis). The objective of this sub-activity is to elaborate on the curves of socio-demographic characterization out of densification variables, which are key elements to estimate the expected demand for services and the subsequent return on investment. For all the aforementioned points, the analysis should have a geographic approach per municipality while focusing on the un- and underserved rural areas in the municipalities with poorest broadband coverage.</w:t>
      </w:r>
    </w:p>
    <w:p w14:paraId="76C9D99C" w14:textId="77777777" w:rsidR="00DA2E66" w:rsidRPr="00DA2E66" w:rsidRDefault="00DA2E66" w:rsidP="00DA2E66">
      <w:pPr>
        <w:pStyle w:val="subpar"/>
        <w:numPr>
          <w:ilvl w:val="0"/>
          <w:numId w:val="0"/>
        </w:numPr>
        <w:rPr>
          <w:rFonts w:asciiTheme="minorHAnsi" w:eastAsia="Calibri" w:hAnsiTheme="minorHAnsi" w:cs="Arial"/>
          <w:szCs w:val="22"/>
          <w:lang w:val="en-US"/>
        </w:rPr>
      </w:pPr>
      <w:r w:rsidRPr="00DA2E66">
        <w:rPr>
          <w:rFonts w:asciiTheme="minorHAnsi" w:eastAsia="Calibri" w:hAnsiTheme="minorHAnsi" w:cs="Arial"/>
          <w:szCs w:val="22"/>
          <w:lang w:val="en-US"/>
        </w:rPr>
        <w:t>The study will focus on above objective and will include the following:</w:t>
      </w:r>
    </w:p>
    <w:p w14:paraId="38AE1FB2" w14:textId="77777777" w:rsidR="00DA2E66" w:rsidRPr="00DA2E66" w:rsidRDefault="00DA2E66" w:rsidP="00DA2E66">
      <w:pPr>
        <w:pStyle w:val="subpar"/>
        <w:numPr>
          <w:ilvl w:val="3"/>
          <w:numId w:val="8"/>
        </w:numPr>
        <w:tabs>
          <w:tab w:val="clear" w:pos="3024"/>
          <w:tab w:val="num" w:pos="-1134"/>
        </w:tabs>
        <w:ind w:left="567"/>
        <w:rPr>
          <w:rFonts w:asciiTheme="minorHAnsi" w:eastAsia="Calibri" w:hAnsiTheme="minorHAnsi" w:cs="Arial"/>
          <w:szCs w:val="22"/>
          <w:lang w:val="en-US"/>
        </w:rPr>
      </w:pPr>
      <w:r w:rsidRPr="00DA2E66">
        <w:rPr>
          <w:rFonts w:asciiTheme="minorHAnsi" w:eastAsia="Calibri" w:hAnsiTheme="minorHAnsi" w:cs="Arial"/>
          <w:szCs w:val="22"/>
          <w:lang w:val="en-US"/>
        </w:rPr>
        <w:t>Socio-economic characterization of the population in terms of population density, age, gender, occupation, propensity to consume and purchasing power (measured as percentage of their monthly salary);</w:t>
      </w:r>
    </w:p>
    <w:p w14:paraId="0B02CA68" w14:textId="77777777" w:rsidR="00DA2E66" w:rsidRPr="00DA2E66" w:rsidRDefault="00DA2E66" w:rsidP="00DA2E66">
      <w:pPr>
        <w:pStyle w:val="subpar"/>
        <w:numPr>
          <w:ilvl w:val="3"/>
          <w:numId w:val="8"/>
        </w:numPr>
        <w:tabs>
          <w:tab w:val="clear" w:pos="3024"/>
          <w:tab w:val="num" w:pos="-1134"/>
        </w:tabs>
        <w:ind w:left="567"/>
        <w:rPr>
          <w:rFonts w:asciiTheme="minorHAnsi" w:eastAsia="Calibri" w:hAnsiTheme="minorHAnsi" w:cs="Arial"/>
          <w:szCs w:val="22"/>
          <w:lang w:val="en-US"/>
        </w:rPr>
      </w:pPr>
      <w:r w:rsidRPr="00DA2E66">
        <w:rPr>
          <w:rFonts w:asciiTheme="minorHAnsi" w:eastAsia="Calibri" w:hAnsiTheme="minorHAnsi" w:cs="Arial"/>
          <w:szCs w:val="22"/>
          <w:lang w:val="en-US"/>
        </w:rPr>
        <w:t xml:space="preserve">Estimate of the current demand (traffic in </w:t>
      </w:r>
      <w:proofErr w:type="spellStart"/>
      <w:r w:rsidRPr="00DA2E66">
        <w:rPr>
          <w:rFonts w:asciiTheme="minorHAnsi" w:eastAsia="Calibri" w:hAnsiTheme="minorHAnsi" w:cs="Arial"/>
          <w:szCs w:val="22"/>
          <w:lang w:val="en-US"/>
        </w:rPr>
        <w:t>Mbps</w:t>
      </w:r>
      <w:proofErr w:type="spellEnd"/>
      <w:r w:rsidRPr="00DA2E66">
        <w:rPr>
          <w:rFonts w:asciiTheme="minorHAnsi" w:eastAsia="Calibri" w:hAnsiTheme="minorHAnsi" w:cs="Arial"/>
          <w:szCs w:val="22"/>
          <w:lang w:val="en-US"/>
        </w:rPr>
        <w:t>) for broadband-enabled services specifying the service and the device used to access that service, including the demand coming from schools, health centers, and government institutions, including those mentioned in the Strategy;</w:t>
      </w:r>
    </w:p>
    <w:p w14:paraId="051BA9FD" w14:textId="77777777" w:rsidR="00DA2E66" w:rsidRPr="00DA2E66" w:rsidRDefault="00DA2E66" w:rsidP="00DA2E66">
      <w:pPr>
        <w:pStyle w:val="subpar"/>
        <w:numPr>
          <w:ilvl w:val="3"/>
          <w:numId w:val="8"/>
        </w:numPr>
        <w:tabs>
          <w:tab w:val="clear" w:pos="3024"/>
          <w:tab w:val="num" w:pos="-1134"/>
        </w:tabs>
        <w:ind w:left="567"/>
        <w:rPr>
          <w:rFonts w:asciiTheme="minorHAnsi" w:eastAsia="Calibri" w:hAnsiTheme="minorHAnsi" w:cs="Arial"/>
          <w:szCs w:val="22"/>
          <w:lang w:val="en-US"/>
        </w:rPr>
      </w:pPr>
      <w:r w:rsidRPr="00DA2E66">
        <w:rPr>
          <w:rFonts w:asciiTheme="minorHAnsi" w:eastAsia="Calibri" w:hAnsiTheme="minorHAnsi" w:cs="Arial"/>
          <w:szCs w:val="22"/>
          <w:lang w:val="en-US"/>
        </w:rPr>
        <w:t xml:space="preserve">Forecast of the demand (estimate of the demand – traffic in </w:t>
      </w:r>
      <w:proofErr w:type="spellStart"/>
      <w:r w:rsidRPr="00DA2E66">
        <w:rPr>
          <w:rFonts w:asciiTheme="minorHAnsi" w:eastAsia="Calibri" w:hAnsiTheme="minorHAnsi" w:cs="Arial"/>
          <w:szCs w:val="22"/>
          <w:lang w:val="en-US"/>
        </w:rPr>
        <w:t>Mbps</w:t>
      </w:r>
      <w:proofErr w:type="spellEnd"/>
      <w:r w:rsidRPr="00DA2E66">
        <w:rPr>
          <w:rFonts w:asciiTheme="minorHAnsi" w:eastAsia="Calibri" w:hAnsiTheme="minorHAnsi" w:cs="Arial"/>
          <w:szCs w:val="22"/>
          <w:lang w:val="en-US"/>
        </w:rPr>
        <w:t xml:space="preserve"> – for broadband-enabled services after the improvement of infrastructure) should be carried out not only by carrying out surveys but also by benchmarking with other countries where such deployment has happened before, including the demand coming from schools, health centers, and government institutions, including those mentioned in the Strategy.</w:t>
      </w:r>
    </w:p>
    <w:p w14:paraId="7DBDD60E" w14:textId="77777777" w:rsidR="00DA2E66" w:rsidRPr="00DA2E66" w:rsidRDefault="00DA2E66" w:rsidP="00DA2E66">
      <w:pPr>
        <w:pStyle w:val="ListParagraph"/>
        <w:tabs>
          <w:tab w:val="num" w:pos="2088"/>
        </w:tabs>
        <w:spacing w:before="120" w:after="120" w:line="240" w:lineRule="auto"/>
        <w:ind w:left="0"/>
        <w:contextualSpacing w:val="0"/>
        <w:jc w:val="both"/>
        <w:rPr>
          <w:rFonts w:asciiTheme="minorHAnsi" w:hAnsiTheme="minorHAnsi" w:cs="Arial"/>
          <w:sz w:val="24"/>
          <w:lang w:val="en-US"/>
        </w:rPr>
      </w:pPr>
    </w:p>
    <w:p w14:paraId="58E16B9E" w14:textId="0078327C" w:rsidR="004311FF" w:rsidRDefault="004311FF" w:rsidP="2CDD2216">
      <w:pPr>
        <w:suppressAutoHyphens/>
        <w:jc w:val="both"/>
        <w:rPr>
          <w:rFonts w:asciiTheme="minorHAnsi" w:hAnsiTheme="minorHAnsi" w:cstheme="minorBidi"/>
          <w:spacing w:val="-2"/>
        </w:rPr>
      </w:pPr>
    </w:p>
    <w:p w14:paraId="70B40EF0" w14:textId="2A5FD7BE" w:rsidR="00DA2E66" w:rsidRPr="00DA2E66" w:rsidRDefault="00DA2E66" w:rsidP="00DA2E66">
      <w:pPr>
        <w:pStyle w:val="ListParagraph"/>
        <w:tabs>
          <w:tab w:val="num" w:pos="2088"/>
        </w:tabs>
        <w:spacing w:before="120" w:after="120" w:line="240" w:lineRule="auto"/>
        <w:ind w:left="0"/>
        <w:contextualSpacing w:val="0"/>
        <w:jc w:val="both"/>
        <w:rPr>
          <w:rFonts w:asciiTheme="minorHAnsi" w:hAnsiTheme="minorHAnsi" w:cs="Arial"/>
          <w:sz w:val="24"/>
          <w:lang w:val="en-US"/>
        </w:rPr>
      </w:pPr>
      <w:r>
        <w:rPr>
          <w:rFonts w:asciiTheme="minorHAnsi" w:hAnsiTheme="minorHAnsi" w:cs="Arial"/>
          <w:sz w:val="24"/>
          <w:lang w:val="en-US"/>
        </w:rPr>
        <w:t>C</w:t>
      </w:r>
      <w:r w:rsidRPr="00DA2E66">
        <w:rPr>
          <w:rFonts w:asciiTheme="minorHAnsi" w:hAnsiTheme="minorHAnsi" w:cs="Arial"/>
          <w:sz w:val="24"/>
          <w:lang w:val="en-US"/>
        </w:rPr>
        <w:t>omponent 2: Design and modeling of the different technologies of access (Technical study).</w:t>
      </w:r>
    </w:p>
    <w:p w14:paraId="46AE01DA" w14:textId="39E465FF" w:rsidR="00DA2E66" w:rsidRPr="00DA2E66" w:rsidRDefault="00DA2E66" w:rsidP="00DA2E66">
      <w:pPr>
        <w:pStyle w:val="ListParagraph"/>
        <w:tabs>
          <w:tab w:val="num" w:pos="2088"/>
        </w:tabs>
        <w:spacing w:before="120" w:after="120" w:line="240" w:lineRule="auto"/>
        <w:ind w:left="0"/>
        <w:contextualSpacing w:val="0"/>
        <w:jc w:val="both"/>
        <w:rPr>
          <w:rFonts w:asciiTheme="minorHAnsi" w:hAnsiTheme="minorHAnsi" w:cs="Arial"/>
          <w:sz w:val="24"/>
          <w:lang w:val="en-US"/>
        </w:rPr>
      </w:pPr>
      <w:r w:rsidRPr="00DA2E66">
        <w:rPr>
          <w:rFonts w:asciiTheme="minorHAnsi" w:hAnsiTheme="minorHAnsi" w:cs="Arial"/>
          <w:sz w:val="24"/>
          <w:lang w:val="en-US"/>
        </w:rPr>
        <w:t>This activity will model the different technology alternatives under the following scenarios for the operations of ANDE:</w:t>
      </w:r>
    </w:p>
    <w:p w14:paraId="1C89DAFE" w14:textId="77777777" w:rsidR="00DA2E66" w:rsidRPr="00DA2E66" w:rsidRDefault="00DA2E66" w:rsidP="00DA2E66">
      <w:pPr>
        <w:pStyle w:val="ListParagraph"/>
        <w:numPr>
          <w:ilvl w:val="0"/>
          <w:numId w:val="12"/>
        </w:numPr>
        <w:spacing w:before="120" w:after="120" w:line="240" w:lineRule="auto"/>
        <w:contextualSpacing w:val="0"/>
        <w:jc w:val="both"/>
        <w:rPr>
          <w:rFonts w:asciiTheme="minorHAnsi" w:hAnsiTheme="minorHAnsi" w:cs="Arial"/>
          <w:sz w:val="24"/>
          <w:lang w:val="en-US"/>
        </w:rPr>
      </w:pPr>
      <w:r w:rsidRPr="00DA2E66">
        <w:rPr>
          <w:rFonts w:asciiTheme="minorHAnsi" w:hAnsiTheme="minorHAnsi" w:cs="Arial"/>
          <w:sz w:val="24"/>
          <w:lang w:val="en-US"/>
        </w:rPr>
        <w:t xml:space="preserve">Scenario 1: Carrier-of-carriers. Under this model, ANDE would only provide services to other ISPs and telecom companies but not to the end user. </w:t>
      </w:r>
    </w:p>
    <w:p w14:paraId="6FA31118" w14:textId="77777777" w:rsidR="00DA2E66" w:rsidRPr="00DA2E66" w:rsidRDefault="00DA2E66" w:rsidP="00DA2E66">
      <w:pPr>
        <w:pStyle w:val="ListParagraph"/>
        <w:numPr>
          <w:ilvl w:val="0"/>
          <w:numId w:val="12"/>
        </w:numPr>
        <w:spacing w:before="120" w:after="120" w:line="240" w:lineRule="auto"/>
        <w:contextualSpacing w:val="0"/>
        <w:jc w:val="both"/>
        <w:rPr>
          <w:rFonts w:asciiTheme="minorHAnsi" w:hAnsiTheme="minorHAnsi" w:cs="Arial"/>
          <w:sz w:val="24"/>
          <w:lang w:val="en-US"/>
        </w:rPr>
      </w:pPr>
      <w:r w:rsidRPr="00DA2E66">
        <w:rPr>
          <w:rFonts w:asciiTheme="minorHAnsi" w:hAnsiTheme="minorHAnsi" w:cs="Arial"/>
          <w:sz w:val="24"/>
          <w:lang w:val="en-US"/>
        </w:rPr>
        <w:t xml:space="preserve">Scenario 2: Internet Service Provider. ANDE would develop capacities and infrastructure to provide internet service to end users. </w:t>
      </w:r>
    </w:p>
    <w:p w14:paraId="5DD3C937" w14:textId="77777777" w:rsidR="00DA2E66" w:rsidRPr="00DA2E66" w:rsidRDefault="00DA2E66" w:rsidP="00DA2E66">
      <w:pPr>
        <w:pStyle w:val="ListParagraph"/>
        <w:numPr>
          <w:ilvl w:val="0"/>
          <w:numId w:val="12"/>
        </w:numPr>
        <w:spacing w:before="120" w:after="120" w:line="240" w:lineRule="auto"/>
        <w:contextualSpacing w:val="0"/>
        <w:jc w:val="both"/>
        <w:rPr>
          <w:rFonts w:asciiTheme="minorHAnsi" w:hAnsiTheme="minorHAnsi" w:cs="Arial"/>
          <w:sz w:val="24"/>
          <w:lang w:val="en-US"/>
        </w:rPr>
      </w:pPr>
      <w:r w:rsidRPr="00DA2E66">
        <w:rPr>
          <w:rFonts w:asciiTheme="minorHAnsi" w:hAnsiTheme="minorHAnsi" w:cs="Arial"/>
          <w:sz w:val="24"/>
          <w:lang w:val="en-US"/>
        </w:rPr>
        <w:t>Scenario 3: Control Systems Provider. Under this model, ANDE would provide services of Control Systems for the operation and management of third-party infrastructure, taking advantage of its own SCADA system</w:t>
      </w:r>
    </w:p>
    <w:p w14:paraId="20DB3ACB" w14:textId="77777777" w:rsidR="00DA2E66" w:rsidRPr="00DA2E66" w:rsidRDefault="00DA2E66" w:rsidP="00DA2E66">
      <w:pPr>
        <w:pStyle w:val="ListParagraph"/>
        <w:numPr>
          <w:ilvl w:val="0"/>
          <w:numId w:val="12"/>
        </w:numPr>
        <w:spacing w:before="120" w:after="120" w:line="240" w:lineRule="auto"/>
        <w:contextualSpacing w:val="0"/>
        <w:jc w:val="both"/>
        <w:rPr>
          <w:rFonts w:asciiTheme="minorHAnsi" w:hAnsiTheme="minorHAnsi" w:cs="Arial"/>
          <w:sz w:val="24"/>
          <w:lang w:val="en-US"/>
        </w:rPr>
      </w:pPr>
      <w:r w:rsidRPr="00DA2E66">
        <w:rPr>
          <w:rFonts w:asciiTheme="minorHAnsi" w:hAnsiTheme="minorHAnsi" w:cs="Arial"/>
          <w:sz w:val="24"/>
          <w:lang w:val="en-US"/>
        </w:rPr>
        <w:t>Scenario 4: Information Systems Provider. Under this model, ANDE would provide storage and data processing services to third parties, taking advantage of its own Tier 3 data center</w:t>
      </w:r>
    </w:p>
    <w:p w14:paraId="3D57E9E0" w14:textId="7FEA1C93" w:rsidR="00DA2E66" w:rsidRDefault="00DA2E66" w:rsidP="002118B7">
      <w:pPr>
        <w:pStyle w:val="ListParagraph"/>
        <w:tabs>
          <w:tab w:val="num" w:pos="2088"/>
        </w:tabs>
        <w:spacing w:before="120" w:after="120" w:line="240" w:lineRule="auto"/>
        <w:ind w:left="0"/>
        <w:contextualSpacing w:val="0"/>
        <w:jc w:val="both"/>
        <w:rPr>
          <w:rFonts w:asciiTheme="minorHAnsi" w:hAnsiTheme="minorHAnsi" w:cs="Arial"/>
          <w:sz w:val="24"/>
          <w:lang w:val="en-US"/>
        </w:rPr>
      </w:pPr>
      <w:r w:rsidRPr="00DA2E66">
        <w:rPr>
          <w:rFonts w:asciiTheme="minorHAnsi" w:hAnsiTheme="minorHAnsi" w:cs="Arial"/>
          <w:sz w:val="24"/>
          <w:lang w:val="en-US"/>
        </w:rPr>
        <w:t>The design and modelling of the technology required for each scenario should be based on the socio-demographic characterization performed in Sub-component 1, on the analysis of the projected demand, and on the analysis of the current supply of the described services.</w:t>
      </w:r>
    </w:p>
    <w:p w14:paraId="5B44FF11" w14:textId="0202621C" w:rsidR="00DA2E66" w:rsidRPr="00DA2E66" w:rsidRDefault="00DA2E66" w:rsidP="00DA2E66">
      <w:pPr>
        <w:pStyle w:val="ListParagraph"/>
        <w:tabs>
          <w:tab w:val="num" w:pos="2088"/>
        </w:tabs>
        <w:spacing w:before="120" w:after="120" w:line="240" w:lineRule="auto"/>
        <w:ind w:left="0"/>
        <w:contextualSpacing w:val="0"/>
        <w:jc w:val="both"/>
        <w:rPr>
          <w:rFonts w:asciiTheme="minorHAnsi" w:hAnsiTheme="minorHAnsi" w:cs="Arial"/>
          <w:sz w:val="24"/>
          <w:lang w:val="en-US"/>
        </w:rPr>
      </w:pPr>
      <w:r>
        <w:rPr>
          <w:rFonts w:asciiTheme="minorHAnsi" w:hAnsiTheme="minorHAnsi" w:cs="Arial"/>
          <w:sz w:val="24"/>
          <w:lang w:val="en-US"/>
        </w:rPr>
        <w:t>C</w:t>
      </w:r>
      <w:r w:rsidRPr="00DA2E66">
        <w:rPr>
          <w:rFonts w:asciiTheme="minorHAnsi" w:hAnsiTheme="minorHAnsi" w:cs="Arial"/>
          <w:sz w:val="24"/>
          <w:lang w:val="en-US"/>
        </w:rPr>
        <w:t>omponent 3: Operational Model, Financial analysis and corresponding sensitivity analysis.</w:t>
      </w:r>
    </w:p>
    <w:p w14:paraId="00FA20FF" w14:textId="307A78C1" w:rsidR="00DA2E66" w:rsidRPr="00DA2E66" w:rsidRDefault="00DA2E66" w:rsidP="00DA2E66">
      <w:pPr>
        <w:pStyle w:val="ListParagraph"/>
        <w:tabs>
          <w:tab w:val="num" w:pos="2088"/>
        </w:tabs>
        <w:spacing w:before="120" w:after="120" w:line="240" w:lineRule="auto"/>
        <w:ind w:left="0"/>
        <w:contextualSpacing w:val="0"/>
        <w:jc w:val="both"/>
        <w:rPr>
          <w:rFonts w:asciiTheme="minorHAnsi" w:hAnsiTheme="minorHAnsi" w:cs="Arial"/>
          <w:sz w:val="24"/>
          <w:lang w:val="en-US"/>
        </w:rPr>
      </w:pPr>
      <w:r w:rsidRPr="00DA2E66">
        <w:rPr>
          <w:rFonts w:asciiTheme="minorHAnsi" w:hAnsiTheme="minorHAnsi" w:cs="Arial"/>
          <w:sz w:val="24"/>
          <w:lang w:val="en-US"/>
        </w:rPr>
        <w:t xml:space="preserve">This activity will assess the operational alternatives for each one of the 4 scenarios described above: Carrier-of-Carriers, Internet Service Provider, Control Systems Provider and Information Systems Provider.  The analysis will consider </w:t>
      </w:r>
      <w:proofErr w:type="spellStart"/>
      <w:r w:rsidRPr="00DA2E66">
        <w:rPr>
          <w:rFonts w:asciiTheme="minorHAnsi" w:hAnsiTheme="minorHAnsi" w:cs="Arial"/>
          <w:sz w:val="24"/>
          <w:lang w:val="en-US"/>
        </w:rPr>
        <w:t>these</w:t>
      </w:r>
      <w:proofErr w:type="spellEnd"/>
      <w:r w:rsidRPr="00DA2E66">
        <w:rPr>
          <w:rFonts w:asciiTheme="minorHAnsi" w:hAnsiTheme="minorHAnsi" w:cs="Arial"/>
          <w:sz w:val="24"/>
          <w:lang w:val="en-US"/>
        </w:rPr>
        <w:t xml:space="preserve"> </w:t>
      </w:r>
      <w:proofErr w:type="spellStart"/>
      <w:r w:rsidRPr="00DA2E66">
        <w:rPr>
          <w:rFonts w:asciiTheme="minorHAnsi" w:hAnsiTheme="minorHAnsi" w:cs="Arial"/>
          <w:sz w:val="24"/>
          <w:lang w:val="en-US"/>
        </w:rPr>
        <w:t>alternatives</w:t>
      </w:r>
      <w:proofErr w:type="spellEnd"/>
      <w:r w:rsidRPr="00DA2E66">
        <w:rPr>
          <w:rFonts w:asciiTheme="minorHAnsi" w:hAnsiTheme="minorHAnsi" w:cs="Arial"/>
          <w:sz w:val="24"/>
          <w:lang w:val="en-US"/>
        </w:rPr>
        <w:t>:</w:t>
      </w:r>
    </w:p>
    <w:p w14:paraId="16D086BE" w14:textId="77777777" w:rsidR="00DA2E66" w:rsidRPr="00DA2E66" w:rsidRDefault="00DA2E66" w:rsidP="00DA2E66">
      <w:pPr>
        <w:pStyle w:val="ListParagraph"/>
        <w:numPr>
          <w:ilvl w:val="0"/>
          <w:numId w:val="13"/>
        </w:numPr>
        <w:spacing w:before="120" w:after="120" w:line="240" w:lineRule="auto"/>
        <w:contextualSpacing w:val="0"/>
        <w:jc w:val="both"/>
        <w:rPr>
          <w:rFonts w:asciiTheme="minorHAnsi" w:hAnsiTheme="minorHAnsi" w:cs="Arial"/>
          <w:sz w:val="24"/>
          <w:lang w:val="en-US"/>
        </w:rPr>
      </w:pPr>
      <w:r w:rsidRPr="00DA2E66">
        <w:rPr>
          <w:rFonts w:asciiTheme="minorHAnsi" w:hAnsiTheme="minorHAnsi" w:cs="Arial"/>
          <w:sz w:val="24"/>
          <w:lang w:val="en-US"/>
        </w:rPr>
        <w:t>Maintaining existing staff and infrastructure. Provide recommended changes in the organization (structural and resources) to achieve the goal optimally.</w:t>
      </w:r>
    </w:p>
    <w:p w14:paraId="58CDF207" w14:textId="77777777" w:rsidR="00DA2E66" w:rsidRPr="00DA2E66" w:rsidRDefault="00DA2E66" w:rsidP="00DA2E66">
      <w:pPr>
        <w:pStyle w:val="ListParagraph"/>
        <w:numPr>
          <w:ilvl w:val="0"/>
          <w:numId w:val="13"/>
        </w:numPr>
        <w:spacing w:before="120" w:after="120" w:line="240" w:lineRule="auto"/>
        <w:contextualSpacing w:val="0"/>
        <w:jc w:val="both"/>
        <w:rPr>
          <w:rFonts w:asciiTheme="minorHAnsi" w:hAnsiTheme="minorHAnsi" w:cs="Arial"/>
          <w:sz w:val="24"/>
          <w:lang w:val="en-US"/>
        </w:rPr>
      </w:pPr>
      <w:r w:rsidRPr="00DA2E66">
        <w:rPr>
          <w:rFonts w:asciiTheme="minorHAnsi" w:hAnsiTheme="minorHAnsi" w:cs="Arial"/>
          <w:sz w:val="24"/>
          <w:lang w:val="en-US"/>
        </w:rPr>
        <w:t>With a new structure (legal status, human and material resources, budget, etc.) where ANDE owns 100%.</w:t>
      </w:r>
    </w:p>
    <w:p w14:paraId="6FCAD510" w14:textId="77777777" w:rsidR="00DA2E66" w:rsidRPr="00DA2E66" w:rsidRDefault="00DA2E66" w:rsidP="00DA2E66">
      <w:pPr>
        <w:pStyle w:val="ListParagraph"/>
        <w:numPr>
          <w:ilvl w:val="0"/>
          <w:numId w:val="13"/>
        </w:numPr>
        <w:spacing w:before="120" w:after="120" w:line="240" w:lineRule="auto"/>
        <w:contextualSpacing w:val="0"/>
        <w:jc w:val="both"/>
        <w:rPr>
          <w:rFonts w:asciiTheme="minorHAnsi" w:hAnsiTheme="minorHAnsi" w:cs="Arial"/>
          <w:sz w:val="24"/>
          <w:lang w:val="en-US"/>
        </w:rPr>
      </w:pPr>
      <w:r w:rsidRPr="00DA2E66">
        <w:rPr>
          <w:rFonts w:asciiTheme="minorHAnsi" w:hAnsiTheme="minorHAnsi" w:cs="Arial"/>
          <w:sz w:val="24"/>
          <w:lang w:val="en-US"/>
        </w:rPr>
        <w:t>Through a commercial association (Join-Venture) with public companies (Example: ANDE - COPACO S.A.), including a recommendation of the distribution of the utilities corresponding to ANDE.</w:t>
      </w:r>
    </w:p>
    <w:p w14:paraId="535CB927" w14:textId="77777777" w:rsidR="00DA2E66" w:rsidRPr="00DA2E66" w:rsidRDefault="00DA2E66" w:rsidP="00DA2E66">
      <w:pPr>
        <w:pStyle w:val="ListParagraph"/>
        <w:numPr>
          <w:ilvl w:val="0"/>
          <w:numId w:val="13"/>
        </w:numPr>
        <w:spacing w:before="120" w:after="120" w:line="240" w:lineRule="auto"/>
        <w:contextualSpacing w:val="0"/>
        <w:jc w:val="both"/>
        <w:rPr>
          <w:rFonts w:asciiTheme="minorHAnsi" w:hAnsiTheme="minorHAnsi" w:cs="Arial"/>
          <w:sz w:val="24"/>
          <w:lang w:val="en-US"/>
        </w:rPr>
      </w:pPr>
      <w:r w:rsidRPr="00DA2E66">
        <w:rPr>
          <w:rFonts w:asciiTheme="minorHAnsi" w:hAnsiTheme="minorHAnsi" w:cs="Arial"/>
          <w:sz w:val="24"/>
          <w:lang w:val="en-US"/>
        </w:rPr>
        <w:t>Through a commercial association (Join-Venture) with private companies (Example: ANDE - Mobile Operator), including a recommendation of the distribution of the utilities corresponding to ANDE.</w:t>
      </w:r>
    </w:p>
    <w:p w14:paraId="5357291D" w14:textId="51D12529" w:rsidR="00DA2E66" w:rsidRDefault="00DA2E66" w:rsidP="002118B7">
      <w:pPr>
        <w:pStyle w:val="ListParagraph"/>
        <w:tabs>
          <w:tab w:val="num" w:pos="2088"/>
        </w:tabs>
        <w:spacing w:before="120" w:after="120" w:line="240" w:lineRule="auto"/>
        <w:ind w:left="0"/>
        <w:contextualSpacing w:val="0"/>
        <w:jc w:val="both"/>
        <w:rPr>
          <w:rFonts w:asciiTheme="minorHAnsi" w:hAnsiTheme="minorHAnsi" w:cs="Arial"/>
          <w:sz w:val="24"/>
          <w:lang w:val="en-US"/>
        </w:rPr>
      </w:pPr>
    </w:p>
    <w:p w14:paraId="369DDED1" w14:textId="1F3F5158" w:rsidR="00DA2E66" w:rsidRPr="00DA2E66" w:rsidRDefault="00DA2E66" w:rsidP="00DA2E66">
      <w:pPr>
        <w:pStyle w:val="ListParagraph"/>
        <w:tabs>
          <w:tab w:val="num" w:pos="2088"/>
        </w:tabs>
        <w:spacing w:before="120" w:after="120" w:line="240" w:lineRule="auto"/>
        <w:ind w:left="0"/>
        <w:contextualSpacing w:val="0"/>
        <w:jc w:val="both"/>
        <w:rPr>
          <w:rFonts w:asciiTheme="minorHAnsi" w:hAnsiTheme="minorHAnsi" w:cs="Arial"/>
          <w:sz w:val="24"/>
          <w:lang w:val="en-US"/>
        </w:rPr>
      </w:pPr>
      <w:r w:rsidRPr="00DA2E66">
        <w:rPr>
          <w:rFonts w:asciiTheme="minorHAnsi" w:hAnsiTheme="minorHAnsi" w:cs="Arial"/>
          <w:sz w:val="24"/>
          <w:lang w:val="en-US"/>
        </w:rPr>
        <w:t xml:space="preserve">Based on the analysis conducted in the </w:t>
      </w:r>
      <w:r>
        <w:rPr>
          <w:rFonts w:asciiTheme="minorHAnsi" w:hAnsiTheme="minorHAnsi" w:cs="Arial"/>
          <w:sz w:val="24"/>
          <w:lang w:val="en-US"/>
        </w:rPr>
        <w:t>C</w:t>
      </w:r>
      <w:r w:rsidRPr="00DA2E66">
        <w:rPr>
          <w:rFonts w:asciiTheme="minorHAnsi" w:hAnsiTheme="minorHAnsi" w:cs="Arial"/>
          <w:sz w:val="24"/>
          <w:lang w:val="en-US"/>
        </w:rPr>
        <w:t xml:space="preserve">omponents 2 and 3, a financial study should be conducted estimating the investments (CAPEX) and operating costs (OPEX) associated with each one of the projected scenarios: Carrier-of-Carriers, Internet Service Provider, Control Systems Provider and Information Systems Provider.. The financial analysis on the backbone should be a single one (CAPEX and OPEX). As for the backhaul and last-mile networks, there should be one financial analysis per city (CAPEX and OPEX). The analysis should clearly identify all unitary costs of the elements involved (e.g. cost of node, cost of kilometer of fiber optic, etc.). The model should also provide the functionality to switch between different technological alternatives in different areas, providing the specific financial analysis for each of them. </w:t>
      </w:r>
    </w:p>
    <w:p w14:paraId="6179DB0E" w14:textId="5B2068B8" w:rsidR="00DA2E66" w:rsidRPr="00DA2E66" w:rsidRDefault="00DA2E66" w:rsidP="00DA2E66">
      <w:pPr>
        <w:pStyle w:val="ListParagraph"/>
        <w:tabs>
          <w:tab w:val="num" w:pos="2088"/>
        </w:tabs>
        <w:spacing w:before="120" w:after="120" w:line="240" w:lineRule="auto"/>
        <w:ind w:left="0"/>
        <w:contextualSpacing w:val="0"/>
        <w:jc w:val="both"/>
        <w:rPr>
          <w:rFonts w:asciiTheme="minorHAnsi" w:hAnsiTheme="minorHAnsi" w:cs="Arial"/>
          <w:sz w:val="24"/>
          <w:lang w:val="en-US"/>
        </w:rPr>
      </w:pPr>
      <w:r w:rsidRPr="00DA2E66">
        <w:rPr>
          <w:rFonts w:asciiTheme="minorHAnsi" w:hAnsiTheme="minorHAnsi" w:cs="Arial"/>
          <w:sz w:val="24"/>
          <w:lang w:val="en-US"/>
        </w:rPr>
        <w:t xml:space="preserve">Findings of the financial model should be summarized in the financial study. The Financial study should </w:t>
      </w:r>
      <w:proofErr w:type="spellStart"/>
      <w:r w:rsidRPr="00DA2E66">
        <w:rPr>
          <w:rFonts w:asciiTheme="minorHAnsi" w:hAnsiTheme="minorHAnsi" w:cs="Arial"/>
          <w:sz w:val="24"/>
          <w:lang w:val="en-US"/>
        </w:rPr>
        <w:t>additionally</w:t>
      </w:r>
      <w:proofErr w:type="spellEnd"/>
      <w:r w:rsidRPr="00DA2E66">
        <w:rPr>
          <w:rFonts w:asciiTheme="minorHAnsi" w:hAnsiTheme="minorHAnsi" w:cs="Arial"/>
          <w:sz w:val="24"/>
          <w:lang w:val="en-US"/>
        </w:rPr>
        <w:t xml:space="preserve"> </w:t>
      </w:r>
      <w:proofErr w:type="spellStart"/>
      <w:r w:rsidRPr="00DA2E66">
        <w:rPr>
          <w:rFonts w:asciiTheme="minorHAnsi" w:hAnsiTheme="minorHAnsi" w:cs="Arial"/>
          <w:sz w:val="24"/>
          <w:lang w:val="en-US"/>
        </w:rPr>
        <w:t>include</w:t>
      </w:r>
      <w:proofErr w:type="spellEnd"/>
      <w:r w:rsidRPr="00DA2E66">
        <w:rPr>
          <w:rFonts w:asciiTheme="minorHAnsi" w:hAnsiTheme="minorHAnsi" w:cs="Arial"/>
          <w:sz w:val="24"/>
          <w:lang w:val="en-US"/>
        </w:rPr>
        <w:t xml:space="preserve"> / </w:t>
      </w:r>
      <w:proofErr w:type="spellStart"/>
      <w:r w:rsidRPr="00DA2E66">
        <w:rPr>
          <w:rFonts w:asciiTheme="minorHAnsi" w:hAnsiTheme="minorHAnsi" w:cs="Arial"/>
          <w:sz w:val="24"/>
          <w:lang w:val="en-US"/>
        </w:rPr>
        <w:t>develop</w:t>
      </w:r>
      <w:proofErr w:type="spellEnd"/>
      <w:r w:rsidRPr="00DA2E66">
        <w:rPr>
          <w:rFonts w:asciiTheme="minorHAnsi" w:hAnsiTheme="minorHAnsi" w:cs="Arial"/>
          <w:sz w:val="24"/>
          <w:lang w:val="en-US"/>
        </w:rPr>
        <w:t>:</w:t>
      </w:r>
    </w:p>
    <w:p w14:paraId="1AD5A4D8" w14:textId="77777777" w:rsidR="00DA2E66" w:rsidRPr="00DA2E66" w:rsidRDefault="00DA2E66" w:rsidP="00DA2E66">
      <w:pPr>
        <w:pStyle w:val="ListParagraph"/>
        <w:numPr>
          <w:ilvl w:val="0"/>
          <w:numId w:val="15"/>
        </w:numPr>
        <w:spacing w:before="120" w:after="120" w:line="240" w:lineRule="auto"/>
        <w:contextualSpacing w:val="0"/>
        <w:jc w:val="both"/>
        <w:rPr>
          <w:rFonts w:asciiTheme="minorHAnsi" w:hAnsiTheme="minorHAnsi" w:cs="Arial"/>
          <w:sz w:val="24"/>
          <w:lang w:val="en-US"/>
        </w:rPr>
      </w:pPr>
      <w:r w:rsidRPr="00DA2E66">
        <w:rPr>
          <w:rFonts w:asciiTheme="minorHAnsi" w:hAnsiTheme="minorHAnsi" w:cs="Arial"/>
          <w:sz w:val="24"/>
          <w:lang w:val="en-US"/>
        </w:rPr>
        <w:t>business model and an implementation model for the network;</w:t>
      </w:r>
    </w:p>
    <w:p w14:paraId="1121B682" w14:textId="77777777" w:rsidR="00DA2E66" w:rsidRPr="00DA2E66" w:rsidRDefault="00DA2E66" w:rsidP="00DA2E66">
      <w:pPr>
        <w:pStyle w:val="ListParagraph"/>
        <w:numPr>
          <w:ilvl w:val="0"/>
          <w:numId w:val="15"/>
        </w:numPr>
        <w:spacing w:before="120" w:after="120" w:line="240" w:lineRule="auto"/>
        <w:contextualSpacing w:val="0"/>
        <w:jc w:val="both"/>
        <w:rPr>
          <w:rFonts w:asciiTheme="minorHAnsi" w:hAnsiTheme="minorHAnsi" w:cs="Arial"/>
          <w:sz w:val="24"/>
          <w:lang w:val="en-US"/>
        </w:rPr>
      </w:pPr>
      <w:r w:rsidRPr="00DA2E66">
        <w:rPr>
          <w:rFonts w:asciiTheme="minorHAnsi" w:hAnsiTheme="minorHAnsi" w:cs="Arial"/>
          <w:sz w:val="24"/>
          <w:lang w:val="en-US"/>
        </w:rPr>
        <w:t xml:space="preserve">estimation of the revenues associated per scenario according to the projected demand; and  </w:t>
      </w:r>
    </w:p>
    <w:p w14:paraId="55634A01" w14:textId="77777777" w:rsidR="00DA2E66" w:rsidRPr="00DA2E66" w:rsidRDefault="00DA2E66" w:rsidP="00DA2E66">
      <w:pPr>
        <w:pStyle w:val="ListParagraph"/>
        <w:numPr>
          <w:ilvl w:val="0"/>
          <w:numId w:val="15"/>
        </w:numPr>
        <w:spacing w:before="120" w:after="120" w:line="240" w:lineRule="auto"/>
        <w:contextualSpacing w:val="0"/>
        <w:jc w:val="both"/>
        <w:rPr>
          <w:rFonts w:asciiTheme="minorHAnsi" w:hAnsiTheme="minorHAnsi" w:cs="Arial"/>
          <w:sz w:val="24"/>
          <w:lang w:val="en-US"/>
        </w:rPr>
      </w:pPr>
      <w:r w:rsidRPr="00DA2E66">
        <w:rPr>
          <w:rFonts w:asciiTheme="minorHAnsi" w:hAnsiTheme="minorHAnsi" w:cs="Arial"/>
          <w:sz w:val="24"/>
          <w:lang w:val="en-US"/>
        </w:rPr>
        <w:lastRenderedPageBreak/>
        <w:t>estimation of the Net Present Value (NPV), Internal Rate of Return (IRR) associated with each of the proposed investments, including the break-even point given the estimated cash flows for each of the alternatives identified;</w:t>
      </w:r>
    </w:p>
    <w:p w14:paraId="5D1AEBB7" w14:textId="77777777" w:rsidR="00DA2E66" w:rsidRPr="00DA2E66" w:rsidRDefault="00DA2E66" w:rsidP="00DA2E66">
      <w:pPr>
        <w:pStyle w:val="ListParagraph"/>
        <w:numPr>
          <w:ilvl w:val="0"/>
          <w:numId w:val="15"/>
        </w:numPr>
        <w:spacing w:before="120" w:after="120" w:line="240" w:lineRule="auto"/>
        <w:contextualSpacing w:val="0"/>
        <w:jc w:val="both"/>
        <w:rPr>
          <w:rFonts w:asciiTheme="minorHAnsi" w:hAnsiTheme="minorHAnsi" w:cs="Arial"/>
          <w:sz w:val="24"/>
          <w:lang w:val="en-US"/>
        </w:rPr>
      </w:pPr>
      <w:r w:rsidRPr="00DA2E66">
        <w:rPr>
          <w:rFonts w:asciiTheme="minorHAnsi" w:hAnsiTheme="minorHAnsi" w:cs="Arial"/>
          <w:sz w:val="24"/>
          <w:lang w:val="en-US"/>
        </w:rPr>
        <w:t xml:space="preserve">estimations should be accompanied by the corresponding conclusions specifically with regard to the recommendations on the technology alternatives chosen for each of the scenarios, networks and geographies, indicating the PROS and CONS of each technology beyond the mere cost-efficient approach. </w:t>
      </w:r>
    </w:p>
    <w:p w14:paraId="5F8B77C0" w14:textId="2DAED74F" w:rsidR="00DA2E66" w:rsidRDefault="00DA2E66" w:rsidP="002118B7">
      <w:pPr>
        <w:pStyle w:val="ListParagraph"/>
        <w:tabs>
          <w:tab w:val="num" w:pos="2088"/>
        </w:tabs>
        <w:spacing w:before="120" w:after="120" w:line="240" w:lineRule="auto"/>
        <w:ind w:left="0"/>
        <w:contextualSpacing w:val="0"/>
        <w:jc w:val="both"/>
        <w:rPr>
          <w:rFonts w:asciiTheme="minorHAnsi" w:hAnsiTheme="minorHAnsi" w:cs="Arial"/>
          <w:sz w:val="24"/>
          <w:lang w:val="en-US"/>
        </w:rPr>
      </w:pPr>
    </w:p>
    <w:p w14:paraId="769A9D10" w14:textId="1218DAB5" w:rsidR="00DA2E66" w:rsidRPr="00DA2E66" w:rsidRDefault="00DA2E66" w:rsidP="00DA2E66">
      <w:pPr>
        <w:pStyle w:val="ListParagraph"/>
        <w:tabs>
          <w:tab w:val="num" w:pos="2088"/>
        </w:tabs>
        <w:spacing w:before="120" w:after="120" w:line="240" w:lineRule="auto"/>
        <w:ind w:left="0"/>
        <w:contextualSpacing w:val="0"/>
        <w:jc w:val="both"/>
        <w:rPr>
          <w:rFonts w:asciiTheme="minorHAnsi" w:hAnsiTheme="minorHAnsi" w:cs="Arial"/>
          <w:sz w:val="24"/>
          <w:lang w:val="en-US"/>
        </w:rPr>
      </w:pPr>
      <w:r>
        <w:rPr>
          <w:rFonts w:asciiTheme="minorHAnsi" w:hAnsiTheme="minorHAnsi" w:cs="Arial"/>
          <w:sz w:val="24"/>
          <w:lang w:val="en-US"/>
        </w:rPr>
        <w:t>C</w:t>
      </w:r>
      <w:r w:rsidRPr="00DA2E66">
        <w:rPr>
          <w:rFonts w:asciiTheme="minorHAnsi" w:hAnsiTheme="minorHAnsi" w:cs="Arial"/>
          <w:sz w:val="24"/>
          <w:lang w:val="en-US"/>
        </w:rPr>
        <w:t>omponent 4: Recommendations</w:t>
      </w:r>
    </w:p>
    <w:p w14:paraId="248873D0" w14:textId="5E8B0348" w:rsidR="00DA2E66" w:rsidRPr="00DA2E66" w:rsidRDefault="00DA2E66" w:rsidP="00DA2E66">
      <w:pPr>
        <w:pStyle w:val="ListParagraph"/>
        <w:tabs>
          <w:tab w:val="num" w:pos="2088"/>
        </w:tabs>
        <w:spacing w:before="120" w:after="120" w:line="240" w:lineRule="auto"/>
        <w:ind w:left="0"/>
        <w:contextualSpacing w:val="0"/>
        <w:jc w:val="both"/>
        <w:rPr>
          <w:rFonts w:asciiTheme="minorHAnsi" w:hAnsiTheme="minorHAnsi" w:cs="Arial"/>
          <w:sz w:val="24"/>
          <w:lang w:val="en-US"/>
        </w:rPr>
      </w:pPr>
      <w:r w:rsidRPr="00DA2E66">
        <w:rPr>
          <w:rFonts w:asciiTheme="minorHAnsi" w:hAnsiTheme="minorHAnsi" w:cs="Arial"/>
          <w:sz w:val="24"/>
          <w:lang w:val="en-US"/>
        </w:rPr>
        <w:t>Taking into account the analysis performed under the above sub-components, Recommendations should summarize key findings per sub-component and formulate a set of comprehensive recommendations aimed to inform preparation of the Action plan for implementation of the new ANDE business model/s. Recommendations should as well facilitate the identification of the PPPs that can provide the needed investment.</w:t>
      </w:r>
    </w:p>
    <w:p w14:paraId="21CFB5ED" w14:textId="77777777" w:rsidR="00DA2E66" w:rsidRPr="00DA2E66" w:rsidRDefault="00DA2E66" w:rsidP="00DA2E66">
      <w:pPr>
        <w:pStyle w:val="ListParagraph"/>
        <w:tabs>
          <w:tab w:val="num" w:pos="2088"/>
        </w:tabs>
        <w:spacing w:before="120" w:after="120" w:line="240" w:lineRule="auto"/>
        <w:ind w:left="0"/>
        <w:contextualSpacing w:val="0"/>
        <w:jc w:val="both"/>
        <w:rPr>
          <w:rFonts w:asciiTheme="minorHAnsi" w:hAnsiTheme="minorHAnsi" w:cs="Arial"/>
          <w:sz w:val="24"/>
          <w:lang w:val="en-US"/>
        </w:rPr>
      </w:pPr>
      <w:r w:rsidRPr="00DA2E66">
        <w:rPr>
          <w:rFonts w:asciiTheme="minorHAnsi" w:hAnsiTheme="minorHAnsi" w:cs="Arial"/>
          <w:sz w:val="24"/>
          <w:lang w:val="en-US"/>
        </w:rPr>
        <w:t>The Recommendations should be discussed and consulted in a public workshop organized in Paraguay.</w:t>
      </w:r>
    </w:p>
    <w:p w14:paraId="388303E3" w14:textId="1609BD79" w:rsidR="00DA2E66" w:rsidRDefault="00DA2E66" w:rsidP="00DA2E66">
      <w:pPr>
        <w:jc w:val="center"/>
        <w:rPr>
          <w:rFonts w:ascii="Times New Roman" w:hAnsi="Times New Roman" w:cs="Times New Roman"/>
          <w:b/>
        </w:rPr>
      </w:pPr>
      <w:r w:rsidRPr="00500758">
        <w:rPr>
          <w:rFonts w:ascii="Times New Roman" w:hAnsi="Times New Roman" w:cs="Times New Roman"/>
          <w:b/>
        </w:rPr>
        <w:t>IV. PROJECT MANAGEMENT</w:t>
      </w:r>
    </w:p>
    <w:p w14:paraId="0EB6760B" w14:textId="77777777" w:rsidR="00DA2E66" w:rsidRPr="00500758" w:rsidRDefault="00DA2E66" w:rsidP="00DA2E66">
      <w:pPr>
        <w:jc w:val="center"/>
        <w:rPr>
          <w:rFonts w:ascii="Times New Roman" w:hAnsi="Times New Roman" w:cs="Times New Roman"/>
          <w:b/>
        </w:rPr>
      </w:pPr>
    </w:p>
    <w:p w14:paraId="1538FD8D" w14:textId="77777777" w:rsidR="00DA2E66" w:rsidRPr="00DA2E66" w:rsidRDefault="00DA2E66" w:rsidP="00DA2E66">
      <w:pPr>
        <w:pStyle w:val="ListParagraph"/>
        <w:numPr>
          <w:ilvl w:val="0"/>
          <w:numId w:val="17"/>
        </w:numPr>
        <w:spacing w:line="240" w:lineRule="auto"/>
        <w:ind w:hanging="720"/>
        <w:jc w:val="both"/>
        <w:rPr>
          <w:rFonts w:asciiTheme="minorHAnsi" w:hAnsiTheme="minorHAnsi"/>
          <w:sz w:val="24"/>
          <w:szCs w:val="24"/>
          <w:lang w:val="en-US"/>
        </w:rPr>
      </w:pPr>
      <w:r w:rsidRPr="00DA2E66">
        <w:rPr>
          <w:rFonts w:asciiTheme="minorHAnsi" w:hAnsiTheme="minorHAnsi"/>
          <w:sz w:val="24"/>
          <w:szCs w:val="24"/>
          <w:lang w:val="en-US"/>
        </w:rPr>
        <w:t>Prospective Consulting Firm should define and implement appropriate management mechanisms, sound planning, and resource allocation, according to the proven expertise and prior knowledge of the subject;</w:t>
      </w:r>
    </w:p>
    <w:p w14:paraId="4663B4C8" w14:textId="77777777" w:rsidR="00DA2E66" w:rsidRPr="00DA2E66" w:rsidRDefault="00DA2E66" w:rsidP="00DA2E66">
      <w:pPr>
        <w:pStyle w:val="ListParagraph"/>
        <w:numPr>
          <w:ilvl w:val="0"/>
          <w:numId w:val="17"/>
        </w:numPr>
        <w:spacing w:line="240" w:lineRule="auto"/>
        <w:ind w:hanging="720"/>
        <w:jc w:val="both"/>
        <w:rPr>
          <w:rFonts w:asciiTheme="minorHAnsi" w:hAnsiTheme="minorHAnsi"/>
          <w:sz w:val="24"/>
          <w:szCs w:val="24"/>
          <w:lang w:val="en-US"/>
        </w:rPr>
      </w:pPr>
      <w:r w:rsidRPr="00DA2E66">
        <w:rPr>
          <w:rFonts w:asciiTheme="minorHAnsi" w:hAnsiTheme="minorHAnsi"/>
          <w:sz w:val="24"/>
          <w:szCs w:val="24"/>
          <w:lang w:val="en-US"/>
        </w:rPr>
        <w:t>As part of this task, the Consulting Firm should also provide justification for subcontracting, if required, interact with ANDE, CONATEL and DINAPI staff, and provide regular management reporting. This will ensure the punctual delivery of high quality results of the work within the budget allocated;</w:t>
      </w:r>
    </w:p>
    <w:p w14:paraId="7A1B3D16" w14:textId="77777777" w:rsidR="00DA2E66" w:rsidRPr="00DA2E66" w:rsidRDefault="00DA2E66" w:rsidP="00DA2E66">
      <w:pPr>
        <w:pStyle w:val="ListParagraph"/>
        <w:numPr>
          <w:ilvl w:val="0"/>
          <w:numId w:val="17"/>
        </w:numPr>
        <w:spacing w:line="240" w:lineRule="auto"/>
        <w:ind w:hanging="720"/>
        <w:contextualSpacing w:val="0"/>
        <w:jc w:val="both"/>
        <w:rPr>
          <w:rFonts w:asciiTheme="minorHAnsi" w:hAnsiTheme="minorHAnsi"/>
          <w:sz w:val="24"/>
          <w:szCs w:val="24"/>
          <w:lang w:val="en-US"/>
        </w:rPr>
      </w:pPr>
      <w:r w:rsidRPr="00DA2E66">
        <w:rPr>
          <w:rFonts w:asciiTheme="minorHAnsi" w:hAnsiTheme="minorHAnsi"/>
          <w:sz w:val="24"/>
          <w:szCs w:val="24"/>
          <w:lang w:val="en-US"/>
        </w:rPr>
        <w:t>The prospective Consulting Firm is expected to submit to ANDE, CONATEL and DINAPI detailed Gantt Charts and accompanying documentation with sufficient details including:</w:t>
      </w:r>
    </w:p>
    <w:p w14:paraId="02036C6F" w14:textId="77777777" w:rsidR="00DA2E66" w:rsidRPr="00DA2E66" w:rsidRDefault="00DA2E66" w:rsidP="00DA2E66">
      <w:pPr>
        <w:pStyle w:val="ListParagraph"/>
        <w:numPr>
          <w:ilvl w:val="0"/>
          <w:numId w:val="16"/>
        </w:numPr>
        <w:spacing w:line="240" w:lineRule="auto"/>
        <w:jc w:val="both"/>
        <w:rPr>
          <w:rFonts w:asciiTheme="minorHAnsi" w:hAnsiTheme="minorHAnsi"/>
          <w:sz w:val="24"/>
          <w:szCs w:val="24"/>
          <w:lang w:val="en-US"/>
        </w:rPr>
      </w:pPr>
      <w:r w:rsidRPr="00DA2E66">
        <w:rPr>
          <w:rFonts w:asciiTheme="minorHAnsi" w:hAnsiTheme="minorHAnsi"/>
          <w:sz w:val="24"/>
          <w:szCs w:val="24"/>
          <w:lang w:val="en-US"/>
        </w:rPr>
        <w:t>Scheduling of all Objectives, Outputs, and Activities within the Outputs;</w:t>
      </w:r>
    </w:p>
    <w:p w14:paraId="5863801E" w14:textId="77777777" w:rsidR="00DA2E66" w:rsidRPr="00DA2E66" w:rsidRDefault="00DA2E66" w:rsidP="00DA2E66">
      <w:pPr>
        <w:pStyle w:val="ListParagraph"/>
        <w:numPr>
          <w:ilvl w:val="0"/>
          <w:numId w:val="16"/>
        </w:numPr>
        <w:spacing w:line="240" w:lineRule="auto"/>
        <w:jc w:val="both"/>
        <w:rPr>
          <w:rFonts w:asciiTheme="minorHAnsi" w:hAnsiTheme="minorHAnsi"/>
          <w:sz w:val="24"/>
          <w:szCs w:val="24"/>
          <w:lang w:val="en-US"/>
        </w:rPr>
      </w:pPr>
      <w:r w:rsidRPr="00DA2E66">
        <w:rPr>
          <w:rFonts w:asciiTheme="minorHAnsi" w:hAnsiTheme="minorHAnsi"/>
          <w:sz w:val="24"/>
          <w:szCs w:val="24"/>
          <w:lang w:val="en-US"/>
        </w:rPr>
        <w:t>Identification of milestones and critical activities;</w:t>
      </w:r>
    </w:p>
    <w:p w14:paraId="7C36D5AA" w14:textId="77777777" w:rsidR="00DA2E66" w:rsidRPr="00DA2E66" w:rsidRDefault="00DA2E66" w:rsidP="00DA2E66">
      <w:pPr>
        <w:pStyle w:val="ListParagraph"/>
        <w:numPr>
          <w:ilvl w:val="0"/>
          <w:numId w:val="16"/>
        </w:numPr>
        <w:spacing w:line="240" w:lineRule="auto"/>
        <w:jc w:val="both"/>
        <w:rPr>
          <w:rFonts w:asciiTheme="minorHAnsi" w:hAnsiTheme="minorHAnsi"/>
          <w:sz w:val="24"/>
          <w:szCs w:val="24"/>
          <w:lang w:val="en-US"/>
        </w:rPr>
      </w:pPr>
      <w:r w:rsidRPr="00DA2E66">
        <w:rPr>
          <w:rFonts w:asciiTheme="minorHAnsi" w:hAnsiTheme="minorHAnsi"/>
          <w:sz w:val="24"/>
          <w:szCs w:val="24"/>
          <w:lang w:val="en-US"/>
        </w:rPr>
        <w:t>Assignment of experts and man-days v. outputs and activities;</w:t>
      </w:r>
    </w:p>
    <w:p w14:paraId="5EAFD8A3" w14:textId="77777777" w:rsidR="00DA2E66" w:rsidRPr="00DA2E66" w:rsidRDefault="00DA2E66" w:rsidP="00DA2E66">
      <w:pPr>
        <w:pStyle w:val="ListParagraph"/>
        <w:numPr>
          <w:ilvl w:val="0"/>
          <w:numId w:val="16"/>
        </w:numPr>
        <w:spacing w:line="240" w:lineRule="auto"/>
        <w:jc w:val="both"/>
        <w:rPr>
          <w:rFonts w:asciiTheme="minorHAnsi" w:hAnsiTheme="minorHAnsi"/>
          <w:sz w:val="24"/>
          <w:szCs w:val="24"/>
          <w:lang w:val="en-US"/>
        </w:rPr>
      </w:pPr>
      <w:r w:rsidRPr="00DA2E66">
        <w:rPr>
          <w:rFonts w:asciiTheme="minorHAnsi" w:hAnsiTheme="minorHAnsi"/>
          <w:sz w:val="24"/>
          <w:szCs w:val="24"/>
          <w:lang w:val="en-US"/>
        </w:rPr>
        <w:t>Identification of possible risks and suggestions to mitigate them;</w:t>
      </w:r>
    </w:p>
    <w:p w14:paraId="1B16C50D" w14:textId="77777777" w:rsidR="00DA2E66" w:rsidRPr="00DA2E66" w:rsidRDefault="00DA2E66" w:rsidP="00DA2E66">
      <w:pPr>
        <w:pStyle w:val="ListParagraph"/>
        <w:numPr>
          <w:ilvl w:val="0"/>
          <w:numId w:val="16"/>
        </w:numPr>
        <w:spacing w:line="240" w:lineRule="auto"/>
        <w:jc w:val="both"/>
        <w:rPr>
          <w:rFonts w:asciiTheme="minorHAnsi" w:hAnsiTheme="minorHAnsi"/>
          <w:sz w:val="24"/>
          <w:szCs w:val="24"/>
          <w:lang w:val="en-US"/>
        </w:rPr>
      </w:pPr>
      <w:r w:rsidRPr="00DA2E66">
        <w:rPr>
          <w:rFonts w:asciiTheme="minorHAnsi" w:hAnsiTheme="minorHAnsi"/>
          <w:sz w:val="24"/>
          <w:szCs w:val="24"/>
          <w:lang w:val="en-US"/>
        </w:rPr>
        <w:t>Quality assurance and peer review measures to ensure high quality results;</w:t>
      </w:r>
    </w:p>
    <w:p w14:paraId="53924369" w14:textId="77777777" w:rsidR="00DA2E66" w:rsidRPr="00DA2E66" w:rsidRDefault="00DA2E66" w:rsidP="00DA2E66">
      <w:pPr>
        <w:pStyle w:val="ListParagraph"/>
        <w:numPr>
          <w:ilvl w:val="0"/>
          <w:numId w:val="16"/>
        </w:numPr>
        <w:spacing w:line="240" w:lineRule="auto"/>
        <w:jc w:val="both"/>
        <w:rPr>
          <w:rFonts w:asciiTheme="minorHAnsi" w:hAnsiTheme="minorHAnsi"/>
          <w:sz w:val="24"/>
          <w:szCs w:val="24"/>
          <w:lang w:val="en-US"/>
        </w:rPr>
      </w:pPr>
      <w:r w:rsidRPr="00DA2E66">
        <w:rPr>
          <w:rFonts w:asciiTheme="minorHAnsi" w:hAnsiTheme="minorHAnsi"/>
          <w:sz w:val="24"/>
          <w:szCs w:val="24"/>
          <w:lang w:val="en-US"/>
        </w:rPr>
        <w:t>Detailed information on the expertise of the contractors on the tasks and topics of this tender including references to previous, relevant projects;</w:t>
      </w:r>
    </w:p>
    <w:p w14:paraId="2D30FC1F" w14:textId="77777777" w:rsidR="00DA2E66" w:rsidRPr="00DA2E66" w:rsidRDefault="00DA2E66" w:rsidP="00DA2E66">
      <w:pPr>
        <w:pStyle w:val="ListParagraph"/>
        <w:numPr>
          <w:ilvl w:val="0"/>
          <w:numId w:val="16"/>
        </w:numPr>
        <w:spacing w:line="240" w:lineRule="auto"/>
        <w:jc w:val="both"/>
        <w:rPr>
          <w:rFonts w:asciiTheme="minorHAnsi" w:hAnsiTheme="minorHAnsi"/>
          <w:sz w:val="24"/>
          <w:szCs w:val="24"/>
          <w:lang w:val="en-US"/>
        </w:rPr>
      </w:pPr>
      <w:r w:rsidRPr="00DA2E66">
        <w:rPr>
          <w:rFonts w:asciiTheme="minorHAnsi" w:hAnsiTheme="minorHAnsi"/>
          <w:sz w:val="24"/>
          <w:szCs w:val="24"/>
          <w:lang w:val="en-US"/>
        </w:rPr>
        <w:t>Detailed CVs of the experts proposed to be involved in all activities of the project.</w:t>
      </w:r>
    </w:p>
    <w:p w14:paraId="4B44F718" w14:textId="77777777" w:rsidR="00DA2E66" w:rsidRPr="00DA2E66" w:rsidRDefault="00DA2E66" w:rsidP="00DA2E66">
      <w:pPr>
        <w:pStyle w:val="ListParagraph"/>
        <w:numPr>
          <w:ilvl w:val="0"/>
          <w:numId w:val="17"/>
        </w:numPr>
        <w:spacing w:line="240" w:lineRule="auto"/>
        <w:ind w:hanging="720"/>
        <w:contextualSpacing w:val="0"/>
        <w:jc w:val="both"/>
        <w:rPr>
          <w:rFonts w:asciiTheme="minorHAnsi" w:hAnsiTheme="minorHAnsi"/>
          <w:sz w:val="24"/>
          <w:szCs w:val="24"/>
          <w:lang w:val="en-US"/>
        </w:rPr>
      </w:pPr>
      <w:r w:rsidRPr="00DA2E66">
        <w:rPr>
          <w:rFonts w:asciiTheme="minorHAnsi" w:hAnsiTheme="minorHAnsi"/>
          <w:sz w:val="24"/>
          <w:szCs w:val="24"/>
          <w:lang w:val="en-US"/>
        </w:rPr>
        <w:t>Based on the Gantt chart the contractor is expected to deliver the following documents regularly:</w:t>
      </w:r>
    </w:p>
    <w:p w14:paraId="2FC838A6" w14:textId="77777777" w:rsidR="00DA2E66" w:rsidRPr="00DA2E66" w:rsidRDefault="00DA2E66" w:rsidP="00DA2E66">
      <w:pPr>
        <w:pStyle w:val="ListParagraph"/>
        <w:numPr>
          <w:ilvl w:val="0"/>
          <w:numId w:val="16"/>
        </w:numPr>
        <w:spacing w:line="240" w:lineRule="auto"/>
        <w:jc w:val="both"/>
        <w:rPr>
          <w:rFonts w:asciiTheme="minorHAnsi" w:hAnsiTheme="minorHAnsi"/>
          <w:sz w:val="24"/>
          <w:szCs w:val="24"/>
          <w:lang w:val="en-US"/>
        </w:rPr>
      </w:pPr>
      <w:r w:rsidRPr="00DA2E66">
        <w:rPr>
          <w:rFonts w:asciiTheme="minorHAnsi" w:hAnsiTheme="minorHAnsi"/>
          <w:sz w:val="24"/>
          <w:szCs w:val="24"/>
          <w:lang w:val="en-US"/>
        </w:rPr>
        <w:t>A brief monthly progress report on the current activities (as they are defined in the Gantt chart), information on the progress achieved, next steps, possible risks affecting project, risk mitigation measures;</w:t>
      </w:r>
    </w:p>
    <w:p w14:paraId="2F32057B" w14:textId="77777777" w:rsidR="00DA2E66" w:rsidRPr="00DA2E66" w:rsidRDefault="00DA2E66" w:rsidP="00DA2E66">
      <w:pPr>
        <w:pStyle w:val="ListParagraph"/>
        <w:numPr>
          <w:ilvl w:val="0"/>
          <w:numId w:val="16"/>
        </w:numPr>
        <w:spacing w:line="240" w:lineRule="auto"/>
        <w:jc w:val="both"/>
        <w:rPr>
          <w:rFonts w:asciiTheme="minorHAnsi" w:hAnsiTheme="minorHAnsi"/>
          <w:sz w:val="24"/>
          <w:szCs w:val="24"/>
          <w:lang w:val="en-US"/>
        </w:rPr>
      </w:pPr>
      <w:r w:rsidRPr="00DA2E66">
        <w:rPr>
          <w:rFonts w:asciiTheme="minorHAnsi" w:hAnsiTheme="minorHAnsi"/>
          <w:sz w:val="24"/>
          <w:szCs w:val="24"/>
          <w:lang w:val="en-US"/>
        </w:rPr>
        <w:t>Early warning reports, at any time, if emerging risks threaten key milestones of the project and when ANDE, CONATEL and DINAPI need to either be informed or take a decision;</w:t>
      </w:r>
    </w:p>
    <w:p w14:paraId="2D091CF9" w14:textId="77777777" w:rsidR="00DA2E66" w:rsidRPr="00DA2E66" w:rsidRDefault="00DA2E66" w:rsidP="00DA2E66">
      <w:pPr>
        <w:pStyle w:val="ListParagraph"/>
        <w:numPr>
          <w:ilvl w:val="0"/>
          <w:numId w:val="16"/>
        </w:numPr>
        <w:spacing w:line="240" w:lineRule="auto"/>
        <w:jc w:val="both"/>
        <w:rPr>
          <w:rFonts w:asciiTheme="minorHAnsi" w:hAnsiTheme="minorHAnsi"/>
          <w:sz w:val="24"/>
          <w:szCs w:val="24"/>
          <w:lang w:val="en-US"/>
        </w:rPr>
      </w:pPr>
      <w:r w:rsidRPr="00DA2E66">
        <w:rPr>
          <w:rFonts w:asciiTheme="minorHAnsi" w:hAnsiTheme="minorHAnsi"/>
          <w:sz w:val="24"/>
          <w:szCs w:val="24"/>
          <w:lang w:val="en-US"/>
        </w:rPr>
        <w:t>Prior to the kick-off meeting, the prospective contractor is expected to submit detailed Gantt charts and relevant documentation. These will be negotiated with ANDE, CONATEL and DINAPI and will be confirmed by the Inter-American Development Bank (IDB) as final.</w:t>
      </w:r>
    </w:p>
    <w:p w14:paraId="51A93567" w14:textId="77777777" w:rsidR="00DA2E66" w:rsidRPr="00DA2E66" w:rsidRDefault="00DA2E66" w:rsidP="00DA2E66">
      <w:pPr>
        <w:pStyle w:val="Chapter"/>
        <w:numPr>
          <w:ilvl w:val="0"/>
          <w:numId w:val="0"/>
        </w:numPr>
        <w:tabs>
          <w:tab w:val="clear" w:pos="1440"/>
          <w:tab w:val="left" w:pos="270"/>
          <w:tab w:val="left" w:pos="900"/>
          <w:tab w:val="left" w:pos="1080"/>
        </w:tabs>
        <w:ind w:left="90"/>
        <w:rPr>
          <w:rFonts w:asciiTheme="minorHAnsi" w:hAnsiTheme="minorHAnsi"/>
          <w:sz w:val="24"/>
          <w:szCs w:val="24"/>
        </w:rPr>
      </w:pPr>
      <w:r w:rsidRPr="00DA2E66">
        <w:rPr>
          <w:rFonts w:asciiTheme="minorHAnsi" w:hAnsiTheme="minorHAnsi"/>
          <w:sz w:val="24"/>
          <w:szCs w:val="24"/>
        </w:rPr>
        <w:t>V. DURATION, DELIVERABLES AND ADMINISTRATIVE ARRANGEMENTS</w:t>
      </w:r>
    </w:p>
    <w:p w14:paraId="63728C0E" w14:textId="77777777" w:rsidR="00DA2E66" w:rsidRPr="00DA2E66" w:rsidRDefault="00DA2E66" w:rsidP="00DA2E66">
      <w:pPr>
        <w:pStyle w:val="ListParagraph"/>
        <w:numPr>
          <w:ilvl w:val="0"/>
          <w:numId w:val="18"/>
        </w:numPr>
        <w:tabs>
          <w:tab w:val="left" w:pos="0"/>
        </w:tabs>
        <w:spacing w:after="0" w:line="240" w:lineRule="auto"/>
        <w:ind w:hanging="720"/>
        <w:jc w:val="both"/>
        <w:rPr>
          <w:rFonts w:asciiTheme="minorHAnsi" w:hAnsiTheme="minorHAnsi"/>
          <w:sz w:val="24"/>
          <w:szCs w:val="24"/>
          <w:lang w:val="en-US"/>
        </w:rPr>
      </w:pPr>
      <w:r w:rsidRPr="00DA2E66">
        <w:rPr>
          <w:rFonts w:asciiTheme="minorHAnsi" w:hAnsiTheme="minorHAnsi"/>
          <w:sz w:val="24"/>
          <w:szCs w:val="24"/>
          <w:lang w:val="en-US"/>
        </w:rPr>
        <w:t>Objectives, Outputs, and Deliverables of this technical assistance project are summarized and graphically presented in the Table 1.</w:t>
      </w:r>
    </w:p>
    <w:p w14:paraId="2786BA02" w14:textId="3C73D48C" w:rsidR="00DA2E66" w:rsidRPr="00DA2E66" w:rsidRDefault="00DA2E66" w:rsidP="00DA2E66">
      <w:pPr>
        <w:pStyle w:val="ListParagraph"/>
        <w:tabs>
          <w:tab w:val="num" w:pos="2088"/>
        </w:tabs>
        <w:spacing w:before="120" w:after="120" w:line="240" w:lineRule="auto"/>
        <w:ind w:left="0"/>
        <w:contextualSpacing w:val="0"/>
        <w:jc w:val="both"/>
        <w:rPr>
          <w:rFonts w:asciiTheme="minorHAnsi" w:hAnsiTheme="minorHAnsi" w:cs="Arial"/>
          <w:sz w:val="24"/>
          <w:szCs w:val="24"/>
          <w:lang w:val="en-US"/>
        </w:rPr>
      </w:pPr>
      <w:r w:rsidRPr="00DA2E66">
        <w:rPr>
          <w:rFonts w:asciiTheme="minorHAnsi" w:hAnsiTheme="minorHAnsi"/>
          <w:sz w:val="24"/>
          <w:szCs w:val="24"/>
          <w:lang w:val="en-US"/>
        </w:rPr>
        <w:lastRenderedPageBreak/>
        <w:t>The contractor is required to outline in the technical proposal the timeline needed to carry out the project in high quality (e.g. including a Gantt chart). In the offer, the bidder should indicate the estimated amount of man-days required to accomplish all the tasks associated with this procurement.</w:t>
      </w:r>
    </w:p>
    <w:p w14:paraId="477A7E32" w14:textId="047DE323" w:rsidR="002118B7" w:rsidRPr="00DA2E66" w:rsidRDefault="002118B7" w:rsidP="00DA2E66">
      <w:pPr>
        <w:spacing w:before="120" w:after="120"/>
        <w:jc w:val="both"/>
        <w:rPr>
          <w:rFonts w:asciiTheme="minorHAnsi" w:hAnsiTheme="minorHAnsi"/>
        </w:rPr>
      </w:pPr>
    </w:p>
    <w:p w14:paraId="6C920D24" w14:textId="77777777" w:rsidR="004311FF" w:rsidRPr="00DA2E66" w:rsidRDefault="004311FF" w:rsidP="2CDD2216">
      <w:pPr>
        <w:suppressAutoHyphens/>
        <w:jc w:val="both"/>
        <w:rPr>
          <w:rFonts w:asciiTheme="minorHAnsi" w:hAnsiTheme="minorHAnsi" w:cstheme="minorBidi"/>
          <w:spacing w:val="-2"/>
        </w:rPr>
      </w:pPr>
    </w:p>
    <w:p w14:paraId="6950FB9B" w14:textId="14A00200" w:rsidR="00F45D9C" w:rsidRPr="00DA2E66" w:rsidRDefault="004311FF" w:rsidP="2CDD2216">
      <w:pPr>
        <w:suppressAutoHyphens/>
        <w:jc w:val="both"/>
        <w:rPr>
          <w:rFonts w:asciiTheme="minorHAnsi" w:hAnsiTheme="minorHAnsi" w:cstheme="minorBidi"/>
          <w:i/>
          <w:iCs/>
          <w:color w:val="0070C0"/>
        </w:rPr>
      </w:pPr>
      <w:r w:rsidRPr="00DA2E66">
        <w:rPr>
          <w:rFonts w:asciiTheme="minorHAnsi" w:hAnsiTheme="minorHAnsi" w:cstheme="minorBidi"/>
          <w:spacing w:val="-2"/>
        </w:rPr>
        <w:t xml:space="preserve">The estimated timeframe for completion is </w:t>
      </w:r>
      <w:r w:rsidR="002118B7" w:rsidRPr="00DA2E66">
        <w:rPr>
          <w:rFonts w:asciiTheme="minorHAnsi" w:hAnsiTheme="minorHAnsi" w:cstheme="minorBidi"/>
          <w:spacing w:val="-2"/>
        </w:rPr>
        <w:t>9</w:t>
      </w:r>
      <w:r w:rsidRPr="00DA2E66">
        <w:rPr>
          <w:rFonts w:asciiTheme="minorHAnsi" w:hAnsiTheme="minorHAnsi" w:cstheme="minorBidi"/>
          <w:spacing w:val="-2"/>
        </w:rPr>
        <w:t xml:space="preserve"> months.</w:t>
      </w:r>
    </w:p>
    <w:p w14:paraId="545B4BCE" w14:textId="77777777" w:rsidR="00F45D9C" w:rsidRPr="00DA2E66" w:rsidRDefault="00F45D9C" w:rsidP="00F45D9C">
      <w:pPr>
        <w:spacing w:line="320" w:lineRule="atLeast"/>
        <w:jc w:val="both"/>
        <w:rPr>
          <w:rFonts w:asciiTheme="minorHAnsi" w:hAnsiTheme="minorHAnsi" w:cs="Times New Roman"/>
          <w:color w:val="auto"/>
        </w:rPr>
      </w:pPr>
      <w:r w:rsidRPr="00DA2E66">
        <w:rPr>
          <w:rFonts w:asciiTheme="minorHAnsi" w:hAnsiTheme="minorHAnsi" w:cs="Times New Roman"/>
          <w:color w:val="auto"/>
        </w:rPr>
        <w:t xml:space="preserve"> </w:t>
      </w:r>
    </w:p>
    <w:p w14:paraId="71A044DC" w14:textId="56A564EE" w:rsidR="00F45D9C" w:rsidRPr="00DA2E66" w:rsidRDefault="2CDD2216" w:rsidP="2CDD2216">
      <w:pPr>
        <w:spacing w:line="320" w:lineRule="atLeast"/>
        <w:jc w:val="both"/>
        <w:rPr>
          <w:rFonts w:asciiTheme="minorHAnsi" w:hAnsiTheme="minorHAnsi" w:cstheme="minorBidi"/>
          <w:color w:val="auto"/>
        </w:rPr>
      </w:pPr>
      <w:r w:rsidRPr="00DA2E66">
        <w:rPr>
          <w:rFonts w:asciiTheme="minorHAnsi" w:hAnsiTheme="minorHAnsi" w:cstheme="minorBidi"/>
          <w:color w:val="auto"/>
        </w:rPr>
        <w:t xml:space="preserve">Eligible consulting firms will be selected in accordance with the procedures set out in the Inter-American Development Bank: </w:t>
      </w:r>
      <w:hyperlink r:id="rId15">
        <w:r w:rsidRPr="00DA2E66">
          <w:rPr>
            <w:rStyle w:val="Hyperlink"/>
            <w:rFonts w:asciiTheme="minorHAnsi" w:hAnsiTheme="minorHAnsi" w:cstheme="minorBidi"/>
            <w:i/>
            <w:iCs/>
          </w:rPr>
          <w:t>Policy for the Selection and Contracting of Consulting firms for Bank-executed Operational Work</w:t>
        </w:r>
      </w:hyperlink>
      <w:r w:rsidRPr="00DA2E66">
        <w:rPr>
          <w:rFonts w:asciiTheme="minorHAnsi" w:hAnsiTheme="minorHAnsi" w:cstheme="minorBidi"/>
          <w:color w:val="auto"/>
        </w:rPr>
        <w:t xml:space="preserve"> - GN-2765-1.  All eligible consulting firms, as defined in the Policy may express an interest. </w:t>
      </w:r>
    </w:p>
    <w:p w14:paraId="35803BFB" w14:textId="77777777" w:rsidR="00F45D9C" w:rsidRPr="00DA2E66" w:rsidRDefault="00F45D9C" w:rsidP="00F45D9C">
      <w:pPr>
        <w:spacing w:line="320" w:lineRule="atLeast"/>
        <w:jc w:val="both"/>
        <w:rPr>
          <w:rFonts w:asciiTheme="minorHAnsi" w:hAnsiTheme="minorHAnsi" w:cs="Times New Roman"/>
          <w:color w:val="auto"/>
        </w:rPr>
      </w:pPr>
    </w:p>
    <w:p w14:paraId="61707059" w14:textId="77777777" w:rsidR="00F45D9C" w:rsidRPr="00DA2E66" w:rsidRDefault="2CDD2216" w:rsidP="2CDD2216">
      <w:pPr>
        <w:spacing w:line="320" w:lineRule="atLeast"/>
        <w:jc w:val="both"/>
        <w:rPr>
          <w:rFonts w:asciiTheme="minorHAnsi" w:hAnsiTheme="minorHAnsi" w:cstheme="minorBidi"/>
          <w:color w:val="auto"/>
        </w:rPr>
      </w:pPr>
      <w:r w:rsidRPr="00DA2E66">
        <w:rPr>
          <w:rFonts w:asciiTheme="minorHAnsi" w:hAnsiTheme="minorHAnsi" w:cstheme="minorBidi"/>
          <w:color w:val="auto"/>
        </w:rPr>
        <w:t>The IDB now invites eligible consulting firms to indicate their interest in providing the services. Interested consulting firms must provide information establishing that they are qualified to perform the Services (brochures, description o</w:t>
      </w:r>
      <w:bookmarkStart w:id="0" w:name="_GoBack"/>
      <w:bookmarkEnd w:id="0"/>
      <w:r w:rsidRPr="00DA2E66">
        <w:rPr>
          <w:rFonts w:asciiTheme="minorHAnsi" w:hAnsiTheme="minorHAnsi" w:cstheme="minorBidi"/>
          <w:color w:val="auto"/>
        </w:rPr>
        <w:t>f similar assignments, experience in similar conditions, availability of appropriate skills among staff, etc.). Eligible consulting firms may associate in a form of a Joint Venture or a sub-consultancy agreement to enhance their qualifications. Such association or Joint Venture shall appoint one of the firms as the representative.</w:t>
      </w:r>
    </w:p>
    <w:p w14:paraId="62F95FFB" w14:textId="77777777" w:rsidR="00F45D9C" w:rsidRPr="00DA2E66" w:rsidRDefault="00F45D9C" w:rsidP="00F45D9C">
      <w:pPr>
        <w:spacing w:line="320" w:lineRule="atLeast"/>
        <w:jc w:val="both"/>
        <w:rPr>
          <w:rFonts w:asciiTheme="minorHAnsi" w:hAnsiTheme="minorHAnsi" w:cs="Times New Roman"/>
          <w:smallCaps/>
          <w:color w:val="4F81BD" w:themeColor="accent1"/>
        </w:rPr>
      </w:pPr>
    </w:p>
    <w:p w14:paraId="70D0EF38" w14:textId="210234E7" w:rsidR="00F45D9C" w:rsidRPr="00DA2E66" w:rsidRDefault="00F45D9C" w:rsidP="2CDD2216">
      <w:pPr>
        <w:spacing w:line="320" w:lineRule="atLeast"/>
        <w:jc w:val="both"/>
        <w:rPr>
          <w:rFonts w:asciiTheme="minorHAnsi" w:hAnsiTheme="minorHAnsi" w:cstheme="minorBidi"/>
          <w:color w:val="auto"/>
        </w:rPr>
      </w:pPr>
      <w:r w:rsidRPr="00DA2E66">
        <w:rPr>
          <w:rFonts w:asciiTheme="minorHAnsi" w:hAnsiTheme="minorHAnsi" w:cstheme="minorBidi"/>
          <w:color w:val="auto"/>
        </w:rPr>
        <w:t>Interested eligible consulting firms may obtain further information during office hours</w:t>
      </w:r>
      <w:r w:rsidR="004D1120" w:rsidRPr="00DA2E66">
        <w:rPr>
          <w:rFonts w:asciiTheme="minorHAnsi" w:hAnsiTheme="minorHAnsi" w:cstheme="minorBidi"/>
          <w:color w:val="auto"/>
        </w:rPr>
        <w:t>,</w:t>
      </w:r>
      <w:r w:rsidRPr="00DA2E66">
        <w:rPr>
          <w:rFonts w:asciiTheme="minorHAnsi" w:hAnsiTheme="minorHAnsi" w:cstheme="minorBidi"/>
          <w:color w:val="auto"/>
        </w:rPr>
        <w:t xml:space="preserve"> 09:00 AM to 05:00 PM</w:t>
      </w:r>
      <w:r w:rsidR="004D1120" w:rsidRPr="00DA2E66">
        <w:rPr>
          <w:rFonts w:asciiTheme="minorHAnsi" w:hAnsiTheme="minorHAnsi" w:cstheme="minorBidi"/>
          <w:color w:val="auto"/>
        </w:rPr>
        <w:t>,</w:t>
      </w:r>
      <w:r w:rsidRPr="00DA2E66">
        <w:rPr>
          <w:rFonts w:asciiTheme="minorHAnsi" w:hAnsiTheme="minorHAnsi" w:cstheme="minorBidi"/>
          <w:color w:val="auto"/>
        </w:rPr>
        <w:t xml:space="preserve"> (</w:t>
      </w:r>
      <w:r w:rsidR="00637714" w:rsidRPr="00DA2E66">
        <w:rPr>
          <w:rFonts w:asciiTheme="minorHAnsi" w:hAnsiTheme="minorHAnsi" w:cstheme="minorBidi"/>
          <w:color w:val="auto"/>
        </w:rPr>
        <w:t>Washington D.C.</w:t>
      </w:r>
      <w:r w:rsidRPr="00DA2E66">
        <w:rPr>
          <w:rFonts w:asciiTheme="minorHAnsi" w:hAnsiTheme="minorHAnsi" w:cstheme="minorBidi"/>
          <w:color w:val="auto"/>
        </w:rPr>
        <w:t xml:space="preserve"> Time) </w:t>
      </w:r>
      <w:r w:rsidR="0078460F" w:rsidRPr="00DA2E66">
        <w:rPr>
          <w:rFonts w:asciiTheme="minorHAnsi" w:hAnsiTheme="minorHAnsi" w:cstheme="minorBidi"/>
          <w:color w:val="auto"/>
        </w:rPr>
        <w:t>by sending</w:t>
      </w:r>
      <w:r w:rsidR="008171F3" w:rsidRPr="00DA2E66">
        <w:rPr>
          <w:rFonts w:asciiTheme="minorHAnsi" w:hAnsiTheme="minorHAnsi" w:cstheme="minorBidi"/>
          <w:color w:val="auto"/>
        </w:rPr>
        <w:t xml:space="preserve"> an email to:</w:t>
      </w:r>
      <w:r w:rsidR="004311FF" w:rsidRPr="00DA2E66">
        <w:rPr>
          <w:rFonts w:asciiTheme="minorHAnsi" w:hAnsiTheme="minorHAnsi" w:cstheme="minorBidi"/>
          <w:color w:val="auto"/>
        </w:rPr>
        <w:t xml:space="preserve"> Antonio Garcia Zaballos (</w:t>
      </w:r>
      <w:hyperlink r:id="rId16" w:history="1">
        <w:r w:rsidR="004311FF" w:rsidRPr="00DA2E66">
          <w:rPr>
            <w:rStyle w:val="Hyperlink"/>
            <w:rFonts w:asciiTheme="minorHAnsi" w:hAnsiTheme="minorHAnsi" w:cstheme="minorBidi"/>
          </w:rPr>
          <w:t>antoniogar@iadb.org</w:t>
        </w:r>
      </w:hyperlink>
      <w:r w:rsidR="004311FF" w:rsidRPr="00DA2E66">
        <w:rPr>
          <w:rFonts w:asciiTheme="minorHAnsi" w:hAnsiTheme="minorHAnsi" w:cstheme="minorBidi"/>
          <w:color w:val="auto"/>
        </w:rPr>
        <w:t>) and Enrique Iglesias Rodriguez (enriqueig@iadb.org)</w:t>
      </w:r>
    </w:p>
    <w:p w14:paraId="03405C6F" w14:textId="77777777" w:rsidR="00F45D9C" w:rsidRPr="00DA2E66" w:rsidRDefault="00F45D9C" w:rsidP="00F45D9C">
      <w:pPr>
        <w:spacing w:line="320" w:lineRule="atLeast"/>
        <w:jc w:val="both"/>
        <w:rPr>
          <w:rFonts w:asciiTheme="minorHAnsi" w:hAnsiTheme="minorHAnsi" w:cs="Times New Roman"/>
          <w:color w:val="auto"/>
        </w:rPr>
      </w:pPr>
    </w:p>
    <w:p w14:paraId="5359264D" w14:textId="686B6476" w:rsidR="00F45D9C" w:rsidRPr="00DA2E66" w:rsidRDefault="00F45D9C" w:rsidP="6D59273E">
      <w:pPr>
        <w:spacing w:line="320" w:lineRule="atLeast"/>
        <w:jc w:val="both"/>
        <w:rPr>
          <w:rFonts w:asciiTheme="minorHAnsi" w:hAnsiTheme="minorHAnsi" w:cstheme="minorBidi"/>
          <w:color w:val="auto"/>
        </w:rPr>
      </w:pPr>
      <w:r w:rsidRPr="00DA2E66">
        <w:rPr>
          <w:rFonts w:asciiTheme="minorHAnsi" w:hAnsiTheme="minorHAnsi" w:cstheme="minorBidi"/>
          <w:color w:val="auto"/>
        </w:rPr>
        <w:t xml:space="preserve">Expressions of </w:t>
      </w:r>
      <w:r w:rsidR="00360ACB" w:rsidRPr="00DA2E66">
        <w:rPr>
          <w:rFonts w:asciiTheme="minorHAnsi" w:hAnsiTheme="minorHAnsi" w:cstheme="minorBidi"/>
          <w:color w:val="auto"/>
        </w:rPr>
        <w:t>interest must be delivered</w:t>
      </w:r>
      <w:r w:rsidR="00891E3C" w:rsidRPr="00DA2E66">
        <w:rPr>
          <w:rFonts w:asciiTheme="minorHAnsi" w:hAnsiTheme="minorHAnsi" w:cstheme="minorBidi"/>
          <w:color w:val="auto"/>
        </w:rPr>
        <w:t xml:space="preserve"> </w:t>
      </w:r>
      <w:r w:rsidRPr="00DA2E66">
        <w:rPr>
          <w:rFonts w:asciiTheme="minorHAnsi" w:hAnsiTheme="minorHAnsi" w:cstheme="minorBidi"/>
          <w:color w:val="auto"/>
        </w:rPr>
        <w:t>by</w:t>
      </w:r>
      <w:r w:rsidR="004311FF" w:rsidRPr="00DA2E66">
        <w:rPr>
          <w:rFonts w:asciiTheme="minorHAnsi" w:hAnsiTheme="minorHAnsi" w:cstheme="minorBidi"/>
          <w:color w:val="auto"/>
        </w:rPr>
        <w:t xml:space="preserve"> </w:t>
      </w:r>
      <w:r w:rsidR="00DA2E66">
        <w:rPr>
          <w:rFonts w:asciiTheme="minorHAnsi" w:hAnsiTheme="minorHAnsi" w:cstheme="minorBidi"/>
          <w:color w:val="auto"/>
        </w:rPr>
        <w:t>September</w:t>
      </w:r>
      <w:r w:rsidR="004311FF" w:rsidRPr="00DA2E66">
        <w:rPr>
          <w:rFonts w:asciiTheme="minorHAnsi" w:hAnsiTheme="minorHAnsi" w:cstheme="minorBidi"/>
          <w:color w:val="auto"/>
        </w:rPr>
        <w:t xml:space="preserve">, </w:t>
      </w:r>
      <w:r w:rsidR="00DA2E66">
        <w:rPr>
          <w:rFonts w:asciiTheme="minorHAnsi" w:hAnsiTheme="minorHAnsi" w:cstheme="minorBidi"/>
          <w:color w:val="auto"/>
        </w:rPr>
        <w:t>29</w:t>
      </w:r>
      <w:r w:rsidR="004311FF" w:rsidRPr="00DA2E66">
        <w:rPr>
          <w:rFonts w:asciiTheme="minorHAnsi" w:hAnsiTheme="minorHAnsi" w:cstheme="minorBidi"/>
          <w:color w:val="auto"/>
          <w:vertAlign w:val="superscript"/>
        </w:rPr>
        <w:t>th</w:t>
      </w:r>
      <w:r w:rsidR="004311FF" w:rsidRPr="00DA2E66">
        <w:rPr>
          <w:rFonts w:asciiTheme="minorHAnsi" w:hAnsiTheme="minorHAnsi" w:cstheme="minorBidi"/>
          <w:color w:val="auto"/>
        </w:rPr>
        <w:t xml:space="preserve">, 2017 </w:t>
      </w:r>
      <w:r w:rsidRPr="00DA2E66">
        <w:rPr>
          <w:rFonts w:asciiTheme="minorHAnsi" w:hAnsiTheme="minorHAnsi" w:cstheme="minorBidi"/>
          <w:color w:val="auto"/>
        </w:rPr>
        <w:t>5pm (</w:t>
      </w:r>
      <w:r w:rsidR="00637714" w:rsidRPr="00DA2E66">
        <w:rPr>
          <w:rFonts w:asciiTheme="minorHAnsi" w:hAnsiTheme="minorHAnsi" w:cstheme="minorBidi"/>
          <w:color w:val="auto"/>
        </w:rPr>
        <w:t xml:space="preserve">Washington D.C. </w:t>
      </w:r>
      <w:r w:rsidRPr="00DA2E66">
        <w:rPr>
          <w:rFonts w:asciiTheme="minorHAnsi" w:hAnsiTheme="minorHAnsi" w:cstheme="minorBidi"/>
          <w:color w:val="auto"/>
        </w:rPr>
        <w:t>Time)</w:t>
      </w:r>
      <w:r w:rsidR="00891E3C" w:rsidRPr="00DA2E66">
        <w:rPr>
          <w:rFonts w:asciiTheme="minorHAnsi" w:hAnsiTheme="minorHAnsi" w:cstheme="minorBidi"/>
          <w:color w:val="auto"/>
        </w:rPr>
        <w:t xml:space="preserve"> using the IDB Portal for Bank Executed Operations</w:t>
      </w:r>
      <w:r w:rsidR="00637BD8" w:rsidRPr="00DA2E66">
        <w:rPr>
          <w:rFonts w:asciiTheme="minorHAnsi" w:hAnsiTheme="minorHAnsi" w:cstheme="minorBidi"/>
          <w:color w:val="auto"/>
        </w:rPr>
        <w:t xml:space="preserve"> (</w:t>
      </w:r>
      <w:r w:rsidR="00637BD8" w:rsidRPr="00DA2E66">
        <w:rPr>
          <w:rFonts w:asciiTheme="minorHAnsi" w:hAnsiTheme="minorHAnsi"/>
        </w:rPr>
        <w:t xml:space="preserve"> </w:t>
      </w:r>
      <w:hyperlink r:id="rId17" w:history="1">
        <w:r w:rsidR="00637BD8" w:rsidRPr="00DA2E66">
          <w:rPr>
            <w:rStyle w:val="Hyperlink"/>
            <w:rFonts w:asciiTheme="minorHAnsi" w:hAnsiTheme="minorHAnsi" w:cstheme="minorBidi"/>
          </w:rPr>
          <w:t>http://beo-procurement.iadb.org/home</w:t>
        </w:r>
      </w:hyperlink>
      <w:r w:rsidR="00637BD8" w:rsidRPr="00DA2E66">
        <w:rPr>
          <w:rFonts w:asciiTheme="minorHAnsi" w:hAnsiTheme="minorHAnsi" w:cstheme="minorBidi"/>
          <w:color w:val="auto"/>
        </w:rPr>
        <w:t xml:space="preserve">) </w:t>
      </w:r>
    </w:p>
    <w:p w14:paraId="200D8E06" w14:textId="77777777" w:rsidR="00F45D9C" w:rsidRPr="00DA2E66" w:rsidRDefault="00F45D9C" w:rsidP="00F45D9C">
      <w:pPr>
        <w:spacing w:line="320" w:lineRule="atLeast"/>
        <w:jc w:val="both"/>
        <w:rPr>
          <w:rFonts w:asciiTheme="minorHAnsi" w:hAnsiTheme="minorHAnsi" w:cs="Times New Roman"/>
          <w:color w:val="auto"/>
        </w:rPr>
      </w:pPr>
    </w:p>
    <w:p w14:paraId="4B527D25" w14:textId="77777777" w:rsidR="00F45D9C" w:rsidRPr="00DA2E66" w:rsidRDefault="2CDD2216" w:rsidP="2CDD2216">
      <w:pPr>
        <w:spacing w:line="320" w:lineRule="atLeast"/>
        <w:jc w:val="both"/>
        <w:rPr>
          <w:rFonts w:asciiTheme="minorHAnsi" w:hAnsiTheme="minorHAnsi" w:cstheme="minorBidi"/>
          <w:color w:val="auto"/>
        </w:rPr>
      </w:pPr>
      <w:r w:rsidRPr="00DA2E66">
        <w:rPr>
          <w:rFonts w:asciiTheme="minorHAnsi" w:hAnsiTheme="minorHAnsi" w:cstheme="minorBidi"/>
          <w:color w:val="auto"/>
        </w:rPr>
        <w:t>Inter-American Development Bank</w:t>
      </w:r>
    </w:p>
    <w:p w14:paraId="5B03049A" w14:textId="23818BE7" w:rsidR="00F45D9C" w:rsidRPr="00DA2E66" w:rsidRDefault="00F45D9C" w:rsidP="2CDD2216">
      <w:pPr>
        <w:spacing w:line="320" w:lineRule="atLeast"/>
        <w:jc w:val="both"/>
        <w:rPr>
          <w:rFonts w:asciiTheme="minorHAnsi" w:hAnsiTheme="minorHAnsi" w:cstheme="minorBidi"/>
          <w:color w:val="auto"/>
        </w:rPr>
      </w:pPr>
      <w:r w:rsidRPr="00DA2E66">
        <w:rPr>
          <w:rFonts w:asciiTheme="minorHAnsi" w:hAnsiTheme="minorHAnsi" w:cstheme="minorBidi"/>
          <w:color w:val="auto"/>
        </w:rPr>
        <w:t xml:space="preserve">Division: </w:t>
      </w:r>
      <w:r w:rsidR="004311FF" w:rsidRPr="00DA2E66">
        <w:rPr>
          <w:rFonts w:asciiTheme="minorHAnsi" w:hAnsiTheme="minorHAnsi" w:cstheme="minorBidi"/>
          <w:color w:val="auto"/>
        </w:rPr>
        <w:t>Connectivity, Markets and Finance (IFD/CMF)</w:t>
      </w:r>
    </w:p>
    <w:p w14:paraId="3A83DC3F" w14:textId="4CFED5DB" w:rsidR="00F45D9C" w:rsidRPr="00DA2E66" w:rsidRDefault="00F45D9C" w:rsidP="2CDD2216">
      <w:pPr>
        <w:spacing w:line="320" w:lineRule="atLeast"/>
        <w:jc w:val="both"/>
        <w:rPr>
          <w:rFonts w:asciiTheme="minorHAnsi" w:hAnsiTheme="minorHAnsi" w:cstheme="minorBidi"/>
          <w:color w:val="auto"/>
          <w:lang w:val="es-ES_tradnl"/>
        </w:rPr>
      </w:pPr>
      <w:proofErr w:type="spellStart"/>
      <w:r w:rsidRPr="00DA2E66">
        <w:rPr>
          <w:rFonts w:asciiTheme="minorHAnsi" w:hAnsiTheme="minorHAnsi" w:cstheme="minorBidi"/>
          <w:color w:val="auto"/>
          <w:lang w:val="es-ES_tradnl"/>
        </w:rPr>
        <w:t>Attn</w:t>
      </w:r>
      <w:proofErr w:type="spellEnd"/>
      <w:r w:rsidR="004311FF" w:rsidRPr="00DA2E66">
        <w:rPr>
          <w:rFonts w:asciiTheme="minorHAnsi" w:hAnsiTheme="minorHAnsi" w:cstheme="minorBidi"/>
          <w:color w:val="auto"/>
          <w:lang w:val="es-ES_tradnl"/>
        </w:rPr>
        <w:t>: Antonio Garcia Zaballos (antoniogar@iadb.org)</w:t>
      </w:r>
    </w:p>
    <w:p w14:paraId="6C3797D2" w14:textId="77777777" w:rsidR="00F45D9C" w:rsidRPr="00DA2E66" w:rsidRDefault="00F45D9C" w:rsidP="00F45D9C">
      <w:pPr>
        <w:spacing w:line="320" w:lineRule="atLeast"/>
        <w:jc w:val="both"/>
        <w:rPr>
          <w:rFonts w:asciiTheme="minorHAnsi" w:hAnsiTheme="minorHAnsi" w:cs="Times New Roman"/>
          <w:color w:val="auto"/>
          <w:lang w:val="es-ES_tradnl"/>
        </w:rPr>
      </w:pPr>
    </w:p>
    <w:p w14:paraId="7A3B9024" w14:textId="77777777" w:rsidR="00F45D9C" w:rsidRPr="00DA2E66" w:rsidRDefault="2CDD2216" w:rsidP="2CDD2216">
      <w:pPr>
        <w:spacing w:line="320" w:lineRule="atLeast"/>
        <w:jc w:val="both"/>
        <w:rPr>
          <w:rFonts w:asciiTheme="minorHAnsi" w:hAnsiTheme="minorHAnsi" w:cstheme="minorBidi"/>
          <w:color w:val="auto"/>
        </w:rPr>
      </w:pPr>
      <w:r w:rsidRPr="00DA2E66">
        <w:rPr>
          <w:rFonts w:asciiTheme="minorHAnsi" w:hAnsiTheme="minorHAnsi" w:cstheme="minorBidi"/>
          <w:color w:val="auto"/>
        </w:rPr>
        <w:t>1300 New York Ave, NW, Washington DC 20577, USA</w:t>
      </w:r>
    </w:p>
    <w:p w14:paraId="6BF90EBF" w14:textId="6F20F5FC" w:rsidR="00F45D9C" w:rsidRPr="00DA2E66" w:rsidRDefault="00F45D9C" w:rsidP="2CDD2216">
      <w:pPr>
        <w:suppressAutoHyphens/>
        <w:rPr>
          <w:rFonts w:asciiTheme="minorHAnsi" w:hAnsiTheme="minorHAnsi" w:cstheme="minorBidi"/>
          <w:i/>
          <w:iCs/>
          <w:color w:val="0070C0"/>
          <w:lang w:val="pt-BR"/>
        </w:rPr>
      </w:pPr>
      <w:proofErr w:type="spellStart"/>
      <w:r w:rsidRPr="00DA2E66">
        <w:rPr>
          <w:rFonts w:asciiTheme="minorHAnsi" w:hAnsiTheme="minorHAnsi" w:cstheme="minorBidi"/>
          <w:spacing w:val="-2"/>
          <w:lang w:val="pt-BR"/>
        </w:rPr>
        <w:t>Tel</w:t>
      </w:r>
      <w:proofErr w:type="spellEnd"/>
      <w:r w:rsidRPr="00DA2E66">
        <w:rPr>
          <w:rFonts w:asciiTheme="minorHAnsi" w:hAnsiTheme="minorHAnsi" w:cstheme="minorBidi"/>
          <w:spacing w:val="-2"/>
          <w:lang w:val="pt-BR"/>
        </w:rPr>
        <w:t>:</w:t>
      </w:r>
      <w:r w:rsidRPr="00DA2E66">
        <w:rPr>
          <w:rFonts w:asciiTheme="minorHAnsi" w:hAnsiTheme="minorHAnsi" w:cstheme="minorBidi"/>
          <w:color w:val="auto"/>
          <w:lang w:val="pt-BR"/>
        </w:rPr>
        <w:t xml:space="preserve"> </w:t>
      </w:r>
      <w:r w:rsidR="004311FF" w:rsidRPr="00DA2E66">
        <w:rPr>
          <w:rFonts w:asciiTheme="minorHAnsi" w:hAnsiTheme="minorHAnsi" w:cstheme="minorBidi"/>
          <w:color w:val="auto"/>
          <w:lang w:val="pt-BR"/>
        </w:rPr>
        <w:t>+12026232980</w:t>
      </w:r>
    </w:p>
    <w:p w14:paraId="71BBB3A6" w14:textId="40C0CAEE" w:rsidR="00F45D9C" w:rsidRPr="00DA2E66" w:rsidRDefault="00F45D9C" w:rsidP="2CDD2216">
      <w:pPr>
        <w:suppressAutoHyphens/>
        <w:jc w:val="both"/>
        <w:rPr>
          <w:rFonts w:asciiTheme="minorHAnsi" w:hAnsiTheme="minorHAnsi" w:cstheme="minorBidi"/>
          <w:color w:val="0070C0"/>
          <w:lang w:val="pt-BR"/>
        </w:rPr>
      </w:pPr>
      <w:r w:rsidRPr="00DA2E66">
        <w:rPr>
          <w:rFonts w:asciiTheme="minorHAnsi" w:hAnsiTheme="minorHAnsi" w:cstheme="minorBidi"/>
          <w:spacing w:val="-2"/>
          <w:lang w:val="pt-BR"/>
        </w:rPr>
        <w:t xml:space="preserve">E-mail: </w:t>
      </w:r>
      <w:r w:rsidR="004311FF" w:rsidRPr="00DA2E66">
        <w:rPr>
          <w:rFonts w:asciiTheme="minorHAnsi" w:hAnsiTheme="minorHAnsi" w:cstheme="minorBidi"/>
          <w:color w:val="auto"/>
          <w:lang w:val="pt-BR"/>
        </w:rPr>
        <w:t>antoniogar@iadb.org</w:t>
      </w:r>
    </w:p>
    <w:p w14:paraId="6B9A2A55" w14:textId="24339567" w:rsidR="00170248" w:rsidRPr="00DA2E66" w:rsidRDefault="2CDD2216" w:rsidP="2CDD2216">
      <w:pPr>
        <w:spacing w:line="320" w:lineRule="atLeast"/>
        <w:jc w:val="both"/>
        <w:rPr>
          <w:rFonts w:asciiTheme="minorHAnsi" w:hAnsiTheme="minorHAnsi" w:cstheme="minorBidi"/>
          <w:color w:val="auto"/>
        </w:rPr>
      </w:pPr>
      <w:r w:rsidRPr="00DA2E66">
        <w:rPr>
          <w:rFonts w:asciiTheme="minorHAnsi" w:hAnsiTheme="minorHAnsi" w:cstheme="minorBidi"/>
          <w:color w:val="auto"/>
        </w:rPr>
        <w:t xml:space="preserve">Web site: </w:t>
      </w:r>
      <w:hyperlink r:id="rId18">
        <w:r w:rsidRPr="00DA2E66">
          <w:rPr>
            <w:rStyle w:val="Hyperlink"/>
            <w:rFonts w:asciiTheme="minorHAnsi" w:hAnsiTheme="minorHAnsi" w:cstheme="minorBidi"/>
          </w:rPr>
          <w:t>www.iadb.org</w:t>
        </w:r>
      </w:hyperlink>
      <w:r w:rsidRPr="00DA2E66">
        <w:rPr>
          <w:rFonts w:asciiTheme="minorHAnsi" w:hAnsiTheme="minorHAnsi" w:cstheme="minorBidi"/>
          <w:color w:val="auto"/>
        </w:rPr>
        <w:t xml:space="preserve"> </w:t>
      </w:r>
    </w:p>
    <w:sectPr w:rsidR="00170248" w:rsidRPr="00DA2E66">
      <w:headerReference w:type="even" r:id="rId19"/>
      <w:headerReference w:type="default" r:id="rId20"/>
      <w:footerReference w:type="even" r:id="rId21"/>
      <w:footerReference w:type="default" r:id="rId22"/>
      <w:headerReference w:type="first" r:id="rId23"/>
      <w:footerReference w:type="first" r:id="rId24"/>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8BCB1" w14:textId="77777777" w:rsidR="00E326F3" w:rsidRDefault="00E326F3" w:rsidP="0056772C">
      <w:r>
        <w:separator/>
      </w:r>
    </w:p>
  </w:endnote>
  <w:endnote w:type="continuationSeparator" w:id="0">
    <w:p w14:paraId="6D68D704" w14:textId="77777777" w:rsidR="00E326F3" w:rsidRDefault="00E326F3" w:rsidP="0056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A370" w14:textId="77777777" w:rsidR="0056772C" w:rsidRDefault="00567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E89A" w14:textId="77777777" w:rsidR="0056772C" w:rsidRDefault="00567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53B01" w14:textId="77777777" w:rsidR="0056772C" w:rsidRDefault="00567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D67B8" w14:textId="77777777" w:rsidR="00E326F3" w:rsidRDefault="00E326F3" w:rsidP="0056772C">
      <w:r>
        <w:separator/>
      </w:r>
    </w:p>
  </w:footnote>
  <w:footnote w:type="continuationSeparator" w:id="0">
    <w:p w14:paraId="47EAB022" w14:textId="77777777" w:rsidR="00E326F3" w:rsidRDefault="00E326F3" w:rsidP="0056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1892B" w14:textId="162F58AC" w:rsidR="0056772C" w:rsidRDefault="00567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4503" w14:textId="316989DD" w:rsidR="0056772C" w:rsidRDefault="00567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52FD5" w14:textId="1DF3346F" w:rsidR="0056772C" w:rsidRDefault="00567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0533"/>
    <w:multiLevelType w:val="hybridMultilevel"/>
    <w:tmpl w:val="B42A2124"/>
    <w:lvl w:ilvl="0" w:tplc="E3304830">
      <w:start w:val="3"/>
      <w:numFmt w:val="bullet"/>
      <w:lvlText w:val="-"/>
      <w:lvlJc w:val="left"/>
      <w:pPr>
        <w:ind w:left="1140" w:hanging="360"/>
      </w:pPr>
      <w:rPr>
        <w:rFonts w:ascii="Times New Roman" w:eastAsiaTheme="minorEastAsia" w:hAnsi="Times New Roman" w:cs="Times New Roman"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A3F499B"/>
    <w:multiLevelType w:val="hybridMultilevel"/>
    <w:tmpl w:val="85162B52"/>
    <w:lvl w:ilvl="0" w:tplc="F5D20232">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74965"/>
    <w:multiLevelType w:val="hybridMultilevel"/>
    <w:tmpl w:val="EF24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B7FC9"/>
    <w:multiLevelType w:val="multilevel"/>
    <w:tmpl w:val="1856F132"/>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1080"/>
        </w:tabs>
        <w:ind w:left="1080" w:hanging="720"/>
      </w:pPr>
      <w:rPr>
        <w:rFonts w:ascii="Times New Roman" w:hAnsi="Times New Roman" w:cs="Times New Roman" w:hint="default"/>
        <w:b w:val="0"/>
        <w:i w:val="0"/>
        <w:color w:val="auto"/>
      </w:rPr>
    </w:lvl>
    <w:lvl w:ilvl="2">
      <w:start w:val="1"/>
      <w:numFmt w:val="lowerLetter"/>
      <w:pStyle w:val="subpar"/>
      <w:lvlText w:val="%3."/>
      <w:lvlJc w:val="left"/>
      <w:pPr>
        <w:tabs>
          <w:tab w:val="num" w:pos="1152"/>
        </w:tabs>
        <w:ind w:left="1152" w:hanging="432"/>
      </w:pPr>
    </w:lvl>
    <w:lvl w:ilvl="3">
      <w:start w:val="1"/>
      <w:numFmt w:val="lowerLetter"/>
      <w:pStyle w:val="SubSubPar"/>
      <w:lvlText w:val="%4."/>
      <w:lvlJc w:val="left"/>
      <w:pPr>
        <w:tabs>
          <w:tab w:val="num" w:pos="1458"/>
        </w:tabs>
        <w:ind w:left="1458"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15:restartNumberingAfterBreak="0">
    <w:nsid w:val="19950C1F"/>
    <w:multiLevelType w:val="hybridMultilevel"/>
    <w:tmpl w:val="736A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B4D90"/>
    <w:multiLevelType w:val="hybridMultilevel"/>
    <w:tmpl w:val="A39E79BC"/>
    <w:lvl w:ilvl="0" w:tplc="778A8AA6">
      <w:start w:val="1"/>
      <w:numFmt w:val="decimal"/>
      <w:lvlText w:val="2.%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4A671F"/>
    <w:multiLevelType w:val="hybridMultilevel"/>
    <w:tmpl w:val="9A6E1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40F7C"/>
    <w:multiLevelType w:val="multilevel"/>
    <w:tmpl w:val="4F0273BC"/>
    <w:lvl w:ilvl="0">
      <w:start w:val="1"/>
      <w:numFmt w:val="upperRoman"/>
      <w:lvlRestart w:val="0"/>
      <w:pStyle w:val="CommentReference"/>
      <w:lvlText w:val="%1."/>
      <w:lvlJc w:val="center"/>
      <w:pPr>
        <w:tabs>
          <w:tab w:val="num" w:pos="3510"/>
        </w:tabs>
        <w:ind w:left="2862" w:firstLine="288"/>
      </w:pPr>
      <w:rPr>
        <w:rFonts w:hint="default"/>
        <w:b/>
        <w:i w:val="0"/>
      </w:rPr>
    </w:lvl>
    <w:lvl w:ilvl="1">
      <w:start w:val="1"/>
      <w:numFmt w:val="decimal"/>
      <w:pStyle w:val="BodyTextIndentChar"/>
      <w:isLgl/>
      <w:lvlText w:val="%1.%2"/>
      <w:lvlJc w:val="left"/>
      <w:pPr>
        <w:tabs>
          <w:tab w:val="num" w:pos="1386"/>
        </w:tabs>
        <w:ind w:left="1386" w:hanging="1296"/>
      </w:pPr>
      <w:rPr>
        <w:rFonts w:hint="default"/>
        <w:b w:val="0"/>
        <w:i w:val="0"/>
      </w:rPr>
    </w:lvl>
    <w:lvl w:ilvl="2">
      <w:start w:val="1"/>
      <w:numFmt w:val="decimal"/>
      <w:pStyle w:val="BodyTextIndent3Char"/>
      <w:lvlText w:val="(%3)"/>
      <w:lvlJc w:val="left"/>
      <w:pPr>
        <w:tabs>
          <w:tab w:val="num" w:pos="2592"/>
        </w:tabs>
        <w:ind w:left="2592" w:hanging="432"/>
      </w:pPr>
      <w:rPr>
        <w:rFonts w:hint="default"/>
      </w:rPr>
    </w:lvl>
    <w:lvl w:ilvl="3">
      <w:start w:val="1"/>
      <w:numFmt w:val="lowerRoman"/>
      <w:pStyle w:val="ListParagraph"/>
      <w:lvlText w:val="%4."/>
      <w:lvlJc w:val="right"/>
      <w:pPr>
        <w:tabs>
          <w:tab w:val="num" w:pos="3024"/>
        </w:tabs>
        <w:ind w:left="3024" w:hanging="288"/>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8" w15:restartNumberingAfterBreak="0">
    <w:nsid w:val="32383F8D"/>
    <w:multiLevelType w:val="hybridMultilevel"/>
    <w:tmpl w:val="A42A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274DD"/>
    <w:multiLevelType w:val="hybridMultilevel"/>
    <w:tmpl w:val="3FAAE8D6"/>
    <w:lvl w:ilvl="0" w:tplc="2070DCDE">
      <w:numFmt w:val="bullet"/>
      <w:lvlText w:val="-"/>
      <w:lvlJc w:val="left"/>
      <w:pPr>
        <w:ind w:left="3654" w:hanging="360"/>
      </w:pPr>
      <w:rPr>
        <w:rFonts w:ascii="Times New Roman" w:eastAsiaTheme="minorEastAsia" w:hAnsi="Times New Roman" w:cs="Times New Roman" w:hint="default"/>
        <w:b/>
        <w:u w:val="single"/>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8E00B8F"/>
    <w:multiLevelType w:val="multilevel"/>
    <w:tmpl w:val="42B0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F60BCC"/>
    <w:multiLevelType w:val="hybridMultilevel"/>
    <w:tmpl w:val="7AD235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4045BD"/>
    <w:multiLevelType w:val="hybridMultilevel"/>
    <w:tmpl w:val="607E30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C48E3"/>
    <w:multiLevelType w:val="hybridMultilevel"/>
    <w:tmpl w:val="E1FE657E"/>
    <w:lvl w:ilvl="0" w:tplc="04090017">
      <w:start w:val="1"/>
      <w:numFmt w:val="lowerLetter"/>
      <w:lvlText w:val="%1)"/>
      <w:lvlJc w:val="left"/>
      <w:pPr>
        <w:ind w:left="1592" w:hanging="360"/>
      </w:pPr>
    </w:lvl>
    <w:lvl w:ilvl="1" w:tplc="04090019">
      <w:start w:val="1"/>
      <w:numFmt w:val="lowerLetter"/>
      <w:lvlText w:val="%2."/>
      <w:lvlJc w:val="left"/>
      <w:pPr>
        <w:ind w:left="2312" w:hanging="360"/>
      </w:pPr>
    </w:lvl>
    <w:lvl w:ilvl="2" w:tplc="0409001B">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14" w15:restartNumberingAfterBreak="0">
    <w:nsid w:val="619F53E8"/>
    <w:multiLevelType w:val="hybridMultilevel"/>
    <w:tmpl w:val="1A4A0870"/>
    <w:lvl w:ilvl="0" w:tplc="277E729A">
      <w:start w:val="1"/>
      <w:numFmt w:val="decimal"/>
      <w:lvlText w:val="3.%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6B5E4B83"/>
    <w:multiLevelType w:val="hybridMultilevel"/>
    <w:tmpl w:val="6C3A59D4"/>
    <w:lvl w:ilvl="0" w:tplc="8136674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B7DCC"/>
    <w:multiLevelType w:val="hybridMultilevel"/>
    <w:tmpl w:val="39967C66"/>
    <w:lvl w:ilvl="0" w:tplc="DBC6CDC2">
      <w:start w:val="1"/>
      <w:numFmt w:val="lowerRoman"/>
      <w:lvlText w:val="(%1)"/>
      <w:lvlJc w:val="left"/>
      <w:pPr>
        <w:ind w:left="1350" w:hanging="720"/>
      </w:pPr>
      <w:rPr>
        <w:rFonts w:ascii="Times New Roman" w:eastAsiaTheme="minorEastAsia"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7FD607C9"/>
    <w:multiLevelType w:val="multilevel"/>
    <w:tmpl w:val="79063D1C"/>
    <w:lvl w:ilvl="0">
      <w:start w:val="1"/>
      <w:numFmt w:val="upperRoman"/>
      <w:lvlRestart w:val="0"/>
      <w:lvlText w:val="%1."/>
      <w:lvlJc w:val="center"/>
      <w:pPr>
        <w:tabs>
          <w:tab w:val="num" w:pos="3510"/>
        </w:tabs>
        <w:ind w:left="2862" w:firstLine="288"/>
      </w:pPr>
      <w:rPr>
        <w:b/>
        <w:i w:val="0"/>
      </w:rPr>
    </w:lvl>
    <w:lvl w:ilvl="1">
      <w:start w:val="1"/>
      <w:numFmt w:val="decimal"/>
      <w:isLgl/>
      <w:lvlText w:val="%1.%2"/>
      <w:lvlJc w:val="left"/>
      <w:pPr>
        <w:tabs>
          <w:tab w:val="num" w:pos="1746"/>
        </w:tabs>
        <w:ind w:left="1746" w:hanging="1296"/>
      </w:pPr>
      <w:rPr>
        <w:b w:val="0"/>
        <w:i w:val="0"/>
        <w:lang w:val="en-US"/>
      </w:rPr>
    </w:lvl>
    <w:lvl w:ilvl="2">
      <w:start w:val="1"/>
      <w:numFmt w:val="decimal"/>
      <w:lvlText w:val="(%3)"/>
      <w:lvlJc w:val="left"/>
      <w:pPr>
        <w:tabs>
          <w:tab w:val="num" w:pos="2592"/>
        </w:tabs>
        <w:ind w:left="2592" w:hanging="432"/>
      </w:pPr>
      <w:rPr>
        <w:rFonts w:hint="default"/>
      </w:r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num w:numId="1">
    <w:abstractNumId w:val="3"/>
  </w:num>
  <w:num w:numId="2">
    <w:abstractNumId w:val="13"/>
  </w:num>
  <w:num w:numId="3">
    <w:abstractNumId w:val="10"/>
  </w:num>
  <w:num w:numId="4">
    <w:abstractNumId w:val="8"/>
  </w:num>
  <w:num w:numId="5">
    <w:abstractNumId w:val="2"/>
  </w:num>
  <w:num w:numId="6">
    <w:abstractNumId w:val="4"/>
  </w:num>
  <w:num w:numId="7">
    <w:abstractNumId w:val="5"/>
  </w:num>
  <w:num w:numId="8">
    <w:abstractNumId w:val="17"/>
  </w:num>
  <w:num w:numId="9">
    <w:abstractNumId w:val="7"/>
  </w:num>
  <w:num w:numId="10">
    <w:abstractNumId w:val="14"/>
  </w:num>
  <w:num w:numId="11">
    <w:abstractNumId w:val="9"/>
  </w:num>
  <w:num w:numId="12">
    <w:abstractNumId w:val="11"/>
  </w:num>
  <w:num w:numId="13">
    <w:abstractNumId w:val="6"/>
  </w:num>
  <w:num w:numId="14">
    <w:abstractNumId w:val="16"/>
  </w:num>
  <w:num w:numId="15">
    <w:abstractNumId w:val="12"/>
  </w:num>
  <w:num w:numId="16">
    <w:abstractNumId w:val="0"/>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A7"/>
    <w:rsid w:val="0003493A"/>
    <w:rsid w:val="00050DB5"/>
    <w:rsid w:val="000C118D"/>
    <w:rsid w:val="00170248"/>
    <w:rsid w:val="001F2366"/>
    <w:rsid w:val="002118B7"/>
    <w:rsid w:val="0024224B"/>
    <w:rsid w:val="00360ACB"/>
    <w:rsid w:val="003800C7"/>
    <w:rsid w:val="003F5CA1"/>
    <w:rsid w:val="004003E8"/>
    <w:rsid w:val="00423E38"/>
    <w:rsid w:val="004311FF"/>
    <w:rsid w:val="004A3654"/>
    <w:rsid w:val="004D1120"/>
    <w:rsid w:val="004D51F3"/>
    <w:rsid w:val="0051231A"/>
    <w:rsid w:val="0052634A"/>
    <w:rsid w:val="00556C08"/>
    <w:rsid w:val="005673D5"/>
    <w:rsid w:val="0056772C"/>
    <w:rsid w:val="006071D7"/>
    <w:rsid w:val="006131F6"/>
    <w:rsid w:val="00633FCD"/>
    <w:rsid w:val="00637714"/>
    <w:rsid w:val="00637BD8"/>
    <w:rsid w:val="00655DDF"/>
    <w:rsid w:val="006C3B20"/>
    <w:rsid w:val="0078460F"/>
    <w:rsid w:val="008171F3"/>
    <w:rsid w:val="00834FF1"/>
    <w:rsid w:val="00891E3C"/>
    <w:rsid w:val="008C7908"/>
    <w:rsid w:val="008E7F90"/>
    <w:rsid w:val="00901303"/>
    <w:rsid w:val="00A15B62"/>
    <w:rsid w:val="00A37CA7"/>
    <w:rsid w:val="00A67A41"/>
    <w:rsid w:val="00A838F0"/>
    <w:rsid w:val="00AD6E3D"/>
    <w:rsid w:val="00AE7268"/>
    <w:rsid w:val="00B17BF0"/>
    <w:rsid w:val="00B27293"/>
    <w:rsid w:val="00BF0B50"/>
    <w:rsid w:val="00BF5CD3"/>
    <w:rsid w:val="00C27587"/>
    <w:rsid w:val="00C42B39"/>
    <w:rsid w:val="00C439C0"/>
    <w:rsid w:val="00CA7C9E"/>
    <w:rsid w:val="00CD36BB"/>
    <w:rsid w:val="00CD4904"/>
    <w:rsid w:val="00DA2E66"/>
    <w:rsid w:val="00DE327F"/>
    <w:rsid w:val="00E277C5"/>
    <w:rsid w:val="00E326F3"/>
    <w:rsid w:val="00ED4D33"/>
    <w:rsid w:val="00F45D9C"/>
    <w:rsid w:val="00F74266"/>
    <w:rsid w:val="23C30F60"/>
    <w:rsid w:val="2CDD2216"/>
    <w:rsid w:val="672BA234"/>
    <w:rsid w:val="6D5927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32EBCC"/>
  <w14:defaultImageDpi w14:val="0"/>
  <w15:docId w15:val="{1E82EC09-782F-414B-8AC8-FFF8357E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4">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n-US"/>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n-US"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customStyle="1" w:styleId="Chapter">
    <w:name w:val="Chapter"/>
    <w:basedOn w:val="Normal"/>
    <w:next w:val="Normal"/>
    <w:link w:val="ChapterChar"/>
    <w:rsid w:val="004311FF"/>
    <w:pPr>
      <w:widowControl/>
      <w:numPr>
        <w:numId w:val="1"/>
      </w:numPr>
      <w:tabs>
        <w:tab w:val="left" w:pos="1440"/>
      </w:tabs>
      <w:autoSpaceDE/>
      <w:autoSpaceDN/>
      <w:adjustRightInd/>
      <w:spacing w:before="240" w:after="240"/>
      <w:jc w:val="center"/>
    </w:pPr>
    <w:rPr>
      <w:rFonts w:ascii="Times New Roman" w:eastAsia="Times New Roman" w:hAnsi="Times New Roman" w:cs="Times New Roman"/>
      <w:b/>
      <w:smallCaps/>
      <w:color w:val="auto"/>
      <w:sz w:val="20"/>
      <w:szCs w:val="20"/>
      <w:lang w:val="es-ES" w:eastAsia="en-US"/>
    </w:rPr>
  </w:style>
  <w:style w:type="paragraph" w:customStyle="1" w:styleId="Paragraph">
    <w:name w:val="Paragraph"/>
    <w:aliases w:val="paragraph,p,PARAGRAPH,PG,pa,at"/>
    <w:basedOn w:val="BodyTextIndent"/>
    <w:link w:val="ParagraphChar"/>
    <w:rsid w:val="004311FF"/>
    <w:pPr>
      <w:widowControl/>
      <w:numPr>
        <w:ilvl w:val="1"/>
        <w:numId w:val="1"/>
      </w:numPr>
      <w:tabs>
        <w:tab w:val="clear" w:pos="1080"/>
        <w:tab w:val="num" w:pos="360"/>
      </w:tabs>
      <w:autoSpaceDE/>
      <w:autoSpaceDN/>
      <w:adjustRightInd/>
      <w:spacing w:before="120"/>
      <w:ind w:left="360" w:firstLine="0"/>
      <w:jc w:val="both"/>
      <w:outlineLvl w:val="1"/>
    </w:pPr>
    <w:rPr>
      <w:rFonts w:ascii="Times New Roman" w:eastAsia="Times New Roman" w:hAnsi="Times New Roman" w:cs="Times New Roman"/>
      <w:color w:val="auto"/>
      <w:szCs w:val="20"/>
      <w:lang w:val="es-ES" w:eastAsia="en-US"/>
    </w:rPr>
  </w:style>
  <w:style w:type="paragraph" w:customStyle="1" w:styleId="subpar">
    <w:name w:val="subpar"/>
    <w:basedOn w:val="BodyTextIndent3"/>
    <w:link w:val="subparChar"/>
    <w:rsid w:val="004311FF"/>
    <w:pPr>
      <w:widowControl/>
      <w:numPr>
        <w:ilvl w:val="2"/>
        <w:numId w:val="1"/>
      </w:numPr>
      <w:autoSpaceDE/>
      <w:autoSpaceDN/>
      <w:adjustRightInd/>
      <w:spacing w:before="120"/>
      <w:jc w:val="both"/>
      <w:outlineLvl w:val="2"/>
    </w:pPr>
    <w:rPr>
      <w:rFonts w:ascii="Times New Roman" w:eastAsia="Times New Roman" w:hAnsi="Times New Roman" w:cs="Times New Roman"/>
      <w:color w:val="auto"/>
      <w:sz w:val="24"/>
      <w:szCs w:val="20"/>
      <w:lang w:val="es-ES_tradnl" w:eastAsia="en-US"/>
    </w:rPr>
  </w:style>
  <w:style w:type="paragraph" w:customStyle="1" w:styleId="SubSubPar">
    <w:name w:val="SubSubPar"/>
    <w:basedOn w:val="subpar"/>
    <w:link w:val="SubSubParChar"/>
    <w:rsid w:val="004311FF"/>
    <w:pPr>
      <w:numPr>
        <w:ilvl w:val="3"/>
      </w:numPr>
      <w:tabs>
        <w:tab w:val="clear" w:pos="1458"/>
        <w:tab w:val="left" w:pos="0"/>
        <w:tab w:val="num" w:pos="360"/>
      </w:tabs>
    </w:pPr>
  </w:style>
  <w:style w:type="character" w:customStyle="1" w:styleId="subparChar">
    <w:name w:val="subpar Char"/>
    <w:link w:val="subpar"/>
    <w:rsid w:val="004311FF"/>
    <w:rPr>
      <w:rFonts w:ascii="Times New Roman" w:eastAsia="Times New Roman" w:hAnsi="Times New Roman" w:cs="Times New Roman"/>
      <w:sz w:val="24"/>
      <w:szCs w:val="20"/>
      <w:lang w:val="es-ES_tradnl" w:eastAsia="en-US"/>
    </w:rPr>
  </w:style>
  <w:style w:type="paragraph" w:styleId="BodyTextIndent">
    <w:name w:val="Body Text Indent"/>
    <w:basedOn w:val="Normal"/>
    <w:link w:val="BodyTextIndentChar"/>
    <w:uiPriority w:val="99"/>
    <w:semiHidden/>
    <w:unhideWhenUsed/>
    <w:rsid w:val="004311FF"/>
    <w:pPr>
      <w:spacing w:after="120"/>
      <w:ind w:left="360"/>
    </w:pPr>
  </w:style>
  <w:style w:type="character" w:customStyle="1" w:styleId="BodyTextIndentChar">
    <w:name w:val="Body Text Indent Char"/>
    <w:basedOn w:val="DefaultParagraphFont"/>
    <w:link w:val="BodyTextIndent"/>
    <w:uiPriority w:val="99"/>
    <w:semiHidden/>
    <w:rsid w:val="004311FF"/>
    <w:rPr>
      <w:rFonts w:ascii="Arial" w:hAnsi="Arial" w:cs="Arial"/>
      <w:color w:val="000000"/>
      <w:sz w:val="24"/>
      <w:szCs w:val="24"/>
      <w:lang w:val="en-US"/>
    </w:rPr>
  </w:style>
  <w:style w:type="paragraph" w:styleId="BodyTextIndent3">
    <w:name w:val="Body Text Indent 3"/>
    <w:basedOn w:val="Normal"/>
    <w:link w:val="BodyTextIndent3Char"/>
    <w:uiPriority w:val="99"/>
    <w:semiHidden/>
    <w:unhideWhenUsed/>
    <w:rsid w:val="004311F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311FF"/>
    <w:rPr>
      <w:rFonts w:ascii="Arial" w:hAnsi="Arial" w:cs="Arial"/>
      <w:color w:val="000000"/>
      <w:sz w:val="16"/>
      <w:szCs w:val="16"/>
      <w:lang w:val="en-US"/>
    </w:rPr>
  </w:style>
  <w:style w:type="character" w:styleId="Mention">
    <w:name w:val="Mention"/>
    <w:basedOn w:val="DefaultParagraphFont"/>
    <w:uiPriority w:val="99"/>
    <w:semiHidden/>
    <w:unhideWhenUsed/>
    <w:rsid w:val="004311FF"/>
    <w:rPr>
      <w:color w:val="2B579A"/>
      <w:shd w:val="clear" w:color="auto" w:fill="E6E6E6"/>
    </w:rPr>
  </w:style>
  <w:style w:type="paragraph" w:styleId="ListParagraph">
    <w:name w:val="List Paragraph"/>
    <w:basedOn w:val="Normal"/>
    <w:link w:val="ListParagraphChar"/>
    <w:uiPriority w:val="34"/>
    <w:qFormat/>
    <w:rsid w:val="002118B7"/>
    <w:pPr>
      <w:widowControl/>
      <w:autoSpaceDE/>
      <w:autoSpaceDN/>
      <w:adjustRightInd/>
      <w:spacing w:after="200" w:line="276" w:lineRule="auto"/>
      <w:ind w:left="720"/>
      <w:contextualSpacing/>
    </w:pPr>
    <w:rPr>
      <w:rFonts w:ascii="Calibri" w:eastAsia="Calibri" w:hAnsi="Calibri" w:cs="Times New Roman"/>
      <w:color w:val="auto"/>
      <w:sz w:val="22"/>
      <w:szCs w:val="22"/>
      <w:lang w:val="es-ES" w:eastAsia="en-US"/>
    </w:rPr>
  </w:style>
  <w:style w:type="character" w:customStyle="1" w:styleId="ListParagraphChar">
    <w:name w:val="List Paragraph Char"/>
    <w:link w:val="ListParagraph"/>
    <w:uiPriority w:val="34"/>
    <w:rsid w:val="002118B7"/>
    <w:rPr>
      <w:rFonts w:ascii="Calibri" w:eastAsia="Calibri" w:hAnsi="Calibri" w:cs="Times New Roman"/>
      <w:lang w:val="es-ES" w:eastAsia="en-US"/>
    </w:rPr>
  </w:style>
  <w:style w:type="character" w:customStyle="1" w:styleId="ParagraphChar">
    <w:name w:val="Paragraph Char"/>
    <w:basedOn w:val="ListParagraphChar"/>
    <w:link w:val="Paragraph"/>
    <w:rsid w:val="00DA2E66"/>
    <w:rPr>
      <w:rFonts w:ascii="Times New Roman" w:eastAsia="Times New Roman" w:hAnsi="Times New Roman" w:cs="Times New Roman"/>
      <w:sz w:val="24"/>
      <w:szCs w:val="20"/>
      <w:lang w:val="es-ES" w:eastAsia="en-US"/>
    </w:rPr>
  </w:style>
  <w:style w:type="character" w:customStyle="1" w:styleId="ChapterChar">
    <w:name w:val="Chapter Char"/>
    <w:basedOn w:val="ListParagraphChar"/>
    <w:link w:val="Chapter"/>
    <w:rsid w:val="00DA2E66"/>
    <w:rPr>
      <w:rFonts w:ascii="Times New Roman" w:eastAsia="Times New Roman" w:hAnsi="Times New Roman" w:cs="Times New Roman"/>
      <w:b/>
      <w:smallCaps/>
      <w:sz w:val="20"/>
      <w:szCs w:val="20"/>
      <w:lang w:val="es-ES" w:eastAsia="en-US"/>
    </w:rPr>
  </w:style>
  <w:style w:type="character" w:customStyle="1" w:styleId="SubSubParChar">
    <w:name w:val="SubSubPar Char"/>
    <w:basedOn w:val="ListParagraphChar"/>
    <w:link w:val="SubSubPar"/>
    <w:rsid w:val="00DA2E66"/>
    <w:rPr>
      <w:rFonts w:ascii="Times New Roman" w:eastAsia="Times New Roman" w:hAnsi="Times New Roman" w:cs="Times New Roman"/>
      <w:sz w:val="24"/>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35448">
      <w:bodyDiv w:val="1"/>
      <w:marLeft w:val="0"/>
      <w:marRight w:val="0"/>
      <w:marTop w:val="0"/>
      <w:marBottom w:val="0"/>
      <w:divBdr>
        <w:top w:val="none" w:sz="0" w:space="0" w:color="auto"/>
        <w:left w:val="none" w:sz="0" w:space="0" w:color="auto"/>
        <w:bottom w:val="none" w:sz="0" w:space="0" w:color="auto"/>
        <w:right w:val="none" w:sz="0" w:space="0" w:color="auto"/>
      </w:divBdr>
      <w:divsChild>
        <w:div w:id="859783246">
          <w:marLeft w:val="0"/>
          <w:marRight w:val="0"/>
          <w:marTop w:val="0"/>
          <w:marBottom w:val="0"/>
          <w:divBdr>
            <w:top w:val="none" w:sz="0" w:space="0" w:color="auto"/>
            <w:left w:val="none" w:sz="0" w:space="0" w:color="auto"/>
            <w:bottom w:val="none" w:sz="0" w:space="0" w:color="auto"/>
            <w:right w:val="none" w:sz="0" w:space="0" w:color="auto"/>
          </w:divBdr>
          <w:divsChild>
            <w:div w:id="1974361039">
              <w:marLeft w:val="0"/>
              <w:marRight w:val="0"/>
              <w:marTop w:val="0"/>
              <w:marBottom w:val="0"/>
              <w:divBdr>
                <w:top w:val="none" w:sz="0" w:space="0" w:color="auto"/>
                <w:left w:val="none" w:sz="0" w:space="0" w:color="auto"/>
                <w:bottom w:val="none" w:sz="0" w:space="0" w:color="auto"/>
                <w:right w:val="none" w:sz="0" w:space="0" w:color="auto"/>
              </w:divBdr>
              <w:divsChild>
                <w:div w:id="20502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5323">
      <w:bodyDiv w:val="1"/>
      <w:marLeft w:val="0"/>
      <w:marRight w:val="0"/>
      <w:marTop w:val="0"/>
      <w:marBottom w:val="0"/>
      <w:divBdr>
        <w:top w:val="none" w:sz="0" w:space="0" w:color="auto"/>
        <w:left w:val="none" w:sz="0" w:space="0" w:color="auto"/>
        <w:bottom w:val="none" w:sz="0" w:space="0" w:color="auto"/>
        <w:right w:val="none" w:sz="0" w:space="0" w:color="auto"/>
      </w:divBdr>
      <w:divsChild>
        <w:div w:id="234167910">
          <w:marLeft w:val="0"/>
          <w:marRight w:val="0"/>
          <w:marTop w:val="0"/>
          <w:marBottom w:val="0"/>
          <w:divBdr>
            <w:top w:val="none" w:sz="0" w:space="0" w:color="auto"/>
            <w:left w:val="none" w:sz="0" w:space="0" w:color="auto"/>
            <w:bottom w:val="none" w:sz="0" w:space="0" w:color="auto"/>
            <w:right w:val="none" w:sz="0" w:space="0" w:color="auto"/>
          </w:divBdr>
          <w:divsChild>
            <w:div w:id="1625766112">
              <w:marLeft w:val="0"/>
              <w:marRight w:val="0"/>
              <w:marTop w:val="0"/>
              <w:marBottom w:val="0"/>
              <w:divBdr>
                <w:top w:val="none" w:sz="0" w:space="0" w:color="auto"/>
                <w:left w:val="none" w:sz="0" w:space="0" w:color="auto"/>
                <w:bottom w:val="none" w:sz="0" w:space="0" w:color="auto"/>
                <w:right w:val="none" w:sz="0" w:space="0" w:color="auto"/>
              </w:divBdr>
              <w:divsChild>
                <w:div w:id="2856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adb.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beo-procurement.iadb.org/hom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oniogar@iadb.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idbdocs.iadb.org/wsdocs/getdocument.aspx?DOCNUM=38988574"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Division_x0020_or_x0020_Unit xmlns="cdc7663a-08f0-4737-9e8c-148ce897a09c">IFD/CMF</Division_x0020_or_x0020_Unit>
    <Fiscal_x0020_Year_x0020_IDB xmlns="cdc7663a-08f0-4737-9e8c-148ce897a09c">2017</Fiscal_x0020_Year_x0020_IDB>
    <Other_x0020_Author xmlns="cdc7663a-08f0-4737-9e8c-148ce897a09c" xsi:nil="true"/>
    <Migration_x0020_Info xmlns="cdc7663a-08f0-4737-9e8c-148ce897a09c" xsi:nil="true"/>
    <Document_x0020_Author xmlns="cdc7663a-08f0-4737-9e8c-148ce897a09c">Garcia Zaballos, Antonio</Document_x0020_Author>
    <Document_x0020_Language_x0020_IDB xmlns="cdc7663a-08f0-4737-9e8c-148ce897a09c">English</Document_x0020_Language_x0020_IDB>
    <TaxCatchAll xmlns="cdc7663a-08f0-4737-9e8c-148ce897a09c">
      <Value>62</Value>
      <Value>103</Value>
      <Value>104</Value>
      <Value>3</Value>
      <Value>44</Value>
    </TaxCatchAll>
    <Identifier xmlns="cdc7663a-08f0-4737-9e8c-148ce897a09c" xsi:nil="true"/>
    <_dlc_DocId xmlns="cdc7663a-08f0-4737-9e8c-148ce897a09c">EZSHARE-842047134-36</_dlc_DocId>
    <_dlc_DocIdUrl xmlns="cdc7663a-08f0-4737-9e8c-148ce897a09c">
      <Url>https://idbg.sharepoint.com/teams/EZ-RG-TCP/RG-T2785/_layouts/15/DocIdRedir.aspx?ID=EZSHARE-842047134-36</Url>
      <Description>EZSHARE-842047134-36</Description>
    </_dlc_DocIdUrl>
    <b26cdb1da78c4bb4b1c1bac2f6ac5911 xmlns="cdc7663a-08f0-4737-9e8c-148ce897a09c">
      <Terms xmlns="http://schemas.microsoft.com/office/infopath/2007/PartnerControl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4a833e0c-b04e-4136-8e27-6c06cac1e274</TermId>
        </TermInfo>
      </Terms>
    </e46fe2894295491da65140ffd2369f49>
    <Approval_x0020_Number xmlns="cdc7663a-08f0-4737-9e8c-148ce897a09c">ATN/KK-16057-RG;</Approval_x0020_Number>
    <Phase xmlns="cdc7663a-08f0-4737-9e8c-148ce897a09c">ACTIVE</Phas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TELECOMMUNICATIONS INFRASTRUCTURE</TermName>
          <TermId xmlns="http://schemas.microsoft.com/office/infopath/2007/PartnerControls">aefa06f2-9334-47b4-baa8-b6fd58d1b6b7</TermId>
        </TermInfo>
      </Terms>
    </b2ec7cfb18674cb8803df6b262e8b107>
    <Business_x0020_Area xmlns="cdc7663a-08f0-4737-9e8c-148ce897a09c">BEO Procurement</Business_x0020_Area>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KPK</TermName>
          <TermId xmlns="http://schemas.microsoft.com/office/infopath/2007/PartnerControls">5e9b0b4b-552d-41e7-8443-d0767d768acd</TermId>
        </TermInfo>
      </Terms>
    </g511464f9e53401d84b16fa9b379a574>
    <Operation_x0020_Type xmlns="cdc7663a-08f0-4737-9e8c-148ce897a09c">Technical Cooperation</Operation_x0020_Type>
    <Package_x0020_Code xmlns="cdc7663a-08f0-4737-9e8c-148ce897a09c" xsi:nil="true"/>
    <Project_x0020_Number xmlns="cdc7663a-08f0-4737-9e8c-148ce897a09c">RG-T2785</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SCIENCE AND TECHNOLOGY</TermName>
          <TermId xmlns="http://schemas.microsoft.com/office/infopath/2007/PartnerControls">0cc5734e-64eb-4bef-9520-748f3938df0e</TermId>
        </TermInfo>
      </Terms>
    </nddeef1749674d76abdbe4b239a70bc6>
    <Record_x0020_Number xmlns="cdc7663a-08f0-4737-9e8c-148ce897a09c">R0001241599</Record_x0020_Number>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true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D7845F0EC2280C4DBDEAEFE350A65E31" ma:contentTypeVersion="29" ma:contentTypeDescription="A content type to manage public (operations) IDB documents" ma:contentTypeScope="" ma:versionID="98a55a222c0107eaff66b62cc1008d5e">
  <xsd:schema xmlns:xsd="http://www.w3.org/2001/XMLSchema" xmlns:xs="http://www.w3.org/2001/XMLSchema" xmlns:p="http://schemas.microsoft.com/office/2006/metadata/properties" xmlns:ns2="cdc7663a-08f0-4737-9e8c-148ce897a09c" targetNamespace="http://schemas.microsoft.com/office/2006/metadata/properties" ma:root="true" ma:fieldsID="7148bbd2547d5f1784cb61ea1835f70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CC96B-FD11-466D-AEB4-CD0D9388406A}">
  <ds:schemaRefs>
    <ds:schemaRef ds:uri="http://schemas.microsoft.com/office/2006/metadata/properties"/>
    <ds:schemaRef ds:uri="http://schemas.microsoft.com/office/infopath/2007/PartnerControls"/>
    <ds:schemaRef ds:uri="cdc7663a-08f0-4737-9e8c-148ce897a09c"/>
  </ds:schemaRefs>
</ds:datastoreItem>
</file>

<file path=customXml/itemProps2.xml><?xml version="1.0" encoding="utf-8"?>
<ds:datastoreItem xmlns:ds="http://schemas.openxmlformats.org/officeDocument/2006/customXml" ds:itemID="{6EDA4C54-CC1A-4CA5-A472-DBBD9786D206}"/>
</file>

<file path=customXml/itemProps3.xml><?xml version="1.0" encoding="utf-8"?>
<ds:datastoreItem xmlns:ds="http://schemas.openxmlformats.org/officeDocument/2006/customXml" ds:itemID="{9F5E50AB-C705-4C53-B2E7-F469F0E2EE3C}">
  <ds:schemaRefs>
    <ds:schemaRef ds:uri="http://schemas.microsoft.com/sharepoint/v3/contenttype/forms"/>
  </ds:schemaRefs>
</ds:datastoreItem>
</file>

<file path=customXml/itemProps4.xml><?xml version="1.0" encoding="utf-8"?>
<ds:datastoreItem xmlns:ds="http://schemas.openxmlformats.org/officeDocument/2006/customXml" ds:itemID="{8447570E-1278-49C6-966D-4715CF641C27}"/>
</file>

<file path=customXml/itemProps5.xml><?xml version="1.0" encoding="utf-8"?>
<ds:datastoreItem xmlns:ds="http://schemas.openxmlformats.org/officeDocument/2006/customXml" ds:itemID="{87E23DAA-4EEF-42E2-874B-D6AC0418C7F3}">
  <ds:schemaRefs>
    <ds:schemaRef ds:uri="http://schemas.microsoft.com/sharepoint/events"/>
  </ds:schemaRefs>
</ds:datastoreItem>
</file>

<file path=customXml/itemProps6.xml><?xml version="1.0" encoding="utf-8"?>
<ds:datastoreItem xmlns:ds="http://schemas.openxmlformats.org/officeDocument/2006/customXml" ds:itemID="{B2127BE0-D68C-4382-B139-6F5AEBCA917B}"/>
</file>

<file path=customXml/itemProps7.xml><?xml version="1.0" encoding="utf-8"?>
<ds:datastoreItem xmlns:ds="http://schemas.openxmlformats.org/officeDocument/2006/customXml" ds:itemID="{1089D25A-17B1-4A25-BB68-5A3BF832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keywords/>
  <cp:lastModifiedBy>Garcia Zaballos, Antonio</cp:lastModifiedBy>
  <cp:revision>6</cp:revision>
  <cp:lastPrinted>2017-04-17T20:02:00Z</cp:lastPrinted>
  <dcterms:created xsi:type="dcterms:W3CDTF">2017-04-17T20:56:00Z</dcterms:created>
  <dcterms:modified xsi:type="dcterms:W3CDTF">2017-09-05T12:29:00Z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44;#Regional|2537a5b7-6d8e-482c-94dc-32c3cc44ff65</vt:lpwstr>
  </property>
  <property fmtid="{D5CDD505-2E9C-101B-9397-08002B2CF9AE}" pid="8" name="_dlc_DocIdItemGuid">
    <vt:lpwstr>f086adaa-7b39-4545-b375-04339bf44c6a</vt:lpwstr>
  </property>
  <property fmtid="{D5CDD505-2E9C-101B-9397-08002B2CF9AE}" pid="9" name="Series Operations IDB">
    <vt:lpwstr/>
  </property>
  <property fmtid="{D5CDD505-2E9C-101B-9397-08002B2CF9AE}" pid="10" name="Sub-Sector">
    <vt:lpwstr>104;#TELECOMMUNICATIONS INFRASTRUCTURE|aefa06f2-9334-47b4-baa8-b6fd58d1b6b7</vt:lpwstr>
  </property>
  <property fmtid="{D5CDD505-2E9C-101B-9397-08002B2CF9AE}" pid="11" name="Fund IDB">
    <vt:lpwstr>62;#KPK|5e9b0b4b-552d-41e7-8443-d0767d768acd</vt:lpwstr>
  </property>
  <property fmtid="{D5CDD505-2E9C-101B-9397-08002B2CF9AE}" pid="12" name="Sector IDB">
    <vt:lpwstr>103;#SCIENCE AND TECHNOLOGY|0cc5734e-64eb-4bef-9520-748f3938df0e</vt:lpwstr>
  </property>
  <property fmtid="{D5CDD505-2E9C-101B-9397-08002B2CF9AE}" pid="13" name="Function Operations IDB">
    <vt:lpwstr>3;#Legal|4a833e0c-b04e-4136-8e27-6c06cac1e274</vt:lpwstr>
  </property>
  <property fmtid="{D5CDD505-2E9C-101B-9397-08002B2CF9AE}" pid="14" name="Disclosure Activity">
    <vt:lpwstr>BEO Procurement</vt:lpwstr>
  </property>
  <property fmtid="{D5CDD505-2E9C-101B-9397-08002B2CF9AE}" pid="15" name="ContentTypeId">
    <vt:lpwstr>0x0101001A458A224826124E8B45B1D613300CFC00D7845F0EC2280C4DBDEAEFE350A65E31</vt:lpwstr>
  </property>
</Properties>
</file>