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7379" w14:textId="77777777" w:rsidR="00120D6D" w:rsidRPr="00120D6D" w:rsidRDefault="004C5494" w:rsidP="00120D6D">
      <w:pPr>
        <w:jc w:val="center"/>
        <w:rPr>
          <w:b/>
          <w:lang w:val="es-ES_tradnl"/>
        </w:rPr>
      </w:pPr>
      <w:r w:rsidRPr="004C5494">
        <w:rPr>
          <w:b/>
          <w:lang w:val="es-ES_tradnl"/>
        </w:rPr>
        <w:t>BR-L1497 –</w:t>
      </w:r>
      <w:r w:rsidR="00AB24E2">
        <w:rPr>
          <w:b/>
          <w:lang w:val="es-ES_tradnl"/>
        </w:rPr>
        <w:t xml:space="preserve"> </w:t>
      </w:r>
      <w:r w:rsidR="00AB24E2" w:rsidRPr="00AB24E2">
        <w:rPr>
          <w:b/>
          <w:lang w:val="es-ES_tradnl"/>
        </w:rPr>
        <w:t xml:space="preserve">Programa de Mejoramiento Urbano y Seguridad Ciudadana de Vitória </w:t>
      </w:r>
      <w:r w:rsidR="00120D6D" w:rsidRPr="00120D6D">
        <w:rPr>
          <w:b/>
          <w:lang w:val="es-ES_tradnl"/>
        </w:rPr>
        <w:t>(1.</w:t>
      </w:r>
      <w:r w:rsidR="00120D6D" w:rsidRPr="00120D6D">
        <w:rPr>
          <w:b/>
          <w:vertAlign w:val="superscript"/>
          <w:lang w:val="es-ES_tradnl"/>
        </w:rPr>
        <w:t>a</w:t>
      </w:r>
      <w:r w:rsidR="00120D6D" w:rsidRPr="00120D6D">
        <w:rPr>
          <w:b/>
          <w:lang w:val="es-ES_tradnl"/>
        </w:rPr>
        <w:t xml:space="preserve"> Etapa del Plan de Acción Vitória Sostenible)</w:t>
      </w:r>
    </w:p>
    <w:p w14:paraId="0C58B666" w14:textId="1DB76E14" w:rsidR="006B3D56" w:rsidRDefault="004C5494" w:rsidP="004C5494">
      <w:pPr>
        <w:jc w:val="center"/>
        <w:rPr>
          <w:b/>
          <w:lang w:val="es-ES_tradnl"/>
        </w:rPr>
      </w:pPr>
      <w:bookmarkStart w:id="0" w:name="_GoBack"/>
      <w:bookmarkEnd w:id="0"/>
      <w:r w:rsidRPr="004C5494">
        <w:rPr>
          <w:b/>
          <w:lang w:val="es-ES_tradnl"/>
        </w:rPr>
        <w:t xml:space="preserve">Lineamiento entre </w:t>
      </w:r>
      <w:r w:rsidR="003229D2">
        <w:rPr>
          <w:b/>
          <w:lang w:val="es-ES_tradnl"/>
        </w:rPr>
        <w:t xml:space="preserve">Marcos </w:t>
      </w:r>
      <w:r w:rsidRPr="004C5494">
        <w:rPr>
          <w:b/>
          <w:lang w:val="es-ES_tradnl"/>
        </w:rPr>
        <w:t>Sectoriales y la Operación</w:t>
      </w:r>
    </w:p>
    <w:tbl>
      <w:tblPr>
        <w:tblStyle w:val="TableGrid"/>
        <w:tblW w:w="14040" w:type="dxa"/>
        <w:tblInd w:w="-725" w:type="dxa"/>
        <w:tblLook w:val="04A0" w:firstRow="1" w:lastRow="0" w:firstColumn="1" w:lastColumn="0" w:noHBand="0" w:noVBand="1"/>
      </w:tblPr>
      <w:tblGrid>
        <w:gridCol w:w="3870"/>
        <w:gridCol w:w="5310"/>
        <w:gridCol w:w="4860"/>
      </w:tblGrid>
      <w:tr w:rsidR="004C5494" w14:paraId="59C2A833" w14:textId="77777777" w:rsidTr="003229D2">
        <w:tc>
          <w:tcPr>
            <w:tcW w:w="3870" w:type="dxa"/>
          </w:tcPr>
          <w:p w14:paraId="3B00C139" w14:textId="6472F4B6" w:rsidR="004C5494" w:rsidRDefault="004C5494" w:rsidP="004C5494">
            <w:pPr>
              <w:jc w:val="center"/>
              <w:rPr>
                <w:b/>
                <w:lang w:val="es-ES_tradnl"/>
              </w:rPr>
            </w:pPr>
            <w:r>
              <w:rPr>
                <w:b/>
                <w:lang w:val="es-ES_tradnl"/>
              </w:rPr>
              <w:t>Marco Sectorial</w:t>
            </w:r>
          </w:p>
        </w:tc>
        <w:tc>
          <w:tcPr>
            <w:tcW w:w="5310" w:type="dxa"/>
          </w:tcPr>
          <w:p w14:paraId="27016BAB" w14:textId="2AA9BE0A" w:rsidR="004C5494" w:rsidRDefault="004C5494" w:rsidP="004C5494">
            <w:pPr>
              <w:jc w:val="center"/>
              <w:rPr>
                <w:b/>
                <w:lang w:val="es-ES_tradnl"/>
              </w:rPr>
            </w:pPr>
            <w:r>
              <w:rPr>
                <w:b/>
                <w:lang w:val="es-ES_tradnl"/>
              </w:rPr>
              <w:t>Lineamiento</w:t>
            </w:r>
          </w:p>
        </w:tc>
        <w:tc>
          <w:tcPr>
            <w:tcW w:w="4860" w:type="dxa"/>
          </w:tcPr>
          <w:p w14:paraId="7C8C4F4A" w14:textId="3A1C287A" w:rsidR="004C5494" w:rsidRDefault="004C5494" w:rsidP="004C5494">
            <w:pPr>
              <w:jc w:val="center"/>
              <w:rPr>
                <w:b/>
                <w:lang w:val="es-ES_tradnl"/>
              </w:rPr>
            </w:pPr>
            <w:r>
              <w:rPr>
                <w:b/>
                <w:lang w:val="es-ES_tradnl"/>
              </w:rPr>
              <w:t>Justificación</w:t>
            </w:r>
          </w:p>
        </w:tc>
      </w:tr>
      <w:tr w:rsidR="005E7F2B" w:rsidRPr="00120D6D" w14:paraId="3439D99B" w14:textId="77777777" w:rsidTr="003229D2">
        <w:tc>
          <w:tcPr>
            <w:tcW w:w="3870" w:type="dxa"/>
            <w:vMerge w:val="restart"/>
          </w:tcPr>
          <w:p w14:paraId="3CF43553" w14:textId="77777777" w:rsidR="003229D2" w:rsidRDefault="003229D2" w:rsidP="004C5494">
            <w:pPr>
              <w:jc w:val="center"/>
              <w:rPr>
                <w:lang w:val="es-ES_tradnl"/>
              </w:rPr>
            </w:pPr>
          </w:p>
          <w:p w14:paraId="632305F5" w14:textId="77777777" w:rsidR="003229D2" w:rsidRDefault="003229D2" w:rsidP="004C5494">
            <w:pPr>
              <w:jc w:val="center"/>
              <w:rPr>
                <w:lang w:val="es-ES_tradnl"/>
              </w:rPr>
            </w:pPr>
          </w:p>
          <w:p w14:paraId="4522DD1B" w14:textId="77777777" w:rsidR="003229D2" w:rsidRDefault="003229D2" w:rsidP="004C5494">
            <w:pPr>
              <w:jc w:val="center"/>
              <w:rPr>
                <w:lang w:val="es-ES_tradnl"/>
              </w:rPr>
            </w:pPr>
          </w:p>
          <w:p w14:paraId="58E6BDF6" w14:textId="77777777" w:rsidR="003229D2" w:rsidRDefault="003229D2" w:rsidP="004C5494">
            <w:pPr>
              <w:jc w:val="center"/>
              <w:rPr>
                <w:lang w:val="es-ES_tradnl"/>
              </w:rPr>
            </w:pPr>
          </w:p>
          <w:p w14:paraId="08719260" w14:textId="77777777" w:rsidR="003229D2" w:rsidRDefault="003229D2" w:rsidP="004C5494">
            <w:pPr>
              <w:jc w:val="center"/>
              <w:rPr>
                <w:lang w:val="es-ES_tradnl"/>
              </w:rPr>
            </w:pPr>
          </w:p>
          <w:p w14:paraId="62899E96" w14:textId="77777777" w:rsidR="003229D2" w:rsidRDefault="003229D2" w:rsidP="004C5494">
            <w:pPr>
              <w:jc w:val="center"/>
              <w:rPr>
                <w:lang w:val="es-ES_tradnl"/>
              </w:rPr>
            </w:pPr>
          </w:p>
          <w:p w14:paraId="142D6619" w14:textId="77777777" w:rsidR="003229D2" w:rsidRDefault="003229D2" w:rsidP="004C5494">
            <w:pPr>
              <w:jc w:val="center"/>
              <w:rPr>
                <w:lang w:val="es-ES_tradnl"/>
              </w:rPr>
            </w:pPr>
          </w:p>
          <w:p w14:paraId="5978E2E9" w14:textId="77777777" w:rsidR="003229D2" w:rsidRDefault="003229D2" w:rsidP="004C5494">
            <w:pPr>
              <w:jc w:val="center"/>
              <w:rPr>
                <w:lang w:val="es-ES_tradnl"/>
              </w:rPr>
            </w:pPr>
          </w:p>
          <w:p w14:paraId="30240369" w14:textId="77777777" w:rsidR="003229D2" w:rsidRDefault="003229D2" w:rsidP="004C5494">
            <w:pPr>
              <w:jc w:val="center"/>
              <w:rPr>
                <w:lang w:val="es-ES_tradnl"/>
              </w:rPr>
            </w:pPr>
          </w:p>
          <w:p w14:paraId="4DE6029F" w14:textId="77777777" w:rsidR="003229D2" w:rsidRDefault="003229D2" w:rsidP="004C5494">
            <w:pPr>
              <w:jc w:val="center"/>
              <w:rPr>
                <w:lang w:val="es-ES_tradnl"/>
              </w:rPr>
            </w:pPr>
          </w:p>
          <w:p w14:paraId="6058CF10" w14:textId="77777777" w:rsidR="003229D2" w:rsidRDefault="003229D2" w:rsidP="004C5494">
            <w:pPr>
              <w:jc w:val="center"/>
              <w:rPr>
                <w:lang w:val="es-ES_tradnl"/>
              </w:rPr>
            </w:pPr>
          </w:p>
          <w:p w14:paraId="28BEEBE4" w14:textId="0BFF6881" w:rsidR="003229D2" w:rsidRDefault="005E7F2B" w:rsidP="004C5494">
            <w:pPr>
              <w:jc w:val="center"/>
              <w:rPr>
                <w:lang w:val="es-ES_tradnl"/>
              </w:rPr>
            </w:pPr>
            <w:r w:rsidRPr="0004713C">
              <w:rPr>
                <w:lang w:val="es-ES_tradnl"/>
              </w:rPr>
              <w:t xml:space="preserve">Desarrollo Urbano y Vivienda </w:t>
            </w:r>
          </w:p>
          <w:p w14:paraId="70F4428C" w14:textId="6DDBEA78" w:rsidR="005E7F2B" w:rsidRPr="004C5494" w:rsidRDefault="005E7F2B" w:rsidP="004C5494">
            <w:pPr>
              <w:jc w:val="center"/>
              <w:rPr>
                <w:lang w:val="es-ES_tradnl"/>
              </w:rPr>
            </w:pPr>
            <w:r w:rsidRPr="0004713C">
              <w:rPr>
                <w:lang w:val="es-ES_tradnl"/>
              </w:rPr>
              <w:t>(GN-2732</w:t>
            </w:r>
            <w:r w:rsidRPr="0004713C">
              <w:rPr>
                <w:lang w:val="es-ES_tradnl"/>
              </w:rPr>
              <w:noBreakHyphen/>
              <w:t>6)</w:t>
            </w:r>
          </w:p>
        </w:tc>
        <w:tc>
          <w:tcPr>
            <w:tcW w:w="5310" w:type="dxa"/>
          </w:tcPr>
          <w:p w14:paraId="65A9D763" w14:textId="1EDF1E8C" w:rsidR="005E7F2B" w:rsidRDefault="005E7F2B" w:rsidP="00F966CA">
            <w:pPr>
              <w:pStyle w:val="ListParagraph"/>
              <w:numPr>
                <w:ilvl w:val="0"/>
                <w:numId w:val="1"/>
              </w:numPr>
              <w:ind w:left="252" w:hanging="270"/>
              <w:jc w:val="both"/>
              <w:rPr>
                <w:lang w:val="es-ES_tradnl"/>
              </w:rPr>
            </w:pPr>
            <w:r>
              <w:rPr>
                <w:lang w:val="es-ES_tradnl"/>
              </w:rPr>
              <w:t>Dimensión de Éxito “</w:t>
            </w:r>
            <w:r w:rsidRPr="00691F3F">
              <w:rPr>
                <w:bCs/>
                <w:lang w:val="es-ES_tradnl"/>
              </w:rPr>
              <w:t>Las instituciones nacionales y subnacionales adquieren mayor capacidad de gestión de las áreas urbanas, incluyendo en la promoción de sociedades más equitativas, productivas y de patrones de urbanización sostenibles”</w:t>
            </w:r>
            <w:r>
              <w:rPr>
                <w:bCs/>
                <w:lang w:val="es-ES_tradnl"/>
              </w:rPr>
              <w:t xml:space="preserve"> -</w:t>
            </w:r>
            <w:r>
              <w:rPr>
                <w:lang w:val="es-ES_tradnl"/>
              </w:rPr>
              <w:t xml:space="preserve"> </w:t>
            </w:r>
            <w:proofErr w:type="spellStart"/>
            <w:r>
              <w:rPr>
                <w:lang w:val="es-ES_tradnl"/>
              </w:rPr>
              <w:t>Linea</w:t>
            </w:r>
            <w:proofErr w:type="spellEnd"/>
            <w:r>
              <w:rPr>
                <w:lang w:val="es-ES_tradnl"/>
              </w:rPr>
              <w:t xml:space="preserve"> de Acción “</w:t>
            </w:r>
            <w:r w:rsidRPr="007A2B61">
              <w:rPr>
                <w:lang w:val="es-ES_tradnl"/>
              </w:rPr>
              <w:t>(i) fortalecer la capacidad de coordinación, eficiencia, y transparencia de las instituciones nacionales y subnacionales con competencia en la planificación urbana</w:t>
            </w:r>
            <w:r>
              <w:rPr>
                <w:lang w:val="es-ES_tradnl"/>
              </w:rPr>
              <w:t xml:space="preserve">.” </w:t>
            </w:r>
          </w:p>
        </w:tc>
        <w:tc>
          <w:tcPr>
            <w:tcW w:w="4860" w:type="dxa"/>
          </w:tcPr>
          <w:p w14:paraId="3FB8EBC6" w14:textId="0A41053D" w:rsidR="005E7F2B" w:rsidRDefault="005E7F2B" w:rsidP="00F966CA">
            <w:pPr>
              <w:jc w:val="both"/>
              <w:rPr>
                <w:lang w:val="es-ES_tradnl"/>
              </w:rPr>
            </w:pPr>
            <w:r>
              <w:rPr>
                <w:lang w:val="es-ES_tradnl"/>
              </w:rPr>
              <w:t>El programa contribuye a la línea de acción al fortalecer las capacidades de recolección de información y análisis de aspectos clave de planificación urbana en el Centro de Cooperación de la Ciudad (CCC)</w:t>
            </w:r>
          </w:p>
        </w:tc>
      </w:tr>
      <w:tr w:rsidR="005E7F2B" w:rsidRPr="00120D6D" w14:paraId="313BD11E" w14:textId="77777777" w:rsidTr="003229D2">
        <w:tc>
          <w:tcPr>
            <w:tcW w:w="3870" w:type="dxa"/>
            <w:vMerge/>
          </w:tcPr>
          <w:p w14:paraId="2625FCA0" w14:textId="77777777" w:rsidR="005E7F2B" w:rsidRPr="004C5494" w:rsidRDefault="005E7F2B" w:rsidP="004C5494">
            <w:pPr>
              <w:jc w:val="center"/>
              <w:rPr>
                <w:lang w:val="es-ES_tradnl"/>
              </w:rPr>
            </w:pPr>
          </w:p>
        </w:tc>
        <w:tc>
          <w:tcPr>
            <w:tcW w:w="5310" w:type="dxa"/>
          </w:tcPr>
          <w:p w14:paraId="1A595A46" w14:textId="0A825E04" w:rsidR="005E7F2B" w:rsidRDefault="005E7F2B" w:rsidP="00F966CA">
            <w:pPr>
              <w:pStyle w:val="ListParagraph"/>
              <w:numPr>
                <w:ilvl w:val="0"/>
                <w:numId w:val="1"/>
              </w:numPr>
              <w:ind w:left="252" w:hanging="270"/>
              <w:jc w:val="both"/>
              <w:rPr>
                <w:lang w:val="es-ES_tradnl"/>
              </w:rPr>
            </w:pPr>
            <w:r>
              <w:rPr>
                <w:lang w:val="es-ES_tradnl"/>
              </w:rPr>
              <w:t>Dimensión de Éxito “</w:t>
            </w:r>
            <w:r w:rsidRPr="00C01D52">
              <w:rPr>
                <w:bCs/>
                <w:lang w:val="es-ES_tradnl"/>
              </w:rPr>
              <w:t>Dimensión del Éxito 2: Los residentes de las ciudades acceden a infraestructura y servicios públicos urbanos de calidad, los cuales contribuyen a reducir su vulnerabilidad a los riesgos climáticos y geofísicos, y a apoyar el cuidado del medioambiente.”</w:t>
            </w:r>
            <w:r>
              <w:rPr>
                <w:bCs/>
                <w:lang w:val="es-ES_tradnl"/>
              </w:rPr>
              <w:t xml:space="preserve"> – “Línea de Acción </w:t>
            </w:r>
            <w:r w:rsidRPr="00844CAD">
              <w:rPr>
                <w:lang w:val="es-ES_tradnl"/>
              </w:rPr>
              <w:t>(ii) mejorar el mantenimiento, la cobertura, la calidad, y la sostenibilidad ambiental de los servicios e infraestructura urbanos, y optimizar el funcionamiento de las instituciones que los regulan y promueven</w:t>
            </w:r>
            <w:r>
              <w:rPr>
                <w:lang w:val="es-ES_tradnl"/>
              </w:rPr>
              <w:t>”</w:t>
            </w:r>
          </w:p>
        </w:tc>
        <w:tc>
          <w:tcPr>
            <w:tcW w:w="4860" w:type="dxa"/>
          </w:tcPr>
          <w:p w14:paraId="70E8E23A" w14:textId="45A0AA31" w:rsidR="005E7F2B" w:rsidRDefault="005E7F2B" w:rsidP="00F966CA">
            <w:pPr>
              <w:jc w:val="both"/>
              <w:rPr>
                <w:lang w:val="es-ES_tradnl"/>
              </w:rPr>
            </w:pPr>
            <w:r>
              <w:rPr>
                <w:lang w:val="es-ES_tradnl"/>
              </w:rPr>
              <w:t>El programa contribuye a la dimensión de éxito y línea de acción al promover la recalificación urbana integral de la Orla Noroeste de la ciudad (Fase 1A)</w:t>
            </w:r>
          </w:p>
        </w:tc>
      </w:tr>
      <w:tr w:rsidR="005E7F2B" w:rsidRPr="00120D6D" w14:paraId="0A6DE44F" w14:textId="77777777" w:rsidTr="003229D2">
        <w:tc>
          <w:tcPr>
            <w:tcW w:w="3870" w:type="dxa"/>
            <w:vMerge/>
          </w:tcPr>
          <w:p w14:paraId="04FC5BD6" w14:textId="77777777" w:rsidR="005E7F2B" w:rsidRPr="004C5494" w:rsidRDefault="005E7F2B" w:rsidP="004C5494">
            <w:pPr>
              <w:jc w:val="center"/>
              <w:rPr>
                <w:lang w:val="es-ES_tradnl"/>
              </w:rPr>
            </w:pPr>
          </w:p>
        </w:tc>
        <w:tc>
          <w:tcPr>
            <w:tcW w:w="5310" w:type="dxa"/>
          </w:tcPr>
          <w:p w14:paraId="605BC6E1" w14:textId="16C1ADF2" w:rsidR="005E7F2B" w:rsidRDefault="005E7F2B" w:rsidP="00F966CA">
            <w:pPr>
              <w:pStyle w:val="ListParagraph"/>
              <w:numPr>
                <w:ilvl w:val="0"/>
                <w:numId w:val="1"/>
              </w:numPr>
              <w:ind w:left="252" w:hanging="270"/>
              <w:jc w:val="both"/>
              <w:rPr>
                <w:lang w:val="es-ES_tradnl"/>
              </w:rPr>
            </w:pPr>
            <w:r>
              <w:rPr>
                <w:lang w:val="es-ES_tradnl"/>
              </w:rPr>
              <w:t xml:space="preserve">Dimensión de Éxito </w:t>
            </w:r>
            <w:r w:rsidRPr="009107D5">
              <w:rPr>
                <w:lang w:val="es-ES_tradnl"/>
              </w:rPr>
              <w:t>“</w:t>
            </w:r>
            <w:r w:rsidRPr="009107D5">
              <w:rPr>
                <w:bCs/>
                <w:lang w:val="es-ES_tradnl"/>
              </w:rPr>
              <w:t>Las ciudades de la región intervienen en su hábitat para mejorar la calidad, accesibilidad, uso y sostenibilidad del espacio urbano.”</w:t>
            </w:r>
            <w:r>
              <w:rPr>
                <w:bCs/>
                <w:lang w:val="es-ES_tradnl"/>
              </w:rPr>
              <w:t xml:space="preserve"> – </w:t>
            </w:r>
            <w:proofErr w:type="spellStart"/>
            <w:r>
              <w:rPr>
                <w:bCs/>
                <w:lang w:val="es-ES_tradnl"/>
              </w:rPr>
              <w:t>Linea</w:t>
            </w:r>
            <w:proofErr w:type="spellEnd"/>
            <w:r>
              <w:rPr>
                <w:bCs/>
                <w:lang w:val="es-ES_tradnl"/>
              </w:rPr>
              <w:t xml:space="preserve"> de Acción “</w:t>
            </w:r>
            <w:r w:rsidRPr="00FE2AFD">
              <w:rPr>
                <w:lang w:val="es-ES_tradnl"/>
              </w:rPr>
              <w:t>(ii) mejorar la calidad y accesibilidad de espacios verdes y aumentar la reforestación de las áreas urbanas, utilizando estándares de diseño que maximicen los beneficios ambientales y climáticos de los parques urbanos, y promuevan el uso inclusivo de los mismos”</w:t>
            </w:r>
          </w:p>
        </w:tc>
        <w:tc>
          <w:tcPr>
            <w:tcW w:w="4860" w:type="dxa"/>
          </w:tcPr>
          <w:p w14:paraId="3BE99109" w14:textId="1BFBB6AD" w:rsidR="005E7F2B" w:rsidRDefault="005E7F2B" w:rsidP="00F966CA">
            <w:pPr>
              <w:jc w:val="both"/>
              <w:rPr>
                <w:lang w:val="es-ES_tradnl"/>
              </w:rPr>
            </w:pPr>
            <w:r>
              <w:rPr>
                <w:lang w:val="es-ES_tradnl"/>
              </w:rPr>
              <w:t>El programa contribuye a la dimensión de éxito y línea de acción al promover actividades de recuperación de manglares, reforestación del área del macizo central y preservación de nacientes.</w:t>
            </w:r>
          </w:p>
        </w:tc>
      </w:tr>
      <w:tr w:rsidR="00E434BE" w:rsidRPr="00120D6D" w14:paraId="5172DE4C" w14:textId="77777777" w:rsidTr="003229D2">
        <w:tc>
          <w:tcPr>
            <w:tcW w:w="3870" w:type="dxa"/>
            <w:vMerge w:val="restart"/>
          </w:tcPr>
          <w:p w14:paraId="5E9C540A" w14:textId="77777777" w:rsidR="003229D2" w:rsidRDefault="003229D2" w:rsidP="004C5494">
            <w:pPr>
              <w:jc w:val="center"/>
              <w:rPr>
                <w:lang w:val="es-ES_tradnl"/>
              </w:rPr>
            </w:pPr>
          </w:p>
          <w:p w14:paraId="725B1973" w14:textId="77777777" w:rsidR="003229D2" w:rsidRDefault="003229D2" w:rsidP="004C5494">
            <w:pPr>
              <w:jc w:val="center"/>
              <w:rPr>
                <w:lang w:val="es-ES_tradnl"/>
              </w:rPr>
            </w:pPr>
          </w:p>
          <w:p w14:paraId="22984E31" w14:textId="77777777" w:rsidR="003229D2" w:rsidRDefault="003229D2" w:rsidP="004C5494">
            <w:pPr>
              <w:jc w:val="center"/>
              <w:rPr>
                <w:lang w:val="es-ES_tradnl"/>
              </w:rPr>
            </w:pPr>
          </w:p>
          <w:p w14:paraId="3D095A78" w14:textId="77777777" w:rsidR="003229D2" w:rsidRDefault="003229D2" w:rsidP="004C5494">
            <w:pPr>
              <w:jc w:val="center"/>
              <w:rPr>
                <w:lang w:val="es-ES_tradnl"/>
              </w:rPr>
            </w:pPr>
          </w:p>
          <w:p w14:paraId="7FB341C8" w14:textId="77777777" w:rsidR="003229D2" w:rsidRDefault="003229D2" w:rsidP="004C5494">
            <w:pPr>
              <w:jc w:val="center"/>
              <w:rPr>
                <w:lang w:val="es-ES_tradnl"/>
              </w:rPr>
            </w:pPr>
          </w:p>
          <w:p w14:paraId="73AB5239" w14:textId="77777777" w:rsidR="003229D2" w:rsidRDefault="003229D2" w:rsidP="004C5494">
            <w:pPr>
              <w:jc w:val="center"/>
              <w:rPr>
                <w:lang w:val="es-ES_tradnl"/>
              </w:rPr>
            </w:pPr>
          </w:p>
          <w:p w14:paraId="471EAD46" w14:textId="1AEF9171" w:rsidR="00E434BE" w:rsidRPr="004C5494" w:rsidRDefault="00E434BE" w:rsidP="004C5494">
            <w:pPr>
              <w:jc w:val="center"/>
              <w:rPr>
                <w:lang w:val="es-ES_tradnl"/>
              </w:rPr>
            </w:pPr>
            <w:r w:rsidRPr="003043A7">
              <w:rPr>
                <w:lang w:val="es-ES_tradnl"/>
              </w:rPr>
              <w:t>Seguridad Ciudadana y Justicia (GN</w:t>
            </w:r>
            <w:r w:rsidRPr="003043A7">
              <w:rPr>
                <w:lang w:val="es-ES_tradnl"/>
              </w:rPr>
              <w:noBreakHyphen/>
              <w:t>2771-7)</w:t>
            </w:r>
          </w:p>
        </w:tc>
        <w:tc>
          <w:tcPr>
            <w:tcW w:w="5310" w:type="dxa"/>
          </w:tcPr>
          <w:p w14:paraId="7EEA32E3" w14:textId="7807452B" w:rsidR="00E434BE" w:rsidRDefault="00E434BE" w:rsidP="00F966CA">
            <w:pPr>
              <w:pStyle w:val="ListParagraph"/>
              <w:numPr>
                <w:ilvl w:val="0"/>
                <w:numId w:val="1"/>
              </w:numPr>
              <w:ind w:left="252" w:hanging="270"/>
              <w:jc w:val="both"/>
              <w:rPr>
                <w:lang w:val="es-ES_tradnl"/>
              </w:rPr>
            </w:pPr>
            <w:r>
              <w:rPr>
                <w:lang w:val="es-ES_tradnl"/>
              </w:rPr>
              <w:t xml:space="preserve">Dimensión de Éxito </w:t>
            </w:r>
            <w:r w:rsidRPr="003E0C0E">
              <w:rPr>
                <w:lang w:val="es-ES_tradnl"/>
              </w:rPr>
              <w:t>“</w:t>
            </w:r>
            <w:r w:rsidRPr="003E0C0E">
              <w:rPr>
                <w:bCs/>
                <w:lang w:val="es-ES_tradnl"/>
              </w:rPr>
              <w:t>Niños, jóvenes y mujeres en riesgo acceden a programas integrales y efectivos para la prevención y atención social del delito y la violencia”</w:t>
            </w:r>
            <w:r>
              <w:rPr>
                <w:bCs/>
                <w:lang w:val="es-ES_tradnl"/>
              </w:rPr>
              <w:t>, línea de acción “</w:t>
            </w:r>
            <w:r w:rsidRPr="003E0C0E">
              <w:rPr>
                <w:lang w:val="es-ES_tradnl"/>
              </w:rPr>
              <w:t>(i) mejorar la cobertura, sostenibilidad y la coordinación de los programas de prevención social del delito y la violencia</w:t>
            </w:r>
            <w:r>
              <w:rPr>
                <w:lang w:val="es-ES_tradnl"/>
              </w:rPr>
              <w:t>”</w:t>
            </w:r>
          </w:p>
        </w:tc>
        <w:tc>
          <w:tcPr>
            <w:tcW w:w="4860" w:type="dxa"/>
          </w:tcPr>
          <w:p w14:paraId="79AF3435" w14:textId="52DE78F7" w:rsidR="00E434BE" w:rsidRDefault="00E434BE" w:rsidP="00F966CA">
            <w:pPr>
              <w:jc w:val="both"/>
              <w:rPr>
                <w:lang w:val="es-ES_tradnl"/>
              </w:rPr>
            </w:pPr>
            <w:r>
              <w:rPr>
                <w:lang w:val="es-ES_tradnl"/>
              </w:rPr>
              <w:t>El programa contribuye a la dimensión de éxito y línea de acción al promover actividades de prevención social de la violencia con foco en la población joven por medio de la implementación de redes integradas de servicios de prevención social de la violencia juvenil que brinden acceso a oportunidades de inserción social y productiva, protección de derechos y reducción de los factores de riesgo por violencia.</w:t>
            </w:r>
          </w:p>
        </w:tc>
      </w:tr>
      <w:tr w:rsidR="00E434BE" w:rsidRPr="00120D6D" w14:paraId="63E2E923" w14:textId="77777777" w:rsidTr="003229D2">
        <w:tc>
          <w:tcPr>
            <w:tcW w:w="3870" w:type="dxa"/>
            <w:vMerge/>
          </w:tcPr>
          <w:p w14:paraId="084CE7F5" w14:textId="77777777" w:rsidR="00E434BE" w:rsidRPr="004C5494" w:rsidRDefault="00E434BE" w:rsidP="004C5494">
            <w:pPr>
              <w:jc w:val="center"/>
              <w:rPr>
                <w:lang w:val="es-ES_tradnl"/>
              </w:rPr>
            </w:pPr>
          </w:p>
        </w:tc>
        <w:tc>
          <w:tcPr>
            <w:tcW w:w="5310" w:type="dxa"/>
          </w:tcPr>
          <w:p w14:paraId="096B5B2E" w14:textId="7650D851" w:rsidR="00E434BE" w:rsidRDefault="00E434BE" w:rsidP="00F966CA">
            <w:pPr>
              <w:pStyle w:val="ListParagraph"/>
              <w:numPr>
                <w:ilvl w:val="0"/>
                <w:numId w:val="1"/>
              </w:numPr>
              <w:ind w:left="252" w:hanging="270"/>
              <w:jc w:val="both"/>
              <w:rPr>
                <w:lang w:val="es-ES_tradnl"/>
              </w:rPr>
            </w:pPr>
            <w:r>
              <w:rPr>
                <w:lang w:val="es-ES_tradnl"/>
              </w:rPr>
              <w:t>Dimensión de Éxito “</w:t>
            </w:r>
            <w:r w:rsidRPr="0010476E">
              <w:rPr>
                <w:bCs/>
                <w:lang w:val="es-ES_tradnl"/>
              </w:rPr>
              <w:t>La policía actúa basada en resultados y en estrecha colaboración con la comunidad para prevenir, atender y resolver el crimen</w:t>
            </w:r>
            <w:r>
              <w:rPr>
                <w:bCs/>
                <w:lang w:val="es-ES_tradnl"/>
              </w:rPr>
              <w:t xml:space="preserve">” – línea de acción </w:t>
            </w:r>
            <w:r w:rsidRPr="00505FE9">
              <w:rPr>
                <w:lang w:val="es-ES_tradnl"/>
              </w:rPr>
              <w:t>(i) fortalecer la capacidad institucional para la planificación estratégica, el monitoreo del desempeño, la profesionalización y la gestión de recursos humanos</w:t>
            </w:r>
            <w:r>
              <w:rPr>
                <w:lang w:val="es-ES_tradnl"/>
              </w:rPr>
              <w:t>”.</w:t>
            </w:r>
          </w:p>
        </w:tc>
        <w:tc>
          <w:tcPr>
            <w:tcW w:w="4860" w:type="dxa"/>
          </w:tcPr>
          <w:p w14:paraId="76959786" w14:textId="572787AD" w:rsidR="00E434BE" w:rsidRDefault="00E434BE" w:rsidP="00F966CA">
            <w:pPr>
              <w:jc w:val="both"/>
              <w:rPr>
                <w:lang w:val="es-ES_tradnl"/>
              </w:rPr>
            </w:pPr>
            <w:r>
              <w:rPr>
                <w:lang w:val="es-ES_tradnl"/>
              </w:rPr>
              <w:t xml:space="preserve">El programa contribuye a la dimensión de éxito y línea de acción al apoyar a la Guarda Municipal en formación en policía comunitaria y solución de conflictos y fortalecimiento de las capacidades analíticas del Observatorio de Seguridad de la Secretaria de Seguridad Urbana para apoyar respuestas al crimen. </w:t>
            </w:r>
          </w:p>
        </w:tc>
      </w:tr>
      <w:tr w:rsidR="00F966CA" w:rsidRPr="00120D6D" w14:paraId="4E5995AC" w14:textId="77777777" w:rsidTr="003229D2">
        <w:tc>
          <w:tcPr>
            <w:tcW w:w="3870" w:type="dxa"/>
          </w:tcPr>
          <w:p w14:paraId="1BAC8D16" w14:textId="77777777" w:rsidR="003229D2" w:rsidRPr="00AB24E2" w:rsidRDefault="003229D2" w:rsidP="004C5494">
            <w:pPr>
              <w:jc w:val="center"/>
              <w:rPr>
                <w:lang w:val="es-ES_tradnl"/>
              </w:rPr>
            </w:pPr>
          </w:p>
          <w:p w14:paraId="38A0922E" w14:textId="0E7E3B10" w:rsidR="003229D2" w:rsidRDefault="008872E1" w:rsidP="004C5494">
            <w:pPr>
              <w:jc w:val="center"/>
            </w:pPr>
            <w:r w:rsidRPr="008872E1">
              <w:t xml:space="preserve">Cambio </w:t>
            </w:r>
            <w:proofErr w:type="spellStart"/>
            <w:r w:rsidRPr="008872E1">
              <w:t>Climático</w:t>
            </w:r>
            <w:proofErr w:type="spellEnd"/>
            <w:r w:rsidRPr="008872E1">
              <w:t xml:space="preserve"> </w:t>
            </w:r>
          </w:p>
          <w:p w14:paraId="2EF13E4B" w14:textId="3F6C4BB1" w:rsidR="00F966CA" w:rsidRPr="004C5494" w:rsidRDefault="008872E1" w:rsidP="004C5494">
            <w:pPr>
              <w:jc w:val="center"/>
              <w:rPr>
                <w:lang w:val="es-ES_tradnl"/>
              </w:rPr>
            </w:pPr>
            <w:r w:rsidRPr="008872E1">
              <w:t>(GN-2835-3)</w:t>
            </w:r>
          </w:p>
        </w:tc>
        <w:tc>
          <w:tcPr>
            <w:tcW w:w="5310" w:type="dxa"/>
          </w:tcPr>
          <w:p w14:paraId="77EF9A16" w14:textId="02F1057B" w:rsidR="00F966CA" w:rsidRPr="00F9351A" w:rsidRDefault="00070D16" w:rsidP="00F9351A">
            <w:pPr>
              <w:pStyle w:val="ListParagraph"/>
              <w:numPr>
                <w:ilvl w:val="0"/>
                <w:numId w:val="1"/>
              </w:numPr>
              <w:ind w:left="252" w:hanging="270"/>
              <w:jc w:val="both"/>
              <w:rPr>
                <w:bCs/>
                <w:lang w:val="es-ES_tradnl"/>
              </w:rPr>
            </w:pPr>
            <w:r>
              <w:rPr>
                <w:lang w:val="es-ES_tradnl"/>
              </w:rPr>
              <w:t>Dimensión de Éxito “</w:t>
            </w:r>
            <w:r w:rsidR="008F26AC" w:rsidRPr="008F26AC">
              <w:rPr>
                <w:bCs/>
                <w:lang w:val="es-ES_tradnl"/>
              </w:rPr>
              <w:t>Los países avanzan en la inclusión de consideraciones climáticas en los sectores</w:t>
            </w:r>
            <w:r w:rsidR="008F26AC">
              <w:rPr>
                <w:bCs/>
                <w:lang w:val="es-ES_tradnl"/>
              </w:rPr>
              <w:t xml:space="preserve">” – </w:t>
            </w:r>
            <w:proofErr w:type="spellStart"/>
            <w:r w:rsidR="008F26AC">
              <w:rPr>
                <w:bCs/>
                <w:lang w:val="es-ES_tradnl"/>
              </w:rPr>
              <w:t>Linea</w:t>
            </w:r>
            <w:proofErr w:type="spellEnd"/>
            <w:r w:rsidR="008F26AC">
              <w:rPr>
                <w:bCs/>
                <w:lang w:val="es-ES_tradnl"/>
              </w:rPr>
              <w:t xml:space="preserve"> de acción </w:t>
            </w:r>
            <w:r w:rsidR="00F9351A">
              <w:rPr>
                <w:bCs/>
                <w:lang w:val="es-ES_tradnl"/>
              </w:rPr>
              <w:t>“</w:t>
            </w:r>
            <w:r w:rsidR="00F9351A" w:rsidRPr="00F9351A">
              <w:rPr>
                <w:bCs/>
                <w:lang w:val="es-ES_tradnl"/>
              </w:rPr>
              <w:t>Mejorar la disponibilidad y el uso de datos e información climática</w:t>
            </w:r>
            <w:r w:rsidR="00F9351A">
              <w:rPr>
                <w:bCs/>
                <w:lang w:val="es-ES_tradnl"/>
              </w:rPr>
              <w:t>”.</w:t>
            </w:r>
          </w:p>
        </w:tc>
        <w:tc>
          <w:tcPr>
            <w:tcW w:w="4860" w:type="dxa"/>
          </w:tcPr>
          <w:p w14:paraId="3DF72BD6" w14:textId="605D64F8" w:rsidR="00F966CA" w:rsidRDefault="00F9351A" w:rsidP="00F966CA">
            <w:pPr>
              <w:jc w:val="both"/>
              <w:rPr>
                <w:lang w:val="es-ES_tradnl"/>
              </w:rPr>
            </w:pPr>
            <w:r>
              <w:rPr>
                <w:lang w:val="es-ES_tradnl"/>
              </w:rPr>
              <w:t xml:space="preserve">El programa contribuye a la dimensión de éxito y línea de acción al financiar </w:t>
            </w:r>
            <w:r w:rsidR="00232067">
              <w:rPr>
                <w:lang w:val="es-ES_tradnl"/>
              </w:rPr>
              <w:t>un Plan de Gases de Efecto Invernadero y un Plan Director de Cambio Climático”.</w:t>
            </w:r>
          </w:p>
        </w:tc>
      </w:tr>
      <w:tr w:rsidR="00F966CA" w:rsidRPr="00120D6D" w14:paraId="4F6A6496" w14:textId="77777777" w:rsidTr="003229D2">
        <w:tc>
          <w:tcPr>
            <w:tcW w:w="3870" w:type="dxa"/>
          </w:tcPr>
          <w:p w14:paraId="23BAA9FB" w14:textId="77777777" w:rsidR="003229D2" w:rsidRPr="00AB24E2" w:rsidRDefault="003229D2" w:rsidP="004C5494">
            <w:pPr>
              <w:jc w:val="center"/>
              <w:rPr>
                <w:lang w:val="es-ES_tradnl"/>
              </w:rPr>
            </w:pPr>
          </w:p>
          <w:p w14:paraId="0DBE443B" w14:textId="45AD4847" w:rsidR="003229D2" w:rsidRDefault="00516B3F" w:rsidP="004C5494">
            <w:pPr>
              <w:jc w:val="center"/>
            </w:pPr>
            <w:proofErr w:type="spellStart"/>
            <w:r w:rsidRPr="00516B3F">
              <w:t>Género</w:t>
            </w:r>
            <w:proofErr w:type="spellEnd"/>
            <w:r w:rsidRPr="00516B3F">
              <w:t xml:space="preserve"> y </w:t>
            </w:r>
            <w:proofErr w:type="spellStart"/>
            <w:r w:rsidRPr="00516B3F">
              <w:t>Diversidad</w:t>
            </w:r>
            <w:proofErr w:type="spellEnd"/>
          </w:p>
          <w:p w14:paraId="2E59B259" w14:textId="4BB5850E" w:rsidR="00F966CA" w:rsidRPr="004C5494" w:rsidRDefault="00516B3F" w:rsidP="004C5494">
            <w:pPr>
              <w:jc w:val="center"/>
              <w:rPr>
                <w:lang w:val="es-ES_tradnl"/>
              </w:rPr>
            </w:pPr>
            <w:r w:rsidRPr="00516B3F">
              <w:t>(GN</w:t>
            </w:r>
            <w:r w:rsidRPr="00516B3F">
              <w:noBreakHyphen/>
              <w:t>2800</w:t>
            </w:r>
            <w:r w:rsidRPr="00516B3F">
              <w:noBreakHyphen/>
              <w:t>8)</w:t>
            </w:r>
          </w:p>
        </w:tc>
        <w:tc>
          <w:tcPr>
            <w:tcW w:w="5310" w:type="dxa"/>
          </w:tcPr>
          <w:p w14:paraId="421BCE68" w14:textId="43487E71" w:rsidR="00F966CA" w:rsidRDefault="00EE4766" w:rsidP="00F966CA">
            <w:pPr>
              <w:pStyle w:val="ListParagraph"/>
              <w:numPr>
                <w:ilvl w:val="0"/>
                <w:numId w:val="1"/>
              </w:numPr>
              <w:ind w:left="252" w:hanging="270"/>
              <w:jc w:val="both"/>
              <w:rPr>
                <w:lang w:val="es-ES_tradnl"/>
              </w:rPr>
            </w:pPr>
            <w:r>
              <w:rPr>
                <w:lang w:val="es-ES_tradnl"/>
              </w:rPr>
              <w:t>Dimensión de Éxito</w:t>
            </w:r>
            <w:r w:rsidR="00BE48BC">
              <w:rPr>
                <w:lang w:val="es-ES_tradnl"/>
              </w:rPr>
              <w:t xml:space="preserve"> “Promover la igualdad de género y el empoderamiento de las mujeres y las niñas</w:t>
            </w:r>
            <w:r w:rsidR="00281E9B">
              <w:rPr>
                <w:lang w:val="es-ES_tradnl"/>
              </w:rPr>
              <w:t>” – línea de acción “mejorar el bienestar de las mujeres</w:t>
            </w:r>
            <w:r w:rsidR="000D2E81">
              <w:rPr>
                <w:lang w:val="es-ES_tradnl"/>
              </w:rPr>
              <w:t>, las niñas y los niños mediante el incremento de acceso a servicios públicos de calidad con pertinencia cultural”</w:t>
            </w:r>
          </w:p>
        </w:tc>
        <w:tc>
          <w:tcPr>
            <w:tcW w:w="4860" w:type="dxa"/>
          </w:tcPr>
          <w:p w14:paraId="3FCA4FF6" w14:textId="51A2DDFA" w:rsidR="00F966CA" w:rsidRDefault="000D2E81" w:rsidP="00F966CA">
            <w:pPr>
              <w:jc w:val="both"/>
              <w:rPr>
                <w:lang w:val="es-ES_tradnl"/>
              </w:rPr>
            </w:pPr>
            <w:r>
              <w:rPr>
                <w:lang w:val="es-ES_tradnl"/>
              </w:rPr>
              <w:t xml:space="preserve">El programa contribuye </w:t>
            </w:r>
            <w:r w:rsidR="00C5569C">
              <w:rPr>
                <w:lang w:val="es-ES_tradnl"/>
              </w:rPr>
              <w:t xml:space="preserve">a la dimensión de éxito y línea de acción al </w:t>
            </w:r>
            <w:r w:rsidR="0001044D">
              <w:rPr>
                <w:lang w:val="es-ES_tradnl"/>
              </w:rPr>
              <w:t xml:space="preserve">financiar la </w:t>
            </w:r>
            <w:r w:rsidR="001B1D5E">
              <w:rPr>
                <w:lang w:val="es-ES_tradnl"/>
              </w:rPr>
              <w:t>ampliación del Centro de Referencia de Atención a la Mujer en Situación de Violencia (CRAMSV)</w:t>
            </w:r>
            <w:r w:rsidR="009656EC">
              <w:rPr>
                <w:lang w:val="es-ES_tradnl"/>
              </w:rPr>
              <w:t>.</w:t>
            </w:r>
          </w:p>
        </w:tc>
      </w:tr>
      <w:tr w:rsidR="00F966CA" w:rsidRPr="00120D6D" w14:paraId="128FC737" w14:textId="77777777" w:rsidTr="003229D2">
        <w:tc>
          <w:tcPr>
            <w:tcW w:w="3870" w:type="dxa"/>
          </w:tcPr>
          <w:p w14:paraId="697B30BA" w14:textId="77777777" w:rsidR="003229D2" w:rsidRDefault="003229D2" w:rsidP="004C5494">
            <w:pPr>
              <w:jc w:val="center"/>
              <w:rPr>
                <w:lang w:val="es-ES_tradnl"/>
              </w:rPr>
            </w:pPr>
          </w:p>
          <w:p w14:paraId="23EEF47A" w14:textId="4B17C206" w:rsidR="003229D2" w:rsidRDefault="001564A7" w:rsidP="004C5494">
            <w:pPr>
              <w:jc w:val="center"/>
              <w:rPr>
                <w:lang w:val="es-ES_tradnl"/>
              </w:rPr>
            </w:pPr>
            <w:r w:rsidRPr="001564A7">
              <w:rPr>
                <w:lang w:val="es-ES_tradnl"/>
              </w:rPr>
              <w:t>Descentralización y Gobiernos Subnacionales</w:t>
            </w:r>
          </w:p>
          <w:p w14:paraId="7DE2A638" w14:textId="23BCFAD1" w:rsidR="00F966CA" w:rsidRPr="004C5494" w:rsidRDefault="001564A7" w:rsidP="004C5494">
            <w:pPr>
              <w:jc w:val="center"/>
              <w:rPr>
                <w:lang w:val="es-ES_tradnl"/>
              </w:rPr>
            </w:pPr>
            <w:r w:rsidRPr="001564A7">
              <w:rPr>
                <w:lang w:val="es-ES_tradnl"/>
              </w:rPr>
              <w:t>(GN-2813-5)</w:t>
            </w:r>
          </w:p>
        </w:tc>
        <w:tc>
          <w:tcPr>
            <w:tcW w:w="5310" w:type="dxa"/>
          </w:tcPr>
          <w:p w14:paraId="7B0FA1AF" w14:textId="3D66CD39" w:rsidR="00F966CA" w:rsidRDefault="00DE20BD" w:rsidP="00F966CA">
            <w:pPr>
              <w:pStyle w:val="ListParagraph"/>
              <w:numPr>
                <w:ilvl w:val="0"/>
                <w:numId w:val="1"/>
              </w:numPr>
              <w:ind w:left="252" w:hanging="270"/>
              <w:jc w:val="both"/>
              <w:rPr>
                <w:lang w:val="es-ES_tradnl"/>
              </w:rPr>
            </w:pPr>
            <w:r>
              <w:rPr>
                <w:lang w:val="es-ES_tradnl"/>
              </w:rPr>
              <w:t xml:space="preserve">Dimensión de Éxito </w:t>
            </w:r>
            <w:r w:rsidRPr="008024A3">
              <w:rPr>
                <w:lang w:val="es-ES_tradnl"/>
              </w:rPr>
              <w:t>“</w:t>
            </w:r>
            <w:r w:rsidR="008024A3" w:rsidRPr="008024A3">
              <w:rPr>
                <w:bCs/>
                <w:lang w:val="es-ES_tradnl"/>
              </w:rPr>
              <w:t>Los GSN mejoran la eficiencia y calidad del gasto y la prestación de servicios”</w:t>
            </w:r>
            <w:r w:rsidR="008024A3">
              <w:rPr>
                <w:bCs/>
                <w:lang w:val="es-ES_tradnl"/>
              </w:rPr>
              <w:t xml:space="preserve"> – línea de acción “</w:t>
            </w:r>
            <w:r w:rsidR="00B26A1E" w:rsidRPr="00B26A1E">
              <w:rPr>
                <w:lang w:val="es-ES_tradnl"/>
              </w:rPr>
              <w:t>(i) fortalecer la capacidad de gestión del gasto público y la prestación de servicios a nivel subnacional, buscando mejorar su calidad a través de las oportunidades de la economía digital y el uso de TIC”</w:t>
            </w:r>
          </w:p>
        </w:tc>
        <w:tc>
          <w:tcPr>
            <w:tcW w:w="4860" w:type="dxa"/>
          </w:tcPr>
          <w:p w14:paraId="21BAB3C8" w14:textId="1882A944" w:rsidR="00F966CA" w:rsidRDefault="00B26A1E" w:rsidP="00F966CA">
            <w:pPr>
              <w:jc w:val="both"/>
              <w:rPr>
                <w:lang w:val="es-ES_tradnl"/>
              </w:rPr>
            </w:pPr>
            <w:r>
              <w:rPr>
                <w:lang w:val="es-ES_tradnl"/>
              </w:rPr>
              <w:t xml:space="preserve">El programa contribuye a la dimensión de éxito y línea de acción al financiar el desarrollo del Centro de Cooperación de la Ciudad (CCC), lo cual </w:t>
            </w:r>
            <w:r w:rsidR="00054092">
              <w:rPr>
                <w:lang w:val="es-ES_tradnl"/>
              </w:rPr>
              <w:t xml:space="preserve">fortalecerá la capacidad de gestión municipal con el uso de </w:t>
            </w:r>
            <w:proofErr w:type="spellStart"/>
            <w:r w:rsidR="00054092">
              <w:rPr>
                <w:lang w:val="es-ES_tradnl"/>
              </w:rPr>
              <w:t>TICs</w:t>
            </w:r>
            <w:proofErr w:type="spellEnd"/>
            <w:r w:rsidR="00054092">
              <w:rPr>
                <w:lang w:val="es-ES_tradnl"/>
              </w:rPr>
              <w:t xml:space="preserve"> inicialmente en las áreas de seguridad ciudadana, </w:t>
            </w:r>
            <w:r w:rsidR="00D20564">
              <w:rPr>
                <w:lang w:val="es-ES_tradnl"/>
              </w:rPr>
              <w:t xml:space="preserve">movilidad, respuesta a emergencias y medio ambiente. </w:t>
            </w:r>
          </w:p>
        </w:tc>
      </w:tr>
    </w:tbl>
    <w:p w14:paraId="7A20B29D" w14:textId="77777777" w:rsidR="004C5494" w:rsidRPr="004C5494" w:rsidRDefault="004C5494" w:rsidP="003229D2">
      <w:pPr>
        <w:rPr>
          <w:b/>
          <w:lang w:val="es-ES_tradnl"/>
        </w:rPr>
      </w:pPr>
    </w:p>
    <w:sectPr w:rsidR="004C5494" w:rsidRPr="004C5494" w:rsidSect="006A15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620C6"/>
    <w:multiLevelType w:val="hybridMultilevel"/>
    <w:tmpl w:val="F12261B6"/>
    <w:lvl w:ilvl="0" w:tplc="27B4A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6E18"/>
    <w:multiLevelType w:val="hybridMultilevel"/>
    <w:tmpl w:val="DD50FA74"/>
    <w:lvl w:ilvl="0" w:tplc="5DF4DF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94"/>
    <w:rsid w:val="0001044D"/>
    <w:rsid w:val="0003371B"/>
    <w:rsid w:val="0004713C"/>
    <w:rsid w:val="00052FA8"/>
    <w:rsid w:val="00054092"/>
    <w:rsid w:val="00070D16"/>
    <w:rsid w:val="00080AA7"/>
    <w:rsid w:val="000C74ED"/>
    <w:rsid w:val="000D2E81"/>
    <w:rsid w:val="0010476E"/>
    <w:rsid w:val="00120D6D"/>
    <w:rsid w:val="001564A7"/>
    <w:rsid w:val="001B1D5E"/>
    <w:rsid w:val="001D11DB"/>
    <w:rsid w:val="001D545A"/>
    <w:rsid w:val="001E4B42"/>
    <w:rsid w:val="00201F2B"/>
    <w:rsid w:val="00211273"/>
    <w:rsid w:val="00232067"/>
    <w:rsid w:val="00281E9B"/>
    <w:rsid w:val="002F3756"/>
    <w:rsid w:val="002F7D0E"/>
    <w:rsid w:val="003043A7"/>
    <w:rsid w:val="003229D2"/>
    <w:rsid w:val="003E0C0E"/>
    <w:rsid w:val="00444A8B"/>
    <w:rsid w:val="00466EFE"/>
    <w:rsid w:val="004C5494"/>
    <w:rsid w:val="00505FE9"/>
    <w:rsid w:val="00516B3F"/>
    <w:rsid w:val="00520C11"/>
    <w:rsid w:val="0052768A"/>
    <w:rsid w:val="005575EE"/>
    <w:rsid w:val="005E7F2B"/>
    <w:rsid w:val="00607516"/>
    <w:rsid w:val="00686DF5"/>
    <w:rsid w:val="00691F3F"/>
    <w:rsid w:val="006A15BE"/>
    <w:rsid w:val="006C214A"/>
    <w:rsid w:val="006E25BB"/>
    <w:rsid w:val="0076362E"/>
    <w:rsid w:val="007A2B61"/>
    <w:rsid w:val="007D20D1"/>
    <w:rsid w:val="007E3CEF"/>
    <w:rsid w:val="007F5D47"/>
    <w:rsid w:val="008008F7"/>
    <w:rsid w:val="008024A3"/>
    <w:rsid w:val="0080342F"/>
    <w:rsid w:val="00844CAD"/>
    <w:rsid w:val="00851F33"/>
    <w:rsid w:val="00862691"/>
    <w:rsid w:val="008872E1"/>
    <w:rsid w:val="008A660C"/>
    <w:rsid w:val="008F26AC"/>
    <w:rsid w:val="009107D5"/>
    <w:rsid w:val="00934FEA"/>
    <w:rsid w:val="009656EC"/>
    <w:rsid w:val="009904D0"/>
    <w:rsid w:val="009D5ADF"/>
    <w:rsid w:val="00AB24E2"/>
    <w:rsid w:val="00AD7C91"/>
    <w:rsid w:val="00B26A1E"/>
    <w:rsid w:val="00B94F83"/>
    <w:rsid w:val="00BA3BB3"/>
    <w:rsid w:val="00BE48BC"/>
    <w:rsid w:val="00BF0D8E"/>
    <w:rsid w:val="00C01D52"/>
    <w:rsid w:val="00C5569C"/>
    <w:rsid w:val="00C9192B"/>
    <w:rsid w:val="00CD08C7"/>
    <w:rsid w:val="00D20564"/>
    <w:rsid w:val="00DE20BD"/>
    <w:rsid w:val="00E434BE"/>
    <w:rsid w:val="00EE4766"/>
    <w:rsid w:val="00EE5ABE"/>
    <w:rsid w:val="00F14DEE"/>
    <w:rsid w:val="00F52090"/>
    <w:rsid w:val="00F9351A"/>
    <w:rsid w:val="00F966CA"/>
    <w:rsid w:val="00F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5233"/>
  <w15:chartTrackingRefBased/>
  <w15:docId w15:val="{745BE81C-68E4-45AE-AC2C-0E8ADAD5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494"/>
    <w:pPr>
      <w:ind w:left="720"/>
      <w:contextualSpacing/>
    </w:pPr>
  </w:style>
  <w:style w:type="character" w:styleId="Hyperlink">
    <w:name w:val="Hyperlink"/>
    <w:basedOn w:val="DefaultParagraphFont"/>
    <w:unhideWhenUsed/>
    <w:rsid w:val="00F966CA"/>
    <w:rPr>
      <w:color w:val="0563C1" w:themeColor="hyperlink"/>
      <w:u w:val="single"/>
    </w:rPr>
  </w:style>
  <w:style w:type="character" w:styleId="UnresolvedMention">
    <w:name w:val="Unresolved Mention"/>
    <w:basedOn w:val="DefaultParagraphFont"/>
    <w:uiPriority w:val="99"/>
    <w:semiHidden/>
    <w:unhideWhenUsed/>
    <w:rsid w:val="00F9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98656">
      <w:bodyDiv w:val="1"/>
      <w:marLeft w:val="0"/>
      <w:marRight w:val="0"/>
      <w:marTop w:val="0"/>
      <w:marBottom w:val="0"/>
      <w:divBdr>
        <w:top w:val="none" w:sz="0" w:space="0" w:color="auto"/>
        <w:left w:val="none" w:sz="0" w:space="0" w:color="auto"/>
        <w:bottom w:val="none" w:sz="0" w:space="0" w:color="auto"/>
        <w:right w:val="none" w:sz="0" w:space="0" w:color="auto"/>
      </w:divBdr>
    </w:div>
    <w:div w:id="21123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CSD/HUD</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Other_x0020_Author xmlns="cdc7663a-08f0-4737-9e8c-148ce897a09c">beatrizgo</Other_x0020_Author>
    <Migration_x0020_Info xmlns="cdc7663a-08f0-4737-9e8c-148ce897a09c" xsi:nil="true"/>
    <Approval_x0020_Number xmlns="cdc7663a-08f0-4737-9e8c-148ce897a09c" xsi:nil="true"/>
    <Phase xmlns="cdc7663a-08f0-4737-9e8c-148ce897a09c" xsi:nil="true"/>
    <Document_x0020_Author xmlns="cdc7663a-08f0-4737-9e8c-148ce897a09c">Donovan, Michael G.</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URBAN DEVELOPMENT AND HOUSING</TermName>
          <TermId xmlns="http://schemas.microsoft.com/office/infopath/2007/PartnerControls">8ddc6614-adee-4514-9e0d-114a08c823a2</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40</Value>
      <Value>30</Value>
      <Value>3</Value>
      <Value>107</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BR-L1497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URBAN DEVELOPMENT AND HOUSING</TermName>
          <TermId xmlns="http://schemas.microsoft.com/office/infopath/2007/PartnerControls">d14615ee-683d-4ec6-a5cf-ae743c6c4ac1</TermId>
        </TermInfo>
      </Terms>
    </nddeef1749674d76abdbe4b239a70bc6>
    <Record_x0020_Number xmlns="cdc7663a-08f0-4737-9e8c-148ce897a09c">R0002516717</Record_x0020_Number>
    <_dlc_DocId xmlns="cdc7663a-08f0-4737-9e8c-148ce897a09c">EZSHARE-832194153-442</_dlc_DocId>
    <_dlc_DocIdUrl xmlns="cdc7663a-08f0-4737-9e8c-148ce897a09c">
      <Url>https://idbg.sharepoint.com/teams/EZ-BR-LON/BR-L1497/_layouts/15/DocIdRedir.aspx?ID=EZSHARE-832194153-442</Url>
      <Description>EZSHARE-832194153-442</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E83F2181040AA4DB2821587B57359D2" ma:contentTypeVersion="1308" ma:contentTypeDescription="A content type to manage public (operations) IDB documents" ma:contentTypeScope="" ma:versionID="2bf82b2402284802b5439d9390bd3bdc">
  <xsd:schema xmlns:xsd="http://www.w3.org/2001/XMLSchema" xmlns:xs="http://www.w3.org/2001/XMLSchema" xmlns:p="http://schemas.microsoft.com/office/2006/metadata/properties" xmlns:ns2="cdc7663a-08f0-4737-9e8c-148ce897a09c" targetNamespace="http://schemas.microsoft.com/office/2006/metadata/properties" ma:root="true" ma:fieldsID="9eddfdd297cc25f0f7ea870c0255bd0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R-L149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06F1-A0D3-4C11-8982-88C608FE17DF}">
  <ds:schemaRefs>
    <ds:schemaRef ds:uri="http://schemas.microsoft.com/sharepoint/events"/>
  </ds:schemaRefs>
</ds:datastoreItem>
</file>

<file path=customXml/itemProps2.xml><?xml version="1.0" encoding="utf-8"?>
<ds:datastoreItem xmlns:ds="http://schemas.openxmlformats.org/officeDocument/2006/customXml" ds:itemID="{ED78A096-48D7-4CD3-8E20-750EC65A2A20}">
  <ds:schemaRefs>
    <ds:schemaRef ds:uri="http://schemas.microsoft.com/sharepoint/v3/contenttype/forms"/>
  </ds:schemaRefs>
</ds:datastoreItem>
</file>

<file path=customXml/itemProps3.xml><?xml version="1.0" encoding="utf-8"?>
<ds:datastoreItem xmlns:ds="http://schemas.openxmlformats.org/officeDocument/2006/customXml" ds:itemID="{F1BD3557-6B45-48D4-A573-71F6DA144E62}">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1840BC29-C3A3-4FEA-A05B-99D1698C9AD2}"/>
</file>

<file path=customXml/itemProps5.xml><?xml version="1.0" encoding="utf-8"?>
<ds:datastoreItem xmlns:ds="http://schemas.openxmlformats.org/officeDocument/2006/customXml" ds:itemID="{D50EC85F-A9A7-4219-A340-9A474C08BA46}"/>
</file>

<file path=customXml/itemProps6.xml><?xml version="1.0" encoding="utf-8"?>
<ds:datastoreItem xmlns:ds="http://schemas.openxmlformats.org/officeDocument/2006/customXml" ds:itemID="{978903FC-60AC-4C8F-90AB-9D0345A8E96B}"/>
</file>

<file path=customXml/itemProps7.xml><?xml version="1.0" encoding="utf-8"?>
<ds:datastoreItem xmlns:ds="http://schemas.openxmlformats.org/officeDocument/2006/customXml" ds:itemID="{EC3B2D5C-EB51-41E4-8DFE-97EAF6BA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Facchina Macedo Bessa, Marcelo</dc:creator>
  <cp:keywords/>
  <dc:description/>
  <cp:lastModifiedBy>Facchina Macedo Bessa, Marcelo</cp:lastModifiedBy>
  <cp:revision>3</cp:revision>
  <dcterms:created xsi:type="dcterms:W3CDTF">2018-09-05T01:21:00Z</dcterms:created>
  <dcterms:modified xsi:type="dcterms:W3CDTF">2018-09-05T14:27:00Z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107;#URBAN DEVELOPMENT AND HOUSING|8ddc6614-adee-4514-9e0d-114a08c823a2</vt:lpwstr>
  </property>
  <property fmtid="{D5CDD505-2E9C-101B-9397-08002B2CF9AE}" pid="7" name="Fund IDB">
    <vt:lpwstr/>
  </property>
  <property fmtid="{D5CDD505-2E9C-101B-9397-08002B2CF9AE}" pid="8" name="Country">
    <vt:lpwstr>30;#Brazil|7deb27ec-6837-4974-9aa8-6cfbac841ef8</vt:lpwstr>
  </property>
  <property fmtid="{D5CDD505-2E9C-101B-9397-08002B2CF9AE}" pid="9" name="Sector IDB">
    <vt:lpwstr>40;#URBAN DEVELOPMENT AND HOUSING|d14615ee-683d-4ec6-a5cf-ae743c6c4ac1</vt:lpwstr>
  </property>
  <property fmtid="{D5CDD505-2E9C-101B-9397-08002B2CF9AE}" pid="10" name="Function Operations IDB">
    <vt:lpwstr>3;#Project Administration|751f71fd-1433-4702-a2db-ff12a4e45594</vt:lpwstr>
  </property>
  <property fmtid="{D5CDD505-2E9C-101B-9397-08002B2CF9AE}" pid="11" name="_dlc_DocIdItemGuid">
    <vt:lpwstr>e721d8a0-3fe8-4b19-97e2-1c8cf68ea006</vt:lpwstr>
  </property>
  <property fmtid="{D5CDD505-2E9C-101B-9397-08002B2CF9AE}" pid="12" name="ContentTypeId">
    <vt:lpwstr>0x0101001A458A224826124E8B45B1D613300CFC002E83F2181040AA4DB2821587B57359D2</vt:lpwstr>
  </property>
</Properties>
</file>