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DB825" w14:textId="77777777" w:rsidR="00F106BD" w:rsidRPr="00D64ACB" w:rsidRDefault="00F106BD" w:rsidP="00F106BD">
      <w:pPr>
        <w:jc w:val="center"/>
        <w:rPr>
          <w:rFonts w:asciiTheme="minorHAnsi" w:hAnsiTheme="minorHAnsi"/>
          <w:b/>
        </w:rPr>
      </w:pPr>
      <w:r w:rsidRPr="00D64ACB">
        <w:rPr>
          <w:rFonts w:asciiTheme="minorHAnsi" w:hAnsiTheme="minorHAnsi"/>
          <w:b/>
        </w:rPr>
        <w:t>Nota Técnica Sector Energía Colombia</w:t>
      </w:r>
    </w:p>
    <w:p w14:paraId="6CDE1FFB" w14:textId="77777777" w:rsidR="00F106BD" w:rsidRPr="00D64ACB" w:rsidRDefault="00F106BD" w:rsidP="00F106BD">
      <w:pPr>
        <w:jc w:val="center"/>
        <w:rPr>
          <w:rFonts w:asciiTheme="minorHAnsi" w:hAnsiTheme="minorHAnsi"/>
          <w:b/>
        </w:rPr>
      </w:pPr>
    </w:p>
    <w:p w14:paraId="207DD766" w14:textId="77777777" w:rsidR="001A1501" w:rsidRPr="00D64ACB" w:rsidRDefault="008063BC" w:rsidP="00E219E0">
      <w:pPr>
        <w:jc w:val="center"/>
        <w:rPr>
          <w:rFonts w:asciiTheme="minorHAnsi" w:hAnsiTheme="minorHAnsi"/>
          <w:b/>
        </w:rPr>
      </w:pPr>
      <w:r w:rsidRPr="00D64ACB">
        <w:rPr>
          <w:rFonts w:asciiTheme="minorHAnsi" w:hAnsiTheme="minorHAnsi"/>
          <w:b/>
        </w:rPr>
        <w:t>Préstamo Programático Basado en Políticas</w:t>
      </w:r>
      <w:r w:rsidR="001A1501" w:rsidRPr="00D64ACB">
        <w:rPr>
          <w:rFonts w:asciiTheme="minorHAnsi" w:hAnsiTheme="minorHAnsi"/>
          <w:b/>
        </w:rPr>
        <w:t xml:space="preserve"> </w:t>
      </w:r>
    </w:p>
    <w:p w14:paraId="16BD173C" w14:textId="77777777" w:rsidR="00B617FB" w:rsidRPr="00D64ACB" w:rsidRDefault="00F919C5" w:rsidP="00423C7D">
      <w:pPr>
        <w:jc w:val="center"/>
        <w:rPr>
          <w:rFonts w:asciiTheme="minorHAnsi" w:hAnsiTheme="minorHAnsi"/>
          <w:b/>
        </w:rPr>
      </w:pPr>
      <w:r w:rsidRPr="00D64ACB">
        <w:rPr>
          <w:rFonts w:asciiTheme="minorHAnsi" w:hAnsiTheme="minorHAnsi" w:cs="Arial"/>
          <w:b/>
        </w:rPr>
        <w:t>Apoyo al Programa Nacional para Asegurar un Suministro de Energía Sostenible y Eficiente</w:t>
      </w:r>
    </w:p>
    <w:p w14:paraId="6F310E98" w14:textId="77777777" w:rsidR="00D46457" w:rsidRPr="00D64ACB" w:rsidRDefault="00D46457" w:rsidP="00E219E0">
      <w:pPr>
        <w:jc w:val="both"/>
        <w:rPr>
          <w:rFonts w:asciiTheme="minorHAnsi" w:hAnsiTheme="minorHAnsi"/>
          <w:b/>
        </w:rPr>
      </w:pPr>
    </w:p>
    <w:p w14:paraId="4809C718" w14:textId="77777777" w:rsidR="00333243" w:rsidRPr="00D64ACB" w:rsidRDefault="00333243" w:rsidP="0018436E">
      <w:pPr>
        <w:pStyle w:val="ListParagraph"/>
        <w:numPr>
          <w:ilvl w:val="0"/>
          <w:numId w:val="1"/>
        </w:numPr>
        <w:jc w:val="both"/>
        <w:rPr>
          <w:b/>
        </w:rPr>
      </w:pPr>
      <w:r w:rsidRPr="00D64ACB">
        <w:rPr>
          <w:b/>
        </w:rPr>
        <w:t>Objetivo Nota</w:t>
      </w:r>
      <w:r w:rsidR="00186A84" w:rsidRPr="00D64ACB">
        <w:rPr>
          <w:b/>
        </w:rPr>
        <w:t xml:space="preserve"> Técnica</w:t>
      </w:r>
    </w:p>
    <w:p w14:paraId="3A27B085" w14:textId="77777777" w:rsidR="004654BC" w:rsidRPr="00D64ACB" w:rsidRDefault="004654BC" w:rsidP="00186A84">
      <w:pPr>
        <w:pStyle w:val="ListParagraph"/>
        <w:ind w:left="372"/>
        <w:jc w:val="both"/>
      </w:pPr>
    </w:p>
    <w:p w14:paraId="1FABBF20" w14:textId="6F79BADC" w:rsidR="00C32859" w:rsidRDefault="00186A84" w:rsidP="00014BA8">
      <w:pPr>
        <w:pStyle w:val="ListParagraph"/>
        <w:ind w:left="0"/>
        <w:jc w:val="both"/>
        <w:rPr>
          <w:lang w:val="es-ES_tradnl"/>
        </w:rPr>
      </w:pPr>
      <w:r w:rsidRPr="00D64ACB">
        <w:t>Con</w:t>
      </w:r>
      <w:r w:rsidR="00F919C5" w:rsidRPr="00D64ACB">
        <w:t xml:space="preserve"> base en </w:t>
      </w:r>
      <w:r w:rsidRPr="00D64ACB">
        <w:t>el Plan Nacional de Desarrollo 2014-2018 de Colombia</w:t>
      </w:r>
      <w:r w:rsidR="005621CC">
        <w:t xml:space="preserve"> (PND)</w:t>
      </w:r>
      <w:r w:rsidRPr="00D64ACB">
        <w:t xml:space="preserve">, la estrategia país del </w:t>
      </w:r>
      <w:r w:rsidR="00F919C5" w:rsidRPr="00D64ACB">
        <w:t>Banco Interamericano de Desarrollo (</w:t>
      </w:r>
      <w:r w:rsidRPr="00D64ACB">
        <w:t>BID</w:t>
      </w:r>
      <w:r w:rsidR="00F919C5" w:rsidRPr="00D64ACB">
        <w:t>)</w:t>
      </w:r>
      <w:r w:rsidRPr="00D64ACB">
        <w:t xml:space="preserve"> y la participación del mismo, en el desarrollo y apoyo al Sector Eléctrico Colombiano (SEC) durante los últimos 10 años, se presenta esta Nota Técnica con el objeto de soportar </w:t>
      </w:r>
      <w:r w:rsidR="00F919C5" w:rsidRPr="00D64ACB">
        <w:t xml:space="preserve">el </w:t>
      </w:r>
      <w:r w:rsidR="00F919C5" w:rsidRPr="00D64ACB">
        <w:rPr>
          <w:lang w:val="es-ES_tradnl"/>
        </w:rPr>
        <w:t xml:space="preserve">programa estructurado bajo la modalidad de Préstamo Programático Basado en Políticas (PBP), </w:t>
      </w:r>
      <w:r w:rsidR="007B6C72">
        <w:rPr>
          <w:lang w:val="es-ES_tradnl"/>
        </w:rPr>
        <w:t>“</w:t>
      </w:r>
      <w:r w:rsidR="00F919C5" w:rsidRPr="00D64ACB">
        <w:rPr>
          <w:lang w:val="es-ES_tradnl"/>
        </w:rPr>
        <w:t>Apoyo al Programa Nacional para Asegurar un Suministro de Energía Sostenible y Eficiente</w:t>
      </w:r>
      <w:r w:rsidR="007B6C72">
        <w:rPr>
          <w:lang w:val="es-ES_tradnl"/>
        </w:rPr>
        <w:t>”</w:t>
      </w:r>
      <w:r w:rsidR="007925BC">
        <w:rPr>
          <w:lang w:val="es-ES_tradnl"/>
        </w:rPr>
        <w:t>. El programa consta de</w:t>
      </w:r>
      <w:r w:rsidR="00F919C5" w:rsidRPr="00D64ACB">
        <w:rPr>
          <w:lang w:val="es-ES_tradnl"/>
        </w:rPr>
        <w:t xml:space="preserve"> una serie de dos (2) préstamos, cuyos objetivos específicos son: (i) asegurar un contexto macroeconómico congruente con los objetivos del programa según lo establecido</w:t>
      </w:r>
      <w:bookmarkStart w:id="0" w:name="_GoBack"/>
      <w:bookmarkEnd w:id="0"/>
      <w:r w:rsidR="00F919C5" w:rsidRPr="00D64ACB">
        <w:rPr>
          <w:lang w:val="es-ES_tradnl"/>
        </w:rPr>
        <w:t xml:space="preserve"> en la Matriz de Políticas, (ii) contribuir a garantizar el abastecimiento de energía mediante la diversificación de la matriz energética con Fuentes No Convencionales de Energía Renovable (FNCER) y el incremento de los intercambios energía a nivel internacional, (iii) fortalecer el Mercado de Energía Mayorista (MEM) con medidas que permitan aumentar y garantizar la oferta de gas natural (GN) y administrar la demanda</w:t>
      </w:r>
      <w:r w:rsidR="00FC6B66" w:rsidRPr="00D64ACB">
        <w:rPr>
          <w:lang w:val="es-ES_tradnl"/>
        </w:rPr>
        <w:t xml:space="preserve">, </w:t>
      </w:r>
      <w:r w:rsidR="00F919C5" w:rsidRPr="00D64ACB">
        <w:rPr>
          <w:lang w:val="es-ES_tradnl"/>
        </w:rPr>
        <w:t xml:space="preserve">(iv) promover el acceso a la energía en las </w:t>
      </w:r>
      <w:r w:rsidR="00CB0375">
        <w:rPr>
          <w:lang w:val="es-ES_tradnl"/>
        </w:rPr>
        <w:t>Zonas No Interconectadas (</w:t>
      </w:r>
      <w:r w:rsidR="00F919C5" w:rsidRPr="00D64ACB">
        <w:rPr>
          <w:lang w:val="es-ES_tradnl"/>
        </w:rPr>
        <w:t>ZNI</w:t>
      </w:r>
      <w:r w:rsidR="00CB0375">
        <w:rPr>
          <w:lang w:val="es-ES_tradnl"/>
        </w:rPr>
        <w:t>)</w:t>
      </w:r>
      <w:r w:rsidR="00F919C5" w:rsidRPr="00D64ACB">
        <w:rPr>
          <w:lang w:val="es-ES_tradnl"/>
        </w:rPr>
        <w:t xml:space="preserve"> mediante el uso de FNCER</w:t>
      </w:r>
      <w:r w:rsidR="00FC6B66" w:rsidRPr="00D64ACB">
        <w:rPr>
          <w:lang w:val="es-ES_tradnl"/>
        </w:rPr>
        <w:t xml:space="preserve"> y (v) fortalecer las instituciones del Sector.</w:t>
      </w:r>
    </w:p>
    <w:p w14:paraId="1ACFFC2E" w14:textId="77777777" w:rsidR="00F6087D" w:rsidRDefault="00F6087D" w:rsidP="00FC6B66">
      <w:pPr>
        <w:pStyle w:val="ListParagraph"/>
        <w:ind w:left="372"/>
        <w:jc w:val="both"/>
        <w:rPr>
          <w:lang w:val="es-ES_tradnl"/>
        </w:rPr>
      </w:pPr>
    </w:p>
    <w:p w14:paraId="380A241D" w14:textId="61F54DBC" w:rsidR="00F6087D" w:rsidRPr="00D64ACB" w:rsidRDefault="00F6087D" w:rsidP="00014BA8">
      <w:pPr>
        <w:pStyle w:val="ListParagraph"/>
        <w:ind w:left="0"/>
        <w:jc w:val="both"/>
      </w:pPr>
      <w:r>
        <w:rPr>
          <w:lang w:val="es-ES_tradnl"/>
        </w:rPr>
        <w:t xml:space="preserve">Para el logro de los objetivos antes señalados, el Gobierno de Colombia (GdC) ha venido avanzando en </w:t>
      </w:r>
      <w:r w:rsidR="00323172">
        <w:rPr>
          <w:lang w:val="es-ES_tradnl"/>
        </w:rPr>
        <w:t xml:space="preserve">diferentes acciones </w:t>
      </w:r>
      <w:r w:rsidR="00FC112A">
        <w:rPr>
          <w:lang w:val="es-ES_tradnl"/>
        </w:rPr>
        <w:t xml:space="preserve">en el SEC </w:t>
      </w:r>
      <w:r w:rsidR="00323172">
        <w:rPr>
          <w:lang w:val="es-ES_tradnl"/>
        </w:rPr>
        <w:t xml:space="preserve">para asegurar el suministro de energía sostenible y confiable, las cuales son base para el </w:t>
      </w:r>
      <w:r w:rsidR="003A0B69">
        <w:rPr>
          <w:lang w:val="es-ES_tradnl"/>
        </w:rPr>
        <w:t xml:space="preserve">desarrollo del </w:t>
      </w:r>
      <w:r w:rsidR="00323172">
        <w:rPr>
          <w:lang w:val="es-ES_tradnl"/>
        </w:rPr>
        <w:t xml:space="preserve">PBP propuesto. </w:t>
      </w:r>
    </w:p>
    <w:p w14:paraId="7818373C" w14:textId="77777777" w:rsidR="00651625" w:rsidRPr="00D64ACB" w:rsidRDefault="00651625" w:rsidP="00186A84">
      <w:pPr>
        <w:jc w:val="both"/>
        <w:rPr>
          <w:rFonts w:asciiTheme="minorHAnsi" w:hAnsiTheme="minorHAnsi"/>
          <w:b/>
        </w:rPr>
      </w:pPr>
    </w:p>
    <w:p w14:paraId="540BFCAB" w14:textId="77777777" w:rsidR="00333243" w:rsidRPr="00D64ACB" w:rsidRDefault="00817418" w:rsidP="0018436E">
      <w:pPr>
        <w:pStyle w:val="ListParagraph"/>
        <w:numPr>
          <w:ilvl w:val="0"/>
          <w:numId w:val="1"/>
        </w:numPr>
        <w:jc w:val="both"/>
        <w:rPr>
          <w:b/>
        </w:rPr>
      </w:pPr>
      <w:r>
        <w:rPr>
          <w:b/>
        </w:rPr>
        <w:t>Sector Eléctrico Colombia (SEC)</w:t>
      </w:r>
    </w:p>
    <w:p w14:paraId="6AE92055" w14:textId="77777777" w:rsidR="004654BC" w:rsidRPr="00D64ACB" w:rsidRDefault="004654BC" w:rsidP="00186A84">
      <w:pPr>
        <w:pStyle w:val="ListParagraph"/>
        <w:ind w:left="372"/>
        <w:jc w:val="both"/>
        <w:rPr>
          <w:rFonts w:cs="Arial"/>
          <w:bCs/>
        </w:rPr>
      </w:pPr>
    </w:p>
    <w:p w14:paraId="0C8A5285" w14:textId="3EB0C7A3" w:rsidR="00186A84" w:rsidRPr="00D64ACB" w:rsidRDefault="00186A84" w:rsidP="00014BA8">
      <w:pPr>
        <w:pStyle w:val="ListParagraph"/>
        <w:ind w:left="0"/>
        <w:jc w:val="both"/>
      </w:pPr>
      <w:r w:rsidRPr="00D64ACB">
        <w:t>Colombia cuenta hoy con un sector eléctrico moderno, eficiente y competitivo, pero enfrenta riesgos y desafíos en la calidad, cantidad y confiabilidad de su oferta energética, lo mismo que en la cobertura del servicio y en su nivel de emisiones de Gases Efecto Invernadero (GEI</w:t>
      </w:r>
      <w:r w:rsidRPr="007D02DF">
        <w:t>)</w:t>
      </w:r>
      <w:r w:rsidR="00130023" w:rsidRPr="00470DBE">
        <w:t xml:space="preserve">. </w:t>
      </w:r>
      <w:r w:rsidR="004B061C" w:rsidRPr="009555A4">
        <w:rPr>
          <w:color w:val="000000" w:themeColor="text1"/>
        </w:rPr>
        <w:t xml:space="preserve">Por </w:t>
      </w:r>
      <w:r w:rsidRPr="009555A4">
        <w:rPr>
          <w:color w:val="000000" w:themeColor="text1"/>
        </w:rPr>
        <w:t>tanto</w:t>
      </w:r>
      <w:r w:rsidR="007925BC">
        <w:t>,</w:t>
      </w:r>
      <w:r w:rsidRPr="00D64ACB">
        <w:t xml:space="preserve"> se plantean en este PBP, áreas de reforma </w:t>
      </w:r>
      <w:r w:rsidR="006C7108" w:rsidRPr="00D64ACB">
        <w:rPr>
          <w:lang w:val="es-ES_tradnl"/>
        </w:rPr>
        <w:t xml:space="preserve">para </w:t>
      </w:r>
      <w:r w:rsidR="007925BC">
        <w:rPr>
          <w:lang w:val="es-ES_tradnl"/>
        </w:rPr>
        <w:t xml:space="preserve">contribuir a </w:t>
      </w:r>
      <w:r w:rsidR="006C7108" w:rsidRPr="00D64ACB">
        <w:rPr>
          <w:lang w:val="es-ES_tradnl"/>
        </w:rPr>
        <w:t>asegurar un suministro de energía sostenible y eficiente</w:t>
      </w:r>
      <w:r w:rsidRPr="00D64ACB">
        <w:t>.</w:t>
      </w:r>
    </w:p>
    <w:p w14:paraId="318C72B0" w14:textId="77777777" w:rsidR="006C7108" w:rsidRPr="00D64ACB" w:rsidRDefault="006C7108" w:rsidP="00186A84">
      <w:pPr>
        <w:jc w:val="both"/>
        <w:rPr>
          <w:rFonts w:asciiTheme="minorHAnsi" w:hAnsiTheme="minorHAnsi"/>
          <w:b/>
        </w:rPr>
      </w:pPr>
    </w:p>
    <w:p w14:paraId="74189084" w14:textId="77777777" w:rsidR="00186A84" w:rsidRPr="00D64ACB" w:rsidRDefault="00333243" w:rsidP="0018436E">
      <w:pPr>
        <w:pStyle w:val="ListParagraph"/>
        <w:numPr>
          <w:ilvl w:val="1"/>
          <w:numId w:val="3"/>
        </w:numPr>
        <w:jc w:val="both"/>
        <w:rPr>
          <w:b/>
        </w:rPr>
      </w:pPr>
      <w:r w:rsidRPr="00D64ACB">
        <w:rPr>
          <w:b/>
        </w:rPr>
        <w:t>Desarr</w:t>
      </w:r>
      <w:r w:rsidR="002879CE" w:rsidRPr="00D64ACB">
        <w:rPr>
          <w:b/>
        </w:rPr>
        <w:t>ollo y Crecimiento Colombia 2010</w:t>
      </w:r>
      <w:r w:rsidR="008025E4" w:rsidRPr="00D64ACB">
        <w:rPr>
          <w:b/>
        </w:rPr>
        <w:t>-2016.</w:t>
      </w:r>
      <w:r w:rsidR="004654BC" w:rsidRPr="00D64ACB">
        <w:rPr>
          <w:b/>
        </w:rPr>
        <w:t xml:space="preserve"> P</w:t>
      </w:r>
      <w:r w:rsidR="00DE6D16" w:rsidRPr="00D64ACB">
        <w:rPr>
          <w:b/>
        </w:rPr>
        <w:t>erspectivas 2017</w:t>
      </w:r>
      <w:r w:rsidR="00F36CF3">
        <w:rPr>
          <w:b/>
        </w:rPr>
        <w:t>-2018</w:t>
      </w:r>
    </w:p>
    <w:p w14:paraId="6D6D1C33" w14:textId="77777777" w:rsidR="004654BC" w:rsidRPr="00D64ACB" w:rsidRDefault="004654BC" w:rsidP="004654BC">
      <w:pPr>
        <w:pStyle w:val="ListParagraph"/>
        <w:ind w:left="360"/>
        <w:jc w:val="both"/>
        <w:rPr>
          <w:b/>
        </w:rPr>
      </w:pPr>
    </w:p>
    <w:p w14:paraId="0DDFC14C" w14:textId="77777777" w:rsidR="009855DA" w:rsidRPr="00D64ACB" w:rsidRDefault="002879CE" w:rsidP="0018436E">
      <w:pPr>
        <w:pStyle w:val="ListParagraph"/>
        <w:numPr>
          <w:ilvl w:val="0"/>
          <w:numId w:val="4"/>
        </w:numPr>
        <w:jc w:val="both"/>
        <w:rPr>
          <w:lang w:val="es-ES_tradnl"/>
        </w:rPr>
      </w:pPr>
      <w:r w:rsidRPr="00D64ACB">
        <w:rPr>
          <w:lang w:val="es-ES_tradnl"/>
        </w:rPr>
        <w:t xml:space="preserve">Entre 2010 y 2014, el país </w:t>
      </w:r>
      <w:r w:rsidR="009855DA" w:rsidRPr="00D64ACB">
        <w:rPr>
          <w:lang w:val="es-ES_tradnl"/>
        </w:rPr>
        <w:t xml:space="preserve">se </w:t>
      </w:r>
      <w:r w:rsidRPr="00D64ACB">
        <w:rPr>
          <w:lang w:val="es-ES_tradnl"/>
        </w:rPr>
        <w:t>logró consolidar. El crecimiento económico promedio en lo corrido de la se</w:t>
      </w:r>
      <w:r w:rsidR="008025E4" w:rsidRPr="00D64ACB">
        <w:rPr>
          <w:lang w:val="es-ES_tradnl"/>
        </w:rPr>
        <w:t>gunda década de este siglo, 4,8</w:t>
      </w:r>
      <w:r w:rsidRPr="00D64ACB">
        <w:rPr>
          <w:lang w:val="es-ES_tradnl"/>
        </w:rPr>
        <w:t xml:space="preserve">%, </w:t>
      </w:r>
      <w:r w:rsidR="00186A84" w:rsidRPr="00D64ACB">
        <w:rPr>
          <w:lang w:val="es-ES_tradnl"/>
        </w:rPr>
        <w:t>fue</w:t>
      </w:r>
      <w:r w:rsidRPr="00D64ACB">
        <w:rPr>
          <w:lang w:val="es-ES_tradnl"/>
        </w:rPr>
        <w:t xml:space="preserve"> mayor que el promedio observado en las décadas de l</w:t>
      </w:r>
      <w:r w:rsidR="008025E4" w:rsidRPr="00D64ACB">
        <w:rPr>
          <w:lang w:val="es-ES_tradnl"/>
        </w:rPr>
        <w:t>os años 1980 (3,5%), 1990 (2,8</w:t>
      </w:r>
      <w:r w:rsidRPr="00D64ACB">
        <w:rPr>
          <w:lang w:val="es-ES_tradnl"/>
        </w:rPr>
        <w:t>%</w:t>
      </w:r>
      <w:r w:rsidR="008025E4" w:rsidRPr="00D64ACB">
        <w:rPr>
          <w:lang w:val="es-ES_tradnl"/>
        </w:rPr>
        <w:t>) y 2000 (4,0</w:t>
      </w:r>
      <w:r w:rsidRPr="00D64ACB">
        <w:rPr>
          <w:lang w:val="es-ES_tradnl"/>
        </w:rPr>
        <w:t xml:space="preserve">%). La inversión como proporción del PIB </w:t>
      </w:r>
      <w:r w:rsidR="00186A84" w:rsidRPr="00D64ACB">
        <w:rPr>
          <w:lang w:val="es-ES_tradnl"/>
        </w:rPr>
        <w:t>alcanzó</w:t>
      </w:r>
      <w:r w:rsidRPr="00D64ACB">
        <w:rPr>
          <w:lang w:val="es-ES_tradnl"/>
        </w:rPr>
        <w:t xml:space="preserve"> niveles históricamente altos, superiores al 3</w:t>
      </w:r>
      <w:r w:rsidR="00CA2DC2">
        <w:rPr>
          <w:lang w:val="es-ES_tradnl"/>
        </w:rPr>
        <w:t>0</w:t>
      </w:r>
      <w:r w:rsidR="008025E4" w:rsidRPr="00D64ACB">
        <w:rPr>
          <w:lang w:val="es-ES_tradnl"/>
        </w:rPr>
        <w:t>%. La inflación de 2013, 1,94</w:t>
      </w:r>
      <w:r w:rsidRPr="00D64ACB">
        <w:rPr>
          <w:lang w:val="es-ES_tradnl"/>
        </w:rPr>
        <w:t>% fue la má</w:t>
      </w:r>
      <w:r w:rsidR="00186A84" w:rsidRPr="00D64ACB">
        <w:rPr>
          <w:lang w:val="es-ES_tradnl"/>
        </w:rPr>
        <w:t>s baja de los últimos 58 años y en este periodo</w:t>
      </w:r>
      <w:r w:rsidRPr="00D64ACB">
        <w:rPr>
          <w:lang w:val="es-ES_tradnl"/>
        </w:rPr>
        <w:t xml:space="preserve"> se generaron 2,5 millones de empleos, con una importan</w:t>
      </w:r>
      <w:r w:rsidR="00186A84" w:rsidRPr="00D64ACB">
        <w:rPr>
          <w:lang w:val="es-ES_tradnl"/>
        </w:rPr>
        <w:t xml:space="preserve">te reducción de la </w:t>
      </w:r>
      <w:r w:rsidR="00186A84" w:rsidRPr="00D64ACB">
        <w:rPr>
          <w:lang w:val="es-ES_tradnl"/>
        </w:rPr>
        <w:lastRenderedPageBreak/>
        <w:t>informalidad</w:t>
      </w:r>
      <w:r w:rsidRPr="00D64ACB">
        <w:rPr>
          <w:lang w:val="es-ES_tradnl"/>
        </w:rPr>
        <w:t xml:space="preserve"> y </w:t>
      </w:r>
      <w:r w:rsidR="00186A84" w:rsidRPr="00D64ACB">
        <w:rPr>
          <w:lang w:val="es-ES_tradnl"/>
        </w:rPr>
        <w:t xml:space="preserve">de la tasa de desempleo. </w:t>
      </w:r>
      <w:r w:rsidR="00B42ECB">
        <w:rPr>
          <w:lang w:val="es-ES_tradnl"/>
        </w:rPr>
        <w:t>A partir del año 2014 la inflación ha aumentado, aunque en el año 2016 disminuyó (5,75%).</w:t>
      </w:r>
    </w:p>
    <w:p w14:paraId="5C074252" w14:textId="77777777" w:rsidR="009855DA" w:rsidRPr="00D64ACB" w:rsidRDefault="009855DA" w:rsidP="009855DA">
      <w:pPr>
        <w:pStyle w:val="ListParagraph"/>
        <w:jc w:val="both"/>
        <w:rPr>
          <w:lang w:val="es-ES_tradnl"/>
        </w:rPr>
      </w:pPr>
    </w:p>
    <w:p w14:paraId="1D882918" w14:textId="7911D4EB" w:rsidR="00186A84" w:rsidRPr="00D64ACB" w:rsidRDefault="002879CE" w:rsidP="008025E4">
      <w:pPr>
        <w:ind w:left="360"/>
        <w:jc w:val="both"/>
        <w:rPr>
          <w:rFonts w:asciiTheme="minorHAnsi" w:hAnsiTheme="minorHAnsi" w:cstheme="minorBidi"/>
          <w:lang w:eastAsia="en-US"/>
        </w:rPr>
      </w:pPr>
      <w:r w:rsidRPr="00D64ACB">
        <w:rPr>
          <w:rFonts w:asciiTheme="minorHAnsi" w:hAnsiTheme="minorHAnsi" w:cstheme="minorBidi"/>
          <w:lang w:eastAsia="en-US"/>
        </w:rPr>
        <w:t>El buen desempeño del mercado laboral y las políticas sociales de</w:t>
      </w:r>
      <w:r w:rsidR="00323E1F">
        <w:rPr>
          <w:rFonts w:asciiTheme="minorHAnsi" w:hAnsiTheme="minorHAnsi" w:cstheme="minorBidi"/>
          <w:lang w:eastAsia="en-US"/>
        </w:rPr>
        <w:t xml:space="preserve"> </w:t>
      </w:r>
      <w:r w:rsidRPr="00D64ACB">
        <w:rPr>
          <w:rFonts w:asciiTheme="minorHAnsi" w:hAnsiTheme="minorHAnsi" w:cstheme="minorBidi"/>
          <w:lang w:eastAsia="en-US"/>
        </w:rPr>
        <w:t>l</w:t>
      </w:r>
      <w:r w:rsidR="00323E1F">
        <w:rPr>
          <w:rFonts w:asciiTheme="minorHAnsi" w:hAnsiTheme="minorHAnsi" w:cstheme="minorBidi"/>
          <w:lang w:eastAsia="en-US"/>
        </w:rPr>
        <w:t xml:space="preserve">os </w:t>
      </w:r>
      <w:r w:rsidR="00A81844">
        <w:rPr>
          <w:rFonts w:asciiTheme="minorHAnsi" w:hAnsiTheme="minorHAnsi" w:cstheme="minorBidi"/>
          <w:lang w:eastAsia="en-US"/>
        </w:rPr>
        <w:t>últimos gobiernos</w:t>
      </w:r>
      <w:r w:rsidRPr="00D64ACB">
        <w:rPr>
          <w:rFonts w:asciiTheme="minorHAnsi" w:hAnsiTheme="minorHAnsi" w:cstheme="minorBidi"/>
          <w:lang w:eastAsia="en-US"/>
        </w:rPr>
        <w:t xml:space="preserve"> han reducido la pobreza en cerca de 10</w:t>
      </w:r>
      <w:r w:rsidR="00186A84" w:rsidRPr="00D64ACB">
        <w:rPr>
          <w:rFonts w:asciiTheme="minorHAnsi" w:hAnsiTheme="minorHAnsi" w:cstheme="minorBidi"/>
          <w:lang w:eastAsia="en-US"/>
        </w:rPr>
        <w:t>%</w:t>
      </w:r>
      <w:r w:rsidRPr="00D64ACB">
        <w:rPr>
          <w:rFonts w:asciiTheme="minorHAnsi" w:hAnsiTheme="minorHAnsi" w:cstheme="minorBidi"/>
          <w:lang w:eastAsia="en-US"/>
        </w:rPr>
        <w:t>. La desigualdad, aunque más lentamen</w:t>
      </w:r>
      <w:r w:rsidR="00B42ECB">
        <w:rPr>
          <w:rFonts w:asciiTheme="minorHAnsi" w:hAnsiTheme="minorHAnsi" w:cstheme="minorBidi"/>
          <w:lang w:eastAsia="en-US"/>
        </w:rPr>
        <w:t>te, también ha empezado a ceder,</w:t>
      </w:r>
      <w:r w:rsidRPr="00D64ACB">
        <w:rPr>
          <w:rFonts w:asciiTheme="minorHAnsi" w:hAnsiTheme="minorHAnsi" w:cstheme="minorBidi"/>
          <w:lang w:eastAsia="en-US"/>
        </w:rPr>
        <w:t xml:space="preserve"> </w:t>
      </w:r>
      <w:r w:rsidR="00A81844">
        <w:rPr>
          <w:rFonts w:asciiTheme="minorHAnsi" w:hAnsiTheme="minorHAnsi" w:cstheme="minorBidi"/>
          <w:lang w:eastAsia="en-US"/>
        </w:rPr>
        <w:t xml:space="preserve">lo mismo que </w:t>
      </w:r>
      <w:r w:rsidRPr="00D64ACB">
        <w:rPr>
          <w:rFonts w:asciiTheme="minorHAnsi" w:hAnsiTheme="minorHAnsi" w:cstheme="minorBidi"/>
          <w:lang w:eastAsia="en-US"/>
        </w:rPr>
        <w:t xml:space="preserve">los principales indicadores de violencia, como los homicidios y los secuestros, </w:t>
      </w:r>
      <w:r w:rsidR="009855DA" w:rsidRPr="00D64ACB">
        <w:rPr>
          <w:rFonts w:asciiTheme="minorHAnsi" w:hAnsiTheme="minorHAnsi" w:cstheme="minorBidi"/>
          <w:lang w:eastAsia="en-US"/>
        </w:rPr>
        <w:t>han disminuido</w:t>
      </w:r>
      <w:r w:rsidR="00186A84" w:rsidRPr="00D64ACB">
        <w:rPr>
          <w:rFonts w:asciiTheme="minorHAnsi" w:hAnsiTheme="minorHAnsi" w:cstheme="minorBidi"/>
          <w:lang w:eastAsia="en-US"/>
        </w:rPr>
        <w:t>. Dados estos logros</w:t>
      </w:r>
      <w:r w:rsidRPr="00D64ACB">
        <w:rPr>
          <w:rFonts w:asciiTheme="minorHAnsi" w:hAnsiTheme="minorHAnsi" w:cstheme="minorBidi"/>
          <w:lang w:eastAsia="en-US"/>
        </w:rPr>
        <w:t xml:space="preserve">, el país </w:t>
      </w:r>
      <w:r w:rsidR="00186A84" w:rsidRPr="00D64ACB">
        <w:rPr>
          <w:rFonts w:asciiTheme="minorHAnsi" w:hAnsiTheme="minorHAnsi" w:cstheme="minorBidi"/>
          <w:lang w:eastAsia="en-US"/>
        </w:rPr>
        <w:t xml:space="preserve">está en camino de </w:t>
      </w:r>
      <w:r w:rsidRPr="00D64ACB">
        <w:rPr>
          <w:rFonts w:asciiTheme="minorHAnsi" w:hAnsiTheme="minorHAnsi" w:cstheme="minorBidi"/>
          <w:lang w:eastAsia="en-US"/>
        </w:rPr>
        <w:t>consolidar el rumbo hacia el desarrollo económico, social y ambiental</w:t>
      </w:r>
      <w:r w:rsidR="00186A84" w:rsidRPr="00D64ACB">
        <w:rPr>
          <w:rFonts w:asciiTheme="minorHAnsi" w:hAnsiTheme="minorHAnsi" w:cstheme="minorBidi"/>
          <w:vertAlign w:val="superscript"/>
          <w:lang w:eastAsia="en-US"/>
        </w:rPr>
        <w:footnoteReference w:id="1"/>
      </w:r>
      <w:r w:rsidRPr="00D64ACB">
        <w:rPr>
          <w:rFonts w:asciiTheme="minorHAnsi" w:hAnsiTheme="minorHAnsi" w:cstheme="minorBidi"/>
          <w:lang w:eastAsia="en-US"/>
        </w:rPr>
        <w:t>.</w:t>
      </w:r>
    </w:p>
    <w:p w14:paraId="0B9D4760" w14:textId="77777777" w:rsidR="00651625" w:rsidRPr="00D64ACB" w:rsidRDefault="00651625" w:rsidP="009855DA">
      <w:pPr>
        <w:pStyle w:val="ListParagraph"/>
        <w:jc w:val="both"/>
        <w:rPr>
          <w:lang w:val="es-ES_tradnl"/>
        </w:rPr>
      </w:pPr>
    </w:p>
    <w:p w14:paraId="2BC7F68F" w14:textId="1EE78EAF" w:rsidR="00BA7BEE" w:rsidRPr="00D64ACB" w:rsidRDefault="006F4CFA" w:rsidP="0018436E">
      <w:pPr>
        <w:pStyle w:val="ListParagraph"/>
        <w:numPr>
          <w:ilvl w:val="0"/>
          <w:numId w:val="4"/>
        </w:numPr>
        <w:jc w:val="both"/>
        <w:rPr>
          <w:lang w:val="es-ES_tradnl"/>
        </w:rPr>
      </w:pPr>
      <w:r w:rsidRPr="00D64ACB">
        <w:rPr>
          <w:lang w:val="es-ES_tradnl"/>
        </w:rPr>
        <w:t>El 2015 fue, un año complejo para la economía colombiana</w:t>
      </w:r>
      <w:r w:rsidR="00BA7BEE" w:rsidRPr="00D64ACB">
        <w:rPr>
          <w:lang w:val="es-ES_tradnl"/>
        </w:rPr>
        <w:t xml:space="preserve"> en el que se presentaron</w:t>
      </w:r>
      <w:r w:rsidRPr="00D64ACB">
        <w:rPr>
          <w:lang w:val="es-ES_tradnl"/>
        </w:rPr>
        <w:t xml:space="preserve"> factores positivos</w:t>
      </w:r>
      <w:r w:rsidR="00186A84" w:rsidRPr="00D64ACB">
        <w:rPr>
          <w:lang w:val="es-ES_tradnl"/>
        </w:rPr>
        <w:t xml:space="preserve"> y </w:t>
      </w:r>
      <w:r w:rsidRPr="00D64ACB">
        <w:rPr>
          <w:lang w:val="es-ES_tradnl"/>
        </w:rPr>
        <w:t>negativos. Como factores favorables está el inicio de la ejecución de los proyectos de infraestructura</w:t>
      </w:r>
      <w:r w:rsidR="00BA7BEE" w:rsidRPr="00D64ACB">
        <w:rPr>
          <w:lang w:val="es-ES_tradnl"/>
        </w:rPr>
        <w:t xml:space="preserve"> 4G,</w:t>
      </w:r>
      <w:r w:rsidRPr="00D64ACB">
        <w:rPr>
          <w:lang w:val="es-ES_tradnl"/>
        </w:rPr>
        <w:t xml:space="preserve"> l</w:t>
      </w:r>
      <w:r w:rsidR="00BA7BEE" w:rsidRPr="00D64ACB">
        <w:rPr>
          <w:lang w:val="es-ES_tradnl"/>
        </w:rPr>
        <w:t>os avances en el proceso de paz,</w:t>
      </w:r>
      <w:r w:rsidRPr="00D64ACB">
        <w:rPr>
          <w:lang w:val="es-ES_tradnl"/>
        </w:rPr>
        <w:t xml:space="preserve"> el desarrollo de proyectos de inversión productiva que mantuvo la tasa de inve</w:t>
      </w:r>
      <w:r w:rsidR="00BA7BEE" w:rsidRPr="00D64ACB">
        <w:rPr>
          <w:lang w:val="es-ES_tradnl"/>
        </w:rPr>
        <w:t>rsión alrededor del 30% del PIB,</w:t>
      </w:r>
      <w:r w:rsidRPr="00D64ACB">
        <w:rPr>
          <w:lang w:val="es-ES_tradnl"/>
        </w:rPr>
        <w:t xml:space="preserve"> el reconocimiento de inversionistas nacionales e internacionales a Colombia como un país con potencial lo que le permitió </w:t>
      </w:r>
      <w:r w:rsidR="00BA7BEE" w:rsidRPr="00D64ACB">
        <w:rPr>
          <w:lang w:val="es-ES_tradnl"/>
        </w:rPr>
        <w:t>conservar el grado de inversión</w:t>
      </w:r>
      <w:r w:rsidRPr="00D64ACB">
        <w:rPr>
          <w:lang w:val="es-ES_tradnl"/>
        </w:rPr>
        <w:t>, la discusión de reformas estructurales como las desarrolladas en el marco de la misión rural y la comisión de expertos para la equidad y competitividad tributaria. En lo negativo</w:t>
      </w:r>
      <w:r w:rsidR="009855DA" w:rsidRPr="00D64ACB">
        <w:rPr>
          <w:lang w:val="es-ES_tradnl"/>
        </w:rPr>
        <w:t>,</w:t>
      </w:r>
      <w:r w:rsidRPr="00D64ACB">
        <w:rPr>
          <w:lang w:val="es-ES_tradnl"/>
        </w:rPr>
        <w:t xml:space="preserve"> el impacto que ha tenido el desplome de los precios del petróleo, el fenómeno de</w:t>
      </w:r>
      <w:r w:rsidR="00186A84" w:rsidRPr="00D64ACB">
        <w:rPr>
          <w:lang w:val="es-ES_tradnl"/>
        </w:rPr>
        <w:t xml:space="preserve"> El N</w:t>
      </w:r>
      <w:r w:rsidRPr="00D64ACB">
        <w:rPr>
          <w:lang w:val="es-ES_tradnl"/>
        </w:rPr>
        <w:t>iño, el cierre de la frontera con Venezuela, el endurecimiento en las condiciones de exportación hacia Ecuador y la desacel</w:t>
      </w:r>
      <w:r w:rsidR="00BA7BEE" w:rsidRPr="00D64ACB">
        <w:rPr>
          <w:lang w:val="es-ES_tradnl"/>
        </w:rPr>
        <w:t>eración en la economía mundial</w:t>
      </w:r>
      <w:r w:rsidR="001749CC" w:rsidRPr="00D64ACB">
        <w:rPr>
          <w:rStyle w:val="FootnoteReference"/>
          <w:lang w:val="es-ES_tradnl"/>
        </w:rPr>
        <w:footnoteReference w:id="2"/>
      </w:r>
      <w:r w:rsidR="00BA7BEE" w:rsidRPr="00D64ACB">
        <w:rPr>
          <w:lang w:val="es-ES_tradnl"/>
        </w:rPr>
        <w:t>.</w:t>
      </w:r>
    </w:p>
    <w:p w14:paraId="314A86C5" w14:textId="77777777" w:rsidR="006F4CFA" w:rsidRPr="00D64ACB" w:rsidRDefault="006F4CFA" w:rsidP="00E42464">
      <w:pPr>
        <w:pStyle w:val="ListParagraph"/>
        <w:ind w:left="360"/>
        <w:jc w:val="both"/>
        <w:rPr>
          <w:b/>
        </w:rPr>
      </w:pPr>
    </w:p>
    <w:p w14:paraId="3D1DA3FF" w14:textId="41B971D3" w:rsidR="00C75AB1" w:rsidRPr="009555A4" w:rsidRDefault="005E5783" w:rsidP="00C55C3D">
      <w:pPr>
        <w:pStyle w:val="ListParagraph"/>
        <w:numPr>
          <w:ilvl w:val="0"/>
          <w:numId w:val="4"/>
        </w:numPr>
        <w:jc w:val="both"/>
        <w:rPr>
          <w:lang w:val="es-ES_tradnl"/>
        </w:rPr>
      </w:pPr>
      <w:r w:rsidRPr="00D64ACB">
        <w:rPr>
          <w:lang w:val="es-ES_tradnl"/>
        </w:rPr>
        <w:t>Aunque el crecimiento de la economía colombiana en 2015 (3,1%) fue uno de los más sobresalientes a n</w:t>
      </w:r>
      <w:r w:rsidR="00C75AB1" w:rsidRPr="00D64ACB">
        <w:rPr>
          <w:lang w:val="es-ES_tradnl"/>
        </w:rPr>
        <w:t xml:space="preserve">ivel regional, considerando las </w:t>
      </w:r>
      <w:r w:rsidRPr="00D64ACB">
        <w:rPr>
          <w:lang w:val="es-ES_tradnl"/>
        </w:rPr>
        <w:t>dificultades que enmarcaron el entorno macroeconómico, el panorama para 2016</w:t>
      </w:r>
      <w:r w:rsidR="00C75AB1" w:rsidRPr="00D64ACB">
        <w:rPr>
          <w:lang w:val="es-ES_tradnl"/>
        </w:rPr>
        <w:t>,</w:t>
      </w:r>
      <w:r w:rsidRPr="00D64ACB">
        <w:rPr>
          <w:lang w:val="es-ES_tradnl"/>
        </w:rPr>
        <w:t xml:space="preserve"> </w:t>
      </w:r>
      <w:r w:rsidR="00C55C3D">
        <w:rPr>
          <w:lang w:val="es-ES_tradnl"/>
        </w:rPr>
        <w:t xml:space="preserve">ha sido </w:t>
      </w:r>
      <w:r w:rsidR="00204DA3">
        <w:rPr>
          <w:lang w:val="es-ES_tradnl"/>
        </w:rPr>
        <w:t xml:space="preserve">más </w:t>
      </w:r>
      <w:r w:rsidRPr="00D64ACB">
        <w:rPr>
          <w:lang w:val="es-ES_tradnl"/>
        </w:rPr>
        <w:t xml:space="preserve">complejo y de allí que el mercado haya venido incorporando previsiones </w:t>
      </w:r>
      <w:r w:rsidR="00C75AB1" w:rsidRPr="00D64ACB">
        <w:rPr>
          <w:lang w:val="es-ES_tradnl"/>
        </w:rPr>
        <w:t>a la baja</w:t>
      </w:r>
      <w:r w:rsidRPr="00D64ACB">
        <w:rPr>
          <w:lang w:val="es-ES_tradnl"/>
        </w:rPr>
        <w:t xml:space="preserve"> sobre la dinámica de la actividad productiva. Se estima que la actividad producti</w:t>
      </w:r>
      <w:r w:rsidR="00C55C3D">
        <w:rPr>
          <w:lang w:val="es-ES_tradnl"/>
        </w:rPr>
        <w:t>va estará creciendo cerca de 2,0</w:t>
      </w:r>
      <w:r w:rsidRPr="00D64ACB">
        <w:rPr>
          <w:lang w:val="es-ES_tradnl"/>
        </w:rPr>
        <w:t xml:space="preserve">% en 2016 y </w:t>
      </w:r>
      <w:r w:rsidR="005A2190">
        <w:rPr>
          <w:lang w:val="es-ES_tradnl"/>
        </w:rPr>
        <w:t>2</w:t>
      </w:r>
      <w:r w:rsidRPr="00D64ACB">
        <w:rPr>
          <w:lang w:val="es-ES_tradnl"/>
        </w:rPr>
        <w:t>,</w:t>
      </w:r>
      <w:r w:rsidR="00C55C3D">
        <w:rPr>
          <w:lang w:val="es-ES_tradnl"/>
        </w:rPr>
        <w:t>5</w:t>
      </w:r>
      <w:r w:rsidRPr="00D64ACB">
        <w:rPr>
          <w:lang w:val="es-ES_tradnl"/>
        </w:rPr>
        <w:t xml:space="preserve">% en 2017. Los nuevos escenarios macroeconómicos incorporan previsiones más conservadoras en la dinámica de crecimiento de Estados Unidos, Europa y </w:t>
      </w:r>
      <w:r w:rsidR="008025E4" w:rsidRPr="00D64ACB">
        <w:rPr>
          <w:lang w:val="es-ES_tradnl"/>
        </w:rPr>
        <w:t>en general a nivel mundial</w:t>
      </w:r>
      <w:r w:rsidRPr="00D64ACB">
        <w:rPr>
          <w:lang w:val="es-ES_tradnl"/>
        </w:rPr>
        <w:t xml:space="preserve">, así como en materia de precios y producción de petróleo y carbón, </w:t>
      </w:r>
      <w:r w:rsidR="008025E4" w:rsidRPr="00D64ACB">
        <w:rPr>
          <w:lang w:val="es-ES_tradnl"/>
        </w:rPr>
        <w:t xml:space="preserve">lo mismo que </w:t>
      </w:r>
      <w:r w:rsidRPr="00D64ACB">
        <w:rPr>
          <w:lang w:val="es-ES_tradnl"/>
        </w:rPr>
        <w:t>en el consumo privado</w:t>
      </w:r>
      <w:r w:rsidR="008025E4" w:rsidRPr="00D64ACB">
        <w:rPr>
          <w:lang w:val="es-ES_tradnl"/>
        </w:rPr>
        <w:t xml:space="preserve">. </w:t>
      </w:r>
      <w:r w:rsidRPr="00D64ACB">
        <w:rPr>
          <w:lang w:val="es-ES_tradnl"/>
        </w:rPr>
        <w:t xml:space="preserve"> </w:t>
      </w:r>
    </w:p>
    <w:p w14:paraId="2A1F86E7" w14:textId="77777777" w:rsidR="001749CC" w:rsidRPr="009555A4" w:rsidRDefault="001749CC" w:rsidP="00992A35">
      <w:pPr>
        <w:ind w:left="360"/>
        <w:jc w:val="both"/>
        <w:rPr>
          <w:rFonts w:asciiTheme="minorHAnsi" w:hAnsiTheme="minorHAnsi"/>
          <w:highlight w:val="yellow"/>
        </w:rPr>
      </w:pPr>
    </w:p>
    <w:p w14:paraId="2978800B" w14:textId="430B8A11" w:rsidR="00D46457" w:rsidRPr="009555A4" w:rsidRDefault="001749CC" w:rsidP="009555A4">
      <w:pPr>
        <w:pStyle w:val="ListParagraph"/>
        <w:numPr>
          <w:ilvl w:val="0"/>
          <w:numId w:val="5"/>
        </w:numPr>
        <w:jc w:val="both"/>
        <w:rPr>
          <w:lang w:val="es-ES_tradnl"/>
        </w:rPr>
      </w:pPr>
      <w:r w:rsidRPr="005A2190">
        <w:rPr>
          <w:lang w:val="es-ES_tradnl"/>
        </w:rPr>
        <w:t xml:space="preserve">Para el </w:t>
      </w:r>
      <w:r w:rsidR="00B42ECB" w:rsidRPr="00E92880">
        <w:rPr>
          <w:lang w:val="es-ES_tradnl"/>
        </w:rPr>
        <w:t>año 2017</w:t>
      </w:r>
      <w:r w:rsidRPr="00E92880">
        <w:rPr>
          <w:lang w:val="es-ES_tradnl"/>
        </w:rPr>
        <w:t xml:space="preserve"> </w:t>
      </w:r>
      <w:r w:rsidR="00E978CA" w:rsidRPr="00E92880">
        <w:rPr>
          <w:lang w:val="es-ES_tradnl"/>
        </w:rPr>
        <w:t xml:space="preserve">se </w:t>
      </w:r>
      <w:r w:rsidR="005A2190" w:rsidRPr="009555A4">
        <w:rPr>
          <w:lang w:val="es-ES_tradnl"/>
        </w:rPr>
        <w:t>presentarán</w:t>
      </w:r>
      <w:r w:rsidR="005A2190" w:rsidRPr="005A2190">
        <w:rPr>
          <w:lang w:val="es-ES_tradnl"/>
        </w:rPr>
        <w:t xml:space="preserve"> </w:t>
      </w:r>
      <w:r w:rsidRPr="00E92880">
        <w:rPr>
          <w:lang w:val="es-ES_tradnl"/>
        </w:rPr>
        <w:t xml:space="preserve">movidas políticas tan o más importantes que las </w:t>
      </w:r>
      <w:r w:rsidR="00B42ECB" w:rsidRPr="00E92880">
        <w:rPr>
          <w:lang w:val="es-ES_tradnl"/>
        </w:rPr>
        <w:t>presentadas</w:t>
      </w:r>
      <w:r w:rsidRPr="00E92880">
        <w:rPr>
          <w:lang w:val="es-ES_tradnl"/>
        </w:rPr>
        <w:t xml:space="preserve"> en 2016, </w:t>
      </w:r>
      <w:r w:rsidR="005A2190" w:rsidRPr="009555A4">
        <w:rPr>
          <w:lang w:val="es-ES_tradnl"/>
        </w:rPr>
        <w:t>que tendrán impacto en Colombia.</w:t>
      </w:r>
      <w:r w:rsidRPr="009555A4">
        <w:rPr>
          <w:lang w:val="es-ES_tradnl"/>
        </w:rPr>
        <w:t xml:space="preserve"> </w:t>
      </w:r>
    </w:p>
    <w:p w14:paraId="0ED5010A" w14:textId="77777777" w:rsidR="00D46457" w:rsidRPr="009555A4" w:rsidRDefault="00D46457" w:rsidP="00D46457">
      <w:pPr>
        <w:jc w:val="both"/>
        <w:rPr>
          <w:rFonts w:asciiTheme="minorHAnsi" w:hAnsiTheme="minorHAnsi"/>
        </w:rPr>
      </w:pPr>
    </w:p>
    <w:p w14:paraId="1C958459" w14:textId="1400CEC6" w:rsidR="00D46457" w:rsidRPr="00D25402" w:rsidRDefault="005A2190" w:rsidP="00D46457">
      <w:pPr>
        <w:pStyle w:val="ListParagraph"/>
        <w:ind w:left="360"/>
        <w:jc w:val="both"/>
        <w:rPr>
          <w:lang w:val="es-ES_tradnl"/>
        </w:rPr>
      </w:pPr>
      <w:r w:rsidRPr="009555A4">
        <w:rPr>
          <w:lang w:val="es-ES_tradnl"/>
        </w:rPr>
        <w:lastRenderedPageBreak/>
        <w:t xml:space="preserve">Internamente </w:t>
      </w:r>
      <w:r w:rsidR="00C55C3D">
        <w:rPr>
          <w:lang w:val="es-ES_tradnl"/>
        </w:rPr>
        <w:t xml:space="preserve">este año se considera fundamental para el </w:t>
      </w:r>
      <w:r w:rsidR="001749CC" w:rsidRPr="00D25402">
        <w:rPr>
          <w:lang w:val="es-ES_tradnl"/>
        </w:rPr>
        <w:t xml:space="preserve">cumplimiento de la meta de inflación y </w:t>
      </w:r>
      <w:r w:rsidR="00C55C3D">
        <w:rPr>
          <w:lang w:val="es-ES_tradnl"/>
        </w:rPr>
        <w:t xml:space="preserve">ajustes para aumentar el </w:t>
      </w:r>
      <w:r w:rsidR="001749CC" w:rsidRPr="00D25402">
        <w:rPr>
          <w:lang w:val="es-ES_tradnl"/>
        </w:rPr>
        <w:t xml:space="preserve">crecimiento, </w:t>
      </w:r>
      <w:r w:rsidR="00C55C3D">
        <w:rPr>
          <w:lang w:val="es-ES_tradnl"/>
        </w:rPr>
        <w:t>teniendo en cuenta que entra en</w:t>
      </w:r>
      <w:r w:rsidR="00D46457" w:rsidRPr="00E92880">
        <w:rPr>
          <w:lang w:val="es-ES_tradnl"/>
        </w:rPr>
        <w:t xml:space="preserve"> vigencia la reforma tributaria aprobada el año anterior, </w:t>
      </w:r>
      <w:r w:rsidR="00C55C3D">
        <w:rPr>
          <w:lang w:val="es-ES_tradnl"/>
        </w:rPr>
        <w:t xml:space="preserve">es </w:t>
      </w:r>
      <w:r w:rsidR="001749CC" w:rsidRPr="00E92880">
        <w:rPr>
          <w:lang w:val="es-ES_tradnl"/>
        </w:rPr>
        <w:t xml:space="preserve">un año prelectoral y </w:t>
      </w:r>
      <w:r w:rsidR="00C55C3D">
        <w:rPr>
          <w:lang w:val="es-ES_tradnl"/>
        </w:rPr>
        <w:t xml:space="preserve">el </w:t>
      </w:r>
      <w:r w:rsidR="00B42ECB" w:rsidRPr="00E92880">
        <w:rPr>
          <w:lang w:val="es-ES_tradnl"/>
        </w:rPr>
        <w:t xml:space="preserve">inicio de la implementación de acuerdos </w:t>
      </w:r>
      <w:r w:rsidR="00C55C3D">
        <w:rPr>
          <w:lang w:val="es-ES_tradnl"/>
        </w:rPr>
        <w:t xml:space="preserve">del proceso de paz </w:t>
      </w:r>
      <w:r w:rsidR="00B42ECB" w:rsidRPr="00E92880">
        <w:rPr>
          <w:lang w:val="es-ES_tradnl"/>
        </w:rPr>
        <w:t>y avances</w:t>
      </w:r>
      <w:r w:rsidR="001749CC" w:rsidRPr="00BC446E">
        <w:rPr>
          <w:lang w:val="es-ES_tradnl"/>
        </w:rPr>
        <w:t xml:space="preserve"> </w:t>
      </w:r>
      <w:r w:rsidR="00C55C3D">
        <w:rPr>
          <w:lang w:val="es-ES_tradnl"/>
        </w:rPr>
        <w:t>en el</w:t>
      </w:r>
      <w:r w:rsidR="001749CC" w:rsidRPr="00BC446E">
        <w:rPr>
          <w:lang w:val="es-ES_tradnl"/>
        </w:rPr>
        <w:t xml:space="preserve"> </w:t>
      </w:r>
      <w:r w:rsidR="001749CC" w:rsidRPr="00295826">
        <w:rPr>
          <w:lang w:val="es-ES_tradnl"/>
        </w:rPr>
        <w:t>postconflicto</w:t>
      </w:r>
      <w:r w:rsidR="00992A35" w:rsidRPr="005A2190">
        <w:rPr>
          <w:rStyle w:val="FootnoteReference"/>
          <w:lang w:val="es-ES_tradnl"/>
        </w:rPr>
        <w:footnoteReference w:id="3"/>
      </w:r>
      <w:r w:rsidR="001749CC" w:rsidRPr="005A2190">
        <w:rPr>
          <w:lang w:val="es-ES_tradnl"/>
        </w:rPr>
        <w:t xml:space="preserve">. </w:t>
      </w:r>
    </w:p>
    <w:p w14:paraId="2F030826" w14:textId="77777777" w:rsidR="00D46457" w:rsidRPr="00E92880" w:rsidRDefault="00D46457" w:rsidP="00D46457">
      <w:pPr>
        <w:pStyle w:val="ListParagraph"/>
        <w:ind w:left="360"/>
        <w:jc w:val="both"/>
        <w:rPr>
          <w:lang w:val="es-ES_tradnl"/>
        </w:rPr>
      </w:pPr>
    </w:p>
    <w:p w14:paraId="225C6E07" w14:textId="2BEE0AAA" w:rsidR="005E5783" w:rsidRPr="009555A4" w:rsidRDefault="00992A35" w:rsidP="00D46457">
      <w:pPr>
        <w:pStyle w:val="ListParagraph"/>
        <w:ind w:left="360"/>
        <w:jc w:val="both"/>
        <w:rPr>
          <w:lang w:val="es-ES_tradnl"/>
        </w:rPr>
      </w:pPr>
      <w:r w:rsidRPr="00E92880">
        <w:rPr>
          <w:lang w:val="es-ES_tradnl"/>
        </w:rPr>
        <w:t>Los</w:t>
      </w:r>
      <w:r w:rsidR="005E5783" w:rsidRPr="00E92880">
        <w:rPr>
          <w:lang w:val="es-ES_tradnl"/>
        </w:rPr>
        <w:t xml:space="preserve"> riesgos continúan asociados a un menor crecimiento de la economía mundial, a una mayor volatilidad del tipo de cambi</w:t>
      </w:r>
      <w:r w:rsidR="00C75AB1" w:rsidRPr="00295826">
        <w:rPr>
          <w:lang w:val="es-ES_tradnl"/>
        </w:rPr>
        <w:t>o, a una mayor estrechez fiscal</w:t>
      </w:r>
      <w:r w:rsidR="005E5783" w:rsidRPr="00E84328">
        <w:rPr>
          <w:lang w:val="es-ES_tradnl"/>
        </w:rPr>
        <w:t xml:space="preserve"> y con ello, a una menor inversión y </w:t>
      </w:r>
      <w:r w:rsidR="00B42ECB" w:rsidRPr="004F73E1">
        <w:rPr>
          <w:lang w:val="es-ES_tradnl"/>
        </w:rPr>
        <w:t>aumento d</w:t>
      </w:r>
      <w:r w:rsidR="005E5783" w:rsidRPr="004F73E1">
        <w:rPr>
          <w:lang w:val="es-ES_tradnl"/>
        </w:rPr>
        <w:t xml:space="preserve">el </w:t>
      </w:r>
      <w:r w:rsidR="00B42ECB" w:rsidRPr="006D24C1">
        <w:rPr>
          <w:lang w:val="es-ES_tradnl"/>
        </w:rPr>
        <w:t>des</w:t>
      </w:r>
      <w:r w:rsidR="005E5783" w:rsidRPr="002A5D2E">
        <w:rPr>
          <w:lang w:val="es-ES_tradnl"/>
        </w:rPr>
        <w:t>empleo. Estos factores, sumados a una eventual recuperación del consumo privado</w:t>
      </w:r>
      <w:r w:rsidR="00C55C3D">
        <w:rPr>
          <w:lang w:val="es-ES_tradnl"/>
        </w:rPr>
        <w:t>,</w:t>
      </w:r>
      <w:r w:rsidR="00B42ECB" w:rsidRPr="009555A4">
        <w:rPr>
          <w:lang w:val="es-ES_tradnl"/>
        </w:rPr>
        <w:t xml:space="preserve"> aunque</w:t>
      </w:r>
      <w:r w:rsidR="00C55C3D">
        <w:rPr>
          <w:lang w:val="es-ES_tradnl"/>
        </w:rPr>
        <w:t xml:space="preserve"> menos dinámico</w:t>
      </w:r>
      <w:r w:rsidR="005E5783" w:rsidRPr="009555A4">
        <w:rPr>
          <w:lang w:val="es-ES_tradnl"/>
        </w:rPr>
        <w:t xml:space="preserve"> que </w:t>
      </w:r>
      <w:r w:rsidR="00C55C3D">
        <w:rPr>
          <w:lang w:val="es-ES_tradnl"/>
        </w:rPr>
        <w:t>el esperado</w:t>
      </w:r>
      <w:r w:rsidR="005E5783" w:rsidRPr="009555A4">
        <w:rPr>
          <w:lang w:val="es-ES_tradnl"/>
        </w:rPr>
        <w:t xml:space="preserve"> por cuenta de unas condiciones monetarias que podrían tornarse más restrictivas, continúan insertando un sesgo bajista en las previsiones de corto y mediano plazo. </w:t>
      </w:r>
    </w:p>
    <w:p w14:paraId="4EF5BC50" w14:textId="77777777" w:rsidR="005E5783" w:rsidRPr="009555A4" w:rsidRDefault="005E5783" w:rsidP="005E5783">
      <w:pPr>
        <w:ind w:left="360"/>
        <w:jc w:val="both"/>
        <w:rPr>
          <w:rFonts w:asciiTheme="minorHAnsi" w:hAnsiTheme="minorHAnsi"/>
        </w:rPr>
      </w:pPr>
    </w:p>
    <w:p w14:paraId="444624A0" w14:textId="58F14528" w:rsidR="00AB110F" w:rsidRPr="00D64ACB" w:rsidRDefault="005E5783" w:rsidP="007A0513">
      <w:pPr>
        <w:jc w:val="both"/>
        <w:rPr>
          <w:rFonts w:asciiTheme="minorHAnsi" w:hAnsiTheme="minorHAnsi"/>
        </w:rPr>
      </w:pPr>
      <w:r w:rsidRPr="009555A4">
        <w:rPr>
          <w:rFonts w:asciiTheme="minorHAnsi" w:hAnsiTheme="minorHAnsi"/>
        </w:rPr>
        <w:t xml:space="preserve">Se considera que los próximos dos años no serán años fáciles. De </w:t>
      </w:r>
      <w:r w:rsidR="00B42ECB" w:rsidRPr="009555A4">
        <w:rPr>
          <w:rFonts w:asciiTheme="minorHAnsi" w:hAnsiTheme="minorHAnsi"/>
        </w:rPr>
        <w:t xml:space="preserve">los avances del proceso de paz y en </w:t>
      </w:r>
      <w:r w:rsidRPr="009555A4">
        <w:rPr>
          <w:rFonts w:asciiTheme="minorHAnsi" w:hAnsiTheme="minorHAnsi"/>
        </w:rPr>
        <w:t xml:space="preserve">materia de competitividad, que pasan por la celeridad con que se ejecuten los programas de infraestructura, de la asertividad de las políticas monetarias y fiscales, estas últimas asociadas </w:t>
      </w:r>
      <w:r w:rsidR="005621CC" w:rsidRPr="009555A4">
        <w:rPr>
          <w:rFonts w:asciiTheme="minorHAnsi" w:hAnsiTheme="minorHAnsi"/>
        </w:rPr>
        <w:t>con</w:t>
      </w:r>
      <w:r w:rsidRPr="009555A4">
        <w:rPr>
          <w:rFonts w:asciiTheme="minorHAnsi" w:hAnsiTheme="minorHAnsi"/>
        </w:rPr>
        <w:t xml:space="preserve"> la aprobación de </w:t>
      </w:r>
      <w:r w:rsidR="00B42ECB" w:rsidRPr="009555A4">
        <w:rPr>
          <w:rFonts w:asciiTheme="minorHAnsi" w:hAnsiTheme="minorHAnsi"/>
        </w:rPr>
        <w:t xml:space="preserve">la </w:t>
      </w:r>
      <w:r w:rsidRPr="009555A4">
        <w:rPr>
          <w:rFonts w:asciiTheme="minorHAnsi" w:hAnsiTheme="minorHAnsi"/>
        </w:rPr>
        <w:t>reforma tributaria</w:t>
      </w:r>
      <w:r w:rsidR="005621CC" w:rsidRPr="009555A4">
        <w:rPr>
          <w:rFonts w:asciiTheme="minorHAnsi" w:hAnsiTheme="minorHAnsi"/>
        </w:rPr>
        <w:t xml:space="preserve"> a finales del año 2016</w:t>
      </w:r>
      <w:r w:rsidRPr="009555A4">
        <w:rPr>
          <w:rFonts w:asciiTheme="minorHAnsi" w:hAnsiTheme="minorHAnsi"/>
        </w:rPr>
        <w:t xml:space="preserve"> y del diseño de una política económica que propenda por la recomposición sectorial, dependerá que la economía pueda retornar a sus sendas de crecimiento potencial en los próximos años</w:t>
      </w:r>
      <w:r w:rsidR="001749CC" w:rsidRPr="009555A4">
        <w:rPr>
          <w:rStyle w:val="FootnoteReference"/>
          <w:rFonts w:asciiTheme="minorHAnsi" w:hAnsiTheme="minorHAnsi"/>
        </w:rPr>
        <w:footnoteReference w:id="4"/>
      </w:r>
      <w:r w:rsidRPr="009555A4">
        <w:rPr>
          <w:rFonts w:asciiTheme="minorHAnsi" w:hAnsiTheme="minorHAnsi"/>
        </w:rPr>
        <w:t>.</w:t>
      </w:r>
    </w:p>
    <w:p w14:paraId="51F7E69D" w14:textId="77777777" w:rsidR="00546F99" w:rsidRPr="00D64ACB" w:rsidRDefault="00546F99" w:rsidP="00546F99">
      <w:pPr>
        <w:jc w:val="both"/>
        <w:rPr>
          <w:rFonts w:asciiTheme="minorHAnsi" w:hAnsiTheme="minorHAnsi"/>
          <w:b/>
        </w:rPr>
      </w:pPr>
    </w:p>
    <w:p w14:paraId="2E5702BB" w14:textId="77777777" w:rsidR="0076010A" w:rsidRDefault="0076010A" w:rsidP="0018436E">
      <w:pPr>
        <w:pStyle w:val="ListParagraph"/>
        <w:numPr>
          <w:ilvl w:val="1"/>
          <w:numId w:val="3"/>
        </w:numPr>
        <w:jc w:val="both"/>
        <w:rPr>
          <w:b/>
        </w:rPr>
      </w:pPr>
      <w:r w:rsidRPr="0076010A">
        <w:rPr>
          <w:b/>
        </w:rPr>
        <w:t>Estrategia para el SEC</w:t>
      </w:r>
    </w:p>
    <w:p w14:paraId="5B1096C6" w14:textId="77777777" w:rsidR="00817418" w:rsidRDefault="00817418" w:rsidP="00817418">
      <w:pPr>
        <w:jc w:val="both"/>
        <w:rPr>
          <w:b/>
        </w:rPr>
      </w:pPr>
    </w:p>
    <w:p w14:paraId="267517C7" w14:textId="1F593F08" w:rsidR="00603CF9" w:rsidRDefault="00603CF9" w:rsidP="00817418">
      <w:pPr>
        <w:jc w:val="both"/>
        <w:rPr>
          <w:rFonts w:asciiTheme="minorHAnsi" w:hAnsiTheme="minorHAnsi"/>
        </w:rPr>
      </w:pPr>
      <w:r w:rsidRPr="00BC44EF">
        <w:rPr>
          <w:rFonts w:asciiTheme="minorHAnsi" w:hAnsiTheme="minorHAnsi"/>
        </w:rPr>
        <w:t>Se basa en el Plan Nacional de Desarrollo (PND)</w:t>
      </w:r>
      <w:r w:rsidR="00BC44EF" w:rsidRPr="00BC44EF">
        <w:rPr>
          <w:rFonts w:asciiTheme="minorHAnsi" w:hAnsiTheme="minorHAnsi"/>
        </w:rPr>
        <w:t xml:space="preserve"> que establece el gobierno de turno para el periodo correspondiente de 4 años </w:t>
      </w:r>
      <w:r w:rsidRPr="00BC44EF">
        <w:rPr>
          <w:rFonts w:asciiTheme="minorHAnsi" w:hAnsiTheme="minorHAnsi"/>
        </w:rPr>
        <w:t>y</w:t>
      </w:r>
      <w:r w:rsidR="00BC44EF" w:rsidRPr="00BC44EF">
        <w:rPr>
          <w:rFonts w:asciiTheme="minorHAnsi" w:hAnsiTheme="minorHAnsi"/>
        </w:rPr>
        <w:t xml:space="preserve"> para el SEC</w:t>
      </w:r>
      <w:r w:rsidR="00BC44EF">
        <w:rPr>
          <w:rFonts w:asciiTheme="minorHAnsi" w:hAnsiTheme="minorHAnsi"/>
        </w:rPr>
        <w:t>,</w:t>
      </w:r>
      <w:r w:rsidR="00BC44EF" w:rsidRPr="00BC44EF">
        <w:rPr>
          <w:rFonts w:asciiTheme="minorHAnsi" w:hAnsiTheme="minorHAnsi"/>
        </w:rPr>
        <w:t xml:space="preserve"> con base </w:t>
      </w:r>
      <w:r w:rsidR="00BC44EF">
        <w:rPr>
          <w:rFonts w:asciiTheme="minorHAnsi" w:hAnsiTheme="minorHAnsi"/>
        </w:rPr>
        <w:t xml:space="preserve">en el </w:t>
      </w:r>
      <w:r w:rsidR="00C55C3D">
        <w:rPr>
          <w:rFonts w:asciiTheme="minorHAnsi" w:hAnsiTheme="minorHAnsi"/>
        </w:rPr>
        <w:t>Plan Energético Nacional (</w:t>
      </w:r>
      <w:r w:rsidR="00BC44EF">
        <w:rPr>
          <w:rFonts w:asciiTheme="minorHAnsi" w:hAnsiTheme="minorHAnsi"/>
        </w:rPr>
        <w:t>PEN</w:t>
      </w:r>
      <w:r w:rsidR="00C55C3D">
        <w:rPr>
          <w:rFonts w:asciiTheme="minorHAnsi" w:hAnsiTheme="minorHAnsi"/>
        </w:rPr>
        <w:t>)</w:t>
      </w:r>
      <w:r w:rsidR="00BC44EF">
        <w:rPr>
          <w:rFonts w:asciiTheme="minorHAnsi" w:hAnsiTheme="minorHAnsi"/>
        </w:rPr>
        <w:t>,</w:t>
      </w:r>
      <w:r w:rsidR="00BC44EF" w:rsidRPr="00BC44EF">
        <w:rPr>
          <w:rFonts w:asciiTheme="minorHAnsi" w:hAnsiTheme="minorHAnsi"/>
        </w:rPr>
        <w:t xml:space="preserve"> </w:t>
      </w:r>
      <w:r w:rsidR="00B42ECB">
        <w:rPr>
          <w:rFonts w:asciiTheme="minorHAnsi" w:hAnsiTheme="minorHAnsi"/>
        </w:rPr>
        <w:t xml:space="preserve">que </w:t>
      </w:r>
      <w:r w:rsidR="00BC44EF" w:rsidRPr="00BC44EF">
        <w:rPr>
          <w:rFonts w:asciiTheme="minorHAnsi" w:hAnsiTheme="minorHAnsi"/>
        </w:rPr>
        <w:t>establece lineamientos de largo plazo</w:t>
      </w:r>
      <w:r w:rsidR="00BC44EF">
        <w:rPr>
          <w:rFonts w:asciiTheme="minorHAnsi" w:hAnsiTheme="minorHAnsi"/>
        </w:rPr>
        <w:t>.</w:t>
      </w:r>
    </w:p>
    <w:p w14:paraId="751DEBB5" w14:textId="77777777" w:rsidR="00BC44EF" w:rsidRPr="00BC44EF" w:rsidRDefault="00BC44EF" w:rsidP="00817418">
      <w:pPr>
        <w:jc w:val="both"/>
        <w:rPr>
          <w:rFonts w:asciiTheme="minorHAnsi" w:hAnsiTheme="minorHAnsi"/>
        </w:rPr>
      </w:pPr>
    </w:p>
    <w:p w14:paraId="17E8645C" w14:textId="77777777" w:rsidR="0076010A" w:rsidRPr="00F6087D" w:rsidRDefault="0076010A" w:rsidP="0076010A">
      <w:pPr>
        <w:pStyle w:val="ListParagraph"/>
        <w:ind w:left="0"/>
        <w:jc w:val="both"/>
        <w:rPr>
          <w:b/>
        </w:rPr>
      </w:pPr>
      <w:r>
        <w:rPr>
          <w:b/>
        </w:rPr>
        <w:t>2</w:t>
      </w:r>
      <w:r w:rsidR="00817418">
        <w:rPr>
          <w:b/>
        </w:rPr>
        <w:t xml:space="preserve">.2.1 </w:t>
      </w:r>
      <w:r w:rsidRPr="00F6087D">
        <w:rPr>
          <w:b/>
        </w:rPr>
        <w:t>Plan Nacional de Desarrollo 2014-2018</w:t>
      </w:r>
      <w:r w:rsidR="005621CC">
        <w:rPr>
          <w:b/>
        </w:rPr>
        <w:t xml:space="preserve"> (PND)</w:t>
      </w:r>
      <w:r w:rsidRPr="00301BD3">
        <w:rPr>
          <w:b/>
          <w:vertAlign w:val="superscript"/>
        </w:rPr>
        <w:footnoteReference w:id="5"/>
      </w:r>
    </w:p>
    <w:p w14:paraId="495EDC96" w14:textId="77777777" w:rsidR="0076010A" w:rsidRPr="001302BC" w:rsidRDefault="0076010A" w:rsidP="0076010A">
      <w:pPr>
        <w:pStyle w:val="ListParagraph"/>
        <w:ind w:left="360"/>
        <w:jc w:val="both"/>
        <w:rPr>
          <w:b/>
          <w:lang w:val="es-ES_tradnl"/>
        </w:rPr>
      </w:pPr>
    </w:p>
    <w:p w14:paraId="5741450D" w14:textId="77777777" w:rsidR="0076010A" w:rsidRPr="00854AF1" w:rsidRDefault="0076010A" w:rsidP="0076010A">
      <w:pPr>
        <w:jc w:val="both"/>
        <w:rPr>
          <w:rFonts w:asciiTheme="minorHAnsi" w:hAnsiTheme="minorHAnsi"/>
        </w:rPr>
      </w:pPr>
      <w:r w:rsidRPr="00854AF1">
        <w:rPr>
          <w:rFonts w:asciiTheme="minorHAnsi" w:hAnsiTheme="minorHAnsi"/>
        </w:rPr>
        <w:t>Colombia ha presentado cambios importantes desde la Constitución de 1991. Hoy es un país de ingreso medio alto, cuando antes era de ingreso bajo. La solidez y credibilidad de nuestras políticas fiscal y monetaria son ejemplo en América Latina. En la actualidad</w:t>
      </w:r>
      <w:r w:rsidR="00C27D5D">
        <w:rPr>
          <w:rFonts w:asciiTheme="minorHAnsi" w:hAnsiTheme="minorHAnsi"/>
        </w:rPr>
        <w:t>,</w:t>
      </w:r>
      <w:r w:rsidRPr="00854AF1">
        <w:rPr>
          <w:rFonts w:asciiTheme="minorHAnsi" w:hAnsiTheme="minorHAnsi"/>
        </w:rPr>
        <w:t xml:space="preserve"> se cuenta con una cobertura casi universal en nuestro sistema de salud y hemos hecho grandes avances en la cobertura de educación. Además, se ha avanzado en el fortalecimiento del Estado y la democracia. </w:t>
      </w:r>
    </w:p>
    <w:p w14:paraId="7E02E666" w14:textId="77777777" w:rsidR="0076010A" w:rsidRPr="00854AF1" w:rsidRDefault="0076010A" w:rsidP="0076010A">
      <w:pPr>
        <w:pStyle w:val="ListParagraph"/>
        <w:ind w:left="708"/>
        <w:jc w:val="both"/>
        <w:rPr>
          <w:lang w:val="es-ES_tradnl"/>
        </w:rPr>
      </w:pPr>
    </w:p>
    <w:p w14:paraId="504DDFB9" w14:textId="4ABC2484" w:rsidR="0076010A" w:rsidRPr="00854AF1" w:rsidRDefault="0076010A" w:rsidP="0076010A">
      <w:pPr>
        <w:jc w:val="both"/>
        <w:rPr>
          <w:rFonts w:asciiTheme="minorHAnsi" w:hAnsiTheme="minorHAnsi"/>
        </w:rPr>
      </w:pPr>
      <w:r w:rsidRPr="00854AF1">
        <w:rPr>
          <w:rFonts w:asciiTheme="minorHAnsi" w:hAnsiTheme="minorHAnsi"/>
        </w:rPr>
        <w:t xml:space="preserve">El propósito del </w:t>
      </w:r>
      <w:r w:rsidR="005621CC">
        <w:rPr>
          <w:rFonts w:asciiTheme="minorHAnsi" w:hAnsiTheme="minorHAnsi"/>
        </w:rPr>
        <w:t>PND</w:t>
      </w:r>
      <w:r w:rsidR="00C27D5D">
        <w:rPr>
          <w:rFonts w:asciiTheme="minorHAnsi" w:hAnsiTheme="minorHAnsi"/>
        </w:rPr>
        <w:t>,</w:t>
      </w:r>
      <w:r w:rsidRPr="00854AF1">
        <w:rPr>
          <w:rFonts w:asciiTheme="minorHAnsi" w:hAnsiTheme="minorHAnsi"/>
        </w:rPr>
        <w:t xml:space="preserve"> </w:t>
      </w:r>
      <w:r w:rsidR="00C55C3D">
        <w:rPr>
          <w:rFonts w:asciiTheme="minorHAnsi" w:hAnsiTheme="minorHAnsi"/>
        </w:rPr>
        <w:t>“</w:t>
      </w:r>
      <w:r w:rsidRPr="00854AF1">
        <w:rPr>
          <w:rFonts w:asciiTheme="minorHAnsi" w:hAnsiTheme="minorHAnsi"/>
        </w:rPr>
        <w:t>Todos por un Nuevo País</w:t>
      </w:r>
      <w:r w:rsidR="00C55C3D">
        <w:rPr>
          <w:rFonts w:asciiTheme="minorHAnsi" w:hAnsiTheme="minorHAnsi"/>
        </w:rPr>
        <w:t>”</w:t>
      </w:r>
      <w:r w:rsidRPr="00854AF1">
        <w:rPr>
          <w:rFonts w:asciiTheme="minorHAnsi" w:hAnsiTheme="minorHAnsi"/>
        </w:rPr>
        <w:t xml:space="preserve">, es construir una Colombia en paz, equitativa y educada, </w:t>
      </w:r>
      <w:r w:rsidR="00714535">
        <w:rPr>
          <w:rFonts w:asciiTheme="minorHAnsi" w:hAnsiTheme="minorHAnsi"/>
        </w:rPr>
        <w:t xml:space="preserve">que es </w:t>
      </w:r>
      <w:r w:rsidRPr="00854AF1">
        <w:rPr>
          <w:rFonts w:asciiTheme="minorHAnsi" w:hAnsiTheme="minorHAnsi"/>
        </w:rPr>
        <w:t xml:space="preserve">coherente con la estrategia país del BID y en el caso de energía con su marco sectorial. Soportado sobre los pilares de la paz, la equidad y la </w:t>
      </w:r>
      <w:r w:rsidRPr="00854AF1">
        <w:rPr>
          <w:rFonts w:asciiTheme="minorHAnsi" w:hAnsiTheme="minorHAnsi"/>
        </w:rPr>
        <w:lastRenderedPageBreak/>
        <w:t xml:space="preserve">educación, este Plan se </w:t>
      </w:r>
      <w:r w:rsidR="009B6C3F">
        <w:rPr>
          <w:rFonts w:asciiTheme="minorHAnsi" w:hAnsiTheme="minorHAnsi"/>
        </w:rPr>
        <w:t xml:space="preserve">espera se refleje </w:t>
      </w:r>
      <w:r w:rsidRPr="00854AF1">
        <w:rPr>
          <w:rFonts w:asciiTheme="minorHAnsi" w:hAnsiTheme="minorHAnsi"/>
        </w:rPr>
        <w:t>en bienestar para las regiones y ciudadanos que las habitan. Esto, porque las condiciones institucionales, geográficas y de violencia, han dificultado que los avances sociales, económicos y ambientales logrados por el país se distribuyan de manera homogénea a nivel territorial.</w:t>
      </w:r>
    </w:p>
    <w:p w14:paraId="568CA209" w14:textId="77777777" w:rsidR="0076010A" w:rsidRDefault="0076010A" w:rsidP="0076010A">
      <w:pPr>
        <w:jc w:val="both"/>
      </w:pPr>
    </w:p>
    <w:p w14:paraId="6C310756" w14:textId="77777777" w:rsidR="0076010A" w:rsidRPr="0076010A" w:rsidRDefault="00817418" w:rsidP="00817418">
      <w:pPr>
        <w:pStyle w:val="ListParagraph"/>
        <w:ind w:left="0"/>
        <w:jc w:val="both"/>
        <w:rPr>
          <w:b/>
        </w:rPr>
      </w:pPr>
      <w:r>
        <w:rPr>
          <w:b/>
        </w:rPr>
        <w:t xml:space="preserve">2.2.2 </w:t>
      </w:r>
      <w:r w:rsidR="0076010A" w:rsidRPr="0076010A">
        <w:rPr>
          <w:b/>
        </w:rPr>
        <w:t>Plan Energético Nacional (PEN): Ideario 2014-2050</w:t>
      </w:r>
      <w:r w:rsidR="0076010A" w:rsidRPr="009B6C3F">
        <w:rPr>
          <w:b/>
          <w:vertAlign w:val="superscript"/>
        </w:rPr>
        <w:footnoteReference w:id="6"/>
      </w:r>
    </w:p>
    <w:p w14:paraId="2FF366CE" w14:textId="77777777" w:rsidR="0076010A" w:rsidRDefault="0076010A" w:rsidP="0076010A">
      <w:pPr>
        <w:jc w:val="both"/>
      </w:pPr>
    </w:p>
    <w:p w14:paraId="27BBAA5B" w14:textId="20082C0F" w:rsidR="0076010A" w:rsidRDefault="0076010A" w:rsidP="0076010A">
      <w:pPr>
        <w:jc w:val="both"/>
        <w:rPr>
          <w:rFonts w:asciiTheme="minorHAnsi" w:hAnsiTheme="minorHAnsi"/>
        </w:rPr>
      </w:pPr>
      <w:r w:rsidRPr="00854AF1">
        <w:rPr>
          <w:rFonts w:asciiTheme="minorHAnsi" w:hAnsiTheme="minorHAnsi"/>
        </w:rPr>
        <w:t>Con base en las tendencias internacionales en materia energética, los cambios técnicos y de negocios que se han venido presentando para garantizar la seguridad del suministro con una canasta diversificada y precios competitivos, aumentar la cobertura y reducir la pobreza energética, aportar al crecimiento de las economías y desarrollo de poblaciones y regiones, facilitar la introducción de las nuevas fuentes y tecnologías energéticas, minimizar</w:t>
      </w:r>
      <w:r>
        <w:rPr>
          <w:rFonts w:asciiTheme="minorHAnsi" w:hAnsiTheme="minorHAnsi"/>
        </w:rPr>
        <w:t xml:space="preserve"> </w:t>
      </w:r>
      <w:r w:rsidRPr="00854AF1">
        <w:rPr>
          <w:rFonts w:asciiTheme="minorHAnsi" w:hAnsiTheme="minorHAnsi"/>
        </w:rPr>
        <w:t>los impactos negativos al ambiente con la construcción de un sistema sostenible hasta donde sea</w:t>
      </w:r>
      <w:r>
        <w:rPr>
          <w:rFonts w:asciiTheme="minorHAnsi" w:hAnsiTheme="minorHAnsi"/>
        </w:rPr>
        <w:t xml:space="preserve"> posible y teniendo en cuenta</w:t>
      </w:r>
      <w:r w:rsidRPr="00854AF1">
        <w:rPr>
          <w:rFonts w:asciiTheme="minorHAnsi" w:hAnsiTheme="minorHAnsi"/>
        </w:rPr>
        <w:t xml:space="preserve"> la actual coyuntura económica internacional</w:t>
      </w:r>
      <w:r w:rsidR="007A3620">
        <w:rPr>
          <w:rFonts w:asciiTheme="minorHAnsi" w:hAnsiTheme="minorHAnsi"/>
        </w:rPr>
        <w:t xml:space="preserve"> y la </w:t>
      </w:r>
      <w:r w:rsidRPr="00854AF1">
        <w:rPr>
          <w:rFonts w:asciiTheme="minorHAnsi" w:hAnsiTheme="minorHAnsi"/>
        </w:rPr>
        <w:t xml:space="preserve">colombiana, la situación actual y perspectivas del mercado de los hidrocarburos, </w:t>
      </w:r>
      <w:r>
        <w:rPr>
          <w:rFonts w:asciiTheme="minorHAnsi" w:hAnsiTheme="minorHAnsi"/>
        </w:rPr>
        <w:t xml:space="preserve">entre otros, </w:t>
      </w:r>
      <w:r w:rsidRPr="00854AF1">
        <w:rPr>
          <w:rFonts w:asciiTheme="minorHAnsi" w:hAnsiTheme="minorHAnsi"/>
        </w:rPr>
        <w:t>en un nuevo entorno económico caracterizado por la reactivación y fortalecimiento de la economía de Estados Unidos, la desaceleración de los mercados emergentes, el aumento de la percepción de riesgo de Latinoamérica, y la apreciación del dó</w:t>
      </w:r>
      <w:r>
        <w:rPr>
          <w:rFonts w:asciiTheme="minorHAnsi" w:hAnsiTheme="minorHAnsi"/>
        </w:rPr>
        <w:t xml:space="preserve">lar en los mercados financieros, </w:t>
      </w:r>
      <w:r w:rsidR="007A3620">
        <w:rPr>
          <w:rFonts w:asciiTheme="minorHAnsi" w:hAnsiTheme="minorHAnsi"/>
        </w:rPr>
        <w:t xml:space="preserve">se propone en el PEN </w:t>
      </w:r>
      <w:r w:rsidRPr="00854AF1">
        <w:rPr>
          <w:rFonts w:asciiTheme="minorHAnsi" w:hAnsiTheme="minorHAnsi"/>
        </w:rPr>
        <w:t>una senda de crecimiento y la recomposición de la estructura productiva para el país, con una visión de largo plazo, planteando los objetivos propuestos para una política energética al 2050, con el propósito de lograr el abastecimiento interno y externo de energía de manera eficiente, con el mínimo impacto ambiental y generando valor para las regiones y poblaciones.</w:t>
      </w:r>
      <w:r w:rsidRPr="00854AF1">
        <w:t xml:space="preserve"> </w:t>
      </w:r>
    </w:p>
    <w:p w14:paraId="65831D67" w14:textId="77777777" w:rsidR="0076010A" w:rsidRDefault="0076010A" w:rsidP="0076010A">
      <w:pPr>
        <w:jc w:val="both"/>
        <w:rPr>
          <w:rFonts w:asciiTheme="minorHAnsi" w:hAnsiTheme="minorHAnsi"/>
        </w:rPr>
      </w:pPr>
    </w:p>
    <w:p w14:paraId="720BE908" w14:textId="77777777" w:rsidR="0076010A" w:rsidRDefault="0076010A" w:rsidP="0076010A">
      <w:pPr>
        <w:jc w:val="both"/>
        <w:rPr>
          <w:rFonts w:asciiTheme="minorHAnsi" w:hAnsiTheme="minorHAnsi"/>
        </w:rPr>
      </w:pPr>
      <w:r w:rsidRPr="00854AF1">
        <w:rPr>
          <w:rFonts w:asciiTheme="minorHAnsi" w:hAnsiTheme="minorHAnsi"/>
        </w:rPr>
        <w:t>En el PEN se proponen cinco objetivos específicos focalizados a contar con una oferta</w:t>
      </w:r>
      <w:r w:rsidR="009B6C3F">
        <w:rPr>
          <w:rFonts w:asciiTheme="minorHAnsi" w:hAnsiTheme="minorHAnsi"/>
        </w:rPr>
        <w:t xml:space="preserve"> energética diversa y confiable</w:t>
      </w:r>
      <w:r w:rsidRPr="00854AF1">
        <w:rPr>
          <w:rFonts w:asciiTheme="minorHAnsi" w:hAnsiTheme="minorHAnsi"/>
        </w:rPr>
        <w:t xml:space="preserve"> y con una demanda con precios eficientes y metas de eficiencia energética</w:t>
      </w:r>
      <w:r w:rsidR="00CB0375">
        <w:rPr>
          <w:rFonts w:asciiTheme="minorHAnsi" w:hAnsiTheme="minorHAnsi"/>
        </w:rPr>
        <w:t xml:space="preserve"> (EE)</w:t>
      </w:r>
      <w:r w:rsidRPr="00854AF1">
        <w:rPr>
          <w:rFonts w:asciiTheme="minorHAnsi" w:hAnsiTheme="minorHAnsi"/>
        </w:rPr>
        <w:t>, con una prestación universal de servicios, una mayor integración energética regional y mundial y con opciones de generación de valor alrededor del sector energético. De igual forma se formulan dos objetivos transversales, necesarios para contar con la información, conocimiento y recurso humano, así como para desarrollar y armonizar</w:t>
      </w:r>
      <w:r w:rsidRPr="00854AF1">
        <w:t xml:space="preserve"> </w:t>
      </w:r>
      <w:r w:rsidRPr="00854AF1">
        <w:rPr>
          <w:rFonts w:asciiTheme="minorHAnsi" w:hAnsiTheme="minorHAnsi"/>
        </w:rPr>
        <w:t xml:space="preserve">el marco institucional y de esta </w:t>
      </w:r>
      <w:r w:rsidR="00CB0375">
        <w:rPr>
          <w:rFonts w:asciiTheme="minorHAnsi" w:hAnsiTheme="minorHAnsi"/>
        </w:rPr>
        <w:t>forma,</w:t>
      </w:r>
      <w:r w:rsidRPr="00854AF1">
        <w:rPr>
          <w:rFonts w:asciiTheme="minorHAnsi" w:hAnsiTheme="minorHAnsi"/>
        </w:rPr>
        <w:t xml:space="preserve"> facilitar la implementación de la política energética nacional. </w:t>
      </w:r>
    </w:p>
    <w:p w14:paraId="4DF7D855" w14:textId="77777777" w:rsidR="0076010A" w:rsidRDefault="0076010A" w:rsidP="0076010A">
      <w:pPr>
        <w:jc w:val="both"/>
        <w:rPr>
          <w:rFonts w:asciiTheme="minorHAnsi" w:hAnsiTheme="minorHAnsi"/>
        </w:rPr>
      </w:pPr>
    </w:p>
    <w:p w14:paraId="38331B9B" w14:textId="77777777" w:rsidR="0076010A" w:rsidRPr="00854AF1" w:rsidRDefault="0076010A" w:rsidP="0076010A">
      <w:pPr>
        <w:jc w:val="both"/>
        <w:rPr>
          <w:rFonts w:asciiTheme="minorHAnsi" w:hAnsiTheme="minorHAnsi"/>
        </w:rPr>
      </w:pPr>
      <w:r w:rsidRPr="00854AF1">
        <w:rPr>
          <w:rFonts w:asciiTheme="minorHAnsi" w:hAnsiTheme="minorHAnsi"/>
        </w:rPr>
        <w:t>El nuevo escenario de precios del petróleo debe ser una oportunidad para corregir las distorsiones y fallas que aún subsisten y preparar el camino para una transición hacia un sistema que apoye el crecimiento verde</w:t>
      </w:r>
      <w:r w:rsidR="00CB0375">
        <w:rPr>
          <w:rFonts w:asciiTheme="minorHAnsi" w:hAnsiTheme="minorHAnsi"/>
        </w:rPr>
        <w:t xml:space="preserve">, que </w:t>
      </w:r>
      <w:r w:rsidRPr="00854AF1">
        <w:rPr>
          <w:rFonts w:asciiTheme="minorHAnsi" w:hAnsiTheme="minorHAnsi"/>
        </w:rPr>
        <w:t xml:space="preserve">sea más sostenible y permita entrar a formar </w:t>
      </w:r>
      <w:r w:rsidRPr="00854AF1">
        <w:rPr>
          <w:rFonts w:asciiTheme="minorHAnsi" w:hAnsiTheme="minorHAnsi"/>
        </w:rPr>
        <w:lastRenderedPageBreak/>
        <w:t xml:space="preserve">parte de los países con sistemas energéticos más </w:t>
      </w:r>
      <w:r w:rsidR="00CB0375">
        <w:rPr>
          <w:rFonts w:asciiTheme="minorHAnsi" w:hAnsiTheme="minorHAnsi"/>
        </w:rPr>
        <w:t>competitivos</w:t>
      </w:r>
      <w:r w:rsidRPr="00854AF1">
        <w:rPr>
          <w:rFonts w:asciiTheme="minorHAnsi" w:hAnsiTheme="minorHAnsi"/>
        </w:rPr>
        <w:t>, economías más productivas y sociedades más igualitarias.</w:t>
      </w:r>
    </w:p>
    <w:p w14:paraId="1BB6E446" w14:textId="77777777" w:rsidR="0076010A" w:rsidRDefault="0076010A" w:rsidP="00546F99">
      <w:pPr>
        <w:jc w:val="both"/>
        <w:rPr>
          <w:rFonts w:asciiTheme="minorHAnsi" w:hAnsiTheme="minorHAnsi"/>
          <w:b/>
        </w:rPr>
      </w:pPr>
    </w:p>
    <w:p w14:paraId="52601889" w14:textId="77777777" w:rsidR="00546F99" w:rsidRPr="00817418" w:rsidRDefault="00546F99" w:rsidP="0018436E">
      <w:pPr>
        <w:pStyle w:val="ListParagraph"/>
        <w:numPr>
          <w:ilvl w:val="1"/>
          <w:numId w:val="3"/>
        </w:numPr>
        <w:jc w:val="both"/>
        <w:rPr>
          <w:b/>
        </w:rPr>
      </w:pPr>
      <w:r w:rsidRPr="00817418">
        <w:rPr>
          <w:b/>
        </w:rPr>
        <w:t>Organización y Marco Normativo</w:t>
      </w:r>
    </w:p>
    <w:p w14:paraId="4B9A2812" w14:textId="77777777" w:rsidR="008025E4" w:rsidRDefault="008025E4" w:rsidP="005621CC">
      <w:pPr>
        <w:jc w:val="both"/>
        <w:rPr>
          <w:rFonts w:asciiTheme="minorHAnsi" w:hAnsiTheme="minorHAnsi"/>
          <w:b/>
        </w:rPr>
      </w:pPr>
    </w:p>
    <w:p w14:paraId="660678A5" w14:textId="20C17FDB" w:rsidR="00443ECB" w:rsidRPr="00443ECB" w:rsidRDefault="008025E4" w:rsidP="00443ECB">
      <w:pPr>
        <w:jc w:val="both"/>
        <w:rPr>
          <w:rFonts w:asciiTheme="minorHAnsi" w:hAnsiTheme="minorHAnsi" w:cstheme="minorBidi"/>
          <w:lang w:val="es-ES" w:eastAsia="en-US"/>
        </w:rPr>
      </w:pPr>
      <w:r w:rsidRPr="00443ECB">
        <w:rPr>
          <w:rFonts w:asciiTheme="minorHAnsi" w:hAnsiTheme="minorHAnsi" w:cstheme="minorBidi"/>
          <w:lang w:val="es-ES" w:eastAsia="en-US"/>
        </w:rPr>
        <w:t xml:space="preserve">La organización industrial y la operación del mercado eléctrico </w:t>
      </w:r>
      <w:r w:rsidR="005621CC" w:rsidRPr="00443ECB">
        <w:rPr>
          <w:rFonts w:asciiTheme="minorHAnsi" w:hAnsiTheme="minorHAnsi" w:cstheme="minorBidi"/>
          <w:lang w:val="es-ES" w:eastAsia="en-US"/>
        </w:rPr>
        <w:t xml:space="preserve">en Colombia </w:t>
      </w:r>
      <w:r w:rsidR="00443ECB" w:rsidRPr="00443ECB">
        <w:rPr>
          <w:rFonts w:asciiTheme="minorHAnsi" w:hAnsiTheme="minorHAnsi" w:cstheme="minorBidi"/>
          <w:lang w:val="es-ES" w:eastAsia="en-US"/>
        </w:rPr>
        <w:t>se basa en la separación vertical d</w:t>
      </w:r>
      <w:r w:rsidR="00443ECB">
        <w:rPr>
          <w:rFonts w:asciiTheme="minorHAnsi" w:hAnsiTheme="minorHAnsi" w:cstheme="minorBidi"/>
          <w:lang w:val="es-ES" w:eastAsia="en-US"/>
        </w:rPr>
        <w:t>e las actividades de la cadena (</w:t>
      </w:r>
      <w:r w:rsidR="00443ECB" w:rsidRPr="00443ECB">
        <w:rPr>
          <w:rFonts w:asciiTheme="minorHAnsi" w:hAnsiTheme="minorHAnsi" w:cstheme="minorBidi"/>
          <w:lang w:val="es-ES" w:eastAsia="en-US"/>
        </w:rPr>
        <w:t>producción/generación, transmisión/transporte, distribución y comercialización), desarrolladas por empresas de cap</w:t>
      </w:r>
      <w:r w:rsidR="00443ECB">
        <w:rPr>
          <w:rFonts w:asciiTheme="minorHAnsi" w:hAnsiTheme="minorHAnsi" w:cstheme="minorBidi"/>
          <w:lang w:val="es-ES" w:eastAsia="en-US"/>
        </w:rPr>
        <w:t xml:space="preserve">ital público, privado y/o mixto y se </w:t>
      </w:r>
      <w:r w:rsidR="001C5597">
        <w:rPr>
          <w:rFonts w:asciiTheme="minorHAnsi" w:hAnsiTheme="minorHAnsi" w:cstheme="minorBidi"/>
          <w:lang w:val="es-ES" w:eastAsia="en-US"/>
        </w:rPr>
        <w:t>basa</w:t>
      </w:r>
      <w:r w:rsidR="00443ECB">
        <w:rPr>
          <w:rFonts w:asciiTheme="minorHAnsi" w:hAnsiTheme="minorHAnsi" w:cstheme="minorBidi"/>
          <w:lang w:val="es-ES" w:eastAsia="en-US"/>
        </w:rPr>
        <w:t xml:space="preserve"> en:</w:t>
      </w:r>
    </w:p>
    <w:p w14:paraId="503A2076" w14:textId="77777777" w:rsidR="00443ECB" w:rsidRDefault="00443ECB" w:rsidP="00443ECB">
      <w:pPr>
        <w:jc w:val="both"/>
      </w:pPr>
    </w:p>
    <w:p w14:paraId="1C4E12EF" w14:textId="77777777" w:rsidR="008025E4" w:rsidRPr="005621CC" w:rsidRDefault="005621CC" w:rsidP="0018436E">
      <w:pPr>
        <w:pStyle w:val="ListParagraph"/>
        <w:numPr>
          <w:ilvl w:val="0"/>
          <w:numId w:val="5"/>
        </w:numPr>
        <w:jc w:val="both"/>
      </w:pPr>
      <w:r>
        <w:t>E</w:t>
      </w:r>
      <w:r w:rsidR="008025E4" w:rsidRPr="005621CC">
        <w:t xml:space="preserve">l marco normativo dado por las Leyes 142 (Ley de Servicios Públicos) y la Ley 143 (Ley de Electricidad) de 1994. De acuerdo con este marco, el Ministerio de Minas y Energía (MME), el Departamento Nacional de Planeación (DNP) y la Unidad de Planificación Minero Energética (UPME) están encargadas de la definición de las políticas del sector y de su planeación indicativa. La Comisión de Regulación de Energía y Gas (CREG) y la Superintendencia de Servicios Públicos Domiciliarios (SSPD), se ocupan de las funciones de regulación, supervisión y control, respectivamente. </w:t>
      </w:r>
    </w:p>
    <w:p w14:paraId="7A391903" w14:textId="77777777" w:rsidR="008025E4" w:rsidRPr="00D64ACB" w:rsidRDefault="008025E4" w:rsidP="008025E4">
      <w:pPr>
        <w:ind w:left="360"/>
        <w:jc w:val="both"/>
        <w:rPr>
          <w:rFonts w:asciiTheme="minorHAnsi" w:hAnsiTheme="minorHAnsi"/>
        </w:rPr>
      </w:pPr>
    </w:p>
    <w:p w14:paraId="7B817F26" w14:textId="77777777" w:rsidR="008025E4" w:rsidRPr="00D64ACB" w:rsidRDefault="008025E4" w:rsidP="0018436E">
      <w:pPr>
        <w:pStyle w:val="ListParagraph"/>
        <w:numPr>
          <w:ilvl w:val="0"/>
          <w:numId w:val="8"/>
        </w:numPr>
        <w:jc w:val="both"/>
        <w:rPr>
          <w:lang w:val="es-ES_tradnl"/>
        </w:rPr>
      </w:pPr>
      <w:r w:rsidRPr="00D64ACB">
        <w:rPr>
          <w:lang w:val="es-ES_tradnl"/>
        </w:rPr>
        <w:t xml:space="preserve">La Ley 697 de 2001 establece que el MME es la entidad responsable de promover, organizar y asegurar el desarrollo y el seguimiento de los programas de uso racional y eficiente de la energía. </w:t>
      </w:r>
    </w:p>
    <w:p w14:paraId="31F7C6C6" w14:textId="77777777" w:rsidR="008025E4" w:rsidRPr="00D64ACB" w:rsidRDefault="008025E4" w:rsidP="008025E4">
      <w:pPr>
        <w:jc w:val="both"/>
        <w:rPr>
          <w:rFonts w:asciiTheme="minorHAnsi" w:hAnsiTheme="minorHAnsi"/>
        </w:rPr>
      </w:pPr>
    </w:p>
    <w:p w14:paraId="0991580D" w14:textId="422C2C5C" w:rsidR="008025E4" w:rsidRPr="00D64ACB" w:rsidRDefault="008025E4" w:rsidP="0018436E">
      <w:pPr>
        <w:pStyle w:val="ListParagraph"/>
        <w:numPr>
          <w:ilvl w:val="0"/>
          <w:numId w:val="8"/>
        </w:numPr>
        <w:jc w:val="both"/>
        <w:rPr>
          <w:lang w:val="es-ES_tradnl"/>
        </w:rPr>
      </w:pPr>
      <w:r w:rsidRPr="00D64ACB">
        <w:rPr>
          <w:lang w:val="es-ES_tradnl"/>
        </w:rPr>
        <w:t>La Ley 1715 de 2014 tiene por objeto promover el desarrollo y la utilización de las fuentes no convencionales de energía (FNCE), principalmente aquellas de carácter renovable, en el sistema energético nacional</w:t>
      </w:r>
      <w:r w:rsidR="00F90D38">
        <w:rPr>
          <w:lang w:val="es-ES_tradnl"/>
        </w:rPr>
        <w:t xml:space="preserve"> (FNCER)</w:t>
      </w:r>
      <w:r w:rsidRPr="00D64ACB">
        <w:rPr>
          <w:lang w:val="es-ES_tradnl"/>
        </w:rPr>
        <w:t xml:space="preserve">, mediante su integración al mercado eléctrico, su participación en las ZNI y en otros usos energéticos corno medio necesario para el desarrolle económico sostenible, la reducción de emisiones de GEI y la seguridad del abastecimiento energético. Igualmente, se busca promover la gestión eficiente de la energía, que comprende tanto la </w:t>
      </w:r>
      <w:r w:rsidR="003D5E45">
        <w:rPr>
          <w:lang w:val="es-ES_tradnl"/>
        </w:rPr>
        <w:t>EE</w:t>
      </w:r>
      <w:r w:rsidRPr="00D64ACB">
        <w:rPr>
          <w:lang w:val="es-ES_tradnl"/>
        </w:rPr>
        <w:t xml:space="preserve"> como respuesta de la demanda. </w:t>
      </w:r>
    </w:p>
    <w:p w14:paraId="27EB8E17" w14:textId="77777777" w:rsidR="008025E4" w:rsidRPr="00D64ACB" w:rsidRDefault="008025E4" w:rsidP="008025E4">
      <w:pPr>
        <w:jc w:val="both"/>
        <w:rPr>
          <w:rFonts w:asciiTheme="minorHAnsi" w:hAnsiTheme="minorHAnsi"/>
        </w:rPr>
      </w:pPr>
    </w:p>
    <w:p w14:paraId="12B6D802" w14:textId="77777777" w:rsidR="008025E4" w:rsidRPr="00D64ACB" w:rsidRDefault="008025E4" w:rsidP="0018436E">
      <w:pPr>
        <w:pStyle w:val="ListParagraph"/>
        <w:numPr>
          <w:ilvl w:val="0"/>
          <w:numId w:val="8"/>
        </w:numPr>
        <w:jc w:val="both"/>
        <w:rPr>
          <w:lang w:val="es-ES_tradnl"/>
        </w:rPr>
      </w:pPr>
      <w:r w:rsidRPr="00D64ACB">
        <w:rPr>
          <w:lang w:val="es-ES_tradnl"/>
        </w:rPr>
        <w:t xml:space="preserve">Las Leyes anteriores, así como </w:t>
      </w:r>
      <w:r w:rsidR="0029013A">
        <w:rPr>
          <w:lang w:val="es-ES_tradnl"/>
        </w:rPr>
        <w:t>el marco institucional vigente, establecen la</w:t>
      </w:r>
      <w:r w:rsidRPr="00D64ACB">
        <w:rPr>
          <w:lang w:val="es-ES_tradnl"/>
        </w:rPr>
        <w:t xml:space="preserve"> solidez política y regulatoria para la promoción de las inversiones públicas </w:t>
      </w:r>
      <w:r w:rsidR="0029013A">
        <w:rPr>
          <w:lang w:val="es-ES_tradnl"/>
        </w:rPr>
        <w:t>y privadas en el SEC. Es importante señalar que el marco normativo del SEC ha tenido ajustes y actualizaciones para su adecuación a las condiciones del mercado desde su expedición, manteniendo los principios establecidos en las Leyes.</w:t>
      </w:r>
    </w:p>
    <w:p w14:paraId="0B897B6E" w14:textId="77777777" w:rsidR="008025E4" w:rsidRPr="00D64ACB" w:rsidRDefault="008025E4" w:rsidP="008025E4">
      <w:pPr>
        <w:ind w:left="360"/>
        <w:jc w:val="both"/>
        <w:rPr>
          <w:rFonts w:asciiTheme="minorHAnsi" w:hAnsiTheme="minorHAnsi"/>
        </w:rPr>
      </w:pPr>
    </w:p>
    <w:p w14:paraId="3450CF01" w14:textId="0C8D42E2" w:rsidR="008025E4" w:rsidRDefault="008025E4" w:rsidP="0018436E">
      <w:pPr>
        <w:pStyle w:val="ListParagraph"/>
        <w:numPr>
          <w:ilvl w:val="0"/>
          <w:numId w:val="8"/>
        </w:numPr>
        <w:jc w:val="both"/>
        <w:rPr>
          <w:lang w:val="es-ES_tradnl"/>
        </w:rPr>
      </w:pPr>
      <w:r w:rsidRPr="00D64ACB">
        <w:rPr>
          <w:lang w:val="es-ES_tradnl"/>
        </w:rPr>
        <w:t xml:space="preserve">De acuerdo con su esquema de operación, el SEC se encuentra dividido en dos zonas de servicio: </w:t>
      </w:r>
      <w:r w:rsidR="00F90D38">
        <w:rPr>
          <w:lang w:val="es-ES_tradnl"/>
        </w:rPr>
        <w:t xml:space="preserve">(i) </w:t>
      </w:r>
      <w:r w:rsidRPr="00D64ACB">
        <w:rPr>
          <w:lang w:val="es-ES_tradnl"/>
        </w:rPr>
        <w:t xml:space="preserve">El Sistema Interconectado Nacional (SIN), que corresponde a un mercado liberalizado para la comercialización de la energía eléctrica, implementada mediante transacciones de corto plazo a través del mecanismo de bolsa de energía y transacciones de </w:t>
      </w:r>
      <w:r w:rsidR="00F90D38">
        <w:rPr>
          <w:lang w:val="es-ES_tradnl"/>
        </w:rPr>
        <w:t xml:space="preserve">mediano y </w:t>
      </w:r>
      <w:r w:rsidRPr="00D64ACB">
        <w:rPr>
          <w:lang w:val="es-ES_tradnl"/>
        </w:rPr>
        <w:t xml:space="preserve">largo plazo por medio de contratos financieros. En el SIN, la energía generada se comercializa desde 1995, en el </w:t>
      </w:r>
      <w:r w:rsidR="006140FB">
        <w:rPr>
          <w:lang w:val="es-ES_tradnl"/>
        </w:rPr>
        <w:t>Mercado de Energía Mayorista (</w:t>
      </w:r>
      <w:r w:rsidRPr="00D64ACB">
        <w:rPr>
          <w:lang w:val="es-ES_tradnl"/>
        </w:rPr>
        <w:t>MEM</w:t>
      </w:r>
      <w:r w:rsidR="006140FB">
        <w:rPr>
          <w:lang w:val="es-ES_tradnl"/>
        </w:rPr>
        <w:t>)</w:t>
      </w:r>
      <w:r w:rsidRPr="00D64ACB">
        <w:rPr>
          <w:lang w:val="es-ES_tradnl"/>
        </w:rPr>
        <w:t>, operado por el Centro Nacional de Despacho (CND)</w:t>
      </w:r>
      <w:r w:rsidR="00F90D38">
        <w:rPr>
          <w:lang w:val="es-ES_tradnl"/>
        </w:rPr>
        <w:t xml:space="preserve"> y (ii) l</w:t>
      </w:r>
      <w:r w:rsidRPr="00D64ACB">
        <w:rPr>
          <w:lang w:val="es-ES_tradnl"/>
        </w:rPr>
        <w:t xml:space="preserve">as ZNI, que son áreas que no cuentan con servicio eléctrico conectado al SIN. Se caracterizan por su </w:t>
      </w:r>
      <w:r w:rsidRPr="00D64ACB">
        <w:rPr>
          <w:lang w:val="es-ES_tradnl"/>
        </w:rPr>
        <w:lastRenderedPageBreak/>
        <w:t xml:space="preserve">distancia de los centros urbanos y de consumo, alto índice de necesidades básicas insatisfechas y reducida capacidad de pago de la población, </w:t>
      </w:r>
      <w:r w:rsidR="006140FB">
        <w:rPr>
          <w:lang w:val="es-ES_tradnl"/>
        </w:rPr>
        <w:t>alto costo del</w:t>
      </w:r>
      <w:r w:rsidRPr="00D64ACB">
        <w:rPr>
          <w:lang w:val="es-ES_tradnl"/>
        </w:rPr>
        <w:t xml:space="preserve"> servicio de electricidad, principalmente por el uso de combustibles líquidos fósiles, con costos </w:t>
      </w:r>
      <w:r w:rsidR="006140FB">
        <w:rPr>
          <w:lang w:val="es-ES_tradnl"/>
        </w:rPr>
        <w:t xml:space="preserve">elevados </w:t>
      </w:r>
      <w:r w:rsidRPr="00D64ACB">
        <w:rPr>
          <w:lang w:val="es-ES_tradnl"/>
        </w:rPr>
        <w:t xml:space="preserve">de transporte a las zonas y nivel de pérdidas eléctricas técnicas. </w:t>
      </w:r>
    </w:p>
    <w:p w14:paraId="6AC26240" w14:textId="77777777" w:rsidR="00C840D7" w:rsidRPr="00C840D7" w:rsidRDefault="00C840D7" w:rsidP="009555A4">
      <w:pPr>
        <w:jc w:val="both"/>
      </w:pPr>
    </w:p>
    <w:p w14:paraId="49E050C7" w14:textId="224B7EEB" w:rsidR="00C840D7" w:rsidRPr="009555A4" w:rsidRDefault="00C840D7" w:rsidP="009555A4">
      <w:pPr>
        <w:ind w:left="360"/>
        <w:jc w:val="both"/>
        <w:rPr>
          <w:rFonts w:asciiTheme="minorHAnsi" w:hAnsiTheme="minorHAnsi" w:cstheme="minorBidi"/>
          <w:lang w:eastAsia="en-US"/>
        </w:rPr>
      </w:pPr>
      <w:r w:rsidRPr="009555A4">
        <w:rPr>
          <w:rFonts w:asciiTheme="minorHAnsi" w:hAnsiTheme="minorHAnsi" w:cstheme="minorBidi"/>
          <w:lang w:eastAsia="en-US"/>
        </w:rPr>
        <w:t xml:space="preserve">El número </w:t>
      </w:r>
      <w:r w:rsidR="00E92880" w:rsidRPr="009555A4">
        <w:rPr>
          <w:rFonts w:asciiTheme="minorHAnsi" w:hAnsiTheme="minorHAnsi" w:cstheme="minorBidi"/>
          <w:lang w:eastAsia="en-US"/>
        </w:rPr>
        <w:t xml:space="preserve">de agentes </w:t>
      </w:r>
      <w:r w:rsidR="00F90D38">
        <w:rPr>
          <w:rFonts w:asciiTheme="minorHAnsi" w:hAnsiTheme="minorHAnsi" w:cstheme="minorBidi"/>
          <w:lang w:eastAsia="en-US"/>
        </w:rPr>
        <w:t xml:space="preserve">que participan </w:t>
      </w:r>
      <w:r w:rsidR="00E92880" w:rsidRPr="009555A4">
        <w:rPr>
          <w:rFonts w:asciiTheme="minorHAnsi" w:hAnsiTheme="minorHAnsi" w:cstheme="minorBidi"/>
          <w:lang w:eastAsia="en-US"/>
        </w:rPr>
        <w:t>en el MEM según actividad se presenta en el cuadro</w:t>
      </w:r>
      <w:r w:rsidRPr="009555A4">
        <w:rPr>
          <w:rFonts w:asciiTheme="minorHAnsi" w:hAnsiTheme="minorHAnsi" w:cstheme="minorBidi"/>
          <w:lang w:eastAsia="en-US"/>
        </w:rPr>
        <w:t xml:space="preserve"> </w:t>
      </w:r>
      <w:r w:rsidR="00E92880" w:rsidRPr="009555A4">
        <w:rPr>
          <w:rFonts w:asciiTheme="minorHAnsi" w:hAnsiTheme="minorHAnsi" w:cstheme="minorBidi"/>
          <w:lang w:eastAsia="en-US"/>
        </w:rPr>
        <w:t>siguiente</w:t>
      </w:r>
      <w:r w:rsidR="00E92880" w:rsidRPr="009555A4">
        <w:rPr>
          <w:rFonts w:asciiTheme="minorHAnsi" w:hAnsiTheme="minorHAnsi" w:cstheme="minorBidi"/>
          <w:vertAlign w:val="superscript"/>
          <w:lang w:eastAsia="en-US"/>
        </w:rPr>
        <w:footnoteReference w:id="7"/>
      </w:r>
      <w:r w:rsidRPr="009555A4">
        <w:rPr>
          <w:rFonts w:asciiTheme="minorHAnsi" w:hAnsiTheme="minorHAnsi" w:cstheme="minorBidi"/>
          <w:lang w:eastAsia="en-US"/>
        </w:rPr>
        <w:t>:</w:t>
      </w:r>
    </w:p>
    <w:p w14:paraId="7F583C4C" w14:textId="77777777" w:rsidR="00C840D7" w:rsidRPr="00C840D7" w:rsidRDefault="00C840D7" w:rsidP="009555A4">
      <w:pPr>
        <w:jc w:val="both"/>
      </w:pPr>
    </w:p>
    <w:p w14:paraId="428B9176" w14:textId="6D97A7E1" w:rsidR="00C840D7" w:rsidRPr="009555A4" w:rsidRDefault="00C840D7" w:rsidP="009A1066">
      <w:pPr>
        <w:widowControl w:val="0"/>
        <w:autoSpaceDE w:val="0"/>
        <w:autoSpaceDN w:val="0"/>
        <w:adjustRightInd w:val="0"/>
        <w:spacing w:line="280" w:lineRule="atLeast"/>
        <w:ind w:left="360"/>
        <w:jc w:val="center"/>
        <w:rPr>
          <w:rFonts w:ascii="Times" w:hAnsi="Times" w:cs="Times"/>
          <w:lang w:eastAsia="en-US"/>
        </w:rPr>
      </w:pPr>
      <w:r>
        <w:rPr>
          <w:rFonts w:ascii="Times" w:hAnsi="Times" w:cs="Times"/>
          <w:noProof/>
          <w:lang w:val="es-US" w:eastAsia="zh-CN"/>
        </w:rPr>
        <w:drawing>
          <wp:inline distT="0" distB="0" distL="0" distR="0" wp14:anchorId="09C8F24B" wp14:editId="1449B1B4">
            <wp:extent cx="4916512" cy="2317862"/>
            <wp:effectExtent l="0" t="0" r="1143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3870" cy="2330760"/>
                    </a:xfrm>
                    <a:prstGeom prst="rect">
                      <a:avLst/>
                    </a:prstGeom>
                    <a:noFill/>
                    <a:ln>
                      <a:noFill/>
                    </a:ln>
                  </pic:spPr>
                </pic:pic>
              </a:graphicData>
            </a:graphic>
          </wp:inline>
        </w:drawing>
      </w:r>
    </w:p>
    <w:p w14:paraId="1B221B01" w14:textId="77777777" w:rsidR="008025E4" w:rsidRPr="00D64ACB" w:rsidRDefault="008025E4" w:rsidP="008025E4">
      <w:pPr>
        <w:jc w:val="both"/>
        <w:rPr>
          <w:rFonts w:asciiTheme="minorHAnsi" w:hAnsiTheme="minorHAnsi"/>
        </w:rPr>
      </w:pPr>
    </w:p>
    <w:p w14:paraId="0672AD57" w14:textId="77777777" w:rsidR="008025E4" w:rsidRPr="00D64ACB" w:rsidRDefault="008025E4" w:rsidP="008025E4">
      <w:pPr>
        <w:ind w:left="360"/>
        <w:jc w:val="both"/>
        <w:rPr>
          <w:rFonts w:asciiTheme="minorHAnsi" w:hAnsiTheme="minorHAnsi"/>
        </w:rPr>
      </w:pPr>
      <w:r w:rsidRPr="00D64ACB">
        <w:rPr>
          <w:rFonts w:asciiTheme="minorHAnsi" w:hAnsiTheme="minorHAnsi"/>
        </w:rPr>
        <w:t xml:space="preserve">Las ZNI corresponden al 52% del territorio nacional en 16 departamentos, pero solo abarcan el 2% de los usuarios de energía eléctrica del país. Actualmente se encuentran instalados 215 MW de capacidad de generación en las ZNI, de los cuales solamente el 8% es generado con FNCER y 92% corresponde a generación con plantas diésel. </w:t>
      </w:r>
    </w:p>
    <w:p w14:paraId="78708A04" w14:textId="77777777" w:rsidR="008025E4" w:rsidRPr="00D64ACB" w:rsidRDefault="008025E4" w:rsidP="008025E4">
      <w:pPr>
        <w:pStyle w:val="ListParagraph"/>
        <w:jc w:val="both"/>
        <w:rPr>
          <w:lang w:val="es-ES_tradnl"/>
        </w:rPr>
      </w:pPr>
    </w:p>
    <w:p w14:paraId="106BAA20" w14:textId="4421808E" w:rsidR="008025E4" w:rsidRPr="00D64ACB" w:rsidRDefault="008025E4" w:rsidP="008025E4">
      <w:pPr>
        <w:ind w:left="360"/>
        <w:jc w:val="both"/>
        <w:rPr>
          <w:rFonts w:asciiTheme="minorHAnsi" w:hAnsiTheme="minorHAnsi"/>
        </w:rPr>
      </w:pPr>
      <w:r w:rsidRPr="00D64ACB">
        <w:rPr>
          <w:rFonts w:asciiTheme="minorHAnsi" w:hAnsiTheme="minorHAnsi"/>
        </w:rPr>
        <w:t>El Estado hace presencia en estas zonas</w:t>
      </w:r>
      <w:r w:rsidR="00F90D38">
        <w:rPr>
          <w:rFonts w:asciiTheme="minorHAnsi" w:hAnsiTheme="minorHAnsi"/>
        </w:rPr>
        <w:t>,</w:t>
      </w:r>
      <w:r w:rsidRPr="00D64ACB">
        <w:rPr>
          <w:rFonts w:asciiTheme="minorHAnsi" w:hAnsiTheme="minorHAnsi"/>
        </w:rPr>
        <w:t xml:space="preserve"> </w:t>
      </w:r>
      <w:r w:rsidR="00F90D38">
        <w:rPr>
          <w:rFonts w:asciiTheme="minorHAnsi" w:hAnsiTheme="minorHAnsi"/>
        </w:rPr>
        <w:t xml:space="preserve">principalmente, </w:t>
      </w:r>
      <w:r w:rsidRPr="00D64ACB">
        <w:rPr>
          <w:rFonts w:asciiTheme="minorHAnsi" w:hAnsiTheme="minorHAnsi"/>
        </w:rPr>
        <w:t xml:space="preserve">a través del Instituto de Planificación y Promoción de Soluciones Energéticas (IPSE), responsable del servicio que suministran 92 prestadores, de los cuales 46 son municipios, 34 empresas de servicios públicos, una gobernación y otras 11 organizaciones comunitarias y cooperativas. </w:t>
      </w:r>
    </w:p>
    <w:p w14:paraId="0D6A4C0B" w14:textId="77777777" w:rsidR="00455828" w:rsidRDefault="00455828" w:rsidP="007A0513">
      <w:pPr>
        <w:jc w:val="both"/>
        <w:rPr>
          <w:rFonts w:asciiTheme="minorHAnsi" w:hAnsiTheme="minorHAnsi"/>
        </w:rPr>
      </w:pPr>
    </w:p>
    <w:p w14:paraId="48E04053" w14:textId="13C335E9" w:rsidR="00890AD9" w:rsidRPr="00E92880" w:rsidRDefault="00455828" w:rsidP="00E92880">
      <w:pPr>
        <w:pStyle w:val="ListParagraph"/>
        <w:numPr>
          <w:ilvl w:val="1"/>
          <w:numId w:val="3"/>
        </w:numPr>
        <w:jc w:val="both"/>
        <w:rPr>
          <w:b/>
        </w:rPr>
      </w:pPr>
      <w:r w:rsidRPr="00E92880">
        <w:rPr>
          <w:b/>
        </w:rPr>
        <w:t>Situación Actual</w:t>
      </w:r>
    </w:p>
    <w:p w14:paraId="772F43E9" w14:textId="7CD12AC8" w:rsidR="00BC446E" w:rsidRPr="00455828" w:rsidRDefault="00BC446E" w:rsidP="009555A4">
      <w:pPr>
        <w:pStyle w:val="ListParagraph"/>
        <w:ind w:left="360"/>
        <w:jc w:val="both"/>
        <w:rPr>
          <w:b/>
        </w:rPr>
      </w:pPr>
    </w:p>
    <w:p w14:paraId="3C3FBECC" w14:textId="3EE2B1D5" w:rsidR="00455828" w:rsidRPr="009555A4" w:rsidRDefault="00BC446E" w:rsidP="00BC446E">
      <w:pPr>
        <w:jc w:val="both"/>
        <w:rPr>
          <w:rFonts w:asciiTheme="minorHAnsi" w:hAnsiTheme="minorHAnsi"/>
        </w:rPr>
      </w:pPr>
      <w:r w:rsidRPr="009555A4">
        <w:rPr>
          <w:rFonts w:asciiTheme="minorHAnsi" w:hAnsiTheme="minorHAnsi"/>
        </w:rPr>
        <w:t xml:space="preserve">De acuerdo con los objetivos planteados para el PBP, a </w:t>
      </w:r>
      <w:r w:rsidR="009555A4" w:rsidRPr="009555A4">
        <w:rPr>
          <w:rFonts w:asciiTheme="minorHAnsi" w:hAnsiTheme="minorHAnsi"/>
        </w:rPr>
        <w:t>continuación,</w:t>
      </w:r>
      <w:r w:rsidRPr="009555A4">
        <w:rPr>
          <w:rFonts w:asciiTheme="minorHAnsi" w:hAnsiTheme="minorHAnsi"/>
        </w:rPr>
        <w:t xml:space="preserve"> se </w:t>
      </w:r>
      <w:r w:rsidR="00F90D38">
        <w:rPr>
          <w:rFonts w:asciiTheme="minorHAnsi" w:hAnsiTheme="minorHAnsi"/>
        </w:rPr>
        <w:t>presenta</w:t>
      </w:r>
      <w:r w:rsidRPr="009555A4">
        <w:rPr>
          <w:rFonts w:asciiTheme="minorHAnsi" w:hAnsiTheme="minorHAnsi"/>
        </w:rPr>
        <w:t xml:space="preserve"> la situación actual teniendo en cuenta que </w:t>
      </w:r>
      <w:r w:rsidR="00F90D38">
        <w:rPr>
          <w:rFonts w:asciiTheme="minorHAnsi" w:hAnsiTheme="minorHAnsi"/>
        </w:rPr>
        <w:t xml:space="preserve">para </w:t>
      </w:r>
      <w:r w:rsidRPr="009555A4">
        <w:rPr>
          <w:rFonts w:asciiTheme="minorHAnsi" w:hAnsiTheme="minorHAnsi"/>
        </w:rPr>
        <w:t>las diferentes actividades</w:t>
      </w:r>
      <w:r w:rsidR="006B5F22">
        <w:rPr>
          <w:rFonts w:asciiTheme="minorHAnsi" w:hAnsiTheme="minorHAnsi"/>
        </w:rPr>
        <w:t>,</w:t>
      </w:r>
      <w:r w:rsidRPr="009555A4">
        <w:rPr>
          <w:rFonts w:asciiTheme="minorHAnsi" w:hAnsiTheme="minorHAnsi"/>
        </w:rPr>
        <w:t xml:space="preserve"> se han considerado las herramientas de planeación y análisis indicadas en el Anexo 2</w:t>
      </w:r>
      <w:r w:rsidR="009A1066">
        <w:rPr>
          <w:rStyle w:val="FootnoteReference"/>
          <w:rFonts w:asciiTheme="minorHAnsi" w:hAnsiTheme="minorHAnsi"/>
        </w:rPr>
        <w:footnoteReference w:id="8"/>
      </w:r>
      <w:r w:rsidRPr="009555A4">
        <w:rPr>
          <w:rFonts w:asciiTheme="minorHAnsi" w:hAnsiTheme="minorHAnsi"/>
        </w:rPr>
        <w:t>:</w:t>
      </w:r>
    </w:p>
    <w:p w14:paraId="0F7DEB3D" w14:textId="77777777" w:rsidR="00BC446E" w:rsidRDefault="00BC446E" w:rsidP="00455828">
      <w:pPr>
        <w:jc w:val="both"/>
        <w:rPr>
          <w:b/>
        </w:rPr>
      </w:pPr>
    </w:p>
    <w:p w14:paraId="6E106171" w14:textId="0DEBCA6D" w:rsidR="00BC446E" w:rsidRPr="00312A70" w:rsidRDefault="00BC446E" w:rsidP="00455828">
      <w:pPr>
        <w:jc w:val="both"/>
        <w:rPr>
          <w:rFonts w:asciiTheme="minorHAnsi" w:hAnsiTheme="minorHAnsi"/>
          <w:b/>
        </w:rPr>
      </w:pPr>
      <w:r w:rsidRPr="00312A70">
        <w:rPr>
          <w:rFonts w:asciiTheme="minorHAnsi" w:hAnsiTheme="minorHAnsi"/>
          <w:b/>
        </w:rPr>
        <w:lastRenderedPageBreak/>
        <w:t xml:space="preserve">2.4.1 Contribuir a garantizar el abastecimiento de energía mediante la diversificación de la matriz energética con </w:t>
      </w:r>
      <w:r w:rsidR="00312A70">
        <w:rPr>
          <w:rFonts w:asciiTheme="minorHAnsi" w:hAnsiTheme="minorHAnsi"/>
          <w:b/>
        </w:rPr>
        <w:t>FNCER</w:t>
      </w:r>
      <w:r w:rsidRPr="00312A70">
        <w:rPr>
          <w:rFonts w:asciiTheme="minorHAnsi" w:hAnsiTheme="minorHAnsi"/>
          <w:b/>
        </w:rPr>
        <w:t xml:space="preserve"> y el incremento de los intercambios energía a nivel internacional</w:t>
      </w:r>
    </w:p>
    <w:p w14:paraId="76FDD989" w14:textId="77777777" w:rsidR="000409CB" w:rsidRDefault="000409CB" w:rsidP="00295826">
      <w:pPr>
        <w:jc w:val="both"/>
        <w:rPr>
          <w:rFonts w:asciiTheme="minorHAnsi" w:hAnsiTheme="minorHAnsi"/>
        </w:rPr>
      </w:pPr>
    </w:p>
    <w:p w14:paraId="560DFBFE" w14:textId="4A7694D1" w:rsidR="00326B05" w:rsidRPr="004E53F7" w:rsidRDefault="00326B05" w:rsidP="004E53F7">
      <w:pPr>
        <w:pStyle w:val="ListParagraph"/>
        <w:numPr>
          <w:ilvl w:val="0"/>
          <w:numId w:val="13"/>
        </w:numPr>
        <w:jc w:val="both"/>
      </w:pPr>
      <w:r w:rsidRPr="004E53F7">
        <w:t>Para el año 2015, Colombia contaba con una capacidad instalada de generación eléctrica de 16.420 MW</w:t>
      </w:r>
      <w:r>
        <w:rPr>
          <w:rStyle w:val="FootnoteReference"/>
        </w:rPr>
        <w:footnoteReference w:id="9"/>
      </w:r>
      <w:r w:rsidRPr="004E53F7">
        <w:t xml:space="preserve">, de la cual </w:t>
      </w:r>
      <w:r w:rsidR="00F90D38">
        <w:t>aproximadamente el 67</w:t>
      </w:r>
      <w:r w:rsidRPr="004E53F7">
        <w:t>% corresponde a generación hidráulica, lo que hace el suministro de energía altamente vulnerable a las más frecuentes e impredecibles variaciones climáticas como el fenómeno El Niño. La generación térmica</w:t>
      </w:r>
      <w:r w:rsidR="00F90D38">
        <w:t xml:space="preserve"> representa del orden del 28</w:t>
      </w:r>
      <w:r w:rsidRPr="004E53F7">
        <w:t xml:space="preserve">% del total instalado, 9,4% con gas natural (GN), </w:t>
      </w:r>
      <w:r w:rsidR="00F90D38">
        <w:t xml:space="preserve">11,3% con combustibles líquidos </w:t>
      </w:r>
      <w:r w:rsidRPr="004E53F7">
        <w:t>y 8,5% con carbón. Las FNCER representan menos del 0,6% de la oferta eléctrica, la cual se complementa con la interconexión eléctrica Colombia–Ecuador, con líneas de transmisión a 138 kV y 230 kV con capacidad disponible de 525 MW, permitiendo la exportación o importación de energía.</w:t>
      </w:r>
    </w:p>
    <w:p w14:paraId="30369F5C" w14:textId="77777777" w:rsidR="00326B05" w:rsidRDefault="00326B05" w:rsidP="00295826">
      <w:pPr>
        <w:jc w:val="both"/>
        <w:rPr>
          <w:rFonts w:asciiTheme="minorHAnsi" w:hAnsiTheme="minorHAnsi"/>
        </w:rPr>
      </w:pPr>
    </w:p>
    <w:p w14:paraId="073DDC46" w14:textId="6DD9F71B" w:rsidR="00295826" w:rsidRDefault="00455828" w:rsidP="004E53F7">
      <w:pPr>
        <w:ind w:left="360"/>
        <w:jc w:val="both"/>
        <w:rPr>
          <w:rFonts w:asciiTheme="minorHAnsi" w:hAnsiTheme="minorHAnsi"/>
        </w:rPr>
      </w:pPr>
      <w:r w:rsidRPr="00854AF1">
        <w:rPr>
          <w:rFonts w:asciiTheme="minorHAnsi" w:hAnsiTheme="minorHAnsi"/>
        </w:rPr>
        <w:t>En el caso del servicio público de energía eléctrica, el país cuenta con la energía suficiente para atender la demanda los próximos cinco años con los proyectos existentes y los que van a entrar</w:t>
      </w:r>
      <w:r w:rsidR="00312A70">
        <w:rPr>
          <w:rFonts w:asciiTheme="minorHAnsi" w:hAnsiTheme="minorHAnsi"/>
        </w:rPr>
        <w:t xml:space="preserve"> en operación en ese período, aú</w:t>
      </w:r>
      <w:r w:rsidRPr="00854AF1">
        <w:rPr>
          <w:rFonts w:asciiTheme="minorHAnsi" w:hAnsiTheme="minorHAnsi"/>
        </w:rPr>
        <w:t>n en períodos</w:t>
      </w:r>
      <w:r w:rsidR="00312A70">
        <w:rPr>
          <w:rFonts w:asciiTheme="minorHAnsi" w:hAnsiTheme="minorHAnsi"/>
        </w:rPr>
        <w:t xml:space="preserve"> de hidrologías críticas. El 40</w:t>
      </w:r>
      <w:r w:rsidRPr="00854AF1">
        <w:rPr>
          <w:rFonts w:asciiTheme="minorHAnsi" w:hAnsiTheme="minorHAnsi"/>
        </w:rPr>
        <w:t xml:space="preserve">% de la energía firme del sistema se encuentra respaldada por plantas de generación térmica, las cuales han </w:t>
      </w:r>
      <w:r w:rsidR="00514B2A">
        <w:rPr>
          <w:rFonts w:asciiTheme="minorHAnsi" w:hAnsiTheme="minorHAnsi"/>
        </w:rPr>
        <w:t xml:space="preserve">tenido </w:t>
      </w:r>
      <w:r w:rsidR="00514B2A" w:rsidRPr="00295826">
        <w:rPr>
          <w:rFonts w:asciiTheme="minorHAnsi" w:hAnsiTheme="minorHAnsi"/>
        </w:rPr>
        <w:t xml:space="preserve">que </w:t>
      </w:r>
      <w:r w:rsidRPr="00295826">
        <w:rPr>
          <w:rFonts w:asciiTheme="minorHAnsi" w:hAnsiTheme="minorHAnsi"/>
        </w:rPr>
        <w:t>utilizar combustibles líquidos,</w:t>
      </w:r>
      <w:r w:rsidR="00295826" w:rsidRPr="009555A4">
        <w:rPr>
          <w:rFonts w:asciiTheme="minorHAnsi" w:hAnsiTheme="minorHAnsi"/>
        </w:rPr>
        <w:t xml:space="preserve"> al no disponer de GN</w:t>
      </w:r>
      <w:r w:rsidR="00F74E18">
        <w:rPr>
          <w:rFonts w:asciiTheme="minorHAnsi" w:hAnsiTheme="minorHAnsi"/>
        </w:rPr>
        <w:t xml:space="preserve">, </w:t>
      </w:r>
      <w:r w:rsidRPr="00295826">
        <w:rPr>
          <w:rFonts w:asciiTheme="minorHAnsi" w:hAnsiTheme="minorHAnsi"/>
        </w:rPr>
        <w:t xml:space="preserve">que </w:t>
      </w:r>
      <w:r w:rsidR="00F74E18">
        <w:rPr>
          <w:rFonts w:asciiTheme="minorHAnsi" w:hAnsiTheme="minorHAnsi"/>
        </w:rPr>
        <w:t xml:space="preserve">son </w:t>
      </w:r>
      <w:r w:rsidRPr="00295826">
        <w:rPr>
          <w:rFonts w:asciiTheme="minorHAnsi" w:hAnsiTheme="minorHAnsi"/>
        </w:rPr>
        <w:t>más costos</w:t>
      </w:r>
      <w:r w:rsidR="00514B2A" w:rsidRPr="00295826">
        <w:rPr>
          <w:rFonts w:asciiTheme="minorHAnsi" w:hAnsiTheme="minorHAnsi"/>
        </w:rPr>
        <w:t>os</w:t>
      </w:r>
      <w:r w:rsidRPr="00295826">
        <w:rPr>
          <w:rFonts w:asciiTheme="minorHAnsi" w:hAnsiTheme="minorHAnsi"/>
        </w:rPr>
        <w:t xml:space="preserve"> que otras alternativas</w:t>
      </w:r>
      <w:r w:rsidR="00295826" w:rsidRPr="00E84328">
        <w:rPr>
          <w:rFonts w:asciiTheme="minorHAnsi" w:hAnsiTheme="minorHAnsi"/>
        </w:rPr>
        <w:t>.</w:t>
      </w:r>
      <w:r w:rsidR="00295826">
        <w:rPr>
          <w:rFonts w:asciiTheme="minorHAnsi" w:hAnsiTheme="minorHAnsi"/>
        </w:rPr>
        <w:t xml:space="preserve"> Es así como para el año 2015</w:t>
      </w:r>
      <w:r w:rsidR="004F73E1">
        <w:rPr>
          <w:rStyle w:val="FootnoteReference"/>
          <w:rFonts w:asciiTheme="minorHAnsi" w:hAnsiTheme="minorHAnsi"/>
        </w:rPr>
        <w:footnoteReference w:id="10"/>
      </w:r>
      <w:r w:rsidR="00295826">
        <w:rPr>
          <w:rFonts w:asciiTheme="minorHAnsi" w:hAnsiTheme="minorHAnsi"/>
        </w:rPr>
        <w:t xml:space="preserve">, </w:t>
      </w:r>
      <w:r w:rsidR="00295826" w:rsidRPr="00295826">
        <w:rPr>
          <w:rFonts w:asciiTheme="minorHAnsi" w:hAnsiTheme="minorHAnsi"/>
        </w:rPr>
        <w:t>el precio promedio pondera</w:t>
      </w:r>
      <w:r w:rsidR="00295826">
        <w:rPr>
          <w:rFonts w:asciiTheme="minorHAnsi" w:hAnsiTheme="minorHAnsi"/>
        </w:rPr>
        <w:t xml:space="preserve">do </w:t>
      </w:r>
      <w:r w:rsidR="00F74E18">
        <w:rPr>
          <w:rFonts w:asciiTheme="minorHAnsi" w:hAnsiTheme="minorHAnsi"/>
        </w:rPr>
        <w:t>en la</w:t>
      </w:r>
      <w:r w:rsidR="00295826">
        <w:rPr>
          <w:rFonts w:asciiTheme="minorHAnsi" w:hAnsiTheme="minorHAnsi"/>
        </w:rPr>
        <w:t xml:space="preserve"> bolsa ($/kWh) </w:t>
      </w:r>
      <w:r w:rsidR="006D24C1">
        <w:rPr>
          <w:rFonts w:asciiTheme="minorHAnsi" w:hAnsiTheme="minorHAnsi"/>
        </w:rPr>
        <w:t>fue de 378,</w:t>
      </w:r>
      <w:r w:rsidR="00295826">
        <w:rPr>
          <w:rFonts w:asciiTheme="minorHAnsi" w:hAnsiTheme="minorHAnsi"/>
        </w:rPr>
        <w:t xml:space="preserve">31, lo que representó un crecimiento del 67,8% frente al registrado en 2014, </w:t>
      </w:r>
      <w:r w:rsidR="006D24C1">
        <w:rPr>
          <w:rFonts w:asciiTheme="minorHAnsi" w:hAnsiTheme="minorHAnsi"/>
        </w:rPr>
        <w:t>225,</w:t>
      </w:r>
      <w:r w:rsidR="00295826">
        <w:rPr>
          <w:rFonts w:asciiTheme="minorHAnsi" w:hAnsiTheme="minorHAnsi"/>
        </w:rPr>
        <w:t>51.</w:t>
      </w:r>
    </w:p>
    <w:p w14:paraId="2682B22D" w14:textId="77777777" w:rsidR="00E84328" w:rsidRDefault="00E84328" w:rsidP="00295826">
      <w:pPr>
        <w:jc w:val="both"/>
        <w:rPr>
          <w:rFonts w:asciiTheme="minorHAnsi" w:hAnsiTheme="minorHAnsi"/>
        </w:rPr>
      </w:pPr>
    </w:p>
    <w:p w14:paraId="1655956D" w14:textId="5DE9B686" w:rsidR="00E84328" w:rsidRPr="00F26656" w:rsidRDefault="00E84328" w:rsidP="00F26656">
      <w:pPr>
        <w:ind w:left="360"/>
        <w:jc w:val="both"/>
        <w:rPr>
          <w:rFonts w:asciiTheme="minorHAnsi" w:hAnsiTheme="minorHAnsi"/>
        </w:rPr>
      </w:pPr>
      <w:r w:rsidRPr="00F26656">
        <w:rPr>
          <w:rFonts w:asciiTheme="minorHAnsi" w:hAnsiTheme="minorHAnsi"/>
        </w:rPr>
        <w:t xml:space="preserve">A su vez, </w:t>
      </w:r>
      <w:r w:rsidR="00F74E18" w:rsidRPr="00F26656">
        <w:rPr>
          <w:rFonts w:asciiTheme="minorHAnsi" w:hAnsiTheme="minorHAnsi"/>
        </w:rPr>
        <w:t xml:space="preserve">en el año 2015, </w:t>
      </w:r>
      <w:r w:rsidRPr="00F26656">
        <w:rPr>
          <w:rFonts w:asciiTheme="minorHAnsi" w:hAnsiTheme="minorHAnsi"/>
        </w:rPr>
        <w:t>se realizaron intercambios de energía con Ecuador y Venezuela, exportándos</w:t>
      </w:r>
      <w:r w:rsidR="006D24C1" w:rsidRPr="00F26656">
        <w:rPr>
          <w:rFonts w:asciiTheme="minorHAnsi" w:hAnsiTheme="minorHAnsi"/>
        </w:rPr>
        <w:t>e hacia Ecuador un total de 457,</w:t>
      </w:r>
      <w:r w:rsidRPr="00F26656">
        <w:rPr>
          <w:rFonts w:asciiTheme="minorHAnsi" w:hAnsiTheme="minorHAnsi"/>
        </w:rPr>
        <w:t>2 GWh, valor inf</w:t>
      </w:r>
      <w:r w:rsidR="006D24C1" w:rsidRPr="00F26656">
        <w:rPr>
          <w:rFonts w:asciiTheme="minorHAnsi" w:hAnsiTheme="minorHAnsi"/>
        </w:rPr>
        <w:t>erior al registrado en el 2014, 824 GWh, y a Venezuela 3,4 GWh disminuyendo en 21,6 GWh con respecto al año 2014, 25 GWh</w:t>
      </w:r>
      <w:r w:rsidRPr="00F26656">
        <w:rPr>
          <w:rFonts w:asciiTheme="minorHAnsi" w:hAnsiTheme="minorHAnsi"/>
        </w:rPr>
        <w:t>. Por su parte, Colombia</w:t>
      </w:r>
      <w:r w:rsidR="006D24C1" w:rsidRPr="00F26656">
        <w:rPr>
          <w:rFonts w:asciiTheme="minorHAnsi" w:hAnsiTheme="minorHAnsi"/>
        </w:rPr>
        <w:t xml:space="preserve"> importó desde Ecuador 45,</w:t>
      </w:r>
      <w:r w:rsidRPr="00F26656">
        <w:rPr>
          <w:rFonts w:asciiTheme="minorHAnsi" w:hAnsiTheme="minorHAnsi"/>
        </w:rPr>
        <w:t xml:space="preserve">2 GWh valor también </w:t>
      </w:r>
      <w:r w:rsidR="006D24C1" w:rsidRPr="00F26656">
        <w:rPr>
          <w:rFonts w:asciiTheme="minorHAnsi" w:hAnsiTheme="minorHAnsi"/>
        </w:rPr>
        <w:t>inferior al registrado en 2014, 46,9 GWh</w:t>
      </w:r>
      <w:r w:rsidRPr="00F26656">
        <w:rPr>
          <w:rFonts w:asciiTheme="minorHAnsi" w:hAnsiTheme="minorHAnsi"/>
        </w:rPr>
        <w:t>. Desde la implementación en el año 2003 de las Transacciones In</w:t>
      </w:r>
      <w:r w:rsidR="006D24C1" w:rsidRPr="00F26656">
        <w:rPr>
          <w:rFonts w:asciiTheme="minorHAnsi" w:hAnsiTheme="minorHAnsi"/>
        </w:rPr>
        <w:t>ternacionales de Electricidad (</w:t>
      </w:r>
      <w:r w:rsidRPr="00F26656">
        <w:rPr>
          <w:rFonts w:asciiTheme="minorHAnsi" w:hAnsiTheme="minorHAnsi"/>
        </w:rPr>
        <w:t>TIE</w:t>
      </w:r>
      <w:r w:rsidR="006D24C1" w:rsidRPr="00F26656">
        <w:rPr>
          <w:rFonts w:asciiTheme="minorHAnsi" w:hAnsiTheme="minorHAnsi"/>
        </w:rPr>
        <w:t>)</w:t>
      </w:r>
      <w:r w:rsidRPr="00F26656">
        <w:rPr>
          <w:rFonts w:asciiTheme="minorHAnsi" w:hAnsiTheme="minorHAnsi"/>
        </w:rPr>
        <w:t xml:space="preserve"> con Ecuador, se han exportado</w:t>
      </w:r>
      <w:r w:rsidR="006D24C1" w:rsidRPr="00F26656">
        <w:rPr>
          <w:rFonts w:asciiTheme="minorHAnsi" w:hAnsiTheme="minorHAnsi"/>
        </w:rPr>
        <w:t xml:space="preserve"> al vecino país alrededor de 12.</w:t>
      </w:r>
      <w:r w:rsidRPr="00F26656">
        <w:rPr>
          <w:rFonts w:asciiTheme="minorHAnsi" w:hAnsiTheme="minorHAnsi"/>
        </w:rPr>
        <w:t xml:space="preserve">927 GWh por un valor </w:t>
      </w:r>
      <w:r w:rsidR="00312A70" w:rsidRPr="00F26656">
        <w:rPr>
          <w:rFonts w:asciiTheme="minorHAnsi" w:hAnsiTheme="minorHAnsi"/>
        </w:rPr>
        <w:t>cercano a USD 1.125.637,</w:t>
      </w:r>
      <w:r w:rsidR="006D24C1" w:rsidRPr="00F26656">
        <w:rPr>
          <w:rFonts w:asciiTheme="minorHAnsi" w:hAnsiTheme="minorHAnsi"/>
        </w:rPr>
        <w:t>6 miles.</w:t>
      </w:r>
    </w:p>
    <w:p w14:paraId="3F08B125" w14:textId="77777777" w:rsidR="00E84328" w:rsidRPr="00295826" w:rsidRDefault="00E84328" w:rsidP="00295826">
      <w:pPr>
        <w:jc w:val="both"/>
        <w:rPr>
          <w:rFonts w:asciiTheme="minorHAnsi" w:hAnsiTheme="minorHAnsi"/>
        </w:rPr>
      </w:pPr>
    </w:p>
    <w:p w14:paraId="0C17C1EB" w14:textId="0317BD27" w:rsidR="00326B05" w:rsidRDefault="00F26656" w:rsidP="00F26656">
      <w:pPr>
        <w:pStyle w:val="ListParagraph"/>
        <w:ind w:left="360"/>
        <w:jc w:val="both"/>
      </w:pPr>
      <w:r>
        <w:lastRenderedPageBreak/>
        <w:t>Adicionalmente</w:t>
      </w:r>
      <w:r w:rsidR="006D24C1" w:rsidRPr="004E53F7">
        <w:t xml:space="preserve">, la actividad regulatoria </w:t>
      </w:r>
      <w:r>
        <w:t>en el</w:t>
      </w:r>
      <w:r w:rsidR="006D24C1" w:rsidRPr="004E53F7">
        <w:t xml:space="preserve"> SEC se concentró principalmente en la adopción de medidas en el MEM con ocasión de la presencia del fenómeno de</w:t>
      </w:r>
      <w:r>
        <w:t xml:space="preserve"> E</w:t>
      </w:r>
      <w:r w:rsidR="006D24C1" w:rsidRPr="004E53F7">
        <w:t xml:space="preserve">l Niño, la definición y modificación de las reglas para la </w:t>
      </w:r>
      <w:r w:rsidR="004E53F7" w:rsidRPr="004E53F7">
        <w:t>participación</w:t>
      </w:r>
      <w:r>
        <w:t xml:space="preserve"> en el m</w:t>
      </w:r>
      <w:r w:rsidR="006D24C1" w:rsidRPr="004E53F7">
        <w:t>ercado de los autogeneradores, cogeneradores y plantas menores, la aprobación del costo base de comercialización, el riesgo de cartera para usuarios tradicionales y para usuarios en áreas especiales de l</w:t>
      </w:r>
      <w:r>
        <w:t>os mercados de comercialización</w:t>
      </w:r>
      <w:r w:rsidR="006D24C1" w:rsidRPr="004E53F7">
        <w:t xml:space="preserve"> y la definición de la respuesta a la demanda en condiciones críticas.</w:t>
      </w:r>
    </w:p>
    <w:p w14:paraId="4AAF2BFA" w14:textId="77777777" w:rsidR="00204DA3" w:rsidRDefault="00204DA3" w:rsidP="00204DA3">
      <w:pPr>
        <w:jc w:val="both"/>
      </w:pPr>
    </w:p>
    <w:p w14:paraId="3B75737A" w14:textId="2CADE5C8" w:rsidR="00204DA3" w:rsidRDefault="00204DA3" w:rsidP="00204DA3">
      <w:pPr>
        <w:pStyle w:val="ListParagraph"/>
        <w:numPr>
          <w:ilvl w:val="0"/>
          <w:numId w:val="13"/>
        </w:numPr>
        <w:jc w:val="both"/>
        <w:rPr>
          <w:lang w:val="es-ES_tradnl"/>
        </w:rPr>
      </w:pPr>
      <w:r>
        <w:t>En cuanto a</w:t>
      </w:r>
      <w:r w:rsidR="00F26656">
        <w:t xml:space="preserve"> </w:t>
      </w:r>
      <w:r>
        <w:t>l</w:t>
      </w:r>
      <w:r w:rsidR="00F26656">
        <w:t>a oferta</w:t>
      </w:r>
      <w:r>
        <w:t xml:space="preserve"> de proyectos de generación</w:t>
      </w:r>
      <w:r>
        <w:rPr>
          <w:rStyle w:val="FootnoteReference"/>
        </w:rPr>
        <w:footnoteReference w:id="11"/>
      </w:r>
      <w:r>
        <w:t xml:space="preserve">, </w:t>
      </w:r>
      <w:r>
        <w:rPr>
          <w:lang w:val="es-ES_tradnl"/>
        </w:rPr>
        <w:t>d</w:t>
      </w:r>
      <w:r w:rsidRPr="00204DA3">
        <w:rPr>
          <w:lang w:val="es-ES_tradnl"/>
        </w:rPr>
        <w:t>esde diciembre de 2011 se han registrado 431 proyectos de generación, de los cuales 234 cuentan con registro vigente y suman una ca</w:t>
      </w:r>
      <w:r>
        <w:rPr>
          <w:lang w:val="es-ES_tradnl"/>
        </w:rPr>
        <w:t>pacidad instalada estimada de 8.</w:t>
      </w:r>
      <w:r w:rsidR="009F67A4">
        <w:rPr>
          <w:lang w:val="es-ES_tradnl"/>
        </w:rPr>
        <w:t>424 MW</w:t>
      </w:r>
      <w:r w:rsidR="00F26656">
        <w:rPr>
          <w:lang w:val="es-ES_tradnl"/>
        </w:rPr>
        <w:t>. En el cuadro siguiente se discriminan por tecnología, predominando las FNCER:</w:t>
      </w:r>
      <w:r w:rsidR="009F67A4">
        <w:rPr>
          <w:lang w:val="es-ES_tradnl"/>
        </w:rPr>
        <w:t xml:space="preserve"> </w:t>
      </w:r>
    </w:p>
    <w:p w14:paraId="7192ED1B" w14:textId="77777777" w:rsidR="00204DA3" w:rsidRPr="00204DA3" w:rsidRDefault="00204DA3" w:rsidP="00204DA3">
      <w:pPr>
        <w:jc w:val="both"/>
      </w:pPr>
    </w:p>
    <w:p w14:paraId="11DAAC63" w14:textId="69B88C0E" w:rsidR="00326B05" w:rsidRPr="00C74D0A" w:rsidRDefault="00C74D0A" w:rsidP="00C74D0A">
      <w:pPr>
        <w:pStyle w:val="ListParagraph"/>
        <w:ind w:left="0"/>
        <w:jc w:val="center"/>
        <w:rPr>
          <w:lang w:val="es-ES_tradnl"/>
        </w:rPr>
      </w:pPr>
      <w:r>
        <w:rPr>
          <w:noProof/>
          <w:lang w:val="es-US" w:eastAsia="zh-CN"/>
        </w:rPr>
        <w:drawing>
          <wp:inline distT="0" distB="0" distL="0" distR="0" wp14:anchorId="65F31DF2" wp14:editId="25BBAAE2">
            <wp:extent cx="5608955" cy="1273810"/>
            <wp:effectExtent l="0" t="0" r="4445" b="0"/>
            <wp:docPr id="2" name="Imagen 2" descr="../../../../Desktop/Captura%20de%20pantalla%202017-01-26%20a%20las%207.05.2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Captura%20de%20pantalla%202017-01-26%20a%20las%207.05.20%20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8955" cy="1273810"/>
                    </a:xfrm>
                    <a:prstGeom prst="rect">
                      <a:avLst/>
                    </a:prstGeom>
                    <a:noFill/>
                    <a:ln>
                      <a:noFill/>
                    </a:ln>
                  </pic:spPr>
                </pic:pic>
              </a:graphicData>
            </a:graphic>
          </wp:inline>
        </w:drawing>
      </w:r>
    </w:p>
    <w:p w14:paraId="4B11B8BB" w14:textId="77777777" w:rsidR="00204DA3" w:rsidRDefault="00204DA3" w:rsidP="00455828">
      <w:pPr>
        <w:jc w:val="both"/>
        <w:rPr>
          <w:rFonts w:asciiTheme="minorHAnsi" w:hAnsiTheme="minorHAnsi"/>
        </w:rPr>
      </w:pPr>
    </w:p>
    <w:p w14:paraId="3260A90D" w14:textId="42A6CD8E" w:rsidR="00204DA3" w:rsidRPr="001E401F" w:rsidRDefault="00204DA3" w:rsidP="001E401F">
      <w:pPr>
        <w:jc w:val="both"/>
        <w:rPr>
          <w:rFonts w:asciiTheme="minorHAnsi" w:hAnsiTheme="minorHAnsi"/>
        </w:rPr>
      </w:pPr>
      <w:r>
        <w:rPr>
          <w:rFonts w:asciiTheme="minorHAnsi" w:hAnsiTheme="minorHAnsi"/>
        </w:rPr>
        <w:t xml:space="preserve">De acuerdo con lo indicado </w:t>
      </w:r>
      <w:r w:rsidR="0063059C">
        <w:rPr>
          <w:rFonts w:asciiTheme="minorHAnsi" w:hAnsiTheme="minorHAnsi"/>
        </w:rPr>
        <w:t>y con</w:t>
      </w:r>
      <w:r w:rsidR="001E401F">
        <w:rPr>
          <w:rFonts w:asciiTheme="minorHAnsi" w:hAnsiTheme="minorHAnsi"/>
        </w:rPr>
        <w:t xml:space="preserve">siderando el marco normativo vigente en el SEC y las herramientas disponibles como el registro de proyectos, el plan de expansión indicativo generación-transmisión, el </w:t>
      </w:r>
      <w:r w:rsidR="001E401F" w:rsidRPr="001E401F">
        <w:rPr>
          <w:rFonts w:asciiTheme="minorHAnsi" w:hAnsiTheme="minorHAnsi"/>
        </w:rPr>
        <w:t>Plan Transitorio de Abastecimiento de Gas Natural</w:t>
      </w:r>
      <w:r w:rsidR="001E401F">
        <w:rPr>
          <w:rFonts w:asciiTheme="minorHAnsi" w:hAnsiTheme="minorHAnsi"/>
        </w:rPr>
        <w:t xml:space="preserve">, las reformas al marco regulatorio para el MEM, entre otras, </w:t>
      </w:r>
      <w:r w:rsidR="004E53F7">
        <w:rPr>
          <w:rFonts w:asciiTheme="minorHAnsi" w:hAnsiTheme="minorHAnsi"/>
        </w:rPr>
        <w:t>se considera que se tiene</w:t>
      </w:r>
      <w:r w:rsidR="008E0E19">
        <w:rPr>
          <w:rFonts w:asciiTheme="minorHAnsi" w:hAnsiTheme="minorHAnsi"/>
        </w:rPr>
        <w:t>n</w:t>
      </w:r>
      <w:r w:rsidR="004E53F7">
        <w:rPr>
          <w:rFonts w:asciiTheme="minorHAnsi" w:hAnsiTheme="minorHAnsi"/>
        </w:rPr>
        <w:t xml:space="preserve"> la</w:t>
      </w:r>
      <w:r w:rsidR="008E0E19">
        <w:rPr>
          <w:rFonts w:asciiTheme="minorHAnsi" w:hAnsiTheme="minorHAnsi"/>
        </w:rPr>
        <w:t>s</w:t>
      </w:r>
      <w:r w:rsidR="004E53F7">
        <w:rPr>
          <w:rFonts w:asciiTheme="minorHAnsi" w:hAnsiTheme="minorHAnsi"/>
        </w:rPr>
        <w:t xml:space="preserve"> base</w:t>
      </w:r>
      <w:r w:rsidR="008E0E19">
        <w:rPr>
          <w:rFonts w:asciiTheme="minorHAnsi" w:hAnsiTheme="minorHAnsi"/>
        </w:rPr>
        <w:t>s</w:t>
      </w:r>
      <w:r w:rsidR="004E53F7">
        <w:rPr>
          <w:rFonts w:asciiTheme="minorHAnsi" w:hAnsiTheme="minorHAnsi"/>
        </w:rPr>
        <w:t xml:space="preserve"> para el logro de este objetivo específico del PBP a mediano y largo plazo.</w:t>
      </w:r>
      <w:r>
        <w:rPr>
          <w:rFonts w:asciiTheme="minorHAnsi" w:hAnsiTheme="minorHAnsi"/>
        </w:rPr>
        <w:t xml:space="preserve"> </w:t>
      </w:r>
    </w:p>
    <w:p w14:paraId="04081A8F" w14:textId="77777777" w:rsidR="00455828" w:rsidRDefault="00455828" w:rsidP="00455828">
      <w:pPr>
        <w:jc w:val="both"/>
        <w:rPr>
          <w:b/>
        </w:rPr>
      </w:pPr>
    </w:p>
    <w:p w14:paraId="2700F673" w14:textId="7A6B9593" w:rsidR="002A5D2E" w:rsidRPr="00326B05" w:rsidRDefault="002A5D2E" w:rsidP="00455828">
      <w:pPr>
        <w:jc w:val="both"/>
        <w:rPr>
          <w:rFonts w:asciiTheme="minorHAnsi" w:hAnsiTheme="minorHAnsi"/>
          <w:b/>
        </w:rPr>
      </w:pPr>
      <w:r w:rsidRPr="00326B05">
        <w:rPr>
          <w:rFonts w:asciiTheme="minorHAnsi" w:hAnsiTheme="minorHAnsi"/>
          <w:b/>
        </w:rPr>
        <w:t>2.4.2 Fortalecer el MEM con medidas, entre otras, que permitan aumentar y garantizar la oferta de GN y gestionar la demanda</w:t>
      </w:r>
    </w:p>
    <w:p w14:paraId="1870A358" w14:textId="77777777" w:rsidR="002A5D2E" w:rsidRDefault="002A5D2E" w:rsidP="00455828">
      <w:pPr>
        <w:jc w:val="both"/>
        <w:rPr>
          <w:b/>
        </w:rPr>
      </w:pPr>
    </w:p>
    <w:p w14:paraId="45EFA58F" w14:textId="74125DE0" w:rsidR="00455828" w:rsidRPr="004E53F7" w:rsidRDefault="00455828" w:rsidP="004E53F7">
      <w:pPr>
        <w:pStyle w:val="ListParagraph"/>
        <w:numPr>
          <w:ilvl w:val="0"/>
          <w:numId w:val="14"/>
        </w:numPr>
        <w:jc w:val="both"/>
      </w:pPr>
      <w:r w:rsidRPr="004E53F7">
        <w:t xml:space="preserve">Aunque los avances logrados han permitido que el país cuente con energía suficiente para atender la demanda los próximos años, aun en períodos de hidrologías críticas el país ha enfrentado varias fases de crisis en el suministro eléctrico, mostrando vulnerabilidades que arriesgan la capacidad de lograr los objetivos propuestos para </w:t>
      </w:r>
      <w:r w:rsidR="003A0B69" w:rsidRPr="004E53F7">
        <w:t>asegurar un sumi</w:t>
      </w:r>
      <w:r w:rsidR="00384697" w:rsidRPr="004E53F7">
        <w:t>ni</w:t>
      </w:r>
      <w:r w:rsidR="003A0B69" w:rsidRPr="004E53F7">
        <w:t>stro de ene</w:t>
      </w:r>
      <w:r w:rsidR="00384697" w:rsidRPr="004E53F7">
        <w:t>rgía sostenible y eficiente</w:t>
      </w:r>
      <w:r w:rsidR="00514B2A" w:rsidRPr="004E53F7">
        <w:t xml:space="preserve"> requerido para el crecimiento del país</w:t>
      </w:r>
      <w:r w:rsidR="00384697" w:rsidRPr="004E53F7">
        <w:t>.</w:t>
      </w:r>
      <w:r w:rsidRPr="004E53F7">
        <w:t xml:space="preserve"> </w:t>
      </w:r>
    </w:p>
    <w:p w14:paraId="15AF2EFA" w14:textId="77777777" w:rsidR="00455828" w:rsidRPr="002969B6" w:rsidRDefault="00455828" w:rsidP="00455828">
      <w:pPr>
        <w:jc w:val="both"/>
        <w:rPr>
          <w:rFonts w:asciiTheme="minorHAnsi" w:hAnsiTheme="minorHAnsi"/>
        </w:rPr>
      </w:pPr>
    </w:p>
    <w:p w14:paraId="415F465C" w14:textId="780497B4" w:rsidR="004E53F7" w:rsidRPr="004E53F7" w:rsidRDefault="00455828" w:rsidP="004E53F7">
      <w:pPr>
        <w:pStyle w:val="ListParagraph"/>
        <w:numPr>
          <w:ilvl w:val="0"/>
          <w:numId w:val="14"/>
        </w:numPr>
        <w:jc w:val="both"/>
        <w:rPr>
          <w:lang w:val="es-ES_tradnl"/>
        </w:rPr>
      </w:pPr>
      <w:r w:rsidRPr="004E53F7">
        <w:t xml:space="preserve">En el SIN estas vulnerabilidades se evidenciaron en eventos durante 2015-2016, destacándose: (i) El Niño 2015–2016 que en Colombia se manifestó con fuertes sequías, redujo la disponibilidad del recurso hídrico para generación eléctrica, dejando al sistema dependiente de la generación térmica, (ii) el 40% de la energía firme del sistema se encuentra respaldada por plantas de generación térmica, limitadas a </w:t>
      </w:r>
      <w:r w:rsidRPr="004E53F7">
        <w:lastRenderedPageBreak/>
        <w:t>utilizar combustibles líquidos</w:t>
      </w:r>
      <w:r w:rsidR="0028754A">
        <w:t xml:space="preserve"> al no disponer de GN</w:t>
      </w:r>
      <w:r w:rsidRPr="004E53F7">
        <w:t>, (iii) los altos precios internos de combustible líquidos</w:t>
      </w:r>
      <w:r w:rsidR="0028754A">
        <w:t xml:space="preserve"> reflejados en los costos de generación respectivos</w:t>
      </w:r>
      <w:r w:rsidRPr="004E53F7">
        <w:t xml:space="preserve"> y </w:t>
      </w:r>
      <w:r w:rsidR="0028754A">
        <w:t xml:space="preserve">dada </w:t>
      </w:r>
      <w:r w:rsidRPr="004E53F7">
        <w:t xml:space="preserve">la </w:t>
      </w:r>
      <w:r w:rsidR="0028754A">
        <w:t>obligación</w:t>
      </w:r>
      <w:r w:rsidRPr="004E53F7">
        <w:t xml:space="preserve"> de cumplir con los</w:t>
      </w:r>
      <w:r w:rsidR="00F36CF3" w:rsidRPr="004E53F7">
        <w:t xml:space="preserve"> </w:t>
      </w:r>
      <w:r w:rsidRPr="004E53F7">
        <w:t xml:space="preserve">contratos de generación establecidos por las termoeléctricas, frente </w:t>
      </w:r>
      <w:r w:rsidR="0028754A">
        <w:t>al techo en su precio de venta, precio de escasez</w:t>
      </w:r>
      <w:r w:rsidRPr="004E53F7">
        <w:t>, afectaron su situación financiera al reducir su margen operacional, (iv) un incendio sacó de operación la hidroeléctrica Guatapé (560</w:t>
      </w:r>
      <w:r w:rsidR="00014BA8" w:rsidRPr="004E53F7">
        <w:t xml:space="preserve"> </w:t>
      </w:r>
      <w:r w:rsidRPr="004E53F7">
        <w:t>MW) y las plantas aguas abajo (San Carlos 1240</w:t>
      </w:r>
      <w:r w:rsidR="00014BA8" w:rsidRPr="004E53F7">
        <w:t xml:space="preserve"> </w:t>
      </w:r>
      <w:r w:rsidRPr="004E53F7">
        <w:t>MW y Las Playas 200</w:t>
      </w:r>
      <w:r w:rsidR="00014BA8" w:rsidRPr="004E53F7">
        <w:t xml:space="preserve"> </w:t>
      </w:r>
      <w:r w:rsidRPr="004E53F7">
        <w:t>MW), exponiendo al sistema al rie</w:t>
      </w:r>
      <w:r w:rsidR="00514B2A" w:rsidRPr="004E53F7">
        <w:t>s</w:t>
      </w:r>
      <w:r w:rsidRPr="004E53F7">
        <w:t>go de racionamiento y (v) la falta de suministro de GN para la generación y el fuerte incremento en su precio.</w:t>
      </w:r>
      <w:r w:rsidR="00384697" w:rsidRPr="004E53F7">
        <w:t xml:space="preserve"> </w:t>
      </w:r>
      <w:r w:rsidR="00FC539C" w:rsidRPr="004E53F7">
        <w:t xml:space="preserve">Adicional a las medidas tomadas </w:t>
      </w:r>
      <w:r w:rsidR="00B71899" w:rsidRPr="004E53F7">
        <w:t xml:space="preserve">por el gobierno y </w:t>
      </w:r>
      <w:r w:rsidR="000F4A78" w:rsidRPr="004E53F7">
        <w:t xml:space="preserve">los entes de regulación y control </w:t>
      </w:r>
      <w:r w:rsidR="00FC539C" w:rsidRPr="004E53F7">
        <w:t>para la operación de los recursos disponibles</w:t>
      </w:r>
      <w:r w:rsidR="000F4A78" w:rsidRPr="004E53F7">
        <w:t xml:space="preserve"> y de esta forma </w:t>
      </w:r>
      <w:r w:rsidR="0028754A">
        <w:t>evitar un</w:t>
      </w:r>
      <w:r w:rsidR="002965B3" w:rsidRPr="004E53F7">
        <w:t xml:space="preserve"> </w:t>
      </w:r>
      <w:r w:rsidR="00BA22E5" w:rsidRPr="004E53F7">
        <w:t xml:space="preserve">racionamiento, se </w:t>
      </w:r>
      <w:r w:rsidR="00590A30" w:rsidRPr="004E53F7">
        <w:t xml:space="preserve">implementó el programa de ahorro voluntario </w:t>
      </w:r>
      <w:r w:rsidR="00B94936" w:rsidRPr="004E53F7">
        <w:t>“Apagar paga”</w:t>
      </w:r>
      <w:r w:rsidR="00B94936" w:rsidRPr="004E53F7">
        <w:footnoteReference w:id="12"/>
      </w:r>
      <w:r w:rsidR="00967A16" w:rsidRPr="004E53F7">
        <w:t>, el cual se basó en un sistema de incentivo y castigo por el ahorro o malgasto de energía y cuyos resultados plantean la importancia de los programas de uso racional de energía y gestión de demanda en forma permanente.</w:t>
      </w:r>
      <w:r w:rsidR="004E53F7" w:rsidRPr="004E53F7">
        <w:t xml:space="preserve"> </w:t>
      </w:r>
      <w:r w:rsidR="0028754A">
        <w:t xml:space="preserve">A su vez, se encuentra en análisis </w:t>
      </w:r>
      <w:r w:rsidR="004E53F7" w:rsidRPr="004E53F7">
        <w:t xml:space="preserve">para aprobación el </w:t>
      </w:r>
      <w:r w:rsidR="004E53F7" w:rsidRPr="004E53F7">
        <w:rPr>
          <w:lang w:val="es-ES_tradnl"/>
        </w:rPr>
        <w:t>Plan Transitorio de Abastecimiento de Gas Natural</w:t>
      </w:r>
      <w:r w:rsidR="004E53F7" w:rsidRPr="004E53F7">
        <w:t>.</w:t>
      </w:r>
    </w:p>
    <w:p w14:paraId="43FF7D67" w14:textId="77777777" w:rsidR="004E53F7" w:rsidRDefault="004E53F7" w:rsidP="004E53F7">
      <w:pPr>
        <w:jc w:val="both"/>
      </w:pPr>
    </w:p>
    <w:p w14:paraId="08406068" w14:textId="4E745782" w:rsidR="004E53F7" w:rsidRDefault="00942915" w:rsidP="004E53F7">
      <w:pPr>
        <w:jc w:val="both"/>
        <w:rPr>
          <w:rFonts w:asciiTheme="minorHAnsi" w:hAnsiTheme="minorHAnsi"/>
          <w:b/>
        </w:rPr>
      </w:pPr>
      <w:r>
        <w:rPr>
          <w:rFonts w:asciiTheme="minorHAnsi" w:hAnsiTheme="minorHAnsi"/>
          <w:b/>
        </w:rPr>
        <w:t>2.4.3 P</w:t>
      </w:r>
      <w:r w:rsidR="004E53F7" w:rsidRPr="00942915">
        <w:rPr>
          <w:rFonts w:asciiTheme="minorHAnsi" w:hAnsiTheme="minorHAnsi"/>
          <w:b/>
        </w:rPr>
        <w:t>romover el acceso a la energía en las ZNI mediante el uso de FNCER</w:t>
      </w:r>
    </w:p>
    <w:p w14:paraId="604E015F" w14:textId="77777777" w:rsidR="00942915" w:rsidRDefault="00942915" w:rsidP="004E53F7">
      <w:pPr>
        <w:jc w:val="both"/>
        <w:rPr>
          <w:rFonts w:asciiTheme="minorHAnsi" w:hAnsiTheme="minorHAnsi"/>
          <w:b/>
        </w:rPr>
      </w:pPr>
    </w:p>
    <w:p w14:paraId="2952177A" w14:textId="442C924A" w:rsidR="00942915" w:rsidRDefault="0089045F" w:rsidP="00942915">
      <w:pPr>
        <w:pStyle w:val="ListParagraph"/>
        <w:numPr>
          <w:ilvl w:val="0"/>
          <w:numId w:val="15"/>
        </w:numPr>
        <w:jc w:val="both"/>
      </w:pPr>
      <w:r>
        <w:t>El índice de</w:t>
      </w:r>
      <w:r w:rsidR="00942915" w:rsidRPr="00942915">
        <w:t xml:space="preserve"> cobertura </w:t>
      </w:r>
      <w:r>
        <w:t>del servicio a nivel nacional, pasó de 94,9</w:t>
      </w:r>
      <w:r w:rsidR="00942915" w:rsidRPr="00942915">
        <w:t xml:space="preserve">% en </w:t>
      </w:r>
      <w:r>
        <w:t>el año 2009 a 97% en el año 2015</w:t>
      </w:r>
      <w:r w:rsidR="00024167">
        <w:rPr>
          <w:rStyle w:val="FootnoteReference"/>
        </w:rPr>
        <w:footnoteReference w:id="13"/>
      </w:r>
      <w:r w:rsidR="00942915" w:rsidRPr="00942915">
        <w:t xml:space="preserve">, presentando un incremento de alrededor de 250.000 nuevos </w:t>
      </w:r>
      <w:r>
        <w:t>en este periodo</w:t>
      </w:r>
      <w:r w:rsidR="00942915" w:rsidRPr="00942915">
        <w:t xml:space="preserve"> y un mejoramiento de las condiciones </w:t>
      </w:r>
      <w:r>
        <w:t>en</w:t>
      </w:r>
      <w:r w:rsidR="00942915" w:rsidRPr="00942915">
        <w:t xml:space="preserve"> 30 de las 39 cabeceras municipales de las ZNI y apartadas del país que hoy cuentan con ese servicio durante las 24 horas del día. </w:t>
      </w:r>
    </w:p>
    <w:p w14:paraId="106D3A6E" w14:textId="77777777" w:rsidR="0089045F" w:rsidRDefault="0089045F" w:rsidP="0089045F">
      <w:pPr>
        <w:pStyle w:val="ListParagraph"/>
        <w:ind w:left="360"/>
        <w:jc w:val="both"/>
      </w:pPr>
    </w:p>
    <w:p w14:paraId="1898CDA5" w14:textId="42A3AACE" w:rsidR="0089045F" w:rsidRPr="00942915" w:rsidRDefault="0089045F" w:rsidP="0089045F">
      <w:pPr>
        <w:pStyle w:val="ListParagraph"/>
        <w:numPr>
          <w:ilvl w:val="0"/>
          <w:numId w:val="15"/>
        </w:numPr>
        <w:jc w:val="both"/>
      </w:pPr>
      <w:r w:rsidRPr="0089045F">
        <w:t>En la desagregación urbana y rural la cobertura alcanzó 99,72% y 87,83% en 2015, respect</w:t>
      </w:r>
      <w:r>
        <w:t>ivamente, con un déficit de 425.</w:t>
      </w:r>
      <w:r w:rsidRPr="0089045F">
        <w:t xml:space="preserve">212 viviendas sin servicio de energía eléctrica a nivel nacional. Para suministrar acceso universal del servicio, </w:t>
      </w:r>
      <w:r>
        <w:t xml:space="preserve">se </w:t>
      </w:r>
      <w:r w:rsidRPr="0089045F">
        <w:t>estima que 52% de los usuarios no cubiertos pueden ser conectados al SIN, 39% mediante soluciones aisladas con FNCER y 9% con diésel</w:t>
      </w:r>
      <w:r>
        <w:rPr>
          <w:rStyle w:val="FootnoteReference"/>
        </w:rPr>
        <w:footnoteReference w:id="14"/>
      </w:r>
      <w:r w:rsidRPr="0089045F">
        <w:t>.</w:t>
      </w:r>
    </w:p>
    <w:p w14:paraId="4D5B773D" w14:textId="77777777" w:rsidR="00942915" w:rsidRDefault="00942915" w:rsidP="00942915">
      <w:pPr>
        <w:jc w:val="both"/>
        <w:rPr>
          <w:rFonts w:asciiTheme="minorHAnsi" w:hAnsiTheme="minorHAnsi"/>
        </w:rPr>
      </w:pPr>
    </w:p>
    <w:p w14:paraId="48FA49C8" w14:textId="6C371B73" w:rsidR="00942915" w:rsidRPr="00942915" w:rsidRDefault="00942915" w:rsidP="00942915">
      <w:pPr>
        <w:pStyle w:val="ListParagraph"/>
        <w:numPr>
          <w:ilvl w:val="0"/>
          <w:numId w:val="15"/>
        </w:numPr>
        <w:jc w:val="both"/>
        <w:rPr>
          <w:rFonts w:eastAsia="Times New Roman"/>
        </w:rPr>
      </w:pPr>
      <w:r w:rsidRPr="00942915">
        <w:t xml:space="preserve">No obstante, dada la dispersión de las viviendas que todavía no cuentan con el servicio, se estima que los recursos necesarios para lograr la universalización del servicio en los próximos cinco años ascienden a $5 billones, con un costo de </w:t>
      </w:r>
      <w:r w:rsidRPr="00942915">
        <w:lastRenderedPageBreak/>
        <w:t xml:space="preserve">aproximadamente $10 millones por nuevo usuario atendido considerando </w:t>
      </w:r>
      <w:r>
        <w:t xml:space="preserve">principalmente </w:t>
      </w:r>
      <w:r w:rsidRPr="00942915">
        <w:t xml:space="preserve">soluciones tradicionales como son extensión de redes y soluciones aisladas en menor escala. Los subsidios que buscan facilitar el acceso al servicio de energía eléctrica son financiados a través de la contribución de los usuarios de mayores ingresos de los estratos 5, 6 y sector comercial y transferencias directas del Presupuesto General de la Nación. Los recursos aportados por el Estado crecieron significativamente en los últimos años y hoy representan el 63% del total de los subsidios, al pasar de $436.505 millones en 2010 a $1.360.509 millones en 2014, como consecuencia principalmente de la eliminación de la contribución del 20% del valor facturado a los usuarios industriales, según lo establecido por la Ley 1430 de 2010. </w:t>
      </w:r>
    </w:p>
    <w:p w14:paraId="3D680DD4" w14:textId="77777777" w:rsidR="00942915" w:rsidRPr="00942915" w:rsidRDefault="00942915" w:rsidP="00942915">
      <w:pPr>
        <w:jc w:val="both"/>
        <w:rPr>
          <w:rFonts w:eastAsia="Times New Roman"/>
        </w:rPr>
      </w:pPr>
    </w:p>
    <w:p w14:paraId="12A6F001" w14:textId="60E74205" w:rsidR="00942915" w:rsidRPr="00942915" w:rsidRDefault="00942915" w:rsidP="004E53F7">
      <w:pPr>
        <w:pStyle w:val="ListParagraph"/>
        <w:numPr>
          <w:ilvl w:val="0"/>
          <w:numId w:val="15"/>
        </w:numPr>
        <w:jc w:val="both"/>
        <w:rPr>
          <w:rFonts w:eastAsia="Times New Roman"/>
        </w:rPr>
      </w:pPr>
      <w:r>
        <w:rPr>
          <w:rFonts w:eastAsia="Times New Roman"/>
        </w:rPr>
        <w:t>La disponibilidad del PIEC, la conformación de las PERS y la Ley 1715 de 2014 son la base para la mejora en la cobertura y calidad del servicio en las ZNI</w:t>
      </w:r>
      <w:r w:rsidR="00DB6354">
        <w:rPr>
          <w:rFonts w:eastAsia="Times New Roman"/>
        </w:rPr>
        <w:t xml:space="preserve"> con base en la utilización de FNCER</w:t>
      </w:r>
      <w:r>
        <w:rPr>
          <w:rFonts w:eastAsia="Times New Roman"/>
        </w:rPr>
        <w:t>.</w:t>
      </w:r>
    </w:p>
    <w:p w14:paraId="5405C716" w14:textId="5CABD8A8" w:rsidR="004E53F7" w:rsidRDefault="004E53F7" w:rsidP="00455828">
      <w:pPr>
        <w:jc w:val="both"/>
        <w:rPr>
          <w:rFonts w:asciiTheme="minorHAnsi" w:hAnsiTheme="minorHAnsi"/>
        </w:rPr>
      </w:pPr>
    </w:p>
    <w:p w14:paraId="3D681D22" w14:textId="77777777" w:rsidR="0076010A" w:rsidRPr="0029013A" w:rsidRDefault="0076010A" w:rsidP="00455828">
      <w:pPr>
        <w:jc w:val="both"/>
        <w:rPr>
          <w:rFonts w:asciiTheme="minorHAnsi" w:hAnsiTheme="minorHAnsi"/>
        </w:rPr>
      </w:pPr>
      <w:r w:rsidRPr="0029013A">
        <w:rPr>
          <w:rFonts w:asciiTheme="minorHAnsi" w:hAnsiTheme="minorHAnsi"/>
        </w:rPr>
        <w:t>Aunque Colombia cuenta hoy con un sector eléctrico moderno, eficiente y competitivo, enfrenta riesgos y desafíos en la calidad, cantidad y confiabilidad de su oferta energética, lo mismo que en la cobertura del servicio y en su nivel de emisiones de Gases Efecto Invernadero (GEI), por tanto se plantean en este PBP, áreas de reforma para asegurar un suministro de</w:t>
      </w:r>
      <w:r w:rsidR="0029013A" w:rsidRPr="0029013A">
        <w:rPr>
          <w:rFonts w:asciiTheme="minorHAnsi" w:hAnsiTheme="minorHAnsi"/>
        </w:rPr>
        <w:t xml:space="preserve"> energía sostenible y eficiente, enfocadas principalmente a: (i) la diversificación de la matriz energética con FNCER, (ii) el incremento de los intercambios energía a nivel internacional, (iii) fortalecer el MEM con medidas, entre otras, que permitan aumentar y garantizar la oferta de GN y gestionar la demanda, (iv) mejorar la cobertura y disponibilidad de la energía en las ZNI mediante el uso de FNCER y (v) </w:t>
      </w:r>
      <w:r w:rsidR="0029013A">
        <w:rPr>
          <w:rFonts w:asciiTheme="minorHAnsi" w:hAnsiTheme="minorHAnsi"/>
        </w:rPr>
        <w:t>el fortalecimiento de l</w:t>
      </w:r>
      <w:r w:rsidR="0029013A" w:rsidRPr="0029013A">
        <w:rPr>
          <w:rFonts w:asciiTheme="minorHAnsi" w:hAnsiTheme="minorHAnsi"/>
        </w:rPr>
        <w:t>as instituciones del Sector</w:t>
      </w:r>
      <w:r w:rsidR="00C1148C">
        <w:rPr>
          <w:rFonts w:asciiTheme="minorHAnsi" w:hAnsiTheme="minorHAnsi"/>
        </w:rPr>
        <w:t xml:space="preserve"> requerido para el logro de los objetivos antes señalados</w:t>
      </w:r>
      <w:r w:rsidR="0029013A" w:rsidRPr="0029013A">
        <w:rPr>
          <w:rFonts w:asciiTheme="minorHAnsi" w:hAnsiTheme="minorHAnsi"/>
        </w:rPr>
        <w:t>.</w:t>
      </w:r>
    </w:p>
    <w:p w14:paraId="5E327C03" w14:textId="77777777" w:rsidR="00B617FB" w:rsidRPr="00D64ACB" w:rsidRDefault="00B617FB" w:rsidP="00546F99">
      <w:pPr>
        <w:jc w:val="both"/>
        <w:rPr>
          <w:rFonts w:asciiTheme="minorHAnsi" w:hAnsiTheme="minorHAnsi"/>
          <w:b/>
        </w:rPr>
      </w:pPr>
    </w:p>
    <w:p w14:paraId="51CC770D" w14:textId="77777777" w:rsidR="007A0513" w:rsidRDefault="00333243" w:rsidP="0018436E">
      <w:pPr>
        <w:pStyle w:val="ListParagraph"/>
        <w:numPr>
          <w:ilvl w:val="0"/>
          <w:numId w:val="1"/>
        </w:numPr>
        <w:jc w:val="both"/>
        <w:rPr>
          <w:b/>
        </w:rPr>
      </w:pPr>
      <w:r w:rsidRPr="00D64ACB">
        <w:rPr>
          <w:b/>
        </w:rPr>
        <w:t xml:space="preserve">Participación </w:t>
      </w:r>
      <w:r w:rsidR="00992A35" w:rsidRPr="00D64ACB">
        <w:rPr>
          <w:b/>
        </w:rPr>
        <w:t xml:space="preserve">del </w:t>
      </w:r>
      <w:r w:rsidR="00D537E1" w:rsidRPr="00D64ACB">
        <w:rPr>
          <w:b/>
        </w:rPr>
        <w:t>BID</w:t>
      </w:r>
      <w:r w:rsidR="00455828">
        <w:rPr>
          <w:b/>
        </w:rPr>
        <w:t xml:space="preserve"> en el </w:t>
      </w:r>
      <w:r w:rsidR="00F36CF3">
        <w:rPr>
          <w:b/>
        </w:rPr>
        <w:t xml:space="preserve">desarrollo del </w:t>
      </w:r>
      <w:r w:rsidR="00455828">
        <w:rPr>
          <w:b/>
        </w:rPr>
        <w:t>SEC</w:t>
      </w:r>
    </w:p>
    <w:p w14:paraId="2C000025" w14:textId="77777777" w:rsidR="00F36CF3" w:rsidRDefault="00F36CF3" w:rsidP="00F36CF3">
      <w:pPr>
        <w:jc w:val="both"/>
        <w:rPr>
          <w:b/>
        </w:rPr>
      </w:pPr>
    </w:p>
    <w:p w14:paraId="17125DCA" w14:textId="77777777" w:rsidR="00C1148C" w:rsidRDefault="00C1148C" w:rsidP="00F36CF3">
      <w:pPr>
        <w:jc w:val="both"/>
        <w:rPr>
          <w:rFonts w:asciiTheme="minorHAnsi" w:hAnsiTheme="minorHAnsi"/>
        </w:rPr>
      </w:pPr>
      <w:r w:rsidRPr="00C1148C">
        <w:rPr>
          <w:rFonts w:asciiTheme="minorHAnsi" w:hAnsiTheme="minorHAnsi"/>
        </w:rPr>
        <w:t>A continuación, se presentan los resultados de la participación del BID en el desarrollo del SEC, considerando el marco sectorial y la estrategia país establecida por el Banco</w:t>
      </w:r>
      <w:r>
        <w:rPr>
          <w:rFonts w:asciiTheme="minorHAnsi" w:hAnsiTheme="minorHAnsi"/>
        </w:rPr>
        <w:t>.</w:t>
      </w:r>
    </w:p>
    <w:p w14:paraId="36A4D9C3" w14:textId="77777777" w:rsidR="00C1148C" w:rsidRPr="00C1148C" w:rsidRDefault="00C1148C" w:rsidP="00F36CF3">
      <w:pPr>
        <w:jc w:val="both"/>
        <w:rPr>
          <w:rFonts w:asciiTheme="minorHAnsi" w:hAnsiTheme="minorHAnsi"/>
        </w:rPr>
      </w:pPr>
    </w:p>
    <w:p w14:paraId="6D42DD56" w14:textId="77777777" w:rsidR="00F6087D" w:rsidRPr="00817418" w:rsidRDefault="00F6087D" w:rsidP="0018436E">
      <w:pPr>
        <w:pStyle w:val="ListParagraph"/>
        <w:numPr>
          <w:ilvl w:val="1"/>
          <w:numId w:val="9"/>
        </w:numPr>
        <w:jc w:val="both"/>
        <w:rPr>
          <w:b/>
        </w:rPr>
      </w:pPr>
      <w:r w:rsidRPr="00817418">
        <w:rPr>
          <w:b/>
        </w:rPr>
        <w:t xml:space="preserve">Marco Sectorial Energía y Estrategia país Colombia </w:t>
      </w:r>
    </w:p>
    <w:p w14:paraId="393221BB" w14:textId="77777777" w:rsidR="00F6087D" w:rsidRDefault="00F6087D" w:rsidP="00F6087D">
      <w:pPr>
        <w:jc w:val="both"/>
      </w:pPr>
    </w:p>
    <w:p w14:paraId="5344D594" w14:textId="77777777" w:rsidR="00F6087D" w:rsidRPr="002C565F" w:rsidRDefault="00F6087D" w:rsidP="00F6087D">
      <w:pPr>
        <w:jc w:val="both"/>
        <w:rPr>
          <w:rFonts w:asciiTheme="minorHAnsi" w:hAnsiTheme="minorHAnsi"/>
        </w:rPr>
      </w:pPr>
      <w:r w:rsidRPr="002C565F">
        <w:rPr>
          <w:rFonts w:asciiTheme="minorHAnsi" w:hAnsiTheme="minorHAnsi"/>
        </w:rPr>
        <w:t>El objetivo del BID en el sector de la energía es ayudar a ampliar en un modo diversificado y seguro el acceso de los países de América Latina y el Caribe a energía eficiente, sostenible, confiable y asequible, contribuyendo al mismo tiempo a reducir la pobreza, promover una mejor calidad de vida, fomentar la competitividad e impulsar el desarrollo y el crecimiento económico.</w:t>
      </w:r>
    </w:p>
    <w:p w14:paraId="12C27605" w14:textId="77777777" w:rsidR="00F6087D" w:rsidRPr="002C565F" w:rsidRDefault="00F6087D" w:rsidP="00F6087D">
      <w:pPr>
        <w:jc w:val="both"/>
        <w:rPr>
          <w:rFonts w:asciiTheme="minorHAnsi" w:hAnsiTheme="minorHAnsi"/>
        </w:rPr>
      </w:pPr>
    </w:p>
    <w:p w14:paraId="49365CD5" w14:textId="77777777" w:rsidR="00F6087D" w:rsidRPr="002C565F" w:rsidRDefault="00F6087D" w:rsidP="00F6087D">
      <w:pPr>
        <w:jc w:val="both"/>
        <w:rPr>
          <w:rFonts w:asciiTheme="minorHAnsi" w:hAnsiTheme="minorHAnsi"/>
        </w:rPr>
      </w:pPr>
      <w:r w:rsidRPr="002C565F">
        <w:rPr>
          <w:rFonts w:asciiTheme="minorHAnsi" w:hAnsiTheme="minorHAnsi"/>
        </w:rPr>
        <w:t>Estas consideraciones se presentan de acuerdo a las siguientes líneas temáticas, las cuales se han determinado a partir de los desafíos del sector en la región, están relacionadas entre sí y varían en importancia para cada país:</w:t>
      </w:r>
    </w:p>
    <w:p w14:paraId="45942800" w14:textId="77777777" w:rsidR="00F6087D" w:rsidRPr="0038755A" w:rsidRDefault="00F6087D" w:rsidP="00F6087D">
      <w:pPr>
        <w:pStyle w:val="ListParagraph"/>
        <w:ind w:left="360"/>
        <w:jc w:val="both"/>
        <w:rPr>
          <w:lang w:val="es-ES_tradnl"/>
        </w:rPr>
      </w:pPr>
    </w:p>
    <w:p w14:paraId="5FCF72EC" w14:textId="77777777" w:rsidR="00F6087D" w:rsidRPr="001302BC" w:rsidRDefault="00F6087D" w:rsidP="0018436E">
      <w:pPr>
        <w:pStyle w:val="ListParagraph"/>
        <w:numPr>
          <w:ilvl w:val="0"/>
          <w:numId w:val="2"/>
        </w:numPr>
        <w:spacing w:after="150"/>
        <w:jc w:val="both"/>
      </w:pPr>
      <w:r w:rsidRPr="001302BC">
        <w:lastRenderedPageBreak/>
        <w:t>Acceso a la energía – cobertura, calidad, fiabilidad y asequibilidad.</w:t>
      </w:r>
    </w:p>
    <w:p w14:paraId="3478A94B" w14:textId="77777777" w:rsidR="00F6087D" w:rsidRPr="001302BC" w:rsidRDefault="00F6087D" w:rsidP="0018436E">
      <w:pPr>
        <w:pStyle w:val="ListParagraph"/>
        <w:numPr>
          <w:ilvl w:val="0"/>
          <w:numId w:val="2"/>
        </w:numPr>
        <w:spacing w:after="150"/>
        <w:jc w:val="both"/>
      </w:pPr>
      <w:r w:rsidRPr="001302BC">
        <w:t>Sostenibilidad energética – eficiencia energética, energía renovable y adaptación al cambio climático.</w:t>
      </w:r>
    </w:p>
    <w:p w14:paraId="140368C2" w14:textId="77777777" w:rsidR="00F6087D" w:rsidRPr="001302BC" w:rsidRDefault="00F6087D" w:rsidP="0018436E">
      <w:pPr>
        <w:pStyle w:val="ListParagraph"/>
        <w:numPr>
          <w:ilvl w:val="0"/>
          <w:numId w:val="2"/>
        </w:numPr>
        <w:spacing w:after="150"/>
        <w:jc w:val="both"/>
      </w:pPr>
      <w:r w:rsidRPr="001302BC">
        <w:t>Seguridad energética – infraestructura de energía e integración energética regional.</w:t>
      </w:r>
    </w:p>
    <w:p w14:paraId="61D68B07" w14:textId="77777777" w:rsidR="00F6087D" w:rsidRPr="001302BC" w:rsidRDefault="00F6087D" w:rsidP="0018436E">
      <w:pPr>
        <w:pStyle w:val="ListParagraph"/>
        <w:numPr>
          <w:ilvl w:val="0"/>
          <w:numId w:val="2"/>
        </w:numPr>
        <w:spacing w:after="150"/>
        <w:jc w:val="both"/>
      </w:pPr>
      <w:r w:rsidRPr="001302BC">
        <w:t>Gobernanza energética – instituciones, reglamentación, políticas e información.</w:t>
      </w:r>
    </w:p>
    <w:p w14:paraId="7EA0805A" w14:textId="77777777" w:rsidR="00F6087D" w:rsidRDefault="00F6087D" w:rsidP="00F6087D">
      <w:pPr>
        <w:pStyle w:val="ListParagraph"/>
        <w:ind w:left="360"/>
        <w:jc w:val="both"/>
      </w:pPr>
      <w:r w:rsidRPr="0038755A">
        <w:t xml:space="preserve"> </w:t>
      </w:r>
    </w:p>
    <w:p w14:paraId="6E6903B7" w14:textId="25332155" w:rsidR="00F6087D" w:rsidRPr="002C565F" w:rsidRDefault="00F6087D" w:rsidP="00F6087D">
      <w:pPr>
        <w:jc w:val="both"/>
        <w:rPr>
          <w:rFonts w:asciiTheme="minorHAnsi" w:hAnsiTheme="minorHAnsi"/>
        </w:rPr>
      </w:pPr>
      <w:r w:rsidRPr="002C565F">
        <w:rPr>
          <w:rFonts w:asciiTheme="minorHAnsi" w:hAnsiTheme="minorHAnsi"/>
        </w:rPr>
        <w:t>El Documento de Marco Sectorial de Energía</w:t>
      </w:r>
      <w:r w:rsidRPr="002C565F">
        <w:rPr>
          <w:rFonts w:asciiTheme="minorHAnsi" w:hAnsiTheme="minorHAnsi"/>
          <w:vertAlign w:val="superscript"/>
        </w:rPr>
        <w:footnoteReference w:id="15"/>
      </w:r>
      <w:r w:rsidRPr="002C565F">
        <w:rPr>
          <w:rFonts w:asciiTheme="minorHAnsi" w:hAnsiTheme="minorHAnsi"/>
        </w:rPr>
        <w:t>, elaborado de conformid</w:t>
      </w:r>
      <w:r w:rsidR="00004840">
        <w:rPr>
          <w:rFonts w:asciiTheme="minorHAnsi" w:hAnsiTheme="minorHAnsi"/>
        </w:rPr>
        <w:t xml:space="preserve">ad </w:t>
      </w:r>
      <w:r w:rsidRPr="002C565F">
        <w:rPr>
          <w:rFonts w:asciiTheme="minorHAnsi" w:hAnsiTheme="minorHAnsi"/>
        </w:rPr>
        <w:t xml:space="preserve">con el documento “Estrategias, Políticas, Marcos Sectoriales y Lineamientos en el BID” (GN-2670-1), establece el objetivo del Banco y orienta su labor en la generación de conocimiento, el diálogo de país y el diseño y la ejecución de operaciones, incluidos los préstamos y la cooperación técnica en el sector energético. Para los fines de este documento, se entiende el sector energético como las actividades económicas relacionadas con el uso de recursos renovables y no renovables para la producción, suministro y consumo de energía en sus diversas formas como electricidad, calor o combustibles para procesamiento posterior, así como la optimización del uso de la energía mediante la conservación y la </w:t>
      </w:r>
      <w:r w:rsidR="00004840">
        <w:rPr>
          <w:rFonts w:asciiTheme="minorHAnsi" w:hAnsiTheme="minorHAnsi"/>
        </w:rPr>
        <w:t>EE</w:t>
      </w:r>
      <w:r w:rsidRPr="002C565F">
        <w:rPr>
          <w:rFonts w:asciiTheme="minorHAnsi" w:hAnsiTheme="minorHAnsi"/>
        </w:rPr>
        <w:t>.</w:t>
      </w:r>
    </w:p>
    <w:p w14:paraId="4DC0699B" w14:textId="77777777" w:rsidR="00F6087D" w:rsidRDefault="00F6087D" w:rsidP="00F6087D">
      <w:pPr>
        <w:jc w:val="both"/>
      </w:pPr>
    </w:p>
    <w:p w14:paraId="69A04F53" w14:textId="77777777" w:rsidR="00F6087D" w:rsidRPr="002C565F" w:rsidRDefault="00F6087D" w:rsidP="00F6087D">
      <w:pPr>
        <w:jc w:val="both"/>
        <w:rPr>
          <w:rFonts w:asciiTheme="minorHAnsi" w:hAnsiTheme="minorHAnsi"/>
        </w:rPr>
      </w:pPr>
      <w:r w:rsidRPr="002C565F">
        <w:rPr>
          <w:rFonts w:asciiTheme="minorHAnsi" w:hAnsiTheme="minorHAnsi"/>
        </w:rPr>
        <w:t>Las acciones del Banco tendrán por finalidad fortalecer el sector energético de la región y favorecer su operación eficiente, accesible, incluyente, sostenible y segura. Las acciones del BID en el sector de la energía promoverán la reducción de la pobreza, una mejor calidad de vida para la población de la región, el desarrollo económico y la integración regional.</w:t>
      </w:r>
    </w:p>
    <w:p w14:paraId="46101232" w14:textId="77777777" w:rsidR="00F6087D" w:rsidRPr="002C565F" w:rsidRDefault="00F6087D" w:rsidP="00F6087D">
      <w:pPr>
        <w:rPr>
          <w:rFonts w:asciiTheme="minorHAnsi" w:hAnsiTheme="minorHAnsi"/>
        </w:rPr>
      </w:pPr>
    </w:p>
    <w:p w14:paraId="7196E958" w14:textId="77777777" w:rsidR="00F6087D" w:rsidRPr="002C565F" w:rsidRDefault="00F6087D" w:rsidP="00F6087D">
      <w:pPr>
        <w:jc w:val="both"/>
        <w:rPr>
          <w:rFonts w:asciiTheme="minorHAnsi" w:hAnsiTheme="minorHAnsi"/>
        </w:rPr>
      </w:pPr>
      <w:r w:rsidRPr="002C565F">
        <w:rPr>
          <w:rFonts w:asciiTheme="minorHAnsi" w:hAnsiTheme="minorHAnsi"/>
        </w:rPr>
        <w:t>A su vez, en el documento “Colombia, Hacia un país de altos ingresos con movilidad social”</w:t>
      </w:r>
      <w:r w:rsidRPr="002C565F">
        <w:rPr>
          <w:rFonts w:asciiTheme="minorHAnsi" w:hAnsiTheme="minorHAnsi"/>
          <w:vertAlign w:val="superscript"/>
        </w:rPr>
        <w:footnoteReference w:id="16"/>
      </w:r>
      <w:r w:rsidRPr="002C565F">
        <w:rPr>
          <w:rFonts w:asciiTheme="minorHAnsi" w:hAnsiTheme="minorHAnsi"/>
        </w:rPr>
        <w:t xml:space="preserve">, se presenta la estrategia del BID que tiene por objetivo apoyar las áreas de política que contribuyan en el corto y mediano plazo a lograr la visión estratégica de llevar a Colombia a ser un país de altos ingresos con movilidad social en dos décadas. </w:t>
      </w:r>
    </w:p>
    <w:p w14:paraId="4582C55C" w14:textId="77777777" w:rsidR="00F6087D" w:rsidRPr="002C565F" w:rsidRDefault="00F6087D" w:rsidP="00F6087D">
      <w:pPr>
        <w:pStyle w:val="ListParagraph"/>
        <w:ind w:left="0"/>
        <w:jc w:val="both"/>
        <w:rPr>
          <w:lang w:val="es-ES_tradnl"/>
        </w:rPr>
      </w:pPr>
    </w:p>
    <w:p w14:paraId="44DA45F2" w14:textId="77777777" w:rsidR="00F6087D" w:rsidRPr="00D41136" w:rsidRDefault="00F6087D" w:rsidP="00F6087D">
      <w:pPr>
        <w:jc w:val="both"/>
        <w:rPr>
          <w:rFonts w:asciiTheme="minorHAnsi" w:hAnsiTheme="minorHAnsi"/>
        </w:rPr>
      </w:pPr>
      <w:r w:rsidRPr="00D41136">
        <w:rPr>
          <w:rFonts w:asciiTheme="minorHAnsi" w:hAnsiTheme="minorHAnsi"/>
        </w:rPr>
        <w:t xml:space="preserve">Para ello, se requiere enfrentar las vulnerabilidades del país con el </w:t>
      </w:r>
      <w:r w:rsidRPr="00D41136">
        <w:rPr>
          <w:rFonts w:asciiTheme="minorHAnsi" w:hAnsiTheme="minorHAnsi"/>
        </w:rPr>
        <w:softHyphen/>
        <w:t>objetivo de crecer de manera sostenida, mejorar sus niveles de productividad, sus instituciones y lograr mayor movilidad social.</w:t>
      </w:r>
    </w:p>
    <w:p w14:paraId="04BA217F" w14:textId="77777777" w:rsidR="007A0513" w:rsidRPr="00817418" w:rsidRDefault="007A0513" w:rsidP="00817418">
      <w:pPr>
        <w:jc w:val="both"/>
        <w:rPr>
          <w:rFonts w:asciiTheme="minorHAnsi" w:hAnsiTheme="minorHAnsi" w:cstheme="minorBidi"/>
          <w:b/>
          <w:lang w:eastAsia="en-US"/>
        </w:rPr>
      </w:pPr>
    </w:p>
    <w:p w14:paraId="73A3AAAC" w14:textId="77777777" w:rsidR="00817418" w:rsidRPr="00817418" w:rsidRDefault="007A0513" w:rsidP="0018436E">
      <w:pPr>
        <w:pStyle w:val="ListParagraph"/>
        <w:numPr>
          <w:ilvl w:val="1"/>
          <w:numId w:val="9"/>
        </w:numPr>
        <w:jc w:val="both"/>
        <w:rPr>
          <w:b/>
        </w:rPr>
      </w:pPr>
      <w:r w:rsidRPr="00817418">
        <w:rPr>
          <w:b/>
        </w:rPr>
        <w:t xml:space="preserve">Proyectos y Programas </w:t>
      </w:r>
      <w:r w:rsidR="00F6087D" w:rsidRPr="00817418">
        <w:rPr>
          <w:b/>
        </w:rPr>
        <w:t xml:space="preserve">desarrollados por el BID </w:t>
      </w:r>
    </w:p>
    <w:p w14:paraId="68D788C2" w14:textId="77777777" w:rsidR="00F6087D" w:rsidRPr="001302BC" w:rsidRDefault="00F6087D" w:rsidP="00F6087D">
      <w:pPr>
        <w:jc w:val="both"/>
        <w:rPr>
          <w:b/>
        </w:rPr>
      </w:pPr>
    </w:p>
    <w:p w14:paraId="2FA6797B" w14:textId="40A37396" w:rsidR="00F6087D" w:rsidRPr="002C565F" w:rsidRDefault="00F6087D" w:rsidP="00F6087D">
      <w:pPr>
        <w:jc w:val="both"/>
        <w:rPr>
          <w:rFonts w:asciiTheme="minorHAnsi" w:hAnsiTheme="minorHAnsi"/>
        </w:rPr>
      </w:pPr>
      <w:r w:rsidRPr="002C565F">
        <w:rPr>
          <w:rFonts w:asciiTheme="minorHAnsi" w:hAnsiTheme="minorHAnsi"/>
        </w:rPr>
        <w:t>El BID cuenta con amplia experiencia</w:t>
      </w:r>
      <w:r w:rsidR="004C3E96">
        <w:rPr>
          <w:rFonts w:asciiTheme="minorHAnsi" w:hAnsiTheme="minorHAnsi"/>
        </w:rPr>
        <w:t xml:space="preserve"> y conocimiento</w:t>
      </w:r>
      <w:r w:rsidRPr="002C565F">
        <w:rPr>
          <w:rFonts w:asciiTheme="minorHAnsi" w:hAnsiTheme="minorHAnsi"/>
        </w:rPr>
        <w:t xml:space="preserve"> en el </w:t>
      </w:r>
      <w:r w:rsidR="0076010A">
        <w:rPr>
          <w:rFonts w:asciiTheme="minorHAnsi" w:hAnsiTheme="minorHAnsi"/>
        </w:rPr>
        <w:t>SEC</w:t>
      </w:r>
      <w:r w:rsidR="004C3E96">
        <w:rPr>
          <w:rFonts w:asciiTheme="minorHAnsi" w:hAnsiTheme="minorHAnsi"/>
        </w:rPr>
        <w:t>,</w:t>
      </w:r>
      <w:r w:rsidRPr="002C565F">
        <w:rPr>
          <w:rFonts w:asciiTheme="minorHAnsi" w:hAnsiTheme="minorHAnsi"/>
        </w:rPr>
        <w:t xml:space="preserve"> producto del apoyo a iniciativas en acceso a energía, redes inteligentes</w:t>
      </w:r>
      <w:r w:rsidR="004C3E96">
        <w:rPr>
          <w:rFonts w:asciiTheme="minorHAnsi" w:hAnsiTheme="minorHAnsi"/>
        </w:rPr>
        <w:t xml:space="preserve"> (RI)</w:t>
      </w:r>
      <w:r w:rsidRPr="002C565F">
        <w:rPr>
          <w:rFonts w:asciiTheme="minorHAnsi" w:hAnsiTheme="minorHAnsi"/>
        </w:rPr>
        <w:t xml:space="preserve">, medidas de EE, proyectos hidroeléctricos y de energía geotérmica y apoyo a iniciativas de interconexión eléctrica regional (SINEA, SIEPAC), entre otros. </w:t>
      </w:r>
    </w:p>
    <w:p w14:paraId="208F38F4" w14:textId="77777777" w:rsidR="00F6087D" w:rsidRPr="00817418" w:rsidRDefault="00F6087D" w:rsidP="00817418">
      <w:pPr>
        <w:jc w:val="both"/>
        <w:rPr>
          <w:b/>
        </w:rPr>
      </w:pPr>
    </w:p>
    <w:p w14:paraId="3188B73E" w14:textId="77777777" w:rsidR="00333243" w:rsidRPr="00F6087D" w:rsidRDefault="00817418" w:rsidP="00F6087D">
      <w:pPr>
        <w:jc w:val="both"/>
        <w:rPr>
          <w:rFonts w:asciiTheme="minorHAnsi" w:hAnsiTheme="minorHAnsi"/>
          <w:b/>
        </w:rPr>
      </w:pPr>
      <w:r>
        <w:rPr>
          <w:rFonts w:asciiTheme="minorHAnsi" w:hAnsiTheme="minorHAnsi"/>
          <w:b/>
        </w:rPr>
        <w:t>3.2.1</w:t>
      </w:r>
      <w:r w:rsidR="00F6087D" w:rsidRPr="00F6087D">
        <w:rPr>
          <w:rFonts w:asciiTheme="minorHAnsi" w:hAnsiTheme="minorHAnsi"/>
          <w:b/>
        </w:rPr>
        <w:t xml:space="preserve"> En el SEC </w:t>
      </w:r>
      <w:r w:rsidR="00333243" w:rsidRPr="00F6087D">
        <w:rPr>
          <w:rFonts w:asciiTheme="minorHAnsi" w:hAnsiTheme="minorHAnsi"/>
          <w:b/>
        </w:rPr>
        <w:t>2006-2016</w:t>
      </w:r>
      <w:r w:rsidR="004A3750" w:rsidRPr="00F6087D">
        <w:rPr>
          <w:rStyle w:val="FootnoteReference"/>
          <w:rFonts w:asciiTheme="minorHAnsi" w:hAnsiTheme="minorHAnsi"/>
          <w:b/>
        </w:rPr>
        <w:footnoteReference w:id="17"/>
      </w:r>
    </w:p>
    <w:p w14:paraId="64EA8DC1" w14:textId="77777777" w:rsidR="004654BC" w:rsidRPr="00D64ACB" w:rsidRDefault="004654BC" w:rsidP="004654BC">
      <w:pPr>
        <w:pStyle w:val="ListParagraph"/>
        <w:ind w:left="360"/>
        <w:jc w:val="both"/>
        <w:rPr>
          <w:b/>
        </w:rPr>
      </w:pPr>
    </w:p>
    <w:p w14:paraId="154D02DA" w14:textId="599606BA" w:rsidR="00992A35" w:rsidRPr="00D64ACB" w:rsidRDefault="00992A35" w:rsidP="007A0513">
      <w:pPr>
        <w:pStyle w:val="ListParagraph"/>
        <w:ind w:left="0"/>
        <w:jc w:val="both"/>
      </w:pPr>
      <w:r w:rsidRPr="00D64ACB">
        <w:t>El BID ha venido apoyando diferentes proyectos</w:t>
      </w:r>
      <w:r w:rsidR="00D46457" w:rsidRPr="00D64ACB">
        <w:t xml:space="preserve"> y programas</w:t>
      </w:r>
      <w:r w:rsidRPr="00D64ACB">
        <w:t xml:space="preserve"> </w:t>
      </w:r>
      <w:r w:rsidR="00D46457" w:rsidRPr="00D64ACB">
        <w:t>en el</w:t>
      </w:r>
      <w:r w:rsidRPr="00D64ACB">
        <w:t xml:space="preserve"> SEC en Colombia, </w:t>
      </w:r>
      <w:r w:rsidR="00D46457" w:rsidRPr="00D64ACB">
        <w:t>que han sido de</w:t>
      </w:r>
      <w:r w:rsidRPr="00D64ACB">
        <w:t xml:space="preserve"> importancia para</w:t>
      </w:r>
      <w:r w:rsidR="00D46457" w:rsidRPr="00D64ACB">
        <w:t xml:space="preserve"> el desarrollo y crecimiento del </w:t>
      </w:r>
      <w:r w:rsidRPr="00D64ACB">
        <w:t xml:space="preserve">país. En </w:t>
      </w:r>
      <w:r w:rsidR="00D46457" w:rsidRPr="00D64ACB">
        <w:t>el Anexo 1</w:t>
      </w:r>
      <w:r w:rsidR="004C3E96">
        <w:t>,</w:t>
      </w:r>
      <w:r w:rsidR="00D46457" w:rsidRPr="00D64ACB">
        <w:t xml:space="preserve"> se describen los diferentes proyectos y programas en que ha participado el BID en </w:t>
      </w:r>
      <w:r w:rsidRPr="00D64ACB">
        <w:t xml:space="preserve">los últimos 10 años </w:t>
      </w:r>
      <w:r w:rsidR="00D46457" w:rsidRPr="00D64ACB">
        <w:t xml:space="preserve">en este sector. </w:t>
      </w:r>
    </w:p>
    <w:p w14:paraId="46732196" w14:textId="77777777" w:rsidR="007A0513" w:rsidRPr="00D64ACB" w:rsidRDefault="007A0513" w:rsidP="007A0513">
      <w:pPr>
        <w:pStyle w:val="ListParagraph"/>
        <w:ind w:left="0"/>
        <w:jc w:val="both"/>
      </w:pPr>
    </w:p>
    <w:p w14:paraId="49DC60C4" w14:textId="77777777" w:rsidR="00E42464" w:rsidRPr="00014BA8" w:rsidRDefault="007A0513" w:rsidP="00014BA8">
      <w:pPr>
        <w:pStyle w:val="ListParagraph"/>
        <w:ind w:left="0"/>
        <w:jc w:val="both"/>
      </w:pPr>
      <w:r w:rsidRPr="00014BA8">
        <w:t>De los diferentes proyectos y programas</w:t>
      </w:r>
      <w:r w:rsidR="00014BA8" w:rsidRPr="00014BA8">
        <w:t xml:space="preserve"> </w:t>
      </w:r>
      <w:r w:rsidR="00014BA8">
        <w:t xml:space="preserve">presentados </w:t>
      </w:r>
      <w:r w:rsidR="00014BA8" w:rsidRPr="00014BA8">
        <w:t xml:space="preserve">es importante señalar que son base para </w:t>
      </w:r>
      <w:r w:rsidR="00014BA8">
        <w:t xml:space="preserve">el desarrollo de </w:t>
      </w:r>
      <w:r w:rsidR="00014BA8" w:rsidRPr="00014BA8">
        <w:t>los objetivos propuestos para este PBP</w:t>
      </w:r>
      <w:r w:rsidR="00014BA8">
        <w:t xml:space="preserve"> y que se han ejecutado considerando un horizonte de largo plazo</w:t>
      </w:r>
      <w:r w:rsidR="00AE7896">
        <w:t xml:space="preserve"> para el SEC</w:t>
      </w:r>
      <w:r w:rsidR="00014BA8" w:rsidRPr="00014BA8">
        <w:t>.</w:t>
      </w:r>
    </w:p>
    <w:p w14:paraId="267920E9" w14:textId="77777777" w:rsidR="00110DF7" w:rsidRPr="00D64ACB" w:rsidRDefault="00110DF7" w:rsidP="000B289A">
      <w:pPr>
        <w:jc w:val="both"/>
        <w:rPr>
          <w:rFonts w:asciiTheme="minorHAnsi" w:hAnsiTheme="minorHAnsi"/>
          <w:b/>
        </w:rPr>
      </w:pPr>
    </w:p>
    <w:p w14:paraId="0FF05F18" w14:textId="77777777" w:rsidR="000B289A" w:rsidRPr="00F6087D" w:rsidRDefault="00817418" w:rsidP="007A0513">
      <w:pPr>
        <w:jc w:val="both"/>
        <w:rPr>
          <w:rFonts w:asciiTheme="minorHAnsi" w:hAnsiTheme="minorHAnsi"/>
          <w:b/>
        </w:rPr>
      </w:pPr>
      <w:r>
        <w:rPr>
          <w:rFonts w:asciiTheme="minorHAnsi" w:hAnsiTheme="minorHAnsi"/>
          <w:b/>
        </w:rPr>
        <w:t>3.2.2</w:t>
      </w:r>
      <w:r w:rsidR="00F6087D" w:rsidRPr="00F6087D">
        <w:rPr>
          <w:rFonts w:asciiTheme="minorHAnsi" w:hAnsiTheme="minorHAnsi"/>
          <w:b/>
        </w:rPr>
        <w:t xml:space="preserve"> </w:t>
      </w:r>
      <w:r w:rsidR="007A0513" w:rsidRPr="00F6087D">
        <w:rPr>
          <w:rFonts w:asciiTheme="minorHAnsi" w:hAnsiTheme="minorHAnsi"/>
          <w:b/>
        </w:rPr>
        <w:t>La</w:t>
      </w:r>
      <w:r w:rsidR="000B289A" w:rsidRPr="00F6087D">
        <w:rPr>
          <w:rFonts w:asciiTheme="minorHAnsi" w:hAnsiTheme="minorHAnsi"/>
          <w:b/>
        </w:rPr>
        <w:t xml:space="preserve"> Interconexión Energética Andina</w:t>
      </w:r>
    </w:p>
    <w:tbl>
      <w:tblPr>
        <w:tblW w:w="0" w:type="auto"/>
        <w:tblCellSpacing w:w="0" w:type="dxa"/>
        <w:tblCellMar>
          <w:left w:w="0" w:type="dxa"/>
          <w:right w:w="0" w:type="dxa"/>
        </w:tblCellMar>
        <w:tblLook w:val="04A0" w:firstRow="1" w:lastRow="0" w:firstColumn="1" w:lastColumn="0" w:noHBand="0" w:noVBand="1"/>
      </w:tblPr>
      <w:tblGrid>
        <w:gridCol w:w="8838"/>
      </w:tblGrid>
      <w:tr w:rsidR="000B289A" w:rsidRPr="00D64ACB" w14:paraId="1AFABF6F" w14:textId="77777777" w:rsidTr="000B289A">
        <w:trPr>
          <w:tblCellSpacing w:w="0" w:type="dxa"/>
        </w:trPr>
        <w:tc>
          <w:tcPr>
            <w:tcW w:w="8838" w:type="dxa"/>
            <w:vAlign w:val="center"/>
            <w:hideMark/>
          </w:tcPr>
          <w:p w14:paraId="137CC409" w14:textId="77777777" w:rsidR="000B289A" w:rsidRPr="00D64ACB" w:rsidRDefault="000B289A" w:rsidP="007E6101">
            <w:pPr>
              <w:jc w:val="both"/>
              <w:rPr>
                <w:rFonts w:asciiTheme="minorHAnsi" w:hAnsiTheme="minorHAnsi"/>
              </w:rPr>
            </w:pPr>
          </w:p>
          <w:p w14:paraId="3479361B" w14:textId="77777777" w:rsidR="00546F99" w:rsidRPr="00D64ACB" w:rsidRDefault="000B289A" w:rsidP="00546F99">
            <w:pPr>
              <w:pStyle w:val="ListParagraph"/>
              <w:ind w:left="0"/>
              <w:jc w:val="both"/>
              <w:rPr>
                <w:lang w:val="es-ES_tradnl"/>
              </w:rPr>
            </w:pPr>
            <w:r w:rsidRPr="00D64ACB">
              <w:rPr>
                <w:lang w:val="es-ES_tradnl"/>
              </w:rPr>
              <w:t>La integración física es considerada uno de los mecanismos clave para el alcance de los objetivos de integración enunciados en el Acuerdo de Cartagena, instrumento jurídico fundacional de la Comunidad Andina de Naciones (CAN). En particular, la integración energética cumple un rol muy significativo en el desarrollo económico, social y ambiental de los países de la CAN al promover el uso racional y eficiente de los recursos naturales, optimizar los costos de la generación de energía y garantizar su suministro.</w:t>
            </w:r>
          </w:p>
          <w:p w14:paraId="291D836D" w14:textId="77777777" w:rsidR="00546F99" w:rsidRPr="00D64ACB" w:rsidRDefault="00546F99" w:rsidP="00546F99">
            <w:pPr>
              <w:pStyle w:val="ListParagraph"/>
              <w:ind w:left="0"/>
              <w:jc w:val="both"/>
              <w:rPr>
                <w:lang w:val="es-ES_tradnl"/>
              </w:rPr>
            </w:pPr>
          </w:p>
          <w:p w14:paraId="6C47A95D" w14:textId="48DEA335" w:rsidR="000B289A" w:rsidRPr="00D64ACB" w:rsidRDefault="000B289A" w:rsidP="00546F99">
            <w:pPr>
              <w:pStyle w:val="ListParagraph"/>
              <w:ind w:left="0"/>
              <w:jc w:val="both"/>
              <w:rPr>
                <w:lang w:val="es-ES_tradnl"/>
              </w:rPr>
            </w:pPr>
            <w:r w:rsidRPr="00D64ACB">
              <w:rPr>
                <w:lang w:val="es-ES_tradnl"/>
              </w:rPr>
              <w:t xml:space="preserve">Con la reformulación de una nueva visión de la CAN para el siglo XXI y la puesta en marcha de la </w:t>
            </w:r>
            <w:hyperlink r:id="rId16" w:history="1">
              <w:r w:rsidRPr="00D64ACB">
                <w:rPr>
                  <w:rStyle w:val="Hyperlink"/>
                  <w:color w:val="auto"/>
                  <w:u w:val="none"/>
                  <w:lang w:val="es-ES_tradnl"/>
                </w:rPr>
                <w:t>Agenda Estratégica Andina</w:t>
              </w:r>
            </w:hyperlink>
            <w:r w:rsidR="003534B6">
              <w:rPr>
                <w:lang w:val="es-ES_tradnl"/>
              </w:rPr>
              <w:t xml:space="preserve"> de 2010</w:t>
            </w:r>
            <w:r w:rsidR="004C3E96">
              <w:rPr>
                <w:lang w:val="es-ES_tradnl"/>
              </w:rPr>
              <w:t>,</w:t>
            </w:r>
            <w:r w:rsidR="003534B6">
              <w:rPr>
                <w:lang w:val="es-ES_tradnl"/>
              </w:rPr>
              <w:t xml:space="preserve"> se ampliaron</w:t>
            </w:r>
            <w:r w:rsidRPr="00D64ACB">
              <w:rPr>
                <w:lang w:val="es-ES_tradnl"/>
              </w:rPr>
              <w:t xml:space="preserve"> las prioridades fijadas en el campo de la integración energética y se establecieron los siguientes lineamientos:</w:t>
            </w:r>
          </w:p>
          <w:p w14:paraId="14393A8A" w14:textId="77777777" w:rsidR="000B289A" w:rsidRPr="00D64ACB" w:rsidRDefault="000B289A" w:rsidP="007E6101">
            <w:pPr>
              <w:pStyle w:val="ListParagraph"/>
              <w:ind w:left="360"/>
              <w:jc w:val="both"/>
              <w:rPr>
                <w:lang w:val="es-ES_tradnl"/>
              </w:rPr>
            </w:pPr>
            <w:r w:rsidRPr="00D64ACB">
              <w:rPr>
                <w:lang w:val="es-ES_tradnl"/>
              </w:rPr>
              <w:t> </w:t>
            </w:r>
          </w:p>
          <w:p w14:paraId="72878D62" w14:textId="77777777" w:rsidR="000B289A" w:rsidRPr="00D64ACB" w:rsidRDefault="000B289A" w:rsidP="0018436E">
            <w:pPr>
              <w:pStyle w:val="ListParagraph"/>
              <w:numPr>
                <w:ilvl w:val="0"/>
                <w:numId w:val="2"/>
              </w:numPr>
              <w:spacing w:after="150"/>
              <w:jc w:val="both"/>
            </w:pPr>
            <w:r w:rsidRPr="00D64ACB">
              <w:t>Promover la cooperación hidrocarburífera, minera e hidroeléctrica en el marco del respeto y protección del medio ambiente.</w:t>
            </w:r>
          </w:p>
          <w:p w14:paraId="5547CCDB" w14:textId="77777777" w:rsidR="000B289A" w:rsidRPr="00D64ACB" w:rsidRDefault="000B289A" w:rsidP="0018436E">
            <w:pPr>
              <w:pStyle w:val="ListParagraph"/>
              <w:numPr>
                <w:ilvl w:val="0"/>
                <w:numId w:val="2"/>
              </w:numPr>
              <w:spacing w:after="150"/>
              <w:jc w:val="both"/>
            </w:pPr>
            <w:r w:rsidRPr="00D64ACB">
              <w:t>Fortalecer el Consejo de Ministros de Energía, Electricidad, Hidrocarburos y Minas de la Comunidad Andina y el Comité Andino de Organismos Normativos y Reguladores de Electricidad (CANREL).</w:t>
            </w:r>
          </w:p>
          <w:p w14:paraId="3E8AC8E6" w14:textId="77777777" w:rsidR="000B289A" w:rsidRPr="00D64ACB" w:rsidRDefault="000B289A" w:rsidP="0018436E">
            <w:pPr>
              <w:pStyle w:val="ListParagraph"/>
              <w:numPr>
                <w:ilvl w:val="0"/>
                <w:numId w:val="2"/>
              </w:numPr>
              <w:spacing w:after="150"/>
              <w:jc w:val="both"/>
            </w:pPr>
            <w:r w:rsidRPr="00D64ACB">
              <w:t>Evaluar la importancia de promover el cambio de la matriz energética.</w:t>
            </w:r>
          </w:p>
          <w:p w14:paraId="6D49E323" w14:textId="77777777" w:rsidR="000B289A" w:rsidRPr="00D64ACB" w:rsidRDefault="000B289A" w:rsidP="0018436E">
            <w:pPr>
              <w:pStyle w:val="ListParagraph"/>
              <w:numPr>
                <w:ilvl w:val="0"/>
                <w:numId w:val="2"/>
              </w:numPr>
              <w:spacing w:after="150"/>
              <w:jc w:val="both"/>
            </w:pPr>
            <w:r w:rsidRPr="00D64ACB">
              <w:t>Fomentar energías renovables.</w:t>
            </w:r>
          </w:p>
          <w:p w14:paraId="469BAFC6" w14:textId="77777777" w:rsidR="000B289A" w:rsidRPr="00D64ACB" w:rsidRDefault="000B289A" w:rsidP="0018436E">
            <w:pPr>
              <w:pStyle w:val="ListParagraph"/>
              <w:numPr>
                <w:ilvl w:val="0"/>
                <w:numId w:val="2"/>
              </w:numPr>
              <w:spacing w:after="150"/>
              <w:jc w:val="both"/>
            </w:pPr>
            <w:r w:rsidRPr="00D64ACB">
              <w:t>Facilitar procesos de integración energética.</w:t>
            </w:r>
          </w:p>
          <w:p w14:paraId="5DB314B9" w14:textId="77777777" w:rsidR="000B289A" w:rsidRPr="00D64ACB" w:rsidRDefault="000B289A" w:rsidP="0018436E">
            <w:pPr>
              <w:pStyle w:val="ListParagraph"/>
              <w:numPr>
                <w:ilvl w:val="0"/>
                <w:numId w:val="2"/>
              </w:numPr>
              <w:spacing w:after="150"/>
              <w:jc w:val="both"/>
            </w:pPr>
            <w:r w:rsidRPr="00D64ACB">
              <w:t>Evaluar las transacciones internacionales de energía eléctrica y los escenarios de abastecimiento y planeamiento estratégico a largo plazo.</w:t>
            </w:r>
          </w:p>
          <w:p w14:paraId="3A2ED639" w14:textId="77777777" w:rsidR="000B289A" w:rsidRPr="00D64ACB" w:rsidRDefault="000B289A" w:rsidP="0018436E">
            <w:pPr>
              <w:pStyle w:val="ListParagraph"/>
              <w:numPr>
                <w:ilvl w:val="0"/>
                <w:numId w:val="2"/>
              </w:numPr>
              <w:spacing w:after="150"/>
              <w:jc w:val="both"/>
            </w:pPr>
            <w:r w:rsidRPr="00D64ACB">
              <w:t>Fortalecer la definición de acciones a seguir en materia de alternativas de interconexión eléctrica.</w:t>
            </w:r>
          </w:p>
          <w:p w14:paraId="31DD1A74" w14:textId="2027F97A" w:rsidR="00546F99" w:rsidRPr="00D64ACB" w:rsidRDefault="000B289A" w:rsidP="00546F99">
            <w:pPr>
              <w:jc w:val="both"/>
              <w:rPr>
                <w:rFonts w:asciiTheme="minorHAnsi" w:hAnsiTheme="minorHAnsi"/>
              </w:rPr>
            </w:pPr>
            <w:r w:rsidRPr="00D64ACB">
              <w:rPr>
                <w:rFonts w:asciiTheme="minorHAnsi" w:hAnsiTheme="minorHAnsi"/>
              </w:rPr>
              <w:t xml:space="preserve">En la misma dirección integracionista y con miras a mejorar el comercio de energía eléctrica entre los países andinos, en abril de 2011, se constituyó el </w:t>
            </w:r>
            <w:hyperlink r:id="rId17" w:history="1">
              <w:r w:rsidRPr="00D64ACB">
                <w:rPr>
                  <w:rStyle w:val="Hyperlink"/>
                  <w:rFonts w:asciiTheme="minorHAnsi" w:hAnsiTheme="minorHAnsi"/>
                  <w:color w:val="auto"/>
                  <w:u w:val="none"/>
                </w:rPr>
                <w:t>Sistema de Interconexión Eléctrica Andina</w:t>
              </w:r>
            </w:hyperlink>
            <w:r w:rsidRPr="00D64ACB">
              <w:rPr>
                <w:rFonts w:asciiTheme="minorHAnsi" w:hAnsiTheme="minorHAnsi"/>
              </w:rPr>
              <w:t xml:space="preserve"> (SINEA). Los Ministros de Relaciones Exteriores y funcionarios del sector eléctrico de Colombia, Chile (como país asociado a la CAN), Ecuador, Perú y Bolivia (este último en calidad de observador) emitieron la </w:t>
            </w:r>
            <w:hyperlink r:id="rId18" w:history="1">
              <w:r w:rsidRPr="00D64ACB">
                <w:rPr>
                  <w:rStyle w:val="Hyperlink"/>
                  <w:rFonts w:asciiTheme="minorHAnsi" w:hAnsiTheme="minorHAnsi"/>
                  <w:color w:val="auto"/>
                  <w:u w:val="none"/>
                </w:rPr>
                <w:t>Declaración de Galápagos</w:t>
              </w:r>
            </w:hyperlink>
            <w:r w:rsidR="004C3E96">
              <w:rPr>
                <w:rStyle w:val="Hyperlink"/>
                <w:rFonts w:asciiTheme="minorHAnsi" w:hAnsiTheme="minorHAnsi"/>
                <w:color w:val="auto"/>
                <w:u w:val="none"/>
              </w:rPr>
              <w:t>,</w:t>
            </w:r>
            <w:r w:rsidRPr="00D64ACB">
              <w:rPr>
                <w:rFonts w:asciiTheme="minorHAnsi" w:hAnsiTheme="minorHAnsi"/>
              </w:rPr>
              <w:t xml:space="preserve"> la cual prevé el desarrollo de un Corredor Eléctrico Andino</w:t>
            </w:r>
            <w:r w:rsidR="00546F99" w:rsidRPr="00D64ACB">
              <w:rPr>
                <w:rFonts w:asciiTheme="minorHAnsi" w:hAnsiTheme="minorHAnsi"/>
              </w:rPr>
              <w:t>.</w:t>
            </w:r>
            <w:r w:rsidRPr="00D64ACB">
              <w:rPr>
                <w:rFonts w:asciiTheme="minorHAnsi" w:hAnsiTheme="minorHAnsi"/>
              </w:rPr>
              <w:t xml:space="preserve"> Se acordó que el </w:t>
            </w:r>
            <w:r w:rsidRPr="00D64ACB">
              <w:rPr>
                <w:rFonts w:asciiTheme="minorHAnsi" w:hAnsiTheme="minorHAnsi"/>
              </w:rPr>
              <w:lastRenderedPageBreak/>
              <w:t xml:space="preserve">Consejo de Ministros del SINEA es la máxima instancia de decisión de esta iniciativa y se conformaron grupos de trabajo de planificación y regulación. </w:t>
            </w:r>
          </w:p>
          <w:p w14:paraId="0A4CB481" w14:textId="77777777" w:rsidR="00546F99" w:rsidRPr="00D64ACB" w:rsidRDefault="00546F99" w:rsidP="00546F99">
            <w:pPr>
              <w:jc w:val="both"/>
              <w:rPr>
                <w:rFonts w:asciiTheme="minorHAnsi" w:hAnsiTheme="minorHAnsi"/>
              </w:rPr>
            </w:pPr>
          </w:p>
          <w:p w14:paraId="3BB55C9B" w14:textId="77777777" w:rsidR="000B289A" w:rsidRPr="00D64ACB" w:rsidRDefault="000B289A" w:rsidP="00546F99">
            <w:pPr>
              <w:jc w:val="both"/>
              <w:rPr>
                <w:rFonts w:asciiTheme="minorHAnsi" w:hAnsiTheme="minorHAnsi"/>
              </w:rPr>
            </w:pPr>
            <w:r w:rsidRPr="00D64ACB">
              <w:rPr>
                <w:rFonts w:asciiTheme="minorHAnsi" w:hAnsiTheme="minorHAnsi"/>
              </w:rPr>
              <w:t>El BID, a través de la Cooperación Técnica</w:t>
            </w:r>
            <w:r w:rsidR="003534B6">
              <w:rPr>
                <w:rFonts w:asciiTheme="minorHAnsi" w:hAnsiTheme="minorHAnsi"/>
              </w:rPr>
              <w:t xml:space="preserve"> (CT)</w:t>
            </w:r>
            <w:r w:rsidRPr="00D64ACB">
              <w:rPr>
                <w:rFonts w:asciiTheme="minorHAnsi" w:hAnsiTheme="minorHAnsi"/>
              </w:rPr>
              <w:t xml:space="preserve"> "</w:t>
            </w:r>
            <w:hyperlink r:id="rId19" w:history="1">
              <w:r w:rsidRPr="00D64ACB">
                <w:rPr>
                  <w:rStyle w:val="Hyperlink"/>
                  <w:rFonts w:asciiTheme="minorHAnsi" w:hAnsiTheme="minorHAnsi"/>
                  <w:color w:val="auto"/>
                  <w:u w:val="none"/>
                </w:rPr>
                <w:t>Apoyo a los Estudios de Interconexión Eléctrica Andina</w:t>
              </w:r>
            </w:hyperlink>
            <w:r w:rsidRPr="00D64ACB">
              <w:rPr>
                <w:rFonts w:asciiTheme="minorHAnsi" w:hAnsiTheme="minorHAnsi"/>
              </w:rPr>
              <w:t xml:space="preserve">", </w:t>
            </w:r>
            <w:r w:rsidR="0037577B" w:rsidRPr="00D64ACB">
              <w:rPr>
                <w:rFonts w:asciiTheme="minorHAnsi" w:hAnsiTheme="minorHAnsi"/>
              </w:rPr>
              <w:t>apoyó</w:t>
            </w:r>
            <w:r w:rsidRPr="00D64ACB">
              <w:rPr>
                <w:rFonts w:asciiTheme="minorHAnsi" w:hAnsiTheme="minorHAnsi"/>
              </w:rPr>
              <w:t xml:space="preserve"> al SINEA para lograr tres objetivos:</w:t>
            </w:r>
          </w:p>
          <w:p w14:paraId="37AE7270" w14:textId="77777777" w:rsidR="000B289A" w:rsidRPr="00D64ACB" w:rsidRDefault="000B289A" w:rsidP="007E6101">
            <w:pPr>
              <w:pStyle w:val="ListParagraph"/>
              <w:ind w:left="360"/>
              <w:jc w:val="both"/>
              <w:rPr>
                <w:lang w:val="es-ES_tradnl"/>
              </w:rPr>
            </w:pPr>
            <w:r w:rsidRPr="00D64ACB">
              <w:rPr>
                <w:lang w:val="es-ES_tradnl"/>
              </w:rPr>
              <w:t> </w:t>
            </w:r>
          </w:p>
          <w:p w14:paraId="3A68FB25" w14:textId="77777777" w:rsidR="000B289A" w:rsidRPr="00D64ACB" w:rsidRDefault="000B289A" w:rsidP="0018436E">
            <w:pPr>
              <w:pStyle w:val="ListParagraph"/>
              <w:numPr>
                <w:ilvl w:val="0"/>
                <w:numId w:val="2"/>
              </w:numPr>
              <w:spacing w:after="150"/>
              <w:jc w:val="both"/>
            </w:pPr>
            <w:r w:rsidRPr="00D64ACB">
              <w:t>Establecer los principios y lineamientos necesarios para la armonización regulatoria de los paí</w:t>
            </w:r>
            <w:r w:rsidR="00CC7F00" w:rsidRPr="00D64ACB">
              <w:t>ses partícipes de la iniciativa.</w:t>
            </w:r>
          </w:p>
          <w:p w14:paraId="687786B7" w14:textId="77777777" w:rsidR="000B289A" w:rsidRPr="00D64ACB" w:rsidRDefault="000B289A" w:rsidP="0018436E">
            <w:pPr>
              <w:pStyle w:val="ListParagraph"/>
              <w:numPr>
                <w:ilvl w:val="0"/>
                <w:numId w:val="2"/>
              </w:numPr>
              <w:spacing w:after="150"/>
              <w:jc w:val="both"/>
            </w:pPr>
            <w:r w:rsidRPr="00D64ACB">
              <w:t>Identificar y evaluar las posibles alternativas sostenibles de interconexión eléctrica andina</w:t>
            </w:r>
            <w:r w:rsidR="00CC7F00" w:rsidRPr="00D64ACB">
              <w:t>.</w:t>
            </w:r>
          </w:p>
          <w:p w14:paraId="4C78173C" w14:textId="77777777" w:rsidR="000B289A" w:rsidRPr="00D64ACB" w:rsidRDefault="000B289A" w:rsidP="0018436E">
            <w:pPr>
              <w:pStyle w:val="ListParagraph"/>
              <w:numPr>
                <w:ilvl w:val="0"/>
                <w:numId w:val="2"/>
              </w:numPr>
              <w:spacing w:after="150"/>
              <w:jc w:val="both"/>
            </w:pPr>
            <w:r w:rsidRPr="00D64ACB">
              <w:t>Analizar las opciones de interconexión eléctrica andina en términos de costos, cronogramas y requerimientos socio-ambientales.</w:t>
            </w:r>
          </w:p>
          <w:p w14:paraId="36204332" w14:textId="77777777" w:rsidR="000B289A" w:rsidRPr="00D64ACB" w:rsidRDefault="000B289A" w:rsidP="007E6101">
            <w:pPr>
              <w:pStyle w:val="ListParagraph"/>
              <w:ind w:left="360"/>
              <w:jc w:val="both"/>
              <w:rPr>
                <w:lang w:val="es-ES_tradnl"/>
              </w:rPr>
            </w:pPr>
            <w:r w:rsidRPr="00D64ACB">
              <w:rPr>
                <w:lang w:val="es-ES_tradnl"/>
              </w:rPr>
              <w:t> </w:t>
            </w:r>
          </w:p>
          <w:p w14:paraId="0EBEAC4F" w14:textId="77777777" w:rsidR="000B289A" w:rsidRPr="00D64ACB" w:rsidRDefault="000B289A" w:rsidP="00546F99">
            <w:pPr>
              <w:jc w:val="both"/>
              <w:rPr>
                <w:rFonts w:asciiTheme="minorHAnsi" w:hAnsiTheme="minorHAnsi"/>
              </w:rPr>
            </w:pPr>
            <w:r w:rsidRPr="00D64ACB">
              <w:rPr>
                <w:rFonts w:asciiTheme="minorHAnsi" w:hAnsiTheme="minorHAnsi"/>
              </w:rPr>
              <w:t>El programa de apoyo incluye compromisos, cronograma de actividades y definición de responsabilidades para la creación de una</w:t>
            </w:r>
            <w:r w:rsidR="00CC7F00" w:rsidRPr="00D64ACB">
              <w:rPr>
                <w:rFonts w:asciiTheme="minorHAnsi" w:hAnsiTheme="minorHAnsi"/>
              </w:rPr>
              <w:t xml:space="preserve"> Hoja de Ruta de la Integración,</w:t>
            </w:r>
            <w:r w:rsidRPr="00D64ACB">
              <w:rPr>
                <w:rFonts w:asciiTheme="minorHAnsi" w:hAnsiTheme="minorHAnsi"/>
              </w:rPr>
              <w:t xml:space="preserve"> estudios de armonización regulatoria y de planeación regional para la infraestructura eléctrica, así como tareas de coordinación de la iniciativa regional. </w:t>
            </w:r>
          </w:p>
          <w:p w14:paraId="43E50FB1" w14:textId="77777777" w:rsidR="000B289A" w:rsidRPr="00D64ACB" w:rsidRDefault="000B289A" w:rsidP="007E6101">
            <w:pPr>
              <w:pStyle w:val="ListParagraph"/>
              <w:ind w:left="360"/>
              <w:jc w:val="both"/>
              <w:rPr>
                <w:lang w:val="es-ES_tradnl"/>
              </w:rPr>
            </w:pPr>
          </w:p>
          <w:p w14:paraId="4597CD98" w14:textId="77777777" w:rsidR="00976A0E" w:rsidRPr="00F6087D" w:rsidRDefault="00817418" w:rsidP="007A0513">
            <w:pPr>
              <w:jc w:val="both"/>
              <w:rPr>
                <w:rFonts w:asciiTheme="minorHAnsi" w:hAnsiTheme="minorHAnsi"/>
                <w:b/>
              </w:rPr>
            </w:pPr>
            <w:r>
              <w:rPr>
                <w:rFonts w:asciiTheme="minorHAnsi" w:hAnsiTheme="minorHAnsi"/>
                <w:b/>
              </w:rPr>
              <w:t>3.2.3</w:t>
            </w:r>
            <w:r w:rsidR="00F6087D" w:rsidRPr="00F6087D">
              <w:rPr>
                <w:rFonts w:asciiTheme="minorHAnsi" w:hAnsiTheme="minorHAnsi"/>
                <w:b/>
              </w:rPr>
              <w:t xml:space="preserve"> </w:t>
            </w:r>
            <w:r w:rsidR="00976A0E" w:rsidRPr="00F6087D">
              <w:rPr>
                <w:rFonts w:asciiTheme="minorHAnsi" w:hAnsiTheme="minorHAnsi"/>
                <w:b/>
              </w:rPr>
              <w:t>SIEPAC</w:t>
            </w:r>
          </w:p>
          <w:p w14:paraId="6BB72751" w14:textId="77777777" w:rsidR="00976A0E" w:rsidRPr="00D64ACB" w:rsidRDefault="00976A0E" w:rsidP="00976A0E">
            <w:pPr>
              <w:pStyle w:val="ListParagraph"/>
              <w:ind w:left="360"/>
              <w:jc w:val="both"/>
              <w:rPr>
                <w:lang w:val="es-ES_tradnl"/>
              </w:rPr>
            </w:pPr>
          </w:p>
          <w:p w14:paraId="6C6C4C3A" w14:textId="3954F3E3" w:rsidR="00976A0E" w:rsidRPr="00D64ACB" w:rsidRDefault="00976A0E" w:rsidP="00546F99">
            <w:pPr>
              <w:pStyle w:val="ListParagraph"/>
              <w:ind w:left="0"/>
              <w:jc w:val="both"/>
              <w:rPr>
                <w:lang w:val="es-ES_tradnl"/>
              </w:rPr>
            </w:pPr>
            <w:r w:rsidRPr="00D64ACB">
              <w:rPr>
                <w:lang w:val="es-ES_tradnl"/>
              </w:rPr>
              <w:t>El BID apoyó el proyecto Sistema de Interconexión Eléctrica de los Países de América Central (SIEPAC), que es uno de los proyectos regionales más importante que el BID ha acomp</w:t>
            </w:r>
            <w:r w:rsidR="00546F99" w:rsidRPr="00D64ACB">
              <w:rPr>
                <w:lang w:val="es-ES_tradnl"/>
              </w:rPr>
              <w:t xml:space="preserve">añado técnica </w:t>
            </w:r>
            <w:r w:rsidRPr="00D64ACB">
              <w:rPr>
                <w:lang w:val="es-ES_tradnl"/>
              </w:rPr>
              <w:t xml:space="preserve">y financieramente. Su implementación ha implicado no solo el diseño, ingeniería y construcción de una línea de transmisión de 1.800 Km a lo largo de seis países, sino el acuerdo y compromiso político por desarrollar una institucionalidad regional y el marco normativo correspondiente para poner en operación un mercado eléctrico regional </w:t>
            </w:r>
            <w:r w:rsidR="00111166">
              <w:rPr>
                <w:lang w:val="es-ES_tradnl"/>
              </w:rPr>
              <w:t xml:space="preserve">(MER) </w:t>
            </w:r>
            <w:r w:rsidRPr="00D64ACB">
              <w:rPr>
                <w:lang w:val="es-ES_tradnl"/>
              </w:rPr>
              <w:t>que hoy presenta un índice creciente de transacciones.</w:t>
            </w:r>
          </w:p>
          <w:p w14:paraId="11B54C60" w14:textId="77777777" w:rsidR="00976A0E" w:rsidRPr="00D64ACB" w:rsidRDefault="00976A0E" w:rsidP="00976A0E">
            <w:pPr>
              <w:jc w:val="both"/>
              <w:rPr>
                <w:rFonts w:asciiTheme="minorHAnsi" w:hAnsiTheme="minorHAnsi"/>
              </w:rPr>
            </w:pPr>
          </w:p>
          <w:p w14:paraId="733FC9BA" w14:textId="3B1AD147" w:rsidR="00546F99" w:rsidRPr="00D64ACB" w:rsidRDefault="00976A0E" w:rsidP="00546F99">
            <w:pPr>
              <w:pStyle w:val="ListParagraph"/>
              <w:ind w:left="0"/>
              <w:jc w:val="both"/>
              <w:rPr>
                <w:lang w:val="es-ES_tradnl"/>
              </w:rPr>
            </w:pPr>
            <w:r w:rsidRPr="00D64ACB">
              <w:rPr>
                <w:lang w:val="es-ES_tradnl"/>
              </w:rPr>
              <w:t>Las autoridades de energía mesoamericanas se comprometieron a continuar impulsando la integración energética regional mediante acciones que permitan</w:t>
            </w:r>
            <w:r w:rsidR="0037577B" w:rsidRPr="00D64ACB">
              <w:rPr>
                <w:lang w:val="es-ES_tradnl"/>
              </w:rPr>
              <w:t xml:space="preserve">: </w:t>
            </w:r>
            <w:r w:rsidR="002C565F" w:rsidRPr="00D64ACB">
              <w:rPr>
                <w:lang w:val="es-ES_tradnl"/>
              </w:rPr>
              <w:t>i</w:t>
            </w:r>
            <w:r w:rsidRPr="00D64ACB">
              <w:rPr>
                <w:lang w:val="es-ES_tradnl"/>
              </w:rPr>
              <w:t>) el fortalecimiento de la infraestructura del SIEPAC mediante el desarrollo de las obras y medidas adicionales así como la instalación del segundo ci</w:t>
            </w:r>
            <w:r w:rsidR="0037577B" w:rsidRPr="00D64ACB">
              <w:rPr>
                <w:lang w:val="es-ES_tradnl"/>
              </w:rPr>
              <w:t>rcuito del SIEPAC, que garantice</w:t>
            </w:r>
            <w:r w:rsidRPr="00D64ACB">
              <w:rPr>
                <w:lang w:val="es-ES_tradnl"/>
              </w:rPr>
              <w:t xml:space="preserve"> las capacidades de transferencia de pot</w:t>
            </w:r>
            <w:r w:rsidR="007706B8" w:rsidRPr="00D64ACB">
              <w:rPr>
                <w:lang w:val="es-ES_tradnl"/>
              </w:rPr>
              <w:t xml:space="preserve">encia diseñadas en el proyecto, </w:t>
            </w:r>
            <w:r w:rsidR="002C565F" w:rsidRPr="00D64ACB">
              <w:rPr>
                <w:lang w:val="es-ES_tradnl"/>
              </w:rPr>
              <w:t>ii</w:t>
            </w:r>
            <w:r w:rsidRPr="00D64ACB">
              <w:rPr>
                <w:lang w:val="es-ES_tradnl"/>
              </w:rPr>
              <w:t>) la dinamización del MER</w:t>
            </w:r>
            <w:r w:rsidR="00111166">
              <w:rPr>
                <w:lang w:val="es-ES_tradnl"/>
              </w:rPr>
              <w:t xml:space="preserve"> </w:t>
            </w:r>
            <w:r w:rsidRPr="00D64ACB">
              <w:rPr>
                <w:lang w:val="es-ES_tradnl"/>
              </w:rPr>
              <w:t>mediante la promoción del marco regulatorio que permita contar con contratos firmes de largo plazo y con inversión privada en p</w:t>
            </w:r>
            <w:r w:rsidR="007706B8" w:rsidRPr="00D64ACB">
              <w:rPr>
                <w:lang w:val="es-ES_tradnl"/>
              </w:rPr>
              <w:t>royectos de generación regional</w:t>
            </w:r>
            <w:r w:rsidR="002C565F" w:rsidRPr="00D64ACB">
              <w:rPr>
                <w:lang w:val="es-ES_tradnl"/>
              </w:rPr>
              <w:t xml:space="preserve"> y iii</w:t>
            </w:r>
            <w:r w:rsidRPr="00D64ACB">
              <w:rPr>
                <w:lang w:val="es-ES_tradnl"/>
              </w:rPr>
              <w:t xml:space="preserve">) el apoyo a la implementación de las mejores opciones técnico-económicas para la introducción del </w:t>
            </w:r>
            <w:r w:rsidR="00111166">
              <w:rPr>
                <w:lang w:val="es-ES_tradnl"/>
              </w:rPr>
              <w:t>GN</w:t>
            </w:r>
            <w:r w:rsidRPr="00D64ACB">
              <w:rPr>
                <w:lang w:val="es-ES_tradnl"/>
              </w:rPr>
              <w:t xml:space="preserve"> en la región centroamericana.</w:t>
            </w:r>
          </w:p>
          <w:p w14:paraId="712AD004" w14:textId="77777777" w:rsidR="00546F99" w:rsidRPr="00D64ACB" w:rsidRDefault="00546F99" w:rsidP="00546F99">
            <w:pPr>
              <w:pStyle w:val="ListParagraph"/>
              <w:ind w:left="0"/>
              <w:jc w:val="both"/>
              <w:rPr>
                <w:lang w:val="es-ES_tradnl"/>
              </w:rPr>
            </w:pPr>
          </w:p>
          <w:p w14:paraId="127B1594" w14:textId="0EDB6CE2" w:rsidR="00976A0E" w:rsidRPr="00D64ACB" w:rsidRDefault="0037577B" w:rsidP="00546F99">
            <w:pPr>
              <w:pStyle w:val="ListParagraph"/>
              <w:ind w:left="0"/>
              <w:jc w:val="both"/>
              <w:rPr>
                <w:lang w:val="es-ES_tradnl"/>
              </w:rPr>
            </w:pPr>
            <w:r w:rsidRPr="00D64ACB">
              <w:rPr>
                <w:lang w:val="es-ES_tradnl"/>
              </w:rPr>
              <w:t>E</w:t>
            </w:r>
            <w:r w:rsidR="00976A0E" w:rsidRPr="00D64ACB">
              <w:rPr>
                <w:lang w:val="es-ES_tradnl"/>
              </w:rPr>
              <w:t xml:space="preserve">l BID </w:t>
            </w:r>
            <w:r w:rsidRPr="00D64ACB">
              <w:rPr>
                <w:lang w:val="es-ES_tradnl"/>
              </w:rPr>
              <w:t>continuará</w:t>
            </w:r>
            <w:r w:rsidR="00976A0E" w:rsidRPr="00D64ACB">
              <w:rPr>
                <w:lang w:val="es-ES_tradnl"/>
              </w:rPr>
              <w:t xml:space="preserve"> apoyando las iniciativas de integración regional, en particular </w:t>
            </w:r>
            <w:r w:rsidR="002C565F" w:rsidRPr="00D64ACB">
              <w:rPr>
                <w:lang w:val="es-ES_tradnl"/>
              </w:rPr>
              <w:t>las interconexiones</w:t>
            </w:r>
            <w:r w:rsidR="00976A0E" w:rsidRPr="00D64ACB">
              <w:rPr>
                <w:lang w:val="es-ES_tradnl"/>
              </w:rPr>
              <w:t xml:space="preserve"> México-Guatemala y Panamá-Colombia y avanzar</w:t>
            </w:r>
            <w:r w:rsidR="00111166">
              <w:rPr>
                <w:lang w:val="es-ES_tradnl"/>
              </w:rPr>
              <w:t>,</w:t>
            </w:r>
            <w:r w:rsidR="00976A0E" w:rsidRPr="00D64ACB">
              <w:rPr>
                <w:lang w:val="es-ES_tradnl"/>
              </w:rPr>
              <w:t xml:space="preserve"> en la consolidació</w:t>
            </w:r>
            <w:r w:rsidRPr="00D64ACB">
              <w:rPr>
                <w:lang w:val="es-ES_tradnl"/>
              </w:rPr>
              <w:t>n y fortalecimiento del SIEPAC.</w:t>
            </w:r>
          </w:p>
          <w:p w14:paraId="16F78671" w14:textId="77777777" w:rsidR="0037577B" w:rsidRPr="00D64ACB" w:rsidRDefault="0037577B" w:rsidP="00976A0E">
            <w:pPr>
              <w:pStyle w:val="ListParagraph"/>
              <w:ind w:left="360"/>
              <w:jc w:val="both"/>
              <w:rPr>
                <w:lang w:val="es-ES_tradnl"/>
              </w:rPr>
            </w:pPr>
          </w:p>
          <w:p w14:paraId="30ED4EF4" w14:textId="56AE2E63" w:rsidR="000B289A" w:rsidRPr="00D64ACB" w:rsidRDefault="00976A0E" w:rsidP="00546F99">
            <w:pPr>
              <w:jc w:val="both"/>
              <w:rPr>
                <w:rFonts w:asciiTheme="minorHAnsi" w:hAnsiTheme="minorHAnsi"/>
              </w:rPr>
            </w:pPr>
            <w:r w:rsidRPr="00D64ACB">
              <w:rPr>
                <w:rFonts w:asciiTheme="minorHAnsi" w:hAnsiTheme="minorHAnsi"/>
              </w:rPr>
              <w:t>La red eléctrica regional</w:t>
            </w:r>
            <w:r w:rsidR="0037577B" w:rsidRPr="00D64ACB">
              <w:rPr>
                <w:rFonts w:asciiTheme="minorHAnsi" w:hAnsiTheme="minorHAnsi"/>
              </w:rPr>
              <w:t xml:space="preserve"> ha tenido un costo total de</w:t>
            </w:r>
            <w:r w:rsidR="00111166">
              <w:rPr>
                <w:rFonts w:asciiTheme="minorHAnsi" w:hAnsiTheme="minorHAnsi"/>
              </w:rPr>
              <w:t>l orden de</w:t>
            </w:r>
            <w:r w:rsidR="0037577B" w:rsidRPr="00D64ACB">
              <w:rPr>
                <w:rFonts w:asciiTheme="minorHAnsi" w:hAnsiTheme="minorHAnsi"/>
              </w:rPr>
              <w:t xml:space="preserve"> USD</w:t>
            </w:r>
            <w:r w:rsidR="00943A6C">
              <w:rPr>
                <w:rFonts w:asciiTheme="minorHAnsi" w:hAnsiTheme="minorHAnsi"/>
              </w:rPr>
              <w:t xml:space="preserve"> </w:t>
            </w:r>
            <w:r w:rsidR="00EB6934" w:rsidRPr="00D64ACB">
              <w:rPr>
                <w:rFonts w:asciiTheme="minorHAnsi" w:hAnsiTheme="minorHAnsi"/>
              </w:rPr>
              <w:t>507,</w:t>
            </w:r>
            <w:r w:rsidRPr="00D64ACB">
              <w:rPr>
                <w:rFonts w:asciiTheme="minorHAnsi" w:hAnsiTheme="minorHAnsi"/>
              </w:rPr>
              <w:t>7 millones</w:t>
            </w:r>
            <w:r w:rsidR="00EB6934" w:rsidRPr="00D64ACB">
              <w:rPr>
                <w:rFonts w:asciiTheme="minorHAnsi" w:hAnsiTheme="minorHAnsi"/>
              </w:rPr>
              <w:t>,</w:t>
            </w:r>
            <w:r w:rsidR="0037577B" w:rsidRPr="00D64ACB">
              <w:rPr>
                <w:rFonts w:asciiTheme="minorHAnsi" w:hAnsiTheme="minorHAnsi"/>
              </w:rPr>
              <w:t xml:space="preserve"> de los cuales USD</w:t>
            </w:r>
            <w:r w:rsidR="00F7512D">
              <w:rPr>
                <w:rFonts w:asciiTheme="minorHAnsi" w:hAnsiTheme="minorHAnsi"/>
              </w:rPr>
              <w:t xml:space="preserve"> </w:t>
            </w:r>
            <w:r w:rsidRPr="00D64ACB">
              <w:rPr>
                <w:rFonts w:asciiTheme="minorHAnsi" w:hAnsiTheme="minorHAnsi"/>
              </w:rPr>
              <w:t xml:space="preserve">253,5 millones han sido aportados por el BID y el resto por el Banco </w:t>
            </w:r>
            <w:r w:rsidRPr="00D64ACB">
              <w:rPr>
                <w:rFonts w:asciiTheme="minorHAnsi" w:hAnsiTheme="minorHAnsi"/>
              </w:rPr>
              <w:lastRenderedPageBreak/>
              <w:t xml:space="preserve">Centroamericano de Integración Económica (BCIE), el Banco Nacional de Comercio Exterior </w:t>
            </w:r>
            <w:r w:rsidR="00111166">
              <w:rPr>
                <w:rFonts w:asciiTheme="minorHAnsi" w:hAnsiTheme="minorHAnsi"/>
              </w:rPr>
              <w:t>de México (BANCOMEXT) y la CAF-</w:t>
            </w:r>
            <w:r w:rsidRPr="00D64ACB">
              <w:rPr>
                <w:rFonts w:asciiTheme="minorHAnsi" w:hAnsiTheme="minorHAnsi"/>
              </w:rPr>
              <w:t>Banco de Desarrollo de América Latina. La línea es operada por la Empresa Propietaria</w:t>
            </w:r>
            <w:r w:rsidR="00111166">
              <w:rPr>
                <w:rFonts w:asciiTheme="minorHAnsi" w:hAnsiTheme="minorHAnsi"/>
              </w:rPr>
              <w:t xml:space="preserve"> de la Red (EPR), cuyos socios en partes iguales,</w:t>
            </w:r>
            <w:r w:rsidRPr="00D64ACB">
              <w:rPr>
                <w:rFonts w:asciiTheme="minorHAnsi" w:hAnsiTheme="minorHAnsi"/>
              </w:rPr>
              <w:t xml:space="preserve"> son las empresas estatales de transmisión de cada uno de los países centroamericanos, más los tres socios extra-regionales ISA de Colombia, CFE de México y Endesa de España.</w:t>
            </w:r>
          </w:p>
        </w:tc>
      </w:tr>
    </w:tbl>
    <w:p w14:paraId="208EC22B" w14:textId="77777777" w:rsidR="000B289A" w:rsidRPr="002C565F" w:rsidRDefault="000B289A" w:rsidP="002C565F">
      <w:pPr>
        <w:jc w:val="both"/>
        <w:rPr>
          <w:b/>
        </w:rPr>
      </w:pPr>
    </w:p>
    <w:p w14:paraId="1FBBB1FB" w14:textId="77777777" w:rsidR="00F6087D" w:rsidRPr="003A0B69" w:rsidRDefault="00F6087D" w:rsidP="0018436E">
      <w:pPr>
        <w:pStyle w:val="ListParagraph"/>
        <w:numPr>
          <w:ilvl w:val="0"/>
          <w:numId w:val="1"/>
        </w:numPr>
        <w:jc w:val="both"/>
        <w:rPr>
          <w:b/>
        </w:rPr>
      </w:pPr>
      <w:r w:rsidRPr="00D43B62">
        <w:rPr>
          <w:b/>
        </w:rPr>
        <w:t xml:space="preserve">El PBP </w:t>
      </w:r>
      <w:r w:rsidR="003A0B69" w:rsidRPr="003A0B69">
        <w:rPr>
          <w:b/>
        </w:rPr>
        <w:t xml:space="preserve">Apoyo al Programa Nacional para Asegurar un Suministro de Energía Sostenible y Eficiente </w:t>
      </w:r>
      <w:r w:rsidRPr="003A0B69">
        <w:rPr>
          <w:b/>
        </w:rPr>
        <w:t xml:space="preserve">y su relevancia para el </w:t>
      </w:r>
      <w:r w:rsidR="003A0B69" w:rsidRPr="003A0B69">
        <w:rPr>
          <w:b/>
        </w:rPr>
        <w:t>SEC</w:t>
      </w:r>
    </w:p>
    <w:p w14:paraId="7EA7B329" w14:textId="77777777" w:rsidR="00F6087D" w:rsidRDefault="00F6087D" w:rsidP="00B63CB0">
      <w:pPr>
        <w:jc w:val="both"/>
        <w:rPr>
          <w:rStyle w:val="Hyperlink"/>
        </w:rPr>
      </w:pPr>
    </w:p>
    <w:p w14:paraId="029128F4" w14:textId="33156B83" w:rsidR="00F6087D" w:rsidRPr="00014BA8" w:rsidRDefault="00F6087D" w:rsidP="00014BA8">
      <w:pPr>
        <w:jc w:val="both"/>
        <w:rPr>
          <w:rFonts w:asciiTheme="minorHAnsi" w:hAnsiTheme="minorHAnsi"/>
        </w:rPr>
      </w:pPr>
      <w:r w:rsidRPr="00014BA8">
        <w:rPr>
          <w:rFonts w:asciiTheme="minorHAnsi" w:hAnsiTheme="minorHAnsi"/>
        </w:rPr>
        <w:t>Como resultado de las reformas y políticas sectoriales implementadas en las dos últimas décadas, Colombia cuenta hoy con un sector eléctrico moderno, eficiente y competitivo, el cual en 2015 fue catalogado por el Consejo Mundial de la Energía (WEC) en el puesto 18 del escalafón del índice de política energética sostenible</w:t>
      </w:r>
      <w:r w:rsidRPr="00B63CB0">
        <w:rPr>
          <w:rFonts w:asciiTheme="minorHAnsi" w:hAnsiTheme="minorHAnsi"/>
          <w:vertAlign w:val="superscript"/>
        </w:rPr>
        <w:t>4</w:t>
      </w:r>
      <w:r w:rsidRPr="00014BA8">
        <w:rPr>
          <w:rFonts w:asciiTheme="minorHAnsi" w:hAnsiTheme="minorHAnsi"/>
        </w:rPr>
        <w:t xml:space="preserve"> a nivel mundial. A pesar de los logros y avances obtenidos, Colombia aún enfrenta riesgos y desafíos en la calidad, cantidad y confiabilidad de su oferta energética y en su nivel de GEI: (i) baja participación de FNCER en su matriz energética; (ii) cerca de 4% de la población sin acceso a </w:t>
      </w:r>
      <w:r w:rsidR="00B63CB0">
        <w:rPr>
          <w:rFonts w:asciiTheme="minorHAnsi" w:hAnsiTheme="minorHAnsi"/>
        </w:rPr>
        <w:t>electricidad,</w:t>
      </w:r>
      <w:r w:rsidRPr="00014BA8">
        <w:rPr>
          <w:rFonts w:asciiTheme="minorHAnsi" w:hAnsiTheme="minorHAnsi"/>
        </w:rPr>
        <w:t xml:space="preserve"> (iii) ineficiencias</w:t>
      </w:r>
      <w:r w:rsidR="00B63CB0">
        <w:rPr>
          <w:rFonts w:asciiTheme="minorHAnsi" w:hAnsiTheme="minorHAnsi"/>
        </w:rPr>
        <w:t xml:space="preserve"> en la gestión y uso de energía,</w:t>
      </w:r>
      <w:r w:rsidRPr="00014BA8">
        <w:rPr>
          <w:rFonts w:asciiTheme="minorHAnsi" w:hAnsiTheme="minorHAnsi"/>
        </w:rPr>
        <w:t xml:space="preserve"> (iv) condiciones de riesgo de desabastecimiento ocasionadas por situaciones de baja hidrología, como los fenómenos de El Niño</w:t>
      </w:r>
      <w:r w:rsidR="00C40E57">
        <w:rPr>
          <w:rStyle w:val="FootnoteReference"/>
          <w:rFonts w:asciiTheme="minorHAnsi" w:hAnsiTheme="minorHAnsi"/>
        </w:rPr>
        <w:footnoteReference w:id="18"/>
      </w:r>
      <w:r w:rsidR="00C40E57">
        <w:rPr>
          <w:rFonts w:asciiTheme="minorHAnsi" w:hAnsiTheme="minorHAnsi"/>
        </w:rPr>
        <w:t xml:space="preserve"> y</w:t>
      </w:r>
      <w:r w:rsidRPr="00014BA8">
        <w:rPr>
          <w:rFonts w:asciiTheme="minorHAnsi" w:hAnsiTheme="minorHAnsi"/>
        </w:rPr>
        <w:t xml:space="preserve"> (v) debilidades </w:t>
      </w:r>
      <w:r w:rsidR="00B63CB0">
        <w:rPr>
          <w:rFonts w:asciiTheme="minorHAnsi" w:hAnsiTheme="minorHAnsi"/>
        </w:rPr>
        <w:t xml:space="preserve">tanto </w:t>
      </w:r>
      <w:r w:rsidR="004617AB">
        <w:rPr>
          <w:rFonts w:asciiTheme="minorHAnsi" w:hAnsiTheme="minorHAnsi"/>
        </w:rPr>
        <w:t>en la operatividad del MEM y las ZNI</w:t>
      </w:r>
      <w:r w:rsidR="00B63CB0">
        <w:rPr>
          <w:rFonts w:asciiTheme="minorHAnsi" w:hAnsiTheme="minorHAnsi"/>
        </w:rPr>
        <w:t xml:space="preserve">, como en la institucionalidad </w:t>
      </w:r>
      <w:r w:rsidR="00B63153">
        <w:rPr>
          <w:rFonts w:asciiTheme="minorHAnsi" w:hAnsiTheme="minorHAnsi"/>
        </w:rPr>
        <w:t>requerida para el funcionamiento del SEC.</w:t>
      </w:r>
      <w:r w:rsidR="00B63CB0">
        <w:rPr>
          <w:rFonts w:asciiTheme="minorHAnsi" w:hAnsiTheme="minorHAnsi"/>
        </w:rPr>
        <w:t xml:space="preserve"> </w:t>
      </w:r>
    </w:p>
    <w:p w14:paraId="15DCD243" w14:textId="77777777" w:rsidR="00F6087D" w:rsidRPr="0089764A" w:rsidRDefault="00F6087D" w:rsidP="00F6087D">
      <w:pPr>
        <w:jc w:val="both"/>
      </w:pPr>
    </w:p>
    <w:p w14:paraId="537B21F8" w14:textId="57CA5BDA" w:rsidR="00F6087D" w:rsidRPr="00B63153" w:rsidRDefault="00B63153" w:rsidP="00B63153">
      <w:pPr>
        <w:jc w:val="both"/>
        <w:rPr>
          <w:rFonts w:asciiTheme="minorHAnsi" w:hAnsiTheme="minorHAnsi"/>
        </w:rPr>
      </w:pPr>
      <w:r>
        <w:rPr>
          <w:rFonts w:asciiTheme="minorHAnsi" w:hAnsiTheme="minorHAnsi"/>
        </w:rPr>
        <w:t xml:space="preserve">Entre las </w:t>
      </w:r>
      <w:r w:rsidR="00F6087D" w:rsidRPr="00B63153">
        <w:rPr>
          <w:rFonts w:asciiTheme="minorHAnsi" w:hAnsiTheme="minorHAnsi"/>
        </w:rPr>
        <w:t xml:space="preserve">áreas </w:t>
      </w:r>
      <w:r>
        <w:rPr>
          <w:rFonts w:asciiTheme="minorHAnsi" w:hAnsiTheme="minorHAnsi"/>
        </w:rPr>
        <w:t xml:space="preserve">que presentan </w:t>
      </w:r>
      <w:r w:rsidR="00F6087D" w:rsidRPr="00B63153">
        <w:rPr>
          <w:rFonts w:asciiTheme="minorHAnsi" w:hAnsiTheme="minorHAnsi"/>
        </w:rPr>
        <w:t>reforma</w:t>
      </w:r>
      <w:r>
        <w:rPr>
          <w:rFonts w:asciiTheme="minorHAnsi" w:hAnsiTheme="minorHAnsi"/>
        </w:rPr>
        <w:t>s</w:t>
      </w:r>
      <w:r w:rsidR="00F6087D" w:rsidRPr="00B63153">
        <w:rPr>
          <w:rFonts w:asciiTheme="minorHAnsi" w:hAnsiTheme="minorHAnsi"/>
        </w:rPr>
        <w:t xml:space="preserve"> significativas en las que el país ha avanzado recientemente, incluyen</w:t>
      </w:r>
      <w:r>
        <w:rPr>
          <w:rFonts w:asciiTheme="minorHAnsi" w:hAnsiTheme="minorHAnsi"/>
        </w:rPr>
        <w:t xml:space="preserve"> entre otras</w:t>
      </w:r>
      <w:r w:rsidR="00F6087D" w:rsidRPr="00B63153">
        <w:rPr>
          <w:rFonts w:asciiTheme="minorHAnsi" w:hAnsiTheme="minorHAnsi"/>
        </w:rPr>
        <w:t xml:space="preserve">: (i) para la incorporación de </w:t>
      </w:r>
      <w:r>
        <w:rPr>
          <w:rFonts w:asciiTheme="minorHAnsi" w:hAnsiTheme="minorHAnsi"/>
        </w:rPr>
        <w:t>FNCER</w:t>
      </w:r>
      <w:r w:rsidR="00F6087D" w:rsidRPr="00B63153">
        <w:rPr>
          <w:rFonts w:asciiTheme="minorHAnsi" w:hAnsiTheme="minorHAnsi"/>
        </w:rPr>
        <w:t>, la implementación de un marco legal y regulatorio en</w:t>
      </w:r>
      <w:r>
        <w:rPr>
          <w:rFonts w:asciiTheme="minorHAnsi" w:hAnsiTheme="minorHAnsi"/>
        </w:rPr>
        <w:t xml:space="preserve"> el </w:t>
      </w:r>
      <w:r w:rsidR="0039422B">
        <w:rPr>
          <w:rFonts w:asciiTheme="minorHAnsi" w:hAnsiTheme="minorHAnsi"/>
        </w:rPr>
        <w:t>SIN</w:t>
      </w:r>
      <w:r w:rsidR="00F6087D" w:rsidRPr="00B63153">
        <w:rPr>
          <w:rFonts w:asciiTheme="minorHAnsi" w:hAnsiTheme="minorHAnsi"/>
        </w:rPr>
        <w:t xml:space="preserve"> y su uso para </w:t>
      </w:r>
      <w:r w:rsidR="00654011">
        <w:rPr>
          <w:rFonts w:asciiTheme="minorHAnsi" w:hAnsiTheme="minorHAnsi"/>
        </w:rPr>
        <w:t>atender la cobertura en las ZNI</w:t>
      </w:r>
      <w:r w:rsidR="00F6087D" w:rsidRPr="00B63153">
        <w:rPr>
          <w:rFonts w:asciiTheme="minorHAnsi" w:hAnsiTheme="minorHAnsi"/>
        </w:rPr>
        <w:t xml:space="preserve"> y la definición de lineamientos de política para la promoción de la gestión eficiente de energía, tanto por EE, como por mecani</w:t>
      </w:r>
      <w:r w:rsidR="00654011">
        <w:rPr>
          <w:rFonts w:asciiTheme="minorHAnsi" w:hAnsiTheme="minorHAnsi"/>
        </w:rPr>
        <w:t>smos de respuesta de la demanda,</w:t>
      </w:r>
      <w:r w:rsidR="00F6087D" w:rsidRPr="00B63153">
        <w:rPr>
          <w:rFonts w:asciiTheme="minorHAnsi" w:hAnsiTheme="minorHAnsi"/>
        </w:rPr>
        <w:t xml:space="preserve"> (ii) para enfrentar situaciones de desabastecimiento en el MEM, el establecimiento de un marco regulatorio promoviendo mayor participación de fuentes de energía conducentes a sustituci</w:t>
      </w:r>
      <w:r>
        <w:rPr>
          <w:rFonts w:asciiTheme="minorHAnsi" w:hAnsiTheme="minorHAnsi"/>
        </w:rPr>
        <w:t>ón de los combustibles líquidos</w:t>
      </w:r>
      <w:r w:rsidR="00F6087D" w:rsidRPr="00B63153">
        <w:rPr>
          <w:rFonts w:asciiTheme="minorHAnsi" w:hAnsiTheme="minorHAnsi"/>
        </w:rPr>
        <w:t xml:space="preserve"> y medidas para que se establezca y opere un mercado de gas natural (GN)</w:t>
      </w:r>
      <w:r w:rsidR="004617AB">
        <w:rPr>
          <w:rFonts w:asciiTheme="minorHAnsi" w:hAnsiTheme="minorHAnsi"/>
        </w:rPr>
        <w:t>,</w:t>
      </w:r>
      <w:r w:rsidR="00F6087D" w:rsidRPr="00B63153">
        <w:rPr>
          <w:rFonts w:asciiTheme="minorHAnsi" w:hAnsiTheme="minorHAnsi"/>
        </w:rPr>
        <w:t xml:space="preserve"> </w:t>
      </w:r>
      <w:r w:rsidR="00654011">
        <w:rPr>
          <w:rFonts w:asciiTheme="minorHAnsi" w:hAnsiTheme="minorHAnsi"/>
        </w:rPr>
        <w:t>que garantice su abastecimiento</w:t>
      </w:r>
      <w:r w:rsidR="00F6087D" w:rsidRPr="00B63153">
        <w:rPr>
          <w:rFonts w:asciiTheme="minorHAnsi" w:hAnsiTheme="minorHAnsi"/>
        </w:rPr>
        <w:t xml:space="preserve"> y se promuevan los proceso de integración regional con los países vecinos.</w:t>
      </w:r>
    </w:p>
    <w:p w14:paraId="35D2F878" w14:textId="77777777" w:rsidR="00F6087D" w:rsidRDefault="00F6087D" w:rsidP="00F6087D">
      <w:pPr>
        <w:ind w:left="372"/>
        <w:jc w:val="both"/>
      </w:pPr>
    </w:p>
    <w:p w14:paraId="7992D11B" w14:textId="77777777" w:rsidR="00640A3E" w:rsidRDefault="00F6087D" w:rsidP="00B63153">
      <w:pPr>
        <w:jc w:val="both"/>
        <w:rPr>
          <w:rFonts w:asciiTheme="minorHAnsi" w:hAnsiTheme="minorHAnsi"/>
        </w:rPr>
      </w:pPr>
      <w:r w:rsidRPr="00B63153">
        <w:rPr>
          <w:rFonts w:asciiTheme="minorHAnsi" w:hAnsiTheme="minorHAnsi"/>
        </w:rPr>
        <w:t>Las áreas planteadas anteriormente requieren continuar el esfuerzo para profundizar las reformas y precisar las políticas adicionales que complementen el proceso de adquisición de la capacidad que el país requiere para el suministro de energía sostenible y eficiente, con la calidad, la cobertura y la confiabilidad necesarias. Asimismo, es necesario complementar la agenda de reformas con medidas identificadas como conducentes al logro de estos objetivos, entre las cuales se incluyen: (i) el funcionamiento de un mercado eléctrico fluido y su capacidad de respuesta ante situaciones de crisis y estrés</w:t>
      </w:r>
      <w:r w:rsidR="00B63153">
        <w:rPr>
          <w:rFonts w:asciiTheme="minorHAnsi" w:hAnsiTheme="minorHAnsi"/>
        </w:rPr>
        <w:t>,</w:t>
      </w:r>
      <w:r w:rsidRPr="00B63153">
        <w:rPr>
          <w:rFonts w:asciiTheme="minorHAnsi" w:hAnsiTheme="minorHAnsi"/>
        </w:rPr>
        <w:t xml:space="preserve"> (ii) la coordinación y funcionamiento de las instituciones del sector y </w:t>
      </w:r>
      <w:r w:rsidR="00C40E57">
        <w:rPr>
          <w:rFonts w:asciiTheme="minorHAnsi" w:hAnsiTheme="minorHAnsi"/>
        </w:rPr>
        <w:t xml:space="preserve">la correcta ejecución y cumplimiento de </w:t>
      </w:r>
      <w:r w:rsidRPr="00B63153">
        <w:rPr>
          <w:rFonts w:asciiTheme="minorHAnsi" w:hAnsiTheme="minorHAnsi"/>
        </w:rPr>
        <w:t xml:space="preserve">las distintas responsabilidades institucionales, incluyendo la oportuna </w:t>
      </w:r>
      <w:r w:rsidRPr="00B63153">
        <w:rPr>
          <w:rFonts w:asciiTheme="minorHAnsi" w:hAnsiTheme="minorHAnsi"/>
        </w:rPr>
        <w:lastRenderedPageBreak/>
        <w:t>definición de políticas, claros criterios técnicos y mecanismos de</w:t>
      </w:r>
      <w:r w:rsidR="00640A3E">
        <w:rPr>
          <w:rFonts w:asciiTheme="minorHAnsi" w:hAnsiTheme="minorHAnsi"/>
        </w:rPr>
        <w:t xml:space="preserve"> expansión del sector eléctrico</w:t>
      </w:r>
      <w:r w:rsidRPr="00B63153">
        <w:rPr>
          <w:rFonts w:asciiTheme="minorHAnsi" w:hAnsiTheme="minorHAnsi"/>
        </w:rPr>
        <w:t xml:space="preserve"> y la validez</w:t>
      </w:r>
      <w:r w:rsidR="00C40E57">
        <w:rPr>
          <w:rFonts w:asciiTheme="minorHAnsi" w:hAnsiTheme="minorHAnsi"/>
        </w:rPr>
        <w:t xml:space="preserve"> y oportunidad</w:t>
      </w:r>
      <w:r w:rsidRPr="00B63153">
        <w:rPr>
          <w:rFonts w:asciiTheme="minorHAnsi" w:hAnsiTheme="minorHAnsi"/>
        </w:rPr>
        <w:t xml:space="preserve"> de los meca</w:t>
      </w:r>
      <w:r w:rsidR="00640A3E">
        <w:rPr>
          <w:rFonts w:asciiTheme="minorHAnsi" w:hAnsiTheme="minorHAnsi"/>
        </w:rPr>
        <w:t>nismos de supervisión y control</w:t>
      </w:r>
      <w:r w:rsidRPr="00B63153">
        <w:rPr>
          <w:rFonts w:asciiTheme="minorHAnsi" w:hAnsiTheme="minorHAnsi"/>
        </w:rPr>
        <w:t xml:space="preserve">, entre otros. </w:t>
      </w:r>
    </w:p>
    <w:p w14:paraId="106CFDE2" w14:textId="77777777" w:rsidR="00640A3E" w:rsidRDefault="00640A3E" w:rsidP="00B63153">
      <w:pPr>
        <w:jc w:val="both"/>
        <w:rPr>
          <w:rFonts w:asciiTheme="minorHAnsi" w:hAnsiTheme="minorHAnsi"/>
        </w:rPr>
      </w:pPr>
    </w:p>
    <w:p w14:paraId="07592A20" w14:textId="66E40581" w:rsidR="00F6087D" w:rsidRDefault="00F6087D" w:rsidP="00F6087D">
      <w:pPr>
        <w:jc w:val="both"/>
        <w:rPr>
          <w:rFonts w:asciiTheme="minorHAnsi" w:hAnsiTheme="minorHAnsi"/>
        </w:rPr>
      </w:pPr>
      <w:r w:rsidRPr="00B63153">
        <w:rPr>
          <w:rFonts w:asciiTheme="minorHAnsi" w:hAnsiTheme="minorHAnsi"/>
        </w:rPr>
        <w:t>Los diferentes estudios, investigaciones y procesos de discusión que se están llevando en la actualidad</w:t>
      </w:r>
      <w:r w:rsidR="00EC4A30">
        <w:rPr>
          <w:rFonts w:asciiTheme="minorHAnsi" w:hAnsiTheme="minorHAnsi"/>
        </w:rPr>
        <w:t xml:space="preserve"> por parte del GdC, muchos de los cuales han tenido el apoyo y participación del BID</w:t>
      </w:r>
      <w:r w:rsidR="00EC4A30">
        <w:rPr>
          <w:rStyle w:val="FootnoteReference"/>
          <w:rFonts w:asciiTheme="minorHAnsi" w:hAnsiTheme="minorHAnsi"/>
        </w:rPr>
        <w:footnoteReference w:id="19"/>
      </w:r>
      <w:r w:rsidR="00EC4A30">
        <w:rPr>
          <w:rFonts w:asciiTheme="minorHAnsi" w:hAnsiTheme="minorHAnsi"/>
        </w:rPr>
        <w:t xml:space="preserve">, </w:t>
      </w:r>
      <w:r w:rsidR="00C40E57">
        <w:rPr>
          <w:rFonts w:asciiTheme="minorHAnsi" w:hAnsiTheme="minorHAnsi"/>
        </w:rPr>
        <w:t xml:space="preserve">han suministrado </w:t>
      </w:r>
      <w:r w:rsidRPr="00B63153">
        <w:rPr>
          <w:rFonts w:asciiTheme="minorHAnsi" w:hAnsiTheme="minorHAnsi"/>
        </w:rPr>
        <w:t xml:space="preserve">los diagnósticos y recomendaciones específicas respecto a </w:t>
      </w:r>
      <w:r w:rsidR="000F1671">
        <w:rPr>
          <w:rFonts w:asciiTheme="minorHAnsi" w:hAnsiTheme="minorHAnsi"/>
        </w:rPr>
        <w:t xml:space="preserve">las </w:t>
      </w:r>
      <w:r w:rsidRPr="00B63153">
        <w:rPr>
          <w:rFonts w:asciiTheme="minorHAnsi" w:hAnsiTheme="minorHAnsi"/>
        </w:rPr>
        <w:t>reformas y ajustes de política en estas áreas</w:t>
      </w:r>
      <w:r w:rsidR="00EC4A30">
        <w:rPr>
          <w:rFonts w:asciiTheme="minorHAnsi" w:hAnsiTheme="minorHAnsi"/>
        </w:rPr>
        <w:t>, las cuales se soportarán con base en diferentes herramientas y análisis disponibles en el SEC</w:t>
      </w:r>
      <w:r w:rsidR="00EC4A30">
        <w:rPr>
          <w:rStyle w:val="FootnoteReference"/>
          <w:rFonts w:asciiTheme="minorHAnsi" w:hAnsiTheme="minorHAnsi"/>
        </w:rPr>
        <w:footnoteReference w:id="20"/>
      </w:r>
      <w:r w:rsidR="00EC4A30">
        <w:rPr>
          <w:rFonts w:asciiTheme="minorHAnsi" w:hAnsiTheme="minorHAnsi"/>
        </w:rPr>
        <w:t>.</w:t>
      </w:r>
    </w:p>
    <w:p w14:paraId="14290181" w14:textId="77777777" w:rsidR="00757BAE" w:rsidRPr="00757BAE" w:rsidRDefault="00757BAE" w:rsidP="00F6087D">
      <w:pPr>
        <w:jc w:val="both"/>
        <w:rPr>
          <w:rFonts w:asciiTheme="minorHAnsi" w:hAnsiTheme="minorHAnsi"/>
        </w:rPr>
      </w:pPr>
    </w:p>
    <w:p w14:paraId="02B1CDD8" w14:textId="4B2E820B" w:rsidR="00F6087D" w:rsidRPr="00654011" w:rsidRDefault="00F6087D" w:rsidP="00654011">
      <w:pPr>
        <w:jc w:val="both"/>
        <w:rPr>
          <w:rFonts w:asciiTheme="minorHAnsi" w:hAnsiTheme="minorHAnsi"/>
        </w:rPr>
      </w:pPr>
      <w:r w:rsidRPr="00654011">
        <w:rPr>
          <w:rFonts w:asciiTheme="minorHAnsi" w:hAnsiTheme="minorHAnsi"/>
        </w:rPr>
        <w:t>Para apoyar al gobierno a enfrentar los desafíos planteados</w:t>
      </w:r>
      <w:r w:rsidR="000F1671">
        <w:rPr>
          <w:rFonts w:asciiTheme="minorHAnsi" w:hAnsiTheme="minorHAnsi"/>
        </w:rPr>
        <w:t>,</w:t>
      </w:r>
      <w:r w:rsidRPr="00654011">
        <w:rPr>
          <w:rFonts w:asciiTheme="minorHAnsi" w:hAnsiTheme="minorHAnsi"/>
        </w:rPr>
        <w:t xml:space="preserve"> se ha identificado que </w:t>
      </w:r>
      <w:r w:rsidR="000F1671">
        <w:rPr>
          <w:rFonts w:asciiTheme="minorHAnsi" w:hAnsiTheme="minorHAnsi"/>
        </w:rPr>
        <w:t>el PBP constituye</w:t>
      </w:r>
      <w:r w:rsidRPr="00654011">
        <w:rPr>
          <w:rFonts w:asciiTheme="minorHAnsi" w:hAnsiTheme="minorHAnsi"/>
        </w:rPr>
        <w:t xml:space="preserve"> el instrumento del BID más apropiado para apoyar la profundización de los avances del </w:t>
      </w:r>
      <w:r w:rsidR="00654011">
        <w:rPr>
          <w:rFonts w:asciiTheme="minorHAnsi" w:hAnsiTheme="minorHAnsi"/>
        </w:rPr>
        <w:t>GdC</w:t>
      </w:r>
      <w:r w:rsidRPr="00654011">
        <w:rPr>
          <w:rFonts w:asciiTheme="minorHAnsi" w:hAnsiTheme="minorHAnsi"/>
        </w:rPr>
        <w:t xml:space="preserve"> </w:t>
      </w:r>
      <w:r w:rsidR="000F1671">
        <w:rPr>
          <w:rFonts w:asciiTheme="minorHAnsi" w:hAnsiTheme="minorHAnsi"/>
        </w:rPr>
        <w:t>hacia</w:t>
      </w:r>
      <w:r w:rsidRPr="00654011">
        <w:rPr>
          <w:rFonts w:asciiTheme="minorHAnsi" w:hAnsiTheme="minorHAnsi"/>
        </w:rPr>
        <w:t xml:space="preserve"> la gestión sostenible</w:t>
      </w:r>
      <w:r w:rsidR="0041659D">
        <w:rPr>
          <w:rFonts w:asciiTheme="minorHAnsi" w:hAnsiTheme="minorHAnsi"/>
        </w:rPr>
        <w:t xml:space="preserve"> y eficiente</w:t>
      </w:r>
      <w:r w:rsidRPr="00654011">
        <w:rPr>
          <w:rFonts w:asciiTheme="minorHAnsi" w:hAnsiTheme="minorHAnsi"/>
        </w:rPr>
        <w:t xml:space="preserve"> del </w:t>
      </w:r>
      <w:r w:rsidR="00654011">
        <w:rPr>
          <w:rFonts w:asciiTheme="minorHAnsi" w:hAnsiTheme="minorHAnsi"/>
        </w:rPr>
        <w:t>SEC.</w:t>
      </w:r>
      <w:r w:rsidRPr="00654011">
        <w:rPr>
          <w:rFonts w:asciiTheme="minorHAnsi" w:hAnsiTheme="minorHAnsi"/>
        </w:rPr>
        <w:t xml:space="preserve"> </w:t>
      </w:r>
    </w:p>
    <w:p w14:paraId="7A327E21" w14:textId="77777777" w:rsidR="00654011" w:rsidRDefault="00654011" w:rsidP="00654011">
      <w:pPr>
        <w:jc w:val="both"/>
      </w:pPr>
    </w:p>
    <w:p w14:paraId="7E1DADB3" w14:textId="77777777" w:rsidR="00F6087D" w:rsidRPr="00654011" w:rsidRDefault="00F6087D" w:rsidP="00654011">
      <w:pPr>
        <w:jc w:val="both"/>
        <w:rPr>
          <w:rFonts w:asciiTheme="minorHAnsi" w:hAnsiTheme="minorHAnsi"/>
        </w:rPr>
      </w:pPr>
      <w:r w:rsidRPr="00654011">
        <w:rPr>
          <w:rFonts w:asciiTheme="minorHAnsi" w:hAnsiTheme="minorHAnsi"/>
        </w:rPr>
        <w:t xml:space="preserve">La estructura del PBP proporciona la flexibilidad en la consecución de objetivos de largo plazo mediante la implementación de medidas secuenciales de corto y mediano plazo (CS-3633-1). El programa busca impulsar reformas de política conducentes a: </w:t>
      </w:r>
    </w:p>
    <w:p w14:paraId="539DAA95" w14:textId="77777777" w:rsidR="00F6087D" w:rsidRPr="00654011" w:rsidRDefault="00F6087D" w:rsidP="00F6087D">
      <w:pPr>
        <w:ind w:left="372"/>
        <w:jc w:val="both"/>
        <w:rPr>
          <w:rFonts w:asciiTheme="minorHAnsi" w:hAnsiTheme="minorHAnsi"/>
        </w:rPr>
      </w:pPr>
    </w:p>
    <w:p w14:paraId="62A5E806" w14:textId="77777777" w:rsidR="00F6087D" w:rsidRPr="00654011" w:rsidRDefault="00F6087D" w:rsidP="0018436E">
      <w:pPr>
        <w:numPr>
          <w:ilvl w:val="0"/>
          <w:numId w:val="6"/>
        </w:numPr>
        <w:jc w:val="both"/>
        <w:rPr>
          <w:rFonts w:asciiTheme="minorHAnsi" w:hAnsiTheme="minorHAnsi"/>
        </w:rPr>
      </w:pPr>
      <w:r w:rsidRPr="00654011">
        <w:rPr>
          <w:rFonts w:asciiTheme="minorHAnsi" w:hAnsiTheme="minorHAnsi"/>
        </w:rPr>
        <w:t>La adopción de políticas para promover la incorporación de FNCER, la energización de las ZNI y la gestión eficiente de energía, tanto en la EE, como en la respuesta a la demanda.</w:t>
      </w:r>
    </w:p>
    <w:p w14:paraId="11C31C7A" w14:textId="77777777" w:rsidR="00F6087D" w:rsidRPr="00654011" w:rsidRDefault="00F6087D" w:rsidP="0018436E">
      <w:pPr>
        <w:numPr>
          <w:ilvl w:val="0"/>
          <w:numId w:val="6"/>
        </w:numPr>
        <w:jc w:val="both"/>
        <w:rPr>
          <w:rFonts w:asciiTheme="minorHAnsi" w:hAnsiTheme="minorHAnsi"/>
        </w:rPr>
      </w:pPr>
      <w:r w:rsidRPr="00654011">
        <w:rPr>
          <w:rFonts w:asciiTheme="minorHAnsi" w:hAnsiTheme="minorHAnsi"/>
        </w:rPr>
        <w:t>La adopción de políticas energéticas para atender situaciones de desabastecimiento y garantizar un abastecimiento suficiente de electricidad con participación de diferentes fu</w:t>
      </w:r>
      <w:r w:rsidR="00654011">
        <w:rPr>
          <w:rFonts w:asciiTheme="minorHAnsi" w:hAnsiTheme="minorHAnsi"/>
        </w:rPr>
        <w:t xml:space="preserve">entes, incluyendo el GN y </w:t>
      </w:r>
      <w:r w:rsidRPr="00654011">
        <w:rPr>
          <w:rFonts w:asciiTheme="minorHAnsi" w:hAnsiTheme="minorHAnsi"/>
        </w:rPr>
        <w:t>promover la ampliación del mercado internacional y la integración regional.</w:t>
      </w:r>
    </w:p>
    <w:p w14:paraId="05283630" w14:textId="77777777" w:rsidR="00F6087D" w:rsidRPr="00654011" w:rsidRDefault="00F6087D" w:rsidP="0018436E">
      <w:pPr>
        <w:numPr>
          <w:ilvl w:val="0"/>
          <w:numId w:val="6"/>
        </w:numPr>
        <w:jc w:val="both"/>
        <w:rPr>
          <w:rFonts w:asciiTheme="minorHAnsi" w:hAnsiTheme="minorHAnsi"/>
        </w:rPr>
      </w:pPr>
      <w:r w:rsidRPr="00654011">
        <w:rPr>
          <w:rFonts w:asciiTheme="minorHAnsi" w:hAnsiTheme="minorHAnsi"/>
        </w:rPr>
        <w:t xml:space="preserve">La adopción de reformas y políticas para el fortalecimiento del </w:t>
      </w:r>
      <w:r w:rsidR="00654011">
        <w:rPr>
          <w:rFonts w:asciiTheme="minorHAnsi" w:hAnsiTheme="minorHAnsi"/>
        </w:rPr>
        <w:t>MEM</w:t>
      </w:r>
      <w:r w:rsidRPr="00654011">
        <w:rPr>
          <w:rFonts w:asciiTheme="minorHAnsi" w:hAnsiTheme="minorHAnsi"/>
        </w:rPr>
        <w:t xml:space="preserve"> y las instituciones del sector.</w:t>
      </w:r>
    </w:p>
    <w:p w14:paraId="72B375F3" w14:textId="77777777" w:rsidR="004B1666" w:rsidRPr="002B280E" w:rsidRDefault="004B1666" w:rsidP="002B280E">
      <w:pPr>
        <w:jc w:val="both"/>
        <w:rPr>
          <w:b/>
        </w:rPr>
      </w:pPr>
    </w:p>
    <w:p w14:paraId="69C0D30D" w14:textId="77777777" w:rsidR="00323172" w:rsidRPr="002969B6" w:rsidRDefault="00654011" w:rsidP="00323172">
      <w:pPr>
        <w:jc w:val="both"/>
        <w:rPr>
          <w:rFonts w:asciiTheme="minorHAnsi" w:hAnsiTheme="minorHAnsi"/>
        </w:rPr>
      </w:pPr>
      <w:r w:rsidRPr="00654011">
        <w:rPr>
          <w:rFonts w:asciiTheme="minorHAnsi" w:hAnsiTheme="minorHAnsi"/>
        </w:rPr>
        <w:t>A su vez e</w:t>
      </w:r>
      <w:r w:rsidR="00323172" w:rsidRPr="00654011">
        <w:rPr>
          <w:rFonts w:asciiTheme="minorHAnsi" w:hAnsiTheme="minorHAnsi"/>
        </w:rPr>
        <w:t xml:space="preserve">ste PBP, coherente con la estrategia sectorial del país, es muy relevante y pertinente para Colombia en este momento a fin de fortalecer la capacidad del sector de hacer frente a los efectos del cambio climático y </w:t>
      </w:r>
      <w:r>
        <w:rPr>
          <w:rFonts w:asciiTheme="minorHAnsi" w:hAnsiTheme="minorHAnsi"/>
        </w:rPr>
        <w:t>ampliar</w:t>
      </w:r>
      <w:r w:rsidR="00323172" w:rsidRPr="00654011">
        <w:rPr>
          <w:rFonts w:asciiTheme="minorHAnsi" w:hAnsiTheme="minorHAnsi"/>
        </w:rPr>
        <w:t xml:space="preserve"> la cobertura del servicio </w:t>
      </w:r>
      <w:r>
        <w:rPr>
          <w:rFonts w:asciiTheme="minorHAnsi" w:hAnsiTheme="minorHAnsi"/>
        </w:rPr>
        <w:t>en</w:t>
      </w:r>
      <w:r w:rsidR="00323172" w:rsidRPr="00654011">
        <w:rPr>
          <w:rFonts w:asciiTheme="minorHAnsi" w:hAnsiTheme="minorHAnsi"/>
        </w:rPr>
        <w:t xml:space="preserve"> todo el país.</w:t>
      </w:r>
    </w:p>
    <w:p w14:paraId="256D8998" w14:textId="77777777" w:rsidR="00323172" w:rsidRPr="00DB6861" w:rsidRDefault="00323172" w:rsidP="00323172">
      <w:pPr>
        <w:jc w:val="both"/>
        <w:rPr>
          <w:b/>
        </w:rPr>
      </w:pPr>
    </w:p>
    <w:p w14:paraId="764446F6" w14:textId="77777777" w:rsidR="00323172" w:rsidRPr="00654011" w:rsidRDefault="00323172" w:rsidP="00323172">
      <w:pPr>
        <w:jc w:val="both"/>
        <w:rPr>
          <w:rFonts w:asciiTheme="minorHAnsi" w:hAnsiTheme="minorHAnsi"/>
        </w:rPr>
      </w:pPr>
      <w:r w:rsidRPr="00654011">
        <w:rPr>
          <w:rFonts w:asciiTheme="minorHAnsi" w:hAnsiTheme="minorHAnsi"/>
        </w:rPr>
        <w:t>La operación acompaña los esfuerzos que ya se iniciaron desde el GdC para mejorar la política energética en el país, establecida en el PEN: Ideario Energético 2050. El objetivo de esta estrategia es lograr el abastecimiento interno y externo de energía de manera eficiente, con el mínimo impacto ambiental y generando valor para las regiones y poblaciones. Con este objetivo, el gobierno busca mejorar tanto la seguridad, como la equidad energética, incorporando criterios de sostenibilidad ambiental. Para ello se han definido cinco objetivos específicos: (i) alcanzar un suministro confiable y diversi</w:t>
      </w:r>
      <w:r w:rsidR="001469B9">
        <w:rPr>
          <w:rFonts w:asciiTheme="minorHAnsi" w:hAnsiTheme="minorHAnsi"/>
        </w:rPr>
        <w:t xml:space="preserve">ficar la </w:t>
      </w:r>
      <w:r w:rsidR="001469B9">
        <w:rPr>
          <w:rFonts w:asciiTheme="minorHAnsi" w:hAnsiTheme="minorHAnsi"/>
        </w:rPr>
        <w:lastRenderedPageBreak/>
        <w:t>canasta de energéticos,</w:t>
      </w:r>
      <w:r w:rsidRPr="00654011">
        <w:rPr>
          <w:rFonts w:asciiTheme="minorHAnsi" w:hAnsiTheme="minorHAnsi"/>
        </w:rPr>
        <w:t xml:space="preserve"> (ii) promover la gestión eficiente de la demanda en todos los sectores de la demanda e incorporar te</w:t>
      </w:r>
      <w:r w:rsidR="001469B9">
        <w:rPr>
          <w:rFonts w:asciiTheme="minorHAnsi" w:hAnsiTheme="minorHAnsi"/>
        </w:rPr>
        <w:t xml:space="preserve">cnologías de transporte limpio, </w:t>
      </w:r>
      <w:r w:rsidRPr="00654011">
        <w:rPr>
          <w:rFonts w:asciiTheme="minorHAnsi" w:hAnsiTheme="minorHAnsi"/>
        </w:rPr>
        <w:t>(iii) mejorar la equidad energética del país, garantizando el acceso al servicio con esquemas de energización que simultáneamente tengan un bajo impacto ambiental y sean financieramente a</w:t>
      </w:r>
      <w:r w:rsidR="001469B9">
        <w:rPr>
          <w:rFonts w:asciiTheme="minorHAnsi" w:hAnsiTheme="minorHAnsi"/>
        </w:rPr>
        <w:t>sequibles para los consumidores,</w:t>
      </w:r>
      <w:r w:rsidRPr="00654011">
        <w:rPr>
          <w:rFonts w:asciiTheme="minorHAnsi" w:hAnsiTheme="minorHAnsi"/>
        </w:rPr>
        <w:t xml:space="preserve"> iv) estimular las inversiones en interconexiones internacionales y en infraestructura para la comerciali</w:t>
      </w:r>
      <w:r w:rsidR="001469B9">
        <w:rPr>
          <w:rFonts w:asciiTheme="minorHAnsi" w:hAnsiTheme="minorHAnsi"/>
        </w:rPr>
        <w:t>zación de recursos estratégicos y</w:t>
      </w:r>
      <w:r w:rsidRPr="00654011">
        <w:rPr>
          <w:rFonts w:asciiTheme="minorHAnsi" w:hAnsiTheme="minorHAnsi"/>
        </w:rPr>
        <w:t xml:space="preserve"> (v) viabilizar la generación de valor en el sector energético para el desarrollo de regiones y poblaciones.</w:t>
      </w:r>
    </w:p>
    <w:p w14:paraId="346334CB" w14:textId="77777777" w:rsidR="00323172" w:rsidRPr="00DB6861" w:rsidRDefault="00323172" w:rsidP="00323172">
      <w:pPr>
        <w:jc w:val="both"/>
        <w:rPr>
          <w:b/>
        </w:rPr>
      </w:pPr>
    </w:p>
    <w:p w14:paraId="5CED1919" w14:textId="1689192C" w:rsidR="00323172" w:rsidRDefault="00323172" w:rsidP="00323172">
      <w:pPr>
        <w:jc w:val="both"/>
        <w:rPr>
          <w:rFonts w:asciiTheme="minorHAnsi" w:hAnsiTheme="minorHAnsi"/>
        </w:rPr>
      </w:pPr>
      <w:r w:rsidRPr="00654011">
        <w:rPr>
          <w:rFonts w:asciiTheme="minorHAnsi" w:hAnsiTheme="minorHAnsi"/>
        </w:rPr>
        <w:t>Con base en los objetivos de la política energética, para atender los desafíos actuales</w:t>
      </w:r>
      <w:r w:rsidR="00F26467">
        <w:rPr>
          <w:rFonts w:asciiTheme="minorHAnsi" w:hAnsiTheme="minorHAnsi"/>
        </w:rPr>
        <w:t>,</w:t>
      </w:r>
      <w:r w:rsidRPr="00654011">
        <w:rPr>
          <w:rFonts w:asciiTheme="minorHAnsi" w:hAnsiTheme="minorHAnsi"/>
        </w:rPr>
        <w:t xml:space="preserve"> el país ha avanzado en su agenda de reforma en las áreas más críticas, condición reflejada en los compromisos programáticos de la primera operación del PBP y los</w:t>
      </w:r>
      <w:r w:rsidR="00654011">
        <w:rPr>
          <w:rFonts w:asciiTheme="minorHAnsi" w:hAnsiTheme="minorHAnsi"/>
        </w:rPr>
        <w:t xml:space="preserve"> </w:t>
      </w:r>
      <w:r w:rsidRPr="00654011">
        <w:rPr>
          <w:rFonts w:asciiTheme="minorHAnsi" w:hAnsiTheme="minorHAnsi"/>
        </w:rPr>
        <w:t xml:space="preserve">mecanismos activadores de la segunda operación de la serie, así como en la Matriz de Políticas del programa, resaltando esfuerzos en: (i) promover la diversificación de la matriz energética por medio de un marco legal que facilita la incorporación de las FNCER al </w:t>
      </w:r>
      <w:r w:rsidR="00654011">
        <w:rPr>
          <w:rFonts w:asciiTheme="minorHAnsi" w:hAnsiTheme="minorHAnsi"/>
        </w:rPr>
        <w:t>MEM</w:t>
      </w:r>
      <w:r w:rsidRPr="00654011">
        <w:rPr>
          <w:rFonts w:asciiTheme="minorHAnsi" w:hAnsiTheme="minorHAnsi"/>
        </w:rPr>
        <w:t xml:space="preserve"> y promover procesos de integración eléctrica regional con los países vecinos, en especial con Panamá y Ecuador</w:t>
      </w:r>
      <w:r w:rsidR="00654011">
        <w:rPr>
          <w:rFonts w:asciiTheme="minorHAnsi" w:hAnsiTheme="minorHAnsi"/>
        </w:rPr>
        <w:t>,</w:t>
      </w:r>
      <w:r w:rsidRPr="00654011">
        <w:rPr>
          <w:rFonts w:asciiTheme="minorHAnsi" w:hAnsiTheme="minorHAnsi"/>
        </w:rPr>
        <w:t xml:space="preserve"> (ii) ajustar el funcionamiento del MEM para mejorar la capacidad de respuesta ante situaciones de crisis </w:t>
      </w:r>
      <w:r w:rsidR="00654011">
        <w:rPr>
          <w:rFonts w:asciiTheme="minorHAnsi" w:hAnsiTheme="minorHAnsi"/>
        </w:rPr>
        <w:t xml:space="preserve">y estrés como El Niño 2015-2016, (iii) </w:t>
      </w:r>
      <w:r w:rsidRPr="00654011">
        <w:rPr>
          <w:rFonts w:asciiTheme="minorHAnsi" w:hAnsiTheme="minorHAnsi"/>
        </w:rPr>
        <w:t>definir lineamientos de po</w:t>
      </w:r>
      <w:r w:rsidR="00654011">
        <w:rPr>
          <w:rFonts w:asciiTheme="minorHAnsi" w:hAnsiTheme="minorHAnsi"/>
        </w:rPr>
        <w:t>lítica para la promoción de la gestión e</w:t>
      </w:r>
      <w:r w:rsidRPr="00654011">
        <w:rPr>
          <w:rFonts w:asciiTheme="minorHAnsi" w:hAnsiTheme="minorHAnsi"/>
        </w:rPr>
        <w:t xml:space="preserve">ficiente de </w:t>
      </w:r>
      <w:r w:rsidR="00654011">
        <w:rPr>
          <w:rFonts w:asciiTheme="minorHAnsi" w:hAnsiTheme="minorHAnsi"/>
        </w:rPr>
        <w:t xml:space="preserve">la demanda de energía y respuesta de la misma, </w:t>
      </w:r>
      <w:r w:rsidRPr="00654011">
        <w:rPr>
          <w:rFonts w:asciiTheme="minorHAnsi" w:hAnsiTheme="minorHAnsi"/>
        </w:rPr>
        <w:t xml:space="preserve">(iii) implementar medidas para mejorar la operación </w:t>
      </w:r>
      <w:r w:rsidR="00654011">
        <w:rPr>
          <w:rFonts w:asciiTheme="minorHAnsi" w:hAnsiTheme="minorHAnsi"/>
        </w:rPr>
        <w:t xml:space="preserve">y liquidez en el mercado de GN </w:t>
      </w:r>
      <w:r w:rsidRPr="00654011">
        <w:rPr>
          <w:rFonts w:asciiTheme="minorHAnsi" w:hAnsiTheme="minorHAnsi"/>
        </w:rPr>
        <w:t>y (iv) promover el uso de las FNCER para ampliar la cobertura en las ZNI y definir mecanismos para entregar en operación estas zonas.</w:t>
      </w:r>
    </w:p>
    <w:p w14:paraId="0EE8CD9E" w14:textId="77777777" w:rsidR="006412BB" w:rsidRPr="004B1666" w:rsidRDefault="006412BB" w:rsidP="004B1666">
      <w:pPr>
        <w:jc w:val="both"/>
        <w:rPr>
          <w:b/>
        </w:rPr>
      </w:pPr>
    </w:p>
    <w:p w14:paraId="1424F1B4" w14:textId="77777777" w:rsidR="00B83FC5" w:rsidRPr="00B83FC5" w:rsidRDefault="00B83FC5" w:rsidP="00B83FC5">
      <w:pPr>
        <w:pStyle w:val="ListParagraph"/>
        <w:ind w:left="360"/>
        <w:jc w:val="both"/>
        <w:rPr>
          <w:rStyle w:val="Hyperlink"/>
          <w:color w:val="auto"/>
          <w:u w:val="none"/>
          <w:lang w:val="es-ES_tradnl"/>
        </w:rPr>
      </w:pPr>
    </w:p>
    <w:p w14:paraId="68594EEB" w14:textId="77777777" w:rsidR="004B1666" w:rsidRPr="00073CB3" w:rsidRDefault="004B1666" w:rsidP="00073CB3">
      <w:pPr>
        <w:pStyle w:val="ListParagraph"/>
        <w:ind w:left="360"/>
        <w:jc w:val="both"/>
        <w:rPr>
          <w:rStyle w:val="Hyperlink"/>
        </w:rPr>
      </w:pPr>
    </w:p>
    <w:p w14:paraId="453586FB" w14:textId="77777777" w:rsidR="00455828" w:rsidRDefault="00455828" w:rsidP="00455828">
      <w:pPr>
        <w:jc w:val="both"/>
      </w:pPr>
    </w:p>
    <w:p w14:paraId="31881D75" w14:textId="77777777" w:rsidR="00455828" w:rsidRPr="00651625" w:rsidRDefault="00455828" w:rsidP="00455828">
      <w:pPr>
        <w:jc w:val="both"/>
      </w:pPr>
    </w:p>
    <w:p w14:paraId="4DDED5EA" w14:textId="77777777" w:rsidR="004B1666" w:rsidRPr="0089764A" w:rsidRDefault="004B1666" w:rsidP="00651625">
      <w:pPr>
        <w:jc w:val="both"/>
      </w:pPr>
    </w:p>
    <w:p w14:paraId="78C145A0" w14:textId="77777777" w:rsidR="00651625" w:rsidRDefault="00651625" w:rsidP="00651625">
      <w:pPr>
        <w:jc w:val="both"/>
      </w:pPr>
    </w:p>
    <w:p w14:paraId="2999003D" w14:textId="77777777" w:rsidR="00651625" w:rsidRDefault="00651625" w:rsidP="00651625">
      <w:pPr>
        <w:jc w:val="both"/>
      </w:pPr>
    </w:p>
    <w:p w14:paraId="6DAAFA66" w14:textId="77777777" w:rsidR="00D46457" w:rsidRDefault="00D46457">
      <w:r>
        <w:br w:type="page"/>
      </w:r>
    </w:p>
    <w:p w14:paraId="53551DE1" w14:textId="77777777" w:rsidR="00D46457" w:rsidRDefault="00D46457" w:rsidP="00D46457">
      <w:pPr>
        <w:pStyle w:val="ListParagraph"/>
        <w:ind w:left="360"/>
        <w:jc w:val="center"/>
        <w:rPr>
          <w:b/>
        </w:rPr>
      </w:pPr>
      <w:r w:rsidRPr="00D46457">
        <w:rPr>
          <w:b/>
        </w:rPr>
        <w:lastRenderedPageBreak/>
        <w:t>ANEXO 1</w:t>
      </w:r>
    </w:p>
    <w:p w14:paraId="03682047" w14:textId="77777777" w:rsidR="00D46457" w:rsidRDefault="00D46457" w:rsidP="00D46457">
      <w:pPr>
        <w:pStyle w:val="ListParagraph"/>
        <w:ind w:left="360"/>
        <w:jc w:val="center"/>
        <w:rPr>
          <w:b/>
        </w:rPr>
      </w:pPr>
    </w:p>
    <w:p w14:paraId="4CAAE79C" w14:textId="77777777" w:rsidR="00D46457" w:rsidRDefault="00D46457" w:rsidP="00D46457">
      <w:pPr>
        <w:pStyle w:val="ListParagraph"/>
        <w:ind w:left="360"/>
        <w:jc w:val="center"/>
        <w:rPr>
          <w:b/>
        </w:rPr>
      </w:pPr>
      <w:r w:rsidRPr="00E42464">
        <w:rPr>
          <w:b/>
        </w:rPr>
        <w:t xml:space="preserve">Participación </w:t>
      </w:r>
      <w:r>
        <w:rPr>
          <w:b/>
        </w:rPr>
        <w:t xml:space="preserve">del </w:t>
      </w:r>
      <w:r w:rsidRPr="00E42464">
        <w:rPr>
          <w:b/>
        </w:rPr>
        <w:t xml:space="preserve">BID en el </w:t>
      </w:r>
      <w:r>
        <w:rPr>
          <w:b/>
        </w:rPr>
        <w:t>SEC</w:t>
      </w:r>
      <w:r w:rsidRPr="00E42464">
        <w:rPr>
          <w:b/>
        </w:rPr>
        <w:t xml:space="preserve"> 2006-2016</w:t>
      </w:r>
      <w:r w:rsidR="00C93C06">
        <w:rPr>
          <w:rStyle w:val="FootnoteReference"/>
          <w:b/>
        </w:rPr>
        <w:footnoteReference w:id="21"/>
      </w:r>
    </w:p>
    <w:p w14:paraId="53841EC4" w14:textId="77777777" w:rsidR="00A97D6B" w:rsidRDefault="00A97D6B" w:rsidP="00D46457">
      <w:pPr>
        <w:pStyle w:val="ListParagraph"/>
        <w:ind w:left="360"/>
        <w:jc w:val="center"/>
        <w:rPr>
          <w:b/>
        </w:rPr>
      </w:pPr>
    </w:p>
    <w:p w14:paraId="0E9D2FE8" w14:textId="77777777" w:rsidR="00A97D6B" w:rsidRPr="00A97D6B" w:rsidRDefault="00A97D6B" w:rsidP="00A97D6B">
      <w:pPr>
        <w:jc w:val="both"/>
        <w:rPr>
          <w:rFonts w:asciiTheme="minorHAnsi" w:hAnsiTheme="minorHAnsi"/>
        </w:rPr>
      </w:pPr>
      <w:r w:rsidRPr="00A97D6B">
        <w:rPr>
          <w:rFonts w:asciiTheme="minorHAnsi" w:hAnsiTheme="minorHAnsi"/>
        </w:rPr>
        <w:t xml:space="preserve">En este Anexo se presentan los diferentes proyectos y programas en los que ha participado el BID apoyando </w:t>
      </w:r>
      <w:r>
        <w:rPr>
          <w:rFonts w:asciiTheme="minorHAnsi" w:hAnsiTheme="minorHAnsi"/>
        </w:rPr>
        <w:t xml:space="preserve">y participando </w:t>
      </w:r>
      <w:r w:rsidR="00901E71">
        <w:rPr>
          <w:rFonts w:asciiTheme="minorHAnsi" w:hAnsiTheme="minorHAnsi"/>
        </w:rPr>
        <w:t xml:space="preserve">en </w:t>
      </w:r>
      <w:r w:rsidRPr="00A97D6B">
        <w:rPr>
          <w:rFonts w:asciiTheme="minorHAnsi" w:hAnsiTheme="minorHAnsi"/>
        </w:rPr>
        <w:t xml:space="preserve">el desarrollo del SEC, los cuales </w:t>
      </w:r>
      <w:r>
        <w:rPr>
          <w:rFonts w:asciiTheme="minorHAnsi" w:hAnsiTheme="minorHAnsi"/>
        </w:rPr>
        <w:t xml:space="preserve">suministran </w:t>
      </w:r>
      <w:r w:rsidR="00901E71">
        <w:rPr>
          <w:rFonts w:asciiTheme="minorHAnsi" w:hAnsiTheme="minorHAnsi"/>
        </w:rPr>
        <w:t xml:space="preserve">información y </w:t>
      </w:r>
      <w:r>
        <w:rPr>
          <w:rFonts w:asciiTheme="minorHAnsi" w:hAnsiTheme="minorHAnsi"/>
        </w:rPr>
        <w:t>análisis para soportar</w:t>
      </w:r>
      <w:r w:rsidRPr="00A97D6B">
        <w:rPr>
          <w:rFonts w:asciiTheme="minorHAnsi" w:hAnsiTheme="minorHAnsi"/>
        </w:rPr>
        <w:t xml:space="preserve"> el desarrollo del PBP </w:t>
      </w:r>
      <w:r w:rsidRPr="00A97D6B">
        <w:rPr>
          <w:rFonts w:asciiTheme="minorHAnsi" w:hAnsiTheme="minorHAnsi" w:cs="Arial"/>
        </w:rPr>
        <w:t>Apoyo al Programa Nacional para Asegurar un Suministro de Energía Sostenible y Eficiente</w:t>
      </w:r>
      <w:r>
        <w:rPr>
          <w:rFonts w:asciiTheme="minorHAnsi" w:hAnsiTheme="minorHAnsi" w:cs="Arial"/>
        </w:rPr>
        <w:t>.</w:t>
      </w:r>
    </w:p>
    <w:p w14:paraId="3F437D92" w14:textId="77777777" w:rsidR="00D46457" w:rsidRDefault="00D46457" w:rsidP="00A97D6B">
      <w:pPr>
        <w:jc w:val="both"/>
      </w:pPr>
    </w:p>
    <w:p w14:paraId="1B351CEA" w14:textId="77777777" w:rsidR="006327A2" w:rsidRPr="007D2B7F" w:rsidRDefault="00D46457" w:rsidP="007D2B7F">
      <w:pPr>
        <w:pStyle w:val="ListParagraph"/>
        <w:numPr>
          <w:ilvl w:val="0"/>
          <w:numId w:val="5"/>
        </w:numPr>
        <w:jc w:val="both"/>
      </w:pPr>
      <w:r w:rsidRPr="00626B68">
        <w:rPr>
          <w:b/>
        </w:rPr>
        <w:t xml:space="preserve">CO-T1071: Refuerzo Prestación Servicio Energía Eléctrica </w:t>
      </w:r>
      <w:r w:rsidR="00626B68">
        <w:rPr>
          <w:b/>
        </w:rPr>
        <w:t>ZNI</w:t>
      </w:r>
    </w:p>
    <w:p w14:paraId="5FA2EC70" w14:textId="77777777" w:rsidR="007E7ACA" w:rsidRDefault="00D46457" w:rsidP="00A97E47">
      <w:pPr>
        <w:ind w:left="300"/>
        <w:jc w:val="both"/>
        <w:rPr>
          <w:rFonts w:asciiTheme="minorHAnsi" w:hAnsiTheme="minorHAnsi"/>
        </w:rPr>
      </w:pPr>
      <w:r w:rsidRPr="00233ED5">
        <w:rPr>
          <w:rFonts w:asciiTheme="minorHAnsi" w:hAnsiTheme="minorHAnsi"/>
        </w:rPr>
        <w:t>El objetivo general del proyecto fue promover la competitividad y sostenibilidad del SEC, así como la inclusión de las poblaciones más necesitadas, por medio del fortalecimiento de la prestación del servicio en ZNI, incrementa</w:t>
      </w:r>
      <w:r w:rsidR="006327A2">
        <w:rPr>
          <w:rFonts w:asciiTheme="minorHAnsi" w:hAnsiTheme="minorHAnsi"/>
        </w:rPr>
        <w:t>ndo</w:t>
      </w:r>
      <w:r w:rsidRPr="00233ED5">
        <w:rPr>
          <w:rFonts w:asciiTheme="minorHAnsi" w:hAnsiTheme="minorHAnsi"/>
        </w:rPr>
        <w:t xml:space="preserve"> la participación del sector privado </w:t>
      </w:r>
      <w:r w:rsidR="009A3D76" w:rsidRPr="00233ED5">
        <w:rPr>
          <w:rFonts w:asciiTheme="minorHAnsi" w:hAnsiTheme="minorHAnsi"/>
        </w:rPr>
        <w:t>mediante</w:t>
      </w:r>
      <w:r w:rsidRPr="00233ED5">
        <w:rPr>
          <w:rFonts w:asciiTheme="minorHAnsi" w:hAnsiTheme="minorHAnsi"/>
        </w:rPr>
        <w:t xml:space="preserve"> un proceso competitivo para la impleme</w:t>
      </w:r>
      <w:r w:rsidR="006327A2">
        <w:rPr>
          <w:rFonts w:asciiTheme="minorHAnsi" w:hAnsiTheme="minorHAnsi"/>
        </w:rPr>
        <w:t xml:space="preserve">ntación de esquemas de gestión, </w:t>
      </w:r>
      <w:r w:rsidRPr="00233ED5">
        <w:rPr>
          <w:rFonts w:asciiTheme="minorHAnsi" w:hAnsiTheme="minorHAnsi"/>
        </w:rPr>
        <w:t xml:space="preserve">a fin de reducir los costos del servicio a los usuarios y minimizar las transferencias del Presupuesto General de la Nación a través de subsidios. </w:t>
      </w:r>
    </w:p>
    <w:p w14:paraId="08555DB5" w14:textId="77777777" w:rsidR="00BA755F" w:rsidRDefault="00BA755F" w:rsidP="00A97E47">
      <w:pPr>
        <w:ind w:left="300"/>
        <w:jc w:val="both"/>
        <w:rPr>
          <w:rFonts w:asciiTheme="minorHAnsi" w:hAnsiTheme="minorHAnsi"/>
        </w:rPr>
      </w:pPr>
    </w:p>
    <w:p w14:paraId="4DF89423" w14:textId="77777777" w:rsidR="00BA755F" w:rsidRPr="00233ED5" w:rsidRDefault="00BA755F" w:rsidP="00A97E47">
      <w:pPr>
        <w:ind w:left="300"/>
        <w:jc w:val="both"/>
        <w:rPr>
          <w:rFonts w:asciiTheme="minorHAnsi" w:hAnsiTheme="minorHAnsi"/>
        </w:rPr>
      </w:pPr>
      <w:r>
        <w:rPr>
          <w:rFonts w:asciiTheme="minorHAnsi" w:hAnsiTheme="minorHAnsi"/>
        </w:rPr>
        <w:t xml:space="preserve">Subsector: </w:t>
      </w:r>
      <w:r w:rsidR="00626B68" w:rsidRPr="00626B68">
        <w:rPr>
          <w:rFonts w:asciiTheme="minorHAnsi" w:hAnsiTheme="minorHAnsi"/>
        </w:rPr>
        <w:t>Energía-Electrificación Rural</w:t>
      </w:r>
      <w:r w:rsidR="00626B68">
        <w:rPr>
          <w:rFonts w:asciiTheme="minorHAnsi" w:hAnsiTheme="minorHAnsi"/>
        </w:rPr>
        <w:t>.</w:t>
      </w:r>
    </w:p>
    <w:p w14:paraId="5457E312" w14:textId="77777777" w:rsidR="007E7ACA" w:rsidRPr="00233ED5" w:rsidRDefault="007E7ACA" w:rsidP="00A97E47">
      <w:pPr>
        <w:ind w:left="300"/>
        <w:jc w:val="both"/>
        <w:rPr>
          <w:rFonts w:asciiTheme="minorHAnsi" w:hAnsiTheme="minorHAnsi"/>
        </w:rPr>
      </w:pPr>
    </w:p>
    <w:p w14:paraId="4AAF1A02" w14:textId="77777777" w:rsidR="00D46457" w:rsidRPr="00233ED5" w:rsidRDefault="00162664" w:rsidP="00A97E47">
      <w:pPr>
        <w:ind w:left="300"/>
        <w:jc w:val="both"/>
        <w:rPr>
          <w:rFonts w:asciiTheme="minorHAnsi" w:hAnsiTheme="minorHAnsi"/>
        </w:rPr>
      </w:pPr>
      <w:r>
        <w:rPr>
          <w:rFonts w:asciiTheme="minorHAnsi" w:hAnsiTheme="minorHAnsi"/>
        </w:rPr>
        <w:t xml:space="preserve">Correspondió a una </w:t>
      </w:r>
      <w:r w:rsidR="006327A2">
        <w:rPr>
          <w:rFonts w:asciiTheme="minorHAnsi" w:hAnsiTheme="minorHAnsi"/>
        </w:rPr>
        <w:t xml:space="preserve">CT </w:t>
      </w:r>
      <w:r>
        <w:rPr>
          <w:rFonts w:asciiTheme="minorHAnsi" w:hAnsiTheme="minorHAnsi"/>
        </w:rPr>
        <w:t>No R</w:t>
      </w:r>
      <w:r w:rsidR="00D46457" w:rsidRPr="00233ED5">
        <w:rPr>
          <w:rFonts w:asciiTheme="minorHAnsi" w:hAnsiTheme="minorHAnsi"/>
        </w:rPr>
        <w:t>eembolsable</w:t>
      </w:r>
      <w:r w:rsidR="00CC0C4C">
        <w:rPr>
          <w:rFonts w:asciiTheme="minorHAnsi" w:hAnsiTheme="minorHAnsi"/>
        </w:rPr>
        <w:t>,</w:t>
      </w:r>
      <w:r w:rsidR="00D46457" w:rsidRPr="00233ED5">
        <w:rPr>
          <w:rFonts w:asciiTheme="minorHAnsi" w:hAnsiTheme="minorHAnsi"/>
        </w:rPr>
        <w:t xml:space="preserve"> Fondo Japonés de Consultoría, que fue aprobada en diciembre 2007 y finalizada en diciembre de 2011, por un monto total de USD</w:t>
      </w:r>
      <w:r w:rsidR="006327A2">
        <w:rPr>
          <w:rFonts w:asciiTheme="minorHAnsi" w:hAnsiTheme="minorHAnsi"/>
        </w:rPr>
        <w:t xml:space="preserve"> </w:t>
      </w:r>
      <w:r w:rsidR="00D46457" w:rsidRPr="00233ED5">
        <w:rPr>
          <w:rFonts w:asciiTheme="minorHAnsi" w:hAnsiTheme="minorHAnsi"/>
        </w:rPr>
        <w:t>1.200.000, contrapartida de USD</w:t>
      </w:r>
      <w:r w:rsidR="006327A2">
        <w:rPr>
          <w:rFonts w:asciiTheme="minorHAnsi" w:hAnsiTheme="minorHAnsi"/>
        </w:rPr>
        <w:t xml:space="preserve"> </w:t>
      </w:r>
      <w:r w:rsidR="00D46457" w:rsidRPr="00233ED5">
        <w:rPr>
          <w:rFonts w:asciiTheme="minorHAnsi" w:hAnsiTheme="minorHAnsi"/>
        </w:rPr>
        <w:t>240.000 y financiación BID de USD</w:t>
      </w:r>
      <w:r w:rsidR="002F6DCC" w:rsidRPr="00233ED5">
        <w:rPr>
          <w:rFonts w:asciiTheme="minorHAnsi" w:hAnsiTheme="minorHAnsi"/>
        </w:rPr>
        <w:t xml:space="preserve"> </w:t>
      </w:r>
      <w:r w:rsidR="00D46457" w:rsidRPr="00233ED5">
        <w:rPr>
          <w:rFonts w:asciiTheme="minorHAnsi" w:hAnsiTheme="minorHAnsi"/>
        </w:rPr>
        <w:t>0.96.</w:t>
      </w:r>
    </w:p>
    <w:p w14:paraId="3A858ADB" w14:textId="77777777" w:rsidR="00D46457" w:rsidRDefault="00D46457" w:rsidP="00D46457">
      <w:pPr>
        <w:ind w:left="360"/>
        <w:jc w:val="both"/>
        <w:rPr>
          <w:b/>
        </w:rPr>
      </w:pPr>
      <w:r>
        <w:rPr>
          <w:b/>
        </w:rPr>
        <w:t xml:space="preserve"> </w:t>
      </w:r>
    </w:p>
    <w:p w14:paraId="302CBC04" w14:textId="77777777" w:rsidR="007D2B7F" w:rsidRDefault="00D46457" w:rsidP="007D2B7F">
      <w:pPr>
        <w:pStyle w:val="ListParagraph"/>
        <w:numPr>
          <w:ilvl w:val="0"/>
          <w:numId w:val="2"/>
        </w:numPr>
        <w:spacing w:after="150"/>
        <w:jc w:val="both"/>
        <w:rPr>
          <w:b/>
        </w:rPr>
      </w:pPr>
      <w:r w:rsidRPr="00880A9D">
        <w:rPr>
          <w:b/>
        </w:rPr>
        <w:t>CO-T1118: Expansión de la Innovación, Ciencia y Tecnología en Materia de Bioenergía</w:t>
      </w:r>
    </w:p>
    <w:p w14:paraId="3F35B1BB" w14:textId="77777777" w:rsidR="00D46457" w:rsidRPr="007D2B7F" w:rsidRDefault="00D46457" w:rsidP="007D2B7F">
      <w:pPr>
        <w:pStyle w:val="ListParagraph"/>
        <w:spacing w:after="150"/>
        <w:ind w:left="360"/>
        <w:jc w:val="both"/>
        <w:rPr>
          <w:b/>
        </w:rPr>
      </w:pPr>
      <w:r w:rsidRPr="007D2B7F">
        <w:t xml:space="preserve">El objetivo de esta CT </w:t>
      </w:r>
      <w:r w:rsidR="009F58E9" w:rsidRPr="007D2B7F">
        <w:t>fue</w:t>
      </w:r>
      <w:r w:rsidRPr="007D2B7F">
        <w:t xml:space="preserve"> establecer el diálogo con el gobierno para explorar la posibilidad de un crédito que desarrolle la innovación, la investigación y el desarrollo de energía sostenible y de los biocombustibles.</w:t>
      </w:r>
    </w:p>
    <w:p w14:paraId="09F02954" w14:textId="77777777" w:rsidR="00626B68" w:rsidRPr="00880A9D" w:rsidRDefault="00626B68" w:rsidP="00D46457">
      <w:pPr>
        <w:spacing w:after="150"/>
        <w:ind w:left="360"/>
        <w:jc w:val="both"/>
        <w:rPr>
          <w:rFonts w:asciiTheme="minorHAnsi" w:hAnsiTheme="minorHAnsi"/>
        </w:rPr>
      </w:pPr>
      <w:r>
        <w:rPr>
          <w:rFonts w:asciiTheme="minorHAnsi" w:hAnsiTheme="minorHAnsi"/>
        </w:rPr>
        <w:t>Subsector: Energía.</w:t>
      </w:r>
    </w:p>
    <w:p w14:paraId="6988DB5D" w14:textId="01437D7B" w:rsidR="00D46457" w:rsidRDefault="006327A2" w:rsidP="00101007">
      <w:pPr>
        <w:pStyle w:val="ListParagraph"/>
        <w:spacing w:after="150"/>
        <w:ind w:left="360"/>
        <w:jc w:val="both"/>
      </w:pPr>
      <w:r>
        <w:t>Como resultado se tiene que l</w:t>
      </w:r>
      <w:r w:rsidR="00D46457" w:rsidRPr="00880A9D">
        <w:t xml:space="preserve">a industria de Biocombustibles puede producir </w:t>
      </w:r>
      <w:r w:rsidR="00880A9D" w:rsidRPr="00880A9D">
        <w:t>externalidades positivas como: e</w:t>
      </w:r>
      <w:r w:rsidR="00D46457" w:rsidRPr="00880A9D">
        <w:t xml:space="preserve">nergía, créditos de carbono, comida para animales, empleo en áreas rurales. También puede brindar nuevas oportunidades para las regiones que actualmente sufren del flagelo de producción de bienes ilícitos y de actividad guerrillera. Todas estas áreas presentan importantes oportunidades que deben ser estudiadas científica y técnicamente para proveer de una adecuada asistencia técnica al gobierno, empresarios, inversores etc. </w:t>
      </w:r>
    </w:p>
    <w:p w14:paraId="1531961A" w14:textId="77777777" w:rsidR="00101007" w:rsidRPr="00880A9D" w:rsidRDefault="00101007" w:rsidP="00101007">
      <w:pPr>
        <w:pStyle w:val="ListParagraph"/>
        <w:spacing w:after="150"/>
        <w:ind w:left="360"/>
        <w:jc w:val="both"/>
      </w:pPr>
    </w:p>
    <w:p w14:paraId="42546224" w14:textId="77777777" w:rsidR="00D46457" w:rsidRPr="00880A9D" w:rsidRDefault="00D46457" w:rsidP="00D46457">
      <w:pPr>
        <w:pStyle w:val="ListParagraph"/>
        <w:spacing w:after="150"/>
        <w:ind w:left="360"/>
        <w:jc w:val="both"/>
      </w:pPr>
      <w:r w:rsidRPr="00880A9D">
        <w:lastRenderedPageBreak/>
        <w:t xml:space="preserve">Correspondió a una </w:t>
      </w:r>
      <w:r w:rsidR="00880A9D" w:rsidRPr="00880A9D">
        <w:t>CT</w:t>
      </w:r>
      <w:r w:rsidR="00162664">
        <w:t xml:space="preserve"> No R</w:t>
      </w:r>
      <w:r w:rsidRPr="00880A9D">
        <w:t>eembolsable</w:t>
      </w:r>
      <w:r w:rsidR="00CC0C4C">
        <w:t>,</w:t>
      </w:r>
      <w:r w:rsidRPr="00880A9D">
        <w:t xml:space="preserve"> Fondo Coreano para Tecnología e Innovación, que fue aprobada en enero 2008 y finalizada en enero de 2013, por un monto total de USD</w:t>
      </w:r>
      <w:r w:rsidR="00880A9D" w:rsidRPr="00880A9D">
        <w:t xml:space="preserve"> </w:t>
      </w:r>
      <w:r w:rsidRPr="00880A9D">
        <w:t>500.000 y financiación BID de USD</w:t>
      </w:r>
      <w:r w:rsidR="00880A9D" w:rsidRPr="00880A9D">
        <w:t xml:space="preserve"> </w:t>
      </w:r>
      <w:r w:rsidRPr="00880A9D">
        <w:t>0.5.</w:t>
      </w:r>
    </w:p>
    <w:p w14:paraId="3A45D360" w14:textId="77777777" w:rsidR="00D46457" w:rsidRDefault="00D46457" w:rsidP="00D46457">
      <w:pPr>
        <w:pStyle w:val="ListParagraph"/>
        <w:spacing w:after="150"/>
        <w:ind w:left="360"/>
        <w:jc w:val="both"/>
        <w:rPr>
          <w:b/>
        </w:rPr>
      </w:pPr>
    </w:p>
    <w:p w14:paraId="23CACA9D" w14:textId="77777777" w:rsidR="00626B68" w:rsidRPr="007D2B7F" w:rsidRDefault="00D46457" w:rsidP="007D2B7F">
      <w:pPr>
        <w:pStyle w:val="ListParagraph"/>
        <w:numPr>
          <w:ilvl w:val="0"/>
          <w:numId w:val="2"/>
        </w:numPr>
        <w:spacing w:after="150"/>
        <w:jc w:val="both"/>
        <w:rPr>
          <w:b/>
        </w:rPr>
      </w:pPr>
      <w:r w:rsidRPr="00C75AB1">
        <w:rPr>
          <w:b/>
        </w:rPr>
        <w:t>CO-T1059: Expansión de la Innovación, Ciencia y Tecnología en Materia de Bioenergía</w:t>
      </w:r>
    </w:p>
    <w:p w14:paraId="35CBC07A" w14:textId="77777777" w:rsidR="00880A9D" w:rsidRDefault="00D46457" w:rsidP="008B5EB0">
      <w:pPr>
        <w:pStyle w:val="ListParagraph"/>
        <w:spacing w:after="150"/>
        <w:ind w:left="360"/>
        <w:jc w:val="both"/>
      </w:pPr>
      <w:r w:rsidRPr="004A43EE">
        <w:t>Los co</w:t>
      </w:r>
      <w:r w:rsidR="00880A9D">
        <w:t>mponentes y hallazgos de esta CT</w:t>
      </w:r>
      <w:r w:rsidR="006327A2">
        <w:t xml:space="preserve"> abrieron</w:t>
      </w:r>
      <w:r w:rsidRPr="004A43EE">
        <w:t xml:space="preserve"> el diálogo con el gobierno para explorar la posibilidad de un crédito que desarrolle la innovación, la investigación y el desarrollo de energía sostenible y de los biocombustibles.</w:t>
      </w:r>
      <w:r>
        <w:t xml:space="preserve"> </w:t>
      </w:r>
    </w:p>
    <w:p w14:paraId="64A3E12F" w14:textId="77777777" w:rsidR="00626B68" w:rsidRDefault="00626B68" w:rsidP="008B5EB0">
      <w:pPr>
        <w:pStyle w:val="ListParagraph"/>
        <w:spacing w:after="150"/>
        <w:ind w:left="360"/>
        <w:jc w:val="both"/>
      </w:pPr>
    </w:p>
    <w:p w14:paraId="7E02B23F" w14:textId="77777777" w:rsidR="00626B68" w:rsidRDefault="00626B68" w:rsidP="008B5EB0">
      <w:pPr>
        <w:pStyle w:val="ListParagraph"/>
        <w:spacing w:after="150"/>
        <w:ind w:left="360"/>
        <w:jc w:val="both"/>
      </w:pPr>
      <w:r>
        <w:t>Subsector: Energía.</w:t>
      </w:r>
    </w:p>
    <w:p w14:paraId="487D037D" w14:textId="77777777" w:rsidR="00880A9D" w:rsidRDefault="00880A9D" w:rsidP="00D46457">
      <w:pPr>
        <w:pStyle w:val="ListParagraph"/>
        <w:spacing w:after="150"/>
        <w:ind w:left="360"/>
        <w:jc w:val="both"/>
      </w:pPr>
    </w:p>
    <w:p w14:paraId="7EFB9BC3" w14:textId="77777777" w:rsidR="00D46457" w:rsidRDefault="006327A2" w:rsidP="00D46457">
      <w:pPr>
        <w:pStyle w:val="ListParagraph"/>
        <w:spacing w:after="150"/>
        <w:ind w:left="360"/>
        <w:jc w:val="both"/>
      </w:pPr>
      <w:r>
        <w:t xml:space="preserve">Como resultado se tiene que la </w:t>
      </w:r>
      <w:r w:rsidR="00D46457" w:rsidRPr="004A43EE">
        <w:t>industria de Biocombustibles puede producir externalidades positivas como: Energía, créditos de carbono, comida para animales, empleo en áreas rurales. También puede brindar nuevas oportunidades para las regiones que actualmente sufren del flagelo de producción de bienes ilícitos y de actividad guerrillera. Todas estas áreas presentan importantes oportunidades que deben ser estudiadas científica y técnicamente para proveer de una adecuada asistencia técnica al gobierno, empresarios, inversores etc.</w:t>
      </w:r>
    </w:p>
    <w:p w14:paraId="15938160" w14:textId="77777777" w:rsidR="00D46457" w:rsidRDefault="00D46457" w:rsidP="00D46457">
      <w:pPr>
        <w:pStyle w:val="ListParagraph"/>
        <w:spacing w:after="150"/>
        <w:ind w:left="360"/>
        <w:jc w:val="both"/>
      </w:pPr>
    </w:p>
    <w:p w14:paraId="56D70B54" w14:textId="77777777" w:rsidR="00D46457" w:rsidRDefault="00D46457" w:rsidP="00D46457">
      <w:pPr>
        <w:pStyle w:val="ListParagraph"/>
        <w:spacing w:after="150"/>
        <w:ind w:left="360"/>
        <w:jc w:val="both"/>
      </w:pPr>
      <w:r>
        <w:t xml:space="preserve">Correspondió a una </w:t>
      </w:r>
      <w:r w:rsidR="00880A9D">
        <w:t>CT</w:t>
      </w:r>
      <w:r w:rsidR="00CC0C4C">
        <w:t>,</w:t>
      </w:r>
      <w:r>
        <w:t xml:space="preserve"> capital ordinario, que fue aprobada en enero 2008 y finalizada en enero de 2013, por un monto total de USD</w:t>
      </w:r>
      <w:r w:rsidR="00880A9D">
        <w:t xml:space="preserve"> </w:t>
      </w:r>
      <w:r w:rsidR="006327A2">
        <w:t xml:space="preserve">680.000 y </w:t>
      </w:r>
      <w:r>
        <w:t>contrapartida USD</w:t>
      </w:r>
      <w:r w:rsidR="00880A9D">
        <w:t xml:space="preserve"> </w:t>
      </w:r>
      <w:r w:rsidR="006327A2">
        <w:t>350.000</w:t>
      </w:r>
      <w:r>
        <w:t>.</w:t>
      </w:r>
    </w:p>
    <w:p w14:paraId="12DA6BFC" w14:textId="77777777" w:rsidR="008B5EB0" w:rsidRDefault="008B5EB0" w:rsidP="00D46457">
      <w:pPr>
        <w:pStyle w:val="ListParagraph"/>
        <w:spacing w:after="150"/>
        <w:ind w:left="360"/>
        <w:jc w:val="both"/>
      </w:pPr>
    </w:p>
    <w:p w14:paraId="606D6D8C" w14:textId="77777777" w:rsidR="008B5EB0" w:rsidRPr="007D2B7F" w:rsidRDefault="008B5EB0" w:rsidP="007D2B7F">
      <w:pPr>
        <w:pStyle w:val="ListParagraph"/>
        <w:numPr>
          <w:ilvl w:val="0"/>
          <w:numId w:val="2"/>
        </w:numPr>
        <w:spacing w:after="150"/>
        <w:jc w:val="both"/>
        <w:rPr>
          <w:rFonts w:eastAsia="Times New Roman" w:cs="Times New Roman"/>
          <w:b/>
          <w:kern w:val="36"/>
          <w:lang w:val="es-ES_tradnl" w:eastAsia="es-ES_tradnl"/>
        </w:rPr>
      </w:pPr>
      <w:r w:rsidRPr="008B5EB0">
        <w:rPr>
          <w:rFonts w:eastAsia="Times New Roman"/>
          <w:b/>
        </w:rPr>
        <w:t xml:space="preserve">CO-T1052: </w:t>
      </w:r>
      <w:r w:rsidRPr="008B5EB0">
        <w:rPr>
          <w:rFonts w:eastAsia="Times New Roman" w:cs="Times New Roman"/>
          <w:b/>
          <w:kern w:val="36"/>
          <w:lang w:val="es-ES_tradnl" w:eastAsia="es-ES_tradnl"/>
        </w:rPr>
        <w:t>Estrategias de Energía Sostenible y Biocombustibles para Colombia</w:t>
      </w:r>
    </w:p>
    <w:p w14:paraId="61108D3E" w14:textId="77777777" w:rsidR="00D46457" w:rsidRPr="00B94936" w:rsidRDefault="008B5EB0" w:rsidP="008B5EB0">
      <w:pPr>
        <w:pStyle w:val="ListParagraph"/>
        <w:spacing w:after="150"/>
        <w:ind w:left="360"/>
        <w:jc w:val="both"/>
      </w:pPr>
      <w:r w:rsidRPr="00B94936">
        <w:t>El objetivo de esta CT fue s</w:t>
      </w:r>
      <w:r w:rsidR="00D46457" w:rsidRPr="00B94936">
        <w:t xml:space="preserve">uministrar al </w:t>
      </w:r>
      <w:r w:rsidRPr="00B94936">
        <w:t>GdC</w:t>
      </w:r>
      <w:r w:rsidR="00D46457" w:rsidRPr="00B94936">
        <w:t xml:space="preserve"> un marco sólido e información que permitan invertir en proyectos, planes y programas de energía sostenible y biocombustibles a través de un conjunto de herramientas, estudios y fortalecimiento institucional en materia de energía sostenible y biocombustibles.</w:t>
      </w:r>
    </w:p>
    <w:p w14:paraId="53076741" w14:textId="77777777" w:rsidR="008B5EB0" w:rsidRDefault="008B5EB0" w:rsidP="008B5EB0">
      <w:pPr>
        <w:pStyle w:val="ListParagraph"/>
        <w:spacing w:after="150"/>
        <w:ind w:left="360"/>
        <w:jc w:val="both"/>
        <w:rPr>
          <w:color w:val="666666"/>
        </w:rPr>
      </w:pPr>
    </w:p>
    <w:p w14:paraId="5E10F962" w14:textId="77777777" w:rsidR="008B5EB0" w:rsidRDefault="008B5EB0" w:rsidP="008B5EB0">
      <w:pPr>
        <w:pStyle w:val="ListParagraph"/>
        <w:spacing w:after="150"/>
        <w:ind w:left="360"/>
        <w:jc w:val="both"/>
        <w:rPr>
          <w:rFonts w:eastAsia="Times New Roman"/>
        </w:rPr>
      </w:pPr>
      <w:r w:rsidRPr="00B94936">
        <w:t>Subsector: Energía</w:t>
      </w:r>
      <w:r>
        <w:rPr>
          <w:rFonts w:eastAsia="Times New Roman"/>
        </w:rPr>
        <w:t>-Eficiencia Energética y Energía Renovable e</w:t>
      </w:r>
      <w:r w:rsidRPr="008B5EB0">
        <w:rPr>
          <w:rFonts w:eastAsia="Times New Roman"/>
        </w:rPr>
        <w:t>n Usos Finales</w:t>
      </w:r>
      <w:r>
        <w:rPr>
          <w:rFonts w:eastAsia="Times New Roman"/>
        </w:rPr>
        <w:t>.</w:t>
      </w:r>
    </w:p>
    <w:p w14:paraId="4C3C1D76" w14:textId="77777777" w:rsidR="008B5EB0" w:rsidRDefault="008B5EB0" w:rsidP="008B5EB0">
      <w:pPr>
        <w:pStyle w:val="ListParagraph"/>
        <w:spacing w:after="150"/>
        <w:ind w:left="360"/>
        <w:jc w:val="both"/>
        <w:rPr>
          <w:rFonts w:eastAsia="Times New Roman"/>
        </w:rPr>
      </w:pPr>
    </w:p>
    <w:p w14:paraId="3943112F" w14:textId="77777777" w:rsidR="008B5EB0" w:rsidRDefault="008B5EB0" w:rsidP="008B5EB0">
      <w:pPr>
        <w:pStyle w:val="ListParagraph"/>
        <w:spacing w:after="150"/>
        <w:ind w:left="360"/>
        <w:jc w:val="both"/>
        <w:rPr>
          <w:rFonts w:eastAsia="Times New Roman"/>
        </w:rPr>
      </w:pPr>
      <w:r>
        <w:rPr>
          <w:rFonts w:eastAsia="Times New Roman"/>
        </w:rPr>
        <w:t xml:space="preserve">La CT tuvo un costo de </w:t>
      </w:r>
      <w:r w:rsidRPr="00162664">
        <w:rPr>
          <w:rFonts w:eastAsia="Times New Roman"/>
        </w:rPr>
        <w:t xml:space="preserve">USD 1.895.000 con una contrapartida de USD 379.000 y cofinanciamiento de </w:t>
      </w:r>
      <w:r w:rsidRPr="008B5EB0">
        <w:rPr>
          <w:rFonts w:eastAsia="Times New Roman"/>
        </w:rPr>
        <w:t>USD 1.516.000</w:t>
      </w:r>
      <w:r w:rsidR="00162664">
        <w:rPr>
          <w:rFonts w:eastAsia="Times New Roman"/>
        </w:rPr>
        <w:t xml:space="preserve">. </w:t>
      </w:r>
    </w:p>
    <w:p w14:paraId="5CF6FF54" w14:textId="77777777" w:rsidR="008B5EB0" w:rsidRDefault="008B5EB0" w:rsidP="008B5EB0">
      <w:pPr>
        <w:pStyle w:val="ListParagraph"/>
        <w:spacing w:after="150"/>
        <w:ind w:left="360"/>
        <w:jc w:val="both"/>
        <w:rPr>
          <w:color w:val="666666"/>
        </w:rPr>
      </w:pPr>
    </w:p>
    <w:p w14:paraId="0AAE2FC2" w14:textId="77777777" w:rsidR="00162664" w:rsidRPr="007D2B7F" w:rsidRDefault="00162664" w:rsidP="00162664">
      <w:pPr>
        <w:pStyle w:val="ListParagraph"/>
        <w:numPr>
          <w:ilvl w:val="0"/>
          <w:numId w:val="2"/>
        </w:numPr>
        <w:jc w:val="both"/>
        <w:rPr>
          <w:b/>
        </w:rPr>
      </w:pPr>
      <w:r w:rsidRPr="00162664">
        <w:rPr>
          <w:rFonts w:eastAsia="Times New Roman"/>
          <w:b/>
        </w:rPr>
        <w:t>CO-T1137: Viabilidad para la Producción de Biocombustibles en el Quindío</w:t>
      </w:r>
    </w:p>
    <w:p w14:paraId="576ACAB7" w14:textId="77777777" w:rsidR="00162664" w:rsidRDefault="00162664" w:rsidP="00B94936">
      <w:pPr>
        <w:pStyle w:val="ListParagraph"/>
        <w:spacing w:after="150"/>
        <w:ind w:left="360"/>
        <w:jc w:val="both"/>
      </w:pPr>
      <w:r w:rsidRPr="00B94936">
        <w:t xml:space="preserve">El objeto de esta CT fue realizar el estudio para la viabilidad técnica, económica, ambiental y social de producir etanol </w:t>
      </w:r>
      <w:r w:rsidR="00750519">
        <w:t>en el departamento del Quindío</w:t>
      </w:r>
      <w:r w:rsidRPr="00B94936">
        <w:t>.</w:t>
      </w:r>
    </w:p>
    <w:p w14:paraId="36EFB2E3" w14:textId="77777777" w:rsidR="00B94936" w:rsidRPr="00B94936" w:rsidRDefault="00B94936" w:rsidP="00B94936">
      <w:pPr>
        <w:pStyle w:val="ListParagraph"/>
        <w:spacing w:after="150"/>
        <w:ind w:left="360"/>
        <w:jc w:val="both"/>
      </w:pPr>
    </w:p>
    <w:p w14:paraId="24AE713A" w14:textId="77777777" w:rsidR="00162664" w:rsidRPr="00B94936" w:rsidRDefault="00162664" w:rsidP="00B94936">
      <w:pPr>
        <w:pStyle w:val="ListParagraph"/>
        <w:spacing w:after="150"/>
        <w:ind w:left="360"/>
        <w:jc w:val="both"/>
      </w:pPr>
      <w:r w:rsidRPr="00B94936">
        <w:t>Subsector: Energía</w:t>
      </w:r>
      <w:r w:rsidR="00B94936">
        <w:t>.</w:t>
      </w:r>
    </w:p>
    <w:p w14:paraId="533A91D7" w14:textId="77777777" w:rsidR="00162664" w:rsidRDefault="00162664" w:rsidP="00162664">
      <w:pPr>
        <w:spacing w:after="150"/>
        <w:ind w:left="360"/>
        <w:jc w:val="both"/>
        <w:rPr>
          <w:rFonts w:asciiTheme="minorHAnsi" w:eastAsia="Times New Roman" w:hAnsiTheme="minorHAnsi"/>
        </w:rPr>
      </w:pPr>
      <w:r w:rsidRPr="00162664">
        <w:rPr>
          <w:rFonts w:asciiTheme="minorHAnsi" w:eastAsia="Times New Roman" w:hAnsiTheme="minorHAnsi"/>
        </w:rPr>
        <w:t>Correspondió a una CT No Reembolsable que fue aprobada en marzo 2008 y finalizo en noviembre 2010, con un costo total de USD 112.500 y una contrapartida de USD 22.500.</w:t>
      </w:r>
    </w:p>
    <w:p w14:paraId="09554713" w14:textId="77777777" w:rsidR="00101007" w:rsidRDefault="00101007" w:rsidP="00162664">
      <w:pPr>
        <w:spacing w:after="150"/>
        <w:ind w:left="360"/>
        <w:jc w:val="both"/>
        <w:rPr>
          <w:rFonts w:asciiTheme="minorHAnsi" w:eastAsia="Times New Roman" w:hAnsiTheme="minorHAnsi"/>
        </w:rPr>
      </w:pPr>
    </w:p>
    <w:p w14:paraId="08F9C1CC" w14:textId="77777777" w:rsidR="007D2B7F" w:rsidRDefault="00162664" w:rsidP="007D2B7F">
      <w:pPr>
        <w:pStyle w:val="ListParagraph"/>
        <w:numPr>
          <w:ilvl w:val="0"/>
          <w:numId w:val="2"/>
        </w:numPr>
        <w:spacing w:after="150"/>
        <w:jc w:val="both"/>
        <w:rPr>
          <w:rFonts w:eastAsia="Times New Roman"/>
          <w:b/>
        </w:rPr>
      </w:pPr>
      <w:r w:rsidRPr="000417D4">
        <w:rPr>
          <w:rFonts w:eastAsia="Times New Roman"/>
          <w:b/>
        </w:rPr>
        <w:lastRenderedPageBreak/>
        <w:t xml:space="preserve">CO0038: Central </w:t>
      </w:r>
      <w:r w:rsidR="00760570" w:rsidRPr="000417D4">
        <w:rPr>
          <w:rFonts w:eastAsia="Times New Roman"/>
          <w:b/>
        </w:rPr>
        <w:t>Hidroeléctrica</w:t>
      </w:r>
      <w:r w:rsidRPr="000417D4">
        <w:rPr>
          <w:rFonts w:eastAsia="Times New Roman"/>
          <w:b/>
        </w:rPr>
        <w:t xml:space="preserve"> San Carlos I</w:t>
      </w:r>
    </w:p>
    <w:p w14:paraId="708C56AB" w14:textId="77777777" w:rsidR="00162664" w:rsidRPr="007D2B7F" w:rsidRDefault="00162664" w:rsidP="007D2B7F">
      <w:pPr>
        <w:pStyle w:val="ListParagraph"/>
        <w:spacing w:after="150"/>
        <w:ind w:left="360"/>
        <w:jc w:val="both"/>
        <w:rPr>
          <w:rFonts w:eastAsia="Times New Roman"/>
          <w:b/>
        </w:rPr>
      </w:pPr>
      <w:r w:rsidRPr="007D2B7F">
        <w:rPr>
          <w:rFonts w:eastAsia="Times New Roman"/>
        </w:rPr>
        <w:t xml:space="preserve">Subsector: </w:t>
      </w:r>
      <w:r w:rsidR="00760570" w:rsidRPr="007D2B7F">
        <w:rPr>
          <w:rFonts w:eastAsia="Times New Roman"/>
        </w:rPr>
        <w:t>Energía</w:t>
      </w:r>
      <w:r w:rsidR="000417D4" w:rsidRPr="007D2B7F">
        <w:rPr>
          <w:rFonts w:eastAsia="Times New Roman"/>
        </w:rPr>
        <w:t>-Nuevos Proyectos Hidroeléctricos.</w:t>
      </w:r>
    </w:p>
    <w:p w14:paraId="52E5DABA" w14:textId="77777777" w:rsidR="000417D4" w:rsidRDefault="000417D4" w:rsidP="00162664">
      <w:pPr>
        <w:spacing w:after="150"/>
        <w:ind w:left="360"/>
        <w:jc w:val="both"/>
        <w:rPr>
          <w:rFonts w:asciiTheme="minorHAnsi" w:eastAsia="Times New Roman" w:hAnsiTheme="minorHAnsi"/>
        </w:rPr>
      </w:pPr>
      <w:r>
        <w:rPr>
          <w:rFonts w:asciiTheme="minorHAnsi" w:eastAsia="Times New Roman" w:hAnsiTheme="minorHAnsi"/>
        </w:rPr>
        <w:t xml:space="preserve">Correspondió una Operación de Préstamo con un costo total de </w:t>
      </w:r>
      <w:r w:rsidRPr="000417D4">
        <w:rPr>
          <w:rFonts w:asciiTheme="minorHAnsi" w:eastAsia="Times New Roman" w:hAnsiTheme="minorHAnsi"/>
        </w:rPr>
        <w:t>USD 196.000.000 con cofina</w:t>
      </w:r>
      <w:r w:rsidR="00750519">
        <w:rPr>
          <w:rFonts w:asciiTheme="minorHAnsi" w:eastAsia="Times New Roman" w:hAnsiTheme="minorHAnsi"/>
        </w:rPr>
        <w:t xml:space="preserve">nciamiento de USD 126.000.000 del Banco Mundial </w:t>
      </w:r>
      <w:r w:rsidRPr="000417D4">
        <w:rPr>
          <w:rFonts w:asciiTheme="minorHAnsi" w:eastAsia="Times New Roman" w:hAnsiTheme="minorHAnsi"/>
        </w:rPr>
        <w:t>y financiamiento del BID de USD 70.000.000</w:t>
      </w:r>
      <w:r>
        <w:rPr>
          <w:rFonts w:asciiTheme="minorHAnsi" w:eastAsia="Times New Roman" w:hAnsiTheme="minorHAnsi"/>
        </w:rPr>
        <w:t>.</w:t>
      </w:r>
    </w:p>
    <w:p w14:paraId="5704EE1B" w14:textId="77777777" w:rsidR="00760570" w:rsidRPr="007D2B7F" w:rsidRDefault="00760570" w:rsidP="007D2B7F">
      <w:pPr>
        <w:pStyle w:val="ListParagraph"/>
        <w:numPr>
          <w:ilvl w:val="0"/>
          <w:numId w:val="2"/>
        </w:numPr>
        <w:spacing w:after="150"/>
        <w:jc w:val="both"/>
        <w:rPr>
          <w:rFonts w:eastAsia="Times New Roman"/>
          <w:b/>
        </w:rPr>
      </w:pPr>
      <w:r w:rsidRPr="00760570">
        <w:rPr>
          <w:rFonts w:eastAsia="Times New Roman"/>
          <w:b/>
        </w:rPr>
        <w:t xml:space="preserve">CO-T1208: </w:t>
      </w:r>
      <w:r w:rsidRPr="00B94936">
        <w:rPr>
          <w:rFonts w:eastAsia="Times New Roman"/>
          <w:b/>
        </w:rPr>
        <w:t>Estudios de Prefactibilidad para el Campo Geotérmico del Macizo Volcánico del Ruiz</w:t>
      </w:r>
    </w:p>
    <w:p w14:paraId="732F6828" w14:textId="77777777" w:rsidR="00760570" w:rsidRPr="00D418C0" w:rsidRDefault="00760570" w:rsidP="00760570">
      <w:pPr>
        <w:pStyle w:val="ListParagraph"/>
        <w:spacing w:after="150"/>
        <w:ind w:left="360"/>
        <w:jc w:val="both"/>
      </w:pPr>
      <w:r w:rsidRPr="00D418C0">
        <w:t>La CT financió los estudios de prefactibilidad para dos áreas seleccionadas en el Macizo Volcánico del Ruiz. Las actividades de la CT son: (i) realizar estudios geocientificos para identificar el gradiente térmico, (ii) identificación del tipo de recurso geotérmico y su potencial capacidad, (iii) recomendaciones concernientes a la explotación y desarrollo del recurso geotérmico y (iv) estudios ambientales y sociales.</w:t>
      </w:r>
    </w:p>
    <w:p w14:paraId="7CBBCB60" w14:textId="77777777" w:rsidR="00760570" w:rsidRPr="00D418C0" w:rsidRDefault="00760570" w:rsidP="00760570">
      <w:pPr>
        <w:pStyle w:val="ListParagraph"/>
        <w:spacing w:after="150"/>
        <w:ind w:left="360"/>
        <w:jc w:val="both"/>
      </w:pPr>
    </w:p>
    <w:p w14:paraId="4B762406" w14:textId="77777777" w:rsidR="00D418C0" w:rsidRDefault="00D418C0" w:rsidP="00D418C0">
      <w:pPr>
        <w:pStyle w:val="ListParagraph"/>
        <w:spacing w:after="150"/>
        <w:ind w:left="360"/>
        <w:jc w:val="both"/>
        <w:rPr>
          <w:rFonts w:eastAsia="Times New Roman"/>
        </w:rPr>
      </w:pPr>
      <w:r w:rsidRPr="00D418C0">
        <w:t xml:space="preserve">Correspondió </w:t>
      </w:r>
      <w:r w:rsidR="00760570" w:rsidRPr="00D418C0">
        <w:t xml:space="preserve">a </w:t>
      </w:r>
      <w:r w:rsidRPr="00D418C0">
        <w:t>una CT No Reembolsable</w:t>
      </w:r>
      <w:r w:rsidR="00CC0C4C">
        <w:t>,</w:t>
      </w:r>
      <w:r w:rsidRPr="00D418C0">
        <w:t xml:space="preserve"> </w:t>
      </w:r>
      <w:r w:rsidRPr="00D418C0">
        <w:rPr>
          <w:rFonts w:eastAsia="Times New Roman"/>
        </w:rPr>
        <w:t>Fondo Japonés para Consultoría</w:t>
      </w:r>
      <w:r w:rsidR="00CC0C4C">
        <w:rPr>
          <w:rFonts w:eastAsia="Times New Roman"/>
        </w:rPr>
        <w:t>,</w:t>
      </w:r>
      <w:r w:rsidR="00750519">
        <w:t xml:space="preserve"> que </w:t>
      </w:r>
      <w:r w:rsidR="00760570" w:rsidRPr="00D418C0">
        <w:t xml:space="preserve">fue aprobada en mayo 2010 con un costo total de </w:t>
      </w:r>
      <w:r w:rsidR="00760570" w:rsidRPr="00D418C0">
        <w:rPr>
          <w:rFonts w:eastAsia="Times New Roman"/>
        </w:rPr>
        <w:t>USD 1.383.895 y contrapartida de USD 483.895</w:t>
      </w:r>
      <w:r w:rsidRPr="00D418C0">
        <w:rPr>
          <w:rFonts w:eastAsia="Times New Roman"/>
        </w:rPr>
        <w:t xml:space="preserve">. </w:t>
      </w:r>
    </w:p>
    <w:p w14:paraId="0E50E7A7" w14:textId="77777777" w:rsidR="00D418C0" w:rsidRPr="00D418C0" w:rsidRDefault="00D418C0" w:rsidP="00D418C0">
      <w:pPr>
        <w:pStyle w:val="ListParagraph"/>
        <w:spacing w:after="150"/>
        <w:ind w:left="360"/>
        <w:jc w:val="both"/>
        <w:rPr>
          <w:rFonts w:eastAsia="Times New Roman"/>
        </w:rPr>
      </w:pPr>
    </w:p>
    <w:p w14:paraId="50D3B39B" w14:textId="77777777" w:rsidR="00D418C0" w:rsidRPr="007D2B7F" w:rsidRDefault="00D418C0" w:rsidP="007D2B7F">
      <w:pPr>
        <w:pStyle w:val="ListParagraph"/>
        <w:numPr>
          <w:ilvl w:val="0"/>
          <w:numId w:val="2"/>
        </w:numPr>
        <w:spacing w:after="150"/>
        <w:jc w:val="both"/>
        <w:rPr>
          <w:rFonts w:eastAsia="Times New Roman"/>
          <w:b/>
        </w:rPr>
      </w:pPr>
      <w:r w:rsidRPr="00D418C0">
        <w:rPr>
          <w:rFonts w:eastAsia="Times New Roman"/>
          <w:b/>
        </w:rPr>
        <w:t xml:space="preserve">CO-X1009: </w:t>
      </w:r>
      <w:r w:rsidRPr="00B94936">
        <w:rPr>
          <w:rFonts w:eastAsia="Times New Roman"/>
          <w:b/>
        </w:rPr>
        <w:t>Inversiones Catalizadoras para Energía Geotérmica</w:t>
      </w:r>
    </w:p>
    <w:p w14:paraId="649E1527" w14:textId="77777777" w:rsidR="00D418C0" w:rsidRDefault="00CC0C4C" w:rsidP="00D418C0">
      <w:pPr>
        <w:pStyle w:val="ListParagraph"/>
        <w:ind w:left="360"/>
        <w:jc w:val="both"/>
        <w:rPr>
          <w:rFonts w:eastAsia="Times New Roman"/>
          <w:lang w:val="es-ES_tradnl"/>
        </w:rPr>
      </w:pPr>
      <w:r w:rsidRPr="00D418C0">
        <w:rPr>
          <w:rFonts w:eastAsia="Times New Roman"/>
          <w:lang w:val="es-ES_tradnl"/>
        </w:rPr>
        <w:t>Las componentes consideradas</w:t>
      </w:r>
      <w:r w:rsidR="00750519">
        <w:rPr>
          <w:rFonts w:eastAsia="Times New Roman"/>
          <w:lang w:val="es-ES_tradnl"/>
        </w:rPr>
        <w:t xml:space="preserve"> en esta CT fueron</w:t>
      </w:r>
      <w:r w:rsidR="00D418C0">
        <w:rPr>
          <w:rFonts w:eastAsia="Times New Roman"/>
          <w:lang w:val="es-ES_tradnl"/>
        </w:rPr>
        <w:t>: (i) r</w:t>
      </w:r>
      <w:r w:rsidR="00D418C0" w:rsidRPr="00D418C0">
        <w:rPr>
          <w:rFonts w:eastAsia="Times New Roman"/>
          <w:lang w:val="es-ES_tradnl"/>
        </w:rPr>
        <w:t>emoción de barreras institucionales y regulatorias para el desarrol</w:t>
      </w:r>
      <w:r w:rsidR="00D418C0">
        <w:rPr>
          <w:rFonts w:eastAsia="Times New Roman"/>
          <w:lang w:val="es-ES_tradnl"/>
        </w:rPr>
        <w:t>lo de energía geotérmica, (ii) r</w:t>
      </w:r>
      <w:r w:rsidR="00D418C0" w:rsidRPr="00D418C0">
        <w:rPr>
          <w:rFonts w:eastAsia="Times New Roman"/>
          <w:lang w:val="es-ES_tradnl"/>
        </w:rPr>
        <w:t>educción de incertidumbres técnicas sobre el potencia</w:t>
      </w:r>
      <w:r w:rsidR="00D418C0">
        <w:rPr>
          <w:rFonts w:eastAsia="Times New Roman"/>
          <w:lang w:val="es-ES_tradnl"/>
        </w:rPr>
        <w:t>l geotérmico de aprovechamiento</w:t>
      </w:r>
      <w:r w:rsidR="00D418C0" w:rsidRPr="00D418C0">
        <w:rPr>
          <w:rFonts w:eastAsia="Times New Roman"/>
          <w:lang w:val="es-ES_tradnl"/>
        </w:rPr>
        <w:t xml:space="preserve"> y (ii</w:t>
      </w:r>
      <w:r w:rsidR="00D418C0">
        <w:rPr>
          <w:rFonts w:eastAsia="Times New Roman"/>
          <w:lang w:val="es-ES_tradnl"/>
        </w:rPr>
        <w:t>i) d</w:t>
      </w:r>
      <w:r w:rsidR="00D418C0" w:rsidRPr="00D418C0">
        <w:rPr>
          <w:rFonts w:eastAsia="Times New Roman"/>
          <w:lang w:val="es-ES_tradnl"/>
        </w:rPr>
        <w:t>esarrollo del campo geotérmico.</w:t>
      </w:r>
    </w:p>
    <w:p w14:paraId="1F9E5CD3" w14:textId="77777777" w:rsidR="00D418C0" w:rsidRDefault="00D418C0" w:rsidP="00D418C0">
      <w:pPr>
        <w:pStyle w:val="ListParagraph"/>
        <w:ind w:left="360"/>
        <w:jc w:val="both"/>
        <w:rPr>
          <w:rFonts w:eastAsia="Times New Roman"/>
          <w:lang w:val="es-ES_tradnl"/>
        </w:rPr>
      </w:pPr>
    </w:p>
    <w:p w14:paraId="195BD476" w14:textId="77777777" w:rsidR="00D418C0" w:rsidRDefault="00D418C0" w:rsidP="00D418C0">
      <w:pPr>
        <w:pStyle w:val="ListParagraph"/>
        <w:ind w:left="360"/>
        <w:jc w:val="both"/>
        <w:rPr>
          <w:rFonts w:eastAsia="Times New Roman"/>
          <w:lang w:val="es-ES_tradnl"/>
        </w:rPr>
      </w:pPr>
      <w:r>
        <w:rPr>
          <w:rFonts w:eastAsia="Times New Roman"/>
          <w:lang w:val="es-ES_tradnl"/>
        </w:rPr>
        <w:t>Subsector: Energía.</w:t>
      </w:r>
    </w:p>
    <w:p w14:paraId="72F2631E" w14:textId="77777777" w:rsidR="00D418C0" w:rsidRDefault="00D418C0" w:rsidP="00D418C0">
      <w:pPr>
        <w:pStyle w:val="ListParagraph"/>
        <w:ind w:left="360"/>
        <w:jc w:val="both"/>
        <w:rPr>
          <w:rFonts w:eastAsia="Times New Roman"/>
          <w:lang w:val="es-ES_tradnl"/>
        </w:rPr>
      </w:pPr>
    </w:p>
    <w:p w14:paraId="57D17533" w14:textId="77777777" w:rsidR="00D418C0" w:rsidRDefault="00D418C0" w:rsidP="00D418C0">
      <w:pPr>
        <w:pStyle w:val="ListParagraph"/>
        <w:ind w:left="360"/>
        <w:jc w:val="both"/>
        <w:rPr>
          <w:rFonts w:eastAsia="Times New Roman"/>
          <w:lang w:val="es-ES_tradnl"/>
        </w:rPr>
      </w:pPr>
      <w:r>
        <w:rPr>
          <w:rFonts w:eastAsia="Times New Roman"/>
          <w:lang w:val="es-ES_tradnl"/>
        </w:rPr>
        <w:t xml:space="preserve">El costo total de la CT fue de </w:t>
      </w:r>
      <w:r w:rsidRPr="00A14C88">
        <w:rPr>
          <w:rFonts w:eastAsia="Times New Roman"/>
          <w:lang w:val="es-ES_tradnl"/>
        </w:rPr>
        <w:t>USD 3.777.000</w:t>
      </w:r>
      <w:r w:rsidR="00A14C88" w:rsidRPr="00A14C88">
        <w:rPr>
          <w:rFonts w:eastAsia="Times New Roman"/>
          <w:lang w:val="es-ES_tradnl"/>
        </w:rPr>
        <w:t xml:space="preserve"> con una contrapartida de USD 1.050.000 y financiamiento BID de USD 2.727.000.</w:t>
      </w:r>
    </w:p>
    <w:p w14:paraId="198A16BF" w14:textId="77777777" w:rsidR="00A14C88" w:rsidRDefault="00A14C88" w:rsidP="00D418C0">
      <w:pPr>
        <w:pStyle w:val="ListParagraph"/>
        <w:ind w:left="360"/>
        <w:jc w:val="both"/>
        <w:rPr>
          <w:rFonts w:eastAsia="Times New Roman"/>
          <w:lang w:val="es-ES_tradnl"/>
        </w:rPr>
      </w:pPr>
    </w:p>
    <w:p w14:paraId="61976278" w14:textId="137B17F1" w:rsidR="00FD67A1" w:rsidRPr="007D2B7F" w:rsidRDefault="00FD67A1" w:rsidP="007D2B7F">
      <w:pPr>
        <w:pStyle w:val="ListParagraph"/>
        <w:numPr>
          <w:ilvl w:val="0"/>
          <w:numId w:val="2"/>
        </w:numPr>
        <w:spacing w:after="150"/>
        <w:jc w:val="both"/>
        <w:rPr>
          <w:rFonts w:eastAsia="Times New Roman"/>
          <w:b/>
        </w:rPr>
      </w:pPr>
      <w:r w:rsidRPr="00FD67A1">
        <w:rPr>
          <w:rFonts w:eastAsia="Times New Roman"/>
          <w:b/>
        </w:rPr>
        <w:t xml:space="preserve">CO-T1250: </w:t>
      </w:r>
      <w:r w:rsidRPr="00B94936">
        <w:rPr>
          <w:rFonts w:eastAsia="Times New Roman"/>
          <w:b/>
        </w:rPr>
        <w:t xml:space="preserve">Apoyo a la Estructuración del Proyecto Hidroeléctrico </w:t>
      </w:r>
      <w:r w:rsidR="00FF4860" w:rsidRPr="00B94936">
        <w:rPr>
          <w:rFonts w:eastAsia="Times New Roman"/>
          <w:b/>
        </w:rPr>
        <w:t>Bitango</w:t>
      </w:r>
    </w:p>
    <w:p w14:paraId="07A98192" w14:textId="77777777" w:rsidR="00FD67A1" w:rsidRPr="00B94936" w:rsidRDefault="00FD67A1" w:rsidP="00D418C0">
      <w:pPr>
        <w:pStyle w:val="ListParagraph"/>
        <w:ind w:left="360"/>
        <w:jc w:val="both"/>
        <w:rPr>
          <w:rFonts w:eastAsia="Times New Roman"/>
          <w:lang w:val="es-ES_tradnl"/>
        </w:rPr>
      </w:pPr>
      <w:r w:rsidRPr="00FD67A1">
        <w:rPr>
          <w:rFonts w:eastAsia="Times New Roman"/>
          <w:lang w:val="es-ES_tradnl"/>
        </w:rPr>
        <w:t xml:space="preserve">Está CT apoya </w:t>
      </w:r>
      <w:r w:rsidRPr="00B94936">
        <w:rPr>
          <w:rFonts w:eastAsia="Times New Roman"/>
          <w:lang w:val="es-ES_tradnl"/>
        </w:rPr>
        <w:t>el análisis de las opciones de estructuración financiera para la Central Hidroeléctrica Ituango de 2400 MW.</w:t>
      </w:r>
    </w:p>
    <w:p w14:paraId="0CDC67B4" w14:textId="77777777" w:rsidR="00FD67A1" w:rsidRPr="00B94936" w:rsidRDefault="00FD67A1" w:rsidP="00D418C0">
      <w:pPr>
        <w:pStyle w:val="ListParagraph"/>
        <w:ind w:left="360"/>
        <w:jc w:val="both"/>
        <w:rPr>
          <w:rFonts w:eastAsia="Times New Roman"/>
          <w:lang w:val="es-ES_tradnl"/>
        </w:rPr>
      </w:pPr>
    </w:p>
    <w:p w14:paraId="7E831790" w14:textId="77777777" w:rsidR="00FD67A1" w:rsidRPr="00B94936" w:rsidRDefault="00FD67A1" w:rsidP="00D418C0">
      <w:pPr>
        <w:pStyle w:val="ListParagraph"/>
        <w:ind w:left="360"/>
        <w:jc w:val="both"/>
        <w:rPr>
          <w:rFonts w:eastAsia="Times New Roman"/>
          <w:lang w:val="es-ES_tradnl"/>
        </w:rPr>
      </w:pPr>
      <w:r w:rsidRPr="00B94936">
        <w:rPr>
          <w:rFonts w:eastAsia="Times New Roman"/>
          <w:lang w:val="es-ES_tradnl"/>
        </w:rPr>
        <w:t>Subsector: Energía-Nuevos Proyectos Hidroeléctricos.</w:t>
      </w:r>
    </w:p>
    <w:p w14:paraId="062BF1D7" w14:textId="77777777" w:rsidR="00FD67A1" w:rsidRPr="00B94936" w:rsidRDefault="00FD67A1" w:rsidP="00D418C0">
      <w:pPr>
        <w:pStyle w:val="ListParagraph"/>
        <w:ind w:left="360"/>
        <w:jc w:val="both"/>
        <w:rPr>
          <w:rFonts w:eastAsia="Times New Roman"/>
          <w:lang w:val="es-ES_tradnl"/>
        </w:rPr>
      </w:pPr>
    </w:p>
    <w:p w14:paraId="5EE988C4" w14:textId="77777777" w:rsidR="00FD67A1" w:rsidRPr="00B94936" w:rsidRDefault="00FD67A1" w:rsidP="00D418C0">
      <w:pPr>
        <w:pStyle w:val="ListParagraph"/>
        <w:ind w:left="360"/>
        <w:jc w:val="both"/>
        <w:rPr>
          <w:rFonts w:eastAsia="Times New Roman"/>
          <w:lang w:val="es-ES_tradnl"/>
        </w:rPr>
      </w:pPr>
      <w:r w:rsidRPr="00B94936">
        <w:rPr>
          <w:rFonts w:eastAsia="Times New Roman"/>
          <w:lang w:val="es-ES_tradnl"/>
        </w:rPr>
        <w:t>Corresponde a un CT No Reembolsable con un costo total de USD 2.000.000 con una contrapartida de USD 500.000. A noviembre 30 2016, se tiene un desembolso de USD 1.500.000.</w:t>
      </w:r>
    </w:p>
    <w:p w14:paraId="4030A1DE" w14:textId="77777777" w:rsidR="00FD67A1" w:rsidRDefault="00FD67A1" w:rsidP="00D418C0">
      <w:pPr>
        <w:pStyle w:val="ListParagraph"/>
        <w:ind w:left="360"/>
        <w:jc w:val="both"/>
        <w:rPr>
          <w:rFonts w:eastAsia="Times New Roman"/>
        </w:rPr>
      </w:pPr>
    </w:p>
    <w:p w14:paraId="24BE933F" w14:textId="77777777" w:rsidR="00FD67A1" w:rsidRPr="007D2B7F" w:rsidRDefault="00FD67A1" w:rsidP="007D2B7F">
      <w:pPr>
        <w:pStyle w:val="ListParagraph"/>
        <w:numPr>
          <w:ilvl w:val="0"/>
          <w:numId w:val="2"/>
        </w:numPr>
        <w:spacing w:after="150"/>
        <w:jc w:val="both"/>
        <w:rPr>
          <w:rFonts w:eastAsia="Times New Roman"/>
          <w:b/>
        </w:rPr>
      </w:pPr>
      <w:r w:rsidRPr="00BC4095">
        <w:rPr>
          <w:rFonts w:eastAsia="Times New Roman"/>
          <w:b/>
        </w:rPr>
        <w:t xml:space="preserve">CO-T1309: </w:t>
      </w:r>
      <w:r w:rsidRPr="00B94936">
        <w:rPr>
          <w:rFonts w:eastAsia="Times New Roman"/>
          <w:b/>
        </w:rPr>
        <w:t>Estudio de Mercado de Eficiencia Energética y Coordinación del Programa C-SEF</w:t>
      </w:r>
    </w:p>
    <w:p w14:paraId="3E23AA4F" w14:textId="77777777" w:rsidR="00FD67A1" w:rsidRDefault="00FD67A1" w:rsidP="00B94936">
      <w:pPr>
        <w:pStyle w:val="ListParagraph"/>
        <w:ind w:left="360"/>
        <w:jc w:val="both"/>
        <w:rPr>
          <w:rFonts w:eastAsia="Times New Roman"/>
          <w:lang w:val="es-ES_tradnl"/>
        </w:rPr>
      </w:pPr>
      <w:r w:rsidRPr="00B94936">
        <w:rPr>
          <w:rFonts w:eastAsia="Times New Roman"/>
          <w:lang w:val="es-ES_tradnl"/>
        </w:rPr>
        <w:t xml:space="preserve">Por medio de esta CT se </w:t>
      </w:r>
      <w:r w:rsidR="00F74F00" w:rsidRPr="00B94936">
        <w:rPr>
          <w:rFonts w:eastAsia="Times New Roman"/>
          <w:lang w:val="es-ES_tradnl"/>
        </w:rPr>
        <w:t>desarrolló</w:t>
      </w:r>
      <w:r w:rsidRPr="00B94936">
        <w:rPr>
          <w:rFonts w:eastAsia="Times New Roman"/>
          <w:lang w:val="es-ES_tradnl"/>
        </w:rPr>
        <w:t xml:space="preserve"> un estudio de mercado para apoyar la preparación del Programa Colombiano de Financiamiento a la Energía Sustentable (C-SEF) y apoyo a la coordinación del Programa.</w:t>
      </w:r>
    </w:p>
    <w:p w14:paraId="79496B0B" w14:textId="77777777" w:rsidR="00B94936" w:rsidRPr="00B94936" w:rsidRDefault="00B94936" w:rsidP="00B94936">
      <w:pPr>
        <w:pStyle w:val="ListParagraph"/>
        <w:ind w:left="360"/>
        <w:jc w:val="both"/>
        <w:rPr>
          <w:rFonts w:eastAsia="Times New Roman"/>
          <w:lang w:val="es-ES_tradnl"/>
        </w:rPr>
      </w:pPr>
    </w:p>
    <w:p w14:paraId="109C76BE" w14:textId="77777777" w:rsidR="00BC4095" w:rsidRDefault="00BC4095" w:rsidP="00B94936">
      <w:pPr>
        <w:pStyle w:val="ListParagraph"/>
        <w:ind w:left="360"/>
        <w:jc w:val="both"/>
        <w:rPr>
          <w:rFonts w:eastAsia="Times New Roman"/>
          <w:lang w:val="es-ES_tradnl"/>
        </w:rPr>
      </w:pPr>
      <w:r w:rsidRPr="00B94936">
        <w:rPr>
          <w:rFonts w:eastAsia="Times New Roman"/>
          <w:lang w:val="es-ES_tradnl"/>
        </w:rPr>
        <w:t>Subsector: Energía-Eficiencia Energética y Energía Renovable en Usos Finales.</w:t>
      </w:r>
    </w:p>
    <w:p w14:paraId="5D84004F" w14:textId="77777777" w:rsidR="00750519" w:rsidRPr="00B94936" w:rsidRDefault="00750519" w:rsidP="00B94936">
      <w:pPr>
        <w:pStyle w:val="ListParagraph"/>
        <w:ind w:left="360"/>
        <w:jc w:val="both"/>
        <w:rPr>
          <w:rFonts w:eastAsia="Times New Roman"/>
          <w:lang w:val="es-ES_tradnl"/>
        </w:rPr>
      </w:pPr>
    </w:p>
    <w:p w14:paraId="2C0CB3C3" w14:textId="77777777" w:rsidR="00A206F5" w:rsidRPr="00A206F5" w:rsidRDefault="00BC4095" w:rsidP="00A206F5">
      <w:pPr>
        <w:spacing w:after="150"/>
        <w:ind w:left="360"/>
        <w:jc w:val="both"/>
        <w:rPr>
          <w:rFonts w:asciiTheme="minorHAnsi" w:eastAsia="Times New Roman" w:hAnsiTheme="minorHAnsi"/>
        </w:rPr>
      </w:pPr>
      <w:r w:rsidRPr="00BC4095">
        <w:rPr>
          <w:rFonts w:asciiTheme="minorHAnsi" w:hAnsiTheme="minorHAnsi"/>
        </w:rPr>
        <w:t xml:space="preserve">La CT No Reembolsable fue aprobada en febrero 2013 y finalizó en octubre 2015, con un costo total de </w:t>
      </w:r>
      <w:r w:rsidRPr="00BC4095">
        <w:rPr>
          <w:rFonts w:asciiTheme="minorHAnsi" w:eastAsia="Times New Roman" w:hAnsiTheme="minorHAnsi"/>
        </w:rPr>
        <w:t>USD 275.000.</w:t>
      </w:r>
    </w:p>
    <w:p w14:paraId="7E590A3D" w14:textId="77777777" w:rsidR="00BC4095" w:rsidRPr="007D2B7F" w:rsidRDefault="00BC4095" w:rsidP="007D2B7F">
      <w:pPr>
        <w:pStyle w:val="ListParagraph"/>
        <w:numPr>
          <w:ilvl w:val="0"/>
          <w:numId w:val="2"/>
        </w:numPr>
        <w:jc w:val="both"/>
        <w:rPr>
          <w:rFonts w:eastAsia="Times New Roman" w:cs="Times New Roman"/>
          <w:b/>
          <w:kern w:val="36"/>
          <w:lang w:val="es-ES_tradnl" w:eastAsia="es-ES_tradnl"/>
        </w:rPr>
      </w:pPr>
      <w:r w:rsidRPr="00A206F5">
        <w:rPr>
          <w:rFonts w:eastAsia="Times New Roman"/>
          <w:b/>
        </w:rPr>
        <w:t xml:space="preserve">CO-T1344: </w:t>
      </w:r>
      <w:r w:rsidRPr="00A206F5">
        <w:rPr>
          <w:rFonts w:eastAsia="Times New Roman" w:cs="Times New Roman"/>
          <w:b/>
          <w:kern w:val="36"/>
          <w:lang w:val="es-ES_tradnl" w:eastAsia="es-ES_tradnl"/>
        </w:rPr>
        <w:t>Desarrollo de un Mercado ESCO-</w:t>
      </w:r>
      <w:r w:rsidR="00F74F00" w:rsidRPr="00A206F5">
        <w:rPr>
          <w:rFonts w:eastAsia="Times New Roman" w:cs="Times New Roman"/>
          <w:b/>
          <w:kern w:val="36"/>
          <w:lang w:val="es-ES_tradnl" w:eastAsia="es-ES_tradnl"/>
        </w:rPr>
        <w:t>Preparación</w:t>
      </w:r>
      <w:r w:rsidRPr="00A206F5">
        <w:rPr>
          <w:rFonts w:eastAsia="Times New Roman" w:cs="Times New Roman"/>
          <w:b/>
          <w:kern w:val="36"/>
          <w:lang w:val="es-ES_tradnl" w:eastAsia="es-ES_tradnl"/>
        </w:rPr>
        <w:t xml:space="preserve"> de Proyecto</w:t>
      </w:r>
    </w:p>
    <w:p w14:paraId="38EAD486" w14:textId="77777777" w:rsidR="00BC4095" w:rsidRPr="00A206F5" w:rsidRDefault="00BC4095" w:rsidP="00D46457">
      <w:pPr>
        <w:pStyle w:val="ListParagraph"/>
        <w:ind w:left="360"/>
        <w:jc w:val="both"/>
      </w:pPr>
      <w:r w:rsidRPr="00A206F5">
        <w:rPr>
          <w:rFonts w:eastAsia="Times New Roman"/>
        </w:rPr>
        <w:t xml:space="preserve">Por medio de esta CT, el </w:t>
      </w:r>
      <w:r w:rsidRPr="00A206F5">
        <w:t xml:space="preserve">FOMIN con los recursos asignados del Fondo de Tecnología Limpia, además de fondos de contrapartida, desarrollo un proyecto para promover el uso de tecnologías de </w:t>
      </w:r>
      <w:r w:rsidR="00AF6548">
        <w:t>EE</w:t>
      </w:r>
      <w:r w:rsidRPr="00A206F5">
        <w:t xml:space="preserve"> entre las pymes en Colombia.</w:t>
      </w:r>
    </w:p>
    <w:p w14:paraId="23E7F704" w14:textId="77777777" w:rsidR="00BC4095" w:rsidRPr="00A206F5" w:rsidRDefault="00BC4095" w:rsidP="00D46457">
      <w:pPr>
        <w:pStyle w:val="ListParagraph"/>
        <w:ind w:left="360"/>
        <w:jc w:val="both"/>
      </w:pPr>
    </w:p>
    <w:p w14:paraId="14FC223B" w14:textId="77777777" w:rsidR="00BC4095" w:rsidRPr="00A206F5" w:rsidRDefault="00BC4095" w:rsidP="00D46457">
      <w:pPr>
        <w:pStyle w:val="ListParagraph"/>
        <w:ind w:left="360"/>
        <w:jc w:val="both"/>
      </w:pPr>
      <w:r w:rsidRPr="00A206F5">
        <w:t xml:space="preserve">Subsector: </w:t>
      </w:r>
      <w:r w:rsidR="00A206F5" w:rsidRPr="00A206F5">
        <w:rPr>
          <w:rFonts w:eastAsia="Times New Roman"/>
        </w:rPr>
        <w:t>En Usos Finales</w:t>
      </w:r>
      <w:r w:rsidRPr="00A206F5">
        <w:rPr>
          <w:rFonts w:eastAsia="Times New Roman"/>
        </w:rPr>
        <w:t>.</w:t>
      </w:r>
    </w:p>
    <w:p w14:paraId="27B9F9BE" w14:textId="77777777" w:rsidR="00BC4095" w:rsidRPr="00A206F5" w:rsidRDefault="00BC4095" w:rsidP="00D46457">
      <w:pPr>
        <w:pStyle w:val="ListParagraph"/>
        <w:ind w:left="360"/>
        <w:jc w:val="both"/>
      </w:pPr>
    </w:p>
    <w:p w14:paraId="24AEAC5E" w14:textId="77777777" w:rsidR="00BC4095" w:rsidRPr="00A206F5" w:rsidRDefault="00BC4095" w:rsidP="00D46457">
      <w:pPr>
        <w:pStyle w:val="ListParagraph"/>
        <w:ind w:left="360"/>
        <w:jc w:val="both"/>
      </w:pPr>
      <w:r w:rsidRPr="00A206F5">
        <w:t xml:space="preserve">Está CT </w:t>
      </w:r>
      <w:r w:rsidR="00A206F5" w:rsidRPr="00A206F5">
        <w:t xml:space="preserve">No Reembolsable </w:t>
      </w:r>
      <w:r w:rsidRPr="00A206F5">
        <w:t>fue aprobada en septiembre 2013 y finalizó en abril 2015, con un costo total de</w:t>
      </w:r>
      <w:r w:rsidR="00A206F5" w:rsidRPr="00A206F5">
        <w:t xml:space="preserve"> </w:t>
      </w:r>
      <w:r w:rsidR="00A206F5" w:rsidRPr="00A206F5">
        <w:rPr>
          <w:rFonts w:eastAsia="Times New Roman"/>
        </w:rPr>
        <w:t>USD 200.000.</w:t>
      </w:r>
    </w:p>
    <w:p w14:paraId="5C174A6B" w14:textId="77777777" w:rsidR="00BC4095" w:rsidRDefault="00BC4095" w:rsidP="00D46457">
      <w:pPr>
        <w:pStyle w:val="ListParagraph"/>
        <w:ind w:left="360"/>
        <w:jc w:val="both"/>
        <w:rPr>
          <w:b/>
        </w:rPr>
      </w:pPr>
    </w:p>
    <w:p w14:paraId="048ED486" w14:textId="77777777" w:rsidR="00F74F00" w:rsidRPr="007D2B7F" w:rsidRDefault="00F74F00" w:rsidP="007D2B7F">
      <w:pPr>
        <w:pStyle w:val="ListParagraph"/>
        <w:numPr>
          <w:ilvl w:val="0"/>
          <w:numId w:val="2"/>
        </w:numPr>
        <w:jc w:val="both"/>
        <w:rPr>
          <w:rFonts w:eastAsia="Times New Roman"/>
          <w:b/>
        </w:rPr>
      </w:pPr>
      <w:r w:rsidRPr="00F74F00">
        <w:rPr>
          <w:rFonts w:eastAsia="Times New Roman"/>
          <w:b/>
        </w:rPr>
        <w:t xml:space="preserve">CO-T1337: </w:t>
      </w:r>
      <w:r w:rsidRPr="00B94936">
        <w:rPr>
          <w:rFonts w:eastAsia="Times New Roman"/>
          <w:b/>
        </w:rPr>
        <w:t>Análisis, evaluación y recomendaciones para la implementación de una Red Inteligente</w:t>
      </w:r>
    </w:p>
    <w:p w14:paraId="767BD080" w14:textId="77777777" w:rsidR="00F74F00" w:rsidRPr="00B94936" w:rsidRDefault="00F74F00" w:rsidP="00D46457">
      <w:pPr>
        <w:pStyle w:val="ListParagraph"/>
        <w:ind w:left="360"/>
        <w:jc w:val="both"/>
      </w:pPr>
      <w:r w:rsidRPr="00B94936">
        <w:t>El objetivo de esta CT fue proponer soluciones, estándares y regulación necesaria para desarrollar e implementar una red inteligente en Colombia, la evaluación comparativa y el intercambio de conocimientos con los países que han experimentado la introducción de soluciones de red inteligente para atender asuntos en el sector eléctrico y cuantificar los beneficios de su introducción para que el Gobierno, los reguladores (energía y telecomunicaciones) y las compañías eléctricas aprueben su introducción, basado en las mejores ejemplos internacionales (benchmarking).</w:t>
      </w:r>
    </w:p>
    <w:p w14:paraId="06FAA4B5" w14:textId="77777777" w:rsidR="00F74F00" w:rsidRPr="00B94936" w:rsidRDefault="00F74F00" w:rsidP="00D46457">
      <w:pPr>
        <w:pStyle w:val="ListParagraph"/>
        <w:ind w:left="360"/>
        <w:jc w:val="both"/>
      </w:pPr>
    </w:p>
    <w:p w14:paraId="588D5DF0" w14:textId="77777777" w:rsidR="00F74F00" w:rsidRPr="00F74F00" w:rsidRDefault="00F74F00" w:rsidP="00D46457">
      <w:pPr>
        <w:pStyle w:val="ListParagraph"/>
        <w:ind w:left="360"/>
        <w:jc w:val="both"/>
        <w:rPr>
          <w:rFonts w:eastAsia="Times New Roman"/>
        </w:rPr>
      </w:pPr>
      <w:r w:rsidRPr="00B94936">
        <w:rPr>
          <w:rFonts w:eastAsia="Times New Roman"/>
        </w:rPr>
        <w:t>Subsector: En</w:t>
      </w:r>
      <w:r w:rsidRPr="00F74F00">
        <w:rPr>
          <w:rFonts w:eastAsia="Times New Roman"/>
        </w:rPr>
        <w:t>ergía-Eficiencia Energética y Energía Renovable en Usos Finales.</w:t>
      </w:r>
    </w:p>
    <w:p w14:paraId="4259A424" w14:textId="77777777" w:rsidR="00F74F00" w:rsidRPr="00F74F00" w:rsidRDefault="00F74F00" w:rsidP="00D46457">
      <w:pPr>
        <w:pStyle w:val="ListParagraph"/>
        <w:ind w:left="360"/>
        <w:jc w:val="both"/>
        <w:rPr>
          <w:rFonts w:eastAsia="Times New Roman"/>
        </w:rPr>
      </w:pPr>
    </w:p>
    <w:p w14:paraId="03FADEC3" w14:textId="77777777" w:rsidR="00F74F00" w:rsidRPr="00F74F00" w:rsidRDefault="00F74F00" w:rsidP="00D46457">
      <w:pPr>
        <w:pStyle w:val="ListParagraph"/>
        <w:ind w:left="360"/>
        <w:jc w:val="both"/>
      </w:pPr>
      <w:r w:rsidRPr="00F74F00">
        <w:rPr>
          <w:rFonts w:eastAsia="Times New Roman"/>
        </w:rPr>
        <w:t>La CT No Reembolsable</w:t>
      </w:r>
      <w:r w:rsidR="00CC0C4C">
        <w:rPr>
          <w:rFonts w:eastAsia="Times New Roman"/>
        </w:rPr>
        <w:t>,</w:t>
      </w:r>
      <w:r w:rsidRPr="00F74F00">
        <w:rPr>
          <w:rFonts w:eastAsia="Times New Roman"/>
        </w:rPr>
        <w:t xml:space="preserve"> Fondo Coreano para Tecnología e Innovación</w:t>
      </w:r>
      <w:r w:rsidR="00CC0C4C">
        <w:rPr>
          <w:rFonts w:eastAsia="Times New Roman"/>
        </w:rPr>
        <w:t>,</w:t>
      </w:r>
      <w:r w:rsidRPr="00F74F00">
        <w:rPr>
          <w:rFonts w:eastAsia="Times New Roman"/>
        </w:rPr>
        <w:t xml:space="preserve"> fue aprobada en diciembre 2013 y finalizó en octubre 2016, con un costo total de USD 760.000 y una contrapartida de USD 260.000.</w:t>
      </w:r>
    </w:p>
    <w:p w14:paraId="4A407E9C" w14:textId="77777777" w:rsidR="00D46457" w:rsidRDefault="00D46457" w:rsidP="00D46457">
      <w:pPr>
        <w:pStyle w:val="ListParagraph"/>
        <w:ind w:left="360"/>
        <w:jc w:val="both"/>
        <w:rPr>
          <w:b/>
        </w:rPr>
      </w:pPr>
    </w:p>
    <w:p w14:paraId="2746011D" w14:textId="77777777" w:rsidR="00363BB2" w:rsidRPr="007D2B7F" w:rsidRDefault="00363BB2" w:rsidP="007D2B7F">
      <w:pPr>
        <w:pStyle w:val="ListParagraph"/>
        <w:numPr>
          <w:ilvl w:val="0"/>
          <w:numId w:val="2"/>
        </w:numPr>
        <w:jc w:val="both"/>
        <w:rPr>
          <w:rFonts w:eastAsia="Times New Roman" w:cs="Times New Roman"/>
          <w:b/>
          <w:kern w:val="36"/>
          <w:lang w:val="es-ES_tradnl" w:eastAsia="es-ES_tradnl"/>
        </w:rPr>
      </w:pPr>
      <w:r w:rsidRPr="00363BB2">
        <w:rPr>
          <w:rFonts w:eastAsia="Times New Roman"/>
          <w:b/>
        </w:rPr>
        <w:t xml:space="preserve">CO-T1353: </w:t>
      </w:r>
      <w:r w:rsidRPr="00363BB2">
        <w:rPr>
          <w:rFonts w:eastAsia="Times New Roman" w:cs="Times New Roman"/>
          <w:b/>
          <w:kern w:val="36"/>
          <w:lang w:val="es-ES_tradnl" w:eastAsia="es-ES_tradnl"/>
        </w:rPr>
        <w:t>Apoyo al programa de eficiencia Energética en el Archipiélago de San Andrés</w:t>
      </w:r>
    </w:p>
    <w:p w14:paraId="43A5723A" w14:textId="77777777" w:rsidR="00363BB2" w:rsidRPr="006056E8" w:rsidRDefault="00363BB2" w:rsidP="00363BB2">
      <w:pPr>
        <w:spacing w:after="150"/>
        <w:ind w:left="360"/>
        <w:jc w:val="both"/>
        <w:rPr>
          <w:rFonts w:asciiTheme="minorHAnsi" w:hAnsiTheme="minorHAnsi"/>
        </w:rPr>
      </w:pPr>
      <w:r w:rsidRPr="006056E8">
        <w:rPr>
          <w:rFonts w:asciiTheme="minorHAnsi" w:hAnsiTheme="minorHAnsi"/>
        </w:rPr>
        <w:t xml:space="preserve">El objetivo de esta CT es apoyar la preparación del CTF en el sector residencial en una </w:t>
      </w:r>
      <w:r w:rsidR="00AF6548">
        <w:rPr>
          <w:rFonts w:asciiTheme="minorHAnsi" w:hAnsiTheme="minorHAnsi"/>
        </w:rPr>
        <w:t>ZNI</w:t>
      </w:r>
      <w:r w:rsidRPr="006056E8">
        <w:rPr>
          <w:rFonts w:asciiTheme="minorHAnsi" w:hAnsiTheme="minorHAnsi"/>
        </w:rPr>
        <w:t>, principalmente en los estudios de factibilidad, técnica, económica, social ambiental y de monitoreo y seguimiento del Programa.</w:t>
      </w:r>
    </w:p>
    <w:p w14:paraId="3D1BF9DB" w14:textId="77777777" w:rsidR="00363BB2" w:rsidRPr="006056E8" w:rsidRDefault="00363BB2" w:rsidP="00363BB2">
      <w:pPr>
        <w:spacing w:after="150"/>
        <w:ind w:left="360"/>
        <w:jc w:val="both"/>
        <w:rPr>
          <w:rFonts w:asciiTheme="minorHAnsi" w:eastAsia="Times New Roman" w:hAnsiTheme="minorHAnsi"/>
        </w:rPr>
      </w:pPr>
      <w:r w:rsidRPr="006056E8">
        <w:rPr>
          <w:rFonts w:asciiTheme="minorHAnsi" w:hAnsiTheme="minorHAnsi"/>
        </w:rPr>
        <w:t xml:space="preserve">Subsector: </w:t>
      </w:r>
      <w:r w:rsidRPr="006056E8">
        <w:rPr>
          <w:rFonts w:asciiTheme="minorHAnsi" w:eastAsia="Times New Roman" w:hAnsiTheme="minorHAnsi"/>
        </w:rPr>
        <w:t>Energía-Eficiencia Energética y Energía Renovable en Usos Finales.</w:t>
      </w:r>
    </w:p>
    <w:p w14:paraId="754D17C7" w14:textId="77777777" w:rsidR="00363BB2" w:rsidRDefault="00363BB2" w:rsidP="00363BB2">
      <w:pPr>
        <w:spacing w:after="150"/>
        <w:ind w:left="360"/>
        <w:jc w:val="both"/>
        <w:rPr>
          <w:rFonts w:asciiTheme="minorHAnsi" w:eastAsia="Times New Roman" w:hAnsiTheme="minorHAnsi"/>
        </w:rPr>
      </w:pPr>
      <w:r w:rsidRPr="006056E8">
        <w:rPr>
          <w:rFonts w:asciiTheme="minorHAnsi" w:eastAsia="Times New Roman" w:hAnsiTheme="minorHAnsi"/>
        </w:rPr>
        <w:t>Esta CT No Reembolsable</w:t>
      </w:r>
      <w:r w:rsidR="00CC0C4C">
        <w:rPr>
          <w:rFonts w:asciiTheme="minorHAnsi" w:eastAsia="Times New Roman" w:hAnsiTheme="minorHAnsi"/>
        </w:rPr>
        <w:t>,</w:t>
      </w:r>
      <w:r w:rsidRPr="006056E8">
        <w:rPr>
          <w:rFonts w:asciiTheme="minorHAnsi" w:eastAsia="Times New Roman" w:hAnsiTheme="minorHAnsi"/>
        </w:rPr>
        <w:t xml:space="preserve"> Fondo CTF</w:t>
      </w:r>
      <w:r w:rsidR="00CC0C4C">
        <w:rPr>
          <w:rFonts w:asciiTheme="minorHAnsi" w:eastAsia="Times New Roman" w:hAnsiTheme="minorHAnsi"/>
        </w:rPr>
        <w:t>,</w:t>
      </w:r>
      <w:r w:rsidRPr="006056E8">
        <w:rPr>
          <w:rFonts w:asciiTheme="minorHAnsi" w:eastAsia="Times New Roman" w:hAnsiTheme="minorHAnsi"/>
        </w:rPr>
        <w:t xml:space="preserve"> inició en julio 2014, con un costo total de USD 952.000 y una contrapartida de USD 400.000. En implementación.</w:t>
      </w:r>
    </w:p>
    <w:p w14:paraId="27946398" w14:textId="77777777" w:rsidR="00101007" w:rsidRPr="006056E8" w:rsidRDefault="00101007" w:rsidP="00363BB2">
      <w:pPr>
        <w:spacing w:after="150"/>
        <w:ind w:left="360"/>
        <w:jc w:val="both"/>
        <w:rPr>
          <w:rFonts w:asciiTheme="minorHAnsi" w:eastAsia="Times New Roman" w:hAnsiTheme="minorHAnsi"/>
        </w:rPr>
      </w:pPr>
    </w:p>
    <w:p w14:paraId="2996299A" w14:textId="77777777" w:rsidR="007D2B7F" w:rsidRDefault="006056E8" w:rsidP="007D2B7F">
      <w:pPr>
        <w:pStyle w:val="ListParagraph"/>
        <w:numPr>
          <w:ilvl w:val="0"/>
          <w:numId w:val="2"/>
        </w:numPr>
        <w:spacing w:after="150"/>
        <w:jc w:val="both"/>
        <w:rPr>
          <w:rFonts w:eastAsia="Times New Roman"/>
          <w:b/>
          <w:kern w:val="36"/>
        </w:rPr>
      </w:pPr>
      <w:r w:rsidRPr="00AF6548">
        <w:rPr>
          <w:rFonts w:eastAsia="Times New Roman"/>
          <w:b/>
        </w:rPr>
        <w:lastRenderedPageBreak/>
        <w:t xml:space="preserve">CO-T1408: </w:t>
      </w:r>
      <w:r w:rsidRPr="00AF6548">
        <w:rPr>
          <w:rFonts w:eastAsia="Times New Roman"/>
          <w:b/>
          <w:kern w:val="36"/>
        </w:rPr>
        <w:t>Apoyo a Energización Sostenible del Plan Integral de Intervención para el Pacífico</w:t>
      </w:r>
    </w:p>
    <w:p w14:paraId="00C6B99D" w14:textId="77777777" w:rsidR="006056E8" w:rsidRPr="007D2B7F" w:rsidRDefault="006056E8" w:rsidP="007D2B7F">
      <w:pPr>
        <w:pStyle w:val="ListParagraph"/>
        <w:spacing w:after="150"/>
        <w:ind w:left="360"/>
        <w:jc w:val="both"/>
        <w:rPr>
          <w:rFonts w:eastAsia="Times New Roman"/>
          <w:b/>
          <w:kern w:val="36"/>
        </w:rPr>
      </w:pPr>
      <w:r w:rsidRPr="007D2B7F">
        <w:rPr>
          <w:rFonts w:eastAsia="Times New Roman"/>
          <w:kern w:val="36"/>
        </w:rPr>
        <w:t>Esta CT apoya al Equipo del Proyecto del Banco y del Gobierno de Colombia en la formulación, análisis y puesta en marcha del subprograma de energización sostenible del Programa: "Todos Somos Pazcífico (TSP)” financiado a través de la operación CO-L1156.</w:t>
      </w:r>
    </w:p>
    <w:p w14:paraId="62CB6625" w14:textId="77777777" w:rsidR="006056E8" w:rsidRPr="006056E8" w:rsidRDefault="006056E8" w:rsidP="006056E8">
      <w:pPr>
        <w:spacing w:after="150"/>
        <w:ind w:left="360"/>
        <w:jc w:val="both"/>
        <w:rPr>
          <w:rFonts w:asciiTheme="minorHAnsi" w:eastAsia="Times New Roman" w:hAnsiTheme="minorHAnsi"/>
        </w:rPr>
      </w:pPr>
      <w:r w:rsidRPr="006056E8">
        <w:rPr>
          <w:rFonts w:asciiTheme="minorHAnsi" w:eastAsia="Times New Roman" w:hAnsiTheme="minorHAnsi"/>
          <w:kern w:val="36"/>
        </w:rPr>
        <w:t xml:space="preserve">Subsector: </w:t>
      </w:r>
      <w:r w:rsidRPr="006056E8">
        <w:rPr>
          <w:rFonts w:asciiTheme="minorHAnsi" w:eastAsia="Times New Roman" w:hAnsiTheme="minorHAnsi"/>
        </w:rPr>
        <w:t>Energía-Eficiencia Energética y Energía Renovable en Usos Finales.</w:t>
      </w:r>
    </w:p>
    <w:p w14:paraId="301A766E" w14:textId="77777777" w:rsidR="006056E8" w:rsidRDefault="006056E8" w:rsidP="006056E8">
      <w:pPr>
        <w:spacing w:after="150"/>
        <w:ind w:left="360"/>
        <w:jc w:val="both"/>
        <w:rPr>
          <w:rFonts w:asciiTheme="minorHAnsi" w:eastAsia="Times New Roman" w:hAnsiTheme="minorHAnsi"/>
        </w:rPr>
      </w:pPr>
      <w:r w:rsidRPr="006056E8">
        <w:rPr>
          <w:rFonts w:asciiTheme="minorHAnsi" w:eastAsia="Times New Roman" w:hAnsiTheme="minorHAnsi"/>
        </w:rPr>
        <w:t>Esta CT No Reembolsable</w:t>
      </w:r>
      <w:r w:rsidR="00CC0C4C">
        <w:rPr>
          <w:rFonts w:asciiTheme="minorHAnsi" w:eastAsia="Times New Roman" w:hAnsiTheme="minorHAnsi"/>
        </w:rPr>
        <w:t>,</w:t>
      </w:r>
      <w:r w:rsidRPr="006056E8">
        <w:rPr>
          <w:rFonts w:asciiTheme="minorHAnsi" w:eastAsia="Times New Roman" w:hAnsiTheme="minorHAnsi"/>
        </w:rPr>
        <w:t xml:space="preserve"> </w:t>
      </w:r>
      <w:r w:rsidR="00CC0C4C">
        <w:rPr>
          <w:rFonts w:asciiTheme="minorHAnsi" w:eastAsia="Times New Roman" w:hAnsiTheme="minorHAnsi"/>
        </w:rPr>
        <w:t>capital o</w:t>
      </w:r>
      <w:r w:rsidR="006A71E0">
        <w:rPr>
          <w:rFonts w:asciiTheme="minorHAnsi" w:eastAsia="Times New Roman" w:hAnsiTheme="minorHAnsi"/>
        </w:rPr>
        <w:t>rdinario</w:t>
      </w:r>
      <w:r w:rsidR="00CC0C4C">
        <w:rPr>
          <w:rFonts w:asciiTheme="minorHAnsi" w:eastAsia="Times New Roman" w:hAnsiTheme="minorHAnsi"/>
        </w:rPr>
        <w:t>,</w:t>
      </w:r>
      <w:r w:rsidR="006A71E0">
        <w:rPr>
          <w:rFonts w:asciiTheme="minorHAnsi" w:eastAsia="Times New Roman" w:hAnsiTheme="minorHAnsi"/>
        </w:rPr>
        <w:t xml:space="preserve"> </w:t>
      </w:r>
      <w:r w:rsidRPr="006056E8">
        <w:rPr>
          <w:rFonts w:asciiTheme="minorHAnsi" w:eastAsia="Times New Roman" w:hAnsiTheme="minorHAnsi"/>
        </w:rPr>
        <w:t>inició en octubre 2015 con un costo total de USD 510.000 y una contrapa</w:t>
      </w:r>
      <w:r>
        <w:rPr>
          <w:rFonts w:asciiTheme="minorHAnsi" w:eastAsia="Times New Roman" w:hAnsiTheme="minorHAnsi"/>
        </w:rPr>
        <w:t>r</w:t>
      </w:r>
      <w:r w:rsidR="0084359D">
        <w:rPr>
          <w:rFonts w:asciiTheme="minorHAnsi" w:eastAsia="Times New Roman" w:hAnsiTheme="minorHAnsi"/>
        </w:rPr>
        <w:t>tida de USD 10.000.</w:t>
      </w:r>
    </w:p>
    <w:p w14:paraId="023E28DD" w14:textId="77777777" w:rsidR="00CC0C4C" w:rsidRDefault="00CC0C4C" w:rsidP="00CC0C4C">
      <w:pPr>
        <w:pStyle w:val="ListParagraph"/>
        <w:ind w:left="360"/>
        <w:jc w:val="both"/>
      </w:pPr>
      <w:r w:rsidRPr="00CC0C4C">
        <w:t xml:space="preserve">Esta CT está relacionada con el Programa de Agua, Saneamiento Básico y Electrificación para el Pacífico Colombiano (3610/OC-CO) por US$231 millones, que incluye un subprograma de energización sostenible por US$91 millones que aprobó el BID. </w:t>
      </w:r>
    </w:p>
    <w:p w14:paraId="25B26407" w14:textId="77777777" w:rsidR="00CC0C4C" w:rsidRPr="00CC0C4C" w:rsidRDefault="00CC0C4C" w:rsidP="00CC0C4C">
      <w:pPr>
        <w:pStyle w:val="ListParagraph"/>
        <w:ind w:left="360"/>
        <w:jc w:val="both"/>
      </w:pPr>
    </w:p>
    <w:p w14:paraId="47B42DCC" w14:textId="77777777" w:rsidR="00B94936" w:rsidRPr="007D2B7F" w:rsidRDefault="002053F9" w:rsidP="007D2B7F">
      <w:pPr>
        <w:pStyle w:val="ListParagraph"/>
        <w:numPr>
          <w:ilvl w:val="0"/>
          <w:numId w:val="2"/>
        </w:numPr>
        <w:jc w:val="both"/>
        <w:rPr>
          <w:rFonts w:eastAsia="Times New Roman"/>
          <w:b/>
        </w:rPr>
      </w:pPr>
      <w:r w:rsidRPr="00F22709">
        <w:rPr>
          <w:rFonts w:eastAsia="Times New Roman"/>
          <w:b/>
        </w:rPr>
        <w:t xml:space="preserve">CO-T141: </w:t>
      </w:r>
      <w:r w:rsidRPr="00B94936">
        <w:rPr>
          <w:rFonts w:eastAsia="Times New Roman"/>
          <w:b/>
        </w:rPr>
        <w:t>Política pública para remover obstáculos a soluciones de energía renovable en ZNI</w:t>
      </w:r>
    </w:p>
    <w:p w14:paraId="664DC000" w14:textId="77777777" w:rsidR="002053F9" w:rsidRPr="00B94936" w:rsidRDefault="002053F9" w:rsidP="006056E8">
      <w:pPr>
        <w:spacing w:after="150"/>
        <w:ind w:left="360"/>
        <w:jc w:val="both"/>
        <w:rPr>
          <w:rFonts w:asciiTheme="minorHAnsi" w:eastAsia="Times New Roman" w:hAnsiTheme="minorHAnsi"/>
        </w:rPr>
      </w:pPr>
      <w:r w:rsidRPr="00B94936">
        <w:rPr>
          <w:rFonts w:asciiTheme="minorHAnsi" w:eastAsia="Times New Roman" w:hAnsiTheme="minorHAnsi"/>
        </w:rPr>
        <w:t>Por medio de esta CT se d</w:t>
      </w:r>
      <w:r w:rsidR="0084359D">
        <w:rPr>
          <w:rFonts w:asciiTheme="minorHAnsi" w:eastAsia="Times New Roman" w:hAnsiTheme="minorHAnsi"/>
        </w:rPr>
        <w:t xml:space="preserve">esarrolla del marco regulatorio </w:t>
      </w:r>
      <w:r w:rsidRPr="00B94936">
        <w:rPr>
          <w:rFonts w:asciiTheme="minorHAnsi" w:eastAsia="Times New Roman" w:hAnsiTheme="minorHAnsi"/>
        </w:rPr>
        <w:t xml:space="preserve">y capacidad técnica, al </w:t>
      </w:r>
      <w:r w:rsidR="0084359D">
        <w:rPr>
          <w:rFonts w:asciiTheme="minorHAnsi" w:eastAsia="Times New Roman" w:hAnsiTheme="minorHAnsi"/>
        </w:rPr>
        <w:t>MME</w:t>
      </w:r>
      <w:r w:rsidRPr="00B94936">
        <w:rPr>
          <w:rFonts w:asciiTheme="minorHAnsi" w:eastAsia="Times New Roman" w:hAnsiTheme="minorHAnsi"/>
        </w:rPr>
        <w:t xml:space="preserve"> para crear las condiciones que promuevan la inversión privada en energías renovables en ZNI no servidas de Colombia.</w:t>
      </w:r>
    </w:p>
    <w:p w14:paraId="4FCBB87C" w14:textId="77777777" w:rsidR="002053F9" w:rsidRPr="00F22709" w:rsidRDefault="002053F9" w:rsidP="006056E8">
      <w:pPr>
        <w:spacing w:after="150"/>
        <w:ind w:left="360"/>
        <w:jc w:val="both"/>
        <w:rPr>
          <w:rFonts w:asciiTheme="minorHAnsi" w:eastAsia="Times New Roman" w:hAnsiTheme="minorHAnsi"/>
        </w:rPr>
      </w:pPr>
      <w:r w:rsidRPr="00B94936">
        <w:rPr>
          <w:rFonts w:asciiTheme="minorHAnsi" w:eastAsia="Times New Roman" w:hAnsiTheme="minorHAnsi"/>
        </w:rPr>
        <w:t xml:space="preserve">Subsector: </w:t>
      </w:r>
      <w:r w:rsidR="00F22709" w:rsidRPr="00F22709">
        <w:rPr>
          <w:rFonts w:asciiTheme="minorHAnsi" w:eastAsia="Times New Roman" w:hAnsiTheme="minorHAnsi"/>
        </w:rPr>
        <w:t>Energía-Fortalecimiento Institucional y Creación de Capacidad en materia d</w:t>
      </w:r>
      <w:r w:rsidRPr="00F22709">
        <w:rPr>
          <w:rFonts w:asciiTheme="minorHAnsi" w:eastAsia="Times New Roman" w:hAnsiTheme="minorHAnsi"/>
        </w:rPr>
        <w:t>e Energía</w:t>
      </w:r>
      <w:r w:rsidR="00F22709" w:rsidRPr="00F22709">
        <w:rPr>
          <w:rFonts w:asciiTheme="minorHAnsi" w:eastAsia="Times New Roman" w:hAnsiTheme="minorHAnsi"/>
        </w:rPr>
        <w:t>.</w:t>
      </w:r>
    </w:p>
    <w:p w14:paraId="557149E2" w14:textId="77777777" w:rsidR="00F22709" w:rsidRDefault="00F22709" w:rsidP="006056E8">
      <w:pPr>
        <w:spacing w:after="150"/>
        <w:ind w:left="360"/>
        <w:jc w:val="both"/>
        <w:rPr>
          <w:rFonts w:asciiTheme="minorHAnsi" w:eastAsia="Times New Roman" w:hAnsiTheme="minorHAnsi"/>
        </w:rPr>
      </w:pPr>
      <w:r w:rsidRPr="00F22709">
        <w:rPr>
          <w:rFonts w:asciiTheme="minorHAnsi" w:eastAsia="Times New Roman" w:hAnsiTheme="minorHAnsi"/>
        </w:rPr>
        <w:t>Esta CT</w:t>
      </w:r>
      <w:r w:rsidR="00CC0C4C">
        <w:rPr>
          <w:rFonts w:asciiTheme="minorHAnsi" w:eastAsia="Times New Roman" w:hAnsiTheme="minorHAnsi"/>
        </w:rPr>
        <w:t>,</w:t>
      </w:r>
      <w:r w:rsidRPr="00F22709">
        <w:rPr>
          <w:rFonts w:asciiTheme="minorHAnsi" w:eastAsia="Times New Roman" w:hAnsiTheme="minorHAnsi"/>
        </w:rPr>
        <w:t xml:space="preserve"> </w:t>
      </w:r>
      <w:r>
        <w:rPr>
          <w:rFonts w:asciiTheme="minorHAnsi" w:eastAsia="Times New Roman" w:hAnsiTheme="minorHAnsi"/>
        </w:rPr>
        <w:t>Fondo CTF</w:t>
      </w:r>
      <w:r w:rsidR="00CC0C4C">
        <w:rPr>
          <w:rFonts w:asciiTheme="minorHAnsi" w:eastAsia="Times New Roman" w:hAnsiTheme="minorHAnsi"/>
        </w:rPr>
        <w:t>,</w:t>
      </w:r>
      <w:r>
        <w:rPr>
          <w:rFonts w:asciiTheme="minorHAnsi" w:eastAsia="Times New Roman" w:hAnsiTheme="minorHAnsi"/>
        </w:rPr>
        <w:t xml:space="preserve"> </w:t>
      </w:r>
      <w:r w:rsidRPr="00F22709">
        <w:rPr>
          <w:rFonts w:asciiTheme="minorHAnsi" w:eastAsia="Times New Roman" w:hAnsiTheme="minorHAnsi"/>
        </w:rPr>
        <w:t>se inició en abril 2016 con un costo total de USD 477.000. En implementación.</w:t>
      </w:r>
    </w:p>
    <w:p w14:paraId="762C3EF6" w14:textId="77777777" w:rsidR="00E2250E" w:rsidRPr="007D2B7F" w:rsidRDefault="00B94936" w:rsidP="00E2250E">
      <w:pPr>
        <w:pStyle w:val="ListParagraph"/>
        <w:numPr>
          <w:ilvl w:val="0"/>
          <w:numId w:val="2"/>
        </w:numPr>
        <w:jc w:val="both"/>
        <w:rPr>
          <w:rFonts w:eastAsia="Times New Roman"/>
          <w:b/>
        </w:rPr>
      </w:pPr>
      <w:r w:rsidRPr="00E2250E">
        <w:rPr>
          <w:rFonts w:eastAsia="Times New Roman"/>
          <w:b/>
        </w:rPr>
        <w:t xml:space="preserve">CO-L1119: </w:t>
      </w:r>
      <w:r w:rsidR="00E2250E">
        <w:rPr>
          <w:rFonts w:eastAsia="Times New Roman"/>
          <w:b/>
        </w:rPr>
        <w:t>Programa de Gestión Eficiente de la Demanda de energía e</w:t>
      </w:r>
      <w:r w:rsidR="00E2250E" w:rsidRPr="00E2250E">
        <w:rPr>
          <w:rFonts w:eastAsia="Times New Roman"/>
          <w:b/>
        </w:rPr>
        <w:t xml:space="preserve">n </w:t>
      </w:r>
      <w:r w:rsidR="00E2250E">
        <w:rPr>
          <w:rFonts w:eastAsia="Times New Roman"/>
          <w:b/>
        </w:rPr>
        <w:t>ZNI</w:t>
      </w:r>
    </w:p>
    <w:p w14:paraId="1A7857BC" w14:textId="77777777" w:rsidR="00D80676" w:rsidRPr="00D80676" w:rsidRDefault="00D80676" w:rsidP="00D80676">
      <w:pPr>
        <w:spacing w:after="150"/>
        <w:ind w:left="360"/>
        <w:jc w:val="both"/>
        <w:rPr>
          <w:rFonts w:asciiTheme="minorHAnsi" w:eastAsia="Times New Roman" w:hAnsiTheme="minorHAnsi"/>
        </w:rPr>
      </w:pPr>
      <w:r w:rsidRPr="00D80676">
        <w:rPr>
          <w:rFonts w:asciiTheme="minorHAnsi" w:eastAsia="Times New Roman" w:hAnsiTheme="minorHAnsi"/>
        </w:rPr>
        <w:t>El objetivo de esta operación de préstamo es apoyar financieramente al GdC en el desarrollo de un Programa de gestión eficiente de la demanda de energía en ZNI, piloto Archipiélago San Andrés.</w:t>
      </w:r>
    </w:p>
    <w:p w14:paraId="15CA7E39" w14:textId="77777777" w:rsidR="00D80676" w:rsidRPr="00D80676" w:rsidRDefault="00D80676" w:rsidP="00D80676">
      <w:pPr>
        <w:spacing w:after="150"/>
        <w:ind w:left="360"/>
        <w:jc w:val="both"/>
        <w:rPr>
          <w:rFonts w:asciiTheme="minorHAnsi" w:eastAsia="Times New Roman" w:hAnsiTheme="minorHAnsi"/>
        </w:rPr>
      </w:pPr>
      <w:r w:rsidRPr="00D80676">
        <w:rPr>
          <w:rFonts w:asciiTheme="minorHAnsi" w:eastAsia="Times New Roman" w:hAnsiTheme="minorHAnsi"/>
        </w:rPr>
        <w:t xml:space="preserve">Subsector: </w:t>
      </w:r>
      <w:r w:rsidR="007C5787" w:rsidRPr="00D80676">
        <w:rPr>
          <w:rFonts w:asciiTheme="minorHAnsi" w:eastAsia="Times New Roman" w:hAnsiTheme="minorHAnsi"/>
        </w:rPr>
        <w:t>Energía</w:t>
      </w:r>
      <w:r w:rsidRPr="00D80676">
        <w:rPr>
          <w:rFonts w:asciiTheme="minorHAnsi" w:eastAsia="Times New Roman" w:hAnsiTheme="minorHAnsi"/>
        </w:rPr>
        <w:t>-Eficiencia Energ</w:t>
      </w:r>
      <w:r w:rsidRPr="00D80676">
        <w:rPr>
          <w:rFonts w:asciiTheme="minorHAnsi" w:eastAsia="Times New Roman" w:hAnsiTheme="minorHAnsi" w:hint="eastAsia"/>
        </w:rPr>
        <w:t>é</w:t>
      </w:r>
      <w:r w:rsidRPr="00D80676">
        <w:rPr>
          <w:rFonts w:asciiTheme="minorHAnsi" w:eastAsia="Times New Roman" w:hAnsiTheme="minorHAnsi"/>
        </w:rPr>
        <w:t>tica y Energ</w:t>
      </w:r>
      <w:r w:rsidRPr="00D80676">
        <w:rPr>
          <w:rFonts w:asciiTheme="minorHAnsi" w:eastAsia="Times New Roman" w:hAnsiTheme="minorHAnsi" w:hint="eastAsia"/>
        </w:rPr>
        <w:t>í</w:t>
      </w:r>
      <w:r w:rsidRPr="00D80676">
        <w:rPr>
          <w:rFonts w:asciiTheme="minorHAnsi" w:eastAsia="Times New Roman" w:hAnsiTheme="minorHAnsi"/>
        </w:rPr>
        <w:t>a Renovable en Usos Finales.</w:t>
      </w:r>
    </w:p>
    <w:p w14:paraId="145909A8" w14:textId="77777777" w:rsidR="00D80676" w:rsidRPr="00D80676" w:rsidRDefault="00CC0C4C" w:rsidP="00D80676">
      <w:pPr>
        <w:spacing w:after="150"/>
        <w:ind w:left="360"/>
        <w:jc w:val="both"/>
        <w:rPr>
          <w:rFonts w:asciiTheme="minorHAnsi" w:eastAsia="Times New Roman" w:hAnsiTheme="minorHAnsi"/>
        </w:rPr>
      </w:pPr>
      <w:r>
        <w:rPr>
          <w:rFonts w:asciiTheme="minorHAnsi" w:eastAsia="Times New Roman" w:hAnsiTheme="minorHAnsi"/>
        </w:rPr>
        <w:t>La Operación de P</w:t>
      </w:r>
      <w:r w:rsidR="00D80676" w:rsidRPr="00D80676">
        <w:rPr>
          <w:rFonts w:asciiTheme="minorHAnsi" w:eastAsia="Times New Roman" w:hAnsiTheme="minorHAnsi"/>
        </w:rPr>
        <w:t>réstamo, facilidad unimonetaria, fue aprobada en septiembre 2016 con un monto de financiamiento del BID de USD 10.000.000. En implementación</w:t>
      </w:r>
      <w:r w:rsidR="00D80676">
        <w:rPr>
          <w:rFonts w:asciiTheme="minorHAnsi" w:eastAsia="Times New Roman" w:hAnsiTheme="minorHAnsi"/>
        </w:rPr>
        <w:t>.</w:t>
      </w:r>
    </w:p>
    <w:p w14:paraId="36D4274E" w14:textId="110DC798" w:rsidR="00E20FDF" w:rsidRPr="007D2B7F" w:rsidRDefault="00D80676" w:rsidP="007D2B7F">
      <w:pPr>
        <w:pStyle w:val="ListParagraph"/>
        <w:numPr>
          <w:ilvl w:val="0"/>
          <w:numId w:val="2"/>
        </w:numPr>
        <w:jc w:val="both"/>
        <w:rPr>
          <w:rFonts w:eastAsia="Times New Roman"/>
          <w:b/>
        </w:rPr>
      </w:pPr>
      <w:r w:rsidRPr="00E20FDF">
        <w:rPr>
          <w:rFonts w:eastAsia="Times New Roman"/>
          <w:b/>
        </w:rPr>
        <w:t>CO-L1226</w:t>
      </w:r>
      <w:r w:rsidR="00E20FDF" w:rsidRPr="00E20FDF">
        <w:rPr>
          <w:rFonts w:eastAsia="Times New Roman"/>
          <w:b/>
        </w:rPr>
        <w:t xml:space="preserve">: Proyecto Hidroeléctrico de </w:t>
      </w:r>
      <w:r w:rsidR="00FF4860" w:rsidRPr="00E20FDF">
        <w:rPr>
          <w:rFonts w:eastAsia="Times New Roman"/>
          <w:b/>
        </w:rPr>
        <w:t>Bitango</w:t>
      </w:r>
    </w:p>
    <w:p w14:paraId="03F4BACC" w14:textId="77777777" w:rsidR="00E20FDF" w:rsidRDefault="00CC0C4C" w:rsidP="00E20FDF">
      <w:pPr>
        <w:spacing w:after="150"/>
        <w:ind w:left="360"/>
        <w:jc w:val="both"/>
        <w:rPr>
          <w:rFonts w:asciiTheme="minorHAnsi" w:eastAsia="Times New Roman" w:hAnsiTheme="minorHAnsi"/>
        </w:rPr>
      </w:pPr>
      <w:r>
        <w:rPr>
          <w:rFonts w:asciiTheme="minorHAnsi" w:eastAsia="Times New Roman" w:hAnsiTheme="minorHAnsi"/>
        </w:rPr>
        <w:t>Esta Operación de P</w:t>
      </w:r>
      <w:r w:rsidR="00E20FDF" w:rsidRPr="00E20FDF">
        <w:rPr>
          <w:rFonts w:asciiTheme="minorHAnsi" w:eastAsia="Times New Roman" w:hAnsiTheme="minorHAnsi"/>
        </w:rPr>
        <w:t xml:space="preserve">réstamo </w:t>
      </w:r>
      <w:r w:rsidR="007C5787">
        <w:rPr>
          <w:rFonts w:asciiTheme="minorHAnsi" w:eastAsia="Times New Roman" w:hAnsiTheme="minorHAnsi"/>
        </w:rPr>
        <w:t xml:space="preserve">al Sector Privado </w:t>
      </w:r>
      <w:r w:rsidR="00E20FDF" w:rsidRPr="00E20FDF">
        <w:rPr>
          <w:rFonts w:asciiTheme="minorHAnsi" w:eastAsia="Times New Roman" w:hAnsiTheme="minorHAnsi"/>
        </w:rPr>
        <w:t>del BID</w:t>
      </w:r>
      <w:r>
        <w:rPr>
          <w:rFonts w:asciiTheme="minorHAnsi" w:eastAsia="Times New Roman" w:hAnsiTheme="minorHAnsi"/>
        </w:rPr>
        <w:t>,</w:t>
      </w:r>
      <w:r w:rsidR="007C5787">
        <w:rPr>
          <w:rFonts w:asciiTheme="minorHAnsi" w:eastAsia="Times New Roman" w:hAnsiTheme="minorHAnsi"/>
        </w:rPr>
        <w:t xml:space="preserve"> Fondo CHF</w:t>
      </w:r>
      <w:r>
        <w:rPr>
          <w:rFonts w:asciiTheme="minorHAnsi" w:eastAsia="Times New Roman" w:hAnsiTheme="minorHAnsi"/>
        </w:rPr>
        <w:t>,</w:t>
      </w:r>
      <w:r w:rsidR="00E20FDF" w:rsidRPr="00E20FDF">
        <w:rPr>
          <w:rFonts w:asciiTheme="minorHAnsi" w:eastAsia="Times New Roman" w:hAnsiTheme="minorHAnsi"/>
        </w:rPr>
        <w:t xml:space="preserve"> fue aprobada en noviembre 2016 por un monto de USD 50.000.000. En implementación.</w:t>
      </w:r>
    </w:p>
    <w:p w14:paraId="5EAEE752" w14:textId="77777777" w:rsidR="007C5787" w:rsidRPr="007D2B7F" w:rsidRDefault="007C5787" w:rsidP="007D2B7F">
      <w:pPr>
        <w:pStyle w:val="ListParagraph"/>
        <w:numPr>
          <w:ilvl w:val="0"/>
          <w:numId w:val="2"/>
        </w:numPr>
        <w:jc w:val="both"/>
        <w:rPr>
          <w:rFonts w:eastAsia="Times New Roman"/>
          <w:b/>
        </w:rPr>
      </w:pPr>
      <w:r w:rsidRPr="007C5787">
        <w:rPr>
          <w:rFonts w:eastAsia="Times New Roman"/>
          <w:b/>
        </w:rPr>
        <w:t>CO-L1160: Financiación de EE en Colombia-CEET</w:t>
      </w:r>
    </w:p>
    <w:p w14:paraId="76ED0C01" w14:textId="77777777" w:rsidR="007C5787" w:rsidRDefault="007C5787" w:rsidP="007C5787">
      <w:pPr>
        <w:spacing w:after="150"/>
        <w:ind w:left="360"/>
        <w:jc w:val="both"/>
        <w:rPr>
          <w:rFonts w:asciiTheme="minorHAnsi" w:eastAsia="Times New Roman" w:hAnsiTheme="minorHAnsi"/>
        </w:rPr>
      </w:pPr>
      <w:r w:rsidRPr="007C5787">
        <w:rPr>
          <w:rFonts w:asciiTheme="minorHAnsi" w:eastAsia="Times New Roman" w:hAnsiTheme="minorHAnsi"/>
        </w:rPr>
        <w:t xml:space="preserve">El objetivo de esta operación de préstamo al Sector Privado del BID es establecer una Facilidad/Trust de EE en Colombia por hasta USD 24 millones movilizando recursos del FOMIN y del Clean Technology Fund (CTF). </w:t>
      </w:r>
    </w:p>
    <w:p w14:paraId="7EF26CAF" w14:textId="77777777" w:rsidR="007C5787" w:rsidRPr="007C5787" w:rsidRDefault="007C5787" w:rsidP="007C5787">
      <w:pPr>
        <w:spacing w:after="150"/>
        <w:ind w:left="360"/>
        <w:jc w:val="both"/>
        <w:rPr>
          <w:rFonts w:asciiTheme="minorHAnsi" w:eastAsia="Times New Roman" w:hAnsiTheme="minorHAnsi"/>
        </w:rPr>
      </w:pPr>
      <w:r w:rsidRPr="00D80676">
        <w:rPr>
          <w:rFonts w:asciiTheme="minorHAnsi" w:eastAsia="Times New Roman" w:hAnsiTheme="minorHAnsi"/>
        </w:rPr>
        <w:t>Subsector: Energía-Eficiencia Energ</w:t>
      </w:r>
      <w:r w:rsidRPr="00D80676">
        <w:rPr>
          <w:rFonts w:asciiTheme="minorHAnsi" w:eastAsia="Times New Roman" w:hAnsiTheme="minorHAnsi" w:hint="eastAsia"/>
        </w:rPr>
        <w:t>é</w:t>
      </w:r>
      <w:r w:rsidRPr="00D80676">
        <w:rPr>
          <w:rFonts w:asciiTheme="minorHAnsi" w:eastAsia="Times New Roman" w:hAnsiTheme="minorHAnsi"/>
        </w:rPr>
        <w:t>tica y Energ</w:t>
      </w:r>
      <w:r w:rsidRPr="00D80676">
        <w:rPr>
          <w:rFonts w:asciiTheme="minorHAnsi" w:eastAsia="Times New Roman" w:hAnsiTheme="minorHAnsi" w:hint="eastAsia"/>
        </w:rPr>
        <w:t>í</w:t>
      </w:r>
      <w:r w:rsidRPr="00D80676">
        <w:rPr>
          <w:rFonts w:asciiTheme="minorHAnsi" w:eastAsia="Times New Roman" w:hAnsiTheme="minorHAnsi"/>
        </w:rPr>
        <w:t>a Renovable en Usos Finales.</w:t>
      </w:r>
    </w:p>
    <w:p w14:paraId="35406C30" w14:textId="77777777" w:rsidR="007C5787" w:rsidRPr="007C5787" w:rsidRDefault="007C5787" w:rsidP="007C5787">
      <w:pPr>
        <w:spacing w:after="150"/>
        <w:ind w:left="360"/>
        <w:jc w:val="both"/>
        <w:rPr>
          <w:rFonts w:asciiTheme="minorHAnsi" w:eastAsia="Times New Roman" w:hAnsiTheme="minorHAnsi"/>
        </w:rPr>
      </w:pPr>
      <w:r w:rsidRPr="007C5787">
        <w:rPr>
          <w:rFonts w:asciiTheme="minorHAnsi" w:eastAsia="Times New Roman" w:hAnsiTheme="minorHAnsi"/>
        </w:rPr>
        <w:lastRenderedPageBreak/>
        <w:t xml:space="preserve">La Facilidad/Trust estará dirigida a financiar proyectos de EE promovidos por desarrolladores y ESCOs. Un Gerente de Proyecto estará a cargo de la evaluación financiera y técnica de los proyectos presentados por las ESCOs, instituciones financieras y desarrolladores y de sus clientes. </w:t>
      </w:r>
    </w:p>
    <w:p w14:paraId="03833599" w14:textId="77777777" w:rsidR="007C5787" w:rsidRPr="007C5787" w:rsidRDefault="007C5787" w:rsidP="007C5787">
      <w:pPr>
        <w:spacing w:after="150"/>
        <w:ind w:left="360"/>
        <w:jc w:val="both"/>
        <w:rPr>
          <w:rFonts w:asciiTheme="minorHAnsi" w:eastAsia="Times New Roman" w:hAnsiTheme="minorHAnsi"/>
        </w:rPr>
      </w:pPr>
      <w:r w:rsidRPr="007C5787">
        <w:rPr>
          <w:rFonts w:asciiTheme="minorHAnsi" w:eastAsia="Times New Roman" w:hAnsiTheme="minorHAnsi"/>
        </w:rPr>
        <w:t xml:space="preserve">El proyecto se beneficiará de un préstamo de aproximadamente USD 5 millones de la Facilidad de Financiación de Eficiencia Energética RG-X1136, este préstamo será cofinanciación del préstamo CO-L1151 de FMK. </w:t>
      </w:r>
    </w:p>
    <w:p w14:paraId="5BABDEFC" w14:textId="77777777" w:rsidR="007C5787" w:rsidRPr="007C5787" w:rsidRDefault="007C5787" w:rsidP="007C5787">
      <w:pPr>
        <w:spacing w:after="150"/>
        <w:ind w:left="360"/>
        <w:jc w:val="both"/>
        <w:rPr>
          <w:rFonts w:asciiTheme="minorHAnsi" w:eastAsia="Times New Roman" w:hAnsiTheme="minorHAnsi"/>
        </w:rPr>
      </w:pPr>
      <w:r w:rsidRPr="007C5787">
        <w:rPr>
          <w:rFonts w:asciiTheme="minorHAnsi" w:eastAsia="Times New Roman" w:hAnsiTheme="minorHAnsi"/>
        </w:rPr>
        <w:t>El monto total d</w:t>
      </w:r>
      <w:r w:rsidR="00CC0C4C">
        <w:rPr>
          <w:rFonts w:asciiTheme="minorHAnsi" w:eastAsia="Times New Roman" w:hAnsiTheme="minorHAnsi"/>
        </w:rPr>
        <w:t xml:space="preserve">el préstamo estará entre USD 12 y </w:t>
      </w:r>
      <w:r w:rsidRPr="007C5787">
        <w:rPr>
          <w:rFonts w:asciiTheme="minorHAnsi" w:eastAsia="Times New Roman" w:hAnsiTheme="minorHAnsi"/>
        </w:rPr>
        <w:t>20 millones, dependiendo de la estructura del Fondo/Trust establecido, lo cual podría ser un préstamo a un banco local que prestaría en moneda local a un Fidecomiso.</w:t>
      </w:r>
    </w:p>
    <w:p w14:paraId="6B96506C" w14:textId="77777777" w:rsidR="007C5787" w:rsidRPr="007C5787" w:rsidRDefault="007C5787" w:rsidP="007C5787">
      <w:pPr>
        <w:spacing w:after="150"/>
        <w:ind w:left="360"/>
        <w:jc w:val="both"/>
        <w:rPr>
          <w:rFonts w:asciiTheme="minorHAnsi" w:eastAsia="Times New Roman" w:hAnsiTheme="minorHAnsi"/>
        </w:rPr>
      </w:pPr>
      <w:r w:rsidRPr="007C5787">
        <w:rPr>
          <w:rFonts w:asciiTheme="minorHAnsi" w:eastAsia="Times New Roman" w:hAnsiTheme="minorHAnsi"/>
        </w:rPr>
        <w:t>Actualmente se encuentra en preparación y el financiamiento del BID corresponde a un préstamo de USD 5.000.000 capital ordinario.</w:t>
      </w:r>
    </w:p>
    <w:p w14:paraId="00982823" w14:textId="77777777" w:rsidR="000F4891" w:rsidRPr="007D2B7F" w:rsidRDefault="000F4891" w:rsidP="007D2B7F">
      <w:pPr>
        <w:pStyle w:val="ListParagraph"/>
        <w:numPr>
          <w:ilvl w:val="0"/>
          <w:numId w:val="2"/>
        </w:numPr>
        <w:jc w:val="both"/>
        <w:rPr>
          <w:rFonts w:eastAsia="Times New Roman"/>
          <w:b/>
        </w:rPr>
      </w:pPr>
      <w:r w:rsidRPr="000F4891">
        <w:rPr>
          <w:rFonts w:eastAsia="Times New Roman"/>
          <w:b/>
        </w:rPr>
        <w:t>CO-T1368: Solución Energía en ZNI</w:t>
      </w:r>
    </w:p>
    <w:p w14:paraId="68488594" w14:textId="77777777" w:rsidR="000F4891" w:rsidRPr="000F4891" w:rsidRDefault="000F4891" w:rsidP="000F4891">
      <w:pPr>
        <w:spacing w:after="150"/>
        <w:ind w:left="360"/>
        <w:jc w:val="both"/>
        <w:rPr>
          <w:rFonts w:asciiTheme="minorHAnsi" w:eastAsia="Times New Roman" w:hAnsiTheme="minorHAnsi"/>
        </w:rPr>
      </w:pPr>
      <w:r w:rsidRPr="000F4891">
        <w:rPr>
          <w:rFonts w:asciiTheme="minorHAnsi" w:eastAsia="Times New Roman" w:hAnsiTheme="minorHAnsi"/>
        </w:rPr>
        <w:t>Subsector: Energía-Electrificaci</w:t>
      </w:r>
      <w:r w:rsidRPr="000F4891">
        <w:rPr>
          <w:rFonts w:asciiTheme="minorHAnsi" w:eastAsia="Times New Roman" w:hAnsiTheme="minorHAnsi" w:hint="eastAsia"/>
        </w:rPr>
        <w:t>ó</w:t>
      </w:r>
      <w:r w:rsidRPr="000F4891">
        <w:rPr>
          <w:rFonts w:asciiTheme="minorHAnsi" w:eastAsia="Times New Roman" w:hAnsiTheme="minorHAnsi"/>
        </w:rPr>
        <w:t>n Rural.</w:t>
      </w:r>
    </w:p>
    <w:p w14:paraId="413967D1" w14:textId="77777777" w:rsidR="000F4891" w:rsidRDefault="000F4891" w:rsidP="000F4891">
      <w:pPr>
        <w:spacing w:after="150"/>
        <w:ind w:left="360"/>
        <w:jc w:val="both"/>
        <w:rPr>
          <w:rFonts w:asciiTheme="minorHAnsi" w:eastAsia="Times New Roman" w:hAnsiTheme="minorHAnsi"/>
        </w:rPr>
      </w:pPr>
      <w:r w:rsidRPr="000F4891">
        <w:rPr>
          <w:rFonts w:asciiTheme="minorHAnsi" w:eastAsia="Times New Roman" w:hAnsiTheme="minorHAnsi"/>
        </w:rPr>
        <w:t>Esta CT No Reembolsable se encuentra en preparación y tiene un monto de USD 1.000.000.</w:t>
      </w:r>
    </w:p>
    <w:p w14:paraId="52509531" w14:textId="77777777" w:rsidR="000F4891" w:rsidRPr="007D2B7F" w:rsidRDefault="000F4891" w:rsidP="007D2B7F">
      <w:pPr>
        <w:pStyle w:val="ListParagraph"/>
        <w:numPr>
          <w:ilvl w:val="0"/>
          <w:numId w:val="2"/>
        </w:numPr>
        <w:jc w:val="both"/>
        <w:rPr>
          <w:rFonts w:eastAsia="Times New Roman"/>
          <w:b/>
        </w:rPr>
      </w:pPr>
      <w:r w:rsidRPr="000F4891">
        <w:rPr>
          <w:rFonts w:eastAsia="Times New Roman"/>
          <w:b/>
        </w:rPr>
        <w:t>CO-L1217: Programa Nacional para Asegurar un Suministro de Energía Sostenible y Eficiente</w:t>
      </w:r>
    </w:p>
    <w:p w14:paraId="78785196" w14:textId="77777777" w:rsidR="000F4891" w:rsidRPr="000F4891" w:rsidRDefault="000F4891" w:rsidP="000F4891">
      <w:pPr>
        <w:spacing w:after="150"/>
        <w:ind w:left="360"/>
        <w:jc w:val="both"/>
        <w:rPr>
          <w:rFonts w:asciiTheme="minorHAnsi" w:eastAsia="Times New Roman" w:hAnsiTheme="minorHAnsi"/>
        </w:rPr>
      </w:pPr>
      <w:r w:rsidRPr="000F4891">
        <w:rPr>
          <w:rFonts w:asciiTheme="minorHAnsi" w:eastAsia="Times New Roman" w:hAnsiTheme="minorHAnsi"/>
        </w:rPr>
        <w:t>Subsector: Energía-Tecnolog</w:t>
      </w:r>
      <w:r w:rsidRPr="000F4891">
        <w:rPr>
          <w:rFonts w:asciiTheme="minorHAnsi" w:eastAsia="Times New Roman" w:hAnsiTheme="minorHAnsi" w:hint="eastAsia"/>
        </w:rPr>
        <w:t>í</w:t>
      </w:r>
      <w:r w:rsidRPr="000F4891">
        <w:rPr>
          <w:rFonts w:asciiTheme="minorHAnsi" w:eastAsia="Times New Roman" w:hAnsiTheme="minorHAnsi"/>
        </w:rPr>
        <w:t>as Energ</w:t>
      </w:r>
      <w:r w:rsidRPr="000F4891">
        <w:rPr>
          <w:rFonts w:asciiTheme="minorHAnsi" w:eastAsia="Times New Roman" w:hAnsiTheme="minorHAnsi" w:hint="eastAsia"/>
        </w:rPr>
        <w:t>é</w:t>
      </w:r>
      <w:r w:rsidRPr="000F4891">
        <w:rPr>
          <w:rFonts w:asciiTheme="minorHAnsi" w:eastAsia="Times New Roman" w:hAnsiTheme="minorHAnsi"/>
        </w:rPr>
        <w:t>ticas de Bajas Emisiones de Carbono.</w:t>
      </w:r>
    </w:p>
    <w:p w14:paraId="3ADEF110" w14:textId="77777777" w:rsidR="000F4891" w:rsidRPr="000F4891" w:rsidRDefault="00A274F1" w:rsidP="000F4891">
      <w:pPr>
        <w:spacing w:after="150"/>
        <w:ind w:left="360"/>
        <w:jc w:val="both"/>
        <w:rPr>
          <w:rFonts w:asciiTheme="minorHAnsi" w:eastAsia="Times New Roman" w:hAnsiTheme="minorHAnsi"/>
        </w:rPr>
      </w:pPr>
      <w:r>
        <w:rPr>
          <w:rFonts w:asciiTheme="minorHAnsi" w:eastAsia="Times New Roman" w:hAnsiTheme="minorHAnsi"/>
        </w:rPr>
        <w:t>Esta Operación de P</w:t>
      </w:r>
      <w:r w:rsidR="000F4891" w:rsidRPr="000F4891">
        <w:rPr>
          <w:rFonts w:asciiTheme="minorHAnsi" w:eastAsia="Times New Roman" w:hAnsiTheme="minorHAnsi"/>
        </w:rPr>
        <w:t>réstamo se encuentra en preparación</w:t>
      </w:r>
      <w:r>
        <w:rPr>
          <w:rFonts w:asciiTheme="minorHAnsi" w:eastAsia="Times New Roman" w:hAnsiTheme="minorHAnsi"/>
        </w:rPr>
        <w:t>,</w:t>
      </w:r>
      <w:r w:rsidR="000F4891" w:rsidRPr="000F4891">
        <w:rPr>
          <w:rFonts w:asciiTheme="minorHAnsi" w:eastAsia="Times New Roman" w:hAnsiTheme="minorHAnsi"/>
        </w:rPr>
        <w:t xml:space="preserve"> basada en un PBP por un monto de USD 400.000.000</w:t>
      </w:r>
      <w:r>
        <w:rPr>
          <w:rFonts w:asciiTheme="minorHAnsi" w:eastAsia="Times New Roman" w:hAnsiTheme="minorHAnsi"/>
        </w:rPr>
        <w:t>,</w:t>
      </w:r>
      <w:r w:rsidR="000F4891" w:rsidRPr="000F4891">
        <w:rPr>
          <w:rFonts w:asciiTheme="minorHAnsi" w:eastAsia="Times New Roman" w:hAnsiTheme="minorHAnsi"/>
        </w:rPr>
        <w:t xml:space="preserve"> capital ordinario.</w:t>
      </w:r>
    </w:p>
    <w:p w14:paraId="15D2B92C" w14:textId="77777777" w:rsidR="003A0B69" w:rsidRDefault="003A0B69">
      <w:r>
        <w:br w:type="page"/>
      </w:r>
    </w:p>
    <w:p w14:paraId="501695F7" w14:textId="77777777" w:rsidR="003A0B69" w:rsidRDefault="003A0B69" w:rsidP="003A0B69">
      <w:pPr>
        <w:jc w:val="center"/>
        <w:rPr>
          <w:rFonts w:asciiTheme="minorHAnsi" w:hAnsiTheme="minorHAnsi"/>
          <w:b/>
        </w:rPr>
      </w:pPr>
      <w:r w:rsidRPr="003A0B69">
        <w:rPr>
          <w:rFonts w:asciiTheme="minorHAnsi" w:hAnsiTheme="minorHAnsi"/>
          <w:b/>
        </w:rPr>
        <w:lastRenderedPageBreak/>
        <w:t>ANEXO 2</w:t>
      </w:r>
    </w:p>
    <w:p w14:paraId="0D83FB6D" w14:textId="77777777" w:rsidR="00E82396" w:rsidRDefault="00E82396" w:rsidP="003A0B69">
      <w:pPr>
        <w:jc w:val="center"/>
        <w:rPr>
          <w:rFonts w:asciiTheme="minorHAnsi" w:hAnsiTheme="minorHAnsi"/>
          <w:b/>
        </w:rPr>
      </w:pPr>
    </w:p>
    <w:p w14:paraId="1B513E25" w14:textId="77777777" w:rsidR="00C0484A" w:rsidRDefault="0079600A" w:rsidP="003A0B69">
      <w:pPr>
        <w:jc w:val="center"/>
        <w:rPr>
          <w:rFonts w:asciiTheme="minorHAnsi" w:hAnsiTheme="minorHAnsi"/>
          <w:b/>
        </w:rPr>
      </w:pPr>
      <w:r>
        <w:rPr>
          <w:rFonts w:asciiTheme="minorHAnsi" w:hAnsiTheme="minorHAnsi"/>
          <w:b/>
        </w:rPr>
        <w:t>An</w:t>
      </w:r>
      <w:r w:rsidR="00C0484A">
        <w:rPr>
          <w:rFonts w:asciiTheme="minorHAnsi" w:hAnsiTheme="minorHAnsi"/>
          <w:b/>
        </w:rPr>
        <w:t>álisis</w:t>
      </w:r>
      <w:r>
        <w:rPr>
          <w:rFonts w:asciiTheme="minorHAnsi" w:hAnsiTheme="minorHAnsi"/>
          <w:b/>
        </w:rPr>
        <w:t xml:space="preserve"> y Herramientas disponibles para el desarrollo del PBP</w:t>
      </w:r>
      <w:r w:rsidR="00654DF1">
        <w:rPr>
          <w:rStyle w:val="FootnoteReference"/>
          <w:rFonts w:asciiTheme="minorHAnsi" w:hAnsiTheme="minorHAnsi"/>
          <w:b/>
        </w:rPr>
        <w:footnoteReference w:id="22"/>
      </w:r>
    </w:p>
    <w:p w14:paraId="16C9D81A" w14:textId="77777777" w:rsidR="00C34B77" w:rsidRPr="00D64ACB" w:rsidRDefault="00C34B77" w:rsidP="00C34B77">
      <w:pPr>
        <w:jc w:val="center"/>
        <w:rPr>
          <w:rFonts w:asciiTheme="minorHAnsi" w:hAnsiTheme="minorHAnsi"/>
          <w:b/>
        </w:rPr>
      </w:pPr>
      <w:r w:rsidRPr="00D64ACB">
        <w:rPr>
          <w:rFonts w:asciiTheme="minorHAnsi" w:hAnsiTheme="minorHAnsi" w:cs="Arial"/>
          <w:b/>
        </w:rPr>
        <w:t>Apoyo al Programa Nacional para Asegurar un Suministro de Energía Sostenible y Eficiente</w:t>
      </w:r>
    </w:p>
    <w:p w14:paraId="58741BEF" w14:textId="77777777" w:rsidR="003A0B69" w:rsidRDefault="003A0B69" w:rsidP="003A0B69">
      <w:pPr>
        <w:jc w:val="center"/>
        <w:rPr>
          <w:rFonts w:asciiTheme="minorHAnsi" w:hAnsiTheme="minorHAnsi"/>
          <w:b/>
        </w:rPr>
      </w:pPr>
    </w:p>
    <w:p w14:paraId="79608C64" w14:textId="77777777" w:rsidR="00C34B77" w:rsidRPr="00C34B77" w:rsidRDefault="00C34B77" w:rsidP="00C34B77">
      <w:pPr>
        <w:jc w:val="both"/>
        <w:rPr>
          <w:rFonts w:asciiTheme="minorHAnsi" w:hAnsiTheme="minorHAnsi"/>
        </w:rPr>
      </w:pPr>
      <w:r w:rsidRPr="00A97D6B">
        <w:rPr>
          <w:rFonts w:asciiTheme="minorHAnsi" w:hAnsiTheme="minorHAnsi"/>
        </w:rPr>
        <w:t xml:space="preserve">En este Anexo se presentan los diferentes </w:t>
      </w:r>
      <w:r>
        <w:rPr>
          <w:rFonts w:asciiTheme="minorHAnsi" w:hAnsiTheme="minorHAnsi"/>
        </w:rPr>
        <w:t>análisis y herramientas disponibles por parte del GdC</w:t>
      </w:r>
      <w:r w:rsidRPr="00A97D6B">
        <w:rPr>
          <w:rFonts w:asciiTheme="minorHAnsi" w:hAnsiTheme="minorHAnsi"/>
        </w:rPr>
        <w:t xml:space="preserve">, </w:t>
      </w:r>
      <w:r>
        <w:rPr>
          <w:rFonts w:asciiTheme="minorHAnsi" w:hAnsiTheme="minorHAnsi"/>
        </w:rPr>
        <w:t xml:space="preserve">que son base para </w:t>
      </w:r>
      <w:r w:rsidRPr="00A97D6B">
        <w:rPr>
          <w:rFonts w:asciiTheme="minorHAnsi" w:hAnsiTheme="minorHAnsi"/>
        </w:rPr>
        <w:t xml:space="preserve">el desarrollo del PBP </w:t>
      </w:r>
      <w:r w:rsidRPr="00A97D6B">
        <w:rPr>
          <w:rFonts w:asciiTheme="minorHAnsi" w:hAnsiTheme="minorHAnsi" w:cs="Arial"/>
        </w:rPr>
        <w:t>Apoyo al Programa Nacional para Asegurar un Suministro de Energía Sostenible y Eficiente</w:t>
      </w:r>
      <w:r>
        <w:rPr>
          <w:rFonts w:asciiTheme="minorHAnsi" w:hAnsiTheme="minorHAnsi" w:cs="Arial"/>
        </w:rPr>
        <w:t>.</w:t>
      </w:r>
    </w:p>
    <w:p w14:paraId="07F6E01A" w14:textId="77777777" w:rsidR="003A0B69" w:rsidRDefault="003A0B69" w:rsidP="003A0B69">
      <w:pPr>
        <w:pStyle w:val="ListParagraph"/>
        <w:ind w:left="360"/>
        <w:jc w:val="both"/>
        <w:rPr>
          <w:b/>
          <w:lang w:val="es-ES_tradnl"/>
        </w:rPr>
      </w:pPr>
    </w:p>
    <w:p w14:paraId="24FFFE05" w14:textId="77777777" w:rsidR="007D2B7F" w:rsidRPr="007D2B7F" w:rsidRDefault="003A0B69" w:rsidP="007D2B7F">
      <w:pPr>
        <w:pStyle w:val="ListParagraph"/>
        <w:numPr>
          <w:ilvl w:val="0"/>
          <w:numId w:val="2"/>
        </w:numPr>
        <w:jc w:val="both"/>
        <w:rPr>
          <w:b/>
          <w:lang w:val="es-ES_tradnl"/>
        </w:rPr>
      </w:pPr>
      <w:r w:rsidRPr="00847656">
        <w:rPr>
          <w:b/>
          <w:lang w:val="es-ES_tradnl"/>
        </w:rPr>
        <w:t>Potencial de las FNCER</w:t>
      </w:r>
      <w:r w:rsidR="0018436E">
        <w:rPr>
          <w:rStyle w:val="FootnoteReference"/>
          <w:b/>
          <w:lang w:val="es-ES_tradnl"/>
        </w:rPr>
        <w:footnoteReference w:id="23"/>
      </w:r>
    </w:p>
    <w:p w14:paraId="0BC0BE9E" w14:textId="77777777" w:rsidR="003A0B69" w:rsidRPr="00EB1B8F" w:rsidRDefault="003A0B69" w:rsidP="003A0B69">
      <w:pPr>
        <w:pStyle w:val="ListParagraph"/>
        <w:ind w:left="360"/>
        <w:jc w:val="both"/>
        <w:rPr>
          <w:lang w:val="es-ES_tradnl"/>
        </w:rPr>
      </w:pPr>
      <w:r w:rsidRPr="00EB1B8F">
        <w:rPr>
          <w:lang w:val="es-ES_tradnl"/>
        </w:rPr>
        <w:t xml:space="preserve">Los recursos disponibles a nivel nacional, como son una </w:t>
      </w:r>
      <w:r w:rsidR="0018436E" w:rsidRPr="00EB1B8F">
        <w:rPr>
          <w:lang w:val="es-ES_tradnl"/>
        </w:rPr>
        <w:t>irradiación</w:t>
      </w:r>
      <w:r w:rsidRPr="00EB1B8F">
        <w:rPr>
          <w:lang w:val="es-ES_tradnl"/>
        </w:rPr>
        <w:t xml:space="preserve"> solar promedio de 194 W/m2 para el territorio nacional, v</w:t>
      </w:r>
      <w:r>
        <w:rPr>
          <w:lang w:val="es-ES_tradnl"/>
        </w:rPr>
        <w:t>ientos localizados de velocida</w:t>
      </w:r>
      <w:r w:rsidRPr="00EB1B8F">
        <w:rPr>
          <w:lang w:val="es-ES_tradnl"/>
        </w:rPr>
        <w:t>des medias en el orden de 9 m/s (a 80 m de altura) para el caso particular</w:t>
      </w:r>
      <w:r w:rsidR="0018436E">
        <w:rPr>
          <w:lang w:val="es-ES_tradnl"/>
        </w:rPr>
        <w:t xml:space="preserve"> del departamento de La Guajira</w:t>
      </w:r>
      <w:r w:rsidRPr="00EB1B8F">
        <w:rPr>
          <w:lang w:val="es-ES_tradnl"/>
        </w:rPr>
        <w:t xml:space="preserve"> y potenciales </w:t>
      </w:r>
      <w:r w:rsidR="0018436E" w:rsidRPr="00EB1B8F">
        <w:rPr>
          <w:lang w:val="es-ES_tradnl"/>
        </w:rPr>
        <w:t>energéticos</w:t>
      </w:r>
      <w:r w:rsidRPr="00EB1B8F">
        <w:rPr>
          <w:lang w:val="es-ES_tradnl"/>
        </w:rPr>
        <w:t xml:space="preserve"> del orden de 450.000 TJ por año en residuos de biomasa, representan</w:t>
      </w:r>
      <w:r>
        <w:rPr>
          <w:lang w:val="es-ES_tradnl"/>
        </w:rPr>
        <w:t xml:space="preserve"> potenciales atractivos compar</w:t>
      </w:r>
      <w:r w:rsidRPr="00EB1B8F">
        <w:rPr>
          <w:lang w:val="es-ES_tradnl"/>
        </w:rPr>
        <w:t xml:space="preserve">ados con los de </w:t>
      </w:r>
      <w:r w:rsidR="0018436E" w:rsidRPr="00EB1B8F">
        <w:rPr>
          <w:lang w:val="es-ES_tradnl"/>
        </w:rPr>
        <w:t>países</w:t>
      </w:r>
      <w:r w:rsidRPr="00EB1B8F">
        <w:rPr>
          <w:lang w:val="es-ES_tradnl"/>
        </w:rPr>
        <w:t xml:space="preserve"> ubicados en otras latitudes del planeta. </w:t>
      </w:r>
    </w:p>
    <w:p w14:paraId="7C5D5ABC" w14:textId="77777777" w:rsidR="003A0B69" w:rsidRDefault="003A0B69" w:rsidP="003A0B69">
      <w:pPr>
        <w:pStyle w:val="ListParagraph"/>
        <w:ind w:left="360"/>
        <w:jc w:val="both"/>
        <w:rPr>
          <w:lang w:val="es-ES_tradnl"/>
        </w:rPr>
      </w:pPr>
    </w:p>
    <w:p w14:paraId="246EC600" w14:textId="77777777" w:rsidR="003A0B69" w:rsidRDefault="003A0B69" w:rsidP="003A0B69">
      <w:pPr>
        <w:pStyle w:val="ListParagraph"/>
        <w:ind w:left="360"/>
        <w:jc w:val="both"/>
        <w:rPr>
          <w:lang w:val="es-ES_tradnl"/>
        </w:rPr>
      </w:pPr>
      <w:r w:rsidRPr="00EB1B8F">
        <w:rPr>
          <w:lang w:val="es-ES_tradnl"/>
        </w:rPr>
        <w:t xml:space="preserve">Los </w:t>
      </w:r>
      <w:r w:rsidR="0018436E" w:rsidRPr="00EB1B8F">
        <w:rPr>
          <w:lang w:val="es-ES_tradnl"/>
        </w:rPr>
        <w:t>análisis</w:t>
      </w:r>
      <w:r w:rsidRPr="00EB1B8F">
        <w:rPr>
          <w:lang w:val="es-ES_tradnl"/>
        </w:rPr>
        <w:t xml:space="preserve"> y el trabajo </w:t>
      </w:r>
      <w:r w:rsidR="0018436E" w:rsidRPr="00EB1B8F">
        <w:rPr>
          <w:lang w:val="es-ES_tradnl"/>
        </w:rPr>
        <w:t>técnico</w:t>
      </w:r>
      <w:r w:rsidRPr="00EB1B8F">
        <w:rPr>
          <w:lang w:val="es-ES_tradnl"/>
        </w:rPr>
        <w:t xml:space="preserve"> </w:t>
      </w:r>
      <w:r w:rsidR="007D2B7F">
        <w:rPr>
          <w:lang w:val="es-ES_tradnl"/>
        </w:rPr>
        <w:t>realizados</w:t>
      </w:r>
      <w:r w:rsidRPr="00EB1B8F">
        <w:rPr>
          <w:lang w:val="es-ES_tradnl"/>
        </w:rPr>
        <w:t xml:space="preserve"> se centran en cinco</w:t>
      </w:r>
      <w:r w:rsidR="0018436E">
        <w:rPr>
          <w:lang w:val="es-ES_tradnl"/>
        </w:rPr>
        <w:t xml:space="preserve"> (5)</w:t>
      </w:r>
      <w:r w:rsidRPr="00EB1B8F">
        <w:rPr>
          <w:lang w:val="es-ES_tradnl"/>
        </w:rPr>
        <w:t xml:space="preserve"> nichos de oportunidad en ma</w:t>
      </w:r>
      <w:r>
        <w:rPr>
          <w:lang w:val="es-ES_tradnl"/>
        </w:rPr>
        <w:t>teria de FNCER para Co</w:t>
      </w:r>
      <w:r w:rsidRPr="00EB1B8F">
        <w:rPr>
          <w:lang w:val="es-ES_tradnl"/>
        </w:rPr>
        <w:t>lom</w:t>
      </w:r>
      <w:r>
        <w:rPr>
          <w:lang w:val="es-ES_tradnl"/>
        </w:rPr>
        <w:t>bia, los cuales han sido identifi</w:t>
      </w:r>
      <w:r w:rsidRPr="00EB1B8F">
        <w:rPr>
          <w:lang w:val="es-ES_tradnl"/>
        </w:rPr>
        <w:t xml:space="preserve">cados como </w:t>
      </w:r>
      <w:r w:rsidR="0018436E" w:rsidRPr="00EB1B8F">
        <w:rPr>
          <w:lang w:val="es-ES_tradnl"/>
        </w:rPr>
        <w:t>áreas</w:t>
      </w:r>
      <w:r w:rsidRPr="00EB1B8F">
        <w:rPr>
          <w:lang w:val="es-ES_tradnl"/>
        </w:rPr>
        <w:t xml:space="preserve"> de potencial que el </w:t>
      </w:r>
      <w:r w:rsidR="0018436E" w:rsidRPr="00EB1B8F">
        <w:rPr>
          <w:lang w:val="es-ES_tradnl"/>
        </w:rPr>
        <w:t>país</w:t>
      </w:r>
      <w:r w:rsidRPr="00EB1B8F">
        <w:rPr>
          <w:lang w:val="es-ES_tradnl"/>
        </w:rPr>
        <w:t xml:space="preserve"> puede desarrollar: </w:t>
      </w:r>
    </w:p>
    <w:p w14:paraId="48AEB076" w14:textId="77777777" w:rsidR="003A0B69" w:rsidRPr="00EB1B8F" w:rsidRDefault="003A0B69" w:rsidP="003A0B69">
      <w:pPr>
        <w:pStyle w:val="ListParagraph"/>
        <w:ind w:left="360"/>
        <w:jc w:val="both"/>
        <w:rPr>
          <w:lang w:val="es-ES_tradnl"/>
        </w:rPr>
      </w:pPr>
    </w:p>
    <w:p w14:paraId="70B47D20" w14:textId="77777777" w:rsidR="003A0B69" w:rsidRPr="00EB1B8F" w:rsidRDefault="003A0B69" w:rsidP="0018436E">
      <w:pPr>
        <w:pStyle w:val="ListParagraph"/>
        <w:numPr>
          <w:ilvl w:val="0"/>
          <w:numId w:val="10"/>
        </w:numPr>
        <w:jc w:val="both"/>
        <w:rPr>
          <w:lang w:val="es-ES_tradnl"/>
        </w:rPr>
      </w:pPr>
      <w:r w:rsidRPr="00EB1B8F">
        <w:rPr>
          <w:lang w:val="es-ES_tradnl"/>
        </w:rPr>
        <w:t xml:space="preserve">El desarrollo de proyectos </w:t>
      </w:r>
      <w:r w:rsidR="0018436E" w:rsidRPr="00EB1B8F">
        <w:rPr>
          <w:lang w:val="es-ES_tradnl"/>
        </w:rPr>
        <w:t>eólicos</w:t>
      </w:r>
      <w:r w:rsidRPr="00EB1B8F">
        <w:rPr>
          <w:lang w:val="es-ES_tradnl"/>
        </w:rPr>
        <w:t xml:space="preserve"> en</w:t>
      </w:r>
      <w:r>
        <w:rPr>
          <w:lang w:val="es-ES_tradnl"/>
        </w:rPr>
        <w:t xml:space="preserve"> zonas de alto potencial, empe</w:t>
      </w:r>
      <w:r w:rsidRPr="00EB1B8F">
        <w:rPr>
          <w:lang w:val="es-ES_tradnl"/>
        </w:rPr>
        <w:t xml:space="preserve">zando por el departamento de La Guajira. </w:t>
      </w:r>
    </w:p>
    <w:p w14:paraId="573121CB" w14:textId="77777777" w:rsidR="003A0B69" w:rsidRPr="00EB1B8F" w:rsidRDefault="003A0B69" w:rsidP="0018436E">
      <w:pPr>
        <w:pStyle w:val="ListParagraph"/>
        <w:numPr>
          <w:ilvl w:val="0"/>
          <w:numId w:val="10"/>
        </w:numPr>
        <w:jc w:val="both"/>
        <w:rPr>
          <w:lang w:val="es-ES_tradnl"/>
        </w:rPr>
      </w:pPr>
      <w:r w:rsidRPr="00EB1B8F">
        <w:rPr>
          <w:lang w:val="es-ES_tradnl"/>
        </w:rPr>
        <w:t>El desarrollo masivo de sistemas dist</w:t>
      </w:r>
      <w:r>
        <w:rPr>
          <w:lang w:val="es-ES_tradnl"/>
        </w:rPr>
        <w:t xml:space="preserve">ribuidos de </w:t>
      </w:r>
      <w:r w:rsidR="0018436E">
        <w:rPr>
          <w:lang w:val="es-ES_tradnl"/>
        </w:rPr>
        <w:t>autogeneración</w:t>
      </w:r>
      <w:r>
        <w:rPr>
          <w:lang w:val="es-ES_tradnl"/>
        </w:rPr>
        <w:t xml:space="preserve"> so</w:t>
      </w:r>
      <w:r w:rsidRPr="00EB1B8F">
        <w:rPr>
          <w:lang w:val="es-ES_tradnl"/>
        </w:rPr>
        <w:t xml:space="preserve">lar FV a </w:t>
      </w:r>
      <w:r w:rsidR="0018436E" w:rsidRPr="00EB1B8F">
        <w:rPr>
          <w:lang w:val="es-ES_tradnl"/>
        </w:rPr>
        <w:t>pequeña</w:t>
      </w:r>
      <w:r w:rsidRPr="00EB1B8F">
        <w:rPr>
          <w:lang w:val="es-ES_tradnl"/>
        </w:rPr>
        <w:t xml:space="preserve"> y mediana escala. </w:t>
      </w:r>
    </w:p>
    <w:p w14:paraId="12EA5B9D" w14:textId="77777777" w:rsidR="003A0B69" w:rsidRPr="00EB1B8F" w:rsidRDefault="003A0B69" w:rsidP="0018436E">
      <w:pPr>
        <w:pStyle w:val="ListParagraph"/>
        <w:numPr>
          <w:ilvl w:val="0"/>
          <w:numId w:val="10"/>
        </w:numPr>
        <w:jc w:val="both"/>
        <w:rPr>
          <w:lang w:val="es-ES_tradnl"/>
        </w:rPr>
      </w:pPr>
      <w:r w:rsidRPr="00EB1B8F">
        <w:rPr>
          <w:lang w:val="es-ES_tradnl"/>
        </w:rPr>
        <w:t xml:space="preserve">El desarrollo de proyectos de </w:t>
      </w:r>
      <w:r w:rsidR="0018436E" w:rsidRPr="00EB1B8F">
        <w:rPr>
          <w:lang w:val="es-ES_tradnl"/>
        </w:rPr>
        <w:t>cogene</w:t>
      </w:r>
      <w:r w:rsidR="0018436E">
        <w:rPr>
          <w:lang w:val="es-ES_tradnl"/>
        </w:rPr>
        <w:t>ración</w:t>
      </w:r>
      <w:r>
        <w:rPr>
          <w:lang w:val="es-ES_tradnl"/>
        </w:rPr>
        <w:t xml:space="preserve"> a partir del aprovecha</w:t>
      </w:r>
      <w:r w:rsidRPr="00EB1B8F">
        <w:rPr>
          <w:lang w:val="es-ES_tradnl"/>
        </w:rPr>
        <w:t xml:space="preserve">miento de la biomasa con </w:t>
      </w:r>
      <w:r w:rsidR="0018436E">
        <w:rPr>
          <w:lang w:val="es-ES_tradnl"/>
        </w:rPr>
        <w:t>fi</w:t>
      </w:r>
      <w:r w:rsidRPr="00EB1B8F">
        <w:rPr>
          <w:lang w:val="es-ES_tradnl"/>
        </w:rPr>
        <w:t xml:space="preserve">nes </w:t>
      </w:r>
      <w:r w:rsidR="0018436E" w:rsidRPr="00EB1B8F">
        <w:rPr>
          <w:lang w:val="es-ES_tradnl"/>
        </w:rPr>
        <w:t>energéticos</w:t>
      </w:r>
      <w:r w:rsidRPr="00EB1B8F">
        <w:rPr>
          <w:lang w:val="es-ES_tradnl"/>
        </w:rPr>
        <w:t xml:space="preserve">. </w:t>
      </w:r>
    </w:p>
    <w:p w14:paraId="43C95AF8" w14:textId="77777777" w:rsidR="003A0B69" w:rsidRPr="00EB1B8F" w:rsidRDefault="003A0B69" w:rsidP="0018436E">
      <w:pPr>
        <w:pStyle w:val="ListParagraph"/>
        <w:numPr>
          <w:ilvl w:val="0"/>
          <w:numId w:val="10"/>
        </w:numPr>
        <w:jc w:val="both"/>
        <w:rPr>
          <w:lang w:val="es-ES_tradnl"/>
        </w:rPr>
      </w:pPr>
      <w:r w:rsidRPr="00EB1B8F">
        <w:rPr>
          <w:lang w:val="es-ES_tradnl"/>
        </w:rPr>
        <w:t xml:space="preserve">El desarrollo de proyectos </w:t>
      </w:r>
      <w:r w:rsidR="0018436E" w:rsidRPr="00EB1B8F">
        <w:rPr>
          <w:lang w:val="es-ES_tradnl"/>
        </w:rPr>
        <w:t>geotérmicos</w:t>
      </w:r>
      <w:r w:rsidRPr="00EB1B8F">
        <w:rPr>
          <w:lang w:val="es-ES_tradnl"/>
        </w:rPr>
        <w:t xml:space="preserve"> en zonas de alto potencial como el </w:t>
      </w:r>
      <w:r w:rsidR="0018436E" w:rsidRPr="00EB1B8F">
        <w:rPr>
          <w:lang w:val="es-ES_tradnl"/>
        </w:rPr>
        <w:t>área</w:t>
      </w:r>
      <w:r w:rsidRPr="00EB1B8F">
        <w:rPr>
          <w:lang w:val="es-ES_tradnl"/>
        </w:rPr>
        <w:t xml:space="preserve"> del macizo </w:t>
      </w:r>
      <w:r w:rsidR="0018436E" w:rsidRPr="00EB1B8F">
        <w:rPr>
          <w:lang w:val="es-ES_tradnl"/>
        </w:rPr>
        <w:t>volcánico</w:t>
      </w:r>
      <w:r w:rsidRPr="00EB1B8F">
        <w:rPr>
          <w:lang w:val="es-ES_tradnl"/>
        </w:rPr>
        <w:t xml:space="preserve"> del Ruiz. </w:t>
      </w:r>
    </w:p>
    <w:p w14:paraId="1EB3BA22" w14:textId="77777777" w:rsidR="003A0B69" w:rsidRPr="00EB1B8F" w:rsidRDefault="003A0B69" w:rsidP="0018436E">
      <w:pPr>
        <w:pStyle w:val="ListParagraph"/>
        <w:numPr>
          <w:ilvl w:val="0"/>
          <w:numId w:val="10"/>
        </w:numPr>
        <w:jc w:val="both"/>
        <w:rPr>
          <w:lang w:val="es-ES_tradnl"/>
        </w:rPr>
      </w:pPr>
      <w:r w:rsidRPr="00EB1B8F">
        <w:rPr>
          <w:lang w:val="es-ES_tradnl"/>
        </w:rPr>
        <w:t xml:space="preserve">El despliegue de proyectos con FNCER, especialmente a </w:t>
      </w:r>
      <w:r w:rsidR="0018436E" w:rsidRPr="00EB1B8F">
        <w:rPr>
          <w:lang w:val="es-ES_tradnl"/>
        </w:rPr>
        <w:t>través</w:t>
      </w:r>
      <w:r w:rsidRPr="00EB1B8F">
        <w:rPr>
          <w:lang w:val="es-ES_tradnl"/>
        </w:rPr>
        <w:t xml:space="preserve"> de esquemas </w:t>
      </w:r>
      <w:r w:rsidR="0018436E" w:rsidRPr="00EB1B8F">
        <w:rPr>
          <w:lang w:val="es-ES_tradnl"/>
        </w:rPr>
        <w:t>híbridos</w:t>
      </w:r>
      <w:r w:rsidRPr="00EB1B8F">
        <w:rPr>
          <w:lang w:val="es-ES_tradnl"/>
        </w:rPr>
        <w:t xml:space="preserve"> de </w:t>
      </w:r>
      <w:r w:rsidR="0018436E" w:rsidRPr="00EB1B8F">
        <w:rPr>
          <w:lang w:val="es-ES_tradnl"/>
        </w:rPr>
        <w:t>generación</w:t>
      </w:r>
      <w:r w:rsidRPr="00EB1B8F">
        <w:rPr>
          <w:lang w:val="es-ES_tradnl"/>
        </w:rPr>
        <w:t xml:space="preserve">, como </w:t>
      </w:r>
      <w:r w:rsidR="0018436E" w:rsidRPr="00EB1B8F">
        <w:rPr>
          <w:lang w:val="es-ES_tradnl"/>
        </w:rPr>
        <w:t>solución</w:t>
      </w:r>
      <w:r w:rsidRPr="00EB1B8F">
        <w:rPr>
          <w:lang w:val="es-ES_tradnl"/>
        </w:rPr>
        <w:t xml:space="preserve"> </w:t>
      </w:r>
      <w:r w:rsidR="0018436E" w:rsidRPr="00EB1B8F">
        <w:rPr>
          <w:lang w:val="es-ES_tradnl"/>
        </w:rPr>
        <w:t>energética</w:t>
      </w:r>
      <w:r w:rsidRPr="00EB1B8F">
        <w:rPr>
          <w:lang w:val="es-ES_tradnl"/>
        </w:rPr>
        <w:t xml:space="preserve"> en ZNI. </w:t>
      </w:r>
    </w:p>
    <w:p w14:paraId="6FF85C40" w14:textId="77777777" w:rsidR="003A0B69" w:rsidRDefault="003A0B69" w:rsidP="003A0B69">
      <w:pPr>
        <w:pStyle w:val="ListParagraph"/>
        <w:ind w:left="360"/>
        <w:jc w:val="both"/>
        <w:rPr>
          <w:lang w:val="es-ES_tradnl"/>
        </w:rPr>
      </w:pPr>
    </w:p>
    <w:p w14:paraId="25F80268" w14:textId="77777777" w:rsidR="003A0B69" w:rsidRPr="00EB1B8F" w:rsidRDefault="003A0B69" w:rsidP="003A0B69">
      <w:pPr>
        <w:pStyle w:val="ListParagraph"/>
        <w:ind w:left="360"/>
        <w:jc w:val="both"/>
        <w:rPr>
          <w:lang w:val="es-ES_tradnl"/>
        </w:rPr>
      </w:pPr>
      <w:r>
        <w:rPr>
          <w:lang w:val="es-ES_tradnl"/>
        </w:rPr>
        <w:t>Estos nichos fueron defi</w:t>
      </w:r>
      <w:r w:rsidRPr="00EB1B8F">
        <w:rPr>
          <w:lang w:val="es-ES_tradnl"/>
        </w:rPr>
        <w:t>nidos con base en dife</w:t>
      </w:r>
      <w:r>
        <w:rPr>
          <w:lang w:val="es-ES_tradnl"/>
        </w:rPr>
        <w:t>rentes criterios como el poten</w:t>
      </w:r>
      <w:r w:rsidRPr="00EB1B8F">
        <w:rPr>
          <w:lang w:val="es-ES_tradnl"/>
        </w:rPr>
        <w:t xml:space="preserve">cial del recurso, la </w:t>
      </w:r>
      <w:r w:rsidR="0018436E" w:rsidRPr="00EB1B8F">
        <w:rPr>
          <w:lang w:val="es-ES_tradnl"/>
        </w:rPr>
        <w:t>disminución</w:t>
      </w:r>
      <w:r w:rsidRPr="00EB1B8F">
        <w:rPr>
          <w:lang w:val="es-ES_tradnl"/>
        </w:rPr>
        <w:t xml:space="preserve"> de costos lograda</w:t>
      </w:r>
      <w:r>
        <w:rPr>
          <w:lang w:val="es-ES_tradnl"/>
        </w:rPr>
        <w:t xml:space="preserve"> gracias a los desarrollos </w:t>
      </w:r>
      <w:r w:rsidR="0018436E">
        <w:rPr>
          <w:lang w:val="es-ES_tradnl"/>
        </w:rPr>
        <w:t>tec</w:t>
      </w:r>
      <w:r w:rsidR="0018436E" w:rsidRPr="00EB1B8F">
        <w:rPr>
          <w:lang w:val="es-ES_tradnl"/>
        </w:rPr>
        <w:t>nológicos</w:t>
      </w:r>
      <w:r w:rsidRPr="00EB1B8F">
        <w:rPr>
          <w:lang w:val="es-ES_tradnl"/>
        </w:rPr>
        <w:t xml:space="preserve"> de los </w:t>
      </w:r>
      <w:r w:rsidR="0018436E" w:rsidRPr="00EB1B8F">
        <w:rPr>
          <w:lang w:val="es-ES_tradnl"/>
        </w:rPr>
        <w:t>últimos</w:t>
      </w:r>
      <w:r w:rsidRPr="00EB1B8F">
        <w:rPr>
          <w:lang w:val="es-ES_tradnl"/>
        </w:rPr>
        <w:t xml:space="preserve"> </w:t>
      </w:r>
      <w:r w:rsidR="0018436E" w:rsidRPr="00EB1B8F">
        <w:rPr>
          <w:lang w:val="es-ES_tradnl"/>
        </w:rPr>
        <w:t>años</w:t>
      </w:r>
      <w:r w:rsidRPr="00EB1B8F">
        <w:rPr>
          <w:lang w:val="es-ES_tradnl"/>
        </w:rPr>
        <w:t xml:space="preserve">, el </w:t>
      </w:r>
      <w:r w:rsidR="0018436E" w:rsidRPr="00EB1B8F">
        <w:rPr>
          <w:lang w:val="es-ES_tradnl"/>
        </w:rPr>
        <w:t>interés</w:t>
      </w:r>
      <w:r w:rsidRPr="00EB1B8F">
        <w:rPr>
          <w:lang w:val="es-ES_tradnl"/>
        </w:rPr>
        <w:t xml:space="preserve"> por parte de actores l</w:t>
      </w:r>
      <w:r w:rsidR="007D2B7F">
        <w:rPr>
          <w:lang w:val="es-ES_tradnl"/>
        </w:rPr>
        <w:t>ocales en desarrollar proyectos</w:t>
      </w:r>
      <w:r w:rsidRPr="00EB1B8F">
        <w:rPr>
          <w:lang w:val="es-ES_tradnl"/>
        </w:rPr>
        <w:t xml:space="preserve"> y la oportunidad para llevar soluciones sostenibles y </w:t>
      </w:r>
      <w:r w:rsidR="0018436E" w:rsidRPr="00EB1B8F">
        <w:rPr>
          <w:lang w:val="es-ES_tradnl"/>
        </w:rPr>
        <w:t>más</w:t>
      </w:r>
      <w:r w:rsidRPr="00EB1B8F">
        <w:rPr>
          <w:lang w:val="es-ES_tradnl"/>
        </w:rPr>
        <w:t xml:space="preserve"> </w:t>
      </w:r>
      <w:r w:rsidR="0018436E" w:rsidRPr="00EB1B8F">
        <w:rPr>
          <w:lang w:val="es-ES_tradnl"/>
        </w:rPr>
        <w:t>económicas</w:t>
      </w:r>
      <w:r w:rsidRPr="00EB1B8F">
        <w:rPr>
          <w:lang w:val="es-ES_tradnl"/>
        </w:rPr>
        <w:t xml:space="preserve"> que el </w:t>
      </w:r>
      <w:r w:rsidR="0018436E" w:rsidRPr="00EB1B8F">
        <w:rPr>
          <w:lang w:val="es-ES_tradnl"/>
        </w:rPr>
        <w:t>diésel</w:t>
      </w:r>
      <w:r w:rsidRPr="00EB1B8F">
        <w:rPr>
          <w:lang w:val="es-ES_tradnl"/>
        </w:rPr>
        <w:t xml:space="preserve"> a zonas </w:t>
      </w:r>
      <w:r w:rsidRPr="00EB1B8F">
        <w:rPr>
          <w:lang w:val="es-ES_tradnl"/>
        </w:rPr>
        <w:lastRenderedPageBreak/>
        <w:t xml:space="preserve">que son de especial </w:t>
      </w:r>
      <w:r w:rsidR="0018436E" w:rsidRPr="00EB1B8F">
        <w:rPr>
          <w:lang w:val="es-ES_tradnl"/>
        </w:rPr>
        <w:t>interés</w:t>
      </w:r>
      <w:r w:rsidRPr="00EB1B8F">
        <w:rPr>
          <w:lang w:val="es-ES_tradnl"/>
        </w:rPr>
        <w:t xml:space="preserve"> para el Gobierno Nacional para extender la cobertura de la </w:t>
      </w:r>
      <w:r w:rsidR="0018436E" w:rsidRPr="00EB1B8F">
        <w:rPr>
          <w:lang w:val="es-ES_tradnl"/>
        </w:rPr>
        <w:t>prestación</w:t>
      </w:r>
      <w:r w:rsidRPr="00EB1B8F">
        <w:rPr>
          <w:lang w:val="es-ES_tradnl"/>
        </w:rPr>
        <w:t xml:space="preserve"> del servicio de </w:t>
      </w:r>
      <w:r w:rsidR="007D2B7F" w:rsidRPr="00EB1B8F">
        <w:rPr>
          <w:lang w:val="es-ES_tradnl"/>
        </w:rPr>
        <w:t>energía</w:t>
      </w:r>
      <w:r w:rsidRPr="00EB1B8F">
        <w:rPr>
          <w:lang w:val="es-ES_tradnl"/>
        </w:rPr>
        <w:t xml:space="preserve"> </w:t>
      </w:r>
      <w:r w:rsidR="0018436E" w:rsidRPr="00EB1B8F">
        <w:rPr>
          <w:lang w:val="es-ES_tradnl"/>
        </w:rPr>
        <w:t>eléctrica</w:t>
      </w:r>
      <w:r w:rsidRPr="00EB1B8F">
        <w:rPr>
          <w:lang w:val="es-ES_tradnl"/>
        </w:rPr>
        <w:t xml:space="preserve">. </w:t>
      </w:r>
    </w:p>
    <w:p w14:paraId="36810CB3" w14:textId="77777777" w:rsidR="003A0B69" w:rsidRDefault="003A0B69" w:rsidP="003A0B69">
      <w:pPr>
        <w:jc w:val="both"/>
        <w:rPr>
          <w:rStyle w:val="Hyperlink"/>
        </w:rPr>
      </w:pPr>
    </w:p>
    <w:p w14:paraId="6E42742F" w14:textId="169F21E4" w:rsidR="005E7882" w:rsidRDefault="005E7882" w:rsidP="0018436E">
      <w:pPr>
        <w:pStyle w:val="ListParagraph"/>
        <w:numPr>
          <w:ilvl w:val="0"/>
          <w:numId w:val="2"/>
        </w:numPr>
        <w:jc w:val="both"/>
        <w:rPr>
          <w:b/>
          <w:lang w:val="es-ES_tradnl"/>
        </w:rPr>
      </w:pPr>
      <w:r>
        <w:rPr>
          <w:b/>
          <w:lang w:val="es-ES_tradnl"/>
        </w:rPr>
        <w:t>Registro de Proyectos</w:t>
      </w:r>
    </w:p>
    <w:p w14:paraId="43122CDD" w14:textId="77777777" w:rsidR="005E7882" w:rsidRDefault="005E7882" w:rsidP="005E7882">
      <w:pPr>
        <w:pStyle w:val="ListParagraph"/>
        <w:ind w:left="360"/>
        <w:jc w:val="both"/>
        <w:rPr>
          <w:lang w:val="es-ES_tradnl"/>
        </w:rPr>
      </w:pPr>
      <w:r w:rsidRPr="005E7882">
        <w:rPr>
          <w:lang w:val="es-ES_tradnl"/>
        </w:rPr>
        <w:t>El Registro de Proyectos de Generación es un mecanismo voluntario e informativo con el que cuenta la UPME, para facilitar el cumplimiento de la ley 143 de 1994, en cuanto a la identificación de las mejores opciones del abastecimiento eléctrico al costo mínimo.</w:t>
      </w:r>
      <w:r w:rsidRPr="005E7882">
        <w:rPr>
          <w:lang w:val="es-ES_tradnl"/>
        </w:rPr>
        <w:br/>
      </w:r>
    </w:p>
    <w:p w14:paraId="089BA2BD" w14:textId="2B4FEF55" w:rsidR="005E7882" w:rsidRPr="005E7882" w:rsidRDefault="005E7882" w:rsidP="005E7882">
      <w:pPr>
        <w:pStyle w:val="ListParagraph"/>
        <w:ind w:left="360"/>
        <w:jc w:val="both"/>
        <w:rPr>
          <w:lang w:val="es-ES_tradnl"/>
        </w:rPr>
      </w:pPr>
      <w:r w:rsidRPr="005E7882">
        <w:rPr>
          <w:lang w:val="es-ES_tradnl"/>
        </w:rPr>
        <w:t>Se utiliza para conocer las diferentes iniciativas de proyectos de generación del país, por lo que se constituye en insumo fundamental para la formulación del Plan Indicativo de Expansión de Generación.</w:t>
      </w:r>
    </w:p>
    <w:p w14:paraId="06702098" w14:textId="77777777" w:rsidR="005E7882" w:rsidRPr="005E7882" w:rsidRDefault="005E7882" w:rsidP="005E7882">
      <w:pPr>
        <w:pStyle w:val="ListParagraph"/>
        <w:ind w:left="360"/>
        <w:jc w:val="both"/>
        <w:rPr>
          <w:b/>
        </w:rPr>
      </w:pPr>
    </w:p>
    <w:p w14:paraId="0FD0FC5B" w14:textId="08C1F340" w:rsidR="003A0B69" w:rsidRPr="0018436E" w:rsidRDefault="005E7882" w:rsidP="0018436E">
      <w:pPr>
        <w:pStyle w:val="ListParagraph"/>
        <w:numPr>
          <w:ilvl w:val="0"/>
          <w:numId w:val="2"/>
        </w:numPr>
        <w:jc w:val="both"/>
        <w:rPr>
          <w:b/>
          <w:lang w:val="es-ES_tradnl"/>
        </w:rPr>
      </w:pPr>
      <w:r>
        <w:rPr>
          <w:b/>
          <w:lang w:val="es-ES_tradnl"/>
        </w:rPr>
        <w:t>Plan de E</w:t>
      </w:r>
      <w:r w:rsidR="003A0B69" w:rsidRPr="0018436E">
        <w:rPr>
          <w:b/>
          <w:lang w:val="es-ES_tradnl"/>
        </w:rPr>
        <w:t>xpansión de Generación y Transmisión 2016-2030</w:t>
      </w:r>
    </w:p>
    <w:p w14:paraId="5F6DF3EB" w14:textId="77777777" w:rsidR="003A0B69" w:rsidRPr="00221148" w:rsidRDefault="003A0B69" w:rsidP="003A0B69">
      <w:pPr>
        <w:pStyle w:val="ListParagraph"/>
        <w:ind w:left="360"/>
        <w:jc w:val="both"/>
        <w:rPr>
          <w:lang w:val="es-ES_tradnl"/>
        </w:rPr>
      </w:pPr>
      <w:r w:rsidRPr="00221148">
        <w:rPr>
          <w:lang w:val="es-ES_tradnl"/>
        </w:rPr>
        <w:t xml:space="preserve">Con el objetivo de alcanzar un adecuado abastecimiento de la demanda de </w:t>
      </w:r>
      <w:r w:rsidR="0018436E" w:rsidRPr="00221148">
        <w:rPr>
          <w:lang w:val="es-ES_tradnl"/>
        </w:rPr>
        <w:t>energía</w:t>
      </w:r>
      <w:r w:rsidRPr="00221148">
        <w:rPr>
          <w:lang w:val="es-ES_tradnl"/>
        </w:rPr>
        <w:t xml:space="preserve"> </w:t>
      </w:r>
      <w:r w:rsidR="0018436E" w:rsidRPr="00221148">
        <w:rPr>
          <w:lang w:val="es-ES_tradnl"/>
        </w:rPr>
        <w:t>eléctrica</w:t>
      </w:r>
      <w:r w:rsidRPr="00221148">
        <w:rPr>
          <w:lang w:val="es-ES_tradnl"/>
        </w:rPr>
        <w:t xml:space="preserve">, la UPME realiza anualmente una </w:t>
      </w:r>
      <w:r w:rsidR="0018436E" w:rsidRPr="00221148">
        <w:rPr>
          <w:lang w:val="es-ES_tradnl"/>
        </w:rPr>
        <w:t>revisión</w:t>
      </w:r>
      <w:r w:rsidRPr="00221148">
        <w:rPr>
          <w:lang w:val="es-ES_tradnl"/>
        </w:rPr>
        <w:t xml:space="preserve"> del Plan de </w:t>
      </w:r>
      <w:r w:rsidR="0018436E" w:rsidRPr="00221148">
        <w:rPr>
          <w:lang w:val="es-ES_tradnl"/>
        </w:rPr>
        <w:t>expansión</w:t>
      </w:r>
      <w:r w:rsidRPr="00221148">
        <w:rPr>
          <w:lang w:val="es-ES_tradnl"/>
        </w:rPr>
        <w:t xml:space="preserve"> de los recursos de </w:t>
      </w:r>
      <w:r w:rsidR="0018436E" w:rsidRPr="00221148">
        <w:rPr>
          <w:lang w:val="es-ES_tradnl"/>
        </w:rPr>
        <w:t>generación</w:t>
      </w:r>
      <w:r w:rsidRPr="00221148">
        <w:rPr>
          <w:lang w:val="es-ES_tradnl"/>
        </w:rPr>
        <w:t xml:space="preserve"> y de las redes de </w:t>
      </w:r>
      <w:r w:rsidR="0018436E" w:rsidRPr="00221148">
        <w:rPr>
          <w:lang w:val="es-ES_tradnl"/>
        </w:rPr>
        <w:t>transmisión</w:t>
      </w:r>
      <w:r w:rsidRPr="00221148">
        <w:rPr>
          <w:lang w:val="es-ES_tradnl"/>
        </w:rPr>
        <w:t xml:space="preserve">. Los </w:t>
      </w:r>
      <w:r w:rsidR="0018436E" w:rsidRPr="00221148">
        <w:rPr>
          <w:lang w:val="es-ES_tradnl"/>
        </w:rPr>
        <w:t>análisis</w:t>
      </w:r>
      <w:r w:rsidRPr="00221148">
        <w:rPr>
          <w:lang w:val="es-ES_tradnl"/>
        </w:rPr>
        <w:t xml:space="preserve"> de planeamiento realizados tienen un horizonte de largo plazo y se fundamentan en </w:t>
      </w:r>
      <w:r w:rsidR="0018436E" w:rsidRPr="00221148">
        <w:rPr>
          <w:lang w:val="es-ES_tradnl"/>
        </w:rPr>
        <w:t>información</w:t>
      </w:r>
      <w:r w:rsidRPr="00221148">
        <w:rPr>
          <w:lang w:val="es-ES_tradnl"/>
        </w:rPr>
        <w:t xml:space="preserve"> de la infraestructura </w:t>
      </w:r>
      <w:r w:rsidR="0018436E" w:rsidRPr="00221148">
        <w:rPr>
          <w:lang w:val="es-ES_tradnl"/>
        </w:rPr>
        <w:t>eléctrica</w:t>
      </w:r>
      <w:r w:rsidRPr="00221148">
        <w:rPr>
          <w:lang w:val="es-ES_tradnl"/>
        </w:rPr>
        <w:t xml:space="preserve"> actual, los proyectos en </w:t>
      </w:r>
      <w:r w:rsidR="0018436E" w:rsidRPr="00221148">
        <w:rPr>
          <w:lang w:val="es-ES_tradnl"/>
        </w:rPr>
        <w:t>construcción</w:t>
      </w:r>
      <w:r w:rsidRPr="00221148">
        <w:rPr>
          <w:lang w:val="es-ES_tradnl"/>
        </w:rPr>
        <w:t xml:space="preserve"> y las proyecciones nacionales y regionales de demanda de </w:t>
      </w:r>
      <w:r w:rsidR="0018436E" w:rsidRPr="00221148">
        <w:rPr>
          <w:lang w:val="es-ES_tradnl"/>
        </w:rPr>
        <w:t>energía</w:t>
      </w:r>
      <w:r w:rsidRPr="00221148">
        <w:rPr>
          <w:lang w:val="es-ES_tradnl"/>
        </w:rPr>
        <w:t xml:space="preserve"> y potencia. </w:t>
      </w:r>
    </w:p>
    <w:p w14:paraId="18335571" w14:textId="77777777" w:rsidR="003A0B69" w:rsidRDefault="003A0B69" w:rsidP="003A0B69">
      <w:pPr>
        <w:pStyle w:val="ListParagraph"/>
        <w:ind w:left="360"/>
        <w:jc w:val="both"/>
        <w:rPr>
          <w:lang w:val="es-ES_tradnl"/>
        </w:rPr>
      </w:pPr>
    </w:p>
    <w:p w14:paraId="04618614" w14:textId="77777777" w:rsidR="003A0B69" w:rsidRPr="00221148" w:rsidRDefault="003A0B69" w:rsidP="003A0B69">
      <w:pPr>
        <w:pStyle w:val="ListParagraph"/>
        <w:ind w:left="360"/>
        <w:jc w:val="both"/>
        <w:rPr>
          <w:lang w:val="es-ES_tradnl"/>
        </w:rPr>
      </w:pPr>
      <w:r w:rsidRPr="00221148">
        <w:rPr>
          <w:lang w:val="es-ES_tradnl"/>
        </w:rPr>
        <w:t xml:space="preserve">Esta </w:t>
      </w:r>
      <w:r w:rsidR="0018436E" w:rsidRPr="00221148">
        <w:rPr>
          <w:lang w:val="es-ES_tradnl"/>
        </w:rPr>
        <w:t>versión</w:t>
      </w:r>
      <w:r w:rsidRPr="00221148">
        <w:rPr>
          <w:lang w:val="es-ES_tradnl"/>
        </w:rPr>
        <w:t xml:space="preserve"> del Plan fue desarrollada durante el transcurso del 2016, </w:t>
      </w:r>
      <w:r w:rsidR="0018436E" w:rsidRPr="00221148">
        <w:rPr>
          <w:lang w:val="es-ES_tradnl"/>
        </w:rPr>
        <w:t>razón</w:t>
      </w:r>
      <w:r w:rsidRPr="00221148">
        <w:rPr>
          <w:lang w:val="es-ES_tradnl"/>
        </w:rPr>
        <w:t xml:space="preserve"> por la cual se </w:t>
      </w:r>
      <w:r w:rsidR="0018436E" w:rsidRPr="00221148">
        <w:rPr>
          <w:lang w:val="es-ES_tradnl"/>
        </w:rPr>
        <w:t>utilizó</w:t>
      </w:r>
      <w:r w:rsidRPr="00221148">
        <w:rPr>
          <w:lang w:val="es-ES_tradnl"/>
        </w:rPr>
        <w:t xml:space="preserve">́ la </w:t>
      </w:r>
      <w:r w:rsidR="0018436E" w:rsidRPr="00221148">
        <w:rPr>
          <w:lang w:val="es-ES_tradnl"/>
        </w:rPr>
        <w:t>proyección</w:t>
      </w:r>
      <w:r w:rsidRPr="00221148">
        <w:rPr>
          <w:lang w:val="es-ES_tradnl"/>
        </w:rPr>
        <w:t xml:space="preserve"> de demanda, </w:t>
      </w:r>
      <w:r w:rsidR="0018436E" w:rsidRPr="00221148">
        <w:rPr>
          <w:lang w:val="es-ES_tradnl"/>
        </w:rPr>
        <w:t>revisión</w:t>
      </w:r>
      <w:r w:rsidRPr="00221148">
        <w:rPr>
          <w:lang w:val="es-ES_tradnl"/>
        </w:rPr>
        <w:t xml:space="preserve"> de julio. En cuanto a la </w:t>
      </w:r>
      <w:r w:rsidR="0018436E" w:rsidRPr="00221148">
        <w:rPr>
          <w:lang w:val="es-ES_tradnl"/>
        </w:rPr>
        <w:t>generación</w:t>
      </w:r>
      <w:r w:rsidRPr="00221148">
        <w:rPr>
          <w:lang w:val="es-ES_tradnl"/>
        </w:rPr>
        <w:t xml:space="preserve">, se </w:t>
      </w:r>
      <w:r w:rsidR="0018436E" w:rsidRPr="00221148">
        <w:rPr>
          <w:lang w:val="es-ES_tradnl"/>
        </w:rPr>
        <w:t>realizó</w:t>
      </w:r>
      <w:r w:rsidRPr="00221148">
        <w:rPr>
          <w:lang w:val="es-ES_tradnl"/>
        </w:rPr>
        <w:t xml:space="preserve">́́ un </w:t>
      </w:r>
      <w:r w:rsidR="0018436E" w:rsidRPr="00221148">
        <w:rPr>
          <w:lang w:val="es-ES_tradnl"/>
        </w:rPr>
        <w:t>análisis</w:t>
      </w:r>
      <w:r w:rsidRPr="00221148">
        <w:rPr>
          <w:lang w:val="es-ES_tradnl"/>
        </w:rPr>
        <w:t xml:space="preserve"> de los recursos </w:t>
      </w:r>
      <w:r w:rsidR="0018436E" w:rsidRPr="00221148">
        <w:rPr>
          <w:lang w:val="es-ES_tradnl"/>
        </w:rPr>
        <w:t>energéticos</w:t>
      </w:r>
      <w:r w:rsidRPr="00221148">
        <w:rPr>
          <w:lang w:val="es-ES_tradnl"/>
        </w:rPr>
        <w:t xml:space="preserve"> con los que cuenta el </w:t>
      </w:r>
      <w:r w:rsidR="0018436E" w:rsidRPr="00221148">
        <w:rPr>
          <w:lang w:val="es-ES_tradnl"/>
        </w:rPr>
        <w:t>país</w:t>
      </w:r>
      <w:r w:rsidRPr="00221148">
        <w:rPr>
          <w:lang w:val="es-ES_tradnl"/>
        </w:rPr>
        <w:t xml:space="preserve">, como son el </w:t>
      </w:r>
      <w:r w:rsidR="0018436E" w:rsidRPr="00221148">
        <w:rPr>
          <w:lang w:val="es-ES_tradnl"/>
        </w:rPr>
        <w:t>carbón</w:t>
      </w:r>
      <w:r w:rsidRPr="00221148">
        <w:rPr>
          <w:lang w:val="es-ES_tradnl"/>
        </w:rPr>
        <w:t xml:space="preserve"> mineral, </w:t>
      </w:r>
      <w:r>
        <w:rPr>
          <w:lang w:val="es-ES_tradnl"/>
        </w:rPr>
        <w:t>GN</w:t>
      </w:r>
      <w:r w:rsidRPr="00221148">
        <w:rPr>
          <w:lang w:val="es-ES_tradnl"/>
        </w:rPr>
        <w:t xml:space="preserve">, combustibles </w:t>
      </w:r>
      <w:r w:rsidR="0018436E" w:rsidRPr="00221148">
        <w:rPr>
          <w:lang w:val="es-ES_tradnl"/>
        </w:rPr>
        <w:t>líquidos</w:t>
      </w:r>
      <w:r w:rsidRPr="00221148">
        <w:rPr>
          <w:lang w:val="es-ES_tradnl"/>
        </w:rPr>
        <w:t xml:space="preserve">, hidroelectricidad y </w:t>
      </w:r>
      <w:r>
        <w:rPr>
          <w:lang w:val="es-ES_tradnl"/>
        </w:rPr>
        <w:t>FNCE</w:t>
      </w:r>
      <w:r w:rsidRPr="00221148">
        <w:rPr>
          <w:lang w:val="es-ES_tradnl"/>
        </w:rPr>
        <w:t xml:space="preserve">. </w:t>
      </w:r>
    </w:p>
    <w:p w14:paraId="2C615F52" w14:textId="77777777" w:rsidR="003A0B69" w:rsidRDefault="003A0B69" w:rsidP="003A0B69">
      <w:pPr>
        <w:pStyle w:val="ListParagraph"/>
        <w:ind w:left="360"/>
        <w:jc w:val="both"/>
        <w:rPr>
          <w:lang w:val="es-ES_tradnl"/>
        </w:rPr>
      </w:pPr>
    </w:p>
    <w:p w14:paraId="2E928D27" w14:textId="77777777" w:rsidR="003A0B69" w:rsidRPr="00221148" w:rsidRDefault="003A0B69" w:rsidP="003A0B69">
      <w:pPr>
        <w:pStyle w:val="ListParagraph"/>
        <w:ind w:left="360"/>
        <w:jc w:val="both"/>
        <w:rPr>
          <w:lang w:val="es-ES_tradnl"/>
        </w:rPr>
      </w:pPr>
      <w:r w:rsidRPr="00221148">
        <w:rPr>
          <w:lang w:val="es-ES_tradnl"/>
        </w:rPr>
        <w:t xml:space="preserve">Respecto a </w:t>
      </w:r>
      <w:r w:rsidR="0018436E" w:rsidRPr="00221148">
        <w:rPr>
          <w:lang w:val="es-ES_tradnl"/>
        </w:rPr>
        <w:t>transmisión</w:t>
      </w:r>
      <w:r w:rsidRPr="00221148">
        <w:rPr>
          <w:lang w:val="es-ES_tradnl"/>
        </w:rPr>
        <w:t xml:space="preserve">, se analiza el </w:t>
      </w:r>
      <w:r w:rsidR="007D2B7F">
        <w:rPr>
          <w:lang w:val="es-ES_tradnl"/>
        </w:rPr>
        <w:t>Sistema de Transmisión Nacional (</w:t>
      </w:r>
      <w:r w:rsidRPr="00221148">
        <w:rPr>
          <w:lang w:val="es-ES_tradnl"/>
        </w:rPr>
        <w:t>STN</w:t>
      </w:r>
      <w:r w:rsidR="007D2B7F">
        <w:rPr>
          <w:lang w:val="es-ES_tradnl"/>
        </w:rPr>
        <w:t>)</w:t>
      </w:r>
      <w:r w:rsidRPr="00221148">
        <w:rPr>
          <w:lang w:val="es-ES_tradnl"/>
        </w:rPr>
        <w:t xml:space="preserve"> y los</w:t>
      </w:r>
      <w:r w:rsidR="007D2B7F">
        <w:rPr>
          <w:lang w:val="es-ES_tradnl"/>
        </w:rPr>
        <w:t xml:space="preserve"> Sistemas de Transmisión Regionales</w:t>
      </w:r>
      <w:r w:rsidRPr="00221148">
        <w:rPr>
          <w:lang w:val="es-ES_tradnl"/>
        </w:rPr>
        <w:t xml:space="preserve"> </w:t>
      </w:r>
      <w:r w:rsidR="007D2B7F">
        <w:rPr>
          <w:lang w:val="es-ES_tradnl"/>
        </w:rPr>
        <w:t>(</w:t>
      </w:r>
      <w:r w:rsidRPr="00221148">
        <w:rPr>
          <w:lang w:val="es-ES_tradnl"/>
        </w:rPr>
        <w:t>STR</w:t>
      </w:r>
      <w:r w:rsidR="007D2B7F">
        <w:rPr>
          <w:lang w:val="es-ES_tradnl"/>
        </w:rPr>
        <w:t>)</w:t>
      </w:r>
      <w:r w:rsidRPr="00221148">
        <w:rPr>
          <w:lang w:val="es-ES_tradnl"/>
        </w:rPr>
        <w:t xml:space="preserve">, identificando los efectos del crecimiento de la demanda y la </w:t>
      </w:r>
      <w:r w:rsidR="0018436E" w:rsidRPr="00221148">
        <w:rPr>
          <w:lang w:val="es-ES_tradnl"/>
        </w:rPr>
        <w:t>incorporación</w:t>
      </w:r>
      <w:r w:rsidRPr="00221148">
        <w:rPr>
          <w:lang w:val="es-ES_tradnl"/>
        </w:rPr>
        <w:t xml:space="preserve"> de plantas de </w:t>
      </w:r>
      <w:r w:rsidR="0018436E" w:rsidRPr="00221148">
        <w:rPr>
          <w:lang w:val="es-ES_tradnl"/>
        </w:rPr>
        <w:t>generación</w:t>
      </w:r>
      <w:r w:rsidRPr="00221148">
        <w:rPr>
          <w:lang w:val="es-ES_tradnl"/>
        </w:rPr>
        <w:t xml:space="preserve">. Lo anterior, con el fin de garantizar la </w:t>
      </w:r>
      <w:r w:rsidR="0018436E" w:rsidRPr="00221148">
        <w:rPr>
          <w:lang w:val="es-ES_tradnl"/>
        </w:rPr>
        <w:t>prestación</w:t>
      </w:r>
      <w:r w:rsidRPr="00221148">
        <w:rPr>
          <w:lang w:val="es-ES_tradnl"/>
        </w:rPr>
        <w:t xml:space="preserve"> del servicio de </w:t>
      </w:r>
      <w:r w:rsidR="007D2B7F" w:rsidRPr="00221148">
        <w:rPr>
          <w:lang w:val="es-ES_tradnl"/>
        </w:rPr>
        <w:t>energía</w:t>
      </w:r>
      <w:r w:rsidRPr="00221148">
        <w:rPr>
          <w:lang w:val="es-ES_tradnl"/>
        </w:rPr>
        <w:t xml:space="preserve"> </w:t>
      </w:r>
      <w:r w:rsidR="0018436E" w:rsidRPr="00221148">
        <w:rPr>
          <w:lang w:val="es-ES_tradnl"/>
        </w:rPr>
        <w:t>eléctrica</w:t>
      </w:r>
      <w:r w:rsidRPr="00221148">
        <w:rPr>
          <w:lang w:val="es-ES_tradnl"/>
        </w:rPr>
        <w:t xml:space="preserve"> de una manera confiable, segura y eficiente. </w:t>
      </w:r>
    </w:p>
    <w:p w14:paraId="473DEC21" w14:textId="77777777" w:rsidR="003A0B69" w:rsidRPr="00B83FC5" w:rsidRDefault="003A0B69" w:rsidP="003A0B69">
      <w:pPr>
        <w:jc w:val="both"/>
        <w:rPr>
          <w:b/>
        </w:rPr>
      </w:pPr>
    </w:p>
    <w:p w14:paraId="2D989B76" w14:textId="77777777" w:rsidR="003A0B69" w:rsidRPr="006412BB" w:rsidRDefault="003A0B69" w:rsidP="0018436E">
      <w:pPr>
        <w:pStyle w:val="ListParagraph"/>
        <w:numPr>
          <w:ilvl w:val="0"/>
          <w:numId w:val="2"/>
        </w:numPr>
        <w:jc w:val="both"/>
        <w:rPr>
          <w:b/>
          <w:lang w:val="es-ES_tradnl"/>
        </w:rPr>
      </w:pPr>
      <w:r w:rsidRPr="006412BB">
        <w:rPr>
          <w:b/>
          <w:lang w:val="es-ES_tradnl"/>
        </w:rPr>
        <w:t>Plan Transitorio de Abastecimiento de Gas Natural</w:t>
      </w:r>
    </w:p>
    <w:p w14:paraId="5290BFCE" w14:textId="77777777" w:rsidR="003A0B69" w:rsidRDefault="003A0B69" w:rsidP="003A0B69">
      <w:pPr>
        <w:pStyle w:val="ListParagraph"/>
        <w:ind w:left="360"/>
        <w:jc w:val="both"/>
        <w:rPr>
          <w:lang w:val="es-ES_tradnl"/>
        </w:rPr>
      </w:pPr>
      <w:r w:rsidRPr="00B563DF">
        <w:rPr>
          <w:lang w:val="es-ES_tradnl"/>
        </w:rPr>
        <w:t xml:space="preserve">Con la expedición del Decreto 2345 de 2015, se presenta una evolución en la planeación y ejecución de la infraestructura del servicio público domiciliario de </w:t>
      </w:r>
      <w:r w:rsidR="00E7481E">
        <w:rPr>
          <w:lang w:val="es-ES_tradnl"/>
        </w:rPr>
        <w:t>GN</w:t>
      </w:r>
      <w:r w:rsidRPr="00B563DF">
        <w:rPr>
          <w:lang w:val="es-ES_tradnl"/>
        </w:rPr>
        <w:t xml:space="preserve"> e inicia el desarrollo de los proyectos de confiablidad y de abastecimiento que se identifican como necesarios para asegurar la continuidad y seguridad en el suministro de gas natural en el país. </w:t>
      </w:r>
      <w:r>
        <w:rPr>
          <w:lang w:val="es-ES_tradnl"/>
        </w:rPr>
        <w:t xml:space="preserve">Se presentan </w:t>
      </w:r>
      <w:r w:rsidRPr="00B563DF">
        <w:rPr>
          <w:lang w:val="es-ES_tradnl"/>
        </w:rPr>
        <w:t xml:space="preserve">los proyectos que </w:t>
      </w:r>
      <w:r>
        <w:rPr>
          <w:lang w:val="es-ES_tradnl"/>
        </w:rPr>
        <w:t xml:space="preserve">se consideran </w:t>
      </w:r>
      <w:r w:rsidRPr="00B563DF">
        <w:rPr>
          <w:lang w:val="es-ES_tradnl"/>
        </w:rPr>
        <w:t xml:space="preserve">como necesarios para ejecutar en los próximos 5 años con el objeto de lograr los objetivos señalados en el Decreto mencionado. </w:t>
      </w:r>
    </w:p>
    <w:p w14:paraId="161B15AF" w14:textId="77777777" w:rsidR="003A0B69" w:rsidRDefault="003A0B69" w:rsidP="003A0B69">
      <w:pPr>
        <w:pStyle w:val="ListParagraph"/>
        <w:ind w:left="360"/>
        <w:jc w:val="both"/>
        <w:rPr>
          <w:lang w:val="es-ES_tradnl"/>
        </w:rPr>
      </w:pPr>
    </w:p>
    <w:p w14:paraId="281B97DE" w14:textId="77777777" w:rsidR="0018436E" w:rsidRDefault="003A0B69" w:rsidP="003A0B69">
      <w:pPr>
        <w:pStyle w:val="ListParagraph"/>
        <w:ind w:left="360"/>
        <w:jc w:val="both"/>
        <w:rPr>
          <w:lang w:val="es-ES_tradnl"/>
        </w:rPr>
      </w:pPr>
      <w:r w:rsidRPr="00B563DF">
        <w:rPr>
          <w:lang w:val="es-ES_tradnl"/>
        </w:rPr>
        <w:t>El P</w:t>
      </w:r>
      <w:r>
        <w:rPr>
          <w:lang w:val="es-ES_tradnl"/>
        </w:rPr>
        <w:t>lan se elabora en una coyuntura</w:t>
      </w:r>
      <w:r w:rsidRPr="007E6101">
        <w:rPr>
          <w:lang w:val="es-ES_tradnl"/>
        </w:rPr>
        <w:t xml:space="preserve"> para el SEC motivada por diversos factores, entre los que se destaca la ocurrencia del Fenómeno de El Niño, </w:t>
      </w:r>
      <w:r>
        <w:rPr>
          <w:lang w:val="es-ES_tradnl"/>
        </w:rPr>
        <w:t>considerado</w:t>
      </w:r>
      <w:r w:rsidRPr="007E6101">
        <w:rPr>
          <w:lang w:val="es-ES_tradnl"/>
        </w:rPr>
        <w:t xml:space="preserve"> como uno de los más fuertes de los que </w:t>
      </w:r>
      <w:r w:rsidR="0018436E">
        <w:rPr>
          <w:lang w:val="es-ES_tradnl"/>
        </w:rPr>
        <w:t>se tienen registros en Colombia,</w:t>
      </w:r>
      <w:r w:rsidRPr="007E6101">
        <w:rPr>
          <w:lang w:val="es-ES_tradnl"/>
        </w:rPr>
        <w:t xml:space="preserve"> un descenso de la actividad </w:t>
      </w:r>
      <w:r w:rsidRPr="007E6101">
        <w:rPr>
          <w:lang w:val="es-ES_tradnl"/>
        </w:rPr>
        <w:lastRenderedPageBreak/>
        <w:t>exploratoria de hidrocarb</w:t>
      </w:r>
      <w:r w:rsidR="0018436E">
        <w:rPr>
          <w:lang w:val="es-ES_tradnl"/>
        </w:rPr>
        <w:t>uros, lo mismo que sus reservas,</w:t>
      </w:r>
      <w:r w:rsidRPr="007E6101">
        <w:rPr>
          <w:lang w:val="es-ES_tradnl"/>
        </w:rPr>
        <w:t xml:space="preserve"> unos precios internos altos de electricidad y gas natural en los mercados de corto plazo, influenciados por la coyuntura hidrológica y la exigenci</w:t>
      </w:r>
      <w:r>
        <w:rPr>
          <w:lang w:val="es-ES_tradnl"/>
        </w:rPr>
        <w:t>a sobre el parque de generación</w:t>
      </w:r>
      <w:r w:rsidRPr="007E6101">
        <w:rPr>
          <w:lang w:val="es-ES_tradnl"/>
        </w:rPr>
        <w:t xml:space="preserve"> y una percepción de escasez de gas natural de corto y mediano plazo. </w:t>
      </w:r>
    </w:p>
    <w:p w14:paraId="459DE974" w14:textId="77777777" w:rsidR="0018436E" w:rsidRDefault="0018436E" w:rsidP="003A0B69">
      <w:pPr>
        <w:pStyle w:val="ListParagraph"/>
        <w:ind w:left="360"/>
        <w:jc w:val="both"/>
        <w:rPr>
          <w:lang w:val="es-ES_tradnl"/>
        </w:rPr>
      </w:pPr>
    </w:p>
    <w:p w14:paraId="5611DDC2" w14:textId="77777777" w:rsidR="0018436E" w:rsidRDefault="003A0B69" w:rsidP="003A0B69">
      <w:pPr>
        <w:pStyle w:val="ListParagraph"/>
        <w:ind w:left="360"/>
        <w:jc w:val="both"/>
        <w:rPr>
          <w:lang w:val="es-ES_tradnl"/>
        </w:rPr>
      </w:pPr>
      <w:r w:rsidRPr="007E6101">
        <w:rPr>
          <w:lang w:val="es-ES_tradnl"/>
        </w:rPr>
        <w:t xml:space="preserve">Las particularidades de la demanda de </w:t>
      </w:r>
      <w:r w:rsidR="00E7481E">
        <w:rPr>
          <w:lang w:val="es-ES_tradnl"/>
        </w:rPr>
        <w:t>GN</w:t>
      </w:r>
      <w:r w:rsidRPr="007E6101">
        <w:rPr>
          <w:lang w:val="es-ES_tradnl"/>
        </w:rPr>
        <w:t xml:space="preserve">, especialmente para generación de electricidad, donde esta fuente energética opera como garantía de confiabilidad del sector eléctrico en épocas de sequía, especialmente cuando se produce el Fenómeno de El Niño, ha implicado formas contractuales entre productores de gas, transportadores y generadores eléctricos, que distorsionan los propios principios del mercado de gas que impiden una expansión concertada de la oferta de este energético, pero también de la oferta de generación eléctrica. </w:t>
      </w:r>
    </w:p>
    <w:p w14:paraId="0675346C" w14:textId="77777777" w:rsidR="0018436E" w:rsidRDefault="0018436E" w:rsidP="003A0B69">
      <w:pPr>
        <w:pStyle w:val="ListParagraph"/>
        <w:ind w:left="360"/>
        <w:jc w:val="both"/>
        <w:rPr>
          <w:lang w:val="es-ES_tradnl"/>
        </w:rPr>
      </w:pPr>
    </w:p>
    <w:p w14:paraId="5968B7A6" w14:textId="77777777" w:rsidR="00C976B7" w:rsidRDefault="003A0B69" w:rsidP="003A0B69">
      <w:pPr>
        <w:pStyle w:val="ListParagraph"/>
        <w:ind w:left="360"/>
        <w:jc w:val="both"/>
        <w:rPr>
          <w:lang w:val="es-ES_tradnl"/>
        </w:rPr>
      </w:pPr>
      <w:r w:rsidRPr="007E6101">
        <w:rPr>
          <w:lang w:val="es-ES_tradnl"/>
        </w:rPr>
        <w:t xml:space="preserve">Para algunos agentes, el sector de </w:t>
      </w:r>
      <w:r w:rsidR="00E7481E">
        <w:rPr>
          <w:lang w:val="es-ES_tradnl"/>
        </w:rPr>
        <w:t>GN</w:t>
      </w:r>
      <w:r w:rsidRPr="007E6101">
        <w:rPr>
          <w:lang w:val="es-ES_tradnl"/>
        </w:rPr>
        <w:t xml:space="preserve"> contiene una complicación de suficiencia y de seguridad, de confiabilidad en situaciones críticas, las cuales, a pesar de ser puntuales y esporádicas, afectan el desarrollo del sector. Adicionalmente, la ausencia de una oferta económica en firme para el sector térmico vincula la confiabilidad del sector eléctrico con la del gas natural, dificultad que se ha agudizado en los últimos años, debido al aumento del consumo de gas natural en los otros sectores. Por otra parte, el sector de gas ha soportado también un alto grado de vulnerabilidad ante interrup</w:t>
      </w:r>
      <w:r>
        <w:rPr>
          <w:lang w:val="es-ES_tradnl"/>
        </w:rPr>
        <w:t>ciones de elementos del sistema</w:t>
      </w:r>
      <w:r w:rsidRPr="007E6101">
        <w:rPr>
          <w:lang w:val="es-ES_tradnl"/>
        </w:rPr>
        <w:t xml:space="preserve"> y como el mismo es radial, además de disponer de una oferta regionalizada y que ha ido disminuyendo con el tiempo, las indisponibilidades de suministro o de transporte tienen serias consecuencias sobre el conjunto de los usuarios de consumo. </w:t>
      </w:r>
    </w:p>
    <w:p w14:paraId="215A3FC9" w14:textId="77777777" w:rsidR="00C976B7" w:rsidRDefault="00C976B7" w:rsidP="003A0B69">
      <w:pPr>
        <w:pStyle w:val="ListParagraph"/>
        <w:ind w:left="360"/>
        <w:jc w:val="both"/>
        <w:rPr>
          <w:lang w:val="es-ES_tradnl"/>
        </w:rPr>
      </w:pPr>
    </w:p>
    <w:p w14:paraId="1E4DCBC0" w14:textId="77777777" w:rsidR="00C976B7" w:rsidRDefault="003A0B69" w:rsidP="003A0B69">
      <w:pPr>
        <w:pStyle w:val="ListParagraph"/>
        <w:ind w:left="360"/>
        <w:jc w:val="both"/>
        <w:rPr>
          <w:lang w:val="es-ES_tradnl"/>
        </w:rPr>
      </w:pPr>
      <w:r w:rsidRPr="007E6101">
        <w:rPr>
          <w:lang w:val="es-ES_tradnl"/>
        </w:rPr>
        <w:t xml:space="preserve">Así mismo, los atrapamientos de </w:t>
      </w:r>
      <w:r w:rsidR="00E7481E">
        <w:rPr>
          <w:lang w:val="es-ES_tradnl"/>
        </w:rPr>
        <w:t>GN</w:t>
      </w:r>
      <w:r w:rsidRPr="007E6101">
        <w:rPr>
          <w:lang w:val="es-ES_tradnl"/>
        </w:rPr>
        <w:t xml:space="preserve"> son, sin duda, una de las grandes dificultades en momentos de máximo estré</w:t>
      </w:r>
      <w:r>
        <w:rPr>
          <w:lang w:val="es-ES_tradnl"/>
        </w:rPr>
        <w:t>s del sistema de abastecimiento</w:t>
      </w:r>
      <w:r w:rsidRPr="007E6101">
        <w:rPr>
          <w:lang w:val="es-ES_tradnl"/>
        </w:rPr>
        <w:t xml:space="preserve"> y en oportunidades, las decisiones de expansión de la infraestructura de transporte no han sido suficientes y oportunas para corresponder a las exigencias del mercado. </w:t>
      </w:r>
    </w:p>
    <w:p w14:paraId="298E5467" w14:textId="77777777" w:rsidR="00C976B7" w:rsidRDefault="00C976B7" w:rsidP="003A0B69">
      <w:pPr>
        <w:pStyle w:val="ListParagraph"/>
        <w:ind w:left="360"/>
        <w:jc w:val="both"/>
        <w:rPr>
          <w:lang w:val="es-ES_tradnl"/>
        </w:rPr>
      </w:pPr>
    </w:p>
    <w:p w14:paraId="5448AA1D" w14:textId="77777777" w:rsidR="00C976B7" w:rsidRDefault="003A0B69" w:rsidP="003A0B69">
      <w:pPr>
        <w:pStyle w:val="ListParagraph"/>
        <w:ind w:left="360"/>
        <w:jc w:val="both"/>
        <w:rPr>
          <w:lang w:val="es-ES_tradnl"/>
        </w:rPr>
      </w:pPr>
      <w:r w:rsidRPr="007E6101">
        <w:rPr>
          <w:lang w:val="es-ES_tradnl"/>
        </w:rPr>
        <w:t xml:space="preserve">Estas dificultades han dado paso a la promulgación del Decreto 2345 de 2015 y de la Resolución del </w:t>
      </w:r>
      <w:r>
        <w:rPr>
          <w:lang w:val="es-ES_tradnl"/>
        </w:rPr>
        <w:t>MME</w:t>
      </w:r>
      <w:r w:rsidRPr="007E6101">
        <w:rPr>
          <w:lang w:val="es-ES_tradnl"/>
        </w:rPr>
        <w:t xml:space="preserve"> 40052 de 2016, con los cuales el </w:t>
      </w:r>
      <w:r w:rsidR="00E7481E">
        <w:rPr>
          <w:lang w:val="es-ES_tradnl"/>
        </w:rPr>
        <w:t xml:space="preserve">GdC </w:t>
      </w:r>
      <w:r w:rsidRPr="007E6101">
        <w:rPr>
          <w:lang w:val="es-ES_tradnl"/>
        </w:rPr>
        <w:t xml:space="preserve">pretende identificar las acciones necesarias para garantizar la seguridad del abastecimiento de gas natural en el mediano y largo plazo y la confiabilidad en la prestación del servicio ante fallas en la infraestructura, mediante el desarrollo de obras de confiabilidad de carácter prioritario y la promoción de la expansión oportuna del </w:t>
      </w:r>
      <w:r>
        <w:rPr>
          <w:lang w:val="es-ES_tradnl"/>
        </w:rPr>
        <w:t>Sistema Nacional de Transporte (SNT)</w:t>
      </w:r>
      <w:r w:rsidRPr="007E6101">
        <w:rPr>
          <w:lang w:val="es-ES_tradnl"/>
        </w:rPr>
        <w:t xml:space="preserve">, para lo cual la regulación viene trabajando en la implementación de un marco regulatorio que permita desarrollar tales obras. </w:t>
      </w:r>
    </w:p>
    <w:p w14:paraId="02B30B4E" w14:textId="77777777" w:rsidR="00C976B7" w:rsidRDefault="00C976B7" w:rsidP="003A0B69">
      <w:pPr>
        <w:pStyle w:val="ListParagraph"/>
        <w:ind w:left="360"/>
        <w:jc w:val="both"/>
        <w:rPr>
          <w:lang w:val="es-ES_tradnl"/>
        </w:rPr>
      </w:pPr>
    </w:p>
    <w:p w14:paraId="29C570FA" w14:textId="77777777" w:rsidR="00C976B7" w:rsidRDefault="003A0B69" w:rsidP="003A0B69">
      <w:pPr>
        <w:pStyle w:val="ListParagraph"/>
        <w:ind w:left="360"/>
        <w:jc w:val="both"/>
        <w:rPr>
          <w:lang w:val="es-ES_tradnl"/>
        </w:rPr>
      </w:pPr>
      <w:r w:rsidRPr="007E6101">
        <w:rPr>
          <w:lang w:val="es-ES_tradnl"/>
        </w:rPr>
        <w:t xml:space="preserve">En la elaboración del Plan Transitorio de Abastecimiento se ha contado con la mejor información disponible en las diferentes variables utilizadas. Aun así, persisten incertidumbres, tanto en oferta como en demanda, que dificultan la labor de planeamiento y aconsejan, en unos casos, anticipar decisiones respecto a los proyectos que se consideran fundamentales para la seguridad del suministro, como la </w:t>
      </w:r>
      <w:r w:rsidRPr="007E6101">
        <w:rPr>
          <w:lang w:val="es-ES_tradnl"/>
        </w:rPr>
        <w:lastRenderedPageBreak/>
        <w:t>Planta de Regasificación del Pacífico, y en otros casos, continuar el estudio de proyectos para el mediano plazo como la expansión Noroccide</w:t>
      </w:r>
      <w:r>
        <w:rPr>
          <w:lang w:val="es-ES_tradnl"/>
        </w:rPr>
        <w:t xml:space="preserve">ntal del Sistema de Transporte. </w:t>
      </w:r>
    </w:p>
    <w:p w14:paraId="168BDECC" w14:textId="77777777" w:rsidR="003A0B69" w:rsidRDefault="003A0B69" w:rsidP="003A0B69">
      <w:pPr>
        <w:jc w:val="both"/>
        <w:rPr>
          <w:rStyle w:val="Hyperlink"/>
        </w:rPr>
      </w:pPr>
    </w:p>
    <w:p w14:paraId="0EEEF687" w14:textId="77777777" w:rsidR="003A0B69" w:rsidRPr="006941D0" w:rsidRDefault="003A0B69" w:rsidP="00C976B7">
      <w:pPr>
        <w:pStyle w:val="ListParagraph"/>
        <w:numPr>
          <w:ilvl w:val="0"/>
          <w:numId w:val="2"/>
        </w:numPr>
        <w:jc w:val="both"/>
        <w:rPr>
          <w:b/>
        </w:rPr>
      </w:pPr>
      <w:r w:rsidRPr="006941D0">
        <w:rPr>
          <w:b/>
          <w:lang w:val="es-ES_tradnl"/>
        </w:rPr>
        <w:t>Plan Indicativo de Expansión de la Cobertura de Energía Eléctrica</w:t>
      </w:r>
    </w:p>
    <w:p w14:paraId="00745849" w14:textId="77777777" w:rsidR="00C976B7" w:rsidRDefault="003A0B69" w:rsidP="003A0B69">
      <w:pPr>
        <w:pStyle w:val="ListParagraph"/>
        <w:ind w:left="360"/>
        <w:jc w:val="both"/>
        <w:rPr>
          <w:lang w:val="es-ES_tradnl"/>
        </w:rPr>
      </w:pPr>
      <w:r>
        <w:rPr>
          <w:lang w:val="es-ES_tradnl"/>
        </w:rPr>
        <w:t>E</w:t>
      </w:r>
      <w:r w:rsidRPr="00221148">
        <w:rPr>
          <w:lang w:val="es-ES_tradnl"/>
        </w:rPr>
        <w:t xml:space="preserve">l Plan Indicativo de Expansión de la </w:t>
      </w:r>
      <w:r>
        <w:rPr>
          <w:lang w:val="es-ES_tradnl"/>
        </w:rPr>
        <w:t>Cobertura de Energía Eléctrico (PIEC)</w:t>
      </w:r>
      <w:r w:rsidRPr="00221148">
        <w:rPr>
          <w:lang w:val="es-ES_tradnl"/>
        </w:rPr>
        <w:t>, para el período 2013- 2017 parte de una estimación del número de viviendas sin cobertura, para i</w:t>
      </w:r>
      <w:r>
        <w:rPr>
          <w:lang w:val="es-ES_tradnl"/>
        </w:rPr>
        <w:t>dentificar la inversión econó</w:t>
      </w:r>
      <w:r w:rsidRPr="00221148">
        <w:rPr>
          <w:lang w:val="es-ES_tradnl"/>
        </w:rPr>
        <w:t xml:space="preserve">mica requerida que garantice </w:t>
      </w:r>
      <w:r>
        <w:rPr>
          <w:lang w:val="es-ES_tradnl"/>
        </w:rPr>
        <w:t>la universalización del servi</w:t>
      </w:r>
      <w:r w:rsidRPr="00221148">
        <w:rPr>
          <w:lang w:val="es-ES_tradnl"/>
        </w:rPr>
        <w:t xml:space="preserve">cio. Esta inversión se </w:t>
      </w:r>
      <w:r>
        <w:rPr>
          <w:lang w:val="es-ES_tradnl"/>
        </w:rPr>
        <w:t xml:space="preserve">considera tanto para la </w:t>
      </w:r>
      <w:r w:rsidRPr="00221148">
        <w:rPr>
          <w:lang w:val="es-ES_tradnl"/>
        </w:rPr>
        <w:t xml:space="preserve">expansión de la red del SIN como en soluciones aisladas. </w:t>
      </w:r>
    </w:p>
    <w:p w14:paraId="0A6BA7B0" w14:textId="77777777" w:rsidR="00C976B7" w:rsidRDefault="00C976B7" w:rsidP="003A0B69">
      <w:pPr>
        <w:pStyle w:val="ListParagraph"/>
        <w:ind w:left="360"/>
        <w:jc w:val="both"/>
        <w:rPr>
          <w:lang w:val="es-ES_tradnl"/>
        </w:rPr>
      </w:pPr>
    </w:p>
    <w:p w14:paraId="5F0CC322" w14:textId="77777777" w:rsidR="003A0B69" w:rsidRPr="00B83FC5" w:rsidRDefault="003A0B69" w:rsidP="003A0B69">
      <w:pPr>
        <w:pStyle w:val="ListParagraph"/>
        <w:ind w:left="360"/>
        <w:jc w:val="both"/>
        <w:rPr>
          <w:lang w:val="es-ES_tradnl"/>
        </w:rPr>
      </w:pPr>
      <w:r>
        <w:rPr>
          <w:lang w:val="es-ES_tradnl"/>
        </w:rPr>
        <w:t>Se consideran dos esque</w:t>
      </w:r>
      <w:r w:rsidRPr="00221148">
        <w:rPr>
          <w:lang w:val="es-ES_tradnl"/>
        </w:rPr>
        <w:t>mas de financiación para ava</w:t>
      </w:r>
      <w:r>
        <w:rPr>
          <w:lang w:val="es-ES_tradnl"/>
        </w:rPr>
        <w:t>nzar en la prestación del ser</w:t>
      </w:r>
      <w:r w:rsidRPr="00221148">
        <w:rPr>
          <w:lang w:val="es-ES_tradnl"/>
        </w:rPr>
        <w:t>vicio de energía eléctrica en el futuro inmediato: ejecución directa por parte de los opera</w:t>
      </w:r>
      <w:r>
        <w:rPr>
          <w:lang w:val="es-ES_tradnl"/>
        </w:rPr>
        <w:t>dores de red, cuando la inver</w:t>
      </w:r>
      <w:r w:rsidRPr="00221148">
        <w:rPr>
          <w:lang w:val="es-ES_tradnl"/>
        </w:rPr>
        <w:t>sión inicial es recuperable vía</w:t>
      </w:r>
      <w:r>
        <w:rPr>
          <w:lang w:val="es-ES_tradnl"/>
        </w:rPr>
        <w:t xml:space="preserve"> tarifa y aportes complementa</w:t>
      </w:r>
      <w:r w:rsidRPr="00221148">
        <w:rPr>
          <w:lang w:val="es-ES_tradnl"/>
        </w:rPr>
        <w:t>rios de recursos de los fondo</w:t>
      </w:r>
      <w:r>
        <w:rPr>
          <w:lang w:val="es-ES_tradnl"/>
        </w:rPr>
        <w:t>s FAER y FAZNI según la dispo</w:t>
      </w:r>
      <w:r w:rsidRPr="00221148">
        <w:rPr>
          <w:lang w:val="es-ES_tradnl"/>
        </w:rPr>
        <w:t>nibilidad de los siguientes 5 años. De ejecutarse así el Plan, el índice de cobertur</w:t>
      </w:r>
      <w:r>
        <w:rPr>
          <w:lang w:val="es-ES_tradnl"/>
        </w:rPr>
        <w:t>a aumentaría de 96.10% a 97,45%</w:t>
      </w:r>
      <w:r w:rsidRPr="00221148">
        <w:rPr>
          <w:lang w:val="es-ES_tradnl"/>
        </w:rPr>
        <w:t xml:space="preserve">. </w:t>
      </w:r>
    </w:p>
    <w:p w14:paraId="07A6DD8A" w14:textId="77777777" w:rsidR="003A0B69" w:rsidRDefault="003A0B69" w:rsidP="003A0B69">
      <w:pPr>
        <w:pStyle w:val="ListParagraph"/>
        <w:ind w:left="360"/>
        <w:jc w:val="both"/>
        <w:rPr>
          <w:b/>
          <w:lang w:val="es-ES_tradnl"/>
        </w:rPr>
      </w:pPr>
    </w:p>
    <w:p w14:paraId="278D9B66" w14:textId="77777777" w:rsidR="003A0B69" w:rsidRPr="00C976B7" w:rsidRDefault="00C976B7" w:rsidP="00C976B7">
      <w:pPr>
        <w:pStyle w:val="ListParagraph"/>
        <w:numPr>
          <w:ilvl w:val="0"/>
          <w:numId w:val="2"/>
        </w:numPr>
        <w:jc w:val="both"/>
        <w:rPr>
          <w:lang w:val="es-ES_tradnl"/>
        </w:rPr>
      </w:pPr>
      <w:r>
        <w:rPr>
          <w:b/>
          <w:lang w:val="es-ES_tradnl"/>
        </w:rPr>
        <w:t>P</w:t>
      </w:r>
      <w:r w:rsidR="003A0B69" w:rsidRPr="006941D0">
        <w:rPr>
          <w:b/>
          <w:lang w:val="es-ES_tradnl"/>
        </w:rPr>
        <w:t>lanes de Energización Rural Sostenible (PERS)</w:t>
      </w:r>
    </w:p>
    <w:p w14:paraId="7E8F6E98" w14:textId="77777777" w:rsidR="003A0B69" w:rsidRPr="00B83FC5" w:rsidRDefault="003A0B69" w:rsidP="003A0B69">
      <w:pPr>
        <w:pStyle w:val="ListParagraph"/>
        <w:ind w:left="360"/>
        <w:jc w:val="both"/>
        <w:rPr>
          <w:lang w:val="es-ES_tradnl"/>
        </w:rPr>
      </w:pPr>
      <w:r w:rsidRPr="004E3ADB">
        <w:rPr>
          <w:lang w:val="es-ES_tradnl"/>
        </w:rPr>
        <w:t xml:space="preserve">Los </w:t>
      </w:r>
      <w:r>
        <w:rPr>
          <w:lang w:val="es-ES_tradnl"/>
        </w:rPr>
        <w:t>PERS</w:t>
      </w:r>
      <w:r w:rsidRPr="004E3ADB">
        <w:rPr>
          <w:lang w:val="es-ES_tradnl"/>
        </w:rPr>
        <w:t xml:space="preserve"> departamentales o regionales</w:t>
      </w:r>
      <w:r w:rsidR="007D2B7F">
        <w:rPr>
          <w:lang w:val="es-ES_tradnl"/>
        </w:rPr>
        <w:t xml:space="preserve"> (PERS)</w:t>
      </w:r>
      <w:r w:rsidRPr="004E3ADB">
        <w:rPr>
          <w:lang w:val="es-ES_tradnl"/>
        </w:rPr>
        <w:t>, son planes estructurados a partir de un análisis de los elementos regionales relevantes en materia de emprendimiento, productividad y energización rural que permiten identificar, formular y estructurar lineamientos y estrategias de desarrollo energético rural así como proyectos integrales y sostenibles de suministro y aprovechamiento de energía para un período de mínimo 15 años, donde no solamente su objeto sea proveer el servicio, sino que apoyen el crecimiento y el desarrollo de las comunidades rurales de las regiones objetivo.</w:t>
      </w:r>
    </w:p>
    <w:p w14:paraId="5F92B58D" w14:textId="77777777" w:rsidR="003A0B69" w:rsidRDefault="003A0B69" w:rsidP="003A0B69">
      <w:pPr>
        <w:pStyle w:val="ListParagraph"/>
        <w:ind w:left="360"/>
        <w:jc w:val="both"/>
        <w:rPr>
          <w:b/>
          <w:lang w:val="es-ES_tradnl"/>
        </w:rPr>
      </w:pPr>
    </w:p>
    <w:p w14:paraId="1A4BD7A3" w14:textId="135927DB" w:rsidR="003A0B69" w:rsidRPr="000066DA" w:rsidRDefault="00101007" w:rsidP="0057371A">
      <w:pPr>
        <w:pStyle w:val="ListParagraph"/>
        <w:numPr>
          <w:ilvl w:val="0"/>
          <w:numId w:val="2"/>
        </w:numPr>
        <w:jc w:val="both"/>
        <w:rPr>
          <w:b/>
          <w:lang w:val="es-ES_tradnl"/>
        </w:rPr>
      </w:pPr>
      <w:r w:rsidRPr="00101007">
        <w:rPr>
          <w:b/>
          <w:lang w:val="es-ES_tradnl"/>
        </w:rPr>
        <w:t>Programa de Uso Racional y Eficiente de Energía</w:t>
      </w:r>
      <w:r w:rsidRPr="00387016">
        <w:rPr>
          <w:lang w:val="es-ES_tradnl"/>
        </w:rPr>
        <w:t xml:space="preserve"> </w:t>
      </w:r>
      <w:r>
        <w:rPr>
          <w:b/>
          <w:lang w:val="es-ES_tradnl"/>
        </w:rPr>
        <w:t>(</w:t>
      </w:r>
      <w:r w:rsidR="003A0B69">
        <w:rPr>
          <w:b/>
          <w:lang w:val="es-ES_tradnl"/>
        </w:rPr>
        <w:t>PROURE</w:t>
      </w:r>
      <w:r>
        <w:rPr>
          <w:b/>
          <w:lang w:val="es-ES_tradnl"/>
        </w:rPr>
        <w:t>)</w:t>
      </w:r>
    </w:p>
    <w:p w14:paraId="6A9C53E4" w14:textId="77777777" w:rsidR="003A0B69" w:rsidRDefault="003A0B69" w:rsidP="003A0B69">
      <w:pPr>
        <w:pStyle w:val="ListParagraph"/>
        <w:ind w:left="360"/>
        <w:jc w:val="both"/>
        <w:rPr>
          <w:lang w:val="es-ES_tradnl"/>
        </w:rPr>
      </w:pPr>
      <w:r w:rsidRPr="00387016">
        <w:rPr>
          <w:lang w:val="es-ES_tradnl"/>
        </w:rPr>
        <w:t>En la diná</w:t>
      </w:r>
      <w:r w:rsidR="0057371A">
        <w:rPr>
          <w:lang w:val="es-ES_tradnl"/>
        </w:rPr>
        <w:t>mica de la economía global, el uso r</w:t>
      </w:r>
      <w:r w:rsidRPr="00387016">
        <w:rPr>
          <w:lang w:val="es-ES_tradnl"/>
        </w:rPr>
        <w:t xml:space="preserve">acional </w:t>
      </w:r>
      <w:r w:rsidR="0057371A" w:rsidRPr="00387016">
        <w:rPr>
          <w:lang w:val="es-ES_tradnl"/>
        </w:rPr>
        <w:t xml:space="preserve">y eficiente de </w:t>
      </w:r>
      <w:r w:rsidR="0057371A">
        <w:rPr>
          <w:lang w:val="es-ES_tradnl"/>
        </w:rPr>
        <w:t>energía ha evolucionado hacia l</w:t>
      </w:r>
      <w:r w:rsidRPr="00387016">
        <w:rPr>
          <w:lang w:val="es-ES_tradnl"/>
        </w:rPr>
        <w:t xml:space="preserve">a </w:t>
      </w:r>
      <w:r w:rsidR="0057371A">
        <w:rPr>
          <w:lang w:val="es-ES_tradnl"/>
        </w:rPr>
        <w:t>EE</w:t>
      </w:r>
      <w:r w:rsidRPr="00387016">
        <w:rPr>
          <w:lang w:val="es-ES_tradnl"/>
        </w:rPr>
        <w:t xml:space="preserve"> como un concepto de cadena productiva, dinámico, en permanente cambio de acuerdo con los nuevos enfoques del desarrollo sostenible en relación con la disminución de los impactos ambientales, el incremento de la productividad, el manejo eficiente de los recursos y su impacto en las organizaciones</w:t>
      </w:r>
      <w:r>
        <w:rPr>
          <w:lang w:val="es-ES_tradnl"/>
        </w:rPr>
        <w:t xml:space="preserve"> y en los procesos productivos</w:t>
      </w:r>
      <w:r w:rsidRPr="00387016">
        <w:rPr>
          <w:lang w:val="es-ES_tradnl"/>
        </w:rPr>
        <w:t xml:space="preserve">. </w:t>
      </w:r>
    </w:p>
    <w:p w14:paraId="0A4B3D34" w14:textId="77777777" w:rsidR="003A0B69" w:rsidRDefault="003A0B69" w:rsidP="003A0B69">
      <w:pPr>
        <w:pStyle w:val="ListParagraph"/>
        <w:ind w:left="360"/>
        <w:jc w:val="both"/>
        <w:rPr>
          <w:lang w:val="es-ES_tradnl"/>
        </w:rPr>
      </w:pPr>
    </w:p>
    <w:p w14:paraId="0377B289" w14:textId="77777777" w:rsidR="0057371A" w:rsidRDefault="003A0B69" w:rsidP="003A0B69">
      <w:pPr>
        <w:pStyle w:val="ListParagraph"/>
        <w:ind w:left="360"/>
        <w:jc w:val="both"/>
        <w:rPr>
          <w:lang w:val="es-ES_tradnl"/>
        </w:rPr>
      </w:pPr>
      <w:r w:rsidRPr="00387016">
        <w:rPr>
          <w:lang w:val="es-ES_tradnl"/>
        </w:rPr>
        <w:t xml:space="preserve">En este contexto, un programa nacional se constituye como uno de los mecanismos de mayor impacto e importancia que permite asegurar el abastecimiento energético, la competitividad de la economía nacional, la protección del consumidor, la protección del medio ambiente y la promoción de las fuentes energéticas no convencionales como un asunto de interés social, público y de conveniencia nacional, de acuerdo con lo establecido en la ley. </w:t>
      </w:r>
    </w:p>
    <w:p w14:paraId="2208DF8E" w14:textId="77777777" w:rsidR="0057371A" w:rsidRDefault="0057371A" w:rsidP="003A0B69">
      <w:pPr>
        <w:pStyle w:val="ListParagraph"/>
        <w:ind w:left="360"/>
        <w:jc w:val="both"/>
        <w:rPr>
          <w:lang w:val="es-ES_tradnl"/>
        </w:rPr>
      </w:pPr>
    </w:p>
    <w:p w14:paraId="4974FD63" w14:textId="77777777" w:rsidR="003A0B69" w:rsidRDefault="0057371A" w:rsidP="003A0B69">
      <w:pPr>
        <w:pStyle w:val="ListParagraph"/>
        <w:ind w:left="360"/>
        <w:jc w:val="both"/>
        <w:rPr>
          <w:lang w:val="es-ES_tradnl"/>
        </w:rPr>
      </w:pPr>
      <w:r>
        <w:rPr>
          <w:lang w:val="es-ES_tradnl"/>
        </w:rPr>
        <w:t xml:space="preserve">El </w:t>
      </w:r>
      <w:r w:rsidR="003A0B69" w:rsidRPr="00387016">
        <w:rPr>
          <w:lang w:val="es-ES_tradnl"/>
        </w:rPr>
        <w:t xml:space="preserve">Programa de Uso Racional y Eficiente de Energía </w:t>
      </w:r>
      <w:r>
        <w:rPr>
          <w:lang w:val="es-ES_tradnl"/>
        </w:rPr>
        <w:t xml:space="preserve">(PROURE) </w:t>
      </w:r>
      <w:r w:rsidR="003A0B69" w:rsidRPr="00387016">
        <w:rPr>
          <w:lang w:val="es-ES_tradnl"/>
        </w:rPr>
        <w:t xml:space="preserve">establece un plan de acción al 2015 con visión al 2020 en donde el periodo entre el 2015 y 2020 </w:t>
      </w:r>
      <w:r w:rsidR="003A0B69" w:rsidRPr="00387016">
        <w:rPr>
          <w:lang w:val="es-ES_tradnl"/>
        </w:rPr>
        <w:lastRenderedPageBreak/>
        <w:t>corresponde a una segunda fase del plan, con estrategias y acciones que deben desarrollarse mediante la concertación de los alcances y establecimiento de los compromisos con los actores tanto públicos como privados para lograr los impactos esperados en productividad, competitividad, disminución de la intensidad energética, disminución de los impactos ambientales, el mejoramiento de la calidad de vida y en el acceso a fuentes limpias y renovables para todos los ciudadanos. Adicionalmente, de ac</w:t>
      </w:r>
      <w:r w:rsidR="003A0B69">
        <w:rPr>
          <w:lang w:val="es-ES_tradnl"/>
        </w:rPr>
        <w:t>uerdo con lo establecido en la L</w:t>
      </w:r>
      <w:r w:rsidR="003A0B69" w:rsidRPr="00387016">
        <w:rPr>
          <w:lang w:val="es-ES_tradnl"/>
        </w:rPr>
        <w:t xml:space="preserve">ey se deben aplicar gradualmente subprogramas y acciones para que toda la cadena energética, esté cumpliendo permanentemente con los niveles mínimos de </w:t>
      </w:r>
      <w:r>
        <w:rPr>
          <w:lang w:val="es-ES_tradnl"/>
        </w:rPr>
        <w:t>EE</w:t>
      </w:r>
      <w:r w:rsidR="003A0B69" w:rsidRPr="00387016">
        <w:rPr>
          <w:lang w:val="es-ES_tradnl"/>
        </w:rPr>
        <w:t xml:space="preserve"> y sin perjuicio de lo dispuesto en la normatividad vigente sobre medio ambiente y los recursos naturales renovables. </w:t>
      </w:r>
    </w:p>
    <w:p w14:paraId="28299EA6" w14:textId="77777777" w:rsidR="003A0B69" w:rsidRDefault="003A0B69" w:rsidP="003A0B69">
      <w:pPr>
        <w:pStyle w:val="ListParagraph"/>
        <w:ind w:left="360"/>
        <w:jc w:val="both"/>
        <w:rPr>
          <w:lang w:val="es-ES_tradnl"/>
        </w:rPr>
      </w:pPr>
    </w:p>
    <w:p w14:paraId="5FB81E6B" w14:textId="77777777" w:rsidR="003A0B69" w:rsidRPr="00F651F8" w:rsidRDefault="003A0B69" w:rsidP="003A0B69">
      <w:pPr>
        <w:pStyle w:val="ListParagraph"/>
        <w:ind w:left="360"/>
        <w:jc w:val="both"/>
        <w:rPr>
          <w:lang w:val="es-ES_tradnl"/>
        </w:rPr>
      </w:pPr>
      <w:r w:rsidRPr="00387016">
        <w:rPr>
          <w:lang w:val="es-ES_tradnl"/>
        </w:rPr>
        <w:t xml:space="preserve">Las oportunidades para la </w:t>
      </w:r>
      <w:r>
        <w:rPr>
          <w:lang w:val="es-ES_tradnl"/>
        </w:rPr>
        <w:t>EE</w:t>
      </w:r>
      <w:r w:rsidRPr="00387016">
        <w:rPr>
          <w:lang w:val="es-ES_tradnl"/>
        </w:rPr>
        <w:t xml:space="preserve"> de ac</w:t>
      </w:r>
      <w:r>
        <w:rPr>
          <w:lang w:val="es-ES_tradnl"/>
        </w:rPr>
        <w:t>uerdo con los estudios del BID</w:t>
      </w:r>
      <w:r w:rsidRPr="00387016">
        <w:rPr>
          <w:lang w:val="es-ES_tradnl"/>
        </w:rPr>
        <w:t>, indican que en “Colombia para alcanzar una disminución del 10</w:t>
      </w:r>
      <w:r>
        <w:rPr>
          <w:lang w:val="es-ES_tradnl"/>
        </w:rPr>
        <w:t>%</w:t>
      </w:r>
      <w:r w:rsidRPr="00387016">
        <w:rPr>
          <w:lang w:val="es-ES_tradnl"/>
        </w:rPr>
        <w:t xml:space="preserve"> </w:t>
      </w:r>
      <w:r w:rsidRPr="00F651F8">
        <w:rPr>
          <w:lang w:val="es-ES_tradnl"/>
        </w:rPr>
        <w:t>de energía en la próxima década implicaría inversiones en tecnologías y equipos eficie</w:t>
      </w:r>
      <w:r w:rsidR="0030518A">
        <w:rPr>
          <w:lang w:val="es-ES_tradnl"/>
        </w:rPr>
        <w:t>ntes por valor aproximado de USD</w:t>
      </w:r>
      <w:r w:rsidRPr="00F651F8">
        <w:rPr>
          <w:lang w:val="es-ES_tradnl"/>
        </w:rPr>
        <w:t xml:space="preserve"> 730 millones, con lo cual se reduciría el consumo de energía en 6.300 GWh para el </w:t>
      </w:r>
      <w:r w:rsidR="007C6BD2" w:rsidRPr="007C6BD2">
        <w:rPr>
          <w:lang w:val="es-ES_tradnl"/>
        </w:rPr>
        <w:t>20</w:t>
      </w:r>
      <w:r w:rsidRPr="007C6BD2">
        <w:rPr>
          <w:lang w:val="es-ES_tradnl"/>
        </w:rPr>
        <w:t>1</w:t>
      </w:r>
      <w:r w:rsidR="007C6BD2" w:rsidRPr="007C6BD2">
        <w:rPr>
          <w:lang w:val="es-ES_tradnl"/>
        </w:rPr>
        <w:t>8</w:t>
      </w:r>
      <w:r w:rsidRPr="007C6BD2">
        <w:rPr>
          <w:lang w:val="es-ES_tradnl"/>
        </w:rPr>
        <w:t>.</w:t>
      </w:r>
      <w:r w:rsidRPr="00F651F8">
        <w:rPr>
          <w:lang w:val="es-ES_tradnl"/>
        </w:rPr>
        <w:t xml:space="preserve"> En caso contrario</w:t>
      </w:r>
      <w:r w:rsidR="0057371A">
        <w:rPr>
          <w:lang w:val="es-ES_tradnl"/>
        </w:rPr>
        <w:t>,</w:t>
      </w:r>
      <w:r w:rsidRPr="00F651F8">
        <w:rPr>
          <w:lang w:val="es-ES_tradnl"/>
        </w:rPr>
        <w:t xml:space="preserve"> el país necesita</w:t>
      </w:r>
      <w:r w:rsidR="0030518A">
        <w:rPr>
          <w:lang w:val="es-ES_tradnl"/>
        </w:rPr>
        <w:t>ría invertir aproximadamente USD</w:t>
      </w:r>
      <w:r w:rsidRPr="00F651F8">
        <w:rPr>
          <w:lang w:val="es-ES_tradnl"/>
        </w:rPr>
        <w:t xml:space="preserve"> 2.300 millones para construir el equivalente a 14 turbinas de gas de ciclo abierto (de 250 MW cada una) para producir las 6.300 GWh de electricidad en el 2018”. </w:t>
      </w:r>
    </w:p>
    <w:p w14:paraId="3573E017" w14:textId="77777777" w:rsidR="003A0B69" w:rsidRDefault="003A0B69" w:rsidP="003A0B69">
      <w:pPr>
        <w:pStyle w:val="ListParagraph"/>
        <w:ind w:left="360"/>
        <w:jc w:val="both"/>
        <w:rPr>
          <w:lang w:val="es-ES_tradnl"/>
        </w:rPr>
      </w:pPr>
    </w:p>
    <w:p w14:paraId="39689771" w14:textId="77777777" w:rsidR="0030518A" w:rsidRDefault="003A0B69" w:rsidP="003A0B69">
      <w:pPr>
        <w:pStyle w:val="ListParagraph"/>
        <w:ind w:left="360"/>
        <w:jc w:val="both"/>
        <w:rPr>
          <w:lang w:val="es-ES_tradnl"/>
        </w:rPr>
      </w:pPr>
      <w:r w:rsidRPr="00387016">
        <w:rPr>
          <w:lang w:val="es-ES_tradnl"/>
        </w:rPr>
        <w:t xml:space="preserve">La priorización y enfoque de las estrategias, subprogramas y líneas de acción del PROURE se orientan fundamentalmente a la disminución de la intensidad energética, al mejoramiento de la </w:t>
      </w:r>
      <w:r>
        <w:rPr>
          <w:lang w:val="es-ES_tradnl"/>
        </w:rPr>
        <w:t>EE</w:t>
      </w:r>
      <w:r w:rsidRPr="00387016">
        <w:rPr>
          <w:lang w:val="es-ES_tradnl"/>
        </w:rPr>
        <w:t xml:space="preserve"> de los sectores de consumo y la promoción de las </w:t>
      </w:r>
      <w:r>
        <w:rPr>
          <w:lang w:val="es-ES_tradnl"/>
        </w:rPr>
        <w:t>FNCE</w:t>
      </w:r>
      <w:r w:rsidRPr="00387016">
        <w:rPr>
          <w:lang w:val="es-ES_tradnl"/>
        </w:rPr>
        <w:t xml:space="preserve">, en función de la identificación de los potenciales y la definición de metas por ahorro energético y participación de las fuentes y tecnologías no convencionales en la canasta energética del país. </w:t>
      </w:r>
    </w:p>
    <w:p w14:paraId="7C868FA8" w14:textId="77777777" w:rsidR="0030518A" w:rsidRDefault="0030518A" w:rsidP="003A0B69">
      <w:pPr>
        <w:pStyle w:val="ListParagraph"/>
        <w:ind w:left="360"/>
        <w:jc w:val="both"/>
        <w:rPr>
          <w:lang w:val="es-ES_tradnl"/>
        </w:rPr>
      </w:pPr>
    </w:p>
    <w:p w14:paraId="5142166B" w14:textId="77777777" w:rsidR="003A0B69" w:rsidRPr="00B83FC5" w:rsidRDefault="003A0B69" w:rsidP="003A0B69">
      <w:pPr>
        <w:pStyle w:val="ListParagraph"/>
        <w:ind w:left="360"/>
        <w:jc w:val="both"/>
        <w:rPr>
          <w:lang w:val="es-ES_tradnl"/>
        </w:rPr>
      </w:pPr>
      <w:r w:rsidRPr="00387016">
        <w:rPr>
          <w:lang w:val="es-ES_tradnl"/>
        </w:rPr>
        <w:t>Adicionalmente</w:t>
      </w:r>
      <w:r>
        <w:rPr>
          <w:lang w:val="es-ES_tradnl"/>
        </w:rPr>
        <w:t>,</w:t>
      </w:r>
      <w:r w:rsidRPr="00387016">
        <w:rPr>
          <w:lang w:val="es-ES_tradnl"/>
        </w:rPr>
        <w:t xml:space="preserve"> la disponibilidad de los recursos energéticos y el comportamiento de la demanda y su relación con la productividad de los sectores estratégicos, la intensidad energética, la calidad de vida de la ciudadanía y la disminución de los gases de efecto invernadero, se constituyen en elementos de política como propósito fundamental del PROURE.</w:t>
      </w:r>
    </w:p>
    <w:p w14:paraId="6F62E068" w14:textId="77777777" w:rsidR="003A0B69" w:rsidRDefault="003A0B69" w:rsidP="003A0B69">
      <w:pPr>
        <w:pStyle w:val="ListParagraph"/>
        <w:ind w:left="360"/>
        <w:jc w:val="both"/>
        <w:rPr>
          <w:b/>
          <w:lang w:val="es-ES_tradnl"/>
        </w:rPr>
      </w:pPr>
    </w:p>
    <w:p w14:paraId="3F47F84F" w14:textId="77777777" w:rsidR="003A0B69" w:rsidRPr="00C500AA" w:rsidRDefault="003A0B69" w:rsidP="00C500AA">
      <w:pPr>
        <w:pStyle w:val="ListParagraph"/>
        <w:numPr>
          <w:ilvl w:val="0"/>
          <w:numId w:val="2"/>
        </w:numPr>
        <w:jc w:val="both"/>
        <w:rPr>
          <w:lang w:val="es-ES_tradnl"/>
        </w:rPr>
      </w:pPr>
      <w:r w:rsidRPr="00EF6F5C">
        <w:rPr>
          <w:b/>
          <w:lang w:val="es-ES_tradnl"/>
        </w:rPr>
        <w:t>Reg</w:t>
      </w:r>
      <w:r>
        <w:rPr>
          <w:b/>
          <w:lang w:val="es-ES_tradnl"/>
        </w:rPr>
        <w:t>lamento Técnico de Etiquetado (</w:t>
      </w:r>
      <w:r w:rsidRPr="00EF6F5C">
        <w:rPr>
          <w:b/>
          <w:lang w:val="es-ES_tradnl"/>
        </w:rPr>
        <w:t>RETIQ</w:t>
      </w:r>
      <w:r>
        <w:rPr>
          <w:b/>
          <w:lang w:val="es-ES_tradnl"/>
        </w:rPr>
        <w:t>)</w:t>
      </w:r>
    </w:p>
    <w:p w14:paraId="470DB25C" w14:textId="77777777" w:rsidR="003A0B69" w:rsidRPr="004F1E59" w:rsidRDefault="003A0B69" w:rsidP="003A0B69">
      <w:pPr>
        <w:pStyle w:val="ListParagraph"/>
        <w:ind w:left="360"/>
        <w:jc w:val="both"/>
        <w:rPr>
          <w:lang w:val="es-ES_tradnl"/>
        </w:rPr>
      </w:pPr>
      <w:r>
        <w:rPr>
          <w:lang w:val="es-ES_tradnl"/>
        </w:rPr>
        <w:t>El MME</w:t>
      </w:r>
      <w:r w:rsidRPr="00387016">
        <w:rPr>
          <w:lang w:val="es-ES_tradnl"/>
        </w:rPr>
        <w:t xml:space="preserve"> expidió el RETIQ, con fines de Uso Racional y Eficiente de Energía, mediante la resolución 41012 del 18 de septiembre de 2015, el cual entró en vigencia el pasado 31 de agosto de 2016.</w:t>
      </w:r>
      <w:r>
        <w:rPr>
          <w:lang w:val="es-ES_tradnl"/>
        </w:rPr>
        <w:t xml:space="preserve"> El objetivo es e</w:t>
      </w:r>
      <w:r w:rsidRPr="004F1E59">
        <w:rPr>
          <w:lang w:val="es-ES_tradnl"/>
        </w:rPr>
        <w:t>ncontrar en almacenes de venta equipos para refrigeración doméstica, así como acondicionadores de aire para recintos, lavadoras y motores eléctricos de inducción ya es un hecho</w:t>
      </w:r>
      <w:r>
        <w:rPr>
          <w:lang w:val="es-ES_tradnl"/>
        </w:rPr>
        <w:t xml:space="preserve"> con información de </w:t>
      </w:r>
      <w:r w:rsidRPr="004F1E59">
        <w:rPr>
          <w:lang w:val="es-ES_tradnl"/>
        </w:rPr>
        <w:t xml:space="preserve">consumo y desempeño energético. La etiqueta suministra </w:t>
      </w:r>
      <w:r>
        <w:rPr>
          <w:lang w:val="es-ES_tradnl"/>
        </w:rPr>
        <w:t>la información anterior</w:t>
      </w:r>
      <w:r w:rsidRPr="004F1E59">
        <w:rPr>
          <w:lang w:val="es-ES_tradnl"/>
        </w:rPr>
        <w:t>, así como de la clase energética, entre otras características del equipo. El consumidor puede comparar equipos y tomar una decisión de compra inteligente, teniendo en cuenta beneficios como el ahorro eco</w:t>
      </w:r>
      <w:r>
        <w:rPr>
          <w:lang w:val="es-ES_tradnl"/>
        </w:rPr>
        <w:t>nómico y el cuidado ambiental.</w:t>
      </w:r>
    </w:p>
    <w:p w14:paraId="73804E15" w14:textId="77777777" w:rsidR="00C500AA" w:rsidRDefault="00C500AA" w:rsidP="003A0B69">
      <w:pPr>
        <w:pStyle w:val="ListParagraph"/>
        <w:ind w:left="360"/>
        <w:jc w:val="both"/>
        <w:rPr>
          <w:lang w:val="es-ES_tradnl"/>
        </w:rPr>
      </w:pPr>
    </w:p>
    <w:p w14:paraId="1C407397" w14:textId="77777777" w:rsidR="003A0B69" w:rsidRPr="00387016" w:rsidRDefault="003A0B69" w:rsidP="003A0B69">
      <w:pPr>
        <w:pStyle w:val="ListParagraph"/>
        <w:ind w:left="360"/>
        <w:jc w:val="both"/>
        <w:rPr>
          <w:lang w:val="es-ES_tradnl"/>
        </w:rPr>
      </w:pPr>
      <w:r w:rsidRPr="00387016">
        <w:rPr>
          <w:lang w:val="es-ES_tradnl"/>
        </w:rPr>
        <w:lastRenderedPageBreak/>
        <w:t>El programa de etiquetado iniciado con el RETIQ contempla otros equipos a los que les será exigida la etiqueta desde el 31 de agosto de 2017, como refrigeración co</w:t>
      </w:r>
      <w:r>
        <w:rPr>
          <w:lang w:val="es-ES_tradnl"/>
        </w:rPr>
        <w:t xml:space="preserve">mercial, calentadores de agua, </w:t>
      </w:r>
      <w:r w:rsidRPr="00387016">
        <w:rPr>
          <w:lang w:val="es-ES_tradnl"/>
        </w:rPr>
        <w:t>gasodomést</w:t>
      </w:r>
      <w:r>
        <w:rPr>
          <w:lang w:val="es-ES_tradnl"/>
        </w:rPr>
        <w:t xml:space="preserve">icos para cocción de alimentos </w:t>
      </w:r>
      <w:r w:rsidRPr="00387016">
        <w:rPr>
          <w:lang w:val="es-ES_tradnl"/>
        </w:rPr>
        <w:t>y acondicionadores de aire unitarios.</w:t>
      </w:r>
    </w:p>
    <w:p w14:paraId="6F9F3A59" w14:textId="77777777" w:rsidR="003A0B69" w:rsidRDefault="003A0B69" w:rsidP="003A0B69">
      <w:pPr>
        <w:pStyle w:val="ListParagraph"/>
        <w:ind w:left="360"/>
        <w:jc w:val="both"/>
        <w:rPr>
          <w:lang w:val="es-ES_tradnl"/>
        </w:rPr>
      </w:pPr>
    </w:p>
    <w:p w14:paraId="4A8E6802" w14:textId="77777777" w:rsidR="003A0B69" w:rsidRDefault="003A0B69" w:rsidP="003A0B69">
      <w:pPr>
        <w:pStyle w:val="ListParagraph"/>
        <w:ind w:left="360"/>
        <w:jc w:val="both"/>
        <w:rPr>
          <w:lang w:val="es-ES_tradnl"/>
        </w:rPr>
      </w:pPr>
      <w:r>
        <w:rPr>
          <w:lang w:val="es-ES_tradnl"/>
        </w:rPr>
        <w:t xml:space="preserve">El MME </w:t>
      </w:r>
      <w:r w:rsidRPr="00387016">
        <w:rPr>
          <w:lang w:val="es-ES_tradnl"/>
        </w:rPr>
        <w:t>ha expedido las siguientes resoluciones:</w:t>
      </w:r>
    </w:p>
    <w:p w14:paraId="54390259" w14:textId="77777777" w:rsidR="003A0B69" w:rsidRPr="00387016" w:rsidRDefault="003A0B69" w:rsidP="003A0B69">
      <w:pPr>
        <w:pStyle w:val="ListParagraph"/>
        <w:ind w:left="360"/>
        <w:jc w:val="both"/>
        <w:rPr>
          <w:lang w:val="es-ES_tradnl"/>
        </w:rPr>
      </w:pPr>
    </w:p>
    <w:p w14:paraId="2A1BE035" w14:textId="77777777" w:rsidR="003A0B69" w:rsidRDefault="003A0B69" w:rsidP="0018436E">
      <w:pPr>
        <w:pStyle w:val="ListParagraph"/>
        <w:numPr>
          <w:ilvl w:val="0"/>
          <w:numId w:val="7"/>
        </w:numPr>
        <w:jc w:val="both"/>
        <w:rPr>
          <w:lang w:val="es-ES_tradnl"/>
        </w:rPr>
      </w:pPr>
      <w:r w:rsidRPr="000066DA">
        <w:rPr>
          <w:lang w:val="es-ES_tradnl"/>
        </w:rPr>
        <w:t>Resolución 40656 del 7 de Julio de 2016, por la cual se modifica el Anexo General de la Resolución 41012 del 18 de septiembre de 2015 “Reglamento Técnico de Etiquetado – RETIQ”.</w:t>
      </w:r>
    </w:p>
    <w:p w14:paraId="0A751CDC" w14:textId="77777777" w:rsidR="003A0B69" w:rsidRPr="000066DA" w:rsidRDefault="003A0B69" w:rsidP="0018436E">
      <w:pPr>
        <w:pStyle w:val="ListParagraph"/>
        <w:numPr>
          <w:ilvl w:val="0"/>
          <w:numId w:val="7"/>
        </w:numPr>
        <w:jc w:val="both"/>
        <w:rPr>
          <w:lang w:val="es-ES_tradnl"/>
        </w:rPr>
      </w:pPr>
      <w:r w:rsidRPr="000066DA">
        <w:rPr>
          <w:lang w:val="es-ES_tradnl"/>
        </w:rPr>
        <w:t>Resolución 40947 del 3 de Octubre de 2016 – Derogación y suspensión temporal de algunos requisitos del anexo general de la Resolución 41012 del 18 de septiembre de 2015 “Reglamento Técnico de Etiquetado – RETIQ”. Suspende principalmente equipos tales como: acondicionadores de aire tipo portátil, acondicionadores de aire de precisión, y los balastos de tipo electromagnético y electrónico para iluminación.</w:t>
      </w:r>
    </w:p>
    <w:p w14:paraId="49E0E1F6" w14:textId="77777777" w:rsidR="003A0B69" w:rsidRDefault="003A0B69" w:rsidP="003A0B69">
      <w:pPr>
        <w:pStyle w:val="ListParagraph"/>
        <w:ind w:left="360"/>
        <w:jc w:val="both"/>
        <w:rPr>
          <w:lang w:val="es-ES_tradnl"/>
        </w:rPr>
      </w:pPr>
    </w:p>
    <w:p w14:paraId="5349837E" w14:textId="77777777" w:rsidR="003A0B69" w:rsidRDefault="003A0B69" w:rsidP="003A0B69">
      <w:pPr>
        <w:pStyle w:val="ListParagraph"/>
        <w:ind w:left="360"/>
        <w:jc w:val="both"/>
        <w:rPr>
          <w:lang w:val="es-ES_tradnl"/>
        </w:rPr>
      </w:pPr>
      <w:r w:rsidRPr="00387016">
        <w:rPr>
          <w:lang w:val="es-ES_tradnl"/>
        </w:rPr>
        <w:t xml:space="preserve">En la actualidad el </w:t>
      </w:r>
      <w:r>
        <w:rPr>
          <w:lang w:val="es-ES_tradnl"/>
        </w:rPr>
        <w:t>MME</w:t>
      </w:r>
      <w:r w:rsidRPr="00387016">
        <w:rPr>
          <w:lang w:val="es-ES_tradnl"/>
        </w:rPr>
        <w:t xml:space="preserve"> trabaja en la construcción de un proyecto de actualización del RETIQ con el fin de facilitar su implementación, que incluiría modificaciones y precisiones de requisitos técnicos y del proceso de evaluación de la conformidad, para ser notificado ante la Org</w:t>
      </w:r>
      <w:r>
        <w:rPr>
          <w:lang w:val="es-ES_tradnl"/>
        </w:rPr>
        <w:t>anización Mundial del Comercio (OMC)</w:t>
      </w:r>
      <w:r w:rsidRPr="00387016">
        <w:rPr>
          <w:lang w:val="es-ES_tradnl"/>
        </w:rPr>
        <w:t>.</w:t>
      </w:r>
    </w:p>
    <w:p w14:paraId="46464C8B" w14:textId="77777777" w:rsidR="003A0B69" w:rsidRDefault="003A0B69" w:rsidP="003A0B69">
      <w:pPr>
        <w:pStyle w:val="ListParagraph"/>
        <w:ind w:left="360"/>
        <w:jc w:val="both"/>
        <w:rPr>
          <w:lang w:val="es-ES_tradnl"/>
        </w:rPr>
      </w:pPr>
    </w:p>
    <w:p w14:paraId="11F34D2F" w14:textId="77777777" w:rsidR="003A0B69" w:rsidRDefault="003A0B69" w:rsidP="00C500AA">
      <w:pPr>
        <w:pStyle w:val="ListParagraph"/>
        <w:numPr>
          <w:ilvl w:val="0"/>
          <w:numId w:val="12"/>
        </w:numPr>
        <w:jc w:val="both"/>
        <w:rPr>
          <w:b/>
          <w:lang w:val="es-ES_tradnl"/>
        </w:rPr>
      </w:pPr>
      <w:r w:rsidRPr="00C500AA">
        <w:rPr>
          <w:b/>
          <w:lang w:val="es-ES_tradnl"/>
        </w:rPr>
        <w:t>Redes Inteligentes</w:t>
      </w:r>
      <w:r w:rsidR="004F1EF1">
        <w:rPr>
          <w:rStyle w:val="FootnoteReference"/>
          <w:b/>
          <w:lang w:val="es-ES_tradnl"/>
        </w:rPr>
        <w:footnoteReference w:id="24"/>
      </w:r>
    </w:p>
    <w:p w14:paraId="15FD3321" w14:textId="407E032A" w:rsidR="00B24717" w:rsidRPr="00B24717" w:rsidRDefault="00B24717" w:rsidP="00B24717">
      <w:pPr>
        <w:pStyle w:val="ListParagraph"/>
        <w:ind w:left="360"/>
        <w:jc w:val="both"/>
        <w:rPr>
          <w:lang w:val="es-MX"/>
        </w:rPr>
      </w:pPr>
      <w:r w:rsidRPr="00B24717">
        <w:rPr>
          <w:lang w:val="es-MX"/>
        </w:rPr>
        <w:t>La red inteligente (RI) es una forma de gestión eficiente de la electricidad que utiliza la tecnología informática para optimizar la producción y la distribución de electricidad con el fin de equilibrar mejor la oferta y la demanda entre productores y consumidores.</w:t>
      </w:r>
    </w:p>
    <w:p w14:paraId="300DBB62" w14:textId="77777777" w:rsidR="00B24717" w:rsidRDefault="00B24717" w:rsidP="00B24717">
      <w:pPr>
        <w:pStyle w:val="ListParagraph"/>
        <w:ind w:left="360"/>
        <w:jc w:val="both"/>
      </w:pPr>
    </w:p>
    <w:p w14:paraId="399FBD57" w14:textId="06349533" w:rsidR="00947F50" w:rsidRDefault="00B24717" w:rsidP="00B24717">
      <w:pPr>
        <w:pStyle w:val="ListParagraph"/>
        <w:ind w:left="360"/>
        <w:jc w:val="both"/>
        <w:rPr>
          <w:lang w:val="es-ES_tradnl"/>
        </w:rPr>
      </w:pPr>
      <w:r>
        <w:rPr>
          <w:lang w:val="es-MX"/>
        </w:rPr>
        <w:t>Se</w:t>
      </w:r>
      <w:r>
        <w:rPr>
          <w:lang w:val="es-ES_tradnl"/>
        </w:rPr>
        <w:t xml:space="preserve"> define</w:t>
      </w:r>
      <w:r w:rsidR="005C7AD6" w:rsidRPr="005C7AD6">
        <w:rPr>
          <w:lang w:val="es-ES_tradnl"/>
        </w:rPr>
        <w:t xml:space="preserve"> como la integración dinámica de los desarrollos en</w:t>
      </w:r>
      <w:r w:rsidR="005C7AD6">
        <w:rPr>
          <w:lang w:val="es-ES_tradnl"/>
        </w:rPr>
        <w:t xml:space="preserve"> ingeniería eléctrica</w:t>
      </w:r>
      <w:r w:rsidR="005C7AD6" w:rsidRPr="005C7AD6">
        <w:rPr>
          <w:lang w:val="es-ES_tradnl"/>
        </w:rPr>
        <w:t>, almacenamiento energético y los avances de las tecnologías de la información y comunicación dentro del negocio de la energía eléctrica (</w:t>
      </w:r>
      <w:r w:rsidR="005C7AD6">
        <w:rPr>
          <w:lang w:val="es-ES_tradnl"/>
        </w:rPr>
        <w:t>generación</w:t>
      </w:r>
      <w:r w:rsidR="005C7AD6" w:rsidRPr="005C7AD6">
        <w:rPr>
          <w:lang w:val="es-ES_tradnl"/>
        </w:rPr>
        <w:t>, transmisión, distribución, almacenamiento y </w:t>
      </w:r>
      <w:r w:rsidR="005C7AD6">
        <w:rPr>
          <w:lang w:val="es-ES_tradnl"/>
        </w:rPr>
        <w:t>comercialización</w:t>
      </w:r>
      <w:r w:rsidR="005C7AD6" w:rsidRPr="005C7AD6">
        <w:rPr>
          <w:lang w:val="es-ES_tradnl"/>
        </w:rPr>
        <w:t>, incluyendo las </w:t>
      </w:r>
      <w:r w:rsidR="005C7AD6">
        <w:rPr>
          <w:lang w:val="es-ES_tradnl"/>
        </w:rPr>
        <w:t>FNCE),</w:t>
      </w:r>
      <w:r w:rsidR="005C7AD6" w:rsidRPr="005C7AD6">
        <w:rPr>
          <w:lang w:val="es-ES_tradnl"/>
        </w:rPr>
        <w:t xml:space="preserve"> </w:t>
      </w:r>
      <w:r w:rsidR="00947F50">
        <w:rPr>
          <w:lang w:val="es-ES_tradnl"/>
        </w:rPr>
        <w:t xml:space="preserve">con la participación activa de los usuarios. </w:t>
      </w:r>
    </w:p>
    <w:p w14:paraId="2637DC25" w14:textId="77777777" w:rsidR="00947F50" w:rsidRPr="00947F50" w:rsidRDefault="00947F50" w:rsidP="00947F50">
      <w:pPr>
        <w:pStyle w:val="ListParagraph"/>
        <w:ind w:left="360"/>
        <w:jc w:val="both"/>
        <w:rPr>
          <w:lang w:val="es-ES_tradnl"/>
        </w:rPr>
      </w:pPr>
    </w:p>
    <w:p w14:paraId="3DE4D200" w14:textId="6ABB7A1E" w:rsidR="0030518A" w:rsidRPr="00B24717" w:rsidRDefault="004F1EF1" w:rsidP="00B24717">
      <w:pPr>
        <w:ind w:left="360"/>
        <w:jc w:val="both"/>
        <w:rPr>
          <w:rFonts w:asciiTheme="minorHAnsi" w:hAnsiTheme="minorHAnsi"/>
          <w:lang w:val="es-MX"/>
        </w:rPr>
      </w:pPr>
      <w:r w:rsidRPr="00B24717">
        <w:rPr>
          <w:rFonts w:asciiTheme="minorHAnsi" w:hAnsiTheme="minorHAnsi"/>
          <w:lang w:val="es-MX"/>
        </w:rPr>
        <w:t>El MME de Colombia</w:t>
      </w:r>
      <w:r w:rsidR="007925BC" w:rsidRPr="00B24717">
        <w:rPr>
          <w:rFonts w:asciiTheme="minorHAnsi" w:hAnsiTheme="minorHAnsi"/>
          <w:lang w:val="es-MX"/>
        </w:rPr>
        <w:t>,</w:t>
      </w:r>
      <w:r w:rsidRPr="00B24717">
        <w:rPr>
          <w:rFonts w:asciiTheme="minorHAnsi" w:hAnsiTheme="minorHAnsi"/>
          <w:lang w:val="es-MX"/>
        </w:rPr>
        <w:t xml:space="preserve"> en conjunto con el Ministerio de </w:t>
      </w:r>
      <w:r w:rsidR="007925BC" w:rsidRPr="00B24717">
        <w:rPr>
          <w:rFonts w:asciiTheme="minorHAnsi" w:hAnsiTheme="minorHAnsi"/>
          <w:lang w:val="es-MX"/>
        </w:rPr>
        <w:t>Tecnología</w:t>
      </w:r>
      <w:r w:rsidRPr="00B24717">
        <w:rPr>
          <w:rFonts w:asciiTheme="minorHAnsi" w:hAnsiTheme="minorHAnsi"/>
          <w:lang w:val="es-MX"/>
        </w:rPr>
        <w:t>, Comunicaciones e Información</w:t>
      </w:r>
      <w:r w:rsidR="007925BC" w:rsidRPr="00B24717">
        <w:rPr>
          <w:rFonts w:asciiTheme="minorHAnsi" w:hAnsiTheme="minorHAnsi"/>
          <w:lang w:val="es-MX"/>
        </w:rPr>
        <w:t>,</w:t>
      </w:r>
      <w:r w:rsidRPr="00B24717">
        <w:rPr>
          <w:rFonts w:asciiTheme="minorHAnsi" w:hAnsiTheme="minorHAnsi"/>
          <w:lang w:val="es-MX"/>
        </w:rPr>
        <w:t xml:space="preserve"> </w:t>
      </w:r>
      <w:r w:rsidR="007925BC" w:rsidRPr="00B24717">
        <w:rPr>
          <w:rFonts w:asciiTheme="minorHAnsi" w:hAnsiTheme="minorHAnsi"/>
          <w:lang w:val="es-MX"/>
        </w:rPr>
        <w:t>desarrolló</w:t>
      </w:r>
      <w:r w:rsidRPr="00B24717">
        <w:rPr>
          <w:rFonts w:asciiTheme="minorHAnsi" w:hAnsiTheme="minorHAnsi"/>
          <w:lang w:val="es-MX"/>
        </w:rPr>
        <w:t xml:space="preserve"> un estudio con el objetivo de identificar el marco más apropiado para llevar a cabo la implementación de las Redes </w:t>
      </w:r>
      <w:r w:rsidR="007925BC" w:rsidRPr="00B24717">
        <w:rPr>
          <w:rFonts w:asciiTheme="minorHAnsi" w:hAnsiTheme="minorHAnsi"/>
          <w:lang w:val="es-MX"/>
        </w:rPr>
        <w:t>Inteligentes</w:t>
      </w:r>
      <w:r w:rsidRPr="00B24717">
        <w:rPr>
          <w:rFonts w:asciiTheme="minorHAnsi" w:hAnsiTheme="minorHAnsi"/>
          <w:lang w:val="es-MX"/>
        </w:rPr>
        <w:t xml:space="preserve"> (RI)  en Colombia. </w:t>
      </w:r>
    </w:p>
    <w:p w14:paraId="0E59203F" w14:textId="77777777" w:rsidR="0030518A" w:rsidRDefault="0030518A" w:rsidP="004F1EF1">
      <w:pPr>
        <w:pStyle w:val="ListParagraph"/>
        <w:ind w:left="360"/>
        <w:jc w:val="both"/>
        <w:rPr>
          <w:lang w:val="es-MX"/>
        </w:rPr>
      </w:pPr>
    </w:p>
    <w:p w14:paraId="0C36C6FD" w14:textId="77777777" w:rsidR="004F1EF1" w:rsidRDefault="004F1EF1" w:rsidP="004F1EF1">
      <w:pPr>
        <w:pStyle w:val="ListParagraph"/>
        <w:ind w:left="360"/>
        <w:jc w:val="both"/>
        <w:rPr>
          <w:lang w:val="es-MX"/>
        </w:rPr>
      </w:pPr>
      <w:r w:rsidRPr="004F1EF1">
        <w:rPr>
          <w:lang w:val="es-MX"/>
        </w:rPr>
        <w:t xml:space="preserve">El objetivo general </w:t>
      </w:r>
      <w:r w:rsidR="007925BC">
        <w:rPr>
          <w:lang w:val="es-MX"/>
        </w:rPr>
        <w:t xml:space="preserve">del estudio </w:t>
      </w:r>
      <w:r w:rsidRPr="004F1EF1">
        <w:rPr>
          <w:lang w:val="es-MX"/>
        </w:rPr>
        <w:t xml:space="preserve">consistió en identificar las estrategias, estándares y regulaciones necesarias y que mejor se adapten para llevar a cabo la implementación </w:t>
      </w:r>
      <w:r w:rsidRPr="004F1EF1">
        <w:rPr>
          <w:lang w:val="es-MX"/>
        </w:rPr>
        <w:lastRenderedPageBreak/>
        <w:t>de las RI en Colombia de forma exitosa. Para cumplir con este objetivo, se realizó una comparación (benchmarking) de las tecnologías asociadas a RI, compartir el conocimiento adquirido por algunos de los países que ya han incursionado en estrategias de implementación y hacer un análisis de los avances y logros alcanzados por proyectos piloto que han sido utilizados como plataformas de prueba para los aspectos establecidos en el desarrollo del proyecto.</w:t>
      </w:r>
    </w:p>
    <w:p w14:paraId="2C7C90EF" w14:textId="77777777" w:rsidR="004F1EF1" w:rsidRDefault="004F1EF1" w:rsidP="004F1EF1">
      <w:pPr>
        <w:pStyle w:val="ListParagraph"/>
        <w:ind w:left="360"/>
        <w:jc w:val="both"/>
        <w:rPr>
          <w:lang w:val="es-MX"/>
        </w:rPr>
      </w:pPr>
    </w:p>
    <w:p w14:paraId="41D0DD11" w14:textId="77777777" w:rsidR="004F1EF1" w:rsidRPr="0030518A" w:rsidRDefault="004F1EF1" w:rsidP="0030518A">
      <w:pPr>
        <w:pStyle w:val="ListParagraph"/>
        <w:ind w:left="360"/>
        <w:jc w:val="both"/>
        <w:rPr>
          <w:lang w:val="es-MX"/>
        </w:rPr>
      </w:pPr>
      <w:r>
        <w:rPr>
          <w:lang w:val="es-MX"/>
        </w:rPr>
        <w:t>Como parte del estudio se construyó e</w:t>
      </w:r>
      <w:r w:rsidRPr="004F1EF1">
        <w:rPr>
          <w:lang w:val="es-MX"/>
        </w:rPr>
        <w:t>l Mapa de Ruta de RI para Colomb</w:t>
      </w:r>
      <w:r>
        <w:rPr>
          <w:lang w:val="es-MX"/>
        </w:rPr>
        <w:t xml:space="preserve">ia dentro del horizonte de 2030 y un </w:t>
      </w:r>
      <w:r w:rsidRPr="004F1EF1">
        <w:rPr>
          <w:lang w:val="es-MX"/>
        </w:rPr>
        <w:t xml:space="preserve">plan de acción propuesto para la implementación de las RI, </w:t>
      </w:r>
      <w:r>
        <w:rPr>
          <w:lang w:val="es-MX"/>
        </w:rPr>
        <w:t xml:space="preserve">basados en </w:t>
      </w:r>
      <w:r w:rsidRPr="004F1EF1">
        <w:rPr>
          <w:lang w:val="es-MX"/>
        </w:rPr>
        <w:t xml:space="preserve">los </w:t>
      </w:r>
      <w:r w:rsidR="0030518A">
        <w:rPr>
          <w:lang w:val="es-MX"/>
        </w:rPr>
        <w:t>elementos de análisis beneficio–</w:t>
      </w:r>
      <w:r w:rsidRPr="004F1EF1">
        <w:rPr>
          <w:lang w:val="es-MX"/>
        </w:rPr>
        <w:t xml:space="preserve">costo, un análisis de los aspectos regulatorios que deben evolucionar para que se permita la implementación de las RI y se </w:t>
      </w:r>
      <w:r>
        <w:rPr>
          <w:lang w:val="es-MX"/>
        </w:rPr>
        <w:t>presentan</w:t>
      </w:r>
      <w:r w:rsidRPr="004F1EF1">
        <w:rPr>
          <w:lang w:val="es-MX"/>
        </w:rPr>
        <w:t xml:space="preserve"> las recomendaciones a ser tenidas en cuenta para lograr los objetivos a nivel país. </w:t>
      </w:r>
      <w:r w:rsidRPr="0030518A">
        <w:rPr>
          <w:lang w:val="es-MX"/>
        </w:rPr>
        <w:t>El mapa de ruta propuesto incluye tres fases correspondientes a los siguientes periodos de tiempo: Fase I de 2016 a 2020, Fase II de 2020 a 2025 y Fase III de 2026 a 2030.</w:t>
      </w:r>
    </w:p>
    <w:p w14:paraId="04BDB084" w14:textId="77777777" w:rsidR="00C500AA" w:rsidRPr="00B83FC5" w:rsidRDefault="00C500AA" w:rsidP="00C500AA">
      <w:pPr>
        <w:pStyle w:val="ListParagraph"/>
        <w:ind w:left="360"/>
        <w:jc w:val="both"/>
        <w:rPr>
          <w:b/>
          <w:lang w:val="es-ES_tradnl"/>
        </w:rPr>
      </w:pPr>
    </w:p>
    <w:p w14:paraId="7C297B89" w14:textId="08CEDA30" w:rsidR="00C34B77" w:rsidRPr="00862AF3" w:rsidRDefault="00C34B77" w:rsidP="004F1EF1">
      <w:pPr>
        <w:pStyle w:val="ListParagraph"/>
        <w:numPr>
          <w:ilvl w:val="0"/>
          <w:numId w:val="12"/>
        </w:numPr>
        <w:jc w:val="both"/>
        <w:rPr>
          <w:b/>
          <w:lang w:val="es-ES_tradnl"/>
        </w:rPr>
      </w:pPr>
      <w:r w:rsidRPr="00862AF3">
        <w:rPr>
          <w:b/>
          <w:lang w:val="es-ES_tradnl"/>
        </w:rPr>
        <w:t>Reformas al MEM</w:t>
      </w:r>
    </w:p>
    <w:p w14:paraId="5E7530D4" w14:textId="029515B8" w:rsidR="00C34B77" w:rsidRDefault="00D07D4D" w:rsidP="00C34B77">
      <w:pPr>
        <w:pStyle w:val="ListParagraph"/>
        <w:ind w:left="360"/>
        <w:jc w:val="both"/>
        <w:rPr>
          <w:color w:val="000000" w:themeColor="text1"/>
          <w:lang w:val="es-ES_tradnl"/>
        </w:rPr>
      </w:pPr>
      <w:r>
        <w:rPr>
          <w:lang w:val="es-ES_tradnl"/>
        </w:rPr>
        <w:t xml:space="preserve">Con base en la situación presentada </w:t>
      </w:r>
      <w:r w:rsidR="0030518A">
        <w:rPr>
          <w:lang w:val="es-ES_tradnl"/>
        </w:rPr>
        <w:t xml:space="preserve">en el SEC relacionada </w:t>
      </w:r>
      <w:r>
        <w:rPr>
          <w:lang w:val="es-ES_tradnl"/>
        </w:rPr>
        <w:t xml:space="preserve">con el </w:t>
      </w:r>
      <w:r w:rsidR="004F1EF1">
        <w:rPr>
          <w:color w:val="000000" w:themeColor="text1"/>
          <w:lang w:val="es-ES_tradnl"/>
        </w:rPr>
        <w:t xml:space="preserve">fenómeno de </w:t>
      </w:r>
      <w:r w:rsidR="00C34B77" w:rsidRPr="00FC7E0B">
        <w:rPr>
          <w:color w:val="000000" w:themeColor="text1"/>
          <w:lang w:val="es-ES_tradnl"/>
        </w:rPr>
        <w:t>El Niño 2015-16</w:t>
      </w:r>
      <w:r w:rsidR="00C34B77">
        <w:rPr>
          <w:color w:val="000000" w:themeColor="text1"/>
          <w:lang w:val="es-ES_tradnl"/>
        </w:rPr>
        <w:t xml:space="preserve">, </w:t>
      </w:r>
      <w:r>
        <w:rPr>
          <w:color w:val="000000" w:themeColor="text1"/>
          <w:lang w:val="es-ES_tradnl"/>
        </w:rPr>
        <w:t>el GdC, diferentes gremios del SEC y el BID contrataron estudios para evaluar la situación que se presentó</w:t>
      </w:r>
      <w:r w:rsidR="00B24717">
        <w:rPr>
          <w:rStyle w:val="FootnoteReference"/>
          <w:color w:val="000000" w:themeColor="text1"/>
          <w:lang w:val="es-ES_tradnl"/>
        </w:rPr>
        <w:footnoteReference w:id="25"/>
      </w:r>
      <w:r>
        <w:rPr>
          <w:color w:val="000000" w:themeColor="text1"/>
          <w:lang w:val="es-ES_tradnl"/>
        </w:rPr>
        <w:t xml:space="preserve">, efectuar los análisis correspondientes y presentar recomendaciones para mejorar el funcionamiento del MEM ante situaciones futuras </w:t>
      </w:r>
      <w:r w:rsidR="0030518A">
        <w:rPr>
          <w:color w:val="000000" w:themeColor="text1"/>
          <w:lang w:val="es-ES_tradnl"/>
        </w:rPr>
        <w:t>similares</w:t>
      </w:r>
      <w:r>
        <w:rPr>
          <w:color w:val="000000" w:themeColor="text1"/>
          <w:lang w:val="es-ES_tradnl"/>
        </w:rPr>
        <w:t>.</w:t>
      </w:r>
    </w:p>
    <w:p w14:paraId="50DF0ACF" w14:textId="77777777" w:rsidR="00C34B77" w:rsidRPr="004F058D" w:rsidRDefault="00C34B77" w:rsidP="004F058D">
      <w:pPr>
        <w:jc w:val="both"/>
        <w:rPr>
          <w:color w:val="000000" w:themeColor="text1"/>
        </w:rPr>
      </w:pPr>
    </w:p>
    <w:p w14:paraId="17AE8038" w14:textId="77777777" w:rsidR="00C15DA2" w:rsidRDefault="00D7647C" w:rsidP="00C34B77">
      <w:pPr>
        <w:pStyle w:val="ListParagraph"/>
        <w:ind w:left="360"/>
        <w:jc w:val="both"/>
        <w:rPr>
          <w:color w:val="000000" w:themeColor="text1"/>
          <w:lang w:val="es-ES_tradnl"/>
        </w:rPr>
      </w:pPr>
      <w:r>
        <w:rPr>
          <w:color w:val="000000" w:themeColor="text1"/>
          <w:lang w:val="es-ES_tradnl"/>
        </w:rPr>
        <w:t xml:space="preserve">Entre los aspectos considerados </w:t>
      </w:r>
      <w:r w:rsidR="00D5755D">
        <w:rPr>
          <w:color w:val="000000" w:themeColor="text1"/>
          <w:lang w:val="es-ES_tradnl"/>
        </w:rPr>
        <w:t xml:space="preserve">a revisar y si es del caso modificar, </w:t>
      </w:r>
      <w:r>
        <w:rPr>
          <w:color w:val="000000" w:themeColor="text1"/>
          <w:lang w:val="es-ES_tradnl"/>
        </w:rPr>
        <w:t xml:space="preserve">están: </w:t>
      </w:r>
      <w:r w:rsidR="00D5755D">
        <w:rPr>
          <w:color w:val="000000" w:themeColor="text1"/>
          <w:lang w:val="es-ES_tradnl"/>
        </w:rPr>
        <w:t xml:space="preserve">El </w:t>
      </w:r>
      <w:r w:rsidR="00C34B77" w:rsidRPr="00FC7E0B">
        <w:rPr>
          <w:color w:val="000000" w:themeColor="text1"/>
          <w:lang w:val="es-ES_tradnl"/>
        </w:rPr>
        <w:t xml:space="preserve">esquema vigente de Cargo por Confiabilidad </w:t>
      </w:r>
      <w:r w:rsidR="00D5755D">
        <w:rPr>
          <w:color w:val="000000" w:themeColor="text1"/>
          <w:lang w:val="es-ES_tradnl"/>
        </w:rPr>
        <w:t xml:space="preserve">que </w:t>
      </w:r>
      <w:r w:rsidR="0030518A">
        <w:rPr>
          <w:color w:val="000000" w:themeColor="text1"/>
          <w:lang w:val="es-ES_tradnl"/>
        </w:rPr>
        <w:t>actualmente debe cumplir</w:t>
      </w:r>
      <w:r w:rsidR="00C34B77" w:rsidRPr="00FC7E0B">
        <w:rPr>
          <w:color w:val="000000" w:themeColor="text1"/>
          <w:lang w:val="es-ES_tradnl"/>
        </w:rPr>
        <w:t xml:space="preserve"> simultáneamente con sus varios objetivos: (i) garantizar la seguridad del suministro, (ii) proveer un mecanismo de cobertura de riesgo de precios y (iii) ejerc</w:t>
      </w:r>
      <w:r w:rsidR="006A3BC7">
        <w:rPr>
          <w:color w:val="000000" w:themeColor="text1"/>
          <w:lang w:val="es-ES_tradnl"/>
        </w:rPr>
        <w:t xml:space="preserve">er control de poder de mercado. </w:t>
      </w:r>
    </w:p>
    <w:p w14:paraId="1C798FBB" w14:textId="77777777" w:rsidR="00C15DA2" w:rsidRDefault="00C15DA2" w:rsidP="00C34B77">
      <w:pPr>
        <w:pStyle w:val="ListParagraph"/>
        <w:ind w:left="360"/>
        <w:jc w:val="both"/>
        <w:rPr>
          <w:color w:val="000000" w:themeColor="text1"/>
          <w:lang w:val="es-ES_tradnl"/>
        </w:rPr>
      </w:pPr>
    </w:p>
    <w:p w14:paraId="7E8BB2ED" w14:textId="77777777" w:rsidR="00C34B77" w:rsidRDefault="006A3BC7" w:rsidP="00C34B77">
      <w:pPr>
        <w:pStyle w:val="ListParagraph"/>
        <w:ind w:left="360"/>
        <w:jc w:val="both"/>
        <w:rPr>
          <w:color w:val="000000" w:themeColor="text1"/>
          <w:lang w:val="es-ES_tradnl"/>
        </w:rPr>
      </w:pPr>
      <w:r>
        <w:rPr>
          <w:color w:val="000000" w:themeColor="text1"/>
          <w:lang w:val="es-ES_tradnl"/>
        </w:rPr>
        <w:t>A su vez</w:t>
      </w:r>
      <w:r w:rsidR="00C15DA2">
        <w:rPr>
          <w:color w:val="000000" w:themeColor="text1"/>
          <w:lang w:val="es-ES_tradnl"/>
        </w:rPr>
        <w:t>,</w:t>
      </w:r>
      <w:r>
        <w:rPr>
          <w:color w:val="000000" w:themeColor="text1"/>
          <w:lang w:val="es-ES_tradnl"/>
        </w:rPr>
        <w:t xml:space="preserve"> </w:t>
      </w:r>
      <w:r w:rsidR="00C34B77" w:rsidRPr="00FC7E0B">
        <w:rPr>
          <w:color w:val="000000" w:themeColor="text1"/>
          <w:lang w:val="es-ES_tradnl"/>
        </w:rPr>
        <w:t>no es claro que el mecanismo de cobertura de precios obtenido a través de las obligaciones de energía f</w:t>
      </w:r>
      <w:r w:rsidR="0030518A">
        <w:rPr>
          <w:color w:val="000000" w:themeColor="text1"/>
          <w:lang w:val="es-ES_tradnl"/>
        </w:rPr>
        <w:t>irme cumpla con el objetivo de L</w:t>
      </w:r>
      <w:r w:rsidR="00C34B77" w:rsidRPr="00FC7E0B">
        <w:rPr>
          <w:color w:val="000000" w:themeColor="text1"/>
          <w:lang w:val="es-ES_tradnl"/>
        </w:rPr>
        <w:t>ey de g</w:t>
      </w:r>
      <w:r w:rsidR="00D5755D">
        <w:rPr>
          <w:color w:val="000000" w:themeColor="text1"/>
          <w:lang w:val="es-ES_tradnl"/>
        </w:rPr>
        <w:t xml:space="preserve">arantizar eficiencia económica y </w:t>
      </w:r>
      <w:r>
        <w:rPr>
          <w:color w:val="000000" w:themeColor="text1"/>
          <w:lang w:val="es-ES_tradnl"/>
        </w:rPr>
        <w:t xml:space="preserve">adicionalmente se debe tener en cuenta </w:t>
      </w:r>
      <w:r w:rsidR="00C34B77" w:rsidRPr="00FC7E0B">
        <w:rPr>
          <w:color w:val="000000" w:themeColor="text1"/>
          <w:lang w:val="es-ES_tradnl"/>
        </w:rPr>
        <w:t>la limitada capacidad de supervisión y</w:t>
      </w:r>
      <w:r w:rsidR="00C15DA2">
        <w:rPr>
          <w:color w:val="000000" w:themeColor="text1"/>
          <w:lang w:val="es-ES_tradnl"/>
        </w:rPr>
        <w:t xml:space="preserve"> del cumplimiento efectivo de los compromisos</w:t>
      </w:r>
      <w:r w:rsidR="00C34B77" w:rsidRPr="00FC7E0B">
        <w:rPr>
          <w:color w:val="000000" w:themeColor="text1"/>
          <w:lang w:val="es-ES_tradnl"/>
        </w:rPr>
        <w:t xml:space="preserve"> </w:t>
      </w:r>
      <w:r w:rsidR="00C15DA2">
        <w:rPr>
          <w:color w:val="000000" w:themeColor="text1"/>
          <w:lang w:val="es-ES_tradnl"/>
        </w:rPr>
        <w:t xml:space="preserve">relacionados con la </w:t>
      </w:r>
      <w:r w:rsidR="00C34B77" w:rsidRPr="00FC7E0B">
        <w:rPr>
          <w:color w:val="000000" w:themeColor="text1"/>
          <w:lang w:val="es-ES_tradnl"/>
        </w:rPr>
        <w:t>obligación de energía</w:t>
      </w:r>
      <w:r w:rsidR="00D5755D">
        <w:rPr>
          <w:color w:val="000000" w:themeColor="text1"/>
          <w:lang w:val="es-ES_tradnl"/>
        </w:rPr>
        <w:t xml:space="preserve"> firme</w:t>
      </w:r>
      <w:r w:rsidR="00C15DA2">
        <w:rPr>
          <w:color w:val="000000" w:themeColor="text1"/>
          <w:lang w:val="es-ES_tradnl"/>
        </w:rPr>
        <w:t xml:space="preserve"> por parte de los generadores</w:t>
      </w:r>
      <w:r w:rsidR="00D5755D">
        <w:rPr>
          <w:color w:val="000000" w:themeColor="text1"/>
          <w:lang w:val="es-ES_tradnl"/>
        </w:rPr>
        <w:t>.</w:t>
      </w:r>
    </w:p>
    <w:p w14:paraId="505C1E90" w14:textId="77777777" w:rsidR="00C34B77" w:rsidRPr="00FC7E0B" w:rsidRDefault="00C34B77" w:rsidP="00C34B77">
      <w:pPr>
        <w:pStyle w:val="ListParagraph"/>
        <w:ind w:left="360"/>
        <w:jc w:val="both"/>
        <w:rPr>
          <w:color w:val="000000" w:themeColor="text1"/>
          <w:lang w:val="es-ES_tradnl"/>
        </w:rPr>
      </w:pPr>
    </w:p>
    <w:p w14:paraId="790D6CE0" w14:textId="77777777" w:rsidR="00C34B77" w:rsidRDefault="00C15DA2" w:rsidP="00C34B77">
      <w:pPr>
        <w:pStyle w:val="ListParagraph"/>
        <w:ind w:left="360"/>
        <w:jc w:val="both"/>
        <w:rPr>
          <w:color w:val="000000" w:themeColor="text1"/>
          <w:lang w:val="es-ES_tradnl"/>
        </w:rPr>
      </w:pPr>
      <w:r>
        <w:rPr>
          <w:color w:val="000000" w:themeColor="text1"/>
          <w:lang w:val="es-ES_tradnl"/>
        </w:rPr>
        <w:t xml:space="preserve">De igual forma, </w:t>
      </w:r>
      <w:r w:rsidR="00C34B77">
        <w:rPr>
          <w:color w:val="000000" w:themeColor="text1"/>
          <w:lang w:val="es-ES_tradnl"/>
        </w:rPr>
        <w:t xml:space="preserve">el </w:t>
      </w:r>
      <w:r w:rsidR="00C34B77" w:rsidRPr="00FC7E0B">
        <w:rPr>
          <w:color w:val="000000" w:themeColor="text1"/>
          <w:lang w:val="es-ES_tradnl"/>
        </w:rPr>
        <w:t xml:space="preserve">análisis </w:t>
      </w:r>
      <w:r>
        <w:rPr>
          <w:color w:val="000000" w:themeColor="text1"/>
          <w:lang w:val="es-ES_tradnl"/>
        </w:rPr>
        <w:t xml:space="preserve">realizado por algunos de los consultores </w:t>
      </w:r>
      <w:r w:rsidR="00C34B77" w:rsidRPr="00FC7E0B">
        <w:rPr>
          <w:color w:val="000000" w:themeColor="text1"/>
          <w:lang w:val="es-ES_tradnl"/>
        </w:rPr>
        <w:t xml:space="preserve">de los años recientes del comportamiento del </w:t>
      </w:r>
      <w:r w:rsidR="00C34B77">
        <w:rPr>
          <w:color w:val="000000" w:themeColor="text1"/>
          <w:lang w:val="es-ES_tradnl"/>
        </w:rPr>
        <w:t>MEM</w:t>
      </w:r>
      <w:r w:rsidR="00C34B77" w:rsidRPr="00FC7E0B">
        <w:rPr>
          <w:color w:val="000000" w:themeColor="text1"/>
          <w:lang w:val="es-ES_tradnl"/>
        </w:rPr>
        <w:t xml:space="preserve"> en Colombia </w:t>
      </w:r>
      <w:r>
        <w:rPr>
          <w:color w:val="000000" w:themeColor="text1"/>
          <w:lang w:val="es-ES_tradnl"/>
        </w:rPr>
        <w:t>plantea</w:t>
      </w:r>
      <w:r w:rsidR="00C34B77" w:rsidRPr="00FC7E0B">
        <w:rPr>
          <w:color w:val="000000" w:themeColor="text1"/>
          <w:lang w:val="es-ES_tradnl"/>
        </w:rPr>
        <w:t xml:space="preserve"> la incoherencia entre algunos de los objetivos regulatorios y los</w:t>
      </w:r>
      <w:r w:rsidR="00D5755D">
        <w:rPr>
          <w:color w:val="000000" w:themeColor="text1"/>
          <w:lang w:val="es-ES_tradnl"/>
        </w:rPr>
        <w:t xml:space="preserve"> mecanismos para implementarlos, como parece ser </w:t>
      </w:r>
      <w:r w:rsidR="00C34B77" w:rsidRPr="00FC7E0B">
        <w:rPr>
          <w:color w:val="000000" w:themeColor="text1"/>
          <w:lang w:val="es-ES_tradnl"/>
        </w:rPr>
        <w:t xml:space="preserve">el caso del Cargo por Confiabilidad. </w:t>
      </w:r>
    </w:p>
    <w:p w14:paraId="1316C32A" w14:textId="77777777" w:rsidR="00C34B77" w:rsidRPr="004F058D" w:rsidRDefault="00C34B77" w:rsidP="004F058D">
      <w:pPr>
        <w:jc w:val="both"/>
        <w:rPr>
          <w:color w:val="000000" w:themeColor="text1"/>
        </w:rPr>
      </w:pPr>
    </w:p>
    <w:p w14:paraId="6B49EA69" w14:textId="77777777" w:rsidR="00C34B77" w:rsidRPr="004F058D" w:rsidRDefault="00C34B77" w:rsidP="004F058D">
      <w:pPr>
        <w:pStyle w:val="ListParagraph"/>
        <w:ind w:left="360"/>
        <w:jc w:val="both"/>
        <w:rPr>
          <w:color w:val="000000" w:themeColor="text1"/>
          <w:lang w:val="es-ES_tradnl"/>
        </w:rPr>
      </w:pPr>
      <w:r w:rsidRPr="004F058D">
        <w:rPr>
          <w:color w:val="000000" w:themeColor="text1"/>
          <w:lang w:val="es-ES_tradnl"/>
        </w:rPr>
        <w:t xml:space="preserve">De acuerdo con estos análisis, se </w:t>
      </w:r>
      <w:r w:rsidR="00C15DA2">
        <w:rPr>
          <w:color w:val="000000" w:themeColor="text1"/>
          <w:lang w:val="es-ES_tradnl"/>
        </w:rPr>
        <w:t>han planteado</w:t>
      </w:r>
      <w:r w:rsidRPr="004F058D">
        <w:rPr>
          <w:color w:val="000000" w:themeColor="text1"/>
          <w:lang w:val="es-ES_tradnl"/>
        </w:rPr>
        <w:t xml:space="preserve"> recomendaciones que han sido puestas en conocimiento de la CREG y el gobierno para su análisis y evaluación para su </w:t>
      </w:r>
      <w:r w:rsidRPr="004F058D">
        <w:rPr>
          <w:color w:val="000000" w:themeColor="text1"/>
          <w:lang w:val="es-ES_tradnl"/>
        </w:rPr>
        <w:lastRenderedPageBreak/>
        <w:t>inclusión en el marco normativo para el MEM. Consideran</w:t>
      </w:r>
      <w:r w:rsidR="005C39B2">
        <w:rPr>
          <w:color w:val="000000" w:themeColor="text1"/>
          <w:lang w:val="es-ES_tradnl"/>
        </w:rPr>
        <w:t>, entre</w:t>
      </w:r>
      <w:r w:rsidR="0048221C">
        <w:rPr>
          <w:color w:val="000000" w:themeColor="text1"/>
          <w:lang w:val="es-ES_tradnl"/>
        </w:rPr>
        <w:t xml:space="preserve"> las alternativas </w:t>
      </w:r>
      <w:r w:rsidR="00DA48DA">
        <w:rPr>
          <w:color w:val="000000" w:themeColor="text1"/>
          <w:lang w:val="es-ES_tradnl"/>
        </w:rPr>
        <w:t>que analizan</w:t>
      </w:r>
      <w:r w:rsidR="005C39B2">
        <w:rPr>
          <w:color w:val="000000" w:themeColor="text1"/>
          <w:lang w:val="es-ES_tradnl"/>
        </w:rPr>
        <w:t>,</w:t>
      </w:r>
      <w:r w:rsidRPr="004F058D">
        <w:rPr>
          <w:color w:val="000000" w:themeColor="text1"/>
          <w:lang w:val="es-ES_tradnl"/>
        </w:rPr>
        <w:t xml:space="preserve"> establecer un mercado de solo energía, desacoplar la ex</w:t>
      </w:r>
      <w:r w:rsidR="00CD3CD6">
        <w:rPr>
          <w:color w:val="000000" w:themeColor="text1"/>
          <w:lang w:val="es-ES_tradnl"/>
        </w:rPr>
        <w:t xml:space="preserve">pansión y cobertura de riesgos, </w:t>
      </w:r>
      <w:r w:rsidR="00044C70">
        <w:rPr>
          <w:color w:val="000000" w:themeColor="text1"/>
          <w:lang w:val="es-ES_tradnl"/>
        </w:rPr>
        <w:t xml:space="preserve">definir </w:t>
      </w:r>
      <w:r w:rsidRPr="004F058D">
        <w:rPr>
          <w:color w:val="000000" w:themeColor="text1"/>
          <w:lang w:val="es-ES_tradnl"/>
        </w:rPr>
        <w:t>mecanismos para garantiz</w:t>
      </w:r>
      <w:r w:rsidR="00C15DA2">
        <w:rPr>
          <w:color w:val="000000" w:themeColor="text1"/>
          <w:lang w:val="es-ES_tradnl"/>
        </w:rPr>
        <w:t xml:space="preserve">ar la seguridad del suministro </w:t>
      </w:r>
      <w:r w:rsidRPr="004F058D">
        <w:rPr>
          <w:color w:val="000000" w:themeColor="text1"/>
          <w:lang w:val="es-ES_tradnl"/>
        </w:rPr>
        <w:t>con base en contratos bilaterales para la cobertura de precios y control de poder de mercado</w:t>
      </w:r>
      <w:r w:rsidR="00635CCF">
        <w:rPr>
          <w:color w:val="000000" w:themeColor="text1"/>
          <w:lang w:val="es-ES_tradnl"/>
        </w:rPr>
        <w:t>, etc</w:t>
      </w:r>
      <w:r w:rsidRPr="004F058D">
        <w:rPr>
          <w:color w:val="000000" w:themeColor="text1"/>
          <w:lang w:val="es-ES_tradnl"/>
        </w:rPr>
        <w:t xml:space="preserve">. A su vez, para la operación, </w:t>
      </w:r>
      <w:r w:rsidR="00C15DA2">
        <w:rPr>
          <w:color w:val="000000" w:themeColor="text1"/>
          <w:lang w:val="es-ES_tradnl"/>
        </w:rPr>
        <w:t>plantean</w:t>
      </w:r>
      <w:r w:rsidRPr="004F058D">
        <w:rPr>
          <w:color w:val="000000" w:themeColor="text1"/>
          <w:lang w:val="es-ES_tradnl"/>
        </w:rPr>
        <w:t xml:space="preserve"> sistema de liquidación doble (day ahead) en tiempo real, precios nodales, mercado de AGC, monitoreo</w:t>
      </w:r>
      <w:r w:rsidR="00C15DA2">
        <w:rPr>
          <w:color w:val="000000" w:themeColor="text1"/>
          <w:lang w:val="es-ES_tradnl"/>
        </w:rPr>
        <w:t xml:space="preserve"> permanente</w:t>
      </w:r>
      <w:r w:rsidRPr="004F058D">
        <w:rPr>
          <w:color w:val="000000" w:themeColor="text1"/>
          <w:lang w:val="es-ES_tradnl"/>
        </w:rPr>
        <w:t>, etc.</w:t>
      </w:r>
    </w:p>
    <w:p w14:paraId="0DB2BB47" w14:textId="77777777" w:rsidR="00C34B77" w:rsidRDefault="00C34B77" w:rsidP="00C34B77">
      <w:pPr>
        <w:rPr>
          <w:color w:val="000000" w:themeColor="text1"/>
        </w:rPr>
      </w:pPr>
    </w:p>
    <w:p w14:paraId="1CC75375" w14:textId="77777777" w:rsidR="00C34B77" w:rsidRPr="004F058D" w:rsidRDefault="00C34B77" w:rsidP="00C34B77">
      <w:pPr>
        <w:ind w:left="360"/>
        <w:jc w:val="both"/>
        <w:rPr>
          <w:rFonts w:asciiTheme="minorHAnsi" w:hAnsiTheme="minorHAnsi"/>
          <w:b/>
          <w:color w:val="0000FF"/>
          <w:u w:val="single"/>
        </w:rPr>
      </w:pPr>
      <w:r w:rsidRPr="004F058D">
        <w:rPr>
          <w:rFonts w:asciiTheme="minorHAnsi" w:hAnsiTheme="minorHAnsi"/>
          <w:color w:val="000000" w:themeColor="text1"/>
        </w:rPr>
        <w:t xml:space="preserve">Igualmente se consideran aspectos institucionales del MEM, señalando entre otros los relacionados con el diseño del mercado, falta de confianza de los agentes participantes y capacidad </w:t>
      </w:r>
      <w:r w:rsidR="001024E7">
        <w:rPr>
          <w:rFonts w:asciiTheme="minorHAnsi" w:hAnsiTheme="minorHAnsi"/>
          <w:color w:val="000000" w:themeColor="text1"/>
        </w:rPr>
        <w:t xml:space="preserve">del ente regulador. Se plantea, </w:t>
      </w:r>
      <w:r w:rsidRPr="004F058D">
        <w:rPr>
          <w:rFonts w:asciiTheme="minorHAnsi" w:hAnsiTheme="minorHAnsi"/>
          <w:color w:val="000000" w:themeColor="text1"/>
        </w:rPr>
        <w:t xml:space="preserve">la importancia del análisis económico y de riesgos en la toma de decisiones regulatorias, la coordinación institucional entre el MME, CREG, XM, ASIC, etc. </w:t>
      </w:r>
    </w:p>
    <w:p w14:paraId="25D97FFB" w14:textId="77777777" w:rsidR="003A0B69" w:rsidRPr="003A0B69" w:rsidRDefault="003A0B69" w:rsidP="003A0B69">
      <w:pPr>
        <w:jc w:val="center"/>
        <w:rPr>
          <w:rFonts w:asciiTheme="minorHAnsi" w:hAnsiTheme="minorHAnsi"/>
          <w:b/>
        </w:rPr>
      </w:pPr>
    </w:p>
    <w:sectPr w:rsidR="003A0B69" w:rsidRPr="003A0B69" w:rsidSect="0066614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85243" w14:textId="77777777" w:rsidR="00CD5AE5" w:rsidRDefault="00CD5AE5" w:rsidP="00E219E0">
      <w:r>
        <w:separator/>
      </w:r>
    </w:p>
  </w:endnote>
  <w:endnote w:type="continuationSeparator" w:id="0">
    <w:p w14:paraId="379915F0" w14:textId="77777777" w:rsidR="00CD5AE5" w:rsidRDefault="00CD5AE5" w:rsidP="00E2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82BA9" w14:textId="77777777" w:rsidR="00CD5AE5" w:rsidRDefault="00CD5AE5" w:rsidP="00E219E0">
      <w:r>
        <w:separator/>
      </w:r>
    </w:p>
  </w:footnote>
  <w:footnote w:type="continuationSeparator" w:id="0">
    <w:p w14:paraId="6A0BD9D2" w14:textId="77777777" w:rsidR="00CD5AE5" w:rsidRDefault="00CD5AE5" w:rsidP="00E219E0">
      <w:r>
        <w:continuationSeparator/>
      </w:r>
    </w:p>
  </w:footnote>
  <w:footnote w:id="1">
    <w:p w14:paraId="18E2560F" w14:textId="77777777" w:rsidR="008E0E19" w:rsidRPr="004C2D62" w:rsidRDefault="008E0E19" w:rsidP="004654BC">
      <w:pPr>
        <w:pStyle w:val="ListParagraph"/>
        <w:ind w:left="0"/>
        <w:jc w:val="both"/>
        <w:rPr>
          <w:sz w:val="20"/>
          <w:szCs w:val="20"/>
          <w:lang w:val="es-ES_tradnl"/>
        </w:rPr>
      </w:pPr>
      <w:r w:rsidRPr="004C2D62">
        <w:rPr>
          <w:rStyle w:val="FootnoteReference"/>
          <w:sz w:val="20"/>
          <w:szCs w:val="20"/>
        </w:rPr>
        <w:footnoteRef/>
      </w:r>
      <w:r w:rsidRPr="004C2D62">
        <w:rPr>
          <w:sz w:val="20"/>
          <w:szCs w:val="20"/>
          <w:lang w:val="es-ES_tradnl"/>
        </w:rPr>
        <w:t xml:space="preserve"> </w:t>
      </w:r>
      <w:hyperlink r:id="rId1" w:history="1">
        <w:r w:rsidRPr="004C2D62">
          <w:rPr>
            <w:rStyle w:val="Hyperlink"/>
            <w:sz w:val="20"/>
            <w:szCs w:val="20"/>
            <w:lang w:val="es-ES_tradnl"/>
          </w:rPr>
          <w:t>https://colaboracion.dnp.gov.co/CDT/Prensa/PND%2020142018%20Bases%20Final.p</w:t>
        </w:r>
      </w:hyperlink>
    </w:p>
    <w:p w14:paraId="3E0C2DB4" w14:textId="77777777" w:rsidR="008E0E19" w:rsidRPr="004C2D62" w:rsidRDefault="008E0E19">
      <w:pPr>
        <w:pStyle w:val="FootnoteText"/>
        <w:rPr>
          <w:lang w:val="es-ES"/>
        </w:rPr>
      </w:pPr>
    </w:p>
  </w:footnote>
  <w:footnote w:id="2">
    <w:p w14:paraId="74422B54" w14:textId="77777777" w:rsidR="008E0E19" w:rsidRPr="004C2D62" w:rsidRDefault="008E0E19" w:rsidP="004654BC">
      <w:pPr>
        <w:pStyle w:val="ListParagraph"/>
        <w:ind w:left="0"/>
        <w:rPr>
          <w:rStyle w:val="Hyperlink"/>
          <w:sz w:val="20"/>
          <w:szCs w:val="20"/>
          <w:lang w:val="es-ES_tradnl"/>
        </w:rPr>
      </w:pPr>
      <w:r w:rsidRPr="004C2D62">
        <w:rPr>
          <w:rStyle w:val="FootnoteReference"/>
          <w:sz w:val="20"/>
          <w:szCs w:val="20"/>
        </w:rPr>
        <w:footnoteRef/>
      </w:r>
      <w:r w:rsidRPr="004C2D62">
        <w:rPr>
          <w:rStyle w:val="Hyperlink"/>
          <w:sz w:val="20"/>
          <w:szCs w:val="20"/>
          <w:lang w:val="es-ES_tradnl"/>
        </w:rPr>
        <w:t xml:space="preserve"> </w:t>
      </w:r>
      <w:hyperlink r:id="rId2" w:history="1">
        <w:r w:rsidRPr="004C2D62">
          <w:rPr>
            <w:rStyle w:val="Hyperlink"/>
            <w:sz w:val="20"/>
            <w:szCs w:val="20"/>
            <w:lang w:val="es-ES_tradnl"/>
          </w:rPr>
          <w:t>http://www.andi.com.co/Documents/Balance2015/ANDI%20-%20Balance%202015%20y%20Perspectivas%202016F.compressed.pdf</w:t>
        </w:r>
      </w:hyperlink>
    </w:p>
    <w:p w14:paraId="298526A9" w14:textId="77777777" w:rsidR="008E0E19" w:rsidRDefault="008E0E19" w:rsidP="001749CC">
      <w:pPr>
        <w:pStyle w:val="ListParagraph"/>
        <w:ind w:left="360"/>
        <w:jc w:val="both"/>
        <w:rPr>
          <w:rStyle w:val="Hyperlink"/>
          <w:sz w:val="20"/>
          <w:szCs w:val="20"/>
          <w:lang w:val="es-ES_tradnl"/>
        </w:rPr>
      </w:pPr>
    </w:p>
    <w:p w14:paraId="7428DFA8" w14:textId="77777777" w:rsidR="008E0E19" w:rsidRPr="001749CC" w:rsidRDefault="008E0E19" w:rsidP="001749CC">
      <w:pPr>
        <w:pStyle w:val="ListParagraph"/>
        <w:ind w:left="360"/>
        <w:jc w:val="both"/>
        <w:rPr>
          <w:sz w:val="20"/>
          <w:szCs w:val="20"/>
          <w:lang w:val="es-ES_tradnl"/>
        </w:rPr>
      </w:pPr>
    </w:p>
    <w:p w14:paraId="5F192E0F" w14:textId="77777777" w:rsidR="008E0E19" w:rsidRPr="001749CC" w:rsidRDefault="008E0E19">
      <w:pPr>
        <w:pStyle w:val="FootnoteText"/>
        <w:rPr>
          <w:lang w:val="es-ES"/>
        </w:rPr>
      </w:pPr>
    </w:p>
  </w:footnote>
  <w:footnote w:id="3">
    <w:p w14:paraId="6408E35E" w14:textId="77777777" w:rsidR="008E0E19" w:rsidRPr="00323172" w:rsidRDefault="008E0E19" w:rsidP="004654BC">
      <w:pPr>
        <w:jc w:val="both"/>
        <w:rPr>
          <w:rFonts w:asciiTheme="minorHAnsi" w:hAnsiTheme="minorHAnsi"/>
          <w:sz w:val="20"/>
          <w:szCs w:val="20"/>
        </w:rPr>
      </w:pPr>
      <w:r w:rsidRPr="00323172">
        <w:rPr>
          <w:rStyle w:val="FootnoteReference"/>
          <w:rFonts w:asciiTheme="minorHAnsi" w:hAnsiTheme="minorHAnsi"/>
          <w:sz w:val="20"/>
          <w:szCs w:val="20"/>
        </w:rPr>
        <w:footnoteRef/>
      </w:r>
      <w:r w:rsidRPr="00323172">
        <w:rPr>
          <w:rFonts w:asciiTheme="minorHAnsi" w:hAnsiTheme="minorHAnsi"/>
          <w:sz w:val="20"/>
          <w:szCs w:val="20"/>
        </w:rPr>
        <w:t xml:space="preserve"> </w:t>
      </w:r>
      <w:hyperlink r:id="rId3" w:history="1">
        <w:r w:rsidRPr="00323172">
          <w:rPr>
            <w:rStyle w:val="Hyperlink"/>
            <w:rFonts w:asciiTheme="minorHAnsi" w:hAnsiTheme="minorHAnsi"/>
            <w:sz w:val="20"/>
            <w:szCs w:val="20"/>
          </w:rPr>
          <w:t>http://www.banrep.gov.co/economia/dsbb/emisor-prensa.pdf</w:t>
        </w:r>
      </w:hyperlink>
    </w:p>
    <w:p w14:paraId="440778E5" w14:textId="77777777" w:rsidR="008E0E19" w:rsidRPr="00323172" w:rsidRDefault="008E0E19">
      <w:pPr>
        <w:pStyle w:val="FootnoteText"/>
        <w:rPr>
          <w:rFonts w:asciiTheme="minorHAnsi" w:hAnsiTheme="minorHAnsi"/>
          <w:lang w:val="es-ES"/>
        </w:rPr>
      </w:pPr>
    </w:p>
  </w:footnote>
  <w:footnote w:id="4">
    <w:p w14:paraId="6DB5CAAC" w14:textId="77777777" w:rsidR="008E0E19" w:rsidRPr="00323172" w:rsidRDefault="008E0E19" w:rsidP="004654BC">
      <w:pPr>
        <w:jc w:val="both"/>
        <w:rPr>
          <w:rFonts w:asciiTheme="minorHAnsi" w:hAnsiTheme="minorHAnsi"/>
          <w:sz w:val="20"/>
          <w:szCs w:val="20"/>
        </w:rPr>
      </w:pPr>
      <w:r w:rsidRPr="00323172">
        <w:rPr>
          <w:rStyle w:val="FootnoteReference"/>
          <w:rFonts w:asciiTheme="minorHAnsi" w:hAnsiTheme="minorHAnsi"/>
          <w:sz w:val="20"/>
          <w:szCs w:val="20"/>
        </w:rPr>
        <w:footnoteRef/>
      </w:r>
      <w:r w:rsidRPr="00323172">
        <w:rPr>
          <w:rFonts w:asciiTheme="minorHAnsi" w:hAnsiTheme="minorHAnsi"/>
          <w:sz w:val="20"/>
          <w:szCs w:val="20"/>
        </w:rPr>
        <w:t xml:space="preserve"> </w:t>
      </w:r>
      <w:hyperlink r:id="rId4" w:history="1">
        <w:r w:rsidRPr="00323172">
          <w:rPr>
            <w:rStyle w:val="Hyperlink"/>
            <w:rFonts w:asciiTheme="minorHAnsi" w:hAnsiTheme="minorHAnsi"/>
            <w:sz w:val="20"/>
            <w:szCs w:val="20"/>
          </w:rPr>
          <w:t>http://www.asobancaria.com/wp-content/uploads/2016/04/1036-vf.pdf</w:t>
        </w:r>
      </w:hyperlink>
    </w:p>
    <w:p w14:paraId="722D0E62" w14:textId="77777777" w:rsidR="008E0E19" w:rsidRPr="001749CC" w:rsidRDefault="008E0E19">
      <w:pPr>
        <w:pStyle w:val="FootnoteText"/>
        <w:rPr>
          <w:lang w:val="es-ES"/>
        </w:rPr>
      </w:pPr>
    </w:p>
  </w:footnote>
  <w:footnote w:id="5">
    <w:p w14:paraId="458DC701" w14:textId="77777777" w:rsidR="008E0E19" w:rsidRPr="00323172" w:rsidRDefault="008E0E19" w:rsidP="0076010A">
      <w:pPr>
        <w:pStyle w:val="ListParagraph"/>
        <w:ind w:left="0"/>
        <w:jc w:val="both"/>
        <w:rPr>
          <w:sz w:val="20"/>
          <w:szCs w:val="20"/>
          <w:lang w:val="es-ES_tradnl"/>
        </w:rPr>
      </w:pPr>
      <w:r w:rsidRPr="00323172">
        <w:rPr>
          <w:rStyle w:val="FootnoteReference"/>
          <w:sz w:val="20"/>
          <w:szCs w:val="20"/>
        </w:rPr>
        <w:footnoteRef/>
      </w:r>
      <w:r w:rsidRPr="00323172">
        <w:rPr>
          <w:sz w:val="20"/>
          <w:szCs w:val="20"/>
        </w:rPr>
        <w:t xml:space="preserve"> </w:t>
      </w:r>
      <w:hyperlink r:id="rId5" w:history="1">
        <w:r w:rsidRPr="00323172">
          <w:rPr>
            <w:rStyle w:val="Hyperlink"/>
            <w:sz w:val="20"/>
            <w:szCs w:val="20"/>
            <w:lang w:val="es-ES_tradnl"/>
          </w:rPr>
          <w:t>https://colaboracion.dnp.gov.co/CDT/Prensa/PND%2020142018%20Bases%20Final.pdf</w:t>
        </w:r>
      </w:hyperlink>
    </w:p>
    <w:p w14:paraId="6B183F83" w14:textId="77777777" w:rsidR="008E0E19" w:rsidRPr="00323172" w:rsidRDefault="008E0E19" w:rsidP="0076010A">
      <w:pPr>
        <w:pStyle w:val="FootnoteText"/>
        <w:rPr>
          <w:lang w:val="es-ES"/>
        </w:rPr>
      </w:pPr>
    </w:p>
  </w:footnote>
  <w:footnote w:id="6">
    <w:p w14:paraId="1C496FBD" w14:textId="77777777" w:rsidR="008E0E19" w:rsidRPr="00323172" w:rsidRDefault="008E0E19" w:rsidP="0076010A">
      <w:pPr>
        <w:pStyle w:val="ListParagraph"/>
        <w:ind w:left="0"/>
        <w:jc w:val="both"/>
        <w:rPr>
          <w:rStyle w:val="Hyperlink"/>
          <w:sz w:val="20"/>
          <w:szCs w:val="20"/>
          <w:lang w:val="es-ES_tradnl"/>
        </w:rPr>
      </w:pPr>
      <w:r w:rsidRPr="00323172">
        <w:rPr>
          <w:rStyle w:val="FootnoteReference"/>
          <w:sz w:val="20"/>
          <w:szCs w:val="20"/>
        </w:rPr>
        <w:footnoteRef/>
      </w:r>
      <w:r w:rsidRPr="00323172">
        <w:rPr>
          <w:sz w:val="20"/>
          <w:szCs w:val="20"/>
        </w:rPr>
        <w:t xml:space="preserve"> </w:t>
      </w:r>
      <w:hyperlink r:id="rId6" w:history="1">
        <w:r w:rsidRPr="00323172">
          <w:rPr>
            <w:rStyle w:val="Hyperlink"/>
            <w:sz w:val="20"/>
            <w:szCs w:val="20"/>
            <w:lang w:val="es-ES_tradnl"/>
          </w:rPr>
          <w:t>http://www.upme.gov.co/Docs/PEN/PEN_IdearioEnergetico2050.pdf</w:t>
        </w:r>
      </w:hyperlink>
    </w:p>
    <w:p w14:paraId="485075E8" w14:textId="77777777" w:rsidR="008E0E19" w:rsidRPr="00323172" w:rsidRDefault="008E0E19" w:rsidP="0076010A">
      <w:pPr>
        <w:pStyle w:val="ListParagraph"/>
        <w:ind w:left="0"/>
        <w:jc w:val="both"/>
        <w:rPr>
          <w:rStyle w:val="Hyperlink"/>
          <w:sz w:val="20"/>
          <w:szCs w:val="20"/>
          <w:lang w:val="es-ES_tradnl"/>
        </w:rPr>
      </w:pPr>
    </w:p>
    <w:p w14:paraId="51C833BA" w14:textId="0F9A63FF" w:rsidR="008E0E19" w:rsidRPr="00323172" w:rsidRDefault="008E0E19" w:rsidP="0076010A">
      <w:pPr>
        <w:pStyle w:val="ListParagraph"/>
        <w:ind w:left="0"/>
        <w:jc w:val="both"/>
        <w:rPr>
          <w:sz w:val="20"/>
          <w:szCs w:val="20"/>
          <w:lang w:val="es-ES_tradnl"/>
        </w:rPr>
      </w:pPr>
      <w:r w:rsidRPr="00323172">
        <w:rPr>
          <w:sz w:val="20"/>
          <w:szCs w:val="20"/>
          <w:lang w:val="es-ES_tradnl"/>
        </w:rPr>
        <w:t xml:space="preserve">En este documento se presentan algunas ideas sobre el desarrollo futuro del sector energético colombiano que pueden servir de base para la elaboración e implementación de una política energética. El documento hace las veces de un Plan Energético Nacional, 2014 – 2050, pero sin tener estructurados los mapas de ruta para los objetivos propuestos, por tanto, se denomina </w:t>
      </w:r>
      <w:r>
        <w:rPr>
          <w:sz w:val="20"/>
          <w:szCs w:val="20"/>
          <w:lang w:val="es-ES_tradnl"/>
        </w:rPr>
        <w:t>“</w:t>
      </w:r>
      <w:r w:rsidRPr="00323172">
        <w:rPr>
          <w:sz w:val="20"/>
          <w:szCs w:val="20"/>
          <w:lang w:val="es-ES_tradnl"/>
        </w:rPr>
        <w:t>C</w:t>
      </w:r>
      <w:r>
        <w:rPr>
          <w:sz w:val="20"/>
          <w:szCs w:val="20"/>
          <w:lang w:val="es-ES_tradnl"/>
        </w:rPr>
        <w:t>olombia: Ideario Energético 2050”</w:t>
      </w:r>
      <w:r w:rsidRPr="00323172">
        <w:rPr>
          <w:sz w:val="20"/>
          <w:szCs w:val="20"/>
          <w:lang w:val="es-ES_tradnl"/>
        </w:rPr>
        <w:t xml:space="preserve">, </w:t>
      </w:r>
      <w:r>
        <w:rPr>
          <w:sz w:val="20"/>
          <w:szCs w:val="20"/>
          <w:lang w:val="es-ES_tradnl"/>
        </w:rPr>
        <w:t xml:space="preserve">dado que </w:t>
      </w:r>
      <w:r w:rsidRPr="00323172">
        <w:rPr>
          <w:sz w:val="20"/>
          <w:szCs w:val="20"/>
          <w:lang w:val="es-ES_tradnl"/>
        </w:rPr>
        <w:t>en él se señalan pautas y líneas de acción recomendables.</w:t>
      </w:r>
    </w:p>
    <w:p w14:paraId="0875365F" w14:textId="77777777" w:rsidR="008E0E19" w:rsidRPr="00323172" w:rsidRDefault="008E0E19" w:rsidP="0076010A">
      <w:pPr>
        <w:pStyle w:val="FootnoteText"/>
        <w:rPr>
          <w:lang w:val="es-ES"/>
        </w:rPr>
      </w:pPr>
    </w:p>
    <w:p w14:paraId="13B39F26" w14:textId="77777777" w:rsidR="008E0E19" w:rsidRPr="0058405E" w:rsidRDefault="008E0E19" w:rsidP="0076010A">
      <w:pPr>
        <w:pStyle w:val="FootnoteText"/>
        <w:rPr>
          <w:lang w:val="es-ES"/>
        </w:rPr>
      </w:pPr>
    </w:p>
  </w:footnote>
  <w:footnote w:id="7">
    <w:p w14:paraId="3DFF209E" w14:textId="3DA67927" w:rsidR="008E0E19" w:rsidRDefault="008E0E19">
      <w:pPr>
        <w:pStyle w:val="FootnoteText"/>
        <w:rPr>
          <w:lang w:val="es-ES"/>
        </w:rPr>
      </w:pPr>
      <w:r>
        <w:rPr>
          <w:rStyle w:val="FootnoteReference"/>
        </w:rPr>
        <w:footnoteRef/>
      </w:r>
      <w:r w:rsidRPr="009555A4">
        <w:rPr>
          <w:lang w:val="es-ES"/>
        </w:rPr>
        <w:t xml:space="preserve"> </w:t>
      </w:r>
      <w:hyperlink r:id="rId7" w:history="1">
        <w:r w:rsidRPr="00CD278B">
          <w:rPr>
            <w:rStyle w:val="Hyperlink"/>
            <w:lang w:val="es-ES"/>
          </w:rPr>
          <w:t>http://informesanuales.xm.com.co/2015/SitePages/Default.aspx</w:t>
        </w:r>
      </w:hyperlink>
    </w:p>
    <w:p w14:paraId="367D6B6F" w14:textId="77777777" w:rsidR="008E0E19" w:rsidRPr="009555A4" w:rsidRDefault="008E0E19">
      <w:pPr>
        <w:pStyle w:val="FootnoteText"/>
        <w:rPr>
          <w:lang w:val="es-ES"/>
        </w:rPr>
      </w:pPr>
    </w:p>
  </w:footnote>
  <w:footnote w:id="8">
    <w:p w14:paraId="4183187F" w14:textId="6E1D043E" w:rsidR="008E0E19" w:rsidRPr="009A1066" w:rsidRDefault="008E0E19">
      <w:pPr>
        <w:pStyle w:val="FootnoteText"/>
        <w:rPr>
          <w:lang w:val="es-ES_tradnl"/>
        </w:rPr>
      </w:pPr>
      <w:r>
        <w:rPr>
          <w:rStyle w:val="FootnoteReference"/>
        </w:rPr>
        <w:footnoteRef/>
      </w:r>
      <w:r w:rsidRPr="009A1066">
        <w:rPr>
          <w:lang w:val="es-ES_tradnl"/>
        </w:rPr>
        <w:t xml:space="preserve"> </w:t>
      </w:r>
      <w:r>
        <w:rPr>
          <w:lang w:val="es-ES_tradnl"/>
        </w:rPr>
        <w:t>El BID con diferentes CTs y operaciones de crédito ha contribuido al desarrollo de las herramientas.</w:t>
      </w:r>
    </w:p>
  </w:footnote>
  <w:footnote w:id="9">
    <w:p w14:paraId="370A9760" w14:textId="243FBE5B" w:rsidR="008E0E19" w:rsidRPr="00F26656" w:rsidRDefault="008E0E19" w:rsidP="00326B05">
      <w:pPr>
        <w:pStyle w:val="NormalWeb"/>
        <w:shd w:val="clear" w:color="auto" w:fill="FFFFFF"/>
        <w:jc w:val="both"/>
        <w:rPr>
          <w:rFonts w:asciiTheme="minorHAnsi" w:hAnsiTheme="minorHAnsi"/>
          <w:sz w:val="20"/>
          <w:szCs w:val="20"/>
        </w:rPr>
      </w:pPr>
      <w:r w:rsidRPr="009555A4">
        <w:rPr>
          <w:rStyle w:val="FootnoteReference"/>
          <w:rFonts w:asciiTheme="minorHAnsi" w:hAnsiTheme="minorHAnsi"/>
          <w:sz w:val="20"/>
          <w:szCs w:val="20"/>
        </w:rPr>
        <w:footnoteRef/>
      </w:r>
      <w:r w:rsidRPr="009555A4">
        <w:rPr>
          <w:rFonts w:asciiTheme="minorHAnsi" w:hAnsiTheme="minorHAnsi"/>
          <w:sz w:val="20"/>
          <w:szCs w:val="20"/>
        </w:rPr>
        <w:t xml:space="preserve"> </w:t>
      </w:r>
      <w:r w:rsidRPr="00F26656">
        <w:rPr>
          <w:rFonts w:asciiTheme="minorHAnsi" w:hAnsiTheme="minorHAnsi"/>
          <w:sz w:val="20"/>
          <w:szCs w:val="20"/>
        </w:rPr>
        <w:t>Al comparar la capacidad con la registrada en 2014 se observa un crecimiento en 931 MW, equivalentes al 6%. Este aumento obedece principalmente a la entrada en operación de las centrales hidroeléctricas El Quimbo 396 MW, Carlos Lleras 78 MW, Cucuana 58 MW, San Miguel 44 MW, Bajo Tuluá</w:t>
      </w:r>
      <w:r>
        <w:rPr>
          <w:rFonts w:asciiTheme="minorHAnsi" w:hAnsiTheme="minorHAnsi"/>
          <w:sz w:val="20"/>
          <w:szCs w:val="20"/>
        </w:rPr>
        <w:t xml:space="preserve"> 19.9 MW y Providencia</w:t>
      </w:r>
      <w:r w:rsidRPr="00F26656">
        <w:rPr>
          <w:rFonts w:asciiTheme="minorHAnsi" w:hAnsiTheme="minorHAnsi"/>
          <w:sz w:val="20"/>
          <w:szCs w:val="20"/>
        </w:rPr>
        <w:t xml:space="preserve"> 4.9 MW y las centrales térmicas G</w:t>
      </w:r>
      <w:r>
        <w:rPr>
          <w:rFonts w:asciiTheme="minorHAnsi" w:hAnsiTheme="minorHAnsi"/>
          <w:sz w:val="20"/>
          <w:szCs w:val="20"/>
        </w:rPr>
        <w:t>ECELCA</w:t>
      </w:r>
      <w:r w:rsidRPr="00F26656">
        <w:rPr>
          <w:rFonts w:asciiTheme="minorHAnsi" w:hAnsiTheme="minorHAnsi"/>
          <w:sz w:val="20"/>
          <w:szCs w:val="20"/>
        </w:rPr>
        <w:t xml:space="preserve"> 3 164 MW y Tasajero 2 160 MW.</w:t>
      </w:r>
    </w:p>
  </w:footnote>
  <w:footnote w:id="10">
    <w:p w14:paraId="32B06A9C" w14:textId="7487A08D" w:rsidR="008E0E19" w:rsidRPr="004F73E1" w:rsidRDefault="008E0E19" w:rsidP="009555A4">
      <w:pPr>
        <w:pStyle w:val="FootnoteText"/>
        <w:jc w:val="both"/>
        <w:rPr>
          <w:lang w:val="es-ES_tradnl"/>
        </w:rPr>
      </w:pPr>
      <w:r>
        <w:rPr>
          <w:rStyle w:val="FootnoteReference"/>
        </w:rPr>
        <w:footnoteRef/>
      </w:r>
      <w:r>
        <w:rPr>
          <w:lang w:val="es-ES"/>
        </w:rPr>
        <w:t xml:space="preserve"> </w:t>
      </w:r>
      <w:r w:rsidRPr="00326B05">
        <w:rPr>
          <w:lang w:val="es-ES_tradnl"/>
        </w:rPr>
        <w:t>El 2015 se caracterizó por ser un año donde se gestó, desarrolló e intensificó uno de los más fuertes eventos El Niño</w:t>
      </w:r>
      <w:r>
        <w:rPr>
          <w:lang w:val="es-ES_tradnl"/>
        </w:rPr>
        <w:t xml:space="preserve"> </w:t>
      </w:r>
      <w:r w:rsidRPr="00326B05">
        <w:rPr>
          <w:lang w:val="es-ES_tradnl"/>
        </w:rPr>
        <w:t>registrados desde mediados del siglo pasado. El valor máximo alcanzado en el Índice Oceánico de El Niño fue de 2.3°C, igual al observado en El Niño 1997-98 para esta misma época. </w:t>
      </w:r>
    </w:p>
    <w:p w14:paraId="12E704C9" w14:textId="38105236" w:rsidR="008E0E19" w:rsidRPr="009555A4" w:rsidRDefault="008E0E19">
      <w:pPr>
        <w:pStyle w:val="FootnoteText"/>
        <w:rPr>
          <w:lang w:val="es-ES_tradnl"/>
        </w:rPr>
      </w:pPr>
    </w:p>
  </w:footnote>
  <w:footnote w:id="11">
    <w:p w14:paraId="6A57F79D" w14:textId="398E237F" w:rsidR="008E0E19" w:rsidRDefault="008E0E19">
      <w:pPr>
        <w:pStyle w:val="FootnoteText"/>
        <w:rPr>
          <w:lang w:val="es-ES_tradnl"/>
        </w:rPr>
      </w:pPr>
      <w:r>
        <w:rPr>
          <w:rStyle w:val="FootnoteReference"/>
        </w:rPr>
        <w:footnoteRef/>
      </w:r>
      <w:r w:rsidRPr="00204DA3">
        <w:rPr>
          <w:lang w:val="es-ES_tradnl"/>
        </w:rPr>
        <w:t xml:space="preserve"> </w:t>
      </w:r>
      <w:hyperlink r:id="rId8" w:history="1">
        <w:r w:rsidRPr="00CD278B">
          <w:rPr>
            <w:rStyle w:val="Hyperlink"/>
            <w:lang w:val="es-ES_tradnl"/>
          </w:rPr>
          <w:t>http://www.siel.gov.co/Generacion_sz/Inscripcion/2016/Registro_Proyectos_Generacion_Ago2016.pdf</w:t>
        </w:r>
      </w:hyperlink>
    </w:p>
    <w:p w14:paraId="2F00CFD9" w14:textId="77777777" w:rsidR="008E0E19" w:rsidRPr="00204DA3" w:rsidRDefault="008E0E19">
      <w:pPr>
        <w:pStyle w:val="FootnoteText"/>
        <w:rPr>
          <w:lang w:val="es-ES_tradnl"/>
        </w:rPr>
      </w:pPr>
    </w:p>
  </w:footnote>
  <w:footnote w:id="12">
    <w:p w14:paraId="6CED36F7" w14:textId="77777777" w:rsidR="008E0E19" w:rsidRPr="007925BC" w:rsidRDefault="008E0E19" w:rsidP="00B94936">
      <w:pPr>
        <w:pStyle w:val="FootnoteText"/>
        <w:rPr>
          <w:lang w:val="es-ES"/>
        </w:rPr>
      </w:pPr>
      <w:r>
        <w:rPr>
          <w:rStyle w:val="FootnoteReference"/>
        </w:rPr>
        <w:footnoteRef/>
      </w:r>
      <w:r w:rsidRPr="007925BC">
        <w:rPr>
          <w:lang w:val="es-ES"/>
        </w:rPr>
        <w:t xml:space="preserve"> </w:t>
      </w:r>
      <w:hyperlink r:id="rId9" w:history="1">
        <w:r w:rsidRPr="007925BC">
          <w:rPr>
            <w:rStyle w:val="Hyperlink"/>
            <w:lang w:val="es-ES"/>
          </w:rPr>
          <w:t>http://www.portafolio.co/economia/gobierno/finaliza-campana-apagar-paga-494701</w:t>
        </w:r>
      </w:hyperlink>
    </w:p>
    <w:p w14:paraId="63628A7A" w14:textId="77777777" w:rsidR="008E0E19" w:rsidRDefault="008E0E19" w:rsidP="00B94936">
      <w:pPr>
        <w:pStyle w:val="FootnoteText"/>
        <w:rPr>
          <w:lang w:val="es-ES_tradnl"/>
        </w:rPr>
      </w:pPr>
    </w:p>
    <w:p w14:paraId="56676820" w14:textId="07DBF6EF" w:rsidR="008E0E19" w:rsidRPr="00B94936" w:rsidRDefault="008E0E19" w:rsidP="00DB6354">
      <w:pPr>
        <w:pStyle w:val="FootnoteText"/>
        <w:jc w:val="both"/>
        <w:rPr>
          <w:lang w:val="es-ES_tradnl"/>
        </w:rPr>
      </w:pPr>
      <w:r w:rsidRPr="00B94936">
        <w:rPr>
          <w:lang w:val="es-ES_tradnl"/>
        </w:rPr>
        <w:t>El propósito era ahorrar en un plaz</w:t>
      </w:r>
      <w:r w:rsidR="00DB6354">
        <w:rPr>
          <w:lang w:val="es-ES_tradnl"/>
        </w:rPr>
        <w:t>o de seis semanas 400 GWh</w:t>
      </w:r>
      <w:r w:rsidRPr="00B94936">
        <w:rPr>
          <w:lang w:val="es-ES_tradnl"/>
        </w:rPr>
        <w:t xml:space="preserve"> y el balance al 17 de abril alcanzó los 1.179 gigavatios/hora gracias al ahorro de todos los colombianos, mayor generación de plantas térmicas y mejores caudales producto de las lluvias</w:t>
      </w:r>
      <w:r>
        <w:rPr>
          <w:lang w:val="es-ES_tradnl"/>
        </w:rPr>
        <w:t>.</w:t>
      </w:r>
    </w:p>
    <w:p w14:paraId="58126C7D" w14:textId="77777777" w:rsidR="008E0E19" w:rsidRPr="00B94936" w:rsidRDefault="008E0E19">
      <w:pPr>
        <w:pStyle w:val="FootnoteText"/>
        <w:rPr>
          <w:lang w:val="es-ES"/>
        </w:rPr>
      </w:pPr>
    </w:p>
  </w:footnote>
  <w:footnote w:id="13">
    <w:p w14:paraId="7CF5080E" w14:textId="37D1F7E4" w:rsidR="00024167" w:rsidRDefault="00024167">
      <w:pPr>
        <w:pStyle w:val="FootnoteText"/>
        <w:rPr>
          <w:lang w:val="es-ES_tradnl"/>
        </w:rPr>
      </w:pPr>
      <w:r>
        <w:rPr>
          <w:rStyle w:val="FootnoteReference"/>
        </w:rPr>
        <w:footnoteRef/>
      </w:r>
      <w:r w:rsidRPr="00024167">
        <w:rPr>
          <w:lang w:val="es-ES_tradnl"/>
        </w:rPr>
        <w:t xml:space="preserve"> </w:t>
      </w:r>
      <w:hyperlink r:id="rId10" w:history="1">
        <w:r w:rsidRPr="0015204F">
          <w:rPr>
            <w:rStyle w:val="Hyperlink"/>
            <w:lang w:val="es-ES_tradnl"/>
          </w:rPr>
          <w:t>http://www.siel.gov.co/Inicio/CoberturadelSistemaIntercontecadoNacional/Publicaciones/tabid/83/Default.aspx</w:t>
        </w:r>
      </w:hyperlink>
    </w:p>
    <w:p w14:paraId="2E006FCF" w14:textId="77777777" w:rsidR="00024167" w:rsidRPr="00024167" w:rsidRDefault="00024167">
      <w:pPr>
        <w:pStyle w:val="FootnoteText"/>
        <w:rPr>
          <w:lang w:val="es-ES_tradnl"/>
        </w:rPr>
      </w:pPr>
    </w:p>
  </w:footnote>
  <w:footnote w:id="14">
    <w:p w14:paraId="669DD8B1" w14:textId="48E2AB03" w:rsidR="0089045F" w:rsidRPr="0089045F" w:rsidRDefault="0089045F" w:rsidP="0089045F">
      <w:pPr>
        <w:pStyle w:val="FootnoteText"/>
        <w:rPr>
          <w:lang w:val="es-ES_tradnl"/>
        </w:rPr>
      </w:pPr>
      <w:r>
        <w:rPr>
          <w:rStyle w:val="FootnoteReference"/>
        </w:rPr>
        <w:footnoteRef/>
      </w:r>
      <w:r w:rsidRPr="0089045F">
        <w:rPr>
          <w:lang w:val="es-ES_tradnl"/>
        </w:rPr>
        <w:t xml:space="preserve"> </w:t>
      </w:r>
      <w:r>
        <w:rPr>
          <w:lang w:val="es-ES_tradnl"/>
        </w:rPr>
        <w:t xml:space="preserve">UPME: </w:t>
      </w:r>
      <w:r w:rsidRPr="0089045F">
        <w:rPr>
          <w:lang w:val="es-ES_tradnl"/>
        </w:rPr>
        <w:t>Plan Indicativo de Expansión de la Cobertura Eléctrica 2016-2020.</w:t>
      </w:r>
    </w:p>
    <w:p w14:paraId="1BDC8312" w14:textId="2363EB76" w:rsidR="0089045F" w:rsidRPr="0089045F" w:rsidRDefault="0089045F">
      <w:pPr>
        <w:pStyle w:val="FootnoteText"/>
        <w:rPr>
          <w:lang w:val="es-ES_tradnl"/>
        </w:rPr>
      </w:pPr>
    </w:p>
  </w:footnote>
  <w:footnote w:id="15">
    <w:p w14:paraId="55D8E195" w14:textId="77777777" w:rsidR="008E0E19" w:rsidRDefault="008E0E19" w:rsidP="00F6087D">
      <w:pPr>
        <w:pStyle w:val="FootnoteText"/>
        <w:rPr>
          <w:rFonts w:asciiTheme="minorHAnsi" w:hAnsiTheme="minorHAnsi"/>
          <w:lang w:val="es-ES"/>
        </w:rPr>
      </w:pPr>
      <w:r>
        <w:rPr>
          <w:rStyle w:val="FootnoteReference"/>
        </w:rPr>
        <w:footnoteRef/>
      </w:r>
      <w:r w:rsidRPr="007925BC">
        <w:rPr>
          <w:lang w:val="es-ES_tradnl"/>
        </w:rPr>
        <w:t xml:space="preserve"> </w:t>
      </w:r>
      <w:r w:rsidRPr="001302BC">
        <w:rPr>
          <w:rFonts w:asciiTheme="minorHAnsi" w:hAnsiTheme="minorHAnsi"/>
          <w:lang w:val="es-ES"/>
        </w:rPr>
        <w:t>Noviembre 2015.</w:t>
      </w:r>
    </w:p>
    <w:p w14:paraId="7C52F9BA" w14:textId="77777777" w:rsidR="008E0E19" w:rsidRPr="00236A8A" w:rsidRDefault="008E0E19" w:rsidP="00F6087D">
      <w:pPr>
        <w:pStyle w:val="FootnoteText"/>
        <w:rPr>
          <w:lang w:val="es-ES"/>
        </w:rPr>
      </w:pPr>
    </w:p>
  </w:footnote>
  <w:footnote w:id="16">
    <w:p w14:paraId="1643444B" w14:textId="77777777" w:rsidR="008E0E19" w:rsidRDefault="008E0E19" w:rsidP="00F6087D">
      <w:pPr>
        <w:pStyle w:val="FootnoteText"/>
        <w:rPr>
          <w:rFonts w:asciiTheme="minorHAnsi" w:hAnsiTheme="minorHAnsi"/>
          <w:lang w:val="es-ES"/>
        </w:rPr>
      </w:pPr>
      <w:r>
        <w:rPr>
          <w:rStyle w:val="FootnoteReference"/>
        </w:rPr>
        <w:footnoteRef/>
      </w:r>
      <w:r w:rsidRPr="007925BC">
        <w:rPr>
          <w:lang w:val="es-ES_tradnl"/>
        </w:rPr>
        <w:t xml:space="preserve"> </w:t>
      </w:r>
      <w:r w:rsidRPr="001302BC">
        <w:rPr>
          <w:rFonts w:asciiTheme="minorHAnsi" w:hAnsiTheme="minorHAnsi"/>
          <w:lang w:val="es-ES"/>
        </w:rPr>
        <w:t>Febrero 2016.</w:t>
      </w:r>
    </w:p>
    <w:p w14:paraId="2D9F9E21" w14:textId="77777777" w:rsidR="008E0E19" w:rsidRPr="001302BC" w:rsidRDefault="008E0E19" w:rsidP="00F6087D">
      <w:pPr>
        <w:pStyle w:val="FootnoteText"/>
        <w:rPr>
          <w:lang w:val="es-ES"/>
        </w:rPr>
      </w:pPr>
    </w:p>
  </w:footnote>
  <w:footnote w:id="17">
    <w:p w14:paraId="5F822A42" w14:textId="77777777" w:rsidR="008E0E19" w:rsidRPr="00323172" w:rsidRDefault="008E0E19" w:rsidP="004654BC">
      <w:pPr>
        <w:pStyle w:val="ListParagraph"/>
        <w:ind w:left="0"/>
        <w:jc w:val="both"/>
        <w:rPr>
          <w:sz w:val="20"/>
          <w:szCs w:val="20"/>
        </w:rPr>
      </w:pPr>
      <w:r w:rsidRPr="00323172">
        <w:rPr>
          <w:rStyle w:val="FootnoteReference"/>
          <w:sz w:val="20"/>
          <w:szCs w:val="20"/>
        </w:rPr>
        <w:footnoteRef/>
      </w:r>
      <w:r w:rsidRPr="00323172">
        <w:rPr>
          <w:sz w:val="20"/>
          <w:szCs w:val="20"/>
        </w:rPr>
        <w:t xml:space="preserve"> </w:t>
      </w:r>
      <w:hyperlink r:id="rId11" w:history="1">
        <w:r w:rsidRPr="00323172">
          <w:rPr>
            <w:rStyle w:val="Hyperlink"/>
            <w:sz w:val="20"/>
            <w:szCs w:val="20"/>
          </w:rPr>
          <w:t>http://www.iadb.org/es/proyectos/project-details,1301.html?Country=CO&amp;Sector=EN&amp;Status=&amp;query</w:t>
        </w:r>
      </w:hyperlink>
      <w:r w:rsidRPr="00323172">
        <w:rPr>
          <w:sz w:val="20"/>
          <w:szCs w:val="20"/>
        </w:rPr>
        <w:t>=</w:t>
      </w:r>
    </w:p>
    <w:p w14:paraId="1F9C10C0" w14:textId="77777777" w:rsidR="008E0E19" w:rsidRPr="00323172" w:rsidRDefault="008E0E19">
      <w:pPr>
        <w:pStyle w:val="FootnoteText"/>
        <w:rPr>
          <w:lang w:val="es-ES"/>
        </w:rPr>
      </w:pPr>
    </w:p>
  </w:footnote>
  <w:footnote w:id="18">
    <w:p w14:paraId="413B695F" w14:textId="77777777" w:rsidR="008E0E19" w:rsidRDefault="008E0E19">
      <w:pPr>
        <w:pStyle w:val="FootnoteText"/>
        <w:rPr>
          <w:rFonts w:asciiTheme="minorHAnsi" w:hAnsiTheme="minorHAnsi"/>
          <w:lang w:val="es-ES_tradnl"/>
        </w:rPr>
      </w:pPr>
      <w:r w:rsidRPr="00C40E57">
        <w:rPr>
          <w:rStyle w:val="FootnoteReference"/>
          <w:lang w:val="es-ES_tradnl"/>
        </w:rPr>
        <w:footnoteRef/>
      </w:r>
      <w:r w:rsidRPr="00C40E57">
        <w:rPr>
          <w:lang w:val="es-ES_tradnl"/>
        </w:rPr>
        <w:t xml:space="preserve"> </w:t>
      </w:r>
      <w:r w:rsidRPr="00C40E57">
        <w:rPr>
          <w:rFonts w:asciiTheme="minorHAnsi" w:hAnsiTheme="minorHAnsi"/>
          <w:lang w:val="es-ES_tradnl"/>
        </w:rPr>
        <w:t>Específicamente, la reciente ocurrencia de uno de estos fenómenos 2015-2016, de intensidad más extrema en el último siglo, con posibles consecuencias para la economía del país</w:t>
      </w:r>
      <w:r>
        <w:rPr>
          <w:rFonts w:asciiTheme="minorHAnsi" w:hAnsiTheme="minorHAnsi"/>
          <w:lang w:val="es-ES_tradnl"/>
        </w:rPr>
        <w:t>.</w:t>
      </w:r>
    </w:p>
    <w:p w14:paraId="734ED191" w14:textId="77777777" w:rsidR="008E0E19" w:rsidRPr="00C40E57" w:rsidRDefault="008E0E19">
      <w:pPr>
        <w:pStyle w:val="FootnoteText"/>
        <w:rPr>
          <w:lang w:val="es-ES_tradnl"/>
        </w:rPr>
      </w:pPr>
    </w:p>
  </w:footnote>
  <w:footnote w:id="19">
    <w:p w14:paraId="1F463044" w14:textId="77777777" w:rsidR="008E0E19" w:rsidRPr="007925BC" w:rsidRDefault="008E0E19">
      <w:pPr>
        <w:pStyle w:val="FootnoteText"/>
        <w:rPr>
          <w:lang w:val="pt-BR"/>
        </w:rPr>
      </w:pPr>
      <w:r>
        <w:rPr>
          <w:rStyle w:val="FootnoteReference"/>
        </w:rPr>
        <w:footnoteRef/>
      </w:r>
      <w:r w:rsidRPr="007925BC">
        <w:rPr>
          <w:lang w:val="pt-BR"/>
        </w:rPr>
        <w:t xml:space="preserve"> Ver Anexo 1.</w:t>
      </w:r>
    </w:p>
    <w:p w14:paraId="62B65081" w14:textId="77777777" w:rsidR="008E0E19" w:rsidRPr="007925BC" w:rsidRDefault="008E0E19">
      <w:pPr>
        <w:pStyle w:val="FootnoteText"/>
        <w:rPr>
          <w:lang w:val="pt-BR"/>
        </w:rPr>
      </w:pPr>
    </w:p>
  </w:footnote>
  <w:footnote w:id="20">
    <w:p w14:paraId="073B60B9" w14:textId="77777777" w:rsidR="008E0E19" w:rsidRPr="007925BC" w:rsidRDefault="008E0E19">
      <w:pPr>
        <w:pStyle w:val="FootnoteText"/>
        <w:rPr>
          <w:lang w:val="pt-BR"/>
        </w:rPr>
      </w:pPr>
      <w:r>
        <w:rPr>
          <w:rStyle w:val="FootnoteReference"/>
        </w:rPr>
        <w:footnoteRef/>
      </w:r>
      <w:r w:rsidRPr="007925BC">
        <w:rPr>
          <w:lang w:val="pt-BR"/>
        </w:rPr>
        <w:t xml:space="preserve"> Ver Anexo 2.</w:t>
      </w:r>
    </w:p>
  </w:footnote>
  <w:footnote w:id="21">
    <w:p w14:paraId="0BFA565A" w14:textId="77777777" w:rsidR="008E0E19" w:rsidRPr="007925BC" w:rsidRDefault="008E0E19">
      <w:pPr>
        <w:pStyle w:val="FootnoteText"/>
        <w:rPr>
          <w:lang w:val="pt-BR"/>
        </w:rPr>
      </w:pPr>
      <w:r>
        <w:rPr>
          <w:rStyle w:val="FootnoteReference"/>
        </w:rPr>
        <w:footnoteRef/>
      </w:r>
      <w:r w:rsidRPr="007925BC">
        <w:rPr>
          <w:lang w:val="pt-BR"/>
        </w:rPr>
        <w:t xml:space="preserve"> </w:t>
      </w:r>
      <w:hyperlink r:id="rId12" w:history="1">
        <w:r w:rsidRPr="007925BC">
          <w:rPr>
            <w:rStyle w:val="Hyperlink"/>
            <w:lang w:val="pt-BR"/>
          </w:rPr>
          <w:t>http://www.iadb.org/es/paises/colombia/un-vistazo-a-los-proyectos,18432.html?query=&amp;status=&amp;sector=EN&amp;country=CO</w:t>
        </w:r>
      </w:hyperlink>
    </w:p>
    <w:p w14:paraId="1DCF7691" w14:textId="77777777" w:rsidR="008E0E19" w:rsidRPr="007925BC" w:rsidRDefault="008E0E19">
      <w:pPr>
        <w:pStyle w:val="FootnoteText"/>
        <w:rPr>
          <w:lang w:val="pt-BR"/>
        </w:rPr>
      </w:pPr>
    </w:p>
  </w:footnote>
  <w:footnote w:id="22">
    <w:p w14:paraId="3B04512C" w14:textId="77777777" w:rsidR="008E0E19" w:rsidRPr="007925BC" w:rsidRDefault="008E0E19">
      <w:pPr>
        <w:pStyle w:val="FootnoteText"/>
        <w:rPr>
          <w:lang w:val="pt-BR"/>
        </w:rPr>
      </w:pPr>
      <w:r>
        <w:rPr>
          <w:rStyle w:val="FootnoteReference"/>
        </w:rPr>
        <w:footnoteRef/>
      </w:r>
      <w:r w:rsidRPr="007925BC">
        <w:rPr>
          <w:lang w:val="pt-BR"/>
        </w:rPr>
        <w:t xml:space="preserve"> </w:t>
      </w:r>
      <w:hyperlink r:id="rId13" w:history="1">
        <w:r w:rsidRPr="007925BC">
          <w:rPr>
            <w:rStyle w:val="Hyperlink"/>
            <w:lang w:val="pt-BR"/>
          </w:rPr>
          <w:t>https://www.minminas.gov.co/inicio;jsessionid=3APA8GxcOsxY2JefppYJ0Iec.portal2</w:t>
        </w:r>
      </w:hyperlink>
    </w:p>
    <w:p w14:paraId="2FAADD2D" w14:textId="77777777" w:rsidR="008E0E19" w:rsidRPr="007925BC" w:rsidRDefault="00F43C0E">
      <w:pPr>
        <w:pStyle w:val="FootnoteText"/>
        <w:rPr>
          <w:lang w:val="pt-BR"/>
        </w:rPr>
      </w:pPr>
      <w:hyperlink r:id="rId14" w:history="1">
        <w:r w:rsidR="008E0E19" w:rsidRPr="007925BC">
          <w:rPr>
            <w:rStyle w:val="Hyperlink"/>
            <w:lang w:val="pt-BR"/>
          </w:rPr>
          <w:t>https://www.dnp.gov.co/Paginas/inicio.aspx</w:t>
        </w:r>
      </w:hyperlink>
    </w:p>
    <w:p w14:paraId="48F3D92B" w14:textId="77777777" w:rsidR="008E0E19" w:rsidRPr="007925BC" w:rsidRDefault="00F43C0E">
      <w:pPr>
        <w:pStyle w:val="FootnoteText"/>
        <w:rPr>
          <w:lang w:val="pt-BR"/>
        </w:rPr>
      </w:pPr>
      <w:hyperlink r:id="rId15" w:history="1">
        <w:r w:rsidR="008E0E19" w:rsidRPr="007925BC">
          <w:rPr>
            <w:rStyle w:val="Hyperlink"/>
            <w:lang w:val="pt-BR"/>
          </w:rPr>
          <w:t>http://www1.upme.gov.co/</w:t>
        </w:r>
      </w:hyperlink>
    </w:p>
    <w:p w14:paraId="4DDF2DF2" w14:textId="77777777" w:rsidR="008E0E19" w:rsidRPr="007925BC" w:rsidRDefault="00F43C0E">
      <w:pPr>
        <w:pStyle w:val="FootnoteText"/>
        <w:rPr>
          <w:lang w:val="pt-BR"/>
        </w:rPr>
      </w:pPr>
      <w:hyperlink r:id="rId16" w:history="1">
        <w:r w:rsidR="008E0E19" w:rsidRPr="007925BC">
          <w:rPr>
            <w:rStyle w:val="Hyperlink"/>
            <w:lang w:val="pt-BR"/>
          </w:rPr>
          <w:t>http://www.creg.gov.co/</w:t>
        </w:r>
      </w:hyperlink>
    </w:p>
    <w:p w14:paraId="05F28944" w14:textId="77777777" w:rsidR="008E0E19" w:rsidRPr="007925BC" w:rsidRDefault="008E0E19">
      <w:pPr>
        <w:pStyle w:val="FootnoteText"/>
        <w:rPr>
          <w:lang w:val="pt-BR"/>
        </w:rPr>
      </w:pPr>
    </w:p>
  </w:footnote>
  <w:footnote w:id="23">
    <w:p w14:paraId="44889BD7" w14:textId="77777777" w:rsidR="008E0E19" w:rsidRPr="0018436E" w:rsidRDefault="008E0E19">
      <w:pPr>
        <w:pStyle w:val="FootnoteText"/>
        <w:rPr>
          <w:lang w:val="es-ES"/>
        </w:rPr>
      </w:pPr>
      <w:r>
        <w:rPr>
          <w:rStyle w:val="FootnoteReference"/>
        </w:rPr>
        <w:footnoteRef/>
      </w:r>
      <w:r w:rsidRPr="007925BC">
        <w:rPr>
          <w:lang w:val="es-ES_tradnl"/>
        </w:rPr>
        <w:t xml:space="preserve"> </w:t>
      </w:r>
      <w:r>
        <w:rPr>
          <w:lang w:val="es-ES"/>
        </w:rPr>
        <w:t>Estudio desarrollado con el apoyo y participación del BID, base para la Ley 1715 de 2014.</w:t>
      </w:r>
    </w:p>
  </w:footnote>
  <w:footnote w:id="24">
    <w:p w14:paraId="47CF7267" w14:textId="77777777" w:rsidR="008E0E19" w:rsidRDefault="008E0E19">
      <w:pPr>
        <w:pStyle w:val="FootnoteText"/>
        <w:rPr>
          <w:lang w:val="es-ES"/>
        </w:rPr>
      </w:pPr>
      <w:r>
        <w:rPr>
          <w:rStyle w:val="FootnoteReference"/>
        </w:rPr>
        <w:footnoteRef/>
      </w:r>
      <w:r w:rsidRPr="007925BC">
        <w:rPr>
          <w:lang w:val="es-ES_tradnl"/>
        </w:rPr>
        <w:t xml:space="preserve"> </w:t>
      </w:r>
      <w:r>
        <w:rPr>
          <w:lang w:val="es-ES"/>
        </w:rPr>
        <w:t>Estudio desarrollado con el apoyo y participación del BID.</w:t>
      </w:r>
    </w:p>
    <w:p w14:paraId="7C64B773" w14:textId="77777777" w:rsidR="008E0E19" w:rsidRPr="004F1EF1" w:rsidRDefault="008E0E19">
      <w:pPr>
        <w:pStyle w:val="FootnoteText"/>
        <w:rPr>
          <w:lang w:val="es-ES"/>
        </w:rPr>
      </w:pPr>
    </w:p>
  </w:footnote>
  <w:footnote w:id="25">
    <w:p w14:paraId="2C6EE2C0" w14:textId="13E92C22" w:rsidR="008E0E19" w:rsidRPr="00B24717" w:rsidRDefault="008E0E19">
      <w:pPr>
        <w:pStyle w:val="FootnoteText"/>
        <w:rPr>
          <w:lang w:val="es-ES"/>
        </w:rPr>
      </w:pPr>
      <w:r>
        <w:rPr>
          <w:rStyle w:val="FootnoteReference"/>
        </w:rPr>
        <w:footnoteRef/>
      </w:r>
      <w:r w:rsidRPr="00B24717">
        <w:rPr>
          <w:lang w:val="es-ES_tradnl"/>
        </w:rPr>
        <w:t xml:space="preserve"> </w:t>
      </w:r>
      <w:r>
        <w:rPr>
          <w:lang w:val="es-ES"/>
        </w:rPr>
        <w:t>El BID apoyo la realización de tres de los estudios incluyendo el relacionado con el tema institucional.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7B24"/>
    <w:multiLevelType w:val="hybridMultilevel"/>
    <w:tmpl w:val="83E0BF5E"/>
    <w:lvl w:ilvl="0" w:tplc="040A0001">
      <w:start w:val="1"/>
      <w:numFmt w:val="bullet"/>
      <w:lvlText w:val=""/>
      <w:lvlJc w:val="left"/>
      <w:pPr>
        <w:ind w:left="300" w:hanging="360"/>
      </w:pPr>
      <w:rPr>
        <w:rFonts w:ascii="Symbol" w:hAnsi="Symbol" w:hint="default"/>
      </w:rPr>
    </w:lvl>
    <w:lvl w:ilvl="1" w:tplc="040A0003" w:tentative="1">
      <w:start w:val="1"/>
      <w:numFmt w:val="bullet"/>
      <w:lvlText w:val="o"/>
      <w:lvlJc w:val="left"/>
      <w:pPr>
        <w:ind w:left="1020" w:hanging="360"/>
      </w:pPr>
      <w:rPr>
        <w:rFonts w:ascii="Courier New" w:hAnsi="Courier New" w:cs="Courier New" w:hint="default"/>
      </w:rPr>
    </w:lvl>
    <w:lvl w:ilvl="2" w:tplc="040A0005" w:tentative="1">
      <w:start w:val="1"/>
      <w:numFmt w:val="bullet"/>
      <w:lvlText w:val=""/>
      <w:lvlJc w:val="left"/>
      <w:pPr>
        <w:ind w:left="1740" w:hanging="360"/>
      </w:pPr>
      <w:rPr>
        <w:rFonts w:ascii="Wingdings" w:hAnsi="Wingdings" w:hint="default"/>
      </w:rPr>
    </w:lvl>
    <w:lvl w:ilvl="3" w:tplc="040A0001" w:tentative="1">
      <w:start w:val="1"/>
      <w:numFmt w:val="bullet"/>
      <w:lvlText w:val=""/>
      <w:lvlJc w:val="left"/>
      <w:pPr>
        <w:ind w:left="2460" w:hanging="360"/>
      </w:pPr>
      <w:rPr>
        <w:rFonts w:ascii="Symbol" w:hAnsi="Symbol" w:hint="default"/>
      </w:rPr>
    </w:lvl>
    <w:lvl w:ilvl="4" w:tplc="040A0003" w:tentative="1">
      <w:start w:val="1"/>
      <w:numFmt w:val="bullet"/>
      <w:lvlText w:val="o"/>
      <w:lvlJc w:val="left"/>
      <w:pPr>
        <w:ind w:left="3180" w:hanging="360"/>
      </w:pPr>
      <w:rPr>
        <w:rFonts w:ascii="Courier New" w:hAnsi="Courier New" w:cs="Courier New" w:hint="default"/>
      </w:rPr>
    </w:lvl>
    <w:lvl w:ilvl="5" w:tplc="040A0005" w:tentative="1">
      <w:start w:val="1"/>
      <w:numFmt w:val="bullet"/>
      <w:lvlText w:val=""/>
      <w:lvlJc w:val="left"/>
      <w:pPr>
        <w:ind w:left="3900" w:hanging="360"/>
      </w:pPr>
      <w:rPr>
        <w:rFonts w:ascii="Wingdings" w:hAnsi="Wingdings" w:hint="default"/>
      </w:rPr>
    </w:lvl>
    <w:lvl w:ilvl="6" w:tplc="040A0001" w:tentative="1">
      <w:start w:val="1"/>
      <w:numFmt w:val="bullet"/>
      <w:lvlText w:val=""/>
      <w:lvlJc w:val="left"/>
      <w:pPr>
        <w:ind w:left="4620" w:hanging="360"/>
      </w:pPr>
      <w:rPr>
        <w:rFonts w:ascii="Symbol" w:hAnsi="Symbol" w:hint="default"/>
      </w:rPr>
    </w:lvl>
    <w:lvl w:ilvl="7" w:tplc="040A0003" w:tentative="1">
      <w:start w:val="1"/>
      <w:numFmt w:val="bullet"/>
      <w:lvlText w:val="o"/>
      <w:lvlJc w:val="left"/>
      <w:pPr>
        <w:ind w:left="5340" w:hanging="360"/>
      </w:pPr>
      <w:rPr>
        <w:rFonts w:ascii="Courier New" w:hAnsi="Courier New" w:cs="Courier New" w:hint="default"/>
      </w:rPr>
    </w:lvl>
    <w:lvl w:ilvl="8" w:tplc="040A0005" w:tentative="1">
      <w:start w:val="1"/>
      <w:numFmt w:val="bullet"/>
      <w:lvlText w:val=""/>
      <w:lvlJc w:val="left"/>
      <w:pPr>
        <w:ind w:left="6060" w:hanging="360"/>
      </w:pPr>
      <w:rPr>
        <w:rFonts w:ascii="Wingdings" w:hAnsi="Wingdings" w:hint="default"/>
      </w:rPr>
    </w:lvl>
  </w:abstractNum>
  <w:abstractNum w:abstractNumId="1" w15:restartNumberingAfterBreak="0">
    <w:nsid w:val="165735BA"/>
    <w:multiLevelType w:val="multilevel"/>
    <w:tmpl w:val="E230F6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BE06F7"/>
    <w:multiLevelType w:val="hybridMultilevel"/>
    <w:tmpl w:val="E2AC99F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24016643"/>
    <w:multiLevelType w:val="multilevel"/>
    <w:tmpl w:val="A42239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194B3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1B6B45"/>
    <w:multiLevelType w:val="hybridMultilevel"/>
    <w:tmpl w:val="0A3E6BFE"/>
    <w:lvl w:ilvl="0" w:tplc="0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44EC62FC"/>
    <w:multiLevelType w:val="hybridMultilevel"/>
    <w:tmpl w:val="E898BC5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47A265F8"/>
    <w:multiLevelType w:val="hybridMultilevel"/>
    <w:tmpl w:val="DF0A34C0"/>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49D52DFA"/>
    <w:multiLevelType w:val="hybridMultilevel"/>
    <w:tmpl w:val="3B963BE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EC208F9"/>
    <w:multiLevelType w:val="hybridMultilevel"/>
    <w:tmpl w:val="1694B33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15:restartNumberingAfterBreak="0">
    <w:nsid w:val="61BE7F0F"/>
    <w:multiLevelType w:val="hybridMultilevel"/>
    <w:tmpl w:val="63CA96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7502742"/>
    <w:multiLevelType w:val="hybridMultilevel"/>
    <w:tmpl w:val="E3FE434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6A396995"/>
    <w:multiLevelType w:val="hybridMultilevel"/>
    <w:tmpl w:val="C72EE84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72C70AFF"/>
    <w:multiLevelType w:val="hybridMultilevel"/>
    <w:tmpl w:val="1A0A58A0"/>
    <w:lvl w:ilvl="0" w:tplc="040A0001">
      <w:start w:val="1"/>
      <w:numFmt w:val="bullet"/>
      <w:lvlText w:val=""/>
      <w:lvlJc w:val="left"/>
      <w:pPr>
        <w:ind w:left="360" w:hanging="360"/>
      </w:pPr>
      <w:rPr>
        <w:rFonts w:ascii="Symbol" w:hAnsi="Symbol"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77F8346D"/>
    <w:multiLevelType w:val="hybridMultilevel"/>
    <w:tmpl w:val="F1BE8D78"/>
    <w:lvl w:ilvl="0" w:tplc="040A0001">
      <w:start w:val="1"/>
      <w:numFmt w:val="bullet"/>
      <w:lvlText w:val=""/>
      <w:lvlJc w:val="left"/>
      <w:pPr>
        <w:ind w:left="360" w:hanging="360"/>
      </w:pPr>
      <w:rPr>
        <w:rFonts w:ascii="Symbol" w:hAnsi="Symbol" w:hint="default"/>
      </w:rPr>
    </w:lvl>
    <w:lvl w:ilvl="1" w:tplc="040A0019" w:tentative="1">
      <w:start w:val="1"/>
      <w:numFmt w:val="lowerLetter"/>
      <w:lvlText w:val="%2."/>
      <w:lvlJc w:val="left"/>
      <w:pPr>
        <w:ind w:left="720" w:hanging="360"/>
      </w:pPr>
    </w:lvl>
    <w:lvl w:ilvl="2" w:tplc="040A001B" w:tentative="1">
      <w:start w:val="1"/>
      <w:numFmt w:val="lowerRoman"/>
      <w:lvlText w:val="%3."/>
      <w:lvlJc w:val="right"/>
      <w:pPr>
        <w:ind w:left="1440" w:hanging="180"/>
      </w:pPr>
    </w:lvl>
    <w:lvl w:ilvl="3" w:tplc="040A000F" w:tentative="1">
      <w:start w:val="1"/>
      <w:numFmt w:val="decimal"/>
      <w:lvlText w:val="%4."/>
      <w:lvlJc w:val="left"/>
      <w:pPr>
        <w:ind w:left="2160" w:hanging="360"/>
      </w:pPr>
    </w:lvl>
    <w:lvl w:ilvl="4" w:tplc="040A0019" w:tentative="1">
      <w:start w:val="1"/>
      <w:numFmt w:val="lowerLetter"/>
      <w:lvlText w:val="%5."/>
      <w:lvlJc w:val="left"/>
      <w:pPr>
        <w:ind w:left="2880" w:hanging="360"/>
      </w:pPr>
    </w:lvl>
    <w:lvl w:ilvl="5" w:tplc="040A001B" w:tentative="1">
      <w:start w:val="1"/>
      <w:numFmt w:val="lowerRoman"/>
      <w:lvlText w:val="%6."/>
      <w:lvlJc w:val="right"/>
      <w:pPr>
        <w:ind w:left="3600" w:hanging="180"/>
      </w:pPr>
    </w:lvl>
    <w:lvl w:ilvl="6" w:tplc="040A000F" w:tentative="1">
      <w:start w:val="1"/>
      <w:numFmt w:val="decimal"/>
      <w:lvlText w:val="%7."/>
      <w:lvlJc w:val="left"/>
      <w:pPr>
        <w:ind w:left="4320" w:hanging="360"/>
      </w:pPr>
    </w:lvl>
    <w:lvl w:ilvl="7" w:tplc="040A0019" w:tentative="1">
      <w:start w:val="1"/>
      <w:numFmt w:val="lowerLetter"/>
      <w:lvlText w:val="%8."/>
      <w:lvlJc w:val="left"/>
      <w:pPr>
        <w:ind w:left="5040" w:hanging="360"/>
      </w:pPr>
    </w:lvl>
    <w:lvl w:ilvl="8" w:tplc="040A001B" w:tentative="1">
      <w:start w:val="1"/>
      <w:numFmt w:val="lowerRoman"/>
      <w:lvlText w:val="%9."/>
      <w:lvlJc w:val="right"/>
      <w:pPr>
        <w:ind w:left="5760" w:hanging="180"/>
      </w:pPr>
    </w:lvl>
  </w:abstractNum>
  <w:num w:numId="1">
    <w:abstractNumId w:val="4"/>
  </w:num>
  <w:num w:numId="2">
    <w:abstractNumId w:val="14"/>
  </w:num>
  <w:num w:numId="3">
    <w:abstractNumId w:val="1"/>
  </w:num>
  <w:num w:numId="4">
    <w:abstractNumId w:val="12"/>
  </w:num>
  <w:num w:numId="5">
    <w:abstractNumId w:val="0"/>
  </w:num>
  <w:num w:numId="6">
    <w:abstractNumId w:val="13"/>
  </w:num>
  <w:num w:numId="7">
    <w:abstractNumId w:val="10"/>
  </w:num>
  <w:num w:numId="8">
    <w:abstractNumId w:val="9"/>
  </w:num>
  <w:num w:numId="9">
    <w:abstractNumId w:val="3"/>
  </w:num>
  <w:num w:numId="10">
    <w:abstractNumId w:val="8"/>
  </w:num>
  <w:num w:numId="11">
    <w:abstractNumId w:val="5"/>
  </w:num>
  <w:num w:numId="12">
    <w:abstractNumId w:val="2"/>
  </w:num>
  <w:num w:numId="13">
    <w:abstractNumId w:val="7"/>
  </w:num>
  <w:num w:numId="14">
    <w:abstractNumId w:val="11"/>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53"/>
    <w:rsid w:val="00004840"/>
    <w:rsid w:val="000066DA"/>
    <w:rsid w:val="00010534"/>
    <w:rsid w:val="0001137D"/>
    <w:rsid w:val="0001202F"/>
    <w:rsid w:val="00012D35"/>
    <w:rsid w:val="00014509"/>
    <w:rsid w:val="00014BA8"/>
    <w:rsid w:val="00016007"/>
    <w:rsid w:val="0002087F"/>
    <w:rsid w:val="00021FD7"/>
    <w:rsid w:val="0002357D"/>
    <w:rsid w:val="00024167"/>
    <w:rsid w:val="000409CB"/>
    <w:rsid w:val="000417D4"/>
    <w:rsid w:val="00041A4A"/>
    <w:rsid w:val="00044C70"/>
    <w:rsid w:val="0005083B"/>
    <w:rsid w:val="000525EC"/>
    <w:rsid w:val="000554F7"/>
    <w:rsid w:val="0006216D"/>
    <w:rsid w:val="00062365"/>
    <w:rsid w:val="00066E0C"/>
    <w:rsid w:val="00067DF2"/>
    <w:rsid w:val="00070F7B"/>
    <w:rsid w:val="00073CB3"/>
    <w:rsid w:val="000744BA"/>
    <w:rsid w:val="0007470E"/>
    <w:rsid w:val="0007686B"/>
    <w:rsid w:val="0008262D"/>
    <w:rsid w:val="00082DF8"/>
    <w:rsid w:val="000835E6"/>
    <w:rsid w:val="00087480"/>
    <w:rsid w:val="00090752"/>
    <w:rsid w:val="00090BDB"/>
    <w:rsid w:val="000915C0"/>
    <w:rsid w:val="0009270B"/>
    <w:rsid w:val="000932CB"/>
    <w:rsid w:val="000A03BB"/>
    <w:rsid w:val="000A27C8"/>
    <w:rsid w:val="000A6689"/>
    <w:rsid w:val="000A7DE2"/>
    <w:rsid w:val="000B289A"/>
    <w:rsid w:val="000B4723"/>
    <w:rsid w:val="000C2034"/>
    <w:rsid w:val="000C3F33"/>
    <w:rsid w:val="000D2467"/>
    <w:rsid w:val="000D2B70"/>
    <w:rsid w:val="000D4ED9"/>
    <w:rsid w:val="000D5BE9"/>
    <w:rsid w:val="000D7129"/>
    <w:rsid w:val="000E013C"/>
    <w:rsid w:val="000E2057"/>
    <w:rsid w:val="000E4F34"/>
    <w:rsid w:val="000E760A"/>
    <w:rsid w:val="000E7BB2"/>
    <w:rsid w:val="000F1671"/>
    <w:rsid w:val="000F1C9D"/>
    <w:rsid w:val="000F2267"/>
    <w:rsid w:val="000F433A"/>
    <w:rsid w:val="000F4891"/>
    <w:rsid w:val="000F4A78"/>
    <w:rsid w:val="000F4D1C"/>
    <w:rsid w:val="000F5353"/>
    <w:rsid w:val="000F6DF4"/>
    <w:rsid w:val="000F7043"/>
    <w:rsid w:val="001002C0"/>
    <w:rsid w:val="00101007"/>
    <w:rsid w:val="001024E7"/>
    <w:rsid w:val="00104C7F"/>
    <w:rsid w:val="00110DF7"/>
    <w:rsid w:val="00111166"/>
    <w:rsid w:val="00114453"/>
    <w:rsid w:val="00114882"/>
    <w:rsid w:val="00121F44"/>
    <w:rsid w:val="00122DED"/>
    <w:rsid w:val="001242FA"/>
    <w:rsid w:val="00130023"/>
    <w:rsid w:val="001302BC"/>
    <w:rsid w:val="00130B18"/>
    <w:rsid w:val="00132BA5"/>
    <w:rsid w:val="00133E4A"/>
    <w:rsid w:val="001345B2"/>
    <w:rsid w:val="001353F0"/>
    <w:rsid w:val="00135823"/>
    <w:rsid w:val="00136627"/>
    <w:rsid w:val="00144B92"/>
    <w:rsid w:val="00146363"/>
    <w:rsid w:val="001469B9"/>
    <w:rsid w:val="00153CD9"/>
    <w:rsid w:val="00153F6A"/>
    <w:rsid w:val="00154580"/>
    <w:rsid w:val="00161309"/>
    <w:rsid w:val="00161736"/>
    <w:rsid w:val="00162664"/>
    <w:rsid w:val="001705EB"/>
    <w:rsid w:val="00170601"/>
    <w:rsid w:val="001718CF"/>
    <w:rsid w:val="001724BD"/>
    <w:rsid w:val="001749CC"/>
    <w:rsid w:val="00180577"/>
    <w:rsid w:val="00182212"/>
    <w:rsid w:val="00182377"/>
    <w:rsid w:val="001823B6"/>
    <w:rsid w:val="0018436E"/>
    <w:rsid w:val="001857F3"/>
    <w:rsid w:val="00186A84"/>
    <w:rsid w:val="00190EEF"/>
    <w:rsid w:val="00191E19"/>
    <w:rsid w:val="00191FDA"/>
    <w:rsid w:val="00192FDE"/>
    <w:rsid w:val="001960B9"/>
    <w:rsid w:val="00197BDB"/>
    <w:rsid w:val="001A1501"/>
    <w:rsid w:val="001A1E21"/>
    <w:rsid w:val="001A781F"/>
    <w:rsid w:val="001B0D98"/>
    <w:rsid w:val="001B255B"/>
    <w:rsid w:val="001B2AD2"/>
    <w:rsid w:val="001B6902"/>
    <w:rsid w:val="001C0974"/>
    <w:rsid w:val="001C0D7E"/>
    <w:rsid w:val="001C2E7D"/>
    <w:rsid w:val="001C5597"/>
    <w:rsid w:val="001C5B20"/>
    <w:rsid w:val="001D1B9B"/>
    <w:rsid w:val="001D3DED"/>
    <w:rsid w:val="001D5579"/>
    <w:rsid w:val="001D631E"/>
    <w:rsid w:val="001D6FAC"/>
    <w:rsid w:val="001D700C"/>
    <w:rsid w:val="001E14BD"/>
    <w:rsid w:val="001E27DA"/>
    <w:rsid w:val="001E3680"/>
    <w:rsid w:val="001E401F"/>
    <w:rsid w:val="001E48A2"/>
    <w:rsid w:val="001E4FD2"/>
    <w:rsid w:val="001F3FDF"/>
    <w:rsid w:val="001F50BD"/>
    <w:rsid w:val="001F75C1"/>
    <w:rsid w:val="00202961"/>
    <w:rsid w:val="002029F3"/>
    <w:rsid w:val="00202E5A"/>
    <w:rsid w:val="00204DA3"/>
    <w:rsid w:val="002053F9"/>
    <w:rsid w:val="00210224"/>
    <w:rsid w:val="002174EA"/>
    <w:rsid w:val="00217EC1"/>
    <w:rsid w:val="00221148"/>
    <w:rsid w:val="002222DB"/>
    <w:rsid w:val="0022484D"/>
    <w:rsid w:val="002275A6"/>
    <w:rsid w:val="0023256D"/>
    <w:rsid w:val="00233843"/>
    <w:rsid w:val="00233ED5"/>
    <w:rsid w:val="00233F5C"/>
    <w:rsid w:val="0023672F"/>
    <w:rsid w:val="002401A7"/>
    <w:rsid w:val="0024495A"/>
    <w:rsid w:val="00245709"/>
    <w:rsid w:val="00247F74"/>
    <w:rsid w:val="0025244C"/>
    <w:rsid w:val="0025251F"/>
    <w:rsid w:val="00253E0A"/>
    <w:rsid w:val="00256107"/>
    <w:rsid w:val="00257B95"/>
    <w:rsid w:val="00260097"/>
    <w:rsid w:val="0026233B"/>
    <w:rsid w:val="00262B01"/>
    <w:rsid w:val="00267171"/>
    <w:rsid w:val="002705FE"/>
    <w:rsid w:val="00270CDB"/>
    <w:rsid w:val="00274FCE"/>
    <w:rsid w:val="0027578D"/>
    <w:rsid w:val="002847BC"/>
    <w:rsid w:val="002868F6"/>
    <w:rsid w:val="0028754A"/>
    <w:rsid w:val="002879CE"/>
    <w:rsid w:val="00287DD2"/>
    <w:rsid w:val="0029013A"/>
    <w:rsid w:val="002901A0"/>
    <w:rsid w:val="00291B28"/>
    <w:rsid w:val="00292516"/>
    <w:rsid w:val="00293F82"/>
    <w:rsid w:val="00295826"/>
    <w:rsid w:val="002965B3"/>
    <w:rsid w:val="002969B6"/>
    <w:rsid w:val="00297286"/>
    <w:rsid w:val="002975BC"/>
    <w:rsid w:val="00297D9C"/>
    <w:rsid w:val="002A09C0"/>
    <w:rsid w:val="002A1405"/>
    <w:rsid w:val="002A3437"/>
    <w:rsid w:val="002A58C7"/>
    <w:rsid w:val="002A5D2E"/>
    <w:rsid w:val="002B1AA6"/>
    <w:rsid w:val="002B1CFD"/>
    <w:rsid w:val="002B280E"/>
    <w:rsid w:val="002B7CC7"/>
    <w:rsid w:val="002C1673"/>
    <w:rsid w:val="002C3577"/>
    <w:rsid w:val="002C3B13"/>
    <w:rsid w:val="002C565F"/>
    <w:rsid w:val="002C577C"/>
    <w:rsid w:val="002C6A80"/>
    <w:rsid w:val="002C78F4"/>
    <w:rsid w:val="002D0F3B"/>
    <w:rsid w:val="002D578B"/>
    <w:rsid w:val="002D578C"/>
    <w:rsid w:val="002D5D20"/>
    <w:rsid w:val="002D7D90"/>
    <w:rsid w:val="002E3502"/>
    <w:rsid w:val="002F24BC"/>
    <w:rsid w:val="002F2712"/>
    <w:rsid w:val="002F2C61"/>
    <w:rsid w:val="002F2D06"/>
    <w:rsid w:val="002F38DE"/>
    <w:rsid w:val="002F6DCC"/>
    <w:rsid w:val="00301BD3"/>
    <w:rsid w:val="0030518A"/>
    <w:rsid w:val="003055B7"/>
    <w:rsid w:val="0030681F"/>
    <w:rsid w:val="00310E86"/>
    <w:rsid w:val="00312A70"/>
    <w:rsid w:val="003150ED"/>
    <w:rsid w:val="00315D39"/>
    <w:rsid w:val="003176A2"/>
    <w:rsid w:val="003215D9"/>
    <w:rsid w:val="00323172"/>
    <w:rsid w:val="00323E1F"/>
    <w:rsid w:val="0032534E"/>
    <w:rsid w:val="00325C26"/>
    <w:rsid w:val="00326B05"/>
    <w:rsid w:val="00331878"/>
    <w:rsid w:val="003328E3"/>
    <w:rsid w:val="00333243"/>
    <w:rsid w:val="00334F48"/>
    <w:rsid w:val="0033581A"/>
    <w:rsid w:val="00335BD7"/>
    <w:rsid w:val="003368D0"/>
    <w:rsid w:val="0034082B"/>
    <w:rsid w:val="00340C1C"/>
    <w:rsid w:val="00342E57"/>
    <w:rsid w:val="00344C9F"/>
    <w:rsid w:val="00350BE9"/>
    <w:rsid w:val="00351AFC"/>
    <w:rsid w:val="00353412"/>
    <w:rsid w:val="003534B6"/>
    <w:rsid w:val="00354211"/>
    <w:rsid w:val="003544EC"/>
    <w:rsid w:val="00356966"/>
    <w:rsid w:val="00356DD4"/>
    <w:rsid w:val="00363BB2"/>
    <w:rsid w:val="00364123"/>
    <w:rsid w:val="003672C8"/>
    <w:rsid w:val="003707AC"/>
    <w:rsid w:val="00370DBE"/>
    <w:rsid w:val="00371119"/>
    <w:rsid w:val="003730B0"/>
    <w:rsid w:val="00373494"/>
    <w:rsid w:val="00373563"/>
    <w:rsid w:val="00373AE9"/>
    <w:rsid w:val="0037577B"/>
    <w:rsid w:val="00375A0E"/>
    <w:rsid w:val="00376023"/>
    <w:rsid w:val="003760AD"/>
    <w:rsid w:val="00377AB6"/>
    <w:rsid w:val="003805AF"/>
    <w:rsid w:val="00380E99"/>
    <w:rsid w:val="00381388"/>
    <w:rsid w:val="003829D9"/>
    <w:rsid w:val="00383B6E"/>
    <w:rsid w:val="00384697"/>
    <w:rsid w:val="00387016"/>
    <w:rsid w:val="0038755A"/>
    <w:rsid w:val="00393B2A"/>
    <w:rsid w:val="0039422B"/>
    <w:rsid w:val="003A0376"/>
    <w:rsid w:val="003A098B"/>
    <w:rsid w:val="003A0B69"/>
    <w:rsid w:val="003A3EAC"/>
    <w:rsid w:val="003A56FB"/>
    <w:rsid w:val="003A5A72"/>
    <w:rsid w:val="003B07DF"/>
    <w:rsid w:val="003B4986"/>
    <w:rsid w:val="003C05BB"/>
    <w:rsid w:val="003C153C"/>
    <w:rsid w:val="003C1860"/>
    <w:rsid w:val="003C1BC2"/>
    <w:rsid w:val="003C39E1"/>
    <w:rsid w:val="003C40FC"/>
    <w:rsid w:val="003C41DF"/>
    <w:rsid w:val="003C5F09"/>
    <w:rsid w:val="003C681D"/>
    <w:rsid w:val="003C70D2"/>
    <w:rsid w:val="003D0299"/>
    <w:rsid w:val="003D1739"/>
    <w:rsid w:val="003D36FD"/>
    <w:rsid w:val="003D5039"/>
    <w:rsid w:val="003D5E45"/>
    <w:rsid w:val="003D7C4D"/>
    <w:rsid w:val="003E0846"/>
    <w:rsid w:val="003E1EAC"/>
    <w:rsid w:val="003E2A34"/>
    <w:rsid w:val="003E301B"/>
    <w:rsid w:val="003E31A3"/>
    <w:rsid w:val="003E561B"/>
    <w:rsid w:val="003E624B"/>
    <w:rsid w:val="003E6290"/>
    <w:rsid w:val="003F66E0"/>
    <w:rsid w:val="003F6829"/>
    <w:rsid w:val="004004DC"/>
    <w:rsid w:val="00401D1F"/>
    <w:rsid w:val="00401E16"/>
    <w:rsid w:val="00404823"/>
    <w:rsid w:val="00404AB6"/>
    <w:rsid w:val="004062CC"/>
    <w:rsid w:val="00407822"/>
    <w:rsid w:val="004121F8"/>
    <w:rsid w:val="004126E1"/>
    <w:rsid w:val="00415C95"/>
    <w:rsid w:val="0041659D"/>
    <w:rsid w:val="004202EE"/>
    <w:rsid w:val="00422BB3"/>
    <w:rsid w:val="004230D1"/>
    <w:rsid w:val="00423A71"/>
    <w:rsid w:val="00423C7D"/>
    <w:rsid w:val="004271FD"/>
    <w:rsid w:val="0043086E"/>
    <w:rsid w:val="00435FE4"/>
    <w:rsid w:val="004402B0"/>
    <w:rsid w:val="00440ED7"/>
    <w:rsid w:val="004436E2"/>
    <w:rsid w:val="00443ECB"/>
    <w:rsid w:val="00445B1A"/>
    <w:rsid w:val="00446118"/>
    <w:rsid w:val="004461A7"/>
    <w:rsid w:val="00446911"/>
    <w:rsid w:val="00450190"/>
    <w:rsid w:val="00450AE7"/>
    <w:rsid w:val="00450EB9"/>
    <w:rsid w:val="00450ED0"/>
    <w:rsid w:val="00452932"/>
    <w:rsid w:val="00454511"/>
    <w:rsid w:val="00454AAD"/>
    <w:rsid w:val="00455828"/>
    <w:rsid w:val="00455BB5"/>
    <w:rsid w:val="004617AB"/>
    <w:rsid w:val="004654BC"/>
    <w:rsid w:val="00470DBE"/>
    <w:rsid w:val="0048221C"/>
    <w:rsid w:val="004827C5"/>
    <w:rsid w:val="00491EEB"/>
    <w:rsid w:val="00493B9E"/>
    <w:rsid w:val="0049562F"/>
    <w:rsid w:val="004970F4"/>
    <w:rsid w:val="004A1287"/>
    <w:rsid w:val="004A3750"/>
    <w:rsid w:val="004A43EE"/>
    <w:rsid w:val="004A52ED"/>
    <w:rsid w:val="004B061C"/>
    <w:rsid w:val="004B1666"/>
    <w:rsid w:val="004B33CF"/>
    <w:rsid w:val="004B3C01"/>
    <w:rsid w:val="004C1075"/>
    <w:rsid w:val="004C2D62"/>
    <w:rsid w:val="004C3E96"/>
    <w:rsid w:val="004D5AC4"/>
    <w:rsid w:val="004D7C97"/>
    <w:rsid w:val="004E22F7"/>
    <w:rsid w:val="004E3733"/>
    <w:rsid w:val="004E3ADB"/>
    <w:rsid w:val="004E53F7"/>
    <w:rsid w:val="004F058D"/>
    <w:rsid w:val="004F1E59"/>
    <w:rsid w:val="004F1EF1"/>
    <w:rsid w:val="004F52E2"/>
    <w:rsid w:val="004F73E1"/>
    <w:rsid w:val="00500C1B"/>
    <w:rsid w:val="00502E17"/>
    <w:rsid w:val="00504E42"/>
    <w:rsid w:val="00506855"/>
    <w:rsid w:val="005077C0"/>
    <w:rsid w:val="00510FFC"/>
    <w:rsid w:val="00511575"/>
    <w:rsid w:val="005124F2"/>
    <w:rsid w:val="00514B2A"/>
    <w:rsid w:val="005178B0"/>
    <w:rsid w:val="005372E9"/>
    <w:rsid w:val="00543257"/>
    <w:rsid w:val="0054354B"/>
    <w:rsid w:val="00543F95"/>
    <w:rsid w:val="00544F6B"/>
    <w:rsid w:val="00546F99"/>
    <w:rsid w:val="00550B3B"/>
    <w:rsid w:val="00551E35"/>
    <w:rsid w:val="00560AF1"/>
    <w:rsid w:val="005621CC"/>
    <w:rsid w:val="005635A1"/>
    <w:rsid w:val="005638BA"/>
    <w:rsid w:val="005672D9"/>
    <w:rsid w:val="00570361"/>
    <w:rsid w:val="00571A32"/>
    <w:rsid w:val="0057371A"/>
    <w:rsid w:val="00575FCE"/>
    <w:rsid w:val="00576433"/>
    <w:rsid w:val="00580F17"/>
    <w:rsid w:val="00582BD4"/>
    <w:rsid w:val="0058405E"/>
    <w:rsid w:val="0058486A"/>
    <w:rsid w:val="005848F0"/>
    <w:rsid w:val="0058616E"/>
    <w:rsid w:val="00590A30"/>
    <w:rsid w:val="005961AC"/>
    <w:rsid w:val="00597906"/>
    <w:rsid w:val="005A0B4D"/>
    <w:rsid w:val="005A1A72"/>
    <w:rsid w:val="005A2190"/>
    <w:rsid w:val="005A352A"/>
    <w:rsid w:val="005A37F2"/>
    <w:rsid w:val="005A4672"/>
    <w:rsid w:val="005A4FC8"/>
    <w:rsid w:val="005A663B"/>
    <w:rsid w:val="005B079C"/>
    <w:rsid w:val="005B4D03"/>
    <w:rsid w:val="005B60FA"/>
    <w:rsid w:val="005C1F81"/>
    <w:rsid w:val="005C39B2"/>
    <w:rsid w:val="005C49B4"/>
    <w:rsid w:val="005C7A48"/>
    <w:rsid w:val="005C7AD6"/>
    <w:rsid w:val="005D4FF9"/>
    <w:rsid w:val="005D7422"/>
    <w:rsid w:val="005E0F7E"/>
    <w:rsid w:val="005E5783"/>
    <w:rsid w:val="005E6816"/>
    <w:rsid w:val="005E7882"/>
    <w:rsid w:val="005F392E"/>
    <w:rsid w:val="005F550C"/>
    <w:rsid w:val="00603648"/>
    <w:rsid w:val="00603CF9"/>
    <w:rsid w:val="006056E8"/>
    <w:rsid w:val="00607F7A"/>
    <w:rsid w:val="0061183A"/>
    <w:rsid w:val="00613682"/>
    <w:rsid w:val="006140FB"/>
    <w:rsid w:val="006206D8"/>
    <w:rsid w:val="0062161B"/>
    <w:rsid w:val="00621775"/>
    <w:rsid w:val="00625553"/>
    <w:rsid w:val="00626B68"/>
    <w:rsid w:val="00626EA1"/>
    <w:rsid w:val="00627687"/>
    <w:rsid w:val="0063059C"/>
    <w:rsid w:val="006314F8"/>
    <w:rsid w:val="00631606"/>
    <w:rsid w:val="006327A2"/>
    <w:rsid w:val="006327B1"/>
    <w:rsid w:val="0063523B"/>
    <w:rsid w:val="006357D2"/>
    <w:rsid w:val="00635CCF"/>
    <w:rsid w:val="006360E5"/>
    <w:rsid w:val="006401E9"/>
    <w:rsid w:val="00640A3E"/>
    <w:rsid w:val="006412BB"/>
    <w:rsid w:val="006440AE"/>
    <w:rsid w:val="006449DF"/>
    <w:rsid w:val="00651625"/>
    <w:rsid w:val="00654011"/>
    <w:rsid w:val="00654DF1"/>
    <w:rsid w:val="00657C88"/>
    <w:rsid w:val="00663674"/>
    <w:rsid w:val="0066614B"/>
    <w:rsid w:val="00674FB2"/>
    <w:rsid w:val="006818A5"/>
    <w:rsid w:val="006914E4"/>
    <w:rsid w:val="00692AC5"/>
    <w:rsid w:val="006941D0"/>
    <w:rsid w:val="00697F0F"/>
    <w:rsid w:val="00697FBD"/>
    <w:rsid w:val="006A104F"/>
    <w:rsid w:val="006A1912"/>
    <w:rsid w:val="006A3BC7"/>
    <w:rsid w:val="006A71E0"/>
    <w:rsid w:val="006B137C"/>
    <w:rsid w:val="006B301C"/>
    <w:rsid w:val="006B462C"/>
    <w:rsid w:val="006B4A2F"/>
    <w:rsid w:val="006B5F22"/>
    <w:rsid w:val="006C2073"/>
    <w:rsid w:val="006C6E74"/>
    <w:rsid w:val="006C7108"/>
    <w:rsid w:val="006C76DD"/>
    <w:rsid w:val="006D092D"/>
    <w:rsid w:val="006D172E"/>
    <w:rsid w:val="006D24C1"/>
    <w:rsid w:val="006D37A1"/>
    <w:rsid w:val="006D39F9"/>
    <w:rsid w:val="006D3E29"/>
    <w:rsid w:val="006D43EE"/>
    <w:rsid w:val="006D5D41"/>
    <w:rsid w:val="006D6448"/>
    <w:rsid w:val="006D68A7"/>
    <w:rsid w:val="006E10CA"/>
    <w:rsid w:val="006E3542"/>
    <w:rsid w:val="006E3977"/>
    <w:rsid w:val="006E62D3"/>
    <w:rsid w:val="006E630C"/>
    <w:rsid w:val="006E79A2"/>
    <w:rsid w:val="006F1A11"/>
    <w:rsid w:val="006F41BC"/>
    <w:rsid w:val="006F4CFA"/>
    <w:rsid w:val="006F5340"/>
    <w:rsid w:val="006F5A51"/>
    <w:rsid w:val="00706FA8"/>
    <w:rsid w:val="0070757F"/>
    <w:rsid w:val="00713364"/>
    <w:rsid w:val="00714535"/>
    <w:rsid w:val="00715556"/>
    <w:rsid w:val="00722232"/>
    <w:rsid w:val="00724051"/>
    <w:rsid w:val="0072531D"/>
    <w:rsid w:val="00726AC8"/>
    <w:rsid w:val="00726D8D"/>
    <w:rsid w:val="00727F95"/>
    <w:rsid w:val="00731305"/>
    <w:rsid w:val="0073234D"/>
    <w:rsid w:val="00733CEA"/>
    <w:rsid w:val="00734877"/>
    <w:rsid w:val="00734D70"/>
    <w:rsid w:val="00736483"/>
    <w:rsid w:val="00736D83"/>
    <w:rsid w:val="007378DD"/>
    <w:rsid w:val="00741054"/>
    <w:rsid w:val="007414FF"/>
    <w:rsid w:val="00743BB2"/>
    <w:rsid w:val="007467F5"/>
    <w:rsid w:val="00750519"/>
    <w:rsid w:val="00750F89"/>
    <w:rsid w:val="007511FD"/>
    <w:rsid w:val="00757BAE"/>
    <w:rsid w:val="0076010A"/>
    <w:rsid w:val="00760570"/>
    <w:rsid w:val="00761ADA"/>
    <w:rsid w:val="007647DC"/>
    <w:rsid w:val="00765975"/>
    <w:rsid w:val="007662E0"/>
    <w:rsid w:val="007706B8"/>
    <w:rsid w:val="00772B50"/>
    <w:rsid w:val="0078469F"/>
    <w:rsid w:val="007846DA"/>
    <w:rsid w:val="00786016"/>
    <w:rsid w:val="00791560"/>
    <w:rsid w:val="0079223A"/>
    <w:rsid w:val="00792403"/>
    <w:rsid w:val="007925BC"/>
    <w:rsid w:val="00794B3F"/>
    <w:rsid w:val="0079580E"/>
    <w:rsid w:val="00795BB4"/>
    <w:rsid w:val="0079600A"/>
    <w:rsid w:val="0079788E"/>
    <w:rsid w:val="0079799E"/>
    <w:rsid w:val="007A0513"/>
    <w:rsid w:val="007A2446"/>
    <w:rsid w:val="007A3620"/>
    <w:rsid w:val="007A3BA3"/>
    <w:rsid w:val="007A4026"/>
    <w:rsid w:val="007A47C4"/>
    <w:rsid w:val="007A493E"/>
    <w:rsid w:val="007A6348"/>
    <w:rsid w:val="007A67FD"/>
    <w:rsid w:val="007A6C17"/>
    <w:rsid w:val="007B30E5"/>
    <w:rsid w:val="007B6C72"/>
    <w:rsid w:val="007C338E"/>
    <w:rsid w:val="007C4278"/>
    <w:rsid w:val="007C5787"/>
    <w:rsid w:val="007C6BD2"/>
    <w:rsid w:val="007C7524"/>
    <w:rsid w:val="007C7EF4"/>
    <w:rsid w:val="007D02DF"/>
    <w:rsid w:val="007D09C7"/>
    <w:rsid w:val="007D2B7F"/>
    <w:rsid w:val="007D431F"/>
    <w:rsid w:val="007D47A5"/>
    <w:rsid w:val="007E4757"/>
    <w:rsid w:val="007E6101"/>
    <w:rsid w:val="007E622B"/>
    <w:rsid w:val="007E6B3E"/>
    <w:rsid w:val="007E7A35"/>
    <w:rsid w:val="007E7ACA"/>
    <w:rsid w:val="007F219C"/>
    <w:rsid w:val="007F5091"/>
    <w:rsid w:val="007F58B5"/>
    <w:rsid w:val="007F6FC6"/>
    <w:rsid w:val="007F73B9"/>
    <w:rsid w:val="00801FD0"/>
    <w:rsid w:val="008025E4"/>
    <w:rsid w:val="00802660"/>
    <w:rsid w:val="0080401B"/>
    <w:rsid w:val="008063BC"/>
    <w:rsid w:val="008071CB"/>
    <w:rsid w:val="00811205"/>
    <w:rsid w:val="00811396"/>
    <w:rsid w:val="00816D6D"/>
    <w:rsid w:val="00817418"/>
    <w:rsid w:val="00817662"/>
    <w:rsid w:val="00817C20"/>
    <w:rsid w:val="00821A49"/>
    <w:rsid w:val="00824503"/>
    <w:rsid w:val="00824D62"/>
    <w:rsid w:val="0082570F"/>
    <w:rsid w:val="0083061F"/>
    <w:rsid w:val="00834FFF"/>
    <w:rsid w:val="008418E6"/>
    <w:rsid w:val="0084359D"/>
    <w:rsid w:val="00847656"/>
    <w:rsid w:val="008501B5"/>
    <w:rsid w:val="0085077A"/>
    <w:rsid w:val="00854AF1"/>
    <w:rsid w:val="0085575C"/>
    <w:rsid w:val="0086139D"/>
    <w:rsid w:val="00862AF3"/>
    <w:rsid w:val="008644F6"/>
    <w:rsid w:val="0086467D"/>
    <w:rsid w:val="00865254"/>
    <w:rsid w:val="008658F0"/>
    <w:rsid w:val="00865DC9"/>
    <w:rsid w:val="0087117A"/>
    <w:rsid w:val="00871315"/>
    <w:rsid w:val="00872486"/>
    <w:rsid w:val="00872741"/>
    <w:rsid w:val="00872D59"/>
    <w:rsid w:val="0087345D"/>
    <w:rsid w:val="00873CAD"/>
    <w:rsid w:val="00873D58"/>
    <w:rsid w:val="008740DE"/>
    <w:rsid w:val="00877DC4"/>
    <w:rsid w:val="00880593"/>
    <w:rsid w:val="00880A9D"/>
    <w:rsid w:val="0088204C"/>
    <w:rsid w:val="00885C0C"/>
    <w:rsid w:val="0088625B"/>
    <w:rsid w:val="0089045F"/>
    <w:rsid w:val="00890AD9"/>
    <w:rsid w:val="00891577"/>
    <w:rsid w:val="0089252B"/>
    <w:rsid w:val="00893173"/>
    <w:rsid w:val="00896EE5"/>
    <w:rsid w:val="0089764A"/>
    <w:rsid w:val="00897813"/>
    <w:rsid w:val="008A3B3F"/>
    <w:rsid w:val="008A50A1"/>
    <w:rsid w:val="008A5117"/>
    <w:rsid w:val="008B1178"/>
    <w:rsid w:val="008B1523"/>
    <w:rsid w:val="008B37CC"/>
    <w:rsid w:val="008B3B5A"/>
    <w:rsid w:val="008B3F6D"/>
    <w:rsid w:val="008B5EB0"/>
    <w:rsid w:val="008C1492"/>
    <w:rsid w:val="008C40CB"/>
    <w:rsid w:val="008C4301"/>
    <w:rsid w:val="008C43EE"/>
    <w:rsid w:val="008C46AC"/>
    <w:rsid w:val="008C53B5"/>
    <w:rsid w:val="008D0FF5"/>
    <w:rsid w:val="008D20A8"/>
    <w:rsid w:val="008D54F7"/>
    <w:rsid w:val="008D5AD2"/>
    <w:rsid w:val="008D6F8B"/>
    <w:rsid w:val="008E0E19"/>
    <w:rsid w:val="008E10C6"/>
    <w:rsid w:val="008F03B5"/>
    <w:rsid w:val="0090046B"/>
    <w:rsid w:val="00901E71"/>
    <w:rsid w:val="009023CB"/>
    <w:rsid w:val="009035C9"/>
    <w:rsid w:val="009066BD"/>
    <w:rsid w:val="00910D42"/>
    <w:rsid w:val="009148D9"/>
    <w:rsid w:val="00915C2C"/>
    <w:rsid w:val="00915E16"/>
    <w:rsid w:val="00915FBA"/>
    <w:rsid w:val="0091636B"/>
    <w:rsid w:val="00925EC2"/>
    <w:rsid w:val="009312B0"/>
    <w:rsid w:val="00933D89"/>
    <w:rsid w:val="0093692A"/>
    <w:rsid w:val="009379F7"/>
    <w:rsid w:val="0094135D"/>
    <w:rsid w:val="00942915"/>
    <w:rsid w:val="00943A6C"/>
    <w:rsid w:val="00943E2E"/>
    <w:rsid w:val="00944C3C"/>
    <w:rsid w:val="009450BE"/>
    <w:rsid w:val="009473A9"/>
    <w:rsid w:val="00947F50"/>
    <w:rsid w:val="00950F8A"/>
    <w:rsid w:val="009555A4"/>
    <w:rsid w:val="00956986"/>
    <w:rsid w:val="00960946"/>
    <w:rsid w:val="00961CD4"/>
    <w:rsid w:val="009648BF"/>
    <w:rsid w:val="009675C7"/>
    <w:rsid w:val="00967A16"/>
    <w:rsid w:val="00971F13"/>
    <w:rsid w:val="00972EB3"/>
    <w:rsid w:val="009745AD"/>
    <w:rsid w:val="00976A0E"/>
    <w:rsid w:val="00983CF6"/>
    <w:rsid w:val="009855DA"/>
    <w:rsid w:val="0098677B"/>
    <w:rsid w:val="00986FAF"/>
    <w:rsid w:val="009924BB"/>
    <w:rsid w:val="00992A35"/>
    <w:rsid w:val="0099367D"/>
    <w:rsid w:val="009A03D0"/>
    <w:rsid w:val="009A1066"/>
    <w:rsid w:val="009A2E26"/>
    <w:rsid w:val="009A2E8A"/>
    <w:rsid w:val="009A3D76"/>
    <w:rsid w:val="009A5412"/>
    <w:rsid w:val="009A57E7"/>
    <w:rsid w:val="009B10BA"/>
    <w:rsid w:val="009B177F"/>
    <w:rsid w:val="009B5F5E"/>
    <w:rsid w:val="009B6C3F"/>
    <w:rsid w:val="009C6A04"/>
    <w:rsid w:val="009C7AC3"/>
    <w:rsid w:val="009C7C5C"/>
    <w:rsid w:val="009D077F"/>
    <w:rsid w:val="009D6A5E"/>
    <w:rsid w:val="009E1394"/>
    <w:rsid w:val="009E2348"/>
    <w:rsid w:val="009E455F"/>
    <w:rsid w:val="009F087C"/>
    <w:rsid w:val="009F3415"/>
    <w:rsid w:val="009F58E9"/>
    <w:rsid w:val="009F6446"/>
    <w:rsid w:val="009F67A4"/>
    <w:rsid w:val="00A01676"/>
    <w:rsid w:val="00A02061"/>
    <w:rsid w:val="00A029BA"/>
    <w:rsid w:val="00A03DDD"/>
    <w:rsid w:val="00A04299"/>
    <w:rsid w:val="00A06F1E"/>
    <w:rsid w:val="00A0728F"/>
    <w:rsid w:val="00A10088"/>
    <w:rsid w:val="00A1223D"/>
    <w:rsid w:val="00A14054"/>
    <w:rsid w:val="00A14C88"/>
    <w:rsid w:val="00A169F3"/>
    <w:rsid w:val="00A206F5"/>
    <w:rsid w:val="00A216DD"/>
    <w:rsid w:val="00A274F1"/>
    <w:rsid w:val="00A30388"/>
    <w:rsid w:val="00A30A08"/>
    <w:rsid w:val="00A31817"/>
    <w:rsid w:val="00A352C0"/>
    <w:rsid w:val="00A360F4"/>
    <w:rsid w:val="00A373D4"/>
    <w:rsid w:val="00A409C0"/>
    <w:rsid w:val="00A42C62"/>
    <w:rsid w:val="00A4526F"/>
    <w:rsid w:val="00A534D0"/>
    <w:rsid w:val="00A575AC"/>
    <w:rsid w:val="00A57C21"/>
    <w:rsid w:val="00A602F1"/>
    <w:rsid w:val="00A60D18"/>
    <w:rsid w:val="00A61461"/>
    <w:rsid w:val="00A6551D"/>
    <w:rsid w:val="00A66F4B"/>
    <w:rsid w:val="00A6782A"/>
    <w:rsid w:val="00A74475"/>
    <w:rsid w:val="00A74F4F"/>
    <w:rsid w:val="00A80FDA"/>
    <w:rsid w:val="00A8106A"/>
    <w:rsid w:val="00A81844"/>
    <w:rsid w:val="00A823CF"/>
    <w:rsid w:val="00A8278B"/>
    <w:rsid w:val="00A8678A"/>
    <w:rsid w:val="00A871A7"/>
    <w:rsid w:val="00A87CB0"/>
    <w:rsid w:val="00A90CF4"/>
    <w:rsid w:val="00A93BD5"/>
    <w:rsid w:val="00A94F68"/>
    <w:rsid w:val="00A94FC0"/>
    <w:rsid w:val="00A96D7C"/>
    <w:rsid w:val="00A97D6B"/>
    <w:rsid w:val="00A97E47"/>
    <w:rsid w:val="00A97EAF"/>
    <w:rsid w:val="00AA237E"/>
    <w:rsid w:val="00AA606C"/>
    <w:rsid w:val="00AB0290"/>
    <w:rsid w:val="00AB0784"/>
    <w:rsid w:val="00AB110F"/>
    <w:rsid w:val="00AB1F72"/>
    <w:rsid w:val="00AB4207"/>
    <w:rsid w:val="00AB6F4A"/>
    <w:rsid w:val="00AC0198"/>
    <w:rsid w:val="00AC0488"/>
    <w:rsid w:val="00AC3D96"/>
    <w:rsid w:val="00AC7623"/>
    <w:rsid w:val="00AD1B59"/>
    <w:rsid w:val="00AD3A05"/>
    <w:rsid w:val="00AD66D3"/>
    <w:rsid w:val="00AE1322"/>
    <w:rsid w:val="00AE16C3"/>
    <w:rsid w:val="00AE741E"/>
    <w:rsid w:val="00AE7896"/>
    <w:rsid w:val="00AE78B9"/>
    <w:rsid w:val="00AE7E10"/>
    <w:rsid w:val="00AF2634"/>
    <w:rsid w:val="00AF3328"/>
    <w:rsid w:val="00AF5245"/>
    <w:rsid w:val="00AF6548"/>
    <w:rsid w:val="00AF67C1"/>
    <w:rsid w:val="00AF7DE9"/>
    <w:rsid w:val="00B045B9"/>
    <w:rsid w:val="00B06572"/>
    <w:rsid w:val="00B07F29"/>
    <w:rsid w:val="00B126DE"/>
    <w:rsid w:val="00B13A52"/>
    <w:rsid w:val="00B15065"/>
    <w:rsid w:val="00B159A4"/>
    <w:rsid w:val="00B2008C"/>
    <w:rsid w:val="00B20CFA"/>
    <w:rsid w:val="00B22637"/>
    <w:rsid w:val="00B233F7"/>
    <w:rsid w:val="00B2454D"/>
    <w:rsid w:val="00B24717"/>
    <w:rsid w:val="00B247E3"/>
    <w:rsid w:val="00B26B93"/>
    <w:rsid w:val="00B273AB"/>
    <w:rsid w:val="00B31A8F"/>
    <w:rsid w:val="00B34AAC"/>
    <w:rsid w:val="00B3708C"/>
    <w:rsid w:val="00B40A05"/>
    <w:rsid w:val="00B42ECB"/>
    <w:rsid w:val="00B43E1D"/>
    <w:rsid w:val="00B4423B"/>
    <w:rsid w:val="00B46832"/>
    <w:rsid w:val="00B5027D"/>
    <w:rsid w:val="00B51708"/>
    <w:rsid w:val="00B526E9"/>
    <w:rsid w:val="00B5511B"/>
    <w:rsid w:val="00B563DF"/>
    <w:rsid w:val="00B617FB"/>
    <w:rsid w:val="00B63153"/>
    <w:rsid w:val="00B63CB0"/>
    <w:rsid w:val="00B66CA0"/>
    <w:rsid w:val="00B71899"/>
    <w:rsid w:val="00B7257A"/>
    <w:rsid w:val="00B75A95"/>
    <w:rsid w:val="00B76A57"/>
    <w:rsid w:val="00B77D20"/>
    <w:rsid w:val="00B8043C"/>
    <w:rsid w:val="00B83FC5"/>
    <w:rsid w:val="00B85253"/>
    <w:rsid w:val="00B85BBB"/>
    <w:rsid w:val="00B92180"/>
    <w:rsid w:val="00B94936"/>
    <w:rsid w:val="00BA20C5"/>
    <w:rsid w:val="00BA22E5"/>
    <w:rsid w:val="00BA2AD2"/>
    <w:rsid w:val="00BA755F"/>
    <w:rsid w:val="00BA7BEE"/>
    <w:rsid w:val="00BB1880"/>
    <w:rsid w:val="00BB22E0"/>
    <w:rsid w:val="00BB2B22"/>
    <w:rsid w:val="00BB38B6"/>
    <w:rsid w:val="00BB3DDD"/>
    <w:rsid w:val="00BB54B1"/>
    <w:rsid w:val="00BB7F08"/>
    <w:rsid w:val="00BC0565"/>
    <w:rsid w:val="00BC4095"/>
    <w:rsid w:val="00BC446E"/>
    <w:rsid w:val="00BC44EF"/>
    <w:rsid w:val="00BC484B"/>
    <w:rsid w:val="00BC5661"/>
    <w:rsid w:val="00BC6A28"/>
    <w:rsid w:val="00BC76A7"/>
    <w:rsid w:val="00BD10B9"/>
    <w:rsid w:val="00BD140B"/>
    <w:rsid w:val="00BD5932"/>
    <w:rsid w:val="00BD62B9"/>
    <w:rsid w:val="00BD7C4E"/>
    <w:rsid w:val="00BD7EB4"/>
    <w:rsid w:val="00BE2A0F"/>
    <w:rsid w:val="00BE6AC3"/>
    <w:rsid w:val="00BF30D8"/>
    <w:rsid w:val="00BF662C"/>
    <w:rsid w:val="00C0005A"/>
    <w:rsid w:val="00C01F52"/>
    <w:rsid w:val="00C02468"/>
    <w:rsid w:val="00C0285A"/>
    <w:rsid w:val="00C0484A"/>
    <w:rsid w:val="00C04DF4"/>
    <w:rsid w:val="00C05CC3"/>
    <w:rsid w:val="00C06E86"/>
    <w:rsid w:val="00C1148C"/>
    <w:rsid w:val="00C156B7"/>
    <w:rsid w:val="00C157E9"/>
    <w:rsid w:val="00C15AC5"/>
    <w:rsid w:val="00C15DA2"/>
    <w:rsid w:val="00C16684"/>
    <w:rsid w:val="00C211D6"/>
    <w:rsid w:val="00C22543"/>
    <w:rsid w:val="00C23236"/>
    <w:rsid w:val="00C24D4C"/>
    <w:rsid w:val="00C27D5D"/>
    <w:rsid w:val="00C305F2"/>
    <w:rsid w:val="00C32859"/>
    <w:rsid w:val="00C32A91"/>
    <w:rsid w:val="00C34B77"/>
    <w:rsid w:val="00C40E57"/>
    <w:rsid w:val="00C4631A"/>
    <w:rsid w:val="00C47EBF"/>
    <w:rsid w:val="00C500AA"/>
    <w:rsid w:val="00C510AE"/>
    <w:rsid w:val="00C531E6"/>
    <w:rsid w:val="00C54624"/>
    <w:rsid w:val="00C553C3"/>
    <w:rsid w:val="00C55C3D"/>
    <w:rsid w:val="00C56518"/>
    <w:rsid w:val="00C608EB"/>
    <w:rsid w:val="00C61583"/>
    <w:rsid w:val="00C62D34"/>
    <w:rsid w:val="00C63136"/>
    <w:rsid w:val="00C636ED"/>
    <w:rsid w:val="00C66662"/>
    <w:rsid w:val="00C70594"/>
    <w:rsid w:val="00C7068D"/>
    <w:rsid w:val="00C707A3"/>
    <w:rsid w:val="00C70C9D"/>
    <w:rsid w:val="00C7363E"/>
    <w:rsid w:val="00C74D0A"/>
    <w:rsid w:val="00C75AB1"/>
    <w:rsid w:val="00C771F3"/>
    <w:rsid w:val="00C840D7"/>
    <w:rsid w:val="00C87346"/>
    <w:rsid w:val="00C87B18"/>
    <w:rsid w:val="00C90C7A"/>
    <w:rsid w:val="00C90F7A"/>
    <w:rsid w:val="00C93C06"/>
    <w:rsid w:val="00C946CB"/>
    <w:rsid w:val="00C94DCB"/>
    <w:rsid w:val="00C95B93"/>
    <w:rsid w:val="00C976B7"/>
    <w:rsid w:val="00CA29F2"/>
    <w:rsid w:val="00CA2DC2"/>
    <w:rsid w:val="00CA68F8"/>
    <w:rsid w:val="00CA72CB"/>
    <w:rsid w:val="00CB0375"/>
    <w:rsid w:val="00CB1228"/>
    <w:rsid w:val="00CB1AEE"/>
    <w:rsid w:val="00CB356B"/>
    <w:rsid w:val="00CC0C4C"/>
    <w:rsid w:val="00CC4D23"/>
    <w:rsid w:val="00CC6C8B"/>
    <w:rsid w:val="00CC7121"/>
    <w:rsid w:val="00CC79C3"/>
    <w:rsid w:val="00CC7F00"/>
    <w:rsid w:val="00CD01BE"/>
    <w:rsid w:val="00CD3C20"/>
    <w:rsid w:val="00CD3CD6"/>
    <w:rsid w:val="00CD5AE5"/>
    <w:rsid w:val="00CD7E12"/>
    <w:rsid w:val="00CE116F"/>
    <w:rsid w:val="00CE1EAF"/>
    <w:rsid w:val="00CE3FC6"/>
    <w:rsid w:val="00CE56B1"/>
    <w:rsid w:val="00CE678E"/>
    <w:rsid w:val="00CE68E4"/>
    <w:rsid w:val="00CF2618"/>
    <w:rsid w:val="00CF3457"/>
    <w:rsid w:val="00CF3777"/>
    <w:rsid w:val="00D03245"/>
    <w:rsid w:val="00D07D4D"/>
    <w:rsid w:val="00D12B8F"/>
    <w:rsid w:val="00D14A3A"/>
    <w:rsid w:val="00D15553"/>
    <w:rsid w:val="00D16695"/>
    <w:rsid w:val="00D2168B"/>
    <w:rsid w:val="00D239D9"/>
    <w:rsid w:val="00D24EB2"/>
    <w:rsid w:val="00D25402"/>
    <w:rsid w:val="00D25887"/>
    <w:rsid w:val="00D26B50"/>
    <w:rsid w:val="00D305E3"/>
    <w:rsid w:val="00D3110A"/>
    <w:rsid w:val="00D337AE"/>
    <w:rsid w:val="00D347CE"/>
    <w:rsid w:val="00D36CED"/>
    <w:rsid w:val="00D41136"/>
    <w:rsid w:val="00D418C0"/>
    <w:rsid w:val="00D428A6"/>
    <w:rsid w:val="00D42DF9"/>
    <w:rsid w:val="00D43B62"/>
    <w:rsid w:val="00D46457"/>
    <w:rsid w:val="00D5180E"/>
    <w:rsid w:val="00D51FFC"/>
    <w:rsid w:val="00D52C77"/>
    <w:rsid w:val="00D52C87"/>
    <w:rsid w:val="00D5319D"/>
    <w:rsid w:val="00D537E1"/>
    <w:rsid w:val="00D57402"/>
    <w:rsid w:val="00D5755D"/>
    <w:rsid w:val="00D5795B"/>
    <w:rsid w:val="00D63FBD"/>
    <w:rsid w:val="00D64ACB"/>
    <w:rsid w:val="00D67475"/>
    <w:rsid w:val="00D67785"/>
    <w:rsid w:val="00D70BCF"/>
    <w:rsid w:val="00D71754"/>
    <w:rsid w:val="00D7251D"/>
    <w:rsid w:val="00D74BAC"/>
    <w:rsid w:val="00D74BB9"/>
    <w:rsid w:val="00D7647C"/>
    <w:rsid w:val="00D76541"/>
    <w:rsid w:val="00D80676"/>
    <w:rsid w:val="00D828B0"/>
    <w:rsid w:val="00D874D6"/>
    <w:rsid w:val="00D94B8E"/>
    <w:rsid w:val="00D9673A"/>
    <w:rsid w:val="00DA17B4"/>
    <w:rsid w:val="00DA48DA"/>
    <w:rsid w:val="00DA5E2F"/>
    <w:rsid w:val="00DA6291"/>
    <w:rsid w:val="00DB165A"/>
    <w:rsid w:val="00DB34B5"/>
    <w:rsid w:val="00DB6354"/>
    <w:rsid w:val="00DB672A"/>
    <w:rsid w:val="00DB6861"/>
    <w:rsid w:val="00DC2C04"/>
    <w:rsid w:val="00DC5926"/>
    <w:rsid w:val="00DD11C7"/>
    <w:rsid w:val="00DD13B0"/>
    <w:rsid w:val="00DD1D17"/>
    <w:rsid w:val="00DD2252"/>
    <w:rsid w:val="00DE1CC0"/>
    <w:rsid w:val="00DE26FC"/>
    <w:rsid w:val="00DE29C6"/>
    <w:rsid w:val="00DE2A97"/>
    <w:rsid w:val="00DE34AE"/>
    <w:rsid w:val="00DE3F29"/>
    <w:rsid w:val="00DE6D16"/>
    <w:rsid w:val="00DF183C"/>
    <w:rsid w:val="00DF3584"/>
    <w:rsid w:val="00DF5853"/>
    <w:rsid w:val="00DF5B6C"/>
    <w:rsid w:val="00DF6F13"/>
    <w:rsid w:val="00DF77A0"/>
    <w:rsid w:val="00E046F7"/>
    <w:rsid w:val="00E06B9C"/>
    <w:rsid w:val="00E15641"/>
    <w:rsid w:val="00E167D1"/>
    <w:rsid w:val="00E20FDF"/>
    <w:rsid w:val="00E219E0"/>
    <w:rsid w:val="00E2250E"/>
    <w:rsid w:val="00E229A4"/>
    <w:rsid w:val="00E2527D"/>
    <w:rsid w:val="00E30715"/>
    <w:rsid w:val="00E34A86"/>
    <w:rsid w:val="00E40205"/>
    <w:rsid w:val="00E42464"/>
    <w:rsid w:val="00E431C4"/>
    <w:rsid w:val="00E43AED"/>
    <w:rsid w:val="00E44DD1"/>
    <w:rsid w:val="00E44FC9"/>
    <w:rsid w:val="00E46864"/>
    <w:rsid w:val="00E530FB"/>
    <w:rsid w:val="00E54377"/>
    <w:rsid w:val="00E561EB"/>
    <w:rsid w:val="00E61708"/>
    <w:rsid w:val="00E6314F"/>
    <w:rsid w:val="00E642CD"/>
    <w:rsid w:val="00E723CB"/>
    <w:rsid w:val="00E72ADE"/>
    <w:rsid w:val="00E7481E"/>
    <w:rsid w:val="00E75B64"/>
    <w:rsid w:val="00E82270"/>
    <w:rsid w:val="00E82396"/>
    <w:rsid w:val="00E833D1"/>
    <w:rsid w:val="00E84328"/>
    <w:rsid w:val="00E87840"/>
    <w:rsid w:val="00E92880"/>
    <w:rsid w:val="00E95B27"/>
    <w:rsid w:val="00E95B32"/>
    <w:rsid w:val="00E96523"/>
    <w:rsid w:val="00E96E14"/>
    <w:rsid w:val="00E978CA"/>
    <w:rsid w:val="00EA2AD9"/>
    <w:rsid w:val="00EA4CDA"/>
    <w:rsid w:val="00EB1B8F"/>
    <w:rsid w:val="00EB314B"/>
    <w:rsid w:val="00EB3DBB"/>
    <w:rsid w:val="00EB55A4"/>
    <w:rsid w:val="00EB6934"/>
    <w:rsid w:val="00EC44F6"/>
    <w:rsid w:val="00EC4A30"/>
    <w:rsid w:val="00EC6C36"/>
    <w:rsid w:val="00EC7E51"/>
    <w:rsid w:val="00ED0CB5"/>
    <w:rsid w:val="00ED1514"/>
    <w:rsid w:val="00ED1DC4"/>
    <w:rsid w:val="00ED28F5"/>
    <w:rsid w:val="00ED749D"/>
    <w:rsid w:val="00EE037E"/>
    <w:rsid w:val="00EE2174"/>
    <w:rsid w:val="00EE45A6"/>
    <w:rsid w:val="00EF3AC6"/>
    <w:rsid w:val="00EF6F5C"/>
    <w:rsid w:val="00F00AD8"/>
    <w:rsid w:val="00F01FBE"/>
    <w:rsid w:val="00F02F06"/>
    <w:rsid w:val="00F034B9"/>
    <w:rsid w:val="00F106BD"/>
    <w:rsid w:val="00F13394"/>
    <w:rsid w:val="00F14DD2"/>
    <w:rsid w:val="00F16F3B"/>
    <w:rsid w:val="00F21021"/>
    <w:rsid w:val="00F22709"/>
    <w:rsid w:val="00F26467"/>
    <w:rsid w:val="00F26656"/>
    <w:rsid w:val="00F26E47"/>
    <w:rsid w:val="00F306E0"/>
    <w:rsid w:val="00F35659"/>
    <w:rsid w:val="00F36CF3"/>
    <w:rsid w:val="00F37BE7"/>
    <w:rsid w:val="00F426A3"/>
    <w:rsid w:val="00F43C0E"/>
    <w:rsid w:val="00F5107E"/>
    <w:rsid w:val="00F53570"/>
    <w:rsid w:val="00F55DBA"/>
    <w:rsid w:val="00F56448"/>
    <w:rsid w:val="00F6087D"/>
    <w:rsid w:val="00F61076"/>
    <w:rsid w:val="00F611F4"/>
    <w:rsid w:val="00F61641"/>
    <w:rsid w:val="00F635AF"/>
    <w:rsid w:val="00F64522"/>
    <w:rsid w:val="00F651F8"/>
    <w:rsid w:val="00F662EA"/>
    <w:rsid w:val="00F671D1"/>
    <w:rsid w:val="00F7018A"/>
    <w:rsid w:val="00F71080"/>
    <w:rsid w:val="00F7169F"/>
    <w:rsid w:val="00F73E2E"/>
    <w:rsid w:val="00F74E18"/>
    <w:rsid w:val="00F74F00"/>
    <w:rsid w:val="00F7512D"/>
    <w:rsid w:val="00F76C34"/>
    <w:rsid w:val="00F76F1A"/>
    <w:rsid w:val="00F77413"/>
    <w:rsid w:val="00F851ED"/>
    <w:rsid w:val="00F8612A"/>
    <w:rsid w:val="00F90C2E"/>
    <w:rsid w:val="00F90D38"/>
    <w:rsid w:val="00F91295"/>
    <w:rsid w:val="00F919C5"/>
    <w:rsid w:val="00F94C82"/>
    <w:rsid w:val="00FA4CD2"/>
    <w:rsid w:val="00FA57F6"/>
    <w:rsid w:val="00FA59A5"/>
    <w:rsid w:val="00FB0507"/>
    <w:rsid w:val="00FB053D"/>
    <w:rsid w:val="00FB17B3"/>
    <w:rsid w:val="00FC101D"/>
    <w:rsid w:val="00FC112A"/>
    <w:rsid w:val="00FC2D40"/>
    <w:rsid w:val="00FC3CD5"/>
    <w:rsid w:val="00FC539C"/>
    <w:rsid w:val="00FC6B66"/>
    <w:rsid w:val="00FC7E0B"/>
    <w:rsid w:val="00FD0AF7"/>
    <w:rsid w:val="00FD1FED"/>
    <w:rsid w:val="00FD238F"/>
    <w:rsid w:val="00FD67A1"/>
    <w:rsid w:val="00FE2D58"/>
    <w:rsid w:val="00FE310D"/>
    <w:rsid w:val="00FE4168"/>
    <w:rsid w:val="00FE46DE"/>
    <w:rsid w:val="00FE5B0F"/>
    <w:rsid w:val="00FF006B"/>
    <w:rsid w:val="00FF38A0"/>
    <w:rsid w:val="00FF4860"/>
    <w:rsid w:val="00FF6A6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AFC5"/>
  <w15:docId w15:val="{912FCE8D-9102-4BAF-B82C-9BCAC88D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7108"/>
    <w:rPr>
      <w:rFonts w:ascii="Times New Roman" w:hAnsi="Times New Roman" w:cs="Times New Roman"/>
      <w:lang w:val="es-ES_tradnl" w:eastAsia="es-ES_tradnl"/>
    </w:rPr>
  </w:style>
  <w:style w:type="paragraph" w:styleId="Heading1">
    <w:name w:val="heading 1"/>
    <w:basedOn w:val="Normal"/>
    <w:link w:val="Heading1Char"/>
    <w:uiPriority w:val="9"/>
    <w:qFormat/>
    <w:rsid w:val="005D742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D742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9E0"/>
    <w:rPr>
      <w:color w:val="0000FF"/>
      <w:u w:val="single"/>
    </w:rPr>
  </w:style>
  <w:style w:type="paragraph" w:styleId="FootnoteText">
    <w:name w:val="footnote text"/>
    <w:aliases w:val="fn,Texto de rodapé,nota_rodapé,nota de rodapé,Geneva 9,Font: Geneva 9,Boston 10,f,footnote,single space,FOOTNOTES,Footnote Text Char Char,foottextfr,texto de nota al pie,Texto nota pie Car Car Car Car Car Car Car Car,Texto,footnote text"/>
    <w:basedOn w:val="Normal"/>
    <w:link w:val="FootnoteTextChar"/>
    <w:uiPriority w:val="99"/>
    <w:rsid w:val="00E219E0"/>
    <w:rPr>
      <w:rFonts w:ascii="Calibri" w:eastAsia="Times New Roman" w:hAnsi="Calibri"/>
      <w:sz w:val="20"/>
      <w:szCs w:val="20"/>
      <w:lang w:val="en-US" w:eastAsia="ja-JP"/>
    </w:rPr>
  </w:style>
  <w:style w:type="character" w:customStyle="1" w:styleId="FootnoteTextChar">
    <w:name w:val="Footnote Text Char"/>
    <w:aliases w:val="fn Char,Texto de rodapé Char,nota_rodapé Char,nota de rodapé Char,Geneva 9 Char,Font: Geneva 9 Char,Boston 10 Char,f Char,footnote Char,single space Char,FOOTNOTES Char,Footnote Text Char Char Char,foottextfr Char,Texto Char"/>
    <w:basedOn w:val="DefaultParagraphFont"/>
    <w:link w:val="FootnoteText"/>
    <w:uiPriority w:val="99"/>
    <w:rsid w:val="00E219E0"/>
    <w:rPr>
      <w:rFonts w:ascii="Calibri" w:eastAsia="Times New Roman" w:hAnsi="Calibri" w:cs="Times New Roman"/>
      <w:sz w:val="20"/>
      <w:szCs w:val="20"/>
      <w:lang w:val="en-US" w:eastAsia="ja-JP"/>
    </w:rPr>
  </w:style>
  <w:style w:type="character" w:styleId="FootnoteReference">
    <w:name w:val="footnote reference"/>
    <w:aliases w:val="FC,16 Point,Superscript 6 Point,Footnote Referencefr,ftref,Style 24,Ref. de nota al pie.,Знак сноски-FN,Ref,de nota al pie,titulo 2,pie pddes,Fußnotenzeichen DISS,BVI fnr,Знак сноски 1,referencia nota al pie,Footnote Referencefra,F1"/>
    <w:link w:val="Char2"/>
    <w:uiPriority w:val="99"/>
    <w:qFormat/>
    <w:rsid w:val="00E219E0"/>
    <w:rPr>
      <w:vertAlign w:val="superscript"/>
    </w:rPr>
  </w:style>
  <w:style w:type="paragraph" w:customStyle="1" w:styleId="Char2">
    <w:name w:val="Char2"/>
    <w:basedOn w:val="Normal"/>
    <w:link w:val="FootnoteReference"/>
    <w:uiPriority w:val="99"/>
    <w:rsid w:val="00E219E0"/>
    <w:pPr>
      <w:spacing w:after="160" w:line="240" w:lineRule="exact"/>
    </w:pPr>
    <w:rPr>
      <w:rFonts w:asciiTheme="minorHAnsi" w:hAnsiTheme="minorHAnsi" w:cstheme="minorBidi"/>
      <w:vertAlign w:val="superscript"/>
      <w:lang w:val="es-CO" w:eastAsia="en-US"/>
    </w:rPr>
  </w:style>
  <w:style w:type="paragraph" w:styleId="ListParagraph">
    <w:name w:val="List Paragraph"/>
    <w:basedOn w:val="Normal"/>
    <w:link w:val="ListParagraphChar"/>
    <w:uiPriority w:val="34"/>
    <w:qFormat/>
    <w:rsid w:val="00333243"/>
    <w:pPr>
      <w:ind w:left="720"/>
      <w:contextualSpacing/>
    </w:pPr>
    <w:rPr>
      <w:rFonts w:asciiTheme="minorHAnsi" w:hAnsiTheme="minorHAnsi" w:cstheme="minorBidi"/>
      <w:lang w:val="es-ES" w:eastAsia="en-US"/>
    </w:rPr>
  </w:style>
  <w:style w:type="table" w:styleId="TableGrid">
    <w:name w:val="Table Grid"/>
    <w:basedOn w:val="TableNormal"/>
    <w:uiPriority w:val="59"/>
    <w:rsid w:val="00F56448"/>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56448"/>
    <w:rPr>
      <w:lang w:val="es-ES"/>
    </w:rPr>
  </w:style>
  <w:style w:type="paragraph" w:customStyle="1" w:styleId="Default">
    <w:name w:val="Default"/>
    <w:rsid w:val="00F56448"/>
    <w:pPr>
      <w:autoSpaceDE w:val="0"/>
      <w:autoSpaceDN w:val="0"/>
      <w:adjustRightInd w:val="0"/>
    </w:pPr>
    <w:rPr>
      <w:rFonts w:ascii="Times New Roman" w:eastAsia="Times New Roman" w:hAnsi="Times New Roman" w:cs="Times New Roman"/>
      <w:color w:val="000000"/>
      <w:lang w:eastAsia="es-CO"/>
    </w:rPr>
  </w:style>
  <w:style w:type="character" w:styleId="FollowedHyperlink">
    <w:name w:val="FollowedHyperlink"/>
    <w:basedOn w:val="DefaultParagraphFont"/>
    <w:uiPriority w:val="99"/>
    <w:semiHidden/>
    <w:unhideWhenUsed/>
    <w:rsid w:val="005E5783"/>
    <w:rPr>
      <w:color w:val="954F72" w:themeColor="followedHyperlink"/>
      <w:u w:val="single"/>
    </w:rPr>
  </w:style>
  <w:style w:type="character" w:customStyle="1" w:styleId="Heading1Char">
    <w:name w:val="Heading 1 Char"/>
    <w:basedOn w:val="DefaultParagraphFont"/>
    <w:link w:val="Heading1"/>
    <w:uiPriority w:val="9"/>
    <w:rsid w:val="005D7422"/>
    <w:rPr>
      <w:rFonts w:ascii="Times New Roman" w:hAnsi="Times New Roman" w:cs="Times New Roman"/>
      <w:b/>
      <w:bCs/>
      <w:kern w:val="36"/>
      <w:sz w:val="48"/>
      <w:szCs w:val="48"/>
      <w:lang w:val="es-ES_tradnl" w:eastAsia="es-ES_tradnl"/>
    </w:rPr>
  </w:style>
  <w:style w:type="character" w:customStyle="1" w:styleId="Heading2Char">
    <w:name w:val="Heading 2 Char"/>
    <w:basedOn w:val="DefaultParagraphFont"/>
    <w:link w:val="Heading2"/>
    <w:uiPriority w:val="9"/>
    <w:rsid w:val="005D7422"/>
    <w:rPr>
      <w:rFonts w:ascii="Times New Roman" w:hAnsi="Times New Roman" w:cs="Times New Roman"/>
      <w:b/>
      <w:bCs/>
      <w:sz w:val="36"/>
      <w:szCs w:val="36"/>
      <w:lang w:val="es-ES_tradnl" w:eastAsia="es-ES_tradnl"/>
    </w:rPr>
  </w:style>
  <w:style w:type="paragraph" w:styleId="NormalWeb">
    <w:name w:val="Normal (Web)"/>
    <w:basedOn w:val="Normal"/>
    <w:uiPriority w:val="99"/>
    <w:unhideWhenUsed/>
    <w:rsid w:val="005D7422"/>
    <w:pPr>
      <w:spacing w:before="100" w:beforeAutospacing="1" w:after="100" w:afterAutospacing="1"/>
    </w:pPr>
  </w:style>
  <w:style w:type="character" w:customStyle="1" w:styleId="apple-converted-space">
    <w:name w:val="apple-converted-space"/>
    <w:basedOn w:val="DefaultParagraphFont"/>
    <w:rsid w:val="005D7422"/>
  </w:style>
  <w:style w:type="character" w:styleId="Strong">
    <w:name w:val="Strong"/>
    <w:basedOn w:val="DefaultParagraphFont"/>
    <w:uiPriority w:val="22"/>
    <w:qFormat/>
    <w:rsid w:val="005D7422"/>
    <w:rPr>
      <w:b/>
      <w:bCs/>
    </w:rPr>
  </w:style>
  <w:style w:type="paragraph" w:styleId="EndnoteText">
    <w:name w:val="endnote text"/>
    <w:basedOn w:val="Normal"/>
    <w:link w:val="EndnoteTextChar"/>
    <w:uiPriority w:val="99"/>
    <w:unhideWhenUsed/>
    <w:rsid w:val="00186A84"/>
    <w:rPr>
      <w:rFonts w:asciiTheme="minorHAnsi" w:hAnsiTheme="minorHAnsi" w:cstheme="minorBidi"/>
      <w:lang w:val="es-ES" w:eastAsia="en-US"/>
    </w:rPr>
  </w:style>
  <w:style w:type="character" w:customStyle="1" w:styleId="EndnoteTextChar">
    <w:name w:val="Endnote Text Char"/>
    <w:basedOn w:val="DefaultParagraphFont"/>
    <w:link w:val="EndnoteText"/>
    <w:uiPriority w:val="99"/>
    <w:rsid w:val="00186A84"/>
    <w:rPr>
      <w:lang w:val="es-ES"/>
    </w:rPr>
  </w:style>
  <w:style w:type="character" w:styleId="EndnoteReference">
    <w:name w:val="endnote reference"/>
    <w:basedOn w:val="DefaultParagraphFont"/>
    <w:uiPriority w:val="99"/>
    <w:unhideWhenUsed/>
    <w:rsid w:val="00186A84"/>
    <w:rPr>
      <w:vertAlign w:val="superscript"/>
    </w:rPr>
  </w:style>
  <w:style w:type="paragraph" w:customStyle="1" w:styleId="a">
    <w:basedOn w:val="Normal"/>
    <w:next w:val="BodyText"/>
    <w:link w:val="TextodecuerpoCar"/>
    <w:uiPriority w:val="99"/>
    <w:rsid w:val="004F1EF1"/>
    <w:pPr>
      <w:tabs>
        <w:tab w:val="left" w:pos="288"/>
      </w:tabs>
      <w:spacing w:after="120" w:line="228" w:lineRule="auto"/>
      <w:ind w:firstLine="288"/>
      <w:jc w:val="both"/>
    </w:pPr>
    <w:rPr>
      <w:rFonts w:eastAsia="MS Mincho"/>
      <w:sz w:val="20"/>
      <w:szCs w:val="20"/>
      <w:lang w:val="es-CO" w:eastAsia="en-US"/>
    </w:rPr>
  </w:style>
  <w:style w:type="character" w:customStyle="1" w:styleId="TextodecuerpoCar">
    <w:name w:val="Texto de cuerpo Car"/>
    <w:link w:val="a"/>
    <w:uiPriority w:val="99"/>
    <w:locked/>
    <w:rsid w:val="004F1EF1"/>
    <w:rPr>
      <w:rFonts w:ascii="Times New Roman" w:eastAsia="MS Mincho" w:hAnsi="Times New Roman" w:cs="Times New Roman"/>
      <w:sz w:val="20"/>
      <w:szCs w:val="20"/>
    </w:rPr>
  </w:style>
  <w:style w:type="paragraph" w:styleId="BodyText">
    <w:name w:val="Body Text"/>
    <w:basedOn w:val="Normal"/>
    <w:link w:val="BodyTextChar"/>
    <w:uiPriority w:val="99"/>
    <w:semiHidden/>
    <w:unhideWhenUsed/>
    <w:rsid w:val="004F1EF1"/>
    <w:pPr>
      <w:spacing w:after="120"/>
    </w:pPr>
  </w:style>
  <w:style w:type="character" w:customStyle="1" w:styleId="BodyTextChar">
    <w:name w:val="Body Text Char"/>
    <w:basedOn w:val="DefaultParagraphFont"/>
    <w:link w:val="BodyText"/>
    <w:uiPriority w:val="99"/>
    <w:semiHidden/>
    <w:rsid w:val="004F1EF1"/>
    <w:rPr>
      <w:rFonts w:ascii="Times New Roman" w:hAnsi="Times New Roman" w:cs="Times New Roman"/>
      <w:lang w:val="es-ES_tradnl" w:eastAsia="es-ES_tradnl"/>
    </w:rPr>
  </w:style>
  <w:style w:type="paragraph" w:styleId="BalloonText">
    <w:name w:val="Balloon Text"/>
    <w:basedOn w:val="Normal"/>
    <w:link w:val="BalloonTextChar"/>
    <w:uiPriority w:val="99"/>
    <w:semiHidden/>
    <w:unhideWhenUsed/>
    <w:rsid w:val="00C636ED"/>
    <w:rPr>
      <w:rFonts w:ascii="Tahoma" w:hAnsi="Tahoma" w:cs="Tahoma"/>
      <w:sz w:val="16"/>
      <w:szCs w:val="16"/>
    </w:rPr>
  </w:style>
  <w:style w:type="character" w:customStyle="1" w:styleId="BalloonTextChar">
    <w:name w:val="Balloon Text Char"/>
    <w:basedOn w:val="DefaultParagraphFont"/>
    <w:link w:val="BalloonText"/>
    <w:uiPriority w:val="99"/>
    <w:semiHidden/>
    <w:rsid w:val="00C636ED"/>
    <w:rPr>
      <w:rFonts w:ascii="Tahoma" w:hAnsi="Tahoma" w:cs="Tahoma"/>
      <w:sz w:val="16"/>
      <w:szCs w:val="16"/>
      <w:lang w:val="es-ES_tradnl" w:eastAsia="es-ES_tradnl"/>
    </w:rPr>
  </w:style>
  <w:style w:type="paragraph" w:styleId="Header">
    <w:name w:val="header"/>
    <w:basedOn w:val="Normal"/>
    <w:link w:val="HeaderChar"/>
    <w:uiPriority w:val="99"/>
    <w:unhideWhenUsed/>
    <w:rsid w:val="0089045F"/>
    <w:pPr>
      <w:tabs>
        <w:tab w:val="center" w:pos="4252"/>
        <w:tab w:val="right" w:pos="8504"/>
      </w:tabs>
    </w:pPr>
  </w:style>
  <w:style w:type="character" w:customStyle="1" w:styleId="HeaderChar">
    <w:name w:val="Header Char"/>
    <w:basedOn w:val="DefaultParagraphFont"/>
    <w:link w:val="Header"/>
    <w:uiPriority w:val="99"/>
    <w:rsid w:val="0089045F"/>
    <w:rPr>
      <w:rFonts w:ascii="Times New Roman" w:hAnsi="Times New Roman" w:cs="Times New Roman"/>
      <w:lang w:val="es-ES_tradnl" w:eastAsia="es-ES_tradnl"/>
    </w:rPr>
  </w:style>
  <w:style w:type="paragraph" w:styleId="Footer">
    <w:name w:val="footer"/>
    <w:basedOn w:val="Normal"/>
    <w:link w:val="FooterChar"/>
    <w:uiPriority w:val="99"/>
    <w:unhideWhenUsed/>
    <w:rsid w:val="0089045F"/>
    <w:pPr>
      <w:tabs>
        <w:tab w:val="center" w:pos="4252"/>
        <w:tab w:val="right" w:pos="8504"/>
      </w:tabs>
    </w:pPr>
  </w:style>
  <w:style w:type="character" w:customStyle="1" w:styleId="FooterChar">
    <w:name w:val="Footer Char"/>
    <w:basedOn w:val="DefaultParagraphFont"/>
    <w:link w:val="Footer"/>
    <w:uiPriority w:val="99"/>
    <w:rsid w:val="0089045F"/>
    <w:rPr>
      <w:rFonts w:ascii="Times New Roman" w:hAnsi="Times New Roman" w:cs="Times New Roman"/>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929">
      <w:bodyDiv w:val="1"/>
      <w:marLeft w:val="0"/>
      <w:marRight w:val="0"/>
      <w:marTop w:val="0"/>
      <w:marBottom w:val="0"/>
      <w:divBdr>
        <w:top w:val="none" w:sz="0" w:space="0" w:color="auto"/>
        <w:left w:val="none" w:sz="0" w:space="0" w:color="auto"/>
        <w:bottom w:val="none" w:sz="0" w:space="0" w:color="auto"/>
        <w:right w:val="none" w:sz="0" w:space="0" w:color="auto"/>
      </w:divBdr>
    </w:div>
    <w:div w:id="24984929">
      <w:bodyDiv w:val="1"/>
      <w:marLeft w:val="0"/>
      <w:marRight w:val="0"/>
      <w:marTop w:val="0"/>
      <w:marBottom w:val="0"/>
      <w:divBdr>
        <w:top w:val="none" w:sz="0" w:space="0" w:color="auto"/>
        <w:left w:val="none" w:sz="0" w:space="0" w:color="auto"/>
        <w:bottom w:val="none" w:sz="0" w:space="0" w:color="auto"/>
        <w:right w:val="none" w:sz="0" w:space="0" w:color="auto"/>
      </w:divBdr>
    </w:div>
    <w:div w:id="45186687">
      <w:bodyDiv w:val="1"/>
      <w:marLeft w:val="0"/>
      <w:marRight w:val="0"/>
      <w:marTop w:val="0"/>
      <w:marBottom w:val="0"/>
      <w:divBdr>
        <w:top w:val="none" w:sz="0" w:space="0" w:color="auto"/>
        <w:left w:val="none" w:sz="0" w:space="0" w:color="auto"/>
        <w:bottom w:val="none" w:sz="0" w:space="0" w:color="auto"/>
        <w:right w:val="none" w:sz="0" w:space="0" w:color="auto"/>
      </w:divBdr>
    </w:div>
    <w:div w:id="51082236">
      <w:bodyDiv w:val="1"/>
      <w:marLeft w:val="0"/>
      <w:marRight w:val="0"/>
      <w:marTop w:val="0"/>
      <w:marBottom w:val="0"/>
      <w:divBdr>
        <w:top w:val="none" w:sz="0" w:space="0" w:color="auto"/>
        <w:left w:val="none" w:sz="0" w:space="0" w:color="auto"/>
        <w:bottom w:val="none" w:sz="0" w:space="0" w:color="auto"/>
        <w:right w:val="none" w:sz="0" w:space="0" w:color="auto"/>
      </w:divBdr>
    </w:div>
    <w:div w:id="55058473">
      <w:bodyDiv w:val="1"/>
      <w:marLeft w:val="0"/>
      <w:marRight w:val="0"/>
      <w:marTop w:val="0"/>
      <w:marBottom w:val="0"/>
      <w:divBdr>
        <w:top w:val="none" w:sz="0" w:space="0" w:color="auto"/>
        <w:left w:val="none" w:sz="0" w:space="0" w:color="auto"/>
        <w:bottom w:val="none" w:sz="0" w:space="0" w:color="auto"/>
        <w:right w:val="none" w:sz="0" w:space="0" w:color="auto"/>
      </w:divBdr>
      <w:divsChild>
        <w:div w:id="2146578685">
          <w:marLeft w:val="0"/>
          <w:marRight w:val="0"/>
          <w:marTop w:val="0"/>
          <w:marBottom w:val="0"/>
          <w:divBdr>
            <w:top w:val="none" w:sz="0" w:space="0" w:color="auto"/>
            <w:left w:val="none" w:sz="0" w:space="0" w:color="auto"/>
            <w:bottom w:val="none" w:sz="0" w:space="0" w:color="auto"/>
            <w:right w:val="none" w:sz="0" w:space="0" w:color="auto"/>
          </w:divBdr>
          <w:divsChild>
            <w:div w:id="490800248">
              <w:marLeft w:val="0"/>
              <w:marRight w:val="0"/>
              <w:marTop w:val="0"/>
              <w:marBottom w:val="0"/>
              <w:divBdr>
                <w:top w:val="none" w:sz="0" w:space="0" w:color="auto"/>
                <w:left w:val="none" w:sz="0" w:space="0" w:color="auto"/>
                <w:bottom w:val="none" w:sz="0" w:space="0" w:color="auto"/>
                <w:right w:val="none" w:sz="0" w:space="0" w:color="auto"/>
              </w:divBdr>
              <w:divsChild>
                <w:div w:id="7485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6175">
      <w:bodyDiv w:val="1"/>
      <w:marLeft w:val="0"/>
      <w:marRight w:val="0"/>
      <w:marTop w:val="0"/>
      <w:marBottom w:val="0"/>
      <w:divBdr>
        <w:top w:val="none" w:sz="0" w:space="0" w:color="auto"/>
        <w:left w:val="none" w:sz="0" w:space="0" w:color="auto"/>
        <w:bottom w:val="none" w:sz="0" w:space="0" w:color="auto"/>
        <w:right w:val="none" w:sz="0" w:space="0" w:color="auto"/>
      </w:divBdr>
      <w:divsChild>
        <w:div w:id="1683358890">
          <w:marLeft w:val="0"/>
          <w:marRight w:val="0"/>
          <w:marTop w:val="0"/>
          <w:marBottom w:val="0"/>
          <w:divBdr>
            <w:top w:val="none" w:sz="0" w:space="0" w:color="auto"/>
            <w:left w:val="none" w:sz="0" w:space="0" w:color="auto"/>
            <w:bottom w:val="none" w:sz="0" w:space="0" w:color="auto"/>
            <w:right w:val="none" w:sz="0" w:space="0" w:color="auto"/>
          </w:divBdr>
          <w:divsChild>
            <w:div w:id="1917518604">
              <w:marLeft w:val="0"/>
              <w:marRight w:val="0"/>
              <w:marTop w:val="0"/>
              <w:marBottom w:val="0"/>
              <w:divBdr>
                <w:top w:val="none" w:sz="0" w:space="0" w:color="auto"/>
                <w:left w:val="none" w:sz="0" w:space="0" w:color="auto"/>
                <w:bottom w:val="none" w:sz="0" w:space="0" w:color="auto"/>
                <w:right w:val="none" w:sz="0" w:space="0" w:color="auto"/>
              </w:divBdr>
              <w:divsChild>
                <w:div w:id="1941136431">
                  <w:marLeft w:val="0"/>
                  <w:marRight w:val="0"/>
                  <w:marTop w:val="0"/>
                  <w:marBottom w:val="0"/>
                  <w:divBdr>
                    <w:top w:val="none" w:sz="0" w:space="0" w:color="auto"/>
                    <w:left w:val="none" w:sz="0" w:space="0" w:color="auto"/>
                    <w:bottom w:val="none" w:sz="0" w:space="0" w:color="auto"/>
                    <w:right w:val="none" w:sz="0" w:space="0" w:color="auto"/>
                  </w:divBdr>
                  <w:divsChild>
                    <w:div w:id="2181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6462">
      <w:bodyDiv w:val="1"/>
      <w:marLeft w:val="0"/>
      <w:marRight w:val="0"/>
      <w:marTop w:val="0"/>
      <w:marBottom w:val="0"/>
      <w:divBdr>
        <w:top w:val="none" w:sz="0" w:space="0" w:color="auto"/>
        <w:left w:val="none" w:sz="0" w:space="0" w:color="auto"/>
        <w:bottom w:val="none" w:sz="0" w:space="0" w:color="auto"/>
        <w:right w:val="none" w:sz="0" w:space="0" w:color="auto"/>
      </w:divBdr>
      <w:divsChild>
        <w:div w:id="1811749209">
          <w:marLeft w:val="0"/>
          <w:marRight w:val="0"/>
          <w:marTop w:val="0"/>
          <w:marBottom w:val="150"/>
          <w:divBdr>
            <w:top w:val="none" w:sz="0" w:space="0" w:color="auto"/>
            <w:left w:val="none" w:sz="0" w:space="0" w:color="auto"/>
            <w:bottom w:val="none" w:sz="0" w:space="0" w:color="auto"/>
            <w:right w:val="none" w:sz="0" w:space="0" w:color="auto"/>
          </w:divBdr>
          <w:divsChild>
            <w:div w:id="290209632">
              <w:marLeft w:val="0"/>
              <w:marRight w:val="0"/>
              <w:marTop w:val="0"/>
              <w:marBottom w:val="0"/>
              <w:divBdr>
                <w:top w:val="none" w:sz="0" w:space="0" w:color="auto"/>
                <w:left w:val="none" w:sz="0" w:space="0" w:color="auto"/>
                <w:bottom w:val="none" w:sz="0" w:space="0" w:color="auto"/>
                <w:right w:val="none" w:sz="0" w:space="0" w:color="auto"/>
              </w:divBdr>
              <w:divsChild>
                <w:div w:id="889194871">
                  <w:marLeft w:val="0"/>
                  <w:marRight w:val="1116"/>
                  <w:marTop w:val="0"/>
                  <w:marBottom w:val="0"/>
                  <w:divBdr>
                    <w:top w:val="none" w:sz="0" w:space="0" w:color="auto"/>
                    <w:left w:val="none" w:sz="0" w:space="0" w:color="auto"/>
                    <w:bottom w:val="none" w:sz="0" w:space="0" w:color="auto"/>
                    <w:right w:val="none" w:sz="0" w:space="0" w:color="auto"/>
                  </w:divBdr>
                </w:div>
                <w:div w:id="836580643">
                  <w:marLeft w:val="2567"/>
                  <w:marRight w:val="0"/>
                  <w:marTop w:val="0"/>
                  <w:marBottom w:val="0"/>
                  <w:divBdr>
                    <w:top w:val="none" w:sz="0" w:space="0" w:color="auto"/>
                    <w:left w:val="none" w:sz="0" w:space="0" w:color="auto"/>
                    <w:bottom w:val="none" w:sz="0" w:space="0" w:color="auto"/>
                    <w:right w:val="none" w:sz="0" w:space="0" w:color="auto"/>
                  </w:divBdr>
                </w:div>
              </w:divsChild>
            </w:div>
          </w:divsChild>
        </w:div>
        <w:div w:id="2088114324">
          <w:marLeft w:val="0"/>
          <w:marRight w:val="0"/>
          <w:marTop w:val="0"/>
          <w:marBottom w:val="0"/>
          <w:divBdr>
            <w:top w:val="none" w:sz="0" w:space="0" w:color="auto"/>
            <w:left w:val="none" w:sz="0" w:space="0" w:color="auto"/>
            <w:bottom w:val="none" w:sz="0" w:space="0" w:color="auto"/>
            <w:right w:val="none" w:sz="0" w:space="0" w:color="auto"/>
          </w:divBdr>
          <w:divsChild>
            <w:div w:id="477265161">
              <w:marLeft w:val="0"/>
              <w:marRight w:val="0"/>
              <w:marTop w:val="0"/>
              <w:marBottom w:val="0"/>
              <w:divBdr>
                <w:top w:val="none" w:sz="0" w:space="0" w:color="auto"/>
                <w:left w:val="none" w:sz="0" w:space="0" w:color="auto"/>
                <w:bottom w:val="none" w:sz="0" w:space="0" w:color="auto"/>
                <w:right w:val="none" w:sz="0" w:space="0" w:color="auto"/>
              </w:divBdr>
              <w:divsChild>
                <w:div w:id="7631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8106">
          <w:marLeft w:val="0"/>
          <w:marRight w:val="0"/>
          <w:marTop w:val="0"/>
          <w:marBottom w:val="0"/>
          <w:divBdr>
            <w:top w:val="none" w:sz="0" w:space="0" w:color="auto"/>
            <w:left w:val="none" w:sz="0" w:space="0" w:color="auto"/>
            <w:bottom w:val="none" w:sz="0" w:space="0" w:color="auto"/>
            <w:right w:val="none" w:sz="0" w:space="0" w:color="auto"/>
          </w:divBdr>
          <w:divsChild>
            <w:div w:id="1155344152">
              <w:marLeft w:val="0"/>
              <w:marRight w:val="0"/>
              <w:marTop w:val="0"/>
              <w:marBottom w:val="0"/>
              <w:divBdr>
                <w:top w:val="none" w:sz="0" w:space="0" w:color="auto"/>
                <w:left w:val="none" w:sz="0" w:space="0" w:color="auto"/>
                <w:bottom w:val="none" w:sz="0" w:space="0" w:color="auto"/>
                <w:right w:val="none" w:sz="0" w:space="0" w:color="auto"/>
              </w:divBdr>
              <w:divsChild>
                <w:div w:id="11330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3725">
      <w:bodyDiv w:val="1"/>
      <w:marLeft w:val="0"/>
      <w:marRight w:val="0"/>
      <w:marTop w:val="0"/>
      <w:marBottom w:val="0"/>
      <w:divBdr>
        <w:top w:val="none" w:sz="0" w:space="0" w:color="auto"/>
        <w:left w:val="none" w:sz="0" w:space="0" w:color="auto"/>
        <w:bottom w:val="none" w:sz="0" w:space="0" w:color="auto"/>
        <w:right w:val="none" w:sz="0" w:space="0" w:color="auto"/>
      </w:divBdr>
    </w:div>
    <w:div w:id="148644698">
      <w:bodyDiv w:val="1"/>
      <w:marLeft w:val="0"/>
      <w:marRight w:val="0"/>
      <w:marTop w:val="0"/>
      <w:marBottom w:val="0"/>
      <w:divBdr>
        <w:top w:val="none" w:sz="0" w:space="0" w:color="auto"/>
        <w:left w:val="none" w:sz="0" w:space="0" w:color="auto"/>
        <w:bottom w:val="none" w:sz="0" w:space="0" w:color="auto"/>
        <w:right w:val="none" w:sz="0" w:space="0" w:color="auto"/>
      </w:divBdr>
      <w:divsChild>
        <w:div w:id="1349597903">
          <w:marLeft w:val="0"/>
          <w:marRight w:val="0"/>
          <w:marTop w:val="0"/>
          <w:marBottom w:val="150"/>
          <w:divBdr>
            <w:top w:val="none" w:sz="0" w:space="0" w:color="auto"/>
            <w:left w:val="none" w:sz="0" w:space="0" w:color="auto"/>
            <w:bottom w:val="none" w:sz="0" w:space="0" w:color="auto"/>
            <w:right w:val="none" w:sz="0" w:space="0" w:color="auto"/>
          </w:divBdr>
          <w:divsChild>
            <w:div w:id="993800244">
              <w:marLeft w:val="0"/>
              <w:marRight w:val="0"/>
              <w:marTop w:val="0"/>
              <w:marBottom w:val="0"/>
              <w:divBdr>
                <w:top w:val="none" w:sz="0" w:space="0" w:color="auto"/>
                <w:left w:val="none" w:sz="0" w:space="0" w:color="auto"/>
                <w:bottom w:val="none" w:sz="0" w:space="0" w:color="auto"/>
                <w:right w:val="none" w:sz="0" w:space="0" w:color="auto"/>
              </w:divBdr>
              <w:divsChild>
                <w:div w:id="449587343">
                  <w:marLeft w:val="0"/>
                  <w:marRight w:val="1116"/>
                  <w:marTop w:val="0"/>
                  <w:marBottom w:val="0"/>
                  <w:divBdr>
                    <w:top w:val="none" w:sz="0" w:space="0" w:color="auto"/>
                    <w:left w:val="none" w:sz="0" w:space="0" w:color="auto"/>
                    <w:bottom w:val="none" w:sz="0" w:space="0" w:color="auto"/>
                    <w:right w:val="none" w:sz="0" w:space="0" w:color="auto"/>
                  </w:divBdr>
                </w:div>
                <w:div w:id="188764911">
                  <w:marLeft w:val="2567"/>
                  <w:marRight w:val="0"/>
                  <w:marTop w:val="0"/>
                  <w:marBottom w:val="0"/>
                  <w:divBdr>
                    <w:top w:val="none" w:sz="0" w:space="0" w:color="auto"/>
                    <w:left w:val="none" w:sz="0" w:space="0" w:color="auto"/>
                    <w:bottom w:val="none" w:sz="0" w:space="0" w:color="auto"/>
                    <w:right w:val="none" w:sz="0" w:space="0" w:color="auto"/>
                  </w:divBdr>
                </w:div>
              </w:divsChild>
            </w:div>
          </w:divsChild>
        </w:div>
        <w:div w:id="1566330761">
          <w:marLeft w:val="0"/>
          <w:marRight w:val="0"/>
          <w:marTop w:val="0"/>
          <w:marBottom w:val="0"/>
          <w:divBdr>
            <w:top w:val="none" w:sz="0" w:space="0" w:color="auto"/>
            <w:left w:val="none" w:sz="0" w:space="0" w:color="auto"/>
            <w:bottom w:val="none" w:sz="0" w:space="0" w:color="auto"/>
            <w:right w:val="none" w:sz="0" w:space="0" w:color="auto"/>
          </w:divBdr>
          <w:divsChild>
            <w:div w:id="1421757524">
              <w:marLeft w:val="0"/>
              <w:marRight w:val="0"/>
              <w:marTop w:val="0"/>
              <w:marBottom w:val="0"/>
              <w:divBdr>
                <w:top w:val="none" w:sz="0" w:space="0" w:color="auto"/>
                <w:left w:val="none" w:sz="0" w:space="0" w:color="auto"/>
                <w:bottom w:val="none" w:sz="0" w:space="0" w:color="auto"/>
                <w:right w:val="none" w:sz="0" w:space="0" w:color="auto"/>
              </w:divBdr>
              <w:divsChild>
                <w:div w:id="10450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8515">
          <w:marLeft w:val="0"/>
          <w:marRight w:val="0"/>
          <w:marTop w:val="0"/>
          <w:marBottom w:val="0"/>
          <w:divBdr>
            <w:top w:val="none" w:sz="0" w:space="0" w:color="auto"/>
            <w:left w:val="none" w:sz="0" w:space="0" w:color="auto"/>
            <w:bottom w:val="none" w:sz="0" w:space="0" w:color="auto"/>
            <w:right w:val="none" w:sz="0" w:space="0" w:color="auto"/>
          </w:divBdr>
          <w:divsChild>
            <w:div w:id="604119075">
              <w:marLeft w:val="0"/>
              <w:marRight w:val="0"/>
              <w:marTop w:val="0"/>
              <w:marBottom w:val="0"/>
              <w:divBdr>
                <w:top w:val="none" w:sz="0" w:space="0" w:color="auto"/>
                <w:left w:val="none" w:sz="0" w:space="0" w:color="auto"/>
                <w:bottom w:val="none" w:sz="0" w:space="0" w:color="auto"/>
                <w:right w:val="none" w:sz="0" w:space="0" w:color="auto"/>
              </w:divBdr>
              <w:divsChild>
                <w:div w:id="3991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0732">
      <w:bodyDiv w:val="1"/>
      <w:marLeft w:val="0"/>
      <w:marRight w:val="0"/>
      <w:marTop w:val="0"/>
      <w:marBottom w:val="0"/>
      <w:divBdr>
        <w:top w:val="none" w:sz="0" w:space="0" w:color="auto"/>
        <w:left w:val="none" w:sz="0" w:space="0" w:color="auto"/>
        <w:bottom w:val="none" w:sz="0" w:space="0" w:color="auto"/>
        <w:right w:val="none" w:sz="0" w:space="0" w:color="auto"/>
      </w:divBdr>
    </w:div>
    <w:div w:id="205874569">
      <w:bodyDiv w:val="1"/>
      <w:marLeft w:val="0"/>
      <w:marRight w:val="0"/>
      <w:marTop w:val="0"/>
      <w:marBottom w:val="0"/>
      <w:divBdr>
        <w:top w:val="none" w:sz="0" w:space="0" w:color="auto"/>
        <w:left w:val="none" w:sz="0" w:space="0" w:color="auto"/>
        <w:bottom w:val="none" w:sz="0" w:space="0" w:color="auto"/>
        <w:right w:val="none" w:sz="0" w:space="0" w:color="auto"/>
      </w:divBdr>
      <w:divsChild>
        <w:div w:id="1902792090">
          <w:marLeft w:val="0"/>
          <w:marRight w:val="0"/>
          <w:marTop w:val="0"/>
          <w:marBottom w:val="150"/>
          <w:divBdr>
            <w:top w:val="none" w:sz="0" w:space="0" w:color="auto"/>
            <w:left w:val="none" w:sz="0" w:space="0" w:color="auto"/>
            <w:bottom w:val="none" w:sz="0" w:space="0" w:color="auto"/>
            <w:right w:val="none" w:sz="0" w:space="0" w:color="auto"/>
          </w:divBdr>
          <w:divsChild>
            <w:div w:id="1743598465">
              <w:marLeft w:val="0"/>
              <w:marRight w:val="0"/>
              <w:marTop w:val="0"/>
              <w:marBottom w:val="0"/>
              <w:divBdr>
                <w:top w:val="none" w:sz="0" w:space="0" w:color="auto"/>
                <w:left w:val="none" w:sz="0" w:space="0" w:color="auto"/>
                <w:bottom w:val="none" w:sz="0" w:space="0" w:color="auto"/>
                <w:right w:val="none" w:sz="0" w:space="0" w:color="auto"/>
              </w:divBdr>
              <w:divsChild>
                <w:div w:id="823934553">
                  <w:marLeft w:val="0"/>
                  <w:marRight w:val="1116"/>
                  <w:marTop w:val="0"/>
                  <w:marBottom w:val="0"/>
                  <w:divBdr>
                    <w:top w:val="none" w:sz="0" w:space="0" w:color="auto"/>
                    <w:left w:val="none" w:sz="0" w:space="0" w:color="auto"/>
                    <w:bottom w:val="none" w:sz="0" w:space="0" w:color="auto"/>
                    <w:right w:val="none" w:sz="0" w:space="0" w:color="auto"/>
                  </w:divBdr>
                </w:div>
                <w:div w:id="1785541508">
                  <w:marLeft w:val="2567"/>
                  <w:marRight w:val="0"/>
                  <w:marTop w:val="0"/>
                  <w:marBottom w:val="0"/>
                  <w:divBdr>
                    <w:top w:val="none" w:sz="0" w:space="0" w:color="auto"/>
                    <w:left w:val="none" w:sz="0" w:space="0" w:color="auto"/>
                    <w:bottom w:val="none" w:sz="0" w:space="0" w:color="auto"/>
                    <w:right w:val="none" w:sz="0" w:space="0" w:color="auto"/>
                  </w:divBdr>
                </w:div>
              </w:divsChild>
            </w:div>
          </w:divsChild>
        </w:div>
        <w:div w:id="1512260453">
          <w:marLeft w:val="0"/>
          <w:marRight w:val="0"/>
          <w:marTop w:val="0"/>
          <w:marBottom w:val="0"/>
          <w:divBdr>
            <w:top w:val="none" w:sz="0" w:space="0" w:color="auto"/>
            <w:left w:val="none" w:sz="0" w:space="0" w:color="auto"/>
            <w:bottom w:val="none" w:sz="0" w:space="0" w:color="auto"/>
            <w:right w:val="none" w:sz="0" w:space="0" w:color="auto"/>
          </w:divBdr>
          <w:divsChild>
            <w:div w:id="2089227668">
              <w:marLeft w:val="0"/>
              <w:marRight w:val="0"/>
              <w:marTop w:val="0"/>
              <w:marBottom w:val="0"/>
              <w:divBdr>
                <w:top w:val="none" w:sz="0" w:space="0" w:color="auto"/>
                <w:left w:val="none" w:sz="0" w:space="0" w:color="auto"/>
                <w:bottom w:val="none" w:sz="0" w:space="0" w:color="auto"/>
                <w:right w:val="none" w:sz="0" w:space="0" w:color="auto"/>
              </w:divBdr>
              <w:divsChild>
                <w:div w:id="8615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20618">
          <w:marLeft w:val="0"/>
          <w:marRight w:val="0"/>
          <w:marTop w:val="0"/>
          <w:marBottom w:val="0"/>
          <w:divBdr>
            <w:top w:val="none" w:sz="0" w:space="0" w:color="auto"/>
            <w:left w:val="none" w:sz="0" w:space="0" w:color="auto"/>
            <w:bottom w:val="none" w:sz="0" w:space="0" w:color="auto"/>
            <w:right w:val="none" w:sz="0" w:space="0" w:color="auto"/>
          </w:divBdr>
          <w:divsChild>
            <w:div w:id="1458790075">
              <w:marLeft w:val="0"/>
              <w:marRight w:val="0"/>
              <w:marTop w:val="0"/>
              <w:marBottom w:val="0"/>
              <w:divBdr>
                <w:top w:val="none" w:sz="0" w:space="0" w:color="auto"/>
                <w:left w:val="none" w:sz="0" w:space="0" w:color="auto"/>
                <w:bottom w:val="none" w:sz="0" w:space="0" w:color="auto"/>
                <w:right w:val="none" w:sz="0" w:space="0" w:color="auto"/>
              </w:divBdr>
              <w:divsChild>
                <w:div w:id="10480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06016">
      <w:bodyDiv w:val="1"/>
      <w:marLeft w:val="0"/>
      <w:marRight w:val="0"/>
      <w:marTop w:val="0"/>
      <w:marBottom w:val="0"/>
      <w:divBdr>
        <w:top w:val="none" w:sz="0" w:space="0" w:color="auto"/>
        <w:left w:val="none" w:sz="0" w:space="0" w:color="auto"/>
        <w:bottom w:val="none" w:sz="0" w:space="0" w:color="auto"/>
        <w:right w:val="none" w:sz="0" w:space="0" w:color="auto"/>
      </w:divBdr>
    </w:div>
    <w:div w:id="269091692">
      <w:bodyDiv w:val="1"/>
      <w:marLeft w:val="0"/>
      <w:marRight w:val="0"/>
      <w:marTop w:val="0"/>
      <w:marBottom w:val="0"/>
      <w:divBdr>
        <w:top w:val="none" w:sz="0" w:space="0" w:color="auto"/>
        <w:left w:val="none" w:sz="0" w:space="0" w:color="auto"/>
        <w:bottom w:val="none" w:sz="0" w:space="0" w:color="auto"/>
        <w:right w:val="none" w:sz="0" w:space="0" w:color="auto"/>
      </w:divBdr>
    </w:div>
    <w:div w:id="269432849">
      <w:bodyDiv w:val="1"/>
      <w:marLeft w:val="0"/>
      <w:marRight w:val="0"/>
      <w:marTop w:val="0"/>
      <w:marBottom w:val="0"/>
      <w:divBdr>
        <w:top w:val="none" w:sz="0" w:space="0" w:color="auto"/>
        <w:left w:val="none" w:sz="0" w:space="0" w:color="auto"/>
        <w:bottom w:val="none" w:sz="0" w:space="0" w:color="auto"/>
        <w:right w:val="none" w:sz="0" w:space="0" w:color="auto"/>
      </w:divBdr>
      <w:divsChild>
        <w:div w:id="988944890">
          <w:marLeft w:val="0"/>
          <w:marRight w:val="0"/>
          <w:marTop w:val="0"/>
          <w:marBottom w:val="150"/>
          <w:divBdr>
            <w:top w:val="none" w:sz="0" w:space="0" w:color="auto"/>
            <w:left w:val="none" w:sz="0" w:space="0" w:color="auto"/>
            <w:bottom w:val="none" w:sz="0" w:space="0" w:color="auto"/>
            <w:right w:val="none" w:sz="0" w:space="0" w:color="auto"/>
          </w:divBdr>
          <w:divsChild>
            <w:div w:id="1536116642">
              <w:marLeft w:val="0"/>
              <w:marRight w:val="0"/>
              <w:marTop w:val="0"/>
              <w:marBottom w:val="0"/>
              <w:divBdr>
                <w:top w:val="none" w:sz="0" w:space="0" w:color="auto"/>
                <w:left w:val="none" w:sz="0" w:space="0" w:color="auto"/>
                <w:bottom w:val="none" w:sz="0" w:space="0" w:color="auto"/>
                <w:right w:val="none" w:sz="0" w:space="0" w:color="auto"/>
              </w:divBdr>
              <w:divsChild>
                <w:div w:id="1819227501">
                  <w:marLeft w:val="0"/>
                  <w:marRight w:val="1116"/>
                  <w:marTop w:val="0"/>
                  <w:marBottom w:val="0"/>
                  <w:divBdr>
                    <w:top w:val="none" w:sz="0" w:space="0" w:color="auto"/>
                    <w:left w:val="none" w:sz="0" w:space="0" w:color="auto"/>
                    <w:bottom w:val="none" w:sz="0" w:space="0" w:color="auto"/>
                    <w:right w:val="none" w:sz="0" w:space="0" w:color="auto"/>
                  </w:divBdr>
                </w:div>
                <w:div w:id="947003076">
                  <w:marLeft w:val="2567"/>
                  <w:marRight w:val="0"/>
                  <w:marTop w:val="0"/>
                  <w:marBottom w:val="0"/>
                  <w:divBdr>
                    <w:top w:val="none" w:sz="0" w:space="0" w:color="auto"/>
                    <w:left w:val="none" w:sz="0" w:space="0" w:color="auto"/>
                    <w:bottom w:val="none" w:sz="0" w:space="0" w:color="auto"/>
                    <w:right w:val="none" w:sz="0" w:space="0" w:color="auto"/>
                  </w:divBdr>
                </w:div>
              </w:divsChild>
            </w:div>
          </w:divsChild>
        </w:div>
        <w:div w:id="1627420427">
          <w:marLeft w:val="0"/>
          <w:marRight w:val="0"/>
          <w:marTop w:val="0"/>
          <w:marBottom w:val="0"/>
          <w:divBdr>
            <w:top w:val="none" w:sz="0" w:space="0" w:color="auto"/>
            <w:left w:val="none" w:sz="0" w:space="0" w:color="auto"/>
            <w:bottom w:val="none" w:sz="0" w:space="0" w:color="auto"/>
            <w:right w:val="none" w:sz="0" w:space="0" w:color="auto"/>
          </w:divBdr>
          <w:divsChild>
            <w:div w:id="1547448556">
              <w:marLeft w:val="0"/>
              <w:marRight w:val="0"/>
              <w:marTop w:val="0"/>
              <w:marBottom w:val="0"/>
              <w:divBdr>
                <w:top w:val="none" w:sz="0" w:space="0" w:color="auto"/>
                <w:left w:val="none" w:sz="0" w:space="0" w:color="auto"/>
                <w:bottom w:val="none" w:sz="0" w:space="0" w:color="auto"/>
                <w:right w:val="none" w:sz="0" w:space="0" w:color="auto"/>
              </w:divBdr>
              <w:divsChild>
                <w:div w:id="3846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0991">
          <w:marLeft w:val="0"/>
          <w:marRight w:val="0"/>
          <w:marTop w:val="0"/>
          <w:marBottom w:val="0"/>
          <w:divBdr>
            <w:top w:val="none" w:sz="0" w:space="0" w:color="auto"/>
            <w:left w:val="none" w:sz="0" w:space="0" w:color="auto"/>
            <w:bottom w:val="none" w:sz="0" w:space="0" w:color="auto"/>
            <w:right w:val="none" w:sz="0" w:space="0" w:color="auto"/>
          </w:divBdr>
          <w:divsChild>
            <w:div w:id="966394450">
              <w:marLeft w:val="0"/>
              <w:marRight w:val="0"/>
              <w:marTop w:val="0"/>
              <w:marBottom w:val="0"/>
              <w:divBdr>
                <w:top w:val="none" w:sz="0" w:space="0" w:color="auto"/>
                <w:left w:val="none" w:sz="0" w:space="0" w:color="auto"/>
                <w:bottom w:val="none" w:sz="0" w:space="0" w:color="auto"/>
                <w:right w:val="none" w:sz="0" w:space="0" w:color="auto"/>
              </w:divBdr>
              <w:divsChild>
                <w:div w:id="8963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00161">
      <w:bodyDiv w:val="1"/>
      <w:marLeft w:val="0"/>
      <w:marRight w:val="0"/>
      <w:marTop w:val="0"/>
      <w:marBottom w:val="0"/>
      <w:divBdr>
        <w:top w:val="none" w:sz="0" w:space="0" w:color="auto"/>
        <w:left w:val="none" w:sz="0" w:space="0" w:color="auto"/>
        <w:bottom w:val="none" w:sz="0" w:space="0" w:color="auto"/>
        <w:right w:val="none" w:sz="0" w:space="0" w:color="auto"/>
      </w:divBdr>
    </w:div>
    <w:div w:id="307128829">
      <w:bodyDiv w:val="1"/>
      <w:marLeft w:val="0"/>
      <w:marRight w:val="0"/>
      <w:marTop w:val="0"/>
      <w:marBottom w:val="0"/>
      <w:divBdr>
        <w:top w:val="none" w:sz="0" w:space="0" w:color="auto"/>
        <w:left w:val="none" w:sz="0" w:space="0" w:color="auto"/>
        <w:bottom w:val="none" w:sz="0" w:space="0" w:color="auto"/>
        <w:right w:val="none" w:sz="0" w:space="0" w:color="auto"/>
      </w:divBdr>
    </w:div>
    <w:div w:id="332294922">
      <w:bodyDiv w:val="1"/>
      <w:marLeft w:val="0"/>
      <w:marRight w:val="0"/>
      <w:marTop w:val="0"/>
      <w:marBottom w:val="0"/>
      <w:divBdr>
        <w:top w:val="none" w:sz="0" w:space="0" w:color="auto"/>
        <w:left w:val="none" w:sz="0" w:space="0" w:color="auto"/>
        <w:bottom w:val="none" w:sz="0" w:space="0" w:color="auto"/>
        <w:right w:val="none" w:sz="0" w:space="0" w:color="auto"/>
      </w:divBdr>
    </w:div>
    <w:div w:id="353770837">
      <w:bodyDiv w:val="1"/>
      <w:marLeft w:val="0"/>
      <w:marRight w:val="0"/>
      <w:marTop w:val="0"/>
      <w:marBottom w:val="0"/>
      <w:divBdr>
        <w:top w:val="none" w:sz="0" w:space="0" w:color="auto"/>
        <w:left w:val="none" w:sz="0" w:space="0" w:color="auto"/>
        <w:bottom w:val="none" w:sz="0" w:space="0" w:color="auto"/>
        <w:right w:val="none" w:sz="0" w:space="0" w:color="auto"/>
      </w:divBdr>
    </w:div>
    <w:div w:id="370351676">
      <w:bodyDiv w:val="1"/>
      <w:marLeft w:val="0"/>
      <w:marRight w:val="0"/>
      <w:marTop w:val="0"/>
      <w:marBottom w:val="0"/>
      <w:divBdr>
        <w:top w:val="none" w:sz="0" w:space="0" w:color="auto"/>
        <w:left w:val="none" w:sz="0" w:space="0" w:color="auto"/>
        <w:bottom w:val="none" w:sz="0" w:space="0" w:color="auto"/>
        <w:right w:val="none" w:sz="0" w:space="0" w:color="auto"/>
      </w:divBdr>
    </w:div>
    <w:div w:id="390815046">
      <w:bodyDiv w:val="1"/>
      <w:marLeft w:val="0"/>
      <w:marRight w:val="0"/>
      <w:marTop w:val="0"/>
      <w:marBottom w:val="0"/>
      <w:divBdr>
        <w:top w:val="none" w:sz="0" w:space="0" w:color="auto"/>
        <w:left w:val="none" w:sz="0" w:space="0" w:color="auto"/>
        <w:bottom w:val="none" w:sz="0" w:space="0" w:color="auto"/>
        <w:right w:val="none" w:sz="0" w:space="0" w:color="auto"/>
      </w:divBdr>
    </w:div>
    <w:div w:id="408623647">
      <w:bodyDiv w:val="1"/>
      <w:marLeft w:val="0"/>
      <w:marRight w:val="0"/>
      <w:marTop w:val="0"/>
      <w:marBottom w:val="0"/>
      <w:divBdr>
        <w:top w:val="none" w:sz="0" w:space="0" w:color="auto"/>
        <w:left w:val="none" w:sz="0" w:space="0" w:color="auto"/>
        <w:bottom w:val="none" w:sz="0" w:space="0" w:color="auto"/>
        <w:right w:val="none" w:sz="0" w:space="0" w:color="auto"/>
      </w:divBdr>
    </w:div>
    <w:div w:id="423380179">
      <w:bodyDiv w:val="1"/>
      <w:marLeft w:val="0"/>
      <w:marRight w:val="0"/>
      <w:marTop w:val="0"/>
      <w:marBottom w:val="0"/>
      <w:divBdr>
        <w:top w:val="none" w:sz="0" w:space="0" w:color="auto"/>
        <w:left w:val="none" w:sz="0" w:space="0" w:color="auto"/>
        <w:bottom w:val="none" w:sz="0" w:space="0" w:color="auto"/>
        <w:right w:val="none" w:sz="0" w:space="0" w:color="auto"/>
      </w:divBdr>
    </w:div>
    <w:div w:id="429816553">
      <w:bodyDiv w:val="1"/>
      <w:marLeft w:val="0"/>
      <w:marRight w:val="0"/>
      <w:marTop w:val="0"/>
      <w:marBottom w:val="0"/>
      <w:divBdr>
        <w:top w:val="none" w:sz="0" w:space="0" w:color="auto"/>
        <w:left w:val="none" w:sz="0" w:space="0" w:color="auto"/>
        <w:bottom w:val="none" w:sz="0" w:space="0" w:color="auto"/>
        <w:right w:val="none" w:sz="0" w:space="0" w:color="auto"/>
      </w:divBdr>
    </w:div>
    <w:div w:id="456605597">
      <w:bodyDiv w:val="1"/>
      <w:marLeft w:val="0"/>
      <w:marRight w:val="0"/>
      <w:marTop w:val="0"/>
      <w:marBottom w:val="0"/>
      <w:divBdr>
        <w:top w:val="none" w:sz="0" w:space="0" w:color="auto"/>
        <w:left w:val="none" w:sz="0" w:space="0" w:color="auto"/>
        <w:bottom w:val="none" w:sz="0" w:space="0" w:color="auto"/>
        <w:right w:val="none" w:sz="0" w:space="0" w:color="auto"/>
      </w:divBdr>
      <w:divsChild>
        <w:div w:id="1573736398">
          <w:marLeft w:val="0"/>
          <w:marRight w:val="0"/>
          <w:marTop w:val="0"/>
          <w:marBottom w:val="150"/>
          <w:divBdr>
            <w:top w:val="none" w:sz="0" w:space="0" w:color="auto"/>
            <w:left w:val="none" w:sz="0" w:space="0" w:color="auto"/>
            <w:bottom w:val="none" w:sz="0" w:space="0" w:color="auto"/>
            <w:right w:val="none" w:sz="0" w:space="0" w:color="auto"/>
          </w:divBdr>
          <w:divsChild>
            <w:div w:id="2095544491">
              <w:marLeft w:val="0"/>
              <w:marRight w:val="0"/>
              <w:marTop w:val="0"/>
              <w:marBottom w:val="0"/>
              <w:divBdr>
                <w:top w:val="none" w:sz="0" w:space="0" w:color="auto"/>
                <w:left w:val="none" w:sz="0" w:space="0" w:color="auto"/>
                <w:bottom w:val="none" w:sz="0" w:space="0" w:color="auto"/>
                <w:right w:val="none" w:sz="0" w:space="0" w:color="auto"/>
              </w:divBdr>
              <w:divsChild>
                <w:div w:id="758677328">
                  <w:marLeft w:val="0"/>
                  <w:marRight w:val="1116"/>
                  <w:marTop w:val="0"/>
                  <w:marBottom w:val="0"/>
                  <w:divBdr>
                    <w:top w:val="none" w:sz="0" w:space="0" w:color="auto"/>
                    <w:left w:val="none" w:sz="0" w:space="0" w:color="auto"/>
                    <w:bottom w:val="none" w:sz="0" w:space="0" w:color="auto"/>
                    <w:right w:val="none" w:sz="0" w:space="0" w:color="auto"/>
                  </w:divBdr>
                </w:div>
                <w:div w:id="1162306940">
                  <w:marLeft w:val="2567"/>
                  <w:marRight w:val="0"/>
                  <w:marTop w:val="0"/>
                  <w:marBottom w:val="0"/>
                  <w:divBdr>
                    <w:top w:val="none" w:sz="0" w:space="0" w:color="auto"/>
                    <w:left w:val="none" w:sz="0" w:space="0" w:color="auto"/>
                    <w:bottom w:val="none" w:sz="0" w:space="0" w:color="auto"/>
                    <w:right w:val="none" w:sz="0" w:space="0" w:color="auto"/>
                  </w:divBdr>
                </w:div>
              </w:divsChild>
            </w:div>
          </w:divsChild>
        </w:div>
        <w:div w:id="2053386234">
          <w:marLeft w:val="0"/>
          <w:marRight w:val="0"/>
          <w:marTop w:val="0"/>
          <w:marBottom w:val="0"/>
          <w:divBdr>
            <w:top w:val="none" w:sz="0" w:space="0" w:color="auto"/>
            <w:left w:val="none" w:sz="0" w:space="0" w:color="auto"/>
            <w:bottom w:val="none" w:sz="0" w:space="0" w:color="auto"/>
            <w:right w:val="none" w:sz="0" w:space="0" w:color="auto"/>
          </w:divBdr>
          <w:divsChild>
            <w:div w:id="1810130120">
              <w:marLeft w:val="0"/>
              <w:marRight w:val="0"/>
              <w:marTop w:val="0"/>
              <w:marBottom w:val="0"/>
              <w:divBdr>
                <w:top w:val="none" w:sz="0" w:space="0" w:color="auto"/>
                <w:left w:val="none" w:sz="0" w:space="0" w:color="auto"/>
                <w:bottom w:val="none" w:sz="0" w:space="0" w:color="auto"/>
                <w:right w:val="none" w:sz="0" w:space="0" w:color="auto"/>
              </w:divBdr>
              <w:divsChild>
                <w:div w:id="1972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7808">
          <w:marLeft w:val="0"/>
          <w:marRight w:val="0"/>
          <w:marTop w:val="0"/>
          <w:marBottom w:val="0"/>
          <w:divBdr>
            <w:top w:val="none" w:sz="0" w:space="0" w:color="auto"/>
            <w:left w:val="none" w:sz="0" w:space="0" w:color="auto"/>
            <w:bottom w:val="none" w:sz="0" w:space="0" w:color="auto"/>
            <w:right w:val="none" w:sz="0" w:space="0" w:color="auto"/>
          </w:divBdr>
          <w:divsChild>
            <w:div w:id="1541045713">
              <w:marLeft w:val="0"/>
              <w:marRight w:val="0"/>
              <w:marTop w:val="0"/>
              <w:marBottom w:val="0"/>
              <w:divBdr>
                <w:top w:val="none" w:sz="0" w:space="0" w:color="auto"/>
                <w:left w:val="none" w:sz="0" w:space="0" w:color="auto"/>
                <w:bottom w:val="none" w:sz="0" w:space="0" w:color="auto"/>
                <w:right w:val="none" w:sz="0" w:space="0" w:color="auto"/>
              </w:divBdr>
              <w:divsChild>
                <w:div w:id="11436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49035">
      <w:bodyDiv w:val="1"/>
      <w:marLeft w:val="0"/>
      <w:marRight w:val="0"/>
      <w:marTop w:val="0"/>
      <w:marBottom w:val="0"/>
      <w:divBdr>
        <w:top w:val="none" w:sz="0" w:space="0" w:color="auto"/>
        <w:left w:val="none" w:sz="0" w:space="0" w:color="auto"/>
        <w:bottom w:val="none" w:sz="0" w:space="0" w:color="auto"/>
        <w:right w:val="none" w:sz="0" w:space="0" w:color="auto"/>
      </w:divBdr>
    </w:div>
    <w:div w:id="476797945">
      <w:bodyDiv w:val="1"/>
      <w:marLeft w:val="0"/>
      <w:marRight w:val="0"/>
      <w:marTop w:val="0"/>
      <w:marBottom w:val="0"/>
      <w:divBdr>
        <w:top w:val="none" w:sz="0" w:space="0" w:color="auto"/>
        <w:left w:val="none" w:sz="0" w:space="0" w:color="auto"/>
        <w:bottom w:val="none" w:sz="0" w:space="0" w:color="auto"/>
        <w:right w:val="none" w:sz="0" w:space="0" w:color="auto"/>
      </w:divBdr>
    </w:div>
    <w:div w:id="530648077">
      <w:bodyDiv w:val="1"/>
      <w:marLeft w:val="0"/>
      <w:marRight w:val="0"/>
      <w:marTop w:val="0"/>
      <w:marBottom w:val="0"/>
      <w:divBdr>
        <w:top w:val="none" w:sz="0" w:space="0" w:color="auto"/>
        <w:left w:val="none" w:sz="0" w:space="0" w:color="auto"/>
        <w:bottom w:val="none" w:sz="0" w:space="0" w:color="auto"/>
        <w:right w:val="none" w:sz="0" w:space="0" w:color="auto"/>
      </w:divBdr>
      <w:divsChild>
        <w:div w:id="869226378">
          <w:marLeft w:val="0"/>
          <w:marRight w:val="0"/>
          <w:marTop w:val="0"/>
          <w:marBottom w:val="150"/>
          <w:divBdr>
            <w:top w:val="none" w:sz="0" w:space="0" w:color="auto"/>
            <w:left w:val="none" w:sz="0" w:space="0" w:color="auto"/>
            <w:bottom w:val="none" w:sz="0" w:space="0" w:color="auto"/>
            <w:right w:val="none" w:sz="0" w:space="0" w:color="auto"/>
          </w:divBdr>
          <w:divsChild>
            <w:div w:id="1898516112">
              <w:marLeft w:val="0"/>
              <w:marRight w:val="0"/>
              <w:marTop w:val="0"/>
              <w:marBottom w:val="0"/>
              <w:divBdr>
                <w:top w:val="none" w:sz="0" w:space="0" w:color="auto"/>
                <w:left w:val="none" w:sz="0" w:space="0" w:color="auto"/>
                <w:bottom w:val="none" w:sz="0" w:space="0" w:color="auto"/>
                <w:right w:val="none" w:sz="0" w:space="0" w:color="auto"/>
              </w:divBdr>
              <w:divsChild>
                <w:div w:id="1931888012">
                  <w:marLeft w:val="0"/>
                  <w:marRight w:val="1116"/>
                  <w:marTop w:val="0"/>
                  <w:marBottom w:val="0"/>
                  <w:divBdr>
                    <w:top w:val="none" w:sz="0" w:space="0" w:color="auto"/>
                    <w:left w:val="none" w:sz="0" w:space="0" w:color="auto"/>
                    <w:bottom w:val="none" w:sz="0" w:space="0" w:color="auto"/>
                    <w:right w:val="none" w:sz="0" w:space="0" w:color="auto"/>
                  </w:divBdr>
                </w:div>
                <w:div w:id="713702801">
                  <w:marLeft w:val="2567"/>
                  <w:marRight w:val="0"/>
                  <w:marTop w:val="0"/>
                  <w:marBottom w:val="0"/>
                  <w:divBdr>
                    <w:top w:val="none" w:sz="0" w:space="0" w:color="auto"/>
                    <w:left w:val="none" w:sz="0" w:space="0" w:color="auto"/>
                    <w:bottom w:val="none" w:sz="0" w:space="0" w:color="auto"/>
                    <w:right w:val="none" w:sz="0" w:space="0" w:color="auto"/>
                  </w:divBdr>
                </w:div>
              </w:divsChild>
            </w:div>
          </w:divsChild>
        </w:div>
        <w:div w:id="1716005919">
          <w:marLeft w:val="0"/>
          <w:marRight w:val="0"/>
          <w:marTop w:val="0"/>
          <w:marBottom w:val="0"/>
          <w:divBdr>
            <w:top w:val="none" w:sz="0" w:space="0" w:color="auto"/>
            <w:left w:val="none" w:sz="0" w:space="0" w:color="auto"/>
            <w:bottom w:val="none" w:sz="0" w:space="0" w:color="auto"/>
            <w:right w:val="none" w:sz="0" w:space="0" w:color="auto"/>
          </w:divBdr>
          <w:divsChild>
            <w:div w:id="441995682">
              <w:marLeft w:val="0"/>
              <w:marRight w:val="0"/>
              <w:marTop w:val="0"/>
              <w:marBottom w:val="0"/>
              <w:divBdr>
                <w:top w:val="none" w:sz="0" w:space="0" w:color="auto"/>
                <w:left w:val="none" w:sz="0" w:space="0" w:color="auto"/>
                <w:bottom w:val="none" w:sz="0" w:space="0" w:color="auto"/>
                <w:right w:val="none" w:sz="0" w:space="0" w:color="auto"/>
              </w:divBdr>
              <w:divsChild>
                <w:div w:id="6757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8459">
          <w:marLeft w:val="0"/>
          <w:marRight w:val="0"/>
          <w:marTop w:val="0"/>
          <w:marBottom w:val="0"/>
          <w:divBdr>
            <w:top w:val="none" w:sz="0" w:space="0" w:color="auto"/>
            <w:left w:val="none" w:sz="0" w:space="0" w:color="auto"/>
            <w:bottom w:val="none" w:sz="0" w:space="0" w:color="auto"/>
            <w:right w:val="none" w:sz="0" w:space="0" w:color="auto"/>
          </w:divBdr>
          <w:divsChild>
            <w:div w:id="1619802180">
              <w:marLeft w:val="0"/>
              <w:marRight w:val="0"/>
              <w:marTop w:val="0"/>
              <w:marBottom w:val="0"/>
              <w:divBdr>
                <w:top w:val="none" w:sz="0" w:space="0" w:color="auto"/>
                <w:left w:val="none" w:sz="0" w:space="0" w:color="auto"/>
                <w:bottom w:val="none" w:sz="0" w:space="0" w:color="auto"/>
                <w:right w:val="none" w:sz="0" w:space="0" w:color="auto"/>
              </w:divBdr>
              <w:divsChild>
                <w:div w:id="6935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82972">
      <w:bodyDiv w:val="1"/>
      <w:marLeft w:val="0"/>
      <w:marRight w:val="0"/>
      <w:marTop w:val="0"/>
      <w:marBottom w:val="0"/>
      <w:divBdr>
        <w:top w:val="none" w:sz="0" w:space="0" w:color="auto"/>
        <w:left w:val="none" w:sz="0" w:space="0" w:color="auto"/>
        <w:bottom w:val="none" w:sz="0" w:space="0" w:color="auto"/>
        <w:right w:val="none" w:sz="0" w:space="0" w:color="auto"/>
      </w:divBdr>
      <w:divsChild>
        <w:div w:id="1986231658">
          <w:marLeft w:val="0"/>
          <w:marRight w:val="0"/>
          <w:marTop w:val="0"/>
          <w:marBottom w:val="150"/>
          <w:divBdr>
            <w:top w:val="none" w:sz="0" w:space="0" w:color="auto"/>
            <w:left w:val="none" w:sz="0" w:space="0" w:color="auto"/>
            <w:bottom w:val="none" w:sz="0" w:space="0" w:color="auto"/>
            <w:right w:val="none" w:sz="0" w:space="0" w:color="auto"/>
          </w:divBdr>
          <w:divsChild>
            <w:div w:id="487866582">
              <w:marLeft w:val="0"/>
              <w:marRight w:val="0"/>
              <w:marTop w:val="0"/>
              <w:marBottom w:val="0"/>
              <w:divBdr>
                <w:top w:val="none" w:sz="0" w:space="0" w:color="auto"/>
                <w:left w:val="none" w:sz="0" w:space="0" w:color="auto"/>
                <w:bottom w:val="none" w:sz="0" w:space="0" w:color="auto"/>
                <w:right w:val="none" w:sz="0" w:space="0" w:color="auto"/>
              </w:divBdr>
              <w:divsChild>
                <w:div w:id="1550266430">
                  <w:marLeft w:val="0"/>
                  <w:marRight w:val="1116"/>
                  <w:marTop w:val="0"/>
                  <w:marBottom w:val="0"/>
                  <w:divBdr>
                    <w:top w:val="none" w:sz="0" w:space="0" w:color="auto"/>
                    <w:left w:val="none" w:sz="0" w:space="0" w:color="auto"/>
                    <w:bottom w:val="none" w:sz="0" w:space="0" w:color="auto"/>
                    <w:right w:val="none" w:sz="0" w:space="0" w:color="auto"/>
                  </w:divBdr>
                </w:div>
                <w:div w:id="1385253871">
                  <w:marLeft w:val="2567"/>
                  <w:marRight w:val="0"/>
                  <w:marTop w:val="0"/>
                  <w:marBottom w:val="0"/>
                  <w:divBdr>
                    <w:top w:val="none" w:sz="0" w:space="0" w:color="auto"/>
                    <w:left w:val="none" w:sz="0" w:space="0" w:color="auto"/>
                    <w:bottom w:val="none" w:sz="0" w:space="0" w:color="auto"/>
                    <w:right w:val="none" w:sz="0" w:space="0" w:color="auto"/>
                  </w:divBdr>
                </w:div>
              </w:divsChild>
            </w:div>
          </w:divsChild>
        </w:div>
        <w:div w:id="425926664">
          <w:marLeft w:val="0"/>
          <w:marRight w:val="0"/>
          <w:marTop w:val="0"/>
          <w:marBottom w:val="0"/>
          <w:divBdr>
            <w:top w:val="none" w:sz="0" w:space="0" w:color="auto"/>
            <w:left w:val="none" w:sz="0" w:space="0" w:color="auto"/>
            <w:bottom w:val="none" w:sz="0" w:space="0" w:color="auto"/>
            <w:right w:val="none" w:sz="0" w:space="0" w:color="auto"/>
          </w:divBdr>
          <w:divsChild>
            <w:div w:id="925580426">
              <w:marLeft w:val="0"/>
              <w:marRight w:val="0"/>
              <w:marTop w:val="0"/>
              <w:marBottom w:val="0"/>
              <w:divBdr>
                <w:top w:val="none" w:sz="0" w:space="0" w:color="auto"/>
                <w:left w:val="none" w:sz="0" w:space="0" w:color="auto"/>
                <w:bottom w:val="none" w:sz="0" w:space="0" w:color="auto"/>
                <w:right w:val="none" w:sz="0" w:space="0" w:color="auto"/>
              </w:divBdr>
              <w:divsChild>
                <w:div w:id="17710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0230">
          <w:marLeft w:val="0"/>
          <w:marRight w:val="0"/>
          <w:marTop w:val="0"/>
          <w:marBottom w:val="0"/>
          <w:divBdr>
            <w:top w:val="none" w:sz="0" w:space="0" w:color="auto"/>
            <w:left w:val="none" w:sz="0" w:space="0" w:color="auto"/>
            <w:bottom w:val="none" w:sz="0" w:space="0" w:color="auto"/>
            <w:right w:val="none" w:sz="0" w:space="0" w:color="auto"/>
          </w:divBdr>
          <w:divsChild>
            <w:div w:id="1927038136">
              <w:marLeft w:val="0"/>
              <w:marRight w:val="0"/>
              <w:marTop w:val="0"/>
              <w:marBottom w:val="0"/>
              <w:divBdr>
                <w:top w:val="none" w:sz="0" w:space="0" w:color="auto"/>
                <w:left w:val="none" w:sz="0" w:space="0" w:color="auto"/>
                <w:bottom w:val="none" w:sz="0" w:space="0" w:color="auto"/>
                <w:right w:val="none" w:sz="0" w:space="0" w:color="auto"/>
              </w:divBdr>
              <w:divsChild>
                <w:div w:id="18046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910">
      <w:bodyDiv w:val="1"/>
      <w:marLeft w:val="0"/>
      <w:marRight w:val="0"/>
      <w:marTop w:val="0"/>
      <w:marBottom w:val="0"/>
      <w:divBdr>
        <w:top w:val="none" w:sz="0" w:space="0" w:color="auto"/>
        <w:left w:val="none" w:sz="0" w:space="0" w:color="auto"/>
        <w:bottom w:val="none" w:sz="0" w:space="0" w:color="auto"/>
        <w:right w:val="none" w:sz="0" w:space="0" w:color="auto"/>
      </w:divBdr>
    </w:div>
    <w:div w:id="598946761">
      <w:bodyDiv w:val="1"/>
      <w:marLeft w:val="0"/>
      <w:marRight w:val="0"/>
      <w:marTop w:val="0"/>
      <w:marBottom w:val="0"/>
      <w:divBdr>
        <w:top w:val="none" w:sz="0" w:space="0" w:color="auto"/>
        <w:left w:val="none" w:sz="0" w:space="0" w:color="auto"/>
        <w:bottom w:val="none" w:sz="0" w:space="0" w:color="auto"/>
        <w:right w:val="none" w:sz="0" w:space="0" w:color="auto"/>
      </w:divBdr>
      <w:divsChild>
        <w:div w:id="2004778724">
          <w:marLeft w:val="0"/>
          <w:marRight w:val="0"/>
          <w:marTop w:val="0"/>
          <w:marBottom w:val="0"/>
          <w:divBdr>
            <w:top w:val="none" w:sz="0" w:space="0" w:color="auto"/>
            <w:left w:val="none" w:sz="0" w:space="0" w:color="auto"/>
            <w:bottom w:val="none" w:sz="0" w:space="0" w:color="auto"/>
            <w:right w:val="none" w:sz="0" w:space="0" w:color="auto"/>
          </w:divBdr>
          <w:divsChild>
            <w:div w:id="1475220364">
              <w:marLeft w:val="0"/>
              <w:marRight w:val="0"/>
              <w:marTop w:val="0"/>
              <w:marBottom w:val="0"/>
              <w:divBdr>
                <w:top w:val="none" w:sz="0" w:space="0" w:color="auto"/>
                <w:left w:val="none" w:sz="0" w:space="0" w:color="auto"/>
                <w:bottom w:val="none" w:sz="0" w:space="0" w:color="auto"/>
                <w:right w:val="none" w:sz="0" w:space="0" w:color="auto"/>
              </w:divBdr>
              <w:divsChild>
                <w:div w:id="10636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2058">
      <w:bodyDiv w:val="1"/>
      <w:marLeft w:val="0"/>
      <w:marRight w:val="0"/>
      <w:marTop w:val="0"/>
      <w:marBottom w:val="0"/>
      <w:divBdr>
        <w:top w:val="none" w:sz="0" w:space="0" w:color="auto"/>
        <w:left w:val="none" w:sz="0" w:space="0" w:color="auto"/>
        <w:bottom w:val="none" w:sz="0" w:space="0" w:color="auto"/>
        <w:right w:val="none" w:sz="0" w:space="0" w:color="auto"/>
      </w:divBdr>
    </w:div>
    <w:div w:id="618148432">
      <w:bodyDiv w:val="1"/>
      <w:marLeft w:val="0"/>
      <w:marRight w:val="0"/>
      <w:marTop w:val="0"/>
      <w:marBottom w:val="0"/>
      <w:divBdr>
        <w:top w:val="none" w:sz="0" w:space="0" w:color="auto"/>
        <w:left w:val="none" w:sz="0" w:space="0" w:color="auto"/>
        <w:bottom w:val="none" w:sz="0" w:space="0" w:color="auto"/>
        <w:right w:val="none" w:sz="0" w:space="0" w:color="auto"/>
      </w:divBdr>
    </w:div>
    <w:div w:id="620065848">
      <w:bodyDiv w:val="1"/>
      <w:marLeft w:val="0"/>
      <w:marRight w:val="0"/>
      <w:marTop w:val="0"/>
      <w:marBottom w:val="0"/>
      <w:divBdr>
        <w:top w:val="none" w:sz="0" w:space="0" w:color="auto"/>
        <w:left w:val="none" w:sz="0" w:space="0" w:color="auto"/>
        <w:bottom w:val="none" w:sz="0" w:space="0" w:color="auto"/>
        <w:right w:val="none" w:sz="0" w:space="0" w:color="auto"/>
      </w:divBdr>
    </w:div>
    <w:div w:id="695695242">
      <w:bodyDiv w:val="1"/>
      <w:marLeft w:val="0"/>
      <w:marRight w:val="0"/>
      <w:marTop w:val="0"/>
      <w:marBottom w:val="0"/>
      <w:divBdr>
        <w:top w:val="none" w:sz="0" w:space="0" w:color="auto"/>
        <w:left w:val="none" w:sz="0" w:space="0" w:color="auto"/>
        <w:bottom w:val="none" w:sz="0" w:space="0" w:color="auto"/>
        <w:right w:val="none" w:sz="0" w:space="0" w:color="auto"/>
      </w:divBdr>
    </w:div>
    <w:div w:id="714738971">
      <w:bodyDiv w:val="1"/>
      <w:marLeft w:val="0"/>
      <w:marRight w:val="0"/>
      <w:marTop w:val="0"/>
      <w:marBottom w:val="0"/>
      <w:divBdr>
        <w:top w:val="none" w:sz="0" w:space="0" w:color="auto"/>
        <w:left w:val="none" w:sz="0" w:space="0" w:color="auto"/>
        <w:bottom w:val="none" w:sz="0" w:space="0" w:color="auto"/>
        <w:right w:val="none" w:sz="0" w:space="0" w:color="auto"/>
      </w:divBdr>
    </w:div>
    <w:div w:id="717512278">
      <w:bodyDiv w:val="1"/>
      <w:marLeft w:val="0"/>
      <w:marRight w:val="0"/>
      <w:marTop w:val="0"/>
      <w:marBottom w:val="0"/>
      <w:divBdr>
        <w:top w:val="none" w:sz="0" w:space="0" w:color="auto"/>
        <w:left w:val="none" w:sz="0" w:space="0" w:color="auto"/>
        <w:bottom w:val="none" w:sz="0" w:space="0" w:color="auto"/>
        <w:right w:val="none" w:sz="0" w:space="0" w:color="auto"/>
      </w:divBdr>
    </w:div>
    <w:div w:id="737292176">
      <w:bodyDiv w:val="1"/>
      <w:marLeft w:val="0"/>
      <w:marRight w:val="0"/>
      <w:marTop w:val="0"/>
      <w:marBottom w:val="0"/>
      <w:divBdr>
        <w:top w:val="none" w:sz="0" w:space="0" w:color="auto"/>
        <w:left w:val="none" w:sz="0" w:space="0" w:color="auto"/>
        <w:bottom w:val="none" w:sz="0" w:space="0" w:color="auto"/>
        <w:right w:val="none" w:sz="0" w:space="0" w:color="auto"/>
      </w:divBdr>
    </w:div>
    <w:div w:id="769812355">
      <w:bodyDiv w:val="1"/>
      <w:marLeft w:val="0"/>
      <w:marRight w:val="0"/>
      <w:marTop w:val="0"/>
      <w:marBottom w:val="0"/>
      <w:divBdr>
        <w:top w:val="none" w:sz="0" w:space="0" w:color="auto"/>
        <w:left w:val="none" w:sz="0" w:space="0" w:color="auto"/>
        <w:bottom w:val="none" w:sz="0" w:space="0" w:color="auto"/>
        <w:right w:val="none" w:sz="0" w:space="0" w:color="auto"/>
      </w:divBdr>
    </w:div>
    <w:div w:id="840311405">
      <w:bodyDiv w:val="1"/>
      <w:marLeft w:val="0"/>
      <w:marRight w:val="0"/>
      <w:marTop w:val="0"/>
      <w:marBottom w:val="0"/>
      <w:divBdr>
        <w:top w:val="none" w:sz="0" w:space="0" w:color="auto"/>
        <w:left w:val="none" w:sz="0" w:space="0" w:color="auto"/>
        <w:bottom w:val="none" w:sz="0" w:space="0" w:color="auto"/>
        <w:right w:val="none" w:sz="0" w:space="0" w:color="auto"/>
      </w:divBdr>
    </w:div>
    <w:div w:id="847061906">
      <w:bodyDiv w:val="1"/>
      <w:marLeft w:val="0"/>
      <w:marRight w:val="0"/>
      <w:marTop w:val="0"/>
      <w:marBottom w:val="0"/>
      <w:divBdr>
        <w:top w:val="none" w:sz="0" w:space="0" w:color="auto"/>
        <w:left w:val="none" w:sz="0" w:space="0" w:color="auto"/>
        <w:bottom w:val="none" w:sz="0" w:space="0" w:color="auto"/>
        <w:right w:val="none" w:sz="0" w:space="0" w:color="auto"/>
      </w:divBdr>
      <w:divsChild>
        <w:div w:id="1082682594">
          <w:marLeft w:val="0"/>
          <w:marRight w:val="0"/>
          <w:marTop w:val="0"/>
          <w:marBottom w:val="150"/>
          <w:divBdr>
            <w:top w:val="none" w:sz="0" w:space="0" w:color="auto"/>
            <w:left w:val="none" w:sz="0" w:space="0" w:color="auto"/>
            <w:bottom w:val="none" w:sz="0" w:space="0" w:color="auto"/>
            <w:right w:val="none" w:sz="0" w:space="0" w:color="auto"/>
          </w:divBdr>
          <w:divsChild>
            <w:div w:id="443312567">
              <w:marLeft w:val="0"/>
              <w:marRight w:val="0"/>
              <w:marTop w:val="0"/>
              <w:marBottom w:val="0"/>
              <w:divBdr>
                <w:top w:val="none" w:sz="0" w:space="0" w:color="auto"/>
                <w:left w:val="none" w:sz="0" w:space="0" w:color="auto"/>
                <w:bottom w:val="none" w:sz="0" w:space="0" w:color="auto"/>
                <w:right w:val="none" w:sz="0" w:space="0" w:color="auto"/>
              </w:divBdr>
              <w:divsChild>
                <w:div w:id="295065091">
                  <w:marLeft w:val="0"/>
                  <w:marRight w:val="1116"/>
                  <w:marTop w:val="0"/>
                  <w:marBottom w:val="0"/>
                  <w:divBdr>
                    <w:top w:val="none" w:sz="0" w:space="0" w:color="auto"/>
                    <w:left w:val="none" w:sz="0" w:space="0" w:color="auto"/>
                    <w:bottom w:val="none" w:sz="0" w:space="0" w:color="auto"/>
                    <w:right w:val="none" w:sz="0" w:space="0" w:color="auto"/>
                  </w:divBdr>
                </w:div>
                <w:div w:id="1363170534">
                  <w:marLeft w:val="2567"/>
                  <w:marRight w:val="0"/>
                  <w:marTop w:val="0"/>
                  <w:marBottom w:val="0"/>
                  <w:divBdr>
                    <w:top w:val="none" w:sz="0" w:space="0" w:color="auto"/>
                    <w:left w:val="none" w:sz="0" w:space="0" w:color="auto"/>
                    <w:bottom w:val="none" w:sz="0" w:space="0" w:color="auto"/>
                    <w:right w:val="none" w:sz="0" w:space="0" w:color="auto"/>
                  </w:divBdr>
                </w:div>
              </w:divsChild>
            </w:div>
          </w:divsChild>
        </w:div>
        <w:div w:id="1863124254">
          <w:marLeft w:val="0"/>
          <w:marRight w:val="0"/>
          <w:marTop w:val="0"/>
          <w:marBottom w:val="0"/>
          <w:divBdr>
            <w:top w:val="none" w:sz="0" w:space="0" w:color="auto"/>
            <w:left w:val="none" w:sz="0" w:space="0" w:color="auto"/>
            <w:bottom w:val="none" w:sz="0" w:space="0" w:color="auto"/>
            <w:right w:val="none" w:sz="0" w:space="0" w:color="auto"/>
          </w:divBdr>
          <w:divsChild>
            <w:div w:id="1247812669">
              <w:marLeft w:val="0"/>
              <w:marRight w:val="0"/>
              <w:marTop w:val="0"/>
              <w:marBottom w:val="0"/>
              <w:divBdr>
                <w:top w:val="none" w:sz="0" w:space="0" w:color="auto"/>
                <w:left w:val="none" w:sz="0" w:space="0" w:color="auto"/>
                <w:bottom w:val="none" w:sz="0" w:space="0" w:color="auto"/>
                <w:right w:val="none" w:sz="0" w:space="0" w:color="auto"/>
              </w:divBdr>
              <w:divsChild>
                <w:div w:id="159004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54657">
          <w:marLeft w:val="0"/>
          <w:marRight w:val="0"/>
          <w:marTop w:val="0"/>
          <w:marBottom w:val="0"/>
          <w:divBdr>
            <w:top w:val="none" w:sz="0" w:space="0" w:color="auto"/>
            <w:left w:val="none" w:sz="0" w:space="0" w:color="auto"/>
            <w:bottom w:val="none" w:sz="0" w:space="0" w:color="auto"/>
            <w:right w:val="none" w:sz="0" w:space="0" w:color="auto"/>
          </w:divBdr>
          <w:divsChild>
            <w:div w:id="2077973953">
              <w:marLeft w:val="0"/>
              <w:marRight w:val="0"/>
              <w:marTop w:val="0"/>
              <w:marBottom w:val="0"/>
              <w:divBdr>
                <w:top w:val="none" w:sz="0" w:space="0" w:color="auto"/>
                <w:left w:val="none" w:sz="0" w:space="0" w:color="auto"/>
                <w:bottom w:val="none" w:sz="0" w:space="0" w:color="auto"/>
                <w:right w:val="none" w:sz="0" w:space="0" w:color="auto"/>
              </w:divBdr>
              <w:divsChild>
                <w:div w:id="13013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3191">
      <w:bodyDiv w:val="1"/>
      <w:marLeft w:val="0"/>
      <w:marRight w:val="0"/>
      <w:marTop w:val="0"/>
      <w:marBottom w:val="0"/>
      <w:divBdr>
        <w:top w:val="none" w:sz="0" w:space="0" w:color="auto"/>
        <w:left w:val="none" w:sz="0" w:space="0" w:color="auto"/>
        <w:bottom w:val="none" w:sz="0" w:space="0" w:color="auto"/>
        <w:right w:val="none" w:sz="0" w:space="0" w:color="auto"/>
      </w:divBdr>
      <w:divsChild>
        <w:div w:id="1943220892">
          <w:marLeft w:val="0"/>
          <w:marRight w:val="0"/>
          <w:marTop w:val="0"/>
          <w:marBottom w:val="150"/>
          <w:divBdr>
            <w:top w:val="none" w:sz="0" w:space="0" w:color="auto"/>
            <w:left w:val="none" w:sz="0" w:space="0" w:color="auto"/>
            <w:bottom w:val="none" w:sz="0" w:space="0" w:color="auto"/>
            <w:right w:val="none" w:sz="0" w:space="0" w:color="auto"/>
          </w:divBdr>
          <w:divsChild>
            <w:div w:id="218521406">
              <w:marLeft w:val="0"/>
              <w:marRight w:val="0"/>
              <w:marTop w:val="0"/>
              <w:marBottom w:val="0"/>
              <w:divBdr>
                <w:top w:val="none" w:sz="0" w:space="0" w:color="auto"/>
                <w:left w:val="none" w:sz="0" w:space="0" w:color="auto"/>
                <w:bottom w:val="none" w:sz="0" w:space="0" w:color="auto"/>
                <w:right w:val="none" w:sz="0" w:space="0" w:color="auto"/>
              </w:divBdr>
              <w:divsChild>
                <w:div w:id="490950769">
                  <w:marLeft w:val="0"/>
                  <w:marRight w:val="1116"/>
                  <w:marTop w:val="0"/>
                  <w:marBottom w:val="0"/>
                  <w:divBdr>
                    <w:top w:val="none" w:sz="0" w:space="0" w:color="auto"/>
                    <w:left w:val="none" w:sz="0" w:space="0" w:color="auto"/>
                    <w:bottom w:val="none" w:sz="0" w:space="0" w:color="auto"/>
                    <w:right w:val="none" w:sz="0" w:space="0" w:color="auto"/>
                  </w:divBdr>
                </w:div>
                <w:div w:id="214004965">
                  <w:marLeft w:val="2567"/>
                  <w:marRight w:val="0"/>
                  <w:marTop w:val="0"/>
                  <w:marBottom w:val="0"/>
                  <w:divBdr>
                    <w:top w:val="none" w:sz="0" w:space="0" w:color="auto"/>
                    <w:left w:val="none" w:sz="0" w:space="0" w:color="auto"/>
                    <w:bottom w:val="none" w:sz="0" w:space="0" w:color="auto"/>
                    <w:right w:val="none" w:sz="0" w:space="0" w:color="auto"/>
                  </w:divBdr>
                </w:div>
              </w:divsChild>
            </w:div>
          </w:divsChild>
        </w:div>
        <w:div w:id="2081558562">
          <w:marLeft w:val="0"/>
          <w:marRight w:val="0"/>
          <w:marTop w:val="0"/>
          <w:marBottom w:val="0"/>
          <w:divBdr>
            <w:top w:val="none" w:sz="0" w:space="0" w:color="auto"/>
            <w:left w:val="none" w:sz="0" w:space="0" w:color="auto"/>
            <w:bottom w:val="none" w:sz="0" w:space="0" w:color="auto"/>
            <w:right w:val="none" w:sz="0" w:space="0" w:color="auto"/>
          </w:divBdr>
          <w:divsChild>
            <w:div w:id="1398557317">
              <w:marLeft w:val="0"/>
              <w:marRight w:val="0"/>
              <w:marTop w:val="0"/>
              <w:marBottom w:val="0"/>
              <w:divBdr>
                <w:top w:val="none" w:sz="0" w:space="0" w:color="auto"/>
                <w:left w:val="none" w:sz="0" w:space="0" w:color="auto"/>
                <w:bottom w:val="none" w:sz="0" w:space="0" w:color="auto"/>
                <w:right w:val="none" w:sz="0" w:space="0" w:color="auto"/>
              </w:divBdr>
              <w:divsChild>
                <w:div w:id="2189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7776">
          <w:marLeft w:val="0"/>
          <w:marRight w:val="0"/>
          <w:marTop w:val="0"/>
          <w:marBottom w:val="0"/>
          <w:divBdr>
            <w:top w:val="none" w:sz="0" w:space="0" w:color="auto"/>
            <w:left w:val="none" w:sz="0" w:space="0" w:color="auto"/>
            <w:bottom w:val="none" w:sz="0" w:space="0" w:color="auto"/>
            <w:right w:val="none" w:sz="0" w:space="0" w:color="auto"/>
          </w:divBdr>
          <w:divsChild>
            <w:div w:id="660933495">
              <w:marLeft w:val="0"/>
              <w:marRight w:val="0"/>
              <w:marTop w:val="0"/>
              <w:marBottom w:val="0"/>
              <w:divBdr>
                <w:top w:val="none" w:sz="0" w:space="0" w:color="auto"/>
                <w:left w:val="none" w:sz="0" w:space="0" w:color="auto"/>
                <w:bottom w:val="none" w:sz="0" w:space="0" w:color="auto"/>
                <w:right w:val="none" w:sz="0" w:space="0" w:color="auto"/>
              </w:divBdr>
              <w:divsChild>
                <w:div w:id="8523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869213">
      <w:bodyDiv w:val="1"/>
      <w:marLeft w:val="0"/>
      <w:marRight w:val="0"/>
      <w:marTop w:val="0"/>
      <w:marBottom w:val="0"/>
      <w:divBdr>
        <w:top w:val="none" w:sz="0" w:space="0" w:color="auto"/>
        <w:left w:val="none" w:sz="0" w:space="0" w:color="auto"/>
        <w:bottom w:val="none" w:sz="0" w:space="0" w:color="auto"/>
        <w:right w:val="none" w:sz="0" w:space="0" w:color="auto"/>
      </w:divBdr>
    </w:div>
    <w:div w:id="888498255">
      <w:bodyDiv w:val="1"/>
      <w:marLeft w:val="0"/>
      <w:marRight w:val="0"/>
      <w:marTop w:val="0"/>
      <w:marBottom w:val="0"/>
      <w:divBdr>
        <w:top w:val="none" w:sz="0" w:space="0" w:color="auto"/>
        <w:left w:val="none" w:sz="0" w:space="0" w:color="auto"/>
        <w:bottom w:val="none" w:sz="0" w:space="0" w:color="auto"/>
        <w:right w:val="none" w:sz="0" w:space="0" w:color="auto"/>
      </w:divBdr>
      <w:divsChild>
        <w:div w:id="410278217">
          <w:marLeft w:val="0"/>
          <w:marRight w:val="0"/>
          <w:marTop w:val="0"/>
          <w:marBottom w:val="150"/>
          <w:divBdr>
            <w:top w:val="none" w:sz="0" w:space="0" w:color="auto"/>
            <w:left w:val="none" w:sz="0" w:space="0" w:color="auto"/>
            <w:bottom w:val="none" w:sz="0" w:space="0" w:color="auto"/>
            <w:right w:val="none" w:sz="0" w:space="0" w:color="auto"/>
          </w:divBdr>
          <w:divsChild>
            <w:div w:id="736248530">
              <w:marLeft w:val="0"/>
              <w:marRight w:val="0"/>
              <w:marTop w:val="0"/>
              <w:marBottom w:val="0"/>
              <w:divBdr>
                <w:top w:val="none" w:sz="0" w:space="0" w:color="auto"/>
                <w:left w:val="none" w:sz="0" w:space="0" w:color="auto"/>
                <w:bottom w:val="none" w:sz="0" w:space="0" w:color="auto"/>
                <w:right w:val="none" w:sz="0" w:space="0" w:color="auto"/>
              </w:divBdr>
              <w:divsChild>
                <w:div w:id="1353846458">
                  <w:marLeft w:val="0"/>
                  <w:marRight w:val="1116"/>
                  <w:marTop w:val="0"/>
                  <w:marBottom w:val="0"/>
                  <w:divBdr>
                    <w:top w:val="none" w:sz="0" w:space="0" w:color="auto"/>
                    <w:left w:val="none" w:sz="0" w:space="0" w:color="auto"/>
                    <w:bottom w:val="none" w:sz="0" w:space="0" w:color="auto"/>
                    <w:right w:val="none" w:sz="0" w:space="0" w:color="auto"/>
                  </w:divBdr>
                </w:div>
                <w:div w:id="1875455878">
                  <w:marLeft w:val="2567"/>
                  <w:marRight w:val="0"/>
                  <w:marTop w:val="0"/>
                  <w:marBottom w:val="0"/>
                  <w:divBdr>
                    <w:top w:val="none" w:sz="0" w:space="0" w:color="auto"/>
                    <w:left w:val="none" w:sz="0" w:space="0" w:color="auto"/>
                    <w:bottom w:val="none" w:sz="0" w:space="0" w:color="auto"/>
                    <w:right w:val="none" w:sz="0" w:space="0" w:color="auto"/>
                  </w:divBdr>
                </w:div>
              </w:divsChild>
            </w:div>
          </w:divsChild>
        </w:div>
        <w:div w:id="1968509698">
          <w:marLeft w:val="0"/>
          <w:marRight w:val="0"/>
          <w:marTop w:val="0"/>
          <w:marBottom w:val="0"/>
          <w:divBdr>
            <w:top w:val="none" w:sz="0" w:space="0" w:color="auto"/>
            <w:left w:val="none" w:sz="0" w:space="0" w:color="auto"/>
            <w:bottom w:val="none" w:sz="0" w:space="0" w:color="auto"/>
            <w:right w:val="none" w:sz="0" w:space="0" w:color="auto"/>
          </w:divBdr>
          <w:divsChild>
            <w:div w:id="1497263281">
              <w:marLeft w:val="0"/>
              <w:marRight w:val="0"/>
              <w:marTop w:val="0"/>
              <w:marBottom w:val="0"/>
              <w:divBdr>
                <w:top w:val="none" w:sz="0" w:space="0" w:color="auto"/>
                <w:left w:val="none" w:sz="0" w:space="0" w:color="auto"/>
                <w:bottom w:val="none" w:sz="0" w:space="0" w:color="auto"/>
                <w:right w:val="none" w:sz="0" w:space="0" w:color="auto"/>
              </w:divBdr>
              <w:divsChild>
                <w:div w:id="13959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5175">
          <w:marLeft w:val="0"/>
          <w:marRight w:val="0"/>
          <w:marTop w:val="0"/>
          <w:marBottom w:val="0"/>
          <w:divBdr>
            <w:top w:val="none" w:sz="0" w:space="0" w:color="auto"/>
            <w:left w:val="none" w:sz="0" w:space="0" w:color="auto"/>
            <w:bottom w:val="none" w:sz="0" w:space="0" w:color="auto"/>
            <w:right w:val="none" w:sz="0" w:space="0" w:color="auto"/>
          </w:divBdr>
          <w:divsChild>
            <w:div w:id="1176533389">
              <w:marLeft w:val="0"/>
              <w:marRight w:val="0"/>
              <w:marTop w:val="0"/>
              <w:marBottom w:val="0"/>
              <w:divBdr>
                <w:top w:val="none" w:sz="0" w:space="0" w:color="auto"/>
                <w:left w:val="none" w:sz="0" w:space="0" w:color="auto"/>
                <w:bottom w:val="none" w:sz="0" w:space="0" w:color="auto"/>
                <w:right w:val="none" w:sz="0" w:space="0" w:color="auto"/>
              </w:divBdr>
              <w:divsChild>
                <w:div w:id="10675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9049">
      <w:bodyDiv w:val="1"/>
      <w:marLeft w:val="0"/>
      <w:marRight w:val="0"/>
      <w:marTop w:val="0"/>
      <w:marBottom w:val="0"/>
      <w:divBdr>
        <w:top w:val="none" w:sz="0" w:space="0" w:color="auto"/>
        <w:left w:val="none" w:sz="0" w:space="0" w:color="auto"/>
        <w:bottom w:val="none" w:sz="0" w:space="0" w:color="auto"/>
        <w:right w:val="none" w:sz="0" w:space="0" w:color="auto"/>
      </w:divBdr>
    </w:div>
    <w:div w:id="956375059">
      <w:bodyDiv w:val="1"/>
      <w:marLeft w:val="0"/>
      <w:marRight w:val="0"/>
      <w:marTop w:val="0"/>
      <w:marBottom w:val="0"/>
      <w:divBdr>
        <w:top w:val="none" w:sz="0" w:space="0" w:color="auto"/>
        <w:left w:val="none" w:sz="0" w:space="0" w:color="auto"/>
        <w:bottom w:val="none" w:sz="0" w:space="0" w:color="auto"/>
        <w:right w:val="none" w:sz="0" w:space="0" w:color="auto"/>
      </w:divBdr>
      <w:divsChild>
        <w:div w:id="192767910">
          <w:marLeft w:val="0"/>
          <w:marRight w:val="0"/>
          <w:marTop w:val="0"/>
          <w:marBottom w:val="150"/>
          <w:divBdr>
            <w:top w:val="none" w:sz="0" w:space="0" w:color="auto"/>
            <w:left w:val="none" w:sz="0" w:space="0" w:color="auto"/>
            <w:bottom w:val="none" w:sz="0" w:space="0" w:color="auto"/>
            <w:right w:val="none" w:sz="0" w:space="0" w:color="auto"/>
          </w:divBdr>
          <w:divsChild>
            <w:div w:id="1034697812">
              <w:marLeft w:val="0"/>
              <w:marRight w:val="0"/>
              <w:marTop w:val="0"/>
              <w:marBottom w:val="0"/>
              <w:divBdr>
                <w:top w:val="none" w:sz="0" w:space="0" w:color="auto"/>
                <w:left w:val="none" w:sz="0" w:space="0" w:color="auto"/>
                <w:bottom w:val="none" w:sz="0" w:space="0" w:color="auto"/>
                <w:right w:val="none" w:sz="0" w:space="0" w:color="auto"/>
              </w:divBdr>
              <w:divsChild>
                <w:div w:id="1044409156">
                  <w:marLeft w:val="0"/>
                  <w:marRight w:val="1116"/>
                  <w:marTop w:val="0"/>
                  <w:marBottom w:val="0"/>
                  <w:divBdr>
                    <w:top w:val="none" w:sz="0" w:space="0" w:color="auto"/>
                    <w:left w:val="none" w:sz="0" w:space="0" w:color="auto"/>
                    <w:bottom w:val="none" w:sz="0" w:space="0" w:color="auto"/>
                    <w:right w:val="none" w:sz="0" w:space="0" w:color="auto"/>
                  </w:divBdr>
                </w:div>
                <w:div w:id="953638083">
                  <w:marLeft w:val="2567"/>
                  <w:marRight w:val="0"/>
                  <w:marTop w:val="0"/>
                  <w:marBottom w:val="0"/>
                  <w:divBdr>
                    <w:top w:val="none" w:sz="0" w:space="0" w:color="auto"/>
                    <w:left w:val="none" w:sz="0" w:space="0" w:color="auto"/>
                    <w:bottom w:val="none" w:sz="0" w:space="0" w:color="auto"/>
                    <w:right w:val="none" w:sz="0" w:space="0" w:color="auto"/>
                  </w:divBdr>
                </w:div>
              </w:divsChild>
            </w:div>
          </w:divsChild>
        </w:div>
        <w:div w:id="8527429">
          <w:marLeft w:val="0"/>
          <w:marRight w:val="0"/>
          <w:marTop w:val="0"/>
          <w:marBottom w:val="0"/>
          <w:divBdr>
            <w:top w:val="none" w:sz="0" w:space="0" w:color="auto"/>
            <w:left w:val="none" w:sz="0" w:space="0" w:color="auto"/>
            <w:bottom w:val="none" w:sz="0" w:space="0" w:color="auto"/>
            <w:right w:val="none" w:sz="0" w:space="0" w:color="auto"/>
          </w:divBdr>
          <w:divsChild>
            <w:div w:id="357892870">
              <w:marLeft w:val="0"/>
              <w:marRight w:val="0"/>
              <w:marTop w:val="0"/>
              <w:marBottom w:val="0"/>
              <w:divBdr>
                <w:top w:val="none" w:sz="0" w:space="0" w:color="auto"/>
                <w:left w:val="none" w:sz="0" w:space="0" w:color="auto"/>
                <w:bottom w:val="none" w:sz="0" w:space="0" w:color="auto"/>
                <w:right w:val="none" w:sz="0" w:space="0" w:color="auto"/>
              </w:divBdr>
              <w:divsChild>
                <w:div w:id="2719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9351">
          <w:marLeft w:val="0"/>
          <w:marRight w:val="0"/>
          <w:marTop w:val="0"/>
          <w:marBottom w:val="0"/>
          <w:divBdr>
            <w:top w:val="none" w:sz="0" w:space="0" w:color="auto"/>
            <w:left w:val="none" w:sz="0" w:space="0" w:color="auto"/>
            <w:bottom w:val="none" w:sz="0" w:space="0" w:color="auto"/>
            <w:right w:val="none" w:sz="0" w:space="0" w:color="auto"/>
          </w:divBdr>
          <w:divsChild>
            <w:div w:id="1334257861">
              <w:marLeft w:val="0"/>
              <w:marRight w:val="0"/>
              <w:marTop w:val="0"/>
              <w:marBottom w:val="0"/>
              <w:divBdr>
                <w:top w:val="none" w:sz="0" w:space="0" w:color="auto"/>
                <w:left w:val="none" w:sz="0" w:space="0" w:color="auto"/>
                <w:bottom w:val="none" w:sz="0" w:space="0" w:color="auto"/>
                <w:right w:val="none" w:sz="0" w:space="0" w:color="auto"/>
              </w:divBdr>
              <w:divsChild>
                <w:div w:id="6431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953261">
      <w:bodyDiv w:val="1"/>
      <w:marLeft w:val="0"/>
      <w:marRight w:val="0"/>
      <w:marTop w:val="0"/>
      <w:marBottom w:val="0"/>
      <w:divBdr>
        <w:top w:val="none" w:sz="0" w:space="0" w:color="auto"/>
        <w:left w:val="none" w:sz="0" w:space="0" w:color="auto"/>
        <w:bottom w:val="none" w:sz="0" w:space="0" w:color="auto"/>
        <w:right w:val="none" w:sz="0" w:space="0" w:color="auto"/>
      </w:divBdr>
    </w:div>
    <w:div w:id="959336174">
      <w:bodyDiv w:val="1"/>
      <w:marLeft w:val="0"/>
      <w:marRight w:val="0"/>
      <w:marTop w:val="0"/>
      <w:marBottom w:val="0"/>
      <w:divBdr>
        <w:top w:val="none" w:sz="0" w:space="0" w:color="auto"/>
        <w:left w:val="none" w:sz="0" w:space="0" w:color="auto"/>
        <w:bottom w:val="none" w:sz="0" w:space="0" w:color="auto"/>
        <w:right w:val="none" w:sz="0" w:space="0" w:color="auto"/>
      </w:divBdr>
    </w:div>
    <w:div w:id="984311794">
      <w:bodyDiv w:val="1"/>
      <w:marLeft w:val="0"/>
      <w:marRight w:val="0"/>
      <w:marTop w:val="0"/>
      <w:marBottom w:val="0"/>
      <w:divBdr>
        <w:top w:val="none" w:sz="0" w:space="0" w:color="auto"/>
        <w:left w:val="none" w:sz="0" w:space="0" w:color="auto"/>
        <w:bottom w:val="none" w:sz="0" w:space="0" w:color="auto"/>
        <w:right w:val="none" w:sz="0" w:space="0" w:color="auto"/>
      </w:divBdr>
    </w:div>
    <w:div w:id="998079287">
      <w:bodyDiv w:val="1"/>
      <w:marLeft w:val="0"/>
      <w:marRight w:val="0"/>
      <w:marTop w:val="0"/>
      <w:marBottom w:val="0"/>
      <w:divBdr>
        <w:top w:val="none" w:sz="0" w:space="0" w:color="auto"/>
        <w:left w:val="none" w:sz="0" w:space="0" w:color="auto"/>
        <w:bottom w:val="none" w:sz="0" w:space="0" w:color="auto"/>
        <w:right w:val="none" w:sz="0" w:space="0" w:color="auto"/>
      </w:divBdr>
    </w:div>
    <w:div w:id="1026518021">
      <w:bodyDiv w:val="1"/>
      <w:marLeft w:val="0"/>
      <w:marRight w:val="0"/>
      <w:marTop w:val="0"/>
      <w:marBottom w:val="0"/>
      <w:divBdr>
        <w:top w:val="none" w:sz="0" w:space="0" w:color="auto"/>
        <w:left w:val="none" w:sz="0" w:space="0" w:color="auto"/>
        <w:bottom w:val="none" w:sz="0" w:space="0" w:color="auto"/>
        <w:right w:val="none" w:sz="0" w:space="0" w:color="auto"/>
      </w:divBdr>
    </w:div>
    <w:div w:id="1040785040">
      <w:bodyDiv w:val="1"/>
      <w:marLeft w:val="0"/>
      <w:marRight w:val="0"/>
      <w:marTop w:val="0"/>
      <w:marBottom w:val="0"/>
      <w:divBdr>
        <w:top w:val="none" w:sz="0" w:space="0" w:color="auto"/>
        <w:left w:val="none" w:sz="0" w:space="0" w:color="auto"/>
        <w:bottom w:val="none" w:sz="0" w:space="0" w:color="auto"/>
        <w:right w:val="none" w:sz="0" w:space="0" w:color="auto"/>
      </w:divBdr>
    </w:div>
    <w:div w:id="1065109272">
      <w:bodyDiv w:val="1"/>
      <w:marLeft w:val="0"/>
      <w:marRight w:val="0"/>
      <w:marTop w:val="0"/>
      <w:marBottom w:val="0"/>
      <w:divBdr>
        <w:top w:val="none" w:sz="0" w:space="0" w:color="auto"/>
        <w:left w:val="none" w:sz="0" w:space="0" w:color="auto"/>
        <w:bottom w:val="none" w:sz="0" w:space="0" w:color="auto"/>
        <w:right w:val="none" w:sz="0" w:space="0" w:color="auto"/>
      </w:divBdr>
      <w:divsChild>
        <w:div w:id="1835560238">
          <w:marLeft w:val="0"/>
          <w:marRight w:val="0"/>
          <w:marTop w:val="0"/>
          <w:marBottom w:val="150"/>
          <w:divBdr>
            <w:top w:val="none" w:sz="0" w:space="0" w:color="auto"/>
            <w:left w:val="none" w:sz="0" w:space="0" w:color="auto"/>
            <w:bottom w:val="none" w:sz="0" w:space="0" w:color="auto"/>
            <w:right w:val="none" w:sz="0" w:space="0" w:color="auto"/>
          </w:divBdr>
          <w:divsChild>
            <w:div w:id="1463308667">
              <w:marLeft w:val="0"/>
              <w:marRight w:val="0"/>
              <w:marTop w:val="0"/>
              <w:marBottom w:val="0"/>
              <w:divBdr>
                <w:top w:val="none" w:sz="0" w:space="0" w:color="auto"/>
                <w:left w:val="none" w:sz="0" w:space="0" w:color="auto"/>
                <w:bottom w:val="none" w:sz="0" w:space="0" w:color="auto"/>
                <w:right w:val="none" w:sz="0" w:space="0" w:color="auto"/>
              </w:divBdr>
              <w:divsChild>
                <w:div w:id="1291588042">
                  <w:marLeft w:val="0"/>
                  <w:marRight w:val="1116"/>
                  <w:marTop w:val="0"/>
                  <w:marBottom w:val="0"/>
                  <w:divBdr>
                    <w:top w:val="none" w:sz="0" w:space="0" w:color="auto"/>
                    <w:left w:val="none" w:sz="0" w:space="0" w:color="auto"/>
                    <w:bottom w:val="none" w:sz="0" w:space="0" w:color="auto"/>
                    <w:right w:val="none" w:sz="0" w:space="0" w:color="auto"/>
                  </w:divBdr>
                </w:div>
                <w:div w:id="263656321">
                  <w:marLeft w:val="2567"/>
                  <w:marRight w:val="0"/>
                  <w:marTop w:val="0"/>
                  <w:marBottom w:val="0"/>
                  <w:divBdr>
                    <w:top w:val="none" w:sz="0" w:space="0" w:color="auto"/>
                    <w:left w:val="none" w:sz="0" w:space="0" w:color="auto"/>
                    <w:bottom w:val="none" w:sz="0" w:space="0" w:color="auto"/>
                    <w:right w:val="none" w:sz="0" w:space="0" w:color="auto"/>
                  </w:divBdr>
                </w:div>
              </w:divsChild>
            </w:div>
          </w:divsChild>
        </w:div>
        <w:div w:id="1043361726">
          <w:marLeft w:val="0"/>
          <w:marRight w:val="0"/>
          <w:marTop w:val="0"/>
          <w:marBottom w:val="0"/>
          <w:divBdr>
            <w:top w:val="none" w:sz="0" w:space="0" w:color="auto"/>
            <w:left w:val="none" w:sz="0" w:space="0" w:color="auto"/>
            <w:bottom w:val="none" w:sz="0" w:space="0" w:color="auto"/>
            <w:right w:val="none" w:sz="0" w:space="0" w:color="auto"/>
          </w:divBdr>
          <w:divsChild>
            <w:div w:id="873881645">
              <w:marLeft w:val="0"/>
              <w:marRight w:val="0"/>
              <w:marTop w:val="0"/>
              <w:marBottom w:val="0"/>
              <w:divBdr>
                <w:top w:val="none" w:sz="0" w:space="0" w:color="auto"/>
                <w:left w:val="none" w:sz="0" w:space="0" w:color="auto"/>
                <w:bottom w:val="none" w:sz="0" w:space="0" w:color="auto"/>
                <w:right w:val="none" w:sz="0" w:space="0" w:color="auto"/>
              </w:divBdr>
              <w:divsChild>
                <w:div w:id="13495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5123">
          <w:marLeft w:val="0"/>
          <w:marRight w:val="0"/>
          <w:marTop w:val="0"/>
          <w:marBottom w:val="0"/>
          <w:divBdr>
            <w:top w:val="none" w:sz="0" w:space="0" w:color="auto"/>
            <w:left w:val="none" w:sz="0" w:space="0" w:color="auto"/>
            <w:bottom w:val="none" w:sz="0" w:space="0" w:color="auto"/>
            <w:right w:val="none" w:sz="0" w:space="0" w:color="auto"/>
          </w:divBdr>
          <w:divsChild>
            <w:div w:id="1767075246">
              <w:marLeft w:val="0"/>
              <w:marRight w:val="0"/>
              <w:marTop w:val="0"/>
              <w:marBottom w:val="0"/>
              <w:divBdr>
                <w:top w:val="none" w:sz="0" w:space="0" w:color="auto"/>
                <w:left w:val="none" w:sz="0" w:space="0" w:color="auto"/>
                <w:bottom w:val="none" w:sz="0" w:space="0" w:color="auto"/>
                <w:right w:val="none" w:sz="0" w:space="0" w:color="auto"/>
              </w:divBdr>
              <w:divsChild>
                <w:div w:id="2302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2045">
      <w:bodyDiv w:val="1"/>
      <w:marLeft w:val="0"/>
      <w:marRight w:val="0"/>
      <w:marTop w:val="0"/>
      <w:marBottom w:val="0"/>
      <w:divBdr>
        <w:top w:val="none" w:sz="0" w:space="0" w:color="auto"/>
        <w:left w:val="none" w:sz="0" w:space="0" w:color="auto"/>
        <w:bottom w:val="none" w:sz="0" w:space="0" w:color="auto"/>
        <w:right w:val="none" w:sz="0" w:space="0" w:color="auto"/>
      </w:divBdr>
    </w:div>
    <w:div w:id="1144546252">
      <w:bodyDiv w:val="1"/>
      <w:marLeft w:val="0"/>
      <w:marRight w:val="0"/>
      <w:marTop w:val="0"/>
      <w:marBottom w:val="0"/>
      <w:divBdr>
        <w:top w:val="none" w:sz="0" w:space="0" w:color="auto"/>
        <w:left w:val="none" w:sz="0" w:space="0" w:color="auto"/>
        <w:bottom w:val="none" w:sz="0" w:space="0" w:color="auto"/>
        <w:right w:val="none" w:sz="0" w:space="0" w:color="auto"/>
      </w:divBdr>
      <w:divsChild>
        <w:div w:id="555777206">
          <w:marLeft w:val="0"/>
          <w:marRight w:val="0"/>
          <w:marTop w:val="0"/>
          <w:marBottom w:val="150"/>
          <w:divBdr>
            <w:top w:val="none" w:sz="0" w:space="0" w:color="auto"/>
            <w:left w:val="none" w:sz="0" w:space="0" w:color="auto"/>
            <w:bottom w:val="none" w:sz="0" w:space="0" w:color="auto"/>
            <w:right w:val="none" w:sz="0" w:space="0" w:color="auto"/>
          </w:divBdr>
          <w:divsChild>
            <w:div w:id="1814104733">
              <w:marLeft w:val="0"/>
              <w:marRight w:val="0"/>
              <w:marTop w:val="0"/>
              <w:marBottom w:val="0"/>
              <w:divBdr>
                <w:top w:val="none" w:sz="0" w:space="0" w:color="auto"/>
                <w:left w:val="none" w:sz="0" w:space="0" w:color="auto"/>
                <w:bottom w:val="none" w:sz="0" w:space="0" w:color="auto"/>
                <w:right w:val="none" w:sz="0" w:space="0" w:color="auto"/>
              </w:divBdr>
              <w:divsChild>
                <w:div w:id="534512652">
                  <w:marLeft w:val="0"/>
                  <w:marRight w:val="1116"/>
                  <w:marTop w:val="0"/>
                  <w:marBottom w:val="0"/>
                  <w:divBdr>
                    <w:top w:val="none" w:sz="0" w:space="0" w:color="auto"/>
                    <w:left w:val="none" w:sz="0" w:space="0" w:color="auto"/>
                    <w:bottom w:val="none" w:sz="0" w:space="0" w:color="auto"/>
                    <w:right w:val="none" w:sz="0" w:space="0" w:color="auto"/>
                  </w:divBdr>
                </w:div>
                <w:div w:id="1070809766">
                  <w:marLeft w:val="2567"/>
                  <w:marRight w:val="0"/>
                  <w:marTop w:val="0"/>
                  <w:marBottom w:val="0"/>
                  <w:divBdr>
                    <w:top w:val="none" w:sz="0" w:space="0" w:color="auto"/>
                    <w:left w:val="none" w:sz="0" w:space="0" w:color="auto"/>
                    <w:bottom w:val="none" w:sz="0" w:space="0" w:color="auto"/>
                    <w:right w:val="none" w:sz="0" w:space="0" w:color="auto"/>
                  </w:divBdr>
                </w:div>
              </w:divsChild>
            </w:div>
          </w:divsChild>
        </w:div>
        <w:div w:id="147672273">
          <w:marLeft w:val="0"/>
          <w:marRight w:val="0"/>
          <w:marTop w:val="0"/>
          <w:marBottom w:val="0"/>
          <w:divBdr>
            <w:top w:val="none" w:sz="0" w:space="0" w:color="auto"/>
            <w:left w:val="none" w:sz="0" w:space="0" w:color="auto"/>
            <w:bottom w:val="none" w:sz="0" w:space="0" w:color="auto"/>
            <w:right w:val="none" w:sz="0" w:space="0" w:color="auto"/>
          </w:divBdr>
          <w:divsChild>
            <w:div w:id="1210606596">
              <w:marLeft w:val="0"/>
              <w:marRight w:val="0"/>
              <w:marTop w:val="0"/>
              <w:marBottom w:val="0"/>
              <w:divBdr>
                <w:top w:val="none" w:sz="0" w:space="0" w:color="auto"/>
                <w:left w:val="none" w:sz="0" w:space="0" w:color="auto"/>
                <w:bottom w:val="none" w:sz="0" w:space="0" w:color="auto"/>
                <w:right w:val="none" w:sz="0" w:space="0" w:color="auto"/>
              </w:divBdr>
              <w:divsChild>
                <w:div w:id="13135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278">
          <w:marLeft w:val="0"/>
          <w:marRight w:val="0"/>
          <w:marTop w:val="0"/>
          <w:marBottom w:val="0"/>
          <w:divBdr>
            <w:top w:val="none" w:sz="0" w:space="0" w:color="auto"/>
            <w:left w:val="none" w:sz="0" w:space="0" w:color="auto"/>
            <w:bottom w:val="none" w:sz="0" w:space="0" w:color="auto"/>
            <w:right w:val="none" w:sz="0" w:space="0" w:color="auto"/>
          </w:divBdr>
          <w:divsChild>
            <w:div w:id="1119951869">
              <w:marLeft w:val="0"/>
              <w:marRight w:val="0"/>
              <w:marTop w:val="0"/>
              <w:marBottom w:val="0"/>
              <w:divBdr>
                <w:top w:val="none" w:sz="0" w:space="0" w:color="auto"/>
                <w:left w:val="none" w:sz="0" w:space="0" w:color="auto"/>
                <w:bottom w:val="none" w:sz="0" w:space="0" w:color="auto"/>
                <w:right w:val="none" w:sz="0" w:space="0" w:color="auto"/>
              </w:divBdr>
              <w:divsChild>
                <w:div w:id="455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93259">
      <w:bodyDiv w:val="1"/>
      <w:marLeft w:val="0"/>
      <w:marRight w:val="0"/>
      <w:marTop w:val="0"/>
      <w:marBottom w:val="0"/>
      <w:divBdr>
        <w:top w:val="none" w:sz="0" w:space="0" w:color="auto"/>
        <w:left w:val="none" w:sz="0" w:space="0" w:color="auto"/>
        <w:bottom w:val="none" w:sz="0" w:space="0" w:color="auto"/>
        <w:right w:val="none" w:sz="0" w:space="0" w:color="auto"/>
      </w:divBdr>
      <w:divsChild>
        <w:div w:id="823469239">
          <w:marLeft w:val="0"/>
          <w:marRight w:val="0"/>
          <w:marTop w:val="0"/>
          <w:marBottom w:val="150"/>
          <w:divBdr>
            <w:top w:val="none" w:sz="0" w:space="0" w:color="auto"/>
            <w:left w:val="none" w:sz="0" w:space="0" w:color="auto"/>
            <w:bottom w:val="none" w:sz="0" w:space="0" w:color="auto"/>
            <w:right w:val="none" w:sz="0" w:space="0" w:color="auto"/>
          </w:divBdr>
          <w:divsChild>
            <w:div w:id="2026902207">
              <w:marLeft w:val="0"/>
              <w:marRight w:val="0"/>
              <w:marTop w:val="0"/>
              <w:marBottom w:val="0"/>
              <w:divBdr>
                <w:top w:val="none" w:sz="0" w:space="0" w:color="auto"/>
                <w:left w:val="none" w:sz="0" w:space="0" w:color="auto"/>
                <w:bottom w:val="none" w:sz="0" w:space="0" w:color="auto"/>
                <w:right w:val="none" w:sz="0" w:space="0" w:color="auto"/>
              </w:divBdr>
              <w:divsChild>
                <w:div w:id="1423406113">
                  <w:marLeft w:val="0"/>
                  <w:marRight w:val="1116"/>
                  <w:marTop w:val="0"/>
                  <w:marBottom w:val="0"/>
                  <w:divBdr>
                    <w:top w:val="none" w:sz="0" w:space="0" w:color="auto"/>
                    <w:left w:val="none" w:sz="0" w:space="0" w:color="auto"/>
                    <w:bottom w:val="none" w:sz="0" w:space="0" w:color="auto"/>
                    <w:right w:val="none" w:sz="0" w:space="0" w:color="auto"/>
                  </w:divBdr>
                </w:div>
                <w:div w:id="1253315392">
                  <w:marLeft w:val="2567"/>
                  <w:marRight w:val="0"/>
                  <w:marTop w:val="0"/>
                  <w:marBottom w:val="0"/>
                  <w:divBdr>
                    <w:top w:val="none" w:sz="0" w:space="0" w:color="auto"/>
                    <w:left w:val="none" w:sz="0" w:space="0" w:color="auto"/>
                    <w:bottom w:val="none" w:sz="0" w:space="0" w:color="auto"/>
                    <w:right w:val="none" w:sz="0" w:space="0" w:color="auto"/>
                  </w:divBdr>
                </w:div>
              </w:divsChild>
            </w:div>
          </w:divsChild>
        </w:div>
        <w:div w:id="761609978">
          <w:marLeft w:val="0"/>
          <w:marRight w:val="0"/>
          <w:marTop w:val="0"/>
          <w:marBottom w:val="0"/>
          <w:divBdr>
            <w:top w:val="none" w:sz="0" w:space="0" w:color="auto"/>
            <w:left w:val="none" w:sz="0" w:space="0" w:color="auto"/>
            <w:bottom w:val="none" w:sz="0" w:space="0" w:color="auto"/>
            <w:right w:val="none" w:sz="0" w:space="0" w:color="auto"/>
          </w:divBdr>
          <w:divsChild>
            <w:div w:id="154734524">
              <w:marLeft w:val="0"/>
              <w:marRight w:val="0"/>
              <w:marTop w:val="0"/>
              <w:marBottom w:val="0"/>
              <w:divBdr>
                <w:top w:val="none" w:sz="0" w:space="0" w:color="auto"/>
                <w:left w:val="none" w:sz="0" w:space="0" w:color="auto"/>
                <w:bottom w:val="none" w:sz="0" w:space="0" w:color="auto"/>
                <w:right w:val="none" w:sz="0" w:space="0" w:color="auto"/>
              </w:divBdr>
              <w:divsChild>
                <w:div w:id="11849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9756">
          <w:marLeft w:val="0"/>
          <w:marRight w:val="0"/>
          <w:marTop w:val="0"/>
          <w:marBottom w:val="0"/>
          <w:divBdr>
            <w:top w:val="none" w:sz="0" w:space="0" w:color="auto"/>
            <w:left w:val="none" w:sz="0" w:space="0" w:color="auto"/>
            <w:bottom w:val="none" w:sz="0" w:space="0" w:color="auto"/>
            <w:right w:val="none" w:sz="0" w:space="0" w:color="auto"/>
          </w:divBdr>
          <w:divsChild>
            <w:div w:id="73018920">
              <w:marLeft w:val="0"/>
              <w:marRight w:val="0"/>
              <w:marTop w:val="0"/>
              <w:marBottom w:val="0"/>
              <w:divBdr>
                <w:top w:val="none" w:sz="0" w:space="0" w:color="auto"/>
                <w:left w:val="none" w:sz="0" w:space="0" w:color="auto"/>
                <w:bottom w:val="none" w:sz="0" w:space="0" w:color="auto"/>
                <w:right w:val="none" w:sz="0" w:space="0" w:color="auto"/>
              </w:divBdr>
              <w:divsChild>
                <w:div w:id="7172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9419">
      <w:bodyDiv w:val="1"/>
      <w:marLeft w:val="0"/>
      <w:marRight w:val="0"/>
      <w:marTop w:val="0"/>
      <w:marBottom w:val="0"/>
      <w:divBdr>
        <w:top w:val="none" w:sz="0" w:space="0" w:color="auto"/>
        <w:left w:val="none" w:sz="0" w:space="0" w:color="auto"/>
        <w:bottom w:val="none" w:sz="0" w:space="0" w:color="auto"/>
        <w:right w:val="none" w:sz="0" w:space="0" w:color="auto"/>
      </w:divBdr>
    </w:div>
    <w:div w:id="1210610483">
      <w:bodyDiv w:val="1"/>
      <w:marLeft w:val="0"/>
      <w:marRight w:val="0"/>
      <w:marTop w:val="0"/>
      <w:marBottom w:val="0"/>
      <w:divBdr>
        <w:top w:val="none" w:sz="0" w:space="0" w:color="auto"/>
        <w:left w:val="none" w:sz="0" w:space="0" w:color="auto"/>
        <w:bottom w:val="none" w:sz="0" w:space="0" w:color="auto"/>
        <w:right w:val="none" w:sz="0" w:space="0" w:color="auto"/>
      </w:divBdr>
    </w:div>
    <w:div w:id="1211646096">
      <w:bodyDiv w:val="1"/>
      <w:marLeft w:val="0"/>
      <w:marRight w:val="0"/>
      <w:marTop w:val="0"/>
      <w:marBottom w:val="0"/>
      <w:divBdr>
        <w:top w:val="none" w:sz="0" w:space="0" w:color="auto"/>
        <w:left w:val="none" w:sz="0" w:space="0" w:color="auto"/>
        <w:bottom w:val="none" w:sz="0" w:space="0" w:color="auto"/>
        <w:right w:val="none" w:sz="0" w:space="0" w:color="auto"/>
      </w:divBdr>
    </w:div>
    <w:div w:id="1267077829">
      <w:bodyDiv w:val="1"/>
      <w:marLeft w:val="0"/>
      <w:marRight w:val="0"/>
      <w:marTop w:val="0"/>
      <w:marBottom w:val="0"/>
      <w:divBdr>
        <w:top w:val="none" w:sz="0" w:space="0" w:color="auto"/>
        <w:left w:val="none" w:sz="0" w:space="0" w:color="auto"/>
        <w:bottom w:val="none" w:sz="0" w:space="0" w:color="auto"/>
        <w:right w:val="none" w:sz="0" w:space="0" w:color="auto"/>
      </w:divBdr>
    </w:div>
    <w:div w:id="1270894852">
      <w:bodyDiv w:val="1"/>
      <w:marLeft w:val="0"/>
      <w:marRight w:val="0"/>
      <w:marTop w:val="0"/>
      <w:marBottom w:val="0"/>
      <w:divBdr>
        <w:top w:val="none" w:sz="0" w:space="0" w:color="auto"/>
        <w:left w:val="none" w:sz="0" w:space="0" w:color="auto"/>
        <w:bottom w:val="none" w:sz="0" w:space="0" w:color="auto"/>
        <w:right w:val="none" w:sz="0" w:space="0" w:color="auto"/>
      </w:divBdr>
    </w:div>
    <w:div w:id="1274361337">
      <w:bodyDiv w:val="1"/>
      <w:marLeft w:val="0"/>
      <w:marRight w:val="0"/>
      <w:marTop w:val="0"/>
      <w:marBottom w:val="0"/>
      <w:divBdr>
        <w:top w:val="none" w:sz="0" w:space="0" w:color="auto"/>
        <w:left w:val="none" w:sz="0" w:space="0" w:color="auto"/>
        <w:bottom w:val="none" w:sz="0" w:space="0" w:color="auto"/>
        <w:right w:val="none" w:sz="0" w:space="0" w:color="auto"/>
      </w:divBdr>
    </w:div>
    <w:div w:id="1278294626">
      <w:bodyDiv w:val="1"/>
      <w:marLeft w:val="0"/>
      <w:marRight w:val="0"/>
      <w:marTop w:val="0"/>
      <w:marBottom w:val="0"/>
      <w:divBdr>
        <w:top w:val="none" w:sz="0" w:space="0" w:color="auto"/>
        <w:left w:val="none" w:sz="0" w:space="0" w:color="auto"/>
        <w:bottom w:val="none" w:sz="0" w:space="0" w:color="auto"/>
        <w:right w:val="none" w:sz="0" w:space="0" w:color="auto"/>
      </w:divBdr>
    </w:div>
    <w:div w:id="1278954258">
      <w:bodyDiv w:val="1"/>
      <w:marLeft w:val="0"/>
      <w:marRight w:val="0"/>
      <w:marTop w:val="0"/>
      <w:marBottom w:val="0"/>
      <w:divBdr>
        <w:top w:val="none" w:sz="0" w:space="0" w:color="auto"/>
        <w:left w:val="none" w:sz="0" w:space="0" w:color="auto"/>
        <w:bottom w:val="none" w:sz="0" w:space="0" w:color="auto"/>
        <w:right w:val="none" w:sz="0" w:space="0" w:color="auto"/>
      </w:divBdr>
    </w:div>
    <w:div w:id="1284770524">
      <w:bodyDiv w:val="1"/>
      <w:marLeft w:val="0"/>
      <w:marRight w:val="0"/>
      <w:marTop w:val="0"/>
      <w:marBottom w:val="0"/>
      <w:divBdr>
        <w:top w:val="none" w:sz="0" w:space="0" w:color="auto"/>
        <w:left w:val="none" w:sz="0" w:space="0" w:color="auto"/>
        <w:bottom w:val="none" w:sz="0" w:space="0" w:color="auto"/>
        <w:right w:val="none" w:sz="0" w:space="0" w:color="auto"/>
      </w:divBdr>
    </w:div>
    <w:div w:id="1332105838">
      <w:bodyDiv w:val="1"/>
      <w:marLeft w:val="0"/>
      <w:marRight w:val="0"/>
      <w:marTop w:val="0"/>
      <w:marBottom w:val="0"/>
      <w:divBdr>
        <w:top w:val="none" w:sz="0" w:space="0" w:color="auto"/>
        <w:left w:val="none" w:sz="0" w:space="0" w:color="auto"/>
        <w:bottom w:val="none" w:sz="0" w:space="0" w:color="auto"/>
        <w:right w:val="none" w:sz="0" w:space="0" w:color="auto"/>
      </w:divBdr>
    </w:div>
    <w:div w:id="1362197333">
      <w:bodyDiv w:val="1"/>
      <w:marLeft w:val="0"/>
      <w:marRight w:val="0"/>
      <w:marTop w:val="0"/>
      <w:marBottom w:val="0"/>
      <w:divBdr>
        <w:top w:val="none" w:sz="0" w:space="0" w:color="auto"/>
        <w:left w:val="none" w:sz="0" w:space="0" w:color="auto"/>
        <w:bottom w:val="none" w:sz="0" w:space="0" w:color="auto"/>
        <w:right w:val="none" w:sz="0" w:space="0" w:color="auto"/>
      </w:divBdr>
    </w:div>
    <w:div w:id="1371609629">
      <w:bodyDiv w:val="1"/>
      <w:marLeft w:val="0"/>
      <w:marRight w:val="0"/>
      <w:marTop w:val="0"/>
      <w:marBottom w:val="0"/>
      <w:divBdr>
        <w:top w:val="none" w:sz="0" w:space="0" w:color="auto"/>
        <w:left w:val="none" w:sz="0" w:space="0" w:color="auto"/>
        <w:bottom w:val="none" w:sz="0" w:space="0" w:color="auto"/>
        <w:right w:val="none" w:sz="0" w:space="0" w:color="auto"/>
      </w:divBdr>
      <w:divsChild>
        <w:div w:id="1053889643">
          <w:marLeft w:val="0"/>
          <w:marRight w:val="0"/>
          <w:marTop w:val="0"/>
          <w:marBottom w:val="0"/>
          <w:divBdr>
            <w:top w:val="none" w:sz="0" w:space="0" w:color="auto"/>
            <w:left w:val="none" w:sz="0" w:space="0" w:color="auto"/>
            <w:bottom w:val="none" w:sz="0" w:space="0" w:color="auto"/>
            <w:right w:val="none" w:sz="0" w:space="0" w:color="auto"/>
          </w:divBdr>
          <w:divsChild>
            <w:div w:id="2136751847">
              <w:marLeft w:val="0"/>
              <w:marRight w:val="0"/>
              <w:marTop w:val="0"/>
              <w:marBottom w:val="0"/>
              <w:divBdr>
                <w:top w:val="none" w:sz="0" w:space="0" w:color="auto"/>
                <w:left w:val="none" w:sz="0" w:space="0" w:color="auto"/>
                <w:bottom w:val="none" w:sz="0" w:space="0" w:color="auto"/>
                <w:right w:val="none" w:sz="0" w:space="0" w:color="auto"/>
              </w:divBdr>
              <w:divsChild>
                <w:div w:id="2019111906">
                  <w:marLeft w:val="0"/>
                  <w:marRight w:val="0"/>
                  <w:marTop w:val="0"/>
                  <w:marBottom w:val="0"/>
                  <w:divBdr>
                    <w:top w:val="none" w:sz="0" w:space="0" w:color="auto"/>
                    <w:left w:val="none" w:sz="0" w:space="0" w:color="auto"/>
                    <w:bottom w:val="none" w:sz="0" w:space="0" w:color="auto"/>
                    <w:right w:val="none" w:sz="0" w:space="0" w:color="auto"/>
                  </w:divBdr>
                  <w:divsChild>
                    <w:div w:id="18840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41124">
      <w:bodyDiv w:val="1"/>
      <w:marLeft w:val="0"/>
      <w:marRight w:val="0"/>
      <w:marTop w:val="0"/>
      <w:marBottom w:val="0"/>
      <w:divBdr>
        <w:top w:val="none" w:sz="0" w:space="0" w:color="auto"/>
        <w:left w:val="none" w:sz="0" w:space="0" w:color="auto"/>
        <w:bottom w:val="none" w:sz="0" w:space="0" w:color="auto"/>
        <w:right w:val="none" w:sz="0" w:space="0" w:color="auto"/>
      </w:divBdr>
    </w:div>
    <w:div w:id="1392994879">
      <w:bodyDiv w:val="1"/>
      <w:marLeft w:val="0"/>
      <w:marRight w:val="0"/>
      <w:marTop w:val="0"/>
      <w:marBottom w:val="0"/>
      <w:divBdr>
        <w:top w:val="none" w:sz="0" w:space="0" w:color="auto"/>
        <w:left w:val="none" w:sz="0" w:space="0" w:color="auto"/>
        <w:bottom w:val="none" w:sz="0" w:space="0" w:color="auto"/>
        <w:right w:val="none" w:sz="0" w:space="0" w:color="auto"/>
      </w:divBdr>
    </w:div>
    <w:div w:id="1401947957">
      <w:bodyDiv w:val="1"/>
      <w:marLeft w:val="0"/>
      <w:marRight w:val="0"/>
      <w:marTop w:val="0"/>
      <w:marBottom w:val="0"/>
      <w:divBdr>
        <w:top w:val="none" w:sz="0" w:space="0" w:color="auto"/>
        <w:left w:val="none" w:sz="0" w:space="0" w:color="auto"/>
        <w:bottom w:val="none" w:sz="0" w:space="0" w:color="auto"/>
        <w:right w:val="none" w:sz="0" w:space="0" w:color="auto"/>
      </w:divBdr>
    </w:div>
    <w:div w:id="1404064984">
      <w:bodyDiv w:val="1"/>
      <w:marLeft w:val="0"/>
      <w:marRight w:val="0"/>
      <w:marTop w:val="0"/>
      <w:marBottom w:val="0"/>
      <w:divBdr>
        <w:top w:val="none" w:sz="0" w:space="0" w:color="auto"/>
        <w:left w:val="none" w:sz="0" w:space="0" w:color="auto"/>
        <w:bottom w:val="none" w:sz="0" w:space="0" w:color="auto"/>
        <w:right w:val="none" w:sz="0" w:space="0" w:color="auto"/>
      </w:divBdr>
    </w:div>
    <w:div w:id="1407725520">
      <w:bodyDiv w:val="1"/>
      <w:marLeft w:val="0"/>
      <w:marRight w:val="0"/>
      <w:marTop w:val="0"/>
      <w:marBottom w:val="0"/>
      <w:divBdr>
        <w:top w:val="none" w:sz="0" w:space="0" w:color="auto"/>
        <w:left w:val="none" w:sz="0" w:space="0" w:color="auto"/>
        <w:bottom w:val="none" w:sz="0" w:space="0" w:color="auto"/>
        <w:right w:val="none" w:sz="0" w:space="0" w:color="auto"/>
      </w:divBdr>
      <w:divsChild>
        <w:div w:id="1724938150">
          <w:marLeft w:val="0"/>
          <w:marRight w:val="0"/>
          <w:marTop w:val="0"/>
          <w:marBottom w:val="0"/>
          <w:divBdr>
            <w:top w:val="none" w:sz="0" w:space="0" w:color="auto"/>
            <w:left w:val="none" w:sz="0" w:space="0" w:color="auto"/>
            <w:bottom w:val="none" w:sz="0" w:space="0" w:color="auto"/>
            <w:right w:val="none" w:sz="0" w:space="0" w:color="auto"/>
          </w:divBdr>
          <w:divsChild>
            <w:div w:id="311982601">
              <w:marLeft w:val="0"/>
              <w:marRight w:val="0"/>
              <w:marTop w:val="0"/>
              <w:marBottom w:val="0"/>
              <w:divBdr>
                <w:top w:val="none" w:sz="0" w:space="0" w:color="auto"/>
                <w:left w:val="none" w:sz="0" w:space="0" w:color="auto"/>
                <w:bottom w:val="none" w:sz="0" w:space="0" w:color="auto"/>
                <w:right w:val="none" w:sz="0" w:space="0" w:color="auto"/>
              </w:divBdr>
              <w:divsChild>
                <w:div w:id="1489830262">
                  <w:marLeft w:val="0"/>
                  <w:marRight w:val="0"/>
                  <w:marTop w:val="0"/>
                  <w:marBottom w:val="0"/>
                  <w:divBdr>
                    <w:top w:val="none" w:sz="0" w:space="0" w:color="auto"/>
                    <w:left w:val="none" w:sz="0" w:space="0" w:color="auto"/>
                    <w:bottom w:val="none" w:sz="0" w:space="0" w:color="auto"/>
                    <w:right w:val="none" w:sz="0" w:space="0" w:color="auto"/>
                  </w:divBdr>
                  <w:divsChild>
                    <w:div w:id="11959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657198">
      <w:bodyDiv w:val="1"/>
      <w:marLeft w:val="0"/>
      <w:marRight w:val="0"/>
      <w:marTop w:val="0"/>
      <w:marBottom w:val="0"/>
      <w:divBdr>
        <w:top w:val="none" w:sz="0" w:space="0" w:color="auto"/>
        <w:left w:val="none" w:sz="0" w:space="0" w:color="auto"/>
        <w:bottom w:val="none" w:sz="0" w:space="0" w:color="auto"/>
        <w:right w:val="none" w:sz="0" w:space="0" w:color="auto"/>
      </w:divBdr>
    </w:div>
    <w:div w:id="1440560849">
      <w:bodyDiv w:val="1"/>
      <w:marLeft w:val="0"/>
      <w:marRight w:val="0"/>
      <w:marTop w:val="0"/>
      <w:marBottom w:val="0"/>
      <w:divBdr>
        <w:top w:val="none" w:sz="0" w:space="0" w:color="auto"/>
        <w:left w:val="none" w:sz="0" w:space="0" w:color="auto"/>
        <w:bottom w:val="none" w:sz="0" w:space="0" w:color="auto"/>
        <w:right w:val="none" w:sz="0" w:space="0" w:color="auto"/>
      </w:divBdr>
    </w:div>
    <w:div w:id="1443266214">
      <w:bodyDiv w:val="1"/>
      <w:marLeft w:val="0"/>
      <w:marRight w:val="0"/>
      <w:marTop w:val="0"/>
      <w:marBottom w:val="0"/>
      <w:divBdr>
        <w:top w:val="none" w:sz="0" w:space="0" w:color="auto"/>
        <w:left w:val="none" w:sz="0" w:space="0" w:color="auto"/>
        <w:bottom w:val="none" w:sz="0" w:space="0" w:color="auto"/>
        <w:right w:val="none" w:sz="0" w:space="0" w:color="auto"/>
      </w:divBdr>
    </w:div>
    <w:div w:id="1443453211">
      <w:bodyDiv w:val="1"/>
      <w:marLeft w:val="0"/>
      <w:marRight w:val="0"/>
      <w:marTop w:val="0"/>
      <w:marBottom w:val="0"/>
      <w:divBdr>
        <w:top w:val="none" w:sz="0" w:space="0" w:color="auto"/>
        <w:left w:val="none" w:sz="0" w:space="0" w:color="auto"/>
        <w:bottom w:val="none" w:sz="0" w:space="0" w:color="auto"/>
        <w:right w:val="none" w:sz="0" w:space="0" w:color="auto"/>
      </w:divBdr>
    </w:div>
    <w:div w:id="1449280914">
      <w:bodyDiv w:val="1"/>
      <w:marLeft w:val="0"/>
      <w:marRight w:val="0"/>
      <w:marTop w:val="0"/>
      <w:marBottom w:val="0"/>
      <w:divBdr>
        <w:top w:val="none" w:sz="0" w:space="0" w:color="auto"/>
        <w:left w:val="none" w:sz="0" w:space="0" w:color="auto"/>
        <w:bottom w:val="none" w:sz="0" w:space="0" w:color="auto"/>
        <w:right w:val="none" w:sz="0" w:space="0" w:color="auto"/>
      </w:divBdr>
    </w:div>
    <w:div w:id="1472556779">
      <w:bodyDiv w:val="1"/>
      <w:marLeft w:val="0"/>
      <w:marRight w:val="0"/>
      <w:marTop w:val="0"/>
      <w:marBottom w:val="0"/>
      <w:divBdr>
        <w:top w:val="none" w:sz="0" w:space="0" w:color="auto"/>
        <w:left w:val="none" w:sz="0" w:space="0" w:color="auto"/>
        <w:bottom w:val="none" w:sz="0" w:space="0" w:color="auto"/>
        <w:right w:val="none" w:sz="0" w:space="0" w:color="auto"/>
      </w:divBdr>
    </w:div>
    <w:div w:id="1503550896">
      <w:bodyDiv w:val="1"/>
      <w:marLeft w:val="0"/>
      <w:marRight w:val="0"/>
      <w:marTop w:val="0"/>
      <w:marBottom w:val="0"/>
      <w:divBdr>
        <w:top w:val="none" w:sz="0" w:space="0" w:color="auto"/>
        <w:left w:val="none" w:sz="0" w:space="0" w:color="auto"/>
        <w:bottom w:val="none" w:sz="0" w:space="0" w:color="auto"/>
        <w:right w:val="none" w:sz="0" w:space="0" w:color="auto"/>
      </w:divBdr>
    </w:div>
    <w:div w:id="1506818018">
      <w:bodyDiv w:val="1"/>
      <w:marLeft w:val="0"/>
      <w:marRight w:val="0"/>
      <w:marTop w:val="0"/>
      <w:marBottom w:val="0"/>
      <w:divBdr>
        <w:top w:val="none" w:sz="0" w:space="0" w:color="auto"/>
        <w:left w:val="none" w:sz="0" w:space="0" w:color="auto"/>
        <w:bottom w:val="none" w:sz="0" w:space="0" w:color="auto"/>
        <w:right w:val="none" w:sz="0" w:space="0" w:color="auto"/>
      </w:divBdr>
      <w:divsChild>
        <w:div w:id="1587807528">
          <w:marLeft w:val="0"/>
          <w:marRight w:val="0"/>
          <w:marTop w:val="0"/>
          <w:marBottom w:val="150"/>
          <w:divBdr>
            <w:top w:val="none" w:sz="0" w:space="0" w:color="auto"/>
            <w:left w:val="none" w:sz="0" w:space="0" w:color="auto"/>
            <w:bottom w:val="none" w:sz="0" w:space="0" w:color="auto"/>
            <w:right w:val="none" w:sz="0" w:space="0" w:color="auto"/>
          </w:divBdr>
          <w:divsChild>
            <w:div w:id="1048450489">
              <w:marLeft w:val="0"/>
              <w:marRight w:val="0"/>
              <w:marTop w:val="0"/>
              <w:marBottom w:val="0"/>
              <w:divBdr>
                <w:top w:val="none" w:sz="0" w:space="0" w:color="auto"/>
                <w:left w:val="none" w:sz="0" w:space="0" w:color="auto"/>
                <w:bottom w:val="none" w:sz="0" w:space="0" w:color="auto"/>
                <w:right w:val="none" w:sz="0" w:space="0" w:color="auto"/>
              </w:divBdr>
              <w:divsChild>
                <w:div w:id="543565724">
                  <w:marLeft w:val="0"/>
                  <w:marRight w:val="1116"/>
                  <w:marTop w:val="0"/>
                  <w:marBottom w:val="0"/>
                  <w:divBdr>
                    <w:top w:val="none" w:sz="0" w:space="0" w:color="auto"/>
                    <w:left w:val="none" w:sz="0" w:space="0" w:color="auto"/>
                    <w:bottom w:val="none" w:sz="0" w:space="0" w:color="auto"/>
                    <w:right w:val="none" w:sz="0" w:space="0" w:color="auto"/>
                  </w:divBdr>
                </w:div>
                <w:div w:id="715616692">
                  <w:marLeft w:val="2567"/>
                  <w:marRight w:val="0"/>
                  <w:marTop w:val="0"/>
                  <w:marBottom w:val="0"/>
                  <w:divBdr>
                    <w:top w:val="none" w:sz="0" w:space="0" w:color="auto"/>
                    <w:left w:val="none" w:sz="0" w:space="0" w:color="auto"/>
                    <w:bottom w:val="none" w:sz="0" w:space="0" w:color="auto"/>
                    <w:right w:val="none" w:sz="0" w:space="0" w:color="auto"/>
                  </w:divBdr>
                </w:div>
              </w:divsChild>
            </w:div>
          </w:divsChild>
        </w:div>
        <w:div w:id="1193691682">
          <w:marLeft w:val="0"/>
          <w:marRight w:val="0"/>
          <w:marTop w:val="0"/>
          <w:marBottom w:val="0"/>
          <w:divBdr>
            <w:top w:val="none" w:sz="0" w:space="0" w:color="auto"/>
            <w:left w:val="none" w:sz="0" w:space="0" w:color="auto"/>
            <w:bottom w:val="none" w:sz="0" w:space="0" w:color="auto"/>
            <w:right w:val="none" w:sz="0" w:space="0" w:color="auto"/>
          </w:divBdr>
          <w:divsChild>
            <w:div w:id="1190997477">
              <w:marLeft w:val="0"/>
              <w:marRight w:val="0"/>
              <w:marTop w:val="0"/>
              <w:marBottom w:val="0"/>
              <w:divBdr>
                <w:top w:val="none" w:sz="0" w:space="0" w:color="auto"/>
                <w:left w:val="none" w:sz="0" w:space="0" w:color="auto"/>
                <w:bottom w:val="none" w:sz="0" w:space="0" w:color="auto"/>
                <w:right w:val="none" w:sz="0" w:space="0" w:color="auto"/>
              </w:divBdr>
              <w:divsChild>
                <w:div w:id="8040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5688">
          <w:marLeft w:val="0"/>
          <w:marRight w:val="0"/>
          <w:marTop w:val="0"/>
          <w:marBottom w:val="0"/>
          <w:divBdr>
            <w:top w:val="none" w:sz="0" w:space="0" w:color="auto"/>
            <w:left w:val="none" w:sz="0" w:space="0" w:color="auto"/>
            <w:bottom w:val="none" w:sz="0" w:space="0" w:color="auto"/>
            <w:right w:val="none" w:sz="0" w:space="0" w:color="auto"/>
          </w:divBdr>
          <w:divsChild>
            <w:div w:id="1661543947">
              <w:marLeft w:val="0"/>
              <w:marRight w:val="0"/>
              <w:marTop w:val="0"/>
              <w:marBottom w:val="0"/>
              <w:divBdr>
                <w:top w:val="none" w:sz="0" w:space="0" w:color="auto"/>
                <w:left w:val="none" w:sz="0" w:space="0" w:color="auto"/>
                <w:bottom w:val="none" w:sz="0" w:space="0" w:color="auto"/>
                <w:right w:val="none" w:sz="0" w:space="0" w:color="auto"/>
              </w:divBdr>
              <w:divsChild>
                <w:div w:id="17576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08759">
      <w:bodyDiv w:val="1"/>
      <w:marLeft w:val="0"/>
      <w:marRight w:val="0"/>
      <w:marTop w:val="0"/>
      <w:marBottom w:val="0"/>
      <w:divBdr>
        <w:top w:val="none" w:sz="0" w:space="0" w:color="auto"/>
        <w:left w:val="none" w:sz="0" w:space="0" w:color="auto"/>
        <w:bottom w:val="none" w:sz="0" w:space="0" w:color="auto"/>
        <w:right w:val="none" w:sz="0" w:space="0" w:color="auto"/>
      </w:divBdr>
      <w:divsChild>
        <w:div w:id="524254106">
          <w:marLeft w:val="0"/>
          <w:marRight w:val="0"/>
          <w:marTop w:val="0"/>
          <w:marBottom w:val="0"/>
          <w:divBdr>
            <w:top w:val="none" w:sz="0" w:space="0" w:color="auto"/>
            <w:left w:val="none" w:sz="0" w:space="0" w:color="auto"/>
            <w:bottom w:val="none" w:sz="0" w:space="0" w:color="auto"/>
            <w:right w:val="none" w:sz="0" w:space="0" w:color="auto"/>
          </w:divBdr>
          <w:divsChild>
            <w:div w:id="2073195355">
              <w:marLeft w:val="0"/>
              <w:marRight w:val="0"/>
              <w:marTop w:val="0"/>
              <w:marBottom w:val="0"/>
              <w:divBdr>
                <w:top w:val="none" w:sz="0" w:space="0" w:color="auto"/>
                <w:left w:val="none" w:sz="0" w:space="0" w:color="auto"/>
                <w:bottom w:val="none" w:sz="0" w:space="0" w:color="auto"/>
                <w:right w:val="none" w:sz="0" w:space="0" w:color="auto"/>
              </w:divBdr>
              <w:divsChild>
                <w:div w:id="39060907">
                  <w:marLeft w:val="0"/>
                  <w:marRight w:val="0"/>
                  <w:marTop w:val="0"/>
                  <w:marBottom w:val="0"/>
                  <w:divBdr>
                    <w:top w:val="none" w:sz="0" w:space="0" w:color="auto"/>
                    <w:left w:val="none" w:sz="0" w:space="0" w:color="auto"/>
                    <w:bottom w:val="none" w:sz="0" w:space="0" w:color="auto"/>
                    <w:right w:val="none" w:sz="0" w:space="0" w:color="auto"/>
                  </w:divBdr>
                  <w:divsChild>
                    <w:div w:id="8757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80850">
      <w:bodyDiv w:val="1"/>
      <w:marLeft w:val="0"/>
      <w:marRight w:val="0"/>
      <w:marTop w:val="0"/>
      <w:marBottom w:val="0"/>
      <w:divBdr>
        <w:top w:val="none" w:sz="0" w:space="0" w:color="auto"/>
        <w:left w:val="none" w:sz="0" w:space="0" w:color="auto"/>
        <w:bottom w:val="none" w:sz="0" w:space="0" w:color="auto"/>
        <w:right w:val="none" w:sz="0" w:space="0" w:color="auto"/>
      </w:divBdr>
    </w:div>
    <w:div w:id="1669164548">
      <w:bodyDiv w:val="1"/>
      <w:marLeft w:val="0"/>
      <w:marRight w:val="0"/>
      <w:marTop w:val="0"/>
      <w:marBottom w:val="0"/>
      <w:divBdr>
        <w:top w:val="none" w:sz="0" w:space="0" w:color="auto"/>
        <w:left w:val="none" w:sz="0" w:space="0" w:color="auto"/>
        <w:bottom w:val="none" w:sz="0" w:space="0" w:color="auto"/>
        <w:right w:val="none" w:sz="0" w:space="0" w:color="auto"/>
      </w:divBdr>
    </w:div>
    <w:div w:id="1689528618">
      <w:bodyDiv w:val="1"/>
      <w:marLeft w:val="0"/>
      <w:marRight w:val="0"/>
      <w:marTop w:val="0"/>
      <w:marBottom w:val="0"/>
      <w:divBdr>
        <w:top w:val="none" w:sz="0" w:space="0" w:color="auto"/>
        <w:left w:val="none" w:sz="0" w:space="0" w:color="auto"/>
        <w:bottom w:val="none" w:sz="0" w:space="0" w:color="auto"/>
        <w:right w:val="none" w:sz="0" w:space="0" w:color="auto"/>
      </w:divBdr>
    </w:div>
    <w:div w:id="1689602323">
      <w:bodyDiv w:val="1"/>
      <w:marLeft w:val="0"/>
      <w:marRight w:val="0"/>
      <w:marTop w:val="0"/>
      <w:marBottom w:val="0"/>
      <w:divBdr>
        <w:top w:val="none" w:sz="0" w:space="0" w:color="auto"/>
        <w:left w:val="none" w:sz="0" w:space="0" w:color="auto"/>
        <w:bottom w:val="none" w:sz="0" w:space="0" w:color="auto"/>
        <w:right w:val="none" w:sz="0" w:space="0" w:color="auto"/>
      </w:divBdr>
    </w:div>
    <w:div w:id="1699811342">
      <w:bodyDiv w:val="1"/>
      <w:marLeft w:val="0"/>
      <w:marRight w:val="0"/>
      <w:marTop w:val="0"/>
      <w:marBottom w:val="0"/>
      <w:divBdr>
        <w:top w:val="none" w:sz="0" w:space="0" w:color="auto"/>
        <w:left w:val="none" w:sz="0" w:space="0" w:color="auto"/>
        <w:bottom w:val="none" w:sz="0" w:space="0" w:color="auto"/>
        <w:right w:val="none" w:sz="0" w:space="0" w:color="auto"/>
      </w:divBdr>
      <w:divsChild>
        <w:div w:id="1947273061">
          <w:marLeft w:val="0"/>
          <w:marRight w:val="0"/>
          <w:marTop w:val="0"/>
          <w:marBottom w:val="150"/>
          <w:divBdr>
            <w:top w:val="none" w:sz="0" w:space="0" w:color="auto"/>
            <w:left w:val="none" w:sz="0" w:space="0" w:color="auto"/>
            <w:bottom w:val="none" w:sz="0" w:space="0" w:color="auto"/>
            <w:right w:val="none" w:sz="0" w:space="0" w:color="auto"/>
          </w:divBdr>
          <w:divsChild>
            <w:div w:id="1938753196">
              <w:marLeft w:val="0"/>
              <w:marRight w:val="0"/>
              <w:marTop w:val="0"/>
              <w:marBottom w:val="0"/>
              <w:divBdr>
                <w:top w:val="none" w:sz="0" w:space="0" w:color="auto"/>
                <w:left w:val="none" w:sz="0" w:space="0" w:color="auto"/>
                <w:bottom w:val="none" w:sz="0" w:space="0" w:color="auto"/>
                <w:right w:val="none" w:sz="0" w:space="0" w:color="auto"/>
              </w:divBdr>
              <w:divsChild>
                <w:div w:id="2125884848">
                  <w:marLeft w:val="0"/>
                  <w:marRight w:val="1116"/>
                  <w:marTop w:val="0"/>
                  <w:marBottom w:val="0"/>
                  <w:divBdr>
                    <w:top w:val="none" w:sz="0" w:space="0" w:color="auto"/>
                    <w:left w:val="none" w:sz="0" w:space="0" w:color="auto"/>
                    <w:bottom w:val="none" w:sz="0" w:space="0" w:color="auto"/>
                    <w:right w:val="none" w:sz="0" w:space="0" w:color="auto"/>
                  </w:divBdr>
                </w:div>
                <w:div w:id="687874704">
                  <w:marLeft w:val="2567"/>
                  <w:marRight w:val="0"/>
                  <w:marTop w:val="0"/>
                  <w:marBottom w:val="0"/>
                  <w:divBdr>
                    <w:top w:val="none" w:sz="0" w:space="0" w:color="auto"/>
                    <w:left w:val="none" w:sz="0" w:space="0" w:color="auto"/>
                    <w:bottom w:val="none" w:sz="0" w:space="0" w:color="auto"/>
                    <w:right w:val="none" w:sz="0" w:space="0" w:color="auto"/>
                  </w:divBdr>
                </w:div>
              </w:divsChild>
            </w:div>
          </w:divsChild>
        </w:div>
        <w:div w:id="605968591">
          <w:marLeft w:val="0"/>
          <w:marRight w:val="0"/>
          <w:marTop w:val="0"/>
          <w:marBottom w:val="0"/>
          <w:divBdr>
            <w:top w:val="none" w:sz="0" w:space="0" w:color="auto"/>
            <w:left w:val="none" w:sz="0" w:space="0" w:color="auto"/>
            <w:bottom w:val="none" w:sz="0" w:space="0" w:color="auto"/>
            <w:right w:val="none" w:sz="0" w:space="0" w:color="auto"/>
          </w:divBdr>
          <w:divsChild>
            <w:div w:id="2144081145">
              <w:marLeft w:val="0"/>
              <w:marRight w:val="0"/>
              <w:marTop w:val="0"/>
              <w:marBottom w:val="0"/>
              <w:divBdr>
                <w:top w:val="none" w:sz="0" w:space="0" w:color="auto"/>
                <w:left w:val="none" w:sz="0" w:space="0" w:color="auto"/>
                <w:bottom w:val="none" w:sz="0" w:space="0" w:color="auto"/>
                <w:right w:val="none" w:sz="0" w:space="0" w:color="auto"/>
              </w:divBdr>
              <w:divsChild>
                <w:div w:id="19353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7897">
          <w:marLeft w:val="0"/>
          <w:marRight w:val="0"/>
          <w:marTop w:val="0"/>
          <w:marBottom w:val="0"/>
          <w:divBdr>
            <w:top w:val="none" w:sz="0" w:space="0" w:color="auto"/>
            <w:left w:val="none" w:sz="0" w:space="0" w:color="auto"/>
            <w:bottom w:val="none" w:sz="0" w:space="0" w:color="auto"/>
            <w:right w:val="none" w:sz="0" w:space="0" w:color="auto"/>
          </w:divBdr>
          <w:divsChild>
            <w:div w:id="1663394111">
              <w:marLeft w:val="0"/>
              <w:marRight w:val="0"/>
              <w:marTop w:val="0"/>
              <w:marBottom w:val="0"/>
              <w:divBdr>
                <w:top w:val="none" w:sz="0" w:space="0" w:color="auto"/>
                <w:left w:val="none" w:sz="0" w:space="0" w:color="auto"/>
                <w:bottom w:val="none" w:sz="0" w:space="0" w:color="auto"/>
                <w:right w:val="none" w:sz="0" w:space="0" w:color="auto"/>
              </w:divBdr>
              <w:divsChild>
                <w:div w:id="4305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8401">
      <w:bodyDiv w:val="1"/>
      <w:marLeft w:val="0"/>
      <w:marRight w:val="0"/>
      <w:marTop w:val="0"/>
      <w:marBottom w:val="0"/>
      <w:divBdr>
        <w:top w:val="none" w:sz="0" w:space="0" w:color="auto"/>
        <w:left w:val="none" w:sz="0" w:space="0" w:color="auto"/>
        <w:bottom w:val="none" w:sz="0" w:space="0" w:color="auto"/>
        <w:right w:val="none" w:sz="0" w:space="0" w:color="auto"/>
      </w:divBdr>
    </w:div>
    <w:div w:id="1742171310">
      <w:bodyDiv w:val="1"/>
      <w:marLeft w:val="0"/>
      <w:marRight w:val="0"/>
      <w:marTop w:val="0"/>
      <w:marBottom w:val="0"/>
      <w:divBdr>
        <w:top w:val="none" w:sz="0" w:space="0" w:color="auto"/>
        <w:left w:val="none" w:sz="0" w:space="0" w:color="auto"/>
        <w:bottom w:val="none" w:sz="0" w:space="0" w:color="auto"/>
        <w:right w:val="none" w:sz="0" w:space="0" w:color="auto"/>
      </w:divBdr>
    </w:div>
    <w:div w:id="1752577539">
      <w:bodyDiv w:val="1"/>
      <w:marLeft w:val="0"/>
      <w:marRight w:val="0"/>
      <w:marTop w:val="0"/>
      <w:marBottom w:val="0"/>
      <w:divBdr>
        <w:top w:val="none" w:sz="0" w:space="0" w:color="auto"/>
        <w:left w:val="none" w:sz="0" w:space="0" w:color="auto"/>
        <w:bottom w:val="none" w:sz="0" w:space="0" w:color="auto"/>
        <w:right w:val="none" w:sz="0" w:space="0" w:color="auto"/>
      </w:divBdr>
    </w:div>
    <w:div w:id="1766146988">
      <w:bodyDiv w:val="1"/>
      <w:marLeft w:val="0"/>
      <w:marRight w:val="0"/>
      <w:marTop w:val="0"/>
      <w:marBottom w:val="0"/>
      <w:divBdr>
        <w:top w:val="none" w:sz="0" w:space="0" w:color="auto"/>
        <w:left w:val="none" w:sz="0" w:space="0" w:color="auto"/>
        <w:bottom w:val="none" w:sz="0" w:space="0" w:color="auto"/>
        <w:right w:val="none" w:sz="0" w:space="0" w:color="auto"/>
      </w:divBdr>
    </w:div>
    <w:div w:id="1833714963">
      <w:bodyDiv w:val="1"/>
      <w:marLeft w:val="0"/>
      <w:marRight w:val="0"/>
      <w:marTop w:val="0"/>
      <w:marBottom w:val="0"/>
      <w:divBdr>
        <w:top w:val="none" w:sz="0" w:space="0" w:color="auto"/>
        <w:left w:val="none" w:sz="0" w:space="0" w:color="auto"/>
        <w:bottom w:val="none" w:sz="0" w:space="0" w:color="auto"/>
        <w:right w:val="none" w:sz="0" w:space="0" w:color="auto"/>
      </w:divBdr>
    </w:div>
    <w:div w:id="1877084075">
      <w:bodyDiv w:val="1"/>
      <w:marLeft w:val="0"/>
      <w:marRight w:val="0"/>
      <w:marTop w:val="0"/>
      <w:marBottom w:val="0"/>
      <w:divBdr>
        <w:top w:val="none" w:sz="0" w:space="0" w:color="auto"/>
        <w:left w:val="none" w:sz="0" w:space="0" w:color="auto"/>
        <w:bottom w:val="none" w:sz="0" w:space="0" w:color="auto"/>
        <w:right w:val="none" w:sz="0" w:space="0" w:color="auto"/>
      </w:divBdr>
      <w:divsChild>
        <w:div w:id="1453208515">
          <w:marLeft w:val="0"/>
          <w:marRight w:val="0"/>
          <w:marTop w:val="0"/>
          <w:marBottom w:val="150"/>
          <w:divBdr>
            <w:top w:val="none" w:sz="0" w:space="0" w:color="auto"/>
            <w:left w:val="none" w:sz="0" w:space="0" w:color="auto"/>
            <w:bottom w:val="none" w:sz="0" w:space="0" w:color="auto"/>
            <w:right w:val="none" w:sz="0" w:space="0" w:color="auto"/>
          </w:divBdr>
          <w:divsChild>
            <w:div w:id="697699391">
              <w:marLeft w:val="0"/>
              <w:marRight w:val="0"/>
              <w:marTop w:val="0"/>
              <w:marBottom w:val="0"/>
              <w:divBdr>
                <w:top w:val="none" w:sz="0" w:space="0" w:color="auto"/>
                <w:left w:val="none" w:sz="0" w:space="0" w:color="auto"/>
                <w:bottom w:val="none" w:sz="0" w:space="0" w:color="auto"/>
                <w:right w:val="none" w:sz="0" w:space="0" w:color="auto"/>
              </w:divBdr>
              <w:divsChild>
                <w:div w:id="58943163">
                  <w:marLeft w:val="0"/>
                  <w:marRight w:val="1116"/>
                  <w:marTop w:val="0"/>
                  <w:marBottom w:val="0"/>
                  <w:divBdr>
                    <w:top w:val="none" w:sz="0" w:space="0" w:color="auto"/>
                    <w:left w:val="none" w:sz="0" w:space="0" w:color="auto"/>
                    <w:bottom w:val="none" w:sz="0" w:space="0" w:color="auto"/>
                    <w:right w:val="none" w:sz="0" w:space="0" w:color="auto"/>
                  </w:divBdr>
                </w:div>
                <w:div w:id="1280797431">
                  <w:marLeft w:val="2567"/>
                  <w:marRight w:val="0"/>
                  <w:marTop w:val="0"/>
                  <w:marBottom w:val="0"/>
                  <w:divBdr>
                    <w:top w:val="none" w:sz="0" w:space="0" w:color="auto"/>
                    <w:left w:val="none" w:sz="0" w:space="0" w:color="auto"/>
                    <w:bottom w:val="none" w:sz="0" w:space="0" w:color="auto"/>
                    <w:right w:val="none" w:sz="0" w:space="0" w:color="auto"/>
                  </w:divBdr>
                </w:div>
              </w:divsChild>
            </w:div>
          </w:divsChild>
        </w:div>
        <w:div w:id="792334008">
          <w:marLeft w:val="0"/>
          <w:marRight w:val="0"/>
          <w:marTop w:val="0"/>
          <w:marBottom w:val="0"/>
          <w:divBdr>
            <w:top w:val="none" w:sz="0" w:space="0" w:color="auto"/>
            <w:left w:val="none" w:sz="0" w:space="0" w:color="auto"/>
            <w:bottom w:val="none" w:sz="0" w:space="0" w:color="auto"/>
            <w:right w:val="none" w:sz="0" w:space="0" w:color="auto"/>
          </w:divBdr>
          <w:divsChild>
            <w:div w:id="50883656">
              <w:marLeft w:val="0"/>
              <w:marRight w:val="0"/>
              <w:marTop w:val="0"/>
              <w:marBottom w:val="0"/>
              <w:divBdr>
                <w:top w:val="none" w:sz="0" w:space="0" w:color="auto"/>
                <w:left w:val="none" w:sz="0" w:space="0" w:color="auto"/>
                <w:bottom w:val="none" w:sz="0" w:space="0" w:color="auto"/>
                <w:right w:val="none" w:sz="0" w:space="0" w:color="auto"/>
              </w:divBdr>
              <w:divsChild>
                <w:div w:id="17648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0258">
          <w:marLeft w:val="0"/>
          <w:marRight w:val="0"/>
          <w:marTop w:val="0"/>
          <w:marBottom w:val="0"/>
          <w:divBdr>
            <w:top w:val="none" w:sz="0" w:space="0" w:color="auto"/>
            <w:left w:val="none" w:sz="0" w:space="0" w:color="auto"/>
            <w:bottom w:val="none" w:sz="0" w:space="0" w:color="auto"/>
            <w:right w:val="none" w:sz="0" w:space="0" w:color="auto"/>
          </w:divBdr>
          <w:divsChild>
            <w:div w:id="1246107966">
              <w:marLeft w:val="0"/>
              <w:marRight w:val="0"/>
              <w:marTop w:val="0"/>
              <w:marBottom w:val="0"/>
              <w:divBdr>
                <w:top w:val="none" w:sz="0" w:space="0" w:color="auto"/>
                <w:left w:val="none" w:sz="0" w:space="0" w:color="auto"/>
                <w:bottom w:val="none" w:sz="0" w:space="0" w:color="auto"/>
                <w:right w:val="none" w:sz="0" w:space="0" w:color="auto"/>
              </w:divBdr>
              <w:divsChild>
                <w:div w:id="8995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2183">
      <w:bodyDiv w:val="1"/>
      <w:marLeft w:val="0"/>
      <w:marRight w:val="0"/>
      <w:marTop w:val="0"/>
      <w:marBottom w:val="0"/>
      <w:divBdr>
        <w:top w:val="none" w:sz="0" w:space="0" w:color="auto"/>
        <w:left w:val="none" w:sz="0" w:space="0" w:color="auto"/>
        <w:bottom w:val="none" w:sz="0" w:space="0" w:color="auto"/>
        <w:right w:val="none" w:sz="0" w:space="0" w:color="auto"/>
      </w:divBdr>
      <w:divsChild>
        <w:div w:id="1171065537">
          <w:marLeft w:val="0"/>
          <w:marRight w:val="0"/>
          <w:marTop w:val="0"/>
          <w:marBottom w:val="150"/>
          <w:divBdr>
            <w:top w:val="none" w:sz="0" w:space="0" w:color="auto"/>
            <w:left w:val="none" w:sz="0" w:space="0" w:color="auto"/>
            <w:bottom w:val="none" w:sz="0" w:space="0" w:color="auto"/>
            <w:right w:val="none" w:sz="0" w:space="0" w:color="auto"/>
          </w:divBdr>
          <w:divsChild>
            <w:div w:id="1293907117">
              <w:marLeft w:val="0"/>
              <w:marRight w:val="0"/>
              <w:marTop w:val="0"/>
              <w:marBottom w:val="0"/>
              <w:divBdr>
                <w:top w:val="none" w:sz="0" w:space="0" w:color="auto"/>
                <w:left w:val="none" w:sz="0" w:space="0" w:color="auto"/>
                <w:bottom w:val="none" w:sz="0" w:space="0" w:color="auto"/>
                <w:right w:val="none" w:sz="0" w:space="0" w:color="auto"/>
              </w:divBdr>
              <w:divsChild>
                <w:div w:id="1720930413">
                  <w:marLeft w:val="0"/>
                  <w:marRight w:val="1116"/>
                  <w:marTop w:val="0"/>
                  <w:marBottom w:val="0"/>
                  <w:divBdr>
                    <w:top w:val="none" w:sz="0" w:space="0" w:color="auto"/>
                    <w:left w:val="none" w:sz="0" w:space="0" w:color="auto"/>
                    <w:bottom w:val="none" w:sz="0" w:space="0" w:color="auto"/>
                    <w:right w:val="none" w:sz="0" w:space="0" w:color="auto"/>
                  </w:divBdr>
                </w:div>
                <w:div w:id="351610484">
                  <w:marLeft w:val="2567"/>
                  <w:marRight w:val="0"/>
                  <w:marTop w:val="0"/>
                  <w:marBottom w:val="0"/>
                  <w:divBdr>
                    <w:top w:val="none" w:sz="0" w:space="0" w:color="auto"/>
                    <w:left w:val="none" w:sz="0" w:space="0" w:color="auto"/>
                    <w:bottom w:val="none" w:sz="0" w:space="0" w:color="auto"/>
                    <w:right w:val="none" w:sz="0" w:space="0" w:color="auto"/>
                  </w:divBdr>
                </w:div>
              </w:divsChild>
            </w:div>
          </w:divsChild>
        </w:div>
        <w:div w:id="1497962792">
          <w:marLeft w:val="0"/>
          <w:marRight w:val="0"/>
          <w:marTop w:val="0"/>
          <w:marBottom w:val="0"/>
          <w:divBdr>
            <w:top w:val="none" w:sz="0" w:space="0" w:color="auto"/>
            <w:left w:val="none" w:sz="0" w:space="0" w:color="auto"/>
            <w:bottom w:val="none" w:sz="0" w:space="0" w:color="auto"/>
            <w:right w:val="none" w:sz="0" w:space="0" w:color="auto"/>
          </w:divBdr>
          <w:divsChild>
            <w:div w:id="208421758">
              <w:marLeft w:val="0"/>
              <w:marRight w:val="0"/>
              <w:marTop w:val="0"/>
              <w:marBottom w:val="0"/>
              <w:divBdr>
                <w:top w:val="none" w:sz="0" w:space="0" w:color="auto"/>
                <w:left w:val="none" w:sz="0" w:space="0" w:color="auto"/>
                <w:bottom w:val="none" w:sz="0" w:space="0" w:color="auto"/>
                <w:right w:val="none" w:sz="0" w:space="0" w:color="auto"/>
              </w:divBdr>
              <w:divsChild>
                <w:div w:id="1237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73452">
          <w:marLeft w:val="0"/>
          <w:marRight w:val="0"/>
          <w:marTop w:val="0"/>
          <w:marBottom w:val="0"/>
          <w:divBdr>
            <w:top w:val="none" w:sz="0" w:space="0" w:color="auto"/>
            <w:left w:val="none" w:sz="0" w:space="0" w:color="auto"/>
            <w:bottom w:val="none" w:sz="0" w:space="0" w:color="auto"/>
            <w:right w:val="none" w:sz="0" w:space="0" w:color="auto"/>
          </w:divBdr>
          <w:divsChild>
            <w:div w:id="1648166682">
              <w:marLeft w:val="0"/>
              <w:marRight w:val="0"/>
              <w:marTop w:val="0"/>
              <w:marBottom w:val="0"/>
              <w:divBdr>
                <w:top w:val="none" w:sz="0" w:space="0" w:color="auto"/>
                <w:left w:val="none" w:sz="0" w:space="0" w:color="auto"/>
                <w:bottom w:val="none" w:sz="0" w:space="0" w:color="auto"/>
                <w:right w:val="none" w:sz="0" w:space="0" w:color="auto"/>
              </w:divBdr>
              <w:divsChild>
                <w:div w:id="8949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37241">
      <w:bodyDiv w:val="1"/>
      <w:marLeft w:val="0"/>
      <w:marRight w:val="0"/>
      <w:marTop w:val="0"/>
      <w:marBottom w:val="0"/>
      <w:divBdr>
        <w:top w:val="none" w:sz="0" w:space="0" w:color="auto"/>
        <w:left w:val="none" w:sz="0" w:space="0" w:color="auto"/>
        <w:bottom w:val="none" w:sz="0" w:space="0" w:color="auto"/>
        <w:right w:val="none" w:sz="0" w:space="0" w:color="auto"/>
      </w:divBdr>
      <w:divsChild>
        <w:div w:id="1586109383">
          <w:marLeft w:val="0"/>
          <w:marRight w:val="0"/>
          <w:marTop w:val="0"/>
          <w:marBottom w:val="150"/>
          <w:divBdr>
            <w:top w:val="none" w:sz="0" w:space="0" w:color="auto"/>
            <w:left w:val="none" w:sz="0" w:space="0" w:color="auto"/>
            <w:bottom w:val="none" w:sz="0" w:space="0" w:color="auto"/>
            <w:right w:val="none" w:sz="0" w:space="0" w:color="auto"/>
          </w:divBdr>
          <w:divsChild>
            <w:div w:id="1187250779">
              <w:marLeft w:val="0"/>
              <w:marRight w:val="0"/>
              <w:marTop w:val="0"/>
              <w:marBottom w:val="0"/>
              <w:divBdr>
                <w:top w:val="none" w:sz="0" w:space="0" w:color="auto"/>
                <w:left w:val="none" w:sz="0" w:space="0" w:color="auto"/>
                <w:bottom w:val="none" w:sz="0" w:space="0" w:color="auto"/>
                <w:right w:val="none" w:sz="0" w:space="0" w:color="auto"/>
              </w:divBdr>
              <w:divsChild>
                <w:div w:id="835849148">
                  <w:marLeft w:val="0"/>
                  <w:marRight w:val="1116"/>
                  <w:marTop w:val="0"/>
                  <w:marBottom w:val="0"/>
                  <w:divBdr>
                    <w:top w:val="none" w:sz="0" w:space="0" w:color="auto"/>
                    <w:left w:val="none" w:sz="0" w:space="0" w:color="auto"/>
                    <w:bottom w:val="none" w:sz="0" w:space="0" w:color="auto"/>
                    <w:right w:val="none" w:sz="0" w:space="0" w:color="auto"/>
                  </w:divBdr>
                </w:div>
                <w:div w:id="778835861">
                  <w:marLeft w:val="2567"/>
                  <w:marRight w:val="0"/>
                  <w:marTop w:val="0"/>
                  <w:marBottom w:val="0"/>
                  <w:divBdr>
                    <w:top w:val="none" w:sz="0" w:space="0" w:color="auto"/>
                    <w:left w:val="none" w:sz="0" w:space="0" w:color="auto"/>
                    <w:bottom w:val="none" w:sz="0" w:space="0" w:color="auto"/>
                    <w:right w:val="none" w:sz="0" w:space="0" w:color="auto"/>
                  </w:divBdr>
                </w:div>
              </w:divsChild>
            </w:div>
          </w:divsChild>
        </w:div>
        <w:div w:id="378751733">
          <w:marLeft w:val="0"/>
          <w:marRight w:val="0"/>
          <w:marTop w:val="0"/>
          <w:marBottom w:val="0"/>
          <w:divBdr>
            <w:top w:val="none" w:sz="0" w:space="0" w:color="auto"/>
            <w:left w:val="none" w:sz="0" w:space="0" w:color="auto"/>
            <w:bottom w:val="none" w:sz="0" w:space="0" w:color="auto"/>
            <w:right w:val="none" w:sz="0" w:space="0" w:color="auto"/>
          </w:divBdr>
          <w:divsChild>
            <w:div w:id="510533218">
              <w:marLeft w:val="0"/>
              <w:marRight w:val="0"/>
              <w:marTop w:val="0"/>
              <w:marBottom w:val="0"/>
              <w:divBdr>
                <w:top w:val="none" w:sz="0" w:space="0" w:color="auto"/>
                <w:left w:val="none" w:sz="0" w:space="0" w:color="auto"/>
                <w:bottom w:val="none" w:sz="0" w:space="0" w:color="auto"/>
                <w:right w:val="none" w:sz="0" w:space="0" w:color="auto"/>
              </w:divBdr>
              <w:divsChild>
                <w:div w:id="18702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5576">
          <w:marLeft w:val="0"/>
          <w:marRight w:val="0"/>
          <w:marTop w:val="0"/>
          <w:marBottom w:val="0"/>
          <w:divBdr>
            <w:top w:val="none" w:sz="0" w:space="0" w:color="auto"/>
            <w:left w:val="none" w:sz="0" w:space="0" w:color="auto"/>
            <w:bottom w:val="none" w:sz="0" w:space="0" w:color="auto"/>
            <w:right w:val="none" w:sz="0" w:space="0" w:color="auto"/>
          </w:divBdr>
          <w:divsChild>
            <w:div w:id="466514974">
              <w:marLeft w:val="0"/>
              <w:marRight w:val="0"/>
              <w:marTop w:val="0"/>
              <w:marBottom w:val="0"/>
              <w:divBdr>
                <w:top w:val="none" w:sz="0" w:space="0" w:color="auto"/>
                <w:left w:val="none" w:sz="0" w:space="0" w:color="auto"/>
                <w:bottom w:val="none" w:sz="0" w:space="0" w:color="auto"/>
                <w:right w:val="none" w:sz="0" w:space="0" w:color="auto"/>
              </w:divBdr>
              <w:divsChild>
                <w:div w:id="482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1104">
      <w:bodyDiv w:val="1"/>
      <w:marLeft w:val="0"/>
      <w:marRight w:val="0"/>
      <w:marTop w:val="0"/>
      <w:marBottom w:val="0"/>
      <w:divBdr>
        <w:top w:val="none" w:sz="0" w:space="0" w:color="auto"/>
        <w:left w:val="none" w:sz="0" w:space="0" w:color="auto"/>
        <w:bottom w:val="none" w:sz="0" w:space="0" w:color="auto"/>
        <w:right w:val="none" w:sz="0" w:space="0" w:color="auto"/>
      </w:divBdr>
    </w:div>
    <w:div w:id="1938713485">
      <w:bodyDiv w:val="1"/>
      <w:marLeft w:val="0"/>
      <w:marRight w:val="0"/>
      <w:marTop w:val="0"/>
      <w:marBottom w:val="0"/>
      <w:divBdr>
        <w:top w:val="none" w:sz="0" w:space="0" w:color="auto"/>
        <w:left w:val="none" w:sz="0" w:space="0" w:color="auto"/>
        <w:bottom w:val="none" w:sz="0" w:space="0" w:color="auto"/>
        <w:right w:val="none" w:sz="0" w:space="0" w:color="auto"/>
      </w:divBdr>
    </w:div>
    <w:div w:id="1939285976">
      <w:bodyDiv w:val="1"/>
      <w:marLeft w:val="0"/>
      <w:marRight w:val="0"/>
      <w:marTop w:val="0"/>
      <w:marBottom w:val="0"/>
      <w:divBdr>
        <w:top w:val="none" w:sz="0" w:space="0" w:color="auto"/>
        <w:left w:val="none" w:sz="0" w:space="0" w:color="auto"/>
        <w:bottom w:val="none" w:sz="0" w:space="0" w:color="auto"/>
        <w:right w:val="none" w:sz="0" w:space="0" w:color="auto"/>
      </w:divBdr>
    </w:div>
    <w:div w:id="1950699505">
      <w:bodyDiv w:val="1"/>
      <w:marLeft w:val="0"/>
      <w:marRight w:val="0"/>
      <w:marTop w:val="0"/>
      <w:marBottom w:val="0"/>
      <w:divBdr>
        <w:top w:val="none" w:sz="0" w:space="0" w:color="auto"/>
        <w:left w:val="none" w:sz="0" w:space="0" w:color="auto"/>
        <w:bottom w:val="none" w:sz="0" w:space="0" w:color="auto"/>
        <w:right w:val="none" w:sz="0" w:space="0" w:color="auto"/>
      </w:divBdr>
    </w:div>
    <w:div w:id="1971813515">
      <w:bodyDiv w:val="1"/>
      <w:marLeft w:val="0"/>
      <w:marRight w:val="0"/>
      <w:marTop w:val="0"/>
      <w:marBottom w:val="0"/>
      <w:divBdr>
        <w:top w:val="none" w:sz="0" w:space="0" w:color="auto"/>
        <w:left w:val="none" w:sz="0" w:space="0" w:color="auto"/>
        <w:bottom w:val="none" w:sz="0" w:space="0" w:color="auto"/>
        <w:right w:val="none" w:sz="0" w:space="0" w:color="auto"/>
      </w:divBdr>
    </w:div>
    <w:div w:id="1978872542">
      <w:bodyDiv w:val="1"/>
      <w:marLeft w:val="0"/>
      <w:marRight w:val="0"/>
      <w:marTop w:val="0"/>
      <w:marBottom w:val="0"/>
      <w:divBdr>
        <w:top w:val="none" w:sz="0" w:space="0" w:color="auto"/>
        <w:left w:val="none" w:sz="0" w:space="0" w:color="auto"/>
        <w:bottom w:val="none" w:sz="0" w:space="0" w:color="auto"/>
        <w:right w:val="none" w:sz="0" w:space="0" w:color="auto"/>
      </w:divBdr>
    </w:div>
    <w:div w:id="1979408846">
      <w:bodyDiv w:val="1"/>
      <w:marLeft w:val="0"/>
      <w:marRight w:val="0"/>
      <w:marTop w:val="0"/>
      <w:marBottom w:val="0"/>
      <w:divBdr>
        <w:top w:val="none" w:sz="0" w:space="0" w:color="auto"/>
        <w:left w:val="none" w:sz="0" w:space="0" w:color="auto"/>
        <w:bottom w:val="none" w:sz="0" w:space="0" w:color="auto"/>
        <w:right w:val="none" w:sz="0" w:space="0" w:color="auto"/>
      </w:divBdr>
      <w:divsChild>
        <w:div w:id="2084640538">
          <w:marLeft w:val="0"/>
          <w:marRight w:val="0"/>
          <w:marTop w:val="0"/>
          <w:marBottom w:val="150"/>
          <w:divBdr>
            <w:top w:val="none" w:sz="0" w:space="0" w:color="auto"/>
            <w:left w:val="none" w:sz="0" w:space="0" w:color="auto"/>
            <w:bottom w:val="none" w:sz="0" w:space="0" w:color="auto"/>
            <w:right w:val="none" w:sz="0" w:space="0" w:color="auto"/>
          </w:divBdr>
          <w:divsChild>
            <w:div w:id="1023282600">
              <w:marLeft w:val="0"/>
              <w:marRight w:val="0"/>
              <w:marTop w:val="0"/>
              <w:marBottom w:val="0"/>
              <w:divBdr>
                <w:top w:val="none" w:sz="0" w:space="0" w:color="auto"/>
                <w:left w:val="none" w:sz="0" w:space="0" w:color="auto"/>
                <w:bottom w:val="none" w:sz="0" w:space="0" w:color="auto"/>
                <w:right w:val="none" w:sz="0" w:space="0" w:color="auto"/>
              </w:divBdr>
              <w:divsChild>
                <w:div w:id="598097541">
                  <w:marLeft w:val="0"/>
                  <w:marRight w:val="1116"/>
                  <w:marTop w:val="0"/>
                  <w:marBottom w:val="0"/>
                  <w:divBdr>
                    <w:top w:val="none" w:sz="0" w:space="0" w:color="auto"/>
                    <w:left w:val="none" w:sz="0" w:space="0" w:color="auto"/>
                    <w:bottom w:val="none" w:sz="0" w:space="0" w:color="auto"/>
                    <w:right w:val="none" w:sz="0" w:space="0" w:color="auto"/>
                  </w:divBdr>
                </w:div>
                <w:div w:id="508179067">
                  <w:marLeft w:val="2567"/>
                  <w:marRight w:val="0"/>
                  <w:marTop w:val="0"/>
                  <w:marBottom w:val="0"/>
                  <w:divBdr>
                    <w:top w:val="none" w:sz="0" w:space="0" w:color="auto"/>
                    <w:left w:val="none" w:sz="0" w:space="0" w:color="auto"/>
                    <w:bottom w:val="none" w:sz="0" w:space="0" w:color="auto"/>
                    <w:right w:val="none" w:sz="0" w:space="0" w:color="auto"/>
                  </w:divBdr>
                </w:div>
              </w:divsChild>
            </w:div>
          </w:divsChild>
        </w:div>
        <w:div w:id="11536877">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sChild>
                <w:div w:id="11787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8755">
          <w:marLeft w:val="0"/>
          <w:marRight w:val="0"/>
          <w:marTop w:val="0"/>
          <w:marBottom w:val="0"/>
          <w:divBdr>
            <w:top w:val="none" w:sz="0" w:space="0" w:color="auto"/>
            <w:left w:val="none" w:sz="0" w:space="0" w:color="auto"/>
            <w:bottom w:val="none" w:sz="0" w:space="0" w:color="auto"/>
            <w:right w:val="none" w:sz="0" w:space="0" w:color="auto"/>
          </w:divBdr>
          <w:divsChild>
            <w:div w:id="387340741">
              <w:marLeft w:val="0"/>
              <w:marRight w:val="0"/>
              <w:marTop w:val="0"/>
              <w:marBottom w:val="0"/>
              <w:divBdr>
                <w:top w:val="none" w:sz="0" w:space="0" w:color="auto"/>
                <w:left w:val="none" w:sz="0" w:space="0" w:color="auto"/>
                <w:bottom w:val="none" w:sz="0" w:space="0" w:color="auto"/>
                <w:right w:val="none" w:sz="0" w:space="0" w:color="auto"/>
              </w:divBdr>
              <w:divsChild>
                <w:div w:id="19748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970316">
      <w:bodyDiv w:val="1"/>
      <w:marLeft w:val="0"/>
      <w:marRight w:val="0"/>
      <w:marTop w:val="0"/>
      <w:marBottom w:val="0"/>
      <w:divBdr>
        <w:top w:val="none" w:sz="0" w:space="0" w:color="auto"/>
        <w:left w:val="none" w:sz="0" w:space="0" w:color="auto"/>
        <w:bottom w:val="none" w:sz="0" w:space="0" w:color="auto"/>
        <w:right w:val="none" w:sz="0" w:space="0" w:color="auto"/>
      </w:divBdr>
    </w:div>
    <w:div w:id="2024479280">
      <w:bodyDiv w:val="1"/>
      <w:marLeft w:val="0"/>
      <w:marRight w:val="0"/>
      <w:marTop w:val="0"/>
      <w:marBottom w:val="0"/>
      <w:divBdr>
        <w:top w:val="none" w:sz="0" w:space="0" w:color="auto"/>
        <w:left w:val="none" w:sz="0" w:space="0" w:color="auto"/>
        <w:bottom w:val="none" w:sz="0" w:space="0" w:color="auto"/>
        <w:right w:val="none" w:sz="0" w:space="0" w:color="auto"/>
      </w:divBdr>
    </w:div>
    <w:div w:id="2028368481">
      <w:bodyDiv w:val="1"/>
      <w:marLeft w:val="0"/>
      <w:marRight w:val="0"/>
      <w:marTop w:val="0"/>
      <w:marBottom w:val="0"/>
      <w:divBdr>
        <w:top w:val="none" w:sz="0" w:space="0" w:color="auto"/>
        <w:left w:val="none" w:sz="0" w:space="0" w:color="auto"/>
        <w:bottom w:val="none" w:sz="0" w:space="0" w:color="auto"/>
        <w:right w:val="none" w:sz="0" w:space="0" w:color="auto"/>
      </w:divBdr>
    </w:div>
    <w:div w:id="2040350228">
      <w:bodyDiv w:val="1"/>
      <w:marLeft w:val="0"/>
      <w:marRight w:val="0"/>
      <w:marTop w:val="0"/>
      <w:marBottom w:val="0"/>
      <w:divBdr>
        <w:top w:val="none" w:sz="0" w:space="0" w:color="auto"/>
        <w:left w:val="none" w:sz="0" w:space="0" w:color="auto"/>
        <w:bottom w:val="none" w:sz="0" w:space="0" w:color="auto"/>
        <w:right w:val="none" w:sz="0" w:space="0" w:color="auto"/>
      </w:divBdr>
    </w:div>
    <w:div w:id="2048144386">
      <w:bodyDiv w:val="1"/>
      <w:marLeft w:val="0"/>
      <w:marRight w:val="0"/>
      <w:marTop w:val="0"/>
      <w:marBottom w:val="0"/>
      <w:divBdr>
        <w:top w:val="none" w:sz="0" w:space="0" w:color="auto"/>
        <w:left w:val="none" w:sz="0" w:space="0" w:color="auto"/>
        <w:bottom w:val="none" w:sz="0" w:space="0" w:color="auto"/>
        <w:right w:val="none" w:sz="0" w:space="0" w:color="auto"/>
      </w:divBdr>
      <w:divsChild>
        <w:div w:id="1508403781">
          <w:marLeft w:val="0"/>
          <w:marRight w:val="0"/>
          <w:marTop w:val="0"/>
          <w:marBottom w:val="150"/>
          <w:divBdr>
            <w:top w:val="none" w:sz="0" w:space="0" w:color="auto"/>
            <w:left w:val="none" w:sz="0" w:space="0" w:color="auto"/>
            <w:bottom w:val="none" w:sz="0" w:space="0" w:color="auto"/>
            <w:right w:val="none" w:sz="0" w:space="0" w:color="auto"/>
          </w:divBdr>
          <w:divsChild>
            <w:div w:id="1966540486">
              <w:marLeft w:val="0"/>
              <w:marRight w:val="0"/>
              <w:marTop w:val="0"/>
              <w:marBottom w:val="0"/>
              <w:divBdr>
                <w:top w:val="none" w:sz="0" w:space="0" w:color="auto"/>
                <w:left w:val="none" w:sz="0" w:space="0" w:color="auto"/>
                <w:bottom w:val="none" w:sz="0" w:space="0" w:color="auto"/>
                <w:right w:val="none" w:sz="0" w:space="0" w:color="auto"/>
              </w:divBdr>
              <w:divsChild>
                <w:div w:id="578365937">
                  <w:marLeft w:val="0"/>
                  <w:marRight w:val="1116"/>
                  <w:marTop w:val="0"/>
                  <w:marBottom w:val="0"/>
                  <w:divBdr>
                    <w:top w:val="none" w:sz="0" w:space="0" w:color="auto"/>
                    <w:left w:val="none" w:sz="0" w:space="0" w:color="auto"/>
                    <w:bottom w:val="none" w:sz="0" w:space="0" w:color="auto"/>
                    <w:right w:val="none" w:sz="0" w:space="0" w:color="auto"/>
                  </w:divBdr>
                </w:div>
                <w:div w:id="546264894">
                  <w:marLeft w:val="2567"/>
                  <w:marRight w:val="0"/>
                  <w:marTop w:val="0"/>
                  <w:marBottom w:val="0"/>
                  <w:divBdr>
                    <w:top w:val="none" w:sz="0" w:space="0" w:color="auto"/>
                    <w:left w:val="none" w:sz="0" w:space="0" w:color="auto"/>
                    <w:bottom w:val="none" w:sz="0" w:space="0" w:color="auto"/>
                    <w:right w:val="none" w:sz="0" w:space="0" w:color="auto"/>
                  </w:divBdr>
                </w:div>
              </w:divsChild>
            </w:div>
          </w:divsChild>
        </w:div>
        <w:div w:id="930166128">
          <w:marLeft w:val="0"/>
          <w:marRight w:val="0"/>
          <w:marTop w:val="0"/>
          <w:marBottom w:val="0"/>
          <w:divBdr>
            <w:top w:val="none" w:sz="0" w:space="0" w:color="auto"/>
            <w:left w:val="none" w:sz="0" w:space="0" w:color="auto"/>
            <w:bottom w:val="none" w:sz="0" w:space="0" w:color="auto"/>
            <w:right w:val="none" w:sz="0" w:space="0" w:color="auto"/>
          </w:divBdr>
          <w:divsChild>
            <w:div w:id="357893619">
              <w:marLeft w:val="0"/>
              <w:marRight w:val="0"/>
              <w:marTop w:val="0"/>
              <w:marBottom w:val="0"/>
              <w:divBdr>
                <w:top w:val="none" w:sz="0" w:space="0" w:color="auto"/>
                <w:left w:val="none" w:sz="0" w:space="0" w:color="auto"/>
                <w:bottom w:val="none" w:sz="0" w:space="0" w:color="auto"/>
                <w:right w:val="none" w:sz="0" w:space="0" w:color="auto"/>
              </w:divBdr>
              <w:divsChild>
                <w:div w:id="1610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3386">
          <w:marLeft w:val="0"/>
          <w:marRight w:val="0"/>
          <w:marTop w:val="0"/>
          <w:marBottom w:val="0"/>
          <w:divBdr>
            <w:top w:val="none" w:sz="0" w:space="0" w:color="auto"/>
            <w:left w:val="none" w:sz="0" w:space="0" w:color="auto"/>
            <w:bottom w:val="none" w:sz="0" w:space="0" w:color="auto"/>
            <w:right w:val="none" w:sz="0" w:space="0" w:color="auto"/>
          </w:divBdr>
          <w:divsChild>
            <w:div w:id="1442460341">
              <w:marLeft w:val="0"/>
              <w:marRight w:val="0"/>
              <w:marTop w:val="0"/>
              <w:marBottom w:val="0"/>
              <w:divBdr>
                <w:top w:val="none" w:sz="0" w:space="0" w:color="auto"/>
                <w:left w:val="none" w:sz="0" w:space="0" w:color="auto"/>
                <w:bottom w:val="none" w:sz="0" w:space="0" w:color="auto"/>
                <w:right w:val="none" w:sz="0" w:space="0" w:color="auto"/>
              </w:divBdr>
              <w:divsChild>
                <w:div w:id="11391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36242">
      <w:bodyDiv w:val="1"/>
      <w:marLeft w:val="0"/>
      <w:marRight w:val="0"/>
      <w:marTop w:val="0"/>
      <w:marBottom w:val="0"/>
      <w:divBdr>
        <w:top w:val="none" w:sz="0" w:space="0" w:color="auto"/>
        <w:left w:val="none" w:sz="0" w:space="0" w:color="auto"/>
        <w:bottom w:val="none" w:sz="0" w:space="0" w:color="auto"/>
        <w:right w:val="none" w:sz="0" w:space="0" w:color="auto"/>
      </w:divBdr>
    </w:div>
    <w:div w:id="2083093576">
      <w:bodyDiv w:val="1"/>
      <w:marLeft w:val="0"/>
      <w:marRight w:val="0"/>
      <w:marTop w:val="0"/>
      <w:marBottom w:val="0"/>
      <w:divBdr>
        <w:top w:val="none" w:sz="0" w:space="0" w:color="auto"/>
        <w:left w:val="none" w:sz="0" w:space="0" w:color="auto"/>
        <w:bottom w:val="none" w:sz="0" w:space="0" w:color="auto"/>
        <w:right w:val="none" w:sz="0" w:space="0" w:color="auto"/>
      </w:divBdr>
    </w:div>
    <w:div w:id="2116170350">
      <w:bodyDiv w:val="1"/>
      <w:marLeft w:val="0"/>
      <w:marRight w:val="0"/>
      <w:marTop w:val="0"/>
      <w:marBottom w:val="0"/>
      <w:divBdr>
        <w:top w:val="none" w:sz="0" w:space="0" w:color="auto"/>
        <w:left w:val="none" w:sz="0" w:space="0" w:color="auto"/>
        <w:bottom w:val="none" w:sz="0" w:space="0" w:color="auto"/>
        <w:right w:val="none" w:sz="0" w:space="0" w:color="auto"/>
      </w:divBdr>
    </w:div>
    <w:div w:id="2116708838">
      <w:bodyDiv w:val="1"/>
      <w:marLeft w:val="0"/>
      <w:marRight w:val="0"/>
      <w:marTop w:val="0"/>
      <w:marBottom w:val="0"/>
      <w:divBdr>
        <w:top w:val="none" w:sz="0" w:space="0" w:color="auto"/>
        <w:left w:val="none" w:sz="0" w:space="0" w:color="auto"/>
        <w:bottom w:val="none" w:sz="0" w:space="0" w:color="auto"/>
        <w:right w:val="none" w:sz="0" w:space="0" w:color="auto"/>
      </w:divBdr>
    </w:div>
    <w:div w:id="2141848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nergia.gob.ec/ecuador-asume-liderazgo-del-proceso-de-integracion-electrica-de-la-region-andin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iadb.org/intal/intalcdi/PE/2012/10366.pdf" TargetMode="External"/><Relationship Id="rId2" Type="http://schemas.openxmlformats.org/officeDocument/2006/relationships/customXml" Target="../customXml/item2.xml"/><Relationship Id="rId16" Type="http://schemas.openxmlformats.org/officeDocument/2006/relationships/hyperlink" Target="http://www.iadb.org/intal/intalcdi/PE/CM%202013/1263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yperlink" Target="http://www.iadb.org/es/proyectos/project-information-page,1303.html?id=RG-T2056"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siel.gov.co/Generacion_sz/Inscripcion/2016/Registro_Proyectos_Generacion_Ago2016.pdf" TargetMode="External"/><Relationship Id="rId13" Type="http://schemas.openxmlformats.org/officeDocument/2006/relationships/hyperlink" Target="https://www.minminas.gov.co/inicio;jsessionid=3APA8GxcOsxY2JefppYJ0Iec.portal2" TargetMode="External"/><Relationship Id="rId3" Type="http://schemas.openxmlformats.org/officeDocument/2006/relationships/hyperlink" Target="http://www.banrep.gov.co/economia/dsbb/emisor-prensa.pdf" TargetMode="External"/><Relationship Id="rId7" Type="http://schemas.openxmlformats.org/officeDocument/2006/relationships/hyperlink" Target="http://informesanuales.xm.com.co/2015/SitePages/Default.aspx" TargetMode="External"/><Relationship Id="rId12" Type="http://schemas.openxmlformats.org/officeDocument/2006/relationships/hyperlink" Target="http://www.iadb.org/es/paises/colombia/un-vistazo-a-los-proyectos,18432.html?query=&amp;status=&amp;sector=EN&amp;country=CO" TargetMode="External"/><Relationship Id="rId2" Type="http://schemas.openxmlformats.org/officeDocument/2006/relationships/hyperlink" Target="http://www.andi.com.co/Documents/Balance2015/ANDI%20-%20Balance%202015%20y%20Perspectivas%202016F.compressed.pdf" TargetMode="External"/><Relationship Id="rId16" Type="http://schemas.openxmlformats.org/officeDocument/2006/relationships/hyperlink" Target="http://www.creg.gov.co/" TargetMode="External"/><Relationship Id="rId1" Type="http://schemas.openxmlformats.org/officeDocument/2006/relationships/hyperlink" Target="https://colaboracion.dnp.gov.co/CDT/Prensa/PND%202014-2018%20Bases%20Final.p" TargetMode="External"/><Relationship Id="rId6" Type="http://schemas.openxmlformats.org/officeDocument/2006/relationships/hyperlink" Target="http://www.upme.gov.co/Docs/PEN/PEN_IdearioEnergetico2050.pdf" TargetMode="External"/><Relationship Id="rId11" Type="http://schemas.openxmlformats.org/officeDocument/2006/relationships/hyperlink" Target="http://www.iadb.org/es/proyectos/project-details,1301.html?Country=CO&amp;Sector=EN&amp;Status=&amp;query" TargetMode="External"/><Relationship Id="rId5" Type="http://schemas.openxmlformats.org/officeDocument/2006/relationships/hyperlink" Target="https://colaboracion.dnp.gov.co/CDT/Prensa/PND%202014-2018%20Bases%20Final.pdf" TargetMode="External"/><Relationship Id="rId15" Type="http://schemas.openxmlformats.org/officeDocument/2006/relationships/hyperlink" Target="http://www1.upme.gov.co/" TargetMode="External"/><Relationship Id="rId10" Type="http://schemas.openxmlformats.org/officeDocument/2006/relationships/hyperlink" Target="http://www.siel.gov.co/Inicio/CoberturadelSistemaIntercontecadoNacional/Publicaciones/tabid/83/Default.aspx" TargetMode="External"/><Relationship Id="rId4" Type="http://schemas.openxmlformats.org/officeDocument/2006/relationships/hyperlink" Target="http://www.asobancaria.com/wp-content/uploads/2016/04/1036-vf.pdf" TargetMode="External"/><Relationship Id="rId9" Type="http://schemas.openxmlformats.org/officeDocument/2006/relationships/hyperlink" Target="http://www.portafolio.co/economia/gobierno/finaliza-campana-apagar-paga-494701" TargetMode="External"/><Relationship Id="rId14" Type="http://schemas.openxmlformats.org/officeDocument/2006/relationships/hyperlink" Target="https://www.dnp.gov.co/Paginas/inicio.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Display>_catalogs/masterpage/ECMForms/OperationsCT/View.aspx</Display>
  <Edit>_catalogs/masterpage/ECMForms/OperationsCT/Edit.aspx</Edit>
</FormUrls>
</file>

<file path=customXml/item3.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Key_x0020_Document xmlns="cdc7663a-08f0-4737-9e8c-148ce897a09c" xsi:nil="true"/>
    <Division_x0020_or_x0020_Unit xmlns="cdc7663a-08f0-4737-9e8c-148ce897a09c" xsi:nil="true"/>
    <Other_x0020_Author xmlns="cdc7663a-08f0-4737-9e8c-148ce897a09c" xsi:nil="true"/>
    <IDBDocs_x0020_Number xmlns="cdc7663a-08f0-4737-9e8c-148ce897a09c" xsi:nil="true"/>
    <Document_x0020_Author xmlns="cdc7663a-08f0-4737-9e8c-148ce897a09c" xsi:nil="true"/>
    <Operation_x0020_Type xmlns="cdc7663a-08f0-4737-9e8c-148ce897a09c" xsi:nil="true"/>
    <TaxCatchAll xmlns="cdc7663a-08f0-4737-9e8c-148ce897a09c"/>
    <Fiscal_x0020_Year_x0020_IDB xmlns="cdc7663a-08f0-4737-9e8c-148ce897a09c" xsi:nil="true"/>
    <Project_x0020_Number xmlns="cdc7663a-08f0-4737-9e8c-148ce897a09c"/>
    <Package_x0020_Code xmlns="cdc7663a-08f0-4737-9e8c-148ce897a09c" xsi:nil="true"/>
    <Migration_x0020_Info xmlns="cdc7663a-08f0-4737-9e8c-148ce897a09c" xsi:nil="true"/>
    <Approval_x0020_Number xmlns="cdc7663a-08f0-4737-9e8c-148ce897a09c" xsi:nil="true"/>
    <Business_x0020_Area xmlns="cdc7663a-08f0-4737-9e8c-148ce897a09c" xsi:nil="true"/>
    <SISCOR_x0020_Number xmlns="cdc7663a-08f0-4737-9e8c-148ce897a09c" xsi:nil="true"/>
    <Identifier xmlns="cdc7663a-08f0-4737-9e8c-148ce897a09c" xsi:nil="true"/>
    <Document_x0020_Language_x0020_IDB xmlns="cdc7663a-08f0-4737-9e8c-148ce897a09c" xsi:nil="true"/>
    <Phase xmlns="cdc7663a-08f0-4737-9e8c-148ce897a09c" xsi:nil="true"/>
    <Access_x0020_to_x0020_Information_x00a0_Policy xmlns="cdc7663a-08f0-4737-9e8c-148ce897a09c"/>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From_x003a_ xmlns="cdc7663a-08f0-4737-9e8c-148ce897a09c" xsi:nil="true"/>
    <e46fe2894295491da65140ffd2369f49 xmlns="cdc7663a-08f0-4737-9e8c-148ce897a09c">
      <Terms xmlns="http://schemas.microsoft.com/office/infopath/2007/PartnerControl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To_x003a_ xmlns="cdc7663a-08f0-4737-9e8c-148ce897a09c" xsi:nil="true"/>
    <nddeef1749674d76abdbe4b239a70bc6 xmlns="cdc7663a-08f0-4737-9e8c-148ce897a09c">
      <Terms xmlns="http://schemas.microsoft.com/office/infopath/2007/PartnerControls"/>
    </nddeef1749674d76abdbe4b239a70bc6>
  </documentManagement>
</p:properties>
</file>

<file path=customXml/item4.xml><?xml version="1.0" encoding="utf-8"?>
<ct:contentTypeSchema xmlns:ct="http://schemas.microsoft.com/office/2006/metadata/contentType" xmlns:ma="http://schemas.microsoft.com/office/2006/metadata/properties/metaAttributes" ct:_="" ma:_="" ma:contentTypeName="ez-Operations" ma:contentTypeID="0x010100ACF722E9F6B0B149B0CD8BE2560A6672005DABF23F27B23A47B950CA95C3833BD8" ma:contentTypeVersion="5" ma:contentTypeDescription="The base project type from which other project content types inherit their information." ma:contentTypeScope="" ma:versionID="8047d10134b06004f6ce2e3e89fc4a4c">
  <xsd:schema xmlns:xsd="http://www.w3.org/2001/XMLSchema" xmlns:xs="http://www.w3.org/2001/XMLSchema" xmlns:p="http://schemas.microsoft.com/office/2006/metadata/properties" xmlns:ns2="cdc7663a-08f0-4737-9e8c-148ce897a09c" targetNamespace="http://schemas.microsoft.com/office/2006/metadata/properties" ma:root="true" ma:fieldsID="c4ae8e40f2965d50795c8bf0b96be33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e61f9b1-e23d-4f49-b3d7-56b991556c4b" ContentTypeId="0x010100ACF722E9F6B0B149B0CD8BE2560A667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5ECA52-FB16-470F-A7D2-9637A83F1595}">
  <ds:schemaRefs>
    <ds:schemaRef ds:uri="http://schemas.microsoft.com/sharepoint/v3/contenttype/forms"/>
  </ds:schemaRefs>
</ds:datastoreItem>
</file>

<file path=customXml/itemProps2.xml><?xml version="1.0" encoding="utf-8"?>
<ds:datastoreItem xmlns:ds="http://schemas.openxmlformats.org/officeDocument/2006/customXml" ds:itemID="{C58ADD6B-3C5C-4D97-8DE7-6B1C230DC8D0}">
  <ds:schemaRefs>
    <ds:schemaRef ds:uri="http://schemas.microsoft.com/sharepoint/v3/contenttype/forms/url"/>
  </ds:schemaRefs>
</ds:datastoreItem>
</file>

<file path=customXml/itemProps3.xml><?xml version="1.0" encoding="utf-8"?>
<ds:datastoreItem xmlns:ds="http://schemas.openxmlformats.org/officeDocument/2006/customXml" ds:itemID="{53770160-8F3F-4690-900E-BD6784981EBE}">
  <ds:schemaRefs>
    <ds:schemaRef ds:uri="http://schemas.microsoft.com/office/2006/documentManagement/types"/>
    <ds:schemaRef ds:uri="cdc7663a-08f0-4737-9e8c-148ce897a09c"/>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C35C85C-8897-4AEF-949C-9139F7E5F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C2FFF9-FCFA-453E-97CF-5BEE543408FD}">
  <ds:schemaRefs>
    <ds:schemaRef ds:uri="Microsoft.SharePoint.Taxonomy.ContentTypeSync"/>
  </ds:schemaRefs>
</ds:datastoreItem>
</file>

<file path=customXml/itemProps6.xml><?xml version="1.0" encoding="utf-8"?>
<ds:datastoreItem xmlns:ds="http://schemas.openxmlformats.org/officeDocument/2006/customXml" ds:itemID="{27538F3C-9050-4A96-AED4-3D3EEDD491AA}">
  <ds:schemaRefs>
    <ds:schemaRef ds:uri="http://schemas.microsoft.com/sharepoint/events"/>
  </ds:schemaRefs>
</ds:datastoreItem>
</file>

<file path=customXml/itemProps7.xml><?xml version="1.0" encoding="utf-8"?>
<ds:datastoreItem xmlns:ds="http://schemas.openxmlformats.org/officeDocument/2006/customXml" ds:itemID="{0F9B7857-8625-40E4-821C-82257315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10864</Words>
  <Characters>59752</Characters>
  <Application>Microsoft Office Word</Application>
  <DocSecurity>4</DocSecurity>
  <Lines>497</Lines>
  <Paragraphs>140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Nota Tecnica Energia PBP CO-L1217</vt:lpstr>
      <vt:lpstr/>
    </vt:vector>
  </TitlesOfParts>
  <Company>Inter-American Development Bank</Company>
  <LinksUpToDate>false</LinksUpToDate>
  <CharactersWithSpaces>70476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Tecnica Energia PBP CO-L1217</dc:title>
  <dc:creator>Usuario de Microsoft Office</dc:creator>
  <cp:lastModifiedBy>Jesurun-Clements, Nancy</cp:lastModifiedBy>
  <cp:revision>2</cp:revision>
  <dcterms:created xsi:type="dcterms:W3CDTF">2017-06-21T18:13:00Z</dcterms:created>
  <dcterms:modified xsi:type="dcterms:W3CDTF">2017-06-21T18:13:00Z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0x010100ACF722E9F6B0B149B0CD8BE2560A6672005DABF23F27B23A47B950CA95C3833BD8</vt:lpwstr>
  </property>
  <property fmtid="{D5CDD505-2E9C-101B-9397-08002B2CF9AE}" pid="5" name="TaxKeywordTaxHTField">
    <vt:lpwstr/>
  </property>
  <property fmtid="{D5CDD505-2E9C-101B-9397-08002B2CF9AE}" pid="6" name="Series Operations IDB">
    <vt:lpwstr>-1;#Unclassified|a6dff32e-d477-44cd-a56b-85efe9e0a56c</vt:lpwstr>
  </property>
  <property fmtid="{D5CDD505-2E9C-101B-9397-08002B2CF9AE}" pid="7" name="Sub-Sector">
    <vt:lpwstr/>
  </property>
  <property fmtid="{D5CDD505-2E9C-101B-9397-08002B2CF9AE}" pid="8" name="Country">
    <vt:lpwstr>27;#Colombia|c7d386d6-75f3-4fc0-bde8-e021ccd68f5c</vt:lpwstr>
  </property>
  <property fmtid="{D5CDD505-2E9C-101B-9397-08002B2CF9AE}" pid="9" name="Fund IDB">
    <vt:lpwstr/>
  </property>
  <property fmtid="{D5CDD505-2E9C-101B-9397-08002B2CF9AE}" pid="10" name="Series_x0020_Operations_x0020_IDB">
    <vt:lpwstr>-1;#Unclassified|a6dff32e-d477-44cd-a56b-85efe9e0a56c</vt:lpwstr>
  </property>
  <property fmtid="{D5CDD505-2E9C-101B-9397-08002B2CF9AE}" pid="11" name="Webtopic">
    <vt:lpwstr/>
  </property>
  <property fmtid="{D5CDD505-2E9C-101B-9397-08002B2CF9AE}" pid="12" name="Sector IDB">
    <vt:lpwstr/>
  </property>
  <property fmtid="{D5CDD505-2E9C-101B-9397-08002B2CF9AE}" pid="13" name="Function Operations IDB">
    <vt:lpwstr>-1;#IDBDocs|cca77002-e150-4b2d-ab1f-1d7a7cdcae16</vt:lpwstr>
  </property>
  <property fmtid="{D5CDD505-2E9C-101B-9397-08002B2CF9AE}" pid="14" name="Publication_x0020_Type">
    <vt:lpwstr/>
  </property>
  <property fmtid="{D5CDD505-2E9C-101B-9397-08002B2CF9AE}" pid="15" name="Publishing_x0020_House">
    <vt:lpwstr/>
  </property>
  <property fmtid="{D5CDD505-2E9C-101B-9397-08002B2CF9AE}" pid="16" name="Abstract">
    <vt:lpwstr/>
  </property>
  <property fmtid="{D5CDD505-2E9C-101B-9397-08002B2CF9AE}" pid="17" name="Disclosure Activity">
    <vt:lpwstr/>
  </property>
  <property fmtid="{D5CDD505-2E9C-101B-9397-08002B2CF9AE}" pid="18" name="Function_x0020_Operations_x0020_IDB">
    <vt:lpwstr>-1;#IDBDocs|cca77002-e150-4b2d-ab1f-1d7a7cdcae16</vt:lpwstr>
  </property>
  <property fmtid="{D5CDD505-2E9C-101B-9397-08002B2CF9AE}" pid="19" name="Region">
    <vt:lpwstr/>
  </property>
  <property fmtid="{D5CDD505-2E9C-101B-9397-08002B2CF9AE}" pid="20" name="Disclosure_x0020_Activity">
    <vt:lpwstr/>
  </property>
  <property fmtid="{D5CDD505-2E9C-101B-9397-08002B2CF9AE}" pid="21" name="Fund_x0020_IDB">
    <vt:lpwstr/>
  </property>
  <property fmtid="{D5CDD505-2E9C-101B-9397-08002B2CF9AE}" pid="22" name="Publishing House">
    <vt:lpwstr/>
  </property>
  <property fmtid="{D5CDD505-2E9C-101B-9397-08002B2CF9AE}" pid="23" name="Disclosed">
    <vt:bool>false</vt:bool>
  </property>
  <property fmtid="{D5CDD505-2E9C-101B-9397-08002B2CF9AE}" pid="24" name="KP Topics">
    <vt:lpwstr/>
  </property>
  <property fmtid="{D5CDD505-2E9C-101B-9397-08002B2CF9AE}" pid="25" name="KP_x0020_Topics">
    <vt:lpwstr/>
  </property>
  <property fmtid="{D5CDD505-2E9C-101B-9397-08002B2CF9AE}" pid="26" name="Editor1">
    <vt:lpwstr/>
  </property>
  <property fmtid="{D5CDD505-2E9C-101B-9397-08002B2CF9AE}" pid="27" name="Sector_x0020_IDB">
    <vt:lpwstr/>
  </property>
  <property fmtid="{D5CDD505-2E9C-101B-9397-08002B2CF9AE}" pid="28" name="Publication Type">
    <vt:lpwstr/>
  </property>
</Properties>
</file>