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260716" w:rsidRPr="000F009C" w:rsidTr="00127C9F">
        <w:tc>
          <w:tcPr>
            <w:tcW w:w="9576" w:type="dxa"/>
            <w:gridSpan w:val="3"/>
            <w:shd w:val="clear" w:color="auto" w:fill="D9D9D9" w:themeFill="background1" w:themeFillShade="D9"/>
          </w:tcPr>
          <w:p w:rsidR="00260716" w:rsidRPr="00121132" w:rsidRDefault="00260716" w:rsidP="00260716">
            <w:pPr>
              <w:rPr>
                <w:b/>
                <w:lang w:val="es-ES_tradnl"/>
              </w:rPr>
            </w:pPr>
            <w:bookmarkStart w:id="0" w:name="_GoBack"/>
            <w:bookmarkEnd w:id="0"/>
            <w:r w:rsidRPr="00121132">
              <w:rPr>
                <w:b/>
                <w:lang w:val="es-ES_tradnl"/>
              </w:rPr>
              <w:t>LECCIONES APRENDIDAS PARA EL DISEÑO DEL PROGRAMA INTEGRAL DE DESARROLLO TURISTICO Y URBANO DR-L1084</w:t>
            </w:r>
          </w:p>
        </w:tc>
      </w:tr>
      <w:tr w:rsidR="0039717A" w:rsidRPr="00127C9F" w:rsidTr="00127C9F">
        <w:tc>
          <w:tcPr>
            <w:tcW w:w="3192" w:type="dxa"/>
            <w:shd w:val="clear" w:color="auto" w:fill="F2F2F2" w:themeFill="background1" w:themeFillShade="F2"/>
          </w:tcPr>
          <w:p w:rsidR="0039717A" w:rsidRPr="00127C9F" w:rsidRDefault="002D238D">
            <w:pPr>
              <w:rPr>
                <w:rFonts w:ascii="Arial" w:hAnsi="Arial" w:cs="Arial"/>
                <w:b/>
                <w:sz w:val="18"/>
                <w:szCs w:val="18"/>
                <w:lang w:val="es-ES"/>
              </w:rPr>
            </w:pPr>
            <w:r w:rsidRPr="00127C9F">
              <w:rPr>
                <w:rFonts w:ascii="Arial" w:hAnsi="Arial" w:cs="Arial"/>
                <w:b/>
                <w:sz w:val="18"/>
                <w:szCs w:val="18"/>
                <w:lang w:val="es-ES"/>
              </w:rPr>
              <w:t>Lección aprendida</w:t>
            </w:r>
          </w:p>
        </w:tc>
        <w:tc>
          <w:tcPr>
            <w:tcW w:w="3192" w:type="dxa"/>
            <w:shd w:val="clear" w:color="auto" w:fill="F2F2F2" w:themeFill="background1" w:themeFillShade="F2"/>
          </w:tcPr>
          <w:p w:rsidR="0039717A" w:rsidRPr="00127C9F" w:rsidRDefault="0099797A">
            <w:pPr>
              <w:rPr>
                <w:rFonts w:ascii="Arial" w:hAnsi="Arial" w:cs="Arial"/>
                <w:b/>
                <w:sz w:val="18"/>
                <w:szCs w:val="18"/>
                <w:lang w:val="es-ES"/>
              </w:rPr>
            </w:pPr>
            <w:r w:rsidRPr="00127C9F">
              <w:rPr>
                <w:rFonts w:ascii="Arial" w:hAnsi="Arial" w:cs="Arial"/>
                <w:b/>
                <w:sz w:val="18"/>
                <w:szCs w:val="18"/>
                <w:lang w:val="es-ES"/>
              </w:rPr>
              <w:t>Diseño</w:t>
            </w:r>
            <w:r w:rsidR="0039717A" w:rsidRPr="00127C9F">
              <w:rPr>
                <w:rFonts w:ascii="Arial" w:hAnsi="Arial" w:cs="Arial"/>
                <w:b/>
                <w:sz w:val="18"/>
                <w:szCs w:val="18"/>
                <w:lang w:val="es-ES"/>
              </w:rPr>
              <w:t xml:space="preserve"> </w:t>
            </w:r>
            <w:r w:rsidRPr="00127C9F">
              <w:rPr>
                <w:rFonts w:ascii="Arial" w:hAnsi="Arial" w:cs="Arial"/>
                <w:b/>
                <w:sz w:val="18"/>
                <w:szCs w:val="18"/>
                <w:lang w:val="es-ES"/>
              </w:rPr>
              <w:t>operación</w:t>
            </w:r>
            <w:r w:rsidR="0039717A" w:rsidRPr="00127C9F">
              <w:rPr>
                <w:rFonts w:ascii="Arial" w:hAnsi="Arial" w:cs="Arial"/>
                <w:b/>
                <w:sz w:val="18"/>
                <w:szCs w:val="18"/>
                <w:lang w:val="es-ES"/>
              </w:rPr>
              <w:t xml:space="preserve"> </w:t>
            </w:r>
          </w:p>
        </w:tc>
        <w:tc>
          <w:tcPr>
            <w:tcW w:w="3192" w:type="dxa"/>
            <w:shd w:val="clear" w:color="auto" w:fill="F2F2F2" w:themeFill="background1" w:themeFillShade="F2"/>
          </w:tcPr>
          <w:p w:rsidR="0039717A" w:rsidRPr="00127C9F" w:rsidRDefault="005E52B7">
            <w:pPr>
              <w:rPr>
                <w:rFonts w:ascii="Arial" w:hAnsi="Arial" w:cs="Arial"/>
                <w:b/>
                <w:sz w:val="18"/>
                <w:szCs w:val="18"/>
                <w:lang w:val="es-ES"/>
              </w:rPr>
            </w:pPr>
            <w:r w:rsidRPr="00127C9F">
              <w:rPr>
                <w:rFonts w:ascii="Arial" w:hAnsi="Arial" w:cs="Arial"/>
                <w:b/>
                <w:sz w:val="18"/>
                <w:szCs w:val="18"/>
                <w:lang w:val="es-ES"/>
              </w:rPr>
              <w:t>Ejecución</w:t>
            </w:r>
            <w:r w:rsidR="0039717A" w:rsidRPr="00127C9F">
              <w:rPr>
                <w:rFonts w:ascii="Arial" w:hAnsi="Arial" w:cs="Arial"/>
                <w:b/>
                <w:sz w:val="18"/>
                <w:szCs w:val="18"/>
                <w:lang w:val="es-ES"/>
              </w:rPr>
              <w:t>/</w:t>
            </w:r>
            <w:r w:rsidRPr="00127C9F">
              <w:rPr>
                <w:rFonts w:ascii="Arial" w:hAnsi="Arial" w:cs="Arial"/>
                <w:b/>
                <w:sz w:val="18"/>
                <w:szCs w:val="18"/>
                <w:lang w:val="es-ES"/>
              </w:rPr>
              <w:t>implementación</w:t>
            </w:r>
            <w:r w:rsidR="0039717A" w:rsidRPr="00127C9F">
              <w:rPr>
                <w:rFonts w:ascii="Arial" w:hAnsi="Arial" w:cs="Arial"/>
                <w:b/>
                <w:sz w:val="18"/>
                <w:szCs w:val="18"/>
                <w:lang w:val="es-ES"/>
              </w:rPr>
              <w:t xml:space="preserve"> </w:t>
            </w:r>
          </w:p>
        </w:tc>
      </w:tr>
      <w:tr w:rsidR="0039717A" w:rsidRPr="000F009C" w:rsidTr="0039717A">
        <w:tc>
          <w:tcPr>
            <w:tcW w:w="3192" w:type="dxa"/>
          </w:tcPr>
          <w:p w:rsidR="002D238D" w:rsidRPr="002D238D" w:rsidRDefault="0039717A">
            <w:pPr>
              <w:rPr>
                <w:rFonts w:ascii="Arial" w:hAnsi="Arial" w:cs="Arial"/>
                <w:i/>
                <w:sz w:val="18"/>
                <w:szCs w:val="18"/>
                <w:lang w:val="es-ES_tradnl"/>
              </w:rPr>
            </w:pPr>
            <w:r w:rsidRPr="002D238D">
              <w:rPr>
                <w:rFonts w:ascii="Arial" w:hAnsi="Arial" w:cs="Arial"/>
                <w:i/>
                <w:sz w:val="18"/>
                <w:szCs w:val="18"/>
                <w:lang w:val="es-ES_tradnl"/>
              </w:rPr>
              <w:t>Mecanismos institucionales que permitan coordinar diferentes niveles de instancias gubernamentales con sector privado y comunidad</w:t>
            </w:r>
            <w:r w:rsidR="002D238D" w:rsidRPr="002D238D">
              <w:rPr>
                <w:rFonts w:ascii="Arial" w:hAnsi="Arial" w:cs="Arial"/>
                <w:i/>
                <w:sz w:val="18"/>
                <w:szCs w:val="18"/>
                <w:lang w:val="es-ES_tradnl"/>
              </w:rPr>
              <w:t xml:space="preserve"> </w:t>
            </w:r>
          </w:p>
          <w:p w:rsidR="002D238D" w:rsidRDefault="002D238D">
            <w:pPr>
              <w:rPr>
                <w:rFonts w:ascii="Arial" w:hAnsi="Arial" w:cs="Arial"/>
                <w:sz w:val="18"/>
                <w:szCs w:val="18"/>
                <w:lang w:val="es-ES_tradnl"/>
              </w:rPr>
            </w:pPr>
          </w:p>
          <w:p w:rsidR="00AE6F34" w:rsidRDefault="002D238D">
            <w:pPr>
              <w:rPr>
                <w:rFonts w:ascii="Arial" w:hAnsi="Arial" w:cs="Arial"/>
                <w:sz w:val="18"/>
                <w:szCs w:val="18"/>
                <w:lang w:val="es-ES_tradnl"/>
              </w:rPr>
            </w:pPr>
            <w:r>
              <w:rPr>
                <w:rFonts w:ascii="Arial" w:hAnsi="Arial" w:cs="Arial"/>
                <w:sz w:val="18"/>
                <w:szCs w:val="18"/>
                <w:lang w:val="es-ES_tradnl"/>
              </w:rPr>
              <w:t xml:space="preserve">El programa </w:t>
            </w:r>
            <w:r w:rsidRPr="005E52B7">
              <w:rPr>
                <w:rFonts w:ascii="Arial" w:hAnsi="Arial" w:cs="Arial"/>
                <w:sz w:val="18"/>
                <w:szCs w:val="18"/>
                <w:lang w:val="es-ES_tradnl"/>
              </w:rPr>
              <w:t>2587/OC-DR</w:t>
            </w:r>
            <w:r>
              <w:rPr>
                <w:rFonts w:ascii="Arial" w:hAnsi="Arial" w:cs="Arial"/>
                <w:sz w:val="18"/>
                <w:szCs w:val="18"/>
                <w:lang w:val="es-ES_tradnl"/>
              </w:rPr>
              <w:t xml:space="preserve">, al igual que otros programas de esta naturaleza, experimento dificultades en la coordinación de las instituciones competentes en la CCSD.  El esquema de coordinación diseñado para la primera operación, no consideró apropiadamente una participación efectiva del ADN y MINCUL, dejando en manos de MITUR la mayor parte de las decisiones. Por otro lado, tampoco ADN y MINCUL contaban con las capacidades institucionales ni el apoyo necesario para asumir un rol más preponderante. </w:t>
            </w:r>
            <w:r w:rsidR="00AE6F34">
              <w:rPr>
                <w:rFonts w:ascii="Arial" w:hAnsi="Arial" w:cs="Arial"/>
                <w:sz w:val="18"/>
                <w:szCs w:val="18"/>
                <w:lang w:val="es-ES_tradnl"/>
              </w:rPr>
              <w:t>Esta segunda operación, en el corto plazo, propone un esquema de coordinación</w:t>
            </w:r>
            <w:r w:rsidR="00AE6F34" w:rsidRPr="00AE6F34">
              <w:rPr>
                <w:rFonts w:ascii="Arial" w:hAnsi="Arial" w:cs="Arial"/>
                <w:sz w:val="18"/>
                <w:szCs w:val="18"/>
                <w:lang w:val="es-ES_tradnl"/>
              </w:rPr>
              <w:t xml:space="preserve">, que </w:t>
            </w:r>
            <w:r w:rsidR="00AE6F34">
              <w:rPr>
                <w:rFonts w:ascii="Arial" w:hAnsi="Arial" w:cs="Arial"/>
                <w:sz w:val="18"/>
                <w:szCs w:val="18"/>
                <w:lang w:val="es-ES_tradnl"/>
              </w:rPr>
              <w:t>intenta resolver los</w:t>
            </w:r>
            <w:r w:rsidR="00AE6F34" w:rsidRPr="00AE6F34">
              <w:rPr>
                <w:rFonts w:ascii="Arial" w:hAnsi="Arial" w:cs="Arial"/>
                <w:sz w:val="18"/>
                <w:szCs w:val="18"/>
                <w:lang w:val="es-ES_tradnl"/>
              </w:rPr>
              <w:t xml:space="preserve"> problemas de articulación intersectorial</w:t>
            </w:r>
            <w:r w:rsidR="00AE6F34">
              <w:rPr>
                <w:rFonts w:ascii="Arial" w:hAnsi="Arial" w:cs="Arial"/>
                <w:sz w:val="18"/>
                <w:szCs w:val="18"/>
                <w:lang w:val="es-ES_tradnl"/>
              </w:rPr>
              <w:t xml:space="preserve"> encontrados en la primera operación</w:t>
            </w:r>
            <w:r w:rsidR="00AE6F34" w:rsidRPr="00AE6F34">
              <w:rPr>
                <w:rFonts w:ascii="Arial" w:hAnsi="Arial" w:cs="Arial"/>
                <w:sz w:val="18"/>
                <w:szCs w:val="18"/>
                <w:lang w:val="es-ES_tradnl"/>
              </w:rPr>
              <w:t xml:space="preserve">, </w:t>
            </w:r>
            <w:r w:rsidR="00AE6F34">
              <w:rPr>
                <w:rFonts w:ascii="Arial" w:hAnsi="Arial" w:cs="Arial"/>
                <w:sz w:val="18"/>
                <w:szCs w:val="18"/>
                <w:lang w:val="es-ES_tradnl"/>
              </w:rPr>
              <w:t xml:space="preserve">para </w:t>
            </w:r>
            <w:r w:rsidR="00AE6F34" w:rsidRPr="00AE6F34">
              <w:rPr>
                <w:rFonts w:ascii="Arial" w:hAnsi="Arial" w:cs="Arial"/>
                <w:sz w:val="18"/>
                <w:szCs w:val="18"/>
                <w:lang w:val="es-ES_tradnl"/>
              </w:rPr>
              <w:t xml:space="preserve">estar en condiciones de asumir la implementación </w:t>
            </w:r>
            <w:r w:rsidR="00AE6F34">
              <w:rPr>
                <w:rFonts w:ascii="Arial" w:hAnsi="Arial" w:cs="Arial"/>
                <w:sz w:val="18"/>
                <w:szCs w:val="18"/>
                <w:lang w:val="es-ES_tradnl"/>
              </w:rPr>
              <w:t>de la segunda operación</w:t>
            </w:r>
            <w:r w:rsidR="00AE6F34" w:rsidRPr="00AE6F34">
              <w:rPr>
                <w:rFonts w:ascii="Arial" w:hAnsi="Arial" w:cs="Arial"/>
                <w:sz w:val="18"/>
                <w:szCs w:val="18"/>
                <w:lang w:val="es-ES_tradnl"/>
              </w:rPr>
              <w:t>.</w:t>
            </w:r>
            <w:r w:rsidR="00AE6F34">
              <w:rPr>
                <w:rFonts w:ascii="Arial" w:hAnsi="Arial" w:cs="Arial"/>
                <w:sz w:val="18"/>
                <w:szCs w:val="18"/>
                <w:lang w:val="es-ES_tradnl"/>
              </w:rPr>
              <w:t xml:space="preserve"> En el largo plazo, el programa s</w:t>
            </w:r>
            <w:r w:rsidR="00B04BB2">
              <w:rPr>
                <w:rFonts w:ascii="Arial" w:hAnsi="Arial" w:cs="Arial"/>
                <w:sz w:val="18"/>
                <w:szCs w:val="18"/>
                <w:lang w:val="es-ES_tradnl"/>
              </w:rPr>
              <w:t xml:space="preserve">e propone </w:t>
            </w:r>
            <w:r w:rsidR="00AE6F34">
              <w:rPr>
                <w:rFonts w:ascii="Arial" w:hAnsi="Arial" w:cs="Arial"/>
                <w:sz w:val="18"/>
                <w:szCs w:val="18"/>
                <w:lang w:val="es-ES_tradnl"/>
              </w:rPr>
              <w:t xml:space="preserve">apoyar el diseño e implementación de un esquema de gestión de la ciudad. </w:t>
            </w:r>
          </w:p>
          <w:p w:rsidR="0039717A" w:rsidRPr="005E52B7" w:rsidRDefault="0039717A">
            <w:pPr>
              <w:rPr>
                <w:rFonts w:ascii="Arial" w:hAnsi="Arial" w:cs="Arial"/>
                <w:sz w:val="18"/>
                <w:szCs w:val="18"/>
                <w:lang w:val="es-ES_tradnl"/>
              </w:rPr>
            </w:pPr>
          </w:p>
        </w:tc>
        <w:tc>
          <w:tcPr>
            <w:tcW w:w="3192" w:type="dxa"/>
          </w:tcPr>
          <w:p w:rsidR="0039717A" w:rsidRPr="005E52B7" w:rsidRDefault="0099797A" w:rsidP="002D238D">
            <w:pPr>
              <w:rPr>
                <w:rFonts w:ascii="Arial" w:hAnsi="Arial" w:cs="Arial"/>
                <w:sz w:val="18"/>
                <w:szCs w:val="18"/>
                <w:lang w:val="es-ES_tradnl"/>
              </w:rPr>
            </w:pPr>
            <w:r w:rsidRPr="005E52B7">
              <w:rPr>
                <w:rFonts w:ascii="Arial" w:hAnsi="Arial" w:cs="Arial"/>
                <w:sz w:val="18"/>
                <w:szCs w:val="18"/>
                <w:lang w:val="es-ES_tradnl"/>
              </w:rPr>
              <w:t>Tomando en cu</w:t>
            </w:r>
            <w:r w:rsidR="005E52B7" w:rsidRPr="005E52B7">
              <w:rPr>
                <w:rFonts w:ascii="Arial" w:hAnsi="Arial" w:cs="Arial"/>
                <w:sz w:val="18"/>
                <w:szCs w:val="18"/>
                <w:lang w:val="es-ES_tradnl"/>
              </w:rPr>
              <w:t>e</w:t>
            </w:r>
            <w:r w:rsidR="0039717A" w:rsidRPr="005E52B7">
              <w:rPr>
                <w:rFonts w:ascii="Arial" w:hAnsi="Arial" w:cs="Arial"/>
                <w:sz w:val="18"/>
                <w:szCs w:val="18"/>
                <w:lang w:val="es-ES_tradnl"/>
              </w:rPr>
              <w:t>nt</w:t>
            </w:r>
            <w:r w:rsidR="005E52B7" w:rsidRPr="005E52B7">
              <w:rPr>
                <w:rFonts w:ascii="Arial" w:hAnsi="Arial" w:cs="Arial"/>
                <w:sz w:val="18"/>
                <w:szCs w:val="18"/>
                <w:lang w:val="es-ES_tradnl"/>
              </w:rPr>
              <w:t>a</w:t>
            </w:r>
            <w:r w:rsidR="0039717A" w:rsidRPr="005E52B7">
              <w:rPr>
                <w:rFonts w:ascii="Arial" w:hAnsi="Arial" w:cs="Arial"/>
                <w:sz w:val="18"/>
                <w:szCs w:val="18"/>
                <w:lang w:val="es-ES_tradnl"/>
              </w:rPr>
              <w:t xml:space="preserve"> las lecciones aprendidas del 2587/</w:t>
            </w:r>
          </w:p>
          <w:p w:rsidR="0039717A" w:rsidRPr="005E52B7" w:rsidRDefault="0039717A" w:rsidP="0039717A">
            <w:pPr>
              <w:rPr>
                <w:rFonts w:ascii="Arial" w:hAnsi="Arial" w:cs="Arial"/>
                <w:sz w:val="18"/>
                <w:szCs w:val="18"/>
                <w:lang w:val="es-ES_tradnl"/>
              </w:rPr>
            </w:pPr>
            <w:r w:rsidRPr="005E52B7">
              <w:rPr>
                <w:rFonts w:ascii="Arial" w:hAnsi="Arial" w:cs="Arial"/>
                <w:sz w:val="18"/>
                <w:szCs w:val="18"/>
                <w:lang w:val="es-ES_tradnl"/>
              </w:rPr>
              <w:t xml:space="preserve">OC-DR, se </w:t>
            </w:r>
            <w:r w:rsidR="0099797A" w:rsidRPr="005E52B7">
              <w:rPr>
                <w:rFonts w:ascii="Arial" w:hAnsi="Arial" w:cs="Arial"/>
                <w:sz w:val="18"/>
                <w:szCs w:val="18"/>
                <w:lang w:val="es-ES_tradnl"/>
              </w:rPr>
              <w:t>diseñó</w:t>
            </w:r>
            <w:r w:rsidRPr="005E52B7">
              <w:rPr>
                <w:rFonts w:ascii="Arial" w:hAnsi="Arial" w:cs="Arial"/>
                <w:sz w:val="18"/>
                <w:szCs w:val="18"/>
                <w:lang w:val="es-ES_tradnl"/>
              </w:rPr>
              <w:t xml:space="preserve"> un nuevo mecanismo de ejecución, orientado a promover una mayor participación y colaboración de las instituciones y demás actores relevantes en la gobernanza de las CCSD. Para ello, será formalizada en el ámbito del programa una Comisión Estratégica (CE),</w:t>
            </w:r>
            <w:r w:rsidR="00725B62" w:rsidRPr="005E52B7">
              <w:rPr>
                <w:rFonts w:ascii="Arial" w:hAnsi="Arial" w:cs="Arial"/>
                <w:sz w:val="18"/>
                <w:szCs w:val="18"/>
                <w:lang w:val="es-ES_tradnl"/>
              </w:rPr>
              <w:t xml:space="preserve"> responsable de dar seguimiento a la ejecución del programa y sus líneas estratégicas</w:t>
            </w:r>
            <w:r w:rsidR="005E52B7" w:rsidRPr="005E52B7">
              <w:rPr>
                <w:rFonts w:ascii="Arial" w:hAnsi="Arial" w:cs="Arial"/>
                <w:sz w:val="18"/>
                <w:szCs w:val="18"/>
                <w:lang w:val="es-ES_tradnl"/>
              </w:rPr>
              <w:t>;</w:t>
            </w:r>
            <w:r w:rsidRPr="005E52B7">
              <w:rPr>
                <w:rFonts w:ascii="Arial" w:hAnsi="Arial" w:cs="Arial"/>
                <w:sz w:val="18"/>
                <w:szCs w:val="18"/>
                <w:lang w:val="es-ES_tradnl"/>
              </w:rPr>
              <w:t xml:space="preserve"> un Comité Técnico (CT) </w:t>
            </w:r>
            <w:r w:rsidR="005E52B7" w:rsidRPr="005E52B7">
              <w:rPr>
                <w:rFonts w:ascii="Arial" w:hAnsi="Arial" w:cs="Arial"/>
                <w:sz w:val="18"/>
                <w:szCs w:val="18"/>
                <w:lang w:val="es-ES_tradnl"/>
              </w:rPr>
              <w:t xml:space="preserve">responsable de la coordinación operativa interinstitucional del programa </w:t>
            </w:r>
            <w:r w:rsidRPr="005E52B7">
              <w:rPr>
                <w:rFonts w:ascii="Arial" w:hAnsi="Arial" w:cs="Arial"/>
                <w:sz w:val="18"/>
                <w:szCs w:val="18"/>
                <w:lang w:val="es-ES_tradnl"/>
              </w:rPr>
              <w:t>y un Comité Consultivo (CC)</w:t>
            </w:r>
            <w:r w:rsidR="005E52B7" w:rsidRPr="005E52B7">
              <w:rPr>
                <w:rFonts w:ascii="Arial" w:hAnsi="Arial" w:cs="Arial"/>
                <w:sz w:val="18"/>
                <w:szCs w:val="18"/>
                <w:lang w:val="es-ES_tradnl"/>
              </w:rPr>
              <w:t>, responsable de canalizar las inquietudes y demandas de la comunidad</w:t>
            </w:r>
            <w:r w:rsidRPr="005E52B7">
              <w:rPr>
                <w:rFonts w:ascii="Arial" w:hAnsi="Arial" w:cs="Arial"/>
                <w:sz w:val="18"/>
                <w:szCs w:val="18"/>
                <w:lang w:val="es-ES_tradnl"/>
              </w:rPr>
              <w:t xml:space="preserve">.  </w:t>
            </w:r>
          </w:p>
          <w:p w:rsidR="0039717A" w:rsidRPr="005E52B7" w:rsidRDefault="0099797A" w:rsidP="0039717A">
            <w:pPr>
              <w:rPr>
                <w:rFonts w:ascii="Arial" w:hAnsi="Arial" w:cs="Arial"/>
                <w:sz w:val="18"/>
                <w:szCs w:val="18"/>
                <w:lang w:val="es-ES_tradnl"/>
              </w:rPr>
            </w:pPr>
            <w:r w:rsidRPr="005E52B7">
              <w:rPr>
                <w:rFonts w:ascii="Arial" w:hAnsi="Arial" w:cs="Arial"/>
                <w:sz w:val="18"/>
                <w:szCs w:val="18"/>
                <w:lang w:val="es-ES_tradnl"/>
              </w:rPr>
              <w:t>Com</w:t>
            </w:r>
            <w:r w:rsidR="0039717A" w:rsidRPr="005E52B7">
              <w:rPr>
                <w:rFonts w:ascii="Arial" w:hAnsi="Arial" w:cs="Arial"/>
                <w:sz w:val="18"/>
                <w:szCs w:val="18"/>
                <w:lang w:val="es-ES_tradnl"/>
              </w:rPr>
              <w:t>o</w:t>
            </w:r>
            <w:r w:rsidRPr="005E52B7">
              <w:rPr>
                <w:rFonts w:ascii="Arial" w:hAnsi="Arial" w:cs="Arial"/>
                <w:sz w:val="18"/>
                <w:szCs w:val="18"/>
                <w:lang w:val="es-ES_tradnl"/>
              </w:rPr>
              <w:t xml:space="preserve"> </w:t>
            </w:r>
            <w:r w:rsidR="0039717A" w:rsidRPr="005E52B7">
              <w:rPr>
                <w:rFonts w:ascii="Arial" w:hAnsi="Arial" w:cs="Arial"/>
                <w:sz w:val="18"/>
                <w:szCs w:val="18"/>
                <w:lang w:val="es-ES_tradnl"/>
              </w:rPr>
              <w:t xml:space="preserve">se </w:t>
            </w:r>
            <w:r w:rsidRPr="005E52B7">
              <w:rPr>
                <w:rFonts w:ascii="Arial" w:hAnsi="Arial" w:cs="Arial"/>
                <w:sz w:val="18"/>
                <w:szCs w:val="18"/>
                <w:lang w:val="es-ES_tradnl"/>
              </w:rPr>
              <w:t>explica</w:t>
            </w:r>
            <w:r w:rsidR="0039717A" w:rsidRPr="005E52B7">
              <w:rPr>
                <w:rFonts w:ascii="Arial" w:hAnsi="Arial" w:cs="Arial"/>
                <w:sz w:val="18"/>
                <w:szCs w:val="18"/>
                <w:lang w:val="es-ES_tradnl"/>
              </w:rPr>
              <w:t xml:space="preserve"> en párrafo</w:t>
            </w:r>
            <w:r w:rsidRPr="005E52B7">
              <w:rPr>
                <w:rFonts w:ascii="Arial" w:hAnsi="Arial" w:cs="Arial"/>
                <w:sz w:val="18"/>
                <w:szCs w:val="18"/>
                <w:lang w:val="es-ES_tradnl"/>
              </w:rPr>
              <w:t>s</w:t>
            </w:r>
            <w:r w:rsidR="0039717A" w:rsidRPr="005E52B7">
              <w:rPr>
                <w:rFonts w:ascii="Arial" w:hAnsi="Arial" w:cs="Arial"/>
                <w:sz w:val="18"/>
                <w:szCs w:val="18"/>
                <w:lang w:val="es-ES_tradnl"/>
              </w:rPr>
              <w:t xml:space="preserve"> POD 3.2-3.4, estos comités, especialmente </w:t>
            </w:r>
            <w:r w:rsidRPr="005E52B7">
              <w:rPr>
                <w:rFonts w:ascii="Arial" w:hAnsi="Arial" w:cs="Arial"/>
                <w:sz w:val="18"/>
                <w:szCs w:val="18"/>
                <w:lang w:val="es-ES_tradnl"/>
              </w:rPr>
              <w:t xml:space="preserve">la CE y </w:t>
            </w:r>
            <w:r w:rsidR="0039717A" w:rsidRPr="005E52B7">
              <w:rPr>
                <w:rFonts w:ascii="Arial" w:hAnsi="Arial" w:cs="Arial"/>
                <w:sz w:val="18"/>
                <w:szCs w:val="18"/>
                <w:lang w:val="es-ES_tradnl"/>
              </w:rPr>
              <w:t>el CC, tienen la</w:t>
            </w:r>
            <w:r w:rsidRPr="005E52B7">
              <w:rPr>
                <w:rFonts w:ascii="Arial" w:hAnsi="Arial" w:cs="Arial"/>
                <w:sz w:val="18"/>
                <w:szCs w:val="18"/>
                <w:lang w:val="es-ES_tradnl"/>
              </w:rPr>
              <w:t>s</w:t>
            </w:r>
            <w:r w:rsidR="0039717A" w:rsidRPr="005E52B7">
              <w:rPr>
                <w:rFonts w:ascii="Arial" w:hAnsi="Arial" w:cs="Arial"/>
                <w:sz w:val="18"/>
                <w:szCs w:val="18"/>
                <w:lang w:val="es-ES_tradnl"/>
              </w:rPr>
              <w:t xml:space="preserve"> compe</w:t>
            </w:r>
            <w:r w:rsidRPr="005E52B7">
              <w:rPr>
                <w:rFonts w:ascii="Arial" w:hAnsi="Arial" w:cs="Arial"/>
                <w:sz w:val="18"/>
                <w:szCs w:val="18"/>
                <w:lang w:val="es-ES_tradnl"/>
              </w:rPr>
              <w:t xml:space="preserve">tencias para consultar y coordinar con el sector privado y la comunidad. </w:t>
            </w:r>
          </w:p>
          <w:p w:rsidR="0039717A" w:rsidRPr="005E52B7" w:rsidRDefault="0039717A" w:rsidP="0039717A">
            <w:pPr>
              <w:rPr>
                <w:rFonts w:ascii="Arial" w:hAnsi="Arial" w:cs="Arial"/>
                <w:sz w:val="18"/>
                <w:szCs w:val="18"/>
                <w:lang w:val="es-ES_tradnl"/>
              </w:rPr>
            </w:pPr>
          </w:p>
          <w:p w:rsidR="0099797A" w:rsidRPr="005E52B7" w:rsidRDefault="0099797A" w:rsidP="0099797A">
            <w:pPr>
              <w:rPr>
                <w:rFonts w:ascii="Arial" w:hAnsi="Arial" w:cs="Arial"/>
                <w:sz w:val="18"/>
                <w:szCs w:val="18"/>
                <w:lang w:val="es-ES_tradnl"/>
              </w:rPr>
            </w:pPr>
            <w:r w:rsidRPr="005E52B7">
              <w:rPr>
                <w:rFonts w:ascii="Arial" w:hAnsi="Arial" w:cs="Arial"/>
                <w:sz w:val="18"/>
                <w:szCs w:val="18"/>
                <w:lang w:val="es-ES_tradnl"/>
              </w:rPr>
              <w:t xml:space="preserve">Previo al esquema institucional, se desarrolló un taller conducido por Alfredo Garay, quien presentó las experiencias internacionales en </w:t>
            </w:r>
            <w:r w:rsidR="00725B62" w:rsidRPr="005E52B7">
              <w:rPr>
                <w:rFonts w:ascii="Arial" w:hAnsi="Arial" w:cs="Arial"/>
                <w:sz w:val="18"/>
                <w:szCs w:val="18"/>
                <w:lang w:val="es-ES_tradnl"/>
              </w:rPr>
              <w:t>relación</w:t>
            </w:r>
            <w:r w:rsidRPr="005E52B7">
              <w:rPr>
                <w:rFonts w:ascii="Arial" w:hAnsi="Arial" w:cs="Arial"/>
                <w:sz w:val="18"/>
                <w:szCs w:val="18"/>
                <w:lang w:val="es-ES_tradnl"/>
              </w:rPr>
              <w:t xml:space="preserve"> a los mecanismos de </w:t>
            </w:r>
            <w:r w:rsidR="00725B62" w:rsidRPr="005E52B7">
              <w:rPr>
                <w:rFonts w:ascii="Arial" w:hAnsi="Arial" w:cs="Arial"/>
                <w:sz w:val="18"/>
                <w:szCs w:val="18"/>
                <w:lang w:val="es-ES_tradnl"/>
              </w:rPr>
              <w:t>ejecución</w:t>
            </w:r>
            <w:r w:rsidRPr="005E52B7">
              <w:rPr>
                <w:rFonts w:ascii="Arial" w:hAnsi="Arial" w:cs="Arial"/>
                <w:sz w:val="18"/>
                <w:szCs w:val="18"/>
                <w:lang w:val="es-ES_tradnl"/>
              </w:rPr>
              <w:t xml:space="preserve"> de este tipo de proyectos. </w:t>
            </w:r>
          </w:p>
        </w:tc>
        <w:tc>
          <w:tcPr>
            <w:tcW w:w="3192" w:type="dxa"/>
          </w:tcPr>
          <w:p w:rsidR="0039717A" w:rsidRPr="005E52B7" w:rsidRDefault="0099797A" w:rsidP="0039717A">
            <w:pPr>
              <w:rPr>
                <w:rFonts w:ascii="Arial" w:hAnsi="Arial" w:cs="Arial"/>
                <w:sz w:val="18"/>
                <w:szCs w:val="18"/>
                <w:lang w:val="es-ES_tradnl"/>
              </w:rPr>
            </w:pPr>
            <w:r w:rsidRPr="005E52B7">
              <w:rPr>
                <w:rFonts w:ascii="Arial" w:hAnsi="Arial" w:cs="Arial"/>
                <w:sz w:val="18"/>
                <w:szCs w:val="18"/>
                <w:lang w:val="es-ES_tradnl"/>
              </w:rPr>
              <w:t>En el ma</w:t>
            </w:r>
            <w:r w:rsidR="005E52B7">
              <w:rPr>
                <w:rFonts w:ascii="Arial" w:hAnsi="Arial" w:cs="Arial"/>
                <w:sz w:val="18"/>
                <w:szCs w:val="18"/>
                <w:lang w:val="es-ES_tradnl"/>
              </w:rPr>
              <w:t>rco del programa se implementará</w:t>
            </w:r>
            <w:r w:rsidRPr="005E52B7">
              <w:rPr>
                <w:rFonts w:ascii="Arial" w:hAnsi="Arial" w:cs="Arial"/>
                <w:sz w:val="18"/>
                <w:szCs w:val="18"/>
                <w:lang w:val="es-ES_tradnl"/>
              </w:rPr>
              <w:t xml:space="preserve"> un </w:t>
            </w:r>
            <w:r w:rsidR="0039717A" w:rsidRPr="005E52B7">
              <w:rPr>
                <w:rFonts w:ascii="Arial" w:hAnsi="Arial" w:cs="Arial"/>
                <w:sz w:val="18"/>
                <w:szCs w:val="18"/>
                <w:lang w:val="es-ES_tradnl"/>
              </w:rPr>
              <w:t>Plan de acompañamiento social: (i) diseño y ejecución de un plan de participación y relaciones comunitarias, que incluye una oficina de atención social comunitaria para atender sugerencias y reclamos; (ii) acompañamiento social a las obras; (iii) implementación de planes de integración laboral de la comunidad a las obras; (iv) documentación de  acuerdos que se realicen con la comunidad; y (v) implementación de plan de formación y capacitación para mantenimiento y sostenibilidad de obras (EEO#24) (párrafo POD 1.18.d)</w:t>
            </w:r>
            <w:r w:rsidRPr="005E52B7">
              <w:rPr>
                <w:rFonts w:ascii="Arial" w:hAnsi="Arial" w:cs="Arial"/>
                <w:sz w:val="18"/>
                <w:szCs w:val="18"/>
                <w:lang w:val="es-ES_tradnl"/>
              </w:rPr>
              <w:t xml:space="preserve">. </w:t>
            </w:r>
          </w:p>
          <w:p w:rsidR="0039717A" w:rsidRPr="005E52B7" w:rsidRDefault="0039717A" w:rsidP="0039717A">
            <w:pPr>
              <w:rPr>
                <w:rFonts w:ascii="Arial" w:hAnsi="Arial" w:cs="Arial"/>
                <w:sz w:val="18"/>
                <w:szCs w:val="18"/>
                <w:lang w:val="es-ES_tradnl"/>
              </w:rPr>
            </w:pPr>
          </w:p>
          <w:p w:rsidR="0039717A" w:rsidRPr="005E52B7" w:rsidRDefault="0039717A" w:rsidP="00FD4993">
            <w:pPr>
              <w:rPr>
                <w:rFonts w:ascii="Arial" w:hAnsi="Arial" w:cs="Arial"/>
                <w:sz w:val="18"/>
                <w:szCs w:val="18"/>
                <w:lang w:val="es-ES_tradnl"/>
              </w:rPr>
            </w:pPr>
            <w:r w:rsidRPr="005E52B7">
              <w:rPr>
                <w:rFonts w:ascii="Arial" w:hAnsi="Arial" w:cs="Arial"/>
                <w:sz w:val="18"/>
                <w:szCs w:val="18"/>
                <w:lang w:val="es-ES_tradnl"/>
              </w:rPr>
              <w:t>Mecanismo de Gestión Sostenible. Asistencia para la implementación de un mecanismo de gobernanza de la CCSD; identificación de fuentes adicionales de recursos para financiar los costos de administración y mantenimiento de las inversiones; y generación de normas alianza público privadas (párrafo POD 1.18.a i)</w:t>
            </w:r>
          </w:p>
        </w:tc>
      </w:tr>
      <w:tr w:rsidR="0039717A" w:rsidRPr="000F009C" w:rsidTr="0039717A">
        <w:tc>
          <w:tcPr>
            <w:tcW w:w="3192" w:type="dxa"/>
          </w:tcPr>
          <w:p w:rsidR="0039717A" w:rsidRPr="00B04BB2" w:rsidRDefault="0039717A">
            <w:pPr>
              <w:rPr>
                <w:rFonts w:ascii="Arial" w:hAnsi="Arial" w:cs="Arial"/>
                <w:i/>
                <w:sz w:val="18"/>
                <w:szCs w:val="18"/>
                <w:lang w:val="es-ES_tradnl"/>
              </w:rPr>
            </w:pPr>
            <w:r w:rsidRPr="00B04BB2">
              <w:rPr>
                <w:rFonts w:ascii="Arial" w:hAnsi="Arial" w:cs="Arial"/>
                <w:i/>
                <w:sz w:val="18"/>
                <w:szCs w:val="18"/>
                <w:lang w:val="es-ES_tradnl"/>
              </w:rPr>
              <w:t>Recursos públicos se deben concentrar en intervenciones catalizadoras que incentiven y/o complementen la inversión privada</w:t>
            </w:r>
          </w:p>
        </w:tc>
        <w:tc>
          <w:tcPr>
            <w:tcW w:w="3192" w:type="dxa"/>
          </w:tcPr>
          <w:p w:rsidR="0039717A" w:rsidRPr="005E52B7" w:rsidRDefault="000F009C" w:rsidP="008B3A51">
            <w:pPr>
              <w:rPr>
                <w:rFonts w:ascii="Arial" w:hAnsi="Arial" w:cs="Arial"/>
                <w:sz w:val="18"/>
                <w:szCs w:val="18"/>
                <w:lang w:val="es-ES_tradnl"/>
              </w:rPr>
            </w:pPr>
            <w:r>
              <w:rPr>
                <w:rFonts w:ascii="Arial" w:hAnsi="Arial" w:cs="Arial"/>
                <w:sz w:val="18"/>
                <w:szCs w:val="18"/>
                <w:lang w:val="es-ES_tradnl"/>
              </w:rPr>
              <w:t>Por ejemplo</w:t>
            </w:r>
            <w:r w:rsidR="008B3A51">
              <w:rPr>
                <w:rFonts w:ascii="Arial" w:hAnsi="Arial" w:cs="Arial"/>
                <w:sz w:val="18"/>
                <w:szCs w:val="18"/>
                <w:lang w:val="es-ES_tradnl"/>
              </w:rPr>
              <w:t xml:space="preserve">, </w:t>
            </w:r>
            <w:r>
              <w:rPr>
                <w:rFonts w:ascii="Arial" w:hAnsi="Arial" w:cs="Arial"/>
                <w:sz w:val="18"/>
                <w:szCs w:val="18"/>
                <w:lang w:val="es-ES_tradnl"/>
              </w:rPr>
              <w:t xml:space="preserve">en la mejora de habitabilidad, el programa </w:t>
            </w:r>
            <w:r w:rsidR="008B3A51">
              <w:rPr>
                <w:rFonts w:ascii="Arial" w:hAnsi="Arial" w:cs="Arial"/>
                <w:sz w:val="18"/>
                <w:szCs w:val="18"/>
                <w:lang w:val="es-ES_tradnl"/>
              </w:rPr>
              <w:t>c</w:t>
            </w:r>
            <w:r>
              <w:rPr>
                <w:rFonts w:ascii="Arial" w:hAnsi="Arial" w:cs="Arial"/>
                <w:sz w:val="18"/>
                <w:szCs w:val="18"/>
                <w:lang w:val="es-ES_tradnl"/>
              </w:rPr>
              <w:t>oncentra</w:t>
            </w:r>
            <w:r w:rsidR="008B3A51">
              <w:rPr>
                <w:rFonts w:ascii="Arial" w:hAnsi="Arial" w:cs="Arial"/>
                <w:sz w:val="18"/>
                <w:szCs w:val="18"/>
                <w:lang w:val="es-ES_tradnl"/>
              </w:rPr>
              <w:t xml:space="preserve"> las inversiones en </w:t>
            </w:r>
            <w:r>
              <w:rPr>
                <w:rFonts w:ascii="Arial" w:hAnsi="Arial" w:cs="Arial"/>
                <w:sz w:val="18"/>
                <w:szCs w:val="18"/>
                <w:lang w:val="es-ES_tradnl"/>
              </w:rPr>
              <w:t>los barrios de bajos ingresos</w:t>
            </w:r>
            <w:r w:rsidR="008B3A51">
              <w:rPr>
                <w:rFonts w:ascii="Arial" w:hAnsi="Arial" w:cs="Arial"/>
                <w:sz w:val="18"/>
                <w:szCs w:val="18"/>
                <w:lang w:val="es-ES_tradnl"/>
              </w:rPr>
              <w:t xml:space="preserve">. </w:t>
            </w:r>
            <w:r>
              <w:rPr>
                <w:rFonts w:ascii="Arial" w:hAnsi="Arial" w:cs="Arial"/>
                <w:sz w:val="18"/>
                <w:szCs w:val="18"/>
                <w:lang w:val="es-ES_tradnl"/>
              </w:rPr>
              <w:t xml:space="preserve"> </w:t>
            </w:r>
            <w:r w:rsidR="008B3A51">
              <w:rPr>
                <w:rFonts w:ascii="Arial" w:hAnsi="Arial" w:cs="Arial"/>
                <w:sz w:val="18"/>
                <w:szCs w:val="18"/>
                <w:lang w:val="es-ES_tradnl"/>
              </w:rPr>
              <w:t>El programa prevé que esta inversión sea complementada por inversiones del sector privado en viviendas de clase media/alta. Ver comentario a la derecha.</w:t>
            </w:r>
          </w:p>
        </w:tc>
        <w:tc>
          <w:tcPr>
            <w:tcW w:w="3192" w:type="dxa"/>
          </w:tcPr>
          <w:p w:rsidR="0039717A" w:rsidRPr="005E52B7" w:rsidRDefault="0039717A">
            <w:pPr>
              <w:rPr>
                <w:rFonts w:ascii="Arial" w:hAnsi="Arial" w:cs="Arial"/>
                <w:sz w:val="18"/>
                <w:szCs w:val="18"/>
                <w:lang w:val="es-ES_tradnl"/>
              </w:rPr>
            </w:pPr>
            <w:r w:rsidRPr="005E52B7">
              <w:rPr>
                <w:rFonts w:ascii="Arial" w:hAnsi="Arial" w:cs="Arial"/>
                <w:sz w:val="18"/>
                <w:szCs w:val="18"/>
                <w:lang w:val="es-ES_tradnl"/>
              </w:rPr>
              <w:t>Diseño e implementación de una estrategia para promover proyectos de asociación público-privada en el marco de este proyecto tales como: sistema de estacionamientos, vivienda, centros de eventos, animación urbana, etc. (párrafo POD 1.17.b)</w:t>
            </w:r>
          </w:p>
        </w:tc>
      </w:tr>
      <w:tr w:rsidR="0039717A" w:rsidRPr="000F009C" w:rsidTr="0039717A">
        <w:tc>
          <w:tcPr>
            <w:tcW w:w="3192" w:type="dxa"/>
          </w:tcPr>
          <w:p w:rsidR="0039717A" w:rsidRPr="00B04BB2" w:rsidRDefault="0039717A">
            <w:pPr>
              <w:rPr>
                <w:rFonts w:ascii="Arial" w:hAnsi="Arial" w:cs="Arial"/>
                <w:i/>
                <w:sz w:val="18"/>
                <w:szCs w:val="18"/>
                <w:lang w:val="es-ES_tradnl"/>
              </w:rPr>
            </w:pPr>
            <w:r w:rsidRPr="00B04BB2">
              <w:rPr>
                <w:rFonts w:ascii="Arial" w:hAnsi="Arial" w:cs="Arial"/>
                <w:i/>
                <w:sz w:val="18"/>
                <w:szCs w:val="18"/>
                <w:lang w:val="es-ES_tradnl"/>
              </w:rPr>
              <w:t>Promoción de usos residenciales y la participación de la comunidad para darle sostenibilidad a estas intervenciones</w:t>
            </w:r>
          </w:p>
        </w:tc>
        <w:tc>
          <w:tcPr>
            <w:tcW w:w="3192" w:type="dxa"/>
          </w:tcPr>
          <w:p w:rsidR="0039717A" w:rsidRPr="005E52B7" w:rsidRDefault="006E5C00">
            <w:pPr>
              <w:rPr>
                <w:rFonts w:ascii="Arial" w:hAnsi="Arial" w:cs="Arial"/>
                <w:sz w:val="18"/>
                <w:szCs w:val="18"/>
                <w:lang w:val="es-ES_tradnl"/>
              </w:rPr>
            </w:pPr>
            <w:r>
              <w:rPr>
                <w:rFonts w:ascii="Arial" w:hAnsi="Arial" w:cs="Arial"/>
                <w:sz w:val="18"/>
                <w:szCs w:val="18"/>
                <w:lang w:val="es-ES_tradnl"/>
              </w:rPr>
              <w:t>No aplica</w:t>
            </w:r>
          </w:p>
        </w:tc>
        <w:tc>
          <w:tcPr>
            <w:tcW w:w="3192" w:type="dxa"/>
          </w:tcPr>
          <w:p w:rsidR="0039717A" w:rsidRDefault="0039717A">
            <w:pPr>
              <w:rPr>
                <w:rFonts w:ascii="Arial" w:hAnsi="Arial" w:cs="Arial"/>
                <w:sz w:val="18"/>
                <w:szCs w:val="18"/>
                <w:lang w:val="es-ES_tradnl"/>
              </w:rPr>
            </w:pPr>
            <w:r w:rsidRPr="005E52B7">
              <w:rPr>
                <w:rFonts w:ascii="Arial" w:hAnsi="Arial" w:cs="Arial"/>
                <w:bCs/>
                <w:sz w:val="18"/>
                <w:szCs w:val="18"/>
                <w:lang w:val="es-ES"/>
              </w:rPr>
              <w:t xml:space="preserve">Elaboración de </w:t>
            </w:r>
            <w:r w:rsidRPr="005E52B7">
              <w:rPr>
                <w:rFonts w:ascii="Arial" w:hAnsi="Arial" w:cs="Arial"/>
                <w:sz w:val="18"/>
                <w:szCs w:val="18"/>
                <w:lang w:val="es-ES_tradnl"/>
              </w:rPr>
              <w:t>propuesta de modelos de negocio rentables para vivienda asequible (párrafo POD 1.16.b).</w:t>
            </w:r>
          </w:p>
          <w:p w:rsidR="00FD4993" w:rsidRDefault="00FD4993">
            <w:pPr>
              <w:rPr>
                <w:rFonts w:ascii="Arial" w:hAnsi="Arial" w:cs="Arial"/>
                <w:sz w:val="18"/>
                <w:szCs w:val="18"/>
                <w:lang w:val="es-ES_tradnl"/>
              </w:rPr>
            </w:pPr>
          </w:p>
          <w:p w:rsidR="0039717A" w:rsidRDefault="00FD4993">
            <w:pPr>
              <w:rPr>
                <w:rFonts w:ascii="Arial" w:hAnsi="Arial" w:cs="Arial"/>
                <w:sz w:val="18"/>
                <w:szCs w:val="18"/>
                <w:lang w:val="es-ES_tradnl"/>
              </w:rPr>
            </w:pPr>
            <w:r>
              <w:rPr>
                <w:rFonts w:ascii="Arial" w:hAnsi="Arial" w:cs="Arial"/>
                <w:sz w:val="18"/>
                <w:szCs w:val="18"/>
                <w:lang w:val="es-ES_tradnl"/>
              </w:rPr>
              <w:t>D</w:t>
            </w:r>
            <w:r w:rsidRPr="00FD4993">
              <w:rPr>
                <w:rFonts w:ascii="Arial" w:hAnsi="Arial" w:cs="Arial"/>
                <w:sz w:val="18"/>
                <w:szCs w:val="18"/>
                <w:lang w:val="es-ES_tradnl"/>
              </w:rPr>
              <w:t>esarrollo  de propuesta de actualización del marco normativo del ADN</w:t>
            </w:r>
            <w:r>
              <w:rPr>
                <w:rFonts w:ascii="Arial" w:hAnsi="Arial" w:cs="Arial"/>
                <w:sz w:val="18"/>
                <w:szCs w:val="18"/>
                <w:lang w:val="es-ES_tradnl"/>
              </w:rPr>
              <w:t xml:space="preserve">, incluyendo la normativa urbana para el ordenamiento y la promoción del uso residencial y comercial de la CCSD </w:t>
            </w:r>
            <w:r w:rsidRPr="005E52B7">
              <w:rPr>
                <w:rFonts w:ascii="Arial" w:hAnsi="Arial" w:cs="Arial"/>
                <w:sz w:val="18"/>
                <w:szCs w:val="18"/>
                <w:lang w:val="es-ES_tradnl"/>
              </w:rPr>
              <w:t>(párrafo POD 1.18.</w:t>
            </w:r>
            <w:r>
              <w:rPr>
                <w:rFonts w:ascii="Arial" w:hAnsi="Arial" w:cs="Arial"/>
                <w:sz w:val="18"/>
                <w:szCs w:val="18"/>
                <w:lang w:val="es-ES_tradnl"/>
              </w:rPr>
              <w:t>c</w:t>
            </w:r>
            <w:r w:rsidRPr="005E52B7">
              <w:rPr>
                <w:rFonts w:ascii="Arial" w:hAnsi="Arial" w:cs="Arial"/>
                <w:sz w:val="18"/>
                <w:szCs w:val="18"/>
                <w:lang w:val="es-ES_tradnl"/>
              </w:rPr>
              <w:t>.i</w:t>
            </w:r>
            <w:r>
              <w:rPr>
                <w:rFonts w:ascii="Arial" w:hAnsi="Arial" w:cs="Arial"/>
                <w:sz w:val="18"/>
                <w:szCs w:val="18"/>
                <w:lang w:val="es-ES_tradnl"/>
              </w:rPr>
              <w:t>i</w:t>
            </w:r>
            <w:r w:rsidRPr="005E52B7">
              <w:rPr>
                <w:rFonts w:ascii="Arial" w:hAnsi="Arial" w:cs="Arial"/>
                <w:sz w:val="18"/>
                <w:szCs w:val="18"/>
                <w:lang w:val="es-ES_tradnl"/>
              </w:rPr>
              <w:t>)</w:t>
            </w:r>
            <w:r>
              <w:rPr>
                <w:rFonts w:ascii="Arial" w:hAnsi="Arial" w:cs="Arial"/>
                <w:sz w:val="18"/>
                <w:szCs w:val="18"/>
                <w:lang w:val="es-ES_tradnl"/>
              </w:rPr>
              <w:t>.</w:t>
            </w:r>
          </w:p>
          <w:p w:rsidR="00FD4993" w:rsidRPr="005E52B7" w:rsidRDefault="00FD4993">
            <w:pPr>
              <w:rPr>
                <w:rFonts w:ascii="Arial" w:hAnsi="Arial" w:cs="Arial"/>
                <w:sz w:val="18"/>
                <w:szCs w:val="18"/>
                <w:lang w:val="es-ES_tradnl"/>
              </w:rPr>
            </w:pPr>
          </w:p>
          <w:p w:rsidR="0039717A" w:rsidRPr="005E52B7" w:rsidRDefault="0039717A">
            <w:pPr>
              <w:rPr>
                <w:rFonts w:ascii="Arial" w:hAnsi="Arial" w:cs="Arial"/>
                <w:sz w:val="18"/>
                <w:szCs w:val="18"/>
                <w:lang w:val="es-ES_tradnl"/>
              </w:rPr>
            </w:pPr>
            <w:r w:rsidRPr="005E52B7">
              <w:rPr>
                <w:rFonts w:ascii="Arial" w:hAnsi="Arial" w:cs="Arial"/>
                <w:sz w:val="18"/>
                <w:szCs w:val="18"/>
                <w:lang w:val="es-ES_tradnl"/>
              </w:rPr>
              <w:t xml:space="preserve">Asistencia para la identificación de fuentes adicionales de recursos para </w:t>
            </w:r>
            <w:r w:rsidRPr="005E52B7">
              <w:rPr>
                <w:rFonts w:ascii="Arial" w:hAnsi="Arial" w:cs="Arial"/>
                <w:sz w:val="18"/>
                <w:szCs w:val="18"/>
                <w:lang w:val="es-ES_tradnl"/>
              </w:rPr>
              <w:lastRenderedPageBreak/>
              <w:t>financiar los costos de administración y mantenimiento de las inversiones</w:t>
            </w:r>
            <w:r w:rsidRPr="005E52B7">
              <w:rPr>
                <w:rStyle w:val="FootnoteReference"/>
                <w:rFonts w:ascii="Arial" w:hAnsi="Arial" w:cs="Arial"/>
                <w:sz w:val="18"/>
                <w:szCs w:val="18"/>
                <w:lang w:val="es-ES_tradnl"/>
              </w:rPr>
              <w:footnoteReference w:id="1"/>
            </w:r>
            <w:r w:rsidRPr="005E52B7">
              <w:rPr>
                <w:rFonts w:ascii="Arial" w:hAnsi="Arial" w:cs="Arial"/>
                <w:sz w:val="18"/>
                <w:szCs w:val="18"/>
                <w:lang w:val="es-ES_tradnl"/>
              </w:rPr>
              <w:t xml:space="preserve"> (párrafo POD 1.18.a.i).</w:t>
            </w:r>
          </w:p>
        </w:tc>
      </w:tr>
      <w:tr w:rsidR="0039717A" w:rsidRPr="000F009C" w:rsidTr="0039717A">
        <w:tc>
          <w:tcPr>
            <w:tcW w:w="3192" w:type="dxa"/>
          </w:tcPr>
          <w:p w:rsidR="0039717A" w:rsidRPr="00B04BB2" w:rsidRDefault="0039717A">
            <w:pPr>
              <w:rPr>
                <w:rFonts w:ascii="Arial" w:hAnsi="Arial" w:cs="Arial"/>
                <w:i/>
                <w:sz w:val="18"/>
                <w:szCs w:val="18"/>
                <w:lang w:val="es-ES_tradnl"/>
              </w:rPr>
            </w:pPr>
            <w:r w:rsidRPr="00B04BB2">
              <w:rPr>
                <w:rFonts w:ascii="Arial" w:hAnsi="Arial" w:cs="Arial"/>
                <w:i/>
                <w:sz w:val="18"/>
                <w:szCs w:val="18"/>
                <w:lang w:val="es-ES_tradnl"/>
              </w:rPr>
              <w:lastRenderedPageBreak/>
              <w:t>Planificación, coordinación y el escalonamiento de la implementación son necesarios para una eficiente ejecución del programa y para mitigar los posibles impactos sociales y ambientales negativos</w:t>
            </w:r>
          </w:p>
        </w:tc>
        <w:tc>
          <w:tcPr>
            <w:tcW w:w="3192" w:type="dxa"/>
          </w:tcPr>
          <w:p w:rsidR="0039717A" w:rsidRPr="005E52B7" w:rsidRDefault="006E5C00">
            <w:pPr>
              <w:rPr>
                <w:rFonts w:ascii="Arial" w:hAnsi="Arial" w:cs="Arial"/>
                <w:sz w:val="18"/>
                <w:szCs w:val="18"/>
                <w:lang w:val="es-ES_tradnl"/>
              </w:rPr>
            </w:pPr>
            <w:r>
              <w:rPr>
                <w:rFonts w:ascii="Arial" w:hAnsi="Arial" w:cs="Arial"/>
                <w:sz w:val="18"/>
                <w:szCs w:val="18"/>
                <w:lang w:val="es-ES_tradnl"/>
              </w:rPr>
              <w:t xml:space="preserve">Se incluyeron en el IGAS medidas para mitigar los </w:t>
            </w:r>
            <w:r w:rsidRPr="00B04BB2">
              <w:rPr>
                <w:rFonts w:ascii="Arial" w:hAnsi="Arial" w:cs="Arial"/>
                <w:i/>
                <w:sz w:val="18"/>
                <w:szCs w:val="18"/>
                <w:lang w:val="es-ES_tradnl"/>
              </w:rPr>
              <w:t>posibles impactos sociales y ambientales negativos</w:t>
            </w:r>
          </w:p>
        </w:tc>
        <w:tc>
          <w:tcPr>
            <w:tcW w:w="3192" w:type="dxa"/>
          </w:tcPr>
          <w:p w:rsidR="0039717A" w:rsidRPr="005E52B7" w:rsidRDefault="00904028" w:rsidP="00904028">
            <w:pPr>
              <w:rPr>
                <w:rFonts w:ascii="Arial" w:hAnsi="Arial" w:cs="Arial"/>
                <w:sz w:val="18"/>
                <w:szCs w:val="18"/>
                <w:lang w:val="es-ES_tradnl"/>
              </w:rPr>
            </w:pPr>
            <w:r>
              <w:rPr>
                <w:rFonts w:ascii="Arial" w:hAnsi="Arial" w:cs="Arial"/>
                <w:sz w:val="18"/>
                <w:szCs w:val="18"/>
                <w:lang w:val="es-ES_tradnl"/>
              </w:rPr>
              <w:t xml:space="preserve">Se prevé </w:t>
            </w:r>
            <w:r w:rsidR="006E5C00">
              <w:rPr>
                <w:rFonts w:ascii="Arial" w:hAnsi="Arial" w:cs="Arial"/>
                <w:sz w:val="18"/>
                <w:szCs w:val="18"/>
                <w:lang w:val="es-ES_tradnl"/>
              </w:rPr>
              <w:t xml:space="preserve">el diseño de </w:t>
            </w:r>
            <w:r>
              <w:rPr>
                <w:rFonts w:ascii="Arial" w:hAnsi="Arial" w:cs="Arial"/>
                <w:sz w:val="18"/>
                <w:szCs w:val="18"/>
                <w:lang w:val="es-ES_tradnl"/>
              </w:rPr>
              <w:t>una</w:t>
            </w:r>
            <w:r w:rsidR="005E52B7">
              <w:rPr>
                <w:rFonts w:ascii="Arial" w:hAnsi="Arial" w:cs="Arial"/>
                <w:sz w:val="18"/>
                <w:szCs w:val="18"/>
                <w:lang w:val="es-ES_tradnl"/>
              </w:rPr>
              <w:t xml:space="preserve"> </w:t>
            </w:r>
            <w:r w:rsidR="005E52B7" w:rsidRPr="005E52B7">
              <w:rPr>
                <w:rFonts w:ascii="Arial" w:hAnsi="Arial" w:cs="Arial"/>
                <w:sz w:val="18"/>
                <w:szCs w:val="18"/>
                <w:lang w:val="es-ES_tradnl"/>
              </w:rPr>
              <w:t>estrategia de ejecución de las obras para minimizar los posibles efectos negativos ambientales y sociales causados por los trabajos de construcción; y un plan de acompañamiento social del programa que incluye una oficina de atención comunitaria que genere las condiciones adecuadas de cooperación con los residentes y comerciantes</w:t>
            </w:r>
            <w:r>
              <w:rPr>
                <w:rFonts w:ascii="Arial" w:hAnsi="Arial" w:cs="Arial"/>
                <w:sz w:val="18"/>
                <w:szCs w:val="18"/>
                <w:lang w:val="es-ES_tradnl"/>
              </w:rPr>
              <w:t xml:space="preserve"> (</w:t>
            </w:r>
            <w:r w:rsidRPr="005E52B7">
              <w:rPr>
                <w:rFonts w:ascii="Arial" w:hAnsi="Arial" w:cs="Arial"/>
                <w:sz w:val="18"/>
                <w:szCs w:val="18"/>
                <w:lang w:val="es-ES_tradnl"/>
              </w:rPr>
              <w:t xml:space="preserve">párrafo POD </w:t>
            </w:r>
            <w:r>
              <w:rPr>
                <w:rFonts w:ascii="Arial" w:hAnsi="Arial" w:cs="Arial"/>
                <w:sz w:val="18"/>
                <w:szCs w:val="18"/>
                <w:lang w:val="es-ES_tradnl"/>
              </w:rPr>
              <w:t>2</w:t>
            </w:r>
            <w:r w:rsidRPr="005E52B7">
              <w:rPr>
                <w:rFonts w:ascii="Arial" w:hAnsi="Arial" w:cs="Arial"/>
                <w:sz w:val="18"/>
                <w:szCs w:val="18"/>
                <w:lang w:val="es-ES_tradnl"/>
              </w:rPr>
              <w:t>.</w:t>
            </w:r>
            <w:r>
              <w:rPr>
                <w:rFonts w:ascii="Arial" w:hAnsi="Arial" w:cs="Arial"/>
                <w:sz w:val="18"/>
                <w:szCs w:val="18"/>
                <w:lang w:val="es-ES_tradnl"/>
              </w:rPr>
              <w:t>10</w:t>
            </w:r>
            <w:r w:rsidRPr="005E52B7">
              <w:rPr>
                <w:rFonts w:ascii="Arial" w:hAnsi="Arial" w:cs="Arial"/>
                <w:sz w:val="18"/>
                <w:szCs w:val="18"/>
                <w:lang w:val="es-ES_tradnl"/>
              </w:rPr>
              <w:t>)</w:t>
            </w:r>
            <w:r w:rsidR="005E52B7" w:rsidRPr="005E52B7">
              <w:rPr>
                <w:rFonts w:ascii="Arial" w:hAnsi="Arial" w:cs="Arial"/>
                <w:sz w:val="18"/>
                <w:szCs w:val="18"/>
                <w:lang w:val="es-ES_tradnl"/>
              </w:rPr>
              <w:t>.</w:t>
            </w:r>
          </w:p>
        </w:tc>
      </w:tr>
    </w:tbl>
    <w:p w:rsidR="00EF5172" w:rsidRPr="0039717A" w:rsidRDefault="00EF5172">
      <w:pPr>
        <w:rPr>
          <w:lang w:val="es-ES_tradnl"/>
        </w:rPr>
      </w:pPr>
    </w:p>
    <w:sectPr w:rsidR="00EF5172" w:rsidRPr="00397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D9" w:rsidRDefault="00D105D9" w:rsidP="0039717A">
      <w:pPr>
        <w:spacing w:after="0" w:line="240" w:lineRule="auto"/>
      </w:pPr>
      <w:r>
        <w:separator/>
      </w:r>
    </w:p>
  </w:endnote>
  <w:endnote w:type="continuationSeparator" w:id="0">
    <w:p w:rsidR="00D105D9" w:rsidRDefault="00D105D9" w:rsidP="0039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D9" w:rsidRDefault="00D105D9" w:rsidP="0039717A">
      <w:pPr>
        <w:spacing w:after="0" w:line="240" w:lineRule="auto"/>
      </w:pPr>
      <w:r>
        <w:separator/>
      </w:r>
    </w:p>
  </w:footnote>
  <w:footnote w:type="continuationSeparator" w:id="0">
    <w:p w:rsidR="00D105D9" w:rsidRDefault="00D105D9" w:rsidP="0039717A">
      <w:pPr>
        <w:spacing w:after="0" w:line="240" w:lineRule="auto"/>
      </w:pPr>
      <w:r>
        <w:continuationSeparator/>
      </w:r>
    </w:p>
  </w:footnote>
  <w:footnote w:id="1">
    <w:p w:rsidR="0039717A" w:rsidRPr="000769A2" w:rsidRDefault="0039717A" w:rsidP="0039717A">
      <w:pPr>
        <w:pStyle w:val="FootnoteText"/>
        <w:ind w:left="180" w:hanging="180"/>
        <w:rPr>
          <w:rFonts w:ascii="Arial" w:hAnsi="Arial" w:cs="Arial"/>
          <w:sz w:val="18"/>
          <w:szCs w:val="18"/>
          <w:lang w:val="es-ES_tradnl"/>
        </w:rPr>
      </w:pPr>
      <w:r w:rsidRPr="000769A2">
        <w:rPr>
          <w:rStyle w:val="FootnoteReference"/>
          <w:rFonts w:ascii="Arial" w:hAnsi="Arial" w:cs="Arial"/>
          <w:sz w:val="18"/>
          <w:szCs w:val="18"/>
        </w:rPr>
        <w:footnoteRef/>
      </w:r>
      <w:r w:rsidRPr="000769A2">
        <w:rPr>
          <w:rFonts w:ascii="Arial" w:hAnsi="Arial" w:cs="Arial"/>
          <w:sz w:val="18"/>
          <w:szCs w:val="18"/>
          <w:lang w:val="es-ES_tradnl"/>
        </w:rPr>
        <w:t xml:space="preserve"> </w:t>
      </w:r>
      <w:r>
        <w:rPr>
          <w:rFonts w:ascii="Arial" w:hAnsi="Arial" w:cs="Arial"/>
          <w:sz w:val="18"/>
          <w:szCs w:val="18"/>
          <w:lang w:val="es-ES_tradnl"/>
        </w:rPr>
        <w:tab/>
      </w:r>
      <w:r w:rsidRPr="000769A2">
        <w:rPr>
          <w:rFonts w:ascii="Arial" w:hAnsi="Arial" w:cs="Arial"/>
          <w:sz w:val="18"/>
          <w:szCs w:val="18"/>
          <w:lang w:val="es-ES_tradnl"/>
        </w:rPr>
        <w:t>Contribuciones por mejoras (Ley 176-07)</w:t>
      </w:r>
      <w:r>
        <w:rPr>
          <w:rFonts w:ascii="Arial" w:hAnsi="Arial" w:cs="Arial"/>
          <w:sz w:val="18"/>
          <w:szCs w:val="18"/>
          <w:lang w:val="es-ES_tradn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7A"/>
    <w:rsid w:val="00070D14"/>
    <w:rsid w:val="000F009C"/>
    <w:rsid w:val="00121132"/>
    <w:rsid w:val="00127C9F"/>
    <w:rsid w:val="00260716"/>
    <w:rsid w:val="002D238D"/>
    <w:rsid w:val="0039717A"/>
    <w:rsid w:val="005B4B8C"/>
    <w:rsid w:val="005E52B7"/>
    <w:rsid w:val="006E5C00"/>
    <w:rsid w:val="00725B62"/>
    <w:rsid w:val="0084685D"/>
    <w:rsid w:val="008B3A51"/>
    <w:rsid w:val="00904028"/>
    <w:rsid w:val="0099797A"/>
    <w:rsid w:val="00A61D72"/>
    <w:rsid w:val="00AE6F34"/>
    <w:rsid w:val="00B04BB2"/>
    <w:rsid w:val="00B1176E"/>
    <w:rsid w:val="00D105D9"/>
    <w:rsid w:val="00DC7930"/>
    <w:rsid w:val="00EC601F"/>
    <w:rsid w:val="00EF5172"/>
    <w:rsid w:val="00FD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F,f,ft,FOOTNOTES"/>
    <w:basedOn w:val="Normal"/>
    <w:link w:val="FootnoteTextChar"/>
    <w:qFormat/>
    <w:rsid w:val="003971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rsid w:val="0039717A"/>
    <w:rPr>
      <w:rFonts w:ascii="Times New Roman" w:eastAsia="Times New Roman" w:hAnsi="Times New Roman" w:cs="Times New Roman"/>
      <w:sz w:val="20"/>
      <w:szCs w:val="20"/>
    </w:rPr>
  </w:style>
  <w:style w:type="character" w:styleId="FootnoteReference">
    <w:name w:val="footnote reference"/>
    <w:aliases w:val="referencia nota al pie,Fußnotenzeichen DISS,16 Point,Superscript 6 Point,ftref,FC,Style 24,titulo 2,pie pddes,Ref,de nota al pie,Ref. de nota al pie.,Ref. de nota al pie EDEP,Footnote Reference Number,Footnote Reference_LVL6,fr"/>
    <w:basedOn w:val="DefaultParagraphFont"/>
    <w:uiPriority w:val="99"/>
    <w:qFormat/>
    <w:rsid w:val="003971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F,f,ft,FOOTNOTES"/>
    <w:basedOn w:val="Normal"/>
    <w:link w:val="FootnoteTextChar"/>
    <w:qFormat/>
    <w:rsid w:val="003971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rsid w:val="0039717A"/>
    <w:rPr>
      <w:rFonts w:ascii="Times New Roman" w:eastAsia="Times New Roman" w:hAnsi="Times New Roman" w:cs="Times New Roman"/>
      <w:sz w:val="20"/>
      <w:szCs w:val="20"/>
    </w:rPr>
  </w:style>
  <w:style w:type="character" w:styleId="FootnoteReference">
    <w:name w:val="footnote reference"/>
    <w:aliases w:val="referencia nota al pie,Fußnotenzeichen DISS,16 Point,Superscript 6 Point,ftref,FC,Style 24,titulo 2,pie pddes,Ref,de nota al pie,Ref. de nota al pie.,Ref. de nota al pie EDEP,Footnote Reference Number,Footnote Reference_LVL6,fr"/>
    <w:basedOn w:val="DefaultParagraphFont"/>
    <w:uiPriority w:val="99"/>
    <w:qFormat/>
    <w:rsid w:val="00397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D72C66AA3545B4DBEB5F774A0D1EF01" ma:contentTypeVersion="0" ma:contentTypeDescription="A content type to manage public (operations) IDB documents" ma:contentTypeScope="" ma:versionID="8a3c4594b49f38bc1891b0271b45234a">
  <xsd:schema xmlns:xsd="http://www.w3.org/2001/XMLSchema" xmlns:xs="http://www.w3.org/2001/XMLSchema" xmlns:p="http://schemas.microsoft.com/office/2006/metadata/properties" xmlns:ns2="9c571b2f-e523-4ab2-ba2e-09e151a03ef4" targetNamespace="http://schemas.microsoft.com/office/2006/metadata/properties" ma:root="true" ma:fieldsID="6ea6d61a7ad7d64d7d317954e079829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950fe0f-781d-4eb3-a432-36b824324f74}" ma:internalName="TaxCatchAll" ma:showField="CatchAllData"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50fe0f-781d-4eb3-a432-36b824324f74}" ma:internalName="TaxCatchAllLabel" ma:readOnly="true" ma:showField="CatchAllDataLabel"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40494734</IDBDocs_x0020_Number>
    <TaxCatchAll xmlns="9c571b2f-e523-4ab2-ba2e-09e151a03ef4">
      <Value>11</Value>
      <Value>12</Value>
    </TaxCatchAll>
    <Phase xmlns="9c571b2f-e523-4ab2-ba2e-09e151a03ef4" xsi:nil="true"/>
    <SISCOR_x0020_Number xmlns="9c571b2f-e523-4ab2-ba2e-09e151a03ef4" xsi:nil="true"/>
    <Division_x0020_or_x0020_Unit xmlns="9c571b2f-e523-4ab2-ba2e-09e151a03ef4">CSD/HUD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Perez Rincon, Belinda</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DR-L1084</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DU-DUR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1B0D1AD9-54C1-415E-82A2-F9F16060670D}"/>
</file>

<file path=customXml/itemProps2.xml><?xml version="1.0" encoding="utf-8"?>
<ds:datastoreItem xmlns:ds="http://schemas.openxmlformats.org/officeDocument/2006/customXml" ds:itemID="{ABD68F0E-2DBC-4ADD-AFA7-2650DF934DFB}"/>
</file>

<file path=customXml/itemProps3.xml><?xml version="1.0" encoding="utf-8"?>
<ds:datastoreItem xmlns:ds="http://schemas.openxmlformats.org/officeDocument/2006/customXml" ds:itemID="{569F515B-CBD5-44FD-B0D4-DD078BF76641}"/>
</file>

<file path=customXml/itemProps4.xml><?xml version="1.0" encoding="utf-8"?>
<ds:datastoreItem xmlns:ds="http://schemas.openxmlformats.org/officeDocument/2006/customXml" ds:itemID="{E83499FD-A674-4144-8AE1-F876011DC099}"/>
</file>

<file path=customXml/itemProps5.xml><?xml version="1.0" encoding="utf-8"?>
<ds:datastoreItem xmlns:ds="http://schemas.openxmlformats.org/officeDocument/2006/customXml" ds:itemID="{DD42AE85-2390-4CA6-9DD5-CD594FA32F17}"/>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4200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Lecciones aprendidas para el diseño del DR-L1084_ </dc:title>
  <dc:creator>IADB</dc:creator>
  <cp:lastModifiedBy>IADB</cp:lastModifiedBy>
  <cp:revision>2</cp:revision>
  <dcterms:created xsi:type="dcterms:W3CDTF">2016-08-23T13:11:00Z</dcterms:created>
  <dcterms:modified xsi:type="dcterms:W3CDTF">2016-08-23T13:11:00Z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0x01010046CF21643EE8D14686A648AA6DAD089200AD72C66AA3545B4DBEB5F774A0D1EF01</vt:lpwstr>
  </property>
  <property fmtid="{D5CDD505-2E9C-101B-9397-08002B2CF9AE}" pid="3" name="TaxKeyword">
    <vt:lpwstr/>
  </property>
  <property fmtid="{D5CDD505-2E9C-101B-9397-08002B2CF9AE}" pid="4" name="Function Operations IDB">
    <vt:lpwstr>12;#IDBDocs|cca77002-e150-4b2d-ab1f-1d7a7cdcae16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11;#Unclassified|a6dff32e-d477-44cd-a56b-85efe9e0a56c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11;#Unclassified|a6dff32e-d477-44cd-a56b-85efe9e0a56c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