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A171" w14:textId="77777777" w:rsidR="00C419B8" w:rsidRPr="001C59A0" w:rsidRDefault="00C419B8" w:rsidP="00C419B8">
      <w:pPr>
        <w:pStyle w:val="Title"/>
        <w:keepNext/>
        <w:rPr>
          <w:rFonts w:ascii="Arial" w:hAnsi="Arial" w:cs="Arial"/>
          <w:smallCaps/>
          <w:sz w:val="20"/>
        </w:rPr>
      </w:pPr>
      <w:r w:rsidRPr="001C59A0">
        <w:rPr>
          <w:rFonts w:ascii="Arial" w:hAnsi="Arial" w:cs="Arial"/>
          <w:smallCaps/>
          <w:sz w:val="20"/>
        </w:rPr>
        <w:t>Documento del Banco Interamericano de Desarrollo</w:t>
      </w:r>
    </w:p>
    <w:p w14:paraId="27AB1424" w14:textId="77777777" w:rsidR="00C419B8" w:rsidRPr="001C59A0" w:rsidRDefault="00C419B8" w:rsidP="00C419B8">
      <w:pPr>
        <w:keepNext/>
        <w:jc w:val="center"/>
        <w:outlineLvl w:val="0"/>
        <w:rPr>
          <w:rFonts w:ascii="Arial" w:hAnsi="Arial" w:cs="Arial"/>
          <w:lang w:val="es-ES"/>
        </w:rPr>
      </w:pPr>
    </w:p>
    <w:p w14:paraId="6930635F" w14:textId="77777777" w:rsidR="00C419B8" w:rsidRPr="001C59A0" w:rsidRDefault="00C419B8" w:rsidP="00C419B8">
      <w:pPr>
        <w:keepNext/>
        <w:jc w:val="center"/>
        <w:rPr>
          <w:rFonts w:ascii="Arial" w:hAnsi="Arial" w:cs="Arial"/>
          <w:lang w:val="es-ES"/>
        </w:rPr>
      </w:pPr>
    </w:p>
    <w:p w14:paraId="0061197E" w14:textId="77777777" w:rsidR="00C419B8" w:rsidRPr="001C59A0" w:rsidRDefault="00C419B8" w:rsidP="00C419B8">
      <w:pPr>
        <w:keepNext/>
        <w:jc w:val="center"/>
        <w:rPr>
          <w:rFonts w:ascii="Arial" w:hAnsi="Arial" w:cs="Arial"/>
          <w:lang w:val="es-ES"/>
        </w:rPr>
      </w:pPr>
    </w:p>
    <w:p w14:paraId="281BB26B" w14:textId="77777777" w:rsidR="00C419B8" w:rsidRPr="001C59A0" w:rsidRDefault="00C419B8" w:rsidP="00C419B8">
      <w:pPr>
        <w:keepNext/>
        <w:jc w:val="center"/>
        <w:rPr>
          <w:rFonts w:ascii="Arial" w:hAnsi="Arial" w:cs="Arial"/>
          <w:lang w:val="es-ES"/>
        </w:rPr>
      </w:pPr>
    </w:p>
    <w:p w14:paraId="49987CD4" w14:textId="77777777" w:rsidR="00C419B8" w:rsidRPr="001C59A0" w:rsidRDefault="00C419B8" w:rsidP="00C419B8">
      <w:pPr>
        <w:keepNext/>
        <w:jc w:val="center"/>
        <w:rPr>
          <w:rFonts w:ascii="Arial" w:hAnsi="Arial" w:cs="Arial"/>
          <w:lang w:val="es-ES"/>
        </w:rPr>
      </w:pPr>
    </w:p>
    <w:p w14:paraId="79F99D97" w14:textId="77777777" w:rsidR="00C419B8" w:rsidRPr="001C59A0" w:rsidRDefault="00C419B8" w:rsidP="00C419B8">
      <w:pPr>
        <w:keepNext/>
        <w:jc w:val="center"/>
        <w:rPr>
          <w:rFonts w:ascii="Arial" w:hAnsi="Arial" w:cs="Arial"/>
          <w:lang w:val="es-ES"/>
        </w:rPr>
      </w:pPr>
    </w:p>
    <w:p w14:paraId="781F9C1E" w14:textId="77777777" w:rsidR="00C419B8" w:rsidRPr="001C59A0" w:rsidRDefault="00C419B8" w:rsidP="00C419B8">
      <w:pPr>
        <w:keepNext/>
        <w:jc w:val="center"/>
        <w:rPr>
          <w:rFonts w:ascii="Arial" w:hAnsi="Arial" w:cs="Arial"/>
          <w:lang w:val="es-ES"/>
        </w:rPr>
      </w:pPr>
    </w:p>
    <w:p w14:paraId="6FB52B3F" w14:textId="4502DAC4" w:rsidR="00DE7057" w:rsidRPr="00DE7057" w:rsidRDefault="005B0156" w:rsidP="00DE7057">
      <w:pPr>
        <w:tabs>
          <w:tab w:val="left" w:pos="1440"/>
          <w:tab w:val="left" w:pos="3060"/>
        </w:tabs>
        <w:jc w:val="center"/>
        <w:rPr>
          <w:rFonts w:ascii="Arial" w:hAnsi="Arial" w:cs="Arial"/>
          <w:b/>
          <w:smallCaps/>
          <w:sz w:val="28"/>
          <w:szCs w:val="28"/>
          <w:lang w:val="es-ES_tradnl"/>
        </w:rPr>
      </w:pPr>
      <w:r>
        <w:rPr>
          <w:rFonts w:ascii="Arial" w:hAnsi="Arial" w:cs="Arial"/>
          <w:b/>
          <w:smallCaps/>
          <w:sz w:val="28"/>
          <w:szCs w:val="28"/>
          <w:lang w:val="es-ES_tradnl"/>
        </w:rPr>
        <w:t>Bolivia</w:t>
      </w:r>
    </w:p>
    <w:p w14:paraId="144915F0" w14:textId="77777777" w:rsidR="00DE7057" w:rsidRPr="00DE7057" w:rsidRDefault="00DE7057" w:rsidP="00DE7057">
      <w:pPr>
        <w:tabs>
          <w:tab w:val="left" w:pos="1440"/>
          <w:tab w:val="left" w:pos="3060"/>
        </w:tabs>
        <w:jc w:val="center"/>
        <w:rPr>
          <w:rFonts w:ascii="Arial" w:hAnsi="Arial" w:cs="Arial"/>
          <w:smallCaps/>
          <w:sz w:val="22"/>
          <w:szCs w:val="22"/>
          <w:lang w:val="es-ES_tradnl"/>
        </w:rPr>
      </w:pPr>
    </w:p>
    <w:p w14:paraId="52DB4A04" w14:textId="77777777" w:rsidR="00DE7057" w:rsidRPr="00DE7057" w:rsidRDefault="00DE7057" w:rsidP="00DE7057">
      <w:pPr>
        <w:tabs>
          <w:tab w:val="left" w:pos="1440"/>
          <w:tab w:val="left" w:pos="3060"/>
        </w:tabs>
        <w:jc w:val="center"/>
        <w:rPr>
          <w:rFonts w:ascii="Arial" w:hAnsi="Arial" w:cs="Arial"/>
          <w:smallCaps/>
          <w:sz w:val="22"/>
          <w:szCs w:val="22"/>
          <w:lang w:val="es-ES_tradnl"/>
        </w:rPr>
      </w:pPr>
    </w:p>
    <w:p w14:paraId="41B34D46" w14:textId="77777777" w:rsidR="00DE7057" w:rsidRPr="00DE7057" w:rsidRDefault="00DE7057" w:rsidP="00DE7057">
      <w:pPr>
        <w:tabs>
          <w:tab w:val="left" w:pos="1440"/>
          <w:tab w:val="left" w:pos="3060"/>
        </w:tabs>
        <w:jc w:val="center"/>
        <w:rPr>
          <w:rFonts w:ascii="Arial" w:hAnsi="Arial" w:cs="Arial"/>
          <w:smallCaps/>
          <w:sz w:val="22"/>
          <w:szCs w:val="22"/>
          <w:lang w:val="es-ES_tradnl"/>
        </w:rPr>
      </w:pPr>
    </w:p>
    <w:p w14:paraId="16A85DC2" w14:textId="77777777" w:rsidR="00DE7057" w:rsidRPr="00DE7057" w:rsidRDefault="00DE7057" w:rsidP="00DE7057">
      <w:pPr>
        <w:tabs>
          <w:tab w:val="left" w:pos="1440"/>
          <w:tab w:val="left" w:pos="3060"/>
        </w:tabs>
        <w:jc w:val="center"/>
        <w:rPr>
          <w:rFonts w:ascii="Arial" w:hAnsi="Arial" w:cs="Arial"/>
          <w:smallCaps/>
          <w:sz w:val="22"/>
          <w:szCs w:val="22"/>
          <w:lang w:val="es-ES_tradnl"/>
        </w:rPr>
      </w:pPr>
    </w:p>
    <w:p w14:paraId="5421A175" w14:textId="77777777" w:rsidR="00DE7057" w:rsidRPr="00DE7057" w:rsidRDefault="00DE7057" w:rsidP="00DE7057">
      <w:pPr>
        <w:tabs>
          <w:tab w:val="left" w:pos="1440"/>
          <w:tab w:val="left" w:pos="3060"/>
        </w:tabs>
        <w:jc w:val="center"/>
        <w:rPr>
          <w:rFonts w:ascii="Arial" w:hAnsi="Arial" w:cs="Arial"/>
          <w:smallCaps/>
          <w:sz w:val="22"/>
          <w:szCs w:val="22"/>
          <w:lang w:val="es-ES_tradnl"/>
        </w:rPr>
      </w:pPr>
    </w:p>
    <w:p w14:paraId="293BF85F" w14:textId="77777777" w:rsidR="00DE7057" w:rsidRPr="00DE7057" w:rsidRDefault="00DE7057" w:rsidP="00DE7057">
      <w:pPr>
        <w:tabs>
          <w:tab w:val="left" w:pos="1440"/>
          <w:tab w:val="left" w:pos="3060"/>
        </w:tabs>
        <w:jc w:val="center"/>
        <w:rPr>
          <w:rFonts w:ascii="Arial" w:hAnsi="Arial" w:cs="Arial"/>
          <w:smallCaps/>
          <w:sz w:val="22"/>
          <w:szCs w:val="22"/>
          <w:lang w:val="es-ES_tradnl"/>
        </w:rPr>
      </w:pPr>
    </w:p>
    <w:p w14:paraId="01FC69C0" w14:textId="77777777" w:rsidR="005B0156" w:rsidRPr="005B0156" w:rsidRDefault="005B0156" w:rsidP="005B0156">
      <w:pPr>
        <w:tabs>
          <w:tab w:val="left" w:pos="1440"/>
          <w:tab w:val="left" w:pos="3060"/>
        </w:tabs>
        <w:jc w:val="center"/>
        <w:rPr>
          <w:rFonts w:ascii="Arial" w:hAnsi="Arial" w:cs="Arial"/>
          <w:b/>
          <w:smallCaps/>
          <w:spacing w:val="-3"/>
          <w:sz w:val="28"/>
          <w:szCs w:val="28"/>
          <w:lang w:val="es-ES_tradnl"/>
        </w:rPr>
      </w:pPr>
      <w:bookmarkStart w:id="0" w:name="_Hlk516825944"/>
      <w:r w:rsidRPr="005B0156">
        <w:rPr>
          <w:rFonts w:ascii="Arial" w:hAnsi="Arial" w:cs="Arial"/>
          <w:b/>
          <w:smallCaps/>
          <w:spacing w:val="-3"/>
          <w:sz w:val="28"/>
          <w:szCs w:val="28"/>
          <w:lang w:val="es-ES_tradnl"/>
        </w:rPr>
        <w:t>PROGRAMA DE FORTALECIMIENTO DEL SECTOR ELÉCTRICO</w:t>
      </w:r>
    </w:p>
    <w:bookmarkEnd w:id="0"/>
    <w:p w14:paraId="4B718D37" w14:textId="77777777" w:rsidR="005B0156" w:rsidRPr="005B0156" w:rsidRDefault="005B0156" w:rsidP="005B0156">
      <w:pPr>
        <w:tabs>
          <w:tab w:val="left" w:pos="1440"/>
          <w:tab w:val="left" w:pos="3060"/>
        </w:tabs>
        <w:jc w:val="center"/>
        <w:rPr>
          <w:rFonts w:ascii="Arial" w:hAnsi="Arial" w:cs="Arial"/>
          <w:b/>
          <w:smallCaps/>
          <w:spacing w:val="-3"/>
          <w:sz w:val="28"/>
          <w:szCs w:val="28"/>
          <w:lang w:val="es-ES_tradnl"/>
        </w:rPr>
      </w:pPr>
    </w:p>
    <w:p w14:paraId="5DEDEAA8" w14:textId="5E43661A" w:rsidR="00C419B8" w:rsidRPr="001C59A0" w:rsidRDefault="005B0156" w:rsidP="005B0156">
      <w:pPr>
        <w:tabs>
          <w:tab w:val="left" w:pos="1440"/>
          <w:tab w:val="left" w:pos="3060"/>
        </w:tabs>
        <w:jc w:val="center"/>
        <w:rPr>
          <w:rFonts w:ascii="Arial" w:hAnsi="Arial" w:cs="Arial"/>
          <w:smallCaps/>
          <w:szCs w:val="22"/>
          <w:lang w:val="es-ES"/>
        </w:rPr>
      </w:pPr>
      <w:r w:rsidRPr="005B0156">
        <w:rPr>
          <w:rFonts w:ascii="Arial" w:hAnsi="Arial" w:cs="Arial"/>
          <w:b/>
          <w:smallCaps/>
          <w:spacing w:val="-3"/>
          <w:sz w:val="28"/>
          <w:szCs w:val="28"/>
          <w:lang w:val="es-ES_tradnl"/>
        </w:rPr>
        <w:t>(BO-L1189)</w:t>
      </w:r>
    </w:p>
    <w:p w14:paraId="0B500E45" w14:textId="77777777" w:rsidR="00C419B8" w:rsidRDefault="00C419B8" w:rsidP="00C419B8">
      <w:pPr>
        <w:tabs>
          <w:tab w:val="left" w:pos="1440"/>
          <w:tab w:val="left" w:pos="3060"/>
        </w:tabs>
        <w:jc w:val="center"/>
        <w:rPr>
          <w:rFonts w:ascii="Arial" w:hAnsi="Arial" w:cs="Arial"/>
          <w:smallCaps/>
          <w:szCs w:val="22"/>
          <w:lang w:val="es-ES"/>
        </w:rPr>
      </w:pPr>
    </w:p>
    <w:p w14:paraId="19401B60" w14:textId="77777777" w:rsidR="001C59A0" w:rsidRDefault="001C59A0" w:rsidP="00C419B8">
      <w:pPr>
        <w:tabs>
          <w:tab w:val="left" w:pos="1440"/>
          <w:tab w:val="left" w:pos="3060"/>
        </w:tabs>
        <w:jc w:val="center"/>
        <w:rPr>
          <w:rFonts w:ascii="Arial" w:hAnsi="Arial" w:cs="Arial"/>
          <w:smallCaps/>
          <w:szCs w:val="22"/>
          <w:lang w:val="es-ES"/>
        </w:rPr>
      </w:pPr>
    </w:p>
    <w:p w14:paraId="4B66EF17" w14:textId="77777777" w:rsidR="001C59A0" w:rsidRDefault="001C59A0" w:rsidP="00C419B8">
      <w:pPr>
        <w:tabs>
          <w:tab w:val="left" w:pos="1440"/>
          <w:tab w:val="left" w:pos="3060"/>
        </w:tabs>
        <w:jc w:val="center"/>
        <w:rPr>
          <w:rFonts w:ascii="Arial" w:hAnsi="Arial" w:cs="Arial"/>
          <w:smallCaps/>
          <w:szCs w:val="22"/>
          <w:lang w:val="es-ES"/>
        </w:rPr>
      </w:pPr>
    </w:p>
    <w:p w14:paraId="46EF2E8E" w14:textId="77777777" w:rsidR="001C59A0" w:rsidRDefault="001C59A0" w:rsidP="00C419B8">
      <w:pPr>
        <w:tabs>
          <w:tab w:val="left" w:pos="1440"/>
          <w:tab w:val="left" w:pos="3060"/>
        </w:tabs>
        <w:jc w:val="center"/>
        <w:rPr>
          <w:rFonts w:ascii="Arial" w:hAnsi="Arial" w:cs="Arial"/>
          <w:smallCaps/>
          <w:szCs w:val="22"/>
          <w:lang w:val="es-ES"/>
        </w:rPr>
      </w:pPr>
    </w:p>
    <w:p w14:paraId="60D9D853" w14:textId="77777777" w:rsidR="001C59A0" w:rsidRDefault="001C59A0" w:rsidP="00C419B8">
      <w:pPr>
        <w:tabs>
          <w:tab w:val="left" w:pos="1440"/>
          <w:tab w:val="left" w:pos="3060"/>
        </w:tabs>
        <w:jc w:val="center"/>
        <w:rPr>
          <w:rFonts w:ascii="Arial" w:hAnsi="Arial" w:cs="Arial"/>
          <w:smallCaps/>
          <w:szCs w:val="22"/>
          <w:lang w:val="es-ES"/>
        </w:rPr>
      </w:pPr>
    </w:p>
    <w:p w14:paraId="204CC0B8" w14:textId="77777777" w:rsidR="001C59A0" w:rsidRDefault="001C59A0" w:rsidP="00C419B8">
      <w:pPr>
        <w:tabs>
          <w:tab w:val="left" w:pos="1440"/>
          <w:tab w:val="left" w:pos="3060"/>
        </w:tabs>
        <w:jc w:val="center"/>
        <w:rPr>
          <w:rFonts w:ascii="Arial" w:hAnsi="Arial" w:cs="Arial"/>
          <w:smallCaps/>
          <w:szCs w:val="22"/>
          <w:lang w:val="es-ES"/>
        </w:rPr>
      </w:pPr>
    </w:p>
    <w:p w14:paraId="3B8A2125" w14:textId="77777777" w:rsidR="001C59A0" w:rsidRDefault="001C59A0" w:rsidP="00C419B8">
      <w:pPr>
        <w:tabs>
          <w:tab w:val="left" w:pos="1440"/>
          <w:tab w:val="left" w:pos="3060"/>
        </w:tabs>
        <w:jc w:val="center"/>
        <w:rPr>
          <w:rFonts w:ascii="Arial" w:hAnsi="Arial" w:cs="Arial"/>
          <w:smallCaps/>
          <w:szCs w:val="22"/>
          <w:lang w:val="es-ES"/>
        </w:rPr>
      </w:pPr>
    </w:p>
    <w:p w14:paraId="3D265B2A" w14:textId="77777777" w:rsidR="001C59A0" w:rsidRPr="001C59A0" w:rsidRDefault="001C59A0" w:rsidP="00C419B8">
      <w:pPr>
        <w:tabs>
          <w:tab w:val="left" w:pos="1440"/>
          <w:tab w:val="left" w:pos="3060"/>
        </w:tabs>
        <w:jc w:val="center"/>
        <w:rPr>
          <w:rFonts w:ascii="Arial" w:hAnsi="Arial" w:cs="Arial"/>
          <w:smallCaps/>
          <w:szCs w:val="22"/>
          <w:lang w:val="es-ES"/>
        </w:rPr>
      </w:pPr>
    </w:p>
    <w:p w14:paraId="0384221E" w14:textId="77777777" w:rsidR="00C419B8" w:rsidRPr="001C59A0" w:rsidRDefault="00C419B8" w:rsidP="00C419B8">
      <w:pPr>
        <w:tabs>
          <w:tab w:val="left" w:pos="1440"/>
          <w:tab w:val="left" w:pos="3060"/>
        </w:tabs>
        <w:jc w:val="center"/>
        <w:rPr>
          <w:rFonts w:ascii="Arial" w:hAnsi="Arial" w:cs="Arial"/>
          <w:smallCaps/>
          <w:szCs w:val="22"/>
          <w:lang w:val="es-ES"/>
        </w:rPr>
      </w:pPr>
    </w:p>
    <w:p w14:paraId="7F1D93CA" w14:textId="77777777" w:rsidR="00C419B8" w:rsidRPr="001C59A0" w:rsidRDefault="00C419B8" w:rsidP="00C419B8">
      <w:pPr>
        <w:tabs>
          <w:tab w:val="left" w:pos="1440"/>
          <w:tab w:val="left" w:pos="3060"/>
        </w:tabs>
        <w:jc w:val="center"/>
        <w:rPr>
          <w:rFonts w:ascii="Arial" w:hAnsi="Arial" w:cs="Arial"/>
          <w:smallCaps/>
          <w:szCs w:val="22"/>
          <w:lang w:val="es-ES"/>
        </w:rPr>
      </w:pPr>
    </w:p>
    <w:p w14:paraId="2CBBA3BF" w14:textId="77777777" w:rsidR="00C419B8" w:rsidRPr="001C59A0" w:rsidRDefault="00C419B8" w:rsidP="00C419B8">
      <w:pPr>
        <w:tabs>
          <w:tab w:val="left" w:pos="1440"/>
          <w:tab w:val="left" w:pos="3060"/>
        </w:tabs>
        <w:jc w:val="center"/>
        <w:outlineLvl w:val="0"/>
        <w:rPr>
          <w:rFonts w:ascii="Arial" w:hAnsi="Arial" w:cs="Arial"/>
          <w:b/>
          <w:sz w:val="28"/>
          <w:lang w:val="es-ES"/>
        </w:rPr>
      </w:pPr>
      <w:r w:rsidRPr="001C59A0">
        <w:rPr>
          <w:rFonts w:ascii="Arial" w:hAnsi="Arial" w:cs="Arial"/>
          <w:b/>
          <w:smallCaps/>
          <w:sz w:val="28"/>
          <w:lang w:val="es-ES"/>
        </w:rPr>
        <w:t>Plan de Seguimiento y Evaluación</w:t>
      </w:r>
    </w:p>
    <w:p w14:paraId="35859780" w14:textId="77777777" w:rsidR="00C419B8" w:rsidRPr="001C59A0" w:rsidRDefault="00C419B8" w:rsidP="00C419B8">
      <w:pPr>
        <w:pStyle w:val="ListParagraph"/>
        <w:tabs>
          <w:tab w:val="left" w:pos="1440"/>
          <w:tab w:val="left" w:pos="3060"/>
        </w:tabs>
        <w:ind w:left="1080"/>
        <w:jc w:val="center"/>
        <w:rPr>
          <w:rFonts w:ascii="Arial" w:hAnsi="Arial" w:cs="Arial"/>
          <w:szCs w:val="22"/>
          <w:lang w:val="es-ES"/>
        </w:rPr>
      </w:pPr>
    </w:p>
    <w:p w14:paraId="6111DD6B"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05683C7F"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0AE599D3"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254AE448"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45247393"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46394F9E" w14:textId="49EDA08F" w:rsidR="00C419B8" w:rsidRDefault="00C419B8" w:rsidP="00C419B8">
      <w:pPr>
        <w:pStyle w:val="ListParagraph"/>
        <w:tabs>
          <w:tab w:val="left" w:pos="1440"/>
          <w:tab w:val="left" w:pos="3060"/>
        </w:tabs>
        <w:ind w:left="1080"/>
        <w:rPr>
          <w:rFonts w:ascii="Arial" w:hAnsi="Arial" w:cs="Arial"/>
          <w:sz w:val="22"/>
          <w:szCs w:val="22"/>
          <w:lang w:val="es-ES"/>
        </w:rPr>
      </w:pPr>
    </w:p>
    <w:p w14:paraId="3C357C8B" w14:textId="77777777" w:rsidR="00E24E40" w:rsidRPr="001C59A0" w:rsidRDefault="00E24E40" w:rsidP="00C419B8">
      <w:pPr>
        <w:pStyle w:val="ListParagraph"/>
        <w:tabs>
          <w:tab w:val="left" w:pos="1440"/>
          <w:tab w:val="left" w:pos="3060"/>
        </w:tabs>
        <w:ind w:left="1080"/>
        <w:rPr>
          <w:rFonts w:ascii="Arial" w:hAnsi="Arial" w:cs="Arial"/>
          <w:sz w:val="22"/>
          <w:szCs w:val="22"/>
          <w:lang w:val="es-ES"/>
        </w:rPr>
      </w:pPr>
    </w:p>
    <w:p w14:paraId="1FB03C1D" w14:textId="5AB0CC3C" w:rsidR="00C419B8" w:rsidRDefault="00C419B8" w:rsidP="00C419B8">
      <w:pPr>
        <w:pStyle w:val="ListParagraph"/>
        <w:tabs>
          <w:tab w:val="left" w:pos="1440"/>
          <w:tab w:val="left" w:pos="3060"/>
        </w:tabs>
        <w:ind w:left="1080"/>
        <w:rPr>
          <w:rFonts w:ascii="Arial" w:hAnsi="Arial" w:cs="Arial"/>
          <w:sz w:val="22"/>
          <w:szCs w:val="22"/>
          <w:lang w:val="es-ES"/>
        </w:rPr>
      </w:pPr>
    </w:p>
    <w:p w14:paraId="4B97FD00" w14:textId="20D1D5B9" w:rsidR="005B0156" w:rsidRDefault="005B0156" w:rsidP="00C419B8">
      <w:pPr>
        <w:pStyle w:val="ListParagraph"/>
        <w:tabs>
          <w:tab w:val="left" w:pos="1440"/>
          <w:tab w:val="left" w:pos="3060"/>
        </w:tabs>
        <w:ind w:left="1080"/>
        <w:rPr>
          <w:rFonts w:ascii="Arial" w:hAnsi="Arial" w:cs="Arial"/>
          <w:sz w:val="22"/>
          <w:szCs w:val="22"/>
          <w:lang w:val="es-ES"/>
        </w:rPr>
      </w:pPr>
    </w:p>
    <w:p w14:paraId="2D00E330" w14:textId="77777777" w:rsidR="005B0156" w:rsidRPr="001C59A0" w:rsidRDefault="005B0156" w:rsidP="00C419B8">
      <w:pPr>
        <w:pStyle w:val="ListParagraph"/>
        <w:tabs>
          <w:tab w:val="left" w:pos="1440"/>
          <w:tab w:val="left" w:pos="3060"/>
        </w:tabs>
        <w:ind w:left="1080"/>
        <w:rPr>
          <w:rFonts w:ascii="Arial" w:hAnsi="Arial" w:cs="Arial"/>
          <w:sz w:val="22"/>
          <w:szCs w:val="22"/>
          <w:lang w:val="es-ES"/>
        </w:rPr>
      </w:pPr>
    </w:p>
    <w:p w14:paraId="46FEE499"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3B94A709" w14:textId="45ACE236" w:rsidR="00C419B8" w:rsidRDefault="00C419B8" w:rsidP="00C419B8">
      <w:pPr>
        <w:pStyle w:val="ListParagraph"/>
        <w:tabs>
          <w:tab w:val="left" w:pos="1440"/>
          <w:tab w:val="left" w:pos="3060"/>
        </w:tabs>
        <w:ind w:left="1080"/>
        <w:rPr>
          <w:rFonts w:ascii="Arial" w:hAnsi="Arial" w:cs="Arial"/>
          <w:sz w:val="22"/>
          <w:szCs w:val="22"/>
          <w:lang w:val="es-ES"/>
        </w:rPr>
      </w:pPr>
    </w:p>
    <w:p w14:paraId="146F1679" w14:textId="04BDE62B" w:rsidR="005B0156" w:rsidRDefault="005B0156" w:rsidP="00C419B8">
      <w:pPr>
        <w:pStyle w:val="ListParagraph"/>
        <w:tabs>
          <w:tab w:val="left" w:pos="1440"/>
          <w:tab w:val="left" w:pos="3060"/>
        </w:tabs>
        <w:ind w:left="1080"/>
        <w:rPr>
          <w:rFonts w:ascii="Arial" w:hAnsi="Arial" w:cs="Arial"/>
          <w:sz w:val="22"/>
          <w:szCs w:val="22"/>
          <w:lang w:val="es-ES"/>
        </w:rPr>
      </w:pPr>
    </w:p>
    <w:p w14:paraId="0433BAAB" w14:textId="4F8CEAB1" w:rsidR="005B0156" w:rsidRDefault="005B0156" w:rsidP="00C419B8">
      <w:pPr>
        <w:pStyle w:val="ListParagraph"/>
        <w:tabs>
          <w:tab w:val="left" w:pos="1440"/>
          <w:tab w:val="left" w:pos="3060"/>
        </w:tabs>
        <w:ind w:left="1080"/>
        <w:rPr>
          <w:rFonts w:ascii="Arial" w:hAnsi="Arial" w:cs="Arial"/>
          <w:sz w:val="22"/>
          <w:szCs w:val="22"/>
          <w:lang w:val="es-ES"/>
        </w:rPr>
      </w:pPr>
    </w:p>
    <w:p w14:paraId="6C146775" w14:textId="65D1E791" w:rsidR="005B0156" w:rsidRDefault="005B0156" w:rsidP="00C419B8">
      <w:pPr>
        <w:pStyle w:val="ListParagraph"/>
        <w:tabs>
          <w:tab w:val="left" w:pos="1440"/>
          <w:tab w:val="left" w:pos="3060"/>
        </w:tabs>
        <w:ind w:left="1080"/>
        <w:rPr>
          <w:rFonts w:ascii="Arial" w:hAnsi="Arial" w:cs="Arial"/>
          <w:sz w:val="22"/>
          <w:szCs w:val="22"/>
          <w:lang w:val="es-ES"/>
        </w:rPr>
      </w:pPr>
    </w:p>
    <w:p w14:paraId="40AD8D74" w14:textId="5D186492" w:rsidR="005B0156" w:rsidRDefault="005B0156" w:rsidP="00C419B8">
      <w:pPr>
        <w:pStyle w:val="ListParagraph"/>
        <w:tabs>
          <w:tab w:val="left" w:pos="1440"/>
          <w:tab w:val="left" w:pos="3060"/>
        </w:tabs>
        <w:ind w:left="1080"/>
        <w:rPr>
          <w:rFonts w:ascii="Arial" w:hAnsi="Arial" w:cs="Arial"/>
          <w:sz w:val="22"/>
          <w:szCs w:val="22"/>
          <w:lang w:val="es-ES"/>
        </w:rPr>
      </w:pPr>
    </w:p>
    <w:p w14:paraId="0BD70F2E" w14:textId="546E1EE4" w:rsidR="005B0156" w:rsidRDefault="005B0156" w:rsidP="00C419B8">
      <w:pPr>
        <w:pStyle w:val="ListParagraph"/>
        <w:tabs>
          <w:tab w:val="left" w:pos="1440"/>
          <w:tab w:val="left" w:pos="3060"/>
        </w:tabs>
        <w:ind w:left="1080"/>
        <w:rPr>
          <w:rFonts w:ascii="Arial" w:hAnsi="Arial" w:cs="Arial"/>
          <w:sz w:val="22"/>
          <w:szCs w:val="22"/>
          <w:lang w:val="es-ES"/>
        </w:rPr>
      </w:pPr>
    </w:p>
    <w:p w14:paraId="1FA40019" w14:textId="77777777" w:rsidR="005B0156" w:rsidRPr="001C59A0" w:rsidRDefault="005B0156" w:rsidP="00C419B8">
      <w:pPr>
        <w:pStyle w:val="ListParagraph"/>
        <w:tabs>
          <w:tab w:val="left" w:pos="1440"/>
          <w:tab w:val="left" w:pos="3060"/>
        </w:tabs>
        <w:ind w:left="1080"/>
        <w:rPr>
          <w:rFonts w:ascii="Arial" w:hAnsi="Arial" w:cs="Arial"/>
          <w:sz w:val="22"/>
          <w:szCs w:val="22"/>
          <w:lang w:val="es-ES"/>
        </w:rPr>
      </w:pPr>
    </w:p>
    <w:p w14:paraId="50D8DBDC" w14:textId="77777777" w:rsidR="00C419B8" w:rsidRPr="001C59A0" w:rsidRDefault="00C419B8" w:rsidP="00C419B8">
      <w:pPr>
        <w:pStyle w:val="ListParagraph"/>
        <w:tabs>
          <w:tab w:val="left" w:pos="1440"/>
          <w:tab w:val="left" w:pos="3060"/>
        </w:tabs>
        <w:ind w:left="1080"/>
        <w:rPr>
          <w:rFonts w:ascii="Arial" w:hAnsi="Arial" w:cs="Arial"/>
          <w:sz w:val="22"/>
          <w:szCs w:val="22"/>
          <w:lang w:val="es-ES"/>
        </w:rPr>
      </w:pPr>
    </w:p>
    <w:p w14:paraId="42B93423" w14:textId="77777777" w:rsidR="00C419B8" w:rsidRPr="001C59A0" w:rsidRDefault="00C419B8" w:rsidP="00C419B8">
      <w:pPr>
        <w:pStyle w:val="ListParagraph"/>
        <w:numPr>
          <w:ilvl w:val="0"/>
          <w:numId w:val="4"/>
        </w:numPr>
        <w:spacing w:before="120" w:after="120"/>
        <w:ind w:left="540" w:hanging="540"/>
        <w:contextualSpacing w:val="0"/>
        <w:rPr>
          <w:rFonts w:ascii="Arial" w:hAnsi="Arial" w:cs="Arial"/>
          <w:b/>
          <w:smallCaps/>
          <w:lang w:val="es-ES"/>
        </w:rPr>
      </w:pPr>
      <w:r w:rsidRPr="001C59A0">
        <w:rPr>
          <w:rFonts w:ascii="Arial" w:hAnsi="Arial" w:cs="Arial"/>
          <w:b/>
          <w:smallCaps/>
          <w:lang w:val="es-ES"/>
        </w:rPr>
        <w:lastRenderedPageBreak/>
        <w:t>Introducción</w:t>
      </w:r>
    </w:p>
    <w:p w14:paraId="21E90302" w14:textId="4307958B" w:rsidR="005B0156" w:rsidRPr="005B0156" w:rsidRDefault="00C419B8" w:rsidP="005B0156">
      <w:pPr>
        <w:pStyle w:val="ListParagraph"/>
        <w:numPr>
          <w:ilvl w:val="1"/>
          <w:numId w:val="4"/>
        </w:numPr>
        <w:spacing w:before="120" w:after="120"/>
        <w:ind w:left="540" w:hanging="540"/>
        <w:contextualSpacing w:val="0"/>
        <w:jc w:val="both"/>
        <w:rPr>
          <w:rFonts w:ascii="Arial" w:hAnsi="Arial" w:cs="Arial"/>
          <w:lang w:val="es-ES"/>
        </w:rPr>
      </w:pPr>
      <w:r w:rsidRPr="001C59A0">
        <w:rPr>
          <w:rFonts w:ascii="Arial" w:hAnsi="Arial" w:cs="Arial"/>
          <w:lang w:val="es-ES"/>
        </w:rPr>
        <w:t>El presente documento describe las tareas de monitoreo y evaluación necesarias respecto a las actividades, compromisos de política y resultados del</w:t>
      </w:r>
      <w:r w:rsidR="005B0156">
        <w:rPr>
          <w:rFonts w:ascii="Arial" w:hAnsi="Arial" w:cs="Arial"/>
          <w:lang w:val="es-ES"/>
        </w:rPr>
        <w:t xml:space="preserve"> </w:t>
      </w:r>
      <w:r w:rsidR="005B0156" w:rsidRPr="005B0156">
        <w:rPr>
          <w:rFonts w:ascii="Arial" w:hAnsi="Arial" w:cs="Arial"/>
          <w:lang w:val="es-ES"/>
        </w:rPr>
        <w:t xml:space="preserve">Programa </w:t>
      </w:r>
      <w:r w:rsidR="005B0156">
        <w:rPr>
          <w:rFonts w:ascii="Arial" w:hAnsi="Arial" w:cs="Arial"/>
          <w:lang w:val="es-ES"/>
        </w:rPr>
        <w:t>de Fortalecimiento d</w:t>
      </w:r>
      <w:r w:rsidR="005B0156" w:rsidRPr="005B0156">
        <w:rPr>
          <w:rFonts w:ascii="Arial" w:hAnsi="Arial" w:cs="Arial"/>
          <w:lang w:val="es-ES"/>
        </w:rPr>
        <w:t>el Sector Eléctrico</w:t>
      </w:r>
      <w:r w:rsidR="005B0156">
        <w:rPr>
          <w:rFonts w:ascii="Arial" w:hAnsi="Arial" w:cs="Arial"/>
          <w:lang w:val="es-ES"/>
        </w:rPr>
        <w:t xml:space="preserve"> (BO-L1189).</w:t>
      </w:r>
    </w:p>
    <w:p w14:paraId="1EDA5E61" w14:textId="6C222E8D" w:rsidR="008D7BB5" w:rsidRPr="008D7BB5" w:rsidRDefault="00317F64" w:rsidP="002F1691">
      <w:pPr>
        <w:pStyle w:val="ListParagraph"/>
        <w:numPr>
          <w:ilvl w:val="1"/>
          <w:numId w:val="4"/>
        </w:numPr>
        <w:spacing w:before="120" w:after="120"/>
        <w:ind w:left="540" w:hanging="540"/>
        <w:contextualSpacing w:val="0"/>
        <w:jc w:val="both"/>
        <w:rPr>
          <w:rFonts w:ascii="Arial" w:hAnsi="Arial" w:cs="Arial"/>
          <w:lang w:val="es-ES"/>
        </w:rPr>
      </w:pPr>
      <w:r w:rsidRPr="008D7BB5">
        <w:rPr>
          <w:rFonts w:ascii="Arial" w:hAnsi="Arial" w:cs="Arial"/>
          <w:lang w:val="es-ES"/>
        </w:rPr>
        <w:t>El programa tiene como</w:t>
      </w:r>
      <w:r w:rsidR="008D7BB5" w:rsidRPr="008D7BB5">
        <w:rPr>
          <w:rFonts w:ascii="Arial" w:hAnsi="Arial" w:cs="Arial"/>
          <w:lang w:val="es-ES"/>
        </w:rPr>
        <w:t xml:space="preserve"> objetivo general del programa es contribuir a mejorar la sostenibilidad del sector eléctrico del país a través de una serie de reformas de políticas orientadas a fortalecer y complementar el marco normativo. Los objetivos específicos son: (i) asegurar un contexto macroeconómico congruente con los objetivos del programa según lo establecido en la Matriz de Políticas; (ii) fortalecer la institucionalidad del sector para su óptima planificación y gestión en los subsectores de generación, transmisión y distribución; (iii) facilitar la diversificación de la matriz eléctrica de forma sostenible, a partir del desarrollo de las ER y ERNC, incluyendo la generación distribuida; (iv) incrementar el nivel de acceso a la energía eléctrica de manera confiable y sostenible en las zonas rurales del país; y (v) apoyar el incremento de eficiencia energética.</w:t>
      </w:r>
    </w:p>
    <w:p w14:paraId="0D94F45A" w14:textId="77777777" w:rsidR="00C419B8" w:rsidRPr="00DE7057" w:rsidRDefault="00C419B8" w:rsidP="00DE7057">
      <w:pPr>
        <w:pStyle w:val="ListParagraph"/>
        <w:numPr>
          <w:ilvl w:val="1"/>
          <w:numId w:val="4"/>
        </w:numPr>
        <w:spacing w:before="120" w:after="120"/>
        <w:ind w:left="540" w:hanging="540"/>
        <w:contextualSpacing w:val="0"/>
        <w:jc w:val="both"/>
        <w:rPr>
          <w:rFonts w:ascii="Arial" w:hAnsi="Arial" w:cs="Arial"/>
          <w:lang w:val="es-ES"/>
        </w:rPr>
      </w:pPr>
      <w:r w:rsidRPr="00DE7057">
        <w:rPr>
          <w:rFonts w:ascii="Arial" w:hAnsi="Arial" w:cs="Arial"/>
          <w:lang w:val="es-ES"/>
        </w:rPr>
        <w:t xml:space="preserve">El método adecuado de evaluación para un </w:t>
      </w:r>
      <w:r w:rsidR="00DE7057">
        <w:rPr>
          <w:rFonts w:ascii="Arial" w:hAnsi="Arial" w:cs="Arial"/>
          <w:lang w:val="es-ES"/>
        </w:rPr>
        <w:t>P</w:t>
      </w:r>
      <w:r w:rsidRPr="00DE7057">
        <w:rPr>
          <w:rFonts w:ascii="Arial" w:hAnsi="Arial" w:cs="Arial"/>
          <w:lang w:val="es-ES"/>
        </w:rPr>
        <w:t xml:space="preserve">réstamo </w:t>
      </w:r>
      <w:r w:rsidR="00DE7057" w:rsidRPr="00DE7057">
        <w:rPr>
          <w:rFonts w:ascii="Arial" w:hAnsi="Arial" w:cs="Arial"/>
          <w:lang w:val="es-ES"/>
        </w:rPr>
        <w:t>Programático de Apoyo a Re</w:t>
      </w:r>
      <w:r w:rsidR="00DE7057">
        <w:rPr>
          <w:rFonts w:ascii="Arial" w:hAnsi="Arial" w:cs="Arial"/>
          <w:lang w:val="es-ES"/>
        </w:rPr>
        <w:t xml:space="preserve">formas de Política (PBP) </w:t>
      </w:r>
      <w:r w:rsidRPr="00DE7057">
        <w:rPr>
          <w:rFonts w:ascii="Arial" w:hAnsi="Arial" w:cs="Arial"/>
          <w:lang w:val="es-ES"/>
        </w:rPr>
        <w:t xml:space="preserve">con objetivos y metas específicas es el de evaluación reflexiva. El equipo evaluará la consecución de los objetivos del programa tomando como referencia las metas e indicadores establecidos en las matrices de política y de resultados de las operaciones del programa. </w:t>
      </w:r>
    </w:p>
    <w:p w14:paraId="266EC603" w14:textId="77777777" w:rsidR="00C419B8" w:rsidRPr="001C59A0" w:rsidRDefault="00C419B8" w:rsidP="00C419B8">
      <w:pPr>
        <w:pStyle w:val="ListParagraph"/>
        <w:numPr>
          <w:ilvl w:val="0"/>
          <w:numId w:val="4"/>
        </w:numPr>
        <w:spacing w:before="120" w:after="120"/>
        <w:ind w:left="540" w:hanging="540"/>
        <w:contextualSpacing w:val="0"/>
        <w:rPr>
          <w:rFonts w:ascii="Arial" w:hAnsi="Arial" w:cs="Arial"/>
          <w:b/>
          <w:smallCaps/>
          <w:lang w:val="es-ES"/>
        </w:rPr>
      </w:pPr>
      <w:r w:rsidRPr="001C59A0">
        <w:rPr>
          <w:rFonts w:ascii="Arial" w:hAnsi="Arial" w:cs="Arial"/>
          <w:b/>
          <w:smallCaps/>
          <w:lang w:val="es-ES"/>
        </w:rPr>
        <w:t>Monitoreo</w:t>
      </w:r>
    </w:p>
    <w:p w14:paraId="02AF261A" w14:textId="77777777" w:rsidR="00C419B8" w:rsidRPr="001C59A0" w:rsidRDefault="00C419B8" w:rsidP="00C419B8">
      <w:pPr>
        <w:pStyle w:val="ListParagraph"/>
        <w:numPr>
          <w:ilvl w:val="1"/>
          <w:numId w:val="4"/>
        </w:numPr>
        <w:spacing w:before="120" w:after="120"/>
        <w:ind w:left="540" w:hanging="540"/>
        <w:contextualSpacing w:val="0"/>
        <w:jc w:val="both"/>
        <w:rPr>
          <w:rFonts w:ascii="Arial" w:hAnsi="Arial" w:cs="Arial"/>
          <w:bCs/>
          <w:lang w:val="es-ES"/>
        </w:rPr>
      </w:pPr>
      <w:r w:rsidRPr="001C59A0">
        <w:rPr>
          <w:rFonts w:ascii="Arial" w:hAnsi="Arial" w:cs="Arial"/>
          <w:bCs/>
          <w:lang w:val="es-ES"/>
        </w:rPr>
        <w:t xml:space="preserve">El objetivo del monitoreo es: (i) verificar el cumplimiento de los compromisos de política del Gobierno de </w:t>
      </w:r>
      <w:r w:rsidR="00DE7057">
        <w:rPr>
          <w:rFonts w:ascii="Arial" w:hAnsi="Arial" w:cs="Arial"/>
          <w:lang w:val="es-ES"/>
        </w:rPr>
        <w:t>Panamá</w:t>
      </w:r>
      <w:r w:rsidRPr="001C59A0">
        <w:rPr>
          <w:rFonts w:ascii="Arial" w:hAnsi="Arial" w:cs="Arial"/>
          <w:bCs/>
          <w:lang w:val="es-ES"/>
        </w:rPr>
        <w:t xml:space="preserve"> establecidos en la matriz de políticas (Anexo II del POD); y (ii) verificar su alcance e impacto de acuerdo a las metas e indicadores establecidos en la matriz de políticas y en la de resultados.</w:t>
      </w:r>
    </w:p>
    <w:p w14:paraId="14557217" w14:textId="260C3A2E" w:rsidR="00C419B8" w:rsidRDefault="00C419B8" w:rsidP="005B0156">
      <w:pPr>
        <w:pStyle w:val="ListParagraph"/>
        <w:numPr>
          <w:ilvl w:val="1"/>
          <w:numId w:val="4"/>
        </w:numPr>
        <w:spacing w:before="120" w:after="120"/>
        <w:ind w:left="540" w:hanging="540"/>
        <w:contextualSpacing w:val="0"/>
        <w:jc w:val="both"/>
        <w:rPr>
          <w:rFonts w:ascii="Arial" w:hAnsi="Arial" w:cs="Arial"/>
          <w:bCs/>
          <w:lang w:val="es-ES"/>
        </w:rPr>
      </w:pPr>
      <w:r w:rsidRPr="001C59A0">
        <w:rPr>
          <w:rFonts w:ascii="Arial" w:hAnsi="Arial" w:cs="Arial"/>
          <w:bCs/>
          <w:lang w:val="es-ES"/>
        </w:rPr>
        <w:t>El monitoreo de las metas incluidas en la Matriz de Política / Medios de Verificación será realizada por el equipo de proyecto y con los ins</w:t>
      </w:r>
      <w:r w:rsidR="00DE7057">
        <w:rPr>
          <w:rFonts w:ascii="Arial" w:hAnsi="Arial" w:cs="Arial"/>
          <w:bCs/>
          <w:lang w:val="es-ES"/>
        </w:rPr>
        <w:t>u</w:t>
      </w:r>
      <w:r w:rsidR="005B0156">
        <w:rPr>
          <w:rFonts w:ascii="Arial" w:hAnsi="Arial" w:cs="Arial"/>
          <w:bCs/>
          <w:lang w:val="es-ES"/>
        </w:rPr>
        <w:t>mos provistos por el equipo del Ministerio de energías (MEN) y de la Empresa Nacional de Electricidad (ENDE).</w:t>
      </w:r>
      <w:r w:rsidR="00DE7057">
        <w:rPr>
          <w:rFonts w:ascii="Arial" w:hAnsi="Arial" w:cs="Arial"/>
          <w:bCs/>
          <w:lang w:val="es-ES"/>
        </w:rPr>
        <w:t xml:space="preserve"> </w:t>
      </w:r>
      <w:r w:rsidRPr="001C59A0">
        <w:rPr>
          <w:rFonts w:ascii="Arial" w:hAnsi="Arial" w:cs="Arial"/>
          <w:bCs/>
          <w:lang w:val="es-ES"/>
        </w:rPr>
        <w:t xml:space="preserve">Los medios de verificación serán la fuente de información que determinará el cumplimiento de las metas de política. El monitoreo del equipo de proyecto tendrá inicio después de la aprobación de la operación en el Directorio del Banco, con el objetivo de elaborar los informes de cumplimiento para los desembolsos. Por otro lado, el monitoreo de las metas e indicadores de los resultados tendrá inicio una vez desembolsados los recursos de la </w:t>
      </w:r>
      <w:r w:rsidR="00F40A8D">
        <w:rPr>
          <w:rFonts w:ascii="Arial" w:hAnsi="Arial" w:cs="Arial"/>
          <w:bCs/>
          <w:lang w:val="es-ES"/>
        </w:rPr>
        <w:t xml:space="preserve">segunda </w:t>
      </w:r>
      <w:r w:rsidRPr="001C59A0">
        <w:rPr>
          <w:rFonts w:ascii="Arial" w:hAnsi="Arial" w:cs="Arial"/>
          <w:bCs/>
          <w:lang w:val="es-ES"/>
        </w:rPr>
        <w:t>operación.</w:t>
      </w:r>
    </w:p>
    <w:p w14:paraId="56EABA43" w14:textId="05F88432" w:rsidR="008D7BB5" w:rsidRDefault="00C419B8" w:rsidP="008D7BB5">
      <w:pPr>
        <w:pStyle w:val="ListParagraph"/>
        <w:numPr>
          <w:ilvl w:val="0"/>
          <w:numId w:val="5"/>
        </w:numPr>
        <w:spacing w:before="120" w:after="120"/>
        <w:ind w:left="540" w:hanging="540"/>
        <w:contextualSpacing w:val="0"/>
        <w:jc w:val="both"/>
        <w:rPr>
          <w:rFonts w:ascii="Arial" w:hAnsi="Arial" w:cs="Arial"/>
          <w:b/>
          <w:bCs/>
          <w:lang w:val="es-ES"/>
        </w:rPr>
      </w:pPr>
      <w:r w:rsidRPr="001C59A0">
        <w:rPr>
          <w:rFonts w:ascii="Arial" w:hAnsi="Arial" w:cs="Arial"/>
          <w:b/>
          <w:bCs/>
          <w:lang w:val="es-ES"/>
        </w:rPr>
        <w:t>Indicadores de producto.</w:t>
      </w:r>
      <w:bookmarkStart w:id="1" w:name="_Toc402794297"/>
    </w:p>
    <w:tbl>
      <w:tblPr>
        <w:tblW w:w="5997" w:type="pct"/>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1187"/>
        <w:gridCol w:w="687"/>
        <w:gridCol w:w="627"/>
        <w:gridCol w:w="627"/>
        <w:gridCol w:w="2991"/>
      </w:tblGrid>
      <w:tr w:rsidR="008D7BB5" w:rsidRPr="008D7BB5" w14:paraId="305A9E98" w14:textId="77777777" w:rsidTr="008D7BB5">
        <w:trPr>
          <w:trHeight w:val="845"/>
        </w:trPr>
        <w:tc>
          <w:tcPr>
            <w:tcW w:w="2044" w:type="pct"/>
            <w:shd w:val="clear" w:color="auto" w:fill="D9D9D9" w:themeFill="background1" w:themeFillShade="D9"/>
            <w:vAlign w:val="center"/>
          </w:tcPr>
          <w:p w14:paraId="4D4041AB" w14:textId="77777777" w:rsidR="008D7BB5" w:rsidRPr="008D7BB5" w:rsidRDefault="008D7BB5" w:rsidP="002F1691">
            <w:pPr>
              <w:jc w:val="center"/>
              <w:rPr>
                <w:rFonts w:ascii="Arial" w:hAnsi="Arial" w:cs="Arial"/>
                <w:b/>
                <w:sz w:val="18"/>
                <w:szCs w:val="18"/>
                <w:lang w:val="es-CR"/>
              </w:rPr>
            </w:pPr>
            <w:r w:rsidRPr="008D7BB5">
              <w:rPr>
                <w:rFonts w:ascii="Arial" w:hAnsi="Arial" w:cs="Arial"/>
                <w:b/>
                <w:smallCaps/>
                <w:color w:val="000000"/>
                <w:sz w:val="18"/>
                <w:szCs w:val="18"/>
                <w:lang w:val="es-CR"/>
              </w:rPr>
              <w:br w:type="page"/>
            </w:r>
            <w:bookmarkStart w:id="2" w:name="_Hlk484019653"/>
            <w:r w:rsidRPr="008D7BB5">
              <w:rPr>
                <w:rFonts w:ascii="Arial" w:hAnsi="Arial" w:cs="Arial"/>
                <w:b/>
                <w:sz w:val="18"/>
                <w:szCs w:val="18"/>
                <w:lang w:val="es-CR"/>
              </w:rPr>
              <w:t>Indicador de Producto</w:t>
            </w:r>
          </w:p>
        </w:tc>
        <w:tc>
          <w:tcPr>
            <w:tcW w:w="573" w:type="pct"/>
            <w:shd w:val="clear" w:color="auto" w:fill="D9D9D9" w:themeFill="background1" w:themeFillShade="D9"/>
            <w:vAlign w:val="center"/>
          </w:tcPr>
          <w:p w14:paraId="35242D71" w14:textId="77777777" w:rsidR="008D7BB5" w:rsidRPr="008D7BB5" w:rsidRDefault="008D7BB5" w:rsidP="002F1691">
            <w:pPr>
              <w:jc w:val="center"/>
              <w:rPr>
                <w:rFonts w:ascii="Arial" w:hAnsi="Arial" w:cs="Arial"/>
                <w:b/>
                <w:sz w:val="18"/>
                <w:szCs w:val="18"/>
                <w:lang w:val="es-CR"/>
              </w:rPr>
            </w:pPr>
            <w:r w:rsidRPr="008D7BB5">
              <w:rPr>
                <w:rFonts w:ascii="Arial" w:hAnsi="Arial" w:cs="Arial"/>
                <w:b/>
                <w:sz w:val="18"/>
                <w:szCs w:val="18"/>
                <w:lang w:val="es-CR"/>
              </w:rPr>
              <w:t>Unidad</w:t>
            </w:r>
          </w:p>
        </w:tc>
        <w:tc>
          <w:tcPr>
            <w:tcW w:w="332" w:type="pct"/>
            <w:shd w:val="clear" w:color="auto" w:fill="D9D9D9" w:themeFill="background1" w:themeFillShade="D9"/>
            <w:vAlign w:val="center"/>
          </w:tcPr>
          <w:p w14:paraId="47F0063E" w14:textId="77777777" w:rsidR="008D7BB5" w:rsidRPr="008D7BB5" w:rsidRDefault="008D7BB5" w:rsidP="002F1691">
            <w:pPr>
              <w:jc w:val="center"/>
              <w:rPr>
                <w:rFonts w:ascii="Arial" w:hAnsi="Arial" w:cs="Arial"/>
                <w:b/>
                <w:sz w:val="18"/>
                <w:szCs w:val="18"/>
                <w:lang w:val="es-CR"/>
              </w:rPr>
            </w:pPr>
            <w:r w:rsidRPr="008D7BB5">
              <w:rPr>
                <w:rFonts w:ascii="Arial" w:hAnsi="Arial" w:cs="Arial"/>
                <w:b/>
                <w:sz w:val="18"/>
                <w:szCs w:val="18"/>
                <w:lang w:val="es-CR"/>
              </w:rPr>
              <w:t>Línea de base</w:t>
            </w:r>
          </w:p>
          <w:p w14:paraId="5E2C4938" w14:textId="77777777" w:rsidR="008D7BB5" w:rsidRPr="008D7BB5" w:rsidRDefault="008D7BB5" w:rsidP="002F1691">
            <w:pPr>
              <w:ind w:left="-79"/>
              <w:jc w:val="center"/>
              <w:rPr>
                <w:rFonts w:ascii="Arial" w:hAnsi="Arial" w:cs="Arial"/>
                <w:b/>
                <w:sz w:val="18"/>
                <w:szCs w:val="18"/>
                <w:lang w:val="es-CR"/>
              </w:rPr>
            </w:pPr>
            <w:r w:rsidRPr="008D7BB5">
              <w:rPr>
                <w:rFonts w:ascii="Arial" w:hAnsi="Arial" w:cs="Arial"/>
                <w:b/>
                <w:sz w:val="18"/>
                <w:szCs w:val="18"/>
                <w:lang w:val="es-CR"/>
              </w:rPr>
              <w:t>2016</w:t>
            </w:r>
          </w:p>
        </w:tc>
        <w:tc>
          <w:tcPr>
            <w:tcW w:w="303" w:type="pct"/>
            <w:shd w:val="clear" w:color="auto" w:fill="D9D9D9" w:themeFill="background1" w:themeFillShade="D9"/>
            <w:vAlign w:val="center"/>
          </w:tcPr>
          <w:p w14:paraId="6401DB3C" w14:textId="77777777" w:rsidR="008D7BB5" w:rsidRPr="008D7BB5" w:rsidRDefault="008D7BB5" w:rsidP="002F1691">
            <w:pPr>
              <w:jc w:val="center"/>
              <w:rPr>
                <w:rFonts w:ascii="Arial" w:hAnsi="Arial" w:cs="Arial"/>
                <w:b/>
                <w:sz w:val="18"/>
                <w:szCs w:val="18"/>
                <w:lang w:val="es-CR"/>
              </w:rPr>
            </w:pPr>
            <w:r w:rsidRPr="008D7BB5">
              <w:rPr>
                <w:rFonts w:ascii="Arial" w:hAnsi="Arial" w:cs="Arial"/>
                <w:b/>
                <w:sz w:val="18"/>
                <w:szCs w:val="18"/>
                <w:lang w:val="es-CR"/>
              </w:rPr>
              <w:t>Meta</w:t>
            </w:r>
          </w:p>
          <w:p w14:paraId="36446A3C" w14:textId="77777777" w:rsidR="008D7BB5" w:rsidRPr="008D7BB5" w:rsidRDefault="008D7BB5" w:rsidP="002F1691">
            <w:pPr>
              <w:jc w:val="center"/>
              <w:rPr>
                <w:rFonts w:ascii="Arial" w:hAnsi="Arial" w:cs="Arial"/>
                <w:b/>
                <w:sz w:val="18"/>
                <w:szCs w:val="18"/>
                <w:lang w:val="es-CR"/>
              </w:rPr>
            </w:pPr>
            <w:r w:rsidRPr="008D7BB5">
              <w:rPr>
                <w:rFonts w:ascii="Arial" w:hAnsi="Arial" w:cs="Arial"/>
                <w:b/>
                <w:sz w:val="18"/>
                <w:szCs w:val="18"/>
                <w:lang w:val="es-CR"/>
              </w:rPr>
              <w:t>Año 1</w:t>
            </w:r>
          </w:p>
        </w:tc>
        <w:tc>
          <w:tcPr>
            <w:tcW w:w="303" w:type="pct"/>
            <w:shd w:val="clear" w:color="auto" w:fill="D9D9D9" w:themeFill="background1" w:themeFillShade="D9"/>
            <w:vAlign w:val="center"/>
          </w:tcPr>
          <w:p w14:paraId="79AC46AD" w14:textId="77777777" w:rsidR="008D7BB5" w:rsidRPr="008D7BB5" w:rsidRDefault="008D7BB5" w:rsidP="002F1691">
            <w:pPr>
              <w:jc w:val="center"/>
              <w:rPr>
                <w:rFonts w:ascii="Arial" w:hAnsi="Arial" w:cs="Arial"/>
                <w:b/>
                <w:sz w:val="18"/>
                <w:szCs w:val="18"/>
                <w:lang w:val="es-CR"/>
              </w:rPr>
            </w:pPr>
            <w:r w:rsidRPr="008D7BB5">
              <w:rPr>
                <w:rFonts w:ascii="Arial" w:hAnsi="Arial" w:cs="Arial"/>
                <w:b/>
                <w:sz w:val="18"/>
                <w:szCs w:val="18"/>
                <w:lang w:val="es-CR"/>
              </w:rPr>
              <w:t>Meta Año 2</w:t>
            </w:r>
          </w:p>
        </w:tc>
        <w:tc>
          <w:tcPr>
            <w:tcW w:w="1443" w:type="pct"/>
            <w:shd w:val="clear" w:color="auto" w:fill="D9D9D9" w:themeFill="background1" w:themeFillShade="D9"/>
            <w:vAlign w:val="center"/>
          </w:tcPr>
          <w:p w14:paraId="6120549B" w14:textId="77777777" w:rsidR="008D7BB5" w:rsidRPr="008D7BB5" w:rsidRDefault="008D7BB5" w:rsidP="002F1691">
            <w:pPr>
              <w:jc w:val="center"/>
              <w:rPr>
                <w:rFonts w:ascii="Arial" w:hAnsi="Arial" w:cs="Arial"/>
                <w:b/>
                <w:sz w:val="18"/>
                <w:szCs w:val="18"/>
                <w:lang w:val="es-CR"/>
              </w:rPr>
            </w:pPr>
            <w:r w:rsidRPr="008D7BB5">
              <w:rPr>
                <w:rFonts w:ascii="Arial" w:hAnsi="Arial" w:cs="Arial"/>
                <w:b/>
                <w:sz w:val="18"/>
                <w:szCs w:val="18"/>
                <w:lang w:val="es-CR"/>
              </w:rPr>
              <w:t xml:space="preserve">Medios de verificación </w:t>
            </w:r>
          </w:p>
        </w:tc>
      </w:tr>
      <w:tr w:rsidR="008D7BB5" w:rsidRPr="00D86855" w14:paraId="7D4BA34E" w14:textId="77777777" w:rsidTr="008D7BB5">
        <w:trPr>
          <w:trHeight w:val="404"/>
        </w:trPr>
        <w:tc>
          <w:tcPr>
            <w:tcW w:w="5000" w:type="pct"/>
            <w:gridSpan w:val="6"/>
            <w:shd w:val="clear" w:color="auto" w:fill="C6D9F1" w:themeFill="text2" w:themeFillTint="33"/>
            <w:vAlign w:val="center"/>
          </w:tcPr>
          <w:p w14:paraId="1F82F05B" w14:textId="77777777" w:rsidR="008D7BB5" w:rsidRPr="008D7BB5" w:rsidRDefault="008D7BB5" w:rsidP="002F1691">
            <w:pPr>
              <w:rPr>
                <w:rFonts w:ascii="Arial" w:hAnsi="Arial" w:cs="Arial"/>
                <w:b/>
                <w:sz w:val="18"/>
                <w:szCs w:val="18"/>
                <w:lang w:val="es-ES"/>
              </w:rPr>
            </w:pPr>
            <w:r w:rsidRPr="008D7BB5">
              <w:rPr>
                <w:rFonts w:ascii="Arial" w:hAnsi="Arial" w:cs="Arial"/>
                <w:b/>
                <w:sz w:val="18"/>
                <w:szCs w:val="18"/>
                <w:lang w:val="es-ES"/>
              </w:rPr>
              <w:t>Componente II. Consolidación de la institucionalidad y planificación del sector.</w:t>
            </w:r>
          </w:p>
        </w:tc>
      </w:tr>
      <w:tr w:rsidR="008D7BB5" w:rsidRPr="00D86855" w14:paraId="540F0655" w14:textId="77777777" w:rsidTr="008D7BB5">
        <w:trPr>
          <w:trHeight w:val="485"/>
        </w:trPr>
        <w:tc>
          <w:tcPr>
            <w:tcW w:w="2044" w:type="pct"/>
            <w:vAlign w:val="center"/>
          </w:tcPr>
          <w:p w14:paraId="59C4D5C7"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bCs/>
                <w:sz w:val="18"/>
                <w:szCs w:val="18"/>
                <w:lang w:val="es-MX" w:eastAsia="es-CO"/>
              </w:rPr>
              <w:lastRenderedPageBreak/>
              <w:t xml:space="preserve">(i) Elaboración de </w:t>
            </w:r>
            <w:r w:rsidRPr="008D7BB5">
              <w:rPr>
                <w:rFonts w:ascii="Arial" w:hAnsi="Arial" w:cs="Arial"/>
                <w:bCs/>
                <w:color w:val="000000"/>
                <w:sz w:val="18"/>
                <w:szCs w:val="18"/>
                <w:lang w:val="es-MX" w:eastAsia="es-CO"/>
              </w:rPr>
              <w:t>una Propuesta de Iniciativa Legislativa</w:t>
            </w:r>
            <w:r w:rsidRPr="008D7BB5">
              <w:rPr>
                <w:rStyle w:val="FootnoteReference"/>
                <w:rFonts w:ascii="Arial" w:eastAsiaTheme="majorEastAsia" w:hAnsi="Arial" w:cs="Arial"/>
                <w:bCs/>
                <w:color w:val="000000"/>
                <w:sz w:val="18"/>
                <w:szCs w:val="18"/>
                <w:lang w:val="es-MX" w:eastAsia="es-CO"/>
              </w:rPr>
              <w:footnoteReference w:id="1"/>
            </w:r>
            <w:r w:rsidRPr="008D7BB5">
              <w:rPr>
                <w:rFonts w:ascii="Arial" w:hAnsi="Arial" w:cs="Arial"/>
                <w:bCs/>
                <w:color w:val="000000"/>
                <w:sz w:val="18"/>
                <w:szCs w:val="18"/>
                <w:lang w:val="es-MX" w:eastAsia="es-CO"/>
              </w:rPr>
              <w:t xml:space="preserve"> para el Sector Eléctrico, que fomente el desarrollo sostenible de</w:t>
            </w:r>
            <w:r w:rsidRPr="008D7BB5">
              <w:rPr>
                <w:rFonts w:ascii="Arial" w:hAnsi="Arial" w:cs="Arial"/>
                <w:bCs/>
                <w:sz w:val="18"/>
                <w:szCs w:val="18"/>
                <w:lang w:val="es-MX" w:eastAsia="es-CO"/>
              </w:rPr>
              <w:t xml:space="preserve"> ER, ERNC, EE, y generación distribuida, así como de los subsectores de</w:t>
            </w:r>
            <w:r w:rsidRPr="008D7BB5">
              <w:rPr>
                <w:rFonts w:ascii="Arial" w:hAnsi="Arial" w:cs="Arial"/>
                <w:bCs/>
                <w:sz w:val="18"/>
                <w:szCs w:val="18"/>
                <w:lang w:val="es-ES_tradnl" w:eastAsia="es-CO"/>
              </w:rPr>
              <w:t xml:space="preserve"> </w:t>
            </w:r>
            <w:r w:rsidRPr="008D7BB5">
              <w:rPr>
                <w:rFonts w:ascii="Arial" w:hAnsi="Arial" w:cs="Arial"/>
                <w:bCs/>
                <w:sz w:val="18"/>
                <w:szCs w:val="18"/>
                <w:lang w:val="es-MX" w:eastAsia="es-CO"/>
              </w:rPr>
              <w:t>generación, transmisión y distribución eléctrica, acorde a los avances recientes de estos nivel nacional e internacional.</w:t>
            </w:r>
          </w:p>
        </w:tc>
        <w:tc>
          <w:tcPr>
            <w:tcW w:w="573" w:type="pct"/>
            <w:vAlign w:val="center"/>
          </w:tcPr>
          <w:p w14:paraId="6F4A299A"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Propuesta</w:t>
            </w:r>
          </w:p>
        </w:tc>
        <w:tc>
          <w:tcPr>
            <w:tcW w:w="332" w:type="pct"/>
            <w:vAlign w:val="center"/>
          </w:tcPr>
          <w:p w14:paraId="0B2AF1E2"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098E252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2D34DA0F"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5F9E3974"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ES_tradnl" w:eastAsia="es-CO"/>
              </w:rPr>
              <w:t>Carta del MEN al Banco, adjuntando el Propuesta de Iniciativa Legislativa para el sector eléctrico.</w:t>
            </w:r>
          </w:p>
        </w:tc>
      </w:tr>
      <w:tr w:rsidR="008D7BB5" w:rsidRPr="00D86855" w14:paraId="1C7AEA15" w14:textId="77777777" w:rsidTr="008D7BB5">
        <w:trPr>
          <w:trHeight w:val="485"/>
        </w:trPr>
        <w:tc>
          <w:tcPr>
            <w:tcW w:w="2044" w:type="pct"/>
            <w:vAlign w:val="center"/>
          </w:tcPr>
          <w:p w14:paraId="5F72D9FF"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color w:val="000000"/>
                <w:sz w:val="18"/>
                <w:szCs w:val="18"/>
                <w:lang w:val="es-ES_tradnl" w:eastAsia="es-CO"/>
              </w:rPr>
              <w:t>(ii) Creación del MEN como el ente responsable de la formulación, gestión y evaluación de las políticas, normas y planes para el desarrollo integral del sector eléctrico.</w:t>
            </w:r>
          </w:p>
        </w:tc>
        <w:tc>
          <w:tcPr>
            <w:tcW w:w="573" w:type="pct"/>
            <w:vAlign w:val="center"/>
          </w:tcPr>
          <w:p w14:paraId="5421F3C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Ente</w:t>
            </w:r>
          </w:p>
        </w:tc>
        <w:tc>
          <w:tcPr>
            <w:tcW w:w="332" w:type="pct"/>
            <w:vAlign w:val="center"/>
          </w:tcPr>
          <w:p w14:paraId="3592524B"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496BCCC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479BDDB6"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41956CC7"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ES_tradnl" w:eastAsia="es-CO"/>
              </w:rPr>
              <w:t>Carta del VMEEA al Banco, indicando el detalle de la Publicación en la Gaceta Oficial No 0929 del 24 de enero de 2017, del Decreto Supremo No 3058/2017, por medio del cual se crea el MEN.</w:t>
            </w:r>
          </w:p>
        </w:tc>
      </w:tr>
      <w:tr w:rsidR="008D7BB5" w:rsidRPr="00D86855" w14:paraId="63B67749" w14:textId="77777777" w:rsidTr="008D7BB5">
        <w:trPr>
          <w:trHeight w:val="485"/>
        </w:trPr>
        <w:tc>
          <w:tcPr>
            <w:tcW w:w="2044" w:type="pct"/>
            <w:vAlign w:val="center"/>
          </w:tcPr>
          <w:p w14:paraId="3272EEA9" w14:textId="77777777" w:rsidR="008D7BB5" w:rsidRPr="008D7BB5" w:rsidRDefault="008D7BB5" w:rsidP="002F1691">
            <w:pPr>
              <w:rPr>
                <w:rFonts w:ascii="Arial" w:hAnsi="Arial" w:cs="Arial"/>
                <w:color w:val="000000"/>
                <w:sz w:val="18"/>
                <w:szCs w:val="18"/>
                <w:lang w:val="es-ES_tradnl" w:eastAsia="es-CO"/>
              </w:rPr>
            </w:pPr>
          </w:p>
          <w:p w14:paraId="7E3AAAB9"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color w:val="000000"/>
                <w:sz w:val="18"/>
                <w:szCs w:val="18"/>
                <w:lang w:val="es-ES_tradnl" w:eastAsia="es-CO"/>
              </w:rPr>
              <w:t>(iii) Aprobación del Plan Estratégico Institucional (PEI) 2017 – 2020 del MEN, que establezca los objetivos y acciones estratégicas para el desarrollo del sector eléctrico a mediano plazo, con el objeto de contribuir a los resultados, metas y pilares de la Agenda Patriótica 2025 y del Plan de Desarrollo Económico y Social 2016-2020.</w:t>
            </w:r>
          </w:p>
        </w:tc>
        <w:tc>
          <w:tcPr>
            <w:tcW w:w="573" w:type="pct"/>
            <w:vAlign w:val="center"/>
          </w:tcPr>
          <w:p w14:paraId="2BB4798A"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Plan</w:t>
            </w:r>
          </w:p>
        </w:tc>
        <w:tc>
          <w:tcPr>
            <w:tcW w:w="332" w:type="pct"/>
            <w:vAlign w:val="center"/>
          </w:tcPr>
          <w:p w14:paraId="45A7603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41225FCA"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5EC1AB5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46D7E69A"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ES_tradnl" w:eastAsia="es-CO"/>
              </w:rPr>
              <w:t>Carta del VMEEA al Banco, adjuntando la Resolución Ministerial 122-2017 del 24 de julio de 2017, que aprueba el PEI.</w:t>
            </w:r>
          </w:p>
        </w:tc>
      </w:tr>
      <w:tr w:rsidR="008D7BB5" w:rsidRPr="00D86855" w14:paraId="55EED482" w14:textId="77777777" w:rsidTr="008D7BB5">
        <w:trPr>
          <w:trHeight w:val="485"/>
        </w:trPr>
        <w:tc>
          <w:tcPr>
            <w:tcW w:w="2044" w:type="pct"/>
            <w:vAlign w:val="center"/>
          </w:tcPr>
          <w:p w14:paraId="6A0B2773"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color w:val="000000"/>
                <w:sz w:val="18"/>
                <w:szCs w:val="18"/>
                <w:lang w:val="es-ES_tradnl" w:eastAsia="es-CO"/>
              </w:rPr>
              <w:t>(iv) Aprobación por el Directorio de la Empresa Nacional de Electricidad (ENDE), de la actualización del Plan Estratégico Corporativo (PEC) 2016-2020, de acuerdo a lo establecido en el PEI 2017-2020 del MEN.</w:t>
            </w:r>
          </w:p>
        </w:tc>
        <w:tc>
          <w:tcPr>
            <w:tcW w:w="573" w:type="pct"/>
            <w:vAlign w:val="center"/>
          </w:tcPr>
          <w:p w14:paraId="48F55140"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Plan</w:t>
            </w:r>
          </w:p>
        </w:tc>
        <w:tc>
          <w:tcPr>
            <w:tcW w:w="332" w:type="pct"/>
            <w:vAlign w:val="center"/>
          </w:tcPr>
          <w:p w14:paraId="063AE25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1C0AC2A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63DA7BB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4FC8659B"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ES_tradnl" w:eastAsia="es-CO"/>
              </w:rPr>
              <w:t>Carta de ENDE al Banco, adjuntando la Resolución del Directorio No 017/2017 del 1 de noviembre de 2017, que aprueba la actualización del Plan Estratégico Corporativo (PEC).</w:t>
            </w:r>
          </w:p>
        </w:tc>
      </w:tr>
      <w:tr w:rsidR="008D7BB5" w:rsidRPr="00D86855" w14:paraId="59ED6CA1" w14:textId="77777777" w:rsidTr="008D7BB5">
        <w:trPr>
          <w:trHeight w:val="485"/>
        </w:trPr>
        <w:tc>
          <w:tcPr>
            <w:tcW w:w="2044" w:type="pct"/>
            <w:vAlign w:val="center"/>
          </w:tcPr>
          <w:p w14:paraId="465B59F7"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color w:val="000000"/>
                <w:sz w:val="18"/>
                <w:szCs w:val="18"/>
                <w:lang w:val="es-ES_tradnl" w:eastAsia="es-CO"/>
              </w:rPr>
              <w:t>(v) Elaboración de un Plan de Acción de ENDE Matriz, que promueva la equidad de género dentro de las actividades de la empresa. El Plan incluirá acciones concretas para el corto, mediano y largo plazo.</w:t>
            </w:r>
          </w:p>
        </w:tc>
        <w:tc>
          <w:tcPr>
            <w:tcW w:w="573" w:type="pct"/>
            <w:vAlign w:val="center"/>
          </w:tcPr>
          <w:p w14:paraId="3997314C"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Plan</w:t>
            </w:r>
          </w:p>
        </w:tc>
        <w:tc>
          <w:tcPr>
            <w:tcW w:w="332" w:type="pct"/>
            <w:vAlign w:val="center"/>
          </w:tcPr>
          <w:p w14:paraId="784AFEE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7022035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63E7F501"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54AF08B2"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ES_tradnl" w:eastAsia="es-CO"/>
              </w:rPr>
              <w:t>Carta de ENDE al Banco, adjuntando el diagnóstico y la propuesta del Plan de Acción de ENDE Matriz.</w:t>
            </w:r>
          </w:p>
        </w:tc>
      </w:tr>
      <w:tr w:rsidR="008D7BB5" w:rsidRPr="00D86855" w14:paraId="010181FB" w14:textId="77777777" w:rsidTr="008D7BB5">
        <w:trPr>
          <w:trHeight w:val="485"/>
        </w:trPr>
        <w:tc>
          <w:tcPr>
            <w:tcW w:w="2044" w:type="pct"/>
            <w:vAlign w:val="center"/>
          </w:tcPr>
          <w:p w14:paraId="046D3FC6" w14:textId="77777777" w:rsidR="008D7BB5" w:rsidRPr="008D7BB5" w:rsidRDefault="008D7BB5" w:rsidP="002F1691">
            <w:pPr>
              <w:rPr>
                <w:rFonts w:ascii="Arial" w:hAnsi="Arial" w:cs="Arial"/>
                <w:bCs/>
                <w:color w:val="000000"/>
                <w:sz w:val="18"/>
                <w:szCs w:val="18"/>
                <w:lang w:val="es-MX" w:eastAsia="es-CO"/>
              </w:rPr>
            </w:pPr>
          </w:p>
          <w:p w14:paraId="6E3435E4" w14:textId="77777777" w:rsidR="008D7BB5" w:rsidRPr="008D7BB5" w:rsidRDefault="008D7BB5" w:rsidP="002F1691">
            <w:pPr>
              <w:spacing w:before="40" w:after="40"/>
              <w:jc w:val="both"/>
              <w:rPr>
                <w:rFonts w:ascii="Arial" w:hAnsi="Arial" w:cs="Arial"/>
                <w:color w:val="000000"/>
                <w:sz w:val="18"/>
                <w:szCs w:val="18"/>
                <w:lang w:val="es-ES_tradnl" w:eastAsia="es-CO"/>
              </w:rPr>
            </w:pPr>
            <w:r w:rsidRPr="008D7BB5">
              <w:rPr>
                <w:rFonts w:ascii="Arial" w:hAnsi="Arial" w:cs="Arial"/>
                <w:bCs/>
                <w:color w:val="000000"/>
                <w:sz w:val="18"/>
                <w:szCs w:val="18"/>
                <w:lang w:val="es-MX" w:eastAsia="es-CO"/>
              </w:rPr>
              <w:t>(i) Propuesta de Iniciativa Legislativa para el Sector Eléctrico presentada por el MEN para consideración de la Asamblea Legislativa Plurinacional</w:t>
            </w:r>
            <w:r w:rsidRPr="008D7BB5">
              <w:rPr>
                <w:rFonts w:ascii="Arial" w:hAnsi="Arial" w:cs="Arial"/>
                <w:color w:val="000000"/>
                <w:sz w:val="18"/>
                <w:szCs w:val="18"/>
                <w:lang w:val="es-ES_tradnl" w:eastAsia="es-CO"/>
              </w:rPr>
              <w:t>.</w:t>
            </w:r>
          </w:p>
        </w:tc>
        <w:tc>
          <w:tcPr>
            <w:tcW w:w="573" w:type="pct"/>
            <w:vAlign w:val="center"/>
          </w:tcPr>
          <w:p w14:paraId="6404570C" w14:textId="77777777" w:rsidR="008D7BB5" w:rsidRPr="008D7BB5" w:rsidDel="00BC12AC"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Propuesta</w:t>
            </w:r>
          </w:p>
        </w:tc>
        <w:tc>
          <w:tcPr>
            <w:tcW w:w="332" w:type="pct"/>
            <w:vAlign w:val="center"/>
          </w:tcPr>
          <w:p w14:paraId="158C64DE"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460655A4"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7C1048DE"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17C87A1E" w14:textId="77777777" w:rsidR="008D7BB5" w:rsidRPr="008D7BB5" w:rsidRDefault="008D7BB5" w:rsidP="002F1691">
            <w:pPr>
              <w:spacing w:before="40" w:after="40"/>
              <w:rPr>
                <w:rFonts w:ascii="Arial" w:hAnsi="Arial" w:cs="Arial"/>
                <w:color w:val="000000"/>
                <w:sz w:val="18"/>
                <w:szCs w:val="18"/>
                <w:lang w:val="es-ES_tradnl" w:eastAsia="es-CO"/>
              </w:rPr>
            </w:pPr>
            <w:r w:rsidRPr="008D7BB5">
              <w:rPr>
                <w:rFonts w:ascii="Arial" w:hAnsi="Arial" w:cs="Arial"/>
                <w:sz w:val="18"/>
                <w:szCs w:val="18"/>
                <w:lang w:val="es-BO"/>
              </w:rPr>
              <w:t>Por definir durante la preparación de la segunda operación de préstamo.</w:t>
            </w:r>
          </w:p>
        </w:tc>
      </w:tr>
      <w:tr w:rsidR="008D7BB5" w:rsidRPr="00D86855" w14:paraId="458863D4" w14:textId="77777777" w:rsidTr="008D7BB5">
        <w:trPr>
          <w:trHeight w:val="485"/>
        </w:trPr>
        <w:tc>
          <w:tcPr>
            <w:tcW w:w="2044" w:type="pct"/>
            <w:vAlign w:val="center"/>
          </w:tcPr>
          <w:p w14:paraId="31E42CB0" w14:textId="77777777" w:rsidR="008D7BB5" w:rsidRPr="008D7BB5" w:rsidRDefault="008D7BB5" w:rsidP="002F1691">
            <w:pPr>
              <w:spacing w:before="40" w:after="40"/>
              <w:jc w:val="both"/>
              <w:rPr>
                <w:rFonts w:ascii="Arial" w:hAnsi="Arial" w:cs="Arial"/>
                <w:color w:val="000000"/>
                <w:sz w:val="18"/>
                <w:szCs w:val="18"/>
                <w:lang w:val="es-ES_tradnl" w:eastAsia="es-CO"/>
              </w:rPr>
            </w:pPr>
            <w:r w:rsidRPr="008D7BB5">
              <w:rPr>
                <w:rFonts w:ascii="Arial" w:hAnsi="Arial" w:cs="Arial"/>
                <w:color w:val="000000"/>
                <w:sz w:val="18"/>
                <w:szCs w:val="18"/>
                <w:lang w:val="es-ES_tradnl" w:eastAsia="es-CO"/>
              </w:rPr>
              <w:t>(ii) Presentación por parte del MEN y la ENDE de sus informes de rendición pública de cuentas, en los que se muestren los avances en el cumplimiento de los objetivos y metas establecidos en sus respectivos PEI y PEC.</w:t>
            </w:r>
          </w:p>
        </w:tc>
        <w:tc>
          <w:tcPr>
            <w:tcW w:w="573" w:type="pct"/>
            <w:vAlign w:val="center"/>
          </w:tcPr>
          <w:p w14:paraId="19931FC0" w14:textId="77777777" w:rsidR="008D7BB5" w:rsidRPr="008D7BB5" w:rsidDel="00BC12AC"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Informe</w:t>
            </w:r>
          </w:p>
        </w:tc>
        <w:tc>
          <w:tcPr>
            <w:tcW w:w="332" w:type="pct"/>
            <w:vAlign w:val="center"/>
          </w:tcPr>
          <w:p w14:paraId="3C35D67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7872516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54AA2320"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2</w:t>
            </w:r>
          </w:p>
        </w:tc>
        <w:tc>
          <w:tcPr>
            <w:tcW w:w="1443" w:type="pct"/>
            <w:vAlign w:val="center"/>
          </w:tcPr>
          <w:p w14:paraId="1E1277BE" w14:textId="77777777" w:rsidR="008D7BB5" w:rsidRPr="008D7BB5" w:rsidRDefault="008D7BB5" w:rsidP="002F1691">
            <w:pPr>
              <w:spacing w:before="40" w:after="40"/>
              <w:rPr>
                <w:rFonts w:ascii="Arial" w:hAnsi="Arial" w:cs="Arial"/>
                <w:color w:val="000000"/>
                <w:sz w:val="18"/>
                <w:szCs w:val="18"/>
                <w:lang w:val="es-ES_tradnl" w:eastAsia="es-CO"/>
              </w:rPr>
            </w:pPr>
            <w:r w:rsidRPr="008D7BB5">
              <w:rPr>
                <w:rFonts w:ascii="Arial" w:hAnsi="Arial" w:cs="Arial"/>
                <w:sz w:val="18"/>
                <w:szCs w:val="18"/>
                <w:lang w:val="es-BO"/>
              </w:rPr>
              <w:t>Por definir durante la preparación de la segunda operación de préstamo.</w:t>
            </w:r>
          </w:p>
        </w:tc>
      </w:tr>
      <w:tr w:rsidR="008D7BB5" w:rsidRPr="00D86855" w14:paraId="649DE574" w14:textId="77777777" w:rsidTr="008D7BB5">
        <w:trPr>
          <w:trHeight w:val="485"/>
        </w:trPr>
        <w:tc>
          <w:tcPr>
            <w:tcW w:w="2044" w:type="pct"/>
            <w:vAlign w:val="center"/>
          </w:tcPr>
          <w:p w14:paraId="1C6A9183" w14:textId="77777777" w:rsidR="008D7BB5" w:rsidRPr="008D7BB5" w:rsidRDefault="008D7BB5" w:rsidP="002F1691">
            <w:pPr>
              <w:spacing w:before="40" w:after="40"/>
              <w:jc w:val="both"/>
              <w:rPr>
                <w:rFonts w:ascii="Arial" w:hAnsi="Arial" w:cs="Arial"/>
                <w:color w:val="000000"/>
                <w:sz w:val="18"/>
                <w:szCs w:val="18"/>
                <w:lang w:val="es-ES_tradnl" w:eastAsia="es-CO"/>
              </w:rPr>
            </w:pPr>
            <w:r w:rsidRPr="008D7BB5">
              <w:rPr>
                <w:rFonts w:ascii="Arial" w:hAnsi="Arial" w:cs="Arial"/>
                <w:color w:val="000000"/>
                <w:sz w:val="18"/>
                <w:szCs w:val="18"/>
                <w:lang w:val="es-ES_tradnl" w:eastAsia="es-CO"/>
              </w:rPr>
              <w:t>(iii) Aprobación del Plan de Acción de equidad de género e implementación por parte de ENDE de las acciones de costo plazo contempladas en el mismo.</w:t>
            </w:r>
          </w:p>
        </w:tc>
        <w:tc>
          <w:tcPr>
            <w:tcW w:w="573" w:type="pct"/>
            <w:vAlign w:val="center"/>
          </w:tcPr>
          <w:p w14:paraId="3F5D0BBB" w14:textId="77777777" w:rsidR="008D7BB5" w:rsidRPr="008D7BB5" w:rsidDel="00BC12AC" w:rsidRDefault="008D7BB5" w:rsidP="002F1691">
            <w:pPr>
              <w:spacing w:before="40" w:after="40"/>
              <w:jc w:val="center"/>
              <w:rPr>
                <w:rFonts w:ascii="Arial" w:hAnsi="Arial" w:cs="Arial"/>
                <w:sz w:val="18"/>
                <w:szCs w:val="18"/>
                <w:lang w:val="es-ES_tradnl"/>
              </w:rPr>
            </w:pPr>
            <w:r w:rsidRPr="008D7BB5">
              <w:rPr>
                <w:rFonts w:ascii="Arial" w:hAnsi="Arial" w:cs="Arial"/>
                <w:sz w:val="18"/>
                <w:szCs w:val="18"/>
                <w:lang w:val="es-ES_tradnl"/>
              </w:rPr>
              <w:t>Plan</w:t>
            </w:r>
          </w:p>
        </w:tc>
        <w:tc>
          <w:tcPr>
            <w:tcW w:w="332" w:type="pct"/>
            <w:vAlign w:val="center"/>
          </w:tcPr>
          <w:p w14:paraId="6F97E72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318C151E"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6612F83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00CA1BEC" w14:textId="77777777" w:rsidR="008D7BB5" w:rsidRPr="008D7BB5" w:rsidRDefault="008D7BB5" w:rsidP="002F1691">
            <w:pPr>
              <w:spacing w:before="40" w:after="40"/>
              <w:rPr>
                <w:rFonts w:ascii="Arial" w:hAnsi="Arial" w:cs="Arial"/>
                <w:color w:val="000000"/>
                <w:sz w:val="18"/>
                <w:szCs w:val="18"/>
                <w:lang w:val="es-ES_tradnl" w:eastAsia="es-CO"/>
              </w:rPr>
            </w:pPr>
            <w:r w:rsidRPr="008D7BB5">
              <w:rPr>
                <w:rFonts w:ascii="Arial" w:hAnsi="Arial" w:cs="Arial"/>
                <w:sz w:val="18"/>
                <w:szCs w:val="18"/>
                <w:lang w:val="es-BO"/>
              </w:rPr>
              <w:t>Por definir durante la preparación de la segunda operación de préstamo.</w:t>
            </w:r>
          </w:p>
        </w:tc>
      </w:tr>
      <w:tr w:rsidR="008D7BB5" w:rsidRPr="00D86855" w14:paraId="61DC7515" w14:textId="77777777" w:rsidTr="008D7BB5">
        <w:trPr>
          <w:trHeight w:val="485"/>
        </w:trPr>
        <w:tc>
          <w:tcPr>
            <w:tcW w:w="5000" w:type="pct"/>
            <w:gridSpan w:val="6"/>
            <w:shd w:val="clear" w:color="auto" w:fill="C6D9F1" w:themeFill="text2" w:themeFillTint="33"/>
            <w:vAlign w:val="center"/>
          </w:tcPr>
          <w:p w14:paraId="1878803D" w14:textId="77777777" w:rsidR="008D7BB5" w:rsidRPr="008D7BB5" w:rsidRDefault="008D7BB5" w:rsidP="002F1691">
            <w:pPr>
              <w:spacing w:before="40" w:after="40"/>
              <w:rPr>
                <w:rFonts w:ascii="Arial" w:hAnsi="Arial" w:cs="Arial"/>
                <w:b/>
                <w:sz w:val="18"/>
                <w:szCs w:val="18"/>
                <w:lang w:val="es-BO"/>
              </w:rPr>
            </w:pPr>
            <w:r w:rsidRPr="008D7BB5">
              <w:rPr>
                <w:rFonts w:ascii="Arial" w:hAnsi="Arial" w:cs="Arial"/>
                <w:b/>
                <w:sz w:val="18"/>
                <w:szCs w:val="18"/>
                <w:lang w:val="es-BO"/>
              </w:rPr>
              <w:t>Componente III. Aprovechamiento de recursos renovables para la generación eléctrica.</w:t>
            </w:r>
          </w:p>
        </w:tc>
      </w:tr>
      <w:tr w:rsidR="008D7BB5" w:rsidRPr="00D86855" w14:paraId="2AD75C78" w14:textId="77777777" w:rsidTr="008D7BB5">
        <w:trPr>
          <w:trHeight w:val="485"/>
        </w:trPr>
        <w:tc>
          <w:tcPr>
            <w:tcW w:w="2044" w:type="pct"/>
            <w:vAlign w:val="center"/>
          </w:tcPr>
          <w:p w14:paraId="6184870F"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sz w:val="18"/>
                <w:szCs w:val="18"/>
                <w:lang w:val="es-BO"/>
              </w:rPr>
              <w:t xml:space="preserve">(i) Preparación y aprobación por parte del MEN, de los estudios técnicos sobre: (i) condiciones técnicas para la integración de ERNC en el Sistema interconectado Nacional (SIN); y (ii) los costos de O&amp;M de proyectos de ERNC, que serán insumos para la preparación de la normativa </w:t>
            </w:r>
            <w:r w:rsidRPr="008D7BB5">
              <w:rPr>
                <w:rFonts w:ascii="Arial" w:hAnsi="Arial" w:cs="Arial"/>
                <w:sz w:val="18"/>
                <w:szCs w:val="18"/>
                <w:lang w:val="es-BO"/>
              </w:rPr>
              <w:lastRenderedPageBreak/>
              <w:t>técnica y económica que regule y garantice la sostenibilidad de los proyectos de ERNC.</w:t>
            </w:r>
          </w:p>
        </w:tc>
        <w:tc>
          <w:tcPr>
            <w:tcW w:w="573" w:type="pct"/>
            <w:vAlign w:val="center"/>
          </w:tcPr>
          <w:p w14:paraId="343E41E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lastRenderedPageBreak/>
              <w:t>Estudio</w:t>
            </w:r>
          </w:p>
        </w:tc>
        <w:tc>
          <w:tcPr>
            <w:tcW w:w="332" w:type="pct"/>
            <w:vAlign w:val="center"/>
          </w:tcPr>
          <w:p w14:paraId="5372697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67450FC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2</w:t>
            </w:r>
          </w:p>
        </w:tc>
        <w:tc>
          <w:tcPr>
            <w:tcW w:w="303" w:type="pct"/>
            <w:vAlign w:val="center"/>
          </w:tcPr>
          <w:p w14:paraId="5F7B812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201603DE" w14:textId="77777777" w:rsidR="008D7BB5" w:rsidRPr="008D7BB5" w:rsidRDefault="008D7BB5" w:rsidP="002F1691">
            <w:pPr>
              <w:rPr>
                <w:rFonts w:ascii="Arial" w:hAnsi="Arial" w:cs="Arial"/>
                <w:color w:val="000000"/>
                <w:sz w:val="18"/>
                <w:szCs w:val="18"/>
                <w:lang w:val="es-ES_tradnl" w:eastAsia="es-CO"/>
              </w:rPr>
            </w:pPr>
            <w:r w:rsidRPr="008D7BB5">
              <w:rPr>
                <w:rFonts w:ascii="Arial" w:hAnsi="Arial" w:cs="Arial"/>
                <w:color w:val="000000"/>
                <w:sz w:val="18"/>
                <w:szCs w:val="18"/>
                <w:lang w:val="es-ES_tradnl" w:eastAsia="es-CO"/>
              </w:rPr>
              <w:t xml:space="preserve">Carta del VMEEA al Banco, adjuntando: (i) el estudio sobre las </w:t>
            </w:r>
            <w:r w:rsidRPr="008D7BB5">
              <w:rPr>
                <w:rFonts w:ascii="Arial" w:hAnsi="Arial" w:cs="Arial"/>
                <w:color w:val="000000"/>
                <w:sz w:val="18"/>
                <w:szCs w:val="18"/>
                <w:lang w:val="es-CO" w:eastAsia="es-CO"/>
              </w:rPr>
              <w:t xml:space="preserve">condiciones técnicas para la integración de adición de potencia de ERNC en el Sistema Interconectado Nacional (SIN); y </w:t>
            </w:r>
            <w:r w:rsidRPr="008D7BB5">
              <w:rPr>
                <w:rFonts w:ascii="Arial" w:hAnsi="Arial" w:cs="Arial"/>
                <w:color w:val="000000"/>
                <w:sz w:val="18"/>
                <w:szCs w:val="18"/>
                <w:lang w:val="es-CO" w:eastAsia="es-CO"/>
              </w:rPr>
              <w:lastRenderedPageBreak/>
              <w:t>(ii) el estudio que determine los c</w:t>
            </w:r>
            <w:r w:rsidRPr="008D7BB5">
              <w:rPr>
                <w:rFonts w:ascii="Arial" w:hAnsi="Arial" w:cs="Arial"/>
                <w:color w:val="000000"/>
                <w:sz w:val="18"/>
                <w:szCs w:val="18"/>
                <w:lang w:val="es-ES_tradnl" w:eastAsia="es-CO"/>
              </w:rPr>
              <w:t>ostos de O&amp;M de proyectos de ERNC.</w:t>
            </w:r>
          </w:p>
          <w:p w14:paraId="079F218F" w14:textId="77777777" w:rsidR="008D7BB5" w:rsidRPr="008D7BB5" w:rsidRDefault="008D7BB5" w:rsidP="002F1691">
            <w:pPr>
              <w:rPr>
                <w:rFonts w:ascii="Arial" w:hAnsi="Arial" w:cs="Arial"/>
                <w:color w:val="000000"/>
                <w:sz w:val="18"/>
                <w:szCs w:val="18"/>
                <w:lang w:val="es-ES_tradnl" w:eastAsia="es-CO"/>
              </w:rPr>
            </w:pPr>
          </w:p>
          <w:p w14:paraId="7ED7307B" w14:textId="77777777" w:rsidR="008D7BB5" w:rsidRPr="008D7BB5" w:rsidRDefault="008D7BB5" w:rsidP="002F1691">
            <w:pPr>
              <w:rPr>
                <w:rFonts w:ascii="Arial" w:hAnsi="Arial" w:cs="Arial"/>
                <w:color w:val="000000"/>
                <w:sz w:val="18"/>
                <w:szCs w:val="18"/>
                <w:lang w:val="es-ES_tradnl" w:eastAsia="es-CO"/>
              </w:rPr>
            </w:pPr>
            <w:r w:rsidRPr="008D7BB5">
              <w:rPr>
                <w:rFonts w:ascii="Arial" w:hAnsi="Arial" w:cs="Arial"/>
                <w:color w:val="000000"/>
                <w:sz w:val="18"/>
                <w:szCs w:val="18"/>
                <w:lang w:val="es-ES_tradnl" w:eastAsia="es-CO"/>
              </w:rPr>
              <w:t>Carta del VMEEA al Banco, adjuntando el estudio sobre costos fijos de O&amp;M.</w:t>
            </w:r>
          </w:p>
          <w:p w14:paraId="206BCE1B" w14:textId="77777777" w:rsidR="008D7BB5" w:rsidRPr="008D7BB5" w:rsidRDefault="008D7BB5" w:rsidP="002F1691">
            <w:pPr>
              <w:rPr>
                <w:rFonts w:ascii="Arial" w:hAnsi="Arial" w:cs="Arial"/>
                <w:color w:val="000000"/>
                <w:sz w:val="18"/>
                <w:szCs w:val="18"/>
                <w:lang w:val="es-ES_tradnl" w:eastAsia="es-CO"/>
              </w:rPr>
            </w:pPr>
          </w:p>
          <w:p w14:paraId="62CE992E"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ES_tradnl" w:eastAsia="es-CO"/>
              </w:rPr>
              <w:t>Carta del VMEEA al Banco, adjuntando el estudio sobre costos variables de O&amp;M.</w:t>
            </w:r>
          </w:p>
        </w:tc>
      </w:tr>
      <w:tr w:rsidR="008D7BB5" w:rsidRPr="0086706A" w14:paraId="102BECD3" w14:textId="77777777" w:rsidTr="008D7BB5">
        <w:trPr>
          <w:trHeight w:val="485"/>
        </w:trPr>
        <w:tc>
          <w:tcPr>
            <w:tcW w:w="2044" w:type="pct"/>
            <w:vAlign w:val="center"/>
          </w:tcPr>
          <w:p w14:paraId="23032A82" w14:textId="77777777" w:rsidR="008D7BB5" w:rsidRPr="008D7BB5" w:rsidRDefault="008D7BB5" w:rsidP="002F1691">
            <w:pPr>
              <w:spacing w:before="40" w:after="40"/>
              <w:jc w:val="both"/>
              <w:rPr>
                <w:rFonts w:ascii="Arial" w:hAnsi="Arial" w:cs="Arial"/>
                <w:sz w:val="18"/>
                <w:szCs w:val="18"/>
                <w:lang w:val="es-BO"/>
              </w:rPr>
            </w:pPr>
            <w:r w:rsidRPr="008D7BB5">
              <w:rPr>
                <w:rFonts w:ascii="Arial" w:hAnsi="Arial" w:cs="Arial"/>
                <w:sz w:val="18"/>
                <w:szCs w:val="18"/>
                <w:lang w:val="es-BO"/>
              </w:rPr>
              <w:lastRenderedPageBreak/>
              <w:t>(i) Aprobación de la normativa técnica y económica que regule y garantice la sostenibilidad de: (i) proyectos de ERNC; y (ii) la generación distribuida.</w:t>
            </w:r>
          </w:p>
        </w:tc>
        <w:tc>
          <w:tcPr>
            <w:tcW w:w="573" w:type="pct"/>
            <w:vAlign w:val="center"/>
          </w:tcPr>
          <w:p w14:paraId="4B827892"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Normativa</w:t>
            </w:r>
          </w:p>
        </w:tc>
        <w:tc>
          <w:tcPr>
            <w:tcW w:w="332" w:type="pct"/>
            <w:vAlign w:val="center"/>
          </w:tcPr>
          <w:p w14:paraId="67584D7B"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41A15CB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666EF467"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49A31365"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BO"/>
              </w:rPr>
              <w:t>Por definir durante la preparación de la segunda operación de préstamo.</w:t>
            </w:r>
          </w:p>
        </w:tc>
      </w:tr>
      <w:tr w:rsidR="008D7BB5" w:rsidRPr="0086706A" w14:paraId="43D8E519" w14:textId="77777777" w:rsidTr="008D7BB5">
        <w:trPr>
          <w:trHeight w:val="485"/>
        </w:trPr>
        <w:tc>
          <w:tcPr>
            <w:tcW w:w="5000" w:type="pct"/>
            <w:gridSpan w:val="6"/>
            <w:shd w:val="clear" w:color="auto" w:fill="C6D9F1" w:themeFill="text2" w:themeFillTint="33"/>
            <w:vAlign w:val="center"/>
          </w:tcPr>
          <w:p w14:paraId="00291A0C" w14:textId="77777777" w:rsidR="008D7BB5" w:rsidRPr="008D7BB5" w:rsidRDefault="008D7BB5" w:rsidP="002F1691">
            <w:pPr>
              <w:spacing w:before="40" w:after="40"/>
              <w:rPr>
                <w:rFonts w:ascii="Arial" w:hAnsi="Arial" w:cs="Arial"/>
                <w:b/>
                <w:sz w:val="18"/>
                <w:szCs w:val="18"/>
                <w:lang w:val="es-BO"/>
              </w:rPr>
            </w:pPr>
            <w:r w:rsidRPr="008D7BB5">
              <w:rPr>
                <w:rFonts w:ascii="Arial" w:hAnsi="Arial" w:cs="Arial"/>
                <w:b/>
                <w:sz w:val="18"/>
                <w:szCs w:val="18"/>
                <w:lang w:val="es-BO"/>
              </w:rPr>
              <w:t>Componente IV. Provisión confiable y Eficiente de Energía Eléctrica</w:t>
            </w:r>
          </w:p>
        </w:tc>
      </w:tr>
      <w:tr w:rsidR="008D7BB5" w:rsidRPr="0086706A" w14:paraId="2625F291" w14:textId="77777777" w:rsidTr="008D7BB5">
        <w:trPr>
          <w:trHeight w:val="485"/>
        </w:trPr>
        <w:tc>
          <w:tcPr>
            <w:tcW w:w="2044" w:type="pct"/>
            <w:vAlign w:val="center"/>
          </w:tcPr>
          <w:p w14:paraId="72D9C666" w14:textId="69913651" w:rsidR="008D7BB5" w:rsidRPr="008D7BB5" w:rsidRDefault="008D7BB5" w:rsidP="002F1691">
            <w:pPr>
              <w:rPr>
                <w:rFonts w:ascii="Arial" w:hAnsi="Arial" w:cs="Arial"/>
                <w:color w:val="000000"/>
                <w:sz w:val="18"/>
                <w:szCs w:val="18"/>
                <w:lang w:val="es-CO" w:eastAsia="es-CO"/>
              </w:rPr>
            </w:pPr>
            <w:r w:rsidRPr="008D7BB5">
              <w:rPr>
                <w:rFonts w:ascii="Arial" w:hAnsi="Arial" w:cs="Arial"/>
                <w:color w:val="000000"/>
                <w:sz w:val="18"/>
                <w:szCs w:val="18"/>
                <w:lang w:val="es-CO" w:eastAsia="es-CO"/>
              </w:rPr>
              <w:t xml:space="preserve">(i) Elaboración y entrada en vigencia de un convenio subsidiario entre el MDP, MEF y MEN, en el cual se otorga al MEN, el </w:t>
            </w:r>
            <w:r w:rsidR="0086706A">
              <w:rPr>
                <w:rFonts w:ascii="Arial" w:hAnsi="Arial" w:cs="Arial"/>
                <w:color w:val="000000"/>
                <w:sz w:val="18"/>
                <w:szCs w:val="18"/>
                <w:lang w:val="es-CO" w:eastAsia="es-CO"/>
              </w:rPr>
              <w:t>mandato</w:t>
            </w:r>
            <w:bookmarkStart w:id="3" w:name="_GoBack"/>
            <w:bookmarkEnd w:id="3"/>
            <w:r w:rsidRPr="008D7BB5">
              <w:rPr>
                <w:rFonts w:ascii="Arial" w:hAnsi="Arial" w:cs="Arial"/>
                <w:color w:val="000000"/>
                <w:sz w:val="18"/>
                <w:szCs w:val="18"/>
                <w:lang w:val="es-CO" w:eastAsia="es-CO"/>
              </w:rPr>
              <w:t xml:space="preserve"> para la elaboración de un plan maestro de electrificación, que optimice las intervenciones en el desarrollo de programas de acceso y expansión de la electrificación rural a nivel nacional.</w:t>
            </w:r>
          </w:p>
          <w:p w14:paraId="279D28DF" w14:textId="77777777" w:rsidR="008D7BB5" w:rsidRPr="008D7BB5" w:rsidRDefault="008D7BB5" w:rsidP="002F1691">
            <w:pPr>
              <w:rPr>
                <w:rFonts w:ascii="Arial" w:hAnsi="Arial" w:cs="Arial"/>
                <w:color w:val="000000"/>
                <w:sz w:val="18"/>
                <w:szCs w:val="18"/>
                <w:lang w:val="es-CO" w:eastAsia="es-CO"/>
              </w:rPr>
            </w:pPr>
          </w:p>
          <w:p w14:paraId="5335C98E" w14:textId="77777777" w:rsidR="008D7BB5" w:rsidRPr="008D7BB5" w:rsidRDefault="008D7BB5" w:rsidP="002F1691">
            <w:pPr>
              <w:rPr>
                <w:rFonts w:ascii="Arial" w:hAnsi="Arial" w:cs="Arial"/>
                <w:color w:val="000000"/>
                <w:sz w:val="18"/>
                <w:szCs w:val="18"/>
                <w:lang w:val="es-CO" w:eastAsia="es-CO"/>
              </w:rPr>
            </w:pPr>
          </w:p>
          <w:p w14:paraId="51821E8F"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CO" w:eastAsia="es-CO"/>
              </w:rPr>
              <w:t xml:space="preserve"> </w:t>
            </w:r>
          </w:p>
        </w:tc>
        <w:tc>
          <w:tcPr>
            <w:tcW w:w="573" w:type="pct"/>
            <w:vAlign w:val="center"/>
          </w:tcPr>
          <w:p w14:paraId="07DB22DA"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Convenio</w:t>
            </w:r>
          </w:p>
        </w:tc>
        <w:tc>
          <w:tcPr>
            <w:tcW w:w="332" w:type="pct"/>
            <w:vAlign w:val="center"/>
          </w:tcPr>
          <w:p w14:paraId="7CD4C2EF"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09473E71"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0D333305"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0039029D"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CO" w:eastAsia="es-CO"/>
              </w:rPr>
              <w:t>Carta del VMEEA al Banco, adjuntando la copia del convenio subsidiario correspondiente.</w:t>
            </w:r>
          </w:p>
        </w:tc>
      </w:tr>
      <w:tr w:rsidR="008D7BB5" w:rsidRPr="0086706A" w14:paraId="1B1C4731" w14:textId="77777777" w:rsidTr="008D7BB5">
        <w:trPr>
          <w:trHeight w:val="485"/>
        </w:trPr>
        <w:tc>
          <w:tcPr>
            <w:tcW w:w="2044" w:type="pct"/>
            <w:vAlign w:val="center"/>
          </w:tcPr>
          <w:p w14:paraId="18D75AA1"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CO" w:eastAsia="es-CO"/>
              </w:rPr>
              <w:t>(ii) Elaboración de una propuesta metodológica que fije los costos máximos de inversión reconocidos para nuevos consumidores conectados a las redes de electrificación rural, la cual será la base para la preparación de la reglamentación de estos dichos costos.</w:t>
            </w:r>
          </w:p>
        </w:tc>
        <w:tc>
          <w:tcPr>
            <w:tcW w:w="573" w:type="pct"/>
            <w:vAlign w:val="center"/>
          </w:tcPr>
          <w:p w14:paraId="18BC8BF6"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Propuesta</w:t>
            </w:r>
          </w:p>
        </w:tc>
        <w:tc>
          <w:tcPr>
            <w:tcW w:w="332" w:type="pct"/>
            <w:vAlign w:val="center"/>
          </w:tcPr>
          <w:p w14:paraId="14521C0F"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2D0B2E10"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20F2E1A6"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20C75BDF"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CO" w:eastAsia="es-CO"/>
              </w:rPr>
              <w:t>Carta del VMEEA al Banco, adjuntando la metodología.</w:t>
            </w:r>
          </w:p>
        </w:tc>
      </w:tr>
      <w:tr w:rsidR="008D7BB5" w:rsidRPr="0086706A" w14:paraId="1880B9C8" w14:textId="77777777" w:rsidTr="008D7BB5">
        <w:trPr>
          <w:trHeight w:val="485"/>
        </w:trPr>
        <w:tc>
          <w:tcPr>
            <w:tcW w:w="2044" w:type="pct"/>
            <w:vAlign w:val="center"/>
          </w:tcPr>
          <w:p w14:paraId="26E3D9BA" w14:textId="77777777" w:rsidR="008D7BB5" w:rsidRPr="008D7BB5" w:rsidRDefault="008D7BB5" w:rsidP="002F1691">
            <w:pPr>
              <w:rPr>
                <w:rFonts w:ascii="Arial" w:hAnsi="Arial" w:cs="Arial"/>
                <w:color w:val="000000"/>
                <w:sz w:val="18"/>
                <w:szCs w:val="18"/>
                <w:lang w:val="es-CO" w:eastAsia="es-CO"/>
              </w:rPr>
            </w:pPr>
            <w:r w:rsidRPr="008D7BB5">
              <w:rPr>
                <w:rFonts w:ascii="Arial" w:hAnsi="Arial" w:cs="Arial"/>
                <w:bCs/>
                <w:color w:val="000000"/>
                <w:sz w:val="18"/>
                <w:szCs w:val="18"/>
                <w:lang w:val="es-CO" w:eastAsia="es-CO"/>
              </w:rPr>
              <w:t xml:space="preserve">(iii) </w:t>
            </w:r>
            <w:r w:rsidRPr="008D7BB5">
              <w:rPr>
                <w:rFonts w:ascii="Arial" w:hAnsi="Arial" w:cs="Arial"/>
                <w:bCs/>
                <w:color w:val="000000"/>
                <w:sz w:val="18"/>
                <w:szCs w:val="18"/>
                <w:lang w:val="es-MX" w:eastAsia="es-CO"/>
              </w:rPr>
              <w:t>Elaboración de una propuesta de Política Nacional de EE, que establezca entre otros temas: (a) institucionalidad; (b) marco normativo; y (c) sectores prioritarios.</w:t>
            </w:r>
          </w:p>
          <w:p w14:paraId="0E246D85" w14:textId="77777777" w:rsidR="008D7BB5" w:rsidRPr="008D7BB5" w:rsidRDefault="008D7BB5" w:rsidP="002F1691">
            <w:pPr>
              <w:spacing w:before="40" w:after="40"/>
              <w:rPr>
                <w:rFonts w:ascii="Arial" w:hAnsi="Arial" w:cs="Arial"/>
                <w:sz w:val="18"/>
                <w:szCs w:val="18"/>
                <w:lang w:val="es-BO"/>
              </w:rPr>
            </w:pPr>
          </w:p>
        </w:tc>
        <w:tc>
          <w:tcPr>
            <w:tcW w:w="573" w:type="pct"/>
            <w:vAlign w:val="center"/>
          </w:tcPr>
          <w:p w14:paraId="268A3C9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Propuesta</w:t>
            </w:r>
          </w:p>
        </w:tc>
        <w:tc>
          <w:tcPr>
            <w:tcW w:w="332" w:type="pct"/>
            <w:vAlign w:val="center"/>
          </w:tcPr>
          <w:p w14:paraId="20434C51"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50D382A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303" w:type="pct"/>
            <w:vAlign w:val="center"/>
          </w:tcPr>
          <w:p w14:paraId="5D477E6E"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1443" w:type="pct"/>
            <w:vAlign w:val="center"/>
          </w:tcPr>
          <w:p w14:paraId="1ACA2C49" w14:textId="77777777" w:rsidR="008D7BB5" w:rsidRPr="008D7BB5" w:rsidRDefault="008D7BB5" w:rsidP="002F1691">
            <w:pPr>
              <w:rPr>
                <w:rFonts w:ascii="Arial" w:hAnsi="Arial" w:cs="Arial"/>
                <w:color w:val="000000"/>
                <w:sz w:val="18"/>
                <w:szCs w:val="18"/>
                <w:lang w:val="es-CO" w:eastAsia="es-CO"/>
              </w:rPr>
            </w:pPr>
            <w:r w:rsidRPr="008D7BB5">
              <w:rPr>
                <w:rFonts w:ascii="Arial" w:hAnsi="Arial" w:cs="Arial"/>
                <w:color w:val="000000"/>
                <w:sz w:val="18"/>
                <w:szCs w:val="18"/>
                <w:lang w:val="es-CO" w:eastAsia="es-CO"/>
              </w:rPr>
              <w:t xml:space="preserve">Carta del MEN al Banco, adjuntando la </w:t>
            </w:r>
            <w:r w:rsidRPr="008D7BB5">
              <w:rPr>
                <w:rFonts w:ascii="Arial" w:hAnsi="Arial" w:cs="Arial"/>
                <w:bCs/>
                <w:color w:val="000000"/>
                <w:sz w:val="18"/>
                <w:szCs w:val="18"/>
                <w:lang w:val="es-MX" w:eastAsia="es-CO"/>
              </w:rPr>
              <w:t>Política Nacional de EE.</w:t>
            </w:r>
          </w:p>
          <w:p w14:paraId="5911BCB1" w14:textId="77777777" w:rsidR="008D7BB5" w:rsidRPr="008D7BB5" w:rsidRDefault="008D7BB5" w:rsidP="002F1691">
            <w:pPr>
              <w:spacing w:before="40" w:after="40"/>
              <w:rPr>
                <w:rFonts w:ascii="Arial" w:hAnsi="Arial" w:cs="Arial"/>
                <w:sz w:val="18"/>
                <w:szCs w:val="18"/>
                <w:lang w:val="es-BO"/>
              </w:rPr>
            </w:pPr>
          </w:p>
        </w:tc>
      </w:tr>
      <w:tr w:rsidR="008D7BB5" w:rsidRPr="0086706A" w14:paraId="44C2585D" w14:textId="77777777" w:rsidTr="008D7BB5">
        <w:trPr>
          <w:trHeight w:val="485"/>
        </w:trPr>
        <w:tc>
          <w:tcPr>
            <w:tcW w:w="2044" w:type="pct"/>
            <w:vAlign w:val="center"/>
          </w:tcPr>
          <w:p w14:paraId="1D63DB37"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CO" w:eastAsia="es-CO"/>
              </w:rPr>
              <w:t>(i) Aprobación por parte del MEN del Plan Nacional de Electrificación Rural.</w:t>
            </w:r>
          </w:p>
        </w:tc>
        <w:tc>
          <w:tcPr>
            <w:tcW w:w="573" w:type="pct"/>
            <w:vAlign w:val="center"/>
          </w:tcPr>
          <w:p w14:paraId="1ADD913E"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Plan</w:t>
            </w:r>
          </w:p>
        </w:tc>
        <w:tc>
          <w:tcPr>
            <w:tcW w:w="332" w:type="pct"/>
            <w:vAlign w:val="center"/>
          </w:tcPr>
          <w:p w14:paraId="4119BD35"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137C7140"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2811534F"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3BB5B3DF"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BO"/>
              </w:rPr>
              <w:t>Carta del MEN al Banco, adjuntando la Política Nacional de EE.</w:t>
            </w:r>
          </w:p>
        </w:tc>
      </w:tr>
      <w:tr w:rsidR="008D7BB5" w:rsidRPr="0086706A" w14:paraId="41827A72" w14:textId="77777777" w:rsidTr="008D7BB5">
        <w:trPr>
          <w:trHeight w:val="485"/>
        </w:trPr>
        <w:tc>
          <w:tcPr>
            <w:tcW w:w="2044" w:type="pct"/>
            <w:vAlign w:val="center"/>
          </w:tcPr>
          <w:p w14:paraId="6EC4C644"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color w:val="000000"/>
                <w:sz w:val="18"/>
                <w:szCs w:val="18"/>
                <w:lang w:val="es-CO" w:eastAsia="es-CO"/>
              </w:rPr>
              <w:t>(ii) Aprobación del MEN al reglamento para la determinación de costos máximos de inversión para nuevos usuarios conectados a la red de electrificación rural.</w:t>
            </w:r>
          </w:p>
        </w:tc>
        <w:tc>
          <w:tcPr>
            <w:tcW w:w="573" w:type="pct"/>
            <w:vAlign w:val="center"/>
          </w:tcPr>
          <w:p w14:paraId="0DF720C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Reglamento</w:t>
            </w:r>
          </w:p>
        </w:tc>
        <w:tc>
          <w:tcPr>
            <w:tcW w:w="332" w:type="pct"/>
            <w:vAlign w:val="center"/>
          </w:tcPr>
          <w:p w14:paraId="5CB158B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1AA5704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57D1EB3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2B38EA55"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BO"/>
              </w:rPr>
              <w:t>Por definir durante la preparación de la segunda operación de préstamo.</w:t>
            </w:r>
          </w:p>
        </w:tc>
      </w:tr>
      <w:tr w:rsidR="008D7BB5" w:rsidRPr="0086706A" w14:paraId="54510175" w14:textId="77777777" w:rsidTr="008D7BB5">
        <w:trPr>
          <w:trHeight w:val="485"/>
        </w:trPr>
        <w:tc>
          <w:tcPr>
            <w:tcW w:w="2044" w:type="pct"/>
            <w:vAlign w:val="center"/>
          </w:tcPr>
          <w:p w14:paraId="45A050C3"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bCs/>
                <w:color w:val="000000"/>
                <w:sz w:val="18"/>
                <w:szCs w:val="18"/>
                <w:lang w:val="es-MX" w:eastAsia="es-CO"/>
              </w:rPr>
              <w:t>(iii) Aprobación y publicación por parte del MEN, de la Política Nacional de EE, que establezca entre otros temas: (i) institucionalidad; (ii) marco normativo; y (iii) sectores prioritarios.</w:t>
            </w:r>
          </w:p>
        </w:tc>
        <w:tc>
          <w:tcPr>
            <w:tcW w:w="573" w:type="pct"/>
            <w:vAlign w:val="center"/>
          </w:tcPr>
          <w:p w14:paraId="32473184"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Política</w:t>
            </w:r>
          </w:p>
        </w:tc>
        <w:tc>
          <w:tcPr>
            <w:tcW w:w="332" w:type="pct"/>
            <w:vAlign w:val="center"/>
          </w:tcPr>
          <w:p w14:paraId="70436546"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649123D7"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2F18E139"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688513AF"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BO"/>
              </w:rPr>
              <w:t>Por definir durante la preparación de la segunda operación de préstamo.</w:t>
            </w:r>
          </w:p>
        </w:tc>
      </w:tr>
      <w:tr w:rsidR="008D7BB5" w:rsidRPr="0086706A" w14:paraId="009CECE1" w14:textId="77777777" w:rsidTr="008D7BB5">
        <w:trPr>
          <w:trHeight w:val="485"/>
        </w:trPr>
        <w:tc>
          <w:tcPr>
            <w:tcW w:w="2044" w:type="pct"/>
            <w:vAlign w:val="center"/>
          </w:tcPr>
          <w:p w14:paraId="42B1BA06"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bCs/>
                <w:color w:val="000000"/>
                <w:sz w:val="18"/>
                <w:szCs w:val="18"/>
                <w:lang w:val="es-MX" w:eastAsia="es-CO"/>
              </w:rPr>
              <w:t>(iv) Aprobación y publicación mediante Decreto Supremo de la Estrategia Nacional de Eficiencia Energética como instrumento de implementación de la Política Nacional de Eficiencia EE, a través del establecimiento de estándares de calidad mínimos para el uso eficiente de la electricidad en los sectores residencial, público y transporte, entre otros.</w:t>
            </w:r>
          </w:p>
        </w:tc>
        <w:tc>
          <w:tcPr>
            <w:tcW w:w="573" w:type="pct"/>
            <w:vAlign w:val="center"/>
          </w:tcPr>
          <w:p w14:paraId="373A4DD3"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Estrategia</w:t>
            </w:r>
          </w:p>
        </w:tc>
        <w:tc>
          <w:tcPr>
            <w:tcW w:w="332" w:type="pct"/>
            <w:vAlign w:val="center"/>
          </w:tcPr>
          <w:p w14:paraId="52C862BB"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6C8079EC"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17D23258"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75E22B1D"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BO"/>
              </w:rPr>
              <w:t>Por definir durante la preparación de la segunda operación de préstamo.</w:t>
            </w:r>
          </w:p>
        </w:tc>
      </w:tr>
      <w:tr w:rsidR="008D7BB5" w:rsidRPr="0086706A" w14:paraId="2823AC9D" w14:textId="77777777" w:rsidTr="008D7BB5">
        <w:trPr>
          <w:trHeight w:val="485"/>
        </w:trPr>
        <w:tc>
          <w:tcPr>
            <w:tcW w:w="2044" w:type="pct"/>
            <w:vAlign w:val="center"/>
          </w:tcPr>
          <w:p w14:paraId="1F38123D"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bCs/>
                <w:color w:val="000000"/>
                <w:sz w:val="18"/>
                <w:szCs w:val="18"/>
                <w:lang w:val="es-MX" w:eastAsia="es-CO"/>
              </w:rPr>
              <w:t>(v) Creación de una unidad dentro del MEN de apoyo a la eficiencia energética.</w:t>
            </w:r>
          </w:p>
        </w:tc>
        <w:tc>
          <w:tcPr>
            <w:tcW w:w="573" w:type="pct"/>
            <w:vAlign w:val="center"/>
          </w:tcPr>
          <w:p w14:paraId="45205ED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Unidad</w:t>
            </w:r>
          </w:p>
        </w:tc>
        <w:tc>
          <w:tcPr>
            <w:tcW w:w="332" w:type="pct"/>
            <w:vAlign w:val="center"/>
          </w:tcPr>
          <w:p w14:paraId="05E42C2D"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0</w:t>
            </w:r>
          </w:p>
        </w:tc>
        <w:tc>
          <w:tcPr>
            <w:tcW w:w="303" w:type="pct"/>
            <w:vAlign w:val="center"/>
          </w:tcPr>
          <w:p w14:paraId="1D7F7B17"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w:t>
            </w:r>
          </w:p>
        </w:tc>
        <w:tc>
          <w:tcPr>
            <w:tcW w:w="303" w:type="pct"/>
            <w:vAlign w:val="center"/>
          </w:tcPr>
          <w:p w14:paraId="3EA1D26F" w14:textId="77777777" w:rsidR="008D7BB5" w:rsidRPr="008D7BB5" w:rsidRDefault="008D7BB5" w:rsidP="002F1691">
            <w:pPr>
              <w:spacing w:before="40" w:after="40"/>
              <w:jc w:val="center"/>
              <w:rPr>
                <w:rFonts w:ascii="Arial" w:hAnsi="Arial" w:cs="Arial"/>
                <w:sz w:val="18"/>
                <w:szCs w:val="18"/>
                <w:lang w:val="es-BO"/>
              </w:rPr>
            </w:pPr>
            <w:r w:rsidRPr="008D7BB5">
              <w:rPr>
                <w:rFonts w:ascii="Arial" w:hAnsi="Arial" w:cs="Arial"/>
                <w:sz w:val="18"/>
                <w:szCs w:val="18"/>
                <w:lang w:val="es-BO"/>
              </w:rPr>
              <w:t>1</w:t>
            </w:r>
          </w:p>
        </w:tc>
        <w:tc>
          <w:tcPr>
            <w:tcW w:w="1443" w:type="pct"/>
            <w:vAlign w:val="center"/>
          </w:tcPr>
          <w:p w14:paraId="6112C530" w14:textId="77777777" w:rsidR="008D7BB5" w:rsidRPr="008D7BB5" w:rsidRDefault="008D7BB5" w:rsidP="002F1691">
            <w:pPr>
              <w:spacing w:before="40" w:after="40"/>
              <w:rPr>
                <w:rFonts w:ascii="Arial" w:hAnsi="Arial" w:cs="Arial"/>
                <w:sz w:val="18"/>
                <w:szCs w:val="18"/>
                <w:lang w:val="es-BO"/>
              </w:rPr>
            </w:pPr>
            <w:r w:rsidRPr="008D7BB5">
              <w:rPr>
                <w:rFonts w:ascii="Arial" w:hAnsi="Arial" w:cs="Arial"/>
                <w:sz w:val="18"/>
                <w:szCs w:val="18"/>
                <w:lang w:val="es-BO"/>
              </w:rPr>
              <w:t>Por definir durante la preparación de la segunda operación de préstamo.</w:t>
            </w:r>
          </w:p>
        </w:tc>
      </w:tr>
      <w:bookmarkEnd w:id="2"/>
    </w:tbl>
    <w:p w14:paraId="29F41C33" w14:textId="77777777" w:rsidR="008D7BB5" w:rsidRPr="008D7BB5" w:rsidRDefault="008D7BB5" w:rsidP="008D7BB5">
      <w:pPr>
        <w:pStyle w:val="ListParagraph"/>
        <w:spacing w:before="120" w:after="120"/>
        <w:ind w:left="540"/>
        <w:contextualSpacing w:val="0"/>
        <w:jc w:val="both"/>
        <w:rPr>
          <w:rFonts w:ascii="Arial" w:hAnsi="Arial" w:cs="Arial"/>
          <w:b/>
          <w:bCs/>
          <w:lang w:val="es-ES"/>
        </w:rPr>
      </w:pPr>
    </w:p>
    <w:p w14:paraId="135DBB82" w14:textId="417F97AE" w:rsidR="00C419B8" w:rsidRPr="001C59A0" w:rsidRDefault="00C419B8" w:rsidP="008D7BB5">
      <w:pPr>
        <w:pStyle w:val="ListParagraph"/>
        <w:numPr>
          <w:ilvl w:val="0"/>
          <w:numId w:val="5"/>
        </w:numPr>
        <w:spacing w:before="120" w:after="120"/>
        <w:ind w:left="540" w:hanging="540"/>
        <w:contextualSpacing w:val="0"/>
        <w:jc w:val="both"/>
        <w:rPr>
          <w:rFonts w:ascii="Arial" w:hAnsi="Arial" w:cs="Arial"/>
          <w:b/>
          <w:bCs/>
          <w:lang w:val="es-ES"/>
        </w:rPr>
      </w:pPr>
      <w:r w:rsidRPr="001C59A0">
        <w:rPr>
          <w:rFonts w:ascii="Arial" w:hAnsi="Arial" w:cs="Arial"/>
          <w:b/>
          <w:bCs/>
          <w:lang w:val="es-ES"/>
        </w:rPr>
        <w:t>Recolección de la información</w:t>
      </w:r>
      <w:bookmarkEnd w:id="1"/>
    </w:p>
    <w:p w14:paraId="0DEF3502" w14:textId="7F297F0A" w:rsidR="00C419B8" w:rsidRPr="008D7BB5" w:rsidRDefault="00802F10" w:rsidP="00C419B8">
      <w:pPr>
        <w:pStyle w:val="ListParagraph"/>
        <w:numPr>
          <w:ilvl w:val="1"/>
          <w:numId w:val="4"/>
        </w:numPr>
        <w:spacing w:before="120" w:after="120"/>
        <w:ind w:left="540" w:hanging="540"/>
        <w:contextualSpacing w:val="0"/>
        <w:jc w:val="both"/>
        <w:rPr>
          <w:rFonts w:ascii="Arial" w:hAnsi="Arial" w:cs="Arial"/>
          <w:lang w:val="es-CO"/>
        </w:rPr>
      </w:pPr>
      <w:r w:rsidRPr="001C59A0">
        <w:rPr>
          <w:rFonts w:ascii="Arial" w:hAnsi="Arial" w:cs="Arial"/>
          <w:lang w:val="es-CO"/>
        </w:rPr>
        <w:t xml:space="preserve">El Gobierno de </w:t>
      </w:r>
      <w:r w:rsidR="005B0156">
        <w:rPr>
          <w:rFonts w:ascii="Arial" w:hAnsi="Arial" w:cs="Arial"/>
          <w:lang w:val="es-CO"/>
        </w:rPr>
        <w:t>Bolivia</w:t>
      </w:r>
      <w:r w:rsidRPr="001C59A0">
        <w:rPr>
          <w:rFonts w:ascii="Arial" w:hAnsi="Arial" w:cs="Arial"/>
          <w:lang w:val="es-CO"/>
        </w:rPr>
        <w:t xml:space="preserve"> y el Banco han acordado efectuar reuniones de seguimiento en fechas a definir de común acuerdo. </w:t>
      </w:r>
      <w:r w:rsidR="00C419B8" w:rsidRPr="001C59A0">
        <w:rPr>
          <w:rFonts w:ascii="Arial" w:hAnsi="Arial" w:cs="Arial"/>
          <w:lang w:val="es-CO"/>
        </w:rPr>
        <w:t>Dada la modalidad de la operación</w:t>
      </w:r>
      <w:r>
        <w:rPr>
          <w:rFonts w:ascii="Arial" w:hAnsi="Arial" w:cs="Arial"/>
          <w:lang w:val="es-CO"/>
        </w:rPr>
        <w:t>,</w:t>
      </w:r>
      <w:r w:rsidR="00C419B8" w:rsidRPr="001C59A0">
        <w:rPr>
          <w:rFonts w:ascii="Arial" w:hAnsi="Arial" w:cs="Arial"/>
          <w:lang w:val="es-CO"/>
        </w:rPr>
        <w:t xml:space="preserve"> la recolección de la información se lleva</w:t>
      </w:r>
      <w:r w:rsidR="00BB23BB">
        <w:rPr>
          <w:rFonts w:ascii="Arial" w:hAnsi="Arial" w:cs="Arial"/>
          <w:lang w:val="es-CO"/>
        </w:rPr>
        <w:t>rá</w:t>
      </w:r>
      <w:r w:rsidR="00C419B8" w:rsidRPr="001C59A0">
        <w:rPr>
          <w:rFonts w:ascii="Arial" w:hAnsi="Arial" w:cs="Arial"/>
          <w:lang w:val="es-CO"/>
        </w:rPr>
        <w:t xml:space="preserve"> a cabo una sola vez antes del </w:t>
      </w:r>
      <w:r w:rsidR="00C419B8" w:rsidRPr="008D7BB5">
        <w:rPr>
          <w:rFonts w:ascii="Arial" w:hAnsi="Arial" w:cs="Arial"/>
          <w:lang w:val="es-CO"/>
        </w:rPr>
        <w:t xml:space="preserve">desembolso de cada tramo, y con el objetivo de preparar el informe de cumplimiento que garantice </w:t>
      </w:r>
      <w:r w:rsidR="00BB23BB" w:rsidRPr="008D7BB5">
        <w:rPr>
          <w:rFonts w:ascii="Arial" w:hAnsi="Arial" w:cs="Arial"/>
          <w:lang w:val="es-CO"/>
        </w:rPr>
        <w:t xml:space="preserve">la </w:t>
      </w:r>
      <w:r w:rsidR="007F5B8A" w:rsidRPr="008D7BB5">
        <w:rPr>
          <w:rFonts w:ascii="Arial" w:hAnsi="Arial" w:cs="Arial"/>
          <w:lang w:val="es-CO"/>
        </w:rPr>
        <w:t>consecución de</w:t>
      </w:r>
      <w:r w:rsidR="00C419B8" w:rsidRPr="008D7BB5">
        <w:rPr>
          <w:rFonts w:ascii="Arial" w:hAnsi="Arial" w:cs="Arial"/>
          <w:lang w:val="es-CO"/>
        </w:rPr>
        <w:t xml:space="preserve"> todos los compromisos establecidos en la </w:t>
      </w:r>
      <w:r w:rsidRPr="008D7BB5">
        <w:rPr>
          <w:rFonts w:ascii="Arial" w:hAnsi="Arial" w:cs="Arial"/>
          <w:lang w:val="es-CO"/>
        </w:rPr>
        <w:t>Matriz de Política</w:t>
      </w:r>
      <w:r w:rsidR="008C3C38" w:rsidRPr="008D7BB5">
        <w:rPr>
          <w:rFonts w:ascii="Arial" w:hAnsi="Arial" w:cs="Arial"/>
          <w:lang w:val="es-CO"/>
        </w:rPr>
        <w:t xml:space="preserve"> </w:t>
      </w:r>
      <w:r w:rsidR="00C419B8" w:rsidRPr="008D7BB5">
        <w:rPr>
          <w:rFonts w:ascii="Arial" w:hAnsi="Arial" w:cs="Arial"/>
          <w:lang w:val="es-CO"/>
        </w:rPr>
        <w:t xml:space="preserve">y </w:t>
      </w:r>
      <w:r w:rsidRPr="008D7BB5">
        <w:rPr>
          <w:rFonts w:ascii="Arial" w:hAnsi="Arial" w:cs="Arial"/>
          <w:lang w:val="es-CO"/>
        </w:rPr>
        <w:t xml:space="preserve">los indicadores de impacto y de resultados contenidos en la Matriz de </w:t>
      </w:r>
      <w:r w:rsidR="00C419B8" w:rsidRPr="008D7BB5">
        <w:rPr>
          <w:rFonts w:ascii="Arial" w:hAnsi="Arial" w:cs="Arial"/>
          <w:lang w:val="es-CO"/>
        </w:rPr>
        <w:t xml:space="preserve">Resultados, </w:t>
      </w:r>
      <w:r w:rsidRPr="008D7BB5">
        <w:rPr>
          <w:rFonts w:ascii="Arial" w:hAnsi="Arial" w:cs="Arial"/>
          <w:lang w:val="es-CO"/>
        </w:rPr>
        <w:t xml:space="preserve">así como  </w:t>
      </w:r>
      <w:r w:rsidR="00C419B8" w:rsidRPr="008D7BB5">
        <w:rPr>
          <w:rFonts w:ascii="Arial" w:hAnsi="Arial" w:cs="Arial"/>
          <w:lang w:val="es-CO"/>
        </w:rPr>
        <w:t>que se ha</w:t>
      </w:r>
      <w:r w:rsidRPr="008D7BB5">
        <w:rPr>
          <w:rFonts w:ascii="Arial" w:hAnsi="Arial" w:cs="Arial"/>
          <w:lang w:val="es-CO"/>
        </w:rPr>
        <w:t>yan</w:t>
      </w:r>
      <w:r w:rsidR="00C419B8" w:rsidRPr="008D7BB5">
        <w:rPr>
          <w:rFonts w:ascii="Arial" w:hAnsi="Arial" w:cs="Arial"/>
          <w:lang w:val="es-CO"/>
        </w:rPr>
        <w:t xml:space="preserve"> proporcionado todos los documentos establecidos como </w:t>
      </w:r>
      <w:r w:rsidRPr="008D7BB5">
        <w:rPr>
          <w:rFonts w:ascii="Arial" w:hAnsi="Arial" w:cs="Arial"/>
          <w:lang w:val="es-CO"/>
        </w:rPr>
        <w:t>M</w:t>
      </w:r>
      <w:r w:rsidR="00C419B8" w:rsidRPr="008D7BB5">
        <w:rPr>
          <w:rFonts w:ascii="Arial" w:hAnsi="Arial" w:cs="Arial"/>
          <w:lang w:val="es-CO"/>
        </w:rPr>
        <w:t xml:space="preserve">edios de </w:t>
      </w:r>
      <w:r w:rsidRPr="008D7BB5">
        <w:rPr>
          <w:rFonts w:ascii="Arial" w:hAnsi="Arial" w:cs="Arial"/>
          <w:lang w:val="es-CO"/>
        </w:rPr>
        <w:t>V</w:t>
      </w:r>
      <w:r w:rsidR="00C419B8" w:rsidRPr="008D7BB5">
        <w:rPr>
          <w:rFonts w:ascii="Arial" w:hAnsi="Arial" w:cs="Arial"/>
          <w:lang w:val="es-CO"/>
        </w:rPr>
        <w:t xml:space="preserve">erificación. </w:t>
      </w:r>
    </w:p>
    <w:p w14:paraId="0F134F14" w14:textId="46664282" w:rsidR="001D4DF2" w:rsidRPr="001D4DF2" w:rsidRDefault="00C419B8" w:rsidP="001D4DF2">
      <w:pPr>
        <w:pStyle w:val="ListParagraph"/>
        <w:numPr>
          <w:ilvl w:val="1"/>
          <w:numId w:val="4"/>
        </w:numPr>
        <w:spacing w:before="120" w:after="120"/>
        <w:ind w:left="540" w:hanging="540"/>
        <w:contextualSpacing w:val="0"/>
        <w:jc w:val="both"/>
        <w:rPr>
          <w:rFonts w:ascii="Arial" w:hAnsi="Arial" w:cs="Arial"/>
          <w:lang w:val="es-CO"/>
        </w:rPr>
      </w:pPr>
      <w:r w:rsidRPr="008D7BB5">
        <w:rPr>
          <w:rFonts w:ascii="Arial" w:hAnsi="Arial" w:cs="Arial"/>
          <w:lang w:val="es-CO"/>
        </w:rPr>
        <w:t xml:space="preserve">El BID seguirá apoyando al Gobierno de </w:t>
      </w:r>
      <w:r w:rsidR="001D4DF2" w:rsidRPr="008D7BB5">
        <w:rPr>
          <w:rFonts w:ascii="Arial" w:hAnsi="Arial" w:cs="Arial"/>
          <w:lang w:val="es-CO"/>
        </w:rPr>
        <w:t>Bolivia</w:t>
      </w:r>
      <w:r w:rsidRPr="008D7BB5">
        <w:rPr>
          <w:rFonts w:ascii="Arial" w:hAnsi="Arial" w:cs="Arial"/>
          <w:lang w:val="es-CO"/>
        </w:rPr>
        <w:t xml:space="preserve"> en el cumplimiento de los compromisos de política mediante recursos de</w:t>
      </w:r>
      <w:r w:rsidR="008D7BB5" w:rsidRPr="008D7BB5">
        <w:rPr>
          <w:rFonts w:ascii="Arial" w:hAnsi="Arial" w:cs="Arial"/>
          <w:lang w:val="es-CO"/>
        </w:rPr>
        <w:t xml:space="preserve"> </w:t>
      </w:r>
      <w:r w:rsidR="001D4DF2" w:rsidRPr="008D7BB5">
        <w:rPr>
          <w:rFonts w:ascii="Arial" w:hAnsi="Arial" w:cs="Arial"/>
          <w:lang w:val="es-CO"/>
        </w:rPr>
        <w:t>Cooperación Técnica (CT) no reembolsable (ATN/OC-16595-BO) de apoyo a la preparación</w:t>
      </w:r>
      <w:r w:rsidR="001D4DF2" w:rsidRPr="001D4DF2">
        <w:rPr>
          <w:rFonts w:ascii="Arial" w:hAnsi="Arial" w:cs="Arial"/>
          <w:lang w:val="es-CO"/>
        </w:rPr>
        <w:t xml:space="preserve"> de la operación Programa de Fortalecimiento del Sector Eléctrico (BO-L1189),</w:t>
      </w:r>
    </w:p>
    <w:p w14:paraId="3B69D21A" w14:textId="0007B1B4" w:rsidR="000957B7" w:rsidRDefault="000957B7" w:rsidP="00940452">
      <w:pPr>
        <w:pStyle w:val="ListParagraph"/>
        <w:numPr>
          <w:ilvl w:val="1"/>
          <w:numId w:val="4"/>
        </w:numPr>
        <w:spacing w:before="120" w:after="120"/>
        <w:ind w:left="540" w:hanging="540"/>
        <w:contextualSpacing w:val="0"/>
        <w:jc w:val="both"/>
        <w:rPr>
          <w:rFonts w:ascii="Arial" w:hAnsi="Arial" w:cs="Arial"/>
          <w:lang w:val="es-CO"/>
        </w:rPr>
      </w:pPr>
      <w:r>
        <w:rPr>
          <w:rFonts w:ascii="Arial" w:hAnsi="Arial" w:cs="Arial"/>
          <w:lang w:val="es-CO"/>
        </w:rPr>
        <w:t xml:space="preserve">El presupuesto designado para el seguimiento de los medios de verificación se describe a continuación: </w:t>
      </w:r>
    </w:p>
    <w:tbl>
      <w:tblPr>
        <w:tblW w:w="3959" w:type="pct"/>
        <w:jc w:val="center"/>
        <w:tblLayout w:type="fixed"/>
        <w:tblLook w:val="04A0" w:firstRow="1" w:lastRow="0" w:firstColumn="1" w:lastColumn="0" w:noHBand="0" w:noVBand="1"/>
      </w:tblPr>
      <w:tblGrid>
        <w:gridCol w:w="4192"/>
        <w:gridCol w:w="2637"/>
      </w:tblGrid>
      <w:tr w:rsidR="000957B7" w:rsidRPr="001C59A0" w14:paraId="33D33C23" w14:textId="77777777" w:rsidTr="000957B7">
        <w:trPr>
          <w:trHeight w:val="250"/>
          <w:jc w:val="center"/>
        </w:trPr>
        <w:tc>
          <w:tcPr>
            <w:tcW w:w="3069"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F8F39C5" w14:textId="77777777" w:rsidR="000957B7" w:rsidRPr="001C59A0" w:rsidRDefault="000957B7" w:rsidP="006E0CEB">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Actividad</w:t>
            </w:r>
          </w:p>
        </w:tc>
        <w:tc>
          <w:tcPr>
            <w:tcW w:w="1931" w:type="pct"/>
            <w:tcBorders>
              <w:top w:val="single" w:sz="8" w:space="0" w:color="auto"/>
              <w:left w:val="single" w:sz="8" w:space="0" w:color="auto"/>
              <w:right w:val="single" w:sz="4" w:space="0" w:color="auto"/>
            </w:tcBorders>
            <w:shd w:val="clear" w:color="000000" w:fill="D9D9D9"/>
          </w:tcPr>
          <w:p w14:paraId="37362918" w14:textId="77777777" w:rsidR="000957B7" w:rsidRPr="001C59A0" w:rsidRDefault="000957B7" w:rsidP="006E0CEB">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Responsable y Costo</w:t>
            </w:r>
          </w:p>
        </w:tc>
      </w:tr>
      <w:tr w:rsidR="000957B7" w:rsidRPr="000957B7" w14:paraId="7979673D" w14:textId="77777777" w:rsidTr="000957B7">
        <w:trPr>
          <w:trHeight w:val="394"/>
          <w:jc w:val="center"/>
        </w:trPr>
        <w:tc>
          <w:tcPr>
            <w:tcW w:w="3069" w:type="pct"/>
            <w:tcBorders>
              <w:top w:val="nil"/>
              <w:left w:val="single" w:sz="8" w:space="0" w:color="auto"/>
              <w:bottom w:val="single" w:sz="8" w:space="0" w:color="auto"/>
              <w:right w:val="single" w:sz="8" w:space="0" w:color="auto"/>
            </w:tcBorders>
            <w:shd w:val="clear" w:color="auto" w:fill="auto"/>
            <w:noWrap/>
            <w:vAlign w:val="center"/>
            <w:hideMark/>
          </w:tcPr>
          <w:p w14:paraId="49B6C9F4" w14:textId="357964B7" w:rsidR="000957B7" w:rsidRPr="00063817" w:rsidRDefault="000957B7" w:rsidP="000957B7">
            <w:pPr>
              <w:rPr>
                <w:rFonts w:ascii="Arial" w:hAnsi="Arial" w:cs="Arial"/>
                <w:b/>
                <w:bCs/>
                <w:color w:val="000000"/>
                <w:sz w:val="18"/>
                <w:szCs w:val="20"/>
                <w:lang w:val="es-MX"/>
              </w:rPr>
            </w:pPr>
            <w:r>
              <w:rPr>
                <w:rFonts w:ascii="Arial" w:hAnsi="Arial" w:cs="Arial"/>
                <w:bCs/>
                <w:color w:val="000000"/>
                <w:sz w:val="18"/>
                <w:szCs w:val="20"/>
                <w:lang w:val="es-MX"/>
              </w:rPr>
              <w:t>Reuniones de revisión del cumplimiento de los compromisos</w:t>
            </w:r>
          </w:p>
        </w:tc>
        <w:tc>
          <w:tcPr>
            <w:tcW w:w="1931" w:type="pct"/>
            <w:tcBorders>
              <w:top w:val="single" w:sz="8" w:space="0" w:color="auto"/>
              <w:left w:val="nil"/>
              <w:bottom w:val="single" w:sz="8" w:space="0" w:color="auto"/>
              <w:right w:val="single" w:sz="8" w:space="0" w:color="auto"/>
            </w:tcBorders>
            <w:shd w:val="clear" w:color="auto" w:fill="auto"/>
            <w:vAlign w:val="center"/>
          </w:tcPr>
          <w:p w14:paraId="44BBF381" w14:textId="1CBD0382" w:rsidR="000957B7" w:rsidRPr="001C59A0" w:rsidRDefault="000957B7" w:rsidP="006E0CEB">
            <w:pPr>
              <w:jc w:val="center"/>
              <w:rPr>
                <w:rFonts w:ascii="Arial" w:hAnsi="Arial" w:cs="Arial"/>
                <w:bCs/>
                <w:color w:val="000000"/>
                <w:sz w:val="18"/>
                <w:szCs w:val="20"/>
                <w:lang w:val="es-MX"/>
              </w:rPr>
            </w:pPr>
            <w:r>
              <w:rPr>
                <w:rFonts w:ascii="Arial" w:hAnsi="Arial" w:cs="Arial"/>
                <w:bCs/>
                <w:color w:val="000000"/>
                <w:sz w:val="18"/>
                <w:szCs w:val="20"/>
                <w:lang w:val="es-MX"/>
              </w:rPr>
              <w:t>US$5</w:t>
            </w:r>
            <w:r w:rsidRPr="001C59A0">
              <w:rPr>
                <w:rFonts w:ascii="Arial" w:hAnsi="Arial" w:cs="Arial"/>
                <w:bCs/>
                <w:color w:val="000000"/>
                <w:sz w:val="18"/>
                <w:szCs w:val="20"/>
                <w:lang w:val="es-MX"/>
              </w:rPr>
              <w:t>,000</w:t>
            </w:r>
            <w:r>
              <w:rPr>
                <w:rFonts w:ascii="Arial" w:hAnsi="Arial" w:cs="Arial"/>
                <w:bCs/>
                <w:color w:val="000000"/>
                <w:sz w:val="18"/>
                <w:szCs w:val="20"/>
                <w:lang w:val="es-MX"/>
              </w:rPr>
              <w:t xml:space="preserve"> IDB</w:t>
            </w:r>
          </w:p>
        </w:tc>
      </w:tr>
      <w:tr w:rsidR="000957B7" w:rsidRPr="00063817" w14:paraId="2425534B" w14:textId="77777777" w:rsidTr="000957B7">
        <w:trPr>
          <w:trHeight w:val="394"/>
          <w:jc w:val="center"/>
        </w:trPr>
        <w:tc>
          <w:tcPr>
            <w:tcW w:w="3069" w:type="pct"/>
            <w:tcBorders>
              <w:top w:val="nil"/>
              <w:left w:val="single" w:sz="8" w:space="0" w:color="auto"/>
              <w:bottom w:val="single" w:sz="8" w:space="0" w:color="auto"/>
              <w:right w:val="single" w:sz="8" w:space="0" w:color="auto"/>
            </w:tcBorders>
            <w:shd w:val="clear" w:color="auto" w:fill="auto"/>
            <w:noWrap/>
            <w:vAlign w:val="center"/>
          </w:tcPr>
          <w:p w14:paraId="235D2BCE" w14:textId="1B972788" w:rsidR="000957B7" w:rsidRPr="001C59A0" w:rsidRDefault="000957B7" w:rsidP="000957B7">
            <w:pPr>
              <w:rPr>
                <w:rFonts w:ascii="Arial" w:hAnsi="Arial" w:cs="Arial"/>
                <w:bCs/>
                <w:color w:val="000000"/>
                <w:sz w:val="18"/>
                <w:szCs w:val="20"/>
                <w:lang w:val="es-MX"/>
              </w:rPr>
            </w:pPr>
            <w:r>
              <w:rPr>
                <w:rFonts w:ascii="Arial" w:hAnsi="Arial" w:cs="Arial"/>
                <w:bCs/>
                <w:color w:val="000000"/>
                <w:sz w:val="18"/>
                <w:szCs w:val="20"/>
                <w:lang w:val="es-MX"/>
              </w:rPr>
              <w:t xml:space="preserve">Talleres de presentación de presentación del avance y contenido de los medios de verificación  </w:t>
            </w:r>
          </w:p>
        </w:tc>
        <w:tc>
          <w:tcPr>
            <w:tcW w:w="1931" w:type="pct"/>
            <w:tcBorders>
              <w:top w:val="single" w:sz="8" w:space="0" w:color="auto"/>
              <w:left w:val="nil"/>
              <w:bottom w:val="single" w:sz="8" w:space="0" w:color="auto"/>
              <w:right w:val="single" w:sz="8" w:space="0" w:color="auto"/>
            </w:tcBorders>
            <w:shd w:val="clear" w:color="auto" w:fill="auto"/>
            <w:vAlign w:val="center"/>
          </w:tcPr>
          <w:p w14:paraId="2989BD06" w14:textId="669AF632" w:rsidR="000957B7" w:rsidRPr="001C59A0" w:rsidRDefault="000957B7" w:rsidP="006E0CEB">
            <w:pPr>
              <w:jc w:val="center"/>
              <w:rPr>
                <w:rFonts w:ascii="Arial" w:hAnsi="Arial" w:cs="Arial"/>
                <w:bCs/>
                <w:color w:val="000000"/>
                <w:sz w:val="18"/>
                <w:szCs w:val="20"/>
                <w:lang w:val="es-MX"/>
              </w:rPr>
            </w:pPr>
            <w:r>
              <w:rPr>
                <w:rFonts w:ascii="Arial" w:hAnsi="Arial" w:cs="Arial"/>
                <w:bCs/>
                <w:color w:val="000000"/>
                <w:sz w:val="18"/>
                <w:szCs w:val="20"/>
                <w:lang w:val="es-MX"/>
              </w:rPr>
              <w:t>US$</w:t>
            </w:r>
            <w:r w:rsidRPr="001C59A0">
              <w:rPr>
                <w:rFonts w:ascii="Arial" w:hAnsi="Arial" w:cs="Arial"/>
                <w:bCs/>
                <w:color w:val="000000"/>
                <w:sz w:val="18"/>
                <w:szCs w:val="20"/>
                <w:lang w:val="es-MX"/>
              </w:rPr>
              <w:t>5,000</w:t>
            </w:r>
            <w:r>
              <w:rPr>
                <w:rFonts w:ascii="Arial" w:hAnsi="Arial" w:cs="Arial"/>
                <w:bCs/>
                <w:color w:val="000000"/>
                <w:sz w:val="18"/>
                <w:szCs w:val="20"/>
                <w:lang w:val="es-MX"/>
              </w:rPr>
              <w:t xml:space="preserve"> IDB</w:t>
            </w:r>
          </w:p>
        </w:tc>
      </w:tr>
      <w:tr w:rsidR="000957B7" w:rsidRPr="00063817" w14:paraId="3DD1FE85" w14:textId="77777777" w:rsidTr="000957B7">
        <w:trPr>
          <w:trHeight w:val="394"/>
          <w:jc w:val="center"/>
        </w:trPr>
        <w:tc>
          <w:tcPr>
            <w:tcW w:w="3069" w:type="pct"/>
            <w:tcBorders>
              <w:top w:val="nil"/>
              <w:left w:val="single" w:sz="8" w:space="0" w:color="auto"/>
              <w:bottom w:val="single" w:sz="8" w:space="0" w:color="auto"/>
              <w:right w:val="single" w:sz="8" w:space="0" w:color="auto"/>
            </w:tcBorders>
            <w:shd w:val="clear" w:color="auto" w:fill="auto"/>
            <w:noWrap/>
            <w:vAlign w:val="center"/>
          </w:tcPr>
          <w:p w14:paraId="02F540BA" w14:textId="5709DD2B" w:rsidR="000957B7" w:rsidRDefault="000957B7" w:rsidP="006E0CEB">
            <w:pPr>
              <w:jc w:val="right"/>
              <w:rPr>
                <w:rFonts w:ascii="Arial" w:hAnsi="Arial" w:cs="Arial"/>
                <w:bCs/>
                <w:color w:val="000000"/>
                <w:sz w:val="18"/>
                <w:szCs w:val="20"/>
                <w:lang w:val="es-MX"/>
              </w:rPr>
            </w:pPr>
            <w:r w:rsidRPr="001C59A0">
              <w:rPr>
                <w:rFonts w:ascii="Arial" w:hAnsi="Arial" w:cs="Arial"/>
                <w:bCs/>
                <w:color w:val="000000"/>
                <w:sz w:val="18"/>
                <w:szCs w:val="20"/>
                <w:lang w:val="es-MX"/>
              </w:rPr>
              <w:t>Total</w:t>
            </w:r>
          </w:p>
        </w:tc>
        <w:tc>
          <w:tcPr>
            <w:tcW w:w="1931" w:type="pct"/>
            <w:tcBorders>
              <w:top w:val="single" w:sz="8" w:space="0" w:color="auto"/>
              <w:left w:val="nil"/>
              <w:bottom w:val="single" w:sz="8" w:space="0" w:color="auto"/>
              <w:right w:val="single" w:sz="8" w:space="0" w:color="auto"/>
            </w:tcBorders>
            <w:shd w:val="clear" w:color="auto" w:fill="auto"/>
            <w:vAlign w:val="center"/>
          </w:tcPr>
          <w:p w14:paraId="0BD32228" w14:textId="1A3C5644" w:rsidR="000957B7" w:rsidRPr="001C59A0" w:rsidRDefault="000957B7" w:rsidP="006E0CEB">
            <w:pPr>
              <w:jc w:val="center"/>
              <w:rPr>
                <w:rFonts w:ascii="Arial" w:hAnsi="Arial" w:cs="Arial"/>
                <w:bCs/>
                <w:color w:val="000000"/>
                <w:sz w:val="18"/>
                <w:szCs w:val="20"/>
                <w:lang w:val="es-MX"/>
              </w:rPr>
            </w:pPr>
            <w:r w:rsidRPr="001C59A0">
              <w:rPr>
                <w:rFonts w:ascii="Arial" w:hAnsi="Arial" w:cs="Arial"/>
                <w:bCs/>
                <w:color w:val="000000"/>
                <w:sz w:val="18"/>
                <w:szCs w:val="20"/>
                <w:lang w:val="es-MX"/>
              </w:rPr>
              <w:t>US$</w:t>
            </w:r>
            <w:r>
              <w:rPr>
                <w:rFonts w:ascii="Arial" w:hAnsi="Arial" w:cs="Arial"/>
                <w:bCs/>
                <w:color w:val="000000"/>
                <w:sz w:val="18"/>
                <w:szCs w:val="20"/>
                <w:lang w:val="es-MX"/>
              </w:rPr>
              <w:t>10</w:t>
            </w:r>
            <w:r w:rsidRPr="001C59A0">
              <w:rPr>
                <w:rFonts w:ascii="Arial" w:hAnsi="Arial" w:cs="Arial"/>
                <w:bCs/>
                <w:color w:val="000000"/>
                <w:sz w:val="18"/>
                <w:szCs w:val="20"/>
                <w:lang w:val="es-MX"/>
              </w:rPr>
              <w:t>,000 IDB</w:t>
            </w:r>
            <w:r>
              <w:rPr>
                <w:rFonts w:ascii="Arial" w:hAnsi="Arial" w:cs="Arial"/>
                <w:bCs/>
                <w:color w:val="000000"/>
                <w:sz w:val="18"/>
                <w:szCs w:val="20"/>
                <w:lang w:val="es-MX"/>
              </w:rPr>
              <w:t>*</w:t>
            </w:r>
          </w:p>
        </w:tc>
      </w:tr>
    </w:tbl>
    <w:p w14:paraId="74576732" w14:textId="74555401" w:rsidR="00802F10" w:rsidRPr="008A78D3" w:rsidRDefault="000957B7" w:rsidP="00C419B8">
      <w:pPr>
        <w:pStyle w:val="Title"/>
        <w:tabs>
          <w:tab w:val="clear" w:pos="1440"/>
          <w:tab w:val="clear" w:pos="3060"/>
        </w:tabs>
        <w:spacing w:before="120" w:after="120"/>
        <w:ind w:left="720"/>
        <w:jc w:val="both"/>
        <w:outlineLvl w:val="9"/>
        <w:rPr>
          <w:rFonts w:ascii="Arial" w:hAnsi="Arial" w:cs="Arial"/>
          <w:lang w:val="es-CO"/>
        </w:rPr>
      </w:pPr>
      <w:r>
        <w:rPr>
          <w:rFonts w:ascii="Arial" w:hAnsi="Arial" w:cs="Arial"/>
          <w:lang w:val="es-CO"/>
        </w:rPr>
        <w:t>*</w:t>
      </w:r>
      <w:r>
        <w:rPr>
          <w:rFonts w:ascii="Arial" w:hAnsi="Arial" w:cs="Arial"/>
          <w:sz w:val="20"/>
          <w:szCs w:val="20"/>
          <w:lang w:val="es-CO"/>
        </w:rPr>
        <w:t>P</w:t>
      </w:r>
      <w:r w:rsidRPr="000957B7">
        <w:rPr>
          <w:rFonts w:ascii="Arial" w:hAnsi="Arial" w:cs="Arial"/>
          <w:sz w:val="20"/>
          <w:szCs w:val="20"/>
          <w:lang w:val="es-CO"/>
        </w:rPr>
        <w:t>resupuesto transaccional.</w:t>
      </w:r>
    </w:p>
    <w:p w14:paraId="581EDF2D" w14:textId="77777777" w:rsidR="00C419B8" w:rsidRPr="001C59A0" w:rsidRDefault="00C419B8" w:rsidP="00C419B8">
      <w:pPr>
        <w:pStyle w:val="FirstHeading"/>
        <w:keepNext w:val="0"/>
        <w:widowControl w:val="0"/>
        <w:numPr>
          <w:ilvl w:val="0"/>
          <w:numId w:val="4"/>
        </w:numPr>
        <w:tabs>
          <w:tab w:val="clear" w:pos="90"/>
        </w:tabs>
        <w:ind w:left="540" w:hanging="540"/>
        <w:rPr>
          <w:rFonts w:ascii="Arial" w:hAnsi="Arial" w:cs="Arial"/>
          <w:szCs w:val="24"/>
        </w:rPr>
      </w:pPr>
      <w:r w:rsidRPr="001C59A0">
        <w:rPr>
          <w:rFonts w:ascii="Arial" w:hAnsi="Arial" w:cs="Arial"/>
          <w:szCs w:val="24"/>
        </w:rPr>
        <w:t>Evaluación</w:t>
      </w:r>
    </w:p>
    <w:p w14:paraId="33649E7C" w14:textId="77777777" w:rsidR="00C419B8" w:rsidRPr="001C59A0" w:rsidRDefault="00C419B8" w:rsidP="00C419B8">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1C59A0">
        <w:rPr>
          <w:rFonts w:ascii="Arial" w:hAnsi="Arial" w:cs="Arial"/>
          <w:szCs w:val="24"/>
          <w:lang w:val="es-ES"/>
        </w:rPr>
        <w:t xml:space="preserve">En esta sección se presenta la metodología de evaluación del programa, partiendo de las preguntas de evaluación, </w:t>
      </w:r>
      <w:r w:rsidRPr="001C59A0">
        <w:rPr>
          <w:rFonts w:ascii="Arial" w:eastAsia="Arial Unicode MS" w:hAnsi="Arial" w:cs="Arial"/>
          <w:bCs/>
          <w:szCs w:val="24"/>
          <w:lang w:val="es-ES"/>
        </w:rPr>
        <w:t>describiendo</w:t>
      </w:r>
      <w:r w:rsidRPr="001C59A0">
        <w:rPr>
          <w:rFonts w:ascii="Arial" w:hAnsi="Arial" w:cs="Arial"/>
          <w:szCs w:val="24"/>
          <w:lang w:val="es-ES"/>
        </w:rPr>
        <w:t xml:space="preserve"> el alcance y los mecanismos de recolección de información</w:t>
      </w:r>
      <w:r w:rsidR="0005070E">
        <w:rPr>
          <w:rFonts w:ascii="Arial" w:hAnsi="Arial" w:cs="Arial"/>
          <w:szCs w:val="24"/>
          <w:lang w:val="es-ES"/>
        </w:rPr>
        <w:t>,</w:t>
      </w:r>
      <w:r w:rsidRPr="001C59A0">
        <w:rPr>
          <w:rFonts w:ascii="Arial" w:hAnsi="Arial" w:cs="Arial"/>
          <w:szCs w:val="24"/>
          <w:lang w:val="es-ES"/>
        </w:rPr>
        <w:t xml:space="preserve"> y </w:t>
      </w:r>
      <w:r w:rsidRPr="001C59A0">
        <w:rPr>
          <w:rFonts w:ascii="Arial" w:hAnsi="Arial" w:cs="Arial"/>
          <w:bCs/>
          <w:szCs w:val="24"/>
          <w:lang w:val="es-ES"/>
        </w:rPr>
        <w:t>presentando</w:t>
      </w:r>
      <w:r w:rsidRPr="001C59A0">
        <w:rPr>
          <w:rFonts w:ascii="Arial" w:hAnsi="Arial" w:cs="Arial"/>
          <w:szCs w:val="24"/>
          <w:lang w:val="es-ES"/>
        </w:rPr>
        <w:t xml:space="preserve"> los indicadores de resultado e impacto definidos.</w:t>
      </w:r>
    </w:p>
    <w:p w14:paraId="3620CC6C" w14:textId="77777777" w:rsidR="00C419B8" w:rsidRPr="001C59A0" w:rsidRDefault="00C419B8" w:rsidP="00C419B8">
      <w:pPr>
        <w:pStyle w:val="Paragraph"/>
        <w:widowControl w:val="0"/>
        <w:numPr>
          <w:ilvl w:val="0"/>
          <w:numId w:val="3"/>
        </w:numPr>
        <w:tabs>
          <w:tab w:val="left" w:pos="0"/>
        </w:tabs>
        <w:ind w:left="540" w:hanging="540"/>
        <w:rPr>
          <w:rFonts w:ascii="Arial" w:hAnsi="Arial" w:cs="Arial"/>
          <w:b/>
          <w:spacing w:val="-3"/>
          <w:szCs w:val="24"/>
          <w:lang w:val="es-ES"/>
        </w:rPr>
      </w:pPr>
      <w:r w:rsidRPr="001C59A0">
        <w:rPr>
          <w:rFonts w:ascii="Arial" w:hAnsi="Arial" w:cs="Arial"/>
          <w:b/>
          <w:spacing w:val="-3"/>
          <w:szCs w:val="24"/>
          <w:lang w:val="es-ES"/>
        </w:rPr>
        <w:t>Principales preguntas de evaluación.</w:t>
      </w:r>
    </w:p>
    <w:p w14:paraId="2A0F8C76" w14:textId="5B3C4C3C" w:rsidR="00DE7057" w:rsidRDefault="00DE7057" w:rsidP="00DE7057">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 xml:space="preserve">¿Se ha logrado </w:t>
      </w:r>
      <w:r w:rsidRPr="00DE7057">
        <w:rPr>
          <w:rFonts w:ascii="Arial" w:hAnsi="Arial" w:cs="Arial"/>
          <w:lang w:val="es-ES_tradnl"/>
        </w:rPr>
        <w:t>fortalecer el marco normativo e institucional de</w:t>
      </w:r>
      <w:r w:rsidR="001D4DF2">
        <w:rPr>
          <w:rFonts w:ascii="Arial" w:hAnsi="Arial" w:cs="Arial"/>
          <w:lang w:val="es-ES_tradnl"/>
        </w:rPr>
        <w:t>l sector eléctrico</w:t>
      </w:r>
      <w:r>
        <w:rPr>
          <w:rFonts w:ascii="Arial" w:hAnsi="Arial" w:cs="Arial"/>
          <w:lang w:val="es-ES_tradnl"/>
        </w:rPr>
        <w:t>?</w:t>
      </w:r>
    </w:p>
    <w:p w14:paraId="318C551F" w14:textId="66C1D321" w:rsidR="00DE7057" w:rsidRDefault="00DE7057" w:rsidP="00DE7057">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 xml:space="preserve">¿Se ha mejorado </w:t>
      </w:r>
      <w:r w:rsidRPr="00DE7057">
        <w:rPr>
          <w:rFonts w:ascii="Arial" w:hAnsi="Arial" w:cs="Arial"/>
          <w:lang w:val="es-ES_tradnl"/>
        </w:rPr>
        <w:t xml:space="preserve">la seguridad energética </w:t>
      </w:r>
      <w:r>
        <w:rPr>
          <w:rFonts w:ascii="Arial" w:hAnsi="Arial" w:cs="Arial"/>
          <w:lang w:val="es-ES_tradnl"/>
        </w:rPr>
        <w:t>del país por medio de la diversificación de la matriz energética?</w:t>
      </w:r>
    </w:p>
    <w:p w14:paraId="689E7366" w14:textId="77777777" w:rsidR="001D4DF2" w:rsidRDefault="001D4DF2" w:rsidP="001D4DF2">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¿Se ha promovido un usa más eficiente de la energía a través de medidas de Eficiencia Energética?</w:t>
      </w:r>
    </w:p>
    <w:p w14:paraId="04290186" w14:textId="4A831249" w:rsidR="001D4DF2" w:rsidRDefault="001D4DF2" w:rsidP="001D4DF2">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¿Se ha mejorado las capacidades de planificación y gestión para incrementa el acceso a la energía?</w:t>
      </w:r>
    </w:p>
    <w:p w14:paraId="21614EAB" w14:textId="6A5AD453" w:rsidR="001D4DF2" w:rsidRDefault="001D4DF2" w:rsidP="001D4DF2">
      <w:pPr>
        <w:pStyle w:val="ListParagraph"/>
        <w:numPr>
          <w:ilvl w:val="0"/>
          <w:numId w:val="6"/>
        </w:numPr>
        <w:tabs>
          <w:tab w:val="left" w:pos="0"/>
        </w:tabs>
        <w:spacing w:before="120" w:after="120"/>
        <w:ind w:left="540" w:hanging="540"/>
        <w:contextualSpacing w:val="0"/>
        <w:jc w:val="both"/>
        <w:rPr>
          <w:rFonts w:ascii="Arial" w:hAnsi="Arial" w:cs="Arial"/>
          <w:lang w:val="es-ES_tradnl"/>
        </w:rPr>
      </w:pPr>
      <w:r>
        <w:rPr>
          <w:rFonts w:ascii="Arial" w:hAnsi="Arial" w:cs="Arial"/>
          <w:lang w:val="es-ES_tradnl"/>
        </w:rPr>
        <w:t xml:space="preserve">Se han generado capacidades que faciliten la inclusión de temas de equidad de género en la ENDE? </w:t>
      </w:r>
    </w:p>
    <w:p w14:paraId="7721DE0E" w14:textId="77777777" w:rsidR="00671CF3" w:rsidRPr="00671CF3" w:rsidRDefault="00671CF3" w:rsidP="00671CF3">
      <w:pPr>
        <w:tabs>
          <w:tab w:val="left" w:pos="0"/>
        </w:tabs>
        <w:spacing w:before="120" w:after="120"/>
        <w:jc w:val="both"/>
        <w:rPr>
          <w:rFonts w:ascii="Arial" w:hAnsi="Arial" w:cs="Arial"/>
          <w:lang w:val="es-ES_tradnl"/>
        </w:rPr>
      </w:pPr>
    </w:p>
    <w:p w14:paraId="4BC67109" w14:textId="719A9033" w:rsidR="00C419B8" w:rsidRPr="001C59A0" w:rsidRDefault="0092689F" w:rsidP="0092689F">
      <w:pPr>
        <w:pStyle w:val="Paragraph"/>
        <w:widowControl w:val="0"/>
        <w:numPr>
          <w:ilvl w:val="0"/>
          <w:numId w:val="3"/>
        </w:numPr>
        <w:tabs>
          <w:tab w:val="left" w:pos="0"/>
        </w:tabs>
        <w:ind w:left="540" w:hanging="540"/>
        <w:rPr>
          <w:rFonts w:ascii="Arial" w:hAnsi="Arial" w:cs="Arial"/>
          <w:szCs w:val="24"/>
          <w:lang w:val="es-BO"/>
        </w:rPr>
      </w:pPr>
      <w:r w:rsidRPr="001C59A0">
        <w:rPr>
          <w:rFonts w:ascii="Arial" w:hAnsi="Arial" w:cs="Arial"/>
          <w:b/>
          <w:szCs w:val="24"/>
          <w:lang w:val="es-BO"/>
        </w:rPr>
        <w:lastRenderedPageBreak/>
        <w:t xml:space="preserve"> </w:t>
      </w:r>
      <w:r w:rsidR="00C419B8" w:rsidRPr="001C59A0">
        <w:rPr>
          <w:rFonts w:ascii="Arial" w:hAnsi="Arial" w:cs="Arial"/>
          <w:b/>
          <w:szCs w:val="24"/>
          <w:lang w:val="es-BO"/>
        </w:rPr>
        <w:t>Conocimiento existente.</w:t>
      </w:r>
      <w:r w:rsidR="00C419B8" w:rsidRPr="001C59A0">
        <w:rPr>
          <w:rFonts w:ascii="Arial" w:hAnsi="Arial" w:cs="Arial"/>
          <w:szCs w:val="24"/>
          <w:lang w:val="es-BO"/>
        </w:rPr>
        <w:t xml:space="preserve"> </w:t>
      </w:r>
    </w:p>
    <w:p w14:paraId="517CA527" w14:textId="4F5B11DE" w:rsidR="008D7BB5" w:rsidRPr="008D7BB5" w:rsidRDefault="001D4DF2" w:rsidP="002F1691">
      <w:pPr>
        <w:pStyle w:val="BodyText2"/>
        <w:numPr>
          <w:ilvl w:val="1"/>
          <w:numId w:val="4"/>
        </w:numPr>
        <w:tabs>
          <w:tab w:val="left" w:pos="0"/>
          <w:tab w:val="left" w:pos="720"/>
        </w:tabs>
        <w:spacing w:before="120" w:line="240" w:lineRule="auto"/>
        <w:ind w:left="540" w:hanging="540"/>
        <w:jc w:val="both"/>
        <w:rPr>
          <w:rFonts w:ascii="Arial" w:hAnsi="Arial"/>
          <w:sz w:val="22"/>
          <w:lang w:val="es-PA"/>
        </w:rPr>
      </w:pPr>
      <w:r w:rsidRPr="008D7BB5">
        <w:rPr>
          <w:rFonts w:ascii="Arial" w:hAnsi="Arial" w:cs="Arial"/>
          <w:szCs w:val="24"/>
          <w:lang w:val="es-ES"/>
        </w:rPr>
        <w:t xml:space="preserve">Durante la </w:t>
      </w:r>
      <w:r w:rsidR="00C419B8" w:rsidRPr="008D7BB5">
        <w:rPr>
          <w:rFonts w:ascii="Arial" w:hAnsi="Arial" w:cs="Arial"/>
          <w:szCs w:val="24"/>
          <w:lang w:val="es-ES"/>
        </w:rPr>
        <w:t>preparación</w:t>
      </w:r>
      <w:r w:rsidRPr="008D7BB5">
        <w:rPr>
          <w:rFonts w:ascii="Arial" w:hAnsi="Arial" w:cs="Arial"/>
          <w:szCs w:val="24"/>
          <w:lang w:val="es-ES"/>
        </w:rPr>
        <w:t xml:space="preserve"> del Programa</w:t>
      </w:r>
      <w:r w:rsidR="00C419B8" w:rsidRPr="008D7BB5">
        <w:rPr>
          <w:rFonts w:ascii="Arial" w:hAnsi="Arial" w:cs="Arial"/>
          <w:szCs w:val="24"/>
          <w:lang w:val="es-ES"/>
        </w:rPr>
        <w:t xml:space="preserve"> se </w:t>
      </w:r>
      <w:r w:rsidRPr="008D7BB5">
        <w:rPr>
          <w:rFonts w:ascii="Arial" w:hAnsi="Arial"/>
          <w:sz w:val="22"/>
          <w:lang w:val="es-PA"/>
        </w:rPr>
        <w:t>realizó u</w:t>
      </w:r>
      <w:r w:rsidR="008D7BB5" w:rsidRPr="008D7BB5">
        <w:rPr>
          <w:rFonts w:ascii="Arial" w:hAnsi="Arial"/>
          <w:sz w:val="22"/>
          <w:lang w:val="es-PA"/>
        </w:rPr>
        <w:t>n análisis</w:t>
      </w:r>
      <w:r w:rsidRPr="008D7BB5">
        <w:rPr>
          <w:rFonts w:ascii="Arial" w:hAnsi="Arial"/>
          <w:sz w:val="22"/>
          <w:lang w:val="es-PA"/>
        </w:rPr>
        <w:t xml:space="preserve"> de los beneficios derivados de las medidas de políticas</w:t>
      </w:r>
      <w:r w:rsidR="008D7BB5" w:rsidRPr="008D7BB5">
        <w:rPr>
          <w:rFonts w:ascii="Arial" w:hAnsi="Arial"/>
          <w:sz w:val="22"/>
          <w:lang w:val="es-PA"/>
        </w:rPr>
        <w:t xml:space="preserve"> del programa. </w:t>
      </w:r>
      <w:r w:rsidR="008D7BB5" w:rsidRPr="008D7BB5">
        <w:rPr>
          <w:rFonts w:ascii="Arial" w:eastAsia="Arial" w:hAnsi="Arial" w:cs="Arial"/>
          <w:sz w:val="22"/>
          <w:szCs w:val="22"/>
        </w:rPr>
        <w:t>Con la implementación del programa se espera que se generen beneficios</w:t>
      </w:r>
      <w:r w:rsidR="008D7BB5">
        <w:rPr>
          <w:rStyle w:val="FootnoteReference"/>
          <w:rFonts w:ascii="Arial" w:eastAsia="Arial" w:hAnsi="Arial" w:cs="Arial"/>
          <w:sz w:val="22"/>
          <w:szCs w:val="22"/>
        </w:rPr>
        <w:footnoteReference w:id="2"/>
      </w:r>
      <w:r w:rsidR="008D7BB5" w:rsidRPr="008D7BB5">
        <w:rPr>
          <w:rFonts w:ascii="Arial" w:eastAsia="Arial" w:hAnsi="Arial" w:cs="Arial"/>
          <w:sz w:val="22"/>
          <w:szCs w:val="22"/>
        </w:rPr>
        <w:t xml:space="preserve"> por </w:t>
      </w:r>
      <w:r w:rsidR="008D7BB5" w:rsidRPr="008D7BB5">
        <w:rPr>
          <w:rFonts w:ascii="Arial" w:eastAsia="Arial" w:hAnsi="Arial" w:cs="Arial"/>
          <w:sz w:val="22"/>
          <w:szCs w:val="22"/>
          <w:lang w:val="es-PA"/>
        </w:rPr>
        <w:t>la diversificación la matriz energética con ER y ERNC que permite la reducción de emisiones de GEI de hasta 3,3 millones de tCO2, y de hasta 1,4 millones de tCO2 por la implementación de medidas de EE en alumbrado público y el sector residencial. También se esperan beneficios por exportación de excedentes del GN desplazado por las ER y ERNC, y por menores costos de generación eléctrica que resultan de algunas de las tecnologías de ER y ERNC en comparación con la generación eléctrica a partir de GN, generando ahorros que podrían alcanzar los US$100millones anuales en 2023. Adicionalmente, las medidas de EE permitirán un menor gasto de electricidad para las entidades locales por concepto de AP, lo cual permite la liberación de recursos para inversión o gasto en otros sectores, y un mayor excedente de los consumidores residenciales por un menor gasto eléctrico y menores recursos destinados a subsidios por parte del GdB. El ahorro energético anual total asociado con las medidas de EE podrían alcanzar los 1.358 GWh/Año en 2023.</w:t>
      </w:r>
    </w:p>
    <w:p w14:paraId="004F6D72" w14:textId="77777777" w:rsidR="008D7BB5" w:rsidRPr="001D4DF2" w:rsidRDefault="008D7BB5" w:rsidP="001D4DF2">
      <w:pPr>
        <w:pStyle w:val="Paragraph"/>
        <w:widowControl w:val="0"/>
        <w:tabs>
          <w:tab w:val="clear" w:pos="1440"/>
          <w:tab w:val="left" w:pos="0"/>
        </w:tabs>
        <w:ind w:left="540" w:firstLine="0"/>
        <w:rPr>
          <w:rFonts w:ascii="Arial" w:hAnsi="Arial" w:cs="Arial"/>
          <w:szCs w:val="24"/>
          <w:lang w:val="es-BO"/>
        </w:rPr>
      </w:pPr>
    </w:p>
    <w:p w14:paraId="04E2D93C" w14:textId="78ED4236" w:rsidR="00C419B8" w:rsidRPr="001C59A0" w:rsidRDefault="00C419B8" w:rsidP="00C419B8">
      <w:pPr>
        <w:pStyle w:val="Paragraph"/>
        <w:widowControl w:val="0"/>
        <w:numPr>
          <w:ilvl w:val="0"/>
          <w:numId w:val="3"/>
        </w:numPr>
        <w:tabs>
          <w:tab w:val="left" w:pos="0"/>
        </w:tabs>
        <w:ind w:left="540" w:hanging="540"/>
        <w:rPr>
          <w:rFonts w:ascii="Arial" w:hAnsi="Arial" w:cs="Arial"/>
          <w:szCs w:val="24"/>
          <w:lang w:val="es-BO"/>
        </w:rPr>
      </w:pPr>
      <w:r w:rsidRPr="001C59A0">
        <w:rPr>
          <w:rFonts w:ascii="Arial" w:hAnsi="Arial" w:cs="Arial"/>
          <w:b/>
          <w:spacing w:val="-3"/>
          <w:szCs w:val="24"/>
          <w:lang w:val="es-ES"/>
        </w:rPr>
        <w:t>Indicadores</w:t>
      </w:r>
      <w:r w:rsidRPr="001C59A0">
        <w:rPr>
          <w:rFonts w:ascii="Arial" w:hAnsi="Arial" w:cs="Arial"/>
          <w:b/>
          <w:szCs w:val="24"/>
          <w:lang w:val="es-BO"/>
        </w:rPr>
        <w:t xml:space="preserve"> principales para la evaluación.</w:t>
      </w:r>
      <w:r w:rsidRPr="001C59A0">
        <w:rPr>
          <w:rFonts w:ascii="Arial" w:hAnsi="Arial" w:cs="Arial"/>
          <w:szCs w:val="24"/>
          <w:lang w:val="es-BO"/>
        </w:rPr>
        <w:t xml:space="preserve"> </w:t>
      </w:r>
    </w:p>
    <w:p w14:paraId="3B182260" w14:textId="77777777" w:rsidR="00E30072" w:rsidRDefault="00C419B8" w:rsidP="00C419B8">
      <w:pPr>
        <w:pStyle w:val="BodyText2"/>
        <w:numPr>
          <w:ilvl w:val="1"/>
          <w:numId w:val="4"/>
        </w:numPr>
        <w:tabs>
          <w:tab w:val="left" w:pos="0"/>
          <w:tab w:val="left" w:pos="720"/>
        </w:tabs>
        <w:spacing w:before="120" w:line="240" w:lineRule="auto"/>
        <w:ind w:left="540" w:hanging="540"/>
        <w:jc w:val="both"/>
        <w:rPr>
          <w:rFonts w:ascii="Arial" w:hAnsi="Arial" w:cs="Arial"/>
          <w:szCs w:val="24"/>
          <w:lang w:val="es-ES"/>
        </w:rPr>
      </w:pPr>
      <w:r w:rsidRPr="001C59A0">
        <w:rPr>
          <w:rFonts w:ascii="Arial" w:hAnsi="Arial" w:cs="Arial"/>
          <w:szCs w:val="24"/>
          <w:lang w:val="es-ES"/>
        </w:rPr>
        <w:t>Los indicadores principales considerados para la evaluación del programa son:</w:t>
      </w:r>
    </w:p>
    <w:p w14:paraId="43EA3077" w14:textId="0E1688AC" w:rsidR="00F1122D" w:rsidRPr="00F1122D" w:rsidRDefault="00F1122D" w:rsidP="00F1122D">
      <w:pPr>
        <w:pStyle w:val="NoSpacing"/>
        <w:jc w:val="center"/>
        <w:rPr>
          <w:b/>
          <w:smallCaps/>
          <w:sz w:val="20"/>
          <w:szCs w:val="20"/>
          <w:lang w:val="es-BO"/>
        </w:rPr>
      </w:pPr>
      <w:r>
        <w:rPr>
          <w:b/>
          <w:smallCaps/>
          <w:sz w:val="20"/>
          <w:szCs w:val="20"/>
          <w:lang w:val="es-BO"/>
        </w:rPr>
        <w:t>IMPACTOS ESPERADOS</w:t>
      </w:r>
    </w:p>
    <w:p w14:paraId="7B17321B" w14:textId="43011E97" w:rsidR="00F1122D" w:rsidRDefault="00F1122D" w:rsidP="00F1122D">
      <w:pPr>
        <w:pStyle w:val="NoSpacing"/>
        <w:jc w:val="center"/>
        <w:rPr>
          <w:b/>
          <w:smallCaps/>
          <w:sz w:val="20"/>
          <w:szCs w:val="20"/>
          <w:lang w:val="es-ES_tradnl"/>
        </w:rPr>
      </w:pPr>
    </w:p>
    <w:tbl>
      <w:tblPr>
        <w:tblW w:w="578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697"/>
        <w:gridCol w:w="997"/>
        <w:gridCol w:w="737"/>
        <w:gridCol w:w="737"/>
        <w:gridCol w:w="3111"/>
      </w:tblGrid>
      <w:tr w:rsidR="008D7BB5" w:rsidRPr="008D7BB5" w14:paraId="5535365B" w14:textId="77777777" w:rsidTr="008D7BB5">
        <w:trPr>
          <w:trHeight w:val="467"/>
        </w:trPr>
        <w:tc>
          <w:tcPr>
            <w:tcW w:w="856" w:type="pct"/>
            <w:shd w:val="clear" w:color="auto" w:fill="D9D9D9" w:themeFill="background1" w:themeFillShade="D9"/>
            <w:vAlign w:val="center"/>
          </w:tcPr>
          <w:p w14:paraId="783F3FFA" w14:textId="77777777" w:rsidR="008D7BB5" w:rsidRPr="008D7BB5" w:rsidRDefault="008D7BB5" w:rsidP="002F1691">
            <w:pPr>
              <w:jc w:val="center"/>
              <w:rPr>
                <w:rFonts w:ascii="Arial" w:hAnsi="Arial" w:cs="Arial"/>
                <w:b/>
                <w:sz w:val="18"/>
                <w:szCs w:val="18"/>
                <w:lang w:val="es-BO"/>
              </w:rPr>
            </w:pPr>
            <w:r w:rsidRPr="008D7BB5">
              <w:rPr>
                <w:rFonts w:ascii="Arial" w:hAnsi="Arial" w:cs="Arial"/>
                <w:b/>
                <w:sz w:val="18"/>
                <w:szCs w:val="18"/>
                <w:lang w:val="es-BO"/>
              </w:rPr>
              <w:t>Impacto</w:t>
            </w:r>
          </w:p>
        </w:tc>
        <w:tc>
          <w:tcPr>
            <w:tcW w:w="1350" w:type="pct"/>
            <w:shd w:val="clear" w:color="auto" w:fill="D9D9D9" w:themeFill="background1" w:themeFillShade="D9"/>
          </w:tcPr>
          <w:p w14:paraId="2D8651EF" w14:textId="77777777" w:rsidR="008D7BB5" w:rsidRPr="008D7BB5" w:rsidRDefault="008D7BB5" w:rsidP="002F1691">
            <w:pPr>
              <w:jc w:val="center"/>
              <w:rPr>
                <w:rFonts w:ascii="Arial" w:hAnsi="Arial" w:cs="Arial"/>
                <w:b/>
                <w:sz w:val="18"/>
                <w:szCs w:val="18"/>
                <w:lang w:val="es-BO"/>
              </w:rPr>
            </w:pPr>
          </w:p>
          <w:p w14:paraId="1501F7E6" w14:textId="77777777" w:rsidR="008D7BB5" w:rsidRPr="008D7BB5" w:rsidRDefault="008D7BB5" w:rsidP="002F1691">
            <w:pPr>
              <w:jc w:val="center"/>
              <w:rPr>
                <w:rFonts w:ascii="Arial" w:hAnsi="Arial" w:cs="Arial"/>
                <w:b/>
                <w:sz w:val="18"/>
                <w:szCs w:val="18"/>
                <w:lang w:val="es-BO"/>
              </w:rPr>
            </w:pPr>
            <w:r w:rsidRPr="008D7BB5">
              <w:rPr>
                <w:rFonts w:ascii="Arial" w:hAnsi="Arial" w:cs="Arial"/>
                <w:b/>
                <w:sz w:val="18"/>
                <w:szCs w:val="18"/>
                <w:lang w:val="es-BO"/>
              </w:rPr>
              <w:t>Indicador</w:t>
            </w:r>
          </w:p>
        </w:tc>
        <w:tc>
          <w:tcPr>
            <w:tcW w:w="499" w:type="pct"/>
            <w:shd w:val="clear" w:color="auto" w:fill="D9D9D9" w:themeFill="background1" w:themeFillShade="D9"/>
            <w:vAlign w:val="center"/>
          </w:tcPr>
          <w:p w14:paraId="078FDD45" w14:textId="77777777" w:rsidR="008D7BB5" w:rsidRPr="008D7BB5" w:rsidRDefault="008D7BB5" w:rsidP="002F1691">
            <w:pPr>
              <w:jc w:val="center"/>
              <w:rPr>
                <w:rFonts w:ascii="Arial" w:hAnsi="Arial" w:cs="Arial"/>
                <w:b/>
                <w:sz w:val="18"/>
                <w:szCs w:val="18"/>
                <w:lang w:val="es-BO"/>
              </w:rPr>
            </w:pPr>
            <w:r w:rsidRPr="008D7BB5">
              <w:rPr>
                <w:rFonts w:ascii="Arial" w:hAnsi="Arial" w:cs="Arial"/>
                <w:b/>
                <w:sz w:val="18"/>
                <w:szCs w:val="18"/>
                <w:lang w:val="es-BO"/>
              </w:rPr>
              <w:t>Unidad de medida</w:t>
            </w:r>
          </w:p>
        </w:tc>
        <w:tc>
          <w:tcPr>
            <w:tcW w:w="369" w:type="pct"/>
            <w:shd w:val="clear" w:color="auto" w:fill="D9D9D9" w:themeFill="background1" w:themeFillShade="D9"/>
            <w:vAlign w:val="center"/>
          </w:tcPr>
          <w:p w14:paraId="352841B6" w14:textId="77777777" w:rsidR="008D7BB5" w:rsidRPr="008D7BB5" w:rsidRDefault="008D7BB5" w:rsidP="002F1691">
            <w:pPr>
              <w:jc w:val="center"/>
              <w:rPr>
                <w:rFonts w:ascii="Arial" w:hAnsi="Arial" w:cs="Arial"/>
                <w:b/>
                <w:sz w:val="18"/>
                <w:szCs w:val="18"/>
                <w:lang w:val="es-BO"/>
              </w:rPr>
            </w:pPr>
            <w:r w:rsidRPr="008D7BB5">
              <w:rPr>
                <w:rFonts w:ascii="Arial" w:hAnsi="Arial" w:cs="Arial"/>
                <w:b/>
                <w:sz w:val="18"/>
                <w:szCs w:val="18"/>
                <w:lang w:val="es-BO"/>
              </w:rPr>
              <w:t>Línea de base (2016)</w:t>
            </w:r>
          </w:p>
        </w:tc>
        <w:tc>
          <w:tcPr>
            <w:tcW w:w="369" w:type="pct"/>
            <w:shd w:val="clear" w:color="auto" w:fill="D9D9D9" w:themeFill="background1" w:themeFillShade="D9"/>
            <w:vAlign w:val="center"/>
          </w:tcPr>
          <w:p w14:paraId="646DABF2" w14:textId="77777777" w:rsidR="008D7BB5" w:rsidRPr="008D7BB5" w:rsidRDefault="008D7BB5" w:rsidP="002F1691">
            <w:pPr>
              <w:jc w:val="center"/>
              <w:rPr>
                <w:rFonts w:ascii="Arial" w:hAnsi="Arial" w:cs="Arial"/>
                <w:b/>
                <w:sz w:val="18"/>
                <w:szCs w:val="18"/>
                <w:lang w:val="es-BO"/>
              </w:rPr>
            </w:pPr>
            <w:r w:rsidRPr="008D7BB5">
              <w:rPr>
                <w:rFonts w:ascii="Arial" w:hAnsi="Arial" w:cs="Arial"/>
                <w:b/>
                <w:sz w:val="18"/>
                <w:szCs w:val="18"/>
                <w:lang w:val="es-BO"/>
              </w:rPr>
              <w:t>Meta Final (2022)</w:t>
            </w:r>
          </w:p>
        </w:tc>
        <w:tc>
          <w:tcPr>
            <w:tcW w:w="1556" w:type="pct"/>
            <w:shd w:val="clear" w:color="auto" w:fill="D9D9D9" w:themeFill="background1" w:themeFillShade="D9"/>
            <w:vAlign w:val="center"/>
          </w:tcPr>
          <w:p w14:paraId="5E6A5208" w14:textId="77777777" w:rsidR="008D7BB5" w:rsidRPr="008D7BB5" w:rsidRDefault="008D7BB5" w:rsidP="002F1691">
            <w:pPr>
              <w:jc w:val="center"/>
              <w:rPr>
                <w:rFonts w:ascii="Arial" w:hAnsi="Arial" w:cs="Arial"/>
                <w:b/>
                <w:sz w:val="18"/>
                <w:szCs w:val="18"/>
              </w:rPr>
            </w:pPr>
            <w:r w:rsidRPr="008D7BB5">
              <w:rPr>
                <w:rFonts w:ascii="Arial" w:hAnsi="Arial" w:cs="Arial"/>
                <w:b/>
                <w:sz w:val="18"/>
                <w:szCs w:val="18"/>
                <w:lang w:val="es-BO"/>
              </w:rPr>
              <w:t>Medios de verificación/</w:t>
            </w:r>
          </w:p>
          <w:p w14:paraId="2FD9E50F" w14:textId="77777777" w:rsidR="008D7BB5" w:rsidRPr="008D7BB5" w:rsidRDefault="008D7BB5" w:rsidP="002F1691">
            <w:pPr>
              <w:jc w:val="center"/>
              <w:rPr>
                <w:rFonts w:ascii="Arial" w:hAnsi="Arial" w:cs="Arial"/>
                <w:b/>
                <w:sz w:val="18"/>
                <w:szCs w:val="18"/>
                <w:lang w:val="es-CO"/>
              </w:rPr>
            </w:pPr>
            <w:r w:rsidRPr="008D7BB5">
              <w:rPr>
                <w:rFonts w:ascii="Arial" w:hAnsi="Arial" w:cs="Arial"/>
                <w:b/>
                <w:sz w:val="18"/>
                <w:szCs w:val="18"/>
                <w:lang w:val="es-CO"/>
              </w:rPr>
              <w:t>Observaciones</w:t>
            </w:r>
          </w:p>
        </w:tc>
      </w:tr>
      <w:tr w:rsidR="008D7BB5" w:rsidRPr="0086706A" w14:paraId="5E907C0F" w14:textId="77777777" w:rsidTr="008D7BB5">
        <w:trPr>
          <w:trHeight w:val="305"/>
        </w:trPr>
        <w:tc>
          <w:tcPr>
            <w:tcW w:w="5000" w:type="pct"/>
            <w:gridSpan w:val="6"/>
            <w:shd w:val="clear" w:color="auto" w:fill="C6D9F1" w:themeFill="text2" w:themeFillTint="33"/>
          </w:tcPr>
          <w:p w14:paraId="75732CF4" w14:textId="77777777" w:rsidR="008D7BB5" w:rsidRPr="008D7BB5" w:rsidRDefault="008D7BB5" w:rsidP="002F1691">
            <w:pPr>
              <w:spacing w:before="40"/>
              <w:rPr>
                <w:rFonts w:ascii="Arial" w:hAnsi="Arial" w:cs="Arial"/>
                <w:b/>
                <w:color w:val="000000"/>
                <w:sz w:val="18"/>
                <w:szCs w:val="18"/>
                <w:lang w:val="es-ES"/>
              </w:rPr>
            </w:pPr>
            <w:r w:rsidRPr="008D7BB5">
              <w:rPr>
                <w:rFonts w:ascii="Arial" w:hAnsi="Arial" w:cs="Arial"/>
                <w:b/>
                <w:color w:val="000000"/>
                <w:sz w:val="18"/>
                <w:szCs w:val="18"/>
                <w:lang w:val="es-ES"/>
              </w:rPr>
              <w:t>Reducción de emisiones de Gases Efecto Invernadero (GEI)</w:t>
            </w:r>
          </w:p>
        </w:tc>
      </w:tr>
      <w:tr w:rsidR="008D7BB5" w:rsidRPr="0086706A" w14:paraId="64EE9C5E" w14:textId="77777777" w:rsidTr="008D7BB5">
        <w:trPr>
          <w:trHeight w:val="719"/>
        </w:trPr>
        <w:tc>
          <w:tcPr>
            <w:tcW w:w="856" w:type="pct"/>
            <w:vMerge w:val="restart"/>
            <w:vAlign w:val="center"/>
          </w:tcPr>
          <w:p w14:paraId="67F4292F" w14:textId="77777777" w:rsidR="008D7BB5" w:rsidRPr="008D7BB5" w:rsidRDefault="008D7BB5" w:rsidP="002F1691">
            <w:pPr>
              <w:pStyle w:val="ListParagraph"/>
              <w:ind w:left="0"/>
              <w:rPr>
                <w:rFonts w:ascii="Arial" w:hAnsi="Arial" w:cs="Arial"/>
                <w:sz w:val="18"/>
                <w:szCs w:val="18"/>
                <w:lang w:val="es-ES"/>
              </w:rPr>
            </w:pPr>
            <w:r w:rsidRPr="008D7BB5">
              <w:rPr>
                <w:rFonts w:ascii="Arial" w:hAnsi="Arial" w:cs="Arial"/>
                <w:sz w:val="18"/>
                <w:szCs w:val="18"/>
                <w:lang w:val="es-PA"/>
              </w:rPr>
              <w:t>Reducción de emisiones de Gases Efecto Invernadero (GEI)</w:t>
            </w:r>
          </w:p>
        </w:tc>
        <w:tc>
          <w:tcPr>
            <w:tcW w:w="1350" w:type="pct"/>
            <w:vAlign w:val="center"/>
          </w:tcPr>
          <w:p w14:paraId="1CDCD2D5"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_tradnl"/>
              </w:rPr>
              <w:t>E</w:t>
            </w:r>
            <w:r w:rsidRPr="008D7BB5">
              <w:rPr>
                <w:rFonts w:ascii="Arial" w:hAnsi="Arial" w:cs="Arial"/>
                <w:color w:val="000000"/>
                <w:sz w:val="18"/>
                <w:szCs w:val="18"/>
                <w:lang w:val="es-ES_tradnl"/>
              </w:rPr>
              <w:t>misiones acumuladas de Gases Efecto Invernadero (GEI)</w:t>
            </w:r>
            <w:r w:rsidRPr="008D7BB5">
              <w:rPr>
                <w:rStyle w:val="FootnoteReference"/>
                <w:rFonts w:ascii="Arial" w:eastAsiaTheme="majorEastAsia" w:hAnsi="Arial" w:cs="Arial"/>
                <w:color w:val="000000"/>
                <w:sz w:val="18"/>
                <w:szCs w:val="18"/>
              </w:rPr>
              <w:footnoteReference w:id="3"/>
            </w:r>
            <w:r w:rsidRPr="008D7BB5">
              <w:rPr>
                <w:rFonts w:ascii="Arial" w:hAnsi="Arial" w:cs="Arial"/>
                <w:color w:val="000000"/>
                <w:sz w:val="18"/>
                <w:szCs w:val="18"/>
                <w:lang w:val="es-ES_tradnl"/>
              </w:rPr>
              <w:t xml:space="preserve"> evitadas por el Programa en la generación eléctrica (</w:t>
            </w:r>
            <w:r w:rsidRPr="008D7BB5">
              <w:rPr>
                <w:rFonts w:ascii="Arial" w:hAnsi="Arial" w:cs="Arial"/>
                <w:sz w:val="18"/>
                <w:szCs w:val="18"/>
                <w:lang w:val="es-ES"/>
              </w:rPr>
              <w:t>tCO</w:t>
            </w:r>
            <w:r w:rsidRPr="008D7BB5">
              <w:rPr>
                <w:rFonts w:ascii="Arial" w:hAnsi="Arial" w:cs="Arial"/>
                <w:sz w:val="18"/>
                <w:szCs w:val="18"/>
                <w:vertAlign w:val="subscript"/>
                <w:lang w:val="es-ES"/>
              </w:rPr>
              <w:t xml:space="preserve">2 </w:t>
            </w:r>
            <w:r w:rsidRPr="008D7BB5">
              <w:rPr>
                <w:rFonts w:ascii="Arial" w:hAnsi="Arial" w:cs="Arial"/>
                <w:sz w:val="18"/>
                <w:szCs w:val="18"/>
                <w:lang w:val="es-ES"/>
              </w:rPr>
              <w:t>(millones)</w:t>
            </w:r>
          </w:p>
        </w:tc>
        <w:tc>
          <w:tcPr>
            <w:tcW w:w="499" w:type="pct"/>
            <w:vAlign w:val="center"/>
          </w:tcPr>
          <w:p w14:paraId="5E90F84A"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tCO</w:t>
            </w:r>
            <w:r w:rsidRPr="008D7BB5">
              <w:rPr>
                <w:rFonts w:ascii="Arial" w:hAnsi="Arial" w:cs="Arial"/>
                <w:sz w:val="18"/>
                <w:szCs w:val="18"/>
                <w:vertAlign w:val="subscript"/>
                <w:lang w:val="es-ES"/>
              </w:rPr>
              <w:t xml:space="preserve">2 </w:t>
            </w:r>
            <w:r w:rsidRPr="008D7BB5">
              <w:rPr>
                <w:rFonts w:ascii="Arial" w:hAnsi="Arial" w:cs="Arial"/>
                <w:sz w:val="18"/>
                <w:szCs w:val="18"/>
                <w:lang w:val="es-ES"/>
              </w:rPr>
              <w:t>(millones)</w:t>
            </w:r>
          </w:p>
        </w:tc>
        <w:tc>
          <w:tcPr>
            <w:tcW w:w="369" w:type="pct"/>
            <w:vAlign w:val="center"/>
          </w:tcPr>
          <w:p w14:paraId="7A921096" w14:textId="77777777" w:rsidR="008D7BB5" w:rsidRPr="008D7BB5" w:rsidRDefault="008D7BB5" w:rsidP="002F1691">
            <w:pPr>
              <w:jc w:val="center"/>
              <w:rPr>
                <w:rFonts w:ascii="Arial" w:hAnsi="Arial" w:cs="Arial"/>
                <w:sz w:val="18"/>
                <w:szCs w:val="18"/>
                <w:lang w:val="es-US"/>
              </w:rPr>
            </w:pPr>
            <w:r w:rsidRPr="008D7BB5">
              <w:rPr>
                <w:rFonts w:ascii="Arial" w:hAnsi="Arial" w:cs="Arial"/>
                <w:sz w:val="18"/>
                <w:szCs w:val="18"/>
                <w:lang w:val="es-US"/>
              </w:rPr>
              <w:t>0</w:t>
            </w:r>
          </w:p>
        </w:tc>
        <w:tc>
          <w:tcPr>
            <w:tcW w:w="369" w:type="pct"/>
            <w:vAlign w:val="center"/>
          </w:tcPr>
          <w:p w14:paraId="5093454D" w14:textId="77777777" w:rsidR="008D7BB5" w:rsidRPr="008D7BB5" w:rsidRDefault="008D7BB5" w:rsidP="002F1691">
            <w:pPr>
              <w:jc w:val="center"/>
              <w:rPr>
                <w:rFonts w:ascii="Arial" w:hAnsi="Arial" w:cs="Arial"/>
                <w:sz w:val="18"/>
                <w:szCs w:val="18"/>
                <w:lang w:val="es-US"/>
              </w:rPr>
            </w:pPr>
            <w:r w:rsidRPr="008D7BB5">
              <w:rPr>
                <w:rFonts w:ascii="Arial" w:hAnsi="Arial" w:cs="Arial"/>
                <w:sz w:val="18"/>
                <w:szCs w:val="18"/>
                <w:lang w:val="es-US"/>
              </w:rPr>
              <w:t>3,3</w:t>
            </w:r>
          </w:p>
        </w:tc>
        <w:tc>
          <w:tcPr>
            <w:tcW w:w="1556" w:type="pct"/>
            <w:vAlign w:val="center"/>
          </w:tcPr>
          <w:p w14:paraId="3CD669B9"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
              </w:rPr>
              <w:t>Energía generada multiplicada por el factor de emisiones de CO2 que corresponda para el año de medición según la composición de la matriz eléctrica del país. La información se extraerá de los informes anuales de la AE.</w:t>
            </w:r>
          </w:p>
          <w:p w14:paraId="08A2B461" w14:textId="77777777" w:rsidR="008D7BB5" w:rsidRPr="008D7BB5" w:rsidRDefault="008D7BB5" w:rsidP="002F1691">
            <w:pPr>
              <w:rPr>
                <w:rFonts w:ascii="Arial" w:hAnsi="Arial" w:cs="Arial"/>
                <w:sz w:val="18"/>
                <w:szCs w:val="18"/>
                <w:lang w:val="es-ES"/>
              </w:rPr>
            </w:pPr>
          </w:p>
        </w:tc>
      </w:tr>
      <w:tr w:rsidR="008D7BB5" w:rsidRPr="0086706A" w14:paraId="6E0EA7E0" w14:textId="77777777" w:rsidTr="008D7BB5">
        <w:trPr>
          <w:trHeight w:val="719"/>
        </w:trPr>
        <w:tc>
          <w:tcPr>
            <w:tcW w:w="856" w:type="pct"/>
            <w:vMerge/>
            <w:vAlign w:val="center"/>
          </w:tcPr>
          <w:p w14:paraId="30F1A5A8" w14:textId="77777777" w:rsidR="008D7BB5" w:rsidRPr="008D7BB5" w:rsidRDefault="008D7BB5" w:rsidP="002F1691">
            <w:pPr>
              <w:pStyle w:val="ListParagraph"/>
              <w:ind w:left="0"/>
              <w:rPr>
                <w:rFonts w:ascii="Arial" w:hAnsi="Arial" w:cs="Arial"/>
                <w:sz w:val="18"/>
                <w:szCs w:val="18"/>
                <w:lang w:val="es-PA"/>
              </w:rPr>
            </w:pPr>
          </w:p>
        </w:tc>
        <w:tc>
          <w:tcPr>
            <w:tcW w:w="1350" w:type="pct"/>
            <w:vAlign w:val="center"/>
          </w:tcPr>
          <w:p w14:paraId="416CD9E6" w14:textId="77777777" w:rsidR="008D7BB5" w:rsidRPr="008D7BB5" w:rsidRDefault="008D7BB5" w:rsidP="002F1691">
            <w:pPr>
              <w:rPr>
                <w:rFonts w:ascii="Arial" w:hAnsi="Arial" w:cs="Arial"/>
                <w:sz w:val="18"/>
                <w:szCs w:val="18"/>
                <w:lang w:val="es-ES_tradnl"/>
              </w:rPr>
            </w:pPr>
            <w:r w:rsidRPr="008D7BB5">
              <w:rPr>
                <w:rFonts w:ascii="Arial" w:hAnsi="Arial" w:cs="Arial"/>
                <w:sz w:val="18"/>
                <w:szCs w:val="18"/>
                <w:lang w:val="es-ES_tradnl"/>
              </w:rPr>
              <w:t>Emisiones acumuladas de Gases Efecto Invernadero (GEI) evitadas por el Programa por la implementación de medidas de EE (tCO2 (millones)</w:t>
            </w:r>
          </w:p>
        </w:tc>
        <w:tc>
          <w:tcPr>
            <w:tcW w:w="499" w:type="pct"/>
            <w:vAlign w:val="center"/>
          </w:tcPr>
          <w:p w14:paraId="07F02B6B"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tCO</w:t>
            </w:r>
            <w:r w:rsidRPr="008D7BB5">
              <w:rPr>
                <w:rFonts w:ascii="Arial" w:hAnsi="Arial" w:cs="Arial"/>
                <w:sz w:val="18"/>
                <w:szCs w:val="18"/>
                <w:vertAlign w:val="subscript"/>
                <w:lang w:val="es-ES"/>
              </w:rPr>
              <w:t xml:space="preserve">2 </w:t>
            </w:r>
            <w:r w:rsidRPr="008D7BB5">
              <w:rPr>
                <w:rFonts w:ascii="Arial" w:hAnsi="Arial" w:cs="Arial"/>
                <w:sz w:val="18"/>
                <w:szCs w:val="18"/>
                <w:lang w:val="es-ES"/>
              </w:rPr>
              <w:t>(millones)</w:t>
            </w:r>
          </w:p>
        </w:tc>
        <w:tc>
          <w:tcPr>
            <w:tcW w:w="369" w:type="pct"/>
            <w:vAlign w:val="center"/>
          </w:tcPr>
          <w:p w14:paraId="23BE59B3" w14:textId="77777777" w:rsidR="008D7BB5" w:rsidRPr="008D7BB5" w:rsidRDefault="008D7BB5" w:rsidP="002F1691">
            <w:pPr>
              <w:jc w:val="center"/>
              <w:rPr>
                <w:rFonts w:ascii="Arial" w:hAnsi="Arial" w:cs="Arial"/>
                <w:sz w:val="18"/>
                <w:szCs w:val="18"/>
                <w:lang w:val="es-US"/>
              </w:rPr>
            </w:pPr>
            <w:r w:rsidRPr="008D7BB5">
              <w:rPr>
                <w:rFonts w:ascii="Arial" w:hAnsi="Arial" w:cs="Arial"/>
                <w:sz w:val="18"/>
                <w:szCs w:val="18"/>
                <w:lang w:val="es-US"/>
              </w:rPr>
              <w:t>0</w:t>
            </w:r>
          </w:p>
        </w:tc>
        <w:tc>
          <w:tcPr>
            <w:tcW w:w="369" w:type="pct"/>
            <w:vAlign w:val="center"/>
          </w:tcPr>
          <w:p w14:paraId="5883F9D9" w14:textId="77777777" w:rsidR="008D7BB5" w:rsidRPr="008D7BB5" w:rsidRDefault="008D7BB5" w:rsidP="002F1691">
            <w:pPr>
              <w:jc w:val="center"/>
              <w:rPr>
                <w:rFonts w:ascii="Arial" w:hAnsi="Arial" w:cs="Arial"/>
                <w:sz w:val="18"/>
                <w:szCs w:val="18"/>
                <w:lang w:val="es-US"/>
              </w:rPr>
            </w:pPr>
            <w:r w:rsidRPr="008D7BB5">
              <w:rPr>
                <w:rFonts w:ascii="Arial" w:hAnsi="Arial" w:cs="Arial"/>
                <w:sz w:val="18"/>
                <w:szCs w:val="18"/>
                <w:lang w:val="es-US"/>
              </w:rPr>
              <w:t>1,4</w:t>
            </w:r>
          </w:p>
        </w:tc>
        <w:tc>
          <w:tcPr>
            <w:tcW w:w="1556" w:type="pct"/>
            <w:vAlign w:val="center"/>
          </w:tcPr>
          <w:p w14:paraId="5A14E128"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
              </w:rPr>
              <w:t xml:space="preserve">Energía ahorrada por la implementación de medidas de EE en el sector residencial y de alumbrado público multiplicada por el factor de emisiones de CO2 que corresponda para el año de medición según la composición de la matriz eléctrica del país. </w:t>
            </w:r>
          </w:p>
        </w:tc>
      </w:tr>
    </w:tbl>
    <w:p w14:paraId="6B782F22" w14:textId="7CB50DCE" w:rsidR="00374DF0" w:rsidRDefault="00374DF0" w:rsidP="00F1122D">
      <w:pPr>
        <w:pStyle w:val="NoSpacing"/>
        <w:jc w:val="center"/>
        <w:rPr>
          <w:b/>
          <w:smallCaps/>
          <w:sz w:val="20"/>
          <w:szCs w:val="20"/>
          <w:lang w:val="es-ES_tradnl"/>
        </w:rPr>
      </w:pPr>
    </w:p>
    <w:p w14:paraId="48DF8BC0" w14:textId="77777777" w:rsidR="00374DF0" w:rsidRPr="00F1122D" w:rsidRDefault="00374DF0" w:rsidP="00F1122D">
      <w:pPr>
        <w:pStyle w:val="NoSpacing"/>
        <w:jc w:val="center"/>
        <w:rPr>
          <w:b/>
          <w:smallCaps/>
          <w:sz w:val="20"/>
          <w:szCs w:val="20"/>
          <w:lang w:val="es-ES_tradnl"/>
        </w:rPr>
      </w:pPr>
    </w:p>
    <w:p w14:paraId="0DB483E1" w14:textId="252E3BD1" w:rsidR="00C419B8" w:rsidRDefault="00F1122D" w:rsidP="00F1122D">
      <w:pPr>
        <w:pStyle w:val="NoSpacing"/>
        <w:jc w:val="center"/>
        <w:rPr>
          <w:lang w:val="es-ES"/>
        </w:rPr>
      </w:pPr>
      <w:r>
        <w:rPr>
          <w:b/>
          <w:smallCaps/>
          <w:sz w:val="20"/>
          <w:szCs w:val="20"/>
          <w:lang w:val="es-BO"/>
        </w:rPr>
        <w:t>RESULTADOS ESPERADOS</w:t>
      </w:r>
      <w:r w:rsidR="00E30072" w:rsidRPr="00940452" w:rsidDel="00E30072">
        <w:rPr>
          <w:highlight w:val="yellow"/>
          <w:lang w:val="es-ES"/>
        </w:rPr>
        <w:t xml:space="preserve"> </w:t>
      </w:r>
    </w:p>
    <w:p w14:paraId="79B98615" w14:textId="519D52B1" w:rsidR="006E0CEB" w:rsidRDefault="006E0CEB" w:rsidP="00F1122D">
      <w:pPr>
        <w:pStyle w:val="NoSpacing"/>
        <w:jc w:val="center"/>
        <w:rPr>
          <w:lang w:val="es-ES"/>
        </w:rPr>
      </w:pPr>
    </w:p>
    <w:tbl>
      <w:tblPr>
        <w:tblW w:w="5788" w:type="pc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2430"/>
        <w:gridCol w:w="1129"/>
        <w:gridCol w:w="897"/>
        <w:gridCol w:w="795"/>
        <w:gridCol w:w="2220"/>
      </w:tblGrid>
      <w:tr w:rsidR="008D7BB5" w:rsidRPr="008D7BB5" w14:paraId="31A8A686" w14:textId="77777777" w:rsidTr="008D7BB5">
        <w:trPr>
          <w:trHeight w:val="251"/>
        </w:trPr>
        <w:tc>
          <w:tcPr>
            <w:tcW w:w="1261" w:type="pct"/>
            <w:shd w:val="clear" w:color="auto" w:fill="D9D9D9" w:themeFill="background1" w:themeFillShade="D9"/>
            <w:vAlign w:val="center"/>
          </w:tcPr>
          <w:p w14:paraId="73EEB2BC" w14:textId="77777777" w:rsidR="008D7BB5" w:rsidRPr="008D7BB5" w:rsidRDefault="008D7BB5" w:rsidP="002F1691">
            <w:pPr>
              <w:jc w:val="center"/>
              <w:rPr>
                <w:rFonts w:ascii="Arial" w:hAnsi="Arial" w:cs="Arial"/>
                <w:b/>
                <w:sz w:val="18"/>
                <w:szCs w:val="18"/>
                <w:lang w:val="es-ES"/>
              </w:rPr>
            </w:pPr>
            <w:bookmarkStart w:id="4" w:name="_Hlk484771514"/>
            <w:r w:rsidRPr="008D7BB5">
              <w:rPr>
                <w:rFonts w:ascii="Arial" w:hAnsi="Arial" w:cs="Arial"/>
                <w:b/>
                <w:sz w:val="18"/>
                <w:szCs w:val="18"/>
                <w:lang w:val="es-ES_tradnl"/>
              </w:rPr>
              <w:t>Result</w:t>
            </w:r>
            <w:r w:rsidRPr="008D7BB5">
              <w:rPr>
                <w:rFonts w:ascii="Arial" w:hAnsi="Arial" w:cs="Arial"/>
                <w:b/>
                <w:sz w:val="18"/>
                <w:szCs w:val="18"/>
                <w:lang w:val="es-ES"/>
              </w:rPr>
              <w:t>ado</w:t>
            </w:r>
          </w:p>
        </w:tc>
        <w:tc>
          <w:tcPr>
            <w:tcW w:w="1216" w:type="pct"/>
            <w:shd w:val="clear" w:color="auto" w:fill="D9D9D9" w:themeFill="background1" w:themeFillShade="D9"/>
          </w:tcPr>
          <w:p w14:paraId="274BD6E0" w14:textId="77777777" w:rsidR="008D7BB5" w:rsidRPr="008D7BB5" w:rsidRDefault="008D7BB5" w:rsidP="002F1691">
            <w:pPr>
              <w:jc w:val="center"/>
              <w:rPr>
                <w:rFonts w:ascii="Arial" w:hAnsi="Arial" w:cs="Arial"/>
                <w:b/>
                <w:sz w:val="18"/>
                <w:szCs w:val="18"/>
                <w:lang w:val="es-ES_tradnl"/>
              </w:rPr>
            </w:pPr>
          </w:p>
          <w:p w14:paraId="237F1D87" w14:textId="77777777" w:rsidR="008D7BB5" w:rsidRPr="008D7BB5" w:rsidRDefault="008D7BB5" w:rsidP="002F1691">
            <w:pPr>
              <w:jc w:val="center"/>
              <w:rPr>
                <w:rFonts w:ascii="Arial" w:hAnsi="Arial" w:cs="Arial"/>
                <w:b/>
                <w:sz w:val="18"/>
                <w:szCs w:val="18"/>
                <w:lang w:val="es-ES_tradnl"/>
              </w:rPr>
            </w:pPr>
            <w:r w:rsidRPr="008D7BB5">
              <w:rPr>
                <w:rFonts w:ascii="Arial" w:hAnsi="Arial" w:cs="Arial"/>
                <w:b/>
                <w:sz w:val="18"/>
                <w:szCs w:val="18"/>
                <w:lang w:val="es-ES_tradnl"/>
              </w:rPr>
              <w:t>Indicador</w:t>
            </w:r>
          </w:p>
        </w:tc>
        <w:tc>
          <w:tcPr>
            <w:tcW w:w="565" w:type="pct"/>
            <w:shd w:val="clear" w:color="auto" w:fill="D9D9D9" w:themeFill="background1" w:themeFillShade="D9"/>
            <w:vAlign w:val="center"/>
          </w:tcPr>
          <w:p w14:paraId="5E9C88D3" w14:textId="77777777" w:rsidR="008D7BB5" w:rsidRPr="008D7BB5" w:rsidRDefault="008D7BB5" w:rsidP="002F1691">
            <w:pPr>
              <w:jc w:val="center"/>
              <w:rPr>
                <w:rFonts w:ascii="Arial" w:hAnsi="Arial" w:cs="Arial"/>
                <w:b/>
                <w:sz w:val="18"/>
                <w:szCs w:val="18"/>
                <w:lang w:val="es-ES"/>
              </w:rPr>
            </w:pPr>
            <w:r w:rsidRPr="008D7BB5">
              <w:rPr>
                <w:rFonts w:ascii="Arial" w:hAnsi="Arial" w:cs="Arial"/>
                <w:b/>
                <w:sz w:val="18"/>
                <w:szCs w:val="18"/>
                <w:lang w:val="es-ES"/>
              </w:rPr>
              <w:t>Unidad de medida</w:t>
            </w:r>
          </w:p>
        </w:tc>
        <w:tc>
          <w:tcPr>
            <w:tcW w:w="449" w:type="pct"/>
            <w:shd w:val="clear" w:color="auto" w:fill="D9D9D9" w:themeFill="background1" w:themeFillShade="D9"/>
            <w:vAlign w:val="center"/>
          </w:tcPr>
          <w:p w14:paraId="3639FD1D" w14:textId="77777777" w:rsidR="008D7BB5" w:rsidRPr="008D7BB5" w:rsidRDefault="008D7BB5" w:rsidP="002F1691">
            <w:pPr>
              <w:jc w:val="center"/>
              <w:rPr>
                <w:rFonts w:ascii="Arial" w:hAnsi="Arial" w:cs="Arial"/>
                <w:b/>
                <w:sz w:val="18"/>
                <w:szCs w:val="18"/>
                <w:lang w:val="es-ES"/>
              </w:rPr>
            </w:pPr>
            <w:r w:rsidRPr="008D7BB5">
              <w:rPr>
                <w:rFonts w:ascii="Arial" w:hAnsi="Arial" w:cs="Arial"/>
                <w:b/>
                <w:sz w:val="18"/>
                <w:szCs w:val="18"/>
                <w:lang w:val="es-ES"/>
              </w:rPr>
              <w:t>Línea de base (2016)</w:t>
            </w:r>
          </w:p>
        </w:tc>
        <w:tc>
          <w:tcPr>
            <w:tcW w:w="398" w:type="pct"/>
            <w:shd w:val="clear" w:color="auto" w:fill="D9D9D9" w:themeFill="background1" w:themeFillShade="D9"/>
            <w:vAlign w:val="center"/>
          </w:tcPr>
          <w:p w14:paraId="69B0220A" w14:textId="77777777" w:rsidR="008D7BB5" w:rsidRPr="008D7BB5" w:rsidRDefault="008D7BB5" w:rsidP="002F1691">
            <w:pPr>
              <w:jc w:val="center"/>
              <w:rPr>
                <w:rFonts w:ascii="Arial" w:hAnsi="Arial" w:cs="Arial"/>
                <w:b/>
                <w:sz w:val="18"/>
                <w:szCs w:val="18"/>
                <w:lang w:val="es-ES"/>
              </w:rPr>
            </w:pPr>
            <w:r w:rsidRPr="008D7BB5">
              <w:rPr>
                <w:rFonts w:ascii="Arial" w:hAnsi="Arial" w:cs="Arial"/>
                <w:b/>
                <w:sz w:val="18"/>
                <w:szCs w:val="18"/>
                <w:lang w:val="es-ES"/>
              </w:rPr>
              <w:t>Meta (2022)</w:t>
            </w:r>
          </w:p>
        </w:tc>
        <w:tc>
          <w:tcPr>
            <w:tcW w:w="1110" w:type="pct"/>
            <w:shd w:val="clear" w:color="auto" w:fill="D9D9D9" w:themeFill="background1" w:themeFillShade="D9"/>
            <w:vAlign w:val="center"/>
          </w:tcPr>
          <w:p w14:paraId="2516D80A" w14:textId="77777777" w:rsidR="008D7BB5" w:rsidRPr="008D7BB5" w:rsidRDefault="008D7BB5" w:rsidP="002F1691">
            <w:pPr>
              <w:jc w:val="center"/>
              <w:rPr>
                <w:rFonts w:ascii="Arial" w:hAnsi="Arial" w:cs="Arial"/>
                <w:b/>
                <w:sz w:val="18"/>
                <w:szCs w:val="18"/>
                <w:lang w:val="es-ES"/>
              </w:rPr>
            </w:pPr>
            <w:r w:rsidRPr="008D7BB5">
              <w:rPr>
                <w:rFonts w:ascii="Arial" w:hAnsi="Arial" w:cs="Arial"/>
                <w:b/>
                <w:sz w:val="18"/>
                <w:szCs w:val="18"/>
                <w:lang w:val="es-ES"/>
              </w:rPr>
              <w:t>Medios de verificación/</w:t>
            </w:r>
          </w:p>
          <w:p w14:paraId="786ABB84" w14:textId="77777777" w:rsidR="008D7BB5" w:rsidRPr="008D7BB5" w:rsidRDefault="008D7BB5" w:rsidP="002F1691">
            <w:pPr>
              <w:jc w:val="center"/>
              <w:rPr>
                <w:rFonts w:ascii="Arial" w:hAnsi="Arial" w:cs="Arial"/>
                <w:b/>
                <w:sz w:val="18"/>
                <w:szCs w:val="18"/>
                <w:lang w:val="es-ES"/>
              </w:rPr>
            </w:pPr>
            <w:r w:rsidRPr="008D7BB5">
              <w:rPr>
                <w:rFonts w:ascii="Arial" w:hAnsi="Arial" w:cs="Arial"/>
                <w:b/>
                <w:sz w:val="18"/>
                <w:szCs w:val="18"/>
                <w:lang w:val="es-ES"/>
              </w:rPr>
              <w:t>Observaciones</w:t>
            </w:r>
          </w:p>
        </w:tc>
      </w:tr>
      <w:tr w:rsidR="008D7BB5" w:rsidRPr="00D86855" w14:paraId="304FEF6D" w14:textId="77777777" w:rsidTr="008D7BB5">
        <w:trPr>
          <w:trHeight w:val="413"/>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E0927FD" w14:textId="77777777" w:rsidR="008D7BB5" w:rsidRPr="008D7BB5" w:rsidRDefault="008D7BB5" w:rsidP="002F1691">
            <w:pPr>
              <w:spacing w:before="40"/>
              <w:rPr>
                <w:rFonts w:ascii="Arial" w:hAnsi="Arial" w:cs="Arial"/>
                <w:b/>
                <w:i/>
                <w:sz w:val="18"/>
                <w:szCs w:val="18"/>
                <w:lang w:val="es-ES"/>
              </w:rPr>
            </w:pPr>
            <w:r w:rsidRPr="008D7BB5">
              <w:rPr>
                <w:rFonts w:ascii="Arial" w:hAnsi="Arial" w:cs="Arial"/>
                <w:b/>
                <w:color w:val="000000"/>
                <w:sz w:val="18"/>
                <w:szCs w:val="18"/>
                <w:lang w:val="es-ES"/>
              </w:rPr>
              <w:lastRenderedPageBreak/>
              <w:t>Componente II. Consolidación de la institucionalidad y planificación del sector.</w:t>
            </w:r>
          </w:p>
        </w:tc>
      </w:tr>
      <w:tr w:rsidR="008D7BB5" w:rsidRPr="00D86855" w14:paraId="3EB91777" w14:textId="77777777" w:rsidTr="008D7BB5">
        <w:trPr>
          <w:trHeight w:val="539"/>
        </w:trPr>
        <w:tc>
          <w:tcPr>
            <w:tcW w:w="1261" w:type="pct"/>
            <w:shd w:val="clear" w:color="auto" w:fill="auto"/>
            <w:vAlign w:val="center"/>
          </w:tcPr>
          <w:p w14:paraId="05A0EC43" w14:textId="77777777" w:rsidR="008D7BB5" w:rsidRPr="008D7BB5" w:rsidRDefault="008D7BB5" w:rsidP="002F1691">
            <w:pPr>
              <w:pStyle w:val="ListParagraph"/>
              <w:ind w:left="0"/>
              <w:contextualSpacing w:val="0"/>
              <w:rPr>
                <w:rFonts w:ascii="Arial" w:hAnsi="Arial" w:cs="Arial"/>
                <w:sz w:val="18"/>
                <w:szCs w:val="18"/>
                <w:lang w:val="es-ES"/>
              </w:rPr>
            </w:pPr>
            <w:r w:rsidRPr="008D7BB5">
              <w:rPr>
                <w:rFonts w:ascii="Arial" w:hAnsi="Arial" w:cs="Arial"/>
                <w:sz w:val="18"/>
                <w:szCs w:val="18"/>
                <w:lang w:val="es-PA"/>
              </w:rPr>
              <w:t>Mejora de la estructura institucional del sector de energía mediante la separación de roles en cuanto a hidrocarburos y energía eléctrica.</w:t>
            </w:r>
          </w:p>
        </w:tc>
        <w:tc>
          <w:tcPr>
            <w:tcW w:w="1216" w:type="pct"/>
            <w:vAlign w:val="center"/>
          </w:tcPr>
          <w:p w14:paraId="09947AA5" w14:textId="77777777" w:rsidR="008D7BB5" w:rsidRPr="008D7BB5" w:rsidRDefault="008D7BB5" w:rsidP="002F1691">
            <w:pPr>
              <w:rPr>
                <w:rFonts w:ascii="Arial" w:hAnsi="Arial" w:cs="Arial"/>
                <w:sz w:val="18"/>
                <w:szCs w:val="18"/>
                <w:lang w:val="es-ES"/>
              </w:rPr>
            </w:pPr>
            <w:r w:rsidRPr="008D7BB5">
              <w:rPr>
                <w:rFonts w:ascii="Arial" w:eastAsia="Arial" w:hAnsi="Arial" w:cs="Arial"/>
                <w:sz w:val="18"/>
                <w:szCs w:val="18"/>
                <w:lang w:val="es-PA"/>
              </w:rPr>
              <w:t>Ministerios encargados del sector de energía</w:t>
            </w:r>
            <w:r w:rsidRPr="008D7BB5" w:rsidDel="00AC4648">
              <w:rPr>
                <w:rFonts w:ascii="Arial" w:hAnsi="Arial" w:cs="Arial"/>
                <w:sz w:val="18"/>
                <w:szCs w:val="18"/>
                <w:lang w:val="es-BO"/>
              </w:rPr>
              <w:t xml:space="preserve"> </w:t>
            </w:r>
          </w:p>
        </w:tc>
        <w:tc>
          <w:tcPr>
            <w:tcW w:w="565" w:type="pct"/>
            <w:shd w:val="clear" w:color="auto" w:fill="auto"/>
            <w:vAlign w:val="center"/>
          </w:tcPr>
          <w:p w14:paraId="2031B72D"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Ministerio</w:t>
            </w:r>
          </w:p>
        </w:tc>
        <w:tc>
          <w:tcPr>
            <w:tcW w:w="449" w:type="pct"/>
            <w:shd w:val="clear" w:color="auto" w:fill="auto"/>
            <w:vAlign w:val="center"/>
          </w:tcPr>
          <w:p w14:paraId="2E4D0BC5"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1</w:t>
            </w:r>
          </w:p>
        </w:tc>
        <w:tc>
          <w:tcPr>
            <w:tcW w:w="398" w:type="pct"/>
            <w:shd w:val="clear" w:color="auto" w:fill="auto"/>
            <w:vAlign w:val="center"/>
          </w:tcPr>
          <w:p w14:paraId="5CC956E9"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2</w:t>
            </w:r>
          </w:p>
        </w:tc>
        <w:tc>
          <w:tcPr>
            <w:tcW w:w="1110" w:type="pct"/>
            <w:vAlign w:val="center"/>
          </w:tcPr>
          <w:p w14:paraId="33181A63" w14:textId="77777777" w:rsidR="008D7BB5" w:rsidRPr="008D7BB5" w:rsidRDefault="008D7BB5" w:rsidP="002F1691">
            <w:pPr>
              <w:rPr>
                <w:rFonts w:ascii="Arial" w:hAnsi="Arial" w:cs="Arial"/>
                <w:sz w:val="18"/>
                <w:szCs w:val="18"/>
                <w:lang w:val="es-BO"/>
              </w:rPr>
            </w:pPr>
            <w:r w:rsidRPr="008D7BB5">
              <w:rPr>
                <w:rFonts w:ascii="Arial" w:hAnsi="Arial" w:cs="Arial"/>
                <w:sz w:val="18"/>
                <w:szCs w:val="18"/>
                <w:lang w:val="es-BO"/>
              </w:rPr>
              <w:t xml:space="preserve">Decreto supremo mediante el cual se ordena la separación de roles. </w:t>
            </w:r>
          </w:p>
        </w:tc>
      </w:tr>
      <w:tr w:rsidR="008D7BB5" w:rsidRPr="00D86855" w14:paraId="7D61B7CE" w14:textId="77777777" w:rsidTr="008D7BB5">
        <w:trPr>
          <w:trHeight w:val="539"/>
        </w:trPr>
        <w:tc>
          <w:tcPr>
            <w:tcW w:w="1261" w:type="pct"/>
            <w:shd w:val="clear" w:color="auto" w:fill="auto"/>
            <w:vAlign w:val="center"/>
          </w:tcPr>
          <w:p w14:paraId="5DC5FF5A" w14:textId="77777777" w:rsidR="008D7BB5" w:rsidRPr="008D7BB5" w:rsidDel="004D7DEC" w:rsidRDefault="008D7BB5" w:rsidP="002F1691">
            <w:pPr>
              <w:pStyle w:val="ListParagraph"/>
              <w:ind w:left="0"/>
              <w:contextualSpacing w:val="0"/>
              <w:rPr>
                <w:rFonts w:ascii="Arial" w:hAnsi="Arial" w:cs="Arial"/>
                <w:sz w:val="18"/>
                <w:szCs w:val="18"/>
                <w:lang w:val="es-ES_tradnl"/>
              </w:rPr>
            </w:pPr>
            <w:r w:rsidRPr="008D7BB5">
              <w:rPr>
                <w:rFonts w:ascii="Arial" w:hAnsi="Arial" w:cs="Arial"/>
                <w:sz w:val="18"/>
                <w:szCs w:val="18"/>
                <w:lang w:val="es-PA"/>
              </w:rPr>
              <w:t xml:space="preserve">Mejora en la institucionalidad y planificación del desarrollo del sector de manera coordinada entre sus actores más relevantes. </w:t>
            </w:r>
          </w:p>
        </w:tc>
        <w:tc>
          <w:tcPr>
            <w:tcW w:w="1216" w:type="pct"/>
            <w:vAlign w:val="center"/>
          </w:tcPr>
          <w:p w14:paraId="0FE218B5" w14:textId="77777777" w:rsidR="008D7BB5" w:rsidRPr="008D7BB5" w:rsidRDefault="008D7BB5" w:rsidP="002F1691">
            <w:pPr>
              <w:rPr>
                <w:rFonts w:ascii="Arial" w:hAnsi="Arial" w:cs="Arial"/>
                <w:sz w:val="18"/>
                <w:szCs w:val="18"/>
                <w:lang w:val="es-BO"/>
              </w:rPr>
            </w:pPr>
            <w:r w:rsidRPr="008D7BB5">
              <w:rPr>
                <w:rFonts w:ascii="Arial" w:hAnsi="Arial" w:cs="Arial"/>
                <w:sz w:val="18"/>
                <w:szCs w:val="18"/>
                <w:lang w:val="es-BO"/>
              </w:rPr>
              <w:t>Plan sectorial de desarrollo integral aprobado (Plan)</w:t>
            </w:r>
          </w:p>
        </w:tc>
        <w:tc>
          <w:tcPr>
            <w:tcW w:w="565" w:type="pct"/>
            <w:shd w:val="clear" w:color="auto" w:fill="auto"/>
            <w:vAlign w:val="center"/>
          </w:tcPr>
          <w:p w14:paraId="6FDA98A4"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Plan</w:t>
            </w:r>
          </w:p>
        </w:tc>
        <w:tc>
          <w:tcPr>
            <w:tcW w:w="449" w:type="pct"/>
            <w:shd w:val="clear" w:color="auto" w:fill="auto"/>
            <w:vAlign w:val="center"/>
          </w:tcPr>
          <w:p w14:paraId="301EB0F5"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0</w:t>
            </w:r>
          </w:p>
        </w:tc>
        <w:tc>
          <w:tcPr>
            <w:tcW w:w="398" w:type="pct"/>
            <w:shd w:val="clear" w:color="auto" w:fill="auto"/>
            <w:vAlign w:val="center"/>
          </w:tcPr>
          <w:p w14:paraId="247777B4"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1</w:t>
            </w:r>
          </w:p>
        </w:tc>
        <w:tc>
          <w:tcPr>
            <w:tcW w:w="1110" w:type="pct"/>
            <w:vAlign w:val="center"/>
          </w:tcPr>
          <w:p w14:paraId="1637FFEC" w14:textId="77777777" w:rsidR="008D7BB5" w:rsidRPr="008D7BB5" w:rsidRDefault="008D7BB5" w:rsidP="002F1691">
            <w:pPr>
              <w:rPr>
                <w:rFonts w:ascii="Arial" w:hAnsi="Arial" w:cs="Arial"/>
                <w:sz w:val="18"/>
                <w:szCs w:val="18"/>
                <w:lang w:val="es-BO"/>
              </w:rPr>
            </w:pPr>
            <w:r w:rsidRPr="008D7BB5">
              <w:rPr>
                <w:rFonts w:ascii="Arial" w:hAnsi="Arial" w:cs="Arial"/>
                <w:sz w:val="18"/>
                <w:szCs w:val="18"/>
                <w:lang w:val="es-BO"/>
              </w:rPr>
              <w:t>Los planes de desarrollo sectoriales e institucionales preparados en línea con el PDES 2016-2020 reviran como la base de un Plan sectorial de desarrollo integral. El medio de verificación será dicho plan presentado por el MEN al BID.</w:t>
            </w:r>
          </w:p>
        </w:tc>
      </w:tr>
      <w:tr w:rsidR="008D7BB5" w:rsidRPr="00D86855" w14:paraId="2E4D9209" w14:textId="77777777" w:rsidTr="008D7BB5">
        <w:trPr>
          <w:trHeight w:val="539"/>
        </w:trPr>
        <w:tc>
          <w:tcPr>
            <w:tcW w:w="1261" w:type="pct"/>
            <w:shd w:val="clear" w:color="auto" w:fill="auto"/>
          </w:tcPr>
          <w:p w14:paraId="28D54715" w14:textId="77777777" w:rsidR="008D7BB5" w:rsidRPr="008D7BB5" w:rsidRDefault="008D7BB5" w:rsidP="002F1691">
            <w:pPr>
              <w:pStyle w:val="ListParagraph"/>
              <w:ind w:left="0"/>
              <w:contextualSpacing w:val="0"/>
              <w:rPr>
                <w:rFonts w:ascii="Arial" w:hAnsi="Arial" w:cs="Arial"/>
                <w:sz w:val="18"/>
                <w:szCs w:val="18"/>
                <w:highlight w:val="yellow"/>
                <w:lang w:val="es-PA"/>
              </w:rPr>
            </w:pPr>
            <w:r w:rsidRPr="008D7BB5">
              <w:rPr>
                <w:rFonts w:ascii="Arial" w:hAnsi="Arial" w:cs="Arial"/>
                <w:sz w:val="18"/>
                <w:szCs w:val="18"/>
                <w:lang w:val="es-PA"/>
              </w:rPr>
              <w:t>Incremento en la participación de mujeres en puestos técnicos y de liderazgo en ENDE.</w:t>
            </w:r>
          </w:p>
        </w:tc>
        <w:tc>
          <w:tcPr>
            <w:tcW w:w="1216" w:type="pct"/>
            <w:vAlign w:val="center"/>
          </w:tcPr>
          <w:p w14:paraId="1914C42D" w14:textId="77777777" w:rsidR="008D7BB5" w:rsidRPr="008D7BB5" w:rsidRDefault="008D7BB5" w:rsidP="002F1691">
            <w:pPr>
              <w:rPr>
                <w:rFonts w:ascii="Arial" w:hAnsi="Arial" w:cs="Arial"/>
                <w:sz w:val="18"/>
                <w:szCs w:val="18"/>
                <w:highlight w:val="yellow"/>
                <w:lang w:val="es-BO"/>
              </w:rPr>
            </w:pPr>
            <w:r w:rsidRPr="008D7BB5">
              <w:rPr>
                <w:rFonts w:ascii="Arial" w:hAnsi="Arial" w:cs="Arial"/>
                <w:sz w:val="18"/>
                <w:szCs w:val="18"/>
                <w:lang w:val="es-PA"/>
              </w:rPr>
              <w:t>Porcentaje de participación de mujeres en puestos técnicos y de liderazgo en ENDE.</w:t>
            </w:r>
          </w:p>
        </w:tc>
        <w:tc>
          <w:tcPr>
            <w:tcW w:w="565" w:type="pct"/>
            <w:shd w:val="clear" w:color="auto" w:fill="auto"/>
            <w:vAlign w:val="center"/>
          </w:tcPr>
          <w:p w14:paraId="4CB6BA21"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BO"/>
              </w:rPr>
              <w:t>%</w:t>
            </w:r>
          </w:p>
        </w:tc>
        <w:tc>
          <w:tcPr>
            <w:tcW w:w="449" w:type="pct"/>
            <w:shd w:val="clear" w:color="auto" w:fill="auto"/>
            <w:vAlign w:val="center"/>
          </w:tcPr>
          <w:p w14:paraId="190F5E48"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13</w:t>
            </w:r>
          </w:p>
        </w:tc>
        <w:tc>
          <w:tcPr>
            <w:tcW w:w="398" w:type="pct"/>
            <w:shd w:val="clear" w:color="auto" w:fill="auto"/>
            <w:vAlign w:val="center"/>
          </w:tcPr>
          <w:p w14:paraId="7DA09EE8"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20</w:t>
            </w:r>
          </w:p>
        </w:tc>
        <w:tc>
          <w:tcPr>
            <w:tcW w:w="1110" w:type="pct"/>
            <w:vAlign w:val="center"/>
          </w:tcPr>
          <w:p w14:paraId="15FD37AD" w14:textId="77777777" w:rsidR="008D7BB5" w:rsidRPr="008D7BB5" w:rsidRDefault="008D7BB5" w:rsidP="002F1691">
            <w:pPr>
              <w:rPr>
                <w:rFonts w:ascii="Arial" w:hAnsi="Arial" w:cs="Arial"/>
                <w:sz w:val="18"/>
                <w:szCs w:val="18"/>
                <w:lang w:val="es-BO"/>
              </w:rPr>
            </w:pPr>
            <w:r w:rsidRPr="008D7BB5">
              <w:rPr>
                <w:rFonts w:ascii="Arial" w:hAnsi="Arial" w:cs="Arial"/>
                <w:sz w:val="18"/>
                <w:szCs w:val="18"/>
                <w:lang w:val="es-ES"/>
              </w:rPr>
              <w:t xml:space="preserve">Informe de la ENDE presentado al Banco con información de la composición del personal contratado especificando las responsabilidades y el género. </w:t>
            </w:r>
          </w:p>
        </w:tc>
      </w:tr>
      <w:tr w:rsidR="008D7BB5" w:rsidRPr="00D86855" w14:paraId="14417D9A" w14:textId="77777777" w:rsidTr="008D7BB5">
        <w:trPr>
          <w:trHeight w:val="368"/>
        </w:trPr>
        <w:tc>
          <w:tcPr>
            <w:tcW w:w="5000" w:type="pct"/>
            <w:gridSpan w:val="6"/>
            <w:shd w:val="clear" w:color="auto" w:fill="C6D9F1" w:themeFill="text2" w:themeFillTint="33"/>
          </w:tcPr>
          <w:p w14:paraId="70E820DC" w14:textId="77777777" w:rsidR="008D7BB5" w:rsidRPr="008D7BB5" w:rsidRDefault="008D7BB5" w:rsidP="002F1691">
            <w:pPr>
              <w:rPr>
                <w:rFonts w:ascii="Arial" w:hAnsi="Arial" w:cs="Arial"/>
                <w:b/>
                <w:sz w:val="18"/>
                <w:szCs w:val="18"/>
                <w:lang w:val="es-ES"/>
              </w:rPr>
            </w:pPr>
            <w:r w:rsidRPr="008D7BB5">
              <w:rPr>
                <w:rFonts w:ascii="Arial" w:hAnsi="Arial" w:cs="Arial"/>
                <w:b/>
                <w:sz w:val="18"/>
                <w:szCs w:val="18"/>
                <w:lang w:val="es-ES"/>
              </w:rPr>
              <w:t>Componente III. Aprovechamiento de recursos renovables para la generación eléctrica.</w:t>
            </w:r>
          </w:p>
        </w:tc>
      </w:tr>
      <w:tr w:rsidR="008D7BB5" w:rsidRPr="00D86855" w14:paraId="4FA6C2EE" w14:textId="77777777" w:rsidTr="008D7BB5">
        <w:trPr>
          <w:trHeight w:val="863"/>
        </w:trPr>
        <w:tc>
          <w:tcPr>
            <w:tcW w:w="1261" w:type="pct"/>
            <w:shd w:val="clear" w:color="auto" w:fill="auto"/>
            <w:vAlign w:val="center"/>
          </w:tcPr>
          <w:p w14:paraId="2F7C4328" w14:textId="77777777" w:rsidR="008D7BB5" w:rsidRPr="008D7BB5" w:rsidRDefault="008D7BB5" w:rsidP="002F1691">
            <w:pPr>
              <w:pStyle w:val="ListParagraph"/>
              <w:ind w:left="0"/>
              <w:contextualSpacing w:val="0"/>
              <w:rPr>
                <w:rFonts w:ascii="Arial" w:hAnsi="Arial" w:cs="Arial"/>
                <w:sz w:val="18"/>
                <w:szCs w:val="18"/>
                <w:lang w:val="es-BO"/>
              </w:rPr>
            </w:pPr>
            <w:r w:rsidRPr="008D7BB5">
              <w:rPr>
                <w:rFonts w:ascii="Arial" w:hAnsi="Arial" w:cs="Arial"/>
                <w:sz w:val="18"/>
                <w:szCs w:val="18"/>
                <w:lang w:val="es-ES_tradnl"/>
              </w:rPr>
              <w:t xml:space="preserve">Incremento en la </w:t>
            </w:r>
            <w:r w:rsidRPr="008D7BB5">
              <w:rPr>
                <w:rFonts w:ascii="Arial" w:hAnsi="Arial" w:cs="Arial"/>
                <w:sz w:val="18"/>
                <w:szCs w:val="18"/>
                <w:lang w:val="es-ES"/>
              </w:rPr>
              <w:t>participación de las ER y ERNC en la matriz de generación eléctrica del Sistema Interconectado Nacional (SIN).</w:t>
            </w:r>
          </w:p>
        </w:tc>
        <w:tc>
          <w:tcPr>
            <w:tcW w:w="1216" w:type="pct"/>
            <w:vAlign w:val="center"/>
          </w:tcPr>
          <w:p w14:paraId="4D291093" w14:textId="77777777" w:rsidR="008D7BB5" w:rsidRPr="008D7BB5" w:rsidRDefault="008D7BB5" w:rsidP="002F1691">
            <w:pPr>
              <w:rPr>
                <w:rFonts w:ascii="Arial" w:hAnsi="Arial" w:cs="Arial"/>
                <w:sz w:val="18"/>
                <w:szCs w:val="18"/>
                <w:lang w:val="es-BO"/>
              </w:rPr>
            </w:pPr>
            <w:r w:rsidRPr="008D7BB5">
              <w:rPr>
                <w:rFonts w:ascii="Arial" w:hAnsi="Arial" w:cs="Arial"/>
                <w:sz w:val="18"/>
                <w:szCs w:val="18"/>
                <w:lang w:val="es-PA"/>
              </w:rPr>
              <w:t>Porcentaje de participación de las ER y ERNC en la matriz eléctrica (%)</w:t>
            </w:r>
          </w:p>
        </w:tc>
        <w:tc>
          <w:tcPr>
            <w:tcW w:w="565" w:type="pct"/>
            <w:shd w:val="clear" w:color="auto" w:fill="auto"/>
            <w:vAlign w:val="center"/>
          </w:tcPr>
          <w:p w14:paraId="3B6DB656" w14:textId="77777777" w:rsidR="008D7BB5" w:rsidRPr="008D7BB5" w:rsidRDefault="008D7BB5" w:rsidP="002F1691">
            <w:pPr>
              <w:jc w:val="center"/>
              <w:rPr>
                <w:rFonts w:ascii="Arial" w:hAnsi="Arial" w:cs="Arial"/>
                <w:sz w:val="18"/>
                <w:szCs w:val="18"/>
                <w:lang w:val="es-BO"/>
              </w:rPr>
            </w:pPr>
            <w:r w:rsidRPr="008D7BB5">
              <w:rPr>
                <w:rFonts w:ascii="Arial" w:hAnsi="Arial" w:cs="Arial"/>
                <w:sz w:val="18"/>
                <w:szCs w:val="18"/>
                <w:lang w:val="es-BO"/>
              </w:rPr>
              <w:t>%</w:t>
            </w:r>
          </w:p>
        </w:tc>
        <w:tc>
          <w:tcPr>
            <w:tcW w:w="449" w:type="pct"/>
            <w:shd w:val="clear" w:color="auto" w:fill="auto"/>
            <w:vAlign w:val="center"/>
          </w:tcPr>
          <w:p w14:paraId="7AF8E066"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25,76%</w:t>
            </w:r>
          </w:p>
        </w:tc>
        <w:tc>
          <w:tcPr>
            <w:tcW w:w="398" w:type="pct"/>
            <w:vAlign w:val="center"/>
          </w:tcPr>
          <w:p w14:paraId="38C59D1F" w14:textId="50D9DA40"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48%</w:t>
            </w:r>
            <w:r w:rsidR="00596EE3">
              <w:rPr>
                <w:rStyle w:val="FootnoteReference"/>
                <w:rFonts w:ascii="Arial" w:hAnsi="Arial" w:cs="Arial"/>
                <w:sz w:val="18"/>
                <w:szCs w:val="18"/>
                <w:lang w:val="es-ES"/>
              </w:rPr>
              <w:footnoteReference w:id="4"/>
            </w:r>
          </w:p>
          <w:p w14:paraId="10296FAD" w14:textId="77777777" w:rsidR="008D7BB5" w:rsidRPr="008D7BB5" w:rsidRDefault="008D7BB5" w:rsidP="002F1691">
            <w:pPr>
              <w:jc w:val="center"/>
              <w:rPr>
                <w:rFonts w:ascii="Arial" w:hAnsi="Arial" w:cs="Arial"/>
                <w:sz w:val="18"/>
                <w:szCs w:val="18"/>
                <w:lang w:val="es-ES"/>
              </w:rPr>
            </w:pPr>
          </w:p>
        </w:tc>
        <w:tc>
          <w:tcPr>
            <w:tcW w:w="1110" w:type="pct"/>
            <w:vAlign w:val="center"/>
          </w:tcPr>
          <w:p w14:paraId="20AE0948"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
              </w:rPr>
              <w:t>Informes anuales de la AE sobre la capacidad instalada de generación.</w:t>
            </w:r>
          </w:p>
        </w:tc>
      </w:tr>
      <w:tr w:rsidR="008D7BB5" w:rsidRPr="00D86855" w14:paraId="176C9FA2" w14:textId="77777777" w:rsidTr="008D7BB5">
        <w:trPr>
          <w:trHeight w:val="368"/>
        </w:trPr>
        <w:tc>
          <w:tcPr>
            <w:tcW w:w="5000" w:type="pct"/>
            <w:gridSpan w:val="6"/>
            <w:shd w:val="clear" w:color="auto" w:fill="C6D9F1" w:themeFill="text2" w:themeFillTint="33"/>
          </w:tcPr>
          <w:p w14:paraId="4B911201" w14:textId="77777777" w:rsidR="008D7BB5" w:rsidRPr="008D7BB5" w:rsidRDefault="008D7BB5" w:rsidP="002F1691">
            <w:pPr>
              <w:rPr>
                <w:rFonts w:ascii="Arial" w:hAnsi="Arial" w:cs="Arial"/>
                <w:b/>
                <w:sz w:val="18"/>
                <w:szCs w:val="18"/>
                <w:lang w:val="es-ES"/>
              </w:rPr>
            </w:pPr>
            <w:r w:rsidRPr="008D7BB5">
              <w:rPr>
                <w:rFonts w:ascii="Arial" w:hAnsi="Arial" w:cs="Arial"/>
                <w:b/>
                <w:sz w:val="18"/>
                <w:szCs w:val="18"/>
                <w:lang w:val="es-ES"/>
              </w:rPr>
              <w:t>Componente IV. Provisión confiable y Eficiente de Energía Eléctrica</w:t>
            </w:r>
          </w:p>
        </w:tc>
      </w:tr>
      <w:tr w:rsidR="008D7BB5" w:rsidRPr="00D86855" w14:paraId="4DC6494E" w14:textId="77777777" w:rsidTr="008D7BB5">
        <w:trPr>
          <w:trHeight w:val="64"/>
        </w:trPr>
        <w:tc>
          <w:tcPr>
            <w:tcW w:w="1261" w:type="pct"/>
            <w:vAlign w:val="center"/>
          </w:tcPr>
          <w:p w14:paraId="3D34D993"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BO"/>
              </w:rPr>
              <w:t xml:space="preserve">Generación de ahorro energético por un uso más eficiente de la energía. </w:t>
            </w:r>
          </w:p>
        </w:tc>
        <w:tc>
          <w:tcPr>
            <w:tcW w:w="1216" w:type="pct"/>
            <w:vAlign w:val="center"/>
          </w:tcPr>
          <w:p w14:paraId="2F8BC06F" w14:textId="77777777" w:rsidR="008D7BB5" w:rsidRPr="008D7BB5" w:rsidRDefault="008D7BB5" w:rsidP="002F1691">
            <w:pPr>
              <w:rPr>
                <w:rFonts w:ascii="Arial" w:hAnsi="Arial" w:cs="Arial"/>
                <w:sz w:val="18"/>
                <w:szCs w:val="18"/>
                <w:lang w:val="es-BO" w:eastAsia="zh-CN"/>
              </w:rPr>
            </w:pPr>
            <w:r w:rsidRPr="008D7BB5">
              <w:rPr>
                <w:rFonts w:ascii="Arial" w:hAnsi="Arial" w:cs="Arial"/>
                <w:sz w:val="18"/>
                <w:szCs w:val="18"/>
                <w:lang w:val="es-BO"/>
              </w:rPr>
              <w:t>Ahorro energético anual por la implementación de medidas de eficiencia energética (GWh/año)</w:t>
            </w:r>
          </w:p>
        </w:tc>
        <w:tc>
          <w:tcPr>
            <w:tcW w:w="565" w:type="pct"/>
            <w:vAlign w:val="center"/>
          </w:tcPr>
          <w:p w14:paraId="1F62289C"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BO" w:eastAsia="zh-CN"/>
              </w:rPr>
              <w:t>GWh/año</w:t>
            </w:r>
          </w:p>
        </w:tc>
        <w:tc>
          <w:tcPr>
            <w:tcW w:w="449" w:type="pct"/>
            <w:vAlign w:val="center"/>
          </w:tcPr>
          <w:p w14:paraId="13BCAAB0"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0</w:t>
            </w:r>
          </w:p>
        </w:tc>
        <w:tc>
          <w:tcPr>
            <w:tcW w:w="398" w:type="pct"/>
            <w:vAlign w:val="center"/>
          </w:tcPr>
          <w:p w14:paraId="47ECD663" w14:textId="786F3149"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1.244</w:t>
            </w:r>
            <w:r w:rsidR="002F1691">
              <w:rPr>
                <w:rStyle w:val="FootnoteReference"/>
                <w:rFonts w:ascii="Arial" w:hAnsi="Arial" w:cs="Arial"/>
                <w:sz w:val="18"/>
                <w:szCs w:val="18"/>
                <w:lang w:val="es-ES"/>
              </w:rPr>
              <w:footnoteReference w:id="5"/>
            </w:r>
          </w:p>
        </w:tc>
        <w:tc>
          <w:tcPr>
            <w:tcW w:w="1110" w:type="pct"/>
            <w:vAlign w:val="center"/>
          </w:tcPr>
          <w:p w14:paraId="63E9737F"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
              </w:rPr>
              <w:t>Es la energía ahorrada por menor consumo producto de la medida de EE en el sector de implementación (escenario con medidas Vs. escenario sin medidas). Se discrimina entre el ahorro de energía en el SIN y en Sistemas Aislados (SA) -ver informe de evaluación económica ex ante.</w:t>
            </w:r>
          </w:p>
          <w:p w14:paraId="0E00BFAF"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
              </w:rPr>
              <w:t xml:space="preserve">Fuente: Informes del VMEEA sobre la implementación de medidas de EE. </w:t>
            </w:r>
          </w:p>
        </w:tc>
      </w:tr>
      <w:tr w:rsidR="008D7BB5" w:rsidRPr="00D86855" w14:paraId="25E5F665" w14:textId="77777777" w:rsidTr="008D7BB5">
        <w:trPr>
          <w:trHeight w:val="64"/>
        </w:trPr>
        <w:tc>
          <w:tcPr>
            <w:tcW w:w="1261" w:type="pct"/>
            <w:vAlign w:val="center"/>
          </w:tcPr>
          <w:p w14:paraId="4AF72009" w14:textId="77777777" w:rsidR="008D7BB5" w:rsidRPr="008D7BB5" w:rsidRDefault="008D7BB5" w:rsidP="002F1691">
            <w:pPr>
              <w:rPr>
                <w:rFonts w:ascii="Arial" w:hAnsi="Arial" w:cs="Arial"/>
                <w:sz w:val="18"/>
                <w:szCs w:val="18"/>
                <w:lang w:val="es-BO"/>
              </w:rPr>
            </w:pPr>
            <w:r w:rsidRPr="008D7BB5">
              <w:rPr>
                <w:rFonts w:ascii="Arial" w:hAnsi="Arial" w:cs="Arial"/>
                <w:sz w:val="18"/>
                <w:szCs w:val="18"/>
                <w:lang w:val="es-BO"/>
              </w:rPr>
              <w:lastRenderedPageBreak/>
              <w:t>Aumento de la cobertura eléctrica a nivel nacional</w:t>
            </w:r>
          </w:p>
        </w:tc>
        <w:tc>
          <w:tcPr>
            <w:tcW w:w="1216" w:type="pct"/>
            <w:vAlign w:val="center"/>
          </w:tcPr>
          <w:p w14:paraId="0594C5ED" w14:textId="77777777" w:rsidR="008D7BB5" w:rsidRPr="008D7BB5" w:rsidRDefault="008D7BB5" w:rsidP="002F1691">
            <w:pPr>
              <w:rPr>
                <w:rFonts w:ascii="Arial" w:hAnsi="Arial" w:cs="Arial"/>
                <w:sz w:val="18"/>
                <w:szCs w:val="18"/>
                <w:lang w:val="es-BO" w:eastAsia="zh-CN"/>
              </w:rPr>
            </w:pPr>
            <w:r w:rsidRPr="008D7BB5">
              <w:rPr>
                <w:rFonts w:ascii="Arial" w:hAnsi="Arial" w:cs="Arial"/>
                <w:sz w:val="18"/>
                <w:szCs w:val="18"/>
                <w:lang w:val="es-PA"/>
              </w:rPr>
              <w:t>Cobertura eléctrica a nivel nacional (%)</w:t>
            </w:r>
          </w:p>
        </w:tc>
        <w:tc>
          <w:tcPr>
            <w:tcW w:w="565" w:type="pct"/>
            <w:vAlign w:val="center"/>
          </w:tcPr>
          <w:p w14:paraId="3779C19B" w14:textId="77777777" w:rsidR="008D7BB5" w:rsidRPr="008D7BB5" w:rsidRDefault="008D7BB5" w:rsidP="002F1691">
            <w:pPr>
              <w:jc w:val="center"/>
              <w:rPr>
                <w:rFonts w:ascii="Arial" w:hAnsi="Arial" w:cs="Arial"/>
                <w:sz w:val="18"/>
                <w:szCs w:val="18"/>
                <w:lang w:val="es-BO" w:eastAsia="zh-CN"/>
              </w:rPr>
            </w:pPr>
            <w:r w:rsidRPr="008D7BB5">
              <w:rPr>
                <w:rFonts w:ascii="Arial" w:hAnsi="Arial" w:cs="Arial"/>
                <w:sz w:val="18"/>
                <w:szCs w:val="18"/>
                <w:lang w:val="es-BO" w:eastAsia="zh-CN"/>
              </w:rPr>
              <w:t>%</w:t>
            </w:r>
          </w:p>
        </w:tc>
        <w:tc>
          <w:tcPr>
            <w:tcW w:w="449" w:type="pct"/>
            <w:vAlign w:val="center"/>
          </w:tcPr>
          <w:p w14:paraId="55052D1A" w14:textId="77777777"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90</w:t>
            </w:r>
          </w:p>
        </w:tc>
        <w:tc>
          <w:tcPr>
            <w:tcW w:w="398" w:type="pct"/>
            <w:vAlign w:val="center"/>
          </w:tcPr>
          <w:p w14:paraId="42A01776" w14:textId="457B427E" w:rsidR="008D7BB5" w:rsidRPr="008D7BB5" w:rsidRDefault="008D7BB5" w:rsidP="002F1691">
            <w:pPr>
              <w:jc w:val="center"/>
              <w:rPr>
                <w:rFonts w:ascii="Arial" w:hAnsi="Arial" w:cs="Arial"/>
                <w:sz w:val="18"/>
                <w:szCs w:val="18"/>
                <w:lang w:val="es-ES"/>
              </w:rPr>
            </w:pPr>
            <w:r w:rsidRPr="008D7BB5">
              <w:rPr>
                <w:rFonts w:ascii="Arial" w:hAnsi="Arial" w:cs="Arial"/>
                <w:sz w:val="18"/>
                <w:szCs w:val="18"/>
                <w:lang w:val="es-ES"/>
              </w:rPr>
              <w:t>98</w:t>
            </w:r>
            <w:r w:rsidR="00762A4D">
              <w:rPr>
                <w:rStyle w:val="FootnoteReference"/>
                <w:rFonts w:ascii="Arial" w:hAnsi="Arial" w:cs="Arial"/>
                <w:sz w:val="18"/>
                <w:szCs w:val="18"/>
                <w:lang w:val="es-ES"/>
              </w:rPr>
              <w:footnoteReference w:id="6"/>
            </w:r>
          </w:p>
        </w:tc>
        <w:tc>
          <w:tcPr>
            <w:tcW w:w="1110" w:type="pct"/>
            <w:vAlign w:val="center"/>
          </w:tcPr>
          <w:p w14:paraId="12B0DB9E" w14:textId="77777777" w:rsidR="008D7BB5" w:rsidRPr="008D7BB5" w:rsidRDefault="008D7BB5" w:rsidP="002F1691">
            <w:pPr>
              <w:rPr>
                <w:rFonts w:ascii="Arial" w:hAnsi="Arial" w:cs="Arial"/>
                <w:sz w:val="18"/>
                <w:szCs w:val="18"/>
                <w:lang w:val="es-ES"/>
              </w:rPr>
            </w:pPr>
            <w:r w:rsidRPr="008D7BB5">
              <w:rPr>
                <w:rFonts w:ascii="Arial" w:hAnsi="Arial" w:cs="Arial"/>
                <w:sz w:val="18"/>
                <w:szCs w:val="18"/>
                <w:lang w:val="es-ES"/>
              </w:rPr>
              <w:t>Informes de cobertura eléctrica preparados por el VMEEA y enviados al Banco.</w:t>
            </w:r>
          </w:p>
        </w:tc>
      </w:tr>
      <w:bookmarkEnd w:id="4"/>
    </w:tbl>
    <w:p w14:paraId="1B7A2EA3" w14:textId="77777777" w:rsidR="008D7BB5" w:rsidRPr="008D7BB5" w:rsidRDefault="008D7BB5" w:rsidP="00F1122D">
      <w:pPr>
        <w:pStyle w:val="NoSpacing"/>
        <w:jc w:val="center"/>
        <w:rPr>
          <w:lang w:val="es-ES_tradnl"/>
        </w:rPr>
      </w:pPr>
    </w:p>
    <w:p w14:paraId="71D57CFE" w14:textId="77777777" w:rsidR="00AA17B1" w:rsidRPr="00AA17B1" w:rsidRDefault="00AA17B1" w:rsidP="00AA17B1">
      <w:pPr>
        <w:pStyle w:val="Paragraph"/>
        <w:widowControl w:val="0"/>
        <w:tabs>
          <w:tab w:val="clear" w:pos="1440"/>
        </w:tabs>
        <w:ind w:left="540" w:firstLine="0"/>
        <w:rPr>
          <w:rFonts w:ascii="Arial" w:hAnsi="Arial" w:cs="Arial"/>
          <w:szCs w:val="24"/>
          <w:lang w:val="es-ES"/>
        </w:rPr>
      </w:pPr>
    </w:p>
    <w:p w14:paraId="23206B56" w14:textId="5F37917E" w:rsidR="00C419B8" w:rsidRPr="001C59A0" w:rsidRDefault="00C419B8" w:rsidP="00C419B8">
      <w:pPr>
        <w:pStyle w:val="Paragraph"/>
        <w:widowControl w:val="0"/>
        <w:numPr>
          <w:ilvl w:val="0"/>
          <w:numId w:val="3"/>
        </w:numPr>
        <w:ind w:left="540" w:hanging="540"/>
        <w:rPr>
          <w:rFonts w:ascii="Arial" w:hAnsi="Arial" w:cs="Arial"/>
          <w:szCs w:val="24"/>
          <w:lang w:val="es-ES"/>
        </w:rPr>
      </w:pPr>
      <w:r w:rsidRPr="001C59A0">
        <w:rPr>
          <w:rFonts w:ascii="Arial" w:hAnsi="Arial" w:cs="Arial"/>
          <w:b/>
          <w:szCs w:val="24"/>
          <w:lang w:val="es-ES"/>
        </w:rPr>
        <w:t xml:space="preserve">Metodología de Evaluación. </w:t>
      </w:r>
    </w:p>
    <w:p w14:paraId="2DC2847B" w14:textId="77777777" w:rsidR="00C419B8" w:rsidRPr="001C59A0" w:rsidRDefault="00C419B8" w:rsidP="00C419B8">
      <w:pPr>
        <w:pStyle w:val="Paragraph"/>
        <w:numPr>
          <w:ilvl w:val="1"/>
          <w:numId w:val="4"/>
        </w:numPr>
        <w:spacing w:before="100" w:after="100"/>
        <w:ind w:left="540" w:hanging="540"/>
        <w:rPr>
          <w:rFonts w:ascii="Arial" w:hAnsi="Arial" w:cs="Arial"/>
          <w:color w:val="000000"/>
          <w:lang w:val="es-ES"/>
        </w:rPr>
      </w:pPr>
      <w:r w:rsidRPr="001C59A0">
        <w:rPr>
          <w:rFonts w:ascii="Arial" w:hAnsi="Arial" w:cs="Arial"/>
          <w:color w:val="000000"/>
          <w:lang w:val="es-ES"/>
        </w:rPr>
        <w:t xml:space="preserve">Las metodologías propuestas consisten en un análisis antes – después para medir el alcance de los resultados y una evaluación </w:t>
      </w:r>
      <w:r w:rsidR="007F5B8A">
        <w:rPr>
          <w:rFonts w:ascii="Arial" w:hAnsi="Arial" w:cs="Arial"/>
          <w:color w:val="000000"/>
          <w:lang w:val="es-ES"/>
        </w:rPr>
        <w:t>de impacto</w:t>
      </w:r>
      <w:r w:rsidRPr="001C59A0">
        <w:rPr>
          <w:rFonts w:ascii="Arial" w:hAnsi="Arial" w:cs="Arial"/>
          <w:color w:val="000000"/>
          <w:lang w:val="es-ES"/>
        </w:rPr>
        <w:t>.</w:t>
      </w:r>
    </w:p>
    <w:p w14:paraId="1A612C0A" w14:textId="77777777" w:rsidR="00C419B8" w:rsidRPr="001C59A0" w:rsidRDefault="00C419B8" w:rsidP="00C419B8">
      <w:pPr>
        <w:pStyle w:val="Paragraph"/>
        <w:numPr>
          <w:ilvl w:val="1"/>
          <w:numId w:val="4"/>
        </w:numPr>
        <w:spacing w:before="100" w:after="100"/>
        <w:ind w:left="540" w:hanging="540"/>
        <w:rPr>
          <w:rFonts w:ascii="Arial" w:hAnsi="Arial" w:cs="Arial"/>
          <w:color w:val="000000"/>
          <w:lang w:val="es-ES"/>
        </w:rPr>
      </w:pPr>
      <w:r w:rsidRPr="001C59A0">
        <w:rPr>
          <w:rFonts w:ascii="Arial" w:hAnsi="Arial" w:cs="Arial"/>
          <w:b/>
          <w:color w:val="000000"/>
          <w:lang w:val="es-ES"/>
        </w:rPr>
        <w:t>Método antes – después.</w:t>
      </w:r>
      <w:r w:rsidRPr="001C59A0">
        <w:rPr>
          <w:rFonts w:ascii="Arial" w:hAnsi="Arial" w:cs="Arial"/>
          <w:color w:val="000000"/>
          <w:lang w:val="es-ES"/>
        </w:rPr>
        <w:t xml:space="preserve"> Para definir si los resultados se han alcanzado, se </w:t>
      </w:r>
      <w:r w:rsidR="00625725" w:rsidRPr="001C59A0">
        <w:rPr>
          <w:rFonts w:ascii="Arial" w:hAnsi="Arial" w:cs="Arial"/>
          <w:color w:val="000000"/>
          <w:lang w:val="es-ES"/>
        </w:rPr>
        <w:t>realizará</w:t>
      </w:r>
      <w:r w:rsidRPr="001C59A0">
        <w:rPr>
          <w:rFonts w:ascii="Arial" w:hAnsi="Arial" w:cs="Arial"/>
          <w:color w:val="000000"/>
          <w:lang w:val="es-ES"/>
        </w:rPr>
        <w:t xml:space="preserve"> una medición antes – después</w:t>
      </w:r>
      <w:r w:rsidR="007F5B8A">
        <w:rPr>
          <w:rFonts w:ascii="Arial" w:hAnsi="Arial" w:cs="Arial"/>
          <w:color w:val="000000"/>
          <w:lang w:val="es-ES"/>
        </w:rPr>
        <w:t xml:space="preserve"> siguiendo los lineamientos establecidos por el Banco para la preparación de los </w:t>
      </w:r>
      <w:r w:rsidR="007F5B8A" w:rsidRPr="001C59A0">
        <w:rPr>
          <w:rFonts w:ascii="Arial" w:hAnsi="Arial" w:cs="Arial"/>
          <w:lang w:val="es-ES_tradnl" w:eastAsia="es-ES"/>
        </w:rPr>
        <w:t>Informe</w:t>
      </w:r>
      <w:r w:rsidR="007F5B8A">
        <w:rPr>
          <w:rFonts w:ascii="Arial" w:hAnsi="Arial" w:cs="Arial"/>
          <w:lang w:val="es-ES_tradnl" w:eastAsia="es-ES"/>
        </w:rPr>
        <w:t>s</w:t>
      </w:r>
      <w:r w:rsidR="007F5B8A" w:rsidRPr="001C59A0">
        <w:rPr>
          <w:rFonts w:ascii="Arial" w:hAnsi="Arial" w:cs="Arial"/>
          <w:lang w:val="es-ES_tradnl" w:eastAsia="es-ES"/>
        </w:rPr>
        <w:t xml:space="preserve"> de Terminación de Proyecto </w:t>
      </w:r>
      <w:r w:rsidR="007F5B8A">
        <w:rPr>
          <w:rFonts w:ascii="Arial" w:hAnsi="Arial" w:cs="Arial"/>
          <w:lang w:val="es-ES_tradnl" w:eastAsia="es-ES"/>
        </w:rPr>
        <w:t>(</w:t>
      </w:r>
      <w:r w:rsidR="007F5B8A" w:rsidRPr="001C59A0">
        <w:rPr>
          <w:rFonts w:ascii="Arial" w:hAnsi="Arial" w:cs="Arial"/>
          <w:lang w:val="es-ES_tradnl" w:eastAsia="es-ES"/>
        </w:rPr>
        <w:t>PCR</w:t>
      </w:r>
      <w:r w:rsidR="007F5B8A">
        <w:rPr>
          <w:rFonts w:ascii="Arial" w:hAnsi="Arial" w:cs="Arial"/>
          <w:lang w:val="es-ES_tradnl" w:eastAsia="es-ES"/>
        </w:rPr>
        <w:t>)</w:t>
      </w:r>
      <w:r w:rsidRPr="001C59A0">
        <w:rPr>
          <w:rFonts w:ascii="Arial" w:hAnsi="Arial" w:cs="Arial"/>
          <w:color w:val="000000"/>
          <w:lang w:val="es-ES"/>
        </w:rPr>
        <w:t>, en función a los indicadores de impacto y resultado establecidos en la matriz, descritos en la sección anterior.</w:t>
      </w:r>
    </w:p>
    <w:p w14:paraId="3D24A30F" w14:textId="77777777" w:rsidR="00C419B8" w:rsidRPr="001C59A0" w:rsidRDefault="00C419B8" w:rsidP="00C419B8">
      <w:pPr>
        <w:pStyle w:val="Paragraph"/>
        <w:widowControl w:val="0"/>
        <w:numPr>
          <w:ilvl w:val="0"/>
          <w:numId w:val="3"/>
        </w:numPr>
        <w:rPr>
          <w:rFonts w:ascii="Arial" w:hAnsi="Arial" w:cs="Arial"/>
          <w:b/>
          <w:spacing w:val="-3"/>
          <w:szCs w:val="24"/>
          <w:lang w:val="es-ES"/>
        </w:rPr>
      </w:pPr>
      <w:r w:rsidRPr="001C59A0">
        <w:rPr>
          <w:rFonts w:ascii="Arial" w:hAnsi="Arial" w:cs="Arial"/>
          <w:b/>
          <w:spacing w:val="-3"/>
          <w:szCs w:val="24"/>
          <w:lang w:val="es-ES"/>
        </w:rPr>
        <w:t>Informe de Terminación del Proyecto (PCR)</w:t>
      </w:r>
    </w:p>
    <w:p w14:paraId="41903CF5" w14:textId="77777777" w:rsidR="00C419B8" w:rsidRPr="001C59A0" w:rsidRDefault="00C419B8" w:rsidP="00C419B8">
      <w:pPr>
        <w:pStyle w:val="Paragraph"/>
        <w:numPr>
          <w:ilvl w:val="1"/>
          <w:numId w:val="4"/>
        </w:numPr>
        <w:spacing w:before="100" w:after="100"/>
        <w:ind w:left="540" w:hanging="540"/>
        <w:rPr>
          <w:rFonts w:ascii="Arial" w:hAnsi="Arial" w:cs="Arial"/>
          <w:spacing w:val="-3"/>
          <w:szCs w:val="24"/>
          <w:lang w:val="es-ES"/>
        </w:rPr>
      </w:pPr>
      <w:bookmarkStart w:id="5" w:name="_Ref463963712"/>
      <w:r w:rsidRPr="001C59A0">
        <w:rPr>
          <w:rFonts w:ascii="Arial" w:hAnsi="Arial" w:cs="Arial"/>
          <w:lang w:val="es-ES_tradnl" w:eastAsia="es-ES"/>
        </w:rPr>
        <w:t>El Informe de Terminación de Proyecto o PCR, por sus siglas en inglés, es el principal instrumento de rendición de cuentas que utiliza el Banco para mostrar tanto a partes involucradas internos y externos al Banco, el desempeño de sus operaciones con garantía soberana y la efectividad en el Desarrollo de las mismas. Asimismo, presenta los principales hallazgos y recomendaciones a fin de fortalecer el diseño y ejecución de futuros proyectos.</w:t>
      </w:r>
      <w:bookmarkEnd w:id="5"/>
    </w:p>
    <w:p w14:paraId="557F59EB" w14:textId="4BE6977D" w:rsidR="00C419B8" w:rsidRPr="00091103" w:rsidRDefault="00C419B8" w:rsidP="00C419B8">
      <w:pPr>
        <w:pStyle w:val="Paragraph"/>
        <w:numPr>
          <w:ilvl w:val="1"/>
          <w:numId w:val="4"/>
        </w:numPr>
        <w:spacing w:before="100" w:after="100"/>
        <w:ind w:left="540" w:hanging="540"/>
        <w:rPr>
          <w:rFonts w:ascii="Arial" w:hAnsi="Arial" w:cs="Arial"/>
          <w:lang w:val="es-ES_tradnl" w:eastAsia="es-ES"/>
        </w:rPr>
      </w:pPr>
      <w:r w:rsidRPr="001C59A0">
        <w:rPr>
          <w:rFonts w:ascii="Arial" w:hAnsi="Arial" w:cs="Arial"/>
          <w:spacing w:val="-3"/>
          <w:szCs w:val="24"/>
          <w:lang w:val="es-ES"/>
        </w:rPr>
        <w:t xml:space="preserve">El PCR será aplicado según las </w:t>
      </w:r>
      <w:hyperlink r:id="rId14" w:history="1">
        <w:r w:rsidRPr="00091103">
          <w:rPr>
            <w:rStyle w:val="Hyperlink"/>
            <w:rFonts w:ascii="Arial" w:hAnsi="Arial" w:cs="Arial"/>
            <w:spacing w:val="-3"/>
            <w:szCs w:val="24"/>
            <w:lang w:val="es-ES"/>
          </w:rPr>
          <w:t xml:space="preserve">nuevas guías </w:t>
        </w:r>
        <w:r w:rsidR="00EA7498" w:rsidRPr="00091103">
          <w:rPr>
            <w:rStyle w:val="Hyperlink"/>
            <w:rFonts w:ascii="Arial" w:hAnsi="Arial" w:cs="Arial"/>
            <w:spacing w:val="-3"/>
            <w:szCs w:val="24"/>
            <w:lang w:val="es-ES"/>
          </w:rPr>
          <w:t xml:space="preserve">para la elaboración de PCR </w:t>
        </w:r>
      </w:hyperlink>
      <w:r w:rsidRPr="001C59A0">
        <w:rPr>
          <w:rFonts w:ascii="Arial" w:hAnsi="Arial" w:cs="Arial"/>
          <w:spacing w:val="-3"/>
          <w:szCs w:val="24"/>
          <w:lang w:val="es-ES"/>
        </w:rPr>
        <w:t xml:space="preserve"> </w:t>
      </w:r>
      <w:r w:rsidR="00091103">
        <w:rPr>
          <w:rFonts w:ascii="Arial" w:hAnsi="Arial" w:cs="Arial"/>
          <w:spacing w:val="-3"/>
          <w:szCs w:val="24"/>
          <w:lang w:val="es-ES"/>
        </w:rPr>
        <w:t>aprobadas en 2018.</w:t>
      </w:r>
      <w:r w:rsidR="00F90754">
        <w:rPr>
          <w:rFonts w:ascii="Arial" w:hAnsi="Arial" w:cs="Arial"/>
          <w:spacing w:val="-3"/>
          <w:szCs w:val="24"/>
          <w:lang w:val="es-ES"/>
        </w:rPr>
        <w:t xml:space="preserve"> Como parte de la metodología del PCR, se llevará a cabo una evaluación de los beneficios siguiendo la metodología descrita en el anexo II. </w:t>
      </w:r>
    </w:p>
    <w:p w14:paraId="11A98130" w14:textId="26021970" w:rsidR="00C419B8" w:rsidRPr="001C59A0" w:rsidRDefault="00C419B8" w:rsidP="00C419B8">
      <w:pPr>
        <w:pStyle w:val="Paragraph"/>
        <w:numPr>
          <w:ilvl w:val="1"/>
          <w:numId w:val="4"/>
        </w:numPr>
        <w:spacing w:before="100" w:after="100"/>
        <w:ind w:left="540" w:hanging="540"/>
        <w:rPr>
          <w:rFonts w:ascii="Arial" w:hAnsi="Arial" w:cs="Arial"/>
          <w:lang w:val="es-ES_tradnl" w:eastAsia="es-ES"/>
        </w:rPr>
      </w:pPr>
      <w:r w:rsidRPr="001C59A0">
        <w:rPr>
          <w:rFonts w:ascii="Arial" w:hAnsi="Arial" w:cs="Arial"/>
          <w:spacing w:val="-3"/>
          <w:szCs w:val="24"/>
          <w:lang w:val="es-ES"/>
        </w:rPr>
        <w:t xml:space="preserve">La evaluación será conducida a partir del análisis de los </w:t>
      </w:r>
      <w:r w:rsidRPr="001C59A0">
        <w:rPr>
          <w:rFonts w:ascii="Arial" w:hAnsi="Arial" w:cs="Arial"/>
          <w:lang w:val="es-ES_tradnl" w:eastAsia="es-ES"/>
        </w:rPr>
        <w:t xml:space="preserve">criterios centrales y criterios no centrales. Los criterios centrales del PCR, básicamente evalúan el desempeño del proyecto y se determinan en forma objetiva con base en los resultados y </w:t>
      </w:r>
      <w:r w:rsidRPr="001C59A0">
        <w:rPr>
          <w:rFonts w:ascii="Arial" w:hAnsi="Arial" w:cs="Arial"/>
          <w:spacing w:val="-3"/>
          <w:szCs w:val="24"/>
          <w:lang w:val="es-ES"/>
        </w:rPr>
        <w:t>productos</w:t>
      </w:r>
      <w:r w:rsidRPr="001C59A0">
        <w:rPr>
          <w:rFonts w:ascii="Arial" w:hAnsi="Arial" w:cs="Arial"/>
          <w:lang w:val="es-ES_tradnl" w:eastAsia="es-ES"/>
        </w:rPr>
        <w:t xml:space="preserve"> del mismo, y se califica a través de cuatro criterios: (i) Efectividad, (ii) Eficiencia, (iii) Relevancia y (iv) Sostenibilidad.  </w:t>
      </w:r>
    </w:p>
    <w:p w14:paraId="702933A6" w14:textId="77777777" w:rsidR="00C419B8" w:rsidRPr="001C59A0" w:rsidRDefault="00C419B8" w:rsidP="00C419B8">
      <w:pPr>
        <w:pStyle w:val="Paragraph"/>
        <w:numPr>
          <w:ilvl w:val="1"/>
          <w:numId w:val="4"/>
        </w:numPr>
        <w:spacing w:before="100" w:after="100"/>
        <w:ind w:left="540" w:hanging="540"/>
        <w:rPr>
          <w:rFonts w:ascii="Arial" w:hAnsi="Arial" w:cs="Arial"/>
          <w:lang w:val="es-BO" w:eastAsia="es-ES"/>
        </w:rPr>
      </w:pPr>
      <w:r w:rsidRPr="001C59A0">
        <w:rPr>
          <w:rFonts w:ascii="Arial" w:hAnsi="Arial" w:cs="Arial"/>
          <w:lang w:val="es-BO" w:eastAsia="es-ES"/>
        </w:rPr>
        <w:t xml:space="preserve">Los criterios no centrales del PCR son aquellos evaluables, pero que no califican la efectividad de la intervención. En su defecto evalúan la contribución de la operación a los </w:t>
      </w:r>
      <w:r w:rsidRPr="001C59A0">
        <w:rPr>
          <w:rFonts w:ascii="Arial" w:hAnsi="Arial" w:cs="Arial"/>
          <w:spacing w:val="-3"/>
          <w:szCs w:val="24"/>
          <w:lang w:val="es-ES"/>
        </w:rPr>
        <w:t>objetivos</w:t>
      </w:r>
      <w:r w:rsidRPr="001C59A0">
        <w:rPr>
          <w:rFonts w:ascii="Arial" w:hAnsi="Arial" w:cs="Arial"/>
          <w:lang w:val="es-BO" w:eastAsia="es-ES"/>
        </w:rPr>
        <w:t xml:space="preserve"> de desarrollo del Banco; la contribución a los objetivos de desarrollo del país; el cumplimiento del plan de monitoreo y evaluación; el uso de sistemas país y la implementación y mitigación de salvaguardas ambientales y sociales.</w:t>
      </w:r>
    </w:p>
    <w:p w14:paraId="77AF579E" w14:textId="3C71C522" w:rsidR="00C419B8" w:rsidRDefault="00C419B8" w:rsidP="00C419B8">
      <w:pPr>
        <w:pStyle w:val="Paragraph"/>
        <w:numPr>
          <w:ilvl w:val="1"/>
          <w:numId w:val="4"/>
        </w:numPr>
        <w:spacing w:before="100" w:after="100"/>
        <w:ind w:left="540" w:hanging="540"/>
        <w:rPr>
          <w:rFonts w:ascii="Arial" w:hAnsi="Arial" w:cs="Arial"/>
          <w:spacing w:val="-3"/>
          <w:szCs w:val="24"/>
          <w:lang w:val="es-ES"/>
        </w:rPr>
      </w:pPr>
      <w:r w:rsidRPr="001C59A0">
        <w:rPr>
          <w:rFonts w:ascii="Arial" w:hAnsi="Arial" w:cs="Arial"/>
          <w:spacing w:val="-3"/>
          <w:szCs w:val="24"/>
          <w:lang w:val="es-ES"/>
        </w:rPr>
        <w:t xml:space="preserve">Será realizado hasta 6 meses después de haber desembolsado </w:t>
      </w:r>
      <w:r w:rsidR="00064FEF">
        <w:rPr>
          <w:rFonts w:ascii="Arial" w:hAnsi="Arial" w:cs="Arial"/>
          <w:spacing w:val="-3"/>
          <w:szCs w:val="24"/>
          <w:lang w:val="es-ES"/>
        </w:rPr>
        <w:t>la</w:t>
      </w:r>
      <w:r w:rsidR="00064FEF" w:rsidRPr="001C59A0">
        <w:rPr>
          <w:rFonts w:ascii="Arial" w:hAnsi="Arial" w:cs="Arial"/>
          <w:spacing w:val="-3"/>
          <w:szCs w:val="24"/>
          <w:lang w:val="es-ES"/>
        </w:rPr>
        <w:t xml:space="preserve"> </w:t>
      </w:r>
      <w:r w:rsidRPr="001C59A0">
        <w:rPr>
          <w:rFonts w:ascii="Arial" w:hAnsi="Arial" w:cs="Arial"/>
          <w:spacing w:val="-3"/>
          <w:szCs w:val="24"/>
          <w:lang w:val="es-ES"/>
        </w:rPr>
        <w:t>segund</w:t>
      </w:r>
      <w:r w:rsidR="00064FEF">
        <w:rPr>
          <w:rFonts w:ascii="Arial" w:hAnsi="Arial" w:cs="Arial"/>
          <w:spacing w:val="-3"/>
          <w:szCs w:val="24"/>
          <w:lang w:val="es-ES"/>
        </w:rPr>
        <w:t xml:space="preserve">a </w:t>
      </w:r>
      <w:r w:rsidRPr="001C59A0">
        <w:rPr>
          <w:rFonts w:ascii="Arial" w:hAnsi="Arial" w:cs="Arial"/>
          <w:spacing w:val="-3"/>
          <w:szCs w:val="24"/>
          <w:lang w:val="es-ES"/>
        </w:rPr>
        <w:t>operación</w:t>
      </w:r>
      <w:r w:rsidR="00064FEF">
        <w:rPr>
          <w:rFonts w:ascii="Arial" w:hAnsi="Arial" w:cs="Arial"/>
          <w:spacing w:val="-3"/>
          <w:szCs w:val="24"/>
          <w:lang w:val="es-ES"/>
        </w:rPr>
        <w:t xml:space="preserve"> programática</w:t>
      </w:r>
      <w:r w:rsidRPr="001C59A0">
        <w:rPr>
          <w:rFonts w:ascii="Arial" w:hAnsi="Arial" w:cs="Arial"/>
          <w:spacing w:val="-3"/>
          <w:szCs w:val="24"/>
          <w:lang w:val="es-ES"/>
        </w:rPr>
        <w:t>.</w:t>
      </w:r>
    </w:p>
    <w:p w14:paraId="1CC15365" w14:textId="77777777" w:rsidR="00BC6D71" w:rsidRPr="001C59A0" w:rsidRDefault="00BC6D71" w:rsidP="00D6554E">
      <w:pPr>
        <w:pStyle w:val="Paragraph"/>
        <w:tabs>
          <w:tab w:val="clear" w:pos="1440"/>
        </w:tabs>
        <w:spacing w:before="100" w:after="100"/>
        <w:ind w:left="1080" w:firstLine="0"/>
        <w:rPr>
          <w:rFonts w:ascii="Arial" w:hAnsi="Arial" w:cs="Arial"/>
          <w:spacing w:val="-3"/>
          <w:szCs w:val="24"/>
          <w:lang w:val="es-ES"/>
        </w:rPr>
      </w:pPr>
    </w:p>
    <w:p w14:paraId="3FA8FB12" w14:textId="77777777" w:rsidR="00C419B8" w:rsidRPr="001C59A0" w:rsidRDefault="00C419B8" w:rsidP="00C419B8">
      <w:pPr>
        <w:pStyle w:val="Paragraph"/>
        <w:tabs>
          <w:tab w:val="clear" w:pos="1440"/>
        </w:tabs>
        <w:spacing w:before="100" w:after="100"/>
        <w:ind w:left="900" w:firstLine="0"/>
        <w:jc w:val="center"/>
        <w:rPr>
          <w:rFonts w:ascii="Arial" w:hAnsi="Arial" w:cs="Arial"/>
          <w:spacing w:val="-3"/>
          <w:szCs w:val="24"/>
          <w:lang w:val="es-ES"/>
        </w:rPr>
      </w:pPr>
      <w:r w:rsidRPr="001C59A0">
        <w:rPr>
          <w:rFonts w:ascii="Arial" w:hAnsi="Arial" w:cs="Arial"/>
          <w:b/>
          <w:bCs/>
          <w:color w:val="000000"/>
          <w:sz w:val="20"/>
          <w:lang w:val="es-ES"/>
        </w:rPr>
        <w:t>Plan de Trabajo de Evaluación</w:t>
      </w:r>
    </w:p>
    <w:tbl>
      <w:tblPr>
        <w:tblW w:w="4813" w:type="pct"/>
        <w:jc w:val="center"/>
        <w:tblLayout w:type="fixed"/>
        <w:tblLook w:val="04A0" w:firstRow="1" w:lastRow="0" w:firstColumn="1" w:lastColumn="0" w:noHBand="0" w:noVBand="1"/>
      </w:tblPr>
      <w:tblGrid>
        <w:gridCol w:w="3463"/>
        <w:gridCol w:w="682"/>
        <w:gridCol w:w="704"/>
        <w:gridCol w:w="629"/>
        <w:gridCol w:w="721"/>
        <w:gridCol w:w="2071"/>
        <w:gridCol w:w="32"/>
      </w:tblGrid>
      <w:tr w:rsidR="000150C2" w:rsidRPr="001C59A0" w14:paraId="69FCB720" w14:textId="77777777" w:rsidTr="00474389">
        <w:trPr>
          <w:gridAfter w:val="1"/>
          <w:wAfter w:w="19" w:type="pct"/>
          <w:trHeight w:val="250"/>
          <w:jc w:val="center"/>
        </w:trPr>
        <w:tc>
          <w:tcPr>
            <w:tcW w:w="2086"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0B4AFEA" w14:textId="77777777" w:rsidR="000150C2" w:rsidRPr="001C59A0" w:rsidRDefault="000150C2" w:rsidP="000150C2">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lastRenderedPageBreak/>
              <w:t>Actividad</w:t>
            </w:r>
          </w:p>
        </w:tc>
        <w:tc>
          <w:tcPr>
            <w:tcW w:w="411" w:type="pct"/>
            <w:tcBorders>
              <w:top w:val="single" w:sz="8" w:space="0" w:color="auto"/>
              <w:left w:val="nil"/>
              <w:right w:val="single" w:sz="8" w:space="0" w:color="000000"/>
            </w:tcBorders>
            <w:shd w:val="clear" w:color="000000" w:fill="D9D9D9"/>
            <w:noWrap/>
            <w:vAlign w:val="center"/>
            <w:hideMark/>
          </w:tcPr>
          <w:p w14:paraId="3ECD7DB3" w14:textId="6AD5867E" w:rsidR="000150C2" w:rsidRPr="001C59A0" w:rsidRDefault="000150C2" w:rsidP="000150C2">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201</w:t>
            </w:r>
            <w:r>
              <w:rPr>
                <w:rFonts w:ascii="Arial" w:hAnsi="Arial" w:cs="Arial"/>
                <w:b/>
                <w:bCs/>
                <w:color w:val="000000"/>
                <w:sz w:val="18"/>
                <w:szCs w:val="20"/>
                <w:lang w:val="es-ES"/>
              </w:rPr>
              <w:t>9</w:t>
            </w:r>
          </w:p>
        </w:tc>
        <w:tc>
          <w:tcPr>
            <w:tcW w:w="424" w:type="pct"/>
            <w:tcBorders>
              <w:top w:val="single" w:sz="8" w:space="0" w:color="auto"/>
              <w:left w:val="nil"/>
              <w:right w:val="single" w:sz="8" w:space="0" w:color="000000"/>
            </w:tcBorders>
            <w:shd w:val="clear" w:color="000000" w:fill="D9D9D9"/>
            <w:noWrap/>
            <w:vAlign w:val="center"/>
            <w:hideMark/>
          </w:tcPr>
          <w:p w14:paraId="6C5BFFC3" w14:textId="2F514C1F" w:rsidR="000150C2" w:rsidRPr="001C59A0" w:rsidRDefault="000150C2" w:rsidP="000150C2">
            <w:pPr>
              <w:spacing w:before="120" w:after="120"/>
              <w:jc w:val="center"/>
              <w:rPr>
                <w:rFonts w:ascii="Arial" w:hAnsi="Arial" w:cs="Arial"/>
                <w:b/>
                <w:bCs/>
                <w:color w:val="000000"/>
                <w:sz w:val="18"/>
                <w:szCs w:val="20"/>
                <w:lang w:val="es-ES"/>
              </w:rPr>
            </w:pPr>
            <w:r>
              <w:rPr>
                <w:rFonts w:ascii="Arial" w:hAnsi="Arial" w:cs="Arial"/>
                <w:b/>
                <w:bCs/>
                <w:color w:val="000000"/>
                <w:sz w:val="18"/>
                <w:szCs w:val="20"/>
                <w:lang w:val="es-ES"/>
              </w:rPr>
              <w:t>2020</w:t>
            </w:r>
          </w:p>
        </w:tc>
        <w:tc>
          <w:tcPr>
            <w:tcW w:w="379" w:type="pct"/>
            <w:tcBorders>
              <w:top w:val="single" w:sz="8" w:space="0" w:color="auto"/>
              <w:left w:val="nil"/>
              <w:bottom w:val="single" w:sz="8" w:space="0" w:color="auto"/>
              <w:right w:val="single" w:sz="8" w:space="0" w:color="000000"/>
            </w:tcBorders>
            <w:shd w:val="clear" w:color="000000" w:fill="D9D9D9"/>
            <w:noWrap/>
            <w:vAlign w:val="center"/>
            <w:hideMark/>
          </w:tcPr>
          <w:p w14:paraId="206FBD79" w14:textId="68C0AB6B" w:rsidR="000150C2" w:rsidRPr="001C59A0" w:rsidRDefault="000150C2" w:rsidP="000150C2">
            <w:pPr>
              <w:spacing w:before="120" w:after="120"/>
              <w:jc w:val="center"/>
              <w:rPr>
                <w:rFonts w:ascii="Arial" w:hAnsi="Arial" w:cs="Arial"/>
                <w:b/>
                <w:bCs/>
                <w:color w:val="000000"/>
                <w:sz w:val="18"/>
                <w:szCs w:val="20"/>
                <w:lang w:val="es-ES"/>
              </w:rPr>
            </w:pPr>
            <w:r>
              <w:rPr>
                <w:rFonts w:ascii="Arial" w:hAnsi="Arial" w:cs="Arial"/>
                <w:b/>
                <w:bCs/>
                <w:color w:val="000000"/>
                <w:sz w:val="18"/>
                <w:szCs w:val="20"/>
                <w:lang w:val="es-ES"/>
              </w:rPr>
              <w:t>2021</w:t>
            </w:r>
          </w:p>
        </w:tc>
        <w:tc>
          <w:tcPr>
            <w:tcW w:w="434" w:type="pct"/>
            <w:tcBorders>
              <w:top w:val="single" w:sz="8" w:space="0" w:color="auto"/>
              <w:left w:val="nil"/>
              <w:right w:val="single" w:sz="8" w:space="0" w:color="000000"/>
            </w:tcBorders>
            <w:shd w:val="clear" w:color="000000" w:fill="D9D9D9"/>
            <w:noWrap/>
            <w:vAlign w:val="center"/>
            <w:hideMark/>
          </w:tcPr>
          <w:p w14:paraId="79C49881" w14:textId="52074107" w:rsidR="000150C2" w:rsidRPr="001C59A0" w:rsidRDefault="000150C2" w:rsidP="000150C2">
            <w:pPr>
              <w:spacing w:before="120" w:after="120"/>
              <w:jc w:val="center"/>
              <w:rPr>
                <w:rFonts w:ascii="Arial" w:hAnsi="Arial" w:cs="Arial"/>
                <w:b/>
                <w:bCs/>
                <w:color w:val="000000"/>
                <w:sz w:val="18"/>
                <w:szCs w:val="20"/>
                <w:lang w:val="es-ES"/>
              </w:rPr>
            </w:pPr>
            <w:r>
              <w:rPr>
                <w:rFonts w:ascii="Arial" w:hAnsi="Arial" w:cs="Arial"/>
                <w:b/>
                <w:bCs/>
                <w:color w:val="000000"/>
                <w:sz w:val="18"/>
                <w:szCs w:val="20"/>
                <w:lang w:val="es-ES"/>
              </w:rPr>
              <w:t>2022</w:t>
            </w:r>
          </w:p>
        </w:tc>
        <w:tc>
          <w:tcPr>
            <w:tcW w:w="1247" w:type="pct"/>
            <w:tcBorders>
              <w:top w:val="single" w:sz="8" w:space="0" w:color="auto"/>
              <w:left w:val="single" w:sz="8" w:space="0" w:color="auto"/>
              <w:right w:val="single" w:sz="4" w:space="0" w:color="auto"/>
            </w:tcBorders>
            <w:shd w:val="clear" w:color="000000" w:fill="D9D9D9"/>
          </w:tcPr>
          <w:p w14:paraId="061B8CFF" w14:textId="77777777" w:rsidR="000150C2" w:rsidRPr="001C59A0" w:rsidRDefault="000150C2" w:rsidP="000150C2">
            <w:pPr>
              <w:spacing w:before="120" w:after="120"/>
              <w:jc w:val="center"/>
              <w:rPr>
                <w:rFonts w:ascii="Arial" w:hAnsi="Arial" w:cs="Arial"/>
                <w:b/>
                <w:bCs/>
                <w:color w:val="000000"/>
                <w:sz w:val="18"/>
                <w:szCs w:val="20"/>
                <w:lang w:val="es-ES"/>
              </w:rPr>
            </w:pPr>
            <w:r w:rsidRPr="001C59A0">
              <w:rPr>
                <w:rFonts w:ascii="Arial" w:hAnsi="Arial" w:cs="Arial"/>
                <w:b/>
                <w:bCs/>
                <w:color w:val="000000"/>
                <w:sz w:val="18"/>
                <w:szCs w:val="20"/>
                <w:lang w:val="es-ES"/>
              </w:rPr>
              <w:t>Responsable y Costo</w:t>
            </w:r>
          </w:p>
        </w:tc>
      </w:tr>
      <w:tr w:rsidR="00625725" w:rsidRPr="00D86855" w14:paraId="15146120" w14:textId="77777777" w:rsidTr="00474389">
        <w:trPr>
          <w:gridAfter w:val="1"/>
          <w:wAfter w:w="19" w:type="pct"/>
          <w:trHeight w:val="394"/>
          <w:jc w:val="center"/>
        </w:trPr>
        <w:tc>
          <w:tcPr>
            <w:tcW w:w="2086" w:type="pct"/>
            <w:tcBorders>
              <w:top w:val="nil"/>
              <w:left w:val="single" w:sz="8" w:space="0" w:color="auto"/>
              <w:bottom w:val="single" w:sz="8" w:space="0" w:color="auto"/>
              <w:right w:val="single" w:sz="8" w:space="0" w:color="auto"/>
            </w:tcBorders>
            <w:shd w:val="clear" w:color="auto" w:fill="auto"/>
            <w:noWrap/>
            <w:vAlign w:val="center"/>
            <w:hideMark/>
          </w:tcPr>
          <w:p w14:paraId="1F0A3213" w14:textId="77777777" w:rsidR="00625725" w:rsidRPr="00063817" w:rsidRDefault="00625725" w:rsidP="00DE4B10">
            <w:pPr>
              <w:rPr>
                <w:rFonts w:ascii="Arial" w:hAnsi="Arial" w:cs="Arial"/>
                <w:b/>
                <w:bCs/>
                <w:color w:val="000000"/>
                <w:sz w:val="18"/>
                <w:szCs w:val="20"/>
                <w:lang w:val="es-MX"/>
              </w:rPr>
            </w:pPr>
            <w:r w:rsidRPr="00063817">
              <w:rPr>
                <w:rFonts w:ascii="Arial" w:hAnsi="Arial" w:cs="Arial"/>
                <w:b/>
                <w:bCs/>
                <w:color w:val="000000"/>
                <w:sz w:val="18"/>
                <w:szCs w:val="20"/>
                <w:lang w:val="es-MX"/>
              </w:rPr>
              <w:t xml:space="preserve">Informe de Terminación de Proyecto (PCR) </w:t>
            </w:r>
          </w:p>
        </w:tc>
        <w:tc>
          <w:tcPr>
            <w:tcW w:w="411" w:type="pct"/>
            <w:tcBorders>
              <w:top w:val="single" w:sz="8" w:space="0" w:color="auto"/>
              <w:left w:val="nil"/>
              <w:bottom w:val="single" w:sz="8" w:space="0" w:color="auto"/>
              <w:right w:val="single" w:sz="8" w:space="0" w:color="auto"/>
            </w:tcBorders>
            <w:shd w:val="clear" w:color="auto" w:fill="auto"/>
            <w:noWrap/>
            <w:vAlign w:val="center"/>
            <w:hideMark/>
          </w:tcPr>
          <w:p w14:paraId="652FC882" w14:textId="77777777" w:rsidR="00625725" w:rsidRPr="001C59A0" w:rsidRDefault="00625725" w:rsidP="00DE4B10">
            <w:pPr>
              <w:jc w:val="center"/>
              <w:rPr>
                <w:rFonts w:ascii="Arial" w:hAnsi="Arial" w:cs="Arial"/>
                <w:bCs/>
                <w:color w:val="000000"/>
                <w:sz w:val="18"/>
                <w:szCs w:val="20"/>
                <w:lang w:val="es-MX"/>
              </w:rPr>
            </w:pPr>
          </w:p>
          <w:p w14:paraId="752C199C" w14:textId="77777777" w:rsidR="00625725" w:rsidRPr="001C59A0" w:rsidRDefault="00625725" w:rsidP="00DE4B10">
            <w:pPr>
              <w:jc w:val="center"/>
              <w:rPr>
                <w:rFonts w:ascii="Arial" w:hAnsi="Arial" w:cs="Arial"/>
                <w:bCs/>
                <w:color w:val="000000"/>
                <w:sz w:val="18"/>
                <w:szCs w:val="20"/>
                <w:lang w:val="es-MX"/>
              </w:rPr>
            </w:pPr>
          </w:p>
        </w:tc>
        <w:tc>
          <w:tcPr>
            <w:tcW w:w="424" w:type="pct"/>
            <w:tcBorders>
              <w:top w:val="single" w:sz="8" w:space="0" w:color="auto"/>
              <w:left w:val="nil"/>
              <w:bottom w:val="single" w:sz="8" w:space="0" w:color="auto"/>
              <w:right w:val="single" w:sz="8" w:space="0" w:color="auto"/>
            </w:tcBorders>
            <w:shd w:val="clear" w:color="auto" w:fill="auto"/>
            <w:noWrap/>
            <w:vAlign w:val="center"/>
          </w:tcPr>
          <w:p w14:paraId="37DF7593" w14:textId="77777777" w:rsidR="00625725" w:rsidRPr="001C59A0" w:rsidRDefault="00625725" w:rsidP="00DE4B10">
            <w:pPr>
              <w:jc w:val="center"/>
              <w:rPr>
                <w:rFonts w:ascii="Arial" w:hAnsi="Arial" w:cs="Arial"/>
                <w:bCs/>
                <w:color w:val="000000"/>
                <w:sz w:val="18"/>
                <w:szCs w:val="20"/>
                <w:lang w:val="es-MX"/>
              </w:rPr>
            </w:pPr>
          </w:p>
        </w:tc>
        <w:tc>
          <w:tcPr>
            <w:tcW w:w="37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2AE64A4" w14:textId="4BA5005C" w:rsidR="00625725" w:rsidRPr="001C59A0" w:rsidRDefault="00625725" w:rsidP="00DE4B10">
            <w:pPr>
              <w:jc w:val="center"/>
              <w:rPr>
                <w:rFonts w:ascii="Arial" w:hAnsi="Arial" w:cs="Arial"/>
                <w:bCs/>
                <w:color w:val="000000"/>
                <w:sz w:val="18"/>
                <w:szCs w:val="20"/>
                <w:lang w:val="es-MX"/>
              </w:rPr>
            </w:pPr>
          </w:p>
        </w:tc>
        <w:tc>
          <w:tcPr>
            <w:tcW w:w="434" w:type="pct"/>
            <w:tcBorders>
              <w:top w:val="single" w:sz="8" w:space="0" w:color="auto"/>
              <w:left w:val="nil"/>
              <w:bottom w:val="single" w:sz="8" w:space="0" w:color="auto"/>
              <w:right w:val="single" w:sz="8" w:space="0" w:color="auto"/>
            </w:tcBorders>
            <w:shd w:val="clear" w:color="auto" w:fill="auto"/>
            <w:noWrap/>
            <w:vAlign w:val="center"/>
            <w:hideMark/>
          </w:tcPr>
          <w:p w14:paraId="4757B20F" w14:textId="77777777" w:rsidR="00625725" w:rsidRPr="001C59A0" w:rsidRDefault="00625725" w:rsidP="00DE4B10">
            <w:pPr>
              <w:jc w:val="center"/>
              <w:rPr>
                <w:rFonts w:ascii="Arial" w:hAnsi="Arial" w:cs="Arial"/>
                <w:bCs/>
                <w:color w:val="000000"/>
                <w:sz w:val="18"/>
                <w:szCs w:val="20"/>
                <w:lang w:val="es-MX"/>
              </w:rPr>
            </w:pPr>
          </w:p>
          <w:p w14:paraId="0A56B20F" w14:textId="77777777" w:rsidR="00625725" w:rsidRPr="001C59A0" w:rsidRDefault="00625725" w:rsidP="00DE4B10">
            <w:pPr>
              <w:jc w:val="center"/>
              <w:rPr>
                <w:rFonts w:ascii="Arial" w:hAnsi="Arial" w:cs="Arial"/>
                <w:bCs/>
                <w:color w:val="000000"/>
                <w:sz w:val="18"/>
                <w:szCs w:val="20"/>
                <w:lang w:val="es-MX"/>
              </w:rPr>
            </w:pPr>
          </w:p>
        </w:tc>
        <w:tc>
          <w:tcPr>
            <w:tcW w:w="1247" w:type="pct"/>
            <w:tcBorders>
              <w:top w:val="single" w:sz="8" w:space="0" w:color="auto"/>
              <w:left w:val="nil"/>
              <w:bottom w:val="single" w:sz="8" w:space="0" w:color="auto"/>
              <w:right w:val="single" w:sz="8" w:space="0" w:color="auto"/>
            </w:tcBorders>
            <w:shd w:val="clear" w:color="auto" w:fill="auto"/>
            <w:vAlign w:val="center"/>
          </w:tcPr>
          <w:p w14:paraId="3AF99D4D" w14:textId="61BD8FDB" w:rsidR="00625725" w:rsidRPr="001C59A0" w:rsidRDefault="00625725" w:rsidP="00625725">
            <w:pPr>
              <w:jc w:val="center"/>
              <w:rPr>
                <w:rFonts w:ascii="Arial" w:hAnsi="Arial" w:cs="Arial"/>
                <w:bCs/>
                <w:color w:val="000000"/>
                <w:sz w:val="18"/>
                <w:szCs w:val="20"/>
                <w:lang w:val="es-MX"/>
              </w:rPr>
            </w:pPr>
          </w:p>
        </w:tc>
      </w:tr>
      <w:tr w:rsidR="00063817" w:rsidRPr="00063817" w14:paraId="3CB5F127" w14:textId="77777777" w:rsidTr="00474389">
        <w:trPr>
          <w:gridAfter w:val="1"/>
          <w:wAfter w:w="19" w:type="pct"/>
          <w:trHeight w:val="394"/>
          <w:jc w:val="center"/>
        </w:trPr>
        <w:tc>
          <w:tcPr>
            <w:tcW w:w="2086" w:type="pct"/>
            <w:tcBorders>
              <w:top w:val="nil"/>
              <w:left w:val="single" w:sz="8" w:space="0" w:color="auto"/>
              <w:bottom w:val="single" w:sz="8" w:space="0" w:color="auto"/>
              <w:right w:val="single" w:sz="8" w:space="0" w:color="auto"/>
            </w:tcBorders>
            <w:shd w:val="clear" w:color="auto" w:fill="auto"/>
            <w:noWrap/>
            <w:vAlign w:val="center"/>
          </w:tcPr>
          <w:p w14:paraId="4FBBAD65" w14:textId="5EC23D3D" w:rsidR="00063817" w:rsidRPr="001C59A0"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Contratación de consultor para la preparación del PCR</w:t>
            </w:r>
          </w:p>
        </w:tc>
        <w:tc>
          <w:tcPr>
            <w:tcW w:w="411" w:type="pct"/>
            <w:tcBorders>
              <w:top w:val="single" w:sz="8" w:space="0" w:color="auto"/>
              <w:left w:val="nil"/>
              <w:bottom w:val="single" w:sz="8" w:space="0" w:color="auto"/>
              <w:right w:val="single" w:sz="8" w:space="0" w:color="auto"/>
            </w:tcBorders>
            <w:shd w:val="clear" w:color="auto" w:fill="auto"/>
            <w:noWrap/>
            <w:vAlign w:val="center"/>
          </w:tcPr>
          <w:p w14:paraId="6DF7D0BC" w14:textId="77777777" w:rsidR="00063817" w:rsidRPr="001C59A0" w:rsidRDefault="00063817" w:rsidP="00DE4B10">
            <w:pPr>
              <w:jc w:val="center"/>
              <w:rPr>
                <w:rFonts w:ascii="Arial" w:hAnsi="Arial" w:cs="Arial"/>
                <w:bCs/>
                <w:color w:val="000000"/>
                <w:sz w:val="18"/>
                <w:szCs w:val="20"/>
                <w:lang w:val="es-MX"/>
              </w:rPr>
            </w:pPr>
          </w:p>
        </w:tc>
        <w:tc>
          <w:tcPr>
            <w:tcW w:w="424" w:type="pct"/>
            <w:tcBorders>
              <w:top w:val="single" w:sz="8" w:space="0" w:color="auto"/>
              <w:left w:val="nil"/>
              <w:bottom w:val="single" w:sz="8" w:space="0" w:color="auto"/>
              <w:right w:val="single" w:sz="8" w:space="0" w:color="auto"/>
            </w:tcBorders>
            <w:shd w:val="clear" w:color="auto" w:fill="auto"/>
            <w:noWrap/>
            <w:vAlign w:val="center"/>
          </w:tcPr>
          <w:p w14:paraId="570FAABD" w14:textId="77777777" w:rsidR="00063817" w:rsidRPr="001C59A0" w:rsidRDefault="00063817" w:rsidP="00DE4B10">
            <w:pPr>
              <w:jc w:val="center"/>
              <w:rPr>
                <w:rFonts w:ascii="Arial" w:hAnsi="Arial" w:cs="Arial"/>
                <w:bCs/>
                <w:color w:val="000000"/>
                <w:sz w:val="18"/>
                <w:szCs w:val="20"/>
                <w:lang w:val="es-MX"/>
              </w:rPr>
            </w:pPr>
          </w:p>
        </w:tc>
        <w:tc>
          <w:tcPr>
            <w:tcW w:w="37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F160AFA" w14:textId="77777777" w:rsidR="00063817" w:rsidRDefault="00063817" w:rsidP="00DE4B10">
            <w:pPr>
              <w:jc w:val="center"/>
              <w:rPr>
                <w:rFonts w:ascii="Arial" w:hAnsi="Arial" w:cs="Arial"/>
                <w:bCs/>
                <w:color w:val="000000"/>
                <w:sz w:val="18"/>
                <w:szCs w:val="20"/>
                <w:lang w:val="es-MX"/>
              </w:rPr>
            </w:pPr>
          </w:p>
        </w:tc>
        <w:tc>
          <w:tcPr>
            <w:tcW w:w="434" w:type="pct"/>
            <w:tcBorders>
              <w:top w:val="single" w:sz="8" w:space="0" w:color="auto"/>
              <w:left w:val="nil"/>
              <w:bottom w:val="single" w:sz="8" w:space="0" w:color="auto"/>
              <w:right w:val="single" w:sz="8" w:space="0" w:color="auto"/>
            </w:tcBorders>
            <w:shd w:val="clear" w:color="auto" w:fill="auto"/>
            <w:noWrap/>
            <w:vAlign w:val="center"/>
          </w:tcPr>
          <w:p w14:paraId="5BAFC507" w14:textId="77777777" w:rsidR="00063817" w:rsidRPr="001C59A0" w:rsidRDefault="00063817" w:rsidP="00DE4B10">
            <w:pPr>
              <w:jc w:val="center"/>
              <w:rPr>
                <w:rFonts w:ascii="Arial" w:hAnsi="Arial" w:cs="Arial"/>
                <w:bCs/>
                <w:color w:val="000000"/>
                <w:sz w:val="18"/>
                <w:szCs w:val="20"/>
                <w:lang w:val="es-MX"/>
              </w:rPr>
            </w:pPr>
          </w:p>
        </w:tc>
        <w:tc>
          <w:tcPr>
            <w:tcW w:w="1247" w:type="pct"/>
            <w:tcBorders>
              <w:top w:val="single" w:sz="8" w:space="0" w:color="auto"/>
              <w:left w:val="nil"/>
              <w:bottom w:val="single" w:sz="8" w:space="0" w:color="auto"/>
              <w:right w:val="single" w:sz="8" w:space="0" w:color="auto"/>
            </w:tcBorders>
            <w:shd w:val="clear" w:color="auto" w:fill="auto"/>
            <w:vAlign w:val="center"/>
          </w:tcPr>
          <w:p w14:paraId="01267DD4" w14:textId="019819CC" w:rsidR="00063817" w:rsidRPr="001C59A0" w:rsidRDefault="003E08AD" w:rsidP="00625725">
            <w:pPr>
              <w:jc w:val="center"/>
              <w:rPr>
                <w:rFonts w:ascii="Arial" w:hAnsi="Arial" w:cs="Arial"/>
                <w:bCs/>
                <w:color w:val="000000"/>
                <w:sz w:val="18"/>
                <w:szCs w:val="20"/>
                <w:lang w:val="es-MX"/>
              </w:rPr>
            </w:pPr>
            <w:r>
              <w:rPr>
                <w:rFonts w:ascii="Arial" w:hAnsi="Arial" w:cs="Arial"/>
                <w:bCs/>
                <w:color w:val="000000"/>
                <w:sz w:val="18"/>
                <w:szCs w:val="20"/>
                <w:lang w:val="es-MX"/>
              </w:rPr>
              <w:t>US$25</w:t>
            </w:r>
            <w:r w:rsidR="00063817" w:rsidRPr="001C59A0">
              <w:rPr>
                <w:rFonts w:ascii="Arial" w:hAnsi="Arial" w:cs="Arial"/>
                <w:bCs/>
                <w:color w:val="000000"/>
                <w:sz w:val="18"/>
                <w:szCs w:val="20"/>
                <w:lang w:val="es-MX"/>
              </w:rPr>
              <w:t>,000</w:t>
            </w:r>
            <w:r w:rsidR="00063817">
              <w:rPr>
                <w:rFonts w:ascii="Arial" w:hAnsi="Arial" w:cs="Arial"/>
                <w:bCs/>
                <w:color w:val="000000"/>
                <w:sz w:val="18"/>
                <w:szCs w:val="20"/>
                <w:lang w:val="es-MX"/>
              </w:rPr>
              <w:t xml:space="preserve"> IDB</w:t>
            </w:r>
          </w:p>
        </w:tc>
      </w:tr>
      <w:tr w:rsidR="00063817" w:rsidRPr="00063817" w14:paraId="38A49E74" w14:textId="77777777" w:rsidTr="00474389">
        <w:trPr>
          <w:gridAfter w:val="1"/>
          <w:wAfter w:w="19" w:type="pct"/>
          <w:trHeight w:val="394"/>
          <w:jc w:val="center"/>
        </w:trPr>
        <w:tc>
          <w:tcPr>
            <w:tcW w:w="2086" w:type="pct"/>
            <w:tcBorders>
              <w:top w:val="nil"/>
              <w:left w:val="single" w:sz="8" w:space="0" w:color="auto"/>
              <w:bottom w:val="single" w:sz="8" w:space="0" w:color="auto"/>
              <w:right w:val="single" w:sz="8" w:space="0" w:color="auto"/>
            </w:tcBorders>
            <w:shd w:val="clear" w:color="auto" w:fill="auto"/>
            <w:noWrap/>
            <w:vAlign w:val="center"/>
          </w:tcPr>
          <w:p w14:paraId="415FA94A" w14:textId="25A88BD6" w:rsidR="00063817" w:rsidRPr="001C59A0"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Preparación y entrega de los medios de verificación de la primera operación</w:t>
            </w:r>
          </w:p>
        </w:tc>
        <w:tc>
          <w:tcPr>
            <w:tcW w:w="411" w:type="pct"/>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0DEE5D98" w14:textId="77777777" w:rsidR="00063817" w:rsidRPr="001C59A0" w:rsidRDefault="00063817" w:rsidP="00DE4B10">
            <w:pPr>
              <w:jc w:val="center"/>
              <w:rPr>
                <w:rFonts w:ascii="Arial" w:hAnsi="Arial" w:cs="Arial"/>
                <w:bCs/>
                <w:color w:val="000000"/>
                <w:sz w:val="18"/>
                <w:szCs w:val="20"/>
                <w:lang w:val="es-MX"/>
              </w:rPr>
            </w:pPr>
          </w:p>
        </w:tc>
        <w:tc>
          <w:tcPr>
            <w:tcW w:w="424" w:type="pct"/>
            <w:tcBorders>
              <w:top w:val="single" w:sz="8" w:space="0" w:color="auto"/>
              <w:left w:val="nil"/>
              <w:bottom w:val="single" w:sz="8" w:space="0" w:color="auto"/>
              <w:right w:val="single" w:sz="8" w:space="0" w:color="auto"/>
            </w:tcBorders>
            <w:shd w:val="clear" w:color="auto" w:fill="auto"/>
            <w:noWrap/>
            <w:vAlign w:val="center"/>
          </w:tcPr>
          <w:p w14:paraId="0C893E4E" w14:textId="77777777" w:rsidR="00063817" w:rsidRPr="001C59A0" w:rsidRDefault="00063817" w:rsidP="00DE4B10">
            <w:pPr>
              <w:jc w:val="center"/>
              <w:rPr>
                <w:rFonts w:ascii="Arial" w:hAnsi="Arial" w:cs="Arial"/>
                <w:bCs/>
                <w:color w:val="000000"/>
                <w:sz w:val="18"/>
                <w:szCs w:val="20"/>
                <w:lang w:val="es-MX"/>
              </w:rPr>
            </w:pPr>
          </w:p>
        </w:tc>
        <w:tc>
          <w:tcPr>
            <w:tcW w:w="379" w:type="pct"/>
            <w:tcBorders>
              <w:top w:val="single" w:sz="8" w:space="0" w:color="auto"/>
              <w:left w:val="nil"/>
              <w:bottom w:val="single" w:sz="8" w:space="0" w:color="auto"/>
              <w:right w:val="single" w:sz="8" w:space="0" w:color="auto"/>
            </w:tcBorders>
            <w:shd w:val="clear" w:color="auto" w:fill="auto"/>
            <w:noWrap/>
            <w:vAlign w:val="center"/>
          </w:tcPr>
          <w:p w14:paraId="0827DEA7" w14:textId="77777777" w:rsidR="00063817" w:rsidRPr="001C59A0" w:rsidRDefault="00063817" w:rsidP="00DE4B10">
            <w:pPr>
              <w:jc w:val="center"/>
              <w:rPr>
                <w:rFonts w:ascii="Arial" w:hAnsi="Arial" w:cs="Arial"/>
                <w:bCs/>
                <w:color w:val="000000"/>
                <w:sz w:val="18"/>
                <w:szCs w:val="20"/>
                <w:lang w:val="es-MX"/>
              </w:rPr>
            </w:pPr>
          </w:p>
        </w:tc>
        <w:tc>
          <w:tcPr>
            <w:tcW w:w="434" w:type="pct"/>
            <w:tcBorders>
              <w:top w:val="single" w:sz="8" w:space="0" w:color="auto"/>
              <w:left w:val="nil"/>
              <w:bottom w:val="single" w:sz="8" w:space="0" w:color="auto"/>
              <w:right w:val="single" w:sz="8" w:space="0" w:color="auto"/>
            </w:tcBorders>
            <w:shd w:val="clear" w:color="auto" w:fill="auto"/>
            <w:noWrap/>
            <w:vAlign w:val="center"/>
          </w:tcPr>
          <w:p w14:paraId="7C955580" w14:textId="77777777" w:rsidR="00063817" w:rsidRPr="001C59A0" w:rsidRDefault="00063817" w:rsidP="00DE4B10">
            <w:pPr>
              <w:jc w:val="center"/>
              <w:rPr>
                <w:rFonts w:ascii="Arial" w:hAnsi="Arial" w:cs="Arial"/>
                <w:bCs/>
                <w:color w:val="000000"/>
                <w:sz w:val="18"/>
                <w:szCs w:val="20"/>
                <w:lang w:val="es-MX"/>
              </w:rPr>
            </w:pPr>
          </w:p>
        </w:tc>
        <w:tc>
          <w:tcPr>
            <w:tcW w:w="1247" w:type="pct"/>
            <w:tcBorders>
              <w:top w:val="single" w:sz="8" w:space="0" w:color="auto"/>
              <w:left w:val="nil"/>
              <w:bottom w:val="single" w:sz="8" w:space="0" w:color="auto"/>
              <w:right w:val="single" w:sz="8" w:space="0" w:color="auto"/>
            </w:tcBorders>
            <w:shd w:val="clear" w:color="auto" w:fill="auto"/>
            <w:vAlign w:val="center"/>
          </w:tcPr>
          <w:p w14:paraId="07FE0F7B" w14:textId="3E489B7C" w:rsidR="00063817" w:rsidRPr="001C59A0" w:rsidRDefault="00063817" w:rsidP="00625725">
            <w:pPr>
              <w:jc w:val="center"/>
              <w:rPr>
                <w:rFonts w:ascii="Arial" w:hAnsi="Arial" w:cs="Arial"/>
                <w:bCs/>
                <w:color w:val="000000"/>
                <w:sz w:val="18"/>
                <w:szCs w:val="20"/>
                <w:lang w:val="es-MX"/>
              </w:rPr>
            </w:pPr>
            <w:r>
              <w:rPr>
                <w:rFonts w:ascii="Arial" w:hAnsi="Arial" w:cs="Arial"/>
                <w:bCs/>
                <w:color w:val="000000"/>
                <w:sz w:val="18"/>
                <w:szCs w:val="20"/>
                <w:lang w:val="es-MX"/>
              </w:rPr>
              <w:t>US$</w:t>
            </w:r>
            <w:r w:rsidRPr="001C59A0">
              <w:rPr>
                <w:rFonts w:ascii="Arial" w:hAnsi="Arial" w:cs="Arial"/>
                <w:bCs/>
                <w:color w:val="000000"/>
                <w:sz w:val="18"/>
                <w:szCs w:val="20"/>
                <w:lang w:val="es-MX"/>
              </w:rPr>
              <w:t>5,000</w:t>
            </w:r>
            <w:r>
              <w:rPr>
                <w:rFonts w:ascii="Arial" w:hAnsi="Arial" w:cs="Arial"/>
                <w:bCs/>
                <w:color w:val="000000"/>
                <w:sz w:val="18"/>
                <w:szCs w:val="20"/>
                <w:lang w:val="es-MX"/>
              </w:rPr>
              <w:t xml:space="preserve"> </w:t>
            </w:r>
            <w:r w:rsidR="000150C2">
              <w:rPr>
                <w:rFonts w:ascii="Arial" w:hAnsi="Arial" w:cs="Arial"/>
                <w:bCs/>
                <w:color w:val="000000"/>
                <w:sz w:val="18"/>
                <w:szCs w:val="20"/>
                <w:lang w:val="es-MX"/>
              </w:rPr>
              <w:t>MEN/ENDE</w:t>
            </w:r>
          </w:p>
        </w:tc>
      </w:tr>
      <w:tr w:rsidR="00063817" w:rsidRPr="00063817" w14:paraId="2D7624B2" w14:textId="77777777" w:rsidTr="00474389">
        <w:trPr>
          <w:gridAfter w:val="1"/>
          <w:wAfter w:w="19" w:type="pct"/>
          <w:trHeight w:val="394"/>
          <w:jc w:val="center"/>
        </w:trPr>
        <w:tc>
          <w:tcPr>
            <w:tcW w:w="2086" w:type="pct"/>
            <w:tcBorders>
              <w:top w:val="nil"/>
              <w:left w:val="single" w:sz="8" w:space="0" w:color="auto"/>
              <w:bottom w:val="single" w:sz="8" w:space="0" w:color="auto"/>
              <w:right w:val="single" w:sz="8" w:space="0" w:color="auto"/>
            </w:tcBorders>
            <w:shd w:val="clear" w:color="auto" w:fill="auto"/>
            <w:noWrap/>
            <w:vAlign w:val="center"/>
          </w:tcPr>
          <w:p w14:paraId="12CF33E7" w14:textId="5F86B600" w:rsidR="00063817" w:rsidRPr="001C59A0" w:rsidRDefault="00063817" w:rsidP="00063817">
            <w:pPr>
              <w:jc w:val="right"/>
              <w:rPr>
                <w:rFonts w:ascii="Arial" w:hAnsi="Arial" w:cs="Arial"/>
                <w:bCs/>
                <w:color w:val="000000"/>
                <w:sz w:val="18"/>
                <w:szCs w:val="20"/>
                <w:lang w:val="es-MX"/>
              </w:rPr>
            </w:pPr>
            <w:r>
              <w:rPr>
                <w:rFonts w:ascii="Arial" w:hAnsi="Arial" w:cs="Arial"/>
                <w:bCs/>
                <w:color w:val="000000"/>
                <w:sz w:val="18"/>
                <w:szCs w:val="20"/>
                <w:lang w:val="es-MX"/>
              </w:rPr>
              <w:t>Preparación y entrega de los medios de verificación de la segunda operación</w:t>
            </w:r>
          </w:p>
        </w:tc>
        <w:tc>
          <w:tcPr>
            <w:tcW w:w="411" w:type="pct"/>
            <w:tcBorders>
              <w:top w:val="single" w:sz="8" w:space="0" w:color="auto"/>
              <w:left w:val="nil"/>
              <w:bottom w:val="single" w:sz="8" w:space="0" w:color="auto"/>
              <w:right w:val="single" w:sz="8" w:space="0" w:color="auto"/>
            </w:tcBorders>
            <w:shd w:val="clear" w:color="auto" w:fill="auto"/>
            <w:noWrap/>
            <w:vAlign w:val="center"/>
          </w:tcPr>
          <w:p w14:paraId="3206DB3E" w14:textId="77777777" w:rsidR="00063817" w:rsidRPr="001C59A0" w:rsidRDefault="00063817" w:rsidP="00DE4B10">
            <w:pPr>
              <w:jc w:val="center"/>
              <w:rPr>
                <w:rFonts w:ascii="Arial" w:hAnsi="Arial" w:cs="Arial"/>
                <w:bCs/>
                <w:color w:val="000000"/>
                <w:sz w:val="18"/>
                <w:szCs w:val="20"/>
                <w:lang w:val="es-MX"/>
              </w:rPr>
            </w:pPr>
          </w:p>
        </w:tc>
        <w:tc>
          <w:tcPr>
            <w:tcW w:w="424"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C15A773" w14:textId="77777777" w:rsidR="00063817" w:rsidRPr="001C59A0" w:rsidRDefault="00063817" w:rsidP="00DE4B10">
            <w:pPr>
              <w:jc w:val="center"/>
              <w:rPr>
                <w:rFonts w:ascii="Arial" w:hAnsi="Arial" w:cs="Arial"/>
                <w:bCs/>
                <w:color w:val="000000"/>
                <w:sz w:val="18"/>
                <w:szCs w:val="20"/>
                <w:lang w:val="es-MX"/>
              </w:rPr>
            </w:pPr>
          </w:p>
        </w:tc>
        <w:tc>
          <w:tcPr>
            <w:tcW w:w="379"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5C5BD04" w14:textId="77777777" w:rsidR="00063817" w:rsidRPr="001C59A0" w:rsidRDefault="00063817" w:rsidP="00DE4B10">
            <w:pPr>
              <w:jc w:val="center"/>
              <w:rPr>
                <w:rFonts w:ascii="Arial" w:hAnsi="Arial" w:cs="Arial"/>
                <w:bCs/>
                <w:color w:val="000000"/>
                <w:sz w:val="18"/>
                <w:szCs w:val="20"/>
                <w:lang w:val="es-MX"/>
              </w:rPr>
            </w:pPr>
          </w:p>
        </w:tc>
        <w:tc>
          <w:tcPr>
            <w:tcW w:w="434" w:type="pct"/>
            <w:tcBorders>
              <w:top w:val="single" w:sz="8" w:space="0" w:color="auto"/>
              <w:left w:val="nil"/>
              <w:bottom w:val="single" w:sz="8" w:space="0" w:color="auto"/>
              <w:right w:val="single" w:sz="8" w:space="0" w:color="auto"/>
            </w:tcBorders>
            <w:shd w:val="clear" w:color="auto" w:fill="auto"/>
            <w:noWrap/>
            <w:vAlign w:val="center"/>
          </w:tcPr>
          <w:p w14:paraId="3DF14547" w14:textId="77777777" w:rsidR="00063817" w:rsidRPr="001C59A0" w:rsidRDefault="00063817" w:rsidP="00DE4B10">
            <w:pPr>
              <w:jc w:val="center"/>
              <w:rPr>
                <w:rFonts w:ascii="Arial" w:hAnsi="Arial" w:cs="Arial"/>
                <w:bCs/>
                <w:color w:val="000000"/>
                <w:sz w:val="18"/>
                <w:szCs w:val="20"/>
                <w:lang w:val="es-MX"/>
              </w:rPr>
            </w:pPr>
          </w:p>
        </w:tc>
        <w:tc>
          <w:tcPr>
            <w:tcW w:w="1247" w:type="pct"/>
            <w:tcBorders>
              <w:top w:val="single" w:sz="8" w:space="0" w:color="auto"/>
              <w:left w:val="nil"/>
              <w:bottom w:val="single" w:sz="8" w:space="0" w:color="auto"/>
              <w:right w:val="single" w:sz="8" w:space="0" w:color="auto"/>
            </w:tcBorders>
            <w:shd w:val="clear" w:color="auto" w:fill="auto"/>
            <w:vAlign w:val="center"/>
          </w:tcPr>
          <w:p w14:paraId="6BFB9453" w14:textId="30B6AE5D" w:rsidR="00063817" w:rsidRPr="001C59A0" w:rsidRDefault="00063817" w:rsidP="00625725">
            <w:pPr>
              <w:jc w:val="center"/>
              <w:rPr>
                <w:rFonts w:ascii="Arial" w:hAnsi="Arial" w:cs="Arial"/>
                <w:bCs/>
                <w:color w:val="000000"/>
                <w:sz w:val="18"/>
                <w:szCs w:val="20"/>
                <w:lang w:val="es-MX"/>
              </w:rPr>
            </w:pPr>
            <w:r w:rsidRPr="001C59A0">
              <w:rPr>
                <w:rFonts w:ascii="Arial" w:hAnsi="Arial" w:cs="Arial"/>
                <w:bCs/>
                <w:color w:val="000000"/>
                <w:sz w:val="18"/>
                <w:szCs w:val="20"/>
                <w:lang w:val="es-MX"/>
              </w:rPr>
              <w:t>US$5,000</w:t>
            </w:r>
            <w:r>
              <w:rPr>
                <w:rFonts w:ascii="Arial" w:hAnsi="Arial" w:cs="Arial"/>
                <w:bCs/>
                <w:color w:val="000000"/>
                <w:sz w:val="18"/>
                <w:szCs w:val="20"/>
                <w:lang w:val="es-MX"/>
              </w:rPr>
              <w:t xml:space="preserve"> </w:t>
            </w:r>
            <w:r w:rsidR="000150C2">
              <w:rPr>
                <w:rFonts w:ascii="Arial" w:hAnsi="Arial" w:cs="Arial"/>
                <w:bCs/>
                <w:color w:val="000000"/>
                <w:sz w:val="18"/>
                <w:szCs w:val="20"/>
                <w:lang w:val="es-MX"/>
              </w:rPr>
              <w:t>MEN/ENDE</w:t>
            </w:r>
          </w:p>
        </w:tc>
      </w:tr>
      <w:tr w:rsidR="00625725" w:rsidRPr="001C59A0" w14:paraId="3A506FEC" w14:textId="77777777" w:rsidTr="00063817">
        <w:trPr>
          <w:trHeight w:val="394"/>
          <w:jc w:val="center"/>
        </w:trPr>
        <w:tc>
          <w:tcPr>
            <w:tcW w:w="2086" w:type="pct"/>
            <w:tcBorders>
              <w:top w:val="nil"/>
              <w:left w:val="single" w:sz="8" w:space="0" w:color="auto"/>
              <w:bottom w:val="single" w:sz="8" w:space="0" w:color="auto"/>
              <w:right w:val="single" w:sz="8" w:space="0" w:color="auto"/>
            </w:tcBorders>
            <w:shd w:val="clear" w:color="auto" w:fill="auto"/>
            <w:noWrap/>
            <w:vAlign w:val="center"/>
          </w:tcPr>
          <w:p w14:paraId="58B25C13" w14:textId="77777777" w:rsidR="00625725" w:rsidRPr="001C59A0" w:rsidRDefault="00625725" w:rsidP="00DE4B10">
            <w:pPr>
              <w:rPr>
                <w:rFonts w:ascii="Arial" w:hAnsi="Arial" w:cs="Arial"/>
                <w:bCs/>
                <w:color w:val="000000"/>
                <w:sz w:val="18"/>
                <w:szCs w:val="20"/>
                <w:lang w:val="es-MX"/>
              </w:rPr>
            </w:pPr>
            <w:r w:rsidRPr="001C59A0">
              <w:rPr>
                <w:rFonts w:ascii="Arial" w:hAnsi="Arial" w:cs="Arial"/>
                <w:bCs/>
                <w:color w:val="000000"/>
                <w:sz w:val="18"/>
                <w:szCs w:val="20"/>
                <w:lang w:val="es-MX"/>
              </w:rPr>
              <w:t>Total</w:t>
            </w:r>
          </w:p>
        </w:tc>
        <w:tc>
          <w:tcPr>
            <w:tcW w:w="2914" w:type="pct"/>
            <w:gridSpan w:val="6"/>
            <w:tcBorders>
              <w:top w:val="single" w:sz="8" w:space="0" w:color="auto"/>
              <w:left w:val="nil"/>
              <w:bottom w:val="single" w:sz="8" w:space="0" w:color="auto"/>
              <w:right w:val="single" w:sz="8" w:space="0" w:color="auto"/>
            </w:tcBorders>
            <w:shd w:val="clear" w:color="auto" w:fill="auto"/>
            <w:noWrap/>
            <w:vAlign w:val="center"/>
          </w:tcPr>
          <w:p w14:paraId="4D831F31" w14:textId="78D382C7" w:rsidR="00625725" w:rsidRPr="001C59A0" w:rsidRDefault="00531586" w:rsidP="00625725">
            <w:pPr>
              <w:jc w:val="right"/>
              <w:rPr>
                <w:rFonts w:ascii="Arial" w:hAnsi="Arial" w:cs="Arial"/>
                <w:bCs/>
                <w:color w:val="000000"/>
                <w:sz w:val="18"/>
                <w:szCs w:val="20"/>
                <w:lang w:val="es-MX"/>
              </w:rPr>
            </w:pPr>
            <w:r>
              <w:rPr>
                <w:rFonts w:ascii="Arial" w:hAnsi="Arial" w:cs="Arial"/>
                <w:bCs/>
                <w:color w:val="000000"/>
                <w:sz w:val="18"/>
                <w:szCs w:val="20"/>
                <w:lang w:val="es-MX"/>
              </w:rPr>
              <w:t xml:space="preserve">US$ </w:t>
            </w:r>
            <w:r w:rsidR="003E08AD">
              <w:rPr>
                <w:rFonts w:ascii="Arial" w:hAnsi="Arial" w:cs="Arial"/>
                <w:bCs/>
                <w:color w:val="000000"/>
                <w:sz w:val="18"/>
                <w:szCs w:val="20"/>
                <w:lang w:val="es-MX"/>
              </w:rPr>
              <w:t>35</w:t>
            </w:r>
            <w:r w:rsidR="00625725" w:rsidRPr="001C59A0">
              <w:rPr>
                <w:rFonts w:ascii="Arial" w:hAnsi="Arial" w:cs="Arial"/>
                <w:bCs/>
                <w:color w:val="000000"/>
                <w:sz w:val="18"/>
                <w:szCs w:val="20"/>
                <w:lang w:val="es-MX"/>
              </w:rPr>
              <w:t>,000</w:t>
            </w:r>
          </w:p>
        </w:tc>
      </w:tr>
    </w:tbl>
    <w:p w14:paraId="5D5A0D62" w14:textId="77777777" w:rsidR="002F1691" w:rsidRDefault="002F1691" w:rsidP="002F1691">
      <w:pPr>
        <w:pStyle w:val="Heading1"/>
        <w:keepLines/>
        <w:pageBreakBefore/>
        <w:numPr>
          <w:ilvl w:val="0"/>
          <w:numId w:val="0"/>
        </w:numPr>
        <w:spacing w:before="480" w:after="480"/>
        <w:jc w:val="center"/>
        <w:rPr>
          <w:lang w:val="es-ES_tradnl"/>
        </w:rPr>
      </w:pPr>
      <w:bookmarkStart w:id="6" w:name="_Toc514264340"/>
      <w:r>
        <w:rPr>
          <w:lang w:val="es-ES_tradnl"/>
        </w:rPr>
        <w:lastRenderedPageBreak/>
        <w:t>Anexo I</w:t>
      </w:r>
    </w:p>
    <w:p w14:paraId="39DA96AC" w14:textId="65327FB4" w:rsidR="002F1691" w:rsidRPr="002F1691" w:rsidRDefault="002F1691" w:rsidP="002F1691">
      <w:pPr>
        <w:pStyle w:val="Heading1"/>
        <w:keepLines/>
        <w:numPr>
          <w:ilvl w:val="0"/>
          <w:numId w:val="0"/>
        </w:numPr>
        <w:spacing w:before="480" w:after="480"/>
        <w:jc w:val="center"/>
        <w:rPr>
          <w:lang w:val="es-ES_tradnl"/>
        </w:rPr>
      </w:pPr>
      <w:r w:rsidRPr="002F1691">
        <w:rPr>
          <w:lang w:val="es-ES_tradnl"/>
        </w:rPr>
        <w:t>Estimación de los ahorros energéticos por la implementación de medidas de EE en los sectores público y residencial.</w:t>
      </w:r>
    </w:p>
    <w:bookmarkEnd w:id="6"/>
    <w:p w14:paraId="11D31749" w14:textId="77777777" w:rsidR="002F1691" w:rsidRPr="002F1691" w:rsidRDefault="002F1691" w:rsidP="002F1691">
      <w:pPr>
        <w:jc w:val="both"/>
        <w:rPr>
          <w:rFonts w:cs="Arial"/>
          <w:lang w:val="es-ES_tradnl"/>
        </w:rPr>
      </w:pPr>
      <w:r w:rsidRPr="002F1691">
        <w:rPr>
          <w:rFonts w:cs="Arial"/>
          <w:lang w:val="es-ES_tradnl"/>
        </w:rPr>
        <w:t>La matriz de políticas considera reducir el consumo de energía mediante la implementación de medidas de EE en el sector público y privado, cambio de tecnología y manejo eficiente de la demanda. Lo anterior se espera lograr mediante la definición de nuevas normativas, estándares y lineamientos nacionales.</w:t>
      </w:r>
    </w:p>
    <w:p w14:paraId="6A30F3FB" w14:textId="77777777" w:rsidR="002F1691" w:rsidRPr="002F1691" w:rsidRDefault="002F1691" w:rsidP="002F1691">
      <w:pPr>
        <w:spacing w:before="120" w:after="120"/>
        <w:jc w:val="both"/>
        <w:rPr>
          <w:rFonts w:cs="Arial"/>
          <w:lang w:val="es-ES_tradnl"/>
        </w:rPr>
      </w:pPr>
      <w:r w:rsidRPr="002F1691">
        <w:rPr>
          <w:rFonts w:cs="Arial"/>
          <w:lang w:val="es-ES_tradnl"/>
        </w:rPr>
        <w:t>A la fecha no se cuenta con un plan estructurado alrededor de acciones y proyectos concretos, como tampoco existe una normativa en EE que los soporte. Sin embargo, en los compromisos de política sí se espera que en el mediano plazo se defina una Estrategia Nacional de Eficiencia Energética y que se establezcan estándares de calidad mínimos para el uso eficiente de la electricidad en los sectores residencial, público y de transporte. Con base en este compromiso de mediano plazo, se considera que es posible evaluar el impacto de las siguientes medidas en el sector residencial y de alumbrado público:</w:t>
      </w:r>
    </w:p>
    <w:p w14:paraId="730CC151" w14:textId="77777777" w:rsidR="002F1691" w:rsidRPr="002F1691" w:rsidRDefault="002F1691" w:rsidP="00D86D30">
      <w:pPr>
        <w:pStyle w:val="ListParagraph"/>
        <w:numPr>
          <w:ilvl w:val="0"/>
          <w:numId w:val="12"/>
        </w:numPr>
        <w:spacing w:before="240" w:after="240"/>
        <w:contextualSpacing w:val="0"/>
        <w:jc w:val="both"/>
        <w:rPr>
          <w:rFonts w:cs="Arial"/>
          <w:lang w:val="es-ES_tradnl"/>
        </w:rPr>
      </w:pPr>
      <w:r w:rsidRPr="002F1691">
        <w:rPr>
          <w:rFonts w:cs="Arial"/>
          <w:b/>
          <w:lang w:val="es-ES_tradnl"/>
        </w:rPr>
        <w:t>Alumbrado público:</w:t>
      </w:r>
      <w:r w:rsidRPr="002F1691">
        <w:rPr>
          <w:rFonts w:cs="Arial"/>
          <w:lang w:val="es-ES_tradnl"/>
        </w:rPr>
        <w:t xml:space="preserve"> se ha identificado que el alumbrado público puede ser de gran interés debido al impacto que tiene en el monto de la factura que pagan las entidades locales (alrededor del 80% corresponde a alumbrado público). Actualmente se adelantan proyectos pilotos en los municipios de Oruro y Cobija, por lo cual la información económica de dichos proyectos es de relevancia para el presente análisis y con miras a la aplicación de medidas de EE en alumbrado público a nivel nacional.</w:t>
      </w:r>
    </w:p>
    <w:p w14:paraId="4B613829" w14:textId="214B30F4" w:rsidR="002F1691" w:rsidRPr="002F1691" w:rsidRDefault="002F1691" w:rsidP="00D86D30">
      <w:pPr>
        <w:pStyle w:val="ListParagraph"/>
        <w:numPr>
          <w:ilvl w:val="0"/>
          <w:numId w:val="12"/>
        </w:numPr>
        <w:spacing w:before="240" w:after="240"/>
        <w:contextualSpacing w:val="0"/>
        <w:jc w:val="both"/>
        <w:rPr>
          <w:rFonts w:cs="Arial"/>
          <w:lang w:val="es-ES_tradnl"/>
        </w:rPr>
      </w:pPr>
      <w:r w:rsidRPr="002F1691">
        <w:rPr>
          <w:rFonts w:cs="Arial"/>
          <w:b/>
          <w:lang w:val="es-ES_tradnl"/>
        </w:rPr>
        <w:t>Sector residencial:</w:t>
      </w:r>
      <w:r w:rsidRPr="002F1691">
        <w:rPr>
          <w:rFonts w:cs="Arial"/>
          <w:lang w:val="es-ES_tradnl"/>
        </w:rPr>
        <w:t xml:space="preserve"> representa el sector de mayor consumo eléctrico tal como se muestra en la 1. Se estima que la gran mayoría de bombillos para iluminación residencial son de tipo incandescente, en consecuencia, si se llegase a establecer un estándar mínimo de calidad para luminarias en este sector (ej. medidas de etiquetado y restricciones a su importación), el recambio de bombillos existentes en la medida que estos cumplan su vida útil se daría gradualmente hacia tecnologías eficientes. Si bien no existe una caracterización detallada del perfil de consumo en el sector residencial (ej. proporción del consumo destinado a iluminación, refrigeración, calefacción, etc.), se pueden realizar estimativos partiendo de la caracterización del consumo residencial en otros países de la región.</w:t>
      </w:r>
    </w:p>
    <w:p w14:paraId="6BB460EC" w14:textId="1500FFB8" w:rsidR="002F1691" w:rsidRDefault="002F1691" w:rsidP="002F1691">
      <w:pPr>
        <w:spacing w:before="120" w:after="120"/>
        <w:rPr>
          <w:rFonts w:cs="Arial"/>
          <w:lang w:val="es-ES_tradnl"/>
        </w:rPr>
      </w:pPr>
      <w:r w:rsidRPr="002F1691">
        <w:rPr>
          <w:rFonts w:cs="Arial"/>
          <w:lang w:val="es-ES_tradnl"/>
        </w:rPr>
        <w:t>No se consideran estimaciones de EE en sectores diferentes al residencial y de alumbrado público pues no existe base alguna razonable sobre la situación de la demanda de energía y el tipo de tecnología utilizada (por ejemplo, calefacción, fuerza motriz en la industria, iluminación en el sector público, etc.).</w:t>
      </w:r>
    </w:p>
    <w:p w14:paraId="625EF3CF" w14:textId="77777777" w:rsidR="002F1691" w:rsidRPr="002F1691" w:rsidRDefault="002F1691" w:rsidP="002F1691">
      <w:pPr>
        <w:spacing w:before="120" w:after="120"/>
        <w:rPr>
          <w:lang w:val="es-ES_tradnl"/>
        </w:rPr>
      </w:pPr>
    </w:p>
    <w:p w14:paraId="01F72A62" w14:textId="42E9702C" w:rsidR="002F1691" w:rsidRPr="002F1691" w:rsidRDefault="002F1691" w:rsidP="002F1691">
      <w:pPr>
        <w:pStyle w:val="ListParagraph"/>
        <w:ind w:left="0"/>
        <w:jc w:val="center"/>
        <w:rPr>
          <w:rFonts w:cs="Arial"/>
          <w:lang w:val="es-ES_tradnl"/>
        </w:rPr>
      </w:pPr>
      <w:bookmarkStart w:id="7" w:name="_Ref509849925"/>
      <w:bookmarkStart w:id="8" w:name="_Toc481232613"/>
      <w:bookmarkStart w:id="9" w:name="_Toc511931647"/>
      <w:bookmarkStart w:id="10" w:name="_Toc514264389"/>
      <w:r w:rsidRPr="002F1691">
        <w:rPr>
          <w:b/>
          <w:lang w:val="es-ES_tradnl"/>
        </w:rPr>
        <w:t xml:space="preserve">Gráfica </w:t>
      </w:r>
      <w:bookmarkEnd w:id="7"/>
      <w:r w:rsidRPr="002F1691">
        <w:rPr>
          <w:b/>
          <w:bCs/>
          <w:lang w:val="es-ES_tradnl"/>
        </w:rPr>
        <w:t xml:space="preserve">1 </w:t>
      </w:r>
      <w:r w:rsidRPr="002F1691">
        <w:rPr>
          <w:b/>
          <w:lang w:val="es-ES_tradnl"/>
        </w:rPr>
        <w:t xml:space="preserve">– </w:t>
      </w:r>
      <w:bookmarkEnd w:id="8"/>
      <w:r w:rsidRPr="002F1691">
        <w:rPr>
          <w:b/>
          <w:lang w:val="es-ES_tradnl"/>
        </w:rPr>
        <w:t>Participación en consumo final de energía eléctrica por sectores (Sistema Interconectado y Zonas Aisladas) 2016</w:t>
      </w:r>
      <w:bookmarkEnd w:id="9"/>
      <w:bookmarkEnd w:id="10"/>
    </w:p>
    <w:p w14:paraId="0221B3C4" w14:textId="77777777" w:rsidR="002F1691" w:rsidRDefault="002F1691" w:rsidP="002F1691">
      <w:pPr>
        <w:pStyle w:val="ListParagraph"/>
        <w:jc w:val="center"/>
        <w:rPr>
          <w:rFonts w:cs="Arial"/>
        </w:rPr>
      </w:pPr>
      <w:r w:rsidRPr="00FF42F7">
        <w:rPr>
          <w:noProof/>
        </w:rPr>
        <w:lastRenderedPageBreak/>
        <w:drawing>
          <wp:inline distT="0" distB="0" distL="0" distR="0" wp14:anchorId="40195640" wp14:editId="270EBB14">
            <wp:extent cx="4267200" cy="24675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740" cy="2471884"/>
                    </a:xfrm>
                    <a:prstGeom prst="rect">
                      <a:avLst/>
                    </a:prstGeom>
                    <a:noFill/>
                    <a:ln>
                      <a:noFill/>
                    </a:ln>
                  </pic:spPr>
                </pic:pic>
              </a:graphicData>
            </a:graphic>
          </wp:inline>
        </w:drawing>
      </w:r>
    </w:p>
    <w:p w14:paraId="61FA2897" w14:textId="77777777" w:rsidR="002F1691" w:rsidRDefault="002F1691" w:rsidP="002F1691">
      <w:pPr>
        <w:pStyle w:val="ListParagraph"/>
        <w:jc w:val="center"/>
        <w:rPr>
          <w:sz w:val="20"/>
          <w:lang w:val="es-ES"/>
        </w:rPr>
      </w:pPr>
      <w:r w:rsidRPr="00DA68BF">
        <w:rPr>
          <w:sz w:val="20"/>
          <w:lang w:val="es-ES"/>
        </w:rPr>
        <w:t xml:space="preserve">Fuente: </w:t>
      </w:r>
      <w:r>
        <w:rPr>
          <w:sz w:val="20"/>
          <w:lang w:val="es-ES"/>
        </w:rPr>
        <w:t>Elaboración del consultor con base en información del Anuario Estadístico 2016 (AE)</w:t>
      </w:r>
    </w:p>
    <w:p w14:paraId="54F41725" w14:textId="77777777" w:rsidR="002F1691" w:rsidRDefault="002F1691" w:rsidP="002F1691">
      <w:pPr>
        <w:pStyle w:val="ListParagraph"/>
        <w:jc w:val="center"/>
        <w:rPr>
          <w:sz w:val="20"/>
          <w:lang w:val="es-ES"/>
        </w:rPr>
      </w:pPr>
      <w:r w:rsidRPr="00D056A6">
        <w:rPr>
          <w:sz w:val="20"/>
          <w:lang w:val="es-ES"/>
        </w:rPr>
        <w:t xml:space="preserve">Nota: </w:t>
      </w:r>
      <w:r>
        <w:rPr>
          <w:sz w:val="20"/>
          <w:lang w:val="es-ES"/>
        </w:rPr>
        <w:t>Excluye Autoproductores y consumidores no regulados</w:t>
      </w:r>
    </w:p>
    <w:p w14:paraId="3328C706" w14:textId="77777777" w:rsidR="002F1691" w:rsidRPr="00D056A6" w:rsidRDefault="002F1691" w:rsidP="002F1691">
      <w:pPr>
        <w:pStyle w:val="ListParagraph"/>
        <w:jc w:val="center"/>
        <w:rPr>
          <w:sz w:val="20"/>
          <w:lang w:val="es-ES"/>
        </w:rPr>
      </w:pPr>
    </w:p>
    <w:p w14:paraId="3E681030" w14:textId="10812EB7" w:rsidR="002F1691" w:rsidRPr="00D86855" w:rsidRDefault="002F1691" w:rsidP="002F1691">
      <w:pPr>
        <w:rPr>
          <w:b/>
          <w:lang w:val="es-ES_tradnl"/>
        </w:rPr>
      </w:pPr>
      <w:r w:rsidRPr="00D86855">
        <w:rPr>
          <w:b/>
          <w:lang w:val="es-ES_tradnl"/>
        </w:rPr>
        <w:t>Beneficios</w:t>
      </w:r>
    </w:p>
    <w:p w14:paraId="46E9D714" w14:textId="77777777" w:rsidR="002F1691" w:rsidRPr="00D86855" w:rsidRDefault="002F1691" w:rsidP="002F1691">
      <w:pPr>
        <w:jc w:val="both"/>
        <w:rPr>
          <w:b/>
          <w:lang w:val="es-ES_tradnl"/>
        </w:rPr>
      </w:pPr>
    </w:p>
    <w:p w14:paraId="3941E791" w14:textId="77777777" w:rsidR="002F1691" w:rsidRPr="002F1691" w:rsidRDefault="002F1691" w:rsidP="002F1691">
      <w:pPr>
        <w:jc w:val="both"/>
        <w:rPr>
          <w:rFonts w:cs="Arial"/>
          <w:lang w:val="es-ES_tradnl"/>
        </w:rPr>
      </w:pPr>
      <w:r w:rsidRPr="002F1691">
        <w:rPr>
          <w:rFonts w:cs="Arial"/>
          <w:lang w:val="es-ES_tradnl"/>
        </w:rPr>
        <w:t>Las medidas tendientes a la eficiencia energética en los sectores de consumo eléctrico descritos se traducen en los siguientes beneficios: i) en cuanto al alumbrado público, menor gasto de electricidad para las entidades locales, lo cual permite la liberación de recursos para inversión o gasto en otros sectores; ii) en cuanto al sector residencial, mayor excedente del consumidor por un menor gasto eléctrico y menores recursos destinados a subsidios por parte del GdB. En ambos casos se dan los beneficios por menores emisiones resultado una menor generación eléctrica y costos evitados asociados con la capacidad de generación eléctrica futura que no se requerirá instalar (generación eléctrica evitada).</w:t>
      </w:r>
    </w:p>
    <w:p w14:paraId="305D6F42" w14:textId="77777777" w:rsidR="002F1691" w:rsidRPr="00DC6354" w:rsidRDefault="002F1691" w:rsidP="00D86D30">
      <w:pPr>
        <w:pStyle w:val="Heading3"/>
        <w:keepLines/>
        <w:numPr>
          <w:ilvl w:val="2"/>
          <w:numId w:val="9"/>
        </w:numPr>
        <w:spacing w:before="360" w:after="360"/>
        <w:jc w:val="both"/>
        <w:rPr>
          <w:lang w:val="es-ES"/>
        </w:rPr>
      </w:pPr>
      <w:bookmarkStart w:id="11" w:name="_Toc511931601"/>
      <w:bookmarkStart w:id="12" w:name="_Ref512418264"/>
      <w:bookmarkStart w:id="13" w:name="_Toc514264342"/>
      <w:r>
        <w:rPr>
          <w:lang w:val="es-ES"/>
        </w:rPr>
        <w:t>Metodología</w:t>
      </w:r>
      <w:bookmarkEnd w:id="11"/>
      <w:bookmarkEnd w:id="12"/>
      <w:bookmarkEnd w:id="13"/>
    </w:p>
    <w:p w14:paraId="0B81F8B1" w14:textId="77777777" w:rsidR="002F1691" w:rsidRPr="002F1691" w:rsidRDefault="002F1691" w:rsidP="002F1691">
      <w:pPr>
        <w:jc w:val="both"/>
        <w:rPr>
          <w:rFonts w:cs="Arial"/>
          <w:lang w:val="es-ES_tradnl"/>
        </w:rPr>
      </w:pPr>
      <w:r w:rsidRPr="002F1691">
        <w:rPr>
          <w:rFonts w:cs="Arial"/>
          <w:lang w:val="es-ES_tradnl"/>
        </w:rPr>
        <w:t>La introducción de medidas regulatorias y de mercado que promuevan el uso de equipos de menor consumo eléctrico, por ejemplo, limitaciones a la entrada de bombillos ineficientes, implementación de etiquetados que indiquen la eficiencia de los equipos y la adopción de normas con niveles mínimos de eficiencia requeridos, permiten, con cierta gradualidad en el tiempo, que los nuevos equipos que se instalen consuman menos energía que los equipos de consumo existentes. Considerando que Bolivia aún no cuenta con una normativa específica de uso racional de la energía (URE) con acciones puntuales que conduzcan a un menor consumo eléctrico, se realiza el siguiente procedimiento para el análisis económico del presente trabajo:</w:t>
      </w:r>
    </w:p>
    <w:p w14:paraId="142E5D3E" w14:textId="77777777" w:rsidR="002F1691" w:rsidRPr="00146609" w:rsidRDefault="002F1691" w:rsidP="00D86D30">
      <w:pPr>
        <w:pStyle w:val="ListParagraph"/>
        <w:numPr>
          <w:ilvl w:val="0"/>
          <w:numId w:val="13"/>
        </w:numPr>
        <w:spacing w:before="240" w:after="240"/>
        <w:contextualSpacing w:val="0"/>
        <w:jc w:val="both"/>
        <w:rPr>
          <w:rFonts w:cs="Arial"/>
        </w:rPr>
      </w:pPr>
      <w:r w:rsidRPr="00146609">
        <w:rPr>
          <w:rFonts w:cs="Arial"/>
        </w:rPr>
        <w:t>Alumbrado público:</w:t>
      </w:r>
    </w:p>
    <w:p w14:paraId="51BBDD2D"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Se asume que la configuración tecnológica del alumbrado público en el resto del país guarda semejanza al de estos municipios (iluminación principalmente con tecnología de vapor de sodio).</w:t>
      </w:r>
    </w:p>
    <w:p w14:paraId="2F20F665"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Con base en el consumo eléctrico de alumbrado público reportado por la AE, y con base en las características típicas de las lamparas de vapor de sodio, se estima el número actual de lámparas a ser cambiadas.</w:t>
      </w:r>
    </w:p>
    <w:p w14:paraId="1E993B83"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lastRenderedPageBreak/>
        <w:t>El cambio de las luminarias del alumbrado público actual se hace de manera gradual iniciando en 2021 y durante un lapso de 2 años (vida útil promedio de las lamparas de vapor de sodio).</w:t>
      </w:r>
    </w:p>
    <w:p w14:paraId="778CDA9E"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 xml:space="preserve">El crecimiento anual del número de luminarias de alumbrado público se calcula con base en la demanda histórica de energía eléctrica para dicho sector con base en información reportada por la AE. </w:t>
      </w:r>
    </w:p>
    <w:p w14:paraId="71ABCAEB"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Las nuevas instalaciones de alumbrado público, en la medida que exista un programa de EE, se realizará con iluminación LED.</w:t>
      </w:r>
    </w:p>
    <w:p w14:paraId="66948C62" w14:textId="77777777" w:rsidR="002F1691" w:rsidRPr="00146609" w:rsidRDefault="002F1691" w:rsidP="00D86D30">
      <w:pPr>
        <w:pStyle w:val="ListParagraph"/>
        <w:numPr>
          <w:ilvl w:val="0"/>
          <w:numId w:val="13"/>
        </w:numPr>
        <w:spacing w:before="240" w:after="240"/>
        <w:contextualSpacing w:val="0"/>
        <w:jc w:val="both"/>
        <w:rPr>
          <w:rFonts w:cs="Arial"/>
        </w:rPr>
      </w:pPr>
      <w:r w:rsidRPr="00146609">
        <w:rPr>
          <w:rFonts w:cs="Arial"/>
        </w:rPr>
        <w:t>Sector Residencial:</w:t>
      </w:r>
    </w:p>
    <w:p w14:paraId="6BDA84E8"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Se asume un número típico de bombillos por usuario residencial</w:t>
      </w:r>
      <w:r>
        <w:rPr>
          <w:rStyle w:val="FootnoteReference"/>
          <w:rFonts w:cs="Arial"/>
        </w:rPr>
        <w:footnoteReference w:id="7"/>
      </w:r>
      <w:r w:rsidRPr="002F1691">
        <w:rPr>
          <w:rFonts w:cs="Arial"/>
          <w:lang w:val="es-ES_tradnl"/>
        </w:rPr>
        <w:t xml:space="preserve"> y un número de horas diarias promedio de uso.</w:t>
      </w:r>
    </w:p>
    <w:p w14:paraId="3929BB68"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Se considera que con excepción de los bombillos ya cambiados durante la campaña de distribución de focos ahorradores adelantada por el GdB en 2012 (aproximadamente 6 millones de bombillos</w:t>
      </w:r>
      <w:r w:rsidRPr="0069728E">
        <w:rPr>
          <w:rStyle w:val="FootnoteReference"/>
          <w:rFonts w:cs="Arial"/>
        </w:rPr>
        <w:footnoteReference w:id="8"/>
      </w:r>
      <w:r w:rsidRPr="002F1691">
        <w:rPr>
          <w:rFonts w:cs="Arial"/>
          <w:lang w:val="es-ES_tradnl"/>
        </w:rPr>
        <w:t>), los bombillos utilizados por los usuarios del sector residencial son de tecnología incandescente.</w:t>
      </w:r>
    </w:p>
    <w:p w14:paraId="110759D4"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El cambio de bombillas incandescentes, en la medida que cumplen su vida útil, se realiza por parte del usuario hacia bombillos de tecnología LFC.</w:t>
      </w:r>
      <w:r>
        <w:rPr>
          <w:rStyle w:val="FootnoteReference"/>
          <w:rFonts w:cs="Arial"/>
        </w:rPr>
        <w:footnoteReference w:id="9"/>
      </w:r>
    </w:p>
    <w:p w14:paraId="620DD3B5"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El cambio de bombillas LFC existentes, en la medida que cumplen su vida útil, se realiza por parte del usuario hacia bombillos de tecnología LED.</w:t>
      </w:r>
    </w:p>
    <w:p w14:paraId="477FC1B6"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El crecimiento anual del número de usuarios residenciales se asume igual al crecimiento histórico en los últimos años reportado por la AE (aproximadamente 5% anual).</w:t>
      </w:r>
    </w:p>
    <w:p w14:paraId="0B373FBB" w14:textId="77777777" w:rsidR="002F1691" w:rsidRPr="002F1691" w:rsidRDefault="002F1691" w:rsidP="00D86D30">
      <w:pPr>
        <w:pStyle w:val="ListParagraph"/>
        <w:numPr>
          <w:ilvl w:val="1"/>
          <w:numId w:val="13"/>
        </w:numPr>
        <w:spacing w:before="240" w:after="240"/>
        <w:contextualSpacing w:val="0"/>
        <w:jc w:val="both"/>
        <w:rPr>
          <w:rFonts w:cs="Arial"/>
          <w:lang w:val="es-ES_tradnl"/>
        </w:rPr>
      </w:pPr>
      <w:r w:rsidRPr="002F1691">
        <w:rPr>
          <w:rFonts w:cs="Arial"/>
          <w:lang w:val="es-ES_tradnl"/>
        </w:rPr>
        <w:t>Los nuevos usuarios, en la medida que exista un programa de EE, utilizarán bombillos CLF.</w:t>
      </w:r>
    </w:p>
    <w:p w14:paraId="6194AFE4" w14:textId="77777777" w:rsidR="002F1691" w:rsidRPr="002F1691" w:rsidRDefault="002F1691" w:rsidP="002F1691">
      <w:pPr>
        <w:rPr>
          <w:rFonts w:cs="Arial"/>
          <w:lang w:val="es-ES_tradnl"/>
        </w:rPr>
      </w:pPr>
      <w:r w:rsidRPr="002F1691">
        <w:rPr>
          <w:rFonts w:cs="Arial"/>
          <w:lang w:val="es-ES_tradnl"/>
        </w:rPr>
        <w:t>En cuanto a los escenarios con y sin proyectos se considera que:</w:t>
      </w:r>
    </w:p>
    <w:p w14:paraId="202C9832" w14:textId="77777777" w:rsidR="002F1691" w:rsidRPr="001232E8" w:rsidRDefault="002F1691" w:rsidP="00D86D30">
      <w:pPr>
        <w:pStyle w:val="ListParagraph"/>
        <w:numPr>
          <w:ilvl w:val="0"/>
          <w:numId w:val="11"/>
        </w:numPr>
        <w:spacing w:before="240" w:after="240" w:line="259" w:lineRule="auto"/>
        <w:contextualSpacing w:val="0"/>
        <w:jc w:val="both"/>
        <w:rPr>
          <w:rFonts w:cs="Arial"/>
          <w:b/>
          <w:lang w:val="es-ES"/>
        </w:rPr>
      </w:pPr>
      <w:r w:rsidRPr="005934B7">
        <w:rPr>
          <w:rFonts w:cs="Arial"/>
          <w:b/>
          <w:lang w:val="es-ES"/>
        </w:rPr>
        <w:t>Escenario con proyecto:</w:t>
      </w:r>
      <w:r w:rsidRPr="005934B7">
        <w:rPr>
          <w:rFonts w:cs="Arial"/>
          <w:lang w:val="es-ES"/>
        </w:rPr>
        <w:t xml:space="preserve"> </w:t>
      </w:r>
      <w:r>
        <w:rPr>
          <w:rFonts w:cs="Arial"/>
          <w:lang w:val="es-ES"/>
        </w:rPr>
        <w:t>e</w:t>
      </w:r>
      <w:r w:rsidRPr="005934B7">
        <w:rPr>
          <w:rFonts w:cs="Arial"/>
          <w:lang w:val="es-ES"/>
        </w:rPr>
        <w:t xml:space="preserve">s el </w:t>
      </w:r>
      <w:r>
        <w:rPr>
          <w:rFonts w:cs="Arial"/>
          <w:lang w:val="es-ES"/>
        </w:rPr>
        <w:t>escenario en el cual se implementan las medidas de EE anteriormente descritas para los sectores de alumbrado público y residencial.</w:t>
      </w:r>
    </w:p>
    <w:p w14:paraId="69D76BE3" w14:textId="77777777" w:rsidR="002F1691" w:rsidRPr="007863C4" w:rsidRDefault="002F1691" w:rsidP="00D86D30">
      <w:pPr>
        <w:pStyle w:val="ListParagraph"/>
        <w:numPr>
          <w:ilvl w:val="0"/>
          <w:numId w:val="11"/>
        </w:numPr>
        <w:spacing w:before="240" w:after="240" w:line="259" w:lineRule="auto"/>
        <w:contextualSpacing w:val="0"/>
        <w:jc w:val="both"/>
        <w:rPr>
          <w:rFonts w:cs="Arial"/>
          <w:lang w:val="es-ES"/>
        </w:rPr>
      </w:pPr>
      <w:r w:rsidRPr="007863C4">
        <w:rPr>
          <w:rFonts w:cs="Arial"/>
          <w:b/>
          <w:lang w:val="es-ES"/>
        </w:rPr>
        <w:t>Escenario sin proyecto:</w:t>
      </w:r>
      <w:r w:rsidRPr="007863C4">
        <w:rPr>
          <w:rFonts w:cs="Arial"/>
          <w:lang w:val="es-ES"/>
        </w:rPr>
        <w:t xml:space="preserve"> es el escenario en el cual no se implementa ninguna medida de EE, por lo cual el consumo </w:t>
      </w:r>
      <w:r>
        <w:rPr>
          <w:rFonts w:cs="Arial"/>
          <w:lang w:val="es-ES"/>
        </w:rPr>
        <w:t xml:space="preserve">proyectado </w:t>
      </w:r>
      <w:r w:rsidRPr="007863C4">
        <w:rPr>
          <w:rFonts w:cs="Arial"/>
          <w:lang w:val="es-ES"/>
        </w:rPr>
        <w:t xml:space="preserve">de alumbrado público y la iluminación en el sector residencial </w:t>
      </w:r>
      <w:r>
        <w:rPr>
          <w:rFonts w:cs="Arial"/>
          <w:lang w:val="es-ES"/>
        </w:rPr>
        <w:t>se realizará</w:t>
      </w:r>
      <w:r w:rsidRPr="007863C4">
        <w:rPr>
          <w:rFonts w:cs="Arial"/>
          <w:lang w:val="es-ES"/>
        </w:rPr>
        <w:t xml:space="preserve"> con la tecnología actual (predominantemente vapor de sodio en el caso del alumbrado público y bombillos incandescentes en el caso del sector residencial).</w:t>
      </w:r>
    </w:p>
    <w:p w14:paraId="0852C660" w14:textId="77777777" w:rsidR="002F1691" w:rsidRPr="002F1691" w:rsidRDefault="002F1691" w:rsidP="002F1691">
      <w:pPr>
        <w:rPr>
          <w:rFonts w:cs="Arial"/>
          <w:lang w:val="es-ES_tradnl"/>
        </w:rPr>
      </w:pPr>
      <w:r w:rsidRPr="002F1691">
        <w:rPr>
          <w:rFonts w:cs="Arial"/>
          <w:lang w:val="es-ES_tradnl"/>
        </w:rPr>
        <w:lastRenderedPageBreak/>
        <w:t>La valoración de los beneficios netos corresponde a la aplicación del ACB expresada en forma general de la siguiente manera:</w:t>
      </w:r>
    </w:p>
    <w:p w14:paraId="6A90FB5B" w14:textId="77777777" w:rsidR="002F1691" w:rsidRPr="00976EBC" w:rsidRDefault="0086706A" w:rsidP="002F1691">
      <w:pPr>
        <w:rPr>
          <w:rFonts w:cs="Arial"/>
        </w:rPr>
      </w:pPr>
      <m:oMathPara>
        <m:oMath>
          <m:sSub>
            <m:sSubPr>
              <m:ctrlPr>
                <w:rPr>
                  <w:rFonts w:ascii="Cambria Math" w:hAnsi="Cambria Math" w:cs="Arial"/>
                  <w:i/>
                </w:rPr>
              </m:ctrlPr>
            </m:sSubPr>
            <m:e>
              <m:r>
                <w:rPr>
                  <w:rFonts w:ascii="Cambria Math" w:hAnsi="Cambria Math" w:cs="Arial"/>
                </w:rPr>
                <m:t>B</m:t>
              </m:r>
            </m:e>
            <m:sub>
              <m:r>
                <w:rPr>
                  <w:rFonts w:ascii="Cambria Math" w:hAnsi="Cambria Math" w:cs="Arial"/>
                </w:rPr>
                <m:t>EE</m:t>
              </m:r>
            </m:sub>
          </m:sSub>
          <m:r>
            <w:rPr>
              <w:rFonts w:ascii="Cambria Math" w:hAnsi="Cambria Math" w:cs="Arial"/>
            </w:rPr>
            <m:t>=</m:t>
          </m:r>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EE_SIN</m:t>
              </m:r>
            </m:sub>
          </m:sSub>
          <m:r>
            <w:rPr>
              <w:rFonts w:ascii="Cambria Math" w:hAnsi="Cambria Math" w:cs="Arial"/>
              <w:szCs w:val="28"/>
              <w:lang w:val="es-ES"/>
            </w:rPr>
            <m:t>+</m:t>
          </m:r>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EE_SA</m:t>
              </m:r>
            </m:sub>
          </m:sSub>
        </m:oMath>
      </m:oMathPara>
    </w:p>
    <w:p w14:paraId="5707D1E3" w14:textId="77777777" w:rsidR="002F1691" w:rsidRPr="00625504" w:rsidRDefault="0086706A" w:rsidP="002F1691">
      <w:pPr>
        <w:rPr>
          <w:rFonts w:eastAsiaTheme="minorEastAsia" w:cs="Arial"/>
          <w:szCs w:val="28"/>
          <w:lang w:val="es-ES"/>
        </w:rPr>
      </w:pPr>
      <m:oMathPara>
        <m:oMath>
          <m:sSub>
            <m:sSubPr>
              <m:ctrlPr>
                <w:rPr>
                  <w:rFonts w:ascii="Cambria Math" w:hAnsi="Cambria Math" w:cs="Arial"/>
                  <w:i/>
                </w:rPr>
              </m:ctrlPr>
            </m:sSubPr>
            <m:e>
              <m:r>
                <w:rPr>
                  <w:rFonts w:ascii="Cambria Math" w:hAnsi="Cambria Math" w:cs="Arial"/>
                </w:rPr>
                <m:t>B</m:t>
              </m:r>
            </m:e>
            <m:sub>
              <m:r>
                <w:rPr>
                  <w:rFonts w:ascii="Cambria Math" w:hAnsi="Cambria Math" w:cs="Arial"/>
                </w:rPr>
                <m:t>EE_SIN</m:t>
              </m:r>
            </m:sub>
          </m:sSub>
          <m:r>
            <w:rPr>
              <w:rFonts w:ascii="Cambria Math" w:hAnsi="Cambria Math" w:cs="Arial"/>
            </w:rPr>
            <m:t>=</m:t>
          </m:r>
          <m:sSub>
            <m:sSubPr>
              <m:ctrlPr>
                <w:rPr>
                  <w:rFonts w:ascii="Cambria Math" w:hAnsi="Cambria Math" w:cs="Arial"/>
                  <w:i/>
                </w:rPr>
              </m:ctrlPr>
            </m:sSubPr>
            <m:e>
              <m:r>
                <w:rPr>
                  <w:rFonts w:ascii="Cambria Math" w:hAnsi="Cambria Math" w:cs="Arial"/>
                </w:rPr>
                <m:t>Pe</m:t>
              </m:r>
            </m:e>
            <m:sub>
              <m:r>
                <w:rPr>
                  <w:rFonts w:ascii="Cambria Math" w:hAnsi="Cambria Math" w:cs="Arial"/>
                </w:rPr>
                <m:t>SIN</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E</m:t>
                  </m:r>
                </m:e>
                <m:sub>
                  <m:r>
                    <w:rPr>
                      <w:rFonts w:ascii="Cambria Math" w:hAnsi="Cambria Math" w:cs="Arial"/>
                    </w:rPr>
                    <m:t>Ahorrada_SIN</m:t>
                  </m:r>
                </m:sub>
              </m:sSub>
            </m:e>
          </m:d>
          <m:r>
            <w:rPr>
              <w:rFonts w:ascii="Cambria Math" w:hAnsi="Cambria Math" w:cs="Arial"/>
            </w:rPr>
            <m:t>-</m:t>
          </m:r>
          <m:sSub>
            <m:sSubPr>
              <m:ctrlPr>
                <w:rPr>
                  <w:rFonts w:ascii="Cambria Math" w:hAnsi="Cambria Math" w:cs="Arial"/>
                  <w:i/>
                </w:rPr>
              </m:ctrlPr>
            </m:sSubPr>
            <m:e>
              <m:r>
                <w:rPr>
                  <w:rFonts w:ascii="Cambria Math" w:hAnsi="Cambria Math" w:cs="Arial"/>
                </w:rPr>
                <m:t>(INV</m:t>
              </m:r>
            </m:e>
            <m:sub>
              <m:r>
                <w:rPr>
                  <w:rFonts w:ascii="Cambria Math" w:hAnsi="Cambria Math" w:cs="Arial"/>
                </w:rPr>
                <m:t>URE_SIN</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AOM</m:t>
              </m:r>
            </m:e>
            <m:sub>
              <m:r>
                <w:rPr>
                  <w:rFonts w:ascii="Cambria Math" w:hAnsi="Cambria Math" w:cs="Arial"/>
                </w:rPr>
                <m:t>URE)</m:t>
              </m:r>
            </m:sub>
          </m:sSub>
          <m:r>
            <w:rPr>
              <w:rFonts w:ascii="Cambria Math" w:hAnsi="Cambria Math" w:cs="Arial"/>
            </w:rPr>
            <m:t>)+</m:t>
          </m:r>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A_SIN</m:t>
              </m:r>
            </m:sub>
          </m:sSub>
          <m:r>
            <w:rPr>
              <w:rFonts w:ascii="Cambria Math" w:hAnsi="Cambria Math" w:cs="Arial"/>
              <w:szCs w:val="28"/>
              <w:lang w:val="es-ES"/>
            </w:rPr>
            <m:t>+</m:t>
          </m:r>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PGE_GAS</m:t>
              </m:r>
            </m:sub>
          </m:sSub>
        </m:oMath>
      </m:oMathPara>
    </w:p>
    <w:p w14:paraId="620BC6A8" w14:textId="77777777" w:rsidR="002F1691" w:rsidRPr="00976EBC" w:rsidRDefault="0086706A" w:rsidP="002F1691">
      <w:pPr>
        <w:rPr>
          <w:rFonts w:cs="Arial"/>
        </w:rPr>
      </w:pPr>
      <m:oMathPara>
        <m:oMath>
          <m:sSub>
            <m:sSubPr>
              <m:ctrlPr>
                <w:rPr>
                  <w:rFonts w:ascii="Cambria Math" w:hAnsi="Cambria Math" w:cs="Arial"/>
                  <w:i/>
                </w:rPr>
              </m:ctrlPr>
            </m:sSubPr>
            <m:e>
              <m:r>
                <w:rPr>
                  <w:rFonts w:ascii="Cambria Math" w:hAnsi="Cambria Math" w:cs="Arial"/>
                </w:rPr>
                <m:t>B</m:t>
              </m:r>
            </m:e>
            <m:sub>
              <m:r>
                <w:rPr>
                  <w:rFonts w:ascii="Cambria Math" w:hAnsi="Cambria Math" w:cs="Arial"/>
                </w:rPr>
                <m:t>EE_SA</m:t>
              </m:r>
            </m:sub>
          </m:sSub>
          <m:r>
            <w:rPr>
              <w:rFonts w:ascii="Cambria Math" w:hAnsi="Cambria Math" w:cs="Arial"/>
            </w:rPr>
            <m:t>=</m:t>
          </m:r>
          <m:sSub>
            <m:sSubPr>
              <m:ctrlPr>
                <w:rPr>
                  <w:rFonts w:ascii="Cambria Math" w:hAnsi="Cambria Math" w:cs="Arial"/>
                  <w:i/>
                </w:rPr>
              </m:ctrlPr>
            </m:sSubPr>
            <m:e>
              <m:r>
                <w:rPr>
                  <w:rFonts w:ascii="Cambria Math" w:hAnsi="Cambria Math" w:cs="Arial"/>
                </w:rPr>
                <m:t>Pe</m:t>
              </m:r>
            </m:e>
            <m:sub>
              <m:r>
                <w:rPr>
                  <w:rFonts w:ascii="Cambria Math" w:hAnsi="Cambria Math" w:cs="Arial"/>
                </w:rPr>
                <m:t>SA</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E</m:t>
                  </m:r>
                </m:e>
                <m:sub>
                  <m:r>
                    <w:rPr>
                      <w:rFonts w:ascii="Cambria Math" w:hAnsi="Cambria Math" w:cs="Arial"/>
                    </w:rPr>
                    <m:t>Ahorrada_SA</m:t>
                  </m:r>
                </m:sub>
              </m:sSub>
            </m:e>
          </m:d>
          <m:r>
            <w:rPr>
              <w:rFonts w:ascii="Cambria Math" w:hAnsi="Cambria Math" w:cs="Arial"/>
            </w:rPr>
            <m:t>-</m:t>
          </m:r>
          <m:sSub>
            <m:sSubPr>
              <m:ctrlPr>
                <w:rPr>
                  <w:rFonts w:ascii="Cambria Math" w:hAnsi="Cambria Math" w:cs="Arial"/>
                  <w:i/>
                </w:rPr>
              </m:ctrlPr>
            </m:sSubPr>
            <m:e>
              <m:r>
                <w:rPr>
                  <w:rFonts w:ascii="Cambria Math" w:hAnsi="Cambria Math" w:cs="Arial"/>
                </w:rPr>
                <m:t>(INV</m:t>
              </m:r>
            </m:e>
            <m:sub>
              <m:r>
                <w:rPr>
                  <w:rFonts w:ascii="Cambria Math" w:hAnsi="Cambria Math" w:cs="Arial"/>
                </w:rPr>
                <m:t>URE_SA</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AOM</m:t>
              </m:r>
            </m:e>
            <m:sub>
              <m:r>
                <w:rPr>
                  <w:rFonts w:ascii="Cambria Math" w:hAnsi="Cambria Math" w:cs="Arial"/>
                </w:rPr>
                <m:t>URE)</m:t>
              </m:r>
            </m:sub>
          </m:sSub>
          <m:r>
            <w:rPr>
              <w:rFonts w:ascii="Cambria Math" w:hAnsi="Cambria Math" w:cs="Arial"/>
            </w:rPr>
            <m:t>)+</m:t>
          </m:r>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A_SA</m:t>
              </m:r>
            </m:sub>
          </m:sSub>
          <m:r>
            <w:rPr>
              <w:rFonts w:ascii="Cambria Math" w:hAnsi="Cambria Math" w:cs="Arial"/>
              <w:szCs w:val="28"/>
              <w:lang w:val="es-ES"/>
            </w:rPr>
            <m:t>+</m:t>
          </m:r>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PGE_DIESEL</m:t>
              </m:r>
            </m:sub>
          </m:sSub>
        </m:oMath>
      </m:oMathPara>
    </w:p>
    <w:p w14:paraId="78D10906" w14:textId="77777777" w:rsidR="002F1691" w:rsidRPr="002F1691" w:rsidRDefault="002F1691" w:rsidP="002F1691">
      <w:pPr>
        <w:rPr>
          <w:rFonts w:cs="Arial"/>
          <w:lang w:val="es-ES_tradnl"/>
        </w:rPr>
      </w:pPr>
      <w:r w:rsidRPr="002F1691">
        <w:rPr>
          <w:rFonts w:cs="Arial"/>
          <w:lang w:val="es-ES_tradnl"/>
        </w:rPr>
        <w:t>Donde:</w:t>
      </w:r>
    </w:p>
    <w:p w14:paraId="06541DE6" w14:textId="77777777" w:rsidR="002F1691" w:rsidRPr="002F1691" w:rsidRDefault="0086706A" w:rsidP="002F1691">
      <w:pPr>
        <w:ind w:left="1418" w:hanging="1418"/>
        <w:rPr>
          <w:rFonts w:cs="Arial"/>
          <w:lang w:val="es-ES_tradn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EE</m:t>
            </m:r>
          </m:sub>
        </m:sSub>
      </m:oMath>
      <w:r w:rsidR="002F1691" w:rsidRPr="002F1691">
        <w:rPr>
          <w:rFonts w:cs="Arial"/>
          <w:lang w:val="es-ES_tradnl"/>
        </w:rPr>
        <w:tab/>
        <w:t>Son los beneficios económicos netos totales por las medidas de eficiencia energética. Se compone de los beneficios por la implementación de medidas de EE en el SIN (</w:t>
      </w:r>
      <m:oMath>
        <m:sSub>
          <m:sSubPr>
            <m:ctrlPr>
              <w:rPr>
                <w:rFonts w:ascii="Cambria Math" w:hAnsi="Cambria Math" w:cs="Arial"/>
                <w:i/>
              </w:rPr>
            </m:ctrlPr>
          </m:sSubPr>
          <m:e>
            <m:r>
              <w:rPr>
                <w:rFonts w:ascii="Cambria Math" w:hAnsi="Cambria Math" w:cs="Arial"/>
              </w:rPr>
              <m:t>B</m:t>
            </m:r>
          </m:e>
          <m:sub>
            <m:r>
              <w:rPr>
                <w:rFonts w:ascii="Cambria Math" w:hAnsi="Cambria Math" w:cs="Arial"/>
              </w:rPr>
              <m:t>EE</m:t>
            </m:r>
            <m:r>
              <w:rPr>
                <w:rFonts w:ascii="Cambria Math" w:hAnsi="Cambria Math" w:cs="Arial"/>
                <w:lang w:val="es-ES_tradnl"/>
              </w:rPr>
              <m:t>_</m:t>
            </m:r>
            <m:r>
              <w:rPr>
                <w:rFonts w:ascii="Cambria Math" w:hAnsi="Cambria Math" w:cs="Arial"/>
              </w:rPr>
              <m:t>SIN</m:t>
            </m:r>
          </m:sub>
        </m:sSub>
        <m:r>
          <w:rPr>
            <w:rFonts w:ascii="Cambria Math" w:hAnsi="Cambria Math" w:cs="Arial"/>
            <w:lang w:val="es-ES_tradnl"/>
          </w:rPr>
          <m:t>)</m:t>
        </m:r>
      </m:oMath>
      <w:r w:rsidR="002F1691" w:rsidRPr="002F1691">
        <w:rPr>
          <w:rFonts w:eastAsiaTheme="minorEastAsia" w:cs="Arial"/>
          <w:lang w:val="es-ES_tradnl"/>
        </w:rPr>
        <w:t xml:space="preserve"> y la implementación de medidas de EE en sistemas aislados </w:t>
      </w:r>
      <w:r w:rsidR="002F1691" w:rsidRPr="002F1691">
        <w:rPr>
          <w:rFonts w:cs="Arial"/>
          <w:lang w:val="es-ES_tradnl"/>
        </w:rPr>
        <w:t>(</w:t>
      </w:r>
      <m:oMath>
        <m:sSub>
          <m:sSubPr>
            <m:ctrlPr>
              <w:rPr>
                <w:rFonts w:ascii="Cambria Math" w:hAnsi="Cambria Math" w:cs="Arial"/>
                <w:i/>
              </w:rPr>
            </m:ctrlPr>
          </m:sSubPr>
          <m:e>
            <m:r>
              <w:rPr>
                <w:rFonts w:ascii="Cambria Math" w:hAnsi="Cambria Math" w:cs="Arial"/>
              </w:rPr>
              <m:t>B</m:t>
            </m:r>
          </m:e>
          <m:sub>
            <m:r>
              <w:rPr>
                <w:rFonts w:ascii="Cambria Math" w:hAnsi="Cambria Math" w:cs="Arial"/>
              </w:rPr>
              <m:t>EE</m:t>
            </m:r>
            <m:r>
              <w:rPr>
                <w:rFonts w:ascii="Cambria Math" w:hAnsi="Cambria Math" w:cs="Arial"/>
                <w:lang w:val="es-ES_tradnl"/>
              </w:rPr>
              <m:t>_</m:t>
            </m:r>
            <m:r>
              <w:rPr>
                <w:rFonts w:ascii="Cambria Math" w:hAnsi="Cambria Math" w:cs="Arial"/>
              </w:rPr>
              <m:t>SA</m:t>
            </m:r>
          </m:sub>
        </m:sSub>
        <m:r>
          <w:rPr>
            <w:rFonts w:ascii="Cambria Math" w:hAnsi="Cambria Math" w:cs="Arial"/>
            <w:lang w:val="es-ES_tradnl"/>
          </w:rPr>
          <m:t>)</m:t>
        </m:r>
      </m:oMath>
    </w:p>
    <w:p w14:paraId="640BB7A0" w14:textId="77777777" w:rsidR="002F1691" w:rsidRPr="002F1691" w:rsidRDefault="002F1691" w:rsidP="002F1691">
      <w:pPr>
        <w:ind w:left="1418" w:hanging="1418"/>
        <w:rPr>
          <w:rFonts w:cs="Arial"/>
          <w:lang w:val="es-ES_tradnl"/>
        </w:rPr>
      </w:pPr>
      <w:r w:rsidRPr="002F1691">
        <w:rPr>
          <w:rFonts w:cs="Arial"/>
          <w:lang w:val="es-ES_tradnl"/>
        </w:rPr>
        <w:t>Pe</w:t>
      </w:r>
      <w:r w:rsidRPr="002F1691">
        <w:rPr>
          <w:rFonts w:cs="Arial"/>
          <w:lang w:val="es-ES_tradnl"/>
        </w:rPr>
        <w:tab/>
        <w:t>Es el precio de la energía a tarifa plena pagada por un usuario final en el sector objeto de las medidas de EE, y medido en $/kWh. Se discrimina entre el precio promedio pagado en el SIN y en Sistemas Aislados (SA)</w:t>
      </w:r>
      <w:r>
        <w:rPr>
          <w:rStyle w:val="FootnoteReference"/>
          <w:rFonts w:cs="Arial"/>
        </w:rPr>
        <w:footnoteReference w:id="10"/>
      </w:r>
    </w:p>
    <w:p w14:paraId="3090625F" w14:textId="77777777" w:rsidR="002F1691" w:rsidRPr="002F1691" w:rsidRDefault="0086706A" w:rsidP="002F1691">
      <w:pPr>
        <w:ind w:left="1418" w:hanging="1418"/>
        <w:rPr>
          <w:rFonts w:cs="Arial"/>
          <w:lang w:val="es-ES_tradnl"/>
        </w:rPr>
      </w:pPr>
      <m:oMath>
        <m:sSub>
          <m:sSubPr>
            <m:ctrlPr>
              <w:rPr>
                <w:rFonts w:ascii="Cambria Math" w:hAnsi="Cambria Math" w:cs="Arial"/>
                <w:i/>
              </w:rPr>
            </m:ctrlPr>
          </m:sSubPr>
          <m:e>
            <m:r>
              <w:rPr>
                <w:rFonts w:ascii="Cambria Math" w:hAnsi="Cambria Math" w:cs="Arial"/>
              </w:rPr>
              <m:t>E</m:t>
            </m:r>
          </m:e>
          <m:sub>
            <m:r>
              <w:rPr>
                <w:rFonts w:ascii="Cambria Math" w:hAnsi="Cambria Math" w:cs="Arial"/>
              </w:rPr>
              <m:t>A</m:t>
            </m:r>
            <m:r>
              <w:rPr>
                <w:rFonts w:ascii="Cambria Math" w:hAnsi="Cambria Math" w:cs="Arial"/>
                <w:lang w:val="es-ES_tradnl"/>
              </w:rPr>
              <m:t>h</m:t>
            </m:r>
            <m:r>
              <w:rPr>
                <w:rFonts w:ascii="Cambria Math" w:hAnsi="Cambria Math" w:cs="Arial"/>
              </w:rPr>
              <m:t>orrada</m:t>
            </m:r>
          </m:sub>
        </m:sSub>
      </m:oMath>
      <w:r w:rsidR="002F1691" w:rsidRPr="002F1691">
        <w:rPr>
          <w:rFonts w:cs="Arial"/>
          <w:lang w:val="es-ES_tradnl"/>
        </w:rPr>
        <w:tab/>
        <w:t>Es la energía ahorrada por menor consumo producto de la medida de EE en el sector de implementación (escenario con medidas Vs. escenario sin medidas). Se discrimina entre el ahorro de energía en el SIN y en Sistemas Aislados (SA)</w:t>
      </w:r>
    </w:p>
    <w:p w14:paraId="2E1AA9E9" w14:textId="77777777" w:rsidR="002F1691" w:rsidRPr="002F1691" w:rsidRDefault="002F1691" w:rsidP="002F1691">
      <w:pPr>
        <w:ind w:left="1418" w:hanging="1418"/>
        <w:rPr>
          <w:rFonts w:cs="Arial"/>
          <w:lang w:val="es-ES_tradnl"/>
        </w:rPr>
      </w:pPr>
      <w:r w:rsidRPr="002F1691">
        <w:rPr>
          <w:rFonts w:cs="Arial"/>
          <w:lang w:val="es-ES_tradnl"/>
        </w:rPr>
        <w:t>INV y AOM</w:t>
      </w:r>
      <w:r w:rsidRPr="002F1691">
        <w:rPr>
          <w:rFonts w:cs="Arial"/>
          <w:lang w:val="es-ES_tradnl"/>
        </w:rPr>
        <w:tab/>
        <w:t>Corresponde a la inversión y administración, operación y mantenimiento requeridos para implementar la medida de eficiencia energética</w:t>
      </w:r>
    </w:p>
    <w:p w14:paraId="4FF5097D" w14:textId="77777777" w:rsidR="002F1691" w:rsidRPr="007863C4" w:rsidRDefault="0086706A" w:rsidP="002F1691">
      <w:pPr>
        <w:spacing w:line="259" w:lineRule="auto"/>
        <w:ind w:left="1418" w:hanging="1418"/>
        <w:rPr>
          <w:rFonts w:cs="Arial"/>
          <w:lang w:val="es-ES"/>
        </w:rPr>
      </w:pPr>
      <m:oMath>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A</m:t>
            </m:r>
          </m:sub>
        </m:sSub>
      </m:oMath>
      <w:r w:rsidR="002F1691" w:rsidRPr="007863C4">
        <w:rPr>
          <w:rFonts w:cs="Arial"/>
          <w:lang w:val="es-ES"/>
        </w:rPr>
        <w:tab/>
        <w:t xml:space="preserve">Es el beneficio ambiental medido cuantificado como </w:t>
      </w:r>
      <m:oMath>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A</m:t>
            </m:r>
          </m:sub>
        </m:sSub>
        <m:r>
          <w:rPr>
            <w:rFonts w:ascii="Cambria Math" w:hAnsi="Cambria Math" w:cs="Arial"/>
            <w:lang w:val="es-ES_tradnl"/>
          </w:rPr>
          <m:t>=</m:t>
        </m:r>
        <m:r>
          <w:rPr>
            <w:rFonts w:ascii="Cambria Math" w:hAnsi="Cambria Math" w:cs="Arial"/>
          </w:rPr>
          <m:t>CRE</m:t>
        </m:r>
        <m:r>
          <w:rPr>
            <w:rFonts w:ascii="Cambria Math" w:hAnsi="Cambria Math" w:cs="Arial"/>
            <w:lang w:val="es-ES_tradnl"/>
          </w:rPr>
          <m:t>*</m:t>
        </m:r>
        <m:sSub>
          <m:sSubPr>
            <m:ctrlPr>
              <w:rPr>
                <w:rFonts w:ascii="Cambria Math" w:hAnsi="Cambria Math" w:cs="Arial"/>
                <w:i/>
              </w:rPr>
            </m:ctrlPr>
          </m:sSubPr>
          <m:e>
            <m:r>
              <w:rPr>
                <w:rFonts w:ascii="Cambria Math" w:hAnsi="Cambria Math" w:cs="Arial"/>
              </w:rPr>
              <m:t>CO</m:t>
            </m:r>
            <m:r>
              <w:rPr>
                <w:rFonts w:ascii="Cambria Math" w:hAnsi="Cambria Math" w:cs="Arial"/>
                <w:lang w:val="es-ES_tradnl"/>
              </w:rPr>
              <m:t>2</m:t>
            </m:r>
          </m:e>
          <m:sub>
            <m:r>
              <w:rPr>
                <w:rFonts w:ascii="Cambria Math" w:hAnsi="Cambria Math" w:cs="Arial"/>
              </w:rPr>
              <m:t>Evitado</m:t>
            </m:r>
          </m:sub>
        </m:sSub>
      </m:oMath>
    </w:p>
    <w:p w14:paraId="0679E2F2" w14:textId="77777777" w:rsidR="002F1691" w:rsidRPr="002F1691" w:rsidRDefault="002F1691" w:rsidP="002F1691">
      <w:pPr>
        <w:ind w:left="1418" w:hanging="1418"/>
        <w:rPr>
          <w:rFonts w:cs="Arial"/>
          <w:lang w:val="es-ES_tradnl"/>
        </w:rPr>
      </w:pPr>
      <w:r w:rsidRPr="002F1691">
        <w:rPr>
          <w:rFonts w:cs="Arial"/>
          <w:lang w:val="es-ES_tradnl"/>
        </w:rPr>
        <w:t>CRE</w:t>
      </w:r>
      <w:r w:rsidRPr="002F1691">
        <w:rPr>
          <w:rFonts w:cs="Arial"/>
          <w:lang w:val="es-ES_tradnl"/>
        </w:rPr>
        <w:tab/>
        <w:t>Valor la tonelada de CO2 a precios de certificados de reducción de emisiones</w:t>
      </w:r>
      <w:r>
        <w:rPr>
          <w:rStyle w:val="FootnoteReference"/>
          <w:rFonts w:cs="Arial"/>
        </w:rPr>
        <w:footnoteReference w:id="11"/>
      </w:r>
    </w:p>
    <w:p w14:paraId="0D040BEC" w14:textId="77777777" w:rsidR="002F1691" w:rsidRPr="002F1691" w:rsidRDefault="0086706A" w:rsidP="002F1691">
      <w:pPr>
        <w:ind w:left="1418" w:hanging="1418"/>
        <w:rPr>
          <w:rFonts w:cs="Arial"/>
          <w:lang w:val="es-ES_tradnl"/>
        </w:rPr>
      </w:pPr>
      <m:oMath>
        <m:sSub>
          <m:sSubPr>
            <m:ctrlPr>
              <w:rPr>
                <w:rFonts w:ascii="Cambria Math" w:hAnsi="Cambria Math" w:cs="Arial"/>
                <w:i/>
              </w:rPr>
            </m:ctrlPr>
          </m:sSubPr>
          <m:e>
            <m:r>
              <w:rPr>
                <w:rFonts w:ascii="Cambria Math" w:hAnsi="Cambria Math" w:cs="Arial"/>
              </w:rPr>
              <m:t>CO</m:t>
            </m:r>
            <m:r>
              <w:rPr>
                <w:rFonts w:ascii="Cambria Math" w:hAnsi="Cambria Math" w:cs="Arial"/>
                <w:lang w:val="es-ES_tradnl"/>
              </w:rPr>
              <m:t>2</m:t>
            </m:r>
          </m:e>
          <m:sub>
            <m:r>
              <w:rPr>
                <w:rFonts w:ascii="Cambria Math" w:hAnsi="Cambria Math" w:cs="Arial"/>
              </w:rPr>
              <m:t>Evitado</m:t>
            </m:r>
          </m:sub>
        </m:sSub>
      </m:oMath>
      <w:r w:rsidR="002F1691" w:rsidRPr="002F1691">
        <w:rPr>
          <w:rFonts w:cs="Arial"/>
          <w:lang w:val="es-ES_tradnl"/>
        </w:rPr>
        <w:tab/>
        <w:t>Son las emisiones de CO2 evitadas producto de la menor generación eléctrica en cada periodo. Para el SIN se considerará un factor de emisiones por MWh generado, mientras que para sistemas aislados, se asume que toda la generación se realiza con combustible diésel, por lo que las emisiones de este combustible serán tenidas en cuenta.</w:t>
      </w:r>
    </w:p>
    <w:p w14:paraId="6F4A2470" w14:textId="13ED07BD" w:rsidR="002F1691" w:rsidRDefault="0086706A" w:rsidP="002F1691">
      <w:pPr>
        <w:ind w:left="1418" w:hanging="1418"/>
        <w:rPr>
          <w:rFonts w:cs="Arial"/>
          <w:lang w:val="es-ES_tradnl"/>
        </w:rPr>
      </w:pPr>
      <m:oMath>
        <m:sSub>
          <m:sSubPr>
            <m:ctrlPr>
              <w:rPr>
                <w:rFonts w:ascii="Cambria Math" w:hAnsi="Cambria Math" w:cs="Arial"/>
                <w:i/>
                <w:szCs w:val="28"/>
                <w:lang w:val="es-ES"/>
              </w:rPr>
            </m:ctrlPr>
          </m:sSubPr>
          <m:e>
            <m:r>
              <w:rPr>
                <w:rFonts w:ascii="Cambria Math" w:hAnsi="Cambria Math" w:cs="Arial"/>
                <w:szCs w:val="28"/>
                <w:lang w:val="es-ES"/>
              </w:rPr>
              <m:t>B</m:t>
            </m:r>
          </m:e>
          <m:sub>
            <m:r>
              <w:rPr>
                <w:rFonts w:ascii="Cambria Math" w:hAnsi="Cambria Math" w:cs="Arial"/>
                <w:szCs w:val="28"/>
                <w:lang w:val="es-ES"/>
              </w:rPr>
              <m:t>PGE</m:t>
            </m:r>
          </m:sub>
        </m:sSub>
      </m:oMath>
      <w:r w:rsidR="002F1691" w:rsidRPr="002F1691">
        <w:rPr>
          <w:rFonts w:cs="Arial"/>
          <w:lang w:val="es-ES_tradnl"/>
        </w:rPr>
        <w:tab/>
        <w:t>Es el beneficio asociado con el costo evitado de capacidad de generación que en el mediano y largo plazo se requeriría para atender la demanda de no existir medidas de eficiencia energética. Se discrimina entre la planta de generación eléctrica evitada en el SIN suponiendo que esta sería con tecnología de ciclo combinado de gas, y la planta de generación eléctrica evitada en Sistemas Aislados suponiendo que esta sería de tecnología diésel.</w:t>
      </w:r>
    </w:p>
    <w:p w14:paraId="074E9F9A" w14:textId="77777777" w:rsidR="002F1691" w:rsidRPr="002F1691" w:rsidRDefault="002F1691" w:rsidP="002F1691">
      <w:pPr>
        <w:ind w:left="1418" w:hanging="1418"/>
        <w:rPr>
          <w:rFonts w:cs="Arial"/>
          <w:lang w:val="es-ES_tradnl"/>
        </w:rPr>
      </w:pPr>
    </w:p>
    <w:p w14:paraId="0A64D660" w14:textId="2EDE2D41" w:rsidR="002F1691" w:rsidRDefault="002F1691" w:rsidP="002F1691">
      <w:pPr>
        <w:jc w:val="both"/>
        <w:rPr>
          <w:rFonts w:cs="Arial"/>
          <w:lang w:val="es-ES_tradnl"/>
        </w:rPr>
      </w:pPr>
      <w:r w:rsidRPr="002F1691">
        <w:rPr>
          <w:rFonts w:cs="Arial"/>
          <w:lang w:val="es-ES_tradnl"/>
        </w:rPr>
        <w:t>Los términos de la expresión matemática se refieren al valor presente de los flujos utilizando la tasa de descuento propuesta por el Banco del 12% para un horizonte propuesto de 20 años.</w:t>
      </w:r>
    </w:p>
    <w:p w14:paraId="1C7AE092" w14:textId="77777777" w:rsidR="002F1691" w:rsidRPr="002F1691" w:rsidRDefault="002F1691" w:rsidP="002F1691">
      <w:pPr>
        <w:jc w:val="both"/>
        <w:rPr>
          <w:rFonts w:cs="Arial"/>
          <w:lang w:val="es-ES_tradnl"/>
        </w:rPr>
      </w:pPr>
    </w:p>
    <w:p w14:paraId="5980D3C0" w14:textId="3105FF3B" w:rsidR="002F1691" w:rsidRDefault="002F1691" w:rsidP="002F1691">
      <w:pPr>
        <w:jc w:val="both"/>
        <w:rPr>
          <w:rFonts w:cs="Arial"/>
          <w:lang w:val="es-ES_tradnl"/>
        </w:rPr>
      </w:pPr>
      <w:r w:rsidRPr="002F1691">
        <w:rPr>
          <w:rFonts w:cs="Arial"/>
          <w:lang w:val="es-ES_tradnl"/>
        </w:rPr>
        <w:lastRenderedPageBreak/>
        <w:t>El precio de la energía (Pe) considerado es el precio de la energía a tarifa plena; que representa el costo real de la energía y captura tanto el valor percibido por el usuario como el porcentaje subsidiado. Para el caso del alumbrado público se utilizará como referencia la tarifa promedio al consumidor final por categoría reportada por la AE en su Anuario Estadístico. Para el sector residencial, el valor de la tarifa plena se estima con base en la tarifa promedio al consumidor final, el número de usuarios beneficiarios de la Tarifa Dignidad (aproximadamente 48.7% de los usuarios residenciales a 2016) y los importes descontados aplicados anualmente por la aplicación de la Tarifa Dignidad reportados por la AE (subsidio).</w:t>
      </w:r>
    </w:p>
    <w:p w14:paraId="4E1D4B21" w14:textId="77777777" w:rsidR="002F1691" w:rsidRPr="002F1691" w:rsidRDefault="002F1691" w:rsidP="002F1691">
      <w:pPr>
        <w:jc w:val="both"/>
        <w:rPr>
          <w:rFonts w:cs="Arial"/>
          <w:lang w:val="es-ES_tradnl"/>
        </w:rPr>
      </w:pPr>
    </w:p>
    <w:p w14:paraId="3E485367" w14:textId="77777777" w:rsidR="002F1691" w:rsidRPr="002F1691" w:rsidRDefault="002F1691" w:rsidP="002F1691">
      <w:pPr>
        <w:jc w:val="both"/>
        <w:rPr>
          <w:lang w:val="es-ES_tradnl"/>
        </w:rPr>
      </w:pPr>
      <w:r w:rsidRPr="002F1691">
        <w:rPr>
          <w:rFonts w:cs="Arial"/>
          <w:lang w:val="es-ES_tradnl"/>
        </w:rPr>
        <w:t>Como supuesto final, no se consideran nuevas interconexiones al SIN de los Sistemas Aislados actuales, por ende, la proyección de demanda energética y de nuevos usuarios en estos sistemas se realiza con un crecimiento constante.</w:t>
      </w:r>
    </w:p>
    <w:p w14:paraId="77B46A69" w14:textId="54D822E1" w:rsidR="002F1691" w:rsidRPr="002F1691" w:rsidRDefault="002F1691" w:rsidP="00D86D30">
      <w:pPr>
        <w:pStyle w:val="Heading3"/>
        <w:keepLines/>
        <w:numPr>
          <w:ilvl w:val="2"/>
          <w:numId w:val="9"/>
        </w:numPr>
        <w:spacing w:before="360" w:after="360"/>
        <w:jc w:val="both"/>
        <w:rPr>
          <w:lang w:val="es-ES_tradnl"/>
        </w:rPr>
      </w:pPr>
      <w:bookmarkStart w:id="14" w:name="_Toc511931602"/>
      <w:bookmarkStart w:id="15" w:name="_Toc514264343"/>
      <w:r w:rsidRPr="00943E5E">
        <w:rPr>
          <w:lang w:val="es-ES"/>
        </w:rPr>
        <w:t>Beneficios</w:t>
      </w:r>
      <w:r w:rsidRPr="002F1691">
        <w:rPr>
          <w:lang w:val="es-ES_tradnl"/>
        </w:rPr>
        <w:t xml:space="preserve"> de las medidas de eficiencia energética</w:t>
      </w:r>
      <w:bookmarkEnd w:id="14"/>
      <w:bookmarkEnd w:id="15"/>
    </w:p>
    <w:p w14:paraId="5F632FBC" w14:textId="02BEEF2E" w:rsidR="002F1691" w:rsidRPr="002F1691" w:rsidRDefault="002F1691" w:rsidP="002F1691">
      <w:pPr>
        <w:spacing w:before="120"/>
        <w:jc w:val="both"/>
        <w:rPr>
          <w:lang w:val="es-ES_tradnl"/>
        </w:rPr>
      </w:pPr>
      <w:r w:rsidRPr="002F1691">
        <w:rPr>
          <w:lang w:val="es-ES_tradnl"/>
        </w:rPr>
        <w:t>A continuación se cuantifican y describen los beneficios originados en las medidas descritas en la sección anterior para el sector residencial, de alumbrado público, y vistos de manera integral para ambos sectores.</w:t>
      </w:r>
    </w:p>
    <w:p w14:paraId="7B2B2738" w14:textId="77777777" w:rsidR="002F1691" w:rsidRPr="002F1691" w:rsidRDefault="002F1691" w:rsidP="002F1691">
      <w:pPr>
        <w:spacing w:before="120"/>
        <w:jc w:val="both"/>
        <w:rPr>
          <w:lang w:val="es-ES_tradnl"/>
        </w:rPr>
      </w:pPr>
    </w:p>
    <w:p w14:paraId="418C8D13" w14:textId="77777777" w:rsidR="002F1691" w:rsidRPr="008D6310" w:rsidRDefault="002F1691" w:rsidP="00D86D30">
      <w:pPr>
        <w:pStyle w:val="Heading4"/>
        <w:keepLines/>
        <w:numPr>
          <w:ilvl w:val="3"/>
          <w:numId w:val="9"/>
        </w:numPr>
        <w:spacing w:before="40" w:after="240"/>
        <w:jc w:val="both"/>
        <w:rPr>
          <w:lang w:val="es-ES"/>
        </w:rPr>
      </w:pPr>
      <w:r w:rsidRPr="008D6310">
        <w:rPr>
          <w:lang w:val="es-ES"/>
        </w:rPr>
        <w:t>Sector Residencial</w:t>
      </w:r>
    </w:p>
    <w:p w14:paraId="480CE3F3" w14:textId="77777777" w:rsidR="002F1691" w:rsidRPr="002F1691" w:rsidRDefault="002F1691" w:rsidP="002F1691">
      <w:pPr>
        <w:spacing w:before="120"/>
        <w:jc w:val="both"/>
        <w:rPr>
          <w:lang w:val="es-ES_tradnl"/>
        </w:rPr>
      </w:pPr>
      <w:r w:rsidRPr="002F1691">
        <w:rPr>
          <w:lang w:val="es-ES_tradnl"/>
        </w:rPr>
        <w:t>Puesto que Bolivia actualmente no cuenta con una caracterización detallada del consumo eléctrico final al interior de cada uno de los sectores, con el fin de estimar los potenciales beneficios económicos de introducir medidas tendientes a generar eficiencia energética en el consumo por iluminación en el sector residencial, se procedió en primer lugar a estimar el porcentaje de consumo eléctrico por iluminación en dicho sector.</w:t>
      </w:r>
    </w:p>
    <w:p w14:paraId="3191B725" w14:textId="453E963A" w:rsidR="002F1691" w:rsidRPr="002F1691" w:rsidRDefault="002F1691" w:rsidP="002F1691">
      <w:pPr>
        <w:spacing w:before="120"/>
        <w:jc w:val="both"/>
        <w:rPr>
          <w:lang w:val="es-ES_tradnl"/>
        </w:rPr>
      </w:pPr>
      <w:r w:rsidRPr="002F1691">
        <w:rPr>
          <w:lang w:val="es-ES_tradnl"/>
        </w:rPr>
        <w:t>Con base en el programa de distribución de focos ahorradores adelantado por el GdB en 2012, se estima que un usuario residencial en promedio tiene 5 bombillos. Adicionalmente, puesto que a mayo de 2012 el GdR había distribuido cerca de 6 millones de bombillos ahorradores (tecnología LFC) de un total de 10 millones de bombillos en ese año, se asume que la proporción entre bombillos LFC y bombillos incandescentes se ha mantenido relativamente constante hasta hoy en día en 65% en bombillos LFC y un 35% en bombillos incandescentes</w:t>
      </w:r>
      <w:r>
        <w:rPr>
          <w:rStyle w:val="FootnoteReference"/>
        </w:rPr>
        <w:footnoteReference w:id="12"/>
      </w:r>
      <w:r w:rsidRPr="002F1691">
        <w:rPr>
          <w:lang w:val="es-ES_tradnl"/>
        </w:rPr>
        <w:t xml:space="preserve">. Considerando una potencia promedio de 75 W para bombillos incandescentes y 15 W para bombillos LFC, junto con una utilización promedio de 3 horas diarias, se encuentra que el consumo promedio por iluminación puede representar cerca del 14% del consumo eléctrico total del sector residencial, tal como se muestra en la  </w:t>
      </w:r>
      <w:r>
        <w:fldChar w:fldCharType="begin"/>
      </w:r>
      <w:r w:rsidRPr="002F1691">
        <w:rPr>
          <w:lang w:val="es-ES_tradnl"/>
        </w:rPr>
        <w:instrText xml:space="preserve"> REF _Ref512411110 \h  \* MERGEFORMAT </w:instrText>
      </w:r>
      <w:r>
        <w:fldChar w:fldCharType="separate"/>
      </w:r>
      <w:r w:rsidRPr="002F1691">
        <w:rPr>
          <w:b/>
          <w:lang w:val="es-ES_tradnl"/>
        </w:rPr>
        <w:t xml:space="preserve">Tabla </w:t>
      </w:r>
      <w:r>
        <w:rPr>
          <w:b/>
          <w:lang w:val="es-ES_tradnl"/>
        </w:rPr>
        <w:t>2</w:t>
      </w:r>
      <w:r>
        <w:fldChar w:fldCharType="end"/>
      </w:r>
      <w:r w:rsidRPr="002F1691">
        <w:rPr>
          <w:lang w:val="es-ES_tradnl"/>
        </w:rPr>
        <w:t>. El resultado anterior es consistente con lo observado en otros países en donde el consumo de iluminación en el sector residencial se encuentra entre el 10% y el 20% del consumo eléctrico total del sector</w:t>
      </w:r>
      <w:r>
        <w:rPr>
          <w:rStyle w:val="FootnoteReference"/>
        </w:rPr>
        <w:footnoteReference w:id="13"/>
      </w:r>
      <w:r w:rsidRPr="002F1691">
        <w:rPr>
          <w:lang w:val="es-ES_tradnl"/>
        </w:rPr>
        <w:t>.</w:t>
      </w:r>
    </w:p>
    <w:p w14:paraId="3E2BE66D" w14:textId="77777777" w:rsidR="002F1691" w:rsidRPr="002F1691" w:rsidRDefault="002F1691" w:rsidP="002F1691">
      <w:pPr>
        <w:spacing w:before="120"/>
        <w:jc w:val="both"/>
        <w:rPr>
          <w:lang w:val="es-ES_tradnl"/>
        </w:rPr>
      </w:pPr>
    </w:p>
    <w:p w14:paraId="3533B139" w14:textId="215244F7" w:rsidR="002F1691" w:rsidRPr="002F1691" w:rsidRDefault="002F1691" w:rsidP="002F1691">
      <w:pPr>
        <w:jc w:val="both"/>
        <w:rPr>
          <w:b/>
          <w:lang w:val="es-ES_tradnl"/>
        </w:rPr>
      </w:pPr>
      <w:bookmarkStart w:id="16" w:name="_Ref512411110"/>
      <w:bookmarkStart w:id="17" w:name="_Toc514264367"/>
      <w:r w:rsidRPr="002F1691">
        <w:rPr>
          <w:b/>
          <w:lang w:val="es-ES_tradnl"/>
        </w:rPr>
        <w:t xml:space="preserve">Tabla </w:t>
      </w:r>
      <w:r w:rsidRPr="00192708">
        <w:rPr>
          <w:b/>
        </w:rPr>
        <w:fldChar w:fldCharType="begin"/>
      </w:r>
      <w:r w:rsidRPr="002F1691">
        <w:rPr>
          <w:b/>
          <w:lang w:val="es-ES_tradnl"/>
        </w:rPr>
        <w:instrText xml:space="preserve"> SEQ Tabla \* ARABIC </w:instrText>
      </w:r>
      <w:r w:rsidRPr="00192708">
        <w:rPr>
          <w:b/>
        </w:rPr>
        <w:fldChar w:fldCharType="separate"/>
      </w:r>
      <w:r w:rsidRPr="002F1691">
        <w:rPr>
          <w:b/>
          <w:noProof/>
          <w:lang w:val="es-ES_tradnl"/>
        </w:rPr>
        <w:t>2</w:t>
      </w:r>
      <w:r w:rsidRPr="00192708">
        <w:rPr>
          <w:b/>
        </w:rPr>
        <w:fldChar w:fldCharType="end"/>
      </w:r>
      <w:bookmarkEnd w:id="16"/>
      <w:r w:rsidRPr="002F1691">
        <w:rPr>
          <w:b/>
          <w:lang w:val="es-ES_tradnl"/>
        </w:rPr>
        <w:t xml:space="preserve"> – Caracterización del consumo eléctrico residencial por iluminación</w:t>
      </w:r>
      <w:bookmarkEnd w:id="17"/>
    </w:p>
    <w:p w14:paraId="1B22B871" w14:textId="77777777" w:rsidR="002F1691" w:rsidRPr="002F1691" w:rsidRDefault="002F1691" w:rsidP="002F1691">
      <w:pPr>
        <w:rPr>
          <w:b/>
          <w:lang w:val="es-ES_tradnl"/>
        </w:rPr>
      </w:pPr>
    </w:p>
    <w:tbl>
      <w:tblPr>
        <w:tblW w:w="5000" w:type="pct"/>
        <w:tblCellMar>
          <w:left w:w="70" w:type="dxa"/>
          <w:right w:w="70" w:type="dxa"/>
        </w:tblCellMar>
        <w:tblLook w:val="04A0" w:firstRow="1" w:lastRow="0" w:firstColumn="1" w:lastColumn="0" w:noHBand="0" w:noVBand="1"/>
      </w:tblPr>
      <w:tblGrid>
        <w:gridCol w:w="4458"/>
        <w:gridCol w:w="1360"/>
        <w:gridCol w:w="1412"/>
        <w:gridCol w:w="1410"/>
      </w:tblGrid>
      <w:tr w:rsidR="002F1691" w:rsidRPr="0084688D" w14:paraId="34C52F02" w14:textId="77777777" w:rsidTr="002F1691">
        <w:trPr>
          <w:trHeight w:val="300"/>
        </w:trPr>
        <w:tc>
          <w:tcPr>
            <w:tcW w:w="2580" w:type="pct"/>
            <w:tcBorders>
              <w:top w:val="nil"/>
              <w:left w:val="nil"/>
              <w:bottom w:val="nil"/>
              <w:right w:val="nil"/>
            </w:tcBorders>
            <w:shd w:val="clear" w:color="000000" w:fill="002060"/>
            <w:noWrap/>
            <w:vAlign w:val="bottom"/>
            <w:hideMark/>
          </w:tcPr>
          <w:p w14:paraId="1E0A8DA3" w14:textId="77777777" w:rsidR="002F1691" w:rsidRPr="002F1691" w:rsidRDefault="002F1691" w:rsidP="002F1691">
            <w:pPr>
              <w:rPr>
                <w:rFonts w:cs="Arial"/>
                <w:b/>
                <w:bCs/>
                <w:color w:val="FFFFFF"/>
                <w:sz w:val="20"/>
                <w:lang w:val="es-ES_tradnl" w:eastAsia="es-CO"/>
              </w:rPr>
            </w:pPr>
          </w:p>
        </w:tc>
        <w:tc>
          <w:tcPr>
            <w:tcW w:w="787" w:type="pct"/>
            <w:tcBorders>
              <w:top w:val="nil"/>
              <w:left w:val="nil"/>
              <w:bottom w:val="nil"/>
              <w:right w:val="nil"/>
            </w:tcBorders>
            <w:shd w:val="clear" w:color="000000" w:fill="002060"/>
            <w:noWrap/>
            <w:vAlign w:val="bottom"/>
            <w:hideMark/>
          </w:tcPr>
          <w:p w14:paraId="15E85DBD" w14:textId="77777777" w:rsidR="002F1691" w:rsidRPr="0084688D" w:rsidRDefault="002F1691" w:rsidP="002F1691">
            <w:pPr>
              <w:jc w:val="center"/>
              <w:rPr>
                <w:rFonts w:cs="Arial"/>
                <w:b/>
                <w:color w:val="FFFFFF"/>
                <w:sz w:val="18"/>
                <w:lang w:eastAsia="es-CO"/>
              </w:rPr>
            </w:pPr>
            <w:r w:rsidRPr="0084688D">
              <w:rPr>
                <w:rFonts w:cs="Arial"/>
                <w:b/>
                <w:color w:val="FFFFFF"/>
                <w:sz w:val="18"/>
                <w:lang w:eastAsia="es-CO"/>
              </w:rPr>
              <w:t>Incandescente</w:t>
            </w:r>
          </w:p>
        </w:tc>
        <w:tc>
          <w:tcPr>
            <w:tcW w:w="817" w:type="pct"/>
            <w:tcBorders>
              <w:top w:val="nil"/>
              <w:left w:val="nil"/>
              <w:bottom w:val="nil"/>
              <w:right w:val="nil"/>
            </w:tcBorders>
            <w:shd w:val="clear" w:color="000000" w:fill="002060"/>
            <w:noWrap/>
            <w:vAlign w:val="bottom"/>
            <w:hideMark/>
          </w:tcPr>
          <w:p w14:paraId="0E60E5FE" w14:textId="77777777" w:rsidR="002F1691" w:rsidRPr="0084688D" w:rsidRDefault="002F1691" w:rsidP="002F1691">
            <w:pPr>
              <w:jc w:val="center"/>
              <w:rPr>
                <w:rFonts w:cs="Arial"/>
                <w:b/>
                <w:color w:val="FFFFFF"/>
                <w:sz w:val="20"/>
                <w:lang w:eastAsia="es-CO"/>
              </w:rPr>
            </w:pPr>
            <w:r>
              <w:rPr>
                <w:rFonts w:cs="Arial"/>
                <w:b/>
                <w:color w:val="FFFFFF"/>
                <w:sz w:val="20"/>
                <w:lang w:eastAsia="es-CO"/>
              </w:rPr>
              <w:t>LFC</w:t>
            </w:r>
          </w:p>
        </w:tc>
        <w:tc>
          <w:tcPr>
            <w:tcW w:w="816" w:type="pct"/>
            <w:tcBorders>
              <w:top w:val="nil"/>
              <w:left w:val="nil"/>
              <w:bottom w:val="nil"/>
              <w:right w:val="nil"/>
            </w:tcBorders>
            <w:shd w:val="clear" w:color="000000" w:fill="002060"/>
            <w:noWrap/>
            <w:vAlign w:val="bottom"/>
            <w:hideMark/>
          </w:tcPr>
          <w:p w14:paraId="3663FBF1" w14:textId="77777777" w:rsidR="002F1691" w:rsidRPr="0084688D" w:rsidRDefault="002F1691" w:rsidP="002F1691">
            <w:pPr>
              <w:jc w:val="center"/>
              <w:rPr>
                <w:rFonts w:cs="Arial"/>
                <w:b/>
                <w:color w:val="FFFFFF"/>
                <w:sz w:val="20"/>
                <w:lang w:eastAsia="es-CO"/>
              </w:rPr>
            </w:pPr>
            <w:r w:rsidRPr="0084688D">
              <w:rPr>
                <w:rFonts w:cs="Arial"/>
                <w:b/>
                <w:color w:val="FFFFFF"/>
                <w:sz w:val="20"/>
                <w:lang w:eastAsia="es-CO"/>
              </w:rPr>
              <w:t>LED</w:t>
            </w:r>
          </w:p>
        </w:tc>
      </w:tr>
      <w:tr w:rsidR="002F1691" w:rsidRPr="0084688D" w14:paraId="01FCDDB3" w14:textId="77777777" w:rsidTr="002F1691">
        <w:trPr>
          <w:trHeight w:val="300"/>
        </w:trPr>
        <w:tc>
          <w:tcPr>
            <w:tcW w:w="2580" w:type="pct"/>
            <w:tcBorders>
              <w:top w:val="single" w:sz="4" w:space="0" w:color="000000"/>
              <w:left w:val="single" w:sz="4" w:space="0" w:color="000000"/>
              <w:bottom w:val="nil"/>
              <w:right w:val="single" w:sz="4" w:space="0" w:color="000000"/>
            </w:tcBorders>
            <w:shd w:val="clear" w:color="auto" w:fill="auto"/>
            <w:noWrap/>
            <w:vAlign w:val="bottom"/>
            <w:hideMark/>
          </w:tcPr>
          <w:p w14:paraId="0BA92D22"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Distribución en número de bombillos (Año 2017)</w:t>
            </w:r>
          </w:p>
        </w:tc>
        <w:tc>
          <w:tcPr>
            <w:tcW w:w="787" w:type="pct"/>
            <w:tcBorders>
              <w:top w:val="single" w:sz="4" w:space="0" w:color="000000"/>
              <w:left w:val="nil"/>
              <w:bottom w:val="nil"/>
              <w:right w:val="single" w:sz="4" w:space="0" w:color="000000"/>
            </w:tcBorders>
            <w:shd w:val="clear" w:color="auto" w:fill="auto"/>
            <w:noWrap/>
            <w:vAlign w:val="bottom"/>
            <w:hideMark/>
          </w:tcPr>
          <w:p w14:paraId="743516D0"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35%</w:t>
            </w:r>
          </w:p>
        </w:tc>
        <w:tc>
          <w:tcPr>
            <w:tcW w:w="817" w:type="pct"/>
            <w:tcBorders>
              <w:top w:val="single" w:sz="4" w:space="0" w:color="000000"/>
              <w:left w:val="nil"/>
              <w:bottom w:val="nil"/>
              <w:right w:val="single" w:sz="4" w:space="0" w:color="000000"/>
            </w:tcBorders>
            <w:shd w:val="clear" w:color="auto" w:fill="auto"/>
            <w:noWrap/>
            <w:vAlign w:val="bottom"/>
            <w:hideMark/>
          </w:tcPr>
          <w:p w14:paraId="33B922DF"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65%</w:t>
            </w:r>
          </w:p>
        </w:tc>
        <w:tc>
          <w:tcPr>
            <w:tcW w:w="816" w:type="pct"/>
            <w:tcBorders>
              <w:top w:val="single" w:sz="4" w:space="0" w:color="000000"/>
              <w:left w:val="nil"/>
              <w:bottom w:val="nil"/>
              <w:right w:val="single" w:sz="4" w:space="0" w:color="000000"/>
            </w:tcBorders>
            <w:shd w:val="clear" w:color="auto" w:fill="auto"/>
            <w:noWrap/>
            <w:vAlign w:val="bottom"/>
            <w:hideMark/>
          </w:tcPr>
          <w:p w14:paraId="607BA1D9" w14:textId="77777777" w:rsidR="002F1691" w:rsidRPr="00EE7E91" w:rsidRDefault="002F1691" w:rsidP="002F1691">
            <w:pPr>
              <w:jc w:val="center"/>
              <w:rPr>
                <w:rFonts w:cs="Arial"/>
                <w:color w:val="000000" w:themeColor="text1"/>
                <w:sz w:val="18"/>
                <w:szCs w:val="18"/>
                <w:lang w:eastAsia="es-CO"/>
              </w:rPr>
            </w:pPr>
          </w:p>
        </w:tc>
      </w:tr>
      <w:tr w:rsidR="002F1691" w:rsidRPr="0084688D" w14:paraId="41ED6DE3"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5CD1C3AA"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Número de bombillos por vivienda</w:t>
            </w:r>
          </w:p>
        </w:tc>
        <w:tc>
          <w:tcPr>
            <w:tcW w:w="787" w:type="pct"/>
            <w:tcBorders>
              <w:top w:val="nil"/>
              <w:left w:val="nil"/>
              <w:bottom w:val="nil"/>
              <w:right w:val="single" w:sz="4" w:space="0" w:color="000000"/>
            </w:tcBorders>
            <w:shd w:val="clear" w:color="auto" w:fill="auto"/>
            <w:noWrap/>
            <w:vAlign w:val="bottom"/>
            <w:hideMark/>
          </w:tcPr>
          <w:p w14:paraId="764C2DF8"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5</w:t>
            </w:r>
          </w:p>
        </w:tc>
        <w:tc>
          <w:tcPr>
            <w:tcW w:w="817" w:type="pct"/>
            <w:tcBorders>
              <w:top w:val="nil"/>
              <w:left w:val="nil"/>
              <w:bottom w:val="nil"/>
              <w:right w:val="single" w:sz="4" w:space="0" w:color="000000"/>
            </w:tcBorders>
            <w:shd w:val="clear" w:color="auto" w:fill="auto"/>
            <w:noWrap/>
            <w:vAlign w:val="bottom"/>
            <w:hideMark/>
          </w:tcPr>
          <w:p w14:paraId="638C726F"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5</w:t>
            </w:r>
          </w:p>
        </w:tc>
        <w:tc>
          <w:tcPr>
            <w:tcW w:w="816" w:type="pct"/>
            <w:tcBorders>
              <w:top w:val="nil"/>
              <w:left w:val="nil"/>
              <w:bottom w:val="nil"/>
              <w:right w:val="single" w:sz="4" w:space="0" w:color="000000"/>
            </w:tcBorders>
            <w:shd w:val="clear" w:color="auto" w:fill="auto"/>
            <w:noWrap/>
            <w:vAlign w:val="bottom"/>
            <w:hideMark/>
          </w:tcPr>
          <w:p w14:paraId="1E0F0988" w14:textId="77777777" w:rsidR="002F1691" w:rsidRPr="00EE7E91" w:rsidRDefault="002F1691" w:rsidP="002F1691">
            <w:pPr>
              <w:jc w:val="center"/>
              <w:rPr>
                <w:rFonts w:cs="Arial"/>
                <w:b/>
                <w:bCs/>
                <w:color w:val="000000" w:themeColor="text1"/>
                <w:sz w:val="18"/>
                <w:szCs w:val="18"/>
                <w:lang w:eastAsia="es-CO"/>
              </w:rPr>
            </w:pPr>
            <w:r w:rsidRPr="00EE7E91">
              <w:rPr>
                <w:rFonts w:cs="Arial"/>
                <w:b/>
                <w:bCs/>
                <w:color w:val="000000" w:themeColor="text1"/>
                <w:sz w:val="18"/>
                <w:szCs w:val="18"/>
                <w:lang w:eastAsia="es-CO"/>
              </w:rPr>
              <w:t>5</w:t>
            </w:r>
          </w:p>
        </w:tc>
      </w:tr>
      <w:tr w:rsidR="002F1691" w:rsidRPr="0084688D" w14:paraId="305DEB41"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4C9D823E" w14:textId="77777777" w:rsidR="002F1691" w:rsidRPr="00EE7E91" w:rsidRDefault="002F1691" w:rsidP="002F1691">
            <w:pPr>
              <w:rPr>
                <w:rFonts w:cs="Arial"/>
                <w:color w:val="000000"/>
                <w:sz w:val="18"/>
                <w:szCs w:val="18"/>
                <w:lang w:eastAsia="es-CO"/>
              </w:rPr>
            </w:pPr>
            <w:r w:rsidRPr="00EE7E91">
              <w:rPr>
                <w:rFonts w:cs="Arial"/>
                <w:color w:val="000000"/>
                <w:sz w:val="18"/>
                <w:szCs w:val="18"/>
                <w:lang w:eastAsia="es-CO"/>
              </w:rPr>
              <w:t>Número de bombillos (2017)</w:t>
            </w:r>
          </w:p>
        </w:tc>
        <w:tc>
          <w:tcPr>
            <w:tcW w:w="787" w:type="pct"/>
            <w:tcBorders>
              <w:top w:val="nil"/>
              <w:left w:val="nil"/>
              <w:bottom w:val="nil"/>
              <w:right w:val="single" w:sz="4" w:space="0" w:color="000000"/>
            </w:tcBorders>
            <w:shd w:val="clear" w:color="auto" w:fill="auto"/>
            <w:noWrap/>
            <w:vAlign w:val="bottom"/>
            <w:hideMark/>
          </w:tcPr>
          <w:p w14:paraId="519A6A20"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4.114.466</w:t>
            </w:r>
          </w:p>
        </w:tc>
        <w:tc>
          <w:tcPr>
            <w:tcW w:w="817" w:type="pct"/>
            <w:tcBorders>
              <w:top w:val="nil"/>
              <w:left w:val="nil"/>
              <w:bottom w:val="nil"/>
              <w:right w:val="single" w:sz="4" w:space="0" w:color="000000"/>
            </w:tcBorders>
            <w:shd w:val="clear" w:color="auto" w:fill="auto"/>
            <w:noWrap/>
            <w:vAlign w:val="bottom"/>
            <w:hideMark/>
          </w:tcPr>
          <w:p w14:paraId="2BE63328"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7.641.151</w:t>
            </w:r>
          </w:p>
        </w:tc>
        <w:tc>
          <w:tcPr>
            <w:tcW w:w="816" w:type="pct"/>
            <w:tcBorders>
              <w:top w:val="nil"/>
              <w:left w:val="nil"/>
              <w:bottom w:val="nil"/>
              <w:right w:val="single" w:sz="4" w:space="0" w:color="000000"/>
            </w:tcBorders>
            <w:shd w:val="clear" w:color="auto" w:fill="auto"/>
            <w:noWrap/>
            <w:vAlign w:val="bottom"/>
            <w:hideMark/>
          </w:tcPr>
          <w:p w14:paraId="39453DBA" w14:textId="77777777" w:rsidR="002F1691" w:rsidRPr="00EE7E91" w:rsidRDefault="002F1691" w:rsidP="002F1691">
            <w:pPr>
              <w:jc w:val="center"/>
              <w:rPr>
                <w:rFonts w:cs="Arial"/>
                <w:color w:val="000000" w:themeColor="text1"/>
                <w:sz w:val="18"/>
                <w:szCs w:val="18"/>
                <w:lang w:eastAsia="es-CO"/>
              </w:rPr>
            </w:pPr>
            <w:r w:rsidRPr="00EE7E91">
              <w:rPr>
                <w:rFonts w:cs="Arial"/>
                <w:color w:val="000000" w:themeColor="text1"/>
                <w:sz w:val="18"/>
                <w:szCs w:val="18"/>
                <w:lang w:eastAsia="es-CO"/>
              </w:rPr>
              <w:t>0</w:t>
            </w:r>
          </w:p>
        </w:tc>
      </w:tr>
      <w:tr w:rsidR="002F1691" w:rsidRPr="0084688D" w14:paraId="021242EB"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1E16D88F" w14:textId="77777777" w:rsidR="002F1691" w:rsidRPr="00EE7E91" w:rsidRDefault="002F1691" w:rsidP="002F1691">
            <w:pPr>
              <w:rPr>
                <w:rFonts w:cs="Arial"/>
                <w:color w:val="000000"/>
                <w:sz w:val="18"/>
                <w:szCs w:val="18"/>
                <w:lang w:eastAsia="es-CO"/>
              </w:rPr>
            </w:pPr>
            <w:r w:rsidRPr="00EE7E91">
              <w:rPr>
                <w:rFonts w:cs="Arial"/>
                <w:color w:val="000000"/>
                <w:sz w:val="18"/>
                <w:szCs w:val="18"/>
                <w:lang w:eastAsia="es-CO"/>
              </w:rPr>
              <w:t>Uso diario (horas)</w:t>
            </w:r>
          </w:p>
        </w:tc>
        <w:tc>
          <w:tcPr>
            <w:tcW w:w="787" w:type="pct"/>
            <w:tcBorders>
              <w:top w:val="nil"/>
              <w:left w:val="nil"/>
              <w:bottom w:val="nil"/>
              <w:right w:val="single" w:sz="4" w:space="0" w:color="000000"/>
            </w:tcBorders>
            <w:shd w:val="clear" w:color="auto" w:fill="auto"/>
            <w:noWrap/>
            <w:vAlign w:val="bottom"/>
            <w:hideMark/>
          </w:tcPr>
          <w:p w14:paraId="6D7EA569"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3</w:t>
            </w:r>
          </w:p>
        </w:tc>
        <w:tc>
          <w:tcPr>
            <w:tcW w:w="817" w:type="pct"/>
            <w:tcBorders>
              <w:top w:val="nil"/>
              <w:left w:val="nil"/>
              <w:bottom w:val="nil"/>
              <w:right w:val="single" w:sz="4" w:space="0" w:color="000000"/>
            </w:tcBorders>
            <w:shd w:val="clear" w:color="auto" w:fill="auto"/>
            <w:noWrap/>
            <w:vAlign w:val="bottom"/>
            <w:hideMark/>
          </w:tcPr>
          <w:p w14:paraId="2E9CA794"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3</w:t>
            </w:r>
          </w:p>
        </w:tc>
        <w:tc>
          <w:tcPr>
            <w:tcW w:w="816" w:type="pct"/>
            <w:tcBorders>
              <w:top w:val="nil"/>
              <w:left w:val="nil"/>
              <w:bottom w:val="nil"/>
              <w:right w:val="single" w:sz="4" w:space="0" w:color="000000"/>
            </w:tcBorders>
            <w:shd w:val="clear" w:color="auto" w:fill="auto"/>
            <w:noWrap/>
            <w:vAlign w:val="bottom"/>
            <w:hideMark/>
          </w:tcPr>
          <w:p w14:paraId="4AD5AB1D" w14:textId="77777777" w:rsidR="002F1691" w:rsidRPr="00EE7E91" w:rsidRDefault="002F1691" w:rsidP="002F1691">
            <w:pPr>
              <w:jc w:val="center"/>
              <w:rPr>
                <w:rFonts w:cs="Arial"/>
                <w:color w:val="000000" w:themeColor="text1"/>
                <w:sz w:val="18"/>
                <w:szCs w:val="18"/>
                <w:lang w:eastAsia="es-CO"/>
              </w:rPr>
            </w:pPr>
            <w:r w:rsidRPr="00EE7E91">
              <w:rPr>
                <w:rFonts w:cs="Arial"/>
                <w:color w:val="000000" w:themeColor="text1"/>
                <w:sz w:val="18"/>
                <w:szCs w:val="18"/>
                <w:lang w:eastAsia="es-CO"/>
              </w:rPr>
              <w:t>3</w:t>
            </w:r>
          </w:p>
        </w:tc>
      </w:tr>
      <w:tr w:rsidR="002F1691" w:rsidRPr="0084688D" w14:paraId="14B2161D"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119DDA83" w14:textId="77777777" w:rsidR="002F1691" w:rsidRPr="00EE7E91" w:rsidRDefault="002F1691" w:rsidP="002F1691">
            <w:pPr>
              <w:rPr>
                <w:rFonts w:cs="Arial"/>
                <w:color w:val="000000"/>
                <w:sz w:val="18"/>
                <w:szCs w:val="18"/>
                <w:lang w:eastAsia="es-CO"/>
              </w:rPr>
            </w:pPr>
            <w:r w:rsidRPr="00EE7E91">
              <w:rPr>
                <w:rFonts w:cs="Arial"/>
                <w:color w:val="000000"/>
                <w:sz w:val="18"/>
                <w:szCs w:val="18"/>
                <w:lang w:eastAsia="es-CO"/>
              </w:rPr>
              <w:t>Vatiaje (W)</w:t>
            </w:r>
          </w:p>
        </w:tc>
        <w:tc>
          <w:tcPr>
            <w:tcW w:w="787" w:type="pct"/>
            <w:tcBorders>
              <w:top w:val="nil"/>
              <w:left w:val="nil"/>
              <w:bottom w:val="nil"/>
              <w:right w:val="single" w:sz="4" w:space="0" w:color="000000"/>
            </w:tcBorders>
            <w:shd w:val="clear" w:color="auto" w:fill="auto"/>
            <w:noWrap/>
            <w:vAlign w:val="bottom"/>
            <w:hideMark/>
          </w:tcPr>
          <w:p w14:paraId="6FD47C5A"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75</w:t>
            </w:r>
          </w:p>
        </w:tc>
        <w:tc>
          <w:tcPr>
            <w:tcW w:w="817" w:type="pct"/>
            <w:tcBorders>
              <w:top w:val="nil"/>
              <w:left w:val="nil"/>
              <w:bottom w:val="nil"/>
              <w:right w:val="single" w:sz="4" w:space="0" w:color="000000"/>
            </w:tcBorders>
            <w:shd w:val="clear" w:color="auto" w:fill="auto"/>
            <w:noWrap/>
            <w:vAlign w:val="bottom"/>
            <w:hideMark/>
          </w:tcPr>
          <w:p w14:paraId="45B37258"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15</w:t>
            </w:r>
          </w:p>
        </w:tc>
        <w:tc>
          <w:tcPr>
            <w:tcW w:w="816" w:type="pct"/>
            <w:tcBorders>
              <w:top w:val="nil"/>
              <w:left w:val="nil"/>
              <w:bottom w:val="nil"/>
              <w:right w:val="single" w:sz="4" w:space="0" w:color="000000"/>
            </w:tcBorders>
            <w:shd w:val="clear" w:color="auto" w:fill="auto"/>
            <w:noWrap/>
            <w:vAlign w:val="bottom"/>
            <w:hideMark/>
          </w:tcPr>
          <w:p w14:paraId="1036784F" w14:textId="77777777" w:rsidR="002F1691" w:rsidRPr="00EE7E91" w:rsidRDefault="002F1691" w:rsidP="002F1691">
            <w:pPr>
              <w:jc w:val="center"/>
              <w:rPr>
                <w:rFonts w:cs="Arial"/>
                <w:color w:val="000000" w:themeColor="text1"/>
                <w:sz w:val="18"/>
                <w:szCs w:val="18"/>
                <w:lang w:eastAsia="es-CO"/>
              </w:rPr>
            </w:pPr>
            <w:r w:rsidRPr="00EE7E91">
              <w:rPr>
                <w:rFonts w:cs="Arial"/>
                <w:color w:val="000000" w:themeColor="text1"/>
                <w:sz w:val="18"/>
                <w:szCs w:val="18"/>
                <w:lang w:eastAsia="es-CO"/>
              </w:rPr>
              <w:t>13</w:t>
            </w:r>
          </w:p>
        </w:tc>
      </w:tr>
      <w:tr w:rsidR="002F1691" w:rsidRPr="0084688D" w14:paraId="76A490BA"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0F071ED8"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Consumo de bombillo en un año (Wh/Año)</w:t>
            </w:r>
          </w:p>
        </w:tc>
        <w:tc>
          <w:tcPr>
            <w:tcW w:w="787" w:type="pct"/>
            <w:tcBorders>
              <w:top w:val="nil"/>
              <w:left w:val="nil"/>
              <w:bottom w:val="nil"/>
              <w:right w:val="single" w:sz="4" w:space="0" w:color="000000"/>
            </w:tcBorders>
            <w:shd w:val="clear" w:color="auto" w:fill="auto"/>
            <w:noWrap/>
            <w:vAlign w:val="bottom"/>
            <w:hideMark/>
          </w:tcPr>
          <w:p w14:paraId="1F3702D0"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82.125</w:t>
            </w:r>
          </w:p>
        </w:tc>
        <w:tc>
          <w:tcPr>
            <w:tcW w:w="817" w:type="pct"/>
            <w:tcBorders>
              <w:top w:val="nil"/>
              <w:left w:val="nil"/>
              <w:bottom w:val="nil"/>
              <w:right w:val="single" w:sz="4" w:space="0" w:color="000000"/>
            </w:tcBorders>
            <w:shd w:val="clear" w:color="auto" w:fill="auto"/>
            <w:noWrap/>
            <w:vAlign w:val="bottom"/>
            <w:hideMark/>
          </w:tcPr>
          <w:p w14:paraId="1C739DD6"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16.425</w:t>
            </w:r>
          </w:p>
        </w:tc>
        <w:tc>
          <w:tcPr>
            <w:tcW w:w="816" w:type="pct"/>
            <w:tcBorders>
              <w:top w:val="nil"/>
              <w:left w:val="nil"/>
              <w:bottom w:val="nil"/>
              <w:right w:val="single" w:sz="4" w:space="0" w:color="000000"/>
            </w:tcBorders>
            <w:shd w:val="clear" w:color="auto" w:fill="auto"/>
            <w:noWrap/>
            <w:vAlign w:val="bottom"/>
            <w:hideMark/>
          </w:tcPr>
          <w:p w14:paraId="1A7ADE08" w14:textId="77777777" w:rsidR="002F1691" w:rsidRPr="00EE7E91" w:rsidRDefault="002F1691" w:rsidP="002F1691">
            <w:pPr>
              <w:jc w:val="center"/>
              <w:rPr>
                <w:rFonts w:cs="Arial"/>
                <w:bCs/>
                <w:color w:val="000000" w:themeColor="text1"/>
                <w:sz w:val="18"/>
                <w:szCs w:val="18"/>
                <w:lang w:eastAsia="es-CO"/>
              </w:rPr>
            </w:pPr>
            <w:r w:rsidRPr="00EE7E91">
              <w:rPr>
                <w:rFonts w:cs="Arial"/>
                <w:bCs/>
                <w:color w:val="000000" w:themeColor="text1"/>
                <w:sz w:val="18"/>
                <w:szCs w:val="18"/>
                <w:lang w:eastAsia="es-CO"/>
              </w:rPr>
              <w:t>14.235</w:t>
            </w:r>
          </w:p>
        </w:tc>
      </w:tr>
      <w:tr w:rsidR="002F1691" w:rsidRPr="0084688D" w14:paraId="3E910C4E"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225115C6"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Consumo de bombillo en un año (GWh/Año)</w:t>
            </w:r>
          </w:p>
        </w:tc>
        <w:tc>
          <w:tcPr>
            <w:tcW w:w="787" w:type="pct"/>
            <w:tcBorders>
              <w:top w:val="nil"/>
              <w:left w:val="nil"/>
              <w:bottom w:val="nil"/>
              <w:right w:val="single" w:sz="4" w:space="0" w:color="000000"/>
            </w:tcBorders>
            <w:shd w:val="clear" w:color="auto" w:fill="auto"/>
            <w:noWrap/>
            <w:vAlign w:val="bottom"/>
            <w:hideMark/>
          </w:tcPr>
          <w:p w14:paraId="1BBD1D7B"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0,0000821</w:t>
            </w:r>
          </w:p>
        </w:tc>
        <w:tc>
          <w:tcPr>
            <w:tcW w:w="817" w:type="pct"/>
            <w:tcBorders>
              <w:top w:val="nil"/>
              <w:left w:val="nil"/>
              <w:bottom w:val="nil"/>
              <w:right w:val="single" w:sz="4" w:space="0" w:color="000000"/>
            </w:tcBorders>
            <w:shd w:val="clear" w:color="auto" w:fill="auto"/>
            <w:noWrap/>
            <w:vAlign w:val="bottom"/>
            <w:hideMark/>
          </w:tcPr>
          <w:p w14:paraId="4120B546"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0,0000164</w:t>
            </w:r>
          </w:p>
        </w:tc>
        <w:tc>
          <w:tcPr>
            <w:tcW w:w="816" w:type="pct"/>
            <w:tcBorders>
              <w:top w:val="nil"/>
              <w:left w:val="nil"/>
              <w:bottom w:val="nil"/>
              <w:right w:val="single" w:sz="4" w:space="0" w:color="000000"/>
            </w:tcBorders>
            <w:shd w:val="clear" w:color="auto" w:fill="auto"/>
            <w:noWrap/>
            <w:vAlign w:val="bottom"/>
            <w:hideMark/>
          </w:tcPr>
          <w:p w14:paraId="1ED7241C" w14:textId="77777777" w:rsidR="002F1691" w:rsidRPr="00EE7E91" w:rsidRDefault="002F1691" w:rsidP="002F1691">
            <w:pPr>
              <w:jc w:val="center"/>
              <w:rPr>
                <w:rFonts w:cs="Arial"/>
                <w:bCs/>
                <w:color w:val="000000"/>
                <w:sz w:val="18"/>
                <w:szCs w:val="18"/>
                <w:lang w:eastAsia="es-CO"/>
              </w:rPr>
            </w:pPr>
            <w:r w:rsidRPr="00EE7E91">
              <w:rPr>
                <w:rFonts w:cs="Arial"/>
                <w:bCs/>
                <w:color w:val="000000"/>
                <w:sz w:val="18"/>
                <w:szCs w:val="18"/>
                <w:lang w:eastAsia="es-CO"/>
              </w:rPr>
              <w:t>0,0000142</w:t>
            </w:r>
          </w:p>
        </w:tc>
      </w:tr>
      <w:tr w:rsidR="002F1691" w:rsidRPr="0084688D" w14:paraId="01340F64"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5D91E6C6"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Consumo de iluminación residencial (GWh/año)</w:t>
            </w:r>
          </w:p>
        </w:tc>
        <w:tc>
          <w:tcPr>
            <w:tcW w:w="787" w:type="pct"/>
            <w:tcBorders>
              <w:top w:val="nil"/>
              <w:left w:val="nil"/>
              <w:bottom w:val="nil"/>
              <w:right w:val="single" w:sz="4" w:space="0" w:color="000000"/>
            </w:tcBorders>
            <w:shd w:val="clear" w:color="auto" w:fill="auto"/>
            <w:noWrap/>
            <w:vAlign w:val="bottom"/>
            <w:hideMark/>
          </w:tcPr>
          <w:p w14:paraId="414F1CFC"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338</w:t>
            </w:r>
          </w:p>
        </w:tc>
        <w:tc>
          <w:tcPr>
            <w:tcW w:w="817" w:type="pct"/>
            <w:tcBorders>
              <w:top w:val="nil"/>
              <w:left w:val="nil"/>
              <w:bottom w:val="nil"/>
              <w:right w:val="single" w:sz="4" w:space="0" w:color="000000"/>
            </w:tcBorders>
            <w:shd w:val="clear" w:color="auto" w:fill="auto"/>
            <w:noWrap/>
            <w:vAlign w:val="bottom"/>
            <w:hideMark/>
          </w:tcPr>
          <w:p w14:paraId="1317CE56"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126</w:t>
            </w:r>
          </w:p>
        </w:tc>
        <w:tc>
          <w:tcPr>
            <w:tcW w:w="816" w:type="pct"/>
            <w:tcBorders>
              <w:top w:val="nil"/>
              <w:left w:val="nil"/>
              <w:bottom w:val="nil"/>
              <w:right w:val="single" w:sz="4" w:space="0" w:color="000000"/>
            </w:tcBorders>
            <w:shd w:val="clear" w:color="auto" w:fill="auto"/>
            <w:noWrap/>
            <w:vAlign w:val="bottom"/>
            <w:hideMark/>
          </w:tcPr>
          <w:p w14:paraId="1353641B" w14:textId="77777777" w:rsidR="002F1691" w:rsidRPr="00EE7E91" w:rsidRDefault="002F1691" w:rsidP="002F1691">
            <w:pPr>
              <w:jc w:val="center"/>
              <w:rPr>
                <w:rFonts w:cs="Arial"/>
                <w:color w:val="000000"/>
                <w:sz w:val="18"/>
                <w:szCs w:val="18"/>
                <w:lang w:eastAsia="es-CO"/>
              </w:rPr>
            </w:pPr>
            <w:r w:rsidRPr="00EE7E91">
              <w:rPr>
                <w:rFonts w:cs="Arial"/>
                <w:color w:val="000000"/>
                <w:sz w:val="18"/>
                <w:szCs w:val="18"/>
                <w:lang w:eastAsia="es-CO"/>
              </w:rPr>
              <w:t>-</w:t>
            </w:r>
          </w:p>
        </w:tc>
      </w:tr>
      <w:tr w:rsidR="002F1691" w:rsidRPr="0084688D" w14:paraId="10A91DBA"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453F2FEB"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 part. Iluminacion en consumo residencial 2017</w:t>
            </w:r>
          </w:p>
        </w:tc>
        <w:tc>
          <w:tcPr>
            <w:tcW w:w="787" w:type="pct"/>
            <w:tcBorders>
              <w:top w:val="nil"/>
              <w:left w:val="nil"/>
              <w:bottom w:val="nil"/>
              <w:right w:val="single" w:sz="4" w:space="0" w:color="000000"/>
            </w:tcBorders>
            <w:shd w:val="clear" w:color="auto" w:fill="auto"/>
            <w:noWrap/>
            <w:vAlign w:val="bottom"/>
            <w:hideMark/>
          </w:tcPr>
          <w:p w14:paraId="241E13E1"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10,2%</w:t>
            </w:r>
          </w:p>
        </w:tc>
        <w:tc>
          <w:tcPr>
            <w:tcW w:w="817" w:type="pct"/>
            <w:tcBorders>
              <w:top w:val="nil"/>
              <w:left w:val="nil"/>
              <w:bottom w:val="nil"/>
              <w:right w:val="single" w:sz="4" w:space="0" w:color="000000"/>
            </w:tcBorders>
            <w:shd w:val="clear" w:color="auto" w:fill="auto"/>
            <w:noWrap/>
            <w:vAlign w:val="bottom"/>
            <w:hideMark/>
          </w:tcPr>
          <w:p w14:paraId="30ED64F3"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3,8%</w:t>
            </w:r>
          </w:p>
        </w:tc>
        <w:tc>
          <w:tcPr>
            <w:tcW w:w="816" w:type="pct"/>
            <w:tcBorders>
              <w:top w:val="nil"/>
              <w:left w:val="nil"/>
              <w:bottom w:val="nil"/>
              <w:right w:val="single" w:sz="4" w:space="0" w:color="000000"/>
            </w:tcBorders>
            <w:shd w:val="clear" w:color="auto" w:fill="auto"/>
            <w:noWrap/>
            <w:vAlign w:val="bottom"/>
            <w:hideMark/>
          </w:tcPr>
          <w:p w14:paraId="1E467953" w14:textId="77777777" w:rsidR="002F1691" w:rsidRPr="00EE7E91" w:rsidRDefault="002F1691" w:rsidP="002F1691">
            <w:pPr>
              <w:jc w:val="center"/>
              <w:rPr>
                <w:rFonts w:cs="Arial"/>
                <w:color w:val="000000"/>
                <w:sz w:val="18"/>
                <w:szCs w:val="18"/>
                <w:lang w:eastAsia="es-CO"/>
              </w:rPr>
            </w:pPr>
            <w:r w:rsidRPr="00EE7E91">
              <w:rPr>
                <w:rFonts w:cs="Arial"/>
                <w:color w:val="000000"/>
                <w:sz w:val="18"/>
                <w:szCs w:val="18"/>
                <w:lang w:eastAsia="es-CO"/>
              </w:rPr>
              <w:t>0,0%</w:t>
            </w:r>
          </w:p>
        </w:tc>
      </w:tr>
      <w:tr w:rsidR="002F1691" w:rsidRPr="0084688D" w14:paraId="5195C3C4" w14:textId="77777777" w:rsidTr="002F1691">
        <w:trPr>
          <w:trHeight w:val="300"/>
        </w:trPr>
        <w:tc>
          <w:tcPr>
            <w:tcW w:w="2580" w:type="pct"/>
            <w:tcBorders>
              <w:top w:val="nil"/>
              <w:left w:val="single" w:sz="4" w:space="0" w:color="000000"/>
              <w:bottom w:val="nil"/>
              <w:right w:val="single" w:sz="4" w:space="0" w:color="000000"/>
            </w:tcBorders>
            <w:shd w:val="clear" w:color="auto" w:fill="auto"/>
            <w:noWrap/>
            <w:vAlign w:val="bottom"/>
            <w:hideMark/>
          </w:tcPr>
          <w:p w14:paraId="42E6215E"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Vida útil promedio bombillo (horas)</w:t>
            </w:r>
          </w:p>
        </w:tc>
        <w:tc>
          <w:tcPr>
            <w:tcW w:w="787" w:type="pct"/>
            <w:tcBorders>
              <w:top w:val="nil"/>
              <w:left w:val="nil"/>
              <w:bottom w:val="nil"/>
              <w:right w:val="single" w:sz="4" w:space="0" w:color="000000"/>
            </w:tcBorders>
            <w:shd w:val="clear" w:color="auto" w:fill="auto"/>
            <w:noWrap/>
            <w:vAlign w:val="bottom"/>
            <w:hideMark/>
          </w:tcPr>
          <w:p w14:paraId="119AE0DA"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2.000</w:t>
            </w:r>
          </w:p>
        </w:tc>
        <w:tc>
          <w:tcPr>
            <w:tcW w:w="817" w:type="pct"/>
            <w:tcBorders>
              <w:top w:val="nil"/>
              <w:left w:val="nil"/>
              <w:bottom w:val="nil"/>
              <w:right w:val="single" w:sz="4" w:space="0" w:color="000000"/>
            </w:tcBorders>
            <w:shd w:val="clear" w:color="auto" w:fill="auto"/>
            <w:noWrap/>
            <w:vAlign w:val="bottom"/>
            <w:hideMark/>
          </w:tcPr>
          <w:p w14:paraId="7DB0CC88"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8.000</w:t>
            </w:r>
          </w:p>
        </w:tc>
        <w:tc>
          <w:tcPr>
            <w:tcW w:w="816" w:type="pct"/>
            <w:tcBorders>
              <w:top w:val="nil"/>
              <w:left w:val="nil"/>
              <w:bottom w:val="nil"/>
              <w:right w:val="single" w:sz="4" w:space="0" w:color="000000"/>
            </w:tcBorders>
            <w:shd w:val="clear" w:color="auto" w:fill="auto"/>
            <w:noWrap/>
            <w:vAlign w:val="bottom"/>
            <w:hideMark/>
          </w:tcPr>
          <w:p w14:paraId="02A3663C" w14:textId="77777777" w:rsidR="002F1691" w:rsidRPr="00EE7E91" w:rsidRDefault="002F1691" w:rsidP="002F1691">
            <w:pPr>
              <w:jc w:val="center"/>
              <w:rPr>
                <w:rFonts w:cs="Arial"/>
                <w:color w:val="000000" w:themeColor="text1"/>
                <w:sz w:val="18"/>
                <w:szCs w:val="18"/>
                <w:lang w:eastAsia="es-CO"/>
              </w:rPr>
            </w:pPr>
            <w:r w:rsidRPr="00EE7E91">
              <w:rPr>
                <w:rFonts w:cs="Arial"/>
                <w:color w:val="000000" w:themeColor="text1"/>
                <w:sz w:val="18"/>
                <w:szCs w:val="18"/>
                <w:lang w:eastAsia="es-CO"/>
              </w:rPr>
              <w:t>40.000</w:t>
            </w:r>
          </w:p>
        </w:tc>
      </w:tr>
      <w:tr w:rsidR="002F1691" w:rsidRPr="0084688D" w14:paraId="11854D73" w14:textId="77777777" w:rsidTr="002F1691">
        <w:trPr>
          <w:trHeight w:val="300"/>
        </w:trPr>
        <w:tc>
          <w:tcPr>
            <w:tcW w:w="2580" w:type="pct"/>
            <w:tcBorders>
              <w:top w:val="nil"/>
              <w:left w:val="single" w:sz="4" w:space="0" w:color="000000"/>
              <w:bottom w:val="single" w:sz="4" w:space="0" w:color="000000"/>
              <w:right w:val="single" w:sz="4" w:space="0" w:color="000000"/>
            </w:tcBorders>
            <w:shd w:val="clear" w:color="auto" w:fill="auto"/>
            <w:noWrap/>
            <w:vAlign w:val="bottom"/>
            <w:hideMark/>
          </w:tcPr>
          <w:p w14:paraId="79842A57"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Vida útil promedio bombillo (años)</w:t>
            </w:r>
          </w:p>
        </w:tc>
        <w:tc>
          <w:tcPr>
            <w:tcW w:w="787" w:type="pct"/>
            <w:tcBorders>
              <w:top w:val="nil"/>
              <w:left w:val="nil"/>
              <w:bottom w:val="single" w:sz="4" w:space="0" w:color="000000"/>
              <w:right w:val="single" w:sz="4" w:space="0" w:color="000000"/>
            </w:tcBorders>
            <w:shd w:val="clear" w:color="auto" w:fill="auto"/>
            <w:noWrap/>
            <w:vAlign w:val="bottom"/>
            <w:hideMark/>
          </w:tcPr>
          <w:p w14:paraId="5E595147"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1,8</w:t>
            </w:r>
          </w:p>
        </w:tc>
        <w:tc>
          <w:tcPr>
            <w:tcW w:w="817" w:type="pct"/>
            <w:tcBorders>
              <w:top w:val="nil"/>
              <w:left w:val="nil"/>
              <w:bottom w:val="single" w:sz="4" w:space="0" w:color="000000"/>
              <w:right w:val="single" w:sz="4" w:space="0" w:color="000000"/>
            </w:tcBorders>
            <w:shd w:val="clear" w:color="auto" w:fill="auto"/>
            <w:noWrap/>
            <w:vAlign w:val="bottom"/>
            <w:hideMark/>
          </w:tcPr>
          <w:p w14:paraId="238FEC6F" w14:textId="77777777" w:rsidR="002F1691" w:rsidRPr="00F3604B" w:rsidRDefault="002F1691" w:rsidP="002F1691">
            <w:pPr>
              <w:jc w:val="center"/>
              <w:rPr>
                <w:rFonts w:cs="Arial"/>
                <w:color w:val="000000" w:themeColor="text1"/>
                <w:sz w:val="18"/>
                <w:szCs w:val="18"/>
                <w:lang w:eastAsia="es-CO"/>
              </w:rPr>
            </w:pPr>
            <w:r w:rsidRPr="00F3604B">
              <w:rPr>
                <w:rFonts w:cs="Arial"/>
                <w:color w:val="000000" w:themeColor="text1"/>
                <w:sz w:val="18"/>
                <w:szCs w:val="18"/>
                <w:lang w:eastAsia="es-CO"/>
              </w:rPr>
              <w:t>7,3</w:t>
            </w:r>
          </w:p>
        </w:tc>
        <w:tc>
          <w:tcPr>
            <w:tcW w:w="816" w:type="pct"/>
            <w:tcBorders>
              <w:top w:val="nil"/>
              <w:left w:val="nil"/>
              <w:bottom w:val="single" w:sz="4" w:space="0" w:color="000000"/>
              <w:right w:val="single" w:sz="4" w:space="0" w:color="000000"/>
            </w:tcBorders>
            <w:shd w:val="clear" w:color="auto" w:fill="auto"/>
            <w:noWrap/>
            <w:vAlign w:val="bottom"/>
            <w:hideMark/>
          </w:tcPr>
          <w:p w14:paraId="636E176B" w14:textId="77777777" w:rsidR="002F1691" w:rsidRPr="00EE7E91" w:rsidRDefault="002F1691" w:rsidP="002F1691">
            <w:pPr>
              <w:jc w:val="center"/>
              <w:rPr>
                <w:rFonts w:cs="Arial"/>
                <w:color w:val="000000" w:themeColor="text1"/>
                <w:sz w:val="18"/>
                <w:szCs w:val="18"/>
                <w:lang w:eastAsia="es-CO"/>
              </w:rPr>
            </w:pPr>
            <w:r w:rsidRPr="00EE7E91">
              <w:rPr>
                <w:rFonts w:cs="Arial"/>
                <w:color w:val="000000" w:themeColor="text1"/>
                <w:sz w:val="18"/>
                <w:szCs w:val="18"/>
                <w:lang w:eastAsia="es-CO"/>
              </w:rPr>
              <w:t>36,5</w:t>
            </w:r>
          </w:p>
        </w:tc>
      </w:tr>
      <w:tr w:rsidR="002F1691" w:rsidRPr="0084688D" w14:paraId="7A9EA0D9" w14:textId="77777777" w:rsidTr="002F1691">
        <w:trPr>
          <w:trHeight w:val="300"/>
        </w:trPr>
        <w:tc>
          <w:tcPr>
            <w:tcW w:w="2580" w:type="pct"/>
            <w:tcBorders>
              <w:top w:val="nil"/>
              <w:left w:val="nil"/>
              <w:bottom w:val="nil"/>
              <w:right w:val="nil"/>
            </w:tcBorders>
            <w:shd w:val="clear" w:color="auto" w:fill="auto"/>
            <w:noWrap/>
            <w:vAlign w:val="bottom"/>
            <w:hideMark/>
          </w:tcPr>
          <w:p w14:paraId="41F8E5A1" w14:textId="77777777" w:rsidR="002F1691" w:rsidRPr="00EE7E91" w:rsidRDefault="002F1691" w:rsidP="002F1691">
            <w:pPr>
              <w:rPr>
                <w:rFonts w:cs="Arial"/>
                <w:color w:val="000000"/>
                <w:sz w:val="18"/>
                <w:szCs w:val="18"/>
                <w:lang w:eastAsia="es-CO"/>
              </w:rPr>
            </w:pPr>
          </w:p>
        </w:tc>
        <w:tc>
          <w:tcPr>
            <w:tcW w:w="787" w:type="pct"/>
            <w:tcBorders>
              <w:top w:val="nil"/>
              <w:left w:val="nil"/>
              <w:bottom w:val="nil"/>
              <w:right w:val="nil"/>
            </w:tcBorders>
            <w:shd w:val="clear" w:color="auto" w:fill="auto"/>
            <w:noWrap/>
            <w:vAlign w:val="bottom"/>
            <w:hideMark/>
          </w:tcPr>
          <w:p w14:paraId="048E3BD1" w14:textId="77777777" w:rsidR="002F1691" w:rsidRPr="00F3604B" w:rsidRDefault="002F1691" w:rsidP="002F1691">
            <w:pPr>
              <w:jc w:val="center"/>
              <w:rPr>
                <w:rFonts w:cs="Arial"/>
                <w:color w:val="000000" w:themeColor="text1"/>
                <w:sz w:val="18"/>
                <w:szCs w:val="18"/>
                <w:lang w:eastAsia="es-CO"/>
              </w:rPr>
            </w:pPr>
          </w:p>
        </w:tc>
        <w:tc>
          <w:tcPr>
            <w:tcW w:w="817" w:type="pct"/>
            <w:tcBorders>
              <w:top w:val="nil"/>
              <w:left w:val="nil"/>
              <w:bottom w:val="nil"/>
              <w:right w:val="nil"/>
            </w:tcBorders>
            <w:shd w:val="clear" w:color="auto" w:fill="auto"/>
            <w:noWrap/>
            <w:vAlign w:val="bottom"/>
            <w:hideMark/>
          </w:tcPr>
          <w:p w14:paraId="5F996ABC" w14:textId="77777777" w:rsidR="002F1691" w:rsidRPr="00EE7E91" w:rsidRDefault="002F1691" w:rsidP="002F1691">
            <w:pPr>
              <w:rPr>
                <w:rFonts w:cs="Arial"/>
                <w:sz w:val="18"/>
                <w:szCs w:val="18"/>
                <w:lang w:eastAsia="es-CO"/>
              </w:rPr>
            </w:pPr>
          </w:p>
        </w:tc>
        <w:tc>
          <w:tcPr>
            <w:tcW w:w="816" w:type="pct"/>
            <w:tcBorders>
              <w:top w:val="nil"/>
              <w:left w:val="nil"/>
              <w:bottom w:val="nil"/>
              <w:right w:val="nil"/>
            </w:tcBorders>
            <w:shd w:val="clear" w:color="auto" w:fill="auto"/>
            <w:noWrap/>
            <w:vAlign w:val="bottom"/>
            <w:hideMark/>
          </w:tcPr>
          <w:p w14:paraId="1BA095C6" w14:textId="77777777" w:rsidR="002F1691" w:rsidRPr="00EE7E91" w:rsidRDefault="002F1691" w:rsidP="002F1691">
            <w:pPr>
              <w:rPr>
                <w:rFonts w:cs="Arial"/>
                <w:sz w:val="18"/>
                <w:szCs w:val="18"/>
                <w:lang w:eastAsia="es-CO"/>
              </w:rPr>
            </w:pPr>
          </w:p>
        </w:tc>
      </w:tr>
      <w:tr w:rsidR="002F1691" w:rsidRPr="0084688D" w14:paraId="6F5E6FB7" w14:textId="77777777" w:rsidTr="002F1691">
        <w:trPr>
          <w:trHeight w:val="600"/>
        </w:trPr>
        <w:tc>
          <w:tcPr>
            <w:tcW w:w="2580" w:type="pct"/>
            <w:tcBorders>
              <w:top w:val="single" w:sz="4" w:space="0" w:color="000000"/>
              <w:left w:val="single" w:sz="4" w:space="0" w:color="000000"/>
              <w:bottom w:val="single" w:sz="4" w:space="0" w:color="000000"/>
              <w:right w:val="nil"/>
            </w:tcBorders>
            <w:shd w:val="clear" w:color="auto" w:fill="auto"/>
            <w:vAlign w:val="center"/>
            <w:hideMark/>
          </w:tcPr>
          <w:p w14:paraId="328D8F75" w14:textId="77777777" w:rsidR="002F1691" w:rsidRPr="002F1691" w:rsidRDefault="002F1691" w:rsidP="002F1691">
            <w:pPr>
              <w:rPr>
                <w:rFonts w:cs="Arial"/>
                <w:color w:val="000000"/>
                <w:sz w:val="18"/>
                <w:szCs w:val="18"/>
                <w:lang w:val="es-ES_tradnl" w:eastAsia="es-CO"/>
              </w:rPr>
            </w:pPr>
            <w:r w:rsidRPr="002F1691">
              <w:rPr>
                <w:rFonts w:cs="Arial"/>
                <w:color w:val="000000"/>
                <w:sz w:val="18"/>
                <w:szCs w:val="18"/>
                <w:lang w:val="es-ES_tradnl" w:eastAsia="es-CO"/>
              </w:rPr>
              <w:t>Participación de la iluminación en el consumo final de electricidad del sector residencial</w:t>
            </w:r>
          </w:p>
        </w:tc>
        <w:tc>
          <w:tcPr>
            <w:tcW w:w="78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C54142" w14:textId="77777777" w:rsidR="002F1691" w:rsidRPr="00EE7E91" w:rsidRDefault="002F1691" w:rsidP="002F1691">
            <w:pPr>
              <w:jc w:val="center"/>
              <w:rPr>
                <w:rFonts w:cs="Arial"/>
                <w:b/>
                <w:bCs/>
                <w:color w:val="000000"/>
                <w:sz w:val="18"/>
                <w:szCs w:val="18"/>
                <w:lang w:eastAsia="es-CO"/>
              </w:rPr>
            </w:pPr>
            <w:r>
              <w:rPr>
                <w:rFonts w:cs="Arial"/>
                <w:b/>
                <w:bCs/>
                <w:color w:val="000000"/>
                <w:sz w:val="18"/>
                <w:szCs w:val="18"/>
                <w:lang w:eastAsia="es-CO"/>
              </w:rPr>
              <w:t>14</w:t>
            </w:r>
            <w:r w:rsidRPr="00EE7E91">
              <w:rPr>
                <w:rFonts w:cs="Arial"/>
                <w:b/>
                <w:bCs/>
                <w:color w:val="000000"/>
                <w:sz w:val="18"/>
                <w:szCs w:val="18"/>
                <w:lang w:eastAsia="es-CO"/>
              </w:rPr>
              <w:t>,</w:t>
            </w:r>
            <w:r>
              <w:rPr>
                <w:rFonts w:cs="Arial"/>
                <w:b/>
                <w:bCs/>
                <w:color w:val="000000"/>
                <w:sz w:val="18"/>
                <w:szCs w:val="18"/>
                <w:lang w:eastAsia="es-CO"/>
              </w:rPr>
              <w:t>0</w:t>
            </w:r>
            <w:r w:rsidRPr="00EE7E91">
              <w:rPr>
                <w:rFonts w:cs="Arial"/>
                <w:b/>
                <w:bCs/>
                <w:color w:val="000000"/>
                <w:sz w:val="18"/>
                <w:szCs w:val="18"/>
                <w:lang w:eastAsia="es-CO"/>
              </w:rPr>
              <w:t>%</w:t>
            </w:r>
          </w:p>
        </w:tc>
        <w:tc>
          <w:tcPr>
            <w:tcW w:w="817" w:type="pct"/>
            <w:tcBorders>
              <w:top w:val="nil"/>
              <w:left w:val="nil"/>
              <w:bottom w:val="nil"/>
              <w:right w:val="nil"/>
            </w:tcBorders>
            <w:shd w:val="clear" w:color="auto" w:fill="auto"/>
            <w:noWrap/>
            <w:vAlign w:val="bottom"/>
            <w:hideMark/>
          </w:tcPr>
          <w:p w14:paraId="5965854C" w14:textId="77777777" w:rsidR="002F1691" w:rsidRPr="00EE7E91" w:rsidRDefault="002F1691" w:rsidP="002F1691">
            <w:pPr>
              <w:jc w:val="right"/>
              <w:rPr>
                <w:rFonts w:cs="Arial"/>
                <w:b/>
                <w:bCs/>
                <w:color w:val="000000"/>
                <w:sz w:val="18"/>
                <w:szCs w:val="18"/>
                <w:lang w:eastAsia="es-CO"/>
              </w:rPr>
            </w:pPr>
          </w:p>
        </w:tc>
        <w:tc>
          <w:tcPr>
            <w:tcW w:w="816" w:type="pct"/>
            <w:tcBorders>
              <w:top w:val="nil"/>
              <w:left w:val="nil"/>
              <w:bottom w:val="nil"/>
              <w:right w:val="nil"/>
            </w:tcBorders>
            <w:shd w:val="clear" w:color="auto" w:fill="auto"/>
            <w:noWrap/>
            <w:vAlign w:val="bottom"/>
            <w:hideMark/>
          </w:tcPr>
          <w:p w14:paraId="26B7AC6C" w14:textId="77777777" w:rsidR="002F1691" w:rsidRPr="00EE7E91" w:rsidRDefault="002F1691" w:rsidP="002F1691">
            <w:pPr>
              <w:rPr>
                <w:rFonts w:cs="Arial"/>
                <w:sz w:val="18"/>
                <w:szCs w:val="18"/>
                <w:lang w:eastAsia="es-CO"/>
              </w:rPr>
            </w:pPr>
          </w:p>
        </w:tc>
      </w:tr>
    </w:tbl>
    <w:p w14:paraId="14F0C06F" w14:textId="77777777" w:rsidR="002F1691" w:rsidRPr="00192708" w:rsidRDefault="002F1691" w:rsidP="002F1691">
      <w:pPr>
        <w:jc w:val="center"/>
        <w:rPr>
          <w:sz w:val="18"/>
          <w:lang w:val="es-ES"/>
        </w:rPr>
      </w:pPr>
    </w:p>
    <w:p w14:paraId="73132D06" w14:textId="77777777" w:rsidR="002F1691" w:rsidRDefault="002F1691" w:rsidP="002F1691">
      <w:pPr>
        <w:jc w:val="center"/>
        <w:rPr>
          <w:sz w:val="18"/>
          <w:lang w:val="es-ES"/>
        </w:rPr>
      </w:pPr>
      <w:r w:rsidRPr="00192708">
        <w:rPr>
          <w:sz w:val="18"/>
          <w:lang w:val="es-ES"/>
        </w:rPr>
        <w:t xml:space="preserve">Nota: </w:t>
      </w:r>
      <w:r>
        <w:rPr>
          <w:sz w:val="18"/>
          <w:lang w:val="es-ES"/>
        </w:rPr>
        <w:t>Elaborado con base en cálculos del consultor</w:t>
      </w:r>
    </w:p>
    <w:p w14:paraId="41B3430E" w14:textId="77777777" w:rsidR="002F1691" w:rsidRPr="00192708" w:rsidRDefault="002F1691" w:rsidP="002F1691">
      <w:pPr>
        <w:jc w:val="center"/>
        <w:rPr>
          <w:sz w:val="18"/>
          <w:lang w:val="es-ES"/>
        </w:rPr>
      </w:pPr>
      <w:r>
        <w:rPr>
          <w:sz w:val="18"/>
          <w:lang w:val="es-ES"/>
        </w:rPr>
        <w:t xml:space="preserve">Información de la vida útil de los bombillos según referentes de </w:t>
      </w:r>
      <w:r w:rsidRPr="002719C1">
        <w:rPr>
          <w:sz w:val="18"/>
          <w:lang w:val="es-ES"/>
        </w:rPr>
        <w:t>https://www.cec.coop/making-the-digital-switch-upgrade-your-lights-from-analog-to-digital-with-led-bulbs/</w:t>
      </w:r>
      <w:r>
        <w:rPr>
          <w:sz w:val="18"/>
          <w:lang w:val="es-ES"/>
        </w:rPr>
        <w:t xml:space="preserve"> basada en el US Department of Energy</w:t>
      </w:r>
    </w:p>
    <w:p w14:paraId="15203DF0" w14:textId="77777777" w:rsidR="002F1691" w:rsidRDefault="002F1691" w:rsidP="002F1691">
      <w:pPr>
        <w:spacing w:before="120"/>
        <w:rPr>
          <w:lang w:val="es-ES"/>
        </w:rPr>
      </w:pPr>
    </w:p>
    <w:p w14:paraId="10F4EF77" w14:textId="28A0D71D" w:rsidR="002F1691" w:rsidRDefault="002F1691" w:rsidP="002F1691">
      <w:pPr>
        <w:spacing w:before="120"/>
        <w:jc w:val="both"/>
        <w:rPr>
          <w:lang w:val="es-ES"/>
        </w:rPr>
      </w:pPr>
      <w:r>
        <w:rPr>
          <w:lang w:val="es-ES"/>
        </w:rPr>
        <w:t>Utilizando la información anterior, y aplicando los supuestos, se obtiene que para el escenario sin proyecto se deben reponer anualmente cerca de 2,0 millones de bombillos incandescentes</w:t>
      </w:r>
      <w:r>
        <w:rPr>
          <w:rStyle w:val="FootnoteReference"/>
          <w:lang w:val="es-ES"/>
        </w:rPr>
        <w:footnoteReference w:id="14"/>
      </w:r>
      <w:r>
        <w:rPr>
          <w:lang w:val="es-ES"/>
        </w:rPr>
        <w:t xml:space="preserve"> de la base actual de bombillos. Adicionalmente, y considerando el crecimiento del sector, en la medida que ingresan nuevos usuarios residenciales al sistema, pueden estar ingresando cerca de 600.000 nuevos bombillos incandescentes al año si no se cuenta con una política clara que promueva la adquisición de bombillos ahorradores. En un mediano a largo plazo, y una vez los bombillos ahorradores actuales cumplan su vida útil, estos desaparecerán y serán reemplazados por bombillos incandescentes que son más asequibles a la población (USD$ 0,4 por bombillo).</w:t>
      </w:r>
    </w:p>
    <w:p w14:paraId="07321D75" w14:textId="77777777" w:rsidR="002F1691" w:rsidRDefault="002F1691" w:rsidP="002F1691">
      <w:pPr>
        <w:spacing w:before="120"/>
        <w:jc w:val="both"/>
        <w:rPr>
          <w:lang w:val="es-ES"/>
        </w:rPr>
      </w:pPr>
    </w:p>
    <w:p w14:paraId="1F936274" w14:textId="0A519E7E" w:rsidR="002F1691" w:rsidRPr="002F1691" w:rsidRDefault="002F1691" w:rsidP="002F1691">
      <w:pPr>
        <w:pStyle w:val="ListParagraph"/>
        <w:ind w:left="0"/>
        <w:jc w:val="center"/>
        <w:rPr>
          <w:rFonts w:cs="Arial"/>
          <w:lang w:val="es-ES_tradnl"/>
        </w:rPr>
      </w:pPr>
      <w:bookmarkStart w:id="18" w:name="_Toc514264390"/>
      <w:r w:rsidRPr="002F1691">
        <w:rPr>
          <w:b/>
          <w:lang w:val="es-ES_tradnl"/>
        </w:rPr>
        <w:t xml:space="preserve">Gráfica </w:t>
      </w:r>
      <w:r w:rsidRPr="002F1691">
        <w:rPr>
          <w:b/>
          <w:bCs/>
          <w:lang w:val="es-ES_tradnl"/>
        </w:rPr>
        <w:t xml:space="preserve">2 </w:t>
      </w:r>
      <w:r w:rsidRPr="002F1691">
        <w:rPr>
          <w:b/>
          <w:lang w:val="es-ES_tradnl"/>
        </w:rPr>
        <w:t>– Composición de bombillos por tecnología en el sector residencial – Escenario Sin Proyecto</w:t>
      </w:r>
      <w:bookmarkEnd w:id="18"/>
    </w:p>
    <w:p w14:paraId="7434B4C9" w14:textId="77777777" w:rsidR="002F1691" w:rsidRPr="00A047CE" w:rsidRDefault="002F1691" w:rsidP="002F1691">
      <w:pPr>
        <w:jc w:val="center"/>
        <w:rPr>
          <w:rFonts w:cs="Arial"/>
        </w:rPr>
      </w:pPr>
      <w:r w:rsidRPr="00457997">
        <w:rPr>
          <w:noProof/>
        </w:rPr>
        <w:lastRenderedPageBreak/>
        <w:drawing>
          <wp:inline distT="0" distB="0" distL="0" distR="0" wp14:anchorId="7B2BC255" wp14:editId="58CB2F70">
            <wp:extent cx="5049079" cy="222948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450" cy="2231856"/>
                    </a:xfrm>
                    <a:prstGeom prst="rect">
                      <a:avLst/>
                    </a:prstGeom>
                    <a:noFill/>
                    <a:ln>
                      <a:noFill/>
                    </a:ln>
                  </pic:spPr>
                </pic:pic>
              </a:graphicData>
            </a:graphic>
          </wp:inline>
        </w:drawing>
      </w:r>
    </w:p>
    <w:p w14:paraId="25086926" w14:textId="77777777" w:rsidR="002F1691" w:rsidRDefault="002F1691" w:rsidP="002F1691">
      <w:pPr>
        <w:spacing w:before="120"/>
        <w:jc w:val="center"/>
        <w:rPr>
          <w:lang w:val="es-ES"/>
        </w:rPr>
      </w:pPr>
      <w:r w:rsidRPr="00DA68BF">
        <w:rPr>
          <w:sz w:val="20"/>
          <w:lang w:val="es-ES"/>
        </w:rPr>
        <w:t xml:space="preserve">Fuente: </w:t>
      </w:r>
      <w:r>
        <w:rPr>
          <w:sz w:val="20"/>
          <w:lang w:val="es-ES"/>
        </w:rPr>
        <w:t>Elaboración del consultor con base en escenarios del análisis económico</w:t>
      </w:r>
    </w:p>
    <w:p w14:paraId="4EB6A075" w14:textId="77777777" w:rsidR="002F1691" w:rsidRDefault="002F1691" w:rsidP="002F1691">
      <w:pPr>
        <w:spacing w:before="120"/>
        <w:rPr>
          <w:lang w:val="es-ES"/>
        </w:rPr>
      </w:pPr>
    </w:p>
    <w:p w14:paraId="4F36978C" w14:textId="77777777" w:rsidR="002F1691" w:rsidRDefault="002F1691" w:rsidP="002F1691">
      <w:pPr>
        <w:spacing w:before="120"/>
        <w:jc w:val="both"/>
        <w:rPr>
          <w:lang w:val="es-ES"/>
        </w:rPr>
      </w:pPr>
      <w:r>
        <w:rPr>
          <w:lang w:val="es-ES"/>
        </w:rPr>
        <w:t>Por el contrario, y bajo los supuestos del escenario con proyecto, la totalidad de bombillos incandescentes que existen actualmente deben tender a desaparecer en un lapso de dos años una vez cumplida su vida útil, y serán sustituidos en el mismo tiempo por bombillos ahorradores de tecnología LFC, los cuales, si bien tienen un costo más elevado en el mercado (USD$ 10 por bombillo), tienen una vida útil mayor y pueden generar ahorros en el consumo de un 80%. Los nuevos usuarios residenciales estarían representando cerca de 600.000 nuevos bombillos LFC durante los primeros años y los LFC actuales tenderían a sustituirse gradualmente en un lapso de 7 años por tecnología LED. Con lo anterior, se tendría una composición de bombillos en el sector residencial predominantemente LFC y LED en menos de una década.</w:t>
      </w:r>
    </w:p>
    <w:p w14:paraId="7C60B70A" w14:textId="09F95BAF" w:rsidR="002F1691" w:rsidRDefault="002F1691" w:rsidP="002F1691">
      <w:pPr>
        <w:spacing w:before="120"/>
        <w:jc w:val="both"/>
        <w:rPr>
          <w:lang w:val="es-ES"/>
        </w:rPr>
      </w:pPr>
      <w:r>
        <w:rPr>
          <w:lang w:val="es-ES"/>
        </w:rPr>
        <w:t xml:space="preserve">La </w:t>
      </w:r>
      <w:r>
        <w:rPr>
          <w:lang w:val="es-ES"/>
        </w:rPr>
        <w:fldChar w:fldCharType="begin"/>
      </w:r>
      <w:r>
        <w:rPr>
          <w:lang w:val="es-ES"/>
        </w:rPr>
        <w:instrText xml:space="preserve"> REF _Ref512414401 \h  \* MERGEFORMAT </w:instrText>
      </w:r>
      <w:r>
        <w:rPr>
          <w:lang w:val="es-ES"/>
        </w:rPr>
      </w:r>
      <w:r>
        <w:rPr>
          <w:lang w:val="es-ES"/>
        </w:rPr>
        <w:fldChar w:fldCharType="separate"/>
      </w:r>
      <w:r w:rsidRPr="002F1691">
        <w:rPr>
          <w:b/>
          <w:lang w:val="es-ES_tradnl"/>
        </w:rPr>
        <w:t xml:space="preserve">Tabla </w:t>
      </w:r>
      <w:r w:rsidRPr="002F1691">
        <w:rPr>
          <w:b/>
          <w:noProof/>
          <w:lang w:val="es-ES_tradnl"/>
        </w:rPr>
        <w:t>3</w:t>
      </w:r>
      <w:r>
        <w:rPr>
          <w:lang w:val="es-ES"/>
        </w:rPr>
        <w:fldChar w:fldCharType="end"/>
      </w:r>
      <w:r>
        <w:rPr>
          <w:lang w:val="es-ES"/>
        </w:rPr>
        <w:t xml:space="preserve"> resume los resultados del análisis económico de las medidas tendientes a la sustitución de bombillos en el sector residencial considerando tanto SIN como Sistemas Aislados para los primeros 6 años de proyección. </w:t>
      </w:r>
    </w:p>
    <w:p w14:paraId="7799BA01" w14:textId="77777777" w:rsidR="002F1691" w:rsidRDefault="002F1691" w:rsidP="002F1691">
      <w:pPr>
        <w:spacing w:before="120"/>
        <w:jc w:val="both"/>
        <w:rPr>
          <w:lang w:val="es-ES"/>
        </w:rPr>
      </w:pPr>
    </w:p>
    <w:p w14:paraId="255AEB07" w14:textId="74AD29D3" w:rsidR="002F1691" w:rsidRPr="002F1691" w:rsidRDefault="002F1691" w:rsidP="002F1691">
      <w:pPr>
        <w:pStyle w:val="ListParagraph"/>
        <w:ind w:left="0"/>
        <w:jc w:val="center"/>
        <w:rPr>
          <w:rFonts w:cs="Arial"/>
          <w:lang w:val="es-ES_tradnl"/>
        </w:rPr>
      </w:pPr>
      <w:bookmarkStart w:id="19" w:name="_Toc514264391"/>
      <w:r w:rsidRPr="002F1691">
        <w:rPr>
          <w:b/>
          <w:lang w:val="es-ES_tradnl"/>
        </w:rPr>
        <w:t xml:space="preserve">Gráfica </w:t>
      </w:r>
      <w:r w:rsidRPr="002F1691">
        <w:rPr>
          <w:b/>
          <w:bCs/>
          <w:lang w:val="es-ES_tradnl"/>
        </w:rPr>
        <w:t xml:space="preserve">3 </w:t>
      </w:r>
      <w:r w:rsidRPr="002F1691">
        <w:rPr>
          <w:b/>
          <w:lang w:val="es-ES_tradnl"/>
        </w:rPr>
        <w:t>– Composición de bombillos por tecnología en el sector residencial – Escenario Con Proyecto</w:t>
      </w:r>
      <w:bookmarkEnd w:id="19"/>
    </w:p>
    <w:p w14:paraId="2BF730B4" w14:textId="77777777" w:rsidR="002F1691" w:rsidRPr="00A047CE" w:rsidRDefault="002F1691" w:rsidP="002F1691">
      <w:pPr>
        <w:jc w:val="center"/>
        <w:rPr>
          <w:rFonts w:cs="Arial"/>
        </w:rPr>
      </w:pPr>
      <w:r w:rsidRPr="00457997">
        <w:rPr>
          <w:noProof/>
        </w:rPr>
        <w:drawing>
          <wp:inline distT="0" distB="0" distL="0" distR="0" wp14:anchorId="05E7BF92" wp14:editId="26ACFC63">
            <wp:extent cx="5285365" cy="2333819"/>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7603" cy="2334807"/>
                    </a:xfrm>
                    <a:prstGeom prst="rect">
                      <a:avLst/>
                    </a:prstGeom>
                    <a:noFill/>
                    <a:ln>
                      <a:noFill/>
                    </a:ln>
                  </pic:spPr>
                </pic:pic>
              </a:graphicData>
            </a:graphic>
          </wp:inline>
        </w:drawing>
      </w:r>
    </w:p>
    <w:p w14:paraId="451435F8" w14:textId="77777777" w:rsidR="002F1691" w:rsidRDefault="002F1691" w:rsidP="002F1691">
      <w:pPr>
        <w:spacing w:before="120"/>
        <w:jc w:val="center"/>
        <w:rPr>
          <w:lang w:val="es-ES"/>
        </w:rPr>
      </w:pPr>
      <w:r w:rsidRPr="00DA68BF">
        <w:rPr>
          <w:sz w:val="20"/>
          <w:lang w:val="es-ES"/>
        </w:rPr>
        <w:t xml:space="preserve">Fuente: </w:t>
      </w:r>
      <w:r>
        <w:rPr>
          <w:sz w:val="20"/>
          <w:lang w:val="es-ES"/>
        </w:rPr>
        <w:t>Elaboración del consultor con base en escenarios del análisis económico</w:t>
      </w:r>
    </w:p>
    <w:p w14:paraId="336736FF" w14:textId="77777777" w:rsidR="002F1691" w:rsidRDefault="002F1691" w:rsidP="002F1691">
      <w:pPr>
        <w:spacing w:before="120"/>
        <w:rPr>
          <w:lang w:val="es-ES"/>
        </w:rPr>
      </w:pPr>
    </w:p>
    <w:p w14:paraId="19B5AE8E" w14:textId="48CD2712" w:rsidR="002F1691" w:rsidRPr="002F1691" w:rsidRDefault="002F1691" w:rsidP="002F1691">
      <w:pPr>
        <w:jc w:val="center"/>
        <w:rPr>
          <w:b/>
          <w:lang w:val="es-ES_tradnl"/>
        </w:rPr>
      </w:pPr>
      <w:bookmarkStart w:id="20" w:name="_Ref512414401"/>
      <w:bookmarkStart w:id="21" w:name="_Toc514264368"/>
      <w:r w:rsidRPr="002F1691">
        <w:rPr>
          <w:b/>
          <w:lang w:val="es-ES_tradnl"/>
        </w:rPr>
        <w:lastRenderedPageBreak/>
        <w:t xml:space="preserve">Tabla </w:t>
      </w:r>
      <w:r w:rsidRPr="00192708">
        <w:rPr>
          <w:b/>
        </w:rPr>
        <w:fldChar w:fldCharType="begin"/>
      </w:r>
      <w:r w:rsidRPr="002F1691">
        <w:rPr>
          <w:b/>
          <w:lang w:val="es-ES_tradnl"/>
        </w:rPr>
        <w:instrText xml:space="preserve"> SEQ Tabla \* ARABIC </w:instrText>
      </w:r>
      <w:r w:rsidRPr="00192708">
        <w:rPr>
          <w:b/>
        </w:rPr>
        <w:fldChar w:fldCharType="separate"/>
      </w:r>
      <w:r w:rsidRPr="002F1691">
        <w:rPr>
          <w:b/>
          <w:noProof/>
          <w:lang w:val="es-ES_tradnl"/>
        </w:rPr>
        <w:t>3</w:t>
      </w:r>
      <w:r w:rsidRPr="00192708">
        <w:rPr>
          <w:b/>
        </w:rPr>
        <w:fldChar w:fldCharType="end"/>
      </w:r>
      <w:bookmarkEnd w:id="20"/>
      <w:r w:rsidRPr="002F1691">
        <w:rPr>
          <w:b/>
          <w:lang w:val="es-ES_tradnl"/>
        </w:rPr>
        <w:t xml:space="preserve"> – Análisis económico de la introducción de medidas tendientes al cambio de bombillos en el sector residencial (SIN + Sistemas Aislados)</w:t>
      </w:r>
      <w:bookmarkEnd w:id="21"/>
    </w:p>
    <w:p w14:paraId="69F62FDC" w14:textId="77777777" w:rsidR="002F1691" w:rsidRPr="002F1691" w:rsidRDefault="002F1691" w:rsidP="002F1691">
      <w:pPr>
        <w:rPr>
          <w:b/>
          <w:lang w:val="es-ES_tradnl"/>
        </w:rPr>
      </w:pPr>
    </w:p>
    <w:tbl>
      <w:tblPr>
        <w:tblW w:w="5058" w:type="pct"/>
        <w:tblCellMar>
          <w:left w:w="70" w:type="dxa"/>
          <w:right w:w="70" w:type="dxa"/>
        </w:tblCellMar>
        <w:tblLook w:val="04A0" w:firstRow="1" w:lastRow="0" w:firstColumn="1" w:lastColumn="0" w:noHBand="0" w:noVBand="1"/>
      </w:tblPr>
      <w:tblGrid>
        <w:gridCol w:w="4056"/>
        <w:gridCol w:w="177"/>
        <w:gridCol w:w="557"/>
        <w:gridCol w:w="789"/>
        <w:gridCol w:w="789"/>
        <w:gridCol w:w="789"/>
        <w:gridCol w:w="789"/>
        <w:gridCol w:w="789"/>
      </w:tblGrid>
      <w:tr w:rsidR="002F1691" w:rsidRPr="00021A6F" w14:paraId="5901A25C" w14:textId="77777777" w:rsidTr="002F1691">
        <w:trPr>
          <w:trHeight w:val="265"/>
        </w:trPr>
        <w:tc>
          <w:tcPr>
            <w:tcW w:w="2297" w:type="pct"/>
            <w:tcBorders>
              <w:top w:val="nil"/>
              <w:left w:val="nil"/>
              <w:bottom w:val="single" w:sz="4" w:space="0" w:color="auto"/>
              <w:right w:val="nil"/>
            </w:tcBorders>
            <w:shd w:val="clear" w:color="auto" w:fill="auto"/>
            <w:noWrap/>
            <w:vAlign w:val="bottom"/>
            <w:hideMark/>
          </w:tcPr>
          <w:p w14:paraId="2497068E" w14:textId="77777777" w:rsidR="002F1691" w:rsidRPr="00021A6F" w:rsidRDefault="002F1691" w:rsidP="002F1691">
            <w:pPr>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$USD</w:t>
            </w:r>
          </w:p>
        </w:tc>
        <w:tc>
          <w:tcPr>
            <w:tcW w:w="111" w:type="pct"/>
            <w:tcBorders>
              <w:top w:val="nil"/>
              <w:left w:val="nil"/>
              <w:bottom w:val="single" w:sz="4" w:space="0" w:color="auto"/>
              <w:right w:val="nil"/>
            </w:tcBorders>
            <w:shd w:val="clear" w:color="auto" w:fill="auto"/>
            <w:noWrap/>
            <w:vAlign w:val="bottom"/>
            <w:hideMark/>
          </w:tcPr>
          <w:p w14:paraId="50E3442F" w14:textId="77777777" w:rsidR="002F1691" w:rsidRPr="00021A6F" w:rsidRDefault="002F1691" w:rsidP="002F1691">
            <w:pPr>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 </w:t>
            </w:r>
          </w:p>
        </w:tc>
        <w:tc>
          <w:tcPr>
            <w:tcW w:w="357" w:type="pct"/>
            <w:tcBorders>
              <w:top w:val="single" w:sz="4" w:space="0" w:color="FFFFFF"/>
              <w:left w:val="nil"/>
              <w:bottom w:val="single" w:sz="4" w:space="0" w:color="auto"/>
              <w:right w:val="single" w:sz="4" w:space="0" w:color="FFFFFF"/>
            </w:tcBorders>
            <w:shd w:val="clear" w:color="000000" w:fill="203764"/>
            <w:noWrap/>
            <w:vAlign w:val="bottom"/>
            <w:hideMark/>
          </w:tcPr>
          <w:p w14:paraId="39BBADAB" w14:textId="77777777" w:rsidR="002F1691" w:rsidRPr="00021A6F" w:rsidRDefault="002F1691" w:rsidP="002F1691">
            <w:pPr>
              <w:jc w:val="center"/>
              <w:rPr>
                <w:rFonts w:ascii="Calibri" w:hAnsi="Calibri" w:cs="Calibri"/>
                <w:color w:val="FFFFFF"/>
                <w:sz w:val="16"/>
                <w:szCs w:val="16"/>
                <w:lang w:eastAsia="es-CO"/>
              </w:rPr>
            </w:pPr>
            <w:r w:rsidRPr="00021A6F">
              <w:rPr>
                <w:rFonts w:ascii="Calibri" w:hAnsi="Calibri" w:cs="Calibri"/>
                <w:color w:val="FFFFFF"/>
                <w:sz w:val="16"/>
                <w:szCs w:val="16"/>
                <w:lang w:eastAsia="es-CO"/>
              </w:rPr>
              <w:t>2017</w:t>
            </w:r>
          </w:p>
        </w:tc>
        <w:tc>
          <w:tcPr>
            <w:tcW w:w="447" w:type="pct"/>
            <w:tcBorders>
              <w:top w:val="single" w:sz="4" w:space="0" w:color="FFFFFF"/>
              <w:left w:val="nil"/>
              <w:bottom w:val="single" w:sz="4" w:space="0" w:color="auto"/>
              <w:right w:val="single" w:sz="4" w:space="0" w:color="FFFFFF"/>
            </w:tcBorders>
            <w:shd w:val="clear" w:color="000000" w:fill="203764"/>
            <w:noWrap/>
            <w:vAlign w:val="bottom"/>
            <w:hideMark/>
          </w:tcPr>
          <w:p w14:paraId="700256DB" w14:textId="77777777" w:rsidR="002F1691" w:rsidRPr="00021A6F" w:rsidRDefault="002F1691" w:rsidP="002F1691">
            <w:pPr>
              <w:jc w:val="center"/>
              <w:rPr>
                <w:rFonts w:ascii="Calibri" w:hAnsi="Calibri" w:cs="Calibri"/>
                <w:color w:val="FFFFFF"/>
                <w:sz w:val="16"/>
                <w:szCs w:val="16"/>
                <w:lang w:eastAsia="es-CO"/>
              </w:rPr>
            </w:pPr>
            <w:r w:rsidRPr="00021A6F">
              <w:rPr>
                <w:rFonts w:ascii="Calibri" w:hAnsi="Calibri" w:cs="Calibri"/>
                <w:color w:val="FFFFFF"/>
                <w:sz w:val="16"/>
                <w:szCs w:val="16"/>
                <w:lang w:eastAsia="es-CO"/>
              </w:rPr>
              <w:t>2018</w:t>
            </w:r>
          </w:p>
        </w:tc>
        <w:tc>
          <w:tcPr>
            <w:tcW w:w="447" w:type="pct"/>
            <w:tcBorders>
              <w:top w:val="single" w:sz="4" w:space="0" w:color="FFFFFF"/>
              <w:left w:val="nil"/>
              <w:bottom w:val="single" w:sz="4" w:space="0" w:color="auto"/>
              <w:right w:val="single" w:sz="4" w:space="0" w:color="FFFFFF"/>
            </w:tcBorders>
            <w:shd w:val="clear" w:color="000000" w:fill="203764"/>
            <w:noWrap/>
            <w:vAlign w:val="bottom"/>
            <w:hideMark/>
          </w:tcPr>
          <w:p w14:paraId="24CAF251" w14:textId="77777777" w:rsidR="002F1691" w:rsidRPr="00021A6F" w:rsidRDefault="002F1691" w:rsidP="002F1691">
            <w:pPr>
              <w:jc w:val="center"/>
              <w:rPr>
                <w:rFonts w:ascii="Calibri" w:hAnsi="Calibri" w:cs="Calibri"/>
                <w:color w:val="FFFFFF"/>
                <w:sz w:val="16"/>
                <w:szCs w:val="16"/>
                <w:lang w:eastAsia="es-CO"/>
              </w:rPr>
            </w:pPr>
            <w:r w:rsidRPr="00021A6F">
              <w:rPr>
                <w:rFonts w:ascii="Calibri" w:hAnsi="Calibri" w:cs="Calibri"/>
                <w:color w:val="FFFFFF"/>
                <w:sz w:val="16"/>
                <w:szCs w:val="16"/>
                <w:lang w:eastAsia="es-CO"/>
              </w:rPr>
              <w:t>2019</w:t>
            </w:r>
          </w:p>
        </w:tc>
        <w:tc>
          <w:tcPr>
            <w:tcW w:w="447" w:type="pct"/>
            <w:tcBorders>
              <w:top w:val="single" w:sz="4" w:space="0" w:color="FFFFFF"/>
              <w:left w:val="nil"/>
              <w:bottom w:val="single" w:sz="4" w:space="0" w:color="auto"/>
              <w:right w:val="single" w:sz="4" w:space="0" w:color="FFFFFF"/>
            </w:tcBorders>
            <w:shd w:val="clear" w:color="000000" w:fill="203764"/>
            <w:noWrap/>
            <w:vAlign w:val="bottom"/>
            <w:hideMark/>
          </w:tcPr>
          <w:p w14:paraId="18BED07D" w14:textId="77777777" w:rsidR="002F1691" w:rsidRPr="00021A6F" w:rsidRDefault="002F1691" w:rsidP="002F1691">
            <w:pPr>
              <w:jc w:val="center"/>
              <w:rPr>
                <w:rFonts w:ascii="Calibri" w:hAnsi="Calibri" w:cs="Calibri"/>
                <w:color w:val="FFFFFF"/>
                <w:sz w:val="16"/>
                <w:szCs w:val="16"/>
                <w:lang w:eastAsia="es-CO"/>
              </w:rPr>
            </w:pPr>
            <w:r w:rsidRPr="00021A6F">
              <w:rPr>
                <w:rFonts w:ascii="Calibri" w:hAnsi="Calibri" w:cs="Calibri"/>
                <w:color w:val="FFFFFF"/>
                <w:sz w:val="16"/>
                <w:szCs w:val="16"/>
                <w:lang w:eastAsia="es-CO"/>
              </w:rPr>
              <w:t>2020</w:t>
            </w:r>
          </w:p>
        </w:tc>
        <w:tc>
          <w:tcPr>
            <w:tcW w:w="447" w:type="pct"/>
            <w:tcBorders>
              <w:top w:val="single" w:sz="4" w:space="0" w:color="FFFFFF"/>
              <w:left w:val="nil"/>
              <w:bottom w:val="single" w:sz="4" w:space="0" w:color="auto"/>
              <w:right w:val="single" w:sz="4" w:space="0" w:color="FFFFFF"/>
            </w:tcBorders>
            <w:shd w:val="clear" w:color="000000" w:fill="203764"/>
            <w:noWrap/>
            <w:vAlign w:val="bottom"/>
            <w:hideMark/>
          </w:tcPr>
          <w:p w14:paraId="6B5114B0" w14:textId="77777777" w:rsidR="002F1691" w:rsidRPr="00021A6F" w:rsidRDefault="002F1691" w:rsidP="002F1691">
            <w:pPr>
              <w:jc w:val="center"/>
              <w:rPr>
                <w:rFonts w:ascii="Calibri" w:hAnsi="Calibri" w:cs="Calibri"/>
                <w:color w:val="FFFFFF"/>
                <w:sz w:val="16"/>
                <w:szCs w:val="16"/>
                <w:lang w:eastAsia="es-CO"/>
              </w:rPr>
            </w:pPr>
            <w:r w:rsidRPr="00021A6F">
              <w:rPr>
                <w:rFonts w:ascii="Calibri" w:hAnsi="Calibri" w:cs="Calibri"/>
                <w:color w:val="FFFFFF"/>
                <w:sz w:val="16"/>
                <w:szCs w:val="16"/>
                <w:lang w:eastAsia="es-CO"/>
              </w:rPr>
              <w:t>2021</w:t>
            </w:r>
          </w:p>
        </w:tc>
        <w:tc>
          <w:tcPr>
            <w:tcW w:w="447" w:type="pct"/>
            <w:tcBorders>
              <w:top w:val="single" w:sz="4" w:space="0" w:color="FFFFFF"/>
              <w:left w:val="nil"/>
              <w:bottom w:val="single" w:sz="4" w:space="0" w:color="auto"/>
              <w:right w:val="single" w:sz="4" w:space="0" w:color="FFFFFF"/>
            </w:tcBorders>
            <w:shd w:val="clear" w:color="000000" w:fill="203764"/>
            <w:noWrap/>
            <w:vAlign w:val="bottom"/>
            <w:hideMark/>
          </w:tcPr>
          <w:p w14:paraId="20939681" w14:textId="77777777" w:rsidR="002F1691" w:rsidRPr="00021A6F" w:rsidRDefault="002F1691" w:rsidP="002F1691">
            <w:pPr>
              <w:jc w:val="center"/>
              <w:rPr>
                <w:rFonts w:ascii="Calibri" w:hAnsi="Calibri" w:cs="Calibri"/>
                <w:color w:val="FFFFFF"/>
                <w:sz w:val="16"/>
                <w:szCs w:val="16"/>
                <w:lang w:eastAsia="es-CO"/>
              </w:rPr>
            </w:pPr>
            <w:r w:rsidRPr="00021A6F">
              <w:rPr>
                <w:rFonts w:ascii="Calibri" w:hAnsi="Calibri" w:cs="Calibri"/>
                <w:color w:val="FFFFFF"/>
                <w:sz w:val="16"/>
                <w:szCs w:val="16"/>
                <w:lang w:eastAsia="es-CO"/>
              </w:rPr>
              <w:t>2022</w:t>
            </w:r>
          </w:p>
        </w:tc>
      </w:tr>
      <w:tr w:rsidR="002F1691" w:rsidRPr="00021A6F" w14:paraId="54BA4EF5" w14:textId="77777777" w:rsidTr="002F1691">
        <w:trPr>
          <w:trHeight w:val="265"/>
        </w:trPr>
        <w:tc>
          <w:tcPr>
            <w:tcW w:w="2297" w:type="pct"/>
            <w:tcBorders>
              <w:top w:val="nil"/>
              <w:left w:val="nil"/>
              <w:bottom w:val="nil"/>
              <w:right w:val="nil"/>
            </w:tcBorders>
            <w:shd w:val="clear" w:color="auto" w:fill="auto"/>
            <w:noWrap/>
            <w:vAlign w:val="bottom"/>
            <w:hideMark/>
          </w:tcPr>
          <w:p w14:paraId="2EBE98E9"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Consumo de iluminación - Sin Proyecto (GWh/Año)</w:t>
            </w:r>
          </w:p>
        </w:tc>
        <w:tc>
          <w:tcPr>
            <w:tcW w:w="111" w:type="pct"/>
            <w:tcBorders>
              <w:top w:val="nil"/>
              <w:left w:val="nil"/>
              <w:bottom w:val="nil"/>
              <w:right w:val="nil"/>
            </w:tcBorders>
            <w:shd w:val="clear" w:color="auto" w:fill="auto"/>
            <w:noWrap/>
            <w:vAlign w:val="bottom"/>
            <w:hideMark/>
          </w:tcPr>
          <w:p w14:paraId="60FCF54A" w14:textId="77777777" w:rsidR="002F1691" w:rsidRPr="002F1691" w:rsidRDefault="002F1691" w:rsidP="002F1691">
            <w:pPr>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635AFF2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463</w:t>
            </w:r>
          </w:p>
        </w:tc>
        <w:tc>
          <w:tcPr>
            <w:tcW w:w="447" w:type="pct"/>
            <w:tcBorders>
              <w:top w:val="nil"/>
              <w:left w:val="nil"/>
              <w:bottom w:val="nil"/>
              <w:right w:val="nil"/>
            </w:tcBorders>
            <w:shd w:val="clear" w:color="auto" w:fill="auto"/>
            <w:noWrap/>
            <w:vAlign w:val="bottom"/>
            <w:hideMark/>
          </w:tcPr>
          <w:p w14:paraId="34FAA0B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583</w:t>
            </w:r>
          </w:p>
        </w:tc>
        <w:tc>
          <w:tcPr>
            <w:tcW w:w="447" w:type="pct"/>
            <w:tcBorders>
              <w:top w:val="nil"/>
              <w:left w:val="nil"/>
              <w:bottom w:val="nil"/>
              <w:right w:val="nil"/>
            </w:tcBorders>
            <w:shd w:val="clear" w:color="auto" w:fill="auto"/>
            <w:noWrap/>
            <w:vAlign w:val="bottom"/>
            <w:hideMark/>
          </w:tcPr>
          <w:p w14:paraId="0DF4F68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706</w:t>
            </w:r>
          </w:p>
        </w:tc>
        <w:tc>
          <w:tcPr>
            <w:tcW w:w="447" w:type="pct"/>
            <w:tcBorders>
              <w:top w:val="nil"/>
              <w:left w:val="nil"/>
              <w:bottom w:val="nil"/>
              <w:right w:val="nil"/>
            </w:tcBorders>
            <w:shd w:val="clear" w:color="auto" w:fill="auto"/>
            <w:noWrap/>
            <w:vAlign w:val="bottom"/>
            <w:hideMark/>
          </w:tcPr>
          <w:p w14:paraId="09A3908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831</w:t>
            </w:r>
          </w:p>
        </w:tc>
        <w:tc>
          <w:tcPr>
            <w:tcW w:w="447" w:type="pct"/>
            <w:tcBorders>
              <w:top w:val="nil"/>
              <w:left w:val="nil"/>
              <w:bottom w:val="nil"/>
              <w:right w:val="nil"/>
            </w:tcBorders>
            <w:shd w:val="clear" w:color="auto" w:fill="auto"/>
            <w:noWrap/>
            <w:vAlign w:val="bottom"/>
            <w:hideMark/>
          </w:tcPr>
          <w:p w14:paraId="62EBACC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958</w:t>
            </w:r>
          </w:p>
        </w:tc>
        <w:tc>
          <w:tcPr>
            <w:tcW w:w="447" w:type="pct"/>
            <w:tcBorders>
              <w:top w:val="nil"/>
              <w:left w:val="nil"/>
              <w:bottom w:val="nil"/>
              <w:right w:val="nil"/>
            </w:tcBorders>
            <w:shd w:val="clear" w:color="auto" w:fill="auto"/>
            <w:noWrap/>
            <w:vAlign w:val="bottom"/>
            <w:hideMark/>
          </w:tcPr>
          <w:p w14:paraId="0650618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1.089</w:t>
            </w:r>
          </w:p>
        </w:tc>
      </w:tr>
      <w:tr w:rsidR="002F1691" w:rsidRPr="00021A6F" w14:paraId="7770597C" w14:textId="77777777" w:rsidTr="002F1691">
        <w:trPr>
          <w:trHeight w:val="265"/>
        </w:trPr>
        <w:tc>
          <w:tcPr>
            <w:tcW w:w="2297" w:type="pct"/>
            <w:tcBorders>
              <w:top w:val="nil"/>
              <w:left w:val="nil"/>
              <w:bottom w:val="single" w:sz="4" w:space="0" w:color="000000"/>
              <w:right w:val="nil"/>
            </w:tcBorders>
            <w:shd w:val="clear" w:color="auto" w:fill="auto"/>
            <w:noWrap/>
            <w:vAlign w:val="bottom"/>
            <w:hideMark/>
          </w:tcPr>
          <w:p w14:paraId="0A7401D2"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Consumo de iluminación - Con Proyecto (GWh/Año)</w:t>
            </w:r>
          </w:p>
        </w:tc>
        <w:tc>
          <w:tcPr>
            <w:tcW w:w="111" w:type="pct"/>
            <w:tcBorders>
              <w:top w:val="nil"/>
              <w:left w:val="nil"/>
              <w:bottom w:val="single" w:sz="4" w:space="0" w:color="000000"/>
              <w:right w:val="nil"/>
            </w:tcBorders>
            <w:shd w:val="clear" w:color="auto" w:fill="auto"/>
            <w:noWrap/>
            <w:vAlign w:val="bottom"/>
            <w:hideMark/>
          </w:tcPr>
          <w:p w14:paraId="1F768F96"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000000"/>
              <w:right w:val="nil"/>
            </w:tcBorders>
            <w:shd w:val="clear" w:color="auto" w:fill="auto"/>
            <w:noWrap/>
            <w:vAlign w:val="bottom"/>
            <w:hideMark/>
          </w:tcPr>
          <w:p w14:paraId="226F2D1C"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463</w:t>
            </w:r>
          </w:p>
        </w:tc>
        <w:tc>
          <w:tcPr>
            <w:tcW w:w="447" w:type="pct"/>
            <w:tcBorders>
              <w:top w:val="nil"/>
              <w:left w:val="nil"/>
              <w:bottom w:val="single" w:sz="4" w:space="0" w:color="000000"/>
              <w:right w:val="nil"/>
            </w:tcBorders>
            <w:shd w:val="clear" w:color="auto" w:fill="auto"/>
            <w:noWrap/>
            <w:vAlign w:val="bottom"/>
            <w:hideMark/>
          </w:tcPr>
          <w:p w14:paraId="1E2246D1"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336</w:t>
            </w:r>
          </w:p>
        </w:tc>
        <w:tc>
          <w:tcPr>
            <w:tcW w:w="447" w:type="pct"/>
            <w:tcBorders>
              <w:top w:val="nil"/>
              <w:left w:val="nil"/>
              <w:bottom w:val="single" w:sz="4" w:space="0" w:color="000000"/>
              <w:right w:val="nil"/>
            </w:tcBorders>
            <w:shd w:val="clear" w:color="auto" w:fill="auto"/>
            <w:noWrap/>
            <w:vAlign w:val="bottom"/>
            <w:hideMark/>
          </w:tcPr>
          <w:p w14:paraId="240389E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208</w:t>
            </w:r>
          </w:p>
        </w:tc>
        <w:tc>
          <w:tcPr>
            <w:tcW w:w="447" w:type="pct"/>
            <w:tcBorders>
              <w:top w:val="nil"/>
              <w:left w:val="nil"/>
              <w:bottom w:val="single" w:sz="4" w:space="0" w:color="000000"/>
              <w:right w:val="nil"/>
            </w:tcBorders>
            <w:shd w:val="clear" w:color="auto" w:fill="auto"/>
            <w:noWrap/>
            <w:vAlign w:val="bottom"/>
            <w:hideMark/>
          </w:tcPr>
          <w:p w14:paraId="36CD614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216</w:t>
            </w:r>
          </w:p>
        </w:tc>
        <w:tc>
          <w:tcPr>
            <w:tcW w:w="447" w:type="pct"/>
            <w:tcBorders>
              <w:top w:val="nil"/>
              <w:left w:val="nil"/>
              <w:bottom w:val="single" w:sz="4" w:space="0" w:color="000000"/>
              <w:right w:val="nil"/>
            </w:tcBorders>
            <w:shd w:val="clear" w:color="auto" w:fill="auto"/>
            <w:noWrap/>
            <w:vAlign w:val="bottom"/>
            <w:hideMark/>
          </w:tcPr>
          <w:p w14:paraId="001A4AF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225</w:t>
            </w:r>
          </w:p>
        </w:tc>
        <w:tc>
          <w:tcPr>
            <w:tcW w:w="447" w:type="pct"/>
            <w:tcBorders>
              <w:top w:val="nil"/>
              <w:left w:val="nil"/>
              <w:bottom w:val="single" w:sz="4" w:space="0" w:color="000000"/>
              <w:right w:val="nil"/>
            </w:tcBorders>
            <w:shd w:val="clear" w:color="auto" w:fill="auto"/>
            <w:noWrap/>
            <w:vAlign w:val="bottom"/>
            <w:hideMark/>
          </w:tcPr>
          <w:p w14:paraId="0BB9F17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234</w:t>
            </w:r>
          </w:p>
        </w:tc>
      </w:tr>
      <w:tr w:rsidR="002F1691" w:rsidRPr="00021A6F" w14:paraId="06DA9B54" w14:textId="77777777" w:rsidTr="002F1691">
        <w:trPr>
          <w:trHeight w:val="265"/>
        </w:trPr>
        <w:tc>
          <w:tcPr>
            <w:tcW w:w="2297" w:type="pct"/>
            <w:tcBorders>
              <w:top w:val="nil"/>
              <w:left w:val="nil"/>
              <w:bottom w:val="nil"/>
              <w:right w:val="nil"/>
            </w:tcBorders>
            <w:shd w:val="clear" w:color="auto" w:fill="auto"/>
            <w:noWrap/>
            <w:vAlign w:val="bottom"/>
            <w:hideMark/>
          </w:tcPr>
          <w:p w14:paraId="2C25E5AC" w14:textId="77777777" w:rsidR="002F1691" w:rsidRPr="00021A6F" w:rsidRDefault="002F1691" w:rsidP="002F1691">
            <w:pPr>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Beneficios</w:t>
            </w:r>
          </w:p>
        </w:tc>
        <w:tc>
          <w:tcPr>
            <w:tcW w:w="111" w:type="pct"/>
            <w:tcBorders>
              <w:top w:val="nil"/>
              <w:left w:val="nil"/>
              <w:bottom w:val="nil"/>
              <w:right w:val="nil"/>
            </w:tcBorders>
            <w:shd w:val="clear" w:color="auto" w:fill="auto"/>
            <w:noWrap/>
            <w:vAlign w:val="bottom"/>
            <w:hideMark/>
          </w:tcPr>
          <w:p w14:paraId="44E8B6F3" w14:textId="77777777" w:rsidR="002F1691" w:rsidRPr="00021A6F" w:rsidRDefault="002F1691" w:rsidP="002F1691">
            <w:pPr>
              <w:rPr>
                <w:rFonts w:ascii="Calibri" w:hAnsi="Calibri" w:cs="Calibri"/>
                <w:b/>
                <w:bCs/>
                <w:color w:val="000000"/>
                <w:sz w:val="16"/>
                <w:szCs w:val="16"/>
                <w:lang w:eastAsia="es-CO"/>
              </w:rPr>
            </w:pPr>
          </w:p>
        </w:tc>
        <w:tc>
          <w:tcPr>
            <w:tcW w:w="357" w:type="pct"/>
            <w:tcBorders>
              <w:top w:val="nil"/>
              <w:left w:val="nil"/>
              <w:bottom w:val="nil"/>
              <w:right w:val="nil"/>
            </w:tcBorders>
            <w:shd w:val="clear" w:color="auto" w:fill="auto"/>
            <w:noWrap/>
            <w:vAlign w:val="bottom"/>
            <w:hideMark/>
          </w:tcPr>
          <w:p w14:paraId="2EBF5C59" w14:textId="77777777" w:rsidR="002F1691" w:rsidRPr="00295BE9" w:rsidRDefault="002F1691" w:rsidP="002F1691">
            <w:pPr>
              <w:jc w:val="right"/>
              <w:rPr>
                <w:rFonts w:ascii="Calibri" w:hAnsi="Calibri" w:cs="Calibri"/>
                <w:color w:val="000000" w:themeColor="text1"/>
                <w:sz w:val="16"/>
                <w:szCs w:val="16"/>
              </w:rPr>
            </w:pPr>
          </w:p>
        </w:tc>
        <w:tc>
          <w:tcPr>
            <w:tcW w:w="447" w:type="pct"/>
            <w:tcBorders>
              <w:top w:val="nil"/>
              <w:left w:val="nil"/>
              <w:bottom w:val="nil"/>
              <w:right w:val="nil"/>
            </w:tcBorders>
            <w:shd w:val="clear" w:color="auto" w:fill="auto"/>
            <w:noWrap/>
            <w:vAlign w:val="bottom"/>
            <w:hideMark/>
          </w:tcPr>
          <w:p w14:paraId="7E469486"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74BCE2D8"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0D577694"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6F6CB3DA"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383C92DB" w14:textId="77777777" w:rsidR="002F1691" w:rsidRPr="00295BE9" w:rsidRDefault="002F1691" w:rsidP="002F1691">
            <w:pPr>
              <w:rPr>
                <w:color w:val="000000" w:themeColor="text1"/>
                <w:sz w:val="16"/>
                <w:szCs w:val="16"/>
              </w:rPr>
            </w:pPr>
          </w:p>
        </w:tc>
      </w:tr>
      <w:tr w:rsidR="002F1691" w:rsidRPr="00021A6F" w14:paraId="31B5820A" w14:textId="77777777" w:rsidTr="002F1691">
        <w:trPr>
          <w:trHeight w:val="265"/>
        </w:trPr>
        <w:tc>
          <w:tcPr>
            <w:tcW w:w="2297" w:type="pct"/>
            <w:tcBorders>
              <w:top w:val="nil"/>
              <w:left w:val="nil"/>
              <w:bottom w:val="nil"/>
              <w:right w:val="nil"/>
            </w:tcBorders>
            <w:shd w:val="clear" w:color="auto" w:fill="auto"/>
            <w:noWrap/>
            <w:vAlign w:val="bottom"/>
            <w:hideMark/>
          </w:tcPr>
          <w:p w14:paraId="0B8588BC" w14:textId="77777777" w:rsidR="002F1691" w:rsidRPr="00021A6F" w:rsidRDefault="002F1691" w:rsidP="002F1691">
            <w:pPr>
              <w:ind w:firstLineChars="100" w:firstLine="160"/>
              <w:rPr>
                <w:rFonts w:ascii="Calibri" w:hAnsi="Calibri" w:cs="Calibri"/>
                <w:color w:val="000000"/>
                <w:sz w:val="16"/>
                <w:szCs w:val="16"/>
                <w:lang w:eastAsia="es-CO"/>
              </w:rPr>
            </w:pPr>
            <w:r w:rsidRPr="00021A6F">
              <w:rPr>
                <w:rFonts w:ascii="Calibri" w:hAnsi="Calibri" w:cs="Calibri"/>
                <w:color w:val="000000"/>
                <w:sz w:val="16"/>
                <w:szCs w:val="16"/>
                <w:lang w:eastAsia="es-CO"/>
              </w:rPr>
              <w:t>Ahorro GWh/año</w:t>
            </w:r>
          </w:p>
        </w:tc>
        <w:tc>
          <w:tcPr>
            <w:tcW w:w="111" w:type="pct"/>
            <w:tcBorders>
              <w:top w:val="nil"/>
              <w:left w:val="nil"/>
              <w:bottom w:val="nil"/>
              <w:right w:val="nil"/>
            </w:tcBorders>
            <w:shd w:val="clear" w:color="auto" w:fill="auto"/>
            <w:noWrap/>
            <w:vAlign w:val="bottom"/>
            <w:hideMark/>
          </w:tcPr>
          <w:p w14:paraId="1CDB5603" w14:textId="77777777" w:rsidR="002F1691" w:rsidRPr="00021A6F" w:rsidRDefault="002F1691" w:rsidP="002F1691">
            <w:pPr>
              <w:ind w:firstLineChars="100" w:firstLine="160"/>
              <w:rPr>
                <w:rFonts w:ascii="Calibri" w:hAnsi="Calibri" w:cs="Calibri"/>
                <w:color w:val="000000"/>
                <w:sz w:val="16"/>
                <w:szCs w:val="16"/>
                <w:lang w:eastAsia="es-CO"/>
              </w:rPr>
            </w:pPr>
          </w:p>
        </w:tc>
        <w:tc>
          <w:tcPr>
            <w:tcW w:w="357" w:type="pct"/>
            <w:tcBorders>
              <w:top w:val="nil"/>
              <w:left w:val="nil"/>
              <w:bottom w:val="nil"/>
              <w:right w:val="nil"/>
            </w:tcBorders>
            <w:shd w:val="clear" w:color="auto" w:fill="auto"/>
            <w:noWrap/>
            <w:vAlign w:val="bottom"/>
            <w:hideMark/>
          </w:tcPr>
          <w:p w14:paraId="257F700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0,00</w:t>
            </w:r>
          </w:p>
        </w:tc>
        <w:tc>
          <w:tcPr>
            <w:tcW w:w="447" w:type="pct"/>
            <w:tcBorders>
              <w:top w:val="nil"/>
              <w:left w:val="nil"/>
              <w:bottom w:val="nil"/>
              <w:right w:val="nil"/>
            </w:tcBorders>
            <w:shd w:val="clear" w:color="auto" w:fill="auto"/>
            <w:noWrap/>
            <w:vAlign w:val="bottom"/>
            <w:hideMark/>
          </w:tcPr>
          <w:p w14:paraId="24F9AC9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247,89</w:t>
            </w:r>
          </w:p>
        </w:tc>
        <w:tc>
          <w:tcPr>
            <w:tcW w:w="447" w:type="pct"/>
            <w:tcBorders>
              <w:top w:val="nil"/>
              <w:left w:val="nil"/>
              <w:bottom w:val="nil"/>
              <w:right w:val="nil"/>
            </w:tcBorders>
            <w:shd w:val="clear" w:color="auto" w:fill="auto"/>
            <w:noWrap/>
            <w:vAlign w:val="bottom"/>
            <w:hideMark/>
          </w:tcPr>
          <w:p w14:paraId="195DD8F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497,70</w:t>
            </w:r>
          </w:p>
        </w:tc>
        <w:tc>
          <w:tcPr>
            <w:tcW w:w="447" w:type="pct"/>
            <w:tcBorders>
              <w:top w:val="nil"/>
              <w:left w:val="nil"/>
              <w:bottom w:val="nil"/>
              <w:right w:val="nil"/>
            </w:tcBorders>
            <w:shd w:val="clear" w:color="auto" w:fill="auto"/>
            <w:noWrap/>
            <w:vAlign w:val="bottom"/>
            <w:hideMark/>
          </w:tcPr>
          <w:p w14:paraId="405A697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614,39</w:t>
            </w:r>
          </w:p>
        </w:tc>
        <w:tc>
          <w:tcPr>
            <w:tcW w:w="447" w:type="pct"/>
            <w:tcBorders>
              <w:top w:val="nil"/>
              <w:left w:val="nil"/>
              <w:bottom w:val="nil"/>
              <w:right w:val="nil"/>
            </w:tcBorders>
            <w:shd w:val="clear" w:color="auto" w:fill="auto"/>
            <w:noWrap/>
            <w:vAlign w:val="bottom"/>
            <w:hideMark/>
          </w:tcPr>
          <w:p w14:paraId="678C778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733,20</w:t>
            </w:r>
          </w:p>
        </w:tc>
        <w:tc>
          <w:tcPr>
            <w:tcW w:w="447" w:type="pct"/>
            <w:tcBorders>
              <w:top w:val="nil"/>
              <w:left w:val="nil"/>
              <w:bottom w:val="nil"/>
              <w:right w:val="nil"/>
            </w:tcBorders>
            <w:shd w:val="clear" w:color="auto" w:fill="auto"/>
            <w:noWrap/>
            <w:vAlign w:val="bottom"/>
            <w:hideMark/>
          </w:tcPr>
          <w:p w14:paraId="12D287EE"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854,25</w:t>
            </w:r>
          </w:p>
        </w:tc>
      </w:tr>
      <w:tr w:rsidR="002F1691" w:rsidRPr="00021A6F" w14:paraId="403DF554" w14:textId="77777777" w:rsidTr="002F1691">
        <w:trPr>
          <w:trHeight w:val="265"/>
        </w:trPr>
        <w:tc>
          <w:tcPr>
            <w:tcW w:w="2297" w:type="pct"/>
            <w:tcBorders>
              <w:top w:val="nil"/>
              <w:left w:val="nil"/>
              <w:bottom w:val="single" w:sz="4" w:space="0" w:color="BFBFBF"/>
              <w:right w:val="nil"/>
            </w:tcBorders>
            <w:shd w:val="clear" w:color="auto" w:fill="auto"/>
            <w:noWrap/>
            <w:vAlign w:val="bottom"/>
            <w:hideMark/>
          </w:tcPr>
          <w:p w14:paraId="1B4A858A"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Emisiones de CO2 evitadas (TonCo2)</w:t>
            </w:r>
          </w:p>
        </w:tc>
        <w:tc>
          <w:tcPr>
            <w:tcW w:w="111" w:type="pct"/>
            <w:tcBorders>
              <w:top w:val="nil"/>
              <w:left w:val="nil"/>
              <w:bottom w:val="single" w:sz="4" w:space="0" w:color="BFBFBF"/>
              <w:right w:val="nil"/>
            </w:tcBorders>
            <w:shd w:val="clear" w:color="auto" w:fill="auto"/>
            <w:noWrap/>
            <w:vAlign w:val="bottom"/>
            <w:hideMark/>
          </w:tcPr>
          <w:p w14:paraId="14F1B2B0"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BFBFBF"/>
              <w:right w:val="nil"/>
            </w:tcBorders>
            <w:shd w:val="clear" w:color="auto" w:fill="auto"/>
            <w:noWrap/>
            <w:vAlign w:val="bottom"/>
            <w:hideMark/>
          </w:tcPr>
          <w:p w14:paraId="1760BC3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75215F3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96.559</w:t>
            </w:r>
          </w:p>
        </w:tc>
        <w:tc>
          <w:tcPr>
            <w:tcW w:w="447" w:type="pct"/>
            <w:tcBorders>
              <w:top w:val="nil"/>
              <w:left w:val="nil"/>
              <w:bottom w:val="single" w:sz="4" w:space="0" w:color="BFBFBF"/>
              <w:right w:val="nil"/>
            </w:tcBorders>
            <w:shd w:val="clear" w:color="auto" w:fill="auto"/>
            <w:noWrap/>
            <w:vAlign w:val="bottom"/>
            <w:hideMark/>
          </w:tcPr>
          <w:p w14:paraId="1C4FE8D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193.870</w:t>
            </w:r>
          </w:p>
        </w:tc>
        <w:tc>
          <w:tcPr>
            <w:tcW w:w="447" w:type="pct"/>
            <w:tcBorders>
              <w:top w:val="nil"/>
              <w:left w:val="nil"/>
              <w:bottom w:val="single" w:sz="4" w:space="0" w:color="BFBFBF"/>
              <w:right w:val="nil"/>
            </w:tcBorders>
            <w:shd w:val="clear" w:color="auto" w:fill="auto"/>
            <w:noWrap/>
            <w:vAlign w:val="bottom"/>
            <w:hideMark/>
          </w:tcPr>
          <w:p w14:paraId="40A4BB8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239.321</w:t>
            </w:r>
          </w:p>
        </w:tc>
        <w:tc>
          <w:tcPr>
            <w:tcW w:w="447" w:type="pct"/>
            <w:tcBorders>
              <w:top w:val="nil"/>
              <w:left w:val="nil"/>
              <w:bottom w:val="single" w:sz="4" w:space="0" w:color="BFBFBF"/>
              <w:right w:val="nil"/>
            </w:tcBorders>
            <w:shd w:val="clear" w:color="auto" w:fill="auto"/>
            <w:noWrap/>
            <w:vAlign w:val="bottom"/>
            <w:hideMark/>
          </w:tcPr>
          <w:p w14:paraId="0ABA023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285.602</w:t>
            </w:r>
          </w:p>
        </w:tc>
        <w:tc>
          <w:tcPr>
            <w:tcW w:w="447" w:type="pct"/>
            <w:tcBorders>
              <w:top w:val="nil"/>
              <w:left w:val="nil"/>
              <w:bottom w:val="single" w:sz="4" w:space="0" w:color="BFBFBF"/>
              <w:right w:val="nil"/>
            </w:tcBorders>
            <w:shd w:val="clear" w:color="auto" w:fill="auto"/>
            <w:noWrap/>
            <w:vAlign w:val="bottom"/>
            <w:hideMark/>
          </w:tcPr>
          <w:p w14:paraId="1CF3638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332.754</w:t>
            </w:r>
          </w:p>
        </w:tc>
      </w:tr>
      <w:tr w:rsidR="002F1691" w:rsidRPr="00021A6F" w14:paraId="783EE6ED" w14:textId="77777777" w:rsidTr="002F1691">
        <w:trPr>
          <w:trHeight w:val="265"/>
        </w:trPr>
        <w:tc>
          <w:tcPr>
            <w:tcW w:w="2297" w:type="pct"/>
            <w:tcBorders>
              <w:top w:val="nil"/>
              <w:left w:val="nil"/>
              <w:bottom w:val="nil"/>
              <w:right w:val="nil"/>
            </w:tcBorders>
            <w:shd w:val="clear" w:color="auto" w:fill="auto"/>
            <w:noWrap/>
            <w:vAlign w:val="bottom"/>
            <w:hideMark/>
          </w:tcPr>
          <w:p w14:paraId="23F975B4"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por costo final de energía evitado ($USD Millones)</w:t>
            </w:r>
          </w:p>
        </w:tc>
        <w:tc>
          <w:tcPr>
            <w:tcW w:w="111" w:type="pct"/>
            <w:tcBorders>
              <w:top w:val="nil"/>
              <w:left w:val="nil"/>
              <w:bottom w:val="nil"/>
              <w:right w:val="nil"/>
            </w:tcBorders>
            <w:shd w:val="clear" w:color="auto" w:fill="auto"/>
            <w:noWrap/>
            <w:vAlign w:val="bottom"/>
            <w:hideMark/>
          </w:tcPr>
          <w:p w14:paraId="34253A3B" w14:textId="77777777" w:rsidR="002F1691" w:rsidRPr="002F1691" w:rsidRDefault="002F1691" w:rsidP="002F1691">
            <w:pPr>
              <w:ind w:firstLineChars="100" w:firstLine="16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1337B9FC"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0,00</w:t>
            </w:r>
          </w:p>
        </w:tc>
        <w:tc>
          <w:tcPr>
            <w:tcW w:w="447" w:type="pct"/>
            <w:tcBorders>
              <w:top w:val="nil"/>
              <w:left w:val="nil"/>
              <w:bottom w:val="nil"/>
              <w:right w:val="nil"/>
            </w:tcBorders>
            <w:shd w:val="clear" w:color="auto" w:fill="auto"/>
            <w:noWrap/>
            <w:vAlign w:val="bottom"/>
            <w:hideMark/>
          </w:tcPr>
          <w:p w14:paraId="5BE6B62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24,06</w:t>
            </w:r>
          </w:p>
        </w:tc>
        <w:tc>
          <w:tcPr>
            <w:tcW w:w="447" w:type="pct"/>
            <w:tcBorders>
              <w:top w:val="nil"/>
              <w:left w:val="nil"/>
              <w:bottom w:val="nil"/>
              <w:right w:val="nil"/>
            </w:tcBorders>
            <w:shd w:val="clear" w:color="auto" w:fill="auto"/>
            <w:noWrap/>
            <w:vAlign w:val="bottom"/>
            <w:hideMark/>
          </w:tcPr>
          <w:p w14:paraId="3CE6426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48,30</w:t>
            </w:r>
          </w:p>
        </w:tc>
        <w:tc>
          <w:tcPr>
            <w:tcW w:w="447" w:type="pct"/>
            <w:tcBorders>
              <w:top w:val="nil"/>
              <w:left w:val="nil"/>
              <w:bottom w:val="nil"/>
              <w:right w:val="nil"/>
            </w:tcBorders>
            <w:shd w:val="clear" w:color="auto" w:fill="auto"/>
            <w:noWrap/>
            <w:vAlign w:val="bottom"/>
            <w:hideMark/>
          </w:tcPr>
          <w:p w14:paraId="688DE2D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59,62</w:t>
            </w:r>
          </w:p>
        </w:tc>
        <w:tc>
          <w:tcPr>
            <w:tcW w:w="447" w:type="pct"/>
            <w:tcBorders>
              <w:top w:val="nil"/>
              <w:left w:val="nil"/>
              <w:bottom w:val="nil"/>
              <w:right w:val="nil"/>
            </w:tcBorders>
            <w:shd w:val="clear" w:color="auto" w:fill="auto"/>
            <w:noWrap/>
            <w:vAlign w:val="bottom"/>
            <w:hideMark/>
          </w:tcPr>
          <w:p w14:paraId="2643931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71,15</w:t>
            </w:r>
          </w:p>
        </w:tc>
        <w:tc>
          <w:tcPr>
            <w:tcW w:w="447" w:type="pct"/>
            <w:tcBorders>
              <w:top w:val="nil"/>
              <w:left w:val="nil"/>
              <w:bottom w:val="nil"/>
              <w:right w:val="nil"/>
            </w:tcBorders>
            <w:shd w:val="clear" w:color="auto" w:fill="auto"/>
            <w:noWrap/>
            <w:vAlign w:val="bottom"/>
            <w:hideMark/>
          </w:tcPr>
          <w:p w14:paraId="096EBC6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82,90</w:t>
            </w:r>
          </w:p>
        </w:tc>
      </w:tr>
      <w:tr w:rsidR="002F1691" w:rsidRPr="00021A6F" w14:paraId="4884C3D7" w14:textId="77777777" w:rsidTr="002F1691">
        <w:trPr>
          <w:trHeight w:val="265"/>
        </w:trPr>
        <w:tc>
          <w:tcPr>
            <w:tcW w:w="2297" w:type="pct"/>
            <w:tcBorders>
              <w:top w:val="nil"/>
              <w:left w:val="nil"/>
              <w:bottom w:val="nil"/>
              <w:right w:val="nil"/>
            </w:tcBorders>
            <w:shd w:val="clear" w:color="auto" w:fill="auto"/>
            <w:noWrap/>
            <w:vAlign w:val="bottom"/>
            <w:hideMark/>
          </w:tcPr>
          <w:p w14:paraId="202E09AF"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por menores emisiones de CO2 ($USD Millones)</w:t>
            </w:r>
          </w:p>
        </w:tc>
        <w:tc>
          <w:tcPr>
            <w:tcW w:w="111" w:type="pct"/>
            <w:tcBorders>
              <w:top w:val="nil"/>
              <w:left w:val="nil"/>
              <w:bottom w:val="nil"/>
              <w:right w:val="nil"/>
            </w:tcBorders>
            <w:shd w:val="clear" w:color="auto" w:fill="auto"/>
            <w:noWrap/>
            <w:vAlign w:val="bottom"/>
            <w:hideMark/>
          </w:tcPr>
          <w:p w14:paraId="21365485" w14:textId="77777777" w:rsidR="002F1691" w:rsidRPr="002F1691" w:rsidRDefault="002F1691" w:rsidP="002F1691">
            <w:pPr>
              <w:ind w:firstLineChars="100" w:firstLine="16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3C5532E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0,00</w:t>
            </w:r>
          </w:p>
        </w:tc>
        <w:tc>
          <w:tcPr>
            <w:tcW w:w="447" w:type="pct"/>
            <w:tcBorders>
              <w:top w:val="nil"/>
              <w:left w:val="nil"/>
              <w:bottom w:val="nil"/>
              <w:right w:val="nil"/>
            </w:tcBorders>
            <w:shd w:val="clear" w:color="auto" w:fill="auto"/>
            <w:noWrap/>
            <w:vAlign w:val="bottom"/>
            <w:hideMark/>
          </w:tcPr>
          <w:p w14:paraId="2B8EB7C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3,44</w:t>
            </w:r>
          </w:p>
        </w:tc>
        <w:tc>
          <w:tcPr>
            <w:tcW w:w="447" w:type="pct"/>
            <w:tcBorders>
              <w:top w:val="nil"/>
              <w:left w:val="nil"/>
              <w:bottom w:val="nil"/>
              <w:right w:val="nil"/>
            </w:tcBorders>
            <w:shd w:val="clear" w:color="auto" w:fill="auto"/>
            <w:noWrap/>
            <w:vAlign w:val="bottom"/>
            <w:hideMark/>
          </w:tcPr>
          <w:p w14:paraId="1D2D7B21"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6,90</w:t>
            </w:r>
          </w:p>
        </w:tc>
        <w:tc>
          <w:tcPr>
            <w:tcW w:w="447" w:type="pct"/>
            <w:tcBorders>
              <w:top w:val="nil"/>
              <w:left w:val="nil"/>
              <w:bottom w:val="nil"/>
              <w:right w:val="nil"/>
            </w:tcBorders>
            <w:shd w:val="clear" w:color="auto" w:fill="auto"/>
            <w:noWrap/>
            <w:vAlign w:val="bottom"/>
            <w:hideMark/>
          </w:tcPr>
          <w:p w14:paraId="74D9640C"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8,51</w:t>
            </w:r>
          </w:p>
        </w:tc>
        <w:tc>
          <w:tcPr>
            <w:tcW w:w="447" w:type="pct"/>
            <w:tcBorders>
              <w:top w:val="nil"/>
              <w:left w:val="nil"/>
              <w:bottom w:val="nil"/>
              <w:right w:val="nil"/>
            </w:tcBorders>
            <w:shd w:val="clear" w:color="auto" w:fill="auto"/>
            <w:noWrap/>
            <w:vAlign w:val="bottom"/>
            <w:hideMark/>
          </w:tcPr>
          <w:p w14:paraId="52E0100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10,16</w:t>
            </w:r>
          </w:p>
        </w:tc>
        <w:tc>
          <w:tcPr>
            <w:tcW w:w="447" w:type="pct"/>
            <w:tcBorders>
              <w:top w:val="nil"/>
              <w:left w:val="nil"/>
              <w:bottom w:val="nil"/>
              <w:right w:val="nil"/>
            </w:tcBorders>
            <w:shd w:val="clear" w:color="auto" w:fill="auto"/>
            <w:noWrap/>
            <w:vAlign w:val="bottom"/>
            <w:hideMark/>
          </w:tcPr>
          <w:p w14:paraId="78D2C2B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11,84</w:t>
            </w:r>
          </w:p>
        </w:tc>
      </w:tr>
      <w:tr w:rsidR="002F1691" w:rsidRPr="00021A6F" w14:paraId="723B42A7" w14:textId="77777777" w:rsidTr="002F1691">
        <w:trPr>
          <w:trHeight w:val="265"/>
        </w:trPr>
        <w:tc>
          <w:tcPr>
            <w:tcW w:w="2297" w:type="pct"/>
            <w:tcBorders>
              <w:top w:val="nil"/>
              <w:left w:val="nil"/>
              <w:bottom w:val="single" w:sz="4" w:space="0" w:color="auto"/>
              <w:right w:val="nil"/>
            </w:tcBorders>
            <w:shd w:val="clear" w:color="auto" w:fill="auto"/>
            <w:noWrap/>
            <w:vAlign w:val="bottom"/>
            <w:hideMark/>
          </w:tcPr>
          <w:p w14:paraId="2859F589"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por planta de generación evitada ($USD Millones)</w:t>
            </w:r>
          </w:p>
        </w:tc>
        <w:tc>
          <w:tcPr>
            <w:tcW w:w="111" w:type="pct"/>
            <w:tcBorders>
              <w:top w:val="nil"/>
              <w:left w:val="nil"/>
              <w:bottom w:val="single" w:sz="4" w:space="0" w:color="auto"/>
              <w:right w:val="nil"/>
            </w:tcBorders>
            <w:shd w:val="clear" w:color="auto" w:fill="auto"/>
            <w:noWrap/>
            <w:vAlign w:val="bottom"/>
            <w:hideMark/>
          </w:tcPr>
          <w:p w14:paraId="1E2D47DD"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auto"/>
              <w:right w:val="nil"/>
            </w:tcBorders>
            <w:shd w:val="clear" w:color="auto" w:fill="auto"/>
            <w:noWrap/>
            <w:vAlign w:val="bottom"/>
            <w:hideMark/>
          </w:tcPr>
          <w:p w14:paraId="4A2A9A8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auto"/>
              <w:right w:val="nil"/>
            </w:tcBorders>
            <w:shd w:val="clear" w:color="auto" w:fill="auto"/>
            <w:noWrap/>
            <w:vAlign w:val="bottom"/>
            <w:hideMark/>
          </w:tcPr>
          <w:p w14:paraId="5F767A6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auto"/>
              <w:right w:val="nil"/>
            </w:tcBorders>
            <w:shd w:val="clear" w:color="auto" w:fill="auto"/>
            <w:noWrap/>
            <w:vAlign w:val="bottom"/>
            <w:hideMark/>
          </w:tcPr>
          <w:p w14:paraId="5F42304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auto"/>
              <w:right w:val="nil"/>
            </w:tcBorders>
            <w:shd w:val="clear" w:color="auto" w:fill="auto"/>
            <w:noWrap/>
            <w:vAlign w:val="bottom"/>
            <w:hideMark/>
          </w:tcPr>
          <w:p w14:paraId="09423D5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auto"/>
              <w:right w:val="nil"/>
            </w:tcBorders>
            <w:shd w:val="clear" w:color="auto" w:fill="auto"/>
            <w:noWrap/>
            <w:vAlign w:val="bottom"/>
            <w:hideMark/>
          </w:tcPr>
          <w:p w14:paraId="4D3781D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auto"/>
              <w:right w:val="nil"/>
            </w:tcBorders>
            <w:shd w:val="clear" w:color="auto" w:fill="auto"/>
            <w:noWrap/>
            <w:vAlign w:val="bottom"/>
            <w:hideMark/>
          </w:tcPr>
          <w:p w14:paraId="657C725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r>
      <w:tr w:rsidR="002F1691" w:rsidRPr="00021A6F" w14:paraId="60F12ABA" w14:textId="77777777" w:rsidTr="002F1691">
        <w:trPr>
          <w:trHeight w:val="265"/>
        </w:trPr>
        <w:tc>
          <w:tcPr>
            <w:tcW w:w="2297" w:type="pct"/>
            <w:tcBorders>
              <w:top w:val="nil"/>
              <w:left w:val="nil"/>
              <w:bottom w:val="single" w:sz="4" w:space="0" w:color="auto"/>
              <w:right w:val="nil"/>
            </w:tcBorders>
            <w:shd w:val="clear" w:color="auto" w:fill="auto"/>
            <w:noWrap/>
            <w:vAlign w:val="bottom"/>
            <w:hideMark/>
          </w:tcPr>
          <w:p w14:paraId="6678F2B5" w14:textId="77777777" w:rsidR="002F1691" w:rsidRPr="00021A6F" w:rsidRDefault="002F1691" w:rsidP="002F1691">
            <w:pPr>
              <w:ind w:firstLineChars="100" w:firstLine="160"/>
              <w:rPr>
                <w:rFonts w:ascii="Calibri" w:hAnsi="Calibri" w:cs="Calibri"/>
                <w:color w:val="000000"/>
                <w:sz w:val="16"/>
                <w:szCs w:val="16"/>
                <w:lang w:eastAsia="es-CO"/>
              </w:rPr>
            </w:pPr>
            <w:r w:rsidRPr="00021A6F">
              <w:rPr>
                <w:rFonts w:ascii="Calibri" w:hAnsi="Calibri" w:cs="Calibri"/>
                <w:color w:val="000000"/>
                <w:sz w:val="16"/>
                <w:szCs w:val="16"/>
                <w:lang w:eastAsia="es-CO"/>
              </w:rPr>
              <w:t>Total Beneficios ($USD Millones)</w:t>
            </w:r>
          </w:p>
        </w:tc>
        <w:tc>
          <w:tcPr>
            <w:tcW w:w="111" w:type="pct"/>
            <w:tcBorders>
              <w:top w:val="nil"/>
              <w:left w:val="nil"/>
              <w:bottom w:val="single" w:sz="4" w:space="0" w:color="auto"/>
              <w:right w:val="nil"/>
            </w:tcBorders>
            <w:shd w:val="clear" w:color="auto" w:fill="auto"/>
            <w:noWrap/>
            <w:vAlign w:val="bottom"/>
            <w:hideMark/>
          </w:tcPr>
          <w:p w14:paraId="4903F547" w14:textId="77777777" w:rsidR="002F1691" w:rsidRPr="00021A6F" w:rsidRDefault="002F1691" w:rsidP="002F1691">
            <w:pPr>
              <w:rPr>
                <w:rFonts w:ascii="Calibri" w:hAnsi="Calibri" w:cs="Calibri"/>
                <w:color w:val="000000"/>
                <w:sz w:val="16"/>
                <w:szCs w:val="16"/>
                <w:lang w:eastAsia="es-CO"/>
              </w:rPr>
            </w:pPr>
            <w:r w:rsidRPr="00021A6F">
              <w:rPr>
                <w:rFonts w:ascii="Calibri" w:hAnsi="Calibri" w:cs="Calibri"/>
                <w:color w:val="000000"/>
                <w:sz w:val="16"/>
                <w:szCs w:val="16"/>
                <w:lang w:eastAsia="es-CO"/>
              </w:rPr>
              <w:t> </w:t>
            </w:r>
          </w:p>
        </w:tc>
        <w:tc>
          <w:tcPr>
            <w:tcW w:w="357" w:type="pct"/>
            <w:tcBorders>
              <w:top w:val="nil"/>
              <w:left w:val="nil"/>
              <w:bottom w:val="single" w:sz="4" w:space="0" w:color="auto"/>
              <w:right w:val="nil"/>
            </w:tcBorders>
            <w:shd w:val="clear" w:color="auto" w:fill="auto"/>
            <w:noWrap/>
            <w:vAlign w:val="bottom"/>
            <w:hideMark/>
          </w:tcPr>
          <w:p w14:paraId="37E5715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0,00</w:t>
            </w:r>
          </w:p>
        </w:tc>
        <w:tc>
          <w:tcPr>
            <w:tcW w:w="447" w:type="pct"/>
            <w:tcBorders>
              <w:top w:val="nil"/>
              <w:left w:val="nil"/>
              <w:bottom w:val="single" w:sz="4" w:space="0" w:color="auto"/>
              <w:right w:val="nil"/>
            </w:tcBorders>
            <w:shd w:val="clear" w:color="auto" w:fill="auto"/>
            <w:noWrap/>
            <w:vAlign w:val="bottom"/>
            <w:hideMark/>
          </w:tcPr>
          <w:p w14:paraId="783B1569"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27,49</w:t>
            </w:r>
          </w:p>
        </w:tc>
        <w:tc>
          <w:tcPr>
            <w:tcW w:w="447" w:type="pct"/>
            <w:tcBorders>
              <w:top w:val="nil"/>
              <w:left w:val="nil"/>
              <w:bottom w:val="single" w:sz="4" w:space="0" w:color="auto"/>
              <w:right w:val="nil"/>
            </w:tcBorders>
            <w:shd w:val="clear" w:color="auto" w:fill="auto"/>
            <w:noWrap/>
            <w:vAlign w:val="bottom"/>
            <w:hideMark/>
          </w:tcPr>
          <w:p w14:paraId="0DB15D6D"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55,20</w:t>
            </w:r>
          </w:p>
        </w:tc>
        <w:tc>
          <w:tcPr>
            <w:tcW w:w="447" w:type="pct"/>
            <w:tcBorders>
              <w:top w:val="nil"/>
              <w:left w:val="nil"/>
              <w:bottom w:val="single" w:sz="4" w:space="0" w:color="auto"/>
              <w:right w:val="nil"/>
            </w:tcBorders>
            <w:shd w:val="clear" w:color="auto" w:fill="auto"/>
            <w:noWrap/>
            <w:vAlign w:val="bottom"/>
            <w:hideMark/>
          </w:tcPr>
          <w:p w14:paraId="6859D0D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68,14</w:t>
            </w:r>
          </w:p>
        </w:tc>
        <w:tc>
          <w:tcPr>
            <w:tcW w:w="447" w:type="pct"/>
            <w:tcBorders>
              <w:top w:val="nil"/>
              <w:left w:val="nil"/>
              <w:bottom w:val="single" w:sz="4" w:space="0" w:color="auto"/>
              <w:right w:val="nil"/>
            </w:tcBorders>
            <w:shd w:val="clear" w:color="auto" w:fill="auto"/>
            <w:noWrap/>
            <w:vAlign w:val="bottom"/>
            <w:hideMark/>
          </w:tcPr>
          <w:p w14:paraId="58AEF6A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81,31</w:t>
            </w:r>
          </w:p>
        </w:tc>
        <w:tc>
          <w:tcPr>
            <w:tcW w:w="447" w:type="pct"/>
            <w:tcBorders>
              <w:top w:val="nil"/>
              <w:left w:val="nil"/>
              <w:bottom w:val="single" w:sz="4" w:space="0" w:color="auto"/>
              <w:right w:val="nil"/>
            </w:tcBorders>
            <w:shd w:val="clear" w:color="auto" w:fill="auto"/>
            <w:noWrap/>
            <w:vAlign w:val="bottom"/>
            <w:hideMark/>
          </w:tcPr>
          <w:p w14:paraId="4B38E68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94,74</w:t>
            </w:r>
          </w:p>
        </w:tc>
      </w:tr>
      <w:tr w:rsidR="002F1691" w:rsidRPr="00021A6F" w14:paraId="532926F2" w14:textId="77777777" w:rsidTr="002F1691">
        <w:trPr>
          <w:trHeight w:val="265"/>
        </w:trPr>
        <w:tc>
          <w:tcPr>
            <w:tcW w:w="2297" w:type="pct"/>
            <w:tcBorders>
              <w:top w:val="nil"/>
              <w:left w:val="nil"/>
              <w:bottom w:val="nil"/>
              <w:right w:val="nil"/>
            </w:tcBorders>
            <w:shd w:val="clear" w:color="auto" w:fill="auto"/>
            <w:noWrap/>
            <w:vAlign w:val="bottom"/>
            <w:hideMark/>
          </w:tcPr>
          <w:p w14:paraId="1F00FF4F" w14:textId="77777777" w:rsidR="002F1691" w:rsidRPr="00021A6F" w:rsidRDefault="002F1691" w:rsidP="002F1691">
            <w:pPr>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Inversión y Costos</w:t>
            </w:r>
          </w:p>
        </w:tc>
        <w:tc>
          <w:tcPr>
            <w:tcW w:w="111" w:type="pct"/>
            <w:tcBorders>
              <w:top w:val="nil"/>
              <w:left w:val="nil"/>
              <w:bottom w:val="nil"/>
              <w:right w:val="nil"/>
            </w:tcBorders>
            <w:shd w:val="clear" w:color="auto" w:fill="auto"/>
            <w:noWrap/>
            <w:vAlign w:val="bottom"/>
            <w:hideMark/>
          </w:tcPr>
          <w:p w14:paraId="044F3618" w14:textId="77777777" w:rsidR="002F1691" w:rsidRPr="00021A6F" w:rsidRDefault="002F1691" w:rsidP="002F1691">
            <w:pPr>
              <w:rPr>
                <w:rFonts w:ascii="Calibri" w:hAnsi="Calibri" w:cs="Calibri"/>
                <w:b/>
                <w:bCs/>
                <w:color w:val="000000"/>
                <w:sz w:val="16"/>
                <w:szCs w:val="16"/>
                <w:lang w:eastAsia="es-CO"/>
              </w:rPr>
            </w:pPr>
          </w:p>
        </w:tc>
        <w:tc>
          <w:tcPr>
            <w:tcW w:w="357" w:type="pct"/>
            <w:tcBorders>
              <w:top w:val="nil"/>
              <w:left w:val="nil"/>
              <w:bottom w:val="nil"/>
              <w:right w:val="nil"/>
            </w:tcBorders>
            <w:shd w:val="clear" w:color="auto" w:fill="auto"/>
            <w:noWrap/>
            <w:vAlign w:val="bottom"/>
            <w:hideMark/>
          </w:tcPr>
          <w:p w14:paraId="6DDAF9A1" w14:textId="77777777" w:rsidR="002F1691" w:rsidRPr="00295BE9" w:rsidRDefault="002F1691" w:rsidP="002F1691">
            <w:pPr>
              <w:jc w:val="right"/>
              <w:rPr>
                <w:rFonts w:ascii="Calibri" w:hAnsi="Calibri" w:cs="Calibri"/>
                <w:color w:val="000000" w:themeColor="text1"/>
                <w:sz w:val="16"/>
                <w:szCs w:val="16"/>
              </w:rPr>
            </w:pPr>
          </w:p>
        </w:tc>
        <w:tc>
          <w:tcPr>
            <w:tcW w:w="447" w:type="pct"/>
            <w:tcBorders>
              <w:top w:val="nil"/>
              <w:left w:val="nil"/>
              <w:bottom w:val="nil"/>
              <w:right w:val="nil"/>
            </w:tcBorders>
            <w:shd w:val="clear" w:color="auto" w:fill="auto"/>
            <w:noWrap/>
            <w:vAlign w:val="bottom"/>
            <w:hideMark/>
          </w:tcPr>
          <w:p w14:paraId="04A77733"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27948D9C"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0909685A"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48F4ED88"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77495404" w14:textId="77777777" w:rsidR="002F1691" w:rsidRPr="00295BE9" w:rsidRDefault="002F1691" w:rsidP="002F1691">
            <w:pPr>
              <w:rPr>
                <w:color w:val="000000" w:themeColor="text1"/>
                <w:sz w:val="16"/>
                <w:szCs w:val="16"/>
              </w:rPr>
            </w:pPr>
          </w:p>
        </w:tc>
      </w:tr>
      <w:tr w:rsidR="002F1691" w:rsidRPr="00021A6F" w14:paraId="1944AF81" w14:textId="77777777" w:rsidTr="002F1691">
        <w:trPr>
          <w:trHeight w:val="265"/>
        </w:trPr>
        <w:tc>
          <w:tcPr>
            <w:tcW w:w="2297" w:type="pct"/>
            <w:tcBorders>
              <w:top w:val="nil"/>
              <w:left w:val="nil"/>
              <w:bottom w:val="nil"/>
              <w:right w:val="nil"/>
            </w:tcBorders>
            <w:shd w:val="clear" w:color="auto" w:fill="auto"/>
            <w:noWrap/>
            <w:vAlign w:val="bottom"/>
            <w:hideMark/>
          </w:tcPr>
          <w:p w14:paraId="6CC7F7BD" w14:textId="77777777" w:rsidR="002F1691" w:rsidRPr="00021A6F" w:rsidRDefault="002F1691" w:rsidP="002F1691">
            <w:pPr>
              <w:ind w:firstLineChars="100" w:firstLine="161"/>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Escenario Sin proyecto</w:t>
            </w:r>
          </w:p>
        </w:tc>
        <w:tc>
          <w:tcPr>
            <w:tcW w:w="111" w:type="pct"/>
            <w:tcBorders>
              <w:top w:val="nil"/>
              <w:left w:val="nil"/>
              <w:bottom w:val="nil"/>
              <w:right w:val="nil"/>
            </w:tcBorders>
            <w:shd w:val="clear" w:color="auto" w:fill="auto"/>
            <w:noWrap/>
            <w:vAlign w:val="bottom"/>
            <w:hideMark/>
          </w:tcPr>
          <w:p w14:paraId="4E780818" w14:textId="77777777" w:rsidR="002F1691" w:rsidRPr="00021A6F" w:rsidRDefault="002F1691" w:rsidP="002F1691">
            <w:pPr>
              <w:ind w:firstLineChars="100" w:firstLine="161"/>
              <w:rPr>
                <w:rFonts w:ascii="Calibri" w:hAnsi="Calibri" w:cs="Calibri"/>
                <w:b/>
                <w:bCs/>
                <w:color w:val="000000"/>
                <w:sz w:val="16"/>
                <w:szCs w:val="16"/>
                <w:lang w:eastAsia="es-CO"/>
              </w:rPr>
            </w:pPr>
          </w:p>
        </w:tc>
        <w:tc>
          <w:tcPr>
            <w:tcW w:w="357" w:type="pct"/>
            <w:tcBorders>
              <w:top w:val="nil"/>
              <w:left w:val="nil"/>
              <w:bottom w:val="nil"/>
              <w:right w:val="nil"/>
            </w:tcBorders>
            <w:shd w:val="clear" w:color="auto" w:fill="auto"/>
            <w:noWrap/>
            <w:vAlign w:val="bottom"/>
            <w:hideMark/>
          </w:tcPr>
          <w:p w14:paraId="6DDB5310"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120E7E8F"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5119DD3C"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684923DB"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58F17953"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42C84D27" w14:textId="77777777" w:rsidR="002F1691" w:rsidRPr="00295BE9" w:rsidRDefault="002F1691" w:rsidP="002F1691">
            <w:pPr>
              <w:rPr>
                <w:color w:val="000000" w:themeColor="text1"/>
                <w:sz w:val="16"/>
                <w:szCs w:val="16"/>
              </w:rPr>
            </w:pPr>
          </w:p>
        </w:tc>
      </w:tr>
      <w:tr w:rsidR="002F1691" w:rsidRPr="00021A6F" w14:paraId="2172FA9B" w14:textId="77777777" w:rsidTr="002F1691">
        <w:trPr>
          <w:trHeight w:val="265"/>
        </w:trPr>
        <w:tc>
          <w:tcPr>
            <w:tcW w:w="2297" w:type="pct"/>
            <w:tcBorders>
              <w:top w:val="nil"/>
              <w:left w:val="nil"/>
              <w:bottom w:val="nil"/>
              <w:right w:val="nil"/>
            </w:tcBorders>
            <w:shd w:val="clear" w:color="auto" w:fill="auto"/>
            <w:noWrap/>
            <w:vAlign w:val="bottom"/>
            <w:hideMark/>
          </w:tcPr>
          <w:p w14:paraId="7B0DB5A3"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Nuevos bombillos incandescentes adquiridos en el año</w:t>
            </w:r>
          </w:p>
        </w:tc>
        <w:tc>
          <w:tcPr>
            <w:tcW w:w="111" w:type="pct"/>
            <w:tcBorders>
              <w:top w:val="nil"/>
              <w:left w:val="nil"/>
              <w:bottom w:val="nil"/>
              <w:right w:val="nil"/>
            </w:tcBorders>
            <w:shd w:val="clear" w:color="auto" w:fill="auto"/>
            <w:noWrap/>
            <w:vAlign w:val="bottom"/>
            <w:hideMark/>
          </w:tcPr>
          <w:p w14:paraId="57FE1CE2"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4AA6EEE1"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0127135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2.645.014</w:t>
            </w:r>
          </w:p>
        </w:tc>
        <w:tc>
          <w:tcPr>
            <w:tcW w:w="447" w:type="pct"/>
            <w:tcBorders>
              <w:top w:val="nil"/>
              <w:left w:val="nil"/>
              <w:bottom w:val="nil"/>
              <w:right w:val="nil"/>
            </w:tcBorders>
            <w:shd w:val="clear" w:color="auto" w:fill="auto"/>
            <w:noWrap/>
            <w:vAlign w:val="bottom"/>
            <w:hideMark/>
          </w:tcPr>
          <w:p w14:paraId="531DD62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2.674.403</w:t>
            </w:r>
          </w:p>
        </w:tc>
        <w:tc>
          <w:tcPr>
            <w:tcW w:w="447" w:type="pct"/>
            <w:tcBorders>
              <w:top w:val="nil"/>
              <w:left w:val="nil"/>
              <w:bottom w:val="nil"/>
              <w:right w:val="nil"/>
            </w:tcBorders>
            <w:shd w:val="clear" w:color="auto" w:fill="auto"/>
            <w:noWrap/>
            <w:vAlign w:val="bottom"/>
            <w:hideMark/>
          </w:tcPr>
          <w:p w14:paraId="3AACB4E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3.293.042</w:t>
            </w:r>
          </w:p>
        </w:tc>
        <w:tc>
          <w:tcPr>
            <w:tcW w:w="447" w:type="pct"/>
            <w:tcBorders>
              <w:top w:val="nil"/>
              <w:left w:val="nil"/>
              <w:bottom w:val="nil"/>
              <w:right w:val="nil"/>
            </w:tcBorders>
            <w:shd w:val="clear" w:color="auto" w:fill="auto"/>
            <w:noWrap/>
            <w:vAlign w:val="bottom"/>
            <w:hideMark/>
          </w:tcPr>
          <w:p w14:paraId="0EA53CC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3.354.832</w:t>
            </w:r>
          </w:p>
        </w:tc>
        <w:tc>
          <w:tcPr>
            <w:tcW w:w="447" w:type="pct"/>
            <w:tcBorders>
              <w:top w:val="nil"/>
              <w:left w:val="nil"/>
              <w:bottom w:val="nil"/>
              <w:right w:val="nil"/>
            </w:tcBorders>
            <w:shd w:val="clear" w:color="auto" w:fill="auto"/>
            <w:noWrap/>
            <w:vAlign w:val="bottom"/>
            <w:hideMark/>
          </w:tcPr>
          <w:p w14:paraId="7419EBA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4.007.493</w:t>
            </w:r>
          </w:p>
        </w:tc>
      </w:tr>
      <w:tr w:rsidR="002F1691" w:rsidRPr="00021A6F" w14:paraId="31FE3929" w14:textId="77777777" w:rsidTr="002F1691">
        <w:trPr>
          <w:trHeight w:val="265"/>
        </w:trPr>
        <w:tc>
          <w:tcPr>
            <w:tcW w:w="2297" w:type="pct"/>
            <w:tcBorders>
              <w:top w:val="nil"/>
              <w:left w:val="nil"/>
              <w:bottom w:val="nil"/>
              <w:right w:val="nil"/>
            </w:tcBorders>
            <w:shd w:val="clear" w:color="auto" w:fill="auto"/>
            <w:noWrap/>
            <w:vAlign w:val="bottom"/>
            <w:hideMark/>
          </w:tcPr>
          <w:p w14:paraId="5304CCF9"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Nuevos bombillos LFC adquiridos en el año</w:t>
            </w:r>
          </w:p>
        </w:tc>
        <w:tc>
          <w:tcPr>
            <w:tcW w:w="111" w:type="pct"/>
            <w:tcBorders>
              <w:top w:val="nil"/>
              <w:left w:val="nil"/>
              <w:bottom w:val="nil"/>
              <w:right w:val="nil"/>
            </w:tcBorders>
            <w:shd w:val="clear" w:color="auto" w:fill="auto"/>
            <w:noWrap/>
            <w:vAlign w:val="bottom"/>
            <w:hideMark/>
          </w:tcPr>
          <w:p w14:paraId="7A383CED"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5A86537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6E3C2649"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1495B19D"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4DCB878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141A7E4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576AA9B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r>
      <w:tr w:rsidR="002F1691" w:rsidRPr="00021A6F" w14:paraId="44C77FDF" w14:textId="77777777" w:rsidTr="002F1691">
        <w:trPr>
          <w:trHeight w:val="265"/>
        </w:trPr>
        <w:tc>
          <w:tcPr>
            <w:tcW w:w="2297" w:type="pct"/>
            <w:tcBorders>
              <w:top w:val="nil"/>
              <w:left w:val="nil"/>
              <w:bottom w:val="single" w:sz="4" w:space="0" w:color="BFBFBF"/>
              <w:right w:val="nil"/>
            </w:tcBorders>
            <w:shd w:val="clear" w:color="auto" w:fill="auto"/>
            <w:noWrap/>
            <w:vAlign w:val="bottom"/>
            <w:hideMark/>
          </w:tcPr>
          <w:p w14:paraId="00E3A5A7"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Nuevos bombillos LED adquiridos en el año</w:t>
            </w:r>
          </w:p>
        </w:tc>
        <w:tc>
          <w:tcPr>
            <w:tcW w:w="111" w:type="pct"/>
            <w:tcBorders>
              <w:top w:val="nil"/>
              <w:left w:val="nil"/>
              <w:bottom w:val="single" w:sz="4" w:space="0" w:color="BFBFBF"/>
              <w:right w:val="nil"/>
            </w:tcBorders>
            <w:shd w:val="clear" w:color="auto" w:fill="auto"/>
            <w:noWrap/>
            <w:vAlign w:val="bottom"/>
            <w:hideMark/>
          </w:tcPr>
          <w:p w14:paraId="38569D48"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BFBFBF"/>
              <w:right w:val="nil"/>
            </w:tcBorders>
            <w:shd w:val="clear" w:color="auto" w:fill="auto"/>
            <w:noWrap/>
            <w:vAlign w:val="bottom"/>
            <w:hideMark/>
          </w:tcPr>
          <w:p w14:paraId="6DDCB40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46F3C39E"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10A4521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0AEE70C9"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7869917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04FEF9F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r>
      <w:tr w:rsidR="002F1691" w:rsidRPr="00021A6F" w14:paraId="4E614D2F" w14:textId="77777777" w:rsidTr="002F1691">
        <w:trPr>
          <w:trHeight w:val="265"/>
        </w:trPr>
        <w:tc>
          <w:tcPr>
            <w:tcW w:w="2297" w:type="pct"/>
            <w:tcBorders>
              <w:top w:val="nil"/>
              <w:left w:val="nil"/>
              <w:bottom w:val="single" w:sz="4" w:space="0" w:color="BFBFBF"/>
              <w:right w:val="nil"/>
            </w:tcBorders>
            <w:shd w:val="clear" w:color="auto" w:fill="auto"/>
            <w:noWrap/>
            <w:vAlign w:val="bottom"/>
            <w:hideMark/>
          </w:tcPr>
          <w:p w14:paraId="34816860"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Inversión en bombillos ($USD Millones)</w:t>
            </w:r>
          </w:p>
        </w:tc>
        <w:tc>
          <w:tcPr>
            <w:tcW w:w="111" w:type="pct"/>
            <w:tcBorders>
              <w:top w:val="nil"/>
              <w:left w:val="nil"/>
              <w:bottom w:val="single" w:sz="4" w:space="0" w:color="BFBFBF"/>
              <w:right w:val="nil"/>
            </w:tcBorders>
            <w:shd w:val="clear" w:color="auto" w:fill="auto"/>
            <w:noWrap/>
            <w:vAlign w:val="bottom"/>
            <w:hideMark/>
          </w:tcPr>
          <w:p w14:paraId="638E06F6"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BFBFBF"/>
              <w:right w:val="nil"/>
            </w:tcBorders>
            <w:shd w:val="clear" w:color="auto" w:fill="auto"/>
            <w:noWrap/>
            <w:vAlign w:val="bottom"/>
            <w:hideMark/>
          </w:tcPr>
          <w:p w14:paraId="5AADEE4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w:t>
            </w:r>
          </w:p>
        </w:tc>
        <w:tc>
          <w:tcPr>
            <w:tcW w:w="447" w:type="pct"/>
            <w:tcBorders>
              <w:top w:val="nil"/>
              <w:left w:val="nil"/>
              <w:bottom w:val="single" w:sz="4" w:space="0" w:color="BFBFBF"/>
              <w:right w:val="nil"/>
            </w:tcBorders>
            <w:shd w:val="clear" w:color="auto" w:fill="auto"/>
            <w:noWrap/>
            <w:vAlign w:val="bottom"/>
            <w:hideMark/>
          </w:tcPr>
          <w:p w14:paraId="5D9AC44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1,1</w:t>
            </w:r>
          </w:p>
        </w:tc>
        <w:tc>
          <w:tcPr>
            <w:tcW w:w="447" w:type="pct"/>
            <w:tcBorders>
              <w:top w:val="nil"/>
              <w:left w:val="nil"/>
              <w:bottom w:val="single" w:sz="4" w:space="0" w:color="BFBFBF"/>
              <w:right w:val="nil"/>
            </w:tcBorders>
            <w:shd w:val="clear" w:color="auto" w:fill="auto"/>
            <w:noWrap/>
            <w:vAlign w:val="bottom"/>
            <w:hideMark/>
          </w:tcPr>
          <w:p w14:paraId="1568B143"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1,1</w:t>
            </w:r>
          </w:p>
        </w:tc>
        <w:tc>
          <w:tcPr>
            <w:tcW w:w="447" w:type="pct"/>
            <w:tcBorders>
              <w:top w:val="nil"/>
              <w:left w:val="nil"/>
              <w:bottom w:val="single" w:sz="4" w:space="0" w:color="BFBFBF"/>
              <w:right w:val="nil"/>
            </w:tcBorders>
            <w:shd w:val="clear" w:color="auto" w:fill="auto"/>
            <w:noWrap/>
            <w:vAlign w:val="bottom"/>
            <w:hideMark/>
          </w:tcPr>
          <w:p w14:paraId="6C65062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1,3</w:t>
            </w:r>
          </w:p>
        </w:tc>
        <w:tc>
          <w:tcPr>
            <w:tcW w:w="447" w:type="pct"/>
            <w:tcBorders>
              <w:top w:val="nil"/>
              <w:left w:val="nil"/>
              <w:bottom w:val="single" w:sz="4" w:space="0" w:color="BFBFBF"/>
              <w:right w:val="nil"/>
            </w:tcBorders>
            <w:shd w:val="clear" w:color="auto" w:fill="auto"/>
            <w:noWrap/>
            <w:vAlign w:val="bottom"/>
            <w:hideMark/>
          </w:tcPr>
          <w:p w14:paraId="7AAA8D9D"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1,3</w:t>
            </w:r>
          </w:p>
        </w:tc>
        <w:tc>
          <w:tcPr>
            <w:tcW w:w="447" w:type="pct"/>
            <w:tcBorders>
              <w:top w:val="nil"/>
              <w:left w:val="nil"/>
              <w:bottom w:val="single" w:sz="4" w:space="0" w:color="BFBFBF"/>
              <w:right w:val="nil"/>
            </w:tcBorders>
            <w:shd w:val="clear" w:color="auto" w:fill="auto"/>
            <w:noWrap/>
            <w:vAlign w:val="bottom"/>
            <w:hideMark/>
          </w:tcPr>
          <w:p w14:paraId="7C07B2B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1,6</w:t>
            </w:r>
          </w:p>
        </w:tc>
      </w:tr>
      <w:tr w:rsidR="002F1691" w:rsidRPr="00021A6F" w14:paraId="02A12807" w14:textId="77777777" w:rsidTr="002F1691">
        <w:trPr>
          <w:trHeight w:val="265"/>
        </w:trPr>
        <w:tc>
          <w:tcPr>
            <w:tcW w:w="2297" w:type="pct"/>
            <w:tcBorders>
              <w:top w:val="nil"/>
              <w:left w:val="nil"/>
              <w:bottom w:val="nil"/>
              <w:right w:val="nil"/>
            </w:tcBorders>
            <w:shd w:val="clear" w:color="auto" w:fill="auto"/>
            <w:noWrap/>
            <w:vAlign w:val="bottom"/>
            <w:hideMark/>
          </w:tcPr>
          <w:p w14:paraId="05DAF166" w14:textId="77777777" w:rsidR="002F1691" w:rsidRPr="00021A6F" w:rsidRDefault="002F1691" w:rsidP="002F1691">
            <w:pPr>
              <w:ind w:firstLineChars="100" w:firstLine="161"/>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Escenario Con proyecto</w:t>
            </w:r>
          </w:p>
        </w:tc>
        <w:tc>
          <w:tcPr>
            <w:tcW w:w="111" w:type="pct"/>
            <w:tcBorders>
              <w:top w:val="nil"/>
              <w:left w:val="nil"/>
              <w:bottom w:val="nil"/>
              <w:right w:val="nil"/>
            </w:tcBorders>
            <w:shd w:val="clear" w:color="auto" w:fill="auto"/>
            <w:noWrap/>
            <w:vAlign w:val="bottom"/>
            <w:hideMark/>
          </w:tcPr>
          <w:p w14:paraId="3B6B8A0E" w14:textId="77777777" w:rsidR="002F1691" w:rsidRPr="00021A6F" w:rsidRDefault="002F1691" w:rsidP="002F1691">
            <w:pPr>
              <w:ind w:firstLineChars="100" w:firstLine="161"/>
              <w:rPr>
                <w:rFonts w:ascii="Calibri" w:hAnsi="Calibri" w:cs="Calibri"/>
                <w:b/>
                <w:bCs/>
                <w:color w:val="000000"/>
                <w:sz w:val="16"/>
                <w:szCs w:val="16"/>
                <w:lang w:eastAsia="es-CO"/>
              </w:rPr>
            </w:pPr>
          </w:p>
        </w:tc>
        <w:tc>
          <w:tcPr>
            <w:tcW w:w="357" w:type="pct"/>
            <w:tcBorders>
              <w:top w:val="nil"/>
              <w:left w:val="nil"/>
              <w:bottom w:val="nil"/>
              <w:right w:val="nil"/>
            </w:tcBorders>
            <w:shd w:val="clear" w:color="auto" w:fill="auto"/>
            <w:noWrap/>
            <w:vAlign w:val="bottom"/>
            <w:hideMark/>
          </w:tcPr>
          <w:p w14:paraId="279C172D" w14:textId="77777777" w:rsidR="002F1691" w:rsidRPr="00295BE9" w:rsidRDefault="002F1691" w:rsidP="002F1691">
            <w:pPr>
              <w:jc w:val="right"/>
              <w:rPr>
                <w:rFonts w:ascii="Calibri" w:hAnsi="Calibri" w:cs="Calibri"/>
                <w:color w:val="000000" w:themeColor="text1"/>
                <w:sz w:val="16"/>
                <w:szCs w:val="16"/>
              </w:rPr>
            </w:pPr>
          </w:p>
        </w:tc>
        <w:tc>
          <w:tcPr>
            <w:tcW w:w="447" w:type="pct"/>
            <w:tcBorders>
              <w:top w:val="nil"/>
              <w:left w:val="nil"/>
              <w:bottom w:val="nil"/>
              <w:right w:val="nil"/>
            </w:tcBorders>
            <w:shd w:val="clear" w:color="auto" w:fill="auto"/>
            <w:noWrap/>
            <w:vAlign w:val="bottom"/>
            <w:hideMark/>
          </w:tcPr>
          <w:p w14:paraId="2A31D5E4"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54E75CAD"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4ADB3250"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5625FC41"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0A4B379D" w14:textId="77777777" w:rsidR="002F1691" w:rsidRPr="00295BE9" w:rsidRDefault="002F1691" w:rsidP="002F1691">
            <w:pPr>
              <w:rPr>
                <w:color w:val="000000" w:themeColor="text1"/>
                <w:sz w:val="16"/>
                <w:szCs w:val="16"/>
              </w:rPr>
            </w:pPr>
          </w:p>
        </w:tc>
      </w:tr>
      <w:tr w:rsidR="002F1691" w:rsidRPr="00021A6F" w14:paraId="2BD2E77D" w14:textId="77777777" w:rsidTr="002F1691">
        <w:trPr>
          <w:trHeight w:val="265"/>
        </w:trPr>
        <w:tc>
          <w:tcPr>
            <w:tcW w:w="2297" w:type="pct"/>
            <w:tcBorders>
              <w:top w:val="nil"/>
              <w:left w:val="nil"/>
              <w:bottom w:val="nil"/>
              <w:right w:val="nil"/>
            </w:tcBorders>
            <w:shd w:val="clear" w:color="auto" w:fill="auto"/>
            <w:noWrap/>
            <w:vAlign w:val="bottom"/>
            <w:hideMark/>
          </w:tcPr>
          <w:p w14:paraId="7B894B89"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Nuevos bombillos incandescentes adquiridos en el año</w:t>
            </w:r>
          </w:p>
        </w:tc>
        <w:tc>
          <w:tcPr>
            <w:tcW w:w="111" w:type="pct"/>
            <w:tcBorders>
              <w:top w:val="nil"/>
              <w:left w:val="nil"/>
              <w:bottom w:val="nil"/>
              <w:right w:val="nil"/>
            </w:tcBorders>
            <w:shd w:val="clear" w:color="auto" w:fill="auto"/>
            <w:noWrap/>
            <w:vAlign w:val="bottom"/>
            <w:hideMark/>
          </w:tcPr>
          <w:p w14:paraId="5D23D369"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427251A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36B3BD8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287AA48F"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0407C47D"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3909AE4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436F9C7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r>
      <w:tr w:rsidR="002F1691" w:rsidRPr="00021A6F" w14:paraId="322C4F63" w14:textId="77777777" w:rsidTr="002F1691">
        <w:trPr>
          <w:trHeight w:val="265"/>
        </w:trPr>
        <w:tc>
          <w:tcPr>
            <w:tcW w:w="2297" w:type="pct"/>
            <w:tcBorders>
              <w:top w:val="nil"/>
              <w:left w:val="nil"/>
              <w:bottom w:val="nil"/>
              <w:right w:val="nil"/>
            </w:tcBorders>
            <w:shd w:val="clear" w:color="auto" w:fill="auto"/>
            <w:noWrap/>
            <w:vAlign w:val="bottom"/>
            <w:hideMark/>
          </w:tcPr>
          <w:p w14:paraId="550760DA"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Nuevos bombillos LFC adquiridos en el año</w:t>
            </w:r>
          </w:p>
        </w:tc>
        <w:tc>
          <w:tcPr>
            <w:tcW w:w="111" w:type="pct"/>
            <w:tcBorders>
              <w:top w:val="nil"/>
              <w:left w:val="nil"/>
              <w:bottom w:val="nil"/>
              <w:right w:val="nil"/>
            </w:tcBorders>
            <w:shd w:val="clear" w:color="auto" w:fill="auto"/>
            <w:noWrap/>
            <w:vAlign w:val="bottom"/>
            <w:hideMark/>
          </w:tcPr>
          <w:p w14:paraId="171B7F1D"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14E82EF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nil"/>
              <w:right w:val="nil"/>
            </w:tcBorders>
            <w:shd w:val="clear" w:color="auto" w:fill="auto"/>
            <w:noWrap/>
            <w:vAlign w:val="bottom"/>
            <w:hideMark/>
          </w:tcPr>
          <w:p w14:paraId="2A5D77E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2.645.014</w:t>
            </w:r>
          </w:p>
        </w:tc>
        <w:tc>
          <w:tcPr>
            <w:tcW w:w="447" w:type="pct"/>
            <w:tcBorders>
              <w:top w:val="nil"/>
              <w:left w:val="nil"/>
              <w:bottom w:val="nil"/>
              <w:right w:val="nil"/>
            </w:tcBorders>
            <w:shd w:val="clear" w:color="auto" w:fill="auto"/>
            <w:noWrap/>
            <w:vAlign w:val="bottom"/>
            <w:hideMark/>
          </w:tcPr>
          <w:p w14:paraId="5ECD435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2.674.403</w:t>
            </w:r>
          </w:p>
        </w:tc>
        <w:tc>
          <w:tcPr>
            <w:tcW w:w="447" w:type="pct"/>
            <w:tcBorders>
              <w:top w:val="nil"/>
              <w:left w:val="nil"/>
              <w:bottom w:val="nil"/>
              <w:right w:val="nil"/>
            </w:tcBorders>
            <w:shd w:val="clear" w:color="auto" w:fill="auto"/>
            <w:noWrap/>
            <w:vAlign w:val="bottom"/>
            <w:hideMark/>
          </w:tcPr>
          <w:p w14:paraId="039D2E7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1.235.809</w:t>
            </w:r>
          </w:p>
        </w:tc>
        <w:tc>
          <w:tcPr>
            <w:tcW w:w="447" w:type="pct"/>
            <w:tcBorders>
              <w:top w:val="nil"/>
              <w:left w:val="nil"/>
              <w:bottom w:val="nil"/>
              <w:right w:val="nil"/>
            </w:tcBorders>
            <w:shd w:val="clear" w:color="auto" w:fill="auto"/>
            <w:noWrap/>
            <w:vAlign w:val="bottom"/>
            <w:hideMark/>
          </w:tcPr>
          <w:p w14:paraId="400C0DC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1.268.211</w:t>
            </w:r>
          </w:p>
        </w:tc>
        <w:tc>
          <w:tcPr>
            <w:tcW w:w="447" w:type="pct"/>
            <w:tcBorders>
              <w:top w:val="nil"/>
              <w:left w:val="nil"/>
              <w:bottom w:val="nil"/>
              <w:right w:val="nil"/>
            </w:tcBorders>
            <w:shd w:val="clear" w:color="auto" w:fill="auto"/>
            <w:noWrap/>
            <w:vAlign w:val="bottom"/>
            <w:hideMark/>
          </w:tcPr>
          <w:p w14:paraId="29796BE1"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1.302.232</w:t>
            </w:r>
          </w:p>
        </w:tc>
      </w:tr>
      <w:tr w:rsidR="002F1691" w:rsidRPr="00021A6F" w14:paraId="3CAA5656" w14:textId="77777777" w:rsidTr="002F1691">
        <w:trPr>
          <w:trHeight w:val="265"/>
        </w:trPr>
        <w:tc>
          <w:tcPr>
            <w:tcW w:w="2297" w:type="pct"/>
            <w:tcBorders>
              <w:top w:val="nil"/>
              <w:left w:val="nil"/>
              <w:bottom w:val="single" w:sz="4" w:space="0" w:color="BFBFBF"/>
              <w:right w:val="nil"/>
            </w:tcBorders>
            <w:shd w:val="clear" w:color="auto" w:fill="auto"/>
            <w:noWrap/>
            <w:vAlign w:val="bottom"/>
            <w:hideMark/>
          </w:tcPr>
          <w:p w14:paraId="68EE48BA"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Nuevos bombillos LED adquiridos en el año</w:t>
            </w:r>
          </w:p>
        </w:tc>
        <w:tc>
          <w:tcPr>
            <w:tcW w:w="111" w:type="pct"/>
            <w:tcBorders>
              <w:top w:val="nil"/>
              <w:left w:val="nil"/>
              <w:bottom w:val="single" w:sz="4" w:space="0" w:color="BFBFBF"/>
              <w:right w:val="nil"/>
            </w:tcBorders>
            <w:shd w:val="clear" w:color="auto" w:fill="auto"/>
            <w:noWrap/>
            <w:vAlign w:val="bottom"/>
            <w:hideMark/>
          </w:tcPr>
          <w:p w14:paraId="1868F784"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BFBFBF"/>
              <w:right w:val="nil"/>
            </w:tcBorders>
            <w:shd w:val="clear" w:color="auto" w:fill="auto"/>
            <w:noWrap/>
            <w:vAlign w:val="bottom"/>
            <w:hideMark/>
          </w:tcPr>
          <w:p w14:paraId="0DEC44A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nil"/>
              <w:left w:val="nil"/>
              <w:bottom w:val="single" w:sz="4" w:space="0" w:color="BFBFBF"/>
              <w:right w:val="nil"/>
            </w:tcBorders>
            <w:shd w:val="clear" w:color="auto" w:fill="auto"/>
            <w:noWrap/>
            <w:vAlign w:val="bottom"/>
            <w:hideMark/>
          </w:tcPr>
          <w:p w14:paraId="3C13131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1.091.593</w:t>
            </w:r>
          </w:p>
        </w:tc>
        <w:tc>
          <w:tcPr>
            <w:tcW w:w="447" w:type="pct"/>
            <w:tcBorders>
              <w:top w:val="nil"/>
              <w:left w:val="nil"/>
              <w:bottom w:val="single" w:sz="4" w:space="0" w:color="BFBFBF"/>
              <w:right w:val="nil"/>
            </w:tcBorders>
            <w:shd w:val="clear" w:color="auto" w:fill="auto"/>
            <w:noWrap/>
            <w:vAlign w:val="bottom"/>
            <w:hideMark/>
          </w:tcPr>
          <w:p w14:paraId="42CF167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1.091.593</w:t>
            </w:r>
          </w:p>
        </w:tc>
        <w:tc>
          <w:tcPr>
            <w:tcW w:w="447" w:type="pct"/>
            <w:tcBorders>
              <w:top w:val="nil"/>
              <w:left w:val="nil"/>
              <w:bottom w:val="single" w:sz="4" w:space="0" w:color="BFBFBF"/>
              <w:right w:val="nil"/>
            </w:tcBorders>
            <w:shd w:val="clear" w:color="auto" w:fill="auto"/>
            <w:noWrap/>
            <w:vAlign w:val="bottom"/>
            <w:hideMark/>
          </w:tcPr>
          <w:p w14:paraId="1D9DC24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1.091.593</w:t>
            </w:r>
          </w:p>
        </w:tc>
        <w:tc>
          <w:tcPr>
            <w:tcW w:w="447" w:type="pct"/>
            <w:tcBorders>
              <w:top w:val="nil"/>
              <w:left w:val="nil"/>
              <w:bottom w:val="single" w:sz="4" w:space="0" w:color="BFBFBF"/>
              <w:right w:val="nil"/>
            </w:tcBorders>
            <w:shd w:val="clear" w:color="auto" w:fill="auto"/>
            <w:noWrap/>
            <w:vAlign w:val="bottom"/>
            <w:hideMark/>
          </w:tcPr>
          <w:p w14:paraId="4832D89D"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1.091.593</w:t>
            </w:r>
          </w:p>
        </w:tc>
        <w:tc>
          <w:tcPr>
            <w:tcW w:w="447" w:type="pct"/>
            <w:tcBorders>
              <w:top w:val="nil"/>
              <w:left w:val="nil"/>
              <w:bottom w:val="single" w:sz="4" w:space="0" w:color="BFBFBF"/>
              <w:right w:val="nil"/>
            </w:tcBorders>
            <w:shd w:val="clear" w:color="auto" w:fill="auto"/>
            <w:noWrap/>
            <w:vAlign w:val="bottom"/>
            <w:hideMark/>
          </w:tcPr>
          <w:p w14:paraId="61ACC91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1.091.593</w:t>
            </w:r>
          </w:p>
        </w:tc>
      </w:tr>
      <w:tr w:rsidR="002F1691" w:rsidRPr="00021A6F" w14:paraId="0F274293" w14:textId="77777777" w:rsidTr="002F1691">
        <w:trPr>
          <w:trHeight w:val="265"/>
        </w:trPr>
        <w:tc>
          <w:tcPr>
            <w:tcW w:w="2297" w:type="pct"/>
            <w:tcBorders>
              <w:top w:val="nil"/>
              <w:left w:val="nil"/>
              <w:bottom w:val="nil"/>
              <w:right w:val="nil"/>
            </w:tcBorders>
            <w:shd w:val="clear" w:color="auto" w:fill="auto"/>
            <w:noWrap/>
            <w:vAlign w:val="bottom"/>
            <w:hideMark/>
          </w:tcPr>
          <w:p w14:paraId="6DBEEDD1"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Inversión en bombillos ($USD Millones)</w:t>
            </w:r>
          </w:p>
        </w:tc>
        <w:tc>
          <w:tcPr>
            <w:tcW w:w="111" w:type="pct"/>
            <w:tcBorders>
              <w:top w:val="nil"/>
              <w:left w:val="nil"/>
              <w:bottom w:val="nil"/>
              <w:right w:val="nil"/>
            </w:tcBorders>
            <w:shd w:val="clear" w:color="auto" w:fill="auto"/>
            <w:noWrap/>
            <w:vAlign w:val="bottom"/>
            <w:hideMark/>
          </w:tcPr>
          <w:p w14:paraId="50B65D31"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357" w:type="pct"/>
            <w:tcBorders>
              <w:top w:val="nil"/>
              <w:left w:val="nil"/>
              <w:bottom w:val="nil"/>
              <w:right w:val="nil"/>
            </w:tcBorders>
            <w:shd w:val="clear" w:color="auto" w:fill="auto"/>
            <w:noWrap/>
            <w:vAlign w:val="bottom"/>
            <w:hideMark/>
          </w:tcPr>
          <w:p w14:paraId="7F21FAC9"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w:t>
            </w:r>
          </w:p>
        </w:tc>
        <w:tc>
          <w:tcPr>
            <w:tcW w:w="447" w:type="pct"/>
            <w:tcBorders>
              <w:top w:val="nil"/>
              <w:left w:val="nil"/>
              <w:bottom w:val="nil"/>
              <w:right w:val="nil"/>
            </w:tcBorders>
            <w:shd w:val="clear" w:color="auto" w:fill="auto"/>
            <w:noWrap/>
            <w:vAlign w:val="bottom"/>
            <w:hideMark/>
          </w:tcPr>
          <w:p w14:paraId="559EF6FE"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42,8</w:t>
            </w:r>
          </w:p>
        </w:tc>
        <w:tc>
          <w:tcPr>
            <w:tcW w:w="447" w:type="pct"/>
            <w:tcBorders>
              <w:top w:val="nil"/>
              <w:left w:val="nil"/>
              <w:bottom w:val="nil"/>
              <w:right w:val="nil"/>
            </w:tcBorders>
            <w:shd w:val="clear" w:color="auto" w:fill="auto"/>
            <w:noWrap/>
            <w:vAlign w:val="bottom"/>
            <w:hideMark/>
          </w:tcPr>
          <w:p w14:paraId="4E763F6C"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43,1</w:t>
            </w:r>
          </w:p>
        </w:tc>
        <w:tc>
          <w:tcPr>
            <w:tcW w:w="447" w:type="pct"/>
            <w:tcBorders>
              <w:top w:val="nil"/>
              <w:left w:val="nil"/>
              <w:bottom w:val="nil"/>
              <w:right w:val="nil"/>
            </w:tcBorders>
            <w:shd w:val="clear" w:color="auto" w:fill="auto"/>
            <w:noWrap/>
            <w:vAlign w:val="bottom"/>
            <w:hideMark/>
          </w:tcPr>
          <w:p w14:paraId="296BE13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28,7</w:t>
            </w:r>
          </w:p>
        </w:tc>
        <w:tc>
          <w:tcPr>
            <w:tcW w:w="447" w:type="pct"/>
            <w:tcBorders>
              <w:top w:val="nil"/>
              <w:left w:val="nil"/>
              <w:bottom w:val="nil"/>
              <w:right w:val="nil"/>
            </w:tcBorders>
            <w:shd w:val="clear" w:color="auto" w:fill="auto"/>
            <w:noWrap/>
            <w:vAlign w:val="bottom"/>
            <w:hideMark/>
          </w:tcPr>
          <w:p w14:paraId="2AAB995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29,1</w:t>
            </w:r>
          </w:p>
        </w:tc>
        <w:tc>
          <w:tcPr>
            <w:tcW w:w="447" w:type="pct"/>
            <w:tcBorders>
              <w:top w:val="nil"/>
              <w:left w:val="nil"/>
              <w:bottom w:val="nil"/>
              <w:right w:val="nil"/>
            </w:tcBorders>
            <w:shd w:val="clear" w:color="auto" w:fill="auto"/>
            <w:noWrap/>
            <w:vAlign w:val="bottom"/>
            <w:hideMark/>
          </w:tcPr>
          <w:p w14:paraId="1425F4A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29,4</w:t>
            </w:r>
          </w:p>
        </w:tc>
      </w:tr>
      <w:tr w:rsidR="002F1691" w:rsidRPr="00021A6F" w14:paraId="47B315F2" w14:textId="77777777" w:rsidTr="002F1691">
        <w:trPr>
          <w:trHeight w:val="265"/>
        </w:trPr>
        <w:tc>
          <w:tcPr>
            <w:tcW w:w="2297" w:type="pct"/>
            <w:tcBorders>
              <w:top w:val="single" w:sz="4" w:space="0" w:color="auto"/>
              <w:left w:val="nil"/>
              <w:bottom w:val="single" w:sz="4" w:space="0" w:color="auto"/>
              <w:right w:val="nil"/>
            </w:tcBorders>
            <w:shd w:val="clear" w:color="auto" w:fill="auto"/>
            <w:noWrap/>
            <w:vAlign w:val="bottom"/>
            <w:hideMark/>
          </w:tcPr>
          <w:p w14:paraId="7031B2B4"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Diferencial en Inversión ($USD Millones)</w:t>
            </w:r>
          </w:p>
        </w:tc>
        <w:tc>
          <w:tcPr>
            <w:tcW w:w="111" w:type="pct"/>
            <w:tcBorders>
              <w:top w:val="single" w:sz="4" w:space="0" w:color="auto"/>
              <w:left w:val="nil"/>
              <w:bottom w:val="single" w:sz="4" w:space="0" w:color="auto"/>
              <w:right w:val="nil"/>
            </w:tcBorders>
            <w:shd w:val="clear" w:color="auto" w:fill="auto"/>
            <w:noWrap/>
            <w:vAlign w:val="bottom"/>
            <w:hideMark/>
          </w:tcPr>
          <w:p w14:paraId="3DA19129"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single" w:sz="4" w:space="0" w:color="auto"/>
              <w:left w:val="nil"/>
              <w:bottom w:val="single" w:sz="4" w:space="0" w:color="auto"/>
              <w:right w:val="nil"/>
            </w:tcBorders>
            <w:shd w:val="clear" w:color="auto" w:fill="auto"/>
            <w:noWrap/>
            <w:vAlign w:val="bottom"/>
            <w:hideMark/>
          </w:tcPr>
          <w:p w14:paraId="7A4AAFC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w:t>
            </w:r>
          </w:p>
        </w:tc>
        <w:tc>
          <w:tcPr>
            <w:tcW w:w="447" w:type="pct"/>
            <w:tcBorders>
              <w:top w:val="single" w:sz="4" w:space="0" w:color="auto"/>
              <w:left w:val="nil"/>
              <w:bottom w:val="single" w:sz="4" w:space="0" w:color="auto"/>
              <w:right w:val="nil"/>
            </w:tcBorders>
            <w:shd w:val="clear" w:color="auto" w:fill="auto"/>
            <w:noWrap/>
            <w:vAlign w:val="bottom"/>
            <w:hideMark/>
          </w:tcPr>
          <w:p w14:paraId="1E4655FD"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41,8</w:t>
            </w:r>
          </w:p>
        </w:tc>
        <w:tc>
          <w:tcPr>
            <w:tcW w:w="447" w:type="pct"/>
            <w:tcBorders>
              <w:top w:val="single" w:sz="4" w:space="0" w:color="auto"/>
              <w:left w:val="nil"/>
              <w:bottom w:val="single" w:sz="4" w:space="0" w:color="auto"/>
              <w:right w:val="nil"/>
            </w:tcBorders>
            <w:shd w:val="clear" w:color="auto" w:fill="auto"/>
            <w:noWrap/>
            <w:vAlign w:val="bottom"/>
            <w:hideMark/>
          </w:tcPr>
          <w:p w14:paraId="0B5D859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42,0</w:t>
            </w:r>
          </w:p>
        </w:tc>
        <w:tc>
          <w:tcPr>
            <w:tcW w:w="447" w:type="pct"/>
            <w:tcBorders>
              <w:top w:val="single" w:sz="4" w:space="0" w:color="auto"/>
              <w:left w:val="nil"/>
              <w:bottom w:val="single" w:sz="4" w:space="0" w:color="auto"/>
              <w:right w:val="nil"/>
            </w:tcBorders>
            <w:shd w:val="clear" w:color="auto" w:fill="auto"/>
            <w:noWrap/>
            <w:vAlign w:val="bottom"/>
            <w:hideMark/>
          </w:tcPr>
          <w:p w14:paraId="1DDA6139"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27,4</w:t>
            </w:r>
          </w:p>
        </w:tc>
        <w:tc>
          <w:tcPr>
            <w:tcW w:w="447" w:type="pct"/>
            <w:tcBorders>
              <w:top w:val="single" w:sz="4" w:space="0" w:color="auto"/>
              <w:left w:val="nil"/>
              <w:bottom w:val="single" w:sz="4" w:space="0" w:color="auto"/>
              <w:right w:val="nil"/>
            </w:tcBorders>
            <w:shd w:val="clear" w:color="auto" w:fill="auto"/>
            <w:noWrap/>
            <w:vAlign w:val="bottom"/>
            <w:hideMark/>
          </w:tcPr>
          <w:p w14:paraId="5DD0951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27,7</w:t>
            </w:r>
          </w:p>
        </w:tc>
        <w:tc>
          <w:tcPr>
            <w:tcW w:w="447" w:type="pct"/>
            <w:tcBorders>
              <w:top w:val="single" w:sz="4" w:space="0" w:color="auto"/>
              <w:left w:val="nil"/>
              <w:bottom w:val="single" w:sz="4" w:space="0" w:color="auto"/>
              <w:right w:val="nil"/>
            </w:tcBorders>
            <w:shd w:val="clear" w:color="auto" w:fill="auto"/>
            <w:noWrap/>
            <w:vAlign w:val="bottom"/>
            <w:hideMark/>
          </w:tcPr>
          <w:p w14:paraId="25F51F00"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27,8</w:t>
            </w:r>
          </w:p>
        </w:tc>
      </w:tr>
      <w:tr w:rsidR="002F1691" w:rsidRPr="00021A6F" w14:paraId="5278FFCF" w14:textId="77777777" w:rsidTr="002F1691">
        <w:trPr>
          <w:trHeight w:val="265"/>
        </w:trPr>
        <w:tc>
          <w:tcPr>
            <w:tcW w:w="2297" w:type="pct"/>
            <w:tcBorders>
              <w:top w:val="nil"/>
              <w:left w:val="nil"/>
              <w:bottom w:val="single" w:sz="4" w:space="0" w:color="auto"/>
              <w:right w:val="nil"/>
            </w:tcBorders>
            <w:shd w:val="clear" w:color="auto" w:fill="auto"/>
            <w:noWrap/>
            <w:vAlign w:val="bottom"/>
            <w:hideMark/>
          </w:tcPr>
          <w:p w14:paraId="3C5DC1AD" w14:textId="77777777" w:rsidR="002F1691" w:rsidRPr="00021A6F" w:rsidRDefault="002F1691" w:rsidP="002F1691">
            <w:pPr>
              <w:rPr>
                <w:rFonts w:ascii="Calibri" w:hAnsi="Calibri" w:cs="Calibri"/>
                <w:b/>
                <w:bCs/>
                <w:color w:val="000000"/>
                <w:sz w:val="16"/>
                <w:szCs w:val="16"/>
                <w:lang w:eastAsia="es-CO"/>
              </w:rPr>
            </w:pPr>
            <w:r w:rsidRPr="00021A6F">
              <w:rPr>
                <w:rFonts w:ascii="Calibri" w:hAnsi="Calibri" w:cs="Calibri"/>
                <w:b/>
                <w:bCs/>
                <w:color w:val="000000"/>
                <w:sz w:val="16"/>
                <w:szCs w:val="16"/>
                <w:lang w:eastAsia="es-CO"/>
              </w:rPr>
              <w:t>Flujo Neto</w:t>
            </w:r>
          </w:p>
        </w:tc>
        <w:tc>
          <w:tcPr>
            <w:tcW w:w="111" w:type="pct"/>
            <w:tcBorders>
              <w:top w:val="nil"/>
              <w:left w:val="nil"/>
              <w:bottom w:val="single" w:sz="4" w:space="0" w:color="auto"/>
              <w:right w:val="nil"/>
            </w:tcBorders>
            <w:shd w:val="clear" w:color="auto" w:fill="auto"/>
            <w:noWrap/>
            <w:vAlign w:val="bottom"/>
            <w:hideMark/>
          </w:tcPr>
          <w:p w14:paraId="73DBDEBD" w14:textId="77777777" w:rsidR="002F1691" w:rsidRPr="00021A6F" w:rsidRDefault="002F1691" w:rsidP="002F1691">
            <w:pPr>
              <w:rPr>
                <w:rFonts w:ascii="Calibri" w:hAnsi="Calibri" w:cs="Calibri"/>
                <w:color w:val="000000"/>
                <w:sz w:val="16"/>
                <w:szCs w:val="16"/>
                <w:lang w:eastAsia="es-CO"/>
              </w:rPr>
            </w:pPr>
            <w:r w:rsidRPr="00021A6F">
              <w:rPr>
                <w:rFonts w:ascii="Calibri" w:hAnsi="Calibri" w:cs="Calibri"/>
                <w:color w:val="000000"/>
                <w:sz w:val="16"/>
                <w:szCs w:val="16"/>
                <w:lang w:eastAsia="es-CO"/>
              </w:rPr>
              <w:t> </w:t>
            </w:r>
          </w:p>
        </w:tc>
        <w:tc>
          <w:tcPr>
            <w:tcW w:w="357" w:type="pct"/>
            <w:tcBorders>
              <w:top w:val="nil"/>
              <w:left w:val="nil"/>
              <w:bottom w:val="single" w:sz="4" w:space="0" w:color="auto"/>
              <w:right w:val="nil"/>
            </w:tcBorders>
            <w:shd w:val="clear" w:color="auto" w:fill="auto"/>
            <w:noWrap/>
            <w:vAlign w:val="bottom"/>
            <w:hideMark/>
          </w:tcPr>
          <w:p w14:paraId="54FCF12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0,0</w:t>
            </w:r>
          </w:p>
        </w:tc>
        <w:tc>
          <w:tcPr>
            <w:tcW w:w="447" w:type="pct"/>
            <w:tcBorders>
              <w:top w:val="nil"/>
              <w:left w:val="nil"/>
              <w:bottom w:val="single" w:sz="4" w:space="0" w:color="auto"/>
              <w:right w:val="nil"/>
            </w:tcBorders>
            <w:shd w:val="clear" w:color="auto" w:fill="auto"/>
            <w:noWrap/>
            <w:vAlign w:val="bottom"/>
            <w:hideMark/>
          </w:tcPr>
          <w:p w14:paraId="06BBF54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-14,3</w:t>
            </w:r>
          </w:p>
        </w:tc>
        <w:tc>
          <w:tcPr>
            <w:tcW w:w="447" w:type="pct"/>
            <w:tcBorders>
              <w:top w:val="nil"/>
              <w:left w:val="nil"/>
              <w:bottom w:val="single" w:sz="4" w:space="0" w:color="auto"/>
              <w:right w:val="nil"/>
            </w:tcBorders>
            <w:shd w:val="clear" w:color="auto" w:fill="auto"/>
            <w:noWrap/>
            <w:vAlign w:val="bottom"/>
            <w:hideMark/>
          </w:tcPr>
          <w:p w14:paraId="73BD80A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13,1</w:t>
            </w:r>
          </w:p>
        </w:tc>
        <w:tc>
          <w:tcPr>
            <w:tcW w:w="447" w:type="pct"/>
            <w:tcBorders>
              <w:top w:val="nil"/>
              <w:left w:val="nil"/>
              <w:bottom w:val="single" w:sz="4" w:space="0" w:color="auto"/>
              <w:right w:val="nil"/>
            </w:tcBorders>
            <w:shd w:val="clear" w:color="auto" w:fill="auto"/>
            <w:noWrap/>
            <w:vAlign w:val="bottom"/>
            <w:hideMark/>
          </w:tcPr>
          <w:p w14:paraId="47FD7B0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40,7</w:t>
            </w:r>
          </w:p>
        </w:tc>
        <w:tc>
          <w:tcPr>
            <w:tcW w:w="447" w:type="pct"/>
            <w:tcBorders>
              <w:top w:val="nil"/>
              <w:left w:val="nil"/>
              <w:bottom w:val="single" w:sz="4" w:space="0" w:color="auto"/>
              <w:right w:val="nil"/>
            </w:tcBorders>
            <w:shd w:val="clear" w:color="auto" w:fill="auto"/>
            <w:noWrap/>
            <w:vAlign w:val="bottom"/>
            <w:hideMark/>
          </w:tcPr>
          <w:p w14:paraId="6265BF31"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53,6</w:t>
            </w:r>
          </w:p>
        </w:tc>
        <w:tc>
          <w:tcPr>
            <w:tcW w:w="447" w:type="pct"/>
            <w:tcBorders>
              <w:top w:val="nil"/>
              <w:left w:val="nil"/>
              <w:bottom w:val="single" w:sz="4" w:space="0" w:color="auto"/>
              <w:right w:val="nil"/>
            </w:tcBorders>
            <w:shd w:val="clear" w:color="auto" w:fill="auto"/>
            <w:noWrap/>
            <w:vAlign w:val="bottom"/>
            <w:hideMark/>
          </w:tcPr>
          <w:p w14:paraId="74649A1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66,9</w:t>
            </w:r>
          </w:p>
        </w:tc>
      </w:tr>
      <w:tr w:rsidR="002F1691" w:rsidRPr="00021A6F" w14:paraId="565D3559" w14:textId="77777777" w:rsidTr="002F1691">
        <w:trPr>
          <w:trHeight w:val="98"/>
        </w:trPr>
        <w:tc>
          <w:tcPr>
            <w:tcW w:w="2297" w:type="pct"/>
            <w:tcBorders>
              <w:top w:val="nil"/>
              <w:left w:val="nil"/>
              <w:bottom w:val="nil"/>
              <w:right w:val="nil"/>
            </w:tcBorders>
            <w:shd w:val="clear" w:color="auto" w:fill="auto"/>
            <w:noWrap/>
            <w:vAlign w:val="bottom"/>
            <w:hideMark/>
          </w:tcPr>
          <w:p w14:paraId="06FA87BD" w14:textId="77777777" w:rsidR="002F1691" w:rsidRPr="001F26FE" w:rsidRDefault="002F1691" w:rsidP="002F1691">
            <w:pPr>
              <w:jc w:val="right"/>
              <w:rPr>
                <w:rFonts w:ascii="Calibri" w:hAnsi="Calibri" w:cs="Calibri"/>
                <w:color w:val="000000"/>
                <w:sz w:val="6"/>
                <w:szCs w:val="6"/>
                <w:lang w:eastAsia="es-CO"/>
              </w:rPr>
            </w:pPr>
          </w:p>
        </w:tc>
        <w:tc>
          <w:tcPr>
            <w:tcW w:w="111" w:type="pct"/>
            <w:tcBorders>
              <w:top w:val="nil"/>
              <w:left w:val="nil"/>
              <w:bottom w:val="nil"/>
              <w:right w:val="nil"/>
            </w:tcBorders>
            <w:shd w:val="clear" w:color="auto" w:fill="auto"/>
            <w:noWrap/>
            <w:vAlign w:val="bottom"/>
            <w:hideMark/>
          </w:tcPr>
          <w:p w14:paraId="5436017A" w14:textId="77777777" w:rsidR="002F1691" w:rsidRPr="001F26FE" w:rsidRDefault="002F1691" w:rsidP="002F1691">
            <w:pPr>
              <w:rPr>
                <w:sz w:val="6"/>
                <w:szCs w:val="6"/>
                <w:lang w:eastAsia="es-CO"/>
              </w:rPr>
            </w:pPr>
          </w:p>
        </w:tc>
        <w:tc>
          <w:tcPr>
            <w:tcW w:w="357" w:type="pct"/>
            <w:tcBorders>
              <w:top w:val="nil"/>
              <w:left w:val="nil"/>
              <w:bottom w:val="nil"/>
              <w:right w:val="nil"/>
            </w:tcBorders>
            <w:shd w:val="clear" w:color="auto" w:fill="auto"/>
            <w:noWrap/>
            <w:vAlign w:val="bottom"/>
            <w:hideMark/>
          </w:tcPr>
          <w:p w14:paraId="36E3786B" w14:textId="77777777" w:rsidR="002F1691" w:rsidRPr="00295BE9" w:rsidRDefault="002F1691" w:rsidP="002F1691">
            <w:pPr>
              <w:jc w:val="right"/>
              <w:rPr>
                <w:rFonts w:ascii="Calibri" w:hAnsi="Calibri" w:cs="Calibri"/>
                <w:color w:val="000000" w:themeColor="text1"/>
                <w:sz w:val="16"/>
                <w:szCs w:val="16"/>
              </w:rPr>
            </w:pPr>
          </w:p>
        </w:tc>
        <w:tc>
          <w:tcPr>
            <w:tcW w:w="447" w:type="pct"/>
            <w:tcBorders>
              <w:top w:val="nil"/>
              <w:left w:val="nil"/>
              <w:bottom w:val="nil"/>
              <w:right w:val="nil"/>
            </w:tcBorders>
            <w:shd w:val="clear" w:color="auto" w:fill="auto"/>
            <w:noWrap/>
            <w:vAlign w:val="bottom"/>
            <w:hideMark/>
          </w:tcPr>
          <w:p w14:paraId="4F8F6534"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4B2A6EE8"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35ED8D27"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754CE6F5" w14:textId="77777777" w:rsidR="002F1691" w:rsidRPr="00295BE9" w:rsidRDefault="002F1691" w:rsidP="002F1691">
            <w:pPr>
              <w:rPr>
                <w:color w:val="000000" w:themeColor="text1"/>
                <w:sz w:val="16"/>
                <w:szCs w:val="16"/>
              </w:rPr>
            </w:pPr>
          </w:p>
        </w:tc>
        <w:tc>
          <w:tcPr>
            <w:tcW w:w="447" w:type="pct"/>
            <w:tcBorders>
              <w:top w:val="nil"/>
              <w:left w:val="nil"/>
              <w:bottom w:val="nil"/>
              <w:right w:val="nil"/>
            </w:tcBorders>
            <w:shd w:val="clear" w:color="auto" w:fill="auto"/>
            <w:noWrap/>
            <w:vAlign w:val="bottom"/>
            <w:hideMark/>
          </w:tcPr>
          <w:p w14:paraId="22454462" w14:textId="77777777" w:rsidR="002F1691" w:rsidRPr="00295BE9" w:rsidRDefault="002F1691" w:rsidP="002F1691">
            <w:pPr>
              <w:rPr>
                <w:color w:val="000000" w:themeColor="text1"/>
                <w:sz w:val="16"/>
                <w:szCs w:val="16"/>
              </w:rPr>
            </w:pPr>
          </w:p>
        </w:tc>
      </w:tr>
      <w:tr w:rsidR="002F1691" w:rsidRPr="00021A6F" w14:paraId="69E64FA8" w14:textId="77777777" w:rsidTr="002F1691">
        <w:trPr>
          <w:trHeight w:val="265"/>
        </w:trPr>
        <w:tc>
          <w:tcPr>
            <w:tcW w:w="2297" w:type="pct"/>
            <w:tcBorders>
              <w:top w:val="single" w:sz="4" w:space="0" w:color="000000"/>
              <w:left w:val="nil"/>
              <w:bottom w:val="nil"/>
              <w:right w:val="nil"/>
            </w:tcBorders>
            <w:shd w:val="clear" w:color="auto" w:fill="auto"/>
            <w:noWrap/>
            <w:vAlign w:val="bottom"/>
            <w:hideMark/>
          </w:tcPr>
          <w:p w14:paraId="50D477B0" w14:textId="77777777" w:rsidR="002F1691" w:rsidRPr="00021A6F" w:rsidRDefault="002F1691" w:rsidP="002F1691">
            <w:pPr>
              <w:rPr>
                <w:rFonts w:ascii="Calibri" w:hAnsi="Calibri" w:cs="Calibri"/>
                <w:color w:val="000000"/>
                <w:sz w:val="16"/>
                <w:szCs w:val="16"/>
                <w:lang w:eastAsia="es-CO"/>
              </w:rPr>
            </w:pPr>
            <w:r w:rsidRPr="00021A6F">
              <w:rPr>
                <w:rFonts w:ascii="Calibri" w:hAnsi="Calibri" w:cs="Calibri"/>
                <w:color w:val="000000"/>
                <w:sz w:val="16"/>
                <w:szCs w:val="16"/>
                <w:lang w:eastAsia="es-CO"/>
              </w:rPr>
              <w:t>Ahorro energético de iluminación</w:t>
            </w:r>
          </w:p>
        </w:tc>
        <w:tc>
          <w:tcPr>
            <w:tcW w:w="111" w:type="pct"/>
            <w:tcBorders>
              <w:top w:val="single" w:sz="4" w:space="0" w:color="000000"/>
              <w:left w:val="nil"/>
              <w:bottom w:val="nil"/>
              <w:right w:val="nil"/>
            </w:tcBorders>
            <w:shd w:val="clear" w:color="auto" w:fill="auto"/>
            <w:noWrap/>
            <w:vAlign w:val="bottom"/>
            <w:hideMark/>
          </w:tcPr>
          <w:p w14:paraId="02008B69" w14:textId="77777777" w:rsidR="002F1691" w:rsidRPr="00021A6F" w:rsidRDefault="002F1691" w:rsidP="002F1691">
            <w:pPr>
              <w:rPr>
                <w:rFonts w:ascii="Calibri" w:hAnsi="Calibri" w:cs="Calibri"/>
                <w:color w:val="000000"/>
                <w:sz w:val="16"/>
                <w:szCs w:val="16"/>
                <w:lang w:eastAsia="es-CO"/>
              </w:rPr>
            </w:pPr>
            <w:r w:rsidRPr="00021A6F">
              <w:rPr>
                <w:rFonts w:ascii="Calibri" w:hAnsi="Calibri" w:cs="Calibri"/>
                <w:color w:val="000000"/>
                <w:sz w:val="16"/>
                <w:szCs w:val="16"/>
                <w:lang w:eastAsia="es-CO"/>
              </w:rPr>
              <w:t> </w:t>
            </w:r>
          </w:p>
        </w:tc>
        <w:tc>
          <w:tcPr>
            <w:tcW w:w="357" w:type="pct"/>
            <w:tcBorders>
              <w:top w:val="single" w:sz="4" w:space="0" w:color="000000"/>
              <w:left w:val="nil"/>
              <w:bottom w:val="nil"/>
              <w:right w:val="nil"/>
            </w:tcBorders>
            <w:shd w:val="clear" w:color="auto" w:fill="auto"/>
            <w:noWrap/>
            <w:vAlign w:val="bottom"/>
            <w:hideMark/>
          </w:tcPr>
          <w:p w14:paraId="69F0E0E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0%</w:t>
            </w:r>
          </w:p>
        </w:tc>
        <w:tc>
          <w:tcPr>
            <w:tcW w:w="447" w:type="pct"/>
            <w:tcBorders>
              <w:top w:val="single" w:sz="4" w:space="0" w:color="000000"/>
              <w:left w:val="nil"/>
              <w:bottom w:val="nil"/>
              <w:right w:val="nil"/>
            </w:tcBorders>
            <w:shd w:val="clear" w:color="auto" w:fill="auto"/>
            <w:noWrap/>
            <w:vAlign w:val="bottom"/>
            <w:hideMark/>
          </w:tcPr>
          <w:p w14:paraId="58F1131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42%</w:t>
            </w:r>
          </w:p>
        </w:tc>
        <w:tc>
          <w:tcPr>
            <w:tcW w:w="447" w:type="pct"/>
            <w:tcBorders>
              <w:top w:val="single" w:sz="4" w:space="0" w:color="000000"/>
              <w:left w:val="nil"/>
              <w:bottom w:val="nil"/>
              <w:right w:val="nil"/>
            </w:tcBorders>
            <w:shd w:val="clear" w:color="auto" w:fill="auto"/>
            <w:noWrap/>
            <w:vAlign w:val="bottom"/>
            <w:hideMark/>
          </w:tcPr>
          <w:p w14:paraId="3376AFB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71%</w:t>
            </w:r>
          </w:p>
        </w:tc>
        <w:tc>
          <w:tcPr>
            <w:tcW w:w="447" w:type="pct"/>
            <w:tcBorders>
              <w:top w:val="single" w:sz="4" w:space="0" w:color="000000"/>
              <w:left w:val="nil"/>
              <w:bottom w:val="nil"/>
              <w:right w:val="nil"/>
            </w:tcBorders>
            <w:shd w:val="clear" w:color="auto" w:fill="auto"/>
            <w:noWrap/>
            <w:vAlign w:val="bottom"/>
            <w:hideMark/>
          </w:tcPr>
          <w:p w14:paraId="6B403FE5"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74%</w:t>
            </w:r>
          </w:p>
        </w:tc>
        <w:tc>
          <w:tcPr>
            <w:tcW w:w="447" w:type="pct"/>
            <w:tcBorders>
              <w:top w:val="single" w:sz="4" w:space="0" w:color="000000"/>
              <w:left w:val="nil"/>
              <w:bottom w:val="nil"/>
              <w:right w:val="nil"/>
            </w:tcBorders>
            <w:shd w:val="clear" w:color="auto" w:fill="auto"/>
            <w:noWrap/>
            <w:vAlign w:val="bottom"/>
            <w:hideMark/>
          </w:tcPr>
          <w:p w14:paraId="1AE01F6B"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77%</w:t>
            </w:r>
          </w:p>
        </w:tc>
        <w:tc>
          <w:tcPr>
            <w:tcW w:w="447" w:type="pct"/>
            <w:tcBorders>
              <w:top w:val="single" w:sz="4" w:space="0" w:color="000000"/>
              <w:left w:val="nil"/>
              <w:bottom w:val="nil"/>
              <w:right w:val="nil"/>
            </w:tcBorders>
            <w:shd w:val="clear" w:color="auto" w:fill="auto"/>
            <w:noWrap/>
            <w:vAlign w:val="bottom"/>
            <w:hideMark/>
          </w:tcPr>
          <w:p w14:paraId="2321FCA7"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78%</w:t>
            </w:r>
          </w:p>
        </w:tc>
      </w:tr>
      <w:tr w:rsidR="002F1691" w:rsidRPr="00021A6F" w14:paraId="2D647FA4" w14:textId="77777777" w:rsidTr="002F1691">
        <w:trPr>
          <w:trHeight w:val="265"/>
        </w:trPr>
        <w:tc>
          <w:tcPr>
            <w:tcW w:w="2297" w:type="pct"/>
            <w:tcBorders>
              <w:top w:val="nil"/>
              <w:left w:val="nil"/>
              <w:bottom w:val="single" w:sz="4" w:space="0" w:color="000000"/>
              <w:right w:val="nil"/>
            </w:tcBorders>
            <w:shd w:val="clear" w:color="auto" w:fill="auto"/>
            <w:noWrap/>
            <w:vAlign w:val="bottom"/>
            <w:hideMark/>
          </w:tcPr>
          <w:p w14:paraId="438ADAB0"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Participación de la iluminación en el consumo residencial</w:t>
            </w:r>
          </w:p>
        </w:tc>
        <w:tc>
          <w:tcPr>
            <w:tcW w:w="111" w:type="pct"/>
            <w:tcBorders>
              <w:top w:val="nil"/>
              <w:left w:val="nil"/>
              <w:bottom w:val="single" w:sz="4" w:space="0" w:color="000000"/>
              <w:right w:val="nil"/>
            </w:tcBorders>
            <w:shd w:val="clear" w:color="auto" w:fill="auto"/>
            <w:noWrap/>
            <w:vAlign w:val="bottom"/>
            <w:hideMark/>
          </w:tcPr>
          <w:p w14:paraId="40F4790A"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57" w:type="pct"/>
            <w:tcBorders>
              <w:top w:val="nil"/>
              <w:left w:val="nil"/>
              <w:bottom w:val="single" w:sz="4" w:space="0" w:color="000000"/>
              <w:right w:val="nil"/>
            </w:tcBorders>
            <w:shd w:val="clear" w:color="auto" w:fill="auto"/>
            <w:noWrap/>
            <w:vAlign w:val="bottom"/>
            <w:hideMark/>
          </w:tcPr>
          <w:p w14:paraId="7DD44C12"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14,0%</w:t>
            </w:r>
          </w:p>
        </w:tc>
        <w:tc>
          <w:tcPr>
            <w:tcW w:w="447" w:type="pct"/>
            <w:tcBorders>
              <w:top w:val="nil"/>
              <w:left w:val="nil"/>
              <w:bottom w:val="single" w:sz="4" w:space="0" w:color="000000"/>
              <w:right w:val="nil"/>
            </w:tcBorders>
            <w:shd w:val="clear" w:color="auto" w:fill="auto"/>
            <w:noWrap/>
            <w:vAlign w:val="bottom"/>
            <w:hideMark/>
          </w:tcPr>
          <w:p w14:paraId="54774DC4"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9,6%</w:t>
            </w:r>
          </w:p>
        </w:tc>
        <w:tc>
          <w:tcPr>
            <w:tcW w:w="447" w:type="pct"/>
            <w:tcBorders>
              <w:top w:val="nil"/>
              <w:left w:val="nil"/>
              <w:bottom w:val="single" w:sz="4" w:space="0" w:color="000000"/>
              <w:right w:val="nil"/>
            </w:tcBorders>
            <w:shd w:val="clear" w:color="auto" w:fill="auto"/>
            <w:noWrap/>
            <w:vAlign w:val="bottom"/>
            <w:hideMark/>
          </w:tcPr>
          <w:p w14:paraId="7FEF4286"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5,7%</w:t>
            </w:r>
          </w:p>
        </w:tc>
        <w:tc>
          <w:tcPr>
            <w:tcW w:w="447" w:type="pct"/>
            <w:tcBorders>
              <w:top w:val="nil"/>
              <w:left w:val="nil"/>
              <w:bottom w:val="single" w:sz="4" w:space="0" w:color="000000"/>
              <w:right w:val="nil"/>
            </w:tcBorders>
            <w:shd w:val="clear" w:color="auto" w:fill="auto"/>
            <w:noWrap/>
            <w:vAlign w:val="bottom"/>
            <w:hideMark/>
          </w:tcPr>
          <w:p w14:paraId="18D80538"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5,6%</w:t>
            </w:r>
          </w:p>
        </w:tc>
        <w:tc>
          <w:tcPr>
            <w:tcW w:w="447" w:type="pct"/>
            <w:tcBorders>
              <w:top w:val="nil"/>
              <w:left w:val="nil"/>
              <w:bottom w:val="single" w:sz="4" w:space="0" w:color="000000"/>
              <w:right w:val="nil"/>
            </w:tcBorders>
            <w:shd w:val="clear" w:color="auto" w:fill="auto"/>
            <w:noWrap/>
            <w:vAlign w:val="bottom"/>
            <w:hideMark/>
          </w:tcPr>
          <w:p w14:paraId="324CF69C"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5,6%</w:t>
            </w:r>
          </w:p>
        </w:tc>
        <w:tc>
          <w:tcPr>
            <w:tcW w:w="447" w:type="pct"/>
            <w:tcBorders>
              <w:top w:val="nil"/>
              <w:left w:val="nil"/>
              <w:bottom w:val="single" w:sz="4" w:space="0" w:color="000000"/>
              <w:right w:val="nil"/>
            </w:tcBorders>
            <w:shd w:val="clear" w:color="auto" w:fill="auto"/>
            <w:noWrap/>
            <w:vAlign w:val="bottom"/>
            <w:hideMark/>
          </w:tcPr>
          <w:p w14:paraId="4D9D7A2A" w14:textId="77777777" w:rsidR="002F1691" w:rsidRPr="00295BE9" w:rsidRDefault="002F1691" w:rsidP="002F1691">
            <w:pPr>
              <w:jc w:val="right"/>
              <w:rPr>
                <w:rFonts w:ascii="Calibri" w:hAnsi="Calibri" w:cs="Calibri"/>
                <w:color w:val="000000" w:themeColor="text1"/>
                <w:sz w:val="16"/>
                <w:szCs w:val="16"/>
              </w:rPr>
            </w:pPr>
            <w:r w:rsidRPr="00295BE9">
              <w:rPr>
                <w:rFonts w:ascii="Calibri" w:hAnsi="Calibri" w:cs="Calibri"/>
                <w:color w:val="000000" w:themeColor="text1"/>
                <w:sz w:val="16"/>
                <w:szCs w:val="16"/>
              </w:rPr>
              <w:t>5,5%</w:t>
            </w:r>
          </w:p>
        </w:tc>
      </w:tr>
    </w:tbl>
    <w:p w14:paraId="03817D04" w14:textId="77777777" w:rsidR="002F1691" w:rsidRPr="00192708" w:rsidRDefault="002F1691" w:rsidP="002F1691">
      <w:pPr>
        <w:rPr>
          <w:b/>
        </w:rPr>
      </w:pPr>
    </w:p>
    <w:p w14:paraId="19A5AC0A" w14:textId="77777777" w:rsidR="002F1691" w:rsidRDefault="002F1691" w:rsidP="002F1691">
      <w:pPr>
        <w:jc w:val="center"/>
        <w:rPr>
          <w:sz w:val="18"/>
          <w:lang w:val="es-ES"/>
        </w:rPr>
      </w:pPr>
    </w:p>
    <w:tbl>
      <w:tblPr>
        <w:tblW w:w="4431" w:type="pct"/>
        <w:tblCellMar>
          <w:left w:w="70" w:type="dxa"/>
          <w:right w:w="70" w:type="dxa"/>
        </w:tblCellMar>
        <w:tblLook w:val="04A0" w:firstRow="1" w:lastRow="0" w:firstColumn="1" w:lastColumn="0" w:noHBand="0" w:noVBand="1"/>
      </w:tblPr>
      <w:tblGrid>
        <w:gridCol w:w="3881"/>
        <w:gridCol w:w="1524"/>
        <w:gridCol w:w="1108"/>
        <w:gridCol w:w="1139"/>
      </w:tblGrid>
      <w:tr w:rsidR="002F1691" w:rsidRPr="0011592F" w14:paraId="0E69AAB2" w14:textId="77777777" w:rsidTr="002F1691">
        <w:trPr>
          <w:trHeight w:val="300"/>
        </w:trPr>
        <w:tc>
          <w:tcPr>
            <w:tcW w:w="2536" w:type="pct"/>
            <w:tcBorders>
              <w:top w:val="nil"/>
              <w:left w:val="nil"/>
              <w:bottom w:val="nil"/>
              <w:right w:val="nil"/>
            </w:tcBorders>
            <w:shd w:val="clear" w:color="auto" w:fill="auto"/>
            <w:noWrap/>
            <w:vAlign w:val="bottom"/>
            <w:hideMark/>
          </w:tcPr>
          <w:p w14:paraId="03C5CE35" w14:textId="77777777" w:rsidR="002F1691" w:rsidRPr="0011592F" w:rsidRDefault="002F1691" w:rsidP="002F1691">
            <w:pPr>
              <w:rPr>
                <w:sz w:val="18"/>
                <w:lang w:eastAsia="es-CO"/>
              </w:rPr>
            </w:pPr>
          </w:p>
        </w:tc>
        <w:tc>
          <w:tcPr>
            <w:tcW w:w="996" w:type="pct"/>
            <w:tcBorders>
              <w:top w:val="single" w:sz="4" w:space="0" w:color="FFFFFF"/>
              <w:left w:val="nil"/>
              <w:bottom w:val="single" w:sz="4" w:space="0" w:color="auto"/>
              <w:right w:val="single" w:sz="4" w:space="0" w:color="FFFFFF"/>
            </w:tcBorders>
            <w:shd w:val="clear" w:color="000000" w:fill="203764"/>
            <w:noWrap/>
            <w:vAlign w:val="bottom"/>
            <w:hideMark/>
          </w:tcPr>
          <w:p w14:paraId="5684812C"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Beneficios</w:t>
            </w:r>
          </w:p>
        </w:tc>
        <w:tc>
          <w:tcPr>
            <w:tcW w:w="724" w:type="pct"/>
            <w:tcBorders>
              <w:top w:val="single" w:sz="4" w:space="0" w:color="FFFFFF"/>
              <w:left w:val="nil"/>
              <w:bottom w:val="single" w:sz="4" w:space="0" w:color="auto"/>
              <w:right w:val="single" w:sz="4" w:space="0" w:color="FFFFFF"/>
            </w:tcBorders>
            <w:shd w:val="clear" w:color="000000" w:fill="203764"/>
            <w:noWrap/>
            <w:vAlign w:val="bottom"/>
            <w:hideMark/>
          </w:tcPr>
          <w:p w14:paraId="345C5E7C"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Costos</w:t>
            </w:r>
          </w:p>
        </w:tc>
        <w:tc>
          <w:tcPr>
            <w:tcW w:w="744" w:type="pct"/>
            <w:tcBorders>
              <w:top w:val="single" w:sz="4" w:space="0" w:color="FFFFFF"/>
              <w:left w:val="nil"/>
              <w:bottom w:val="single" w:sz="4" w:space="0" w:color="auto"/>
              <w:right w:val="single" w:sz="4" w:space="0" w:color="FFFFFF"/>
            </w:tcBorders>
            <w:shd w:val="clear" w:color="000000" w:fill="203764"/>
            <w:noWrap/>
            <w:vAlign w:val="bottom"/>
            <w:hideMark/>
          </w:tcPr>
          <w:p w14:paraId="56A18B4B"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Neto</w:t>
            </w:r>
          </w:p>
        </w:tc>
      </w:tr>
      <w:tr w:rsidR="002F1691" w:rsidRPr="0011592F" w14:paraId="1E24CE84" w14:textId="77777777" w:rsidTr="002F1691">
        <w:trPr>
          <w:trHeight w:val="300"/>
        </w:trPr>
        <w:tc>
          <w:tcPr>
            <w:tcW w:w="2536"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6C6181A" w14:textId="77777777" w:rsidR="002F1691" w:rsidRPr="0011592F" w:rsidRDefault="002F1691" w:rsidP="002F1691">
            <w:pPr>
              <w:rPr>
                <w:rFonts w:ascii="Calibri" w:hAnsi="Calibri" w:cs="Calibri"/>
                <w:color w:val="000000"/>
                <w:sz w:val="18"/>
                <w:szCs w:val="22"/>
                <w:lang w:eastAsia="es-CO"/>
              </w:rPr>
            </w:pPr>
            <w:r w:rsidRPr="0011592F">
              <w:rPr>
                <w:rFonts w:ascii="Calibri" w:hAnsi="Calibri" w:cs="Calibri"/>
                <w:color w:val="000000"/>
                <w:sz w:val="18"/>
                <w:szCs w:val="22"/>
                <w:lang w:eastAsia="es-CO"/>
              </w:rPr>
              <w:t>VPN dic 2017 ($USD Millones)</w:t>
            </w:r>
          </w:p>
        </w:tc>
        <w:tc>
          <w:tcPr>
            <w:tcW w:w="996" w:type="pct"/>
            <w:tcBorders>
              <w:top w:val="nil"/>
              <w:left w:val="single" w:sz="4" w:space="0" w:color="auto"/>
              <w:bottom w:val="nil"/>
              <w:right w:val="single" w:sz="4" w:space="0" w:color="auto"/>
            </w:tcBorders>
            <w:shd w:val="clear" w:color="000000" w:fill="E2EFDA"/>
            <w:noWrap/>
            <w:vAlign w:val="bottom"/>
            <w:hideMark/>
          </w:tcPr>
          <w:p w14:paraId="78976214"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$1.079</w:t>
            </w:r>
          </w:p>
        </w:tc>
        <w:tc>
          <w:tcPr>
            <w:tcW w:w="724" w:type="pct"/>
            <w:tcBorders>
              <w:top w:val="nil"/>
              <w:left w:val="nil"/>
              <w:bottom w:val="nil"/>
              <w:right w:val="single" w:sz="4" w:space="0" w:color="auto"/>
            </w:tcBorders>
            <w:shd w:val="clear" w:color="000000" w:fill="E2EFDA"/>
            <w:noWrap/>
            <w:vAlign w:val="bottom"/>
            <w:hideMark/>
          </w:tcPr>
          <w:p w14:paraId="629A81CA"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$217</w:t>
            </w:r>
          </w:p>
        </w:tc>
        <w:tc>
          <w:tcPr>
            <w:tcW w:w="744" w:type="pct"/>
            <w:tcBorders>
              <w:top w:val="nil"/>
              <w:left w:val="nil"/>
              <w:bottom w:val="nil"/>
              <w:right w:val="single" w:sz="4" w:space="0" w:color="auto"/>
            </w:tcBorders>
            <w:shd w:val="clear" w:color="000000" w:fill="E2EFDA"/>
            <w:noWrap/>
            <w:vAlign w:val="bottom"/>
            <w:hideMark/>
          </w:tcPr>
          <w:p w14:paraId="5C720B35"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$863</w:t>
            </w:r>
          </w:p>
        </w:tc>
      </w:tr>
      <w:tr w:rsidR="002F1691" w:rsidRPr="0011592F" w14:paraId="6DB618B3" w14:textId="77777777" w:rsidTr="002F1691">
        <w:trPr>
          <w:trHeight w:val="300"/>
        </w:trPr>
        <w:tc>
          <w:tcPr>
            <w:tcW w:w="2536" w:type="pct"/>
            <w:tcBorders>
              <w:top w:val="single" w:sz="4" w:space="0" w:color="auto"/>
              <w:left w:val="single" w:sz="4" w:space="0" w:color="auto"/>
              <w:bottom w:val="single" w:sz="4" w:space="0" w:color="auto"/>
              <w:right w:val="single" w:sz="4" w:space="0" w:color="auto"/>
            </w:tcBorders>
            <w:shd w:val="clear" w:color="000000" w:fill="E2EFDA"/>
            <w:noWrap/>
            <w:vAlign w:val="bottom"/>
          </w:tcPr>
          <w:p w14:paraId="051364C4" w14:textId="77777777" w:rsidR="002F1691" w:rsidRPr="0011592F" w:rsidRDefault="002F1691" w:rsidP="002F1691">
            <w:pPr>
              <w:rPr>
                <w:rFonts w:ascii="Calibri" w:hAnsi="Calibri" w:cs="Calibri"/>
                <w:color w:val="000000"/>
                <w:sz w:val="18"/>
                <w:szCs w:val="22"/>
                <w:lang w:eastAsia="es-CO"/>
              </w:rPr>
            </w:pPr>
            <w:r>
              <w:rPr>
                <w:rFonts w:ascii="Calibri" w:hAnsi="Calibri" w:cs="Calibri"/>
                <w:color w:val="000000"/>
                <w:sz w:val="18"/>
                <w:szCs w:val="22"/>
                <w:lang w:eastAsia="es-CO"/>
              </w:rPr>
              <w:t>TIR</w:t>
            </w:r>
          </w:p>
        </w:tc>
        <w:tc>
          <w:tcPr>
            <w:tcW w:w="996" w:type="pct"/>
            <w:tcBorders>
              <w:top w:val="nil"/>
              <w:left w:val="single" w:sz="4" w:space="0" w:color="auto"/>
              <w:bottom w:val="single" w:sz="4" w:space="0" w:color="auto"/>
              <w:right w:val="single" w:sz="4" w:space="0" w:color="auto"/>
            </w:tcBorders>
            <w:shd w:val="clear" w:color="000000" w:fill="E2EFDA"/>
            <w:noWrap/>
            <w:vAlign w:val="bottom"/>
          </w:tcPr>
          <w:p w14:paraId="540D5944" w14:textId="77777777" w:rsidR="002F1691" w:rsidRPr="0023003D" w:rsidRDefault="002F1691" w:rsidP="002F1691">
            <w:pPr>
              <w:rPr>
                <w:rFonts w:ascii="Calibri" w:hAnsi="Calibri" w:cs="Calibri"/>
                <w:color w:val="000000"/>
                <w:sz w:val="18"/>
                <w:szCs w:val="18"/>
              </w:rPr>
            </w:pPr>
            <w:r w:rsidRPr="0023003D">
              <w:rPr>
                <w:rFonts w:ascii="Calibri" w:hAnsi="Calibri" w:cs="Calibri"/>
                <w:color w:val="000000"/>
                <w:sz w:val="18"/>
                <w:szCs w:val="18"/>
              </w:rPr>
              <w:t> </w:t>
            </w:r>
          </w:p>
        </w:tc>
        <w:tc>
          <w:tcPr>
            <w:tcW w:w="724" w:type="pct"/>
            <w:tcBorders>
              <w:top w:val="nil"/>
              <w:left w:val="nil"/>
              <w:bottom w:val="single" w:sz="4" w:space="0" w:color="auto"/>
              <w:right w:val="single" w:sz="4" w:space="0" w:color="auto"/>
            </w:tcBorders>
            <w:shd w:val="clear" w:color="000000" w:fill="E2EFDA"/>
            <w:noWrap/>
            <w:vAlign w:val="bottom"/>
          </w:tcPr>
          <w:p w14:paraId="1F266A09" w14:textId="77777777" w:rsidR="002F1691" w:rsidRPr="0023003D" w:rsidRDefault="002F1691" w:rsidP="002F1691">
            <w:pPr>
              <w:rPr>
                <w:rFonts w:ascii="Calibri" w:hAnsi="Calibri" w:cs="Calibri"/>
                <w:color w:val="000000"/>
                <w:sz w:val="18"/>
                <w:szCs w:val="18"/>
              </w:rPr>
            </w:pPr>
            <w:r w:rsidRPr="0023003D">
              <w:rPr>
                <w:rFonts w:ascii="Calibri" w:hAnsi="Calibri" w:cs="Calibri"/>
                <w:color w:val="000000"/>
                <w:sz w:val="18"/>
                <w:szCs w:val="18"/>
              </w:rPr>
              <w:t> </w:t>
            </w:r>
          </w:p>
        </w:tc>
        <w:tc>
          <w:tcPr>
            <w:tcW w:w="744" w:type="pct"/>
            <w:tcBorders>
              <w:top w:val="nil"/>
              <w:left w:val="nil"/>
              <w:bottom w:val="single" w:sz="4" w:space="0" w:color="auto"/>
              <w:right w:val="single" w:sz="4" w:space="0" w:color="auto"/>
            </w:tcBorders>
            <w:shd w:val="clear" w:color="000000" w:fill="E2EFDA"/>
            <w:noWrap/>
            <w:vAlign w:val="bottom"/>
          </w:tcPr>
          <w:p w14:paraId="1FBE9711"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202%</w:t>
            </w:r>
          </w:p>
        </w:tc>
      </w:tr>
    </w:tbl>
    <w:p w14:paraId="7DDE8DB3" w14:textId="77777777" w:rsidR="002F1691" w:rsidRPr="00192708" w:rsidRDefault="002F1691" w:rsidP="002F1691">
      <w:pPr>
        <w:jc w:val="center"/>
        <w:rPr>
          <w:sz w:val="18"/>
          <w:lang w:val="es-ES"/>
        </w:rPr>
      </w:pPr>
    </w:p>
    <w:p w14:paraId="5DEF03D6" w14:textId="77777777" w:rsidR="002F1691" w:rsidRDefault="002F1691" w:rsidP="002F1691">
      <w:pPr>
        <w:jc w:val="center"/>
        <w:rPr>
          <w:sz w:val="18"/>
          <w:lang w:val="es-ES"/>
        </w:rPr>
      </w:pPr>
      <w:r w:rsidRPr="00192708">
        <w:rPr>
          <w:sz w:val="18"/>
          <w:lang w:val="es-ES"/>
        </w:rPr>
        <w:t xml:space="preserve">Nota: </w:t>
      </w:r>
      <w:r>
        <w:rPr>
          <w:sz w:val="18"/>
          <w:lang w:val="es-ES"/>
        </w:rPr>
        <w:t>Elaborado con base en cálculos del consultor</w:t>
      </w:r>
    </w:p>
    <w:p w14:paraId="357313AA" w14:textId="77777777" w:rsidR="002F1691" w:rsidRDefault="002F1691" w:rsidP="002F1691">
      <w:pPr>
        <w:jc w:val="center"/>
        <w:rPr>
          <w:sz w:val="18"/>
          <w:lang w:val="es-ES"/>
        </w:rPr>
      </w:pPr>
      <w:r>
        <w:rPr>
          <w:sz w:val="18"/>
          <w:lang w:val="es-ES"/>
        </w:rPr>
        <w:t>Valores presentes consideran flujos descontados del horizonte completo</w:t>
      </w:r>
    </w:p>
    <w:p w14:paraId="1AC64251" w14:textId="77777777" w:rsidR="002F1691" w:rsidRDefault="002F1691" w:rsidP="002F1691">
      <w:pPr>
        <w:spacing w:before="120"/>
        <w:rPr>
          <w:lang w:val="es-ES"/>
        </w:rPr>
      </w:pPr>
    </w:p>
    <w:p w14:paraId="42EAE3EF" w14:textId="77777777" w:rsidR="002F1691" w:rsidRPr="00573572" w:rsidRDefault="002F1691" w:rsidP="002F1691">
      <w:pPr>
        <w:spacing w:before="120"/>
        <w:jc w:val="both"/>
        <w:rPr>
          <w:lang w:val="es-ES"/>
        </w:rPr>
      </w:pPr>
      <w:r w:rsidRPr="00184387">
        <w:rPr>
          <w:lang w:val="es-ES"/>
        </w:rPr>
        <w:t xml:space="preserve">Se observa que luego del quinto año, los niveles de ahorro energético en iluminación serían del orden de </w:t>
      </w:r>
      <w:r>
        <w:rPr>
          <w:lang w:val="es-ES"/>
        </w:rPr>
        <w:t>78</w:t>
      </w:r>
      <w:r w:rsidRPr="00184387">
        <w:rPr>
          <w:lang w:val="es-ES"/>
        </w:rPr>
        <w:t>% con respecto al escenario sin proyecto, lo cual representa un gran beneficio económico medido en valor presente, que justifica el cambio de iluminación aun cuando el costo de los bombillos ahorradores y LED sea muy superior al de un bombillo incandescente.</w:t>
      </w:r>
      <w:r w:rsidRPr="00573572">
        <w:rPr>
          <w:lang w:val="es-ES"/>
        </w:rPr>
        <w:t xml:space="preserve"> Alumbrado Público</w:t>
      </w:r>
    </w:p>
    <w:p w14:paraId="48371EBE" w14:textId="63AE0904" w:rsidR="002F1691" w:rsidRPr="002F1691" w:rsidRDefault="002F1691" w:rsidP="002F1691">
      <w:pPr>
        <w:spacing w:before="120"/>
        <w:jc w:val="both"/>
        <w:rPr>
          <w:lang w:val="es-ES_tradnl"/>
        </w:rPr>
      </w:pPr>
      <w:r w:rsidRPr="002F1691">
        <w:rPr>
          <w:lang w:val="es-ES_tradnl"/>
        </w:rPr>
        <w:t xml:space="preserve">De manera similar al ejercicio realizado para el sector residencial, se procedió a estimar el número de lamparas de alumbrado público que pueden existir en la actualidad en Bolivia, con base en el consumo energético de este sector y asumiendo la misma configuración tecnológica de lamparas de Oruro (composición fundamentalmente de lamparas de vapor de sodio (VS) y vapor de mercurio (VM)). Los resultados del cálculo para el SIN y Sistemas Aislados se resume en la </w:t>
      </w:r>
      <w:r>
        <w:fldChar w:fldCharType="begin"/>
      </w:r>
      <w:r w:rsidRPr="002F1691">
        <w:rPr>
          <w:lang w:val="es-ES_tradnl"/>
        </w:rPr>
        <w:instrText xml:space="preserve"> REF _Ref512500008 \h  \* MERGEFORMAT </w:instrText>
      </w:r>
      <w:r>
        <w:fldChar w:fldCharType="separate"/>
      </w:r>
      <w:r w:rsidRPr="002F1691">
        <w:rPr>
          <w:b/>
          <w:lang w:val="es-ES_tradnl"/>
        </w:rPr>
        <w:t xml:space="preserve">Tabla </w:t>
      </w:r>
      <w:r w:rsidRPr="002F1691">
        <w:rPr>
          <w:b/>
          <w:noProof/>
          <w:lang w:val="es-ES_tradnl"/>
        </w:rPr>
        <w:t>1</w:t>
      </w:r>
      <w:r>
        <w:fldChar w:fldCharType="end"/>
      </w:r>
      <w:r w:rsidRPr="002F1691">
        <w:rPr>
          <w:lang w:val="es-ES_tradnl"/>
        </w:rPr>
        <w:t>4.</w:t>
      </w:r>
    </w:p>
    <w:p w14:paraId="05A32D7A" w14:textId="77777777" w:rsidR="002F1691" w:rsidRPr="002F1691" w:rsidRDefault="002F1691" w:rsidP="002F1691">
      <w:pPr>
        <w:spacing w:before="120"/>
        <w:rPr>
          <w:lang w:val="es-ES_tradnl"/>
        </w:rPr>
      </w:pPr>
    </w:p>
    <w:p w14:paraId="60145B9D" w14:textId="64EA8766" w:rsidR="002F1691" w:rsidRPr="002F1691" w:rsidRDefault="002F1691" w:rsidP="002F1691">
      <w:pPr>
        <w:jc w:val="center"/>
        <w:rPr>
          <w:b/>
          <w:lang w:val="es-ES_tradnl"/>
        </w:rPr>
      </w:pPr>
      <w:bookmarkStart w:id="22" w:name="_Ref512500008"/>
      <w:bookmarkStart w:id="23" w:name="_Toc514264371"/>
      <w:r w:rsidRPr="002F1691">
        <w:rPr>
          <w:b/>
          <w:lang w:val="es-ES_tradnl"/>
        </w:rPr>
        <w:t xml:space="preserve">Tabla </w:t>
      </w:r>
      <w:bookmarkEnd w:id="22"/>
      <w:r w:rsidRPr="002F1691">
        <w:rPr>
          <w:b/>
          <w:lang w:val="es-ES_tradnl"/>
        </w:rPr>
        <w:t>14 – Estimación del número de lamparas de alumbrado público a 2017</w:t>
      </w:r>
      <w:bookmarkEnd w:id="23"/>
    </w:p>
    <w:p w14:paraId="080B7C04" w14:textId="77777777" w:rsidR="002F1691" w:rsidRPr="002F1691" w:rsidRDefault="002F1691" w:rsidP="002F1691">
      <w:pPr>
        <w:rPr>
          <w:b/>
          <w:lang w:val="es-ES_tradnl"/>
        </w:rPr>
      </w:pPr>
    </w:p>
    <w:tbl>
      <w:tblPr>
        <w:tblW w:w="5000" w:type="pct"/>
        <w:tblCellMar>
          <w:left w:w="70" w:type="dxa"/>
          <w:right w:w="70" w:type="dxa"/>
        </w:tblCellMar>
        <w:tblLook w:val="04A0" w:firstRow="1" w:lastRow="0" w:firstColumn="1" w:lastColumn="0" w:noHBand="0" w:noVBand="1"/>
      </w:tblPr>
      <w:tblGrid>
        <w:gridCol w:w="2668"/>
        <w:gridCol w:w="1199"/>
        <w:gridCol w:w="993"/>
        <w:gridCol w:w="1279"/>
        <w:gridCol w:w="1167"/>
        <w:gridCol w:w="1334"/>
      </w:tblGrid>
      <w:tr w:rsidR="002F1691" w:rsidRPr="00686954" w14:paraId="5A51E866" w14:textId="77777777" w:rsidTr="002F1691">
        <w:trPr>
          <w:trHeight w:val="300"/>
        </w:trPr>
        <w:tc>
          <w:tcPr>
            <w:tcW w:w="1505" w:type="pct"/>
            <w:tcBorders>
              <w:top w:val="nil"/>
              <w:left w:val="nil"/>
              <w:bottom w:val="nil"/>
              <w:right w:val="nil"/>
            </w:tcBorders>
            <w:shd w:val="clear" w:color="auto" w:fill="auto"/>
            <w:noWrap/>
            <w:vAlign w:val="bottom"/>
            <w:hideMark/>
          </w:tcPr>
          <w:p w14:paraId="3BA16119" w14:textId="77777777" w:rsidR="002F1691" w:rsidRPr="00686954" w:rsidRDefault="002F1691" w:rsidP="002F1691">
            <w:pPr>
              <w:rPr>
                <w:rFonts w:ascii="Calibri" w:hAnsi="Calibri" w:cs="Calibri"/>
                <w:b/>
                <w:bCs/>
                <w:color w:val="000000"/>
                <w:sz w:val="20"/>
                <w:lang w:eastAsia="es-CO"/>
              </w:rPr>
            </w:pPr>
            <w:r w:rsidRPr="00686954">
              <w:rPr>
                <w:rFonts w:ascii="Calibri" w:hAnsi="Calibri" w:cs="Calibri"/>
                <w:b/>
                <w:bCs/>
                <w:color w:val="000000"/>
                <w:sz w:val="20"/>
                <w:lang w:eastAsia="es-CO"/>
              </w:rPr>
              <w:t>SIN</w:t>
            </w:r>
          </w:p>
        </w:tc>
        <w:tc>
          <w:tcPr>
            <w:tcW w:w="676" w:type="pct"/>
            <w:tcBorders>
              <w:top w:val="nil"/>
              <w:left w:val="nil"/>
              <w:bottom w:val="nil"/>
              <w:right w:val="nil"/>
            </w:tcBorders>
            <w:shd w:val="clear" w:color="auto" w:fill="auto"/>
            <w:noWrap/>
            <w:vAlign w:val="bottom"/>
            <w:hideMark/>
          </w:tcPr>
          <w:p w14:paraId="3916C609" w14:textId="77777777" w:rsidR="002F1691" w:rsidRPr="00686954" w:rsidRDefault="002F1691" w:rsidP="002F1691">
            <w:pPr>
              <w:rPr>
                <w:rFonts w:ascii="Calibri" w:hAnsi="Calibri" w:cs="Calibri"/>
                <w:b/>
                <w:bCs/>
                <w:color w:val="000000"/>
                <w:sz w:val="20"/>
                <w:lang w:eastAsia="es-CO"/>
              </w:rPr>
            </w:pPr>
          </w:p>
        </w:tc>
        <w:tc>
          <w:tcPr>
            <w:tcW w:w="560" w:type="pct"/>
            <w:tcBorders>
              <w:top w:val="nil"/>
              <w:left w:val="nil"/>
              <w:bottom w:val="nil"/>
              <w:right w:val="nil"/>
            </w:tcBorders>
            <w:shd w:val="clear" w:color="auto" w:fill="auto"/>
            <w:noWrap/>
            <w:vAlign w:val="bottom"/>
            <w:hideMark/>
          </w:tcPr>
          <w:p w14:paraId="39B82BD3" w14:textId="77777777" w:rsidR="002F1691" w:rsidRPr="00686954" w:rsidRDefault="002F1691" w:rsidP="002F1691">
            <w:pPr>
              <w:rPr>
                <w:sz w:val="20"/>
                <w:lang w:eastAsia="es-CO"/>
              </w:rPr>
            </w:pPr>
          </w:p>
        </w:tc>
        <w:tc>
          <w:tcPr>
            <w:tcW w:w="764" w:type="pct"/>
            <w:tcBorders>
              <w:top w:val="nil"/>
              <w:left w:val="nil"/>
              <w:bottom w:val="nil"/>
              <w:right w:val="nil"/>
            </w:tcBorders>
            <w:shd w:val="clear" w:color="auto" w:fill="auto"/>
            <w:noWrap/>
            <w:vAlign w:val="bottom"/>
            <w:hideMark/>
          </w:tcPr>
          <w:p w14:paraId="69760E59" w14:textId="77777777" w:rsidR="002F1691" w:rsidRPr="00686954" w:rsidRDefault="002F1691" w:rsidP="002F1691">
            <w:pPr>
              <w:rPr>
                <w:sz w:val="20"/>
                <w:lang w:eastAsia="es-CO"/>
              </w:rPr>
            </w:pPr>
          </w:p>
        </w:tc>
        <w:tc>
          <w:tcPr>
            <w:tcW w:w="699" w:type="pct"/>
            <w:tcBorders>
              <w:top w:val="nil"/>
              <w:left w:val="nil"/>
              <w:bottom w:val="nil"/>
              <w:right w:val="nil"/>
            </w:tcBorders>
            <w:shd w:val="clear" w:color="auto" w:fill="auto"/>
            <w:noWrap/>
            <w:vAlign w:val="bottom"/>
            <w:hideMark/>
          </w:tcPr>
          <w:p w14:paraId="71115E38" w14:textId="77777777" w:rsidR="002F1691" w:rsidRPr="00686954" w:rsidRDefault="002F1691" w:rsidP="002F1691">
            <w:pPr>
              <w:rPr>
                <w:sz w:val="20"/>
                <w:lang w:eastAsia="es-CO"/>
              </w:rPr>
            </w:pPr>
          </w:p>
        </w:tc>
        <w:tc>
          <w:tcPr>
            <w:tcW w:w="796" w:type="pct"/>
            <w:tcBorders>
              <w:top w:val="nil"/>
              <w:left w:val="nil"/>
              <w:bottom w:val="nil"/>
              <w:right w:val="nil"/>
            </w:tcBorders>
            <w:shd w:val="clear" w:color="auto" w:fill="auto"/>
            <w:noWrap/>
            <w:vAlign w:val="bottom"/>
            <w:hideMark/>
          </w:tcPr>
          <w:p w14:paraId="42588E25" w14:textId="77777777" w:rsidR="002F1691" w:rsidRPr="00686954" w:rsidRDefault="002F1691" w:rsidP="002F1691">
            <w:pPr>
              <w:rPr>
                <w:sz w:val="20"/>
                <w:lang w:eastAsia="es-CO"/>
              </w:rPr>
            </w:pPr>
          </w:p>
        </w:tc>
      </w:tr>
      <w:tr w:rsidR="002F1691" w:rsidRPr="00686954" w14:paraId="57C6C9C4" w14:textId="77777777" w:rsidTr="002F1691">
        <w:trPr>
          <w:trHeight w:val="300"/>
        </w:trPr>
        <w:tc>
          <w:tcPr>
            <w:tcW w:w="1505" w:type="pct"/>
            <w:tcBorders>
              <w:top w:val="nil"/>
              <w:left w:val="nil"/>
              <w:bottom w:val="nil"/>
              <w:right w:val="nil"/>
            </w:tcBorders>
            <w:shd w:val="clear" w:color="auto" w:fill="auto"/>
            <w:noWrap/>
            <w:vAlign w:val="bottom"/>
            <w:hideMark/>
          </w:tcPr>
          <w:p w14:paraId="134D6B6C" w14:textId="77777777" w:rsidR="002F1691" w:rsidRPr="00686954" w:rsidRDefault="002F1691" w:rsidP="002F1691">
            <w:pPr>
              <w:rPr>
                <w:sz w:val="20"/>
                <w:lang w:eastAsia="es-CO"/>
              </w:rPr>
            </w:pPr>
          </w:p>
        </w:tc>
        <w:tc>
          <w:tcPr>
            <w:tcW w:w="676" w:type="pct"/>
            <w:tcBorders>
              <w:top w:val="nil"/>
              <w:left w:val="nil"/>
              <w:bottom w:val="nil"/>
              <w:right w:val="nil"/>
            </w:tcBorders>
            <w:shd w:val="clear" w:color="auto" w:fill="auto"/>
            <w:noWrap/>
            <w:vAlign w:val="bottom"/>
            <w:hideMark/>
          </w:tcPr>
          <w:p w14:paraId="1C1EC3F6" w14:textId="77777777" w:rsidR="002F1691" w:rsidRPr="00686954" w:rsidRDefault="002F1691" w:rsidP="002F1691">
            <w:pPr>
              <w:rPr>
                <w:sz w:val="20"/>
                <w:lang w:eastAsia="es-CO"/>
              </w:rPr>
            </w:pPr>
          </w:p>
        </w:tc>
        <w:tc>
          <w:tcPr>
            <w:tcW w:w="560" w:type="pct"/>
            <w:tcBorders>
              <w:top w:val="nil"/>
              <w:left w:val="nil"/>
              <w:bottom w:val="nil"/>
              <w:right w:val="nil"/>
            </w:tcBorders>
            <w:shd w:val="clear" w:color="auto" w:fill="auto"/>
            <w:noWrap/>
            <w:vAlign w:val="bottom"/>
            <w:hideMark/>
          </w:tcPr>
          <w:p w14:paraId="635070E8" w14:textId="77777777" w:rsidR="002F1691" w:rsidRPr="00686954" w:rsidRDefault="002F1691" w:rsidP="002F1691">
            <w:pPr>
              <w:rPr>
                <w:sz w:val="20"/>
                <w:lang w:eastAsia="es-CO"/>
              </w:rPr>
            </w:pPr>
          </w:p>
        </w:tc>
        <w:tc>
          <w:tcPr>
            <w:tcW w:w="764" w:type="pct"/>
            <w:tcBorders>
              <w:top w:val="nil"/>
              <w:left w:val="nil"/>
              <w:bottom w:val="nil"/>
              <w:right w:val="nil"/>
            </w:tcBorders>
            <w:shd w:val="clear" w:color="auto" w:fill="auto"/>
            <w:noWrap/>
            <w:vAlign w:val="bottom"/>
            <w:hideMark/>
          </w:tcPr>
          <w:p w14:paraId="20086B7F" w14:textId="77777777" w:rsidR="002F1691" w:rsidRPr="00686954" w:rsidRDefault="002F1691" w:rsidP="002F1691">
            <w:pPr>
              <w:rPr>
                <w:sz w:val="20"/>
                <w:lang w:eastAsia="es-CO"/>
              </w:rPr>
            </w:pPr>
          </w:p>
        </w:tc>
        <w:tc>
          <w:tcPr>
            <w:tcW w:w="699" w:type="pct"/>
            <w:tcBorders>
              <w:top w:val="nil"/>
              <w:left w:val="nil"/>
              <w:bottom w:val="nil"/>
              <w:right w:val="nil"/>
            </w:tcBorders>
            <w:shd w:val="clear" w:color="auto" w:fill="auto"/>
            <w:noWrap/>
            <w:vAlign w:val="bottom"/>
            <w:hideMark/>
          </w:tcPr>
          <w:p w14:paraId="7E109A3C" w14:textId="77777777" w:rsidR="002F1691" w:rsidRPr="00686954" w:rsidRDefault="002F1691" w:rsidP="002F1691">
            <w:pPr>
              <w:rPr>
                <w:sz w:val="20"/>
                <w:lang w:eastAsia="es-CO"/>
              </w:rPr>
            </w:pPr>
          </w:p>
        </w:tc>
        <w:tc>
          <w:tcPr>
            <w:tcW w:w="796" w:type="pct"/>
            <w:tcBorders>
              <w:top w:val="nil"/>
              <w:left w:val="nil"/>
              <w:bottom w:val="nil"/>
              <w:right w:val="nil"/>
            </w:tcBorders>
            <w:shd w:val="clear" w:color="auto" w:fill="auto"/>
            <w:noWrap/>
            <w:vAlign w:val="bottom"/>
            <w:hideMark/>
          </w:tcPr>
          <w:p w14:paraId="5DF9EB5A" w14:textId="77777777" w:rsidR="002F1691" w:rsidRPr="00686954" w:rsidRDefault="002F1691" w:rsidP="002F1691">
            <w:pPr>
              <w:rPr>
                <w:sz w:val="20"/>
                <w:lang w:eastAsia="es-CO"/>
              </w:rPr>
            </w:pPr>
          </w:p>
        </w:tc>
      </w:tr>
      <w:tr w:rsidR="002F1691" w:rsidRPr="00D86855" w14:paraId="3886E0D0" w14:textId="77777777" w:rsidTr="002F1691">
        <w:trPr>
          <w:trHeight w:val="1200"/>
        </w:trPr>
        <w:tc>
          <w:tcPr>
            <w:tcW w:w="1505" w:type="pct"/>
            <w:tcBorders>
              <w:top w:val="nil"/>
              <w:left w:val="nil"/>
              <w:bottom w:val="nil"/>
              <w:right w:val="single" w:sz="4" w:space="0" w:color="FFFFFF"/>
            </w:tcBorders>
            <w:shd w:val="clear" w:color="000000" w:fill="002060"/>
            <w:vAlign w:val="center"/>
            <w:hideMark/>
          </w:tcPr>
          <w:p w14:paraId="00373787" w14:textId="77777777" w:rsidR="002F1691" w:rsidRPr="00686954" w:rsidRDefault="002F1691" w:rsidP="002F1691">
            <w:pPr>
              <w:jc w:val="center"/>
              <w:rPr>
                <w:rFonts w:ascii="Calibri" w:hAnsi="Calibri" w:cs="Calibri"/>
                <w:b/>
                <w:bCs/>
                <w:color w:val="FFFFFF"/>
                <w:sz w:val="20"/>
                <w:lang w:eastAsia="es-CO"/>
              </w:rPr>
            </w:pPr>
            <w:r w:rsidRPr="00686954">
              <w:rPr>
                <w:rFonts w:ascii="Calibri" w:hAnsi="Calibri" w:cs="Calibri"/>
                <w:b/>
                <w:bCs/>
                <w:color w:val="FFFFFF"/>
                <w:sz w:val="20"/>
                <w:lang w:eastAsia="es-CO"/>
              </w:rPr>
              <w:t>Características de lamparas de alumbrado público actual</w:t>
            </w:r>
          </w:p>
        </w:tc>
        <w:tc>
          <w:tcPr>
            <w:tcW w:w="676" w:type="pct"/>
            <w:tcBorders>
              <w:top w:val="nil"/>
              <w:left w:val="nil"/>
              <w:bottom w:val="nil"/>
              <w:right w:val="single" w:sz="4" w:space="0" w:color="FFFFFF"/>
            </w:tcBorders>
            <w:shd w:val="clear" w:color="000000" w:fill="002060"/>
            <w:vAlign w:val="center"/>
            <w:hideMark/>
          </w:tcPr>
          <w:p w14:paraId="6159E8EB" w14:textId="77777777" w:rsidR="002F1691" w:rsidRPr="002F1691" w:rsidRDefault="002F1691" w:rsidP="002F1691">
            <w:pPr>
              <w:jc w:val="center"/>
              <w:rPr>
                <w:rFonts w:ascii="Calibri" w:hAnsi="Calibri" w:cs="Calibri"/>
                <w:color w:val="FFFFFF"/>
                <w:sz w:val="20"/>
                <w:lang w:val="es-ES_tradnl" w:eastAsia="es-CO"/>
              </w:rPr>
            </w:pPr>
            <w:r w:rsidRPr="002F1691">
              <w:rPr>
                <w:rFonts w:ascii="Calibri" w:hAnsi="Calibri" w:cs="Calibri"/>
                <w:color w:val="FFFFFF"/>
                <w:sz w:val="20"/>
                <w:lang w:val="es-ES_tradnl" w:eastAsia="es-CO"/>
              </w:rPr>
              <w:t>Participación en No. de lamparas</w:t>
            </w:r>
          </w:p>
        </w:tc>
        <w:tc>
          <w:tcPr>
            <w:tcW w:w="560" w:type="pct"/>
            <w:tcBorders>
              <w:top w:val="nil"/>
              <w:left w:val="nil"/>
              <w:bottom w:val="nil"/>
              <w:right w:val="single" w:sz="4" w:space="0" w:color="FFFFFF"/>
            </w:tcBorders>
            <w:shd w:val="clear" w:color="000000" w:fill="002060"/>
            <w:vAlign w:val="center"/>
            <w:hideMark/>
          </w:tcPr>
          <w:p w14:paraId="51496606" w14:textId="77777777" w:rsidR="002F1691" w:rsidRPr="002F1691" w:rsidRDefault="002F1691" w:rsidP="002F1691">
            <w:pPr>
              <w:jc w:val="center"/>
              <w:rPr>
                <w:rFonts w:ascii="Calibri" w:hAnsi="Calibri" w:cs="Calibri"/>
                <w:color w:val="FFFFFF"/>
                <w:sz w:val="20"/>
                <w:lang w:val="es-ES_tradnl" w:eastAsia="es-CO"/>
              </w:rPr>
            </w:pPr>
            <w:r w:rsidRPr="002F1691">
              <w:rPr>
                <w:rFonts w:ascii="Calibri" w:hAnsi="Calibri" w:cs="Calibri"/>
                <w:color w:val="FFFFFF"/>
                <w:sz w:val="20"/>
                <w:lang w:val="es-ES_tradnl" w:eastAsia="es-CO"/>
              </w:rPr>
              <w:t xml:space="preserve">Potencia de una lampara </w:t>
            </w:r>
            <w:r w:rsidRPr="002F1691">
              <w:rPr>
                <w:rFonts w:ascii="Calibri" w:hAnsi="Calibri" w:cs="Calibri"/>
                <w:color w:val="FFFFFF"/>
                <w:sz w:val="20"/>
                <w:lang w:val="es-ES_tradnl" w:eastAsia="es-CO"/>
              </w:rPr>
              <w:br/>
              <w:t>(W)</w:t>
            </w:r>
          </w:p>
        </w:tc>
        <w:tc>
          <w:tcPr>
            <w:tcW w:w="764" w:type="pct"/>
            <w:tcBorders>
              <w:top w:val="nil"/>
              <w:left w:val="nil"/>
              <w:bottom w:val="nil"/>
              <w:right w:val="single" w:sz="4" w:space="0" w:color="FFFFFF"/>
            </w:tcBorders>
            <w:shd w:val="clear" w:color="000000" w:fill="002060"/>
            <w:vAlign w:val="center"/>
            <w:hideMark/>
          </w:tcPr>
          <w:p w14:paraId="07DBD690" w14:textId="77777777" w:rsidR="002F1691" w:rsidRPr="00686954" w:rsidRDefault="002F1691" w:rsidP="002F1691">
            <w:pPr>
              <w:jc w:val="center"/>
              <w:rPr>
                <w:rFonts w:ascii="Calibri" w:hAnsi="Calibri" w:cs="Calibri"/>
                <w:color w:val="FFFFFF"/>
                <w:sz w:val="20"/>
                <w:lang w:eastAsia="es-CO"/>
              </w:rPr>
            </w:pPr>
            <w:r w:rsidRPr="00686954">
              <w:rPr>
                <w:rFonts w:ascii="Calibri" w:hAnsi="Calibri" w:cs="Calibri"/>
                <w:color w:val="FFFFFF"/>
                <w:sz w:val="20"/>
                <w:lang w:eastAsia="es-CO"/>
              </w:rPr>
              <w:t>Consumo energético anual de 1 lampara</w:t>
            </w:r>
            <w:r w:rsidRPr="00686954">
              <w:rPr>
                <w:rFonts w:ascii="Calibri" w:hAnsi="Calibri" w:cs="Calibri"/>
                <w:color w:val="FFFFFF"/>
                <w:sz w:val="20"/>
                <w:lang w:eastAsia="es-CO"/>
              </w:rPr>
              <w:br/>
              <w:t>(GWh)</w:t>
            </w:r>
          </w:p>
        </w:tc>
        <w:tc>
          <w:tcPr>
            <w:tcW w:w="699" w:type="pct"/>
            <w:tcBorders>
              <w:top w:val="nil"/>
              <w:left w:val="nil"/>
              <w:bottom w:val="nil"/>
              <w:right w:val="nil"/>
            </w:tcBorders>
            <w:shd w:val="clear" w:color="000000" w:fill="002060"/>
            <w:vAlign w:val="center"/>
            <w:hideMark/>
          </w:tcPr>
          <w:p w14:paraId="17C318BF" w14:textId="77777777" w:rsidR="002F1691" w:rsidRPr="00686954" w:rsidRDefault="002F1691" w:rsidP="002F1691">
            <w:pPr>
              <w:jc w:val="center"/>
              <w:rPr>
                <w:rFonts w:ascii="Calibri" w:hAnsi="Calibri" w:cs="Calibri"/>
                <w:color w:val="FFFFFF"/>
                <w:sz w:val="20"/>
                <w:lang w:eastAsia="es-CO"/>
              </w:rPr>
            </w:pPr>
            <w:r w:rsidRPr="00686954">
              <w:rPr>
                <w:rFonts w:ascii="Calibri" w:hAnsi="Calibri" w:cs="Calibri"/>
                <w:color w:val="FFFFFF"/>
                <w:sz w:val="20"/>
                <w:lang w:eastAsia="es-CO"/>
              </w:rPr>
              <w:t>Número estimado de lámparas</w:t>
            </w:r>
          </w:p>
        </w:tc>
        <w:tc>
          <w:tcPr>
            <w:tcW w:w="796" w:type="pct"/>
            <w:tcBorders>
              <w:top w:val="nil"/>
              <w:left w:val="single" w:sz="4" w:space="0" w:color="FFFFFF"/>
              <w:bottom w:val="nil"/>
              <w:right w:val="nil"/>
            </w:tcBorders>
            <w:shd w:val="clear" w:color="000000" w:fill="002060"/>
            <w:vAlign w:val="center"/>
            <w:hideMark/>
          </w:tcPr>
          <w:p w14:paraId="32992756" w14:textId="77777777" w:rsidR="002F1691" w:rsidRPr="00200F70" w:rsidRDefault="002F1691" w:rsidP="002F1691">
            <w:pPr>
              <w:jc w:val="center"/>
              <w:rPr>
                <w:rFonts w:ascii="Calibri" w:hAnsi="Calibri" w:cs="Calibri"/>
                <w:color w:val="FFFFFF"/>
                <w:sz w:val="20"/>
                <w:lang w:val="pt-BR" w:eastAsia="es-CO"/>
              </w:rPr>
            </w:pPr>
            <w:r w:rsidRPr="00200F70">
              <w:rPr>
                <w:rFonts w:ascii="Calibri" w:hAnsi="Calibri" w:cs="Calibri"/>
                <w:color w:val="FFFFFF"/>
                <w:sz w:val="20"/>
                <w:lang w:val="pt-BR" w:eastAsia="es-CO"/>
              </w:rPr>
              <w:t>Consumo energético anual total</w:t>
            </w:r>
            <w:r w:rsidRPr="00200F70">
              <w:rPr>
                <w:rFonts w:ascii="Calibri" w:hAnsi="Calibri" w:cs="Calibri"/>
                <w:color w:val="FFFFFF"/>
                <w:sz w:val="20"/>
                <w:lang w:val="pt-BR" w:eastAsia="es-CO"/>
              </w:rPr>
              <w:br/>
              <w:t>(GWh)</w:t>
            </w:r>
          </w:p>
        </w:tc>
      </w:tr>
      <w:tr w:rsidR="002F1691" w:rsidRPr="00686954" w14:paraId="152F2C97" w14:textId="77777777" w:rsidTr="002F1691">
        <w:trPr>
          <w:trHeight w:val="300"/>
        </w:trPr>
        <w:tc>
          <w:tcPr>
            <w:tcW w:w="1505" w:type="pct"/>
            <w:tcBorders>
              <w:top w:val="single" w:sz="4" w:space="0" w:color="auto"/>
              <w:left w:val="single" w:sz="4" w:space="0" w:color="auto"/>
              <w:bottom w:val="nil"/>
              <w:right w:val="nil"/>
            </w:tcBorders>
            <w:shd w:val="clear" w:color="auto" w:fill="auto"/>
            <w:noWrap/>
            <w:vAlign w:val="bottom"/>
            <w:hideMark/>
          </w:tcPr>
          <w:p w14:paraId="296B6BD9"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Vapor de Sodio</w:t>
            </w:r>
          </w:p>
        </w:tc>
        <w:tc>
          <w:tcPr>
            <w:tcW w:w="676" w:type="pct"/>
            <w:tcBorders>
              <w:top w:val="single" w:sz="4" w:space="0" w:color="auto"/>
              <w:left w:val="nil"/>
              <w:bottom w:val="nil"/>
              <w:right w:val="nil"/>
            </w:tcBorders>
            <w:shd w:val="clear" w:color="auto" w:fill="auto"/>
            <w:noWrap/>
            <w:vAlign w:val="bottom"/>
            <w:hideMark/>
          </w:tcPr>
          <w:p w14:paraId="191526F8"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81,8%</w:t>
            </w:r>
          </w:p>
        </w:tc>
        <w:tc>
          <w:tcPr>
            <w:tcW w:w="560" w:type="pct"/>
            <w:tcBorders>
              <w:top w:val="single" w:sz="4" w:space="0" w:color="auto"/>
              <w:left w:val="nil"/>
              <w:bottom w:val="nil"/>
              <w:right w:val="nil"/>
            </w:tcBorders>
            <w:shd w:val="clear" w:color="auto" w:fill="auto"/>
            <w:noWrap/>
            <w:vAlign w:val="bottom"/>
            <w:hideMark/>
          </w:tcPr>
          <w:p w14:paraId="5B84C857"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165</w:t>
            </w:r>
          </w:p>
        </w:tc>
        <w:tc>
          <w:tcPr>
            <w:tcW w:w="764" w:type="pct"/>
            <w:tcBorders>
              <w:top w:val="single" w:sz="4" w:space="0" w:color="auto"/>
              <w:left w:val="nil"/>
              <w:bottom w:val="nil"/>
              <w:right w:val="nil"/>
            </w:tcBorders>
            <w:shd w:val="clear" w:color="auto" w:fill="auto"/>
            <w:noWrap/>
            <w:vAlign w:val="bottom"/>
            <w:hideMark/>
          </w:tcPr>
          <w:p w14:paraId="1006A00E"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0,00072</w:t>
            </w:r>
          </w:p>
        </w:tc>
        <w:tc>
          <w:tcPr>
            <w:tcW w:w="699" w:type="pct"/>
            <w:tcBorders>
              <w:top w:val="single" w:sz="4" w:space="0" w:color="auto"/>
              <w:left w:val="nil"/>
              <w:bottom w:val="nil"/>
              <w:right w:val="nil"/>
            </w:tcBorders>
            <w:shd w:val="clear" w:color="auto" w:fill="auto"/>
            <w:noWrap/>
            <w:vAlign w:val="bottom"/>
            <w:hideMark/>
          </w:tcPr>
          <w:p w14:paraId="6936E285"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429.450</w:t>
            </w:r>
          </w:p>
        </w:tc>
        <w:tc>
          <w:tcPr>
            <w:tcW w:w="796" w:type="pct"/>
            <w:tcBorders>
              <w:top w:val="single" w:sz="4" w:space="0" w:color="auto"/>
              <w:left w:val="nil"/>
              <w:bottom w:val="nil"/>
              <w:right w:val="single" w:sz="4" w:space="0" w:color="auto"/>
            </w:tcBorders>
            <w:shd w:val="clear" w:color="auto" w:fill="auto"/>
            <w:noWrap/>
            <w:vAlign w:val="bottom"/>
            <w:hideMark/>
          </w:tcPr>
          <w:p w14:paraId="799CF350"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311</w:t>
            </w:r>
            <w:r>
              <w:rPr>
                <w:rFonts w:ascii="Calibri" w:hAnsi="Calibri" w:cs="Calibri"/>
                <w:color w:val="000000" w:themeColor="text1"/>
                <w:sz w:val="20"/>
                <w:lang w:eastAsia="es-CO"/>
              </w:rPr>
              <w:t>,0</w:t>
            </w:r>
          </w:p>
        </w:tc>
      </w:tr>
      <w:tr w:rsidR="002F1691" w:rsidRPr="00686954" w14:paraId="5CF8C29A" w14:textId="77777777" w:rsidTr="002F1691">
        <w:trPr>
          <w:trHeight w:val="300"/>
        </w:trPr>
        <w:tc>
          <w:tcPr>
            <w:tcW w:w="1505" w:type="pct"/>
            <w:tcBorders>
              <w:top w:val="nil"/>
              <w:left w:val="single" w:sz="4" w:space="0" w:color="auto"/>
              <w:bottom w:val="nil"/>
              <w:right w:val="nil"/>
            </w:tcBorders>
            <w:shd w:val="clear" w:color="auto" w:fill="auto"/>
            <w:noWrap/>
            <w:vAlign w:val="bottom"/>
            <w:hideMark/>
          </w:tcPr>
          <w:p w14:paraId="4DCE5F51"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Vapor de Mercurio</w:t>
            </w:r>
          </w:p>
        </w:tc>
        <w:tc>
          <w:tcPr>
            <w:tcW w:w="676" w:type="pct"/>
            <w:tcBorders>
              <w:top w:val="nil"/>
              <w:left w:val="nil"/>
              <w:bottom w:val="nil"/>
              <w:right w:val="nil"/>
            </w:tcBorders>
            <w:shd w:val="clear" w:color="auto" w:fill="auto"/>
            <w:noWrap/>
            <w:vAlign w:val="bottom"/>
            <w:hideMark/>
          </w:tcPr>
          <w:p w14:paraId="012B84B1"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13,4%</w:t>
            </w:r>
          </w:p>
        </w:tc>
        <w:tc>
          <w:tcPr>
            <w:tcW w:w="560" w:type="pct"/>
            <w:tcBorders>
              <w:top w:val="nil"/>
              <w:left w:val="nil"/>
              <w:bottom w:val="nil"/>
              <w:right w:val="nil"/>
            </w:tcBorders>
            <w:shd w:val="clear" w:color="auto" w:fill="auto"/>
            <w:noWrap/>
            <w:vAlign w:val="bottom"/>
            <w:hideMark/>
          </w:tcPr>
          <w:p w14:paraId="7D8E1ABE"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156</w:t>
            </w:r>
          </w:p>
        </w:tc>
        <w:tc>
          <w:tcPr>
            <w:tcW w:w="764" w:type="pct"/>
            <w:tcBorders>
              <w:top w:val="nil"/>
              <w:left w:val="nil"/>
              <w:bottom w:val="nil"/>
              <w:right w:val="nil"/>
            </w:tcBorders>
            <w:shd w:val="clear" w:color="auto" w:fill="auto"/>
            <w:noWrap/>
            <w:vAlign w:val="bottom"/>
            <w:hideMark/>
          </w:tcPr>
          <w:p w14:paraId="4FA4DDD0"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0,00068</w:t>
            </w:r>
          </w:p>
        </w:tc>
        <w:tc>
          <w:tcPr>
            <w:tcW w:w="699" w:type="pct"/>
            <w:tcBorders>
              <w:top w:val="nil"/>
              <w:left w:val="nil"/>
              <w:bottom w:val="nil"/>
              <w:right w:val="nil"/>
            </w:tcBorders>
            <w:shd w:val="clear" w:color="auto" w:fill="auto"/>
            <w:noWrap/>
            <w:vAlign w:val="bottom"/>
            <w:hideMark/>
          </w:tcPr>
          <w:p w14:paraId="02DE646F"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70.193</w:t>
            </w:r>
          </w:p>
        </w:tc>
        <w:tc>
          <w:tcPr>
            <w:tcW w:w="796" w:type="pct"/>
            <w:tcBorders>
              <w:top w:val="nil"/>
              <w:left w:val="nil"/>
              <w:bottom w:val="nil"/>
              <w:right w:val="single" w:sz="4" w:space="0" w:color="auto"/>
            </w:tcBorders>
            <w:shd w:val="clear" w:color="auto" w:fill="auto"/>
            <w:noWrap/>
            <w:vAlign w:val="bottom"/>
            <w:hideMark/>
          </w:tcPr>
          <w:p w14:paraId="28BFB112"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48,1</w:t>
            </w:r>
          </w:p>
        </w:tc>
      </w:tr>
      <w:tr w:rsidR="002F1691" w:rsidRPr="00686954" w14:paraId="76340828" w14:textId="77777777" w:rsidTr="002F1691">
        <w:trPr>
          <w:trHeight w:val="300"/>
        </w:trPr>
        <w:tc>
          <w:tcPr>
            <w:tcW w:w="1505" w:type="pct"/>
            <w:tcBorders>
              <w:top w:val="nil"/>
              <w:left w:val="single" w:sz="4" w:space="0" w:color="auto"/>
              <w:bottom w:val="single" w:sz="4" w:space="0" w:color="auto"/>
              <w:right w:val="nil"/>
            </w:tcBorders>
            <w:shd w:val="clear" w:color="auto" w:fill="auto"/>
            <w:noWrap/>
            <w:vAlign w:val="bottom"/>
            <w:hideMark/>
          </w:tcPr>
          <w:p w14:paraId="4E4E6E3A"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Otros</w:t>
            </w:r>
          </w:p>
        </w:tc>
        <w:tc>
          <w:tcPr>
            <w:tcW w:w="676" w:type="pct"/>
            <w:tcBorders>
              <w:top w:val="nil"/>
              <w:left w:val="nil"/>
              <w:bottom w:val="single" w:sz="4" w:space="0" w:color="auto"/>
              <w:right w:val="nil"/>
            </w:tcBorders>
            <w:shd w:val="clear" w:color="auto" w:fill="auto"/>
            <w:noWrap/>
            <w:vAlign w:val="bottom"/>
            <w:hideMark/>
          </w:tcPr>
          <w:p w14:paraId="31E79092"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4,8%</w:t>
            </w:r>
          </w:p>
        </w:tc>
        <w:tc>
          <w:tcPr>
            <w:tcW w:w="560" w:type="pct"/>
            <w:tcBorders>
              <w:top w:val="nil"/>
              <w:left w:val="nil"/>
              <w:bottom w:val="single" w:sz="4" w:space="0" w:color="auto"/>
              <w:right w:val="nil"/>
            </w:tcBorders>
            <w:shd w:val="clear" w:color="auto" w:fill="auto"/>
            <w:noWrap/>
            <w:vAlign w:val="bottom"/>
            <w:hideMark/>
          </w:tcPr>
          <w:p w14:paraId="1BA2014A"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427</w:t>
            </w:r>
          </w:p>
        </w:tc>
        <w:tc>
          <w:tcPr>
            <w:tcW w:w="764" w:type="pct"/>
            <w:tcBorders>
              <w:top w:val="nil"/>
              <w:left w:val="nil"/>
              <w:bottom w:val="single" w:sz="4" w:space="0" w:color="auto"/>
              <w:right w:val="nil"/>
            </w:tcBorders>
            <w:shd w:val="clear" w:color="auto" w:fill="auto"/>
            <w:noWrap/>
            <w:vAlign w:val="bottom"/>
            <w:hideMark/>
          </w:tcPr>
          <w:p w14:paraId="31183BF7"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0,00187</w:t>
            </w:r>
          </w:p>
        </w:tc>
        <w:tc>
          <w:tcPr>
            <w:tcW w:w="699" w:type="pct"/>
            <w:tcBorders>
              <w:top w:val="nil"/>
              <w:left w:val="nil"/>
              <w:bottom w:val="single" w:sz="4" w:space="0" w:color="auto"/>
              <w:right w:val="nil"/>
            </w:tcBorders>
            <w:shd w:val="clear" w:color="auto" w:fill="auto"/>
            <w:noWrap/>
            <w:vAlign w:val="bottom"/>
            <w:hideMark/>
          </w:tcPr>
          <w:p w14:paraId="09C14288"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25.358</w:t>
            </w:r>
          </w:p>
        </w:tc>
        <w:tc>
          <w:tcPr>
            <w:tcW w:w="796" w:type="pct"/>
            <w:tcBorders>
              <w:top w:val="nil"/>
              <w:left w:val="nil"/>
              <w:bottom w:val="single" w:sz="4" w:space="0" w:color="auto"/>
              <w:right w:val="single" w:sz="4" w:space="0" w:color="auto"/>
            </w:tcBorders>
            <w:shd w:val="clear" w:color="auto" w:fill="auto"/>
            <w:noWrap/>
            <w:vAlign w:val="bottom"/>
            <w:hideMark/>
          </w:tcPr>
          <w:p w14:paraId="5622200A"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47,5</w:t>
            </w:r>
          </w:p>
        </w:tc>
      </w:tr>
      <w:tr w:rsidR="002F1691" w:rsidRPr="00686954" w14:paraId="4315867A" w14:textId="77777777" w:rsidTr="002F1691">
        <w:trPr>
          <w:trHeight w:val="300"/>
        </w:trPr>
        <w:tc>
          <w:tcPr>
            <w:tcW w:w="1505" w:type="pct"/>
            <w:tcBorders>
              <w:top w:val="nil"/>
              <w:left w:val="single" w:sz="4" w:space="0" w:color="auto"/>
              <w:bottom w:val="single" w:sz="4" w:space="0" w:color="auto"/>
              <w:right w:val="nil"/>
            </w:tcBorders>
            <w:shd w:val="clear" w:color="auto" w:fill="auto"/>
            <w:noWrap/>
            <w:vAlign w:val="bottom"/>
            <w:hideMark/>
          </w:tcPr>
          <w:p w14:paraId="4529CF48"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Total</w:t>
            </w:r>
          </w:p>
        </w:tc>
        <w:tc>
          <w:tcPr>
            <w:tcW w:w="676" w:type="pct"/>
            <w:tcBorders>
              <w:top w:val="nil"/>
              <w:left w:val="nil"/>
              <w:bottom w:val="single" w:sz="4" w:space="0" w:color="auto"/>
              <w:right w:val="nil"/>
            </w:tcBorders>
            <w:shd w:val="clear" w:color="auto" w:fill="auto"/>
            <w:noWrap/>
            <w:vAlign w:val="bottom"/>
            <w:hideMark/>
          </w:tcPr>
          <w:p w14:paraId="7001D498"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 </w:t>
            </w:r>
          </w:p>
        </w:tc>
        <w:tc>
          <w:tcPr>
            <w:tcW w:w="560" w:type="pct"/>
            <w:tcBorders>
              <w:top w:val="nil"/>
              <w:left w:val="nil"/>
              <w:bottom w:val="single" w:sz="4" w:space="0" w:color="auto"/>
              <w:right w:val="nil"/>
            </w:tcBorders>
            <w:shd w:val="clear" w:color="auto" w:fill="auto"/>
            <w:noWrap/>
            <w:vAlign w:val="bottom"/>
            <w:hideMark/>
          </w:tcPr>
          <w:p w14:paraId="1145CA73"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 </w:t>
            </w:r>
          </w:p>
        </w:tc>
        <w:tc>
          <w:tcPr>
            <w:tcW w:w="764" w:type="pct"/>
            <w:tcBorders>
              <w:top w:val="nil"/>
              <w:left w:val="nil"/>
              <w:bottom w:val="single" w:sz="4" w:space="0" w:color="auto"/>
              <w:right w:val="nil"/>
            </w:tcBorders>
            <w:shd w:val="clear" w:color="auto" w:fill="auto"/>
            <w:noWrap/>
            <w:vAlign w:val="bottom"/>
            <w:hideMark/>
          </w:tcPr>
          <w:p w14:paraId="3D7461BD"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0,00077</w:t>
            </w:r>
          </w:p>
        </w:tc>
        <w:tc>
          <w:tcPr>
            <w:tcW w:w="699" w:type="pct"/>
            <w:tcBorders>
              <w:top w:val="nil"/>
              <w:left w:val="nil"/>
              <w:bottom w:val="single" w:sz="4" w:space="0" w:color="auto"/>
              <w:right w:val="nil"/>
            </w:tcBorders>
            <w:shd w:val="clear" w:color="auto" w:fill="auto"/>
            <w:noWrap/>
            <w:vAlign w:val="bottom"/>
            <w:hideMark/>
          </w:tcPr>
          <w:p w14:paraId="34D65FD6"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525.000</w:t>
            </w:r>
          </w:p>
        </w:tc>
        <w:tc>
          <w:tcPr>
            <w:tcW w:w="796" w:type="pct"/>
            <w:tcBorders>
              <w:top w:val="nil"/>
              <w:left w:val="nil"/>
              <w:bottom w:val="single" w:sz="4" w:space="0" w:color="auto"/>
              <w:right w:val="single" w:sz="4" w:space="0" w:color="auto"/>
            </w:tcBorders>
            <w:shd w:val="clear" w:color="auto" w:fill="auto"/>
            <w:noWrap/>
            <w:vAlign w:val="bottom"/>
            <w:hideMark/>
          </w:tcPr>
          <w:p w14:paraId="1F2755DB"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406,6</w:t>
            </w:r>
          </w:p>
        </w:tc>
      </w:tr>
      <w:tr w:rsidR="002F1691" w:rsidRPr="00686954" w14:paraId="78975200" w14:textId="77777777" w:rsidTr="002F1691">
        <w:trPr>
          <w:trHeight w:val="300"/>
        </w:trPr>
        <w:tc>
          <w:tcPr>
            <w:tcW w:w="2181" w:type="pct"/>
            <w:gridSpan w:val="2"/>
            <w:tcBorders>
              <w:top w:val="single" w:sz="4" w:space="0" w:color="auto"/>
              <w:left w:val="single" w:sz="4" w:space="0" w:color="auto"/>
              <w:bottom w:val="single" w:sz="4" w:space="0" w:color="auto"/>
              <w:right w:val="nil"/>
            </w:tcBorders>
            <w:shd w:val="clear" w:color="auto" w:fill="auto"/>
            <w:noWrap/>
            <w:vAlign w:val="bottom"/>
            <w:hideMark/>
          </w:tcPr>
          <w:p w14:paraId="2BD4E0F2" w14:textId="77777777" w:rsidR="002F1691" w:rsidRPr="002F1691" w:rsidRDefault="002F1691" w:rsidP="002F1691">
            <w:pPr>
              <w:rPr>
                <w:rFonts w:ascii="Calibri" w:hAnsi="Calibri" w:cs="Calibri"/>
                <w:color w:val="000000" w:themeColor="text1"/>
                <w:sz w:val="20"/>
                <w:lang w:val="es-ES_tradnl" w:eastAsia="es-CO"/>
              </w:rPr>
            </w:pPr>
            <w:r w:rsidRPr="002F1691">
              <w:rPr>
                <w:rFonts w:ascii="Calibri" w:hAnsi="Calibri" w:cs="Calibri"/>
                <w:color w:val="000000" w:themeColor="text1"/>
                <w:sz w:val="20"/>
                <w:lang w:val="es-ES_tradnl" w:eastAsia="es-CO"/>
              </w:rPr>
              <w:t>Consumo de AP nacional 2017 (GWh) – SIN*</w:t>
            </w:r>
          </w:p>
        </w:tc>
        <w:tc>
          <w:tcPr>
            <w:tcW w:w="560" w:type="pct"/>
            <w:tcBorders>
              <w:top w:val="nil"/>
              <w:left w:val="nil"/>
              <w:bottom w:val="single" w:sz="4" w:space="0" w:color="auto"/>
              <w:right w:val="nil"/>
            </w:tcBorders>
            <w:shd w:val="clear" w:color="auto" w:fill="auto"/>
            <w:noWrap/>
            <w:vAlign w:val="bottom"/>
            <w:hideMark/>
          </w:tcPr>
          <w:p w14:paraId="20C66999" w14:textId="77777777" w:rsidR="002F1691" w:rsidRPr="002F1691" w:rsidRDefault="002F1691" w:rsidP="002F1691">
            <w:pPr>
              <w:jc w:val="center"/>
              <w:rPr>
                <w:rFonts w:ascii="Calibri" w:hAnsi="Calibri" w:cs="Calibri"/>
                <w:color w:val="000000" w:themeColor="text1"/>
                <w:sz w:val="20"/>
                <w:lang w:val="es-ES_tradnl" w:eastAsia="es-CO"/>
              </w:rPr>
            </w:pPr>
            <w:r w:rsidRPr="002F1691">
              <w:rPr>
                <w:rFonts w:ascii="Calibri" w:hAnsi="Calibri" w:cs="Calibri"/>
                <w:color w:val="000000" w:themeColor="text1"/>
                <w:sz w:val="20"/>
                <w:lang w:val="es-ES_tradnl" w:eastAsia="es-CO"/>
              </w:rPr>
              <w:t> </w:t>
            </w:r>
          </w:p>
        </w:tc>
        <w:tc>
          <w:tcPr>
            <w:tcW w:w="764" w:type="pct"/>
            <w:tcBorders>
              <w:top w:val="nil"/>
              <w:left w:val="nil"/>
              <w:bottom w:val="single" w:sz="4" w:space="0" w:color="auto"/>
              <w:right w:val="nil"/>
            </w:tcBorders>
            <w:shd w:val="clear" w:color="auto" w:fill="auto"/>
            <w:noWrap/>
            <w:vAlign w:val="bottom"/>
            <w:hideMark/>
          </w:tcPr>
          <w:p w14:paraId="76CDE992" w14:textId="77777777" w:rsidR="002F1691" w:rsidRPr="002F1691" w:rsidRDefault="002F1691" w:rsidP="002F1691">
            <w:pPr>
              <w:rPr>
                <w:rFonts w:ascii="Calibri" w:hAnsi="Calibri" w:cs="Calibri"/>
                <w:color w:val="000000" w:themeColor="text1"/>
                <w:sz w:val="20"/>
                <w:lang w:val="es-ES_tradnl" w:eastAsia="es-CO"/>
              </w:rPr>
            </w:pPr>
            <w:r w:rsidRPr="002F1691">
              <w:rPr>
                <w:rFonts w:ascii="Calibri" w:hAnsi="Calibri" w:cs="Calibri"/>
                <w:color w:val="000000" w:themeColor="text1"/>
                <w:sz w:val="20"/>
                <w:lang w:val="es-ES_tradnl" w:eastAsia="es-CO"/>
              </w:rPr>
              <w:t> </w:t>
            </w:r>
          </w:p>
        </w:tc>
        <w:tc>
          <w:tcPr>
            <w:tcW w:w="699" w:type="pct"/>
            <w:tcBorders>
              <w:top w:val="nil"/>
              <w:left w:val="nil"/>
              <w:bottom w:val="single" w:sz="4" w:space="0" w:color="auto"/>
              <w:right w:val="nil"/>
            </w:tcBorders>
            <w:shd w:val="clear" w:color="auto" w:fill="auto"/>
            <w:noWrap/>
            <w:vAlign w:val="bottom"/>
            <w:hideMark/>
          </w:tcPr>
          <w:p w14:paraId="548681D2" w14:textId="77777777" w:rsidR="002F1691" w:rsidRPr="002F1691" w:rsidRDefault="002F1691" w:rsidP="002F1691">
            <w:pPr>
              <w:rPr>
                <w:rFonts w:ascii="Calibri" w:hAnsi="Calibri" w:cs="Calibri"/>
                <w:color w:val="000000" w:themeColor="text1"/>
                <w:sz w:val="20"/>
                <w:lang w:val="es-ES_tradnl" w:eastAsia="es-CO"/>
              </w:rPr>
            </w:pPr>
            <w:r w:rsidRPr="002F1691">
              <w:rPr>
                <w:rFonts w:ascii="Calibri" w:hAnsi="Calibri" w:cs="Calibri"/>
                <w:color w:val="000000" w:themeColor="text1"/>
                <w:sz w:val="20"/>
                <w:lang w:val="es-ES_tradnl" w:eastAsia="es-CO"/>
              </w:rPr>
              <w:t> </w:t>
            </w:r>
          </w:p>
        </w:tc>
        <w:tc>
          <w:tcPr>
            <w:tcW w:w="796" w:type="pct"/>
            <w:tcBorders>
              <w:top w:val="nil"/>
              <w:left w:val="nil"/>
              <w:bottom w:val="single" w:sz="4" w:space="0" w:color="auto"/>
              <w:right w:val="single" w:sz="4" w:space="0" w:color="auto"/>
            </w:tcBorders>
            <w:shd w:val="clear" w:color="auto" w:fill="auto"/>
            <w:noWrap/>
            <w:vAlign w:val="bottom"/>
            <w:hideMark/>
          </w:tcPr>
          <w:p w14:paraId="472F31D3"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406,7</w:t>
            </w:r>
          </w:p>
        </w:tc>
      </w:tr>
      <w:tr w:rsidR="002F1691" w:rsidRPr="00686954" w14:paraId="1970938D" w14:textId="77777777" w:rsidTr="002F1691">
        <w:trPr>
          <w:trHeight w:val="300"/>
        </w:trPr>
        <w:tc>
          <w:tcPr>
            <w:tcW w:w="1505" w:type="pct"/>
            <w:tcBorders>
              <w:top w:val="nil"/>
              <w:left w:val="nil"/>
              <w:bottom w:val="nil"/>
              <w:right w:val="nil"/>
            </w:tcBorders>
            <w:shd w:val="clear" w:color="auto" w:fill="auto"/>
            <w:noWrap/>
            <w:vAlign w:val="bottom"/>
            <w:hideMark/>
          </w:tcPr>
          <w:p w14:paraId="6031CED9" w14:textId="77777777" w:rsidR="002F1691" w:rsidRPr="00686954" w:rsidRDefault="002F1691" w:rsidP="002F1691">
            <w:pPr>
              <w:jc w:val="right"/>
              <w:rPr>
                <w:rFonts w:ascii="Calibri" w:hAnsi="Calibri" w:cs="Calibri"/>
                <w:color w:val="00B050"/>
                <w:sz w:val="20"/>
                <w:lang w:eastAsia="es-CO"/>
              </w:rPr>
            </w:pPr>
          </w:p>
        </w:tc>
        <w:tc>
          <w:tcPr>
            <w:tcW w:w="676" w:type="pct"/>
            <w:tcBorders>
              <w:top w:val="nil"/>
              <w:left w:val="nil"/>
              <w:bottom w:val="nil"/>
              <w:right w:val="nil"/>
            </w:tcBorders>
            <w:shd w:val="clear" w:color="auto" w:fill="auto"/>
            <w:noWrap/>
            <w:vAlign w:val="bottom"/>
            <w:hideMark/>
          </w:tcPr>
          <w:p w14:paraId="71D9369E" w14:textId="77777777" w:rsidR="002F1691" w:rsidRPr="00686954" w:rsidRDefault="002F1691" w:rsidP="002F1691">
            <w:pPr>
              <w:rPr>
                <w:sz w:val="20"/>
                <w:lang w:eastAsia="es-CO"/>
              </w:rPr>
            </w:pPr>
          </w:p>
        </w:tc>
        <w:tc>
          <w:tcPr>
            <w:tcW w:w="560" w:type="pct"/>
            <w:tcBorders>
              <w:top w:val="nil"/>
              <w:left w:val="nil"/>
              <w:bottom w:val="nil"/>
              <w:right w:val="nil"/>
            </w:tcBorders>
            <w:shd w:val="clear" w:color="auto" w:fill="auto"/>
            <w:noWrap/>
            <w:vAlign w:val="bottom"/>
            <w:hideMark/>
          </w:tcPr>
          <w:p w14:paraId="351138CB" w14:textId="77777777" w:rsidR="002F1691" w:rsidRPr="00686954" w:rsidRDefault="002F1691" w:rsidP="002F1691">
            <w:pPr>
              <w:rPr>
                <w:sz w:val="20"/>
                <w:lang w:eastAsia="es-CO"/>
              </w:rPr>
            </w:pPr>
          </w:p>
        </w:tc>
        <w:tc>
          <w:tcPr>
            <w:tcW w:w="764" w:type="pct"/>
            <w:tcBorders>
              <w:top w:val="nil"/>
              <w:left w:val="nil"/>
              <w:bottom w:val="nil"/>
              <w:right w:val="nil"/>
            </w:tcBorders>
            <w:shd w:val="clear" w:color="auto" w:fill="auto"/>
            <w:noWrap/>
            <w:vAlign w:val="bottom"/>
            <w:hideMark/>
          </w:tcPr>
          <w:p w14:paraId="70BCA513" w14:textId="77777777" w:rsidR="002F1691" w:rsidRPr="00686954" w:rsidRDefault="002F1691" w:rsidP="002F1691">
            <w:pPr>
              <w:rPr>
                <w:sz w:val="20"/>
                <w:lang w:eastAsia="es-CO"/>
              </w:rPr>
            </w:pPr>
          </w:p>
        </w:tc>
        <w:tc>
          <w:tcPr>
            <w:tcW w:w="699" w:type="pct"/>
            <w:tcBorders>
              <w:top w:val="nil"/>
              <w:left w:val="nil"/>
              <w:bottom w:val="nil"/>
              <w:right w:val="nil"/>
            </w:tcBorders>
            <w:shd w:val="clear" w:color="auto" w:fill="auto"/>
            <w:noWrap/>
            <w:vAlign w:val="bottom"/>
            <w:hideMark/>
          </w:tcPr>
          <w:p w14:paraId="1015C83C" w14:textId="77777777" w:rsidR="002F1691" w:rsidRPr="00686954" w:rsidRDefault="002F1691" w:rsidP="002F1691">
            <w:pPr>
              <w:rPr>
                <w:sz w:val="20"/>
                <w:lang w:eastAsia="es-CO"/>
              </w:rPr>
            </w:pPr>
          </w:p>
        </w:tc>
        <w:tc>
          <w:tcPr>
            <w:tcW w:w="796" w:type="pct"/>
            <w:tcBorders>
              <w:top w:val="nil"/>
              <w:left w:val="nil"/>
              <w:bottom w:val="nil"/>
              <w:right w:val="nil"/>
            </w:tcBorders>
            <w:shd w:val="clear" w:color="auto" w:fill="auto"/>
            <w:noWrap/>
            <w:vAlign w:val="bottom"/>
            <w:hideMark/>
          </w:tcPr>
          <w:p w14:paraId="2EAF62DD" w14:textId="77777777" w:rsidR="002F1691" w:rsidRPr="00686954" w:rsidRDefault="002F1691" w:rsidP="002F1691">
            <w:pPr>
              <w:rPr>
                <w:sz w:val="20"/>
                <w:lang w:eastAsia="es-CO"/>
              </w:rPr>
            </w:pPr>
          </w:p>
        </w:tc>
      </w:tr>
      <w:tr w:rsidR="002F1691" w:rsidRPr="00686954" w14:paraId="4BFACA5B" w14:textId="77777777" w:rsidTr="002F1691">
        <w:trPr>
          <w:trHeight w:val="300"/>
        </w:trPr>
        <w:tc>
          <w:tcPr>
            <w:tcW w:w="1505" w:type="pct"/>
            <w:tcBorders>
              <w:top w:val="nil"/>
              <w:left w:val="nil"/>
              <w:bottom w:val="nil"/>
              <w:right w:val="nil"/>
            </w:tcBorders>
            <w:shd w:val="clear" w:color="auto" w:fill="auto"/>
            <w:noWrap/>
            <w:vAlign w:val="bottom"/>
            <w:hideMark/>
          </w:tcPr>
          <w:p w14:paraId="0ED944D8" w14:textId="77777777" w:rsidR="002F1691" w:rsidRPr="00686954" w:rsidRDefault="002F1691" w:rsidP="002F1691">
            <w:pPr>
              <w:rPr>
                <w:rFonts w:ascii="Calibri" w:hAnsi="Calibri" w:cs="Calibri"/>
                <w:b/>
                <w:bCs/>
                <w:color w:val="000000"/>
                <w:sz w:val="20"/>
                <w:lang w:eastAsia="es-CO"/>
              </w:rPr>
            </w:pPr>
            <w:r w:rsidRPr="00686954">
              <w:rPr>
                <w:rFonts w:ascii="Calibri" w:hAnsi="Calibri" w:cs="Calibri"/>
                <w:b/>
                <w:bCs/>
                <w:color w:val="000000"/>
                <w:sz w:val="20"/>
                <w:lang w:eastAsia="es-CO"/>
              </w:rPr>
              <w:t>Sistemas Aislados</w:t>
            </w:r>
          </w:p>
        </w:tc>
        <w:tc>
          <w:tcPr>
            <w:tcW w:w="676" w:type="pct"/>
            <w:tcBorders>
              <w:top w:val="nil"/>
              <w:left w:val="nil"/>
              <w:bottom w:val="nil"/>
              <w:right w:val="nil"/>
            </w:tcBorders>
            <w:shd w:val="clear" w:color="auto" w:fill="auto"/>
            <w:noWrap/>
            <w:vAlign w:val="bottom"/>
            <w:hideMark/>
          </w:tcPr>
          <w:p w14:paraId="4032C3EC" w14:textId="77777777" w:rsidR="002F1691" w:rsidRPr="00686954" w:rsidRDefault="002F1691" w:rsidP="002F1691">
            <w:pPr>
              <w:rPr>
                <w:rFonts w:ascii="Calibri" w:hAnsi="Calibri" w:cs="Calibri"/>
                <w:b/>
                <w:bCs/>
                <w:color w:val="000000"/>
                <w:sz w:val="20"/>
                <w:lang w:eastAsia="es-CO"/>
              </w:rPr>
            </w:pPr>
          </w:p>
        </w:tc>
        <w:tc>
          <w:tcPr>
            <w:tcW w:w="560" w:type="pct"/>
            <w:tcBorders>
              <w:top w:val="nil"/>
              <w:left w:val="nil"/>
              <w:bottom w:val="nil"/>
              <w:right w:val="nil"/>
            </w:tcBorders>
            <w:shd w:val="clear" w:color="auto" w:fill="auto"/>
            <w:noWrap/>
            <w:vAlign w:val="bottom"/>
            <w:hideMark/>
          </w:tcPr>
          <w:p w14:paraId="76930A13" w14:textId="77777777" w:rsidR="002F1691" w:rsidRPr="00686954" w:rsidRDefault="002F1691" w:rsidP="002F1691">
            <w:pPr>
              <w:rPr>
                <w:sz w:val="20"/>
                <w:lang w:eastAsia="es-CO"/>
              </w:rPr>
            </w:pPr>
          </w:p>
        </w:tc>
        <w:tc>
          <w:tcPr>
            <w:tcW w:w="764" w:type="pct"/>
            <w:tcBorders>
              <w:top w:val="nil"/>
              <w:left w:val="nil"/>
              <w:bottom w:val="nil"/>
              <w:right w:val="nil"/>
            </w:tcBorders>
            <w:shd w:val="clear" w:color="auto" w:fill="auto"/>
            <w:noWrap/>
            <w:vAlign w:val="bottom"/>
            <w:hideMark/>
          </w:tcPr>
          <w:p w14:paraId="01F676D6" w14:textId="77777777" w:rsidR="002F1691" w:rsidRPr="00686954" w:rsidRDefault="002F1691" w:rsidP="002F1691">
            <w:pPr>
              <w:rPr>
                <w:sz w:val="20"/>
                <w:lang w:eastAsia="es-CO"/>
              </w:rPr>
            </w:pPr>
          </w:p>
        </w:tc>
        <w:tc>
          <w:tcPr>
            <w:tcW w:w="699" w:type="pct"/>
            <w:tcBorders>
              <w:top w:val="nil"/>
              <w:left w:val="nil"/>
              <w:bottom w:val="nil"/>
              <w:right w:val="nil"/>
            </w:tcBorders>
            <w:shd w:val="clear" w:color="auto" w:fill="auto"/>
            <w:noWrap/>
            <w:vAlign w:val="bottom"/>
            <w:hideMark/>
          </w:tcPr>
          <w:p w14:paraId="6739B400" w14:textId="77777777" w:rsidR="002F1691" w:rsidRPr="00686954" w:rsidRDefault="002F1691" w:rsidP="002F1691">
            <w:pPr>
              <w:rPr>
                <w:sz w:val="20"/>
                <w:lang w:eastAsia="es-CO"/>
              </w:rPr>
            </w:pPr>
          </w:p>
        </w:tc>
        <w:tc>
          <w:tcPr>
            <w:tcW w:w="796" w:type="pct"/>
            <w:tcBorders>
              <w:top w:val="nil"/>
              <w:left w:val="nil"/>
              <w:bottom w:val="nil"/>
              <w:right w:val="nil"/>
            </w:tcBorders>
            <w:shd w:val="clear" w:color="auto" w:fill="auto"/>
            <w:noWrap/>
            <w:vAlign w:val="bottom"/>
            <w:hideMark/>
          </w:tcPr>
          <w:p w14:paraId="2BBB500D" w14:textId="77777777" w:rsidR="002F1691" w:rsidRPr="00686954" w:rsidRDefault="002F1691" w:rsidP="002F1691">
            <w:pPr>
              <w:rPr>
                <w:sz w:val="20"/>
                <w:lang w:eastAsia="es-CO"/>
              </w:rPr>
            </w:pPr>
          </w:p>
        </w:tc>
      </w:tr>
      <w:tr w:rsidR="002F1691" w:rsidRPr="00686954" w14:paraId="24F53FA5" w14:textId="77777777" w:rsidTr="002F1691">
        <w:trPr>
          <w:trHeight w:val="300"/>
        </w:trPr>
        <w:tc>
          <w:tcPr>
            <w:tcW w:w="1505" w:type="pct"/>
            <w:tcBorders>
              <w:top w:val="nil"/>
              <w:left w:val="nil"/>
              <w:bottom w:val="nil"/>
              <w:right w:val="nil"/>
            </w:tcBorders>
            <w:shd w:val="clear" w:color="auto" w:fill="auto"/>
            <w:noWrap/>
            <w:vAlign w:val="bottom"/>
            <w:hideMark/>
          </w:tcPr>
          <w:p w14:paraId="6F31D168" w14:textId="77777777" w:rsidR="002F1691" w:rsidRPr="00686954" w:rsidRDefault="002F1691" w:rsidP="002F1691">
            <w:pPr>
              <w:rPr>
                <w:sz w:val="20"/>
                <w:lang w:eastAsia="es-CO"/>
              </w:rPr>
            </w:pPr>
          </w:p>
        </w:tc>
        <w:tc>
          <w:tcPr>
            <w:tcW w:w="676" w:type="pct"/>
            <w:tcBorders>
              <w:top w:val="nil"/>
              <w:left w:val="nil"/>
              <w:bottom w:val="nil"/>
              <w:right w:val="nil"/>
            </w:tcBorders>
            <w:shd w:val="clear" w:color="auto" w:fill="auto"/>
            <w:noWrap/>
            <w:vAlign w:val="bottom"/>
            <w:hideMark/>
          </w:tcPr>
          <w:p w14:paraId="653B8681" w14:textId="77777777" w:rsidR="002F1691" w:rsidRPr="00686954" w:rsidRDefault="002F1691" w:rsidP="002F1691">
            <w:pPr>
              <w:rPr>
                <w:sz w:val="20"/>
                <w:lang w:eastAsia="es-CO"/>
              </w:rPr>
            </w:pPr>
          </w:p>
        </w:tc>
        <w:tc>
          <w:tcPr>
            <w:tcW w:w="560" w:type="pct"/>
            <w:tcBorders>
              <w:top w:val="nil"/>
              <w:left w:val="nil"/>
              <w:bottom w:val="nil"/>
              <w:right w:val="nil"/>
            </w:tcBorders>
            <w:shd w:val="clear" w:color="auto" w:fill="auto"/>
            <w:noWrap/>
            <w:vAlign w:val="bottom"/>
            <w:hideMark/>
          </w:tcPr>
          <w:p w14:paraId="37A3E94B" w14:textId="77777777" w:rsidR="002F1691" w:rsidRPr="00686954" w:rsidRDefault="002F1691" w:rsidP="002F1691">
            <w:pPr>
              <w:rPr>
                <w:sz w:val="20"/>
                <w:lang w:eastAsia="es-CO"/>
              </w:rPr>
            </w:pPr>
          </w:p>
        </w:tc>
        <w:tc>
          <w:tcPr>
            <w:tcW w:w="764" w:type="pct"/>
            <w:tcBorders>
              <w:top w:val="nil"/>
              <w:left w:val="nil"/>
              <w:bottom w:val="nil"/>
              <w:right w:val="nil"/>
            </w:tcBorders>
            <w:shd w:val="clear" w:color="auto" w:fill="auto"/>
            <w:noWrap/>
            <w:vAlign w:val="bottom"/>
            <w:hideMark/>
          </w:tcPr>
          <w:p w14:paraId="2639A156" w14:textId="77777777" w:rsidR="002F1691" w:rsidRPr="00686954" w:rsidRDefault="002F1691" w:rsidP="002F1691">
            <w:pPr>
              <w:rPr>
                <w:sz w:val="20"/>
                <w:lang w:eastAsia="es-CO"/>
              </w:rPr>
            </w:pPr>
          </w:p>
        </w:tc>
        <w:tc>
          <w:tcPr>
            <w:tcW w:w="699" w:type="pct"/>
            <w:tcBorders>
              <w:top w:val="nil"/>
              <w:left w:val="nil"/>
              <w:bottom w:val="nil"/>
              <w:right w:val="nil"/>
            </w:tcBorders>
            <w:shd w:val="clear" w:color="auto" w:fill="auto"/>
            <w:noWrap/>
            <w:vAlign w:val="bottom"/>
            <w:hideMark/>
          </w:tcPr>
          <w:p w14:paraId="0BEF37D6" w14:textId="77777777" w:rsidR="002F1691" w:rsidRPr="00686954" w:rsidRDefault="002F1691" w:rsidP="002F1691">
            <w:pPr>
              <w:rPr>
                <w:sz w:val="20"/>
                <w:lang w:eastAsia="es-CO"/>
              </w:rPr>
            </w:pPr>
          </w:p>
        </w:tc>
        <w:tc>
          <w:tcPr>
            <w:tcW w:w="796" w:type="pct"/>
            <w:tcBorders>
              <w:top w:val="nil"/>
              <w:left w:val="nil"/>
              <w:bottom w:val="nil"/>
              <w:right w:val="nil"/>
            </w:tcBorders>
            <w:shd w:val="clear" w:color="auto" w:fill="auto"/>
            <w:noWrap/>
            <w:vAlign w:val="bottom"/>
            <w:hideMark/>
          </w:tcPr>
          <w:p w14:paraId="733DCD2D" w14:textId="77777777" w:rsidR="002F1691" w:rsidRPr="00686954" w:rsidRDefault="002F1691" w:rsidP="002F1691">
            <w:pPr>
              <w:rPr>
                <w:sz w:val="20"/>
                <w:lang w:eastAsia="es-CO"/>
              </w:rPr>
            </w:pPr>
          </w:p>
        </w:tc>
      </w:tr>
      <w:tr w:rsidR="002F1691" w:rsidRPr="00D86855" w14:paraId="1CA5A190" w14:textId="77777777" w:rsidTr="002F1691">
        <w:trPr>
          <w:trHeight w:val="1200"/>
        </w:trPr>
        <w:tc>
          <w:tcPr>
            <w:tcW w:w="1505" w:type="pct"/>
            <w:tcBorders>
              <w:top w:val="nil"/>
              <w:left w:val="nil"/>
              <w:bottom w:val="nil"/>
              <w:right w:val="single" w:sz="4" w:space="0" w:color="FFFFFF"/>
            </w:tcBorders>
            <w:shd w:val="clear" w:color="000000" w:fill="002060"/>
            <w:vAlign w:val="center"/>
            <w:hideMark/>
          </w:tcPr>
          <w:p w14:paraId="6F976000" w14:textId="77777777" w:rsidR="002F1691" w:rsidRPr="00686954" w:rsidRDefault="002F1691" w:rsidP="002F1691">
            <w:pPr>
              <w:jc w:val="center"/>
              <w:rPr>
                <w:rFonts w:ascii="Calibri" w:hAnsi="Calibri" w:cs="Calibri"/>
                <w:b/>
                <w:bCs/>
                <w:color w:val="FFFFFF"/>
                <w:sz w:val="20"/>
                <w:lang w:eastAsia="es-CO"/>
              </w:rPr>
            </w:pPr>
            <w:r w:rsidRPr="00686954">
              <w:rPr>
                <w:rFonts w:ascii="Calibri" w:hAnsi="Calibri" w:cs="Calibri"/>
                <w:b/>
                <w:bCs/>
                <w:color w:val="FFFFFF"/>
                <w:sz w:val="20"/>
                <w:lang w:eastAsia="es-CO"/>
              </w:rPr>
              <w:t>Características de lamparas de alumbrado público actual</w:t>
            </w:r>
          </w:p>
        </w:tc>
        <w:tc>
          <w:tcPr>
            <w:tcW w:w="676" w:type="pct"/>
            <w:tcBorders>
              <w:top w:val="nil"/>
              <w:left w:val="nil"/>
              <w:bottom w:val="nil"/>
              <w:right w:val="single" w:sz="4" w:space="0" w:color="FFFFFF"/>
            </w:tcBorders>
            <w:shd w:val="clear" w:color="000000" w:fill="002060"/>
            <w:vAlign w:val="center"/>
            <w:hideMark/>
          </w:tcPr>
          <w:p w14:paraId="1D4ACFA5" w14:textId="77777777" w:rsidR="002F1691" w:rsidRPr="002F1691" w:rsidRDefault="002F1691" w:rsidP="002F1691">
            <w:pPr>
              <w:jc w:val="center"/>
              <w:rPr>
                <w:rFonts w:ascii="Calibri" w:hAnsi="Calibri" w:cs="Calibri"/>
                <w:color w:val="FFFFFF"/>
                <w:sz w:val="20"/>
                <w:lang w:val="es-ES_tradnl" w:eastAsia="es-CO"/>
              </w:rPr>
            </w:pPr>
            <w:r w:rsidRPr="002F1691">
              <w:rPr>
                <w:rFonts w:ascii="Calibri" w:hAnsi="Calibri" w:cs="Calibri"/>
                <w:color w:val="FFFFFF"/>
                <w:sz w:val="20"/>
                <w:lang w:val="es-ES_tradnl" w:eastAsia="es-CO"/>
              </w:rPr>
              <w:t>Participación en No. de lamparas</w:t>
            </w:r>
          </w:p>
        </w:tc>
        <w:tc>
          <w:tcPr>
            <w:tcW w:w="560" w:type="pct"/>
            <w:tcBorders>
              <w:top w:val="nil"/>
              <w:left w:val="nil"/>
              <w:bottom w:val="nil"/>
              <w:right w:val="single" w:sz="4" w:space="0" w:color="FFFFFF"/>
            </w:tcBorders>
            <w:shd w:val="clear" w:color="000000" w:fill="002060"/>
            <w:vAlign w:val="center"/>
            <w:hideMark/>
          </w:tcPr>
          <w:p w14:paraId="5A0CB94B" w14:textId="77777777" w:rsidR="002F1691" w:rsidRPr="002F1691" w:rsidRDefault="002F1691" w:rsidP="002F1691">
            <w:pPr>
              <w:jc w:val="center"/>
              <w:rPr>
                <w:rFonts w:ascii="Calibri" w:hAnsi="Calibri" w:cs="Calibri"/>
                <w:color w:val="FFFFFF"/>
                <w:sz w:val="20"/>
                <w:lang w:val="es-ES_tradnl" w:eastAsia="es-CO"/>
              </w:rPr>
            </w:pPr>
            <w:r w:rsidRPr="002F1691">
              <w:rPr>
                <w:rFonts w:ascii="Calibri" w:hAnsi="Calibri" w:cs="Calibri"/>
                <w:color w:val="FFFFFF"/>
                <w:sz w:val="20"/>
                <w:lang w:val="es-ES_tradnl" w:eastAsia="es-CO"/>
              </w:rPr>
              <w:t xml:space="preserve">Potencia de una lampara </w:t>
            </w:r>
            <w:r w:rsidRPr="002F1691">
              <w:rPr>
                <w:rFonts w:ascii="Calibri" w:hAnsi="Calibri" w:cs="Calibri"/>
                <w:color w:val="FFFFFF"/>
                <w:sz w:val="20"/>
                <w:lang w:val="es-ES_tradnl" w:eastAsia="es-CO"/>
              </w:rPr>
              <w:br/>
              <w:t>(W)</w:t>
            </w:r>
          </w:p>
        </w:tc>
        <w:tc>
          <w:tcPr>
            <w:tcW w:w="764" w:type="pct"/>
            <w:tcBorders>
              <w:top w:val="nil"/>
              <w:left w:val="nil"/>
              <w:bottom w:val="nil"/>
              <w:right w:val="single" w:sz="4" w:space="0" w:color="FFFFFF"/>
            </w:tcBorders>
            <w:shd w:val="clear" w:color="000000" w:fill="002060"/>
            <w:vAlign w:val="center"/>
            <w:hideMark/>
          </w:tcPr>
          <w:p w14:paraId="352D4F9C" w14:textId="77777777" w:rsidR="002F1691" w:rsidRPr="00686954" w:rsidRDefault="002F1691" w:rsidP="002F1691">
            <w:pPr>
              <w:jc w:val="center"/>
              <w:rPr>
                <w:rFonts w:ascii="Calibri" w:hAnsi="Calibri" w:cs="Calibri"/>
                <w:color w:val="FFFFFF"/>
                <w:sz w:val="20"/>
                <w:lang w:eastAsia="es-CO"/>
              </w:rPr>
            </w:pPr>
            <w:r w:rsidRPr="00686954">
              <w:rPr>
                <w:rFonts w:ascii="Calibri" w:hAnsi="Calibri" w:cs="Calibri"/>
                <w:color w:val="FFFFFF"/>
                <w:sz w:val="20"/>
                <w:lang w:eastAsia="es-CO"/>
              </w:rPr>
              <w:t>Consumo energético anual de 1 lampara</w:t>
            </w:r>
            <w:r w:rsidRPr="00686954">
              <w:rPr>
                <w:rFonts w:ascii="Calibri" w:hAnsi="Calibri" w:cs="Calibri"/>
                <w:color w:val="FFFFFF"/>
                <w:sz w:val="20"/>
                <w:lang w:eastAsia="es-CO"/>
              </w:rPr>
              <w:br/>
              <w:t>(GWh)</w:t>
            </w:r>
          </w:p>
        </w:tc>
        <w:tc>
          <w:tcPr>
            <w:tcW w:w="699" w:type="pct"/>
            <w:tcBorders>
              <w:top w:val="nil"/>
              <w:left w:val="nil"/>
              <w:bottom w:val="nil"/>
              <w:right w:val="nil"/>
            </w:tcBorders>
            <w:shd w:val="clear" w:color="000000" w:fill="002060"/>
            <w:vAlign w:val="center"/>
            <w:hideMark/>
          </w:tcPr>
          <w:p w14:paraId="2653D396" w14:textId="77777777" w:rsidR="002F1691" w:rsidRPr="00686954" w:rsidRDefault="002F1691" w:rsidP="002F1691">
            <w:pPr>
              <w:jc w:val="center"/>
              <w:rPr>
                <w:rFonts w:ascii="Calibri" w:hAnsi="Calibri" w:cs="Calibri"/>
                <w:color w:val="FFFFFF"/>
                <w:sz w:val="20"/>
                <w:lang w:eastAsia="es-CO"/>
              </w:rPr>
            </w:pPr>
            <w:r w:rsidRPr="00686954">
              <w:rPr>
                <w:rFonts w:ascii="Calibri" w:hAnsi="Calibri" w:cs="Calibri"/>
                <w:color w:val="FFFFFF"/>
                <w:sz w:val="20"/>
                <w:lang w:eastAsia="es-CO"/>
              </w:rPr>
              <w:t>Número estimado de lámparas</w:t>
            </w:r>
          </w:p>
        </w:tc>
        <w:tc>
          <w:tcPr>
            <w:tcW w:w="796" w:type="pct"/>
            <w:tcBorders>
              <w:top w:val="nil"/>
              <w:left w:val="single" w:sz="4" w:space="0" w:color="FFFFFF"/>
              <w:bottom w:val="nil"/>
              <w:right w:val="nil"/>
            </w:tcBorders>
            <w:shd w:val="clear" w:color="000000" w:fill="002060"/>
            <w:vAlign w:val="center"/>
            <w:hideMark/>
          </w:tcPr>
          <w:p w14:paraId="78E8F901" w14:textId="77777777" w:rsidR="002F1691" w:rsidRPr="00200F70" w:rsidRDefault="002F1691" w:rsidP="002F1691">
            <w:pPr>
              <w:jc w:val="center"/>
              <w:rPr>
                <w:rFonts w:ascii="Calibri" w:hAnsi="Calibri" w:cs="Calibri"/>
                <w:color w:val="FFFFFF"/>
                <w:sz w:val="20"/>
                <w:lang w:val="pt-BR" w:eastAsia="es-CO"/>
              </w:rPr>
            </w:pPr>
            <w:r w:rsidRPr="00200F70">
              <w:rPr>
                <w:rFonts w:ascii="Calibri" w:hAnsi="Calibri" w:cs="Calibri"/>
                <w:color w:val="FFFFFF"/>
                <w:sz w:val="20"/>
                <w:lang w:val="pt-BR" w:eastAsia="es-CO"/>
              </w:rPr>
              <w:t>Consumo energético anual total</w:t>
            </w:r>
            <w:r w:rsidRPr="00200F70">
              <w:rPr>
                <w:rFonts w:ascii="Calibri" w:hAnsi="Calibri" w:cs="Calibri"/>
                <w:color w:val="FFFFFF"/>
                <w:sz w:val="20"/>
                <w:lang w:val="pt-BR" w:eastAsia="es-CO"/>
              </w:rPr>
              <w:br/>
              <w:t>(GWh)</w:t>
            </w:r>
          </w:p>
        </w:tc>
      </w:tr>
      <w:tr w:rsidR="002F1691" w:rsidRPr="00686954" w14:paraId="434EC982" w14:textId="77777777" w:rsidTr="002F1691">
        <w:trPr>
          <w:trHeight w:val="300"/>
        </w:trPr>
        <w:tc>
          <w:tcPr>
            <w:tcW w:w="1505" w:type="pct"/>
            <w:tcBorders>
              <w:top w:val="single" w:sz="4" w:space="0" w:color="auto"/>
              <w:left w:val="single" w:sz="4" w:space="0" w:color="auto"/>
              <w:bottom w:val="nil"/>
              <w:right w:val="nil"/>
            </w:tcBorders>
            <w:shd w:val="clear" w:color="auto" w:fill="auto"/>
            <w:noWrap/>
            <w:vAlign w:val="bottom"/>
            <w:hideMark/>
          </w:tcPr>
          <w:p w14:paraId="1933D114"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Vapor de Sodio</w:t>
            </w:r>
          </w:p>
        </w:tc>
        <w:tc>
          <w:tcPr>
            <w:tcW w:w="676" w:type="pct"/>
            <w:tcBorders>
              <w:top w:val="single" w:sz="4" w:space="0" w:color="auto"/>
              <w:left w:val="nil"/>
              <w:bottom w:val="nil"/>
              <w:right w:val="nil"/>
            </w:tcBorders>
            <w:shd w:val="clear" w:color="auto" w:fill="auto"/>
            <w:noWrap/>
            <w:vAlign w:val="bottom"/>
            <w:hideMark/>
          </w:tcPr>
          <w:p w14:paraId="73E8B5D8"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81,8%</w:t>
            </w:r>
          </w:p>
        </w:tc>
        <w:tc>
          <w:tcPr>
            <w:tcW w:w="560" w:type="pct"/>
            <w:tcBorders>
              <w:top w:val="single" w:sz="4" w:space="0" w:color="auto"/>
              <w:left w:val="nil"/>
              <w:bottom w:val="nil"/>
              <w:right w:val="nil"/>
            </w:tcBorders>
            <w:shd w:val="clear" w:color="auto" w:fill="auto"/>
            <w:noWrap/>
            <w:vAlign w:val="bottom"/>
            <w:hideMark/>
          </w:tcPr>
          <w:p w14:paraId="4195078B"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165</w:t>
            </w:r>
          </w:p>
        </w:tc>
        <w:tc>
          <w:tcPr>
            <w:tcW w:w="764" w:type="pct"/>
            <w:tcBorders>
              <w:top w:val="single" w:sz="4" w:space="0" w:color="auto"/>
              <w:left w:val="nil"/>
              <w:bottom w:val="nil"/>
              <w:right w:val="nil"/>
            </w:tcBorders>
            <w:shd w:val="clear" w:color="auto" w:fill="auto"/>
            <w:noWrap/>
            <w:vAlign w:val="bottom"/>
            <w:hideMark/>
          </w:tcPr>
          <w:p w14:paraId="0D4F44E1"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0,00072</w:t>
            </w:r>
          </w:p>
        </w:tc>
        <w:tc>
          <w:tcPr>
            <w:tcW w:w="699" w:type="pct"/>
            <w:tcBorders>
              <w:top w:val="single" w:sz="4" w:space="0" w:color="auto"/>
              <w:left w:val="nil"/>
              <w:bottom w:val="nil"/>
              <w:right w:val="nil"/>
            </w:tcBorders>
            <w:shd w:val="clear" w:color="auto" w:fill="auto"/>
            <w:noWrap/>
            <w:vAlign w:val="bottom"/>
            <w:hideMark/>
          </w:tcPr>
          <w:p w14:paraId="35121600"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22.986</w:t>
            </w:r>
          </w:p>
        </w:tc>
        <w:tc>
          <w:tcPr>
            <w:tcW w:w="796" w:type="pct"/>
            <w:tcBorders>
              <w:top w:val="single" w:sz="4" w:space="0" w:color="auto"/>
              <w:left w:val="nil"/>
              <w:bottom w:val="nil"/>
              <w:right w:val="single" w:sz="4" w:space="0" w:color="auto"/>
            </w:tcBorders>
            <w:shd w:val="clear" w:color="auto" w:fill="auto"/>
            <w:noWrap/>
            <w:vAlign w:val="bottom"/>
            <w:hideMark/>
          </w:tcPr>
          <w:p w14:paraId="11E2C290"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16,6</w:t>
            </w:r>
          </w:p>
        </w:tc>
      </w:tr>
      <w:tr w:rsidR="002F1691" w:rsidRPr="00686954" w14:paraId="1F84DBEE" w14:textId="77777777" w:rsidTr="002F1691">
        <w:trPr>
          <w:trHeight w:val="300"/>
        </w:trPr>
        <w:tc>
          <w:tcPr>
            <w:tcW w:w="1505" w:type="pct"/>
            <w:tcBorders>
              <w:top w:val="nil"/>
              <w:left w:val="single" w:sz="4" w:space="0" w:color="auto"/>
              <w:bottom w:val="nil"/>
              <w:right w:val="nil"/>
            </w:tcBorders>
            <w:shd w:val="clear" w:color="auto" w:fill="auto"/>
            <w:noWrap/>
            <w:vAlign w:val="bottom"/>
            <w:hideMark/>
          </w:tcPr>
          <w:p w14:paraId="409546BC"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Vapor de Mercurio</w:t>
            </w:r>
          </w:p>
        </w:tc>
        <w:tc>
          <w:tcPr>
            <w:tcW w:w="676" w:type="pct"/>
            <w:tcBorders>
              <w:top w:val="nil"/>
              <w:left w:val="nil"/>
              <w:bottom w:val="nil"/>
              <w:right w:val="nil"/>
            </w:tcBorders>
            <w:shd w:val="clear" w:color="auto" w:fill="auto"/>
            <w:noWrap/>
            <w:vAlign w:val="bottom"/>
            <w:hideMark/>
          </w:tcPr>
          <w:p w14:paraId="39C77137"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13,4%</w:t>
            </w:r>
          </w:p>
        </w:tc>
        <w:tc>
          <w:tcPr>
            <w:tcW w:w="560" w:type="pct"/>
            <w:tcBorders>
              <w:top w:val="nil"/>
              <w:left w:val="nil"/>
              <w:bottom w:val="nil"/>
              <w:right w:val="nil"/>
            </w:tcBorders>
            <w:shd w:val="clear" w:color="auto" w:fill="auto"/>
            <w:noWrap/>
            <w:vAlign w:val="bottom"/>
            <w:hideMark/>
          </w:tcPr>
          <w:p w14:paraId="334F196E"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156</w:t>
            </w:r>
          </w:p>
        </w:tc>
        <w:tc>
          <w:tcPr>
            <w:tcW w:w="764" w:type="pct"/>
            <w:tcBorders>
              <w:top w:val="nil"/>
              <w:left w:val="nil"/>
              <w:bottom w:val="nil"/>
              <w:right w:val="nil"/>
            </w:tcBorders>
            <w:shd w:val="clear" w:color="auto" w:fill="auto"/>
            <w:noWrap/>
            <w:vAlign w:val="bottom"/>
            <w:hideMark/>
          </w:tcPr>
          <w:p w14:paraId="7C8F719D"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0,00068</w:t>
            </w:r>
          </w:p>
        </w:tc>
        <w:tc>
          <w:tcPr>
            <w:tcW w:w="699" w:type="pct"/>
            <w:tcBorders>
              <w:top w:val="nil"/>
              <w:left w:val="nil"/>
              <w:bottom w:val="nil"/>
              <w:right w:val="nil"/>
            </w:tcBorders>
            <w:shd w:val="clear" w:color="auto" w:fill="auto"/>
            <w:noWrap/>
            <w:vAlign w:val="bottom"/>
            <w:hideMark/>
          </w:tcPr>
          <w:p w14:paraId="2606A061"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3.757</w:t>
            </w:r>
          </w:p>
        </w:tc>
        <w:tc>
          <w:tcPr>
            <w:tcW w:w="796" w:type="pct"/>
            <w:tcBorders>
              <w:top w:val="nil"/>
              <w:left w:val="nil"/>
              <w:bottom w:val="nil"/>
              <w:right w:val="single" w:sz="4" w:space="0" w:color="auto"/>
            </w:tcBorders>
            <w:shd w:val="clear" w:color="auto" w:fill="auto"/>
            <w:noWrap/>
            <w:vAlign w:val="bottom"/>
            <w:hideMark/>
          </w:tcPr>
          <w:p w14:paraId="674364F4"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2,6</w:t>
            </w:r>
          </w:p>
        </w:tc>
      </w:tr>
      <w:tr w:rsidR="002F1691" w:rsidRPr="00686954" w14:paraId="122C3947" w14:textId="77777777" w:rsidTr="002F1691">
        <w:trPr>
          <w:trHeight w:val="300"/>
        </w:trPr>
        <w:tc>
          <w:tcPr>
            <w:tcW w:w="1505" w:type="pct"/>
            <w:tcBorders>
              <w:top w:val="nil"/>
              <w:left w:val="single" w:sz="4" w:space="0" w:color="auto"/>
              <w:bottom w:val="single" w:sz="4" w:space="0" w:color="auto"/>
              <w:right w:val="nil"/>
            </w:tcBorders>
            <w:shd w:val="clear" w:color="auto" w:fill="auto"/>
            <w:noWrap/>
            <w:vAlign w:val="bottom"/>
            <w:hideMark/>
          </w:tcPr>
          <w:p w14:paraId="46F5F388"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Otros</w:t>
            </w:r>
          </w:p>
        </w:tc>
        <w:tc>
          <w:tcPr>
            <w:tcW w:w="676" w:type="pct"/>
            <w:tcBorders>
              <w:top w:val="nil"/>
              <w:left w:val="nil"/>
              <w:bottom w:val="single" w:sz="4" w:space="0" w:color="auto"/>
              <w:right w:val="nil"/>
            </w:tcBorders>
            <w:shd w:val="clear" w:color="auto" w:fill="auto"/>
            <w:noWrap/>
            <w:vAlign w:val="bottom"/>
            <w:hideMark/>
          </w:tcPr>
          <w:p w14:paraId="648C797A"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4,8%</w:t>
            </w:r>
          </w:p>
        </w:tc>
        <w:tc>
          <w:tcPr>
            <w:tcW w:w="560" w:type="pct"/>
            <w:tcBorders>
              <w:top w:val="nil"/>
              <w:left w:val="nil"/>
              <w:bottom w:val="single" w:sz="4" w:space="0" w:color="auto"/>
              <w:right w:val="nil"/>
            </w:tcBorders>
            <w:shd w:val="clear" w:color="auto" w:fill="auto"/>
            <w:noWrap/>
            <w:vAlign w:val="bottom"/>
            <w:hideMark/>
          </w:tcPr>
          <w:p w14:paraId="7C1D2BB0"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427</w:t>
            </w:r>
          </w:p>
        </w:tc>
        <w:tc>
          <w:tcPr>
            <w:tcW w:w="764" w:type="pct"/>
            <w:tcBorders>
              <w:top w:val="nil"/>
              <w:left w:val="nil"/>
              <w:bottom w:val="single" w:sz="4" w:space="0" w:color="auto"/>
              <w:right w:val="nil"/>
            </w:tcBorders>
            <w:shd w:val="clear" w:color="auto" w:fill="auto"/>
            <w:noWrap/>
            <w:vAlign w:val="bottom"/>
            <w:hideMark/>
          </w:tcPr>
          <w:p w14:paraId="0621EE23"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0,00187</w:t>
            </w:r>
          </w:p>
        </w:tc>
        <w:tc>
          <w:tcPr>
            <w:tcW w:w="699" w:type="pct"/>
            <w:tcBorders>
              <w:top w:val="nil"/>
              <w:left w:val="nil"/>
              <w:bottom w:val="single" w:sz="4" w:space="0" w:color="auto"/>
              <w:right w:val="nil"/>
            </w:tcBorders>
            <w:shd w:val="clear" w:color="auto" w:fill="auto"/>
            <w:noWrap/>
            <w:vAlign w:val="bottom"/>
            <w:hideMark/>
          </w:tcPr>
          <w:p w14:paraId="5EB9571B"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1.357</w:t>
            </w:r>
          </w:p>
        </w:tc>
        <w:tc>
          <w:tcPr>
            <w:tcW w:w="796" w:type="pct"/>
            <w:tcBorders>
              <w:top w:val="nil"/>
              <w:left w:val="nil"/>
              <w:bottom w:val="single" w:sz="4" w:space="0" w:color="auto"/>
              <w:right w:val="single" w:sz="4" w:space="0" w:color="auto"/>
            </w:tcBorders>
            <w:shd w:val="clear" w:color="auto" w:fill="auto"/>
            <w:noWrap/>
            <w:vAlign w:val="bottom"/>
            <w:hideMark/>
          </w:tcPr>
          <w:p w14:paraId="074F8EF6"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2,5</w:t>
            </w:r>
          </w:p>
        </w:tc>
      </w:tr>
      <w:tr w:rsidR="002F1691" w:rsidRPr="00686954" w14:paraId="0AE29A1A" w14:textId="77777777" w:rsidTr="002F1691">
        <w:trPr>
          <w:trHeight w:val="300"/>
        </w:trPr>
        <w:tc>
          <w:tcPr>
            <w:tcW w:w="1505" w:type="pct"/>
            <w:tcBorders>
              <w:top w:val="nil"/>
              <w:left w:val="single" w:sz="4" w:space="0" w:color="auto"/>
              <w:bottom w:val="single" w:sz="4" w:space="0" w:color="auto"/>
              <w:right w:val="nil"/>
            </w:tcBorders>
            <w:shd w:val="clear" w:color="auto" w:fill="auto"/>
            <w:noWrap/>
            <w:vAlign w:val="bottom"/>
            <w:hideMark/>
          </w:tcPr>
          <w:p w14:paraId="459E1E54" w14:textId="77777777" w:rsidR="002F1691" w:rsidRPr="00686954" w:rsidRDefault="002F1691" w:rsidP="002F1691">
            <w:pPr>
              <w:rPr>
                <w:rFonts w:ascii="Calibri" w:hAnsi="Calibri" w:cs="Calibri"/>
                <w:color w:val="000000"/>
                <w:sz w:val="20"/>
                <w:lang w:eastAsia="es-CO"/>
              </w:rPr>
            </w:pPr>
            <w:r w:rsidRPr="00686954">
              <w:rPr>
                <w:rFonts w:ascii="Calibri" w:hAnsi="Calibri" w:cs="Calibri"/>
                <w:color w:val="000000"/>
                <w:sz w:val="20"/>
                <w:lang w:eastAsia="es-CO"/>
              </w:rPr>
              <w:t>Total</w:t>
            </w:r>
          </w:p>
        </w:tc>
        <w:tc>
          <w:tcPr>
            <w:tcW w:w="676" w:type="pct"/>
            <w:tcBorders>
              <w:top w:val="nil"/>
              <w:left w:val="nil"/>
              <w:bottom w:val="single" w:sz="4" w:space="0" w:color="auto"/>
              <w:right w:val="nil"/>
            </w:tcBorders>
            <w:shd w:val="clear" w:color="auto" w:fill="auto"/>
            <w:noWrap/>
            <w:vAlign w:val="bottom"/>
            <w:hideMark/>
          </w:tcPr>
          <w:p w14:paraId="5DFE4592"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 </w:t>
            </w:r>
          </w:p>
        </w:tc>
        <w:tc>
          <w:tcPr>
            <w:tcW w:w="560" w:type="pct"/>
            <w:tcBorders>
              <w:top w:val="nil"/>
              <w:left w:val="nil"/>
              <w:bottom w:val="single" w:sz="4" w:space="0" w:color="auto"/>
              <w:right w:val="nil"/>
            </w:tcBorders>
            <w:shd w:val="clear" w:color="auto" w:fill="auto"/>
            <w:noWrap/>
            <w:vAlign w:val="bottom"/>
            <w:hideMark/>
          </w:tcPr>
          <w:p w14:paraId="7EBFCFB2"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 </w:t>
            </w:r>
          </w:p>
        </w:tc>
        <w:tc>
          <w:tcPr>
            <w:tcW w:w="764" w:type="pct"/>
            <w:tcBorders>
              <w:top w:val="nil"/>
              <w:left w:val="nil"/>
              <w:bottom w:val="single" w:sz="4" w:space="0" w:color="auto"/>
              <w:right w:val="nil"/>
            </w:tcBorders>
            <w:shd w:val="clear" w:color="auto" w:fill="auto"/>
            <w:noWrap/>
            <w:vAlign w:val="bottom"/>
            <w:hideMark/>
          </w:tcPr>
          <w:p w14:paraId="1F8FE1D1" w14:textId="77777777" w:rsidR="002F1691" w:rsidRPr="00686954" w:rsidRDefault="002F1691" w:rsidP="002F1691">
            <w:pPr>
              <w:jc w:val="center"/>
              <w:rPr>
                <w:rFonts w:ascii="Calibri" w:hAnsi="Calibri" w:cs="Calibri"/>
                <w:color w:val="000000" w:themeColor="text1"/>
                <w:sz w:val="20"/>
                <w:lang w:eastAsia="es-CO"/>
              </w:rPr>
            </w:pPr>
            <w:r w:rsidRPr="00686954">
              <w:rPr>
                <w:rFonts w:ascii="Calibri" w:hAnsi="Calibri" w:cs="Calibri"/>
                <w:color w:val="000000" w:themeColor="text1"/>
                <w:sz w:val="20"/>
                <w:lang w:eastAsia="es-CO"/>
              </w:rPr>
              <w:t>0,00077</w:t>
            </w:r>
          </w:p>
        </w:tc>
        <w:tc>
          <w:tcPr>
            <w:tcW w:w="699" w:type="pct"/>
            <w:tcBorders>
              <w:top w:val="nil"/>
              <w:left w:val="nil"/>
              <w:bottom w:val="single" w:sz="4" w:space="0" w:color="auto"/>
              <w:right w:val="nil"/>
            </w:tcBorders>
            <w:shd w:val="clear" w:color="auto" w:fill="auto"/>
            <w:noWrap/>
            <w:vAlign w:val="bottom"/>
            <w:hideMark/>
          </w:tcPr>
          <w:p w14:paraId="6DD6D608"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28.100</w:t>
            </w:r>
          </w:p>
        </w:tc>
        <w:tc>
          <w:tcPr>
            <w:tcW w:w="796" w:type="pct"/>
            <w:tcBorders>
              <w:top w:val="nil"/>
              <w:left w:val="nil"/>
              <w:bottom w:val="single" w:sz="4" w:space="0" w:color="auto"/>
              <w:right w:val="single" w:sz="4" w:space="0" w:color="auto"/>
            </w:tcBorders>
            <w:shd w:val="clear" w:color="auto" w:fill="auto"/>
            <w:noWrap/>
            <w:vAlign w:val="bottom"/>
            <w:hideMark/>
          </w:tcPr>
          <w:p w14:paraId="65DDD934"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21,8</w:t>
            </w:r>
          </w:p>
        </w:tc>
      </w:tr>
      <w:tr w:rsidR="002F1691" w:rsidRPr="00686954" w14:paraId="2716E2B6" w14:textId="77777777" w:rsidTr="002F1691">
        <w:trPr>
          <w:trHeight w:val="300"/>
        </w:trPr>
        <w:tc>
          <w:tcPr>
            <w:tcW w:w="2741" w:type="pct"/>
            <w:gridSpan w:val="3"/>
            <w:tcBorders>
              <w:top w:val="single" w:sz="4" w:space="0" w:color="auto"/>
              <w:left w:val="single" w:sz="4" w:space="0" w:color="auto"/>
              <w:bottom w:val="single" w:sz="4" w:space="0" w:color="auto"/>
              <w:right w:val="nil"/>
            </w:tcBorders>
            <w:shd w:val="clear" w:color="auto" w:fill="auto"/>
            <w:noWrap/>
            <w:vAlign w:val="bottom"/>
            <w:hideMark/>
          </w:tcPr>
          <w:p w14:paraId="323E94BD" w14:textId="77777777" w:rsidR="002F1691" w:rsidRPr="00686954" w:rsidRDefault="002F1691" w:rsidP="002F1691">
            <w:pPr>
              <w:rPr>
                <w:rFonts w:ascii="Calibri" w:hAnsi="Calibri" w:cs="Calibri"/>
                <w:color w:val="000000" w:themeColor="text1"/>
                <w:sz w:val="20"/>
                <w:lang w:eastAsia="es-CO"/>
              </w:rPr>
            </w:pPr>
            <w:r w:rsidRPr="00686954">
              <w:rPr>
                <w:rFonts w:ascii="Calibri" w:hAnsi="Calibri" w:cs="Calibri"/>
                <w:color w:val="000000" w:themeColor="text1"/>
                <w:sz w:val="20"/>
                <w:lang w:eastAsia="es-CO"/>
              </w:rPr>
              <w:t>Consumo de AP nacional 2017 (GWh) - Sistemas Aislados*</w:t>
            </w:r>
          </w:p>
        </w:tc>
        <w:tc>
          <w:tcPr>
            <w:tcW w:w="764" w:type="pct"/>
            <w:tcBorders>
              <w:top w:val="nil"/>
              <w:left w:val="nil"/>
              <w:bottom w:val="single" w:sz="4" w:space="0" w:color="auto"/>
              <w:right w:val="nil"/>
            </w:tcBorders>
            <w:shd w:val="clear" w:color="auto" w:fill="auto"/>
            <w:noWrap/>
            <w:vAlign w:val="bottom"/>
            <w:hideMark/>
          </w:tcPr>
          <w:p w14:paraId="25DCE077" w14:textId="77777777" w:rsidR="002F1691" w:rsidRPr="00686954" w:rsidRDefault="002F1691" w:rsidP="002F1691">
            <w:pPr>
              <w:rPr>
                <w:rFonts w:ascii="Calibri" w:hAnsi="Calibri" w:cs="Calibri"/>
                <w:color w:val="000000" w:themeColor="text1"/>
                <w:sz w:val="20"/>
                <w:lang w:eastAsia="es-CO"/>
              </w:rPr>
            </w:pPr>
            <w:r w:rsidRPr="00686954">
              <w:rPr>
                <w:rFonts w:ascii="Calibri" w:hAnsi="Calibri" w:cs="Calibri"/>
                <w:color w:val="000000" w:themeColor="text1"/>
                <w:sz w:val="20"/>
                <w:lang w:eastAsia="es-CO"/>
              </w:rPr>
              <w:t> </w:t>
            </w:r>
          </w:p>
        </w:tc>
        <w:tc>
          <w:tcPr>
            <w:tcW w:w="699" w:type="pct"/>
            <w:tcBorders>
              <w:top w:val="nil"/>
              <w:left w:val="nil"/>
              <w:bottom w:val="single" w:sz="4" w:space="0" w:color="auto"/>
              <w:right w:val="nil"/>
            </w:tcBorders>
            <w:shd w:val="clear" w:color="auto" w:fill="auto"/>
            <w:noWrap/>
            <w:vAlign w:val="bottom"/>
            <w:hideMark/>
          </w:tcPr>
          <w:p w14:paraId="259C0BD9" w14:textId="77777777" w:rsidR="002F1691" w:rsidRPr="00686954" w:rsidRDefault="002F1691" w:rsidP="002F1691">
            <w:pPr>
              <w:rPr>
                <w:rFonts w:ascii="Calibri" w:hAnsi="Calibri" w:cs="Calibri"/>
                <w:color w:val="000000" w:themeColor="text1"/>
                <w:sz w:val="20"/>
                <w:lang w:eastAsia="es-CO"/>
              </w:rPr>
            </w:pPr>
            <w:r w:rsidRPr="00686954">
              <w:rPr>
                <w:rFonts w:ascii="Calibri" w:hAnsi="Calibri" w:cs="Calibri"/>
                <w:color w:val="000000" w:themeColor="text1"/>
                <w:sz w:val="20"/>
                <w:lang w:eastAsia="es-CO"/>
              </w:rPr>
              <w:t> </w:t>
            </w:r>
          </w:p>
        </w:tc>
        <w:tc>
          <w:tcPr>
            <w:tcW w:w="796" w:type="pct"/>
            <w:tcBorders>
              <w:top w:val="nil"/>
              <w:left w:val="nil"/>
              <w:bottom w:val="single" w:sz="4" w:space="0" w:color="auto"/>
              <w:right w:val="single" w:sz="4" w:space="0" w:color="auto"/>
            </w:tcBorders>
            <w:shd w:val="clear" w:color="auto" w:fill="auto"/>
            <w:noWrap/>
            <w:vAlign w:val="bottom"/>
            <w:hideMark/>
          </w:tcPr>
          <w:p w14:paraId="6E7F5CC5" w14:textId="77777777" w:rsidR="002F1691" w:rsidRPr="00686954" w:rsidRDefault="002F1691" w:rsidP="002F1691">
            <w:pPr>
              <w:jc w:val="right"/>
              <w:rPr>
                <w:rFonts w:ascii="Calibri" w:hAnsi="Calibri" w:cs="Calibri"/>
                <w:color w:val="000000" w:themeColor="text1"/>
                <w:sz w:val="20"/>
                <w:lang w:eastAsia="es-CO"/>
              </w:rPr>
            </w:pPr>
            <w:r w:rsidRPr="00686954">
              <w:rPr>
                <w:rFonts w:ascii="Calibri" w:hAnsi="Calibri" w:cs="Calibri"/>
                <w:color w:val="000000" w:themeColor="text1"/>
                <w:sz w:val="20"/>
                <w:lang w:eastAsia="es-CO"/>
              </w:rPr>
              <w:t>21,8</w:t>
            </w:r>
          </w:p>
        </w:tc>
      </w:tr>
    </w:tbl>
    <w:p w14:paraId="34041E62" w14:textId="77777777" w:rsidR="002F1691" w:rsidRPr="00192708" w:rsidRDefault="002F1691" w:rsidP="002F1691">
      <w:pPr>
        <w:jc w:val="center"/>
        <w:rPr>
          <w:sz w:val="18"/>
          <w:lang w:val="es-ES"/>
        </w:rPr>
      </w:pPr>
    </w:p>
    <w:p w14:paraId="1D0E6D45" w14:textId="77777777" w:rsidR="002F1691" w:rsidRDefault="002F1691" w:rsidP="002F1691">
      <w:pPr>
        <w:jc w:val="center"/>
        <w:rPr>
          <w:sz w:val="18"/>
          <w:lang w:val="es-ES"/>
        </w:rPr>
      </w:pPr>
      <w:r w:rsidRPr="00192708">
        <w:rPr>
          <w:sz w:val="18"/>
          <w:lang w:val="es-ES"/>
        </w:rPr>
        <w:t xml:space="preserve">Nota: </w:t>
      </w:r>
      <w:r>
        <w:rPr>
          <w:sz w:val="18"/>
          <w:lang w:val="es-ES"/>
        </w:rPr>
        <w:t>Elaborado con base en cálculos del consultor con base en información del Anuario Estadístico y análisis económico del proyecto de AP en el municipio de Oruro</w:t>
      </w:r>
    </w:p>
    <w:p w14:paraId="4D82B779" w14:textId="77777777" w:rsidR="002F1691" w:rsidRDefault="002F1691" w:rsidP="002F1691">
      <w:pPr>
        <w:jc w:val="center"/>
        <w:rPr>
          <w:sz w:val="18"/>
          <w:lang w:val="es-ES"/>
        </w:rPr>
      </w:pPr>
      <w:r>
        <w:rPr>
          <w:sz w:val="18"/>
          <w:lang w:val="es-ES"/>
        </w:rPr>
        <w:t>*Información del Anuario Estadístico 2016 proyectado a 2017 por el consultor</w:t>
      </w:r>
    </w:p>
    <w:p w14:paraId="2AC57AC5" w14:textId="77777777" w:rsidR="002F1691" w:rsidRDefault="002F1691" w:rsidP="002F1691">
      <w:pPr>
        <w:spacing w:before="120"/>
        <w:rPr>
          <w:lang w:val="es-ES"/>
        </w:rPr>
      </w:pPr>
    </w:p>
    <w:p w14:paraId="75039AED" w14:textId="333DE9E6" w:rsidR="002F1691" w:rsidRDefault="002F1691" w:rsidP="002F1691">
      <w:pPr>
        <w:spacing w:before="120"/>
        <w:jc w:val="both"/>
        <w:rPr>
          <w:lang w:val="es-ES"/>
        </w:rPr>
      </w:pPr>
      <w:r>
        <w:rPr>
          <w:lang w:val="es-ES"/>
        </w:rPr>
        <w:t>Utilizando la información anterior, y aplicando los supuestos, se obtiene que para el escenario sin proyecto se deben reponer anualmente cerca de 275 mil lamparas de vapor de sodio y vapor de mercurio</w:t>
      </w:r>
      <w:r>
        <w:rPr>
          <w:rStyle w:val="FootnoteReference"/>
          <w:lang w:val="es-ES"/>
        </w:rPr>
        <w:footnoteReference w:id="15"/>
      </w:r>
      <w:r>
        <w:rPr>
          <w:lang w:val="es-ES"/>
        </w:rPr>
        <w:t xml:space="preserve"> de la base actual de lamparas en el sistema de alumbrado público. Adicionalmente, y considerando el crecimiento del sector, en la medida que la demanda del sistema aumenta, pueden estar ingresando cerca de 25 mil nuevas lamparas de vapor de sodio al año si no se cuenta con una política clara de reposición con tecnologías eficientes. En el largo plazo, se considera que toda la tecnología es vapor de sodio. El costo de reemplazo con esta tecnología, considerando lampara y balasto, se asume en USD$ 24,4 por unidad.</w:t>
      </w:r>
    </w:p>
    <w:p w14:paraId="265B5B41" w14:textId="3B48CAE4" w:rsidR="002F1691" w:rsidRPr="002F1691" w:rsidRDefault="002F1691" w:rsidP="002F1691">
      <w:pPr>
        <w:pStyle w:val="ListParagraph"/>
        <w:ind w:left="0"/>
        <w:jc w:val="center"/>
        <w:rPr>
          <w:rFonts w:cs="Arial"/>
          <w:lang w:val="es-ES_tradnl"/>
        </w:rPr>
      </w:pPr>
      <w:bookmarkStart w:id="24" w:name="_Toc514264392"/>
      <w:r>
        <w:rPr>
          <w:b/>
          <w:lang w:val="es-ES_tradnl"/>
        </w:rPr>
        <w:t>Gráfica  4</w:t>
      </w:r>
      <w:r w:rsidRPr="002F1691">
        <w:rPr>
          <w:b/>
          <w:bCs/>
          <w:lang w:val="es-ES_tradnl"/>
        </w:rPr>
        <w:t xml:space="preserve"> </w:t>
      </w:r>
      <w:r w:rsidRPr="002F1691">
        <w:rPr>
          <w:b/>
          <w:lang w:val="es-ES_tradnl"/>
        </w:rPr>
        <w:t>– Composición de lamparas por tecnología en alumbrado público – Escenario Sin Proyecto</w:t>
      </w:r>
      <w:bookmarkEnd w:id="24"/>
    </w:p>
    <w:p w14:paraId="19C8887C" w14:textId="77777777" w:rsidR="002F1691" w:rsidRPr="00A047CE" w:rsidRDefault="002F1691" w:rsidP="002F1691">
      <w:pPr>
        <w:jc w:val="center"/>
        <w:rPr>
          <w:rFonts w:cs="Arial"/>
        </w:rPr>
      </w:pPr>
      <w:r w:rsidRPr="00C35B6F">
        <w:rPr>
          <w:noProof/>
        </w:rPr>
        <w:lastRenderedPageBreak/>
        <w:drawing>
          <wp:inline distT="0" distB="0" distL="0" distR="0" wp14:anchorId="555B2C38" wp14:editId="25BC3A69">
            <wp:extent cx="5231959" cy="2310237"/>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3931" cy="2315523"/>
                    </a:xfrm>
                    <a:prstGeom prst="rect">
                      <a:avLst/>
                    </a:prstGeom>
                    <a:noFill/>
                    <a:ln>
                      <a:noFill/>
                    </a:ln>
                  </pic:spPr>
                </pic:pic>
              </a:graphicData>
            </a:graphic>
          </wp:inline>
        </w:drawing>
      </w:r>
    </w:p>
    <w:p w14:paraId="3D28B58B" w14:textId="77777777" w:rsidR="002F1691" w:rsidRDefault="002F1691" w:rsidP="002F1691">
      <w:pPr>
        <w:spacing w:before="120"/>
        <w:jc w:val="center"/>
        <w:rPr>
          <w:lang w:val="es-ES"/>
        </w:rPr>
      </w:pPr>
      <w:r w:rsidRPr="00DA68BF">
        <w:rPr>
          <w:sz w:val="20"/>
          <w:lang w:val="es-ES"/>
        </w:rPr>
        <w:t xml:space="preserve">Fuente: </w:t>
      </w:r>
      <w:r>
        <w:rPr>
          <w:sz w:val="20"/>
          <w:lang w:val="es-ES"/>
        </w:rPr>
        <w:t>Elaboración del consultor con base en escenarios del análisis económico</w:t>
      </w:r>
    </w:p>
    <w:p w14:paraId="5DC96DAF" w14:textId="4ED29FB7" w:rsidR="002F1691" w:rsidRDefault="002F1691" w:rsidP="002F1691">
      <w:pPr>
        <w:spacing w:before="120"/>
        <w:rPr>
          <w:lang w:val="es-ES"/>
        </w:rPr>
      </w:pPr>
      <w:r>
        <w:rPr>
          <w:lang w:val="es-ES"/>
        </w:rPr>
        <w:t>Por el contrario, y bajo los supuestos del escenario con proyecto, la totalidad de lamparas de vapor de sodio y vapor de mercurio que existen actualmente (y las que entrarán hasta 2020) deben tender a desaparecer en un lapso de dos años una vez iniciado el proyecto y una vez cumplida su vida útil; las lamparas serán sustituidas en el mismo tiempo por lamparas de tecnología LED, las cuales, si bien tienen un costo más elevado (USD$ 344 por unidad</w:t>
      </w:r>
      <w:r>
        <w:rPr>
          <w:rStyle w:val="FootnoteReference"/>
          <w:lang w:val="es-ES"/>
        </w:rPr>
        <w:footnoteReference w:id="16"/>
      </w:r>
      <w:r>
        <w:rPr>
          <w:lang w:val="es-ES"/>
        </w:rPr>
        <w:t>), tienen una vida útil mayor y pueden generar ahorros en el consumo de un 77% considerando una potencia de 40 W para estas nuevas luminarias. Con lo anterior, el sistema debería ser de predominancia LED en un par de años.</w:t>
      </w:r>
    </w:p>
    <w:p w14:paraId="0145FFCF" w14:textId="77777777" w:rsidR="002F1691" w:rsidRDefault="002F1691" w:rsidP="002F1691">
      <w:pPr>
        <w:spacing w:before="120"/>
        <w:rPr>
          <w:lang w:val="es-ES"/>
        </w:rPr>
      </w:pPr>
    </w:p>
    <w:p w14:paraId="1381CAC3" w14:textId="1371BCDE" w:rsidR="002F1691" w:rsidRPr="002F1691" w:rsidRDefault="002F1691" w:rsidP="002F1691">
      <w:pPr>
        <w:pStyle w:val="ListParagraph"/>
        <w:ind w:left="0"/>
        <w:jc w:val="center"/>
        <w:rPr>
          <w:rFonts w:cs="Arial"/>
          <w:lang w:val="es-ES_tradnl"/>
        </w:rPr>
      </w:pPr>
      <w:bookmarkStart w:id="25" w:name="_Toc514264393"/>
      <w:r w:rsidRPr="002F1691">
        <w:rPr>
          <w:b/>
          <w:lang w:val="es-ES_tradnl"/>
        </w:rPr>
        <w:t xml:space="preserve">Gráfica </w:t>
      </w:r>
      <w:r>
        <w:rPr>
          <w:b/>
          <w:lang w:val="es-ES_tradnl"/>
        </w:rPr>
        <w:t>5</w:t>
      </w:r>
      <w:r w:rsidRPr="00C763A3">
        <w:rPr>
          <w:b/>
          <w:bCs/>
        </w:rPr>
        <w:fldChar w:fldCharType="begin"/>
      </w:r>
      <w:r w:rsidRPr="002F1691">
        <w:rPr>
          <w:b/>
          <w:bCs/>
          <w:lang w:val="es-ES_tradnl"/>
        </w:rPr>
        <w:instrText xml:space="preserve"> SEQ Ilustración \* ARABIC </w:instrText>
      </w:r>
      <w:r w:rsidRPr="00C763A3">
        <w:rPr>
          <w:b/>
          <w:bCs/>
        </w:rPr>
        <w:fldChar w:fldCharType="end"/>
      </w:r>
      <w:r w:rsidRPr="002F1691">
        <w:rPr>
          <w:b/>
          <w:bCs/>
          <w:lang w:val="es-ES_tradnl"/>
        </w:rPr>
        <w:t xml:space="preserve"> </w:t>
      </w:r>
      <w:r w:rsidRPr="002F1691">
        <w:rPr>
          <w:b/>
          <w:lang w:val="es-ES_tradnl"/>
        </w:rPr>
        <w:t>– Composición de lamparas por tecnología en alumbrado público – Escenario Con Proyecto</w:t>
      </w:r>
      <w:bookmarkEnd w:id="25"/>
    </w:p>
    <w:p w14:paraId="754C5BCD" w14:textId="77777777" w:rsidR="002F1691" w:rsidRPr="00A047CE" w:rsidRDefault="002F1691" w:rsidP="002F1691">
      <w:pPr>
        <w:jc w:val="center"/>
        <w:rPr>
          <w:rFonts w:cs="Arial"/>
        </w:rPr>
      </w:pPr>
      <w:r w:rsidRPr="00C35B6F">
        <w:rPr>
          <w:noProof/>
        </w:rPr>
        <w:drawing>
          <wp:inline distT="0" distB="0" distL="0" distR="0" wp14:anchorId="41198E5C" wp14:editId="0C772C74">
            <wp:extent cx="4929809" cy="2176819"/>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6243" cy="2179660"/>
                    </a:xfrm>
                    <a:prstGeom prst="rect">
                      <a:avLst/>
                    </a:prstGeom>
                    <a:noFill/>
                    <a:ln>
                      <a:noFill/>
                    </a:ln>
                  </pic:spPr>
                </pic:pic>
              </a:graphicData>
            </a:graphic>
          </wp:inline>
        </w:drawing>
      </w:r>
    </w:p>
    <w:p w14:paraId="0D6AB3D3" w14:textId="77777777" w:rsidR="002F1691" w:rsidRDefault="002F1691" w:rsidP="002F1691">
      <w:pPr>
        <w:spacing w:before="120"/>
        <w:jc w:val="center"/>
        <w:rPr>
          <w:lang w:val="es-ES"/>
        </w:rPr>
      </w:pPr>
      <w:r w:rsidRPr="00DA68BF">
        <w:rPr>
          <w:sz w:val="20"/>
          <w:lang w:val="es-ES"/>
        </w:rPr>
        <w:t xml:space="preserve">Fuente: </w:t>
      </w:r>
      <w:r>
        <w:rPr>
          <w:sz w:val="20"/>
          <w:lang w:val="es-ES"/>
        </w:rPr>
        <w:t>Elaboración del consultor con base en escenarios del análisis económico</w:t>
      </w:r>
    </w:p>
    <w:p w14:paraId="51814BF1" w14:textId="4B2F38EC" w:rsidR="002F1691" w:rsidRDefault="002F1691" w:rsidP="002F1691">
      <w:pPr>
        <w:spacing w:before="120"/>
        <w:rPr>
          <w:lang w:val="es-ES"/>
        </w:rPr>
      </w:pPr>
      <w:r>
        <w:rPr>
          <w:lang w:val="es-ES"/>
        </w:rPr>
        <w:t xml:space="preserve">La </w:t>
      </w:r>
      <w:r>
        <w:rPr>
          <w:lang w:val="es-ES"/>
        </w:rPr>
        <w:fldChar w:fldCharType="begin"/>
      </w:r>
      <w:r>
        <w:rPr>
          <w:lang w:val="es-ES"/>
        </w:rPr>
        <w:instrText xml:space="preserve"> REF _Ref512501038 \h </w:instrText>
      </w:r>
      <w:r>
        <w:rPr>
          <w:lang w:val="es-ES"/>
        </w:rPr>
      </w:r>
      <w:r>
        <w:rPr>
          <w:lang w:val="es-ES"/>
        </w:rPr>
        <w:fldChar w:fldCharType="separate"/>
      </w:r>
      <w:r w:rsidRPr="002F1691">
        <w:rPr>
          <w:b/>
          <w:lang w:val="es-ES_tradnl"/>
        </w:rPr>
        <w:t xml:space="preserve">Tabla </w:t>
      </w:r>
      <w:r>
        <w:rPr>
          <w:lang w:val="es-ES"/>
        </w:rPr>
        <w:fldChar w:fldCharType="end"/>
      </w:r>
      <w:r>
        <w:rPr>
          <w:lang w:val="es-ES"/>
        </w:rPr>
        <w:t xml:space="preserve">15 resume los resultados del análisis de las medidas tendientes a la sustitución de lamparas de alumbrado público considerando tanto SIN como Sistemas Aislados para los primeros 7 años de proyección. </w:t>
      </w:r>
    </w:p>
    <w:p w14:paraId="684B2F6B" w14:textId="77777777" w:rsidR="002F1691" w:rsidRDefault="002F1691" w:rsidP="002F1691">
      <w:pPr>
        <w:spacing w:before="120"/>
        <w:rPr>
          <w:lang w:val="es-ES"/>
        </w:rPr>
      </w:pPr>
    </w:p>
    <w:p w14:paraId="27671807" w14:textId="49039EE5" w:rsidR="002F1691" w:rsidRPr="002F1691" w:rsidRDefault="002F1691" w:rsidP="002F1691">
      <w:pPr>
        <w:jc w:val="center"/>
        <w:rPr>
          <w:b/>
          <w:lang w:val="es-ES_tradnl"/>
        </w:rPr>
      </w:pPr>
      <w:bookmarkStart w:id="26" w:name="_Ref512501038"/>
      <w:bookmarkStart w:id="27" w:name="_Toc514264372"/>
      <w:r w:rsidRPr="002F1691">
        <w:rPr>
          <w:b/>
          <w:lang w:val="es-ES_tradnl"/>
        </w:rPr>
        <w:lastRenderedPageBreak/>
        <w:t xml:space="preserve">Tabla </w:t>
      </w:r>
      <w:bookmarkEnd w:id="26"/>
      <w:r w:rsidRPr="002F1691">
        <w:rPr>
          <w:b/>
          <w:lang w:val="es-ES_tradnl"/>
        </w:rPr>
        <w:t>16 – Análisis de la introducción de medidas tendientes al cambio de lamparas de alumbrado público (SIN + Sistemas Aislados)</w:t>
      </w:r>
      <w:bookmarkEnd w:id="27"/>
    </w:p>
    <w:p w14:paraId="39119D8F" w14:textId="77777777" w:rsidR="002F1691" w:rsidRPr="002F1691" w:rsidRDefault="002F1691" w:rsidP="002F1691">
      <w:pPr>
        <w:rPr>
          <w:b/>
          <w:lang w:val="es-ES_tradnl"/>
        </w:rPr>
      </w:pPr>
    </w:p>
    <w:tbl>
      <w:tblPr>
        <w:tblW w:w="5000" w:type="pct"/>
        <w:tblCellMar>
          <w:left w:w="70" w:type="dxa"/>
          <w:right w:w="70" w:type="dxa"/>
        </w:tblCellMar>
        <w:tblLook w:val="04A0" w:firstRow="1" w:lastRow="0" w:firstColumn="1" w:lastColumn="0" w:noHBand="0" w:noVBand="1"/>
      </w:tblPr>
      <w:tblGrid>
        <w:gridCol w:w="4181"/>
        <w:gridCol w:w="177"/>
        <w:gridCol w:w="602"/>
        <w:gridCol w:w="613"/>
        <w:gridCol w:w="613"/>
        <w:gridCol w:w="613"/>
        <w:gridCol w:w="613"/>
        <w:gridCol w:w="613"/>
        <w:gridCol w:w="610"/>
      </w:tblGrid>
      <w:tr w:rsidR="002F1691" w:rsidRPr="00FC1C46" w14:paraId="7BAFDE2A" w14:textId="77777777" w:rsidTr="002F1691">
        <w:trPr>
          <w:trHeight w:val="260"/>
        </w:trPr>
        <w:tc>
          <w:tcPr>
            <w:tcW w:w="2367" w:type="pct"/>
            <w:tcBorders>
              <w:top w:val="nil"/>
              <w:left w:val="nil"/>
              <w:bottom w:val="single" w:sz="4" w:space="0" w:color="auto"/>
              <w:right w:val="nil"/>
            </w:tcBorders>
            <w:shd w:val="clear" w:color="auto" w:fill="auto"/>
            <w:noWrap/>
            <w:vAlign w:val="bottom"/>
            <w:hideMark/>
          </w:tcPr>
          <w:p w14:paraId="73D648B1" w14:textId="77777777" w:rsidR="002F1691" w:rsidRPr="00FC1C46" w:rsidRDefault="002F1691" w:rsidP="002F1691">
            <w:pPr>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$USD</w:t>
            </w:r>
          </w:p>
        </w:tc>
        <w:tc>
          <w:tcPr>
            <w:tcW w:w="100" w:type="pct"/>
            <w:tcBorders>
              <w:top w:val="nil"/>
              <w:left w:val="nil"/>
              <w:bottom w:val="single" w:sz="4" w:space="0" w:color="auto"/>
              <w:right w:val="nil"/>
            </w:tcBorders>
            <w:shd w:val="clear" w:color="auto" w:fill="auto"/>
            <w:noWrap/>
            <w:vAlign w:val="bottom"/>
            <w:hideMark/>
          </w:tcPr>
          <w:p w14:paraId="7EAFB505" w14:textId="77777777" w:rsidR="002F1691" w:rsidRPr="00FC1C46" w:rsidRDefault="002F1691" w:rsidP="002F1691">
            <w:pPr>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 </w:t>
            </w:r>
          </w:p>
        </w:tc>
        <w:tc>
          <w:tcPr>
            <w:tcW w:w="267" w:type="pct"/>
            <w:tcBorders>
              <w:top w:val="single" w:sz="4" w:space="0" w:color="FFFFFF"/>
              <w:left w:val="nil"/>
              <w:bottom w:val="single" w:sz="4" w:space="0" w:color="auto"/>
              <w:right w:val="single" w:sz="4" w:space="0" w:color="FFFFFF"/>
            </w:tcBorders>
            <w:shd w:val="clear" w:color="000000" w:fill="203764"/>
            <w:noWrap/>
            <w:vAlign w:val="bottom"/>
            <w:hideMark/>
          </w:tcPr>
          <w:p w14:paraId="35C0716F"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2018</w:t>
            </w:r>
          </w:p>
        </w:tc>
        <w:tc>
          <w:tcPr>
            <w:tcW w:w="378" w:type="pct"/>
            <w:tcBorders>
              <w:top w:val="single" w:sz="4" w:space="0" w:color="FFFFFF"/>
              <w:left w:val="nil"/>
              <w:bottom w:val="single" w:sz="4" w:space="0" w:color="auto"/>
              <w:right w:val="single" w:sz="4" w:space="0" w:color="FFFFFF"/>
            </w:tcBorders>
            <w:shd w:val="clear" w:color="000000" w:fill="203764"/>
            <w:noWrap/>
            <w:vAlign w:val="bottom"/>
            <w:hideMark/>
          </w:tcPr>
          <w:p w14:paraId="32CC8977"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2019</w:t>
            </w:r>
          </w:p>
        </w:tc>
        <w:tc>
          <w:tcPr>
            <w:tcW w:w="378" w:type="pct"/>
            <w:tcBorders>
              <w:top w:val="single" w:sz="4" w:space="0" w:color="FFFFFF"/>
              <w:left w:val="nil"/>
              <w:bottom w:val="single" w:sz="4" w:space="0" w:color="auto"/>
              <w:right w:val="single" w:sz="4" w:space="0" w:color="FFFFFF"/>
            </w:tcBorders>
            <w:shd w:val="clear" w:color="000000" w:fill="203764"/>
            <w:noWrap/>
            <w:vAlign w:val="bottom"/>
            <w:hideMark/>
          </w:tcPr>
          <w:p w14:paraId="6BC26169"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2020</w:t>
            </w:r>
          </w:p>
        </w:tc>
        <w:tc>
          <w:tcPr>
            <w:tcW w:w="378" w:type="pct"/>
            <w:tcBorders>
              <w:top w:val="single" w:sz="4" w:space="0" w:color="FFFFFF"/>
              <w:left w:val="nil"/>
              <w:bottom w:val="single" w:sz="4" w:space="0" w:color="auto"/>
              <w:right w:val="single" w:sz="4" w:space="0" w:color="FFFFFF"/>
            </w:tcBorders>
            <w:shd w:val="clear" w:color="000000" w:fill="203764"/>
            <w:noWrap/>
            <w:vAlign w:val="bottom"/>
            <w:hideMark/>
          </w:tcPr>
          <w:p w14:paraId="1B1FE86A"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2021</w:t>
            </w:r>
          </w:p>
        </w:tc>
        <w:tc>
          <w:tcPr>
            <w:tcW w:w="378" w:type="pct"/>
            <w:tcBorders>
              <w:top w:val="single" w:sz="4" w:space="0" w:color="FFFFFF"/>
              <w:left w:val="nil"/>
              <w:bottom w:val="single" w:sz="4" w:space="0" w:color="auto"/>
              <w:right w:val="single" w:sz="4" w:space="0" w:color="FFFFFF"/>
            </w:tcBorders>
            <w:shd w:val="clear" w:color="000000" w:fill="203764"/>
            <w:noWrap/>
            <w:vAlign w:val="bottom"/>
            <w:hideMark/>
          </w:tcPr>
          <w:p w14:paraId="3223FA4F"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2022</w:t>
            </w:r>
          </w:p>
        </w:tc>
        <w:tc>
          <w:tcPr>
            <w:tcW w:w="378" w:type="pct"/>
            <w:tcBorders>
              <w:top w:val="single" w:sz="4" w:space="0" w:color="FFFFFF"/>
              <w:left w:val="nil"/>
              <w:bottom w:val="single" w:sz="4" w:space="0" w:color="auto"/>
              <w:right w:val="single" w:sz="4" w:space="0" w:color="FFFFFF" w:themeColor="background1"/>
            </w:tcBorders>
            <w:shd w:val="clear" w:color="000000" w:fill="203764"/>
            <w:vAlign w:val="bottom"/>
          </w:tcPr>
          <w:p w14:paraId="29466D56"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2023</w:t>
            </w:r>
          </w:p>
        </w:tc>
        <w:tc>
          <w:tcPr>
            <w:tcW w:w="378" w:type="pct"/>
            <w:tcBorders>
              <w:top w:val="single" w:sz="4" w:space="0" w:color="FFFFFF"/>
              <w:left w:val="single" w:sz="4" w:space="0" w:color="FFFFFF" w:themeColor="background1"/>
              <w:bottom w:val="single" w:sz="4" w:space="0" w:color="auto"/>
              <w:right w:val="single" w:sz="4" w:space="0" w:color="FFFFFF"/>
            </w:tcBorders>
            <w:shd w:val="clear" w:color="000000" w:fill="203764"/>
            <w:noWrap/>
            <w:vAlign w:val="bottom"/>
            <w:hideMark/>
          </w:tcPr>
          <w:p w14:paraId="0DDD3E68" w14:textId="77777777" w:rsidR="002F1691" w:rsidRPr="0024005B" w:rsidRDefault="002F1691" w:rsidP="002F1691">
            <w:pPr>
              <w:jc w:val="center"/>
              <w:rPr>
                <w:rFonts w:ascii="Calibri" w:hAnsi="Calibri" w:cs="Calibri"/>
                <w:color w:val="FFFFFF"/>
                <w:sz w:val="16"/>
                <w:szCs w:val="18"/>
              </w:rPr>
            </w:pPr>
            <w:r w:rsidRPr="0024005B">
              <w:rPr>
                <w:rFonts w:ascii="Calibri" w:hAnsi="Calibri" w:cs="Calibri"/>
                <w:color w:val="FFFFFF"/>
                <w:sz w:val="16"/>
                <w:szCs w:val="18"/>
              </w:rPr>
              <w:t>2024</w:t>
            </w:r>
          </w:p>
        </w:tc>
      </w:tr>
      <w:tr w:rsidR="002F1691" w:rsidRPr="00FC1C46" w14:paraId="47F208ED" w14:textId="77777777" w:rsidTr="002F1691">
        <w:trPr>
          <w:trHeight w:val="260"/>
        </w:trPr>
        <w:tc>
          <w:tcPr>
            <w:tcW w:w="2367" w:type="pct"/>
            <w:tcBorders>
              <w:top w:val="nil"/>
              <w:left w:val="nil"/>
              <w:bottom w:val="nil"/>
              <w:right w:val="nil"/>
            </w:tcBorders>
            <w:shd w:val="clear" w:color="auto" w:fill="auto"/>
            <w:noWrap/>
            <w:vAlign w:val="bottom"/>
            <w:hideMark/>
          </w:tcPr>
          <w:p w14:paraId="24EAEEEA"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Consumo de iluminación - Escenario Sin Proyecto (GWh/Año)</w:t>
            </w:r>
          </w:p>
        </w:tc>
        <w:tc>
          <w:tcPr>
            <w:tcW w:w="100" w:type="pct"/>
            <w:tcBorders>
              <w:top w:val="nil"/>
              <w:left w:val="nil"/>
              <w:bottom w:val="nil"/>
              <w:right w:val="nil"/>
            </w:tcBorders>
            <w:shd w:val="clear" w:color="auto" w:fill="auto"/>
            <w:noWrap/>
            <w:vAlign w:val="bottom"/>
            <w:hideMark/>
          </w:tcPr>
          <w:p w14:paraId="63DC5202" w14:textId="77777777" w:rsidR="002F1691" w:rsidRPr="002F1691" w:rsidRDefault="002F1691" w:rsidP="002F1691">
            <w:pPr>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1643101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398</w:t>
            </w:r>
          </w:p>
        </w:tc>
        <w:tc>
          <w:tcPr>
            <w:tcW w:w="378" w:type="pct"/>
            <w:tcBorders>
              <w:top w:val="nil"/>
              <w:left w:val="nil"/>
              <w:bottom w:val="nil"/>
              <w:right w:val="nil"/>
            </w:tcBorders>
            <w:shd w:val="clear" w:color="auto" w:fill="auto"/>
            <w:noWrap/>
            <w:vAlign w:val="bottom"/>
            <w:hideMark/>
          </w:tcPr>
          <w:p w14:paraId="25CDE5E7"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418</w:t>
            </w:r>
          </w:p>
        </w:tc>
        <w:tc>
          <w:tcPr>
            <w:tcW w:w="378" w:type="pct"/>
            <w:tcBorders>
              <w:top w:val="nil"/>
              <w:left w:val="nil"/>
              <w:bottom w:val="nil"/>
              <w:right w:val="nil"/>
            </w:tcBorders>
            <w:shd w:val="clear" w:color="auto" w:fill="auto"/>
            <w:noWrap/>
            <w:vAlign w:val="bottom"/>
            <w:hideMark/>
          </w:tcPr>
          <w:p w14:paraId="66F99FB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438</w:t>
            </w:r>
          </w:p>
        </w:tc>
        <w:tc>
          <w:tcPr>
            <w:tcW w:w="378" w:type="pct"/>
            <w:tcBorders>
              <w:top w:val="nil"/>
              <w:left w:val="nil"/>
              <w:bottom w:val="nil"/>
              <w:right w:val="nil"/>
            </w:tcBorders>
            <w:shd w:val="clear" w:color="auto" w:fill="auto"/>
            <w:noWrap/>
            <w:vAlign w:val="bottom"/>
            <w:hideMark/>
          </w:tcPr>
          <w:p w14:paraId="11701BC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458</w:t>
            </w:r>
          </w:p>
        </w:tc>
        <w:tc>
          <w:tcPr>
            <w:tcW w:w="378" w:type="pct"/>
            <w:tcBorders>
              <w:top w:val="nil"/>
              <w:left w:val="nil"/>
              <w:bottom w:val="nil"/>
              <w:right w:val="nil"/>
            </w:tcBorders>
            <w:shd w:val="clear" w:color="auto" w:fill="auto"/>
            <w:noWrap/>
            <w:vAlign w:val="bottom"/>
            <w:hideMark/>
          </w:tcPr>
          <w:p w14:paraId="14E73A6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479</w:t>
            </w:r>
          </w:p>
        </w:tc>
        <w:tc>
          <w:tcPr>
            <w:tcW w:w="378" w:type="pct"/>
            <w:tcBorders>
              <w:top w:val="nil"/>
              <w:left w:val="nil"/>
              <w:bottom w:val="nil"/>
              <w:right w:val="nil"/>
            </w:tcBorders>
            <w:vAlign w:val="bottom"/>
          </w:tcPr>
          <w:p w14:paraId="05B92ED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501</w:t>
            </w:r>
          </w:p>
        </w:tc>
        <w:tc>
          <w:tcPr>
            <w:tcW w:w="378" w:type="pct"/>
            <w:tcBorders>
              <w:top w:val="nil"/>
              <w:left w:val="nil"/>
              <w:bottom w:val="nil"/>
              <w:right w:val="nil"/>
            </w:tcBorders>
            <w:shd w:val="clear" w:color="auto" w:fill="auto"/>
            <w:noWrap/>
            <w:vAlign w:val="bottom"/>
            <w:hideMark/>
          </w:tcPr>
          <w:p w14:paraId="2C47576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525</w:t>
            </w:r>
          </w:p>
        </w:tc>
      </w:tr>
      <w:tr w:rsidR="002F1691" w:rsidRPr="00FC1C46" w14:paraId="222B9C8C" w14:textId="77777777" w:rsidTr="002F1691">
        <w:trPr>
          <w:trHeight w:val="260"/>
        </w:trPr>
        <w:tc>
          <w:tcPr>
            <w:tcW w:w="2367" w:type="pct"/>
            <w:tcBorders>
              <w:top w:val="nil"/>
              <w:left w:val="nil"/>
              <w:bottom w:val="single" w:sz="4" w:space="0" w:color="000000"/>
              <w:right w:val="nil"/>
            </w:tcBorders>
            <w:shd w:val="clear" w:color="auto" w:fill="auto"/>
            <w:noWrap/>
            <w:vAlign w:val="bottom"/>
            <w:hideMark/>
          </w:tcPr>
          <w:p w14:paraId="2B4D5081"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Consumo de iluminación - Escenario Con Proyecto (GWh/Año)</w:t>
            </w:r>
          </w:p>
        </w:tc>
        <w:tc>
          <w:tcPr>
            <w:tcW w:w="100" w:type="pct"/>
            <w:tcBorders>
              <w:top w:val="nil"/>
              <w:left w:val="nil"/>
              <w:bottom w:val="single" w:sz="4" w:space="0" w:color="000000"/>
              <w:right w:val="nil"/>
            </w:tcBorders>
            <w:shd w:val="clear" w:color="auto" w:fill="auto"/>
            <w:noWrap/>
            <w:vAlign w:val="bottom"/>
            <w:hideMark/>
          </w:tcPr>
          <w:p w14:paraId="501627A0"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nil"/>
              <w:left w:val="nil"/>
              <w:bottom w:val="single" w:sz="4" w:space="0" w:color="000000"/>
              <w:right w:val="nil"/>
            </w:tcBorders>
            <w:shd w:val="clear" w:color="auto" w:fill="auto"/>
            <w:noWrap/>
            <w:vAlign w:val="bottom"/>
            <w:hideMark/>
          </w:tcPr>
          <w:p w14:paraId="7CFAF8E4"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396</w:t>
            </w:r>
          </w:p>
        </w:tc>
        <w:tc>
          <w:tcPr>
            <w:tcW w:w="378" w:type="pct"/>
            <w:tcBorders>
              <w:top w:val="nil"/>
              <w:left w:val="nil"/>
              <w:bottom w:val="single" w:sz="4" w:space="0" w:color="000000"/>
              <w:right w:val="nil"/>
            </w:tcBorders>
            <w:shd w:val="clear" w:color="auto" w:fill="auto"/>
            <w:noWrap/>
            <w:vAlign w:val="bottom"/>
            <w:hideMark/>
          </w:tcPr>
          <w:p w14:paraId="432B45E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415</w:t>
            </w:r>
          </w:p>
        </w:tc>
        <w:tc>
          <w:tcPr>
            <w:tcW w:w="378" w:type="pct"/>
            <w:tcBorders>
              <w:top w:val="nil"/>
              <w:left w:val="nil"/>
              <w:bottom w:val="single" w:sz="4" w:space="0" w:color="000000"/>
              <w:right w:val="nil"/>
            </w:tcBorders>
            <w:shd w:val="clear" w:color="auto" w:fill="auto"/>
            <w:noWrap/>
            <w:vAlign w:val="bottom"/>
            <w:hideMark/>
          </w:tcPr>
          <w:p w14:paraId="6E2496B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435</w:t>
            </w:r>
          </w:p>
        </w:tc>
        <w:tc>
          <w:tcPr>
            <w:tcW w:w="378" w:type="pct"/>
            <w:tcBorders>
              <w:top w:val="nil"/>
              <w:left w:val="nil"/>
              <w:bottom w:val="single" w:sz="4" w:space="0" w:color="000000"/>
              <w:right w:val="nil"/>
            </w:tcBorders>
            <w:shd w:val="clear" w:color="auto" w:fill="auto"/>
            <w:noWrap/>
            <w:vAlign w:val="bottom"/>
            <w:hideMark/>
          </w:tcPr>
          <w:p w14:paraId="0CB7ADE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275</w:t>
            </w:r>
          </w:p>
        </w:tc>
        <w:tc>
          <w:tcPr>
            <w:tcW w:w="378" w:type="pct"/>
            <w:tcBorders>
              <w:top w:val="nil"/>
              <w:left w:val="nil"/>
              <w:bottom w:val="single" w:sz="4" w:space="0" w:color="000000"/>
              <w:right w:val="nil"/>
            </w:tcBorders>
            <w:shd w:val="clear" w:color="auto" w:fill="auto"/>
            <w:noWrap/>
            <w:vAlign w:val="bottom"/>
            <w:hideMark/>
          </w:tcPr>
          <w:p w14:paraId="7D961C5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116</w:t>
            </w:r>
          </w:p>
        </w:tc>
        <w:tc>
          <w:tcPr>
            <w:tcW w:w="378" w:type="pct"/>
            <w:tcBorders>
              <w:top w:val="nil"/>
              <w:left w:val="nil"/>
              <w:bottom w:val="single" w:sz="4" w:space="0" w:color="000000"/>
              <w:right w:val="nil"/>
            </w:tcBorders>
            <w:vAlign w:val="bottom"/>
          </w:tcPr>
          <w:p w14:paraId="02CA887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121</w:t>
            </w:r>
          </w:p>
        </w:tc>
        <w:tc>
          <w:tcPr>
            <w:tcW w:w="378" w:type="pct"/>
            <w:tcBorders>
              <w:top w:val="nil"/>
              <w:left w:val="nil"/>
              <w:bottom w:val="single" w:sz="4" w:space="0" w:color="000000"/>
              <w:right w:val="nil"/>
            </w:tcBorders>
            <w:shd w:val="clear" w:color="auto" w:fill="auto"/>
            <w:noWrap/>
            <w:vAlign w:val="bottom"/>
            <w:hideMark/>
          </w:tcPr>
          <w:p w14:paraId="2EE1A96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127</w:t>
            </w:r>
          </w:p>
        </w:tc>
      </w:tr>
      <w:tr w:rsidR="002F1691" w:rsidRPr="00FC1C46" w14:paraId="622110B6" w14:textId="77777777" w:rsidTr="002F1691">
        <w:trPr>
          <w:trHeight w:val="260"/>
        </w:trPr>
        <w:tc>
          <w:tcPr>
            <w:tcW w:w="2367" w:type="pct"/>
            <w:tcBorders>
              <w:top w:val="nil"/>
              <w:left w:val="nil"/>
              <w:bottom w:val="nil"/>
              <w:right w:val="nil"/>
            </w:tcBorders>
            <w:shd w:val="clear" w:color="auto" w:fill="auto"/>
            <w:noWrap/>
            <w:vAlign w:val="bottom"/>
            <w:hideMark/>
          </w:tcPr>
          <w:p w14:paraId="7E217B13" w14:textId="77777777" w:rsidR="002F1691" w:rsidRPr="00FC1C46" w:rsidRDefault="002F1691" w:rsidP="002F1691">
            <w:pPr>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Beneficios</w:t>
            </w:r>
          </w:p>
        </w:tc>
        <w:tc>
          <w:tcPr>
            <w:tcW w:w="100" w:type="pct"/>
            <w:tcBorders>
              <w:top w:val="nil"/>
              <w:left w:val="nil"/>
              <w:bottom w:val="nil"/>
              <w:right w:val="nil"/>
            </w:tcBorders>
            <w:shd w:val="clear" w:color="auto" w:fill="auto"/>
            <w:noWrap/>
            <w:vAlign w:val="bottom"/>
            <w:hideMark/>
          </w:tcPr>
          <w:p w14:paraId="657B8E66" w14:textId="77777777" w:rsidR="002F1691" w:rsidRPr="00FC1C46" w:rsidRDefault="002F1691" w:rsidP="002F1691">
            <w:pPr>
              <w:rPr>
                <w:rFonts w:ascii="Calibri" w:hAnsi="Calibri" w:cs="Calibri"/>
                <w:b/>
                <w:bCs/>
                <w:color w:val="000000"/>
                <w:sz w:val="16"/>
                <w:szCs w:val="16"/>
                <w:lang w:eastAsia="es-CO"/>
              </w:rPr>
            </w:pPr>
          </w:p>
        </w:tc>
        <w:tc>
          <w:tcPr>
            <w:tcW w:w="267" w:type="pct"/>
            <w:tcBorders>
              <w:top w:val="nil"/>
              <w:left w:val="nil"/>
              <w:bottom w:val="nil"/>
              <w:right w:val="nil"/>
            </w:tcBorders>
            <w:shd w:val="clear" w:color="auto" w:fill="auto"/>
            <w:noWrap/>
            <w:vAlign w:val="bottom"/>
            <w:hideMark/>
          </w:tcPr>
          <w:p w14:paraId="5012BAB1" w14:textId="77777777" w:rsidR="002F1691" w:rsidRPr="00B46194" w:rsidRDefault="002F1691" w:rsidP="002F1691">
            <w:pPr>
              <w:jc w:val="right"/>
              <w:rPr>
                <w:rFonts w:ascii="Calibri" w:hAnsi="Calibri" w:cs="Calibri"/>
                <w:color w:val="000000"/>
                <w:sz w:val="14"/>
                <w:szCs w:val="18"/>
              </w:rPr>
            </w:pPr>
          </w:p>
        </w:tc>
        <w:tc>
          <w:tcPr>
            <w:tcW w:w="378" w:type="pct"/>
            <w:tcBorders>
              <w:top w:val="nil"/>
              <w:left w:val="nil"/>
              <w:bottom w:val="nil"/>
              <w:right w:val="nil"/>
            </w:tcBorders>
            <w:shd w:val="clear" w:color="auto" w:fill="auto"/>
            <w:noWrap/>
            <w:vAlign w:val="bottom"/>
            <w:hideMark/>
          </w:tcPr>
          <w:p w14:paraId="7990F7C2"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497DB70D"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76E44503"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2E387562" w14:textId="77777777" w:rsidR="002F1691" w:rsidRPr="00B46194" w:rsidRDefault="002F1691" w:rsidP="002F1691">
            <w:pPr>
              <w:rPr>
                <w:sz w:val="14"/>
                <w:szCs w:val="18"/>
              </w:rPr>
            </w:pPr>
          </w:p>
        </w:tc>
        <w:tc>
          <w:tcPr>
            <w:tcW w:w="378" w:type="pct"/>
            <w:tcBorders>
              <w:top w:val="nil"/>
              <w:left w:val="nil"/>
              <w:bottom w:val="nil"/>
              <w:right w:val="nil"/>
            </w:tcBorders>
            <w:vAlign w:val="bottom"/>
          </w:tcPr>
          <w:p w14:paraId="46FBFCA7"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4C187A85" w14:textId="77777777" w:rsidR="002F1691" w:rsidRPr="00B46194" w:rsidRDefault="002F1691" w:rsidP="002F1691">
            <w:pPr>
              <w:rPr>
                <w:sz w:val="14"/>
                <w:szCs w:val="18"/>
              </w:rPr>
            </w:pPr>
          </w:p>
        </w:tc>
      </w:tr>
      <w:tr w:rsidR="002F1691" w:rsidRPr="00FC1C46" w14:paraId="24EB7161" w14:textId="77777777" w:rsidTr="002F1691">
        <w:trPr>
          <w:trHeight w:val="260"/>
        </w:trPr>
        <w:tc>
          <w:tcPr>
            <w:tcW w:w="2367" w:type="pct"/>
            <w:tcBorders>
              <w:top w:val="nil"/>
              <w:left w:val="nil"/>
              <w:bottom w:val="nil"/>
              <w:right w:val="nil"/>
            </w:tcBorders>
            <w:shd w:val="clear" w:color="auto" w:fill="auto"/>
            <w:noWrap/>
            <w:vAlign w:val="bottom"/>
            <w:hideMark/>
          </w:tcPr>
          <w:p w14:paraId="298B1280" w14:textId="77777777" w:rsidR="002F1691" w:rsidRPr="00FC1C46" w:rsidRDefault="002F1691" w:rsidP="002F1691">
            <w:pPr>
              <w:ind w:firstLineChars="100" w:firstLine="160"/>
              <w:rPr>
                <w:rFonts w:ascii="Calibri" w:hAnsi="Calibri" w:cs="Calibri"/>
                <w:color w:val="000000"/>
                <w:sz w:val="16"/>
                <w:szCs w:val="16"/>
                <w:lang w:eastAsia="es-CO"/>
              </w:rPr>
            </w:pPr>
            <w:r w:rsidRPr="00FC1C46">
              <w:rPr>
                <w:rFonts w:ascii="Calibri" w:hAnsi="Calibri" w:cs="Calibri"/>
                <w:color w:val="000000"/>
                <w:sz w:val="16"/>
                <w:szCs w:val="16"/>
                <w:lang w:eastAsia="es-CO"/>
              </w:rPr>
              <w:t>Ahorro GWh/año</w:t>
            </w:r>
          </w:p>
        </w:tc>
        <w:tc>
          <w:tcPr>
            <w:tcW w:w="100" w:type="pct"/>
            <w:tcBorders>
              <w:top w:val="nil"/>
              <w:left w:val="nil"/>
              <w:bottom w:val="nil"/>
              <w:right w:val="nil"/>
            </w:tcBorders>
            <w:shd w:val="clear" w:color="auto" w:fill="auto"/>
            <w:noWrap/>
            <w:vAlign w:val="bottom"/>
            <w:hideMark/>
          </w:tcPr>
          <w:p w14:paraId="5751800E" w14:textId="77777777" w:rsidR="002F1691" w:rsidRPr="00FC1C46" w:rsidRDefault="002F1691" w:rsidP="002F1691">
            <w:pPr>
              <w:ind w:firstLineChars="100" w:firstLine="160"/>
              <w:rPr>
                <w:rFonts w:ascii="Calibri" w:hAnsi="Calibri" w:cs="Calibri"/>
                <w:color w:val="000000"/>
                <w:sz w:val="16"/>
                <w:szCs w:val="16"/>
                <w:lang w:eastAsia="es-CO"/>
              </w:rPr>
            </w:pPr>
          </w:p>
        </w:tc>
        <w:tc>
          <w:tcPr>
            <w:tcW w:w="267" w:type="pct"/>
            <w:tcBorders>
              <w:top w:val="nil"/>
              <w:left w:val="nil"/>
              <w:bottom w:val="nil"/>
              <w:right w:val="nil"/>
            </w:tcBorders>
            <w:shd w:val="clear" w:color="auto" w:fill="auto"/>
            <w:noWrap/>
            <w:vAlign w:val="bottom"/>
            <w:hideMark/>
          </w:tcPr>
          <w:p w14:paraId="6CAA84D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1,46</w:t>
            </w:r>
          </w:p>
        </w:tc>
        <w:tc>
          <w:tcPr>
            <w:tcW w:w="378" w:type="pct"/>
            <w:tcBorders>
              <w:top w:val="nil"/>
              <w:left w:val="nil"/>
              <w:bottom w:val="nil"/>
              <w:right w:val="nil"/>
            </w:tcBorders>
            <w:shd w:val="clear" w:color="auto" w:fill="auto"/>
            <w:noWrap/>
            <w:vAlign w:val="bottom"/>
            <w:hideMark/>
          </w:tcPr>
          <w:p w14:paraId="64B6C0D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2,93</w:t>
            </w:r>
          </w:p>
        </w:tc>
        <w:tc>
          <w:tcPr>
            <w:tcW w:w="378" w:type="pct"/>
            <w:tcBorders>
              <w:top w:val="nil"/>
              <w:left w:val="nil"/>
              <w:bottom w:val="nil"/>
              <w:right w:val="nil"/>
            </w:tcBorders>
            <w:shd w:val="clear" w:color="auto" w:fill="auto"/>
            <w:noWrap/>
            <w:vAlign w:val="bottom"/>
            <w:hideMark/>
          </w:tcPr>
          <w:p w14:paraId="52119DE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2,93</w:t>
            </w:r>
          </w:p>
        </w:tc>
        <w:tc>
          <w:tcPr>
            <w:tcW w:w="378" w:type="pct"/>
            <w:tcBorders>
              <w:top w:val="nil"/>
              <w:left w:val="nil"/>
              <w:bottom w:val="nil"/>
              <w:right w:val="nil"/>
            </w:tcBorders>
            <w:shd w:val="clear" w:color="auto" w:fill="auto"/>
            <w:noWrap/>
            <w:vAlign w:val="bottom"/>
            <w:hideMark/>
          </w:tcPr>
          <w:p w14:paraId="08E3629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182,77</w:t>
            </w:r>
          </w:p>
        </w:tc>
        <w:tc>
          <w:tcPr>
            <w:tcW w:w="378" w:type="pct"/>
            <w:tcBorders>
              <w:top w:val="nil"/>
              <w:left w:val="nil"/>
              <w:bottom w:val="nil"/>
              <w:right w:val="nil"/>
            </w:tcBorders>
            <w:shd w:val="clear" w:color="auto" w:fill="auto"/>
            <w:noWrap/>
            <w:vAlign w:val="bottom"/>
            <w:hideMark/>
          </w:tcPr>
          <w:p w14:paraId="1648F84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363,28</w:t>
            </w:r>
          </w:p>
        </w:tc>
        <w:tc>
          <w:tcPr>
            <w:tcW w:w="378" w:type="pct"/>
            <w:tcBorders>
              <w:top w:val="nil"/>
              <w:left w:val="nil"/>
              <w:bottom w:val="nil"/>
              <w:right w:val="nil"/>
            </w:tcBorders>
            <w:vAlign w:val="bottom"/>
          </w:tcPr>
          <w:p w14:paraId="08692D4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380,10</w:t>
            </w:r>
          </w:p>
        </w:tc>
        <w:tc>
          <w:tcPr>
            <w:tcW w:w="378" w:type="pct"/>
            <w:tcBorders>
              <w:top w:val="nil"/>
              <w:left w:val="nil"/>
              <w:bottom w:val="nil"/>
              <w:right w:val="nil"/>
            </w:tcBorders>
            <w:shd w:val="clear" w:color="auto" w:fill="auto"/>
            <w:noWrap/>
            <w:vAlign w:val="bottom"/>
            <w:hideMark/>
          </w:tcPr>
          <w:p w14:paraId="45FA0DA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397,64</w:t>
            </w:r>
          </w:p>
        </w:tc>
      </w:tr>
      <w:tr w:rsidR="002F1691" w:rsidRPr="00FC1C46" w14:paraId="02BEABC7" w14:textId="77777777" w:rsidTr="002F1691">
        <w:trPr>
          <w:trHeight w:val="260"/>
        </w:trPr>
        <w:tc>
          <w:tcPr>
            <w:tcW w:w="2367" w:type="pct"/>
            <w:tcBorders>
              <w:top w:val="nil"/>
              <w:left w:val="nil"/>
              <w:bottom w:val="single" w:sz="4" w:space="0" w:color="BFBFBF"/>
              <w:right w:val="nil"/>
            </w:tcBorders>
            <w:shd w:val="clear" w:color="auto" w:fill="auto"/>
            <w:noWrap/>
            <w:vAlign w:val="bottom"/>
            <w:hideMark/>
          </w:tcPr>
          <w:p w14:paraId="77694D4F"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Emisiones de CO2 evitadas (TonCo2)</w:t>
            </w:r>
          </w:p>
        </w:tc>
        <w:tc>
          <w:tcPr>
            <w:tcW w:w="100" w:type="pct"/>
            <w:tcBorders>
              <w:top w:val="nil"/>
              <w:left w:val="nil"/>
              <w:bottom w:val="single" w:sz="4" w:space="0" w:color="BFBFBF"/>
              <w:right w:val="nil"/>
            </w:tcBorders>
            <w:shd w:val="clear" w:color="auto" w:fill="auto"/>
            <w:noWrap/>
            <w:vAlign w:val="bottom"/>
            <w:hideMark/>
          </w:tcPr>
          <w:p w14:paraId="1DC7BCF2"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nil"/>
              <w:left w:val="nil"/>
              <w:bottom w:val="single" w:sz="4" w:space="0" w:color="BFBFBF"/>
              <w:right w:val="nil"/>
            </w:tcBorders>
            <w:shd w:val="clear" w:color="auto" w:fill="auto"/>
            <w:noWrap/>
            <w:vAlign w:val="bottom"/>
            <w:hideMark/>
          </w:tcPr>
          <w:p w14:paraId="12A8637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570</w:t>
            </w:r>
          </w:p>
        </w:tc>
        <w:tc>
          <w:tcPr>
            <w:tcW w:w="378" w:type="pct"/>
            <w:tcBorders>
              <w:top w:val="nil"/>
              <w:left w:val="nil"/>
              <w:bottom w:val="single" w:sz="4" w:space="0" w:color="BFBFBF"/>
              <w:right w:val="nil"/>
            </w:tcBorders>
            <w:shd w:val="clear" w:color="auto" w:fill="auto"/>
            <w:noWrap/>
            <w:vAlign w:val="bottom"/>
            <w:hideMark/>
          </w:tcPr>
          <w:p w14:paraId="60FC6DA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1.140</w:t>
            </w:r>
          </w:p>
        </w:tc>
        <w:tc>
          <w:tcPr>
            <w:tcW w:w="378" w:type="pct"/>
            <w:tcBorders>
              <w:top w:val="nil"/>
              <w:left w:val="nil"/>
              <w:bottom w:val="single" w:sz="4" w:space="0" w:color="BFBFBF"/>
              <w:right w:val="nil"/>
            </w:tcBorders>
            <w:shd w:val="clear" w:color="auto" w:fill="auto"/>
            <w:noWrap/>
            <w:vAlign w:val="bottom"/>
            <w:hideMark/>
          </w:tcPr>
          <w:p w14:paraId="4F07539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1.140</w:t>
            </w:r>
          </w:p>
        </w:tc>
        <w:tc>
          <w:tcPr>
            <w:tcW w:w="378" w:type="pct"/>
            <w:tcBorders>
              <w:top w:val="nil"/>
              <w:left w:val="nil"/>
              <w:bottom w:val="single" w:sz="4" w:space="0" w:color="BFBFBF"/>
              <w:right w:val="nil"/>
            </w:tcBorders>
            <w:shd w:val="clear" w:color="auto" w:fill="auto"/>
            <w:noWrap/>
            <w:vAlign w:val="bottom"/>
            <w:hideMark/>
          </w:tcPr>
          <w:p w14:paraId="671EC35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71.194</w:t>
            </w:r>
          </w:p>
        </w:tc>
        <w:tc>
          <w:tcPr>
            <w:tcW w:w="378" w:type="pct"/>
            <w:tcBorders>
              <w:top w:val="nil"/>
              <w:left w:val="nil"/>
              <w:bottom w:val="single" w:sz="4" w:space="0" w:color="BFBFBF"/>
              <w:right w:val="nil"/>
            </w:tcBorders>
            <w:shd w:val="clear" w:color="auto" w:fill="auto"/>
            <w:noWrap/>
            <w:vAlign w:val="bottom"/>
            <w:hideMark/>
          </w:tcPr>
          <w:p w14:paraId="2238A14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141.506</w:t>
            </w:r>
          </w:p>
        </w:tc>
        <w:tc>
          <w:tcPr>
            <w:tcW w:w="378" w:type="pct"/>
            <w:tcBorders>
              <w:top w:val="nil"/>
              <w:left w:val="nil"/>
              <w:bottom w:val="single" w:sz="4" w:space="0" w:color="BFBFBF"/>
              <w:right w:val="nil"/>
            </w:tcBorders>
            <w:vAlign w:val="bottom"/>
          </w:tcPr>
          <w:p w14:paraId="718FA48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148.059</w:t>
            </w:r>
          </w:p>
        </w:tc>
        <w:tc>
          <w:tcPr>
            <w:tcW w:w="378" w:type="pct"/>
            <w:tcBorders>
              <w:top w:val="nil"/>
              <w:left w:val="nil"/>
              <w:bottom w:val="single" w:sz="4" w:space="0" w:color="BFBFBF"/>
              <w:right w:val="nil"/>
            </w:tcBorders>
            <w:shd w:val="clear" w:color="auto" w:fill="auto"/>
            <w:noWrap/>
            <w:vAlign w:val="bottom"/>
            <w:hideMark/>
          </w:tcPr>
          <w:p w14:paraId="2EA81F1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154.893</w:t>
            </w:r>
          </w:p>
        </w:tc>
      </w:tr>
      <w:tr w:rsidR="002F1691" w:rsidRPr="00FC1C46" w14:paraId="4D2EF978" w14:textId="77777777" w:rsidTr="002F1691">
        <w:trPr>
          <w:trHeight w:val="260"/>
        </w:trPr>
        <w:tc>
          <w:tcPr>
            <w:tcW w:w="2367" w:type="pct"/>
            <w:tcBorders>
              <w:top w:val="nil"/>
              <w:left w:val="nil"/>
              <w:bottom w:val="nil"/>
              <w:right w:val="nil"/>
            </w:tcBorders>
            <w:shd w:val="clear" w:color="auto" w:fill="auto"/>
            <w:noWrap/>
            <w:vAlign w:val="bottom"/>
            <w:hideMark/>
          </w:tcPr>
          <w:p w14:paraId="67D097A7"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por costo final de energía evitado ($USD Millones)</w:t>
            </w:r>
          </w:p>
        </w:tc>
        <w:tc>
          <w:tcPr>
            <w:tcW w:w="100" w:type="pct"/>
            <w:tcBorders>
              <w:top w:val="nil"/>
              <w:left w:val="nil"/>
              <w:bottom w:val="nil"/>
              <w:right w:val="nil"/>
            </w:tcBorders>
            <w:shd w:val="clear" w:color="auto" w:fill="auto"/>
            <w:noWrap/>
            <w:vAlign w:val="bottom"/>
            <w:hideMark/>
          </w:tcPr>
          <w:p w14:paraId="4856E1DF" w14:textId="77777777" w:rsidR="002F1691" w:rsidRPr="002F1691" w:rsidRDefault="002F1691" w:rsidP="002F1691">
            <w:pPr>
              <w:ind w:firstLineChars="100" w:firstLine="16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482410B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0,17</w:t>
            </w:r>
          </w:p>
        </w:tc>
        <w:tc>
          <w:tcPr>
            <w:tcW w:w="378" w:type="pct"/>
            <w:tcBorders>
              <w:top w:val="nil"/>
              <w:left w:val="nil"/>
              <w:bottom w:val="nil"/>
              <w:right w:val="nil"/>
            </w:tcBorders>
            <w:shd w:val="clear" w:color="auto" w:fill="auto"/>
            <w:noWrap/>
            <w:vAlign w:val="bottom"/>
            <w:hideMark/>
          </w:tcPr>
          <w:p w14:paraId="2AA1004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0,33</w:t>
            </w:r>
          </w:p>
        </w:tc>
        <w:tc>
          <w:tcPr>
            <w:tcW w:w="378" w:type="pct"/>
            <w:tcBorders>
              <w:top w:val="nil"/>
              <w:left w:val="nil"/>
              <w:bottom w:val="nil"/>
              <w:right w:val="nil"/>
            </w:tcBorders>
            <w:shd w:val="clear" w:color="auto" w:fill="auto"/>
            <w:noWrap/>
            <w:vAlign w:val="bottom"/>
            <w:hideMark/>
          </w:tcPr>
          <w:p w14:paraId="7D93D96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0,33</w:t>
            </w:r>
          </w:p>
        </w:tc>
        <w:tc>
          <w:tcPr>
            <w:tcW w:w="378" w:type="pct"/>
            <w:tcBorders>
              <w:top w:val="nil"/>
              <w:left w:val="nil"/>
              <w:bottom w:val="nil"/>
              <w:right w:val="nil"/>
            </w:tcBorders>
            <w:shd w:val="clear" w:color="auto" w:fill="auto"/>
            <w:noWrap/>
            <w:vAlign w:val="bottom"/>
            <w:hideMark/>
          </w:tcPr>
          <w:p w14:paraId="2C079D02"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20,73</w:t>
            </w:r>
          </w:p>
        </w:tc>
        <w:tc>
          <w:tcPr>
            <w:tcW w:w="378" w:type="pct"/>
            <w:tcBorders>
              <w:top w:val="nil"/>
              <w:left w:val="nil"/>
              <w:bottom w:val="nil"/>
              <w:right w:val="nil"/>
            </w:tcBorders>
            <w:shd w:val="clear" w:color="auto" w:fill="auto"/>
            <w:noWrap/>
            <w:vAlign w:val="bottom"/>
            <w:hideMark/>
          </w:tcPr>
          <w:p w14:paraId="3B1F1AE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41,20</w:t>
            </w:r>
          </w:p>
        </w:tc>
        <w:tc>
          <w:tcPr>
            <w:tcW w:w="378" w:type="pct"/>
            <w:tcBorders>
              <w:top w:val="nil"/>
              <w:left w:val="nil"/>
              <w:bottom w:val="nil"/>
              <w:right w:val="nil"/>
            </w:tcBorders>
            <w:vAlign w:val="bottom"/>
          </w:tcPr>
          <w:p w14:paraId="3357430B"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43,10</w:t>
            </w:r>
          </w:p>
        </w:tc>
        <w:tc>
          <w:tcPr>
            <w:tcW w:w="378" w:type="pct"/>
            <w:tcBorders>
              <w:top w:val="nil"/>
              <w:left w:val="nil"/>
              <w:bottom w:val="nil"/>
              <w:right w:val="nil"/>
            </w:tcBorders>
            <w:shd w:val="clear" w:color="auto" w:fill="auto"/>
            <w:noWrap/>
            <w:vAlign w:val="bottom"/>
            <w:hideMark/>
          </w:tcPr>
          <w:p w14:paraId="35B3C8E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45,09</w:t>
            </w:r>
          </w:p>
        </w:tc>
      </w:tr>
      <w:tr w:rsidR="002F1691" w:rsidRPr="00FC1C46" w14:paraId="09CDCD46" w14:textId="77777777" w:rsidTr="002F1691">
        <w:trPr>
          <w:trHeight w:val="260"/>
        </w:trPr>
        <w:tc>
          <w:tcPr>
            <w:tcW w:w="2367" w:type="pct"/>
            <w:tcBorders>
              <w:top w:val="nil"/>
              <w:left w:val="nil"/>
              <w:bottom w:val="nil"/>
              <w:right w:val="nil"/>
            </w:tcBorders>
            <w:shd w:val="clear" w:color="auto" w:fill="auto"/>
            <w:noWrap/>
            <w:vAlign w:val="bottom"/>
            <w:hideMark/>
          </w:tcPr>
          <w:p w14:paraId="1E25493C"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por menores emisiones de CO2 ($USD Millones)</w:t>
            </w:r>
          </w:p>
        </w:tc>
        <w:tc>
          <w:tcPr>
            <w:tcW w:w="100" w:type="pct"/>
            <w:tcBorders>
              <w:top w:val="nil"/>
              <w:left w:val="nil"/>
              <w:bottom w:val="nil"/>
              <w:right w:val="nil"/>
            </w:tcBorders>
            <w:shd w:val="clear" w:color="auto" w:fill="auto"/>
            <w:noWrap/>
            <w:vAlign w:val="bottom"/>
            <w:hideMark/>
          </w:tcPr>
          <w:p w14:paraId="17775811" w14:textId="77777777" w:rsidR="002F1691" w:rsidRPr="002F1691" w:rsidRDefault="002F1691" w:rsidP="002F1691">
            <w:pPr>
              <w:ind w:firstLineChars="100" w:firstLine="16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587A52C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0,02</w:t>
            </w:r>
          </w:p>
        </w:tc>
        <w:tc>
          <w:tcPr>
            <w:tcW w:w="378" w:type="pct"/>
            <w:tcBorders>
              <w:top w:val="nil"/>
              <w:left w:val="nil"/>
              <w:bottom w:val="nil"/>
              <w:right w:val="nil"/>
            </w:tcBorders>
            <w:shd w:val="clear" w:color="auto" w:fill="auto"/>
            <w:noWrap/>
            <w:vAlign w:val="bottom"/>
            <w:hideMark/>
          </w:tcPr>
          <w:p w14:paraId="67C6648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0,04</w:t>
            </w:r>
          </w:p>
        </w:tc>
        <w:tc>
          <w:tcPr>
            <w:tcW w:w="378" w:type="pct"/>
            <w:tcBorders>
              <w:top w:val="nil"/>
              <w:left w:val="nil"/>
              <w:bottom w:val="nil"/>
              <w:right w:val="nil"/>
            </w:tcBorders>
            <w:shd w:val="clear" w:color="auto" w:fill="auto"/>
            <w:noWrap/>
            <w:vAlign w:val="bottom"/>
            <w:hideMark/>
          </w:tcPr>
          <w:p w14:paraId="410B466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0,04</w:t>
            </w:r>
          </w:p>
        </w:tc>
        <w:tc>
          <w:tcPr>
            <w:tcW w:w="378" w:type="pct"/>
            <w:tcBorders>
              <w:top w:val="nil"/>
              <w:left w:val="nil"/>
              <w:bottom w:val="nil"/>
              <w:right w:val="nil"/>
            </w:tcBorders>
            <w:shd w:val="clear" w:color="auto" w:fill="auto"/>
            <w:noWrap/>
            <w:vAlign w:val="bottom"/>
            <w:hideMark/>
          </w:tcPr>
          <w:p w14:paraId="6899334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2,49</w:t>
            </w:r>
          </w:p>
        </w:tc>
        <w:tc>
          <w:tcPr>
            <w:tcW w:w="378" w:type="pct"/>
            <w:tcBorders>
              <w:top w:val="nil"/>
              <w:left w:val="nil"/>
              <w:bottom w:val="nil"/>
              <w:right w:val="nil"/>
            </w:tcBorders>
            <w:shd w:val="clear" w:color="auto" w:fill="auto"/>
            <w:noWrap/>
            <w:vAlign w:val="bottom"/>
            <w:hideMark/>
          </w:tcPr>
          <w:p w14:paraId="58507A9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4,94</w:t>
            </w:r>
          </w:p>
        </w:tc>
        <w:tc>
          <w:tcPr>
            <w:tcW w:w="378" w:type="pct"/>
            <w:tcBorders>
              <w:top w:val="nil"/>
              <w:left w:val="nil"/>
              <w:bottom w:val="nil"/>
              <w:right w:val="nil"/>
            </w:tcBorders>
            <w:vAlign w:val="bottom"/>
          </w:tcPr>
          <w:p w14:paraId="227CBABE"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5,17</w:t>
            </w:r>
          </w:p>
        </w:tc>
        <w:tc>
          <w:tcPr>
            <w:tcW w:w="378" w:type="pct"/>
            <w:tcBorders>
              <w:top w:val="nil"/>
              <w:left w:val="nil"/>
              <w:bottom w:val="nil"/>
              <w:right w:val="nil"/>
            </w:tcBorders>
            <w:shd w:val="clear" w:color="auto" w:fill="auto"/>
            <w:noWrap/>
            <w:vAlign w:val="bottom"/>
            <w:hideMark/>
          </w:tcPr>
          <w:p w14:paraId="2614DF7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5,41</w:t>
            </w:r>
          </w:p>
        </w:tc>
      </w:tr>
      <w:tr w:rsidR="002F1691" w:rsidRPr="00FC1C46" w14:paraId="4B9F3F79" w14:textId="77777777" w:rsidTr="002F1691">
        <w:trPr>
          <w:trHeight w:val="260"/>
        </w:trPr>
        <w:tc>
          <w:tcPr>
            <w:tcW w:w="2367" w:type="pct"/>
            <w:tcBorders>
              <w:top w:val="nil"/>
              <w:left w:val="nil"/>
              <w:bottom w:val="single" w:sz="4" w:space="0" w:color="auto"/>
              <w:right w:val="nil"/>
            </w:tcBorders>
            <w:shd w:val="clear" w:color="auto" w:fill="auto"/>
            <w:noWrap/>
            <w:vAlign w:val="bottom"/>
            <w:hideMark/>
          </w:tcPr>
          <w:p w14:paraId="37489F44"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por planta de generación evitada ($USD Millones)</w:t>
            </w:r>
          </w:p>
        </w:tc>
        <w:tc>
          <w:tcPr>
            <w:tcW w:w="100" w:type="pct"/>
            <w:tcBorders>
              <w:top w:val="nil"/>
              <w:left w:val="nil"/>
              <w:bottom w:val="single" w:sz="4" w:space="0" w:color="auto"/>
              <w:right w:val="nil"/>
            </w:tcBorders>
            <w:shd w:val="clear" w:color="auto" w:fill="auto"/>
            <w:noWrap/>
            <w:vAlign w:val="bottom"/>
            <w:hideMark/>
          </w:tcPr>
          <w:p w14:paraId="7812CD50"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nil"/>
              <w:left w:val="nil"/>
              <w:bottom w:val="single" w:sz="4" w:space="0" w:color="auto"/>
              <w:right w:val="nil"/>
            </w:tcBorders>
            <w:shd w:val="clear" w:color="auto" w:fill="auto"/>
            <w:noWrap/>
            <w:vAlign w:val="bottom"/>
            <w:hideMark/>
          </w:tcPr>
          <w:p w14:paraId="045B7F8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0,00</w:t>
            </w:r>
          </w:p>
        </w:tc>
        <w:tc>
          <w:tcPr>
            <w:tcW w:w="378" w:type="pct"/>
            <w:tcBorders>
              <w:top w:val="nil"/>
              <w:left w:val="nil"/>
              <w:bottom w:val="single" w:sz="4" w:space="0" w:color="auto"/>
              <w:right w:val="nil"/>
            </w:tcBorders>
            <w:shd w:val="clear" w:color="auto" w:fill="auto"/>
            <w:noWrap/>
            <w:vAlign w:val="bottom"/>
            <w:hideMark/>
          </w:tcPr>
          <w:p w14:paraId="4539506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0,00</w:t>
            </w:r>
          </w:p>
        </w:tc>
        <w:tc>
          <w:tcPr>
            <w:tcW w:w="378" w:type="pct"/>
            <w:tcBorders>
              <w:top w:val="nil"/>
              <w:left w:val="nil"/>
              <w:bottom w:val="single" w:sz="4" w:space="0" w:color="auto"/>
              <w:right w:val="nil"/>
            </w:tcBorders>
            <w:shd w:val="clear" w:color="auto" w:fill="auto"/>
            <w:noWrap/>
            <w:vAlign w:val="bottom"/>
            <w:hideMark/>
          </w:tcPr>
          <w:p w14:paraId="42CEC694"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0,00</w:t>
            </w:r>
          </w:p>
        </w:tc>
        <w:tc>
          <w:tcPr>
            <w:tcW w:w="378" w:type="pct"/>
            <w:tcBorders>
              <w:top w:val="nil"/>
              <w:left w:val="nil"/>
              <w:bottom w:val="single" w:sz="4" w:space="0" w:color="auto"/>
              <w:right w:val="nil"/>
            </w:tcBorders>
            <w:shd w:val="clear" w:color="auto" w:fill="auto"/>
            <w:noWrap/>
            <w:vAlign w:val="bottom"/>
            <w:hideMark/>
          </w:tcPr>
          <w:p w14:paraId="11A4EDF7"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0,00</w:t>
            </w:r>
          </w:p>
        </w:tc>
        <w:tc>
          <w:tcPr>
            <w:tcW w:w="378" w:type="pct"/>
            <w:tcBorders>
              <w:top w:val="nil"/>
              <w:left w:val="nil"/>
              <w:bottom w:val="single" w:sz="4" w:space="0" w:color="auto"/>
              <w:right w:val="nil"/>
            </w:tcBorders>
            <w:shd w:val="clear" w:color="auto" w:fill="auto"/>
            <w:noWrap/>
            <w:vAlign w:val="bottom"/>
            <w:hideMark/>
          </w:tcPr>
          <w:p w14:paraId="7F49DA2B"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0,00</w:t>
            </w:r>
          </w:p>
        </w:tc>
        <w:tc>
          <w:tcPr>
            <w:tcW w:w="378" w:type="pct"/>
            <w:tcBorders>
              <w:top w:val="nil"/>
              <w:left w:val="nil"/>
              <w:bottom w:val="single" w:sz="4" w:space="0" w:color="auto"/>
              <w:right w:val="nil"/>
            </w:tcBorders>
            <w:vAlign w:val="bottom"/>
          </w:tcPr>
          <w:p w14:paraId="4F43A1B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193,09</w:t>
            </w:r>
          </w:p>
        </w:tc>
        <w:tc>
          <w:tcPr>
            <w:tcW w:w="378" w:type="pct"/>
            <w:tcBorders>
              <w:top w:val="nil"/>
              <w:left w:val="nil"/>
              <w:bottom w:val="single" w:sz="4" w:space="0" w:color="auto"/>
              <w:right w:val="nil"/>
            </w:tcBorders>
            <w:shd w:val="clear" w:color="auto" w:fill="auto"/>
            <w:noWrap/>
            <w:vAlign w:val="bottom"/>
            <w:hideMark/>
          </w:tcPr>
          <w:p w14:paraId="70A02B0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0,00</w:t>
            </w:r>
          </w:p>
        </w:tc>
      </w:tr>
      <w:tr w:rsidR="002F1691" w:rsidRPr="00FC1C46" w14:paraId="56552744" w14:textId="77777777" w:rsidTr="002F1691">
        <w:trPr>
          <w:trHeight w:val="260"/>
        </w:trPr>
        <w:tc>
          <w:tcPr>
            <w:tcW w:w="2367" w:type="pct"/>
            <w:tcBorders>
              <w:top w:val="nil"/>
              <w:left w:val="nil"/>
              <w:bottom w:val="single" w:sz="4" w:space="0" w:color="auto"/>
              <w:right w:val="nil"/>
            </w:tcBorders>
            <w:shd w:val="clear" w:color="auto" w:fill="auto"/>
            <w:noWrap/>
            <w:vAlign w:val="bottom"/>
            <w:hideMark/>
          </w:tcPr>
          <w:p w14:paraId="3752EB16" w14:textId="77777777" w:rsidR="002F1691" w:rsidRPr="00FC1C46" w:rsidRDefault="002F1691" w:rsidP="002F1691">
            <w:pPr>
              <w:ind w:firstLineChars="100" w:firstLine="160"/>
              <w:rPr>
                <w:rFonts w:ascii="Calibri" w:hAnsi="Calibri" w:cs="Calibri"/>
                <w:color w:val="000000"/>
                <w:sz w:val="16"/>
                <w:szCs w:val="16"/>
                <w:lang w:eastAsia="es-CO"/>
              </w:rPr>
            </w:pPr>
            <w:r w:rsidRPr="00FC1C46">
              <w:rPr>
                <w:rFonts w:ascii="Calibri" w:hAnsi="Calibri" w:cs="Calibri"/>
                <w:color w:val="000000"/>
                <w:sz w:val="16"/>
                <w:szCs w:val="16"/>
                <w:lang w:eastAsia="es-CO"/>
              </w:rPr>
              <w:t>Total Beneficios ($USD Millones)</w:t>
            </w:r>
          </w:p>
        </w:tc>
        <w:tc>
          <w:tcPr>
            <w:tcW w:w="100" w:type="pct"/>
            <w:tcBorders>
              <w:top w:val="nil"/>
              <w:left w:val="nil"/>
              <w:bottom w:val="single" w:sz="4" w:space="0" w:color="auto"/>
              <w:right w:val="nil"/>
            </w:tcBorders>
            <w:shd w:val="clear" w:color="auto" w:fill="auto"/>
            <w:noWrap/>
            <w:vAlign w:val="bottom"/>
            <w:hideMark/>
          </w:tcPr>
          <w:p w14:paraId="03117493" w14:textId="77777777" w:rsidR="002F1691" w:rsidRPr="00FC1C46" w:rsidRDefault="002F1691" w:rsidP="002F1691">
            <w:pPr>
              <w:rPr>
                <w:rFonts w:ascii="Calibri" w:hAnsi="Calibri" w:cs="Calibri"/>
                <w:color w:val="000000"/>
                <w:sz w:val="16"/>
                <w:szCs w:val="16"/>
                <w:lang w:eastAsia="es-CO"/>
              </w:rPr>
            </w:pPr>
            <w:r w:rsidRPr="00FC1C46">
              <w:rPr>
                <w:rFonts w:ascii="Calibri" w:hAnsi="Calibri" w:cs="Calibri"/>
                <w:color w:val="000000"/>
                <w:sz w:val="16"/>
                <w:szCs w:val="16"/>
                <w:lang w:eastAsia="es-CO"/>
              </w:rPr>
              <w:t> </w:t>
            </w:r>
          </w:p>
        </w:tc>
        <w:tc>
          <w:tcPr>
            <w:tcW w:w="267" w:type="pct"/>
            <w:tcBorders>
              <w:top w:val="nil"/>
              <w:left w:val="nil"/>
              <w:bottom w:val="single" w:sz="4" w:space="0" w:color="auto"/>
              <w:right w:val="nil"/>
            </w:tcBorders>
            <w:shd w:val="clear" w:color="auto" w:fill="auto"/>
            <w:noWrap/>
            <w:vAlign w:val="bottom"/>
            <w:hideMark/>
          </w:tcPr>
          <w:p w14:paraId="4FB1ED1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0,19</w:t>
            </w:r>
          </w:p>
        </w:tc>
        <w:tc>
          <w:tcPr>
            <w:tcW w:w="378" w:type="pct"/>
            <w:tcBorders>
              <w:top w:val="nil"/>
              <w:left w:val="nil"/>
              <w:bottom w:val="single" w:sz="4" w:space="0" w:color="auto"/>
              <w:right w:val="nil"/>
            </w:tcBorders>
            <w:shd w:val="clear" w:color="auto" w:fill="auto"/>
            <w:noWrap/>
            <w:vAlign w:val="bottom"/>
            <w:hideMark/>
          </w:tcPr>
          <w:p w14:paraId="77E256D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0,37</w:t>
            </w:r>
          </w:p>
        </w:tc>
        <w:tc>
          <w:tcPr>
            <w:tcW w:w="378" w:type="pct"/>
            <w:tcBorders>
              <w:top w:val="nil"/>
              <w:left w:val="nil"/>
              <w:bottom w:val="single" w:sz="4" w:space="0" w:color="auto"/>
              <w:right w:val="nil"/>
            </w:tcBorders>
            <w:shd w:val="clear" w:color="auto" w:fill="auto"/>
            <w:noWrap/>
            <w:vAlign w:val="bottom"/>
            <w:hideMark/>
          </w:tcPr>
          <w:p w14:paraId="412A56C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0,37</w:t>
            </w:r>
          </w:p>
        </w:tc>
        <w:tc>
          <w:tcPr>
            <w:tcW w:w="378" w:type="pct"/>
            <w:tcBorders>
              <w:top w:val="nil"/>
              <w:left w:val="nil"/>
              <w:bottom w:val="single" w:sz="4" w:space="0" w:color="auto"/>
              <w:right w:val="nil"/>
            </w:tcBorders>
            <w:shd w:val="clear" w:color="auto" w:fill="auto"/>
            <w:noWrap/>
            <w:vAlign w:val="bottom"/>
            <w:hideMark/>
          </w:tcPr>
          <w:p w14:paraId="104F5CF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23,21</w:t>
            </w:r>
          </w:p>
        </w:tc>
        <w:tc>
          <w:tcPr>
            <w:tcW w:w="378" w:type="pct"/>
            <w:tcBorders>
              <w:top w:val="nil"/>
              <w:left w:val="nil"/>
              <w:bottom w:val="single" w:sz="4" w:space="0" w:color="auto"/>
              <w:right w:val="nil"/>
            </w:tcBorders>
            <w:shd w:val="clear" w:color="auto" w:fill="auto"/>
            <w:noWrap/>
            <w:vAlign w:val="bottom"/>
            <w:hideMark/>
          </w:tcPr>
          <w:p w14:paraId="4FAE5FA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46,14</w:t>
            </w:r>
          </w:p>
        </w:tc>
        <w:tc>
          <w:tcPr>
            <w:tcW w:w="378" w:type="pct"/>
            <w:tcBorders>
              <w:top w:val="nil"/>
              <w:left w:val="nil"/>
              <w:bottom w:val="single" w:sz="4" w:space="0" w:color="auto"/>
              <w:right w:val="nil"/>
            </w:tcBorders>
            <w:vAlign w:val="bottom"/>
          </w:tcPr>
          <w:p w14:paraId="6F99318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241,37</w:t>
            </w:r>
          </w:p>
        </w:tc>
        <w:tc>
          <w:tcPr>
            <w:tcW w:w="378" w:type="pct"/>
            <w:tcBorders>
              <w:top w:val="nil"/>
              <w:left w:val="nil"/>
              <w:bottom w:val="single" w:sz="4" w:space="0" w:color="auto"/>
              <w:right w:val="nil"/>
            </w:tcBorders>
            <w:shd w:val="clear" w:color="auto" w:fill="auto"/>
            <w:noWrap/>
            <w:vAlign w:val="bottom"/>
            <w:hideMark/>
          </w:tcPr>
          <w:p w14:paraId="630F204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50,51</w:t>
            </w:r>
          </w:p>
        </w:tc>
      </w:tr>
      <w:tr w:rsidR="002F1691" w:rsidRPr="00FC1C46" w14:paraId="3DC5EF67" w14:textId="77777777" w:rsidTr="002F1691">
        <w:trPr>
          <w:trHeight w:val="260"/>
        </w:trPr>
        <w:tc>
          <w:tcPr>
            <w:tcW w:w="2367" w:type="pct"/>
            <w:tcBorders>
              <w:top w:val="nil"/>
              <w:left w:val="nil"/>
              <w:bottom w:val="nil"/>
              <w:right w:val="nil"/>
            </w:tcBorders>
            <w:shd w:val="clear" w:color="auto" w:fill="auto"/>
            <w:noWrap/>
            <w:vAlign w:val="bottom"/>
            <w:hideMark/>
          </w:tcPr>
          <w:p w14:paraId="1BD04AC0" w14:textId="77777777" w:rsidR="002F1691" w:rsidRPr="00FC1C46" w:rsidRDefault="002F1691" w:rsidP="002F1691">
            <w:pPr>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Inversión y Costos</w:t>
            </w:r>
          </w:p>
        </w:tc>
        <w:tc>
          <w:tcPr>
            <w:tcW w:w="100" w:type="pct"/>
            <w:tcBorders>
              <w:top w:val="nil"/>
              <w:left w:val="nil"/>
              <w:bottom w:val="nil"/>
              <w:right w:val="nil"/>
            </w:tcBorders>
            <w:shd w:val="clear" w:color="auto" w:fill="auto"/>
            <w:noWrap/>
            <w:vAlign w:val="bottom"/>
            <w:hideMark/>
          </w:tcPr>
          <w:p w14:paraId="20D06292" w14:textId="77777777" w:rsidR="002F1691" w:rsidRPr="00FC1C46" w:rsidRDefault="002F1691" w:rsidP="002F1691">
            <w:pPr>
              <w:rPr>
                <w:rFonts w:ascii="Calibri" w:hAnsi="Calibri" w:cs="Calibri"/>
                <w:b/>
                <w:bCs/>
                <w:color w:val="000000"/>
                <w:sz w:val="16"/>
                <w:szCs w:val="16"/>
                <w:lang w:eastAsia="es-CO"/>
              </w:rPr>
            </w:pPr>
          </w:p>
        </w:tc>
        <w:tc>
          <w:tcPr>
            <w:tcW w:w="267" w:type="pct"/>
            <w:tcBorders>
              <w:top w:val="nil"/>
              <w:left w:val="nil"/>
              <w:bottom w:val="nil"/>
              <w:right w:val="nil"/>
            </w:tcBorders>
            <w:shd w:val="clear" w:color="auto" w:fill="auto"/>
            <w:noWrap/>
            <w:vAlign w:val="bottom"/>
            <w:hideMark/>
          </w:tcPr>
          <w:p w14:paraId="75624511" w14:textId="77777777" w:rsidR="002F1691" w:rsidRPr="00B46194" w:rsidRDefault="002F1691" w:rsidP="002F1691">
            <w:pPr>
              <w:jc w:val="right"/>
              <w:rPr>
                <w:rFonts w:ascii="Calibri" w:hAnsi="Calibri" w:cs="Calibri"/>
                <w:color w:val="000000"/>
                <w:sz w:val="14"/>
                <w:szCs w:val="18"/>
              </w:rPr>
            </w:pPr>
          </w:p>
        </w:tc>
        <w:tc>
          <w:tcPr>
            <w:tcW w:w="378" w:type="pct"/>
            <w:tcBorders>
              <w:top w:val="nil"/>
              <w:left w:val="nil"/>
              <w:bottom w:val="nil"/>
              <w:right w:val="nil"/>
            </w:tcBorders>
            <w:shd w:val="clear" w:color="auto" w:fill="auto"/>
            <w:noWrap/>
            <w:vAlign w:val="bottom"/>
            <w:hideMark/>
          </w:tcPr>
          <w:p w14:paraId="560088B2"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6D8907AD"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3CF87115"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22170893" w14:textId="77777777" w:rsidR="002F1691" w:rsidRPr="00B46194" w:rsidRDefault="002F1691" w:rsidP="002F1691">
            <w:pPr>
              <w:rPr>
                <w:sz w:val="14"/>
                <w:szCs w:val="18"/>
              </w:rPr>
            </w:pPr>
          </w:p>
        </w:tc>
        <w:tc>
          <w:tcPr>
            <w:tcW w:w="378" w:type="pct"/>
            <w:tcBorders>
              <w:top w:val="nil"/>
              <w:left w:val="nil"/>
              <w:bottom w:val="nil"/>
              <w:right w:val="nil"/>
            </w:tcBorders>
            <w:vAlign w:val="bottom"/>
          </w:tcPr>
          <w:p w14:paraId="68B0AFFD"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5D5C6CC7" w14:textId="77777777" w:rsidR="002F1691" w:rsidRPr="00B46194" w:rsidRDefault="002F1691" w:rsidP="002F1691">
            <w:pPr>
              <w:rPr>
                <w:sz w:val="14"/>
                <w:szCs w:val="18"/>
              </w:rPr>
            </w:pPr>
          </w:p>
        </w:tc>
      </w:tr>
      <w:tr w:rsidR="002F1691" w:rsidRPr="00FC1C46" w14:paraId="278F9177" w14:textId="77777777" w:rsidTr="002F1691">
        <w:trPr>
          <w:trHeight w:val="260"/>
        </w:trPr>
        <w:tc>
          <w:tcPr>
            <w:tcW w:w="2367" w:type="pct"/>
            <w:tcBorders>
              <w:top w:val="nil"/>
              <w:left w:val="nil"/>
              <w:bottom w:val="nil"/>
              <w:right w:val="nil"/>
            </w:tcBorders>
            <w:shd w:val="clear" w:color="auto" w:fill="auto"/>
            <w:noWrap/>
            <w:vAlign w:val="bottom"/>
            <w:hideMark/>
          </w:tcPr>
          <w:p w14:paraId="6D7E057A" w14:textId="77777777" w:rsidR="002F1691" w:rsidRPr="00FC1C46" w:rsidRDefault="002F1691" w:rsidP="002F1691">
            <w:pPr>
              <w:ind w:firstLineChars="100" w:firstLine="161"/>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Escenario Sin proyecto</w:t>
            </w:r>
          </w:p>
        </w:tc>
        <w:tc>
          <w:tcPr>
            <w:tcW w:w="100" w:type="pct"/>
            <w:tcBorders>
              <w:top w:val="nil"/>
              <w:left w:val="nil"/>
              <w:bottom w:val="nil"/>
              <w:right w:val="nil"/>
            </w:tcBorders>
            <w:shd w:val="clear" w:color="auto" w:fill="auto"/>
            <w:noWrap/>
            <w:vAlign w:val="bottom"/>
            <w:hideMark/>
          </w:tcPr>
          <w:p w14:paraId="16A508F7" w14:textId="77777777" w:rsidR="002F1691" w:rsidRPr="00FC1C46" w:rsidRDefault="002F1691" w:rsidP="002F1691">
            <w:pPr>
              <w:ind w:firstLineChars="100" w:firstLine="161"/>
              <w:rPr>
                <w:rFonts w:ascii="Calibri" w:hAnsi="Calibri" w:cs="Calibri"/>
                <w:b/>
                <w:bCs/>
                <w:color w:val="000000"/>
                <w:sz w:val="16"/>
                <w:szCs w:val="16"/>
                <w:lang w:eastAsia="es-CO"/>
              </w:rPr>
            </w:pPr>
          </w:p>
        </w:tc>
        <w:tc>
          <w:tcPr>
            <w:tcW w:w="267" w:type="pct"/>
            <w:tcBorders>
              <w:top w:val="nil"/>
              <w:left w:val="nil"/>
              <w:bottom w:val="nil"/>
              <w:right w:val="nil"/>
            </w:tcBorders>
            <w:shd w:val="clear" w:color="auto" w:fill="auto"/>
            <w:noWrap/>
            <w:vAlign w:val="bottom"/>
            <w:hideMark/>
          </w:tcPr>
          <w:p w14:paraId="5455B815"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7783DAFD"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18750231"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5BE1C307"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7F03CA57" w14:textId="77777777" w:rsidR="002F1691" w:rsidRPr="00B46194" w:rsidRDefault="002F1691" w:rsidP="002F1691">
            <w:pPr>
              <w:rPr>
                <w:sz w:val="14"/>
                <w:szCs w:val="18"/>
              </w:rPr>
            </w:pPr>
          </w:p>
        </w:tc>
        <w:tc>
          <w:tcPr>
            <w:tcW w:w="378" w:type="pct"/>
            <w:tcBorders>
              <w:top w:val="nil"/>
              <w:left w:val="nil"/>
              <w:bottom w:val="nil"/>
              <w:right w:val="nil"/>
            </w:tcBorders>
            <w:vAlign w:val="bottom"/>
          </w:tcPr>
          <w:p w14:paraId="4F7673E6"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0E4927FB" w14:textId="77777777" w:rsidR="002F1691" w:rsidRPr="00B46194" w:rsidRDefault="002F1691" w:rsidP="002F1691">
            <w:pPr>
              <w:rPr>
                <w:sz w:val="14"/>
                <w:szCs w:val="18"/>
              </w:rPr>
            </w:pPr>
          </w:p>
        </w:tc>
      </w:tr>
      <w:tr w:rsidR="002F1691" w:rsidRPr="00FC1C46" w14:paraId="01DB04D6" w14:textId="77777777" w:rsidTr="002F1691">
        <w:trPr>
          <w:trHeight w:val="260"/>
        </w:trPr>
        <w:tc>
          <w:tcPr>
            <w:tcW w:w="2367" w:type="pct"/>
            <w:tcBorders>
              <w:top w:val="nil"/>
              <w:left w:val="nil"/>
              <w:bottom w:val="nil"/>
              <w:right w:val="nil"/>
            </w:tcBorders>
            <w:shd w:val="clear" w:color="auto" w:fill="auto"/>
            <w:noWrap/>
            <w:vAlign w:val="bottom"/>
            <w:hideMark/>
          </w:tcPr>
          <w:p w14:paraId="49CC4E6F"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Nuevas lamparas VS instaladas en el año</w:t>
            </w:r>
          </w:p>
        </w:tc>
        <w:tc>
          <w:tcPr>
            <w:tcW w:w="100" w:type="pct"/>
            <w:tcBorders>
              <w:top w:val="nil"/>
              <w:left w:val="nil"/>
              <w:bottom w:val="nil"/>
              <w:right w:val="nil"/>
            </w:tcBorders>
            <w:shd w:val="clear" w:color="auto" w:fill="auto"/>
            <w:noWrap/>
            <w:vAlign w:val="bottom"/>
            <w:hideMark/>
          </w:tcPr>
          <w:p w14:paraId="3DE9C7C0"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4CA0D8E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251.038</w:t>
            </w:r>
          </w:p>
        </w:tc>
        <w:tc>
          <w:tcPr>
            <w:tcW w:w="378" w:type="pct"/>
            <w:tcBorders>
              <w:top w:val="nil"/>
              <w:left w:val="nil"/>
              <w:bottom w:val="nil"/>
              <w:right w:val="nil"/>
            </w:tcBorders>
            <w:shd w:val="clear" w:color="auto" w:fill="auto"/>
            <w:noWrap/>
            <w:vAlign w:val="bottom"/>
            <w:hideMark/>
          </w:tcPr>
          <w:p w14:paraId="51AE130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252.106</w:t>
            </w:r>
          </w:p>
        </w:tc>
        <w:tc>
          <w:tcPr>
            <w:tcW w:w="378" w:type="pct"/>
            <w:tcBorders>
              <w:top w:val="nil"/>
              <w:left w:val="nil"/>
              <w:bottom w:val="nil"/>
              <w:right w:val="nil"/>
            </w:tcBorders>
            <w:shd w:val="clear" w:color="auto" w:fill="auto"/>
            <w:noWrap/>
            <w:vAlign w:val="bottom"/>
            <w:hideMark/>
          </w:tcPr>
          <w:p w14:paraId="1E1D9A3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278.039</w:t>
            </w:r>
          </w:p>
        </w:tc>
        <w:tc>
          <w:tcPr>
            <w:tcW w:w="378" w:type="pct"/>
            <w:tcBorders>
              <w:top w:val="nil"/>
              <w:left w:val="nil"/>
              <w:bottom w:val="nil"/>
              <w:right w:val="nil"/>
            </w:tcBorders>
            <w:shd w:val="clear" w:color="auto" w:fill="auto"/>
            <w:noWrap/>
            <w:vAlign w:val="bottom"/>
            <w:hideMark/>
          </w:tcPr>
          <w:p w14:paraId="70B2D8B2"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280.268</w:t>
            </w:r>
          </w:p>
        </w:tc>
        <w:tc>
          <w:tcPr>
            <w:tcW w:w="378" w:type="pct"/>
            <w:tcBorders>
              <w:top w:val="nil"/>
              <w:left w:val="nil"/>
              <w:bottom w:val="nil"/>
              <w:right w:val="nil"/>
            </w:tcBorders>
            <w:shd w:val="clear" w:color="auto" w:fill="auto"/>
            <w:noWrap/>
            <w:vAlign w:val="bottom"/>
            <w:hideMark/>
          </w:tcPr>
          <w:p w14:paraId="183009E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307.412</w:t>
            </w:r>
          </w:p>
        </w:tc>
        <w:tc>
          <w:tcPr>
            <w:tcW w:w="378" w:type="pct"/>
            <w:tcBorders>
              <w:top w:val="nil"/>
              <w:left w:val="nil"/>
              <w:bottom w:val="nil"/>
              <w:right w:val="nil"/>
            </w:tcBorders>
            <w:vAlign w:val="bottom"/>
          </w:tcPr>
          <w:p w14:paraId="05F858F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310.904</w:t>
            </w:r>
          </w:p>
        </w:tc>
        <w:tc>
          <w:tcPr>
            <w:tcW w:w="378" w:type="pct"/>
            <w:tcBorders>
              <w:top w:val="nil"/>
              <w:left w:val="nil"/>
              <w:bottom w:val="nil"/>
              <w:right w:val="nil"/>
            </w:tcBorders>
            <w:shd w:val="clear" w:color="auto" w:fill="auto"/>
            <w:noWrap/>
            <w:vAlign w:val="bottom"/>
            <w:hideMark/>
          </w:tcPr>
          <w:p w14:paraId="23795C6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339.366</w:t>
            </w:r>
          </w:p>
        </w:tc>
      </w:tr>
      <w:tr w:rsidR="002F1691" w:rsidRPr="00FC1C46" w14:paraId="2964E4D3" w14:textId="77777777" w:rsidTr="002F1691">
        <w:trPr>
          <w:trHeight w:val="260"/>
        </w:trPr>
        <w:tc>
          <w:tcPr>
            <w:tcW w:w="2367" w:type="pct"/>
            <w:tcBorders>
              <w:top w:val="nil"/>
              <w:left w:val="nil"/>
              <w:bottom w:val="nil"/>
              <w:right w:val="nil"/>
            </w:tcBorders>
            <w:shd w:val="clear" w:color="auto" w:fill="auto"/>
            <w:noWrap/>
            <w:vAlign w:val="bottom"/>
            <w:hideMark/>
          </w:tcPr>
          <w:p w14:paraId="4A552D4E"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Nuevas lamparas VM instaladas en el año</w:t>
            </w:r>
          </w:p>
        </w:tc>
        <w:tc>
          <w:tcPr>
            <w:tcW w:w="100" w:type="pct"/>
            <w:tcBorders>
              <w:top w:val="nil"/>
              <w:left w:val="nil"/>
              <w:bottom w:val="nil"/>
              <w:right w:val="nil"/>
            </w:tcBorders>
            <w:shd w:val="clear" w:color="auto" w:fill="auto"/>
            <w:noWrap/>
            <w:vAlign w:val="bottom"/>
            <w:hideMark/>
          </w:tcPr>
          <w:p w14:paraId="40B7DF95"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6909243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1EBFC1C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3D78C62E"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5D57ADF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07BA0C7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vAlign w:val="bottom"/>
          </w:tcPr>
          <w:p w14:paraId="077BFC82"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3A92B63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r>
      <w:tr w:rsidR="002F1691" w:rsidRPr="00FC1C46" w14:paraId="0B8A1963" w14:textId="77777777" w:rsidTr="002F1691">
        <w:trPr>
          <w:trHeight w:val="260"/>
        </w:trPr>
        <w:tc>
          <w:tcPr>
            <w:tcW w:w="2367" w:type="pct"/>
            <w:tcBorders>
              <w:top w:val="nil"/>
              <w:left w:val="nil"/>
              <w:bottom w:val="single" w:sz="4" w:space="0" w:color="BFBFBF"/>
              <w:right w:val="nil"/>
            </w:tcBorders>
            <w:shd w:val="clear" w:color="auto" w:fill="auto"/>
            <w:noWrap/>
            <w:vAlign w:val="bottom"/>
            <w:hideMark/>
          </w:tcPr>
          <w:p w14:paraId="1EAB36C4"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Nuevas lamparas LED instaladas en el año</w:t>
            </w:r>
          </w:p>
        </w:tc>
        <w:tc>
          <w:tcPr>
            <w:tcW w:w="100" w:type="pct"/>
            <w:tcBorders>
              <w:top w:val="nil"/>
              <w:left w:val="nil"/>
              <w:bottom w:val="single" w:sz="4" w:space="0" w:color="BFBFBF"/>
              <w:right w:val="nil"/>
            </w:tcBorders>
            <w:shd w:val="clear" w:color="auto" w:fill="auto"/>
            <w:noWrap/>
            <w:vAlign w:val="bottom"/>
            <w:hideMark/>
          </w:tcPr>
          <w:p w14:paraId="2960B4F4"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nil"/>
              <w:left w:val="nil"/>
              <w:bottom w:val="single" w:sz="4" w:space="0" w:color="BFBFBF"/>
              <w:right w:val="nil"/>
            </w:tcBorders>
            <w:shd w:val="clear" w:color="auto" w:fill="auto"/>
            <w:noWrap/>
            <w:vAlign w:val="bottom"/>
            <w:hideMark/>
          </w:tcPr>
          <w:p w14:paraId="7E0AAD82"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7AAF4F4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32807AB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05F0429B"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6D37E76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vAlign w:val="bottom"/>
          </w:tcPr>
          <w:p w14:paraId="14B57C57"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116FDD5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r>
      <w:tr w:rsidR="002F1691" w:rsidRPr="00FC1C46" w14:paraId="7AE83D6A" w14:textId="77777777" w:rsidTr="002F1691">
        <w:trPr>
          <w:trHeight w:val="260"/>
        </w:trPr>
        <w:tc>
          <w:tcPr>
            <w:tcW w:w="2367" w:type="pct"/>
            <w:tcBorders>
              <w:top w:val="nil"/>
              <w:left w:val="nil"/>
              <w:bottom w:val="single" w:sz="4" w:space="0" w:color="BFBFBF"/>
              <w:right w:val="nil"/>
            </w:tcBorders>
            <w:shd w:val="clear" w:color="auto" w:fill="auto"/>
            <w:noWrap/>
            <w:vAlign w:val="bottom"/>
            <w:hideMark/>
          </w:tcPr>
          <w:p w14:paraId="4BFC9DD7"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Inversión en lamparas ($USD Millones)</w:t>
            </w:r>
          </w:p>
        </w:tc>
        <w:tc>
          <w:tcPr>
            <w:tcW w:w="100" w:type="pct"/>
            <w:tcBorders>
              <w:top w:val="nil"/>
              <w:left w:val="nil"/>
              <w:bottom w:val="single" w:sz="4" w:space="0" w:color="BFBFBF"/>
              <w:right w:val="nil"/>
            </w:tcBorders>
            <w:shd w:val="clear" w:color="auto" w:fill="auto"/>
            <w:noWrap/>
            <w:vAlign w:val="bottom"/>
            <w:hideMark/>
          </w:tcPr>
          <w:p w14:paraId="354027C2"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nil"/>
              <w:left w:val="nil"/>
              <w:bottom w:val="single" w:sz="4" w:space="0" w:color="BFBFBF"/>
              <w:right w:val="nil"/>
            </w:tcBorders>
            <w:shd w:val="clear" w:color="auto" w:fill="auto"/>
            <w:noWrap/>
            <w:vAlign w:val="bottom"/>
            <w:hideMark/>
          </w:tcPr>
          <w:p w14:paraId="7942117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6,1</w:t>
            </w:r>
          </w:p>
        </w:tc>
        <w:tc>
          <w:tcPr>
            <w:tcW w:w="378" w:type="pct"/>
            <w:tcBorders>
              <w:top w:val="nil"/>
              <w:left w:val="nil"/>
              <w:bottom w:val="single" w:sz="4" w:space="0" w:color="BFBFBF"/>
              <w:right w:val="nil"/>
            </w:tcBorders>
            <w:shd w:val="clear" w:color="auto" w:fill="auto"/>
            <w:noWrap/>
            <w:vAlign w:val="bottom"/>
            <w:hideMark/>
          </w:tcPr>
          <w:p w14:paraId="76A51A2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6,2</w:t>
            </w:r>
          </w:p>
        </w:tc>
        <w:tc>
          <w:tcPr>
            <w:tcW w:w="378" w:type="pct"/>
            <w:tcBorders>
              <w:top w:val="nil"/>
              <w:left w:val="nil"/>
              <w:bottom w:val="single" w:sz="4" w:space="0" w:color="BFBFBF"/>
              <w:right w:val="nil"/>
            </w:tcBorders>
            <w:shd w:val="clear" w:color="auto" w:fill="auto"/>
            <w:noWrap/>
            <w:vAlign w:val="bottom"/>
            <w:hideMark/>
          </w:tcPr>
          <w:p w14:paraId="36EA650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6,8</w:t>
            </w:r>
          </w:p>
        </w:tc>
        <w:tc>
          <w:tcPr>
            <w:tcW w:w="378" w:type="pct"/>
            <w:tcBorders>
              <w:top w:val="nil"/>
              <w:left w:val="nil"/>
              <w:bottom w:val="single" w:sz="4" w:space="0" w:color="BFBFBF"/>
              <w:right w:val="nil"/>
            </w:tcBorders>
            <w:shd w:val="clear" w:color="auto" w:fill="auto"/>
            <w:noWrap/>
            <w:vAlign w:val="bottom"/>
            <w:hideMark/>
          </w:tcPr>
          <w:p w14:paraId="5931887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6,8</w:t>
            </w:r>
          </w:p>
        </w:tc>
        <w:tc>
          <w:tcPr>
            <w:tcW w:w="378" w:type="pct"/>
            <w:tcBorders>
              <w:top w:val="nil"/>
              <w:left w:val="nil"/>
              <w:bottom w:val="single" w:sz="4" w:space="0" w:color="BFBFBF"/>
              <w:right w:val="nil"/>
            </w:tcBorders>
            <w:shd w:val="clear" w:color="auto" w:fill="auto"/>
            <w:noWrap/>
            <w:vAlign w:val="bottom"/>
            <w:hideMark/>
          </w:tcPr>
          <w:p w14:paraId="5C4C2FE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7,5</w:t>
            </w:r>
          </w:p>
        </w:tc>
        <w:tc>
          <w:tcPr>
            <w:tcW w:w="378" w:type="pct"/>
            <w:tcBorders>
              <w:top w:val="nil"/>
              <w:left w:val="nil"/>
              <w:bottom w:val="single" w:sz="4" w:space="0" w:color="BFBFBF"/>
              <w:right w:val="nil"/>
            </w:tcBorders>
            <w:vAlign w:val="bottom"/>
          </w:tcPr>
          <w:p w14:paraId="71D70E2E"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7,6</w:t>
            </w:r>
          </w:p>
        </w:tc>
        <w:tc>
          <w:tcPr>
            <w:tcW w:w="378" w:type="pct"/>
            <w:tcBorders>
              <w:top w:val="nil"/>
              <w:left w:val="nil"/>
              <w:bottom w:val="single" w:sz="4" w:space="0" w:color="BFBFBF"/>
              <w:right w:val="nil"/>
            </w:tcBorders>
            <w:shd w:val="clear" w:color="auto" w:fill="auto"/>
            <w:noWrap/>
            <w:vAlign w:val="bottom"/>
            <w:hideMark/>
          </w:tcPr>
          <w:p w14:paraId="6247E34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8,3</w:t>
            </w:r>
          </w:p>
        </w:tc>
      </w:tr>
      <w:tr w:rsidR="002F1691" w:rsidRPr="00FC1C46" w14:paraId="79A5EC19" w14:textId="77777777" w:rsidTr="002F1691">
        <w:trPr>
          <w:trHeight w:val="260"/>
        </w:trPr>
        <w:tc>
          <w:tcPr>
            <w:tcW w:w="2367" w:type="pct"/>
            <w:tcBorders>
              <w:top w:val="nil"/>
              <w:left w:val="nil"/>
              <w:bottom w:val="nil"/>
              <w:right w:val="nil"/>
            </w:tcBorders>
            <w:shd w:val="clear" w:color="auto" w:fill="auto"/>
            <w:noWrap/>
            <w:vAlign w:val="bottom"/>
            <w:hideMark/>
          </w:tcPr>
          <w:p w14:paraId="3A89050B" w14:textId="77777777" w:rsidR="002F1691" w:rsidRPr="00FC1C46" w:rsidRDefault="002F1691" w:rsidP="002F1691">
            <w:pPr>
              <w:ind w:firstLineChars="100" w:firstLine="161"/>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Escenario Con proyecto</w:t>
            </w:r>
          </w:p>
        </w:tc>
        <w:tc>
          <w:tcPr>
            <w:tcW w:w="100" w:type="pct"/>
            <w:tcBorders>
              <w:top w:val="nil"/>
              <w:left w:val="nil"/>
              <w:bottom w:val="nil"/>
              <w:right w:val="nil"/>
            </w:tcBorders>
            <w:shd w:val="clear" w:color="auto" w:fill="auto"/>
            <w:noWrap/>
            <w:vAlign w:val="bottom"/>
            <w:hideMark/>
          </w:tcPr>
          <w:p w14:paraId="35934273" w14:textId="77777777" w:rsidR="002F1691" w:rsidRPr="00FC1C46" w:rsidRDefault="002F1691" w:rsidP="002F1691">
            <w:pPr>
              <w:ind w:firstLineChars="100" w:firstLine="161"/>
              <w:rPr>
                <w:rFonts w:ascii="Calibri" w:hAnsi="Calibri" w:cs="Calibri"/>
                <w:b/>
                <w:bCs/>
                <w:color w:val="000000"/>
                <w:sz w:val="16"/>
                <w:szCs w:val="16"/>
                <w:lang w:eastAsia="es-CO"/>
              </w:rPr>
            </w:pPr>
          </w:p>
        </w:tc>
        <w:tc>
          <w:tcPr>
            <w:tcW w:w="267" w:type="pct"/>
            <w:tcBorders>
              <w:top w:val="nil"/>
              <w:left w:val="nil"/>
              <w:bottom w:val="nil"/>
              <w:right w:val="nil"/>
            </w:tcBorders>
            <w:shd w:val="clear" w:color="auto" w:fill="auto"/>
            <w:noWrap/>
            <w:vAlign w:val="bottom"/>
            <w:hideMark/>
          </w:tcPr>
          <w:p w14:paraId="6D690C3E" w14:textId="77777777" w:rsidR="002F1691" w:rsidRPr="00B46194" w:rsidRDefault="002F1691" w:rsidP="002F1691">
            <w:pPr>
              <w:jc w:val="right"/>
              <w:rPr>
                <w:rFonts w:ascii="Calibri" w:hAnsi="Calibri" w:cs="Calibri"/>
                <w:color w:val="000000"/>
                <w:sz w:val="14"/>
                <w:szCs w:val="18"/>
              </w:rPr>
            </w:pPr>
          </w:p>
        </w:tc>
        <w:tc>
          <w:tcPr>
            <w:tcW w:w="378" w:type="pct"/>
            <w:tcBorders>
              <w:top w:val="nil"/>
              <w:left w:val="nil"/>
              <w:bottom w:val="nil"/>
              <w:right w:val="nil"/>
            </w:tcBorders>
            <w:shd w:val="clear" w:color="auto" w:fill="auto"/>
            <w:noWrap/>
            <w:vAlign w:val="bottom"/>
            <w:hideMark/>
          </w:tcPr>
          <w:p w14:paraId="720797E3"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285AD8ED"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4040C082"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0F260EDA" w14:textId="77777777" w:rsidR="002F1691" w:rsidRPr="00B46194" w:rsidRDefault="002F1691" w:rsidP="002F1691">
            <w:pPr>
              <w:rPr>
                <w:sz w:val="14"/>
                <w:szCs w:val="18"/>
              </w:rPr>
            </w:pPr>
          </w:p>
        </w:tc>
        <w:tc>
          <w:tcPr>
            <w:tcW w:w="378" w:type="pct"/>
            <w:tcBorders>
              <w:top w:val="nil"/>
              <w:left w:val="nil"/>
              <w:bottom w:val="nil"/>
              <w:right w:val="nil"/>
            </w:tcBorders>
            <w:vAlign w:val="bottom"/>
          </w:tcPr>
          <w:p w14:paraId="42146995"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24234F4C" w14:textId="77777777" w:rsidR="002F1691" w:rsidRPr="00B46194" w:rsidRDefault="002F1691" w:rsidP="002F1691">
            <w:pPr>
              <w:rPr>
                <w:sz w:val="14"/>
                <w:szCs w:val="18"/>
              </w:rPr>
            </w:pPr>
          </w:p>
        </w:tc>
      </w:tr>
      <w:tr w:rsidR="002F1691" w:rsidRPr="00FC1C46" w14:paraId="46DE13D3" w14:textId="77777777" w:rsidTr="002F1691">
        <w:trPr>
          <w:trHeight w:val="260"/>
        </w:trPr>
        <w:tc>
          <w:tcPr>
            <w:tcW w:w="2367" w:type="pct"/>
            <w:tcBorders>
              <w:top w:val="nil"/>
              <w:left w:val="nil"/>
              <w:bottom w:val="nil"/>
              <w:right w:val="nil"/>
            </w:tcBorders>
            <w:shd w:val="clear" w:color="auto" w:fill="auto"/>
            <w:noWrap/>
            <w:vAlign w:val="bottom"/>
            <w:hideMark/>
          </w:tcPr>
          <w:p w14:paraId="6D5F84F3"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Nuevas lamparas VS instaladas en el año</w:t>
            </w:r>
          </w:p>
        </w:tc>
        <w:tc>
          <w:tcPr>
            <w:tcW w:w="100" w:type="pct"/>
            <w:tcBorders>
              <w:top w:val="nil"/>
              <w:left w:val="nil"/>
              <w:bottom w:val="nil"/>
              <w:right w:val="nil"/>
            </w:tcBorders>
            <w:shd w:val="clear" w:color="auto" w:fill="auto"/>
            <w:noWrap/>
            <w:vAlign w:val="bottom"/>
            <w:hideMark/>
          </w:tcPr>
          <w:p w14:paraId="047C4083"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2DC39A2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251.038</w:t>
            </w:r>
          </w:p>
        </w:tc>
        <w:tc>
          <w:tcPr>
            <w:tcW w:w="378" w:type="pct"/>
            <w:tcBorders>
              <w:top w:val="nil"/>
              <w:left w:val="nil"/>
              <w:bottom w:val="nil"/>
              <w:right w:val="nil"/>
            </w:tcBorders>
            <w:shd w:val="clear" w:color="auto" w:fill="auto"/>
            <w:noWrap/>
            <w:vAlign w:val="bottom"/>
            <w:hideMark/>
          </w:tcPr>
          <w:p w14:paraId="43FDF60E"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264.516</w:t>
            </w:r>
          </w:p>
        </w:tc>
        <w:tc>
          <w:tcPr>
            <w:tcW w:w="378" w:type="pct"/>
            <w:tcBorders>
              <w:top w:val="nil"/>
              <w:left w:val="nil"/>
              <w:bottom w:val="nil"/>
              <w:right w:val="nil"/>
            </w:tcBorders>
            <w:shd w:val="clear" w:color="auto" w:fill="auto"/>
            <w:noWrap/>
            <w:vAlign w:val="bottom"/>
            <w:hideMark/>
          </w:tcPr>
          <w:p w14:paraId="00D544C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278.573</w:t>
            </w:r>
          </w:p>
        </w:tc>
        <w:tc>
          <w:tcPr>
            <w:tcW w:w="378" w:type="pct"/>
            <w:tcBorders>
              <w:top w:val="nil"/>
              <w:left w:val="nil"/>
              <w:bottom w:val="nil"/>
              <w:right w:val="nil"/>
            </w:tcBorders>
            <w:shd w:val="clear" w:color="auto" w:fill="auto"/>
            <w:noWrap/>
            <w:vAlign w:val="bottom"/>
            <w:hideMark/>
          </w:tcPr>
          <w:p w14:paraId="10BCBAB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33540DA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vAlign w:val="bottom"/>
          </w:tcPr>
          <w:p w14:paraId="3A9D42E2"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3E1BAD8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r>
      <w:tr w:rsidR="002F1691" w:rsidRPr="00FC1C46" w14:paraId="271B55A1" w14:textId="77777777" w:rsidTr="002F1691">
        <w:trPr>
          <w:trHeight w:val="260"/>
        </w:trPr>
        <w:tc>
          <w:tcPr>
            <w:tcW w:w="2367" w:type="pct"/>
            <w:tcBorders>
              <w:top w:val="nil"/>
              <w:left w:val="nil"/>
              <w:bottom w:val="nil"/>
              <w:right w:val="nil"/>
            </w:tcBorders>
            <w:shd w:val="clear" w:color="auto" w:fill="auto"/>
            <w:noWrap/>
            <w:vAlign w:val="bottom"/>
            <w:hideMark/>
          </w:tcPr>
          <w:p w14:paraId="50AB6D6D"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Nuevas lamparas VM instaladas en el año</w:t>
            </w:r>
          </w:p>
        </w:tc>
        <w:tc>
          <w:tcPr>
            <w:tcW w:w="100" w:type="pct"/>
            <w:tcBorders>
              <w:top w:val="nil"/>
              <w:left w:val="nil"/>
              <w:bottom w:val="nil"/>
              <w:right w:val="nil"/>
            </w:tcBorders>
            <w:shd w:val="clear" w:color="auto" w:fill="auto"/>
            <w:noWrap/>
            <w:vAlign w:val="bottom"/>
            <w:hideMark/>
          </w:tcPr>
          <w:p w14:paraId="5B91DE64"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060D7C7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36.975</w:t>
            </w:r>
          </w:p>
        </w:tc>
        <w:tc>
          <w:tcPr>
            <w:tcW w:w="378" w:type="pct"/>
            <w:tcBorders>
              <w:top w:val="nil"/>
              <w:left w:val="nil"/>
              <w:bottom w:val="nil"/>
              <w:right w:val="nil"/>
            </w:tcBorders>
            <w:shd w:val="clear" w:color="auto" w:fill="auto"/>
            <w:noWrap/>
            <w:vAlign w:val="bottom"/>
            <w:hideMark/>
          </w:tcPr>
          <w:p w14:paraId="4E6CCEC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36.975</w:t>
            </w:r>
          </w:p>
        </w:tc>
        <w:tc>
          <w:tcPr>
            <w:tcW w:w="378" w:type="pct"/>
            <w:tcBorders>
              <w:top w:val="nil"/>
              <w:left w:val="nil"/>
              <w:bottom w:val="nil"/>
              <w:right w:val="nil"/>
            </w:tcBorders>
            <w:shd w:val="clear" w:color="auto" w:fill="auto"/>
            <w:noWrap/>
            <w:vAlign w:val="bottom"/>
            <w:hideMark/>
          </w:tcPr>
          <w:p w14:paraId="3F45713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36.975</w:t>
            </w:r>
          </w:p>
        </w:tc>
        <w:tc>
          <w:tcPr>
            <w:tcW w:w="378" w:type="pct"/>
            <w:tcBorders>
              <w:top w:val="nil"/>
              <w:left w:val="nil"/>
              <w:bottom w:val="nil"/>
              <w:right w:val="nil"/>
            </w:tcBorders>
            <w:shd w:val="clear" w:color="auto" w:fill="auto"/>
            <w:noWrap/>
            <w:vAlign w:val="bottom"/>
            <w:hideMark/>
          </w:tcPr>
          <w:p w14:paraId="6614814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3BAF584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vAlign w:val="bottom"/>
          </w:tcPr>
          <w:p w14:paraId="50DA887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nil"/>
              <w:right w:val="nil"/>
            </w:tcBorders>
            <w:shd w:val="clear" w:color="auto" w:fill="auto"/>
            <w:noWrap/>
            <w:vAlign w:val="bottom"/>
            <w:hideMark/>
          </w:tcPr>
          <w:p w14:paraId="6AB1190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r>
      <w:tr w:rsidR="002F1691" w:rsidRPr="00FC1C46" w14:paraId="024FB100" w14:textId="77777777" w:rsidTr="002F1691">
        <w:trPr>
          <w:trHeight w:val="260"/>
        </w:trPr>
        <w:tc>
          <w:tcPr>
            <w:tcW w:w="2367" w:type="pct"/>
            <w:tcBorders>
              <w:top w:val="nil"/>
              <w:left w:val="nil"/>
              <w:bottom w:val="single" w:sz="4" w:space="0" w:color="BFBFBF"/>
              <w:right w:val="nil"/>
            </w:tcBorders>
            <w:shd w:val="clear" w:color="auto" w:fill="auto"/>
            <w:noWrap/>
            <w:vAlign w:val="bottom"/>
            <w:hideMark/>
          </w:tcPr>
          <w:p w14:paraId="5EB0BAA8"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Nuevas lamparas LED instaladas en el año</w:t>
            </w:r>
          </w:p>
        </w:tc>
        <w:tc>
          <w:tcPr>
            <w:tcW w:w="100" w:type="pct"/>
            <w:tcBorders>
              <w:top w:val="nil"/>
              <w:left w:val="nil"/>
              <w:bottom w:val="single" w:sz="4" w:space="0" w:color="BFBFBF"/>
              <w:right w:val="nil"/>
            </w:tcBorders>
            <w:shd w:val="clear" w:color="auto" w:fill="auto"/>
            <w:noWrap/>
            <w:vAlign w:val="bottom"/>
            <w:hideMark/>
          </w:tcPr>
          <w:p w14:paraId="3CF5AF93"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nil"/>
              <w:left w:val="nil"/>
              <w:bottom w:val="single" w:sz="4" w:space="0" w:color="BFBFBF"/>
              <w:right w:val="nil"/>
            </w:tcBorders>
            <w:shd w:val="clear" w:color="auto" w:fill="auto"/>
            <w:noWrap/>
            <w:vAlign w:val="bottom"/>
            <w:hideMark/>
          </w:tcPr>
          <w:p w14:paraId="385D6D80"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733E8BD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41875D6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nil"/>
              <w:left w:val="nil"/>
              <w:bottom w:val="single" w:sz="4" w:space="0" w:color="BFBFBF"/>
              <w:right w:val="nil"/>
            </w:tcBorders>
            <w:shd w:val="clear" w:color="auto" w:fill="auto"/>
            <w:noWrap/>
            <w:vAlign w:val="bottom"/>
            <w:hideMark/>
          </w:tcPr>
          <w:p w14:paraId="0116BEA4"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330.209</w:t>
            </w:r>
          </w:p>
        </w:tc>
        <w:tc>
          <w:tcPr>
            <w:tcW w:w="378" w:type="pct"/>
            <w:tcBorders>
              <w:top w:val="nil"/>
              <w:left w:val="nil"/>
              <w:bottom w:val="single" w:sz="4" w:space="0" w:color="BFBFBF"/>
              <w:right w:val="nil"/>
            </w:tcBorders>
            <w:shd w:val="clear" w:color="auto" w:fill="auto"/>
            <w:noWrap/>
            <w:vAlign w:val="bottom"/>
            <w:hideMark/>
          </w:tcPr>
          <w:p w14:paraId="609C4FF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331.420</w:t>
            </w:r>
          </w:p>
        </w:tc>
        <w:tc>
          <w:tcPr>
            <w:tcW w:w="378" w:type="pct"/>
            <w:tcBorders>
              <w:top w:val="nil"/>
              <w:left w:val="nil"/>
              <w:bottom w:val="single" w:sz="4" w:space="0" w:color="BFBFBF"/>
              <w:right w:val="nil"/>
            </w:tcBorders>
            <w:vAlign w:val="bottom"/>
          </w:tcPr>
          <w:p w14:paraId="67B4FEB7"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30.636</w:t>
            </w:r>
          </w:p>
        </w:tc>
        <w:tc>
          <w:tcPr>
            <w:tcW w:w="378" w:type="pct"/>
            <w:tcBorders>
              <w:top w:val="nil"/>
              <w:left w:val="nil"/>
              <w:bottom w:val="single" w:sz="4" w:space="0" w:color="BFBFBF"/>
              <w:right w:val="nil"/>
            </w:tcBorders>
            <w:shd w:val="clear" w:color="auto" w:fill="auto"/>
            <w:noWrap/>
            <w:vAlign w:val="bottom"/>
            <w:hideMark/>
          </w:tcPr>
          <w:p w14:paraId="259C901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31.953</w:t>
            </w:r>
          </w:p>
        </w:tc>
      </w:tr>
      <w:tr w:rsidR="002F1691" w:rsidRPr="00FC1C46" w14:paraId="2178594F" w14:textId="77777777" w:rsidTr="002F1691">
        <w:trPr>
          <w:trHeight w:val="260"/>
        </w:trPr>
        <w:tc>
          <w:tcPr>
            <w:tcW w:w="2367" w:type="pct"/>
            <w:tcBorders>
              <w:top w:val="nil"/>
              <w:left w:val="nil"/>
              <w:bottom w:val="single" w:sz="4" w:space="0" w:color="BFBFBF"/>
              <w:right w:val="nil"/>
            </w:tcBorders>
            <w:shd w:val="clear" w:color="auto" w:fill="auto"/>
            <w:noWrap/>
            <w:vAlign w:val="bottom"/>
            <w:hideMark/>
          </w:tcPr>
          <w:p w14:paraId="4645F1CA" w14:textId="77777777" w:rsidR="002F1691" w:rsidRPr="002F1691" w:rsidRDefault="002F1691" w:rsidP="002F1691">
            <w:pPr>
              <w:ind w:firstLineChars="200" w:firstLine="32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Inversión en lamparas ($USD Millones)</w:t>
            </w:r>
          </w:p>
        </w:tc>
        <w:tc>
          <w:tcPr>
            <w:tcW w:w="100" w:type="pct"/>
            <w:tcBorders>
              <w:top w:val="nil"/>
              <w:left w:val="nil"/>
              <w:bottom w:val="nil"/>
              <w:right w:val="nil"/>
            </w:tcBorders>
            <w:shd w:val="clear" w:color="auto" w:fill="auto"/>
            <w:noWrap/>
            <w:vAlign w:val="bottom"/>
            <w:hideMark/>
          </w:tcPr>
          <w:p w14:paraId="0459B359" w14:textId="77777777" w:rsidR="002F1691" w:rsidRPr="002F1691" w:rsidRDefault="002F1691" w:rsidP="002F1691">
            <w:pPr>
              <w:ind w:firstLineChars="200" w:firstLine="320"/>
              <w:rPr>
                <w:rFonts w:ascii="Calibri" w:hAnsi="Calibri" w:cs="Calibri"/>
                <w:color w:val="000000"/>
                <w:sz w:val="16"/>
                <w:szCs w:val="16"/>
                <w:lang w:val="es-ES_tradnl" w:eastAsia="es-CO"/>
              </w:rPr>
            </w:pPr>
          </w:p>
        </w:tc>
        <w:tc>
          <w:tcPr>
            <w:tcW w:w="267" w:type="pct"/>
            <w:tcBorders>
              <w:top w:val="nil"/>
              <w:left w:val="nil"/>
              <w:bottom w:val="nil"/>
              <w:right w:val="nil"/>
            </w:tcBorders>
            <w:shd w:val="clear" w:color="auto" w:fill="auto"/>
            <w:noWrap/>
            <w:vAlign w:val="bottom"/>
            <w:hideMark/>
          </w:tcPr>
          <w:p w14:paraId="0042031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7,0</w:t>
            </w:r>
          </w:p>
        </w:tc>
        <w:tc>
          <w:tcPr>
            <w:tcW w:w="378" w:type="pct"/>
            <w:tcBorders>
              <w:top w:val="nil"/>
              <w:left w:val="nil"/>
              <w:bottom w:val="nil"/>
              <w:right w:val="nil"/>
            </w:tcBorders>
            <w:shd w:val="clear" w:color="auto" w:fill="auto"/>
            <w:noWrap/>
            <w:vAlign w:val="bottom"/>
            <w:hideMark/>
          </w:tcPr>
          <w:p w14:paraId="7F7D9E8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7,4</w:t>
            </w:r>
          </w:p>
        </w:tc>
        <w:tc>
          <w:tcPr>
            <w:tcW w:w="378" w:type="pct"/>
            <w:tcBorders>
              <w:top w:val="nil"/>
              <w:left w:val="nil"/>
              <w:bottom w:val="nil"/>
              <w:right w:val="nil"/>
            </w:tcBorders>
            <w:shd w:val="clear" w:color="auto" w:fill="auto"/>
            <w:noWrap/>
            <w:vAlign w:val="bottom"/>
            <w:hideMark/>
          </w:tcPr>
          <w:p w14:paraId="1137E06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7,7</w:t>
            </w:r>
          </w:p>
        </w:tc>
        <w:tc>
          <w:tcPr>
            <w:tcW w:w="378" w:type="pct"/>
            <w:tcBorders>
              <w:top w:val="nil"/>
              <w:left w:val="nil"/>
              <w:bottom w:val="nil"/>
              <w:right w:val="nil"/>
            </w:tcBorders>
            <w:shd w:val="clear" w:color="auto" w:fill="auto"/>
            <w:noWrap/>
            <w:vAlign w:val="bottom"/>
            <w:hideMark/>
          </w:tcPr>
          <w:p w14:paraId="27A900ED"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113,6</w:t>
            </w:r>
          </w:p>
        </w:tc>
        <w:tc>
          <w:tcPr>
            <w:tcW w:w="378" w:type="pct"/>
            <w:tcBorders>
              <w:top w:val="nil"/>
              <w:left w:val="nil"/>
              <w:bottom w:val="nil"/>
              <w:right w:val="nil"/>
            </w:tcBorders>
            <w:shd w:val="clear" w:color="auto" w:fill="auto"/>
            <w:noWrap/>
            <w:vAlign w:val="bottom"/>
            <w:hideMark/>
          </w:tcPr>
          <w:p w14:paraId="19954357"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114,0</w:t>
            </w:r>
          </w:p>
        </w:tc>
        <w:tc>
          <w:tcPr>
            <w:tcW w:w="378" w:type="pct"/>
            <w:tcBorders>
              <w:top w:val="nil"/>
              <w:left w:val="nil"/>
              <w:bottom w:val="nil"/>
              <w:right w:val="nil"/>
            </w:tcBorders>
            <w:vAlign w:val="bottom"/>
          </w:tcPr>
          <w:p w14:paraId="0E451FC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10,5</w:t>
            </w:r>
          </w:p>
        </w:tc>
        <w:tc>
          <w:tcPr>
            <w:tcW w:w="378" w:type="pct"/>
            <w:tcBorders>
              <w:top w:val="nil"/>
              <w:left w:val="nil"/>
              <w:bottom w:val="nil"/>
              <w:right w:val="nil"/>
            </w:tcBorders>
            <w:shd w:val="clear" w:color="auto" w:fill="auto"/>
            <w:noWrap/>
            <w:vAlign w:val="bottom"/>
            <w:hideMark/>
          </w:tcPr>
          <w:p w14:paraId="0CE0A72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11,0</w:t>
            </w:r>
          </w:p>
        </w:tc>
      </w:tr>
      <w:tr w:rsidR="002F1691" w:rsidRPr="00FC1C46" w14:paraId="37FC9793" w14:textId="77777777" w:rsidTr="002F1691">
        <w:trPr>
          <w:trHeight w:val="260"/>
        </w:trPr>
        <w:tc>
          <w:tcPr>
            <w:tcW w:w="2367" w:type="pct"/>
            <w:tcBorders>
              <w:top w:val="single" w:sz="4" w:space="0" w:color="auto"/>
              <w:left w:val="nil"/>
              <w:bottom w:val="single" w:sz="4" w:space="0" w:color="auto"/>
              <w:right w:val="nil"/>
            </w:tcBorders>
            <w:shd w:val="clear" w:color="auto" w:fill="auto"/>
            <w:noWrap/>
            <w:vAlign w:val="bottom"/>
            <w:hideMark/>
          </w:tcPr>
          <w:p w14:paraId="2106E7A5" w14:textId="77777777" w:rsidR="002F1691" w:rsidRPr="002F1691" w:rsidRDefault="002F1691" w:rsidP="002F1691">
            <w:pPr>
              <w:ind w:firstLineChars="100" w:firstLine="160"/>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Diferencial en Inversión ($USD Millones)</w:t>
            </w:r>
          </w:p>
        </w:tc>
        <w:tc>
          <w:tcPr>
            <w:tcW w:w="100" w:type="pct"/>
            <w:tcBorders>
              <w:top w:val="single" w:sz="4" w:space="0" w:color="auto"/>
              <w:left w:val="nil"/>
              <w:bottom w:val="single" w:sz="4" w:space="0" w:color="auto"/>
              <w:right w:val="nil"/>
            </w:tcBorders>
            <w:shd w:val="clear" w:color="auto" w:fill="auto"/>
            <w:noWrap/>
            <w:vAlign w:val="bottom"/>
            <w:hideMark/>
          </w:tcPr>
          <w:p w14:paraId="20F16468"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single" w:sz="4" w:space="0" w:color="auto"/>
              <w:left w:val="nil"/>
              <w:bottom w:val="single" w:sz="4" w:space="0" w:color="auto"/>
              <w:right w:val="nil"/>
            </w:tcBorders>
            <w:shd w:val="clear" w:color="auto" w:fill="auto"/>
            <w:noWrap/>
            <w:vAlign w:val="bottom"/>
            <w:hideMark/>
          </w:tcPr>
          <w:p w14:paraId="67A5BDD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0,9</w:t>
            </w:r>
          </w:p>
        </w:tc>
        <w:tc>
          <w:tcPr>
            <w:tcW w:w="378" w:type="pct"/>
            <w:tcBorders>
              <w:top w:val="single" w:sz="4" w:space="0" w:color="auto"/>
              <w:left w:val="nil"/>
              <w:bottom w:val="single" w:sz="4" w:space="0" w:color="auto"/>
              <w:right w:val="nil"/>
            </w:tcBorders>
            <w:shd w:val="clear" w:color="auto" w:fill="auto"/>
            <w:noWrap/>
            <w:vAlign w:val="bottom"/>
            <w:hideMark/>
          </w:tcPr>
          <w:p w14:paraId="5C712664"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1,2</w:t>
            </w:r>
          </w:p>
        </w:tc>
        <w:tc>
          <w:tcPr>
            <w:tcW w:w="378" w:type="pct"/>
            <w:tcBorders>
              <w:top w:val="single" w:sz="4" w:space="0" w:color="auto"/>
              <w:left w:val="nil"/>
              <w:bottom w:val="single" w:sz="4" w:space="0" w:color="auto"/>
              <w:right w:val="nil"/>
            </w:tcBorders>
            <w:shd w:val="clear" w:color="auto" w:fill="auto"/>
            <w:noWrap/>
            <w:vAlign w:val="bottom"/>
            <w:hideMark/>
          </w:tcPr>
          <w:p w14:paraId="7BDAAE2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0,9</w:t>
            </w:r>
          </w:p>
        </w:tc>
        <w:tc>
          <w:tcPr>
            <w:tcW w:w="378" w:type="pct"/>
            <w:tcBorders>
              <w:top w:val="single" w:sz="4" w:space="0" w:color="auto"/>
              <w:left w:val="nil"/>
              <w:bottom w:val="single" w:sz="4" w:space="0" w:color="auto"/>
              <w:right w:val="nil"/>
            </w:tcBorders>
            <w:shd w:val="clear" w:color="auto" w:fill="auto"/>
            <w:noWrap/>
            <w:vAlign w:val="bottom"/>
            <w:hideMark/>
          </w:tcPr>
          <w:p w14:paraId="0F57261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106,8</w:t>
            </w:r>
          </w:p>
        </w:tc>
        <w:tc>
          <w:tcPr>
            <w:tcW w:w="378" w:type="pct"/>
            <w:tcBorders>
              <w:top w:val="single" w:sz="4" w:space="0" w:color="auto"/>
              <w:left w:val="nil"/>
              <w:bottom w:val="single" w:sz="4" w:space="0" w:color="auto"/>
              <w:right w:val="nil"/>
            </w:tcBorders>
            <w:shd w:val="clear" w:color="auto" w:fill="auto"/>
            <w:noWrap/>
            <w:vAlign w:val="bottom"/>
            <w:hideMark/>
          </w:tcPr>
          <w:p w14:paraId="1D5D352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106,5</w:t>
            </w:r>
          </w:p>
        </w:tc>
        <w:tc>
          <w:tcPr>
            <w:tcW w:w="378" w:type="pct"/>
            <w:tcBorders>
              <w:top w:val="single" w:sz="4" w:space="0" w:color="auto"/>
              <w:left w:val="nil"/>
              <w:bottom w:val="single" w:sz="4" w:space="0" w:color="auto"/>
              <w:right w:val="nil"/>
            </w:tcBorders>
            <w:vAlign w:val="bottom"/>
          </w:tcPr>
          <w:p w14:paraId="1BCD9348"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3,0</w:t>
            </w:r>
          </w:p>
        </w:tc>
        <w:tc>
          <w:tcPr>
            <w:tcW w:w="378" w:type="pct"/>
            <w:tcBorders>
              <w:top w:val="single" w:sz="4" w:space="0" w:color="auto"/>
              <w:left w:val="nil"/>
              <w:bottom w:val="single" w:sz="4" w:space="0" w:color="auto"/>
              <w:right w:val="nil"/>
            </w:tcBorders>
            <w:shd w:val="clear" w:color="auto" w:fill="auto"/>
            <w:noWrap/>
            <w:vAlign w:val="bottom"/>
            <w:hideMark/>
          </w:tcPr>
          <w:p w14:paraId="3897F0C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2,7</w:t>
            </w:r>
          </w:p>
        </w:tc>
      </w:tr>
      <w:tr w:rsidR="002F1691" w:rsidRPr="00FC1C46" w14:paraId="54161402" w14:textId="77777777" w:rsidTr="002F1691">
        <w:trPr>
          <w:trHeight w:val="260"/>
        </w:trPr>
        <w:tc>
          <w:tcPr>
            <w:tcW w:w="2367" w:type="pct"/>
            <w:tcBorders>
              <w:top w:val="nil"/>
              <w:left w:val="nil"/>
              <w:bottom w:val="single" w:sz="4" w:space="0" w:color="auto"/>
              <w:right w:val="nil"/>
            </w:tcBorders>
            <w:shd w:val="clear" w:color="auto" w:fill="auto"/>
            <w:noWrap/>
            <w:vAlign w:val="bottom"/>
            <w:hideMark/>
          </w:tcPr>
          <w:p w14:paraId="704FAC5B" w14:textId="77777777" w:rsidR="002F1691" w:rsidRPr="00FC1C46" w:rsidRDefault="002F1691" w:rsidP="002F1691">
            <w:pPr>
              <w:rPr>
                <w:rFonts w:ascii="Calibri" w:hAnsi="Calibri" w:cs="Calibri"/>
                <w:b/>
                <w:bCs/>
                <w:color w:val="000000"/>
                <w:sz w:val="16"/>
                <w:szCs w:val="16"/>
                <w:lang w:eastAsia="es-CO"/>
              </w:rPr>
            </w:pPr>
            <w:r w:rsidRPr="00FC1C46">
              <w:rPr>
                <w:rFonts w:ascii="Calibri" w:hAnsi="Calibri" w:cs="Calibri"/>
                <w:b/>
                <w:bCs/>
                <w:color w:val="000000"/>
                <w:sz w:val="16"/>
                <w:szCs w:val="16"/>
                <w:lang w:eastAsia="es-CO"/>
              </w:rPr>
              <w:t>Flujo Neto</w:t>
            </w:r>
          </w:p>
        </w:tc>
        <w:tc>
          <w:tcPr>
            <w:tcW w:w="100" w:type="pct"/>
            <w:tcBorders>
              <w:top w:val="nil"/>
              <w:left w:val="nil"/>
              <w:bottom w:val="single" w:sz="4" w:space="0" w:color="auto"/>
              <w:right w:val="nil"/>
            </w:tcBorders>
            <w:shd w:val="clear" w:color="auto" w:fill="auto"/>
            <w:noWrap/>
            <w:vAlign w:val="bottom"/>
            <w:hideMark/>
          </w:tcPr>
          <w:p w14:paraId="3B94039D" w14:textId="77777777" w:rsidR="002F1691" w:rsidRPr="00FC1C46" w:rsidRDefault="002F1691" w:rsidP="002F1691">
            <w:pPr>
              <w:rPr>
                <w:rFonts w:ascii="Calibri" w:hAnsi="Calibri" w:cs="Calibri"/>
                <w:color w:val="000000"/>
                <w:sz w:val="16"/>
                <w:szCs w:val="16"/>
                <w:lang w:eastAsia="es-CO"/>
              </w:rPr>
            </w:pPr>
            <w:r w:rsidRPr="00FC1C46">
              <w:rPr>
                <w:rFonts w:ascii="Calibri" w:hAnsi="Calibri" w:cs="Calibri"/>
                <w:color w:val="000000"/>
                <w:sz w:val="16"/>
                <w:szCs w:val="16"/>
                <w:lang w:eastAsia="es-CO"/>
              </w:rPr>
              <w:t> </w:t>
            </w:r>
          </w:p>
        </w:tc>
        <w:tc>
          <w:tcPr>
            <w:tcW w:w="267" w:type="pct"/>
            <w:tcBorders>
              <w:top w:val="nil"/>
              <w:left w:val="nil"/>
              <w:bottom w:val="single" w:sz="4" w:space="0" w:color="auto"/>
              <w:right w:val="nil"/>
            </w:tcBorders>
            <w:shd w:val="clear" w:color="auto" w:fill="auto"/>
            <w:noWrap/>
            <w:vAlign w:val="bottom"/>
            <w:hideMark/>
          </w:tcPr>
          <w:p w14:paraId="385B6EE2"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-0,7</w:t>
            </w:r>
          </w:p>
        </w:tc>
        <w:tc>
          <w:tcPr>
            <w:tcW w:w="378" w:type="pct"/>
            <w:tcBorders>
              <w:top w:val="nil"/>
              <w:left w:val="nil"/>
              <w:bottom w:val="single" w:sz="4" w:space="0" w:color="auto"/>
              <w:right w:val="nil"/>
            </w:tcBorders>
            <w:shd w:val="clear" w:color="auto" w:fill="auto"/>
            <w:noWrap/>
            <w:vAlign w:val="bottom"/>
            <w:hideMark/>
          </w:tcPr>
          <w:p w14:paraId="26B9AD9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-0,8</w:t>
            </w:r>
          </w:p>
        </w:tc>
        <w:tc>
          <w:tcPr>
            <w:tcW w:w="378" w:type="pct"/>
            <w:tcBorders>
              <w:top w:val="nil"/>
              <w:left w:val="nil"/>
              <w:bottom w:val="single" w:sz="4" w:space="0" w:color="auto"/>
              <w:right w:val="nil"/>
            </w:tcBorders>
            <w:shd w:val="clear" w:color="auto" w:fill="auto"/>
            <w:noWrap/>
            <w:vAlign w:val="bottom"/>
            <w:hideMark/>
          </w:tcPr>
          <w:p w14:paraId="3C4468D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-0,5</w:t>
            </w:r>
          </w:p>
        </w:tc>
        <w:tc>
          <w:tcPr>
            <w:tcW w:w="378" w:type="pct"/>
            <w:tcBorders>
              <w:top w:val="nil"/>
              <w:left w:val="nil"/>
              <w:bottom w:val="single" w:sz="4" w:space="0" w:color="auto"/>
              <w:right w:val="nil"/>
            </w:tcBorders>
            <w:shd w:val="clear" w:color="auto" w:fill="auto"/>
            <w:noWrap/>
            <w:vAlign w:val="bottom"/>
            <w:hideMark/>
          </w:tcPr>
          <w:p w14:paraId="2777FAA5"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-83,5</w:t>
            </w:r>
          </w:p>
        </w:tc>
        <w:tc>
          <w:tcPr>
            <w:tcW w:w="378" w:type="pct"/>
            <w:tcBorders>
              <w:top w:val="nil"/>
              <w:left w:val="nil"/>
              <w:bottom w:val="single" w:sz="4" w:space="0" w:color="auto"/>
              <w:right w:val="nil"/>
            </w:tcBorders>
            <w:shd w:val="clear" w:color="auto" w:fill="auto"/>
            <w:noWrap/>
            <w:vAlign w:val="bottom"/>
            <w:hideMark/>
          </w:tcPr>
          <w:p w14:paraId="40D7584B"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-60,4</w:t>
            </w:r>
          </w:p>
        </w:tc>
        <w:tc>
          <w:tcPr>
            <w:tcW w:w="378" w:type="pct"/>
            <w:tcBorders>
              <w:top w:val="nil"/>
              <w:left w:val="nil"/>
              <w:bottom w:val="single" w:sz="4" w:space="0" w:color="auto"/>
              <w:right w:val="nil"/>
            </w:tcBorders>
            <w:vAlign w:val="bottom"/>
          </w:tcPr>
          <w:p w14:paraId="2063129C"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238,4</w:t>
            </w:r>
          </w:p>
        </w:tc>
        <w:tc>
          <w:tcPr>
            <w:tcW w:w="378" w:type="pct"/>
            <w:tcBorders>
              <w:top w:val="nil"/>
              <w:left w:val="nil"/>
              <w:bottom w:val="single" w:sz="4" w:space="0" w:color="auto"/>
              <w:right w:val="nil"/>
            </w:tcBorders>
            <w:shd w:val="clear" w:color="auto" w:fill="auto"/>
            <w:noWrap/>
            <w:vAlign w:val="bottom"/>
            <w:hideMark/>
          </w:tcPr>
          <w:p w14:paraId="13CDAA97"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47,8</w:t>
            </w:r>
          </w:p>
        </w:tc>
      </w:tr>
      <w:tr w:rsidR="002F1691" w:rsidRPr="00FC1C46" w14:paraId="2D44B55B" w14:textId="77777777" w:rsidTr="002F1691">
        <w:trPr>
          <w:trHeight w:val="260"/>
        </w:trPr>
        <w:tc>
          <w:tcPr>
            <w:tcW w:w="2367" w:type="pct"/>
            <w:tcBorders>
              <w:top w:val="nil"/>
              <w:left w:val="nil"/>
              <w:bottom w:val="nil"/>
              <w:right w:val="nil"/>
            </w:tcBorders>
            <w:shd w:val="clear" w:color="auto" w:fill="auto"/>
            <w:noWrap/>
            <w:vAlign w:val="bottom"/>
            <w:hideMark/>
          </w:tcPr>
          <w:p w14:paraId="6E0A708F" w14:textId="77777777" w:rsidR="002F1691" w:rsidRPr="00FC1C46" w:rsidRDefault="002F1691" w:rsidP="002F1691">
            <w:pPr>
              <w:jc w:val="right"/>
              <w:rPr>
                <w:rFonts w:ascii="Calibri" w:hAnsi="Calibri" w:cs="Calibri"/>
                <w:color w:val="000000"/>
                <w:sz w:val="16"/>
                <w:szCs w:val="16"/>
                <w:lang w:eastAsia="es-CO"/>
              </w:rPr>
            </w:pPr>
          </w:p>
        </w:tc>
        <w:tc>
          <w:tcPr>
            <w:tcW w:w="100" w:type="pct"/>
            <w:tcBorders>
              <w:top w:val="nil"/>
              <w:left w:val="nil"/>
              <w:bottom w:val="nil"/>
              <w:right w:val="nil"/>
            </w:tcBorders>
            <w:shd w:val="clear" w:color="auto" w:fill="auto"/>
            <w:noWrap/>
            <w:vAlign w:val="bottom"/>
            <w:hideMark/>
          </w:tcPr>
          <w:p w14:paraId="218D0401" w14:textId="77777777" w:rsidR="002F1691" w:rsidRPr="00FC1C46" w:rsidRDefault="002F1691" w:rsidP="002F1691">
            <w:pPr>
              <w:rPr>
                <w:sz w:val="16"/>
                <w:szCs w:val="16"/>
                <w:lang w:eastAsia="es-CO"/>
              </w:rPr>
            </w:pPr>
          </w:p>
        </w:tc>
        <w:tc>
          <w:tcPr>
            <w:tcW w:w="267" w:type="pct"/>
            <w:tcBorders>
              <w:top w:val="nil"/>
              <w:left w:val="nil"/>
              <w:bottom w:val="nil"/>
              <w:right w:val="nil"/>
            </w:tcBorders>
            <w:shd w:val="clear" w:color="auto" w:fill="auto"/>
            <w:noWrap/>
            <w:vAlign w:val="bottom"/>
            <w:hideMark/>
          </w:tcPr>
          <w:p w14:paraId="39DF5D20" w14:textId="77777777" w:rsidR="002F1691" w:rsidRPr="00B46194" w:rsidRDefault="002F1691" w:rsidP="002F1691">
            <w:pPr>
              <w:jc w:val="right"/>
              <w:rPr>
                <w:rFonts w:ascii="Calibri" w:hAnsi="Calibri" w:cs="Calibri"/>
                <w:color w:val="000000"/>
                <w:sz w:val="14"/>
                <w:szCs w:val="18"/>
              </w:rPr>
            </w:pPr>
          </w:p>
        </w:tc>
        <w:tc>
          <w:tcPr>
            <w:tcW w:w="378" w:type="pct"/>
            <w:tcBorders>
              <w:top w:val="nil"/>
              <w:left w:val="nil"/>
              <w:bottom w:val="nil"/>
              <w:right w:val="nil"/>
            </w:tcBorders>
            <w:shd w:val="clear" w:color="auto" w:fill="auto"/>
            <w:noWrap/>
            <w:vAlign w:val="bottom"/>
            <w:hideMark/>
          </w:tcPr>
          <w:p w14:paraId="49046865"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4925C761"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495EA22A"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4E7FFB80" w14:textId="77777777" w:rsidR="002F1691" w:rsidRPr="00B46194" w:rsidRDefault="002F1691" w:rsidP="002F1691">
            <w:pPr>
              <w:rPr>
                <w:sz w:val="14"/>
                <w:szCs w:val="18"/>
              </w:rPr>
            </w:pPr>
          </w:p>
        </w:tc>
        <w:tc>
          <w:tcPr>
            <w:tcW w:w="378" w:type="pct"/>
            <w:tcBorders>
              <w:top w:val="nil"/>
              <w:left w:val="nil"/>
              <w:bottom w:val="nil"/>
              <w:right w:val="nil"/>
            </w:tcBorders>
            <w:vAlign w:val="bottom"/>
          </w:tcPr>
          <w:p w14:paraId="1EE039F7" w14:textId="77777777" w:rsidR="002F1691" w:rsidRPr="00B46194" w:rsidRDefault="002F1691" w:rsidP="002F1691">
            <w:pPr>
              <w:rPr>
                <w:sz w:val="14"/>
                <w:szCs w:val="18"/>
              </w:rPr>
            </w:pPr>
          </w:p>
        </w:tc>
        <w:tc>
          <w:tcPr>
            <w:tcW w:w="378" w:type="pct"/>
            <w:tcBorders>
              <w:top w:val="nil"/>
              <w:left w:val="nil"/>
              <w:bottom w:val="nil"/>
              <w:right w:val="nil"/>
            </w:tcBorders>
            <w:shd w:val="clear" w:color="auto" w:fill="auto"/>
            <w:noWrap/>
            <w:vAlign w:val="bottom"/>
            <w:hideMark/>
          </w:tcPr>
          <w:p w14:paraId="1B1C71C1" w14:textId="77777777" w:rsidR="002F1691" w:rsidRPr="00B46194" w:rsidRDefault="002F1691" w:rsidP="002F1691">
            <w:pPr>
              <w:rPr>
                <w:sz w:val="14"/>
                <w:szCs w:val="18"/>
              </w:rPr>
            </w:pPr>
          </w:p>
        </w:tc>
      </w:tr>
      <w:tr w:rsidR="002F1691" w:rsidRPr="00FC1C46" w14:paraId="7959B7E4" w14:textId="77777777" w:rsidTr="002F1691">
        <w:trPr>
          <w:trHeight w:val="260"/>
        </w:trPr>
        <w:tc>
          <w:tcPr>
            <w:tcW w:w="2367" w:type="pct"/>
            <w:tcBorders>
              <w:top w:val="single" w:sz="4" w:space="0" w:color="000000"/>
              <w:left w:val="nil"/>
              <w:bottom w:val="single" w:sz="4" w:space="0" w:color="auto"/>
              <w:right w:val="nil"/>
            </w:tcBorders>
            <w:shd w:val="clear" w:color="auto" w:fill="auto"/>
            <w:noWrap/>
            <w:vAlign w:val="bottom"/>
            <w:hideMark/>
          </w:tcPr>
          <w:p w14:paraId="3FEE3F66"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Ahorro energético de iluminación en AP</w:t>
            </w:r>
          </w:p>
        </w:tc>
        <w:tc>
          <w:tcPr>
            <w:tcW w:w="100" w:type="pct"/>
            <w:tcBorders>
              <w:top w:val="single" w:sz="4" w:space="0" w:color="000000"/>
              <w:left w:val="nil"/>
              <w:bottom w:val="single" w:sz="4" w:space="0" w:color="auto"/>
              <w:right w:val="nil"/>
            </w:tcBorders>
            <w:shd w:val="clear" w:color="auto" w:fill="auto"/>
            <w:noWrap/>
            <w:vAlign w:val="bottom"/>
            <w:hideMark/>
          </w:tcPr>
          <w:p w14:paraId="3202EFA4"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7" w:type="pct"/>
            <w:tcBorders>
              <w:top w:val="single" w:sz="4" w:space="0" w:color="000000"/>
              <w:left w:val="nil"/>
              <w:bottom w:val="single" w:sz="4" w:space="0" w:color="auto"/>
              <w:right w:val="nil"/>
            </w:tcBorders>
            <w:shd w:val="clear" w:color="auto" w:fill="auto"/>
            <w:noWrap/>
            <w:vAlign w:val="bottom"/>
            <w:hideMark/>
          </w:tcPr>
          <w:p w14:paraId="35B03A4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0%</w:t>
            </w:r>
          </w:p>
        </w:tc>
        <w:tc>
          <w:tcPr>
            <w:tcW w:w="378" w:type="pct"/>
            <w:tcBorders>
              <w:top w:val="single" w:sz="4" w:space="0" w:color="000000"/>
              <w:left w:val="nil"/>
              <w:bottom w:val="single" w:sz="4" w:space="0" w:color="auto"/>
              <w:right w:val="nil"/>
            </w:tcBorders>
            <w:shd w:val="clear" w:color="auto" w:fill="auto"/>
            <w:noWrap/>
            <w:vAlign w:val="bottom"/>
            <w:hideMark/>
          </w:tcPr>
          <w:p w14:paraId="44B86526"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w:t>
            </w:r>
          </w:p>
        </w:tc>
        <w:tc>
          <w:tcPr>
            <w:tcW w:w="378" w:type="pct"/>
            <w:tcBorders>
              <w:top w:val="single" w:sz="4" w:space="0" w:color="000000"/>
              <w:left w:val="nil"/>
              <w:bottom w:val="single" w:sz="4" w:space="0" w:color="auto"/>
              <w:right w:val="nil"/>
            </w:tcBorders>
            <w:shd w:val="clear" w:color="auto" w:fill="auto"/>
            <w:noWrap/>
            <w:vAlign w:val="bottom"/>
            <w:hideMark/>
          </w:tcPr>
          <w:p w14:paraId="710D34D9"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1%</w:t>
            </w:r>
          </w:p>
        </w:tc>
        <w:tc>
          <w:tcPr>
            <w:tcW w:w="378" w:type="pct"/>
            <w:tcBorders>
              <w:top w:val="single" w:sz="4" w:space="0" w:color="000000"/>
              <w:left w:val="nil"/>
              <w:bottom w:val="single" w:sz="4" w:space="0" w:color="auto"/>
              <w:right w:val="nil"/>
            </w:tcBorders>
            <w:shd w:val="clear" w:color="auto" w:fill="auto"/>
            <w:noWrap/>
            <w:vAlign w:val="bottom"/>
            <w:hideMark/>
          </w:tcPr>
          <w:p w14:paraId="22B16511"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40%</w:t>
            </w:r>
          </w:p>
        </w:tc>
        <w:tc>
          <w:tcPr>
            <w:tcW w:w="378" w:type="pct"/>
            <w:tcBorders>
              <w:top w:val="single" w:sz="4" w:space="0" w:color="000000"/>
              <w:left w:val="nil"/>
              <w:bottom w:val="single" w:sz="4" w:space="0" w:color="auto"/>
              <w:right w:val="nil"/>
            </w:tcBorders>
            <w:shd w:val="clear" w:color="auto" w:fill="auto"/>
            <w:noWrap/>
            <w:vAlign w:val="bottom"/>
            <w:hideMark/>
          </w:tcPr>
          <w:p w14:paraId="0A7EF6F3"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76%</w:t>
            </w:r>
          </w:p>
        </w:tc>
        <w:tc>
          <w:tcPr>
            <w:tcW w:w="378" w:type="pct"/>
            <w:tcBorders>
              <w:top w:val="single" w:sz="4" w:space="0" w:color="000000"/>
              <w:left w:val="nil"/>
              <w:bottom w:val="single" w:sz="4" w:space="0" w:color="auto"/>
              <w:right w:val="nil"/>
            </w:tcBorders>
            <w:vAlign w:val="bottom"/>
          </w:tcPr>
          <w:p w14:paraId="43D47D7A"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76%</w:t>
            </w:r>
          </w:p>
        </w:tc>
        <w:tc>
          <w:tcPr>
            <w:tcW w:w="378" w:type="pct"/>
            <w:tcBorders>
              <w:top w:val="single" w:sz="4" w:space="0" w:color="000000"/>
              <w:left w:val="nil"/>
              <w:bottom w:val="single" w:sz="4" w:space="0" w:color="auto"/>
              <w:right w:val="nil"/>
            </w:tcBorders>
            <w:shd w:val="clear" w:color="auto" w:fill="auto"/>
            <w:noWrap/>
            <w:vAlign w:val="bottom"/>
            <w:hideMark/>
          </w:tcPr>
          <w:p w14:paraId="49DE89CF" w14:textId="77777777" w:rsidR="002F1691" w:rsidRPr="00B46194" w:rsidRDefault="002F1691" w:rsidP="002F1691">
            <w:pPr>
              <w:jc w:val="right"/>
              <w:rPr>
                <w:rFonts w:ascii="Calibri" w:hAnsi="Calibri" w:cs="Calibri"/>
                <w:color w:val="000000"/>
                <w:sz w:val="14"/>
                <w:szCs w:val="18"/>
              </w:rPr>
            </w:pPr>
            <w:r w:rsidRPr="00B46194">
              <w:rPr>
                <w:rFonts w:ascii="Calibri" w:hAnsi="Calibri" w:cs="Calibri"/>
                <w:color w:val="000000"/>
                <w:sz w:val="14"/>
                <w:szCs w:val="18"/>
              </w:rPr>
              <w:t>76%</w:t>
            </w:r>
          </w:p>
        </w:tc>
      </w:tr>
    </w:tbl>
    <w:p w14:paraId="01F0A30A" w14:textId="77777777" w:rsidR="002F1691" w:rsidRPr="00192708" w:rsidRDefault="002F1691" w:rsidP="002F1691">
      <w:pPr>
        <w:rPr>
          <w:b/>
        </w:rPr>
      </w:pPr>
    </w:p>
    <w:p w14:paraId="07AB57D4" w14:textId="77777777" w:rsidR="002F1691" w:rsidRDefault="002F1691" w:rsidP="002F1691">
      <w:pPr>
        <w:jc w:val="center"/>
        <w:rPr>
          <w:sz w:val="18"/>
          <w:lang w:val="es-ES"/>
        </w:rPr>
      </w:pPr>
    </w:p>
    <w:tbl>
      <w:tblPr>
        <w:tblW w:w="4431" w:type="pct"/>
        <w:tblCellMar>
          <w:left w:w="70" w:type="dxa"/>
          <w:right w:w="70" w:type="dxa"/>
        </w:tblCellMar>
        <w:tblLook w:val="04A0" w:firstRow="1" w:lastRow="0" w:firstColumn="1" w:lastColumn="0" w:noHBand="0" w:noVBand="1"/>
      </w:tblPr>
      <w:tblGrid>
        <w:gridCol w:w="3881"/>
        <w:gridCol w:w="1524"/>
        <w:gridCol w:w="1108"/>
        <w:gridCol w:w="1139"/>
      </w:tblGrid>
      <w:tr w:rsidR="002F1691" w:rsidRPr="0011592F" w14:paraId="0D4A3846" w14:textId="77777777" w:rsidTr="002F1691">
        <w:trPr>
          <w:trHeight w:val="300"/>
        </w:trPr>
        <w:tc>
          <w:tcPr>
            <w:tcW w:w="2536" w:type="pct"/>
            <w:tcBorders>
              <w:top w:val="nil"/>
              <w:left w:val="nil"/>
              <w:bottom w:val="nil"/>
              <w:right w:val="nil"/>
            </w:tcBorders>
            <w:shd w:val="clear" w:color="auto" w:fill="auto"/>
            <w:noWrap/>
            <w:vAlign w:val="bottom"/>
            <w:hideMark/>
          </w:tcPr>
          <w:p w14:paraId="53552567" w14:textId="77777777" w:rsidR="002F1691" w:rsidRPr="0011592F" w:rsidRDefault="002F1691" w:rsidP="002F1691">
            <w:pPr>
              <w:rPr>
                <w:sz w:val="18"/>
                <w:lang w:eastAsia="es-CO"/>
              </w:rPr>
            </w:pPr>
          </w:p>
        </w:tc>
        <w:tc>
          <w:tcPr>
            <w:tcW w:w="996" w:type="pct"/>
            <w:tcBorders>
              <w:top w:val="single" w:sz="4" w:space="0" w:color="FFFFFF"/>
              <w:left w:val="nil"/>
              <w:bottom w:val="single" w:sz="4" w:space="0" w:color="auto"/>
              <w:right w:val="single" w:sz="4" w:space="0" w:color="FFFFFF"/>
            </w:tcBorders>
            <w:shd w:val="clear" w:color="000000" w:fill="203764"/>
            <w:noWrap/>
            <w:vAlign w:val="bottom"/>
            <w:hideMark/>
          </w:tcPr>
          <w:p w14:paraId="0488B289"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Beneficios</w:t>
            </w:r>
          </w:p>
        </w:tc>
        <w:tc>
          <w:tcPr>
            <w:tcW w:w="724" w:type="pct"/>
            <w:tcBorders>
              <w:top w:val="single" w:sz="4" w:space="0" w:color="FFFFFF"/>
              <w:left w:val="nil"/>
              <w:bottom w:val="single" w:sz="4" w:space="0" w:color="auto"/>
              <w:right w:val="single" w:sz="4" w:space="0" w:color="FFFFFF"/>
            </w:tcBorders>
            <w:shd w:val="clear" w:color="000000" w:fill="203764"/>
            <w:noWrap/>
            <w:vAlign w:val="bottom"/>
            <w:hideMark/>
          </w:tcPr>
          <w:p w14:paraId="0B35D8F6"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Costos</w:t>
            </w:r>
          </w:p>
        </w:tc>
        <w:tc>
          <w:tcPr>
            <w:tcW w:w="744" w:type="pct"/>
            <w:tcBorders>
              <w:top w:val="single" w:sz="4" w:space="0" w:color="FFFFFF"/>
              <w:left w:val="nil"/>
              <w:bottom w:val="single" w:sz="4" w:space="0" w:color="auto"/>
              <w:right w:val="single" w:sz="4" w:space="0" w:color="FFFFFF"/>
            </w:tcBorders>
            <w:shd w:val="clear" w:color="000000" w:fill="203764"/>
            <w:noWrap/>
            <w:vAlign w:val="bottom"/>
            <w:hideMark/>
          </w:tcPr>
          <w:p w14:paraId="2BD108C5"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Neto</w:t>
            </w:r>
          </w:p>
        </w:tc>
      </w:tr>
      <w:tr w:rsidR="002F1691" w:rsidRPr="0011592F" w14:paraId="75D60F13" w14:textId="77777777" w:rsidTr="002F1691">
        <w:trPr>
          <w:trHeight w:val="300"/>
        </w:trPr>
        <w:tc>
          <w:tcPr>
            <w:tcW w:w="2536"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35D8C93" w14:textId="77777777" w:rsidR="002F1691" w:rsidRPr="0011592F" w:rsidRDefault="002F1691" w:rsidP="002F1691">
            <w:pPr>
              <w:rPr>
                <w:rFonts w:ascii="Calibri" w:hAnsi="Calibri" w:cs="Calibri"/>
                <w:color w:val="000000"/>
                <w:sz w:val="18"/>
                <w:szCs w:val="22"/>
                <w:lang w:eastAsia="es-CO"/>
              </w:rPr>
            </w:pPr>
            <w:r w:rsidRPr="0011592F">
              <w:rPr>
                <w:rFonts w:ascii="Calibri" w:hAnsi="Calibri" w:cs="Calibri"/>
                <w:color w:val="000000"/>
                <w:sz w:val="18"/>
                <w:szCs w:val="22"/>
                <w:lang w:eastAsia="es-CO"/>
              </w:rPr>
              <w:t>VPN dic 2017 ($USD Millones)</w:t>
            </w:r>
          </w:p>
        </w:tc>
        <w:tc>
          <w:tcPr>
            <w:tcW w:w="996" w:type="pct"/>
            <w:tcBorders>
              <w:top w:val="nil"/>
              <w:left w:val="single" w:sz="4" w:space="0" w:color="auto"/>
              <w:bottom w:val="nil"/>
              <w:right w:val="single" w:sz="4" w:space="0" w:color="auto"/>
            </w:tcBorders>
            <w:shd w:val="clear" w:color="000000" w:fill="E2EFDA"/>
            <w:noWrap/>
            <w:vAlign w:val="bottom"/>
            <w:hideMark/>
          </w:tcPr>
          <w:p w14:paraId="66E6D79D"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$376</w:t>
            </w:r>
          </w:p>
        </w:tc>
        <w:tc>
          <w:tcPr>
            <w:tcW w:w="724" w:type="pct"/>
            <w:tcBorders>
              <w:top w:val="nil"/>
              <w:left w:val="nil"/>
              <w:bottom w:val="nil"/>
              <w:right w:val="single" w:sz="4" w:space="0" w:color="auto"/>
            </w:tcBorders>
            <w:shd w:val="clear" w:color="000000" w:fill="E2EFDA"/>
            <w:noWrap/>
            <w:vAlign w:val="bottom"/>
            <w:hideMark/>
          </w:tcPr>
          <w:p w14:paraId="40EA97BF"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$143</w:t>
            </w:r>
          </w:p>
        </w:tc>
        <w:tc>
          <w:tcPr>
            <w:tcW w:w="744" w:type="pct"/>
            <w:tcBorders>
              <w:top w:val="nil"/>
              <w:left w:val="nil"/>
              <w:bottom w:val="nil"/>
              <w:right w:val="single" w:sz="4" w:space="0" w:color="auto"/>
            </w:tcBorders>
            <w:shd w:val="clear" w:color="000000" w:fill="E2EFDA"/>
            <w:noWrap/>
            <w:vAlign w:val="bottom"/>
            <w:hideMark/>
          </w:tcPr>
          <w:p w14:paraId="02CC61F1"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$234</w:t>
            </w:r>
          </w:p>
        </w:tc>
      </w:tr>
      <w:tr w:rsidR="002F1691" w:rsidRPr="0011592F" w14:paraId="63FE3CB3" w14:textId="77777777" w:rsidTr="002F1691">
        <w:trPr>
          <w:trHeight w:val="300"/>
        </w:trPr>
        <w:tc>
          <w:tcPr>
            <w:tcW w:w="2536" w:type="pct"/>
            <w:tcBorders>
              <w:top w:val="single" w:sz="4" w:space="0" w:color="auto"/>
              <w:left w:val="single" w:sz="4" w:space="0" w:color="auto"/>
              <w:bottom w:val="single" w:sz="4" w:space="0" w:color="auto"/>
              <w:right w:val="single" w:sz="4" w:space="0" w:color="auto"/>
            </w:tcBorders>
            <w:shd w:val="clear" w:color="000000" w:fill="E2EFDA"/>
            <w:noWrap/>
            <w:vAlign w:val="bottom"/>
          </w:tcPr>
          <w:p w14:paraId="300D3268" w14:textId="77777777" w:rsidR="002F1691" w:rsidRPr="0011592F" w:rsidRDefault="002F1691" w:rsidP="002F1691">
            <w:pPr>
              <w:rPr>
                <w:rFonts w:ascii="Calibri" w:hAnsi="Calibri" w:cs="Calibri"/>
                <w:color w:val="000000"/>
                <w:sz w:val="18"/>
                <w:szCs w:val="22"/>
                <w:lang w:eastAsia="es-CO"/>
              </w:rPr>
            </w:pPr>
            <w:r>
              <w:rPr>
                <w:rFonts w:ascii="Calibri" w:hAnsi="Calibri" w:cs="Calibri"/>
                <w:color w:val="000000"/>
                <w:sz w:val="18"/>
                <w:szCs w:val="22"/>
                <w:lang w:eastAsia="es-CO"/>
              </w:rPr>
              <w:t>TIR</w:t>
            </w:r>
          </w:p>
        </w:tc>
        <w:tc>
          <w:tcPr>
            <w:tcW w:w="996" w:type="pct"/>
            <w:tcBorders>
              <w:top w:val="nil"/>
              <w:left w:val="single" w:sz="4" w:space="0" w:color="auto"/>
              <w:bottom w:val="single" w:sz="4" w:space="0" w:color="auto"/>
              <w:right w:val="single" w:sz="4" w:space="0" w:color="auto"/>
            </w:tcBorders>
            <w:shd w:val="clear" w:color="000000" w:fill="E2EFDA"/>
            <w:noWrap/>
            <w:vAlign w:val="bottom"/>
          </w:tcPr>
          <w:p w14:paraId="05539CEC" w14:textId="77777777" w:rsidR="002F1691" w:rsidRPr="0023003D" w:rsidRDefault="002F1691" w:rsidP="002F1691">
            <w:pPr>
              <w:rPr>
                <w:rFonts w:ascii="Calibri" w:hAnsi="Calibri" w:cs="Calibri"/>
                <w:color w:val="000000"/>
                <w:sz w:val="18"/>
                <w:szCs w:val="18"/>
              </w:rPr>
            </w:pPr>
            <w:r w:rsidRPr="0023003D">
              <w:rPr>
                <w:rFonts w:ascii="Calibri" w:hAnsi="Calibri" w:cs="Calibri"/>
                <w:color w:val="000000"/>
                <w:sz w:val="18"/>
                <w:szCs w:val="18"/>
              </w:rPr>
              <w:t> </w:t>
            </w:r>
          </w:p>
        </w:tc>
        <w:tc>
          <w:tcPr>
            <w:tcW w:w="724" w:type="pct"/>
            <w:tcBorders>
              <w:top w:val="nil"/>
              <w:left w:val="nil"/>
              <w:bottom w:val="single" w:sz="4" w:space="0" w:color="auto"/>
              <w:right w:val="single" w:sz="4" w:space="0" w:color="auto"/>
            </w:tcBorders>
            <w:shd w:val="clear" w:color="000000" w:fill="E2EFDA"/>
            <w:noWrap/>
            <w:vAlign w:val="bottom"/>
          </w:tcPr>
          <w:p w14:paraId="73B7B4BE" w14:textId="77777777" w:rsidR="002F1691" w:rsidRPr="0023003D" w:rsidRDefault="002F1691" w:rsidP="002F1691">
            <w:pPr>
              <w:rPr>
                <w:rFonts w:ascii="Calibri" w:hAnsi="Calibri" w:cs="Calibri"/>
                <w:color w:val="000000"/>
                <w:sz w:val="18"/>
                <w:szCs w:val="18"/>
              </w:rPr>
            </w:pPr>
            <w:r w:rsidRPr="0023003D">
              <w:rPr>
                <w:rFonts w:ascii="Calibri" w:hAnsi="Calibri" w:cs="Calibri"/>
                <w:color w:val="000000"/>
                <w:sz w:val="18"/>
                <w:szCs w:val="18"/>
              </w:rPr>
              <w:t> </w:t>
            </w:r>
          </w:p>
        </w:tc>
        <w:tc>
          <w:tcPr>
            <w:tcW w:w="744" w:type="pct"/>
            <w:tcBorders>
              <w:top w:val="nil"/>
              <w:left w:val="nil"/>
              <w:bottom w:val="single" w:sz="4" w:space="0" w:color="auto"/>
              <w:right w:val="single" w:sz="4" w:space="0" w:color="auto"/>
            </w:tcBorders>
            <w:shd w:val="clear" w:color="000000" w:fill="E2EFDA"/>
            <w:noWrap/>
            <w:vAlign w:val="bottom"/>
          </w:tcPr>
          <w:p w14:paraId="699DC0E7" w14:textId="77777777" w:rsidR="002F1691" w:rsidRPr="0023003D" w:rsidRDefault="002F1691" w:rsidP="002F1691">
            <w:pPr>
              <w:jc w:val="right"/>
              <w:rPr>
                <w:rFonts w:ascii="Calibri" w:hAnsi="Calibri" w:cs="Calibri"/>
                <w:color w:val="000000"/>
                <w:sz w:val="18"/>
                <w:szCs w:val="18"/>
              </w:rPr>
            </w:pPr>
            <w:r w:rsidRPr="0023003D">
              <w:rPr>
                <w:rFonts w:ascii="Calibri" w:hAnsi="Calibri" w:cs="Calibri"/>
                <w:color w:val="000000"/>
                <w:sz w:val="18"/>
                <w:szCs w:val="18"/>
              </w:rPr>
              <w:t>60%</w:t>
            </w:r>
          </w:p>
        </w:tc>
      </w:tr>
    </w:tbl>
    <w:p w14:paraId="2B6B969D" w14:textId="77777777" w:rsidR="002F1691" w:rsidRPr="00192708" w:rsidRDefault="002F1691" w:rsidP="002F1691">
      <w:pPr>
        <w:jc w:val="center"/>
        <w:rPr>
          <w:sz w:val="18"/>
          <w:lang w:val="es-ES"/>
        </w:rPr>
      </w:pPr>
    </w:p>
    <w:p w14:paraId="597DDAFA" w14:textId="77777777" w:rsidR="002F1691" w:rsidRDefault="002F1691" w:rsidP="002F1691">
      <w:pPr>
        <w:jc w:val="center"/>
        <w:rPr>
          <w:sz w:val="18"/>
          <w:lang w:val="es-ES"/>
        </w:rPr>
      </w:pPr>
      <w:r w:rsidRPr="00192708">
        <w:rPr>
          <w:sz w:val="18"/>
          <w:lang w:val="es-ES"/>
        </w:rPr>
        <w:t xml:space="preserve">Nota: </w:t>
      </w:r>
      <w:r>
        <w:rPr>
          <w:sz w:val="18"/>
          <w:lang w:val="es-ES"/>
        </w:rPr>
        <w:t>Elaborado con base en cálculos del consultor</w:t>
      </w:r>
    </w:p>
    <w:p w14:paraId="4C468FC5" w14:textId="77777777" w:rsidR="002F1691" w:rsidRDefault="002F1691" w:rsidP="002F1691">
      <w:pPr>
        <w:jc w:val="center"/>
        <w:rPr>
          <w:sz w:val="18"/>
          <w:lang w:val="es-ES"/>
        </w:rPr>
      </w:pPr>
      <w:r>
        <w:rPr>
          <w:sz w:val="18"/>
          <w:lang w:val="es-ES"/>
        </w:rPr>
        <w:t>Valores presentes consideran flujos descontados del horizonte completo</w:t>
      </w:r>
    </w:p>
    <w:p w14:paraId="4A06686F" w14:textId="77777777" w:rsidR="002F1691" w:rsidRDefault="002F1691" w:rsidP="002F1691">
      <w:pPr>
        <w:spacing w:before="120"/>
        <w:rPr>
          <w:lang w:val="es-ES"/>
        </w:rPr>
      </w:pPr>
    </w:p>
    <w:p w14:paraId="72E14B6E" w14:textId="484CEBC2" w:rsidR="002F1691" w:rsidRDefault="002F1691" w:rsidP="00D86D30">
      <w:pPr>
        <w:spacing w:before="120"/>
        <w:jc w:val="both"/>
        <w:rPr>
          <w:lang w:val="es-ES_tradnl"/>
        </w:rPr>
      </w:pPr>
      <w:r w:rsidRPr="00184387">
        <w:rPr>
          <w:lang w:val="es-ES"/>
        </w:rPr>
        <w:t xml:space="preserve">Se observa que luego </w:t>
      </w:r>
      <w:r>
        <w:rPr>
          <w:lang w:val="es-ES"/>
        </w:rPr>
        <w:t>de iniciar el proyecto</w:t>
      </w:r>
      <w:r w:rsidRPr="00184387">
        <w:rPr>
          <w:lang w:val="es-ES"/>
        </w:rPr>
        <w:t xml:space="preserve">, los niveles de ahorro energético en iluminación serían del orden de </w:t>
      </w:r>
      <w:r>
        <w:rPr>
          <w:lang w:val="es-ES"/>
        </w:rPr>
        <w:t>76</w:t>
      </w:r>
      <w:r w:rsidRPr="00184387">
        <w:rPr>
          <w:lang w:val="es-ES"/>
        </w:rPr>
        <w:t xml:space="preserve">% con respecto al escenario sin proyecto, lo cual representa un gran beneficio económico medido en valor presente, que justifica el cambio de iluminación aun cuando el costo de </w:t>
      </w:r>
      <w:r>
        <w:rPr>
          <w:lang w:val="es-ES"/>
        </w:rPr>
        <w:t>lamparas</w:t>
      </w:r>
      <w:r w:rsidRPr="00184387">
        <w:rPr>
          <w:lang w:val="es-ES"/>
        </w:rPr>
        <w:t xml:space="preserve"> LED sea muy superior al de </w:t>
      </w:r>
      <w:r>
        <w:rPr>
          <w:lang w:val="es-ES"/>
        </w:rPr>
        <w:t>vapor de sodio</w:t>
      </w:r>
      <w:r w:rsidRPr="00184387">
        <w:rPr>
          <w:lang w:val="es-ES"/>
        </w:rPr>
        <w:t>.</w:t>
      </w:r>
      <w:bookmarkStart w:id="28" w:name="_Toc514264344"/>
      <w:r w:rsidRPr="002F1691">
        <w:rPr>
          <w:lang w:val="es-ES_tradnl"/>
        </w:rPr>
        <w:t xml:space="preserve"> Resumen de resultados de medidas de EE analizadas</w:t>
      </w:r>
      <w:bookmarkEnd w:id="28"/>
    </w:p>
    <w:p w14:paraId="49FD3DAE" w14:textId="77777777" w:rsidR="00D86D30" w:rsidRPr="002F1691" w:rsidRDefault="00D86D30" w:rsidP="00D86D30">
      <w:pPr>
        <w:spacing w:before="120"/>
        <w:jc w:val="both"/>
        <w:rPr>
          <w:lang w:val="es-ES_tradnl"/>
        </w:rPr>
      </w:pPr>
    </w:p>
    <w:p w14:paraId="4817A463" w14:textId="649BCAF1" w:rsidR="002F1691" w:rsidRPr="002F1691" w:rsidRDefault="002F1691" w:rsidP="00D86D30">
      <w:pPr>
        <w:jc w:val="both"/>
        <w:rPr>
          <w:b/>
          <w:lang w:val="es-ES_tradnl"/>
        </w:rPr>
      </w:pPr>
      <w:r w:rsidRPr="002F1691">
        <w:rPr>
          <w:lang w:val="es-ES_tradnl"/>
        </w:rPr>
        <w:t xml:space="preserve">La </w:t>
      </w:r>
      <w:r>
        <w:fldChar w:fldCharType="begin"/>
      </w:r>
      <w:r w:rsidRPr="002F1691">
        <w:rPr>
          <w:lang w:val="es-ES_tradnl"/>
        </w:rPr>
        <w:instrText xml:space="preserve"> REF _Ref512501845 \h </w:instrText>
      </w:r>
      <w:r w:rsidR="00D86D30" w:rsidRPr="00D86D30">
        <w:rPr>
          <w:lang w:val="es-ES_tradnl"/>
        </w:rPr>
        <w:instrText xml:space="preserve"> \* MERGEFORMAT </w:instrText>
      </w:r>
      <w:r>
        <w:fldChar w:fldCharType="separate"/>
      </w:r>
      <w:r w:rsidRPr="002F1691">
        <w:rPr>
          <w:b/>
          <w:lang w:val="es-ES_tradnl"/>
        </w:rPr>
        <w:t xml:space="preserve">Tabla </w:t>
      </w:r>
      <w:r>
        <w:fldChar w:fldCharType="end"/>
      </w:r>
      <w:r w:rsidR="00D86D30" w:rsidRPr="00D86D30">
        <w:rPr>
          <w:lang w:val="es-ES_tradnl"/>
        </w:rPr>
        <w:t>18</w:t>
      </w:r>
      <w:r w:rsidRPr="002F1691">
        <w:rPr>
          <w:lang w:val="es-ES_tradnl"/>
        </w:rPr>
        <w:t xml:space="preserve"> y la </w:t>
      </w:r>
      <w:r w:rsidRPr="00BB38CA">
        <w:fldChar w:fldCharType="begin"/>
      </w:r>
      <w:r w:rsidRPr="002F1691">
        <w:rPr>
          <w:lang w:val="es-ES_tradnl"/>
        </w:rPr>
        <w:instrText xml:space="preserve"> REF _Ref476135215 \h  \* MERGEFORMAT </w:instrText>
      </w:r>
      <w:r w:rsidRPr="00BB38CA">
        <w:fldChar w:fldCharType="separate"/>
      </w:r>
      <w:r w:rsidRPr="002F1691">
        <w:rPr>
          <w:b/>
          <w:lang w:val="es-ES_tradnl"/>
        </w:rPr>
        <w:t xml:space="preserve">Tabla </w:t>
      </w:r>
      <w:r w:rsidRPr="00BB38CA">
        <w:fldChar w:fldCharType="end"/>
      </w:r>
      <w:r w:rsidR="00D86D30" w:rsidRPr="00D86D30">
        <w:rPr>
          <w:lang w:val="es-ES_tradnl"/>
        </w:rPr>
        <w:t>19</w:t>
      </w:r>
      <w:r w:rsidRPr="002F1691">
        <w:rPr>
          <w:lang w:val="es-ES_tradnl"/>
        </w:rPr>
        <w:t xml:space="preserve"> resumen los efectos energéticos y ambientales por la implementación de las medidas en el sector residencial y de alumbrado público.</w:t>
      </w:r>
      <w:bookmarkStart w:id="29" w:name="_Ref473211879"/>
      <w:bookmarkStart w:id="30" w:name="_Ref476135197"/>
      <w:bookmarkStart w:id="31" w:name="_Toc473268559"/>
      <w:bookmarkStart w:id="32" w:name="_Toc476136980"/>
      <w:bookmarkStart w:id="33" w:name="_Toc511931627"/>
    </w:p>
    <w:p w14:paraId="5DEC6535" w14:textId="77777777" w:rsidR="00D86D30" w:rsidRDefault="00D86D30" w:rsidP="002F1691">
      <w:pPr>
        <w:rPr>
          <w:b/>
          <w:lang w:val="es-ES_tradnl"/>
        </w:rPr>
      </w:pPr>
      <w:bookmarkStart w:id="34" w:name="_Ref512501845"/>
      <w:bookmarkStart w:id="35" w:name="_Toc514264375"/>
    </w:p>
    <w:p w14:paraId="4E0A3352" w14:textId="484A1AA1" w:rsidR="002F1691" w:rsidRPr="002F1691" w:rsidRDefault="002F1691" w:rsidP="002F1691">
      <w:pPr>
        <w:rPr>
          <w:b/>
          <w:lang w:val="es-ES_tradnl"/>
        </w:rPr>
      </w:pPr>
      <w:r w:rsidRPr="002F1691">
        <w:rPr>
          <w:b/>
          <w:lang w:val="es-ES_tradnl"/>
        </w:rPr>
        <w:t xml:space="preserve">Tabla </w:t>
      </w:r>
      <w:bookmarkEnd w:id="29"/>
      <w:bookmarkEnd w:id="30"/>
      <w:bookmarkEnd w:id="34"/>
      <w:r w:rsidR="00D86D30">
        <w:rPr>
          <w:b/>
          <w:lang w:val="es-ES_tradnl"/>
        </w:rPr>
        <w:t>18</w:t>
      </w:r>
      <w:r w:rsidRPr="002F1691">
        <w:rPr>
          <w:b/>
          <w:lang w:val="es-ES_tradnl"/>
        </w:rPr>
        <w:t xml:space="preserve"> – Potencial ahorro energético por la implementación de medidas de eficiencia energética (GWh)</w:t>
      </w:r>
      <w:bookmarkEnd w:id="31"/>
      <w:bookmarkEnd w:id="32"/>
      <w:bookmarkEnd w:id="33"/>
      <w:bookmarkEnd w:id="35"/>
    </w:p>
    <w:tbl>
      <w:tblPr>
        <w:tblW w:w="5000" w:type="pct"/>
        <w:tblCellMar>
          <w:left w:w="70" w:type="dxa"/>
          <w:right w:w="70" w:type="dxa"/>
        </w:tblCellMar>
        <w:tblLook w:val="04A0" w:firstRow="1" w:lastRow="0" w:firstColumn="1" w:lastColumn="0" w:noHBand="0" w:noVBand="1"/>
      </w:tblPr>
      <w:tblGrid>
        <w:gridCol w:w="3466"/>
        <w:gridCol w:w="658"/>
        <w:gridCol w:w="658"/>
        <w:gridCol w:w="658"/>
        <w:gridCol w:w="658"/>
        <w:gridCol w:w="571"/>
        <w:gridCol w:w="661"/>
        <w:gridCol w:w="654"/>
        <w:gridCol w:w="651"/>
      </w:tblGrid>
      <w:tr w:rsidR="002F1691" w:rsidRPr="009A549A" w14:paraId="4315AB45" w14:textId="77777777" w:rsidTr="002F1691">
        <w:trPr>
          <w:trHeight w:val="259"/>
        </w:trPr>
        <w:tc>
          <w:tcPr>
            <w:tcW w:w="1962" w:type="pct"/>
            <w:tcBorders>
              <w:top w:val="nil"/>
              <w:left w:val="nil"/>
              <w:bottom w:val="single" w:sz="4" w:space="0" w:color="auto"/>
              <w:right w:val="nil"/>
            </w:tcBorders>
            <w:shd w:val="clear" w:color="auto" w:fill="auto"/>
            <w:noWrap/>
            <w:vAlign w:val="bottom"/>
            <w:hideMark/>
          </w:tcPr>
          <w:p w14:paraId="785FA3F5" w14:textId="77777777" w:rsidR="002F1691" w:rsidRPr="002F1691" w:rsidRDefault="002F1691" w:rsidP="002F1691">
            <w:pPr>
              <w:rPr>
                <w:rFonts w:ascii="Calibri" w:hAnsi="Calibri" w:cs="Calibri"/>
                <w:b/>
                <w:bCs/>
                <w:color w:val="000000"/>
                <w:sz w:val="16"/>
                <w:szCs w:val="16"/>
                <w:lang w:val="es-ES_tradnl" w:eastAsia="es-CO"/>
              </w:rPr>
            </w:pPr>
            <w:bookmarkStart w:id="36" w:name="_Ref473211898"/>
            <w:bookmarkStart w:id="37" w:name="_Toc473268560"/>
            <w:r w:rsidRPr="002F1691">
              <w:rPr>
                <w:rFonts w:ascii="Calibri" w:hAnsi="Calibri" w:cs="Calibri"/>
                <w:b/>
                <w:bCs/>
                <w:color w:val="000000"/>
                <w:sz w:val="16"/>
                <w:szCs w:val="16"/>
                <w:lang w:val="es-ES_tradnl" w:eastAsia="es-CO"/>
              </w:rPr>
              <w:t> </w:t>
            </w:r>
          </w:p>
        </w:tc>
        <w:tc>
          <w:tcPr>
            <w:tcW w:w="387" w:type="pct"/>
            <w:tcBorders>
              <w:top w:val="nil"/>
              <w:left w:val="nil"/>
              <w:bottom w:val="single" w:sz="4" w:space="0" w:color="auto"/>
              <w:right w:val="nil"/>
            </w:tcBorders>
            <w:shd w:val="clear" w:color="auto" w:fill="auto"/>
            <w:noWrap/>
            <w:vAlign w:val="bottom"/>
            <w:hideMark/>
          </w:tcPr>
          <w:p w14:paraId="0821DFAD"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387" w:type="pct"/>
            <w:tcBorders>
              <w:top w:val="single" w:sz="4" w:space="0" w:color="FFFFFF"/>
              <w:left w:val="nil"/>
              <w:bottom w:val="single" w:sz="4" w:space="0" w:color="auto"/>
              <w:right w:val="single" w:sz="4" w:space="0" w:color="FFFFFF"/>
            </w:tcBorders>
            <w:shd w:val="clear" w:color="000000" w:fill="203764"/>
            <w:noWrap/>
            <w:vAlign w:val="bottom"/>
            <w:hideMark/>
          </w:tcPr>
          <w:p w14:paraId="168E9218"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2018</w:t>
            </w:r>
          </w:p>
        </w:tc>
        <w:tc>
          <w:tcPr>
            <w:tcW w:w="387" w:type="pct"/>
            <w:tcBorders>
              <w:top w:val="single" w:sz="4" w:space="0" w:color="FFFFFF"/>
              <w:left w:val="nil"/>
              <w:bottom w:val="single" w:sz="4" w:space="0" w:color="auto"/>
              <w:right w:val="single" w:sz="4" w:space="0" w:color="FFFFFF"/>
            </w:tcBorders>
            <w:shd w:val="clear" w:color="000000" w:fill="203764"/>
            <w:noWrap/>
            <w:vAlign w:val="bottom"/>
            <w:hideMark/>
          </w:tcPr>
          <w:p w14:paraId="76875691"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2019</w:t>
            </w:r>
          </w:p>
        </w:tc>
        <w:tc>
          <w:tcPr>
            <w:tcW w:w="387" w:type="pct"/>
            <w:tcBorders>
              <w:top w:val="single" w:sz="4" w:space="0" w:color="FFFFFF"/>
              <w:left w:val="nil"/>
              <w:bottom w:val="single" w:sz="4" w:space="0" w:color="auto"/>
              <w:right w:val="single" w:sz="4" w:space="0" w:color="FFFFFF"/>
            </w:tcBorders>
            <w:shd w:val="clear" w:color="000000" w:fill="203764"/>
            <w:noWrap/>
            <w:vAlign w:val="bottom"/>
            <w:hideMark/>
          </w:tcPr>
          <w:p w14:paraId="4110ED31"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2020</w:t>
            </w:r>
          </w:p>
        </w:tc>
        <w:tc>
          <w:tcPr>
            <w:tcW w:w="336" w:type="pct"/>
            <w:tcBorders>
              <w:top w:val="single" w:sz="4" w:space="0" w:color="FFFFFF"/>
              <w:left w:val="nil"/>
              <w:bottom w:val="single" w:sz="4" w:space="0" w:color="auto"/>
              <w:right w:val="single" w:sz="4" w:space="0" w:color="FFFFFF"/>
            </w:tcBorders>
            <w:shd w:val="clear" w:color="000000" w:fill="203764"/>
            <w:noWrap/>
            <w:vAlign w:val="bottom"/>
            <w:hideMark/>
          </w:tcPr>
          <w:p w14:paraId="416835A9"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2021</w:t>
            </w:r>
          </w:p>
        </w:tc>
        <w:tc>
          <w:tcPr>
            <w:tcW w:w="388" w:type="pct"/>
            <w:tcBorders>
              <w:top w:val="single" w:sz="4" w:space="0" w:color="FFFFFF"/>
              <w:left w:val="nil"/>
              <w:bottom w:val="single" w:sz="4" w:space="0" w:color="auto"/>
              <w:right w:val="single" w:sz="4" w:space="0" w:color="FFFFFF"/>
            </w:tcBorders>
            <w:shd w:val="clear" w:color="000000" w:fill="203764"/>
            <w:noWrap/>
            <w:vAlign w:val="bottom"/>
            <w:hideMark/>
          </w:tcPr>
          <w:p w14:paraId="55DF6B76"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2022</w:t>
            </w:r>
          </w:p>
        </w:tc>
        <w:tc>
          <w:tcPr>
            <w:tcW w:w="384" w:type="pct"/>
            <w:tcBorders>
              <w:top w:val="single" w:sz="4" w:space="0" w:color="FFFFFF"/>
              <w:left w:val="nil"/>
              <w:bottom w:val="single" w:sz="4" w:space="0" w:color="auto"/>
              <w:right w:val="single" w:sz="4" w:space="0" w:color="FFFFFF" w:themeColor="background1"/>
            </w:tcBorders>
            <w:shd w:val="clear" w:color="000000" w:fill="203764"/>
            <w:vAlign w:val="bottom"/>
          </w:tcPr>
          <w:p w14:paraId="772A6A40"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2023</w:t>
            </w:r>
          </w:p>
        </w:tc>
        <w:tc>
          <w:tcPr>
            <w:tcW w:w="382" w:type="pct"/>
            <w:tcBorders>
              <w:top w:val="single" w:sz="4" w:space="0" w:color="FFFFFF"/>
              <w:left w:val="single" w:sz="4" w:space="0" w:color="FFFFFF" w:themeColor="background1"/>
              <w:bottom w:val="single" w:sz="4" w:space="0" w:color="auto"/>
              <w:right w:val="single" w:sz="4" w:space="0" w:color="FFFFFF"/>
            </w:tcBorders>
            <w:shd w:val="clear" w:color="000000" w:fill="203764"/>
            <w:noWrap/>
            <w:vAlign w:val="bottom"/>
            <w:hideMark/>
          </w:tcPr>
          <w:p w14:paraId="313B1808" w14:textId="77777777" w:rsidR="002F1691" w:rsidRPr="008B23C7" w:rsidRDefault="002F1691" w:rsidP="002F1691">
            <w:pPr>
              <w:jc w:val="center"/>
              <w:rPr>
                <w:rFonts w:ascii="Calibri" w:hAnsi="Calibri" w:cs="Calibri"/>
                <w:color w:val="FFFFFF"/>
                <w:sz w:val="16"/>
                <w:szCs w:val="16"/>
              </w:rPr>
            </w:pPr>
            <w:r w:rsidRPr="008B23C7">
              <w:rPr>
                <w:rFonts w:ascii="Calibri" w:hAnsi="Calibri" w:cs="Calibri"/>
                <w:color w:val="FFFFFF"/>
                <w:sz w:val="16"/>
                <w:szCs w:val="16"/>
              </w:rPr>
              <w:t>2024</w:t>
            </w:r>
          </w:p>
        </w:tc>
      </w:tr>
      <w:tr w:rsidR="002F1691" w:rsidRPr="009A549A" w14:paraId="54881416" w14:textId="77777777" w:rsidTr="002F1691">
        <w:trPr>
          <w:trHeight w:val="259"/>
        </w:trPr>
        <w:tc>
          <w:tcPr>
            <w:tcW w:w="1962" w:type="pct"/>
            <w:tcBorders>
              <w:top w:val="nil"/>
              <w:left w:val="nil"/>
              <w:bottom w:val="single" w:sz="4" w:space="0" w:color="auto"/>
              <w:right w:val="nil"/>
            </w:tcBorders>
            <w:shd w:val="clear" w:color="000000" w:fill="E7E6E6"/>
            <w:noWrap/>
            <w:vAlign w:val="bottom"/>
            <w:hideMark/>
          </w:tcPr>
          <w:p w14:paraId="31585108"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lastRenderedPageBreak/>
              <w:t>Sector Residencial</w:t>
            </w:r>
          </w:p>
        </w:tc>
        <w:tc>
          <w:tcPr>
            <w:tcW w:w="387" w:type="pct"/>
            <w:tcBorders>
              <w:top w:val="nil"/>
              <w:left w:val="nil"/>
              <w:bottom w:val="single" w:sz="4" w:space="0" w:color="auto"/>
              <w:right w:val="nil"/>
            </w:tcBorders>
            <w:shd w:val="clear" w:color="000000" w:fill="E7E6E6"/>
            <w:noWrap/>
            <w:vAlign w:val="bottom"/>
            <w:hideMark/>
          </w:tcPr>
          <w:p w14:paraId="24296704"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387" w:type="pct"/>
            <w:tcBorders>
              <w:top w:val="nil"/>
              <w:left w:val="nil"/>
              <w:bottom w:val="single" w:sz="4" w:space="0" w:color="auto"/>
              <w:right w:val="nil"/>
            </w:tcBorders>
            <w:shd w:val="clear" w:color="000000" w:fill="E7E6E6"/>
            <w:noWrap/>
            <w:vAlign w:val="bottom"/>
            <w:hideMark/>
          </w:tcPr>
          <w:p w14:paraId="6361C663" w14:textId="77777777" w:rsidR="002F1691" w:rsidRPr="008B23C7" w:rsidRDefault="002F1691" w:rsidP="002F1691">
            <w:pPr>
              <w:rPr>
                <w:rFonts w:ascii="Calibri" w:hAnsi="Calibri" w:cs="Calibri"/>
                <w:color w:val="000000"/>
                <w:sz w:val="16"/>
                <w:szCs w:val="16"/>
              </w:rPr>
            </w:pPr>
            <w:r w:rsidRPr="008B23C7">
              <w:rPr>
                <w:rFonts w:ascii="Calibri" w:hAnsi="Calibri" w:cs="Calibri"/>
                <w:color w:val="000000"/>
                <w:sz w:val="16"/>
                <w:szCs w:val="16"/>
              </w:rPr>
              <w:t> </w:t>
            </w:r>
          </w:p>
        </w:tc>
        <w:tc>
          <w:tcPr>
            <w:tcW w:w="387" w:type="pct"/>
            <w:tcBorders>
              <w:top w:val="nil"/>
              <w:left w:val="nil"/>
              <w:bottom w:val="single" w:sz="4" w:space="0" w:color="auto"/>
              <w:right w:val="nil"/>
            </w:tcBorders>
            <w:shd w:val="clear" w:color="000000" w:fill="E7E6E6"/>
            <w:noWrap/>
            <w:vAlign w:val="bottom"/>
            <w:hideMark/>
          </w:tcPr>
          <w:p w14:paraId="3904BE2C" w14:textId="77777777" w:rsidR="002F1691" w:rsidRPr="008B23C7" w:rsidRDefault="002F1691" w:rsidP="002F1691">
            <w:pPr>
              <w:rPr>
                <w:rFonts w:ascii="Calibri" w:hAnsi="Calibri" w:cs="Calibri"/>
                <w:color w:val="000000"/>
                <w:sz w:val="16"/>
                <w:szCs w:val="16"/>
              </w:rPr>
            </w:pPr>
            <w:r w:rsidRPr="008B23C7">
              <w:rPr>
                <w:rFonts w:ascii="Calibri" w:hAnsi="Calibri" w:cs="Calibri"/>
                <w:color w:val="000000"/>
                <w:sz w:val="16"/>
                <w:szCs w:val="16"/>
              </w:rPr>
              <w:t> </w:t>
            </w:r>
          </w:p>
        </w:tc>
        <w:tc>
          <w:tcPr>
            <w:tcW w:w="387" w:type="pct"/>
            <w:tcBorders>
              <w:top w:val="nil"/>
              <w:left w:val="nil"/>
              <w:bottom w:val="single" w:sz="4" w:space="0" w:color="auto"/>
              <w:right w:val="nil"/>
            </w:tcBorders>
            <w:shd w:val="clear" w:color="000000" w:fill="E7E6E6"/>
            <w:noWrap/>
            <w:vAlign w:val="bottom"/>
            <w:hideMark/>
          </w:tcPr>
          <w:p w14:paraId="060081A5" w14:textId="77777777" w:rsidR="002F1691" w:rsidRPr="008B23C7" w:rsidRDefault="002F1691" w:rsidP="002F1691">
            <w:pPr>
              <w:rPr>
                <w:rFonts w:ascii="Calibri" w:hAnsi="Calibri" w:cs="Calibri"/>
                <w:color w:val="000000"/>
                <w:sz w:val="16"/>
                <w:szCs w:val="16"/>
              </w:rPr>
            </w:pPr>
            <w:r w:rsidRPr="008B23C7">
              <w:rPr>
                <w:rFonts w:ascii="Calibri" w:hAnsi="Calibri" w:cs="Calibri"/>
                <w:color w:val="000000"/>
                <w:sz w:val="16"/>
                <w:szCs w:val="16"/>
              </w:rPr>
              <w:t> </w:t>
            </w:r>
          </w:p>
        </w:tc>
        <w:tc>
          <w:tcPr>
            <w:tcW w:w="336" w:type="pct"/>
            <w:tcBorders>
              <w:top w:val="nil"/>
              <w:left w:val="nil"/>
              <w:bottom w:val="single" w:sz="4" w:space="0" w:color="auto"/>
              <w:right w:val="nil"/>
            </w:tcBorders>
            <w:shd w:val="clear" w:color="000000" w:fill="E7E6E6"/>
            <w:noWrap/>
            <w:vAlign w:val="bottom"/>
            <w:hideMark/>
          </w:tcPr>
          <w:p w14:paraId="5C7A3A62" w14:textId="77777777" w:rsidR="002F1691" w:rsidRPr="008B23C7" w:rsidRDefault="002F1691" w:rsidP="002F1691">
            <w:pPr>
              <w:rPr>
                <w:rFonts w:ascii="Calibri" w:hAnsi="Calibri" w:cs="Calibri"/>
                <w:color w:val="000000"/>
                <w:sz w:val="16"/>
                <w:szCs w:val="16"/>
              </w:rPr>
            </w:pPr>
            <w:r w:rsidRPr="008B23C7">
              <w:rPr>
                <w:rFonts w:ascii="Calibri" w:hAnsi="Calibri" w:cs="Calibri"/>
                <w:color w:val="000000"/>
                <w:sz w:val="16"/>
                <w:szCs w:val="16"/>
              </w:rPr>
              <w:t> </w:t>
            </w:r>
          </w:p>
        </w:tc>
        <w:tc>
          <w:tcPr>
            <w:tcW w:w="388" w:type="pct"/>
            <w:tcBorders>
              <w:top w:val="nil"/>
              <w:left w:val="nil"/>
              <w:bottom w:val="single" w:sz="4" w:space="0" w:color="auto"/>
              <w:right w:val="nil"/>
            </w:tcBorders>
            <w:shd w:val="clear" w:color="000000" w:fill="E7E6E6"/>
            <w:noWrap/>
            <w:vAlign w:val="bottom"/>
            <w:hideMark/>
          </w:tcPr>
          <w:p w14:paraId="581E9838" w14:textId="77777777" w:rsidR="002F1691" w:rsidRPr="008B23C7" w:rsidRDefault="002F1691" w:rsidP="002F1691">
            <w:pPr>
              <w:rPr>
                <w:rFonts w:ascii="Calibri" w:hAnsi="Calibri" w:cs="Calibri"/>
                <w:color w:val="000000"/>
                <w:sz w:val="16"/>
                <w:szCs w:val="16"/>
              </w:rPr>
            </w:pPr>
            <w:r w:rsidRPr="008B23C7">
              <w:rPr>
                <w:rFonts w:ascii="Calibri" w:hAnsi="Calibri" w:cs="Calibri"/>
                <w:color w:val="000000"/>
                <w:sz w:val="16"/>
                <w:szCs w:val="16"/>
              </w:rPr>
              <w:t> </w:t>
            </w:r>
          </w:p>
        </w:tc>
        <w:tc>
          <w:tcPr>
            <w:tcW w:w="384" w:type="pct"/>
            <w:tcBorders>
              <w:top w:val="nil"/>
              <w:left w:val="nil"/>
              <w:bottom w:val="single" w:sz="4" w:space="0" w:color="auto"/>
              <w:right w:val="nil"/>
            </w:tcBorders>
            <w:shd w:val="clear" w:color="000000" w:fill="E7E6E6"/>
            <w:vAlign w:val="bottom"/>
          </w:tcPr>
          <w:p w14:paraId="28C27549" w14:textId="77777777" w:rsidR="002F1691" w:rsidRPr="008B23C7" w:rsidRDefault="002F1691" w:rsidP="002F1691">
            <w:pPr>
              <w:rPr>
                <w:rFonts w:ascii="Calibri" w:hAnsi="Calibri" w:cs="Calibri"/>
                <w:color w:val="806000"/>
                <w:sz w:val="16"/>
                <w:szCs w:val="16"/>
              </w:rPr>
            </w:pPr>
            <w:r w:rsidRPr="008B23C7">
              <w:rPr>
                <w:rFonts w:ascii="Calibri" w:hAnsi="Calibri" w:cs="Calibri"/>
                <w:color w:val="806000"/>
                <w:sz w:val="16"/>
                <w:szCs w:val="16"/>
              </w:rPr>
              <w:t> </w:t>
            </w:r>
          </w:p>
        </w:tc>
        <w:tc>
          <w:tcPr>
            <w:tcW w:w="382" w:type="pct"/>
            <w:tcBorders>
              <w:top w:val="nil"/>
              <w:left w:val="nil"/>
              <w:bottom w:val="single" w:sz="4" w:space="0" w:color="auto"/>
              <w:right w:val="nil"/>
            </w:tcBorders>
            <w:shd w:val="clear" w:color="000000" w:fill="E7E6E6"/>
            <w:noWrap/>
            <w:vAlign w:val="bottom"/>
            <w:hideMark/>
          </w:tcPr>
          <w:p w14:paraId="471A3C4C" w14:textId="77777777" w:rsidR="002F1691" w:rsidRPr="008B23C7" w:rsidRDefault="002F1691" w:rsidP="002F1691">
            <w:pPr>
              <w:rPr>
                <w:rFonts w:ascii="Calibri" w:hAnsi="Calibri" w:cs="Calibri"/>
                <w:color w:val="806000"/>
                <w:sz w:val="16"/>
                <w:szCs w:val="16"/>
              </w:rPr>
            </w:pPr>
            <w:r w:rsidRPr="008B23C7">
              <w:rPr>
                <w:rFonts w:ascii="Calibri" w:hAnsi="Calibri" w:cs="Calibri"/>
                <w:color w:val="806000"/>
                <w:sz w:val="16"/>
                <w:szCs w:val="16"/>
              </w:rPr>
              <w:t> </w:t>
            </w:r>
          </w:p>
        </w:tc>
      </w:tr>
      <w:tr w:rsidR="002F1691" w:rsidRPr="009A549A" w14:paraId="392AB2E1" w14:textId="77777777" w:rsidTr="002F1691">
        <w:trPr>
          <w:trHeight w:val="259"/>
        </w:trPr>
        <w:tc>
          <w:tcPr>
            <w:tcW w:w="1962" w:type="pct"/>
            <w:tcBorders>
              <w:top w:val="nil"/>
              <w:left w:val="nil"/>
              <w:bottom w:val="nil"/>
              <w:right w:val="nil"/>
            </w:tcBorders>
            <w:shd w:val="clear" w:color="auto" w:fill="auto"/>
            <w:noWrap/>
            <w:vAlign w:val="bottom"/>
            <w:hideMark/>
          </w:tcPr>
          <w:p w14:paraId="03778017"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Cambio de bombillos</w:t>
            </w:r>
          </w:p>
        </w:tc>
        <w:tc>
          <w:tcPr>
            <w:tcW w:w="387" w:type="pct"/>
            <w:tcBorders>
              <w:top w:val="nil"/>
              <w:left w:val="nil"/>
              <w:bottom w:val="nil"/>
              <w:right w:val="nil"/>
            </w:tcBorders>
            <w:shd w:val="clear" w:color="auto" w:fill="auto"/>
            <w:noWrap/>
            <w:vAlign w:val="bottom"/>
            <w:hideMark/>
          </w:tcPr>
          <w:p w14:paraId="1A799BA5"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387" w:type="pct"/>
            <w:tcBorders>
              <w:top w:val="nil"/>
              <w:left w:val="nil"/>
              <w:bottom w:val="nil"/>
              <w:right w:val="nil"/>
            </w:tcBorders>
            <w:shd w:val="clear" w:color="auto" w:fill="auto"/>
            <w:noWrap/>
            <w:vAlign w:val="bottom"/>
            <w:hideMark/>
          </w:tcPr>
          <w:p w14:paraId="4654BFA4"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248</w:t>
            </w:r>
          </w:p>
        </w:tc>
        <w:tc>
          <w:tcPr>
            <w:tcW w:w="387" w:type="pct"/>
            <w:tcBorders>
              <w:top w:val="nil"/>
              <w:left w:val="nil"/>
              <w:bottom w:val="nil"/>
              <w:right w:val="nil"/>
            </w:tcBorders>
            <w:shd w:val="clear" w:color="auto" w:fill="auto"/>
            <w:noWrap/>
            <w:vAlign w:val="bottom"/>
            <w:hideMark/>
          </w:tcPr>
          <w:p w14:paraId="3C48C0FC"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498</w:t>
            </w:r>
          </w:p>
        </w:tc>
        <w:tc>
          <w:tcPr>
            <w:tcW w:w="387" w:type="pct"/>
            <w:tcBorders>
              <w:top w:val="nil"/>
              <w:left w:val="nil"/>
              <w:bottom w:val="nil"/>
              <w:right w:val="nil"/>
            </w:tcBorders>
            <w:shd w:val="clear" w:color="auto" w:fill="auto"/>
            <w:noWrap/>
            <w:vAlign w:val="bottom"/>
            <w:hideMark/>
          </w:tcPr>
          <w:p w14:paraId="4E20452F"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614</w:t>
            </w:r>
          </w:p>
        </w:tc>
        <w:tc>
          <w:tcPr>
            <w:tcW w:w="336" w:type="pct"/>
            <w:tcBorders>
              <w:top w:val="nil"/>
              <w:left w:val="nil"/>
              <w:bottom w:val="nil"/>
              <w:right w:val="nil"/>
            </w:tcBorders>
            <w:shd w:val="clear" w:color="auto" w:fill="auto"/>
            <w:noWrap/>
            <w:vAlign w:val="bottom"/>
            <w:hideMark/>
          </w:tcPr>
          <w:p w14:paraId="470AFA69"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733</w:t>
            </w:r>
          </w:p>
        </w:tc>
        <w:tc>
          <w:tcPr>
            <w:tcW w:w="388" w:type="pct"/>
            <w:tcBorders>
              <w:top w:val="nil"/>
              <w:left w:val="nil"/>
              <w:bottom w:val="nil"/>
              <w:right w:val="nil"/>
            </w:tcBorders>
            <w:shd w:val="clear" w:color="auto" w:fill="auto"/>
            <w:noWrap/>
            <w:vAlign w:val="bottom"/>
            <w:hideMark/>
          </w:tcPr>
          <w:p w14:paraId="0B355BEC"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854</w:t>
            </w:r>
          </w:p>
        </w:tc>
        <w:tc>
          <w:tcPr>
            <w:tcW w:w="384" w:type="pct"/>
            <w:tcBorders>
              <w:top w:val="nil"/>
              <w:left w:val="nil"/>
              <w:bottom w:val="nil"/>
              <w:right w:val="nil"/>
            </w:tcBorders>
            <w:vAlign w:val="bottom"/>
          </w:tcPr>
          <w:p w14:paraId="1914350B"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978</w:t>
            </w:r>
          </w:p>
        </w:tc>
        <w:tc>
          <w:tcPr>
            <w:tcW w:w="382" w:type="pct"/>
            <w:tcBorders>
              <w:top w:val="nil"/>
              <w:left w:val="nil"/>
              <w:bottom w:val="nil"/>
              <w:right w:val="nil"/>
            </w:tcBorders>
            <w:shd w:val="clear" w:color="auto" w:fill="auto"/>
            <w:noWrap/>
            <w:vAlign w:val="bottom"/>
            <w:hideMark/>
          </w:tcPr>
          <w:p w14:paraId="3743A556"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1.103</w:t>
            </w:r>
          </w:p>
        </w:tc>
      </w:tr>
      <w:tr w:rsidR="002F1691" w:rsidRPr="009A549A" w14:paraId="7EB0E0D7" w14:textId="77777777" w:rsidTr="002F1691">
        <w:trPr>
          <w:trHeight w:val="259"/>
        </w:trPr>
        <w:tc>
          <w:tcPr>
            <w:tcW w:w="1962" w:type="pct"/>
            <w:tcBorders>
              <w:top w:val="nil"/>
              <w:left w:val="nil"/>
              <w:bottom w:val="single" w:sz="4" w:space="0" w:color="auto"/>
              <w:right w:val="nil"/>
            </w:tcBorders>
            <w:shd w:val="clear" w:color="auto" w:fill="auto"/>
            <w:noWrap/>
            <w:vAlign w:val="bottom"/>
            <w:hideMark/>
          </w:tcPr>
          <w:p w14:paraId="361D2506"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Total ahorro anual Sector Residencial (GWh)</w:t>
            </w:r>
          </w:p>
        </w:tc>
        <w:tc>
          <w:tcPr>
            <w:tcW w:w="387" w:type="pct"/>
            <w:tcBorders>
              <w:top w:val="nil"/>
              <w:left w:val="nil"/>
              <w:bottom w:val="single" w:sz="4" w:space="0" w:color="auto"/>
              <w:right w:val="nil"/>
            </w:tcBorders>
            <w:shd w:val="clear" w:color="auto" w:fill="auto"/>
            <w:noWrap/>
            <w:vAlign w:val="bottom"/>
            <w:hideMark/>
          </w:tcPr>
          <w:p w14:paraId="1722355E"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387" w:type="pct"/>
            <w:tcBorders>
              <w:top w:val="nil"/>
              <w:left w:val="nil"/>
              <w:bottom w:val="single" w:sz="4" w:space="0" w:color="auto"/>
              <w:right w:val="nil"/>
            </w:tcBorders>
            <w:shd w:val="clear" w:color="auto" w:fill="auto"/>
            <w:noWrap/>
            <w:vAlign w:val="bottom"/>
            <w:hideMark/>
          </w:tcPr>
          <w:p w14:paraId="166616FD"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248</w:t>
            </w:r>
          </w:p>
        </w:tc>
        <w:tc>
          <w:tcPr>
            <w:tcW w:w="387" w:type="pct"/>
            <w:tcBorders>
              <w:top w:val="nil"/>
              <w:left w:val="nil"/>
              <w:bottom w:val="single" w:sz="4" w:space="0" w:color="auto"/>
              <w:right w:val="nil"/>
            </w:tcBorders>
            <w:shd w:val="clear" w:color="auto" w:fill="auto"/>
            <w:noWrap/>
            <w:vAlign w:val="bottom"/>
            <w:hideMark/>
          </w:tcPr>
          <w:p w14:paraId="658CB875"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498</w:t>
            </w:r>
          </w:p>
        </w:tc>
        <w:tc>
          <w:tcPr>
            <w:tcW w:w="387" w:type="pct"/>
            <w:tcBorders>
              <w:top w:val="nil"/>
              <w:left w:val="nil"/>
              <w:bottom w:val="single" w:sz="4" w:space="0" w:color="auto"/>
              <w:right w:val="nil"/>
            </w:tcBorders>
            <w:shd w:val="clear" w:color="auto" w:fill="auto"/>
            <w:noWrap/>
            <w:vAlign w:val="bottom"/>
            <w:hideMark/>
          </w:tcPr>
          <w:p w14:paraId="628D4475"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614</w:t>
            </w:r>
          </w:p>
        </w:tc>
        <w:tc>
          <w:tcPr>
            <w:tcW w:w="336" w:type="pct"/>
            <w:tcBorders>
              <w:top w:val="nil"/>
              <w:left w:val="nil"/>
              <w:bottom w:val="single" w:sz="4" w:space="0" w:color="auto"/>
              <w:right w:val="nil"/>
            </w:tcBorders>
            <w:shd w:val="clear" w:color="auto" w:fill="auto"/>
            <w:noWrap/>
            <w:vAlign w:val="bottom"/>
            <w:hideMark/>
          </w:tcPr>
          <w:p w14:paraId="6088222E"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733</w:t>
            </w:r>
          </w:p>
        </w:tc>
        <w:tc>
          <w:tcPr>
            <w:tcW w:w="388" w:type="pct"/>
            <w:tcBorders>
              <w:top w:val="nil"/>
              <w:left w:val="nil"/>
              <w:bottom w:val="single" w:sz="4" w:space="0" w:color="auto"/>
              <w:right w:val="nil"/>
            </w:tcBorders>
            <w:shd w:val="clear" w:color="auto" w:fill="auto"/>
            <w:noWrap/>
            <w:vAlign w:val="bottom"/>
            <w:hideMark/>
          </w:tcPr>
          <w:p w14:paraId="61942B35"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854</w:t>
            </w:r>
          </w:p>
        </w:tc>
        <w:tc>
          <w:tcPr>
            <w:tcW w:w="384" w:type="pct"/>
            <w:tcBorders>
              <w:top w:val="nil"/>
              <w:left w:val="nil"/>
              <w:bottom w:val="single" w:sz="4" w:space="0" w:color="auto"/>
              <w:right w:val="nil"/>
            </w:tcBorders>
            <w:vAlign w:val="bottom"/>
          </w:tcPr>
          <w:p w14:paraId="0C4A6AB2"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978</w:t>
            </w:r>
          </w:p>
        </w:tc>
        <w:tc>
          <w:tcPr>
            <w:tcW w:w="382" w:type="pct"/>
            <w:tcBorders>
              <w:top w:val="nil"/>
              <w:left w:val="nil"/>
              <w:bottom w:val="single" w:sz="4" w:space="0" w:color="auto"/>
              <w:right w:val="nil"/>
            </w:tcBorders>
            <w:shd w:val="clear" w:color="auto" w:fill="auto"/>
            <w:noWrap/>
            <w:vAlign w:val="bottom"/>
            <w:hideMark/>
          </w:tcPr>
          <w:p w14:paraId="1DEBEB5C"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1.103</w:t>
            </w:r>
          </w:p>
        </w:tc>
      </w:tr>
      <w:tr w:rsidR="002F1691" w:rsidRPr="009A549A" w14:paraId="2645743B" w14:textId="77777777" w:rsidTr="002F1691">
        <w:trPr>
          <w:trHeight w:val="259"/>
        </w:trPr>
        <w:tc>
          <w:tcPr>
            <w:tcW w:w="1962" w:type="pct"/>
            <w:tcBorders>
              <w:top w:val="nil"/>
              <w:left w:val="nil"/>
              <w:bottom w:val="single" w:sz="4" w:space="0" w:color="auto"/>
              <w:right w:val="nil"/>
            </w:tcBorders>
            <w:shd w:val="clear" w:color="auto" w:fill="auto"/>
            <w:noWrap/>
            <w:vAlign w:val="bottom"/>
            <w:hideMark/>
          </w:tcPr>
          <w:p w14:paraId="62AE8FB0"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Ahorro energético acumulado S. Residencial (GWh)</w:t>
            </w:r>
          </w:p>
        </w:tc>
        <w:tc>
          <w:tcPr>
            <w:tcW w:w="387" w:type="pct"/>
            <w:tcBorders>
              <w:top w:val="nil"/>
              <w:left w:val="nil"/>
              <w:bottom w:val="single" w:sz="4" w:space="0" w:color="auto"/>
              <w:right w:val="nil"/>
            </w:tcBorders>
            <w:shd w:val="clear" w:color="auto" w:fill="auto"/>
            <w:noWrap/>
            <w:vAlign w:val="bottom"/>
            <w:hideMark/>
          </w:tcPr>
          <w:p w14:paraId="5DCB4F3E"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387" w:type="pct"/>
            <w:tcBorders>
              <w:top w:val="nil"/>
              <w:left w:val="nil"/>
              <w:bottom w:val="single" w:sz="4" w:space="0" w:color="auto"/>
              <w:right w:val="nil"/>
            </w:tcBorders>
            <w:shd w:val="clear" w:color="auto" w:fill="auto"/>
            <w:noWrap/>
            <w:vAlign w:val="bottom"/>
            <w:hideMark/>
          </w:tcPr>
          <w:p w14:paraId="5BABE479"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248</w:t>
            </w:r>
          </w:p>
        </w:tc>
        <w:tc>
          <w:tcPr>
            <w:tcW w:w="387" w:type="pct"/>
            <w:tcBorders>
              <w:top w:val="nil"/>
              <w:left w:val="nil"/>
              <w:bottom w:val="single" w:sz="4" w:space="0" w:color="auto"/>
              <w:right w:val="nil"/>
            </w:tcBorders>
            <w:shd w:val="clear" w:color="auto" w:fill="auto"/>
            <w:noWrap/>
            <w:vAlign w:val="bottom"/>
            <w:hideMark/>
          </w:tcPr>
          <w:p w14:paraId="6C68E5D3"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746</w:t>
            </w:r>
          </w:p>
        </w:tc>
        <w:tc>
          <w:tcPr>
            <w:tcW w:w="387" w:type="pct"/>
            <w:tcBorders>
              <w:top w:val="nil"/>
              <w:left w:val="nil"/>
              <w:bottom w:val="single" w:sz="4" w:space="0" w:color="auto"/>
              <w:right w:val="nil"/>
            </w:tcBorders>
            <w:shd w:val="clear" w:color="auto" w:fill="auto"/>
            <w:noWrap/>
            <w:vAlign w:val="bottom"/>
            <w:hideMark/>
          </w:tcPr>
          <w:p w14:paraId="0F45B0C3"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1.360</w:t>
            </w:r>
          </w:p>
        </w:tc>
        <w:tc>
          <w:tcPr>
            <w:tcW w:w="336" w:type="pct"/>
            <w:tcBorders>
              <w:top w:val="nil"/>
              <w:left w:val="nil"/>
              <w:bottom w:val="single" w:sz="4" w:space="0" w:color="auto"/>
              <w:right w:val="nil"/>
            </w:tcBorders>
            <w:shd w:val="clear" w:color="auto" w:fill="auto"/>
            <w:noWrap/>
            <w:vAlign w:val="bottom"/>
            <w:hideMark/>
          </w:tcPr>
          <w:p w14:paraId="7F9AEBE6"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2.093</w:t>
            </w:r>
          </w:p>
        </w:tc>
        <w:tc>
          <w:tcPr>
            <w:tcW w:w="388" w:type="pct"/>
            <w:tcBorders>
              <w:top w:val="nil"/>
              <w:left w:val="nil"/>
              <w:bottom w:val="single" w:sz="4" w:space="0" w:color="auto"/>
              <w:right w:val="nil"/>
            </w:tcBorders>
            <w:shd w:val="clear" w:color="auto" w:fill="auto"/>
            <w:noWrap/>
            <w:vAlign w:val="bottom"/>
            <w:hideMark/>
          </w:tcPr>
          <w:p w14:paraId="7558C632"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2.947</w:t>
            </w:r>
          </w:p>
        </w:tc>
        <w:tc>
          <w:tcPr>
            <w:tcW w:w="384" w:type="pct"/>
            <w:tcBorders>
              <w:top w:val="nil"/>
              <w:left w:val="nil"/>
              <w:bottom w:val="single" w:sz="4" w:space="0" w:color="auto"/>
              <w:right w:val="nil"/>
            </w:tcBorders>
            <w:vAlign w:val="bottom"/>
          </w:tcPr>
          <w:p w14:paraId="69B85EE1"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3.925</w:t>
            </w:r>
          </w:p>
        </w:tc>
        <w:tc>
          <w:tcPr>
            <w:tcW w:w="382" w:type="pct"/>
            <w:tcBorders>
              <w:top w:val="nil"/>
              <w:left w:val="nil"/>
              <w:bottom w:val="single" w:sz="4" w:space="0" w:color="auto"/>
              <w:right w:val="nil"/>
            </w:tcBorders>
            <w:shd w:val="clear" w:color="auto" w:fill="auto"/>
            <w:noWrap/>
            <w:vAlign w:val="bottom"/>
            <w:hideMark/>
          </w:tcPr>
          <w:p w14:paraId="611CBB2C"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5.029</w:t>
            </w:r>
          </w:p>
        </w:tc>
      </w:tr>
      <w:tr w:rsidR="002F1691" w:rsidRPr="009A549A" w14:paraId="653B56F8" w14:textId="77777777" w:rsidTr="002F1691">
        <w:trPr>
          <w:trHeight w:val="259"/>
        </w:trPr>
        <w:tc>
          <w:tcPr>
            <w:tcW w:w="1962" w:type="pct"/>
            <w:tcBorders>
              <w:top w:val="nil"/>
              <w:left w:val="nil"/>
              <w:bottom w:val="single" w:sz="4" w:space="0" w:color="auto"/>
              <w:right w:val="nil"/>
            </w:tcBorders>
            <w:shd w:val="clear" w:color="000000" w:fill="E7E6E6"/>
            <w:noWrap/>
            <w:vAlign w:val="bottom"/>
            <w:hideMark/>
          </w:tcPr>
          <w:p w14:paraId="5188CED4"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Alumbrado Público</w:t>
            </w:r>
          </w:p>
        </w:tc>
        <w:tc>
          <w:tcPr>
            <w:tcW w:w="387" w:type="pct"/>
            <w:tcBorders>
              <w:top w:val="nil"/>
              <w:left w:val="nil"/>
              <w:bottom w:val="single" w:sz="4" w:space="0" w:color="auto"/>
              <w:right w:val="nil"/>
            </w:tcBorders>
            <w:shd w:val="clear" w:color="000000" w:fill="E7E6E6"/>
            <w:noWrap/>
            <w:vAlign w:val="bottom"/>
            <w:hideMark/>
          </w:tcPr>
          <w:p w14:paraId="08737B3A" w14:textId="77777777" w:rsidR="002F1691" w:rsidRPr="009A549A" w:rsidRDefault="002F1691" w:rsidP="002F1691">
            <w:pPr>
              <w:rPr>
                <w:rFonts w:ascii="Calibri" w:hAnsi="Calibri" w:cs="Calibri"/>
                <w:color w:val="FF0000"/>
                <w:sz w:val="16"/>
                <w:szCs w:val="16"/>
                <w:lang w:eastAsia="es-CO"/>
              </w:rPr>
            </w:pPr>
            <w:r w:rsidRPr="009A549A">
              <w:rPr>
                <w:rFonts w:ascii="Calibri" w:hAnsi="Calibri" w:cs="Calibri"/>
                <w:color w:val="FF0000"/>
                <w:sz w:val="16"/>
                <w:szCs w:val="16"/>
                <w:lang w:eastAsia="es-CO"/>
              </w:rPr>
              <w:t> </w:t>
            </w:r>
          </w:p>
        </w:tc>
        <w:tc>
          <w:tcPr>
            <w:tcW w:w="387" w:type="pct"/>
            <w:tcBorders>
              <w:top w:val="nil"/>
              <w:left w:val="nil"/>
              <w:bottom w:val="single" w:sz="4" w:space="0" w:color="auto"/>
              <w:right w:val="nil"/>
            </w:tcBorders>
            <w:shd w:val="clear" w:color="000000" w:fill="E7E6E6"/>
            <w:noWrap/>
            <w:vAlign w:val="bottom"/>
            <w:hideMark/>
          </w:tcPr>
          <w:p w14:paraId="514B1C3D"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c>
          <w:tcPr>
            <w:tcW w:w="387" w:type="pct"/>
            <w:tcBorders>
              <w:top w:val="nil"/>
              <w:left w:val="nil"/>
              <w:bottom w:val="single" w:sz="4" w:space="0" w:color="auto"/>
              <w:right w:val="nil"/>
            </w:tcBorders>
            <w:shd w:val="clear" w:color="000000" w:fill="E7E6E6"/>
            <w:noWrap/>
            <w:vAlign w:val="bottom"/>
            <w:hideMark/>
          </w:tcPr>
          <w:p w14:paraId="49872487"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c>
          <w:tcPr>
            <w:tcW w:w="387" w:type="pct"/>
            <w:tcBorders>
              <w:top w:val="nil"/>
              <w:left w:val="nil"/>
              <w:bottom w:val="single" w:sz="4" w:space="0" w:color="auto"/>
              <w:right w:val="nil"/>
            </w:tcBorders>
            <w:shd w:val="clear" w:color="000000" w:fill="E7E6E6"/>
            <w:noWrap/>
            <w:vAlign w:val="bottom"/>
            <w:hideMark/>
          </w:tcPr>
          <w:p w14:paraId="60913D1C"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c>
          <w:tcPr>
            <w:tcW w:w="336" w:type="pct"/>
            <w:tcBorders>
              <w:top w:val="nil"/>
              <w:left w:val="nil"/>
              <w:bottom w:val="single" w:sz="4" w:space="0" w:color="auto"/>
              <w:right w:val="nil"/>
            </w:tcBorders>
            <w:shd w:val="clear" w:color="000000" w:fill="E7E6E6"/>
            <w:noWrap/>
            <w:vAlign w:val="bottom"/>
            <w:hideMark/>
          </w:tcPr>
          <w:p w14:paraId="3EE254DB"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c>
          <w:tcPr>
            <w:tcW w:w="388" w:type="pct"/>
            <w:tcBorders>
              <w:top w:val="nil"/>
              <w:left w:val="nil"/>
              <w:bottom w:val="single" w:sz="4" w:space="0" w:color="auto"/>
              <w:right w:val="nil"/>
            </w:tcBorders>
            <w:shd w:val="clear" w:color="000000" w:fill="E7E6E6"/>
            <w:noWrap/>
            <w:vAlign w:val="bottom"/>
            <w:hideMark/>
          </w:tcPr>
          <w:p w14:paraId="0BDE2ECD"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c>
          <w:tcPr>
            <w:tcW w:w="384" w:type="pct"/>
            <w:tcBorders>
              <w:top w:val="nil"/>
              <w:left w:val="nil"/>
              <w:bottom w:val="single" w:sz="4" w:space="0" w:color="auto"/>
              <w:right w:val="nil"/>
            </w:tcBorders>
            <w:shd w:val="clear" w:color="000000" w:fill="E7E6E6"/>
            <w:vAlign w:val="bottom"/>
          </w:tcPr>
          <w:p w14:paraId="65B62EC2"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c>
          <w:tcPr>
            <w:tcW w:w="382" w:type="pct"/>
            <w:tcBorders>
              <w:top w:val="nil"/>
              <w:left w:val="nil"/>
              <w:bottom w:val="single" w:sz="4" w:space="0" w:color="auto"/>
              <w:right w:val="nil"/>
            </w:tcBorders>
            <w:shd w:val="clear" w:color="000000" w:fill="E7E6E6"/>
            <w:noWrap/>
            <w:vAlign w:val="bottom"/>
            <w:hideMark/>
          </w:tcPr>
          <w:p w14:paraId="192CC2D6" w14:textId="77777777" w:rsidR="002F1691" w:rsidRPr="000F3DF4" w:rsidRDefault="002F1691" w:rsidP="002F1691">
            <w:pPr>
              <w:spacing w:line="360" w:lineRule="auto"/>
              <w:rPr>
                <w:rFonts w:asciiTheme="minorHAnsi" w:hAnsiTheme="minorHAnsi" w:cstheme="minorHAnsi"/>
                <w:color w:val="FF0000"/>
                <w:sz w:val="16"/>
                <w:szCs w:val="16"/>
              </w:rPr>
            </w:pPr>
            <w:r w:rsidRPr="000F3DF4">
              <w:rPr>
                <w:rFonts w:asciiTheme="minorHAnsi" w:hAnsiTheme="minorHAnsi" w:cstheme="minorHAnsi"/>
                <w:color w:val="FF0000"/>
                <w:sz w:val="16"/>
                <w:szCs w:val="16"/>
              </w:rPr>
              <w:t> </w:t>
            </w:r>
          </w:p>
        </w:tc>
      </w:tr>
      <w:tr w:rsidR="002F1691" w:rsidRPr="009A549A" w14:paraId="4165F7E7" w14:textId="77777777" w:rsidTr="002F1691">
        <w:trPr>
          <w:trHeight w:val="259"/>
        </w:trPr>
        <w:tc>
          <w:tcPr>
            <w:tcW w:w="1962" w:type="pct"/>
            <w:tcBorders>
              <w:top w:val="nil"/>
              <w:left w:val="nil"/>
              <w:bottom w:val="nil"/>
              <w:right w:val="nil"/>
            </w:tcBorders>
            <w:shd w:val="clear" w:color="auto" w:fill="auto"/>
            <w:noWrap/>
            <w:vAlign w:val="bottom"/>
            <w:hideMark/>
          </w:tcPr>
          <w:p w14:paraId="30845005"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Cambio de lamparas</w:t>
            </w:r>
          </w:p>
        </w:tc>
        <w:tc>
          <w:tcPr>
            <w:tcW w:w="387" w:type="pct"/>
            <w:tcBorders>
              <w:top w:val="nil"/>
              <w:left w:val="nil"/>
              <w:bottom w:val="nil"/>
              <w:right w:val="nil"/>
            </w:tcBorders>
            <w:shd w:val="clear" w:color="auto" w:fill="auto"/>
            <w:noWrap/>
            <w:vAlign w:val="bottom"/>
            <w:hideMark/>
          </w:tcPr>
          <w:p w14:paraId="5EFEA72E" w14:textId="77777777" w:rsidR="002F1691" w:rsidRPr="009A549A" w:rsidRDefault="002F1691" w:rsidP="002F1691">
            <w:pPr>
              <w:rPr>
                <w:rFonts w:ascii="Calibri" w:hAnsi="Calibri" w:cs="Calibri"/>
                <w:color w:val="FF0000"/>
                <w:sz w:val="16"/>
                <w:szCs w:val="16"/>
                <w:lang w:eastAsia="es-CO"/>
              </w:rPr>
            </w:pPr>
            <w:r w:rsidRPr="009A549A">
              <w:rPr>
                <w:rFonts w:ascii="Calibri" w:hAnsi="Calibri" w:cs="Calibri"/>
                <w:color w:val="FF0000"/>
                <w:sz w:val="16"/>
                <w:szCs w:val="16"/>
                <w:lang w:eastAsia="es-CO"/>
              </w:rPr>
              <w:t> </w:t>
            </w:r>
          </w:p>
        </w:tc>
        <w:tc>
          <w:tcPr>
            <w:tcW w:w="387" w:type="pct"/>
            <w:tcBorders>
              <w:top w:val="nil"/>
              <w:left w:val="nil"/>
              <w:bottom w:val="nil"/>
              <w:right w:val="nil"/>
            </w:tcBorders>
            <w:shd w:val="clear" w:color="auto" w:fill="auto"/>
            <w:noWrap/>
            <w:vAlign w:val="bottom"/>
            <w:hideMark/>
          </w:tcPr>
          <w:p w14:paraId="6A6087F8"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w:t>
            </w:r>
          </w:p>
        </w:tc>
        <w:tc>
          <w:tcPr>
            <w:tcW w:w="387" w:type="pct"/>
            <w:tcBorders>
              <w:top w:val="nil"/>
              <w:left w:val="nil"/>
              <w:bottom w:val="nil"/>
              <w:right w:val="nil"/>
            </w:tcBorders>
            <w:shd w:val="clear" w:color="auto" w:fill="auto"/>
            <w:noWrap/>
            <w:vAlign w:val="bottom"/>
            <w:hideMark/>
          </w:tcPr>
          <w:p w14:paraId="144D2364"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w:t>
            </w:r>
          </w:p>
        </w:tc>
        <w:tc>
          <w:tcPr>
            <w:tcW w:w="387" w:type="pct"/>
            <w:tcBorders>
              <w:top w:val="nil"/>
              <w:left w:val="nil"/>
              <w:bottom w:val="nil"/>
              <w:right w:val="nil"/>
            </w:tcBorders>
            <w:shd w:val="clear" w:color="auto" w:fill="auto"/>
            <w:noWrap/>
            <w:vAlign w:val="bottom"/>
            <w:hideMark/>
          </w:tcPr>
          <w:p w14:paraId="6E537530"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w:t>
            </w:r>
          </w:p>
        </w:tc>
        <w:tc>
          <w:tcPr>
            <w:tcW w:w="336" w:type="pct"/>
            <w:tcBorders>
              <w:top w:val="nil"/>
              <w:left w:val="nil"/>
              <w:bottom w:val="nil"/>
              <w:right w:val="nil"/>
            </w:tcBorders>
            <w:shd w:val="clear" w:color="auto" w:fill="auto"/>
            <w:noWrap/>
            <w:vAlign w:val="bottom"/>
            <w:hideMark/>
          </w:tcPr>
          <w:p w14:paraId="12C3A5AE"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183</w:t>
            </w:r>
          </w:p>
        </w:tc>
        <w:tc>
          <w:tcPr>
            <w:tcW w:w="388" w:type="pct"/>
            <w:tcBorders>
              <w:top w:val="nil"/>
              <w:left w:val="nil"/>
              <w:bottom w:val="nil"/>
              <w:right w:val="nil"/>
            </w:tcBorders>
            <w:shd w:val="clear" w:color="auto" w:fill="auto"/>
            <w:noWrap/>
            <w:vAlign w:val="bottom"/>
            <w:hideMark/>
          </w:tcPr>
          <w:p w14:paraId="76B7C5C5"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363</w:t>
            </w:r>
          </w:p>
        </w:tc>
        <w:tc>
          <w:tcPr>
            <w:tcW w:w="384" w:type="pct"/>
            <w:tcBorders>
              <w:top w:val="nil"/>
              <w:left w:val="nil"/>
              <w:bottom w:val="nil"/>
              <w:right w:val="nil"/>
            </w:tcBorders>
            <w:vAlign w:val="bottom"/>
          </w:tcPr>
          <w:p w14:paraId="032B144D"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380</w:t>
            </w:r>
          </w:p>
        </w:tc>
        <w:tc>
          <w:tcPr>
            <w:tcW w:w="382" w:type="pct"/>
            <w:tcBorders>
              <w:top w:val="nil"/>
              <w:left w:val="nil"/>
              <w:bottom w:val="nil"/>
              <w:right w:val="nil"/>
            </w:tcBorders>
            <w:shd w:val="clear" w:color="auto" w:fill="auto"/>
            <w:noWrap/>
            <w:vAlign w:val="bottom"/>
            <w:hideMark/>
          </w:tcPr>
          <w:p w14:paraId="26B679A8"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398</w:t>
            </w:r>
          </w:p>
        </w:tc>
      </w:tr>
      <w:tr w:rsidR="002F1691" w:rsidRPr="009A549A" w14:paraId="67C0272D" w14:textId="77777777" w:rsidTr="002F1691">
        <w:trPr>
          <w:trHeight w:val="259"/>
        </w:trPr>
        <w:tc>
          <w:tcPr>
            <w:tcW w:w="1962" w:type="pct"/>
            <w:tcBorders>
              <w:top w:val="nil"/>
              <w:left w:val="nil"/>
              <w:bottom w:val="single" w:sz="4" w:space="0" w:color="auto"/>
              <w:right w:val="nil"/>
            </w:tcBorders>
            <w:shd w:val="clear" w:color="auto" w:fill="auto"/>
            <w:noWrap/>
            <w:vAlign w:val="bottom"/>
            <w:hideMark/>
          </w:tcPr>
          <w:p w14:paraId="7FE4298A"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Total ahorro anual Alumbrado Público (GWh)</w:t>
            </w:r>
          </w:p>
        </w:tc>
        <w:tc>
          <w:tcPr>
            <w:tcW w:w="387" w:type="pct"/>
            <w:tcBorders>
              <w:top w:val="nil"/>
              <w:left w:val="nil"/>
              <w:bottom w:val="single" w:sz="4" w:space="0" w:color="auto"/>
              <w:right w:val="nil"/>
            </w:tcBorders>
            <w:shd w:val="clear" w:color="auto" w:fill="auto"/>
            <w:noWrap/>
            <w:vAlign w:val="bottom"/>
            <w:hideMark/>
          </w:tcPr>
          <w:p w14:paraId="6F1A7E0E"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387" w:type="pct"/>
            <w:tcBorders>
              <w:top w:val="nil"/>
              <w:left w:val="nil"/>
              <w:bottom w:val="single" w:sz="4" w:space="0" w:color="auto"/>
              <w:right w:val="nil"/>
            </w:tcBorders>
            <w:shd w:val="clear" w:color="auto" w:fill="auto"/>
            <w:noWrap/>
            <w:vAlign w:val="bottom"/>
            <w:hideMark/>
          </w:tcPr>
          <w:p w14:paraId="6662C0B7"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w:t>
            </w:r>
          </w:p>
        </w:tc>
        <w:tc>
          <w:tcPr>
            <w:tcW w:w="387" w:type="pct"/>
            <w:tcBorders>
              <w:top w:val="nil"/>
              <w:left w:val="nil"/>
              <w:bottom w:val="single" w:sz="4" w:space="0" w:color="auto"/>
              <w:right w:val="nil"/>
            </w:tcBorders>
            <w:shd w:val="clear" w:color="auto" w:fill="auto"/>
            <w:noWrap/>
            <w:vAlign w:val="bottom"/>
            <w:hideMark/>
          </w:tcPr>
          <w:p w14:paraId="75882064"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w:t>
            </w:r>
          </w:p>
        </w:tc>
        <w:tc>
          <w:tcPr>
            <w:tcW w:w="387" w:type="pct"/>
            <w:tcBorders>
              <w:top w:val="nil"/>
              <w:left w:val="nil"/>
              <w:bottom w:val="single" w:sz="4" w:space="0" w:color="auto"/>
              <w:right w:val="nil"/>
            </w:tcBorders>
            <w:shd w:val="clear" w:color="auto" w:fill="auto"/>
            <w:noWrap/>
            <w:vAlign w:val="bottom"/>
            <w:hideMark/>
          </w:tcPr>
          <w:p w14:paraId="024F9C76"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w:t>
            </w:r>
          </w:p>
        </w:tc>
        <w:tc>
          <w:tcPr>
            <w:tcW w:w="336" w:type="pct"/>
            <w:tcBorders>
              <w:top w:val="nil"/>
              <w:left w:val="nil"/>
              <w:bottom w:val="single" w:sz="4" w:space="0" w:color="auto"/>
              <w:right w:val="nil"/>
            </w:tcBorders>
            <w:shd w:val="clear" w:color="auto" w:fill="auto"/>
            <w:noWrap/>
            <w:vAlign w:val="bottom"/>
            <w:hideMark/>
          </w:tcPr>
          <w:p w14:paraId="4331FF5B"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183</w:t>
            </w:r>
          </w:p>
        </w:tc>
        <w:tc>
          <w:tcPr>
            <w:tcW w:w="388" w:type="pct"/>
            <w:tcBorders>
              <w:top w:val="nil"/>
              <w:left w:val="nil"/>
              <w:bottom w:val="single" w:sz="4" w:space="0" w:color="auto"/>
              <w:right w:val="nil"/>
            </w:tcBorders>
            <w:shd w:val="clear" w:color="auto" w:fill="auto"/>
            <w:noWrap/>
            <w:vAlign w:val="bottom"/>
            <w:hideMark/>
          </w:tcPr>
          <w:p w14:paraId="701E3181"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363</w:t>
            </w:r>
          </w:p>
        </w:tc>
        <w:tc>
          <w:tcPr>
            <w:tcW w:w="384" w:type="pct"/>
            <w:tcBorders>
              <w:top w:val="nil"/>
              <w:left w:val="nil"/>
              <w:bottom w:val="single" w:sz="4" w:space="0" w:color="auto"/>
              <w:right w:val="nil"/>
            </w:tcBorders>
            <w:vAlign w:val="bottom"/>
          </w:tcPr>
          <w:p w14:paraId="515E24D6"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380</w:t>
            </w:r>
          </w:p>
        </w:tc>
        <w:tc>
          <w:tcPr>
            <w:tcW w:w="382" w:type="pct"/>
            <w:tcBorders>
              <w:top w:val="nil"/>
              <w:left w:val="nil"/>
              <w:bottom w:val="single" w:sz="4" w:space="0" w:color="auto"/>
              <w:right w:val="nil"/>
            </w:tcBorders>
            <w:shd w:val="clear" w:color="auto" w:fill="auto"/>
            <w:noWrap/>
            <w:vAlign w:val="bottom"/>
            <w:hideMark/>
          </w:tcPr>
          <w:p w14:paraId="23B81311"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398</w:t>
            </w:r>
          </w:p>
        </w:tc>
      </w:tr>
      <w:tr w:rsidR="002F1691" w:rsidRPr="009A549A" w14:paraId="23F98345" w14:textId="77777777" w:rsidTr="002F1691">
        <w:trPr>
          <w:trHeight w:val="272"/>
        </w:trPr>
        <w:tc>
          <w:tcPr>
            <w:tcW w:w="1962" w:type="pct"/>
            <w:tcBorders>
              <w:top w:val="nil"/>
              <w:left w:val="nil"/>
              <w:bottom w:val="single" w:sz="8" w:space="0" w:color="auto"/>
              <w:right w:val="nil"/>
            </w:tcBorders>
            <w:shd w:val="clear" w:color="auto" w:fill="auto"/>
            <w:noWrap/>
            <w:vAlign w:val="bottom"/>
            <w:hideMark/>
          </w:tcPr>
          <w:p w14:paraId="51ABC56F"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Ahorro energético acumulado A. Público (GWh)</w:t>
            </w:r>
          </w:p>
        </w:tc>
        <w:tc>
          <w:tcPr>
            <w:tcW w:w="387" w:type="pct"/>
            <w:tcBorders>
              <w:top w:val="nil"/>
              <w:left w:val="nil"/>
              <w:bottom w:val="single" w:sz="8" w:space="0" w:color="auto"/>
              <w:right w:val="nil"/>
            </w:tcBorders>
            <w:shd w:val="clear" w:color="auto" w:fill="auto"/>
            <w:noWrap/>
            <w:vAlign w:val="bottom"/>
            <w:hideMark/>
          </w:tcPr>
          <w:p w14:paraId="45C2163B"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387" w:type="pct"/>
            <w:tcBorders>
              <w:top w:val="nil"/>
              <w:left w:val="nil"/>
              <w:bottom w:val="single" w:sz="8" w:space="0" w:color="auto"/>
              <w:right w:val="nil"/>
            </w:tcBorders>
            <w:shd w:val="clear" w:color="auto" w:fill="auto"/>
            <w:noWrap/>
            <w:vAlign w:val="bottom"/>
            <w:hideMark/>
          </w:tcPr>
          <w:p w14:paraId="41DBA648"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w:t>
            </w:r>
          </w:p>
        </w:tc>
        <w:tc>
          <w:tcPr>
            <w:tcW w:w="387" w:type="pct"/>
            <w:tcBorders>
              <w:top w:val="nil"/>
              <w:left w:val="nil"/>
              <w:bottom w:val="single" w:sz="8" w:space="0" w:color="auto"/>
              <w:right w:val="nil"/>
            </w:tcBorders>
            <w:shd w:val="clear" w:color="auto" w:fill="auto"/>
            <w:noWrap/>
            <w:vAlign w:val="bottom"/>
            <w:hideMark/>
          </w:tcPr>
          <w:p w14:paraId="2286F19F"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4</w:t>
            </w:r>
          </w:p>
        </w:tc>
        <w:tc>
          <w:tcPr>
            <w:tcW w:w="387" w:type="pct"/>
            <w:tcBorders>
              <w:top w:val="nil"/>
              <w:left w:val="nil"/>
              <w:bottom w:val="single" w:sz="8" w:space="0" w:color="auto"/>
              <w:right w:val="nil"/>
            </w:tcBorders>
            <w:shd w:val="clear" w:color="auto" w:fill="auto"/>
            <w:noWrap/>
            <w:vAlign w:val="bottom"/>
            <w:hideMark/>
          </w:tcPr>
          <w:p w14:paraId="2DF035F5"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7</w:t>
            </w:r>
          </w:p>
        </w:tc>
        <w:tc>
          <w:tcPr>
            <w:tcW w:w="336" w:type="pct"/>
            <w:tcBorders>
              <w:top w:val="nil"/>
              <w:left w:val="nil"/>
              <w:bottom w:val="single" w:sz="8" w:space="0" w:color="auto"/>
              <w:right w:val="nil"/>
            </w:tcBorders>
            <w:shd w:val="clear" w:color="auto" w:fill="auto"/>
            <w:noWrap/>
            <w:vAlign w:val="bottom"/>
            <w:hideMark/>
          </w:tcPr>
          <w:p w14:paraId="7352BFA2"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190</w:t>
            </w:r>
          </w:p>
        </w:tc>
        <w:tc>
          <w:tcPr>
            <w:tcW w:w="388" w:type="pct"/>
            <w:tcBorders>
              <w:top w:val="nil"/>
              <w:left w:val="nil"/>
              <w:bottom w:val="single" w:sz="8" w:space="0" w:color="auto"/>
              <w:right w:val="nil"/>
            </w:tcBorders>
            <w:shd w:val="clear" w:color="auto" w:fill="auto"/>
            <w:noWrap/>
            <w:vAlign w:val="bottom"/>
            <w:hideMark/>
          </w:tcPr>
          <w:p w14:paraId="488E9C91"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553</w:t>
            </w:r>
          </w:p>
        </w:tc>
        <w:tc>
          <w:tcPr>
            <w:tcW w:w="384" w:type="pct"/>
            <w:tcBorders>
              <w:top w:val="nil"/>
              <w:left w:val="nil"/>
              <w:bottom w:val="single" w:sz="8" w:space="0" w:color="auto"/>
              <w:right w:val="nil"/>
            </w:tcBorders>
            <w:vAlign w:val="bottom"/>
          </w:tcPr>
          <w:p w14:paraId="2219441D"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933</w:t>
            </w:r>
          </w:p>
        </w:tc>
        <w:tc>
          <w:tcPr>
            <w:tcW w:w="382" w:type="pct"/>
            <w:tcBorders>
              <w:top w:val="nil"/>
              <w:left w:val="nil"/>
              <w:bottom w:val="single" w:sz="8" w:space="0" w:color="auto"/>
              <w:right w:val="nil"/>
            </w:tcBorders>
            <w:shd w:val="clear" w:color="auto" w:fill="auto"/>
            <w:noWrap/>
            <w:vAlign w:val="bottom"/>
            <w:hideMark/>
          </w:tcPr>
          <w:p w14:paraId="3E56D36B" w14:textId="77777777" w:rsidR="002F1691" w:rsidRPr="000F3DF4" w:rsidRDefault="002F1691" w:rsidP="002F1691">
            <w:pPr>
              <w:spacing w:line="360" w:lineRule="auto"/>
              <w:jc w:val="right"/>
              <w:rPr>
                <w:rFonts w:asciiTheme="minorHAnsi" w:hAnsiTheme="minorHAnsi" w:cstheme="minorHAnsi"/>
                <w:color w:val="000000"/>
                <w:sz w:val="16"/>
                <w:szCs w:val="16"/>
              </w:rPr>
            </w:pPr>
            <w:r w:rsidRPr="000F3DF4">
              <w:rPr>
                <w:rFonts w:asciiTheme="minorHAnsi" w:hAnsiTheme="minorHAnsi" w:cstheme="minorHAnsi"/>
                <w:color w:val="000000"/>
                <w:sz w:val="16"/>
                <w:szCs w:val="16"/>
              </w:rPr>
              <w:t>1.331</w:t>
            </w:r>
          </w:p>
        </w:tc>
      </w:tr>
      <w:tr w:rsidR="002F1691" w:rsidRPr="009A549A" w14:paraId="76EAE4DC" w14:textId="77777777" w:rsidTr="002F1691">
        <w:trPr>
          <w:trHeight w:val="259"/>
        </w:trPr>
        <w:tc>
          <w:tcPr>
            <w:tcW w:w="1962" w:type="pct"/>
            <w:tcBorders>
              <w:top w:val="nil"/>
              <w:left w:val="nil"/>
              <w:bottom w:val="single" w:sz="4" w:space="0" w:color="auto"/>
              <w:right w:val="nil"/>
            </w:tcBorders>
            <w:shd w:val="clear" w:color="000000" w:fill="E7E6E6"/>
            <w:noWrap/>
            <w:vAlign w:val="bottom"/>
            <w:hideMark/>
          </w:tcPr>
          <w:p w14:paraId="362DA7E9"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Total ahorro anual (GWh)</w:t>
            </w:r>
          </w:p>
        </w:tc>
        <w:tc>
          <w:tcPr>
            <w:tcW w:w="387" w:type="pct"/>
            <w:tcBorders>
              <w:top w:val="nil"/>
              <w:left w:val="nil"/>
              <w:bottom w:val="single" w:sz="4" w:space="0" w:color="auto"/>
              <w:right w:val="nil"/>
            </w:tcBorders>
            <w:shd w:val="clear" w:color="000000" w:fill="E7E6E6"/>
            <w:noWrap/>
            <w:vAlign w:val="bottom"/>
            <w:hideMark/>
          </w:tcPr>
          <w:p w14:paraId="108F782E"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 </w:t>
            </w:r>
          </w:p>
        </w:tc>
        <w:tc>
          <w:tcPr>
            <w:tcW w:w="387" w:type="pct"/>
            <w:tcBorders>
              <w:top w:val="nil"/>
              <w:left w:val="nil"/>
              <w:bottom w:val="single" w:sz="4" w:space="0" w:color="auto"/>
              <w:right w:val="nil"/>
            </w:tcBorders>
            <w:shd w:val="clear" w:color="000000" w:fill="E7E6E6"/>
            <w:noWrap/>
            <w:vAlign w:val="bottom"/>
            <w:hideMark/>
          </w:tcPr>
          <w:p w14:paraId="6B022AB7"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249</w:t>
            </w:r>
          </w:p>
        </w:tc>
        <w:tc>
          <w:tcPr>
            <w:tcW w:w="387" w:type="pct"/>
            <w:tcBorders>
              <w:top w:val="nil"/>
              <w:left w:val="nil"/>
              <w:bottom w:val="single" w:sz="4" w:space="0" w:color="auto"/>
              <w:right w:val="nil"/>
            </w:tcBorders>
            <w:shd w:val="clear" w:color="000000" w:fill="E7E6E6"/>
            <w:noWrap/>
            <w:vAlign w:val="bottom"/>
            <w:hideMark/>
          </w:tcPr>
          <w:p w14:paraId="4D2D9C8D"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501</w:t>
            </w:r>
          </w:p>
        </w:tc>
        <w:tc>
          <w:tcPr>
            <w:tcW w:w="387" w:type="pct"/>
            <w:tcBorders>
              <w:top w:val="nil"/>
              <w:left w:val="nil"/>
              <w:bottom w:val="single" w:sz="4" w:space="0" w:color="auto"/>
              <w:right w:val="nil"/>
            </w:tcBorders>
            <w:shd w:val="clear" w:color="000000" w:fill="E7E6E6"/>
            <w:noWrap/>
            <w:vAlign w:val="bottom"/>
            <w:hideMark/>
          </w:tcPr>
          <w:p w14:paraId="69DBA09E"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617</w:t>
            </w:r>
          </w:p>
        </w:tc>
        <w:tc>
          <w:tcPr>
            <w:tcW w:w="336" w:type="pct"/>
            <w:tcBorders>
              <w:top w:val="nil"/>
              <w:left w:val="nil"/>
              <w:bottom w:val="single" w:sz="4" w:space="0" w:color="auto"/>
              <w:right w:val="nil"/>
            </w:tcBorders>
            <w:shd w:val="clear" w:color="000000" w:fill="E7E6E6"/>
            <w:noWrap/>
            <w:vAlign w:val="bottom"/>
            <w:hideMark/>
          </w:tcPr>
          <w:p w14:paraId="29ADAD9C"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916</w:t>
            </w:r>
          </w:p>
        </w:tc>
        <w:tc>
          <w:tcPr>
            <w:tcW w:w="388" w:type="pct"/>
            <w:tcBorders>
              <w:top w:val="nil"/>
              <w:left w:val="nil"/>
              <w:bottom w:val="single" w:sz="4" w:space="0" w:color="auto"/>
              <w:right w:val="nil"/>
            </w:tcBorders>
            <w:shd w:val="clear" w:color="000000" w:fill="E7E6E6"/>
            <w:noWrap/>
            <w:vAlign w:val="bottom"/>
            <w:hideMark/>
          </w:tcPr>
          <w:p w14:paraId="06E9F5D8"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1.218</w:t>
            </w:r>
          </w:p>
        </w:tc>
        <w:tc>
          <w:tcPr>
            <w:tcW w:w="384" w:type="pct"/>
            <w:tcBorders>
              <w:top w:val="nil"/>
              <w:left w:val="nil"/>
              <w:bottom w:val="single" w:sz="4" w:space="0" w:color="auto"/>
              <w:right w:val="nil"/>
            </w:tcBorders>
            <w:shd w:val="clear" w:color="000000" w:fill="E7E6E6"/>
            <w:vAlign w:val="bottom"/>
          </w:tcPr>
          <w:p w14:paraId="58890D79"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1.358</w:t>
            </w:r>
          </w:p>
        </w:tc>
        <w:tc>
          <w:tcPr>
            <w:tcW w:w="382" w:type="pct"/>
            <w:tcBorders>
              <w:top w:val="nil"/>
              <w:left w:val="nil"/>
              <w:bottom w:val="single" w:sz="4" w:space="0" w:color="auto"/>
              <w:right w:val="nil"/>
            </w:tcBorders>
            <w:shd w:val="clear" w:color="000000" w:fill="E7E6E6"/>
            <w:noWrap/>
            <w:vAlign w:val="bottom"/>
            <w:hideMark/>
          </w:tcPr>
          <w:p w14:paraId="1CD6C907"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1.501</w:t>
            </w:r>
          </w:p>
        </w:tc>
      </w:tr>
      <w:tr w:rsidR="002F1691" w:rsidRPr="009A549A" w14:paraId="3685824C" w14:textId="77777777" w:rsidTr="002F1691">
        <w:trPr>
          <w:trHeight w:val="272"/>
        </w:trPr>
        <w:tc>
          <w:tcPr>
            <w:tcW w:w="1962" w:type="pct"/>
            <w:tcBorders>
              <w:top w:val="nil"/>
              <w:left w:val="nil"/>
              <w:bottom w:val="single" w:sz="8" w:space="0" w:color="auto"/>
              <w:right w:val="nil"/>
            </w:tcBorders>
            <w:shd w:val="clear" w:color="000000" w:fill="E7E6E6"/>
            <w:noWrap/>
            <w:vAlign w:val="bottom"/>
            <w:hideMark/>
          </w:tcPr>
          <w:p w14:paraId="2C5ACB87"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Ahorro energético acumulado (GWh)</w:t>
            </w:r>
          </w:p>
        </w:tc>
        <w:tc>
          <w:tcPr>
            <w:tcW w:w="387" w:type="pct"/>
            <w:tcBorders>
              <w:top w:val="nil"/>
              <w:left w:val="nil"/>
              <w:bottom w:val="single" w:sz="8" w:space="0" w:color="auto"/>
              <w:right w:val="nil"/>
            </w:tcBorders>
            <w:shd w:val="clear" w:color="000000" w:fill="E7E6E6"/>
            <w:noWrap/>
            <w:vAlign w:val="bottom"/>
            <w:hideMark/>
          </w:tcPr>
          <w:p w14:paraId="323EBA68"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 </w:t>
            </w:r>
          </w:p>
        </w:tc>
        <w:tc>
          <w:tcPr>
            <w:tcW w:w="387" w:type="pct"/>
            <w:tcBorders>
              <w:top w:val="nil"/>
              <w:left w:val="nil"/>
              <w:bottom w:val="single" w:sz="8" w:space="0" w:color="auto"/>
              <w:right w:val="nil"/>
            </w:tcBorders>
            <w:shd w:val="clear" w:color="000000" w:fill="E7E6E6"/>
            <w:noWrap/>
            <w:vAlign w:val="bottom"/>
            <w:hideMark/>
          </w:tcPr>
          <w:p w14:paraId="2B8202BF"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249</w:t>
            </w:r>
          </w:p>
        </w:tc>
        <w:tc>
          <w:tcPr>
            <w:tcW w:w="387" w:type="pct"/>
            <w:tcBorders>
              <w:top w:val="nil"/>
              <w:left w:val="nil"/>
              <w:bottom w:val="single" w:sz="8" w:space="0" w:color="auto"/>
              <w:right w:val="nil"/>
            </w:tcBorders>
            <w:shd w:val="clear" w:color="000000" w:fill="E7E6E6"/>
            <w:noWrap/>
            <w:vAlign w:val="bottom"/>
            <w:hideMark/>
          </w:tcPr>
          <w:p w14:paraId="35B0207F"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750</w:t>
            </w:r>
          </w:p>
        </w:tc>
        <w:tc>
          <w:tcPr>
            <w:tcW w:w="387" w:type="pct"/>
            <w:tcBorders>
              <w:top w:val="nil"/>
              <w:left w:val="nil"/>
              <w:bottom w:val="single" w:sz="8" w:space="0" w:color="auto"/>
              <w:right w:val="nil"/>
            </w:tcBorders>
            <w:shd w:val="clear" w:color="000000" w:fill="E7E6E6"/>
            <w:noWrap/>
            <w:vAlign w:val="bottom"/>
            <w:hideMark/>
          </w:tcPr>
          <w:p w14:paraId="40DB6A13"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1.367</w:t>
            </w:r>
          </w:p>
        </w:tc>
        <w:tc>
          <w:tcPr>
            <w:tcW w:w="336" w:type="pct"/>
            <w:tcBorders>
              <w:top w:val="nil"/>
              <w:left w:val="nil"/>
              <w:bottom w:val="single" w:sz="8" w:space="0" w:color="auto"/>
              <w:right w:val="nil"/>
            </w:tcBorders>
            <w:shd w:val="clear" w:color="000000" w:fill="E7E6E6"/>
            <w:noWrap/>
            <w:vAlign w:val="bottom"/>
            <w:hideMark/>
          </w:tcPr>
          <w:p w14:paraId="3C812EBF"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2.283</w:t>
            </w:r>
          </w:p>
        </w:tc>
        <w:tc>
          <w:tcPr>
            <w:tcW w:w="388" w:type="pct"/>
            <w:tcBorders>
              <w:top w:val="nil"/>
              <w:left w:val="nil"/>
              <w:bottom w:val="single" w:sz="8" w:space="0" w:color="auto"/>
              <w:right w:val="nil"/>
            </w:tcBorders>
            <w:shd w:val="clear" w:color="000000" w:fill="E7E6E6"/>
            <w:noWrap/>
            <w:vAlign w:val="bottom"/>
            <w:hideMark/>
          </w:tcPr>
          <w:p w14:paraId="42EB390B"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3.501</w:t>
            </w:r>
          </w:p>
        </w:tc>
        <w:tc>
          <w:tcPr>
            <w:tcW w:w="384" w:type="pct"/>
            <w:tcBorders>
              <w:top w:val="nil"/>
              <w:left w:val="nil"/>
              <w:bottom w:val="single" w:sz="8" w:space="0" w:color="auto"/>
              <w:right w:val="nil"/>
            </w:tcBorders>
            <w:shd w:val="clear" w:color="000000" w:fill="E7E6E6"/>
            <w:vAlign w:val="bottom"/>
          </w:tcPr>
          <w:p w14:paraId="54F824CD"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4.859</w:t>
            </w:r>
          </w:p>
        </w:tc>
        <w:tc>
          <w:tcPr>
            <w:tcW w:w="382" w:type="pct"/>
            <w:tcBorders>
              <w:top w:val="nil"/>
              <w:left w:val="nil"/>
              <w:bottom w:val="single" w:sz="8" w:space="0" w:color="auto"/>
              <w:right w:val="nil"/>
            </w:tcBorders>
            <w:shd w:val="clear" w:color="000000" w:fill="E7E6E6"/>
            <w:noWrap/>
            <w:vAlign w:val="bottom"/>
            <w:hideMark/>
          </w:tcPr>
          <w:p w14:paraId="4EA8A317" w14:textId="77777777" w:rsidR="002F1691" w:rsidRPr="000F3DF4" w:rsidRDefault="002F1691" w:rsidP="002F1691">
            <w:pPr>
              <w:spacing w:line="360" w:lineRule="auto"/>
              <w:jc w:val="right"/>
              <w:rPr>
                <w:rFonts w:asciiTheme="minorHAnsi" w:hAnsiTheme="minorHAnsi" w:cstheme="minorHAnsi"/>
                <w:b/>
                <w:bCs/>
                <w:color w:val="000000"/>
                <w:sz w:val="16"/>
                <w:szCs w:val="16"/>
              </w:rPr>
            </w:pPr>
            <w:r w:rsidRPr="000F3DF4">
              <w:rPr>
                <w:rFonts w:asciiTheme="minorHAnsi" w:hAnsiTheme="minorHAnsi" w:cstheme="minorHAnsi"/>
                <w:b/>
                <w:bCs/>
                <w:color w:val="000000"/>
                <w:sz w:val="16"/>
                <w:szCs w:val="16"/>
              </w:rPr>
              <w:t>6.360</w:t>
            </w:r>
          </w:p>
        </w:tc>
      </w:tr>
    </w:tbl>
    <w:p w14:paraId="3AE46863" w14:textId="77777777" w:rsidR="002F1691" w:rsidRPr="00760FAC" w:rsidRDefault="002F1691" w:rsidP="002F1691">
      <w:pPr>
        <w:jc w:val="center"/>
        <w:rPr>
          <w:sz w:val="18"/>
          <w:highlight w:val="cyan"/>
          <w:lang w:val="es-ES"/>
        </w:rPr>
      </w:pPr>
    </w:p>
    <w:p w14:paraId="67858271" w14:textId="77777777" w:rsidR="002F1691" w:rsidRPr="009A549A" w:rsidRDefault="002F1691" w:rsidP="002F1691">
      <w:pPr>
        <w:jc w:val="center"/>
        <w:rPr>
          <w:sz w:val="18"/>
          <w:lang w:val="es-ES"/>
        </w:rPr>
      </w:pPr>
      <w:r w:rsidRPr="009A549A">
        <w:rPr>
          <w:sz w:val="18"/>
          <w:lang w:val="es-ES"/>
        </w:rPr>
        <w:t>Nota: la proyección completa de flujos fue realizada a 203</w:t>
      </w:r>
      <w:r>
        <w:rPr>
          <w:sz w:val="18"/>
          <w:lang w:val="es-ES"/>
        </w:rPr>
        <w:t>7</w:t>
      </w:r>
      <w:r w:rsidRPr="009A549A">
        <w:rPr>
          <w:sz w:val="18"/>
          <w:lang w:val="es-ES"/>
        </w:rPr>
        <w:t>, para efecto de presentación de resultados en el informe escrito solo se muestran resultados a 20</w:t>
      </w:r>
      <w:r>
        <w:rPr>
          <w:sz w:val="18"/>
          <w:lang w:val="es-ES"/>
        </w:rPr>
        <w:t>24</w:t>
      </w:r>
    </w:p>
    <w:p w14:paraId="07EA1926" w14:textId="0CBE9F3A" w:rsidR="002F1691" w:rsidRDefault="002F1691" w:rsidP="002F1691">
      <w:pPr>
        <w:rPr>
          <w:lang w:val="es-ES_tradnl"/>
        </w:rPr>
      </w:pPr>
      <w:r w:rsidRPr="002F1691">
        <w:rPr>
          <w:lang w:val="es-ES_tradnl"/>
        </w:rPr>
        <w:t>El ahorro energético anual total asociado con las medidas de eficiencia energética valoradas asciende a cerca de 2.066 GWh/Año en 2037.</w:t>
      </w:r>
    </w:p>
    <w:p w14:paraId="07EF1AAA" w14:textId="77777777" w:rsidR="00D86D30" w:rsidRPr="002F1691" w:rsidRDefault="00D86D30" w:rsidP="002F1691">
      <w:pPr>
        <w:rPr>
          <w:highlight w:val="cyan"/>
          <w:lang w:val="es-ES_tradnl"/>
        </w:rPr>
      </w:pPr>
    </w:p>
    <w:p w14:paraId="3AD37017" w14:textId="605735FA" w:rsidR="002F1691" w:rsidRPr="002F1691" w:rsidRDefault="002F1691" w:rsidP="002F1691">
      <w:pPr>
        <w:jc w:val="center"/>
        <w:rPr>
          <w:b/>
          <w:lang w:val="es-ES_tradnl"/>
        </w:rPr>
      </w:pPr>
      <w:bookmarkStart w:id="38" w:name="_Ref476135215"/>
      <w:bookmarkStart w:id="39" w:name="_Toc476136981"/>
      <w:bookmarkStart w:id="40" w:name="_Toc511931628"/>
      <w:bookmarkStart w:id="41" w:name="_Toc514264376"/>
      <w:r w:rsidRPr="002F1691">
        <w:rPr>
          <w:b/>
          <w:lang w:val="es-ES_tradnl"/>
        </w:rPr>
        <w:t xml:space="preserve">Tabla </w:t>
      </w:r>
      <w:bookmarkEnd w:id="36"/>
      <w:bookmarkEnd w:id="38"/>
      <w:r w:rsidR="00D86D30">
        <w:rPr>
          <w:b/>
          <w:lang w:val="es-ES_tradnl"/>
        </w:rPr>
        <w:t>19</w:t>
      </w:r>
      <w:r w:rsidRPr="002F1691">
        <w:rPr>
          <w:b/>
          <w:lang w:val="es-ES_tradnl"/>
        </w:rPr>
        <w:t xml:space="preserve"> – Potencial de emisiones de CO</w:t>
      </w:r>
      <w:r w:rsidRPr="002F1691">
        <w:rPr>
          <w:b/>
          <w:vertAlign w:val="subscript"/>
          <w:lang w:val="es-ES_tradnl"/>
        </w:rPr>
        <w:t>2</w:t>
      </w:r>
      <w:r w:rsidRPr="002F1691">
        <w:rPr>
          <w:b/>
          <w:lang w:val="es-ES_tradnl"/>
        </w:rPr>
        <w:t xml:space="preserve"> evitadas por implementación de medidas de eficiencia energética (TonCO</w:t>
      </w:r>
      <w:r w:rsidRPr="002F1691">
        <w:rPr>
          <w:b/>
          <w:vertAlign w:val="subscript"/>
          <w:lang w:val="es-ES_tradnl"/>
        </w:rPr>
        <w:t>2</w:t>
      </w:r>
      <w:r w:rsidRPr="002F1691">
        <w:rPr>
          <w:b/>
          <w:lang w:val="es-ES_tradnl"/>
        </w:rPr>
        <w:t>)</w:t>
      </w:r>
      <w:bookmarkEnd w:id="37"/>
      <w:bookmarkEnd w:id="39"/>
      <w:bookmarkEnd w:id="40"/>
      <w:bookmarkEnd w:id="41"/>
    </w:p>
    <w:tbl>
      <w:tblPr>
        <w:tblW w:w="5000" w:type="pct"/>
        <w:tblCellMar>
          <w:left w:w="70" w:type="dxa"/>
          <w:right w:w="70" w:type="dxa"/>
        </w:tblCellMar>
        <w:tblLook w:val="04A0" w:firstRow="1" w:lastRow="0" w:firstColumn="1" w:lastColumn="0" w:noHBand="0" w:noVBand="1"/>
      </w:tblPr>
      <w:tblGrid>
        <w:gridCol w:w="3754"/>
        <w:gridCol w:w="400"/>
        <w:gridCol w:w="533"/>
        <w:gridCol w:w="604"/>
        <w:gridCol w:w="604"/>
        <w:gridCol w:w="604"/>
        <w:gridCol w:w="712"/>
        <w:gridCol w:w="712"/>
        <w:gridCol w:w="712"/>
      </w:tblGrid>
      <w:tr w:rsidR="002F1691" w:rsidRPr="009A549A" w14:paraId="79EB8188" w14:textId="77777777" w:rsidTr="002F1691">
        <w:trPr>
          <w:trHeight w:val="300"/>
        </w:trPr>
        <w:tc>
          <w:tcPr>
            <w:tcW w:w="2126" w:type="pct"/>
            <w:tcBorders>
              <w:top w:val="nil"/>
              <w:left w:val="nil"/>
              <w:bottom w:val="single" w:sz="4" w:space="0" w:color="auto"/>
              <w:right w:val="nil"/>
            </w:tcBorders>
            <w:shd w:val="clear" w:color="auto" w:fill="auto"/>
            <w:noWrap/>
            <w:vAlign w:val="bottom"/>
            <w:hideMark/>
          </w:tcPr>
          <w:p w14:paraId="5C7FFF6A"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4" w:type="pct"/>
            <w:tcBorders>
              <w:top w:val="nil"/>
              <w:left w:val="nil"/>
              <w:bottom w:val="single" w:sz="4" w:space="0" w:color="auto"/>
              <w:right w:val="nil"/>
            </w:tcBorders>
            <w:shd w:val="clear" w:color="auto" w:fill="auto"/>
            <w:noWrap/>
            <w:vAlign w:val="bottom"/>
            <w:hideMark/>
          </w:tcPr>
          <w:p w14:paraId="35767647"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264" w:type="pct"/>
            <w:tcBorders>
              <w:top w:val="single" w:sz="4" w:space="0" w:color="FFFFFF"/>
              <w:left w:val="nil"/>
              <w:bottom w:val="single" w:sz="4" w:space="0" w:color="auto"/>
              <w:right w:val="single" w:sz="4" w:space="0" w:color="FFFFFF"/>
            </w:tcBorders>
            <w:shd w:val="clear" w:color="000000" w:fill="203764"/>
            <w:noWrap/>
            <w:vAlign w:val="bottom"/>
            <w:hideMark/>
          </w:tcPr>
          <w:p w14:paraId="1CA4436F"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2018</w:t>
            </w:r>
          </w:p>
        </w:tc>
        <w:tc>
          <w:tcPr>
            <w:tcW w:w="379" w:type="pct"/>
            <w:tcBorders>
              <w:top w:val="single" w:sz="4" w:space="0" w:color="FFFFFF"/>
              <w:left w:val="nil"/>
              <w:bottom w:val="single" w:sz="4" w:space="0" w:color="auto"/>
              <w:right w:val="single" w:sz="4" w:space="0" w:color="FFFFFF"/>
            </w:tcBorders>
            <w:shd w:val="clear" w:color="000000" w:fill="203764"/>
            <w:noWrap/>
            <w:vAlign w:val="bottom"/>
            <w:hideMark/>
          </w:tcPr>
          <w:p w14:paraId="64BBB14B"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2019</w:t>
            </w:r>
          </w:p>
        </w:tc>
        <w:tc>
          <w:tcPr>
            <w:tcW w:w="379" w:type="pct"/>
            <w:tcBorders>
              <w:top w:val="single" w:sz="4" w:space="0" w:color="FFFFFF"/>
              <w:left w:val="nil"/>
              <w:bottom w:val="single" w:sz="4" w:space="0" w:color="auto"/>
              <w:right w:val="single" w:sz="4" w:space="0" w:color="FFFFFF"/>
            </w:tcBorders>
            <w:shd w:val="clear" w:color="000000" w:fill="203764"/>
            <w:noWrap/>
            <w:vAlign w:val="bottom"/>
            <w:hideMark/>
          </w:tcPr>
          <w:p w14:paraId="0F8D7E63"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2020</w:t>
            </w:r>
          </w:p>
        </w:tc>
        <w:tc>
          <w:tcPr>
            <w:tcW w:w="379" w:type="pct"/>
            <w:tcBorders>
              <w:top w:val="single" w:sz="4" w:space="0" w:color="FFFFFF"/>
              <w:left w:val="nil"/>
              <w:bottom w:val="single" w:sz="4" w:space="0" w:color="auto"/>
              <w:right w:val="single" w:sz="4" w:space="0" w:color="FFFFFF"/>
            </w:tcBorders>
            <w:shd w:val="clear" w:color="000000" w:fill="203764"/>
            <w:noWrap/>
            <w:vAlign w:val="bottom"/>
            <w:hideMark/>
          </w:tcPr>
          <w:p w14:paraId="42366445"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2021</w:t>
            </w:r>
          </w:p>
        </w:tc>
        <w:tc>
          <w:tcPr>
            <w:tcW w:w="449" w:type="pct"/>
            <w:tcBorders>
              <w:top w:val="single" w:sz="4" w:space="0" w:color="FFFFFF"/>
              <w:left w:val="nil"/>
              <w:bottom w:val="single" w:sz="4" w:space="0" w:color="auto"/>
              <w:right w:val="single" w:sz="4" w:space="0" w:color="FFFFFF"/>
            </w:tcBorders>
            <w:shd w:val="clear" w:color="000000" w:fill="203764"/>
            <w:noWrap/>
            <w:vAlign w:val="bottom"/>
            <w:hideMark/>
          </w:tcPr>
          <w:p w14:paraId="3BB18FC5"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2022</w:t>
            </w:r>
          </w:p>
        </w:tc>
        <w:tc>
          <w:tcPr>
            <w:tcW w:w="310" w:type="pct"/>
            <w:tcBorders>
              <w:top w:val="single" w:sz="4" w:space="0" w:color="FFFFFF"/>
              <w:left w:val="nil"/>
              <w:bottom w:val="single" w:sz="4" w:space="0" w:color="auto"/>
              <w:right w:val="single" w:sz="4" w:space="0" w:color="FFFFFF" w:themeColor="background1"/>
            </w:tcBorders>
            <w:shd w:val="clear" w:color="000000" w:fill="203764"/>
            <w:vAlign w:val="bottom"/>
          </w:tcPr>
          <w:p w14:paraId="25E55734"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2023</w:t>
            </w:r>
          </w:p>
        </w:tc>
        <w:tc>
          <w:tcPr>
            <w:tcW w:w="449" w:type="pct"/>
            <w:tcBorders>
              <w:top w:val="single" w:sz="4" w:space="0" w:color="FFFFFF"/>
              <w:left w:val="single" w:sz="4" w:space="0" w:color="FFFFFF" w:themeColor="background1"/>
              <w:bottom w:val="single" w:sz="4" w:space="0" w:color="auto"/>
              <w:right w:val="single" w:sz="4" w:space="0" w:color="FFFFFF"/>
            </w:tcBorders>
            <w:shd w:val="clear" w:color="000000" w:fill="203764"/>
            <w:noWrap/>
            <w:vAlign w:val="bottom"/>
            <w:hideMark/>
          </w:tcPr>
          <w:p w14:paraId="6A4F292D"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2024</w:t>
            </w:r>
          </w:p>
        </w:tc>
      </w:tr>
      <w:tr w:rsidR="002F1691" w:rsidRPr="009A549A" w14:paraId="6C305DE1" w14:textId="77777777" w:rsidTr="002F1691">
        <w:trPr>
          <w:trHeight w:val="300"/>
        </w:trPr>
        <w:tc>
          <w:tcPr>
            <w:tcW w:w="2126" w:type="pct"/>
            <w:tcBorders>
              <w:top w:val="nil"/>
              <w:left w:val="nil"/>
              <w:bottom w:val="single" w:sz="4" w:space="0" w:color="auto"/>
              <w:right w:val="nil"/>
            </w:tcBorders>
            <w:shd w:val="clear" w:color="000000" w:fill="E7E6E6"/>
            <w:noWrap/>
            <w:vAlign w:val="bottom"/>
            <w:hideMark/>
          </w:tcPr>
          <w:p w14:paraId="5AD5249B"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Sector Residencial</w:t>
            </w:r>
          </w:p>
        </w:tc>
        <w:tc>
          <w:tcPr>
            <w:tcW w:w="264" w:type="pct"/>
            <w:tcBorders>
              <w:top w:val="nil"/>
              <w:left w:val="nil"/>
              <w:bottom w:val="single" w:sz="4" w:space="0" w:color="auto"/>
              <w:right w:val="nil"/>
            </w:tcBorders>
            <w:shd w:val="clear" w:color="000000" w:fill="E7E6E6"/>
            <w:noWrap/>
            <w:vAlign w:val="bottom"/>
            <w:hideMark/>
          </w:tcPr>
          <w:p w14:paraId="3DEA4538"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264" w:type="pct"/>
            <w:tcBorders>
              <w:top w:val="nil"/>
              <w:left w:val="nil"/>
              <w:bottom w:val="single" w:sz="4" w:space="0" w:color="auto"/>
              <w:right w:val="nil"/>
            </w:tcBorders>
            <w:shd w:val="clear" w:color="000000" w:fill="E7E6E6"/>
            <w:noWrap/>
            <w:vAlign w:val="bottom"/>
            <w:hideMark/>
          </w:tcPr>
          <w:p w14:paraId="5F6E594C"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379" w:type="pct"/>
            <w:tcBorders>
              <w:top w:val="nil"/>
              <w:left w:val="nil"/>
              <w:bottom w:val="single" w:sz="4" w:space="0" w:color="auto"/>
              <w:right w:val="nil"/>
            </w:tcBorders>
            <w:shd w:val="clear" w:color="000000" w:fill="E7E6E6"/>
            <w:noWrap/>
            <w:vAlign w:val="bottom"/>
            <w:hideMark/>
          </w:tcPr>
          <w:p w14:paraId="27649E4A"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379" w:type="pct"/>
            <w:tcBorders>
              <w:top w:val="nil"/>
              <w:left w:val="nil"/>
              <w:bottom w:val="single" w:sz="4" w:space="0" w:color="auto"/>
              <w:right w:val="nil"/>
            </w:tcBorders>
            <w:shd w:val="clear" w:color="000000" w:fill="E7E6E6"/>
            <w:noWrap/>
            <w:vAlign w:val="bottom"/>
            <w:hideMark/>
          </w:tcPr>
          <w:p w14:paraId="5A194304"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379" w:type="pct"/>
            <w:tcBorders>
              <w:top w:val="nil"/>
              <w:left w:val="nil"/>
              <w:bottom w:val="single" w:sz="4" w:space="0" w:color="auto"/>
              <w:right w:val="nil"/>
            </w:tcBorders>
            <w:shd w:val="clear" w:color="000000" w:fill="E7E6E6"/>
            <w:noWrap/>
            <w:vAlign w:val="bottom"/>
            <w:hideMark/>
          </w:tcPr>
          <w:p w14:paraId="162CCAE5"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449" w:type="pct"/>
            <w:tcBorders>
              <w:top w:val="nil"/>
              <w:left w:val="nil"/>
              <w:bottom w:val="single" w:sz="4" w:space="0" w:color="auto"/>
              <w:right w:val="nil"/>
            </w:tcBorders>
            <w:shd w:val="clear" w:color="000000" w:fill="E7E6E6"/>
            <w:noWrap/>
            <w:vAlign w:val="bottom"/>
            <w:hideMark/>
          </w:tcPr>
          <w:p w14:paraId="4F706FE2"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310" w:type="pct"/>
            <w:tcBorders>
              <w:top w:val="nil"/>
              <w:left w:val="nil"/>
              <w:bottom w:val="single" w:sz="4" w:space="0" w:color="auto"/>
              <w:right w:val="nil"/>
            </w:tcBorders>
            <w:shd w:val="clear" w:color="000000" w:fill="E7E6E6"/>
            <w:vAlign w:val="bottom"/>
          </w:tcPr>
          <w:p w14:paraId="27810FE3" w14:textId="77777777" w:rsidR="002F1691" w:rsidRPr="002C33B5" w:rsidRDefault="002F1691" w:rsidP="002F1691">
            <w:pPr>
              <w:rPr>
                <w:rFonts w:ascii="Calibri" w:hAnsi="Calibri" w:cs="Calibri"/>
                <w:color w:val="806000"/>
                <w:sz w:val="16"/>
                <w:szCs w:val="16"/>
              </w:rPr>
            </w:pPr>
            <w:r w:rsidRPr="002C33B5">
              <w:rPr>
                <w:rFonts w:ascii="Calibri" w:hAnsi="Calibri" w:cs="Calibri"/>
                <w:color w:val="806000"/>
                <w:sz w:val="16"/>
                <w:szCs w:val="16"/>
              </w:rPr>
              <w:t> </w:t>
            </w:r>
          </w:p>
        </w:tc>
        <w:tc>
          <w:tcPr>
            <w:tcW w:w="449" w:type="pct"/>
            <w:tcBorders>
              <w:top w:val="nil"/>
              <w:left w:val="nil"/>
              <w:bottom w:val="single" w:sz="4" w:space="0" w:color="auto"/>
              <w:right w:val="nil"/>
            </w:tcBorders>
            <w:shd w:val="clear" w:color="000000" w:fill="E7E6E6"/>
            <w:noWrap/>
            <w:vAlign w:val="bottom"/>
            <w:hideMark/>
          </w:tcPr>
          <w:p w14:paraId="1D4B48B1" w14:textId="77777777" w:rsidR="002F1691" w:rsidRPr="002C33B5" w:rsidRDefault="002F1691" w:rsidP="002F1691">
            <w:pPr>
              <w:rPr>
                <w:rFonts w:ascii="Calibri" w:hAnsi="Calibri" w:cs="Calibri"/>
                <w:color w:val="806000"/>
                <w:sz w:val="16"/>
                <w:szCs w:val="16"/>
              </w:rPr>
            </w:pPr>
            <w:r w:rsidRPr="002C33B5">
              <w:rPr>
                <w:rFonts w:ascii="Calibri" w:hAnsi="Calibri" w:cs="Calibri"/>
                <w:color w:val="806000"/>
                <w:sz w:val="16"/>
                <w:szCs w:val="16"/>
              </w:rPr>
              <w:t> </w:t>
            </w:r>
          </w:p>
        </w:tc>
      </w:tr>
      <w:tr w:rsidR="002F1691" w:rsidRPr="009A549A" w14:paraId="714EC506" w14:textId="77777777" w:rsidTr="002F1691">
        <w:trPr>
          <w:trHeight w:val="300"/>
        </w:trPr>
        <w:tc>
          <w:tcPr>
            <w:tcW w:w="2126" w:type="pct"/>
            <w:tcBorders>
              <w:top w:val="nil"/>
              <w:left w:val="nil"/>
              <w:bottom w:val="nil"/>
              <w:right w:val="nil"/>
            </w:tcBorders>
            <w:shd w:val="clear" w:color="auto" w:fill="auto"/>
            <w:noWrap/>
            <w:vAlign w:val="bottom"/>
            <w:hideMark/>
          </w:tcPr>
          <w:p w14:paraId="168E67B1"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Cambio de bombillos</w:t>
            </w:r>
          </w:p>
        </w:tc>
        <w:tc>
          <w:tcPr>
            <w:tcW w:w="264" w:type="pct"/>
            <w:tcBorders>
              <w:top w:val="nil"/>
              <w:left w:val="nil"/>
              <w:bottom w:val="nil"/>
              <w:right w:val="nil"/>
            </w:tcBorders>
            <w:shd w:val="clear" w:color="auto" w:fill="auto"/>
            <w:noWrap/>
            <w:vAlign w:val="bottom"/>
            <w:hideMark/>
          </w:tcPr>
          <w:p w14:paraId="702CBAF4" w14:textId="77777777" w:rsidR="002F1691" w:rsidRPr="009A549A" w:rsidRDefault="002F1691" w:rsidP="002F1691">
            <w:pPr>
              <w:ind w:firstLineChars="100" w:firstLine="160"/>
              <w:rPr>
                <w:rFonts w:ascii="Calibri" w:hAnsi="Calibri" w:cs="Calibri"/>
                <w:color w:val="000000"/>
                <w:sz w:val="16"/>
                <w:szCs w:val="16"/>
                <w:lang w:eastAsia="es-CO"/>
              </w:rPr>
            </w:pPr>
          </w:p>
        </w:tc>
        <w:tc>
          <w:tcPr>
            <w:tcW w:w="264" w:type="pct"/>
            <w:tcBorders>
              <w:top w:val="nil"/>
              <w:left w:val="nil"/>
              <w:bottom w:val="nil"/>
              <w:right w:val="nil"/>
            </w:tcBorders>
            <w:shd w:val="clear" w:color="auto" w:fill="auto"/>
            <w:noWrap/>
            <w:vAlign w:val="bottom"/>
            <w:hideMark/>
          </w:tcPr>
          <w:p w14:paraId="7F0D11AE"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96.559</w:t>
            </w:r>
          </w:p>
        </w:tc>
        <w:tc>
          <w:tcPr>
            <w:tcW w:w="379" w:type="pct"/>
            <w:tcBorders>
              <w:top w:val="nil"/>
              <w:left w:val="nil"/>
              <w:bottom w:val="nil"/>
              <w:right w:val="nil"/>
            </w:tcBorders>
            <w:shd w:val="clear" w:color="auto" w:fill="auto"/>
            <w:noWrap/>
            <w:vAlign w:val="bottom"/>
            <w:hideMark/>
          </w:tcPr>
          <w:p w14:paraId="336C47E8"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193.870</w:t>
            </w:r>
          </w:p>
        </w:tc>
        <w:tc>
          <w:tcPr>
            <w:tcW w:w="379" w:type="pct"/>
            <w:tcBorders>
              <w:top w:val="nil"/>
              <w:left w:val="nil"/>
              <w:bottom w:val="nil"/>
              <w:right w:val="nil"/>
            </w:tcBorders>
            <w:shd w:val="clear" w:color="auto" w:fill="auto"/>
            <w:noWrap/>
            <w:vAlign w:val="bottom"/>
            <w:hideMark/>
          </w:tcPr>
          <w:p w14:paraId="5C0F6752"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239.321</w:t>
            </w:r>
          </w:p>
        </w:tc>
        <w:tc>
          <w:tcPr>
            <w:tcW w:w="379" w:type="pct"/>
            <w:tcBorders>
              <w:top w:val="nil"/>
              <w:left w:val="nil"/>
              <w:bottom w:val="nil"/>
              <w:right w:val="nil"/>
            </w:tcBorders>
            <w:shd w:val="clear" w:color="auto" w:fill="auto"/>
            <w:noWrap/>
            <w:vAlign w:val="bottom"/>
            <w:hideMark/>
          </w:tcPr>
          <w:p w14:paraId="55FB9F09"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285.602</w:t>
            </w:r>
          </w:p>
        </w:tc>
        <w:tc>
          <w:tcPr>
            <w:tcW w:w="449" w:type="pct"/>
            <w:tcBorders>
              <w:top w:val="nil"/>
              <w:left w:val="nil"/>
              <w:bottom w:val="nil"/>
              <w:right w:val="nil"/>
            </w:tcBorders>
            <w:shd w:val="clear" w:color="auto" w:fill="auto"/>
            <w:noWrap/>
            <w:vAlign w:val="bottom"/>
            <w:hideMark/>
          </w:tcPr>
          <w:p w14:paraId="31110BD7"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332.754</w:t>
            </w:r>
          </w:p>
        </w:tc>
        <w:tc>
          <w:tcPr>
            <w:tcW w:w="310" w:type="pct"/>
            <w:tcBorders>
              <w:top w:val="nil"/>
              <w:left w:val="nil"/>
              <w:bottom w:val="nil"/>
              <w:right w:val="nil"/>
            </w:tcBorders>
            <w:vAlign w:val="bottom"/>
          </w:tcPr>
          <w:p w14:paraId="75FFFC5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380.820</w:t>
            </w:r>
          </w:p>
        </w:tc>
        <w:tc>
          <w:tcPr>
            <w:tcW w:w="449" w:type="pct"/>
            <w:tcBorders>
              <w:top w:val="nil"/>
              <w:left w:val="nil"/>
              <w:bottom w:val="nil"/>
              <w:right w:val="nil"/>
            </w:tcBorders>
            <w:shd w:val="clear" w:color="auto" w:fill="auto"/>
            <w:noWrap/>
            <w:vAlign w:val="bottom"/>
            <w:hideMark/>
          </w:tcPr>
          <w:p w14:paraId="7880692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429.845</w:t>
            </w:r>
          </w:p>
        </w:tc>
      </w:tr>
      <w:tr w:rsidR="002F1691" w:rsidRPr="009A549A" w14:paraId="0A654E75" w14:textId="77777777" w:rsidTr="002F1691">
        <w:trPr>
          <w:trHeight w:val="300"/>
        </w:trPr>
        <w:tc>
          <w:tcPr>
            <w:tcW w:w="2126" w:type="pct"/>
            <w:tcBorders>
              <w:top w:val="nil"/>
              <w:left w:val="nil"/>
              <w:bottom w:val="single" w:sz="4" w:space="0" w:color="auto"/>
              <w:right w:val="nil"/>
            </w:tcBorders>
            <w:shd w:val="clear" w:color="auto" w:fill="auto"/>
            <w:noWrap/>
            <w:vAlign w:val="bottom"/>
            <w:hideMark/>
          </w:tcPr>
          <w:p w14:paraId="75E95882"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Total emisiones evitadas Sector Residencial (TonCO2)</w:t>
            </w:r>
          </w:p>
        </w:tc>
        <w:tc>
          <w:tcPr>
            <w:tcW w:w="264" w:type="pct"/>
            <w:tcBorders>
              <w:top w:val="nil"/>
              <w:left w:val="nil"/>
              <w:bottom w:val="single" w:sz="4" w:space="0" w:color="auto"/>
              <w:right w:val="nil"/>
            </w:tcBorders>
            <w:shd w:val="clear" w:color="auto" w:fill="auto"/>
            <w:noWrap/>
            <w:vAlign w:val="bottom"/>
            <w:hideMark/>
          </w:tcPr>
          <w:p w14:paraId="13F571A2"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264" w:type="pct"/>
            <w:tcBorders>
              <w:top w:val="nil"/>
              <w:left w:val="nil"/>
              <w:bottom w:val="single" w:sz="4" w:space="0" w:color="auto"/>
              <w:right w:val="nil"/>
            </w:tcBorders>
            <w:shd w:val="clear" w:color="auto" w:fill="auto"/>
            <w:noWrap/>
            <w:vAlign w:val="bottom"/>
            <w:hideMark/>
          </w:tcPr>
          <w:p w14:paraId="4A1517D0"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96.559</w:t>
            </w:r>
          </w:p>
        </w:tc>
        <w:tc>
          <w:tcPr>
            <w:tcW w:w="379" w:type="pct"/>
            <w:tcBorders>
              <w:top w:val="nil"/>
              <w:left w:val="nil"/>
              <w:bottom w:val="single" w:sz="4" w:space="0" w:color="auto"/>
              <w:right w:val="nil"/>
            </w:tcBorders>
            <w:shd w:val="clear" w:color="auto" w:fill="auto"/>
            <w:noWrap/>
            <w:vAlign w:val="bottom"/>
            <w:hideMark/>
          </w:tcPr>
          <w:p w14:paraId="263F56BD"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193.870</w:t>
            </w:r>
          </w:p>
        </w:tc>
        <w:tc>
          <w:tcPr>
            <w:tcW w:w="379" w:type="pct"/>
            <w:tcBorders>
              <w:top w:val="nil"/>
              <w:left w:val="nil"/>
              <w:bottom w:val="single" w:sz="4" w:space="0" w:color="auto"/>
              <w:right w:val="nil"/>
            </w:tcBorders>
            <w:shd w:val="clear" w:color="auto" w:fill="auto"/>
            <w:noWrap/>
            <w:vAlign w:val="bottom"/>
            <w:hideMark/>
          </w:tcPr>
          <w:p w14:paraId="66EF51C5"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239.321</w:t>
            </w:r>
          </w:p>
        </w:tc>
        <w:tc>
          <w:tcPr>
            <w:tcW w:w="379" w:type="pct"/>
            <w:tcBorders>
              <w:top w:val="nil"/>
              <w:left w:val="nil"/>
              <w:bottom w:val="single" w:sz="4" w:space="0" w:color="auto"/>
              <w:right w:val="nil"/>
            </w:tcBorders>
            <w:shd w:val="clear" w:color="auto" w:fill="auto"/>
            <w:noWrap/>
            <w:vAlign w:val="bottom"/>
            <w:hideMark/>
          </w:tcPr>
          <w:p w14:paraId="0620ECDA"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285.602</w:t>
            </w:r>
          </w:p>
        </w:tc>
        <w:tc>
          <w:tcPr>
            <w:tcW w:w="449" w:type="pct"/>
            <w:tcBorders>
              <w:top w:val="nil"/>
              <w:left w:val="nil"/>
              <w:bottom w:val="single" w:sz="4" w:space="0" w:color="auto"/>
              <w:right w:val="nil"/>
            </w:tcBorders>
            <w:shd w:val="clear" w:color="auto" w:fill="auto"/>
            <w:noWrap/>
            <w:vAlign w:val="bottom"/>
            <w:hideMark/>
          </w:tcPr>
          <w:p w14:paraId="382B2B75"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332.754</w:t>
            </w:r>
          </w:p>
        </w:tc>
        <w:tc>
          <w:tcPr>
            <w:tcW w:w="310" w:type="pct"/>
            <w:tcBorders>
              <w:top w:val="nil"/>
              <w:left w:val="nil"/>
              <w:bottom w:val="single" w:sz="4" w:space="0" w:color="auto"/>
              <w:right w:val="nil"/>
            </w:tcBorders>
            <w:vAlign w:val="bottom"/>
          </w:tcPr>
          <w:p w14:paraId="6B2EED2F"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380.820</w:t>
            </w:r>
          </w:p>
        </w:tc>
        <w:tc>
          <w:tcPr>
            <w:tcW w:w="449" w:type="pct"/>
            <w:tcBorders>
              <w:top w:val="nil"/>
              <w:left w:val="nil"/>
              <w:bottom w:val="single" w:sz="4" w:space="0" w:color="auto"/>
              <w:right w:val="nil"/>
            </w:tcBorders>
            <w:shd w:val="clear" w:color="auto" w:fill="auto"/>
            <w:noWrap/>
            <w:vAlign w:val="bottom"/>
            <w:hideMark/>
          </w:tcPr>
          <w:p w14:paraId="024E216F"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429.845</w:t>
            </w:r>
          </w:p>
        </w:tc>
      </w:tr>
      <w:tr w:rsidR="002F1691" w:rsidRPr="009A549A" w14:paraId="5F361DD8" w14:textId="77777777" w:rsidTr="002F1691">
        <w:trPr>
          <w:trHeight w:val="300"/>
        </w:trPr>
        <w:tc>
          <w:tcPr>
            <w:tcW w:w="2126" w:type="pct"/>
            <w:tcBorders>
              <w:top w:val="nil"/>
              <w:left w:val="nil"/>
              <w:bottom w:val="single" w:sz="4" w:space="0" w:color="auto"/>
              <w:right w:val="nil"/>
            </w:tcBorders>
            <w:shd w:val="clear" w:color="auto" w:fill="auto"/>
            <w:noWrap/>
            <w:vAlign w:val="bottom"/>
            <w:hideMark/>
          </w:tcPr>
          <w:p w14:paraId="6B7F9BA5"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Emisiones evitadas acumuladas S. Residencial (TonCO2)</w:t>
            </w:r>
          </w:p>
        </w:tc>
        <w:tc>
          <w:tcPr>
            <w:tcW w:w="264" w:type="pct"/>
            <w:tcBorders>
              <w:top w:val="nil"/>
              <w:left w:val="nil"/>
              <w:bottom w:val="single" w:sz="4" w:space="0" w:color="auto"/>
              <w:right w:val="nil"/>
            </w:tcBorders>
            <w:shd w:val="clear" w:color="auto" w:fill="auto"/>
            <w:noWrap/>
            <w:vAlign w:val="bottom"/>
            <w:hideMark/>
          </w:tcPr>
          <w:p w14:paraId="1983022B"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264" w:type="pct"/>
            <w:tcBorders>
              <w:top w:val="nil"/>
              <w:left w:val="nil"/>
              <w:bottom w:val="single" w:sz="4" w:space="0" w:color="auto"/>
              <w:right w:val="nil"/>
            </w:tcBorders>
            <w:shd w:val="clear" w:color="auto" w:fill="auto"/>
            <w:noWrap/>
            <w:vAlign w:val="bottom"/>
            <w:hideMark/>
          </w:tcPr>
          <w:p w14:paraId="51F6F247"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96.559</w:t>
            </w:r>
          </w:p>
        </w:tc>
        <w:tc>
          <w:tcPr>
            <w:tcW w:w="379" w:type="pct"/>
            <w:tcBorders>
              <w:top w:val="nil"/>
              <w:left w:val="nil"/>
              <w:bottom w:val="single" w:sz="4" w:space="0" w:color="auto"/>
              <w:right w:val="nil"/>
            </w:tcBorders>
            <w:shd w:val="clear" w:color="auto" w:fill="auto"/>
            <w:noWrap/>
            <w:vAlign w:val="bottom"/>
            <w:hideMark/>
          </w:tcPr>
          <w:p w14:paraId="09B972A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290.428</w:t>
            </w:r>
          </w:p>
        </w:tc>
        <w:tc>
          <w:tcPr>
            <w:tcW w:w="379" w:type="pct"/>
            <w:tcBorders>
              <w:top w:val="nil"/>
              <w:left w:val="nil"/>
              <w:bottom w:val="single" w:sz="4" w:space="0" w:color="auto"/>
              <w:right w:val="nil"/>
            </w:tcBorders>
            <w:shd w:val="clear" w:color="auto" w:fill="auto"/>
            <w:noWrap/>
            <w:vAlign w:val="bottom"/>
            <w:hideMark/>
          </w:tcPr>
          <w:p w14:paraId="2A701084"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529.750</w:t>
            </w:r>
          </w:p>
        </w:tc>
        <w:tc>
          <w:tcPr>
            <w:tcW w:w="379" w:type="pct"/>
            <w:tcBorders>
              <w:top w:val="nil"/>
              <w:left w:val="nil"/>
              <w:bottom w:val="single" w:sz="4" w:space="0" w:color="auto"/>
              <w:right w:val="nil"/>
            </w:tcBorders>
            <w:shd w:val="clear" w:color="auto" w:fill="auto"/>
            <w:noWrap/>
            <w:vAlign w:val="bottom"/>
            <w:hideMark/>
          </w:tcPr>
          <w:p w14:paraId="28365300"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815.352</w:t>
            </w:r>
          </w:p>
        </w:tc>
        <w:tc>
          <w:tcPr>
            <w:tcW w:w="449" w:type="pct"/>
            <w:tcBorders>
              <w:top w:val="nil"/>
              <w:left w:val="nil"/>
              <w:bottom w:val="single" w:sz="4" w:space="0" w:color="auto"/>
              <w:right w:val="nil"/>
            </w:tcBorders>
            <w:shd w:val="clear" w:color="auto" w:fill="auto"/>
            <w:noWrap/>
            <w:vAlign w:val="bottom"/>
            <w:hideMark/>
          </w:tcPr>
          <w:p w14:paraId="471ADF92"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1.148.106</w:t>
            </w:r>
          </w:p>
        </w:tc>
        <w:tc>
          <w:tcPr>
            <w:tcW w:w="310" w:type="pct"/>
            <w:tcBorders>
              <w:top w:val="nil"/>
              <w:left w:val="nil"/>
              <w:bottom w:val="single" w:sz="4" w:space="0" w:color="auto"/>
              <w:right w:val="nil"/>
            </w:tcBorders>
            <w:vAlign w:val="bottom"/>
          </w:tcPr>
          <w:p w14:paraId="6CFFC332"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1.528.925</w:t>
            </w:r>
          </w:p>
        </w:tc>
        <w:tc>
          <w:tcPr>
            <w:tcW w:w="449" w:type="pct"/>
            <w:tcBorders>
              <w:top w:val="nil"/>
              <w:left w:val="nil"/>
              <w:bottom w:val="single" w:sz="4" w:space="0" w:color="auto"/>
              <w:right w:val="nil"/>
            </w:tcBorders>
            <w:shd w:val="clear" w:color="auto" w:fill="auto"/>
            <w:noWrap/>
            <w:vAlign w:val="bottom"/>
            <w:hideMark/>
          </w:tcPr>
          <w:p w14:paraId="2AF0493B"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1.958.771</w:t>
            </w:r>
          </w:p>
        </w:tc>
      </w:tr>
      <w:tr w:rsidR="002F1691" w:rsidRPr="009A549A" w14:paraId="3790A78C" w14:textId="77777777" w:rsidTr="002F1691">
        <w:trPr>
          <w:trHeight w:val="300"/>
        </w:trPr>
        <w:tc>
          <w:tcPr>
            <w:tcW w:w="2126" w:type="pct"/>
            <w:tcBorders>
              <w:top w:val="nil"/>
              <w:left w:val="nil"/>
              <w:bottom w:val="single" w:sz="4" w:space="0" w:color="auto"/>
              <w:right w:val="nil"/>
            </w:tcBorders>
            <w:shd w:val="clear" w:color="000000" w:fill="E7E6E6"/>
            <w:noWrap/>
            <w:vAlign w:val="bottom"/>
            <w:hideMark/>
          </w:tcPr>
          <w:p w14:paraId="3A23D743"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Alumbrado Público</w:t>
            </w:r>
          </w:p>
        </w:tc>
        <w:tc>
          <w:tcPr>
            <w:tcW w:w="264" w:type="pct"/>
            <w:tcBorders>
              <w:top w:val="nil"/>
              <w:left w:val="nil"/>
              <w:bottom w:val="single" w:sz="4" w:space="0" w:color="auto"/>
              <w:right w:val="nil"/>
            </w:tcBorders>
            <w:shd w:val="clear" w:color="000000" w:fill="E7E6E6"/>
            <w:noWrap/>
            <w:vAlign w:val="bottom"/>
            <w:hideMark/>
          </w:tcPr>
          <w:p w14:paraId="0C05FF7B" w14:textId="77777777" w:rsidR="002F1691" w:rsidRPr="009A549A" w:rsidRDefault="002F1691" w:rsidP="002F1691">
            <w:pPr>
              <w:rPr>
                <w:rFonts w:ascii="Calibri" w:hAnsi="Calibri" w:cs="Calibri"/>
                <w:color w:val="FF0000"/>
                <w:sz w:val="16"/>
                <w:szCs w:val="16"/>
                <w:lang w:eastAsia="es-CO"/>
              </w:rPr>
            </w:pPr>
            <w:r w:rsidRPr="009A549A">
              <w:rPr>
                <w:rFonts w:ascii="Calibri" w:hAnsi="Calibri" w:cs="Calibri"/>
                <w:color w:val="FF0000"/>
                <w:sz w:val="16"/>
                <w:szCs w:val="16"/>
                <w:lang w:eastAsia="es-CO"/>
              </w:rPr>
              <w:t> </w:t>
            </w:r>
          </w:p>
        </w:tc>
        <w:tc>
          <w:tcPr>
            <w:tcW w:w="264" w:type="pct"/>
            <w:tcBorders>
              <w:top w:val="nil"/>
              <w:left w:val="nil"/>
              <w:bottom w:val="single" w:sz="4" w:space="0" w:color="auto"/>
              <w:right w:val="nil"/>
            </w:tcBorders>
            <w:shd w:val="clear" w:color="000000" w:fill="E7E6E6"/>
            <w:noWrap/>
            <w:vAlign w:val="bottom"/>
            <w:hideMark/>
          </w:tcPr>
          <w:p w14:paraId="5D26D8DD"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c>
          <w:tcPr>
            <w:tcW w:w="379" w:type="pct"/>
            <w:tcBorders>
              <w:top w:val="nil"/>
              <w:left w:val="nil"/>
              <w:bottom w:val="single" w:sz="4" w:space="0" w:color="auto"/>
              <w:right w:val="nil"/>
            </w:tcBorders>
            <w:shd w:val="clear" w:color="000000" w:fill="E7E6E6"/>
            <w:noWrap/>
            <w:vAlign w:val="bottom"/>
            <w:hideMark/>
          </w:tcPr>
          <w:p w14:paraId="365A858E"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c>
          <w:tcPr>
            <w:tcW w:w="379" w:type="pct"/>
            <w:tcBorders>
              <w:top w:val="nil"/>
              <w:left w:val="nil"/>
              <w:bottom w:val="single" w:sz="4" w:space="0" w:color="auto"/>
              <w:right w:val="nil"/>
            </w:tcBorders>
            <w:shd w:val="clear" w:color="000000" w:fill="E7E6E6"/>
            <w:noWrap/>
            <w:vAlign w:val="bottom"/>
            <w:hideMark/>
          </w:tcPr>
          <w:p w14:paraId="49C2684F"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c>
          <w:tcPr>
            <w:tcW w:w="379" w:type="pct"/>
            <w:tcBorders>
              <w:top w:val="nil"/>
              <w:left w:val="nil"/>
              <w:bottom w:val="single" w:sz="4" w:space="0" w:color="auto"/>
              <w:right w:val="nil"/>
            </w:tcBorders>
            <w:shd w:val="clear" w:color="000000" w:fill="E7E6E6"/>
            <w:noWrap/>
            <w:vAlign w:val="bottom"/>
            <w:hideMark/>
          </w:tcPr>
          <w:p w14:paraId="422882BB"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c>
          <w:tcPr>
            <w:tcW w:w="449" w:type="pct"/>
            <w:tcBorders>
              <w:top w:val="nil"/>
              <w:left w:val="nil"/>
              <w:bottom w:val="single" w:sz="4" w:space="0" w:color="auto"/>
              <w:right w:val="nil"/>
            </w:tcBorders>
            <w:shd w:val="clear" w:color="000000" w:fill="E7E6E6"/>
            <w:noWrap/>
            <w:vAlign w:val="bottom"/>
            <w:hideMark/>
          </w:tcPr>
          <w:p w14:paraId="272C0638"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c>
          <w:tcPr>
            <w:tcW w:w="310" w:type="pct"/>
            <w:tcBorders>
              <w:top w:val="nil"/>
              <w:left w:val="nil"/>
              <w:bottom w:val="single" w:sz="4" w:space="0" w:color="auto"/>
              <w:right w:val="nil"/>
            </w:tcBorders>
            <w:shd w:val="clear" w:color="000000" w:fill="E7E6E6"/>
            <w:vAlign w:val="bottom"/>
          </w:tcPr>
          <w:p w14:paraId="5EF7545B"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c>
          <w:tcPr>
            <w:tcW w:w="449" w:type="pct"/>
            <w:tcBorders>
              <w:top w:val="nil"/>
              <w:left w:val="nil"/>
              <w:bottom w:val="single" w:sz="4" w:space="0" w:color="auto"/>
              <w:right w:val="nil"/>
            </w:tcBorders>
            <w:shd w:val="clear" w:color="000000" w:fill="E7E6E6"/>
            <w:noWrap/>
            <w:vAlign w:val="bottom"/>
            <w:hideMark/>
          </w:tcPr>
          <w:p w14:paraId="516C01DF" w14:textId="77777777" w:rsidR="002F1691" w:rsidRPr="002C33B5" w:rsidRDefault="002F1691" w:rsidP="002F1691">
            <w:pPr>
              <w:rPr>
                <w:rFonts w:ascii="Calibri" w:hAnsi="Calibri" w:cs="Calibri"/>
                <w:color w:val="FF0000"/>
                <w:sz w:val="14"/>
                <w:szCs w:val="16"/>
              </w:rPr>
            </w:pPr>
            <w:r w:rsidRPr="002C33B5">
              <w:rPr>
                <w:rFonts w:ascii="Calibri" w:hAnsi="Calibri" w:cs="Calibri"/>
                <w:color w:val="FF0000"/>
                <w:sz w:val="14"/>
                <w:szCs w:val="16"/>
              </w:rPr>
              <w:t> </w:t>
            </w:r>
          </w:p>
        </w:tc>
      </w:tr>
      <w:tr w:rsidR="002F1691" w:rsidRPr="009A549A" w14:paraId="034607B9" w14:textId="77777777" w:rsidTr="002F1691">
        <w:trPr>
          <w:trHeight w:val="300"/>
        </w:trPr>
        <w:tc>
          <w:tcPr>
            <w:tcW w:w="2126" w:type="pct"/>
            <w:tcBorders>
              <w:top w:val="nil"/>
              <w:left w:val="nil"/>
              <w:bottom w:val="nil"/>
              <w:right w:val="nil"/>
            </w:tcBorders>
            <w:shd w:val="clear" w:color="auto" w:fill="auto"/>
            <w:noWrap/>
            <w:vAlign w:val="bottom"/>
            <w:hideMark/>
          </w:tcPr>
          <w:p w14:paraId="4378700A"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Cambio de lamparas</w:t>
            </w:r>
          </w:p>
        </w:tc>
        <w:tc>
          <w:tcPr>
            <w:tcW w:w="264" w:type="pct"/>
            <w:tcBorders>
              <w:top w:val="nil"/>
              <w:left w:val="nil"/>
              <w:bottom w:val="nil"/>
              <w:right w:val="nil"/>
            </w:tcBorders>
            <w:shd w:val="clear" w:color="auto" w:fill="auto"/>
            <w:noWrap/>
            <w:vAlign w:val="bottom"/>
            <w:hideMark/>
          </w:tcPr>
          <w:p w14:paraId="7E6F02BA" w14:textId="77777777" w:rsidR="002F1691" w:rsidRPr="009A549A" w:rsidRDefault="002F1691" w:rsidP="002F1691">
            <w:pPr>
              <w:ind w:firstLineChars="100" w:firstLine="160"/>
              <w:rPr>
                <w:rFonts w:ascii="Calibri" w:hAnsi="Calibri" w:cs="Calibri"/>
                <w:color w:val="000000"/>
                <w:sz w:val="16"/>
                <w:szCs w:val="16"/>
                <w:lang w:eastAsia="es-CO"/>
              </w:rPr>
            </w:pPr>
          </w:p>
        </w:tc>
        <w:tc>
          <w:tcPr>
            <w:tcW w:w="264" w:type="pct"/>
            <w:tcBorders>
              <w:top w:val="nil"/>
              <w:left w:val="nil"/>
              <w:bottom w:val="nil"/>
              <w:right w:val="nil"/>
            </w:tcBorders>
            <w:shd w:val="clear" w:color="auto" w:fill="auto"/>
            <w:noWrap/>
            <w:vAlign w:val="bottom"/>
            <w:hideMark/>
          </w:tcPr>
          <w:p w14:paraId="03C8844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570</w:t>
            </w:r>
          </w:p>
        </w:tc>
        <w:tc>
          <w:tcPr>
            <w:tcW w:w="379" w:type="pct"/>
            <w:tcBorders>
              <w:top w:val="nil"/>
              <w:left w:val="nil"/>
              <w:bottom w:val="nil"/>
              <w:right w:val="nil"/>
            </w:tcBorders>
            <w:shd w:val="clear" w:color="auto" w:fill="auto"/>
            <w:noWrap/>
            <w:vAlign w:val="bottom"/>
            <w:hideMark/>
          </w:tcPr>
          <w:p w14:paraId="3E8717B8"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1.140</w:t>
            </w:r>
          </w:p>
        </w:tc>
        <w:tc>
          <w:tcPr>
            <w:tcW w:w="379" w:type="pct"/>
            <w:tcBorders>
              <w:top w:val="nil"/>
              <w:left w:val="nil"/>
              <w:bottom w:val="nil"/>
              <w:right w:val="nil"/>
            </w:tcBorders>
            <w:shd w:val="clear" w:color="auto" w:fill="auto"/>
            <w:noWrap/>
            <w:vAlign w:val="bottom"/>
            <w:hideMark/>
          </w:tcPr>
          <w:p w14:paraId="5FA5C0B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1.140</w:t>
            </w:r>
          </w:p>
        </w:tc>
        <w:tc>
          <w:tcPr>
            <w:tcW w:w="379" w:type="pct"/>
            <w:tcBorders>
              <w:top w:val="nil"/>
              <w:left w:val="nil"/>
              <w:bottom w:val="nil"/>
              <w:right w:val="nil"/>
            </w:tcBorders>
            <w:shd w:val="clear" w:color="auto" w:fill="auto"/>
            <w:noWrap/>
            <w:vAlign w:val="bottom"/>
            <w:hideMark/>
          </w:tcPr>
          <w:p w14:paraId="74DF0245"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71.194</w:t>
            </w:r>
          </w:p>
        </w:tc>
        <w:tc>
          <w:tcPr>
            <w:tcW w:w="449" w:type="pct"/>
            <w:tcBorders>
              <w:top w:val="nil"/>
              <w:left w:val="nil"/>
              <w:bottom w:val="nil"/>
              <w:right w:val="nil"/>
            </w:tcBorders>
            <w:shd w:val="clear" w:color="auto" w:fill="auto"/>
            <w:noWrap/>
            <w:vAlign w:val="bottom"/>
            <w:hideMark/>
          </w:tcPr>
          <w:p w14:paraId="2A671072"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141.506</w:t>
            </w:r>
          </w:p>
        </w:tc>
        <w:tc>
          <w:tcPr>
            <w:tcW w:w="310" w:type="pct"/>
            <w:tcBorders>
              <w:top w:val="nil"/>
              <w:left w:val="nil"/>
              <w:bottom w:val="nil"/>
              <w:right w:val="nil"/>
            </w:tcBorders>
            <w:vAlign w:val="bottom"/>
          </w:tcPr>
          <w:p w14:paraId="4EEEB729"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148.059</w:t>
            </w:r>
          </w:p>
        </w:tc>
        <w:tc>
          <w:tcPr>
            <w:tcW w:w="449" w:type="pct"/>
            <w:tcBorders>
              <w:top w:val="nil"/>
              <w:left w:val="nil"/>
              <w:bottom w:val="nil"/>
              <w:right w:val="nil"/>
            </w:tcBorders>
            <w:shd w:val="clear" w:color="auto" w:fill="auto"/>
            <w:noWrap/>
            <w:vAlign w:val="bottom"/>
            <w:hideMark/>
          </w:tcPr>
          <w:p w14:paraId="36F58041"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154.893</w:t>
            </w:r>
          </w:p>
        </w:tc>
      </w:tr>
      <w:tr w:rsidR="002F1691" w:rsidRPr="009A549A" w14:paraId="48D7D553" w14:textId="77777777" w:rsidTr="002F1691">
        <w:trPr>
          <w:trHeight w:val="300"/>
        </w:trPr>
        <w:tc>
          <w:tcPr>
            <w:tcW w:w="2126" w:type="pct"/>
            <w:tcBorders>
              <w:top w:val="nil"/>
              <w:left w:val="nil"/>
              <w:bottom w:val="single" w:sz="4" w:space="0" w:color="auto"/>
              <w:right w:val="nil"/>
            </w:tcBorders>
            <w:shd w:val="clear" w:color="auto" w:fill="auto"/>
            <w:noWrap/>
            <w:vAlign w:val="bottom"/>
            <w:hideMark/>
          </w:tcPr>
          <w:p w14:paraId="30A2E9F9"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Total emisiones evitadas Alumbrado Público (TonCO2)</w:t>
            </w:r>
          </w:p>
        </w:tc>
        <w:tc>
          <w:tcPr>
            <w:tcW w:w="264" w:type="pct"/>
            <w:tcBorders>
              <w:top w:val="nil"/>
              <w:left w:val="nil"/>
              <w:bottom w:val="single" w:sz="4" w:space="0" w:color="auto"/>
              <w:right w:val="nil"/>
            </w:tcBorders>
            <w:shd w:val="clear" w:color="auto" w:fill="auto"/>
            <w:noWrap/>
            <w:vAlign w:val="bottom"/>
            <w:hideMark/>
          </w:tcPr>
          <w:p w14:paraId="74F6BDEA"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264" w:type="pct"/>
            <w:tcBorders>
              <w:top w:val="nil"/>
              <w:left w:val="nil"/>
              <w:bottom w:val="single" w:sz="4" w:space="0" w:color="auto"/>
              <w:right w:val="nil"/>
            </w:tcBorders>
            <w:shd w:val="clear" w:color="auto" w:fill="auto"/>
            <w:noWrap/>
            <w:vAlign w:val="bottom"/>
            <w:hideMark/>
          </w:tcPr>
          <w:p w14:paraId="38E09D4A"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570</w:t>
            </w:r>
          </w:p>
        </w:tc>
        <w:tc>
          <w:tcPr>
            <w:tcW w:w="379" w:type="pct"/>
            <w:tcBorders>
              <w:top w:val="nil"/>
              <w:left w:val="nil"/>
              <w:bottom w:val="single" w:sz="4" w:space="0" w:color="auto"/>
              <w:right w:val="nil"/>
            </w:tcBorders>
            <w:shd w:val="clear" w:color="auto" w:fill="auto"/>
            <w:noWrap/>
            <w:vAlign w:val="bottom"/>
            <w:hideMark/>
          </w:tcPr>
          <w:p w14:paraId="1BFEED49"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1.140</w:t>
            </w:r>
          </w:p>
        </w:tc>
        <w:tc>
          <w:tcPr>
            <w:tcW w:w="379" w:type="pct"/>
            <w:tcBorders>
              <w:top w:val="nil"/>
              <w:left w:val="nil"/>
              <w:bottom w:val="single" w:sz="4" w:space="0" w:color="auto"/>
              <w:right w:val="nil"/>
            </w:tcBorders>
            <w:shd w:val="clear" w:color="auto" w:fill="auto"/>
            <w:noWrap/>
            <w:vAlign w:val="bottom"/>
            <w:hideMark/>
          </w:tcPr>
          <w:p w14:paraId="1DE1D559"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1.140</w:t>
            </w:r>
          </w:p>
        </w:tc>
        <w:tc>
          <w:tcPr>
            <w:tcW w:w="379" w:type="pct"/>
            <w:tcBorders>
              <w:top w:val="nil"/>
              <w:left w:val="nil"/>
              <w:bottom w:val="single" w:sz="4" w:space="0" w:color="auto"/>
              <w:right w:val="nil"/>
            </w:tcBorders>
            <w:shd w:val="clear" w:color="auto" w:fill="auto"/>
            <w:noWrap/>
            <w:vAlign w:val="bottom"/>
            <w:hideMark/>
          </w:tcPr>
          <w:p w14:paraId="7BC28A4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71.194</w:t>
            </w:r>
          </w:p>
        </w:tc>
        <w:tc>
          <w:tcPr>
            <w:tcW w:w="449" w:type="pct"/>
            <w:tcBorders>
              <w:top w:val="nil"/>
              <w:left w:val="nil"/>
              <w:bottom w:val="single" w:sz="4" w:space="0" w:color="auto"/>
              <w:right w:val="nil"/>
            </w:tcBorders>
            <w:shd w:val="clear" w:color="auto" w:fill="auto"/>
            <w:noWrap/>
            <w:vAlign w:val="bottom"/>
            <w:hideMark/>
          </w:tcPr>
          <w:p w14:paraId="713FA28D"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141.506</w:t>
            </w:r>
          </w:p>
        </w:tc>
        <w:tc>
          <w:tcPr>
            <w:tcW w:w="310" w:type="pct"/>
            <w:tcBorders>
              <w:top w:val="nil"/>
              <w:left w:val="nil"/>
              <w:bottom w:val="single" w:sz="4" w:space="0" w:color="auto"/>
              <w:right w:val="nil"/>
            </w:tcBorders>
            <w:vAlign w:val="bottom"/>
          </w:tcPr>
          <w:p w14:paraId="314BF6A1"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148.059</w:t>
            </w:r>
          </w:p>
        </w:tc>
        <w:tc>
          <w:tcPr>
            <w:tcW w:w="449" w:type="pct"/>
            <w:tcBorders>
              <w:top w:val="nil"/>
              <w:left w:val="nil"/>
              <w:bottom w:val="single" w:sz="4" w:space="0" w:color="auto"/>
              <w:right w:val="nil"/>
            </w:tcBorders>
            <w:shd w:val="clear" w:color="auto" w:fill="auto"/>
            <w:noWrap/>
            <w:vAlign w:val="bottom"/>
            <w:hideMark/>
          </w:tcPr>
          <w:p w14:paraId="4A415E9F"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154.893</w:t>
            </w:r>
          </w:p>
        </w:tc>
      </w:tr>
      <w:tr w:rsidR="002F1691" w:rsidRPr="009A549A" w14:paraId="5A114224" w14:textId="77777777" w:rsidTr="002F1691">
        <w:trPr>
          <w:trHeight w:val="315"/>
        </w:trPr>
        <w:tc>
          <w:tcPr>
            <w:tcW w:w="2126" w:type="pct"/>
            <w:tcBorders>
              <w:top w:val="nil"/>
              <w:left w:val="nil"/>
              <w:bottom w:val="single" w:sz="8" w:space="0" w:color="auto"/>
              <w:right w:val="nil"/>
            </w:tcBorders>
            <w:shd w:val="clear" w:color="auto" w:fill="auto"/>
            <w:noWrap/>
            <w:vAlign w:val="bottom"/>
            <w:hideMark/>
          </w:tcPr>
          <w:p w14:paraId="1B1FA9A5"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Emisiones evitadas acumuladas S. Público (TonCO2)</w:t>
            </w:r>
          </w:p>
        </w:tc>
        <w:tc>
          <w:tcPr>
            <w:tcW w:w="264" w:type="pct"/>
            <w:tcBorders>
              <w:top w:val="nil"/>
              <w:left w:val="nil"/>
              <w:bottom w:val="single" w:sz="8" w:space="0" w:color="auto"/>
              <w:right w:val="nil"/>
            </w:tcBorders>
            <w:shd w:val="clear" w:color="auto" w:fill="auto"/>
            <w:noWrap/>
            <w:vAlign w:val="bottom"/>
            <w:hideMark/>
          </w:tcPr>
          <w:p w14:paraId="28BBE646"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264" w:type="pct"/>
            <w:tcBorders>
              <w:top w:val="nil"/>
              <w:left w:val="nil"/>
              <w:bottom w:val="single" w:sz="8" w:space="0" w:color="auto"/>
              <w:right w:val="nil"/>
            </w:tcBorders>
            <w:shd w:val="clear" w:color="auto" w:fill="auto"/>
            <w:noWrap/>
            <w:vAlign w:val="bottom"/>
            <w:hideMark/>
          </w:tcPr>
          <w:p w14:paraId="4B7DE245"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570</w:t>
            </w:r>
          </w:p>
        </w:tc>
        <w:tc>
          <w:tcPr>
            <w:tcW w:w="379" w:type="pct"/>
            <w:tcBorders>
              <w:top w:val="nil"/>
              <w:left w:val="nil"/>
              <w:bottom w:val="single" w:sz="8" w:space="0" w:color="auto"/>
              <w:right w:val="nil"/>
            </w:tcBorders>
            <w:shd w:val="clear" w:color="auto" w:fill="auto"/>
            <w:noWrap/>
            <w:vAlign w:val="bottom"/>
            <w:hideMark/>
          </w:tcPr>
          <w:p w14:paraId="375E5EEA"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1.711</w:t>
            </w:r>
          </w:p>
        </w:tc>
        <w:tc>
          <w:tcPr>
            <w:tcW w:w="379" w:type="pct"/>
            <w:tcBorders>
              <w:top w:val="nil"/>
              <w:left w:val="nil"/>
              <w:bottom w:val="single" w:sz="8" w:space="0" w:color="auto"/>
              <w:right w:val="nil"/>
            </w:tcBorders>
            <w:shd w:val="clear" w:color="auto" w:fill="auto"/>
            <w:noWrap/>
            <w:vAlign w:val="bottom"/>
            <w:hideMark/>
          </w:tcPr>
          <w:p w14:paraId="3A6BF56C"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2.851</w:t>
            </w:r>
          </w:p>
        </w:tc>
        <w:tc>
          <w:tcPr>
            <w:tcW w:w="379" w:type="pct"/>
            <w:tcBorders>
              <w:top w:val="nil"/>
              <w:left w:val="nil"/>
              <w:bottom w:val="single" w:sz="8" w:space="0" w:color="auto"/>
              <w:right w:val="nil"/>
            </w:tcBorders>
            <w:shd w:val="clear" w:color="auto" w:fill="auto"/>
            <w:noWrap/>
            <w:vAlign w:val="bottom"/>
            <w:hideMark/>
          </w:tcPr>
          <w:p w14:paraId="5AB315D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74.045</w:t>
            </w:r>
          </w:p>
        </w:tc>
        <w:tc>
          <w:tcPr>
            <w:tcW w:w="449" w:type="pct"/>
            <w:tcBorders>
              <w:top w:val="nil"/>
              <w:left w:val="nil"/>
              <w:bottom w:val="single" w:sz="8" w:space="0" w:color="auto"/>
              <w:right w:val="nil"/>
            </w:tcBorders>
            <w:shd w:val="clear" w:color="auto" w:fill="auto"/>
            <w:noWrap/>
            <w:vAlign w:val="bottom"/>
            <w:hideMark/>
          </w:tcPr>
          <w:p w14:paraId="23599846"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215.551</w:t>
            </w:r>
          </w:p>
        </w:tc>
        <w:tc>
          <w:tcPr>
            <w:tcW w:w="310" w:type="pct"/>
            <w:tcBorders>
              <w:top w:val="nil"/>
              <w:left w:val="nil"/>
              <w:bottom w:val="single" w:sz="8" w:space="0" w:color="auto"/>
              <w:right w:val="nil"/>
            </w:tcBorders>
            <w:vAlign w:val="bottom"/>
          </w:tcPr>
          <w:p w14:paraId="3F336DA0"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363.610</w:t>
            </w:r>
          </w:p>
        </w:tc>
        <w:tc>
          <w:tcPr>
            <w:tcW w:w="449" w:type="pct"/>
            <w:tcBorders>
              <w:top w:val="nil"/>
              <w:left w:val="nil"/>
              <w:bottom w:val="single" w:sz="8" w:space="0" w:color="auto"/>
              <w:right w:val="nil"/>
            </w:tcBorders>
            <w:shd w:val="clear" w:color="auto" w:fill="auto"/>
            <w:noWrap/>
            <w:vAlign w:val="bottom"/>
            <w:hideMark/>
          </w:tcPr>
          <w:p w14:paraId="330175CF" w14:textId="77777777" w:rsidR="002F1691" w:rsidRPr="002C33B5" w:rsidRDefault="002F1691" w:rsidP="002F1691">
            <w:pPr>
              <w:jc w:val="right"/>
              <w:rPr>
                <w:rFonts w:ascii="Calibri" w:hAnsi="Calibri" w:cs="Calibri"/>
                <w:color w:val="000000"/>
                <w:sz w:val="14"/>
                <w:szCs w:val="16"/>
              </w:rPr>
            </w:pPr>
            <w:r w:rsidRPr="002C33B5">
              <w:rPr>
                <w:rFonts w:ascii="Calibri" w:hAnsi="Calibri" w:cs="Calibri"/>
                <w:color w:val="000000"/>
                <w:sz w:val="14"/>
                <w:szCs w:val="16"/>
              </w:rPr>
              <w:t>518.503</w:t>
            </w:r>
          </w:p>
        </w:tc>
      </w:tr>
      <w:tr w:rsidR="002F1691" w:rsidRPr="009A549A" w14:paraId="656E13E4" w14:textId="77777777" w:rsidTr="002F1691">
        <w:trPr>
          <w:trHeight w:val="300"/>
        </w:trPr>
        <w:tc>
          <w:tcPr>
            <w:tcW w:w="2126" w:type="pct"/>
            <w:tcBorders>
              <w:top w:val="nil"/>
              <w:left w:val="nil"/>
              <w:bottom w:val="single" w:sz="4" w:space="0" w:color="auto"/>
              <w:right w:val="nil"/>
            </w:tcBorders>
            <w:shd w:val="clear" w:color="000000" w:fill="E7E6E6"/>
            <w:noWrap/>
            <w:vAlign w:val="bottom"/>
            <w:hideMark/>
          </w:tcPr>
          <w:p w14:paraId="632344E7" w14:textId="77777777" w:rsidR="002F1691" w:rsidRPr="002F1691" w:rsidRDefault="002F1691" w:rsidP="002F1691">
            <w:pPr>
              <w:rPr>
                <w:rFonts w:ascii="Calibri" w:hAnsi="Calibri" w:cs="Calibri"/>
                <w:b/>
                <w:bCs/>
                <w:color w:val="000000"/>
                <w:sz w:val="16"/>
                <w:szCs w:val="16"/>
                <w:lang w:val="es-ES_tradnl" w:eastAsia="es-CO"/>
              </w:rPr>
            </w:pPr>
            <w:r w:rsidRPr="002F1691">
              <w:rPr>
                <w:rFonts w:ascii="Calibri" w:hAnsi="Calibri" w:cs="Calibri"/>
                <w:b/>
                <w:bCs/>
                <w:color w:val="000000"/>
                <w:sz w:val="16"/>
                <w:szCs w:val="16"/>
                <w:lang w:val="es-ES_tradnl" w:eastAsia="es-CO"/>
              </w:rPr>
              <w:t>Total emisiones evitadas anuales (TonCO2)</w:t>
            </w:r>
          </w:p>
        </w:tc>
        <w:tc>
          <w:tcPr>
            <w:tcW w:w="264" w:type="pct"/>
            <w:tcBorders>
              <w:top w:val="nil"/>
              <w:left w:val="nil"/>
              <w:bottom w:val="single" w:sz="4" w:space="0" w:color="auto"/>
              <w:right w:val="nil"/>
            </w:tcBorders>
            <w:shd w:val="clear" w:color="000000" w:fill="E7E6E6"/>
            <w:noWrap/>
            <w:vAlign w:val="bottom"/>
            <w:hideMark/>
          </w:tcPr>
          <w:p w14:paraId="5B174C59" w14:textId="77777777" w:rsidR="002F1691" w:rsidRPr="002F1691" w:rsidRDefault="002F1691" w:rsidP="002F1691">
            <w:pPr>
              <w:rPr>
                <w:rFonts w:ascii="Calibri" w:hAnsi="Calibri" w:cs="Calibri"/>
                <w:b/>
                <w:bCs/>
                <w:color w:val="000000"/>
                <w:sz w:val="16"/>
                <w:szCs w:val="16"/>
                <w:lang w:val="es-ES_tradnl" w:eastAsia="es-CO"/>
              </w:rPr>
            </w:pPr>
            <w:r w:rsidRPr="002F1691">
              <w:rPr>
                <w:rFonts w:ascii="Calibri" w:hAnsi="Calibri" w:cs="Calibri"/>
                <w:b/>
                <w:bCs/>
                <w:color w:val="000000"/>
                <w:sz w:val="16"/>
                <w:szCs w:val="16"/>
                <w:lang w:val="es-ES_tradnl" w:eastAsia="es-CO"/>
              </w:rPr>
              <w:t> </w:t>
            </w:r>
          </w:p>
        </w:tc>
        <w:tc>
          <w:tcPr>
            <w:tcW w:w="264" w:type="pct"/>
            <w:tcBorders>
              <w:top w:val="nil"/>
              <w:left w:val="nil"/>
              <w:bottom w:val="single" w:sz="4" w:space="0" w:color="auto"/>
              <w:right w:val="nil"/>
            </w:tcBorders>
            <w:shd w:val="clear" w:color="000000" w:fill="E7E6E6"/>
            <w:noWrap/>
            <w:vAlign w:val="bottom"/>
            <w:hideMark/>
          </w:tcPr>
          <w:p w14:paraId="27D8EAE5"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97.129</w:t>
            </w:r>
          </w:p>
        </w:tc>
        <w:tc>
          <w:tcPr>
            <w:tcW w:w="379" w:type="pct"/>
            <w:tcBorders>
              <w:top w:val="nil"/>
              <w:left w:val="nil"/>
              <w:bottom w:val="single" w:sz="4" w:space="0" w:color="auto"/>
              <w:right w:val="nil"/>
            </w:tcBorders>
            <w:shd w:val="clear" w:color="000000" w:fill="E7E6E6"/>
            <w:noWrap/>
            <w:vAlign w:val="bottom"/>
            <w:hideMark/>
          </w:tcPr>
          <w:p w14:paraId="47B810A2"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195.010</w:t>
            </w:r>
          </w:p>
        </w:tc>
        <w:tc>
          <w:tcPr>
            <w:tcW w:w="379" w:type="pct"/>
            <w:tcBorders>
              <w:top w:val="nil"/>
              <w:left w:val="nil"/>
              <w:bottom w:val="single" w:sz="4" w:space="0" w:color="auto"/>
              <w:right w:val="nil"/>
            </w:tcBorders>
            <w:shd w:val="clear" w:color="000000" w:fill="E7E6E6"/>
            <w:noWrap/>
            <w:vAlign w:val="bottom"/>
            <w:hideMark/>
          </w:tcPr>
          <w:p w14:paraId="7B62EE97"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240.462</w:t>
            </w:r>
          </w:p>
        </w:tc>
        <w:tc>
          <w:tcPr>
            <w:tcW w:w="379" w:type="pct"/>
            <w:tcBorders>
              <w:top w:val="nil"/>
              <w:left w:val="nil"/>
              <w:bottom w:val="single" w:sz="4" w:space="0" w:color="auto"/>
              <w:right w:val="nil"/>
            </w:tcBorders>
            <w:shd w:val="clear" w:color="000000" w:fill="E7E6E6"/>
            <w:noWrap/>
            <w:vAlign w:val="bottom"/>
            <w:hideMark/>
          </w:tcPr>
          <w:p w14:paraId="1D680B99"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356.796</w:t>
            </w:r>
          </w:p>
        </w:tc>
        <w:tc>
          <w:tcPr>
            <w:tcW w:w="449" w:type="pct"/>
            <w:tcBorders>
              <w:top w:val="nil"/>
              <w:left w:val="nil"/>
              <w:bottom w:val="single" w:sz="4" w:space="0" w:color="auto"/>
              <w:right w:val="nil"/>
            </w:tcBorders>
            <w:shd w:val="clear" w:color="000000" w:fill="E7E6E6"/>
            <w:noWrap/>
            <w:vAlign w:val="bottom"/>
            <w:hideMark/>
          </w:tcPr>
          <w:p w14:paraId="3B91A00F"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474.260</w:t>
            </w:r>
          </w:p>
        </w:tc>
        <w:tc>
          <w:tcPr>
            <w:tcW w:w="310" w:type="pct"/>
            <w:tcBorders>
              <w:top w:val="nil"/>
              <w:left w:val="nil"/>
              <w:bottom w:val="single" w:sz="4" w:space="0" w:color="auto"/>
              <w:right w:val="nil"/>
            </w:tcBorders>
            <w:shd w:val="clear" w:color="000000" w:fill="E7E6E6"/>
            <w:vAlign w:val="bottom"/>
          </w:tcPr>
          <w:p w14:paraId="5CB6311F"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528.878</w:t>
            </w:r>
          </w:p>
        </w:tc>
        <w:tc>
          <w:tcPr>
            <w:tcW w:w="449" w:type="pct"/>
            <w:tcBorders>
              <w:top w:val="nil"/>
              <w:left w:val="nil"/>
              <w:bottom w:val="single" w:sz="4" w:space="0" w:color="auto"/>
              <w:right w:val="nil"/>
            </w:tcBorders>
            <w:shd w:val="clear" w:color="000000" w:fill="E7E6E6"/>
            <w:noWrap/>
            <w:vAlign w:val="bottom"/>
            <w:hideMark/>
          </w:tcPr>
          <w:p w14:paraId="54874BA6"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584.738</w:t>
            </w:r>
          </w:p>
        </w:tc>
      </w:tr>
      <w:tr w:rsidR="002F1691" w:rsidRPr="009A549A" w14:paraId="54162318" w14:textId="77777777" w:rsidTr="002F1691">
        <w:trPr>
          <w:trHeight w:val="315"/>
        </w:trPr>
        <w:tc>
          <w:tcPr>
            <w:tcW w:w="2126" w:type="pct"/>
            <w:tcBorders>
              <w:top w:val="nil"/>
              <w:left w:val="nil"/>
              <w:bottom w:val="single" w:sz="8" w:space="0" w:color="auto"/>
              <w:right w:val="nil"/>
            </w:tcBorders>
            <w:shd w:val="clear" w:color="000000" w:fill="E7E6E6"/>
            <w:noWrap/>
            <w:vAlign w:val="bottom"/>
            <w:hideMark/>
          </w:tcPr>
          <w:p w14:paraId="4AFE03F2" w14:textId="77777777" w:rsidR="002F1691" w:rsidRPr="009A549A" w:rsidRDefault="002F1691" w:rsidP="002F1691">
            <w:pPr>
              <w:rPr>
                <w:rFonts w:ascii="Calibri" w:hAnsi="Calibri" w:cs="Calibri"/>
                <w:b/>
                <w:bCs/>
                <w:color w:val="000000"/>
                <w:sz w:val="16"/>
                <w:szCs w:val="16"/>
                <w:lang w:eastAsia="es-CO"/>
              </w:rPr>
            </w:pPr>
            <w:r>
              <w:rPr>
                <w:rFonts w:ascii="Calibri" w:hAnsi="Calibri" w:cs="Calibri"/>
                <w:b/>
                <w:bCs/>
                <w:color w:val="000000"/>
                <w:sz w:val="16"/>
                <w:szCs w:val="16"/>
                <w:lang w:eastAsia="es-CO"/>
              </w:rPr>
              <w:t>E</w:t>
            </w:r>
            <w:r w:rsidRPr="009A549A">
              <w:rPr>
                <w:rFonts w:ascii="Calibri" w:hAnsi="Calibri" w:cs="Calibri"/>
                <w:b/>
                <w:bCs/>
                <w:color w:val="000000"/>
                <w:sz w:val="16"/>
                <w:szCs w:val="16"/>
                <w:lang w:eastAsia="es-CO"/>
              </w:rPr>
              <w:t>misiones evitadas acumuladas (TonCO2)</w:t>
            </w:r>
          </w:p>
        </w:tc>
        <w:tc>
          <w:tcPr>
            <w:tcW w:w="264" w:type="pct"/>
            <w:tcBorders>
              <w:top w:val="nil"/>
              <w:left w:val="nil"/>
              <w:bottom w:val="single" w:sz="8" w:space="0" w:color="auto"/>
              <w:right w:val="nil"/>
            </w:tcBorders>
            <w:shd w:val="clear" w:color="000000" w:fill="E7E6E6"/>
            <w:noWrap/>
            <w:vAlign w:val="bottom"/>
            <w:hideMark/>
          </w:tcPr>
          <w:p w14:paraId="0DEA26E5"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 </w:t>
            </w:r>
          </w:p>
        </w:tc>
        <w:tc>
          <w:tcPr>
            <w:tcW w:w="264" w:type="pct"/>
            <w:tcBorders>
              <w:top w:val="nil"/>
              <w:left w:val="nil"/>
              <w:bottom w:val="single" w:sz="8" w:space="0" w:color="auto"/>
              <w:right w:val="nil"/>
            </w:tcBorders>
            <w:shd w:val="clear" w:color="000000" w:fill="E7E6E6"/>
            <w:noWrap/>
            <w:vAlign w:val="bottom"/>
            <w:hideMark/>
          </w:tcPr>
          <w:p w14:paraId="6AE2D9B5"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97.129</w:t>
            </w:r>
          </w:p>
        </w:tc>
        <w:tc>
          <w:tcPr>
            <w:tcW w:w="379" w:type="pct"/>
            <w:tcBorders>
              <w:top w:val="nil"/>
              <w:left w:val="nil"/>
              <w:bottom w:val="single" w:sz="8" w:space="0" w:color="auto"/>
              <w:right w:val="nil"/>
            </w:tcBorders>
            <w:shd w:val="clear" w:color="000000" w:fill="E7E6E6"/>
            <w:noWrap/>
            <w:vAlign w:val="bottom"/>
            <w:hideMark/>
          </w:tcPr>
          <w:p w14:paraId="1BC6EFA4"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292.139</w:t>
            </w:r>
          </w:p>
        </w:tc>
        <w:tc>
          <w:tcPr>
            <w:tcW w:w="379" w:type="pct"/>
            <w:tcBorders>
              <w:top w:val="nil"/>
              <w:left w:val="nil"/>
              <w:bottom w:val="single" w:sz="8" w:space="0" w:color="auto"/>
              <w:right w:val="nil"/>
            </w:tcBorders>
            <w:shd w:val="clear" w:color="000000" w:fill="E7E6E6"/>
            <w:noWrap/>
            <w:vAlign w:val="bottom"/>
            <w:hideMark/>
          </w:tcPr>
          <w:p w14:paraId="39E415DC"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532.601</w:t>
            </w:r>
          </w:p>
        </w:tc>
        <w:tc>
          <w:tcPr>
            <w:tcW w:w="379" w:type="pct"/>
            <w:tcBorders>
              <w:top w:val="nil"/>
              <w:left w:val="nil"/>
              <w:bottom w:val="single" w:sz="8" w:space="0" w:color="auto"/>
              <w:right w:val="nil"/>
            </w:tcBorders>
            <w:shd w:val="clear" w:color="000000" w:fill="E7E6E6"/>
            <w:noWrap/>
            <w:vAlign w:val="bottom"/>
            <w:hideMark/>
          </w:tcPr>
          <w:p w14:paraId="7E2763FF"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889.397</w:t>
            </w:r>
          </w:p>
        </w:tc>
        <w:tc>
          <w:tcPr>
            <w:tcW w:w="449" w:type="pct"/>
            <w:tcBorders>
              <w:top w:val="nil"/>
              <w:left w:val="nil"/>
              <w:bottom w:val="single" w:sz="8" w:space="0" w:color="auto"/>
              <w:right w:val="nil"/>
            </w:tcBorders>
            <w:shd w:val="clear" w:color="000000" w:fill="E7E6E6"/>
            <w:noWrap/>
            <w:vAlign w:val="bottom"/>
            <w:hideMark/>
          </w:tcPr>
          <w:p w14:paraId="48342DFD"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1.363.657</w:t>
            </w:r>
          </w:p>
        </w:tc>
        <w:tc>
          <w:tcPr>
            <w:tcW w:w="310" w:type="pct"/>
            <w:tcBorders>
              <w:top w:val="nil"/>
              <w:left w:val="nil"/>
              <w:bottom w:val="single" w:sz="8" w:space="0" w:color="auto"/>
              <w:right w:val="nil"/>
            </w:tcBorders>
            <w:shd w:val="clear" w:color="000000" w:fill="E7E6E6"/>
            <w:vAlign w:val="bottom"/>
          </w:tcPr>
          <w:p w14:paraId="14D52299"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1.892.535</w:t>
            </w:r>
          </w:p>
        </w:tc>
        <w:tc>
          <w:tcPr>
            <w:tcW w:w="449" w:type="pct"/>
            <w:tcBorders>
              <w:top w:val="nil"/>
              <w:left w:val="nil"/>
              <w:bottom w:val="single" w:sz="8" w:space="0" w:color="auto"/>
              <w:right w:val="nil"/>
            </w:tcBorders>
            <w:shd w:val="clear" w:color="000000" w:fill="E7E6E6"/>
            <w:noWrap/>
            <w:vAlign w:val="bottom"/>
            <w:hideMark/>
          </w:tcPr>
          <w:p w14:paraId="4F9CF955" w14:textId="77777777" w:rsidR="002F1691" w:rsidRPr="002C33B5" w:rsidRDefault="002F1691" w:rsidP="002F1691">
            <w:pPr>
              <w:jc w:val="right"/>
              <w:rPr>
                <w:rFonts w:ascii="Calibri" w:hAnsi="Calibri" w:cs="Calibri"/>
                <w:b/>
                <w:bCs/>
                <w:color w:val="000000"/>
                <w:sz w:val="14"/>
                <w:szCs w:val="16"/>
              </w:rPr>
            </w:pPr>
            <w:r w:rsidRPr="002C33B5">
              <w:rPr>
                <w:rFonts w:ascii="Calibri" w:hAnsi="Calibri" w:cs="Calibri"/>
                <w:b/>
                <w:bCs/>
                <w:color w:val="000000"/>
                <w:sz w:val="14"/>
                <w:szCs w:val="16"/>
              </w:rPr>
              <w:t>2.477.273</w:t>
            </w:r>
          </w:p>
        </w:tc>
      </w:tr>
    </w:tbl>
    <w:p w14:paraId="704D3B2A" w14:textId="77777777" w:rsidR="002F1691" w:rsidRPr="00760FAC" w:rsidRDefault="002F1691" w:rsidP="002F1691">
      <w:pPr>
        <w:jc w:val="center"/>
        <w:rPr>
          <w:sz w:val="18"/>
          <w:highlight w:val="cyan"/>
          <w:lang w:val="es-ES"/>
        </w:rPr>
      </w:pPr>
    </w:p>
    <w:p w14:paraId="5DE3A63A" w14:textId="77777777" w:rsidR="002F1691" w:rsidRPr="009A549A" w:rsidRDefault="002F1691" w:rsidP="002F1691">
      <w:pPr>
        <w:jc w:val="center"/>
        <w:rPr>
          <w:sz w:val="18"/>
          <w:lang w:val="es-ES"/>
        </w:rPr>
      </w:pPr>
      <w:r w:rsidRPr="009A549A">
        <w:rPr>
          <w:sz w:val="18"/>
          <w:lang w:val="es-ES"/>
        </w:rPr>
        <w:t>Nota: la proyección completa de flujos fue realizada a 203</w:t>
      </w:r>
      <w:r>
        <w:rPr>
          <w:sz w:val="18"/>
          <w:lang w:val="es-ES"/>
        </w:rPr>
        <w:t>7</w:t>
      </w:r>
      <w:r w:rsidRPr="009A549A">
        <w:rPr>
          <w:sz w:val="18"/>
          <w:lang w:val="es-ES"/>
        </w:rPr>
        <w:t>, para efecto de presentación de resultados en el informe escrito solo se muestran resultados a 20</w:t>
      </w:r>
      <w:r>
        <w:rPr>
          <w:sz w:val="18"/>
          <w:lang w:val="es-ES"/>
        </w:rPr>
        <w:t>24</w:t>
      </w:r>
    </w:p>
    <w:p w14:paraId="016CF589" w14:textId="77777777" w:rsidR="002F1691" w:rsidRDefault="002F1691" w:rsidP="002F1691">
      <w:pPr>
        <w:jc w:val="center"/>
        <w:rPr>
          <w:sz w:val="18"/>
          <w:highlight w:val="cyan"/>
          <w:lang w:val="es-ES"/>
        </w:rPr>
      </w:pPr>
    </w:p>
    <w:p w14:paraId="4C1442EA" w14:textId="5278A126" w:rsidR="002F1691" w:rsidRDefault="002F1691" w:rsidP="00D86D30">
      <w:pPr>
        <w:jc w:val="both"/>
        <w:rPr>
          <w:lang w:val="es-ES_tradnl"/>
        </w:rPr>
      </w:pPr>
      <w:r w:rsidRPr="002F1691">
        <w:rPr>
          <w:lang w:val="es-ES_tradnl"/>
        </w:rPr>
        <w:t>Las emisiones anuales de CO2 evitadas por la implementación de ambas medidas se estiman en 1.080.435 TonCO2/Año en 2037.</w:t>
      </w:r>
    </w:p>
    <w:p w14:paraId="78CB226A" w14:textId="77777777" w:rsidR="00D86D30" w:rsidRPr="002F1691" w:rsidRDefault="00D86D30" w:rsidP="00D86D30">
      <w:pPr>
        <w:jc w:val="both"/>
        <w:rPr>
          <w:highlight w:val="cyan"/>
          <w:lang w:val="es-ES_tradnl"/>
        </w:rPr>
      </w:pPr>
    </w:p>
    <w:p w14:paraId="4057E30D" w14:textId="24812872" w:rsidR="002F1691" w:rsidRDefault="002F1691" w:rsidP="00D86D30">
      <w:pPr>
        <w:jc w:val="both"/>
        <w:rPr>
          <w:lang w:val="es-ES_tradnl"/>
        </w:rPr>
      </w:pPr>
      <w:bookmarkStart w:id="42" w:name="_Hlk512430325"/>
      <w:r w:rsidRPr="002F1691">
        <w:rPr>
          <w:lang w:val="es-ES_tradnl"/>
        </w:rPr>
        <w:t>Los beneficios cuantificados corresponden al ahorro percibido por los usuarios en cada sector, por el menor valor de la energía pagada, toneladas de CO</w:t>
      </w:r>
      <w:r w:rsidRPr="002F1691">
        <w:rPr>
          <w:vertAlign w:val="subscript"/>
          <w:lang w:val="es-ES_tradnl"/>
        </w:rPr>
        <w:t>2</w:t>
      </w:r>
      <w:r w:rsidRPr="002F1691">
        <w:rPr>
          <w:lang w:val="es-ES_tradnl"/>
        </w:rPr>
        <w:t xml:space="preserve"> evitadas y valoradas al precio de los Certificado de Reducción de Emisiones (CRE), y al costo evitado de la capacidad instalada que se requeriría para atender la demanda energética de no ser ahorrada (CAPEX de una planta de generación para atender la energía no ahorrada a partir de 2023). </w:t>
      </w:r>
      <w:bookmarkEnd w:id="42"/>
    </w:p>
    <w:p w14:paraId="6D5971F6" w14:textId="77777777" w:rsidR="00D86D30" w:rsidRPr="002F1691" w:rsidRDefault="00D86D30" w:rsidP="002F1691">
      <w:pPr>
        <w:rPr>
          <w:sz w:val="18"/>
          <w:highlight w:val="cyan"/>
          <w:lang w:val="es-ES_tradnl"/>
        </w:rPr>
      </w:pPr>
    </w:p>
    <w:p w14:paraId="06AE3913" w14:textId="1E3851B6" w:rsidR="002F1691" w:rsidRPr="002F1691" w:rsidRDefault="002F1691" w:rsidP="002F1691">
      <w:pPr>
        <w:spacing w:after="120"/>
        <w:jc w:val="center"/>
        <w:rPr>
          <w:b/>
          <w:szCs w:val="22"/>
          <w:lang w:val="es-ES_tradnl"/>
        </w:rPr>
      </w:pPr>
      <w:bookmarkStart w:id="43" w:name="_Ref482030623"/>
      <w:bookmarkStart w:id="44" w:name="_Toc511931629"/>
      <w:bookmarkStart w:id="45" w:name="_Toc514264377"/>
      <w:r w:rsidRPr="002F1691">
        <w:rPr>
          <w:b/>
          <w:lang w:val="es-ES_tradnl"/>
        </w:rPr>
        <w:t xml:space="preserve">Tabla </w:t>
      </w:r>
      <w:r w:rsidRPr="009A549A">
        <w:rPr>
          <w:b/>
        </w:rPr>
        <w:fldChar w:fldCharType="begin"/>
      </w:r>
      <w:r w:rsidRPr="002F1691">
        <w:rPr>
          <w:b/>
          <w:lang w:val="es-ES_tradnl"/>
        </w:rPr>
        <w:instrText xml:space="preserve"> SEQ Tabla \* ARABIC </w:instrText>
      </w:r>
      <w:r w:rsidRPr="009A549A">
        <w:rPr>
          <w:b/>
        </w:rPr>
        <w:fldChar w:fldCharType="separate"/>
      </w:r>
      <w:r w:rsidRPr="002F1691">
        <w:rPr>
          <w:b/>
          <w:noProof/>
          <w:lang w:val="es-ES_tradnl"/>
        </w:rPr>
        <w:t>2</w:t>
      </w:r>
      <w:r w:rsidRPr="009A549A">
        <w:rPr>
          <w:b/>
        </w:rPr>
        <w:fldChar w:fldCharType="end"/>
      </w:r>
      <w:bookmarkEnd w:id="43"/>
      <w:r w:rsidR="00D86D30">
        <w:rPr>
          <w:b/>
          <w:lang w:val="es-ES_tradnl"/>
        </w:rPr>
        <w:t>0</w:t>
      </w:r>
      <w:r w:rsidRPr="002F1691">
        <w:rPr>
          <w:b/>
          <w:lang w:val="es-ES_tradnl"/>
        </w:rPr>
        <w:t xml:space="preserve"> </w:t>
      </w:r>
      <w:r w:rsidRPr="002F1691">
        <w:rPr>
          <w:b/>
          <w:szCs w:val="22"/>
          <w:lang w:val="es-ES_tradnl"/>
        </w:rPr>
        <w:t>– Resumen de beneficios y costos por la implementación de medidas de eficiencia energética en el sector eléctrico ($USD Millones)</w:t>
      </w:r>
      <w:bookmarkEnd w:id="44"/>
      <w:bookmarkEnd w:id="45"/>
    </w:p>
    <w:tbl>
      <w:tblPr>
        <w:tblW w:w="5000" w:type="pct"/>
        <w:tblCellMar>
          <w:left w:w="70" w:type="dxa"/>
          <w:right w:w="70" w:type="dxa"/>
        </w:tblCellMar>
        <w:tblLook w:val="04A0" w:firstRow="1" w:lastRow="0" w:firstColumn="1" w:lastColumn="0" w:noHBand="0" w:noVBand="1"/>
      </w:tblPr>
      <w:tblGrid>
        <w:gridCol w:w="3172"/>
        <w:gridCol w:w="694"/>
        <w:gridCol w:w="694"/>
        <w:gridCol w:w="694"/>
        <w:gridCol w:w="695"/>
        <w:gridCol w:w="606"/>
        <w:gridCol w:w="695"/>
        <w:gridCol w:w="695"/>
        <w:gridCol w:w="690"/>
      </w:tblGrid>
      <w:tr w:rsidR="002F1691" w:rsidRPr="009A549A" w14:paraId="21ACE3E9" w14:textId="77777777" w:rsidTr="002F1691">
        <w:trPr>
          <w:trHeight w:val="259"/>
        </w:trPr>
        <w:tc>
          <w:tcPr>
            <w:tcW w:w="1815" w:type="pct"/>
            <w:tcBorders>
              <w:top w:val="nil"/>
              <w:left w:val="nil"/>
              <w:bottom w:val="single" w:sz="4" w:space="0" w:color="auto"/>
              <w:right w:val="nil"/>
            </w:tcBorders>
            <w:shd w:val="clear" w:color="auto" w:fill="auto"/>
            <w:noWrap/>
            <w:vAlign w:val="bottom"/>
            <w:hideMark/>
          </w:tcPr>
          <w:p w14:paraId="64D04F17"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405" w:type="pct"/>
            <w:tcBorders>
              <w:top w:val="nil"/>
              <w:left w:val="nil"/>
              <w:bottom w:val="single" w:sz="4" w:space="0" w:color="auto"/>
              <w:right w:val="nil"/>
            </w:tcBorders>
            <w:shd w:val="clear" w:color="auto" w:fill="auto"/>
            <w:noWrap/>
            <w:vAlign w:val="bottom"/>
            <w:hideMark/>
          </w:tcPr>
          <w:p w14:paraId="2677003F"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405" w:type="pct"/>
            <w:tcBorders>
              <w:top w:val="single" w:sz="4" w:space="0" w:color="FFFFFF"/>
              <w:left w:val="nil"/>
              <w:bottom w:val="single" w:sz="4" w:space="0" w:color="auto"/>
              <w:right w:val="single" w:sz="4" w:space="0" w:color="FFFFFF"/>
            </w:tcBorders>
            <w:shd w:val="clear" w:color="000000" w:fill="203764"/>
            <w:noWrap/>
            <w:vAlign w:val="bottom"/>
            <w:hideMark/>
          </w:tcPr>
          <w:p w14:paraId="3E513107"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2018</w:t>
            </w:r>
          </w:p>
        </w:tc>
        <w:tc>
          <w:tcPr>
            <w:tcW w:w="405" w:type="pct"/>
            <w:tcBorders>
              <w:top w:val="single" w:sz="4" w:space="0" w:color="FFFFFF"/>
              <w:left w:val="nil"/>
              <w:bottom w:val="single" w:sz="4" w:space="0" w:color="auto"/>
              <w:right w:val="single" w:sz="4" w:space="0" w:color="FFFFFF"/>
            </w:tcBorders>
            <w:shd w:val="clear" w:color="000000" w:fill="203764"/>
            <w:noWrap/>
            <w:vAlign w:val="bottom"/>
            <w:hideMark/>
          </w:tcPr>
          <w:p w14:paraId="4BD29F9A"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2019</w:t>
            </w:r>
          </w:p>
        </w:tc>
        <w:tc>
          <w:tcPr>
            <w:tcW w:w="405" w:type="pct"/>
            <w:tcBorders>
              <w:top w:val="single" w:sz="4" w:space="0" w:color="FFFFFF"/>
              <w:left w:val="nil"/>
              <w:bottom w:val="single" w:sz="4" w:space="0" w:color="auto"/>
              <w:right w:val="single" w:sz="4" w:space="0" w:color="FFFFFF"/>
            </w:tcBorders>
            <w:shd w:val="clear" w:color="000000" w:fill="203764"/>
            <w:noWrap/>
            <w:vAlign w:val="bottom"/>
            <w:hideMark/>
          </w:tcPr>
          <w:p w14:paraId="6A41AA6A"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2020</w:t>
            </w:r>
          </w:p>
        </w:tc>
        <w:tc>
          <w:tcPr>
            <w:tcW w:w="353" w:type="pct"/>
            <w:tcBorders>
              <w:top w:val="single" w:sz="4" w:space="0" w:color="FFFFFF"/>
              <w:left w:val="nil"/>
              <w:bottom w:val="single" w:sz="4" w:space="0" w:color="auto"/>
              <w:right w:val="single" w:sz="4" w:space="0" w:color="FFFFFF"/>
            </w:tcBorders>
            <w:shd w:val="clear" w:color="000000" w:fill="203764"/>
            <w:noWrap/>
            <w:vAlign w:val="bottom"/>
            <w:hideMark/>
          </w:tcPr>
          <w:p w14:paraId="74338BAE"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2021</w:t>
            </w:r>
          </w:p>
        </w:tc>
        <w:tc>
          <w:tcPr>
            <w:tcW w:w="405" w:type="pct"/>
            <w:tcBorders>
              <w:top w:val="single" w:sz="4" w:space="0" w:color="FFFFFF"/>
              <w:left w:val="nil"/>
              <w:bottom w:val="single" w:sz="4" w:space="0" w:color="auto"/>
              <w:right w:val="single" w:sz="4" w:space="0" w:color="FFFFFF"/>
            </w:tcBorders>
            <w:shd w:val="clear" w:color="000000" w:fill="203764"/>
            <w:noWrap/>
            <w:vAlign w:val="bottom"/>
            <w:hideMark/>
          </w:tcPr>
          <w:p w14:paraId="788296FB"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2022</w:t>
            </w:r>
          </w:p>
        </w:tc>
        <w:tc>
          <w:tcPr>
            <w:tcW w:w="405" w:type="pct"/>
            <w:tcBorders>
              <w:top w:val="single" w:sz="4" w:space="0" w:color="FFFFFF"/>
              <w:left w:val="nil"/>
              <w:bottom w:val="single" w:sz="4" w:space="0" w:color="auto"/>
              <w:right w:val="single" w:sz="4" w:space="0" w:color="FFFFFF" w:themeColor="background1"/>
            </w:tcBorders>
            <w:shd w:val="clear" w:color="000000" w:fill="203764"/>
            <w:vAlign w:val="bottom"/>
          </w:tcPr>
          <w:p w14:paraId="44E7164A"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2023</w:t>
            </w:r>
          </w:p>
        </w:tc>
        <w:tc>
          <w:tcPr>
            <w:tcW w:w="402" w:type="pct"/>
            <w:tcBorders>
              <w:top w:val="single" w:sz="4" w:space="0" w:color="FFFFFF"/>
              <w:left w:val="single" w:sz="4" w:space="0" w:color="FFFFFF" w:themeColor="background1"/>
              <w:bottom w:val="single" w:sz="4" w:space="0" w:color="auto"/>
              <w:right w:val="single" w:sz="4" w:space="0" w:color="FFFFFF"/>
            </w:tcBorders>
            <w:shd w:val="clear" w:color="000000" w:fill="203764"/>
            <w:noWrap/>
            <w:vAlign w:val="bottom"/>
            <w:hideMark/>
          </w:tcPr>
          <w:p w14:paraId="704EFF81" w14:textId="77777777" w:rsidR="002F1691" w:rsidRPr="002C33B5" w:rsidRDefault="002F1691" w:rsidP="002F1691">
            <w:pPr>
              <w:jc w:val="center"/>
              <w:rPr>
                <w:rFonts w:ascii="Calibri" w:hAnsi="Calibri" w:cs="Calibri"/>
                <w:color w:val="FFFFFF"/>
                <w:sz w:val="16"/>
                <w:szCs w:val="16"/>
              </w:rPr>
            </w:pPr>
            <w:r w:rsidRPr="002C33B5">
              <w:rPr>
                <w:rFonts w:ascii="Calibri" w:hAnsi="Calibri" w:cs="Calibri"/>
                <w:color w:val="FFFFFF"/>
                <w:sz w:val="16"/>
                <w:szCs w:val="16"/>
              </w:rPr>
              <w:t>2024</w:t>
            </w:r>
          </w:p>
        </w:tc>
      </w:tr>
      <w:tr w:rsidR="002F1691" w:rsidRPr="009A549A" w14:paraId="2FC81FB8" w14:textId="77777777" w:rsidTr="002F1691">
        <w:trPr>
          <w:trHeight w:val="259"/>
        </w:trPr>
        <w:tc>
          <w:tcPr>
            <w:tcW w:w="1815" w:type="pct"/>
            <w:tcBorders>
              <w:top w:val="nil"/>
              <w:left w:val="nil"/>
              <w:bottom w:val="single" w:sz="4" w:space="0" w:color="auto"/>
              <w:right w:val="nil"/>
            </w:tcBorders>
            <w:shd w:val="clear" w:color="000000" w:fill="E7E6E6"/>
            <w:noWrap/>
            <w:vAlign w:val="bottom"/>
            <w:hideMark/>
          </w:tcPr>
          <w:p w14:paraId="00B038CA"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Sector Residencial</w:t>
            </w:r>
          </w:p>
        </w:tc>
        <w:tc>
          <w:tcPr>
            <w:tcW w:w="405" w:type="pct"/>
            <w:tcBorders>
              <w:top w:val="nil"/>
              <w:left w:val="nil"/>
              <w:bottom w:val="single" w:sz="4" w:space="0" w:color="auto"/>
              <w:right w:val="nil"/>
            </w:tcBorders>
            <w:shd w:val="clear" w:color="000000" w:fill="E7E6E6"/>
            <w:noWrap/>
            <w:vAlign w:val="bottom"/>
            <w:hideMark/>
          </w:tcPr>
          <w:p w14:paraId="037F5A61"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405" w:type="pct"/>
            <w:tcBorders>
              <w:top w:val="nil"/>
              <w:left w:val="nil"/>
              <w:bottom w:val="single" w:sz="4" w:space="0" w:color="auto"/>
              <w:right w:val="nil"/>
            </w:tcBorders>
            <w:shd w:val="clear" w:color="000000" w:fill="E7E6E6"/>
            <w:noWrap/>
            <w:vAlign w:val="bottom"/>
            <w:hideMark/>
          </w:tcPr>
          <w:p w14:paraId="47BAE92C"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noWrap/>
            <w:vAlign w:val="bottom"/>
            <w:hideMark/>
          </w:tcPr>
          <w:p w14:paraId="68900938"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noWrap/>
            <w:vAlign w:val="bottom"/>
            <w:hideMark/>
          </w:tcPr>
          <w:p w14:paraId="78BE87D3"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353" w:type="pct"/>
            <w:tcBorders>
              <w:top w:val="nil"/>
              <w:left w:val="nil"/>
              <w:bottom w:val="single" w:sz="4" w:space="0" w:color="auto"/>
              <w:right w:val="nil"/>
            </w:tcBorders>
            <w:shd w:val="clear" w:color="000000" w:fill="E7E6E6"/>
            <w:noWrap/>
            <w:vAlign w:val="bottom"/>
            <w:hideMark/>
          </w:tcPr>
          <w:p w14:paraId="406DABBA"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noWrap/>
            <w:vAlign w:val="bottom"/>
            <w:hideMark/>
          </w:tcPr>
          <w:p w14:paraId="4A61E4FF" w14:textId="77777777" w:rsidR="002F1691" w:rsidRPr="002C33B5" w:rsidRDefault="002F1691" w:rsidP="002F1691">
            <w:pPr>
              <w:rPr>
                <w:rFonts w:ascii="Calibri" w:hAnsi="Calibri" w:cs="Calibri"/>
                <w:color w:val="000000"/>
                <w:sz w:val="16"/>
                <w:szCs w:val="16"/>
              </w:rPr>
            </w:pPr>
            <w:r w:rsidRPr="002C33B5">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vAlign w:val="bottom"/>
          </w:tcPr>
          <w:p w14:paraId="289AF017" w14:textId="77777777" w:rsidR="002F1691" w:rsidRPr="002C33B5" w:rsidRDefault="002F1691" w:rsidP="002F1691">
            <w:pPr>
              <w:rPr>
                <w:rFonts w:ascii="Calibri" w:hAnsi="Calibri" w:cs="Calibri"/>
                <w:color w:val="806000"/>
                <w:sz w:val="16"/>
                <w:szCs w:val="16"/>
              </w:rPr>
            </w:pPr>
            <w:r w:rsidRPr="002C33B5">
              <w:rPr>
                <w:rFonts w:ascii="Calibri" w:hAnsi="Calibri" w:cs="Calibri"/>
                <w:color w:val="806000"/>
                <w:sz w:val="16"/>
                <w:szCs w:val="16"/>
              </w:rPr>
              <w:t> </w:t>
            </w:r>
          </w:p>
        </w:tc>
        <w:tc>
          <w:tcPr>
            <w:tcW w:w="402" w:type="pct"/>
            <w:tcBorders>
              <w:top w:val="nil"/>
              <w:left w:val="nil"/>
              <w:bottom w:val="single" w:sz="4" w:space="0" w:color="auto"/>
              <w:right w:val="nil"/>
            </w:tcBorders>
            <w:shd w:val="clear" w:color="000000" w:fill="E7E6E6"/>
            <w:noWrap/>
            <w:vAlign w:val="bottom"/>
            <w:hideMark/>
          </w:tcPr>
          <w:p w14:paraId="5AF979F2" w14:textId="77777777" w:rsidR="002F1691" w:rsidRPr="002C33B5" w:rsidRDefault="002F1691" w:rsidP="002F1691">
            <w:pPr>
              <w:rPr>
                <w:rFonts w:ascii="Calibri" w:hAnsi="Calibri" w:cs="Calibri"/>
                <w:color w:val="806000"/>
                <w:sz w:val="16"/>
                <w:szCs w:val="16"/>
              </w:rPr>
            </w:pPr>
            <w:r w:rsidRPr="002C33B5">
              <w:rPr>
                <w:rFonts w:ascii="Calibri" w:hAnsi="Calibri" w:cs="Calibri"/>
                <w:color w:val="806000"/>
                <w:sz w:val="16"/>
                <w:szCs w:val="16"/>
              </w:rPr>
              <w:t> </w:t>
            </w:r>
          </w:p>
        </w:tc>
      </w:tr>
      <w:tr w:rsidR="002F1691" w:rsidRPr="009A549A" w14:paraId="7D6C2C6D" w14:textId="77777777" w:rsidTr="002F1691">
        <w:trPr>
          <w:trHeight w:val="259"/>
        </w:trPr>
        <w:tc>
          <w:tcPr>
            <w:tcW w:w="1815" w:type="pct"/>
            <w:tcBorders>
              <w:top w:val="nil"/>
              <w:left w:val="nil"/>
              <w:bottom w:val="nil"/>
              <w:right w:val="nil"/>
            </w:tcBorders>
            <w:shd w:val="clear" w:color="auto" w:fill="auto"/>
            <w:noWrap/>
            <w:vAlign w:val="bottom"/>
            <w:hideMark/>
          </w:tcPr>
          <w:p w14:paraId="2B75916A"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Beneficios</w:t>
            </w:r>
          </w:p>
        </w:tc>
        <w:tc>
          <w:tcPr>
            <w:tcW w:w="405" w:type="pct"/>
            <w:tcBorders>
              <w:top w:val="nil"/>
              <w:left w:val="nil"/>
              <w:bottom w:val="nil"/>
              <w:right w:val="nil"/>
            </w:tcBorders>
            <w:shd w:val="clear" w:color="auto" w:fill="auto"/>
            <w:noWrap/>
            <w:vAlign w:val="bottom"/>
            <w:hideMark/>
          </w:tcPr>
          <w:p w14:paraId="5858527E" w14:textId="77777777" w:rsidR="002F1691" w:rsidRPr="009A549A" w:rsidRDefault="002F1691" w:rsidP="002F1691">
            <w:pPr>
              <w:ind w:firstLineChars="100" w:firstLine="160"/>
              <w:rPr>
                <w:rFonts w:ascii="Calibri" w:hAnsi="Calibri" w:cs="Calibri"/>
                <w:color w:val="000000"/>
                <w:sz w:val="16"/>
                <w:szCs w:val="16"/>
                <w:lang w:eastAsia="es-CO"/>
              </w:rPr>
            </w:pPr>
          </w:p>
        </w:tc>
        <w:tc>
          <w:tcPr>
            <w:tcW w:w="405" w:type="pct"/>
            <w:tcBorders>
              <w:top w:val="nil"/>
              <w:left w:val="nil"/>
              <w:bottom w:val="nil"/>
              <w:right w:val="nil"/>
            </w:tcBorders>
            <w:shd w:val="clear" w:color="auto" w:fill="auto"/>
            <w:noWrap/>
            <w:vAlign w:val="bottom"/>
            <w:hideMark/>
          </w:tcPr>
          <w:p w14:paraId="4F619473"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27</w:t>
            </w:r>
          </w:p>
        </w:tc>
        <w:tc>
          <w:tcPr>
            <w:tcW w:w="405" w:type="pct"/>
            <w:tcBorders>
              <w:top w:val="nil"/>
              <w:left w:val="nil"/>
              <w:bottom w:val="nil"/>
              <w:right w:val="nil"/>
            </w:tcBorders>
            <w:shd w:val="clear" w:color="auto" w:fill="auto"/>
            <w:noWrap/>
            <w:vAlign w:val="bottom"/>
            <w:hideMark/>
          </w:tcPr>
          <w:p w14:paraId="6D88D019"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55</w:t>
            </w:r>
          </w:p>
        </w:tc>
        <w:tc>
          <w:tcPr>
            <w:tcW w:w="405" w:type="pct"/>
            <w:tcBorders>
              <w:top w:val="nil"/>
              <w:left w:val="nil"/>
              <w:bottom w:val="nil"/>
              <w:right w:val="nil"/>
            </w:tcBorders>
            <w:shd w:val="clear" w:color="auto" w:fill="auto"/>
            <w:noWrap/>
            <w:vAlign w:val="bottom"/>
            <w:hideMark/>
          </w:tcPr>
          <w:p w14:paraId="34A4447F"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68</w:t>
            </w:r>
          </w:p>
        </w:tc>
        <w:tc>
          <w:tcPr>
            <w:tcW w:w="353" w:type="pct"/>
            <w:tcBorders>
              <w:top w:val="nil"/>
              <w:left w:val="nil"/>
              <w:bottom w:val="nil"/>
              <w:right w:val="nil"/>
            </w:tcBorders>
            <w:shd w:val="clear" w:color="auto" w:fill="auto"/>
            <w:noWrap/>
            <w:vAlign w:val="bottom"/>
            <w:hideMark/>
          </w:tcPr>
          <w:p w14:paraId="1CE487E4"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81</w:t>
            </w:r>
          </w:p>
        </w:tc>
        <w:tc>
          <w:tcPr>
            <w:tcW w:w="405" w:type="pct"/>
            <w:tcBorders>
              <w:top w:val="nil"/>
              <w:left w:val="nil"/>
              <w:bottom w:val="nil"/>
              <w:right w:val="nil"/>
            </w:tcBorders>
            <w:shd w:val="clear" w:color="auto" w:fill="auto"/>
            <w:noWrap/>
            <w:vAlign w:val="bottom"/>
            <w:hideMark/>
          </w:tcPr>
          <w:p w14:paraId="063E01CF"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95</w:t>
            </w:r>
          </w:p>
        </w:tc>
        <w:tc>
          <w:tcPr>
            <w:tcW w:w="405" w:type="pct"/>
            <w:tcBorders>
              <w:top w:val="nil"/>
              <w:left w:val="nil"/>
              <w:bottom w:val="nil"/>
              <w:right w:val="nil"/>
            </w:tcBorders>
            <w:vAlign w:val="bottom"/>
          </w:tcPr>
          <w:p w14:paraId="13D81CB9"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655</w:t>
            </w:r>
          </w:p>
        </w:tc>
        <w:tc>
          <w:tcPr>
            <w:tcW w:w="402" w:type="pct"/>
            <w:tcBorders>
              <w:top w:val="nil"/>
              <w:left w:val="nil"/>
              <w:bottom w:val="nil"/>
              <w:right w:val="nil"/>
            </w:tcBorders>
            <w:shd w:val="clear" w:color="auto" w:fill="auto"/>
            <w:noWrap/>
            <w:vAlign w:val="bottom"/>
            <w:hideMark/>
          </w:tcPr>
          <w:p w14:paraId="64D2935C"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122</w:t>
            </w:r>
          </w:p>
        </w:tc>
      </w:tr>
      <w:tr w:rsidR="002F1691" w:rsidRPr="009A549A" w14:paraId="52D2F005" w14:textId="77777777" w:rsidTr="002F1691">
        <w:trPr>
          <w:trHeight w:val="259"/>
        </w:trPr>
        <w:tc>
          <w:tcPr>
            <w:tcW w:w="1815" w:type="pct"/>
            <w:tcBorders>
              <w:top w:val="nil"/>
              <w:left w:val="nil"/>
              <w:bottom w:val="single" w:sz="4" w:space="0" w:color="auto"/>
              <w:right w:val="nil"/>
            </w:tcBorders>
            <w:shd w:val="clear" w:color="auto" w:fill="auto"/>
            <w:noWrap/>
            <w:vAlign w:val="bottom"/>
            <w:hideMark/>
          </w:tcPr>
          <w:p w14:paraId="39F1430A"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Costos</w:t>
            </w:r>
          </w:p>
        </w:tc>
        <w:tc>
          <w:tcPr>
            <w:tcW w:w="405" w:type="pct"/>
            <w:tcBorders>
              <w:top w:val="nil"/>
              <w:left w:val="nil"/>
              <w:bottom w:val="single" w:sz="4" w:space="0" w:color="auto"/>
              <w:right w:val="nil"/>
            </w:tcBorders>
            <w:shd w:val="clear" w:color="auto" w:fill="auto"/>
            <w:noWrap/>
            <w:vAlign w:val="bottom"/>
            <w:hideMark/>
          </w:tcPr>
          <w:p w14:paraId="77A5B0C5"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405" w:type="pct"/>
            <w:tcBorders>
              <w:top w:val="nil"/>
              <w:left w:val="nil"/>
              <w:bottom w:val="single" w:sz="4" w:space="0" w:color="auto"/>
              <w:right w:val="nil"/>
            </w:tcBorders>
            <w:shd w:val="clear" w:color="auto" w:fill="auto"/>
            <w:noWrap/>
            <w:vAlign w:val="bottom"/>
            <w:hideMark/>
          </w:tcPr>
          <w:p w14:paraId="2A7B631D"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42</w:t>
            </w:r>
          </w:p>
        </w:tc>
        <w:tc>
          <w:tcPr>
            <w:tcW w:w="405" w:type="pct"/>
            <w:tcBorders>
              <w:top w:val="nil"/>
              <w:left w:val="nil"/>
              <w:bottom w:val="single" w:sz="4" w:space="0" w:color="auto"/>
              <w:right w:val="nil"/>
            </w:tcBorders>
            <w:shd w:val="clear" w:color="auto" w:fill="auto"/>
            <w:noWrap/>
            <w:vAlign w:val="bottom"/>
            <w:hideMark/>
          </w:tcPr>
          <w:p w14:paraId="5A961897"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42</w:t>
            </w:r>
          </w:p>
        </w:tc>
        <w:tc>
          <w:tcPr>
            <w:tcW w:w="405" w:type="pct"/>
            <w:tcBorders>
              <w:top w:val="nil"/>
              <w:left w:val="nil"/>
              <w:bottom w:val="single" w:sz="4" w:space="0" w:color="auto"/>
              <w:right w:val="nil"/>
            </w:tcBorders>
            <w:shd w:val="clear" w:color="auto" w:fill="auto"/>
            <w:noWrap/>
            <w:vAlign w:val="bottom"/>
            <w:hideMark/>
          </w:tcPr>
          <w:p w14:paraId="4B3A3684"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27</w:t>
            </w:r>
          </w:p>
        </w:tc>
        <w:tc>
          <w:tcPr>
            <w:tcW w:w="353" w:type="pct"/>
            <w:tcBorders>
              <w:top w:val="nil"/>
              <w:left w:val="nil"/>
              <w:bottom w:val="single" w:sz="4" w:space="0" w:color="auto"/>
              <w:right w:val="nil"/>
            </w:tcBorders>
            <w:shd w:val="clear" w:color="auto" w:fill="auto"/>
            <w:noWrap/>
            <w:vAlign w:val="bottom"/>
            <w:hideMark/>
          </w:tcPr>
          <w:p w14:paraId="134A41BE"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28</w:t>
            </w:r>
          </w:p>
        </w:tc>
        <w:tc>
          <w:tcPr>
            <w:tcW w:w="405" w:type="pct"/>
            <w:tcBorders>
              <w:top w:val="nil"/>
              <w:left w:val="nil"/>
              <w:bottom w:val="single" w:sz="4" w:space="0" w:color="auto"/>
              <w:right w:val="nil"/>
            </w:tcBorders>
            <w:shd w:val="clear" w:color="auto" w:fill="auto"/>
            <w:noWrap/>
            <w:vAlign w:val="bottom"/>
            <w:hideMark/>
          </w:tcPr>
          <w:p w14:paraId="22C8DD0F"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28</w:t>
            </w:r>
          </w:p>
        </w:tc>
        <w:tc>
          <w:tcPr>
            <w:tcW w:w="405" w:type="pct"/>
            <w:tcBorders>
              <w:top w:val="nil"/>
              <w:left w:val="nil"/>
              <w:bottom w:val="single" w:sz="4" w:space="0" w:color="auto"/>
              <w:right w:val="nil"/>
            </w:tcBorders>
            <w:vAlign w:val="bottom"/>
          </w:tcPr>
          <w:p w14:paraId="0ED5436C"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28</w:t>
            </w:r>
          </w:p>
        </w:tc>
        <w:tc>
          <w:tcPr>
            <w:tcW w:w="402" w:type="pct"/>
            <w:tcBorders>
              <w:top w:val="nil"/>
              <w:left w:val="nil"/>
              <w:bottom w:val="single" w:sz="4" w:space="0" w:color="auto"/>
              <w:right w:val="nil"/>
            </w:tcBorders>
            <w:shd w:val="clear" w:color="auto" w:fill="auto"/>
            <w:noWrap/>
            <w:vAlign w:val="bottom"/>
            <w:hideMark/>
          </w:tcPr>
          <w:p w14:paraId="268837D7"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28</w:t>
            </w:r>
          </w:p>
        </w:tc>
      </w:tr>
      <w:tr w:rsidR="002F1691" w:rsidRPr="009A549A" w14:paraId="52C8CAB9" w14:textId="77777777" w:rsidTr="002F1691">
        <w:trPr>
          <w:trHeight w:val="259"/>
        </w:trPr>
        <w:tc>
          <w:tcPr>
            <w:tcW w:w="1815" w:type="pct"/>
            <w:tcBorders>
              <w:top w:val="nil"/>
              <w:left w:val="nil"/>
              <w:bottom w:val="single" w:sz="4" w:space="0" w:color="auto"/>
              <w:right w:val="nil"/>
            </w:tcBorders>
            <w:shd w:val="clear" w:color="auto" w:fill="auto"/>
            <w:noWrap/>
            <w:vAlign w:val="bottom"/>
            <w:hideMark/>
          </w:tcPr>
          <w:p w14:paraId="014EE383"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Flujo Neto Sector Residencial ($USD Millones)</w:t>
            </w:r>
          </w:p>
        </w:tc>
        <w:tc>
          <w:tcPr>
            <w:tcW w:w="405" w:type="pct"/>
            <w:tcBorders>
              <w:top w:val="nil"/>
              <w:left w:val="nil"/>
              <w:bottom w:val="single" w:sz="4" w:space="0" w:color="auto"/>
              <w:right w:val="nil"/>
            </w:tcBorders>
            <w:shd w:val="clear" w:color="auto" w:fill="auto"/>
            <w:noWrap/>
            <w:vAlign w:val="bottom"/>
            <w:hideMark/>
          </w:tcPr>
          <w:p w14:paraId="4A7AB716"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405" w:type="pct"/>
            <w:tcBorders>
              <w:top w:val="nil"/>
              <w:left w:val="nil"/>
              <w:bottom w:val="single" w:sz="4" w:space="0" w:color="auto"/>
              <w:right w:val="nil"/>
            </w:tcBorders>
            <w:shd w:val="clear" w:color="auto" w:fill="auto"/>
            <w:noWrap/>
            <w:vAlign w:val="bottom"/>
            <w:hideMark/>
          </w:tcPr>
          <w:p w14:paraId="60CE9E0F"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-14</w:t>
            </w:r>
          </w:p>
        </w:tc>
        <w:tc>
          <w:tcPr>
            <w:tcW w:w="405" w:type="pct"/>
            <w:tcBorders>
              <w:top w:val="nil"/>
              <w:left w:val="nil"/>
              <w:bottom w:val="single" w:sz="4" w:space="0" w:color="auto"/>
              <w:right w:val="nil"/>
            </w:tcBorders>
            <w:shd w:val="clear" w:color="auto" w:fill="auto"/>
            <w:noWrap/>
            <w:vAlign w:val="bottom"/>
            <w:hideMark/>
          </w:tcPr>
          <w:p w14:paraId="71928D4C"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13</w:t>
            </w:r>
          </w:p>
        </w:tc>
        <w:tc>
          <w:tcPr>
            <w:tcW w:w="405" w:type="pct"/>
            <w:tcBorders>
              <w:top w:val="nil"/>
              <w:left w:val="nil"/>
              <w:bottom w:val="single" w:sz="4" w:space="0" w:color="auto"/>
              <w:right w:val="nil"/>
            </w:tcBorders>
            <w:shd w:val="clear" w:color="auto" w:fill="auto"/>
            <w:noWrap/>
            <w:vAlign w:val="bottom"/>
            <w:hideMark/>
          </w:tcPr>
          <w:p w14:paraId="1E439360"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41</w:t>
            </w:r>
          </w:p>
        </w:tc>
        <w:tc>
          <w:tcPr>
            <w:tcW w:w="353" w:type="pct"/>
            <w:tcBorders>
              <w:top w:val="nil"/>
              <w:left w:val="nil"/>
              <w:bottom w:val="single" w:sz="4" w:space="0" w:color="auto"/>
              <w:right w:val="nil"/>
            </w:tcBorders>
            <w:shd w:val="clear" w:color="auto" w:fill="auto"/>
            <w:noWrap/>
            <w:vAlign w:val="bottom"/>
            <w:hideMark/>
          </w:tcPr>
          <w:p w14:paraId="2179799B"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54</w:t>
            </w:r>
          </w:p>
        </w:tc>
        <w:tc>
          <w:tcPr>
            <w:tcW w:w="405" w:type="pct"/>
            <w:tcBorders>
              <w:top w:val="nil"/>
              <w:left w:val="nil"/>
              <w:bottom w:val="single" w:sz="4" w:space="0" w:color="auto"/>
              <w:right w:val="nil"/>
            </w:tcBorders>
            <w:shd w:val="clear" w:color="auto" w:fill="auto"/>
            <w:noWrap/>
            <w:vAlign w:val="bottom"/>
            <w:hideMark/>
          </w:tcPr>
          <w:p w14:paraId="4C3AFDD5"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67</w:t>
            </w:r>
          </w:p>
        </w:tc>
        <w:tc>
          <w:tcPr>
            <w:tcW w:w="405" w:type="pct"/>
            <w:tcBorders>
              <w:top w:val="nil"/>
              <w:left w:val="nil"/>
              <w:bottom w:val="single" w:sz="4" w:space="0" w:color="auto"/>
              <w:right w:val="nil"/>
            </w:tcBorders>
            <w:vAlign w:val="bottom"/>
          </w:tcPr>
          <w:p w14:paraId="0E28BC02"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627</w:t>
            </w:r>
          </w:p>
        </w:tc>
        <w:tc>
          <w:tcPr>
            <w:tcW w:w="402" w:type="pct"/>
            <w:tcBorders>
              <w:top w:val="nil"/>
              <w:left w:val="nil"/>
              <w:bottom w:val="single" w:sz="4" w:space="0" w:color="auto"/>
              <w:right w:val="nil"/>
            </w:tcBorders>
            <w:shd w:val="clear" w:color="auto" w:fill="auto"/>
            <w:noWrap/>
            <w:vAlign w:val="bottom"/>
            <w:hideMark/>
          </w:tcPr>
          <w:p w14:paraId="4BC15438"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94</w:t>
            </w:r>
          </w:p>
        </w:tc>
      </w:tr>
      <w:tr w:rsidR="002F1691" w:rsidRPr="009A549A" w14:paraId="01379CE5" w14:textId="77777777" w:rsidTr="002F1691">
        <w:trPr>
          <w:trHeight w:val="259"/>
        </w:trPr>
        <w:tc>
          <w:tcPr>
            <w:tcW w:w="1815" w:type="pct"/>
            <w:tcBorders>
              <w:top w:val="nil"/>
              <w:left w:val="nil"/>
              <w:bottom w:val="single" w:sz="4" w:space="0" w:color="auto"/>
              <w:right w:val="nil"/>
            </w:tcBorders>
            <w:shd w:val="clear" w:color="000000" w:fill="E7E6E6"/>
            <w:noWrap/>
            <w:vAlign w:val="bottom"/>
            <w:hideMark/>
          </w:tcPr>
          <w:p w14:paraId="7C160800"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Alumbrado Público</w:t>
            </w:r>
          </w:p>
        </w:tc>
        <w:tc>
          <w:tcPr>
            <w:tcW w:w="405" w:type="pct"/>
            <w:tcBorders>
              <w:top w:val="nil"/>
              <w:left w:val="nil"/>
              <w:bottom w:val="single" w:sz="4" w:space="0" w:color="auto"/>
              <w:right w:val="nil"/>
            </w:tcBorders>
            <w:shd w:val="clear" w:color="000000" w:fill="E7E6E6"/>
            <w:noWrap/>
            <w:vAlign w:val="bottom"/>
            <w:hideMark/>
          </w:tcPr>
          <w:p w14:paraId="743DDE4F"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405" w:type="pct"/>
            <w:tcBorders>
              <w:top w:val="nil"/>
              <w:left w:val="nil"/>
              <w:bottom w:val="single" w:sz="4" w:space="0" w:color="auto"/>
              <w:right w:val="nil"/>
            </w:tcBorders>
            <w:shd w:val="clear" w:color="000000" w:fill="E7E6E6"/>
            <w:noWrap/>
            <w:vAlign w:val="bottom"/>
            <w:hideMark/>
          </w:tcPr>
          <w:p w14:paraId="048675B6" w14:textId="77777777" w:rsidR="002F1691" w:rsidRPr="000F3DF4" w:rsidRDefault="002F1691" w:rsidP="002F1691">
            <w:pPr>
              <w:rPr>
                <w:rFonts w:ascii="Calibri" w:hAnsi="Calibri" w:cs="Calibri"/>
                <w:color w:val="000000"/>
                <w:sz w:val="16"/>
                <w:szCs w:val="16"/>
              </w:rPr>
            </w:pPr>
            <w:r w:rsidRPr="000F3DF4">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noWrap/>
            <w:vAlign w:val="bottom"/>
            <w:hideMark/>
          </w:tcPr>
          <w:p w14:paraId="355E8815" w14:textId="77777777" w:rsidR="002F1691" w:rsidRPr="000F3DF4" w:rsidRDefault="002F1691" w:rsidP="002F1691">
            <w:pPr>
              <w:rPr>
                <w:rFonts w:ascii="Calibri" w:hAnsi="Calibri" w:cs="Calibri"/>
                <w:color w:val="000000"/>
                <w:sz w:val="16"/>
                <w:szCs w:val="16"/>
              </w:rPr>
            </w:pPr>
            <w:r w:rsidRPr="000F3DF4">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noWrap/>
            <w:vAlign w:val="bottom"/>
            <w:hideMark/>
          </w:tcPr>
          <w:p w14:paraId="0697539E" w14:textId="77777777" w:rsidR="002F1691" w:rsidRPr="000F3DF4" w:rsidRDefault="002F1691" w:rsidP="002F1691">
            <w:pPr>
              <w:rPr>
                <w:rFonts w:ascii="Calibri" w:hAnsi="Calibri" w:cs="Calibri"/>
                <w:color w:val="000000"/>
                <w:sz w:val="16"/>
                <w:szCs w:val="16"/>
              </w:rPr>
            </w:pPr>
            <w:r w:rsidRPr="000F3DF4">
              <w:rPr>
                <w:rFonts w:ascii="Calibri" w:hAnsi="Calibri" w:cs="Calibri"/>
                <w:color w:val="000000"/>
                <w:sz w:val="16"/>
                <w:szCs w:val="16"/>
              </w:rPr>
              <w:t> </w:t>
            </w:r>
          </w:p>
        </w:tc>
        <w:tc>
          <w:tcPr>
            <w:tcW w:w="353" w:type="pct"/>
            <w:tcBorders>
              <w:top w:val="nil"/>
              <w:left w:val="nil"/>
              <w:bottom w:val="single" w:sz="4" w:space="0" w:color="auto"/>
              <w:right w:val="nil"/>
            </w:tcBorders>
            <w:shd w:val="clear" w:color="000000" w:fill="E7E6E6"/>
            <w:noWrap/>
            <w:vAlign w:val="bottom"/>
            <w:hideMark/>
          </w:tcPr>
          <w:p w14:paraId="766F7A89" w14:textId="77777777" w:rsidR="002F1691" w:rsidRPr="000F3DF4" w:rsidRDefault="002F1691" w:rsidP="002F1691">
            <w:pPr>
              <w:rPr>
                <w:rFonts w:ascii="Calibri" w:hAnsi="Calibri" w:cs="Calibri"/>
                <w:color w:val="000000"/>
                <w:sz w:val="16"/>
                <w:szCs w:val="16"/>
              </w:rPr>
            </w:pPr>
            <w:r w:rsidRPr="000F3DF4">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noWrap/>
            <w:vAlign w:val="bottom"/>
            <w:hideMark/>
          </w:tcPr>
          <w:p w14:paraId="2DBCC511" w14:textId="77777777" w:rsidR="002F1691" w:rsidRPr="000F3DF4" w:rsidRDefault="002F1691" w:rsidP="002F1691">
            <w:pPr>
              <w:rPr>
                <w:rFonts w:ascii="Calibri" w:hAnsi="Calibri" w:cs="Calibri"/>
                <w:color w:val="000000"/>
                <w:sz w:val="16"/>
                <w:szCs w:val="16"/>
              </w:rPr>
            </w:pPr>
            <w:r w:rsidRPr="000F3DF4">
              <w:rPr>
                <w:rFonts w:ascii="Calibri" w:hAnsi="Calibri" w:cs="Calibri"/>
                <w:color w:val="000000"/>
                <w:sz w:val="16"/>
                <w:szCs w:val="16"/>
              </w:rPr>
              <w:t> </w:t>
            </w:r>
          </w:p>
        </w:tc>
        <w:tc>
          <w:tcPr>
            <w:tcW w:w="405" w:type="pct"/>
            <w:tcBorders>
              <w:top w:val="nil"/>
              <w:left w:val="nil"/>
              <w:bottom w:val="single" w:sz="4" w:space="0" w:color="auto"/>
              <w:right w:val="nil"/>
            </w:tcBorders>
            <w:shd w:val="clear" w:color="000000" w:fill="E7E6E6"/>
            <w:vAlign w:val="bottom"/>
          </w:tcPr>
          <w:p w14:paraId="3DE0FB36" w14:textId="77777777" w:rsidR="002F1691" w:rsidRPr="000F3DF4" w:rsidRDefault="002F1691" w:rsidP="002F1691">
            <w:pPr>
              <w:rPr>
                <w:rFonts w:ascii="Calibri" w:hAnsi="Calibri" w:cs="Calibri"/>
                <w:color w:val="806000"/>
                <w:sz w:val="16"/>
                <w:szCs w:val="16"/>
              </w:rPr>
            </w:pPr>
            <w:r w:rsidRPr="000F3DF4">
              <w:rPr>
                <w:rFonts w:ascii="Calibri" w:hAnsi="Calibri" w:cs="Calibri"/>
                <w:color w:val="806000"/>
                <w:sz w:val="16"/>
                <w:szCs w:val="16"/>
              </w:rPr>
              <w:t> </w:t>
            </w:r>
          </w:p>
        </w:tc>
        <w:tc>
          <w:tcPr>
            <w:tcW w:w="402" w:type="pct"/>
            <w:tcBorders>
              <w:top w:val="nil"/>
              <w:left w:val="nil"/>
              <w:bottom w:val="single" w:sz="4" w:space="0" w:color="auto"/>
              <w:right w:val="nil"/>
            </w:tcBorders>
            <w:shd w:val="clear" w:color="000000" w:fill="E7E6E6"/>
            <w:noWrap/>
            <w:vAlign w:val="bottom"/>
            <w:hideMark/>
          </w:tcPr>
          <w:p w14:paraId="7B121EE1" w14:textId="77777777" w:rsidR="002F1691" w:rsidRPr="000F3DF4" w:rsidRDefault="002F1691" w:rsidP="002F1691">
            <w:pPr>
              <w:rPr>
                <w:rFonts w:ascii="Calibri" w:hAnsi="Calibri" w:cs="Calibri"/>
                <w:color w:val="806000"/>
                <w:sz w:val="16"/>
                <w:szCs w:val="16"/>
              </w:rPr>
            </w:pPr>
            <w:r w:rsidRPr="000F3DF4">
              <w:rPr>
                <w:rFonts w:ascii="Calibri" w:hAnsi="Calibri" w:cs="Calibri"/>
                <w:color w:val="806000"/>
                <w:sz w:val="16"/>
                <w:szCs w:val="16"/>
              </w:rPr>
              <w:t> </w:t>
            </w:r>
          </w:p>
        </w:tc>
      </w:tr>
      <w:tr w:rsidR="002F1691" w:rsidRPr="009A549A" w14:paraId="1E23CC0C" w14:textId="77777777" w:rsidTr="002F1691">
        <w:trPr>
          <w:trHeight w:val="259"/>
        </w:trPr>
        <w:tc>
          <w:tcPr>
            <w:tcW w:w="1815" w:type="pct"/>
            <w:tcBorders>
              <w:top w:val="nil"/>
              <w:left w:val="nil"/>
              <w:bottom w:val="nil"/>
              <w:right w:val="nil"/>
            </w:tcBorders>
            <w:shd w:val="clear" w:color="auto" w:fill="auto"/>
            <w:noWrap/>
            <w:vAlign w:val="bottom"/>
            <w:hideMark/>
          </w:tcPr>
          <w:p w14:paraId="4D8ABA1C"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Beneficios</w:t>
            </w:r>
          </w:p>
        </w:tc>
        <w:tc>
          <w:tcPr>
            <w:tcW w:w="405" w:type="pct"/>
            <w:tcBorders>
              <w:top w:val="nil"/>
              <w:left w:val="nil"/>
              <w:bottom w:val="nil"/>
              <w:right w:val="nil"/>
            </w:tcBorders>
            <w:shd w:val="clear" w:color="auto" w:fill="auto"/>
            <w:noWrap/>
            <w:vAlign w:val="bottom"/>
            <w:hideMark/>
          </w:tcPr>
          <w:p w14:paraId="5E12917F" w14:textId="77777777" w:rsidR="002F1691" w:rsidRPr="009A549A" w:rsidRDefault="002F1691" w:rsidP="002F1691">
            <w:pPr>
              <w:ind w:firstLineChars="100" w:firstLine="160"/>
              <w:rPr>
                <w:rFonts w:ascii="Calibri" w:hAnsi="Calibri" w:cs="Calibri"/>
                <w:color w:val="000000"/>
                <w:sz w:val="16"/>
                <w:szCs w:val="16"/>
                <w:lang w:eastAsia="es-CO"/>
              </w:rPr>
            </w:pPr>
          </w:p>
        </w:tc>
        <w:tc>
          <w:tcPr>
            <w:tcW w:w="405" w:type="pct"/>
            <w:tcBorders>
              <w:top w:val="nil"/>
              <w:left w:val="nil"/>
              <w:bottom w:val="nil"/>
              <w:right w:val="nil"/>
            </w:tcBorders>
            <w:shd w:val="clear" w:color="auto" w:fill="auto"/>
            <w:noWrap/>
            <w:vAlign w:val="bottom"/>
            <w:hideMark/>
          </w:tcPr>
          <w:p w14:paraId="0964ABD4"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0</w:t>
            </w:r>
          </w:p>
        </w:tc>
        <w:tc>
          <w:tcPr>
            <w:tcW w:w="405" w:type="pct"/>
            <w:tcBorders>
              <w:top w:val="nil"/>
              <w:left w:val="nil"/>
              <w:bottom w:val="nil"/>
              <w:right w:val="nil"/>
            </w:tcBorders>
            <w:shd w:val="clear" w:color="auto" w:fill="auto"/>
            <w:noWrap/>
            <w:vAlign w:val="bottom"/>
            <w:hideMark/>
          </w:tcPr>
          <w:p w14:paraId="76208CB3"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0</w:t>
            </w:r>
          </w:p>
        </w:tc>
        <w:tc>
          <w:tcPr>
            <w:tcW w:w="405" w:type="pct"/>
            <w:tcBorders>
              <w:top w:val="nil"/>
              <w:left w:val="nil"/>
              <w:bottom w:val="nil"/>
              <w:right w:val="nil"/>
            </w:tcBorders>
            <w:shd w:val="clear" w:color="auto" w:fill="auto"/>
            <w:noWrap/>
            <w:vAlign w:val="bottom"/>
            <w:hideMark/>
          </w:tcPr>
          <w:p w14:paraId="59C2A111"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0</w:t>
            </w:r>
          </w:p>
        </w:tc>
        <w:tc>
          <w:tcPr>
            <w:tcW w:w="353" w:type="pct"/>
            <w:tcBorders>
              <w:top w:val="nil"/>
              <w:left w:val="nil"/>
              <w:bottom w:val="nil"/>
              <w:right w:val="nil"/>
            </w:tcBorders>
            <w:shd w:val="clear" w:color="auto" w:fill="auto"/>
            <w:noWrap/>
            <w:vAlign w:val="bottom"/>
            <w:hideMark/>
          </w:tcPr>
          <w:p w14:paraId="1AA9F4B3"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23</w:t>
            </w:r>
          </w:p>
        </w:tc>
        <w:tc>
          <w:tcPr>
            <w:tcW w:w="405" w:type="pct"/>
            <w:tcBorders>
              <w:top w:val="nil"/>
              <w:left w:val="nil"/>
              <w:bottom w:val="nil"/>
              <w:right w:val="nil"/>
            </w:tcBorders>
            <w:shd w:val="clear" w:color="auto" w:fill="auto"/>
            <w:noWrap/>
            <w:vAlign w:val="bottom"/>
            <w:hideMark/>
          </w:tcPr>
          <w:p w14:paraId="051D439C"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46</w:t>
            </w:r>
          </w:p>
        </w:tc>
        <w:tc>
          <w:tcPr>
            <w:tcW w:w="405" w:type="pct"/>
            <w:tcBorders>
              <w:top w:val="nil"/>
              <w:left w:val="nil"/>
              <w:bottom w:val="nil"/>
              <w:right w:val="nil"/>
            </w:tcBorders>
            <w:vAlign w:val="bottom"/>
          </w:tcPr>
          <w:p w14:paraId="4EB75D36"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241</w:t>
            </w:r>
          </w:p>
        </w:tc>
        <w:tc>
          <w:tcPr>
            <w:tcW w:w="402" w:type="pct"/>
            <w:tcBorders>
              <w:top w:val="nil"/>
              <w:left w:val="nil"/>
              <w:bottom w:val="nil"/>
              <w:right w:val="nil"/>
            </w:tcBorders>
            <w:shd w:val="clear" w:color="auto" w:fill="auto"/>
            <w:noWrap/>
            <w:vAlign w:val="bottom"/>
            <w:hideMark/>
          </w:tcPr>
          <w:p w14:paraId="6B7FBA87"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51</w:t>
            </w:r>
          </w:p>
        </w:tc>
      </w:tr>
      <w:tr w:rsidR="002F1691" w:rsidRPr="009A549A" w14:paraId="52D45A6C" w14:textId="77777777" w:rsidTr="002F1691">
        <w:trPr>
          <w:trHeight w:val="259"/>
        </w:trPr>
        <w:tc>
          <w:tcPr>
            <w:tcW w:w="1815" w:type="pct"/>
            <w:tcBorders>
              <w:top w:val="nil"/>
              <w:left w:val="nil"/>
              <w:bottom w:val="single" w:sz="4" w:space="0" w:color="auto"/>
              <w:right w:val="nil"/>
            </w:tcBorders>
            <w:shd w:val="clear" w:color="auto" w:fill="auto"/>
            <w:noWrap/>
            <w:vAlign w:val="bottom"/>
            <w:hideMark/>
          </w:tcPr>
          <w:p w14:paraId="5E57BDB4" w14:textId="77777777" w:rsidR="002F1691" w:rsidRPr="009A549A" w:rsidRDefault="002F1691" w:rsidP="002F1691">
            <w:pPr>
              <w:ind w:firstLineChars="100" w:firstLine="160"/>
              <w:rPr>
                <w:rFonts w:ascii="Calibri" w:hAnsi="Calibri" w:cs="Calibri"/>
                <w:color w:val="000000"/>
                <w:sz w:val="16"/>
                <w:szCs w:val="16"/>
                <w:lang w:eastAsia="es-CO"/>
              </w:rPr>
            </w:pPr>
            <w:r w:rsidRPr="009A549A">
              <w:rPr>
                <w:rFonts w:ascii="Calibri" w:hAnsi="Calibri" w:cs="Calibri"/>
                <w:color w:val="000000"/>
                <w:sz w:val="16"/>
                <w:szCs w:val="16"/>
                <w:lang w:eastAsia="es-CO"/>
              </w:rPr>
              <w:t>Costos</w:t>
            </w:r>
          </w:p>
        </w:tc>
        <w:tc>
          <w:tcPr>
            <w:tcW w:w="405" w:type="pct"/>
            <w:tcBorders>
              <w:top w:val="nil"/>
              <w:left w:val="nil"/>
              <w:bottom w:val="single" w:sz="4" w:space="0" w:color="auto"/>
              <w:right w:val="nil"/>
            </w:tcBorders>
            <w:shd w:val="clear" w:color="auto" w:fill="auto"/>
            <w:noWrap/>
            <w:vAlign w:val="bottom"/>
            <w:hideMark/>
          </w:tcPr>
          <w:p w14:paraId="671577F5" w14:textId="77777777" w:rsidR="002F1691" w:rsidRPr="009A549A" w:rsidRDefault="002F1691" w:rsidP="002F1691">
            <w:pPr>
              <w:rPr>
                <w:rFonts w:ascii="Calibri" w:hAnsi="Calibri" w:cs="Calibri"/>
                <w:color w:val="000000"/>
                <w:sz w:val="16"/>
                <w:szCs w:val="16"/>
                <w:lang w:eastAsia="es-CO"/>
              </w:rPr>
            </w:pPr>
            <w:r w:rsidRPr="009A549A">
              <w:rPr>
                <w:rFonts w:ascii="Calibri" w:hAnsi="Calibri" w:cs="Calibri"/>
                <w:color w:val="000000"/>
                <w:sz w:val="16"/>
                <w:szCs w:val="16"/>
                <w:lang w:eastAsia="es-CO"/>
              </w:rPr>
              <w:t> </w:t>
            </w:r>
          </w:p>
        </w:tc>
        <w:tc>
          <w:tcPr>
            <w:tcW w:w="405" w:type="pct"/>
            <w:tcBorders>
              <w:top w:val="nil"/>
              <w:left w:val="nil"/>
              <w:bottom w:val="single" w:sz="4" w:space="0" w:color="auto"/>
              <w:right w:val="nil"/>
            </w:tcBorders>
            <w:shd w:val="clear" w:color="auto" w:fill="auto"/>
            <w:noWrap/>
            <w:vAlign w:val="bottom"/>
            <w:hideMark/>
          </w:tcPr>
          <w:p w14:paraId="3DA7DC7A"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w:t>
            </w:r>
          </w:p>
        </w:tc>
        <w:tc>
          <w:tcPr>
            <w:tcW w:w="405" w:type="pct"/>
            <w:tcBorders>
              <w:top w:val="nil"/>
              <w:left w:val="nil"/>
              <w:bottom w:val="single" w:sz="4" w:space="0" w:color="auto"/>
              <w:right w:val="nil"/>
            </w:tcBorders>
            <w:shd w:val="clear" w:color="auto" w:fill="auto"/>
            <w:noWrap/>
            <w:vAlign w:val="bottom"/>
            <w:hideMark/>
          </w:tcPr>
          <w:p w14:paraId="6BC2126E"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w:t>
            </w:r>
          </w:p>
        </w:tc>
        <w:tc>
          <w:tcPr>
            <w:tcW w:w="405" w:type="pct"/>
            <w:tcBorders>
              <w:top w:val="nil"/>
              <w:left w:val="nil"/>
              <w:bottom w:val="single" w:sz="4" w:space="0" w:color="auto"/>
              <w:right w:val="nil"/>
            </w:tcBorders>
            <w:shd w:val="clear" w:color="auto" w:fill="auto"/>
            <w:noWrap/>
            <w:vAlign w:val="bottom"/>
            <w:hideMark/>
          </w:tcPr>
          <w:p w14:paraId="0F49E533"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w:t>
            </w:r>
          </w:p>
        </w:tc>
        <w:tc>
          <w:tcPr>
            <w:tcW w:w="353" w:type="pct"/>
            <w:tcBorders>
              <w:top w:val="nil"/>
              <w:left w:val="nil"/>
              <w:bottom w:val="single" w:sz="4" w:space="0" w:color="auto"/>
              <w:right w:val="nil"/>
            </w:tcBorders>
            <w:shd w:val="clear" w:color="auto" w:fill="auto"/>
            <w:noWrap/>
            <w:vAlign w:val="bottom"/>
            <w:hideMark/>
          </w:tcPr>
          <w:p w14:paraId="20EA83E9"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107</w:t>
            </w:r>
          </w:p>
        </w:tc>
        <w:tc>
          <w:tcPr>
            <w:tcW w:w="405" w:type="pct"/>
            <w:tcBorders>
              <w:top w:val="nil"/>
              <w:left w:val="nil"/>
              <w:bottom w:val="single" w:sz="4" w:space="0" w:color="auto"/>
              <w:right w:val="nil"/>
            </w:tcBorders>
            <w:shd w:val="clear" w:color="auto" w:fill="auto"/>
            <w:noWrap/>
            <w:vAlign w:val="bottom"/>
            <w:hideMark/>
          </w:tcPr>
          <w:p w14:paraId="5FD345D4"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107</w:t>
            </w:r>
          </w:p>
        </w:tc>
        <w:tc>
          <w:tcPr>
            <w:tcW w:w="405" w:type="pct"/>
            <w:tcBorders>
              <w:top w:val="nil"/>
              <w:left w:val="nil"/>
              <w:bottom w:val="single" w:sz="4" w:space="0" w:color="auto"/>
              <w:right w:val="nil"/>
            </w:tcBorders>
            <w:vAlign w:val="bottom"/>
          </w:tcPr>
          <w:p w14:paraId="472ABB18"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3</w:t>
            </w:r>
          </w:p>
        </w:tc>
        <w:tc>
          <w:tcPr>
            <w:tcW w:w="402" w:type="pct"/>
            <w:tcBorders>
              <w:top w:val="nil"/>
              <w:left w:val="nil"/>
              <w:bottom w:val="single" w:sz="4" w:space="0" w:color="auto"/>
              <w:right w:val="nil"/>
            </w:tcBorders>
            <w:shd w:val="clear" w:color="auto" w:fill="auto"/>
            <w:noWrap/>
            <w:vAlign w:val="bottom"/>
            <w:hideMark/>
          </w:tcPr>
          <w:p w14:paraId="4D5862D5"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3</w:t>
            </w:r>
          </w:p>
        </w:tc>
      </w:tr>
      <w:tr w:rsidR="002F1691" w:rsidRPr="009A549A" w14:paraId="308D2049" w14:textId="77777777" w:rsidTr="002F1691">
        <w:trPr>
          <w:trHeight w:val="272"/>
        </w:trPr>
        <w:tc>
          <w:tcPr>
            <w:tcW w:w="1815" w:type="pct"/>
            <w:tcBorders>
              <w:top w:val="nil"/>
              <w:left w:val="nil"/>
              <w:bottom w:val="single" w:sz="8" w:space="0" w:color="auto"/>
              <w:right w:val="nil"/>
            </w:tcBorders>
            <w:shd w:val="clear" w:color="auto" w:fill="auto"/>
            <w:noWrap/>
            <w:vAlign w:val="bottom"/>
            <w:hideMark/>
          </w:tcPr>
          <w:p w14:paraId="379DC14B"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Flujo Neto Alumbrado Público ($USD Millones)</w:t>
            </w:r>
          </w:p>
        </w:tc>
        <w:tc>
          <w:tcPr>
            <w:tcW w:w="405" w:type="pct"/>
            <w:tcBorders>
              <w:top w:val="nil"/>
              <w:left w:val="nil"/>
              <w:bottom w:val="single" w:sz="8" w:space="0" w:color="auto"/>
              <w:right w:val="nil"/>
            </w:tcBorders>
            <w:shd w:val="clear" w:color="auto" w:fill="auto"/>
            <w:noWrap/>
            <w:vAlign w:val="bottom"/>
            <w:hideMark/>
          </w:tcPr>
          <w:p w14:paraId="3A0D2ED7" w14:textId="77777777" w:rsidR="002F1691" w:rsidRPr="002F1691" w:rsidRDefault="002F1691" w:rsidP="002F1691">
            <w:pPr>
              <w:rPr>
                <w:rFonts w:ascii="Calibri" w:hAnsi="Calibri" w:cs="Calibri"/>
                <w:color w:val="000000"/>
                <w:sz w:val="16"/>
                <w:szCs w:val="16"/>
                <w:lang w:val="es-ES_tradnl" w:eastAsia="es-CO"/>
              </w:rPr>
            </w:pPr>
            <w:r w:rsidRPr="002F1691">
              <w:rPr>
                <w:rFonts w:ascii="Calibri" w:hAnsi="Calibri" w:cs="Calibri"/>
                <w:color w:val="000000"/>
                <w:sz w:val="16"/>
                <w:szCs w:val="16"/>
                <w:lang w:val="es-ES_tradnl" w:eastAsia="es-CO"/>
              </w:rPr>
              <w:t> </w:t>
            </w:r>
          </w:p>
        </w:tc>
        <w:tc>
          <w:tcPr>
            <w:tcW w:w="405" w:type="pct"/>
            <w:tcBorders>
              <w:top w:val="nil"/>
              <w:left w:val="nil"/>
              <w:bottom w:val="single" w:sz="8" w:space="0" w:color="auto"/>
              <w:right w:val="nil"/>
            </w:tcBorders>
            <w:shd w:val="clear" w:color="auto" w:fill="auto"/>
            <w:noWrap/>
            <w:vAlign w:val="bottom"/>
            <w:hideMark/>
          </w:tcPr>
          <w:p w14:paraId="26CACAB8"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w:t>
            </w:r>
          </w:p>
        </w:tc>
        <w:tc>
          <w:tcPr>
            <w:tcW w:w="405" w:type="pct"/>
            <w:tcBorders>
              <w:top w:val="nil"/>
              <w:left w:val="nil"/>
              <w:bottom w:val="single" w:sz="8" w:space="0" w:color="auto"/>
              <w:right w:val="nil"/>
            </w:tcBorders>
            <w:shd w:val="clear" w:color="auto" w:fill="auto"/>
            <w:noWrap/>
            <w:vAlign w:val="bottom"/>
            <w:hideMark/>
          </w:tcPr>
          <w:p w14:paraId="4CCFBBCD"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w:t>
            </w:r>
          </w:p>
        </w:tc>
        <w:tc>
          <w:tcPr>
            <w:tcW w:w="405" w:type="pct"/>
            <w:tcBorders>
              <w:top w:val="nil"/>
              <w:left w:val="nil"/>
              <w:bottom w:val="single" w:sz="8" w:space="0" w:color="auto"/>
              <w:right w:val="nil"/>
            </w:tcBorders>
            <w:shd w:val="clear" w:color="auto" w:fill="auto"/>
            <w:noWrap/>
            <w:vAlign w:val="bottom"/>
            <w:hideMark/>
          </w:tcPr>
          <w:p w14:paraId="586481D6"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-1</w:t>
            </w:r>
          </w:p>
        </w:tc>
        <w:tc>
          <w:tcPr>
            <w:tcW w:w="353" w:type="pct"/>
            <w:tcBorders>
              <w:top w:val="nil"/>
              <w:left w:val="nil"/>
              <w:bottom w:val="single" w:sz="8" w:space="0" w:color="auto"/>
              <w:right w:val="nil"/>
            </w:tcBorders>
            <w:shd w:val="clear" w:color="auto" w:fill="auto"/>
            <w:noWrap/>
            <w:vAlign w:val="bottom"/>
            <w:hideMark/>
          </w:tcPr>
          <w:p w14:paraId="22D5CAD5"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-84</w:t>
            </w:r>
          </w:p>
        </w:tc>
        <w:tc>
          <w:tcPr>
            <w:tcW w:w="405" w:type="pct"/>
            <w:tcBorders>
              <w:top w:val="nil"/>
              <w:left w:val="nil"/>
              <w:bottom w:val="single" w:sz="8" w:space="0" w:color="auto"/>
              <w:right w:val="nil"/>
            </w:tcBorders>
            <w:shd w:val="clear" w:color="auto" w:fill="auto"/>
            <w:noWrap/>
            <w:vAlign w:val="bottom"/>
            <w:hideMark/>
          </w:tcPr>
          <w:p w14:paraId="7ED309EB"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-60</w:t>
            </w:r>
          </w:p>
        </w:tc>
        <w:tc>
          <w:tcPr>
            <w:tcW w:w="405" w:type="pct"/>
            <w:tcBorders>
              <w:top w:val="nil"/>
              <w:left w:val="nil"/>
              <w:bottom w:val="single" w:sz="8" w:space="0" w:color="auto"/>
              <w:right w:val="nil"/>
            </w:tcBorders>
            <w:vAlign w:val="bottom"/>
          </w:tcPr>
          <w:p w14:paraId="01307396"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238</w:t>
            </w:r>
          </w:p>
        </w:tc>
        <w:tc>
          <w:tcPr>
            <w:tcW w:w="402" w:type="pct"/>
            <w:tcBorders>
              <w:top w:val="nil"/>
              <w:left w:val="nil"/>
              <w:bottom w:val="single" w:sz="8" w:space="0" w:color="auto"/>
              <w:right w:val="nil"/>
            </w:tcBorders>
            <w:shd w:val="clear" w:color="auto" w:fill="auto"/>
            <w:noWrap/>
            <w:vAlign w:val="bottom"/>
            <w:hideMark/>
          </w:tcPr>
          <w:p w14:paraId="3ACEF4AB" w14:textId="77777777" w:rsidR="002F1691" w:rsidRPr="000F3DF4" w:rsidRDefault="002F1691" w:rsidP="002F1691">
            <w:pPr>
              <w:jc w:val="right"/>
              <w:rPr>
                <w:rFonts w:ascii="Calibri" w:hAnsi="Calibri" w:cs="Calibri"/>
                <w:color w:val="000000"/>
                <w:sz w:val="16"/>
                <w:szCs w:val="16"/>
              </w:rPr>
            </w:pPr>
            <w:r w:rsidRPr="000F3DF4">
              <w:rPr>
                <w:rFonts w:ascii="Calibri" w:hAnsi="Calibri" w:cs="Calibri"/>
                <w:color w:val="000000"/>
                <w:sz w:val="16"/>
                <w:szCs w:val="16"/>
              </w:rPr>
              <w:t>48</w:t>
            </w:r>
          </w:p>
        </w:tc>
      </w:tr>
      <w:tr w:rsidR="002F1691" w:rsidRPr="009A549A" w14:paraId="0EE662DF" w14:textId="77777777" w:rsidTr="002F1691">
        <w:trPr>
          <w:trHeight w:val="259"/>
        </w:trPr>
        <w:tc>
          <w:tcPr>
            <w:tcW w:w="1815" w:type="pct"/>
            <w:tcBorders>
              <w:top w:val="nil"/>
              <w:left w:val="nil"/>
              <w:bottom w:val="single" w:sz="4" w:space="0" w:color="auto"/>
              <w:right w:val="nil"/>
            </w:tcBorders>
            <w:shd w:val="clear" w:color="000000" w:fill="E7E6E6"/>
            <w:noWrap/>
            <w:vAlign w:val="bottom"/>
            <w:hideMark/>
          </w:tcPr>
          <w:p w14:paraId="311C5F7F"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Total Beneficios</w:t>
            </w:r>
          </w:p>
        </w:tc>
        <w:tc>
          <w:tcPr>
            <w:tcW w:w="405" w:type="pct"/>
            <w:tcBorders>
              <w:top w:val="nil"/>
              <w:left w:val="nil"/>
              <w:bottom w:val="single" w:sz="4" w:space="0" w:color="auto"/>
              <w:right w:val="nil"/>
            </w:tcBorders>
            <w:shd w:val="clear" w:color="000000" w:fill="E7E6E6"/>
            <w:noWrap/>
            <w:vAlign w:val="bottom"/>
            <w:hideMark/>
          </w:tcPr>
          <w:p w14:paraId="28884FD9"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 </w:t>
            </w:r>
          </w:p>
        </w:tc>
        <w:tc>
          <w:tcPr>
            <w:tcW w:w="405" w:type="pct"/>
            <w:tcBorders>
              <w:top w:val="nil"/>
              <w:left w:val="nil"/>
              <w:bottom w:val="single" w:sz="4" w:space="0" w:color="auto"/>
              <w:right w:val="nil"/>
            </w:tcBorders>
            <w:shd w:val="clear" w:color="000000" w:fill="E7E6E6"/>
            <w:noWrap/>
            <w:vAlign w:val="bottom"/>
            <w:hideMark/>
          </w:tcPr>
          <w:p w14:paraId="106C00F7"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28</w:t>
            </w:r>
          </w:p>
        </w:tc>
        <w:tc>
          <w:tcPr>
            <w:tcW w:w="405" w:type="pct"/>
            <w:tcBorders>
              <w:top w:val="nil"/>
              <w:left w:val="nil"/>
              <w:bottom w:val="single" w:sz="4" w:space="0" w:color="auto"/>
              <w:right w:val="nil"/>
            </w:tcBorders>
            <w:shd w:val="clear" w:color="000000" w:fill="E7E6E6"/>
            <w:noWrap/>
            <w:vAlign w:val="bottom"/>
            <w:hideMark/>
          </w:tcPr>
          <w:p w14:paraId="1A6DC200"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56</w:t>
            </w:r>
          </w:p>
        </w:tc>
        <w:tc>
          <w:tcPr>
            <w:tcW w:w="405" w:type="pct"/>
            <w:tcBorders>
              <w:top w:val="nil"/>
              <w:left w:val="nil"/>
              <w:bottom w:val="single" w:sz="4" w:space="0" w:color="auto"/>
              <w:right w:val="nil"/>
            </w:tcBorders>
            <w:shd w:val="clear" w:color="000000" w:fill="E7E6E6"/>
            <w:noWrap/>
            <w:vAlign w:val="bottom"/>
            <w:hideMark/>
          </w:tcPr>
          <w:p w14:paraId="7FB82B4D"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69</w:t>
            </w:r>
          </w:p>
        </w:tc>
        <w:tc>
          <w:tcPr>
            <w:tcW w:w="353" w:type="pct"/>
            <w:tcBorders>
              <w:top w:val="nil"/>
              <w:left w:val="nil"/>
              <w:bottom w:val="single" w:sz="4" w:space="0" w:color="auto"/>
              <w:right w:val="nil"/>
            </w:tcBorders>
            <w:shd w:val="clear" w:color="000000" w:fill="E7E6E6"/>
            <w:noWrap/>
            <w:vAlign w:val="bottom"/>
            <w:hideMark/>
          </w:tcPr>
          <w:p w14:paraId="576216BE"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105</w:t>
            </w:r>
          </w:p>
        </w:tc>
        <w:tc>
          <w:tcPr>
            <w:tcW w:w="405" w:type="pct"/>
            <w:tcBorders>
              <w:top w:val="nil"/>
              <w:left w:val="nil"/>
              <w:bottom w:val="single" w:sz="4" w:space="0" w:color="auto"/>
              <w:right w:val="nil"/>
            </w:tcBorders>
            <w:shd w:val="clear" w:color="000000" w:fill="E7E6E6"/>
            <w:noWrap/>
            <w:vAlign w:val="bottom"/>
            <w:hideMark/>
          </w:tcPr>
          <w:p w14:paraId="690F54E8"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141</w:t>
            </w:r>
          </w:p>
        </w:tc>
        <w:tc>
          <w:tcPr>
            <w:tcW w:w="405" w:type="pct"/>
            <w:tcBorders>
              <w:top w:val="nil"/>
              <w:left w:val="nil"/>
              <w:bottom w:val="single" w:sz="4" w:space="0" w:color="auto"/>
              <w:right w:val="nil"/>
            </w:tcBorders>
            <w:shd w:val="clear" w:color="000000" w:fill="E7E6E6"/>
            <w:vAlign w:val="bottom"/>
          </w:tcPr>
          <w:p w14:paraId="0C3938FA"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896</w:t>
            </w:r>
          </w:p>
        </w:tc>
        <w:tc>
          <w:tcPr>
            <w:tcW w:w="402" w:type="pct"/>
            <w:tcBorders>
              <w:top w:val="nil"/>
              <w:left w:val="nil"/>
              <w:bottom w:val="single" w:sz="4" w:space="0" w:color="auto"/>
              <w:right w:val="nil"/>
            </w:tcBorders>
            <w:shd w:val="clear" w:color="000000" w:fill="E7E6E6"/>
            <w:noWrap/>
            <w:vAlign w:val="bottom"/>
            <w:hideMark/>
          </w:tcPr>
          <w:p w14:paraId="0A4B897E"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173</w:t>
            </w:r>
          </w:p>
        </w:tc>
      </w:tr>
      <w:tr w:rsidR="002F1691" w:rsidRPr="009A549A" w14:paraId="18859AE8" w14:textId="77777777" w:rsidTr="002F1691">
        <w:trPr>
          <w:trHeight w:val="259"/>
        </w:trPr>
        <w:tc>
          <w:tcPr>
            <w:tcW w:w="1815" w:type="pct"/>
            <w:tcBorders>
              <w:top w:val="nil"/>
              <w:left w:val="nil"/>
              <w:bottom w:val="nil"/>
              <w:right w:val="nil"/>
            </w:tcBorders>
            <w:shd w:val="clear" w:color="000000" w:fill="E7E6E6"/>
            <w:noWrap/>
            <w:vAlign w:val="bottom"/>
            <w:hideMark/>
          </w:tcPr>
          <w:p w14:paraId="376BAC0D"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Total Costos</w:t>
            </w:r>
          </w:p>
        </w:tc>
        <w:tc>
          <w:tcPr>
            <w:tcW w:w="405" w:type="pct"/>
            <w:tcBorders>
              <w:top w:val="nil"/>
              <w:left w:val="nil"/>
              <w:bottom w:val="nil"/>
              <w:right w:val="nil"/>
            </w:tcBorders>
            <w:shd w:val="clear" w:color="000000" w:fill="E7E6E6"/>
            <w:noWrap/>
            <w:vAlign w:val="bottom"/>
            <w:hideMark/>
          </w:tcPr>
          <w:p w14:paraId="38B43A8D" w14:textId="77777777" w:rsidR="002F1691" w:rsidRPr="009A549A" w:rsidRDefault="002F1691" w:rsidP="002F1691">
            <w:pPr>
              <w:rPr>
                <w:rFonts w:ascii="Calibri" w:hAnsi="Calibri" w:cs="Calibri"/>
                <w:b/>
                <w:bCs/>
                <w:color w:val="000000"/>
                <w:sz w:val="16"/>
                <w:szCs w:val="16"/>
                <w:lang w:eastAsia="es-CO"/>
              </w:rPr>
            </w:pPr>
            <w:r w:rsidRPr="009A549A">
              <w:rPr>
                <w:rFonts w:ascii="Calibri" w:hAnsi="Calibri" w:cs="Calibri"/>
                <w:b/>
                <w:bCs/>
                <w:color w:val="000000"/>
                <w:sz w:val="16"/>
                <w:szCs w:val="16"/>
                <w:lang w:eastAsia="es-CO"/>
              </w:rPr>
              <w:t> </w:t>
            </w:r>
          </w:p>
        </w:tc>
        <w:tc>
          <w:tcPr>
            <w:tcW w:w="405" w:type="pct"/>
            <w:tcBorders>
              <w:top w:val="nil"/>
              <w:left w:val="nil"/>
              <w:bottom w:val="nil"/>
              <w:right w:val="nil"/>
            </w:tcBorders>
            <w:shd w:val="clear" w:color="000000" w:fill="E7E6E6"/>
            <w:noWrap/>
            <w:vAlign w:val="bottom"/>
            <w:hideMark/>
          </w:tcPr>
          <w:p w14:paraId="7537062A"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43</w:t>
            </w:r>
          </w:p>
        </w:tc>
        <w:tc>
          <w:tcPr>
            <w:tcW w:w="405" w:type="pct"/>
            <w:tcBorders>
              <w:top w:val="nil"/>
              <w:left w:val="nil"/>
              <w:bottom w:val="nil"/>
              <w:right w:val="nil"/>
            </w:tcBorders>
            <w:shd w:val="clear" w:color="000000" w:fill="E7E6E6"/>
            <w:noWrap/>
            <w:vAlign w:val="bottom"/>
            <w:hideMark/>
          </w:tcPr>
          <w:p w14:paraId="5AF47C62"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43</w:t>
            </w:r>
          </w:p>
        </w:tc>
        <w:tc>
          <w:tcPr>
            <w:tcW w:w="405" w:type="pct"/>
            <w:tcBorders>
              <w:top w:val="nil"/>
              <w:left w:val="nil"/>
              <w:bottom w:val="nil"/>
              <w:right w:val="nil"/>
            </w:tcBorders>
            <w:shd w:val="clear" w:color="000000" w:fill="E7E6E6"/>
            <w:noWrap/>
            <w:vAlign w:val="bottom"/>
            <w:hideMark/>
          </w:tcPr>
          <w:p w14:paraId="705490A4"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28</w:t>
            </w:r>
          </w:p>
        </w:tc>
        <w:tc>
          <w:tcPr>
            <w:tcW w:w="353" w:type="pct"/>
            <w:tcBorders>
              <w:top w:val="nil"/>
              <w:left w:val="nil"/>
              <w:bottom w:val="nil"/>
              <w:right w:val="nil"/>
            </w:tcBorders>
            <w:shd w:val="clear" w:color="000000" w:fill="E7E6E6"/>
            <w:noWrap/>
            <w:vAlign w:val="bottom"/>
            <w:hideMark/>
          </w:tcPr>
          <w:p w14:paraId="773DE9FF"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134</w:t>
            </w:r>
          </w:p>
        </w:tc>
        <w:tc>
          <w:tcPr>
            <w:tcW w:w="405" w:type="pct"/>
            <w:tcBorders>
              <w:top w:val="nil"/>
              <w:left w:val="nil"/>
              <w:bottom w:val="nil"/>
              <w:right w:val="nil"/>
            </w:tcBorders>
            <w:shd w:val="clear" w:color="000000" w:fill="E7E6E6"/>
            <w:noWrap/>
            <w:vAlign w:val="bottom"/>
            <w:hideMark/>
          </w:tcPr>
          <w:p w14:paraId="1D46D6BF"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134</w:t>
            </w:r>
          </w:p>
        </w:tc>
        <w:tc>
          <w:tcPr>
            <w:tcW w:w="405" w:type="pct"/>
            <w:tcBorders>
              <w:top w:val="nil"/>
              <w:left w:val="nil"/>
              <w:bottom w:val="nil"/>
              <w:right w:val="nil"/>
            </w:tcBorders>
            <w:shd w:val="clear" w:color="000000" w:fill="E7E6E6"/>
            <w:vAlign w:val="bottom"/>
          </w:tcPr>
          <w:p w14:paraId="41A921A6"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31</w:t>
            </w:r>
          </w:p>
        </w:tc>
        <w:tc>
          <w:tcPr>
            <w:tcW w:w="402" w:type="pct"/>
            <w:tcBorders>
              <w:top w:val="nil"/>
              <w:left w:val="nil"/>
              <w:bottom w:val="nil"/>
              <w:right w:val="nil"/>
            </w:tcBorders>
            <w:shd w:val="clear" w:color="000000" w:fill="E7E6E6"/>
            <w:noWrap/>
            <w:vAlign w:val="bottom"/>
            <w:hideMark/>
          </w:tcPr>
          <w:p w14:paraId="107CA2FE"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31</w:t>
            </w:r>
          </w:p>
        </w:tc>
      </w:tr>
      <w:tr w:rsidR="002F1691" w:rsidRPr="009A549A" w14:paraId="588F085A" w14:textId="77777777" w:rsidTr="002F1691">
        <w:trPr>
          <w:trHeight w:val="272"/>
        </w:trPr>
        <w:tc>
          <w:tcPr>
            <w:tcW w:w="1815" w:type="pct"/>
            <w:tcBorders>
              <w:top w:val="single" w:sz="4" w:space="0" w:color="auto"/>
              <w:left w:val="nil"/>
              <w:bottom w:val="single" w:sz="8" w:space="0" w:color="auto"/>
              <w:right w:val="nil"/>
            </w:tcBorders>
            <w:shd w:val="clear" w:color="000000" w:fill="E7E6E6"/>
            <w:noWrap/>
            <w:vAlign w:val="bottom"/>
            <w:hideMark/>
          </w:tcPr>
          <w:p w14:paraId="58946556" w14:textId="77777777" w:rsidR="002F1691" w:rsidRPr="002F1691" w:rsidRDefault="002F1691" w:rsidP="002F1691">
            <w:pPr>
              <w:rPr>
                <w:rFonts w:ascii="Calibri" w:hAnsi="Calibri" w:cs="Calibri"/>
                <w:b/>
                <w:bCs/>
                <w:color w:val="000000"/>
                <w:sz w:val="16"/>
                <w:szCs w:val="16"/>
                <w:lang w:val="es-ES_tradnl" w:eastAsia="es-CO"/>
              </w:rPr>
            </w:pPr>
            <w:r w:rsidRPr="002F1691">
              <w:rPr>
                <w:rFonts w:ascii="Calibri" w:hAnsi="Calibri" w:cs="Calibri"/>
                <w:b/>
                <w:bCs/>
                <w:color w:val="000000"/>
                <w:sz w:val="16"/>
                <w:szCs w:val="16"/>
                <w:lang w:val="es-ES_tradnl" w:eastAsia="es-CO"/>
              </w:rPr>
              <w:t>Flujo Neto Agregado ($USD Millones)</w:t>
            </w:r>
          </w:p>
        </w:tc>
        <w:tc>
          <w:tcPr>
            <w:tcW w:w="405" w:type="pct"/>
            <w:tcBorders>
              <w:top w:val="single" w:sz="4" w:space="0" w:color="auto"/>
              <w:left w:val="nil"/>
              <w:bottom w:val="single" w:sz="8" w:space="0" w:color="auto"/>
              <w:right w:val="nil"/>
            </w:tcBorders>
            <w:shd w:val="clear" w:color="000000" w:fill="E7E6E6"/>
            <w:noWrap/>
            <w:vAlign w:val="bottom"/>
            <w:hideMark/>
          </w:tcPr>
          <w:p w14:paraId="500070C7" w14:textId="77777777" w:rsidR="002F1691" w:rsidRPr="002F1691" w:rsidRDefault="002F1691" w:rsidP="002F1691">
            <w:pPr>
              <w:rPr>
                <w:rFonts w:ascii="Calibri" w:hAnsi="Calibri" w:cs="Calibri"/>
                <w:b/>
                <w:bCs/>
                <w:color w:val="000000"/>
                <w:sz w:val="16"/>
                <w:szCs w:val="16"/>
                <w:lang w:val="es-ES_tradnl" w:eastAsia="es-CO"/>
              </w:rPr>
            </w:pPr>
            <w:r w:rsidRPr="002F1691">
              <w:rPr>
                <w:rFonts w:ascii="Calibri" w:hAnsi="Calibri" w:cs="Calibri"/>
                <w:b/>
                <w:bCs/>
                <w:color w:val="000000"/>
                <w:sz w:val="16"/>
                <w:szCs w:val="16"/>
                <w:lang w:val="es-ES_tradnl" w:eastAsia="es-CO"/>
              </w:rPr>
              <w:t> </w:t>
            </w:r>
          </w:p>
        </w:tc>
        <w:tc>
          <w:tcPr>
            <w:tcW w:w="405" w:type="pct"/>
            <w:tcBorders>
              <w:top w:val="single" w:sz="4" w:space="0" w:color="auto"/>
              <w:left w:val="nil"/>
              <w:bottom w:val="single" w:sz="8" w:space="0" w:color="auto"/>
              <w:right w:val="nil"/>
            </w:tcBorders>
            <w:shd w:val="clear" w:color="000000" w:fill="E7E6E6"/>
            <w:noWrap/>
            <w:vAlign w:val="bottom"/>
            <w:hideMark/>
          </w:tcPr>
          <w:p w14:paraId="3BF368A5"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-15</w:t>
            </w:r>
          </w:p>
        </w:tc>
        <w:tc>
          <w:tcPr>
            <w:tcW w:w="405" w:type="pct"/>
            <w:tcBorders>
              <w:top w:val="single" w:sz="4" w:space="0" w:color="auto"/>
              <w:left w:val="nil"/>
              <w:bottom w:val="single" w:sz="8" w:space="0" w:color="auto"/>
              <w:right w:val="nil"/>
            </w:tcBorders>
            <w:shd w:val="clear" w:color="000000" w:fill="E7E6E6"/>
            <w:noWrap/>
            <w:vAlign w:val="bottom"/>
            <w:hideMark/>
          </w:tcPr>
          <w:p w14:paraId="0402606E"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12</w:t>
            </w:r>
          </w:p>
        </w:tc>
        <w:tc>
          <w:tcPr>
            <w:tcW w:w="405" w:type="pct"/>
            <w:tcBorders>
              <w:top w:val="single" w:sz="4" w:space="0" w:color="auto"/>
              <w:left w:val="nil"/>
              <w:bottom w:val="single" w:sz="8" w:space="0" w:color="auto"/>
              <w:right w:val="nil"/>
            </w:tcBorders>
            <w:shd w:val="clear" w:color="000000" w:fill="E7E6E6"/>
            <w:noWrap/>
            <w:vAlign w:val="bottom"/>
            <w:hideMark/>
          </w:tcPr>
          <w:p w14:paraId="6A3A114F"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40</w:t>
            </w:r>
          </w:p>
        </w:tc>
        <w:tc>
          <w:tcPr>
            <w:tcW w:w="353" w:type="pct"/>
            <w:tcBorders>
              <w:top w:val="single" w:sz="4" w:space="0" w:color="auto"/>
              <w:left w:val="nil"/>
              <w:bottom w:val="single" w:sz="8" w:space="0" w:color="auto"/>
              <w:right w:val="nil"/>
            </w:tcBorders>
            <w:shd w:val="clear" w:color="000000" w:fill="E7E6E6"/>
            <w:noWrap/>
            <w:vAlign w:val="bottom"/>
            <w:hideMark/>
          </w:tcPr>
          <w:p w14:paraId="50B6EA20"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-30</w:t>
            </w:r>
          </w:p>
        </w:tc>
        <w:tc>
          <w:tcPr>
            <w:tcW w:w="405" w:type="pct"/>
            <w:tcBorders>
              <w:top w:val="single" w:sz="4" w:space="0" w:color="auto"/>
              <w:left w:val="nil"/>
              <w:bottom w:val="single" w:sz="8" w:space="0" w:color="auto"/>
              <w:right w:val="nil"/>
            </w:tcBorders>
            <w:shd w:val="clear" w:color="000000" w:fill="E7E6E6"/>
            <w:noWrap/>
            <w:vAlign w:val="bottom"/>
            <w:hideMark/>
          </w:tcPr>
          <w:p w14:paraId="1440B315"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7</w:t>
            </w:r>
          </w:p>
        </w:tc>
        <w:tc>
          <w:tcPr>
            <w:tcW w:w="405" w:type="pct"/>
            <w:tcBorders>
              <w:top w:val="single" w:sz="4" w:space="0" w:color="auto"/>
              <w:left w:val="nil"/>
              <w:bottom w:val="single" w:sz="8" w:space="0" w:color="auto"/>
              <w:right w:val="nil"/>
            </w:tcBorders>
            <w:shd w:val="clear" w:color="000000" w:fill="E7E6E6"/>
            <w:vAlign w:val="bottom"/>
          </w:tcPr>
          <w:p w14:paraId="1122DDDC"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865</w:t>
            </w:r>
          </w:p>
        </w:tc>
        <w:tc>
          <w:tcPr>
            <w:tcW w:w="402" w:type="pct"/>
            <w:tcBorders>
              <w:top w:val="single" w:sz="4" w:space="0" w:color="auto"/>
              <w:left w:val="nil"/>
              <w:bottom w:val="single" w:sz="8" w:space="0" w:color="auto"/>
              <w:right w:val="nil"/>
            </w:tcBorders>
            <w:shd w:val="clear" w:color="000000" w:fill="E7E6E6"/>
            <w:noWrap/>
            <w:vAlign w:val="bottom"/>
            <w:hideMark/>
          </w:tcPr>
          <w:p w14:paraId="01A6015D" w14:textId="77777777" w:rsidR="002F1691" w:rsidRPr="000F3DF4" w:rsidRDefault="002F1691" w:rsidP="002F1691">
            <w:pPr>
              <w:jc w:val="right"/>
              <w:rPr>
                <w:rFonts w:ascii="Calibri" w:hAnsi="Calibri" w:cs="Calibri"/>
                <w:b/>
                <w:bCs/>
                <w:color w:val="000000"/>
                <w:sz w:val="16"/>
                <w:szCs w:val="16"/>
              </w:rPr>
            </w:pPr>
            <w:r w:rsidRPr="000F3DF4">
              <w:rPr>
                <w:rFonts w:ascii="Calibri" w:hAnsi="Calibri" w:cs="Calibri"/>
                <w:b/>
                <w:bCs/>
                <w:color w:val="000000"/>
                <w:sz w:val="16"/>
                <w:szCs w:val="16"/>
              </w:rPr>
              <w:t>142</w:t>
            </w:r>
          </w:p>
        </w:tc>
      </w:tr>
    </w:tbl>
    <w:p w14:paraId="02404E0D" w14:textId="77777777" w:rsidR="002F1691" w:rsidRPr="002C33B5" w:rsidRDefault="002F1691" w:rsidP="002F1691">
      <w:pPr>
        <w:rPr>
          <w:highlight w:val="cyan"/>
          <w:lang w:val="es-ES"/>
        </w:rPr>
      </w:pPr>
    </w:p>
    <w:tbl>
      <w:tblPr>
        <w:tblW w:w="4431" w:type="pct"/>
        <w:tblCellMar>
          <w:left w:w="70" w:type="dxa"/>
          <w:right w:w="70" w:type="dxa"/>
        </w:tblCellMar>
        <w:tblLook w:val="04A0" w:firstRow="1" w:lastRow="0" w:firstColumn="1" w:lastColumn="0" w:noHBand="0" w:noVBand="1"/>
      </w:tblPr>
      <w:tblGrid>
        <w:gridCol w:w="3881"/>
        <w:gridCol w:w="1524"/>
        <w:gridCol w:w="1108"/>
        <w:gridCol w:w="1139"/>
      </w:tblGrid>
      <w:tr w:rsidR="002F1691" w:rsidRPr="0011592F" w14:paraId="2A22435D" w14:textId="77777777" w:rsidTr="002F1691">
        <w:trPr>
          <w:trHeight w:val="300"/>
        </w:trPr>
        <w:tc>
          <w:tcPr>
            <w:tcW w:w="2536" w:type="pct"/>
            <w:tcBorders>
              <w:top w:val="nil"/>
              <w:left w:val="nil"/>
              <w:bottom w:val="nil"/>
              <w:right w:val="nil"/>
            </w:tcBorders>
            <w:shd w:val="clear" w:color="auto" w:fill="auto"/>
            <w:noWrap/>
            <w:vAlign w:val="bottom"/>
            <w:hideMark/>
          </w:tcPr>
          <w:p w14:paraId="77FEF022" w14:textId="77777777" w:rsidR="002F1691" w:rsidRPr="0011592F" w:rsidRDefault="002F1691" w:rsidP="002F1691">
            <w:pPr>
              <w:rPr>
                <w:sz w:val="18"/>
                <w:lang w:eastAsia="es-CO"/>
              </w:rPr>
            </w:pPr>
          </w:p>
        </w:tc>
        <w:tc>
          <w:tcPr>
            <w:tcW w:w="996" w:type="pct"/>
            <w:tcBorders>
              <w:top w:val="single" w:sz="4" w:space="0" w:color="FFFFFF"/>
              <w:left w:val="nil"/>
              <w:bottom w:val="single" w:sz="4" w:space="0" w:color="auto"/>
              <w:right w:val="single" w:sz="4" w:space="0" w:color="FFFFFF"/>
            </w:tcBorders>
            <w:shd w:val="clear" w:color="000000" w:fill="203764"/>
            <w:noWrap/>
            <w:vAlign w:val="bottom"/>
            <w:hideMark/>
          </w:tcPr>
          <w:p w14:paraId="0A4F3707"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Beneficios</w:t>
            </w:r>
          </w:p>
        </w:tc>
        <w:tc>
          <w:tcPr>
            <w:tcW w:w="724" w:type="pct"/>
            <w:tcBorders>
              <w:top w:val="single" w:sz="4" w:space="0" w:color="FFFFFF"/>
              <w:left w:val="nil"/>
              <w:bottom w:val="single" w:sz="4" w:space="0" w:color="auto"/>
              <w:right w:val="single" w:sz="4" w:space="0" w:color="FFFFFF"/>
            </w:tcBorders>
            <w:shd w:val="clear" w:color="000000" w:fill="203764"/>
            <w:noWrap/>
            <w:vAlign w:val="bottom"/>
            <w:hideMark/>
          </w:tcPr>
          <w:p w14:paraId="1BFEB687"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Costos</w:t>
            </w:r>
          </w:p>
        </w:tc>
        <w:tc>
          <w:tcPr>
            <w:tcW w:w="744" w:type="pct"/>
            <w:tcBorders>
              <w:top w:val="single" w:sz="4" w:space="0" w:color="FFFFFF"/>
              <w:left w:val="nil"/>
              <w:bottom w:val="single" w:sz="4" w:space="0" w:color="auto"/>
              <w:right w:val="single" w:sz="4" w:space="0" w:color="FFFFFF"/>
            </w:tcBorders>
            <w:shd w:val="clear" w:color="000000" w:fill="203764"/>
            <w:noWrap/>
            <w:vAlign w:val="bottom"/>
            <w:hideMark/>
          </w:tcPr>
          <w:p w14:paraId="15AD0840" w14:textId="77777777" w:rsidR="002F1691" w:rsidRPr="0011592F" w:rsidRDefault="002F1691" w:rsidP="002F1691">
            <w:pPr>
              <w:jc w:val="center"/>
              <w:rPr>
                <w:rFonts w:ascii="Calibri" w:hAnsi="Calibri" w:cs="Calibri"/>
                <w:color w:val="FFFFFF"/>
                <w:sz w:val="18"/>
                <w:szCs w:val="22"/>
                <w:lang w:eastAsia="es-CO"/>
              </w:rPr>
            </w:pPr>
            <w:r w:rsidRPr="0011592F">
              <w:rPr>
                <w:rFonts w:ascii="Calibri" w:hAnsi="Calibri" w:cs="Calibri"/>
                <w:color w:val="FFFFFF"/>
                <w:sz w:val="18"/>
                <w:szCs w:val="22"/>
                <w:lang w:eastAsia="es-CO"/>
              </w:rPr>
              <w:t>Neto</w:t>
            </w:r>
          </w:p>
        </w:tc>
      </w:tr>
      <w:tr w:rsidR="002F1691" w:rsidRPr="0011592F" w14:paraId="67A5F251" w14:textId="77777777" w:rsidTr="002F1691">
        <w:trPr>
          <w:trHeight w:val="300"/>
        </w:trPr>
        <w:tc>
          <w:tcPr>
            <w:tcW w:w="2536"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F7EFE87" w14:textId="77777777" w:rsidR="002F1691" w:rsidRPr="0011592F" w:rsidRDefault="002F1691" w:rsidP="002F1691">
            <w:pPr>
              <w:rPr>
                <w:rFonts w:ascii="Calibri" w:hAnsi="Calibri" w:cs="Calibri"/>
                <w:color w:val="000000"/>
                <w:sz w:val="18"/>
                <w:szCs w:val="22"/>
                <w:lang w:eastAsia="es-CO"/>
              </w:rPr>
            </w:pPr>
            <w:r w:rsidRPr="0011592F">
              <w:rPr>
                <w:rFonts w:ascii="Calibri" w:hAnsi="Calibri" w:cs="Calibri"/>
                <w:color w:val="000000"/>
                <w:sz w:val="18"/>
                <w:szCs w:val="22"/>
                <w:lang w:eastAsia="es-CO"/>
              </w:rPr>
              <w:t>VPN dic 2017 ($USD Millones)</w:t>
            </w:r>
          </w:p>
        </w:tc>
        <w:tc>
          <w:tcPr>
            <w:tcW w:w="996" w:type="pct"/>
            <w:tcBorders>
              <w:top w:val="nil"/>
              <w:left w:val="single" w:sz="4" w:space="0" w:color="auto"/>
              <w:bottom w:val="nil"/>
              <w:right w:val="single" w:sz="4" w:space="0" w:color="auto"/>
            </w:tcBorders>
            <w:shd w:val="clear" w:color="000000" w:fill="E2EFDA"/>
            <w:noWrap/>
            <w:vAlign w:val="bottom"/>
            <w:hideMark/>
          </w:tcPr>
          <w:p w14:paraId="45F786A4" w14:textId="77777777" w:rsidR="002F1691" w:rsidRPr="00E57A28" w:rsidRDefault="002F1691" w:rsidP="002F1691">
            <w:pPr>
              <w:contextualSpacing/>
              <w:jc w:val="right"/>
              <w:rPr>
                <w:rFonts w:ascii="Calibri" w:hAnsi="Calibri" w:cs="Calibri"/>
                <w:color w:val="000000"/>
                <w:sz w:val="18"/>
                <w:szCs w:val="18"/>
              </w:rPr>
            </w:pPr>
            <w:r w:rsidRPr="00E57A28">
              <w:rPr>
                <w:rFonts w:ascii="Calibri" w:hAnsi="Calibri" w:cs="Calibri"/>
                <w:color w:val="000000"/>
                <w:sz w:val="18"/>
                <w:szCs w:val="18"/>
              </w:rPr>
              <w:t>$1.456</w:t>
            </w:r>
          </w:p>
        </w:tc>
        <w:tc>
          <w:tcPr>
            <w:tcW w:w="724" w:type="pct"/>
            <w:tcBorders>
              <w:top w:val="nil"/>
              <w:left w:val="nil"/>
              <w:bottom w:val="nil"/>
              <w:right w:val="single" w:sz="4" w:space="0" w:color="auto"/>
            </w:tcBorders>
            <w:shd w:val="clear" w:color="000000" w:fill="E2EFDA"/>
            <w:noWrap/>
            <w:vAlign w:val="bottom"/>
            <w:hideMark/>
          </w:tcPr>
          <w:p w14:paraId="43F51652" w14:textId="77777777" w:rsidR="002F1691" w:rsidRPr="00E57A28" w:rsidRDefault="002F1691" w:rsidP="002F1691">
            <w:pPr>
              <w:contextualSpacing/>
              <w:jc w:val="right"/>
              <w:rPr>
                <w:rFonts w:ascii="Calibri" w:hAnsi="Calibri" w:cs="Calibri"/>
                <w:color w:val="000000"/>
                <w:sz w:val="18"/>
                <w:szCs w:val="18"/>
              </w:rPr>
            </w:pPr>
            <w:r w:rsidRPr="00E57A28">
              <w:rPr>
                <w:rFonts w:ascii="Calibri" w:hAnsi="Calibri" w:cs="Calibri"/>
                <w:color w:val="000000"/>
                <w:sz w:val="18"/>
                <w:szCs w:val="18"/>
              </w:rPr>
              <w:t>$359</w:t>
            </w:r>
          </w:p>
        </w:tc>
        <w:tc>
          <w:tcPr>
            <w:tcW w:w="744" w:type="pct"/>
            <w:tcBorders>
              <w:top w:val="nil"/>
              <w:left w:val="nil"/>
              <w:bottom w:val="nil"/>
              <w:right w:val="single" w:sz="4" w:space="0" w:color="auto"/>
            </w:tcBorders>
            <w:shd w:val="clear" w:color="000000" w:fill="E2EFDA"/>
            <w:noWrap/>
            <w:vAlign w:val="bottom"/>
            <w:hideMark/>
          </w:tcPr>
          <w:p w14:paraId="2C663257" w14:textId="77777777" w:rsidR="002F1691" w:rsidRPr="00E57A28" w:rsidRDefault="002F1691" w:rsidP="002F1691">
            <w:pPr>
              <w:contextualSpacing/>
              <w:jc w:val="right"/>
              <w:rPr>
                <w:rFonts w:ascii="Calibri" w:hAnsi="Calibri" w:cs="Calibri"/>
                <w:color w:val="000000"/>
                <w:sz w:val="18"/>
                <w:szCs w:val="18"/>
              </w:rPr>
            </w:pPr>
            <w:r w:rsidRPr="00E57A28">
              <w:rPr>
                <w:rFonts w:ascii="Calibri" w:hAnsi="Calibri" w:cs="Calibri"/>
                <w:color w:val="000000"/>
                <w:sz w:val="18"/>
                <w:szCs w:val="18"/>
              </w:rPr>
              <w:t>$1.096</w:t>
            </w:r>
          </w:p>
        </w:tc>
      </w:tr>
      <w:tr w:rsidR="002F1691" w:rsidRPr="0011592F" w14:paraId="78D78369" w14:textId="77777777" w:rsidTr="002F1691">
        <w:trPr>
          <w:trHeight w:val="300"/>
        </w:trPr>
        <w:tc>
          <w:tcPr>
            <w:tcW w:w="2536" w:type="pct"/>
            <w:tcBorders>
              <w:top w:val="single" w:sz="4" w:space="0" w:color="auto"/>
              <w:left w:val="single" w:sz="4" w:space="0" w:color="auto"/>
              <w:bottom w:val="single" w:sz="4" w:space="0" w:color="auto"/>
              <w:right w:val="single" w:sz="4" w:space="0" w:color="auto"/>
            </w:tcBorders>
            <w:shd w:val="clear" w:color="000000" w:fill="E2EFDA"/>
            <w:noWrap/>
            <w:vAlign w:val="bottom"/>
          </w:tcPr>
          <w:p w14:paraId="644E0EE6" w14:textId="77777777" w:rsidR="002F1691" w:rsidRPr="0011592F" w:rsidRDefault="002F1691" w:rsidP="002F1691">
            <w:pPr>
              <w:rPr>
                <w:rFonts w:ascii="Calibri" w:hAnsi="Calibri" w:cs="Calibri"/>
                <w:color w:val="000000"/>
                <w:sz w:val="18"/>
                <w:szCs w:val="22"/>
                <w:lang w:eastAsia="es-CO"/>
              </w:rPr>
            </w:pPr>
            <w:r>
              <w:rPr>
                <w:rFonts w:ascii="Calibri" w:hAnsi="Calibri" w:cs="Calibri"/>
                <w:color w:val="000000"/>
                <w:sz w:val="18"/>
                <w:szCs w:val="22"/>
                <w:lang w:eastAsia="es-CO"/>
              </w:rPr>
              <w:t>TIR</w:t>
            </w:r>
          </w:p>
        </w:tc>
        <w:tc>
          <w:tcPr>
            <w:tcW w:w="996" w:type="pct"/>
            <w:tcBorders>
              <w:top w:val="nil"/>
              <w:left w:val="single" w:sz="4" w:space="0" w:color="auto"/>
              <w:bottom w:val="single" w:sz="4" w:space="0" w:color="auto"/>
              <w:right w:val="single" w:sz="4" w:space="0" w:color="auto"/>
            </w:tcBorders>
            <w:shd w:val="clear" w:color="000000" w:fill="E2EFDA"/>
            <w:noWrap/>
            <w:vAlign w:val="bottom"/>
          </w:tcPr>
          <w:p w14:paraId="219E88F7" w14:textId="77777777" w:rsidR="002F1691" w:rsidRPr="00E57A28" w:rsidRDefault="002F1691" w:rsidP="002F1691">
            <w:pPr>
              <w:contextualSpacing/>
              <w:rPr>
                <w:rFonts w:ascii="Calibri" w:hAnsi="Calibri" w:cs="Calibri"/>
                <w:color w:val="000000"/>
                <w:sz w:val="18"/>
                <w:szCs w:val="18"/>
              </w:rPr>
            </w:pPr>
            <w:r w:rsidRPr="00E57A28">
              <w:rPr>
                <w:rFonts w:ascii="Calibri" w:hAnsi="Calibri" w:cs="Calibri"/>
                <w:color w:val="000000"/>
                <w:sz w:val="18"/>
                <w:szCs w:val="18"/>
              </w:rPr>
              <w:t> </w:t>
            </w:r>
          </w:p>
        </w:tc>
        <w:tc>
          <w:tcPr>
            <w:tcW w:w="724" w:type="pct"/>
            <w:tcBorders>
              <w:top w:val="nil"/>
              <w:left w:val="nil"/>
              <w:bottom w:val="single" w:sz="4" w:space="0" w:color="auto"/>
              <w:right w:val="single" w:sz="4" w:space="0" w:color="auto"/>
            </w:tcBorders>
            <w:shd w:val="clear" w:color="000000" w:fill="E2EFDA"/>
            <w:noWrap/>
            <w:vAlign w:val="bottom"/>
          </w:tcPr>
          <w:p w14:paraId="59F9256D" w14:textId="77777777" w:rsidR="002F1691" w:rsidRPr="00E57A28" w:rsidRDefault="002F1691" w:rsidP="002F1691">
            <w:pPr>
              <w:contextualSpacing/>
              <w:rPr>
                <w:rFonts w:ascii="Calibri" w:hAnsi="Calibri" w:cs="Calibri"/>
                <w:color w:val="000000"/>
                <w:sz w:val="18"/>
                <w:szCs w:val="18"/>
              </w:rPr>
            </w:pPr>
            <w:r w:rsidRPr="00E57A28">
              <w:rPr>
                <w:rFonts w:ascii="Calibri" w:hAnsi="Calibri" w:cs="Calibri"/>
                <w:color w:val="000000"/>
                <w:sz w:val="18"/>
                <w:szCs w:val="18"/>
              </w:rPr>
              <w:t> </w:t>
            </w:r>
          </w:p>
        </w:tc>
        <w:tc>
          <w:tcPr>
            <w:tcW w:w="744" w:type="pct"/>
            <w:tcBorders>
              <w:top w:val="nil"/>
              <w:left w:val="nil"/>
              <w:bottom w:val="single" w:sz="4" w:space="0" w:color="auto"/>
              <w:right w:val="single" w:sz="4" w:space="0" w:color="auto"/>
            </w:tcBorders>
            <w:shd w:val="clear" w:color="000000" w:fill="E2EFDA"/>
            <w:noWrap/>
            <w:vAlign w:val="bottom"/>
          </w:tcPr>
          <w:p w14:paraId="461D9B31" w14:textId="77777777" w:rsidR="002F1691" w:rsidRPr="00E57A28" w:rsidRDefault="002F1691" w:rsidP="002F1691">
            <w:pPr>
              <w:contextualSpacing/>
              <w:jc w:val="right"/>
              <w:rPr>
                <w:rFonts w:ascii="Calibri" w:hAnsi="Calibri" w:cs="Calibri"/>
                <w:color w:val="000000"/>
                <w:sz w:val="18"/>
                <w:szCs w:val="18"/>
              </w:rPr>
            </w:pPr>
            <w:r w:rsidRPr="00E57A28">
              <w:rPr>
                <w:rFonts w:ascii="Calibri" w:hAnsi="Calibri" w:cs="Calibri"/>
                <w:color w:val="000000"/>
                <w:sz w:val="18"/>
                <w:szCs w:val="18"/>
              </w:rPr>
              <w:t>172%</w:t>
            </w:r>
          </w:p>
        </w:tc>
      </w:tr>
    </w:tbl>
    <w:p w14:paraId="7ED94076" w14:textId="77777777" w:rsidR="002F1691" w:rsidRPr="009A549A" w:rsidRDefault="002F1691" w:rsidP="002F1691">
      <w:pPr>
        <w:jc w:val="center"/>
        <w:rPr>
          <w:sz w:val="18"/>
          <w:lang w:val="es-ES"/>
        </w:rPr>
      </w:pPr>
      <w:r w:rsidRPr="009A549A">
        <w:rPr>
          <w:sz w:val="18"/>
          <w:lang w:val="es-ES"/>
        </w:rPr>
        <w:t>Nota: la proyección completa de flujos fue realizada a 203</w:t>
      </w:r>
      <w:r>
        <w:rPr>
          <w:sz w:val="18"/>
          <w:lang w:val="es-ES"/>
        </w:rPr>
        <w:t>7</w:t>
      </w:r>
      <w:r w:rsidRPr="009A549A">
        <w:rPr>
          <w:sz w:val="18"/>
          <w:lang w:val="es-ES"/>
        </w:rPr>
        <w:t>, para efecto de presentación de resultados en el informe escrito solo se muestran resultados a 20</w:t>
      </w:r>
      <w:r>
        <w:rPr>
          <w:sz w:val="18"/>
          <w:lang w:val="es-ES"/>
        </w:rPr>
        <w:t>24</w:t>
      </w:r>
    </w:p>
    <w:p w14:paraId="6F8AEFAB" w14:textId="77777777" w:rsidR="002F1691" w:rsidRPr="002F1691" w:rsidRDefault="002F1691" w:rsidP="002F1691">
      <w:pPr>
        <w:rPr>
          <w:lang w:val="es-ES_tradnl"/>
        </w:rPr>
      </w:pPr>
      <w:r w:rsidRPr="002F1691">
        <w:rPr>
          <w:lang w:val="es-ES_tradnl"/>
        </w:rPr>
        <w:t>De las tablas anteriores se evidencia una relación costo-beneficio positiva en casi todo el horizonte de proyección, indicando la conveniencia de adelantar las medidas de eficiencia energética.</w:t>
      </w:r>
    </w:p>
    <w:p w14:paraId="3AE27166" w14:textId="3C5DEDAB" w:rsidR="00C419B8" w:rsidRDefault="00C419B8" w:rsidP="00474389">
      <w:pPr>
        <w:pStyle w:val="Paragraph"/>
        <w:tabs>
          <w:tab w:val="clear" w:pos="1440"/>
        </w:tabs>
        <w:spacing w:before="100" w:after="100"/>
        <w:ind w:left="900" w:firstLine="0"/>
        <w:rPr>
          <w:rFonts w:ascii="Arial" w:hAnsi="Arial" w:cs="Arial"/>
          <w:b/>
          <w:lang w:val="es-ES" w:eastAsia="x-none"/>
        </w:rPr>
      </w:pPr>
    </w:p>
    <w:p w14:paraId="7198E8DC" w14:textId="122A2C32" w:rsidR="00BB3D3A" w:rsidRDefault="00BB3D3A" w:rsidP="00BB3D3A">
      <w:pPr>
        <w:pStyle w:val="Paragraph"/>
        <w:pageBreakBefore/>
        <w:tabs>
          <w:tab w:val="clear" w:pos="1440"/>
        </w:tabs>
        <w:spacing w:before="100" w:after="100"/>
        <w:ind w:left="907" w:firstLine="0"/>
        <w:jc w:val="center"/>
        <w:rPr>
          <w:rFonts w:ascii="Arial" w:hAnsi="Arial" w:cs="Arial"/>
          <w:b/>
          <w:lang w:val="es-ES" w:eastAsia="x-none"/>
        </w:rPr>
      </w:pPr>
      <w:r>
        <w:rPr>
          <w:rFonts w:ascii="Arial" w:hAnsi="Arial" w:cs="Arial"/>
          <w:b/>
          <w:lang w:val="es-ES" w:eastAsia="x-none"/>
        </w:rPr>
        <w:t>ANEXO III</w:t>
      </w:r>
    </w:p>
    <w:p w14:paraId="7A738B2A" w14:textId="76EE3FC5" w:rsidR="00BB3D3A" w:rsidRDefault="00BB3D3A" w:rsidP="00BB3D3A">
      <w:pPr>
        <w:pStyle w:val="Paragraph"/>
        <w:tabs>
          <w:tab w:val="clear" w:pos="1440"/>
        </w:tabs>
        <w:spacing w:before="100" w:after="100"/>
        <w:ind w:left="900" w:firstLine="0"/>
        <w:jc w:val="center"/>
        <w:rPr>
          <w:rFonts w:ascii="Arial" w:hAnsi="Arial" w:cs="Arial"/>
          <w:b/>
          <w:lang w:val="es-ES" w:eastAsia="x-none"/>
        </w:rPr>
      </w:pPr>
      <w:r>
        <w:rPr>
          <w:rFonts w:ascii="Arial" w:hAnsi="Arial" w:cs="Arial"/>
          <w:b/>
          <w:lang w:val="es-ES" w:eastAsia="x-none"/>
        </w:rPr>
        <w:t>METODOLOGÍA DE EVALUACIÓN DE LOS BENEFICIOS DEL PROGRAMA.</w:t>
      </w:r>
    </w:p>
    <w:p w14:paraId="48B08AF8" w14:textId="77777777" w:rsidR="00BB3D3A" w:rsidRDefault="00BB3D3A" w:rsidP="00474389">
      <w:pPr>
        <w:pStyle w:val="Paragraph"/>
        <w:tabs>
          <w:tab w:val="clear" w:pos="1440"/>
        </w:tabs>
        <w:spacing w:before="100" w:after="100"/>
        <w:ind w:left="900" w:firstLine="0"/>
        <w:rPr>
          <w:rFonts w:ascii="Arial" w:hAnsi="Arial" w:cs="Arial"/>
          <w:b/>
          <w:lang w:val="es-ES" w:eastAsia="x-none"/>
        </w:rPr>
      </w:pPr>
    </w:p>
    <w:p w14:paraId="61FA93D9" w14:textId="442E9823" w:rsidR="00BB3D3A" w:rsidRPr="002759C1" w:rsidRDefault="00BB3D3A" w:rsidP="00BB3D3A">
      <w:pPr>
        <w:pStyle w:val="Paragraph"/>
        <w:tabs>
          <w:tab w:val="clear" w:pos="1440"/>
        </w:tabs>
        <w:spacing w:before="100" w:after="100"/>
        <w:ind w:left="0" w:firstLine="0"/>
        <w:rPr>
          <w:rFonts w:ascii="Arial" w:hAnsi="Arial" w:cs="Arial"/>
          <w:lang w:val="es-ES_tradnl"/>
        </w:rPr>
      </w:pPr>
      <w:r w:rsidRPr="002759C1">
        <w:rPr>
          <w:rFonts w:ascii="Arial" w:hAnsi="Arial" w:cs="Arial"/>
          <w:lang w:val="es-ES_tradnl"/>
        </w:rPr>
        <w:t xml:space="preserve">La </w:t>
      </w:r>
      <w:r>
        <w:rPr>
          <w:rFonts w:ascii="Arial" w:hAnsi="Arial" w:cs="Arial"/>
          <w:lang w:val="es-ES_tradnl"/>
        </w:rPr>
        <w:t>evaluación de beneficios de</w:t>
      </w:r>
      <w:r w:rsidRPr="002759C1">
        <w:rPr>
          <w:rFonts w:ascii="Arial" w:hAnsi="Arial" w:cs="Arial"/>
          <w:lang w:val="es-ES_tradnl"/>
        </w:rPr>
        <w:t xml:space="preserve">l programa </w:t>
      </w:r>
      <w:r>
        <w:rPr>
          <w:rFonts w:ascii="Arial" w:hAnsi="Arial" w:cs="Arial"/>
          <w:lang w:val="es-ES_tradnl"/>
        </w:rPr>
        <w:t xml:space="preserve">que hará parte del PCR, </w:t>
      </w:r>
      <w:r w:rsidRPr="002759C1">
        <w:rPr>
          <w:rFonts w:ascii="Arial" w:hAnsi="Arial" w:cs="Arial"/>
          <w:lang w:val="es-ES_tradnl"/>
        </w:rPr>
        <w:t>pretende conocer si las metas propuestas se alcanzaron en la calidad y oportunidad con que fueron proyectadas. Con base en lo anterior, y para efecto de la evaluación, también se proponen una serie de indicadores para cada uno de los componentes del programa, los cuales deberán ser medidos un año después de ser ejecutada la segunda operación de préstamo de la serie programática, lo cual correspondería al año 2021.</w:t>
      </w:r>
    </w:p>
    <w:p w14:paraId="6506DD7F" w14:textId="6A3CF253" w:rsidR="00BB3D3A" w:rsidRDefault="00BB3D3A" w:rsidP="00BB3D3A">
      <w:pPr>
        <w:pStyle w:val="Paragraph"/>
        <w:tabs>
          <w:tab w:val="clear" w:pos="1440"/>
        </w:tabs>
        <w:spacing w:before="100" w:after="100"/>
        <w:ind w:left="0" w:firstLine="0"/>
        <w:rPr>
          <w:rFonts w:ascii="Arial" w:hAnsi="Arial" w:cs="Arial"/>
          <w:lang w:val="es-ES_tradnl"/>
        </w:rPr>
      </w:pPr>
      <w:r w:rsidRPr="002759C1">
        <w:rPr>
          <w:rFonts w:ascii="Arial" w:hAnsi="Arial" w:cs="Arial"/>
          <w:lang w:val="es-ES_tradnl"/>
        </w:rPr>
        <w:t>A continuación se describen los lineamientos de la metodología a ser implementada para la evaluación del programa, diferenciando para cada uno de los componentes del programa sujetos de evaluación económica desarrollados en el presente documento.</w:t>
      </w:r>
    </w:p>
    <w:p w14:paraId="3F2953C3" w14:textId="77777777" w:rsidR="00BB3D3A" w:rsidRPr="002759C1" w:rsidRDefault="00BB3D3A" w:rsidP="00BB3D3A">
      <w:pPr>
        <w:pStyle w:val="Paragraph"/>
        <w:tabs>
          <w:tab w:val="clear" w:pos="1440"/>
        </w:tabs>
        <w:spacing w:before="100" w:after="100"/>
        <w:ind w:left="0" w:firstLine="0"/>
        <w:rPr>
          <w:rFonts w:ascii="Arial" w:hAnsi="Arial" w:cs="Arial"/>
          <w:lang w:val="es-ES_tradnl"/>
        </w:rPr>
      </w:pPr>
    </w:p>
    <w:p w14:paraId="536C4008" w14:textId="77777777" w:rsidR="00BB3D3A" w:rsidRPr="002759C1" w:rsidRDefault="00BB3D3A" w:rsidP="00BB3D3A">
      <w:pPr>
        <w:pStyle w:val="Paragraph"/>
        <w:tabs>
          <w:tab w:val="clear" w:pos="1440"/>
        </w:tabs>
        <w:spacing w:before="100" w:after="100"/>
        <w:ind w:left="0" w:firstLine="0"/>
        <w:rPr>
          <w:rFonts w:ascii="Arial" w:hAnsi="Arial" w:cs="Arial"/>
          <w:b/>
          <w:lang w:val="es-ES_tradnl"/>
        </w:rPr>
      </w:pPr>
      <w:r w:rsidRPr="002759C1">
        <w:rPr>
          <w:rFonts w:ascii="Arial" w:hAnsi="Arial" w:cs="Arial"/>
          <w:b/>
          <w:lang w:val="es-ES_tradnl"/>
        </w:rPr>
        <w:t>Componente III Aprovechamiento de recursos renovables para la generación eléctrica</w:t>
      </w:r>
    </w:p>
    <w:p w14:paraId="7AE14626" w14:textId="77777777" w:rsidR="00BB3D3A" w:rsidRPr="002759C1" w:rsidRDefault="00BB3D3A" w:rsidP="00BB3D3A">
      <w:pPr>
        <w:pStyle w:val="Paragraph"/>
        <w:tabs>
          <w:tab w:val="clear" w:pos="1440"/>
        </w:tabs>
        <w:spacing w:before="100" w:after="100"/>
        <w:ind w:left="0" w:firstLine="0"/>
        <w:rPr>
          <w:rFonts w:ascii="Arial" w:hAnsi="Arial" w:cs="Arial"/>
          <w:lang w:val="es-ES_tradnl"/>
        </w:rPr>
      </w:pPr>
      <w:r w:rsidRPr="002759C1">
        <w:rPr>
          <w:rFonts w:ascii="Arial" w:hAnsi="Arial" w:cs="Arial"/>
          <w:lang w:val="es-ES_tradnl"/>
        </w:rPr>
        <w:t>En línea con los objetivos establecidos en el Plan de Desarrollo Económico y Social 2016 – 2020 y en el Plan Estratégico Institucional Reformulado (PEI) 2017 – 2020, para el año 2020 la matriz de generación eléctrica debe haber atravesado por una transformación, pasando de una composición predominantemente térmica en 2016 (72% de capacidad instalada con tecnologías térmicas), a una configuración en donde las ER y las ERNC cuentan con una mayor participación (12% energías alternativas y 33% capacidad hidroeléctrica).</w:t>
      </w:r>
    </w:p>
    <w:p w14:paraId="2F4D1871" w14:textId="77777777" w:rsidR="00BB3D3A" w:rsidRPr="000150C2" w:rsidRDefault="00BB3D3A" w:rsidP="00BB3D3A">
      <w:pPr>
        <w:pStyle w:val="Paragraph"/>
        <w:tabs>
          <w:tab w:val="clear" w:pos="1440"/>
        </w:tabs>
        <w:spacing w:before="100" w:after="100"/>
        <w:ind w:left="0" w:firstLine="0"/>
        <w:rPr>
          <w:rFonts w:ascii="Arial" w:hAnsi="Arial" w:cs="Arial"/>
          <w:lang w:val="es-ES_tradnl"/>
        </w:rPr>
      </w:pPr>
      <w:r w:rsidRPr="002759C1">
        <w:rPr>
          <w:rFonts w:ascii="Arial" w:hAnsi="Arial" w:cs="Arial"/>
          <w:lang w:val="es-ES_tradnl"/>
        </w:rPr>
        <w:t xml:space="preserve">En este sentido, se deberá, en primer lugar, identificar aquellos proyectos de generación que efectivamente hayan entrado en operación a diciembre de 2020, discriminando por tipo de tecnología y agregando la capacidad instalada a la ya existente con corte diciembre de 2017. </w:t>
      </w:r>
      <w:r w:rsidRPr="000150C2">
        <w:rPr>
          <w:rFonts w:ascii="Arial" w:hAnsi="Arial" w:cs="Arial"/>
          <w:lang w:val="es-ES_tradnl"/>
        </w:rPr>
        <w:t>Para la medición, es posible utilizar la información periódica publicada por la AE en su Anuario Estadístico.</w:t>
      </w:r>
    </w:p>
    <w:p w14:paraId="3BAF6B9C" w14:textId="77777777" w:rsidR="00BB3D3A" w:rsidRPr="000150C2" w:rsidRDefault="00BB3D3A" w:rsidP="00BB3D3A">
      <w:pPr>
        <w:pStyle w:val="Paragraph"/>
        <w:tabs>
          <w:tab w:val="clear" w:pos="1440"/>
        </w:tabs>
        <w:spacing w:before="100" w:after="100"/>
        <w:ind w:left="0" w:firstLine="0"/>
        <w:rPr>
          <w:rFonts w:ascii="Arial" w:hAnsi="Arial" w:cs="Arial"/>
          <w:lang w:val="es-ES_tradnl"/>
        </w:rPr>
      </w:pPr>
      <w:r w:rsidRPr="000150C2">
        <w:rPr>
          <w:rFonts w:ascii="Arial" w:hAnsi="Arial" w:cs="Arial"/>
          <w:lang w:val="es-ES_tradnl"/>
        </w:rPr>
        <w:t xml:space="preserve">Con base en la capacidad instalada de generación agregada, se deberá determinar si la configuración de la matriz corresponde a la originalmente prevista en los planes de desarrollo: 12% energías alternativas (solar, eólica y biomasa), 33% hidroeléctrica y 55% térmica. </w:t>
      </w:r>
    </w:p>
    <w:p w14:paraId="53C0213A" w14:textId="292BC5AB" w:rsidR="00BB3D3A" w:rsidRPr="000150C2" w:rsidRDefault="00BB3D3A" w:rsidP="00BB3D3A">
      <w:pPr>
        <w:pStyle w:val="Paragraph"/>
        <w:tabs>
          <w:tab w:val="clear" w:pos="1440"/>
        </w:tabs>
        <w:spacing w:before="100" w:after="100"/>
        <w:ind w:left="0" w:firstLine="0"/>
        <w:rPr>
          <w:rFonts w:ascii="Arial" w:hAnsi="Arial" w:cs="Arial"/>
          <w:lang w:val="es-ES_tradnl"/>
        </w:rPr>
      </w:pPr>
      <w:r w:rsidRPr="000150C2">
        <w:rPr>
          <w:rFonts w:ascii="Arial" w:hAnsi="Arial" w:cs="Arial"/>
          <w:lang w:val="es-ES_tradnl"/>
        </w:rPr>
        <w:t xml:space="preserve">Para la evaluación económica, se propone aplicar la misma metodología y formulación de </w:t>
      </w:r>
      <w:hyperlink r:id="rId20" w:history="1">
        <w:r w:rsidRPr="00BB3D3A">
          <w:rPr>
            <w:rStyle w:val="Hyperlink"/>
            <w:rFonts w:ascii="Arial" w:hAnsi="Arial" w:cs="Arial"/>
            <w:lang w:val="es-ES_tradnl"/>
          </w:rPr>
          <w:t>evaluación de beneficios del programa</w:t>
        </w:r>
      </w:hyperlink>
      <w:r w:rsidRPr="000150C2">
        <w:rPr>
          <w:rFonts w:ascii="Arial" w:hAnsi="Arial" w:cs="Arial"/>
          <w:lang w:val="es-ES_tradnl"/>
        </w:rPr>
        <w:t xml:space="preserve">, con la diferencia que las variables definidas para el escenario </w:t>
      </w:r>
      <w:r w:rsidRPr="000150C2">
        <w:rPr>
          <w:rFonts w:ascii="Arial" w:hAnsi="Arial" w:cs="Arial"/>
          <w:i/>
          <w:lang w:val="es-ES_tradnl"/>
        </w:rPr>
        <w:t>Con Proyecto</w:t>
      </w:r>
      <w:r w:rsidRPr="000150C2">
        <w:rPr>
          <w:rFonts w:ascii="Arial" w:hAnsi="Arial" w:cs="Arial"/>
          <w:lang w:val="es-ES_tradnl"/>
        </w:rPr>
        <w:t>, corresponderán a valores reales con corte a diciembre de 2020. El grado de cumplimiento y efectividad del programa podrá medirse entonces como un porcentaje de la siguiente manera:</w:t>
      </w:r>
    </w:p>
    <w:p w14:paraId="0CC79AF2" w14:textId="77777777" w:rsidR="00BB3D3A" w:rsidRPr="000150C2" w:rsidRDefault="00BB3D3A" w:rsidP="00BB3D3A">
      <w:pPr>
        <w:pStyle w:val="ListParagraph"/>
        <w:ind w:left="0"/>
        <w:rPr>
          <w:rFonts w:ascii="Arial" w:hAnsi="Arial" w:cs="Arial"/>
          <w:lang w:val="es-ES_tradnl"/>
        </w:rPr>
      </w:pPr>
    </w:p>
    <w:p w14:paraId="608FE677" w14:textId="77777777" w:rsidR="00BB3D3A" w:rsidRPr="002759C1" w:rsidRDefault="00BB3D3A" w:rsidP="00BB3D3A">
      <w:pPr>
        <w:pStyle w:val="ListParagraph"/>
        <w:ind w:left="0"/>
        <w:rPr>
          <w:rFonts w:ascii="Arial" w:hAnsi="Arial" w:cs="Arial"/>
        </w:rPr>
      </w:pPr>
      <m:oMathPara>
        <m:oMath>
          <m:r>
            <w:rPr>
              <w:rFonts w:ascii="Cambria Math" w:hAnsi="Cambria Math" w:cs="Arial"/>
            </w:rPr>
            <m:t xml:space="preserve">% de cumplimiento=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RR real</m:t>
                  </m:r>
                </m:sub>
              </m:sSub>
            </m:num>
            <m:den>
              <m:sSub>
                <m:sSubPr>
                  <m:ctrlPr>
                    <w:rPr>
                      <w:rFonts w:ascii="Cambria Math" w:hAnsi="Cambria Math" w:cs="Arial"/>
                      <w:i/>
                    </w:rPr>
                  </m:ctrlPr>
                </m:sSubPr>
                <m:e>
                  <m:r>
                    <w:rPr>
                      <w:rFonts w:ascii="Cambria Math" w:hAnsi="Cambria Math" w:cs="Arial"/>
                    </w:rPr>
                    <m:t>B</m:t>
                  </m:r>
                </m:e>
                <m:sub>
                  <m:r>
                    <w:rPr>
                      <w:rFonts w:ascii="Cambria Math" w:hAnsi="Cambria Math" w:cs="Arial"/>
                    </w:rPr>
                    <m:t>RR previsto</m:t>
                  </m:r>
                </m:sub>
              </m:sSub>
            </m:den>
          </m:f>
        </m:oMath>
      </m:oMathPara>
    </w:p>
    <w:p w14:paraId="0B89580C" w14:textId="77777777" w:rsidR="00BB3D3A" w:rsidRPr="000150C2" w:rsidRDefault="00BB3D3A" w:rsidP="00BB3D3A">
      <w:pPr>
        <w:pStyle w:val="ListParagraph"/>
        <w:ind w:left="0"/>
        <w:rPr>
          <w:rFonts w:ascii="Arial" w:hAnsi="Arial" w:cs="Arial"/>
          <w:lang w:val="es-ES_tradnl"/>
        </w:rPr>
      </w:pPr>
      <w:r w:rsidRPr="000150C2">
        <w:rPr>
          <w:rFonts w:ascii="Arial" w:hAnsi="Arial" w:cs="Arial"/>
          <w:lang w:val="es-ES_tradnl"/>
        </w:rPr>
        <w:t>Donde:</w:t>
      </w:r>
    </w:p>
    <w:p w14:paraId="2F037EA8" w14:textId="77777777" w:rsidR="00BB3D3A" w:rsidRPr="000150C2" w:rsidRDefault="0086706A" w:rsidP="00BB3D3A">
      <w:pPr>
        <w:pStyle w:val="ListParagraph"/>
        <w:ind w:left="0"/>
        <w:rPr>
          <w:rFonts w:ascii="Arial" w:hAnsi="Arial" w:cs="Arial"/>
          <w:lang w:val="es-ES_tradn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RR</m:t>
            </m:r>
            <m:r>
              <w:rPr>
                <w:rFonts w:ascii="Cambria Math" w:hAnsi="Cambria Math" w:cs="Arial"/>
                <w:lang w:val="es-ES_tradnl"/>
              </w:rPr>
              <m:t xml:space="preserve"> </m:t>
            </m:r>
            <m:r>
              <w:rPr>
                <w:rFonts w:ascii="Cambria Math" w:hAnsi="Cambria Math" w:cs="Arial"/>
              </w:rPr>
              <m:t>previsto</m:t>
            </m:r>
          </m:sub>
        </m:sSub>
      </m:oMath>
      <w:r w:rsidR="00BB3D3A" w:rsidRPr="000150C2">
        <w:rPr>
          <w:rFonts w:ascii="Arial" w:hAnsi="Arial" w:cs="Arial"/>
          <w:lang w:val="es-ES_tradnl"/>
        </w:rPr>
        <w:tab/>
        <w:t>Es el beneficio neto originalmente previsto asociado con la penetración recursos renovables (RR) en la matriz de generación eléctrica</w:t>
      </w:r>
    </w:p>
    <w:p w14:paraId="341EB2A5" w14:textId="77777777" w:rsidR="00BB3D3A" w:rsidRPr="000150C2" w:rsidRDefault="0086706A" w:rsidP="00BB3D3A">
      <w:pPr>
        <w:pStyle w:val="ListParagraph"/>
        <w:ind w:left="0"/>
        <w:rPr>
          <w:rFonts w:ascii="Arial" w:hAnsi="Arial" w:cs="Arial"/>
          <w:lang w:val="es-ES_tradn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RR</m:t>
            </m:r>
            <m:r>
              <w:rPr>
                <w:rFonts w:ascii="Cambria Math" w:hAnsi="Cambria Math" w:cs="Arial"/>
                <w:lang w:val="es-ES_tradnl"/>
              </w:rPr>
              <m:t xml:space="preserve"> </m:t>
            </m:r>
            <m:r>
              <w:rPr>
                <w:rFonts w:ascii="Cambria Math" w:hAnsi="Cambria Math" w:cs="Arial"/>
              </w:rPr>
              <m:t>real</m:t>
            </m:r>
          </m:sub>
        </m:sSub>
      </m:oMath>
      <w:r w:rsidR="00BB3D3A" w:rsidRPr="000150C2">
        <w:rPr>
          <w:rFonts w:ascii="Arial" w:hAnsi="Arial" w:cs="Arial"/>
          <w:lang w:val="es-ES_tradnl"/>
        </w:rPr>
        <w:tab/>
        <w:t>Es el beneficio neto real asociado con la penetración de recursos renovables (RR) en la matriz de generación eléctrica</w:t>
      </w:r>
    </w:p>
    <w:p w14:paraId="18B845F3" w14:textId="77777777" w:rsidR="00BB3D3A" w:rsidRPr="000150C2" w:rsidRDefault="00BB3D3A" w:rsidP="00BB3D3A">
      <w:pPr>
        <w:pStyle w:val="ListParagraph"/>
        <w:ind w:left="0"/>
        <w:rPr>
          <w:rFonts w:ascii="Arial" w:hAnsi="Arial" w:cs="Arial"/>
          <w:lang w:val="es-ES_tradnl"/>
        </w:rPr>
      </w:pPr>
    </w:p>
    <w:p w14:paraId="7060453B" w14:textId="77777777" w:rsidR="00BB3D3A" w:rsidRPr="000150C2" w:rsidRDefault="00BB3D3A" w:rsidP="00BB3D3A">
      <w:pPr>
        <w:pStyle w:val="Paragraph"/>
        <w:tabs>
          <w:tab w:val="clear" w:pos="1440"/>
        </w:tabs>
        <w:spacing w:before="100" w:after="100"/>
        <w:ind w:left="0" w:firstLine="0"/>
        <w:rPr>
          <w:rFonts w:ascii="Arial" w:hAnsi="Arial" w:cs="Arial"/>
          <w:lang w:val="es-ES_tradnl"/>
        </w:rPr>
      </w:pPr>
      <w:r w:rsidRPr="000150C2">
        <w:rPr>
          <w:rFonts w:ascii="Arial" w:hAnsi="Arial" w:cs="Arial"/>
          <w:lang w:val="es-ES_tradnl"/>
        </w:rPr>
        <w:t xml:space="preserve">Si se desease obtener medidas independientes para cada uno de los distintos beneficios (ej. ambiental, menores costos), estas también pueden calcularse aplicando las respectivas fórmulas de cálculo indicadas en este documento y reemplazando el escenario </w:t>
      </w:r>
      <w:r w:rsidRPr="000150C2">
        <w:rPr>
          <w:rFonts w:ascii="Arial" w:hAnsi="Arial" w:cs="Arial"/>
          <w:i/>
          <w:lang w:val="es-ES_tradnl"/>
        </w:rPr>
        <w:t>Con Proyecto</w:t>
      </w:r>
      <w:r w:rsidRPr="000150C2">
        <w:rPr>
          <w:rFonts w:ascii="Arial" w:hAnsi="Arial" w:cs="Arial"/>
          <w:lang w:val="es-ES_tradnl"/>
        </w:rPr>
        <w:t xml:space="preserve"> por información real. </w:t>
      </w:r>
    </w:p>
    <w:p w14:paraId="384CCCFD" w14:textId="77777777" w:rsidR="00BB3D3A" w:rsidRPr="000150C2" w:rsidRDefault="00BB3D3A" w:rsidP="00BB3D3A">
      <w:pPr>
        <w:pStyle w:val="Paragraph"/>
        <w:tabs>
          <w:tab w:val="clear" w:pos="1440"/>
        </w:tabs>
        <w:spacing w:before="100" w:after="100"/>
        <w:ind w:left="0" w:firstLine="0"/>
        <w:rPr>
          <w:rFonts w:ascii="Arial" w:eastAsiaTheme="minorEastAsia" w:hAnsi="Arial" w:cs="Arial"/>
          <w:b/>
          <w:lang w:val="es-ES_tradnl"/>
        </w:rPr>
      </w:pPr>
      <w:r w:rsidRPr="000150C2">
        <w:rPr>
          <w:rFonts w:ascii="Arial" w:hAnsi="Arial" w:cs="Arial"/>
          <w:b/>
          <w:lang w:val="es-ES_tradnl"/>
        </w:rPr>
        <w:t>Componente IV relacionado con el fomento del uso eficiente de la energía eléctrica</w:t>
      </w:r>
    </w:p>
    <w:p w14:paraId="7560D6C1" w14:textId="77777777" w:rsidR="00BB3D3A" w:rsidRPr="000150C2" w:rsidRDefault="00BB3D3A" w:rsidP="00BB3D3A">
      <w:pPr>
        <w:pStyle w:val="Paragraph"/>
        <w:tabs>
          <w:tab w:val="clear" w:pos="1440"/>
        </w:tabs>
        <w:spacing w:before="100" w:after="100"/>
        <w:ind w:left="0" w:firstLine="0"/>
        <w:rPr>
          <w:rFonts w:ascii="Arial" w:hAnsi="Arial" w:cs="Arial"/>
          <w:lang w:val="es-ES_tradnl"/>
        </w:rPr>
      </w:pPr>
      <w:r w:rsidRPr="000150C2">
        <w:rPr>
          <w:rFonts w:ascii="Arial" w:hAnsi="Arial" w:cs="Arial"/>
          <w:lang w:val="es-ES_tradnl"/>
        </w:rPr>
        <w:t xml:space="preserve">La evaluación económica expost de las medidas de EE puede realizarse siguiendo el mismo principio anteriormente descrito, en donde se aplica la misma metodología y formulación de evaluación económica desarrolladas en el capítulo 4.4 del presente documento, con la diferencia que las variables definidas para el escenario </w:t>
      </w:r>
      <w:r w:rsidRPr="000150C2">
        <w:rPr>
          <w:rFonts w:ascii="Arial" w:hAnsi="Arial" w:cs="Arial"/>
          <w:i/>
          <w:lang w:val="es-ES_tradnl"/>
        </w:rPr>
        <w:t>Con Proyecto</w:t>
      </w:r>
      <w:r w:rsidRPr="000150C2">
        <w:rPr>
          <w:rFonts w:ascii="Arial" w:hAnsi="Arial" w:cs="Arial"/>
          <w:lang w:val="es-ES_tradnl"/>
        </w:rPr>
        <w:t>, corresponderán a valores reales con corte a diciembre de 2020. El grado de cumplimiento y efectividad del programa podrá medirse entonces como un porcentaje de la siguiente manera:</w:t>
      </w:r>
    </w:p>
    <w:p w14:paraId="1F1BA9F1" w14:textId="77777777" w:rsidR="00BB3D3A" w:rsidRPr="002759C1" w:rsidRDefault="00BB3D3A" w:rsidP="00BB3D3A">
      <w:pPr>
        <w:pStyle w:val="ListParagraph"/>
        <w:ind w:left="0"/>
        <w:rPr>
          <w:rFonts w:ascii="Arial" w:hAnsi="Arial" w:cs="Arial"/>
        </w:rPr>
      </w:pPr>
      <m:oMathPara>
        <m:oMath>
          <m:r>
            <w:rPr>
              <w:rFonts w:ascii="Cambria Math" w:hAnsi="Cambria Math" w:cs="Arial"/>
            </w:rPr>
            <m:t xml:space="preserve">% de cumplimiento=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EE real</m:t>
                  </m:r>
                </m:sub>
              </m:sSub>
            </m:num>
            <m:den>
              <m:sSub>
                <m:sSubPr>
                  <m:ctrlPr>
                    <w:rPr>
                      <w:rFonts w:ascii="Cambria Math" w:hAnsi="Cambria Math" w:cs="Arial"/>
                      <w:i/>
                    </w:rPr>
                  </m:ctrlPr>
                </m:sSubPr>
                <m:e>
                  <m:r>
                    <w:rPr>
                      <w:rFonts w:ascii="Cambria Math" w:hAnsi="Cambria Math" w:cs="Arial"/>
                    </w:rPr>
                    <m:t>B</m:t>
                  </m:r>
                </m:e>
                <m:sub>
                  <m:r>
                    <w:rPr>
                      <w:rFonts w:ascii="Cambria Math" w:hAnsi="Cambria Math" w:cs="Arial"/>
                    </w:rPr>
                    <m:t>EE previsto</m:t>
                  </m:r>
                </m:sub>
              </m:sSub>
            </m:den>
          </m:f>
        </m:oMath>
      </m:oMathPara>
    </w:p>
    <w:p w14:paraId="035357E6" w14:textId="77777777" w:rsidR="00BB3D3A" w:rsidRPr="00BB3D3A" w:rsidRDefault="00BB3D3A" w:rsidP="00BB3D3A">
      <w:pPr>
        <w:pStyle w:val="ListParagraph"/>
        <w:ind w:left="0"/>
        <w:rPr>
          <w:rFonts w:ascii="Arial" w:hAnsi="Arial" w:cs="Arial"/>
          <w:lang w:val="es-ES_tradnl"/>
        </w:rPr>
      </w:pPr>
      <w:r w:rsidRPr="00BB3D3A">
        <w:rPr>
          <w:rFonts w:ascii="Arial" w:hAnsi="Arial" w:cs="Arial"/>
          <w:lang w:val="es-ES_tradnl"/>
        </w:rPr>
        <w:t>Donde:</w:t>
      </w:r>
    </w:p>
    <w:p w14:paraId="2F5FC1C3" w14:textId="77777777" w:rsidR="00BB3D3A" w:rsidRPr="002759C1" w:rsidRDefault="0086706A" w:rsidP="00BB3D3A">
      <w:pPr>
        <w:pStyle w:val="ListParagraph"/>
        <w:ind w:left="0"/>
        <w:rPr>
          <w:rFonts w:ascii="Arial" w:hAnsi="Arial" w:cs="Arial"/>
          <w:lang w:val="es-ES_tradn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EE</m:t>
            </m:r>
            <m:r>
              <w:rPr>
                <w:rFonts w:ascii="Cambria Math" w:hAnsi="Cambria Math" w:cs="Arial"/>
                <w:lang w:val="es-ES_tradnl"/>
              </w:rPr>
              <m:t xml:space="preserve"> </m:t>
            </m:r>
            <m:r>
              <w:rPr>
                <w:rFonts w:ascii="Cambria Math" w:hAnsi="Cambria Math" w:cs="Arial"/>
              </w:rPr>
              <m:t>previsto</m:t>
            </m:r>
          </m:sub>
        </m:sSub>
      </m:oMath>
      <w:r w:rsidR="00BB3D3A" w:rsidRPr="002759C1">
        <w:rPr>
          <w:rFonts w:ascii="Arial" w:hAnsi="Arial" w:cs="Arial"/>
          <w:lang w:val="es-ES_tradnl"/>
        </w:rPr>
        <w:tab/>
        <w:t>Es el beneficio neto asociado previsto asociado con la implementación de medidas tendientes a la eficiencia energética en alumbrado público e iluminación en el sector residencial</w:t>
      </w:r>
    </w:p>
    <w:p w14:paraId="079919F5" w14:textId="77777777" w:rsidR="00BB3D3A" w:rsidRPr="002759C1" w:rsidRDefault="0086706A" w:rsidP="00BB3D3A">
      <w:pPr>
        <w:pStyle w:val="ListParagraph"/>
        <w:ind w:left="0"/>
        <w:rPr>
          <w:rFonts w:ascii="Arial" w:hAnsi="Arial" w:cs="Arial"/>
          <w:lang w:val="es-ES_tradn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EE</m:t>
            </m:r>
            <m:r>
              <w:rPr>
                <w:rFonts w:ascii="Cambria Math" w:hAnsi="Cambria Math" w:cs="Arial"/>
                <w:lang w:val="es-ES_tradnl"/>
              </w:rPr>
              <m:t xml:space="preserve"> </m:t>
            </m:r>
            <m:r>
              <w:rPr>
                <w:rFonts w:ascii="Cambria Math" w:hAnsi="Cambria Math" w:cs="Arial"/>
              </w:rPr>
              <m:t>real</m:t>
            </m:r>
          </m:sub>
        </m:sSub>
      </m:oMath>
      <w:r w:rsidR="00BB3D3A" w:rsidRPr="002759C1">
        <w:rPr>
          <w:rFonts w:ascii="Arial" w:hAnsi="Arial" w:cs="Arial"/>
          <w:lang w:val="es-ES_tradnl"/>
        </w:rPr>
        <w:tab/>
        <w:t>Es el beneficio neto asociado real asociado con la implementación de medidas tendientes a la eficiencia energética en alumbrado público e iluminación en el sector residencial</w:t>
      </w:r>
    </w:p>
    <w:p w14:paraId="17857465" w14:textId="77777777" w:rsidR="00BB3D3A" w:rsidRPr="002759C1" w:rsidRDefault="00BB3D3A" w:rsidP="00BB3D3A">
      <w:pPr>
        <w:pStyle w:val="ListParagraph"/>
        <w:ind w:left="1080"/>
        <w:rPr>
          <w:rFonts w:ascii="Arial" w:hAnsi="Arial" w:cs="Arial"/>
          <w:lang w:val="es-ES_tradnl"/>
        </w:rPr>
      </w:pPr>
    </w:p>
    <w:p w14:paraId="75CEF67E" w14:textId="77777777" w:rsidR="00BB3D3A" w:rsidRPr="002759C1" w:rsidRDefault="00BB3D3A" w:rsidP="00BB3D3A">
      <w:pPr>
        <w:pStyle w:val="Paragraph"/>
        <w:tabs>
          <w:tab w:val="clear" w:pos="1440"/>
        </w:tabs>
        <w:spacing w:before="100" w:after="100"/>
        <w:ind w:left="0" w:firstLine="0"/>
        <w:rPr>
          <w:rFonts w:ascii="Arial" w:hAnsi="Arial" w:cs="Arial"/>
          <w:lang w:val="es-ES_tradnl"/>
        </w:rPr>
      </w:pPr>
      <w:r w:rsidRPr="002759C1">
        <w:rPr>
          <w:rFonts w:ascii="Arial" w:hAnsi="Arial" w:cs="Arial"/>
          <w:lang w:val="es-ES_tradnl"/>
        </w:rPr>
        <w:t>Sin embargo, a diferencia del componente anterior, la evaluación económica expost de las medidas de EE requerirán mediciones de campo para obtener una muestra estadísticamente representativa del número y tipo de luminarias utilizadas en el sector residencial y en el alumbrado público.</w:t>
      </w:r>
    </w:p>
    <w:p w14:paraId="1FD33BA2" w14:textId="77777777" w:rsidR="00BB3D3A" w:rsidRPr="002759C1" w:rsidRDefault="00BB3D3A" w:rsidP="00BB3D3A">
      <w:pPr>
        <w:pStyle w:val="Paragraph"/>
        <w:tabs>
          <w:tab w:val="clear" w:pos="1440"/>
        </w:tabs>
        <w:spacing w:before="100" w:after="100"/>
        <w:ind w:left="0" w:firstLine="0"/>
        <w:rPr>
          <w:rFonts w:ascii="Arial" w:hAnsi="Arial" w:cs="Arial"/>
          <w:lang w:val="es-ES_tradnl"/>
        </w:rPr>
      </w:pPr>
      <w:r w:rsidRPr="002759C1">
        <w:rPr>
          <w:rFonts w:ascii="Arial" w:hAnsi="Arial" w:cs="Arial"/>
          <w:lang w:val="es-ES_tradnl"/>
        </w:rPr>
        <w:t>Se recomienda para efectos de una correcta evaluación, que se hagan dos mediciones de campo, la primera, durante el 2018 para establecer una adecuada línea base del número y tipo de luminarias que se están utilizando en el territorio Boliviano, y la segunda, durante el año 2021 con el mismo objetivo y alcance de la primera.</w:t>
      </w:r>
    </w:p>
    <w:p w14:paraId="05A37312" w14:textId="77777777" w:rsidR="00BB3D3A" w:rsidRPr="002759C1" w:rsidRDefault="00BB3D3A" w:rsidP="00BB3D3A">
      <w:pPr>
        <w:pStyle w:val="Paragraph"/>
        <w:tabs>
          <w:tab w:val="clear" w:pos="1440"/>
        </w:tabs>
        <w:spacing w:before="100" w:after="100"/>
        <w:ind w:left="0" w:firstLine="0"/>
        <w:rPr>
          <w:rFonts w:ascii="Arial" w:hAnsi="Arial" w:cs="Arial"/>
          <w:b/>
          <w:lang w:val="es-ES_tradnl"/>
        </w:rPr>
      </w:pPr>
      <w:r w:rsidRPr="002759C1">
        <w:rPr>
          <w:rFonts w:ascii="Arial" w:hAnsi="Arial" w:cs="Arial"/>
          <w:b/>
          <w:lang w:val="es-ES_tradnl"/>
        </w:rPr>
        <w:t>Componente IV relacionado con el objetivo de incrementar el acceso a la energía en zonas rurales del país</w:t>
      </w:r>
    </w:p>
    <w:p w14:paraId="6A823C5F" w14:textId="77777777" w:rsidR="00BB3D3A" w:rsidRPr="000150C2" w:rsidRDefault="00BB3D3A" w:rsidP="00BB3D3A">
      <w:pPr>
        <w:pStyle w:val="Paragraph"/>
        <w:tabs>
          <w:tab w:val="clear" w:pos="1440"/>
        </w:tabs>
        <w:spacing w:before="100" w:after="100"/>
        <w:ind w:left="0" w:firstLine="0"/>
        <w:rPr>
          <w:rFonts w:ascii="Arial" w:hAnsi="Arial" w:cs="Arial"/>
          <w:lang w:val="es-ES_tradnl"/>
        </w:rPr>
      </w:pPr>
      <w:r w:rsidRPr="000150C2">
        <w:rPr>
          <w:rFonts w:ascii="Arial" w:hAnsi="Arial" w:cs="Arial"/>
          <w:lang w:val="es-ES_tradnl"/>
        </w:rPr>
        <w:t>Considerando que actualmente no se cuenta un Plan Maestro de Electrificación Rural que permita identificar la mejor solución, acorde con las particularidades y las situaciones de cada localidad y/o solución individual, no resulta relevante proponer una metodología para evaluación económica expost en el año 2021.</w:t>
      </w:r>
    </w:p>
    <w:p w14:paraId="2153099E" w14:textId="77777777" w:rsidR="00BB3D3A" w:rsidRPr="000150C2" w:rsidRDefault="00BB3D3A" w:rsidP="00BB3D3A">
      <w:pPr>
        <w:pStyle w:val="Paragraph"/>
        <w:tabs>
          <w:tab w:val="clear" w:pos="1440"/>
        </w:tabs>
        <w:spacing w:before="100" w:after="100"/>
        <w:ind w:left="0" w:firstLine="0"/>
        <w:rPr>
          <w:rFonts w:ascii="Arial" w:hAnsi="Arial" w:cs="Arial"/>
          <w:lang w:val="es-ES_tradnl"/>
        </w:rPr>
      </w:pPr>
      <w:r w:rsidRPr="000150C2">
        <w:rPr>
          <w:rFonts w:ascii="Arial" w:hAnsi="Arial" w:cs="Arial"/>
          <w:lang w:val="es-ES_tradnl"/>
        </w:rPr>
        <w:t>Se considera que, en línea con los objetivos definidos en la matriz de política del programa, en 2021 se debe verificar que el GdB cuente con un Plan Maestro de Electrificación Rural aprobado. Es a partir de este documento que será posible diseñar una metodología de evaluación económica para el largo plazo en este campo, tomando como línea base el número de usuarios sin servicio que podrán ser atendidos con cada solución (extensión de redes, sistemas híbridos, soluciones individuales), y considerando su respectivo costo. En el largo plazo se podría evaluar si las soluciones efectivamente implementadas corresponde a aquellas diseñadas, y si se dio un cumplimiento en cuanto a tiempos y magnitud de las inversiones previstas.</w:t>
      </w:r>
    </w:p>
    <w:p w14:paraId="63CD9C85" w14:textId="77777777" w:rsidR="00BB3D3A" w:rsidRPr="00BB3D3A" w:rsidRDefault="00BB3D3A" w:rsidP="00474389">
      <w:pPr>
        <w:pStyle w:val="Paragraph"/>
        <w:tabs>
          <w:tab w:val="clear" w:pos="1440"/>
        </w:tabs>
        <w:spacing w:before="100" w:after="100"/>
        <w:ind w:left="900" w:firstLine="0"/>
        <w:rPr>
          <w:rFonts w:ascii="Arial" w:hAnsi="Arial" w:cs="Arial"/>
          <w:b/>
          <w:lang w:val="es-ES_tradnl" w:eastAsia="x-none"/>
        </w:rPr>
      </w:pPr>
    </w:p>
    <w:sectPr w:rsidR="00BB3D3A" w:rsidRPr="00BB3D3A" w:rsidSect="005951F0">
      <w:headerReference w:type="default" r:id="rId21"/>
      <w:pgSz w:w="12240" w:h="15840"/>
      <w:pgMar w:top="1440" w:right="1800" w:bottom="907"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1641" w14:textId="77777777" w:rsidR="00D86855" w:rsidRDefault="00D86855" w:rsidP="00530A6E">
      <w:r>
        <w:separator/>
      </w:r>
    </w:p>
  </w:endnote>
  <w:endnote w:type="continuationSeparator" w:id="0">
    <w:p w14:paraId="39667E80" w14:textId="77777777" w:rsidR="00D86855" w:rsidRDefault="00D86855" w:rsidP="005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997B" w14:textId="77777777" w:rsidR="00D86855" w:rsidRDefault="00D86855" w:rsidP="00530A6E">
      <w:r>
        <w:separator/>
      </w:r>
    </w:p>
  </w:footnote>
  <w:footnote w:type="continuationSeparator" w:id="0">
    <w:p w14:paraId="41D921F5" w14:textId="77777777" w:rsidR="00D86855" w:rsidRDefault="00D86855" w:rsidP="00530A6E">
      <w:r>
        <w:continuationSeparator/>
      </w:r>
    </w:p>
  </w:footnote>
  <w:footnote w:id="1">
    <w:p w14:paraId="32A1BBFA" w14:textId="77777777" w:rsidR="00D86855" w:rsidRPr="00296D13" w:rsidRDefault="00D86855" w:rsidP="008D7BB5">
      <w:pPr>
        <w:pStyle w:val="FootnoteText"/>
        <w:rPr>
          <w:lang w:val="es-ES_tradnl"/>
        </w:rPr>
      </w:pPr>
      <w:r>
        <w:rPr>
          <w:rStyle w:val="FootnoteReference"/>
        </w:rPr>
        <w:footnoteRef/>
      </w:r>
      <w:r>
        <w:rPr>
          <w:lang w:val="es-ES_tradnl"/>
        </w:rPr>
        <w:t xml:space="preserve"> De acuerdo a la constitución política de Bolivia, el proceso legislativo para la preparación de leyes se origina con la preparación de una iniciativa legislativa, la cual puede ser propuesta por la ciudadanía, </w:t>
      </w:r>
      <w:r w:rsidRPr="008C37C3">
        <w:rPr>
          <w:lang w:val="es-ES_tradnl"/>
        </w:rPr>
        <w:t>los asambleístas, el Órgano Ejecutivo, el Tribunal Supremo y</w:t>
      </w:r>
      <w:r>
        <w:rPr>
          <w:lang w:val="es-ES_tradnl"/>
        </w:rPr>
        <w:t>/</w:t>
      </w:r>
      <w:r w:rsidRPr="008C37C3">
        <w:rPr>
          <w:lang w:val="es-ES_tradnl"/>
        </w:rPr>
        <w:t>o los gobiernos autónomos de las entidades territoriales</w:t>
      </w:r>
      <w:r>
        <w:rPr>
          <w:lang w:val="es-ES_tradnl"/>
        </w:rPr>
        <w:t>.</w:t>
      </w:r>
    </w:p>
  </w:footnote>
  <w:footnote w:id="2">
    <w:p w14:paraId="51B343C1" w14:textId="77777777" w:rsidR="00D86855" w:rsidRPr="008D7BB5" w:rsidRDefault="00D86855" w:rsidP="008D7BB5">
      <w:pPr>
        <w:pStyle w:val="FootnoteText"/>
        <w:rPr>
          <w:rFonts w:ascii="Arial" w:hAnsi="Arial" w:cs="Arial"/>
          <w:sz w:val="18"/>
          <w:szCs w:val="18"/>
          <w:lang w:val="es-ES_tradnl"/>
        </w:rPr>
      </w:pPr>
      <w:r w:rsidRPr="00D3482E">
        <w:rPr>
          <w:rStyle w:val="FootnoteReference"/>
          <w:rFonts w:ascii="Arial" w:hAnsi="Arial" w:cs="Arial"/>
          <w:sz w:val="18"/>
          <w:szCs w:val="18"/>
        </w:rPr>
        <w:footnoteRef/>
      </w:r>
      <w:r w:rsidRPr="008D7BB5">
        <w:rPr>
          <w:rFonts w:ascii="Arial" w:hAnsi="Arial" w:cs="Arial"/>
          <w:sz w:val="18"/>
          <w:szCs w:val="18"/>
          <w:lang w:val="es-ES_tradnl"/>
        </w:rPr>
        <w:t xml:space="preserve"> Durante la preparación del programa se realizó un análisis de los potenciales beneficios del programa.  </w:t>
      </w:r>
    </w:p>
  </w:footnote>
  <w:footnote w:id="3">
    <w:p w14:paraId="434B2F3D" w14:textId="77777777" w:rsidR="00D86855" w:rsidRPr="008D7BB5" w:rsidRDefault="00D86855" w:rsidP="008D7BB5">
      <w:pPr>
        <w:pStyle w:val="FootnoteText"/>
        <w:ind w:left="270" w:hanging="270"/>
        <w:rPr>
          <w:rFonts w:ascii="Arial" w:hAnsi="Arial" w:cs="Arial"/>
          <w:sz w:val="18"/>
          <w:szCs w:val="18"/>
          <w:lang w:val="es-ES_tradnl"/>
        </w:rPr>
      </w:pPr>
      <w:r w:rsidRPr="00F21824">
        <w:rPr>
          <w:rStyle w:val="FootnoteReference"/>
          <w:rFonts w:ascii="Arial" w:eastAsiaTheme="majorEastAsia" w:hAnsi="Arial" w:cs="Arial"/>
          <w:sz w:val="18"/>
          <w:szCs w:val="18"/>
        </w:rPr>
        <w:footnoteRef/>
      </w:r>
      <w:r w:rsidRPr="008D7BB5">
        <w:rPr>
          <w:rFonts w:ascii="Arial" w:hAnsi="Arial" w:cs="Arial"/>
          <w:sz w:val="18"/>
          <w:szCs w:val="18"/>
          <w:lang w:val="es-ES_tradnl"/>
        </w:rPr>
        <w:t xml:space="preserve"> </w:t>
      </w:r>
      <w:r w:rsidRPr="008D7BB5">
        <w:rPr>
          <w:rFonts w:ascii="Arial" w:hAnsi="Arial" w:cs="Arial"/>
          <w:sz w:val="18"/>
          <w:szCs w:val="18"/>
          <w:lang w:val="es-ES_tradnl"/>
        </w:rPr>
        <w:tab/>
      </w:r>
      <w:r w:rsidRPr="00F21824">
        <w:rPr>
          <w:rFonts w:ascii="Arial" w:hAnsi="Arial" w:cs="Arial"/>
          <w:sz w:val="18"/>
          <w:szCs w:val="18"/>
          <w:lang w:val="es-CO"/>
        </w:rPr>
        <w:t>Emisiones de GEI calculadas en emisiones de CO</w:t>
      </w:r>
      <w:r w:rsidRPr="00F21824">
        <w:rPr>
          <w:rFonts w:ascii="Arial" w:hAnsi="Arial" w:cs="Arial"/>
          <w:sz w:val="18"/>
          <w:szCs w:val="18"/>
          <w:vertAlign w:val="subscript"/>
          <w:lang w:val="es-CO"/>
        </w:rPr>
        <w:t>2</w:t>
      </w:r>
      <w:r w:rsidRPr="00F21824">
        <w:rPr>
          <w:rFonts w:ascii="Arial" w:hAnsi="Arial" w:cs="Arial"/>
          <w:sz w:val="18"/>
          <w:szCs w:val="18"/>
          <w:lang w:val="es-CO"/>
        </w:rPr>
        <w:t xml:space="preserve"> equivalentes.</w:t>
      </w:r>
    </w:p>
  </w:footnote>
  <w:footnote w:id="4">
    <w:p w14:paraId="5096A004" w14:textId="743DFDC1" w:rsidR="00D86855" w:rsidRPr="00596EE3" w:rsidRDefault="00D86855">
      <w:pPr>
        <w:pStyle w:val="FootnoteText"/>
        <w:rPr>
          <w:lang w:val="es-ES_tradnl"/>
        </w:rPr>
      </w:pPr>
      <w:r>
        <w:rPr>
          <w:rStyle w:val="FootnoteReference"/>
        </w:rPr>
        <w:footnoteRef/>
      </w:r>
      <w:r w:rsidRPr="00596EE3">
        <w:rPr>
          <w:lang w:val="es-ES_tradnl"/>
        </w:rPr>
        <w:t xml:space="preserve"> </w:t>
      </w:r>
      <w:r>
        <w:rPr>
          <w:lang w:val="es-ES_tradnl"/>
        </w:rPr>
        <w:t>La línea de corresponde a la composición dela matriz de generación eléctrica reportada por la AE en el anuario estadístico de 2016. Para la meta</w:t>
      </w:r>
      <w:r w:rsidR="00142193">
        <w:rPr>
          <w:lang w:val="es-ES_tradnl"/>
        </w:rPr>
        <w:t xml:space="preserve"> </w:t>
      </w:r>
      <w:r w:rsidR="00A37BCD">
        <w:rPr>
          <w:lang w:val="es-ES_tradnl"/>
        </w:rPr>
        <w:t xml:space="preserve">se calculao sumiendo que </w:t>
      </w:r>
      <w:r>
        <w:rPr>
          <w:lang w:val="es-ES_tradnl"/>
        </w:rPr>
        <w:t>todos</w:t>
      </w:r>
      <w:r w:rsidRPr="00596EE3">
        <w:rPr>
          <w:lang w:val="es-ES_tradnl"/>
        </w:rPr>
        <w:t xml:space="preserve"> los proyectos que se encuentran en </w:t>
      </w:r>
      <w:r w:rsidR="00A37BCD">
        <w:rPr>
          <w:lang w:val="es-ES_tradnl"/>
        </w:rPr>
        <w:t>construcción</w:t>
      </w:r>
      <w:r w:rsidRPr="00596EE3">
        <w:rPr>
          <w:lang w:val="es-ES_tradnl"/>
        </w:rPr>
        <w:t xml:space="preserve"> y </w:t>
      </w:r>
      <w:r>
        <w:rPr>
          <w:lang w:val="es-ES_tradnl"/>
        </w:rPr>
        <w:t xml:space="preserve">los </w:t>
      </w:r>
      <w:r w:rsidRPr="00596EE3">
        <w:rPr>
          <w:lang w:val="es-ES_tradnl"/>
        </w:rPr>
        <w:t>que están previstos</w:t>
      </w:r>
      <w:r>
        <w:rPr>
          <w:lang w:val="es-ES_tradnl"/>
        </w:rPr>
        <w:t xml:space="preserve"> en el Plan de Desarrollo Económico y Social (PDES)</w:t>
      </w:r>
      <w:r w:rsidR="00A37BCD">
        <w:rPr>
          <w:lang w:val="es-ES_tradnl"/>
        </w:rPr>
        <w:t>,</w:t>
      </w:r>
      <w:r>
        <w:rPr>
          <w:lang w:val="es-ES_tradnl"/>
        </w:rPr>
        <w:t xml:space="preserve"> se ejecutan satisfactoriamente.</w:t>
      </w:r>
    </w:p>
  </w:footnote>
  <w:footnote w:id="5">
    <w:p w14:paraId="5CC2B148" w14:textId="3A536698" w:rsidR="00D86855" w:rsidRPr="002F1691" w:rsidRDefault="00D86855">
      <w:pPr>
        <w:pStyle w:val="FootnoteText"/>
        <w:rPr>
          <w:lang w:val="es-ES_tradnl"/>
        </w:rPr>
      </w:pPr>
      <w:r>
        <w:rPr>
          <w:rStyle w:val="FootnoteReference"/>
        </w:rPr>
        <w:footnoteRef/>
      </w:r>
      <w:r w:rsidRPr="002F1691">
        <w:rPr>
          <w:lang w:val="es-ES_tradnl"/>
        </w:rPr>
        <w:t xml:space="preserve"> </w:t>
      </w:r>
      <w:r>
        <w:rPr>
          <w:lang w:val="es-ES_tradnl"/>
        </w:rPr>
        <w:t>La metodología para la estimación e la meta se presenta en el Anexo I.</w:t>
      </w:r>
    </w:p>
  </w:footnote>
  <w:footnote w:id="6">
    <w:p w14:paraId="24B2BC5C" w14:textId="38496B2D" w:rsidR="00D86855" w:rsidRPr="00762A4D" w:rsidRDefault="00D86855">
      <w:pPr>
        <w:pStyle w:val="FootnoteText"/>
        <w:rPr>
          <w:lang w:val="es-ES_tradnl"/>
        </w:rPr>
      </w:pPr>
      <w:r>
        <w:rPr>
          <w:rStyle w:val="FootnoteReference"/>
        </w:rPr>
        <w:footnoteRef/>
      </w:r>
      <w:r w:rsidRPr="00762A4D">
        <w:rPr>
          <w:lang w:val="es-ES_tradnl"/>
        </w:rPr>
        <w:t xml:space="preserve"> </w:t>
      </w:r>
      <w:r>
        <w:rPr>
          <w:lang w:val="es-ES_tradnl"/>
        </w:rPr>
        <w:t>La línea de base corresponde al valor proporcionado por el VMEEA</w:t>
      </w:r>
      <w:r w:rsidR="00A37BCD">
        <w:rPr>
          <w:lang w:val="es-ES_tradnl"/>
        </w:rPr>
        <w:t xml:space="preserve"> para 2016</w:t>
      </w:r>
      <w:r>
        <w:rPr>
          <w:lang w:val="es-ES_tradnl"/>
        </w:rPr>
        <w:t>. La meta es el valor de cobertura que el gobierno espera alcanzar en 2022 hacia la cobertura universal en 2025</w:t>
      </w:r>
      <w:r w:rsidR="00A37BCD">
        <w:rPr>
          <w:lang w:val="es-ES_tradnl"/>
        </w:rPr>
        <w:t xml:space="preserve"> de acuerdo a la Agenda Patriótica 2025</w:t>
      </w:r>
      <w:r>
        <w:rPr>
          <w:lang w:val="es-ES_tradnl"/>
        </w:rPr>
        <w:t xml:space="preserve">. </w:t>
      </w:r>
    </w:p>
  </w:footnote>
  <w:footnote w:id="7">
    <w:p w14:paraId="52F10720" w14:textId="77777777" w:rsidR="00D86855" w:rsidRPr="002F1691" w:rsidRDefault="00D86855" w:rsidP="002F1691">
      <w:pPr>
        <w:pStyle w:val="FootnoteText"/>
        <w:jc w:val="both"/>
        <w:rPr>
          <w:rFonts w:ascii="Arial" w:hAnsi="Arial" w:cs="Arial"/>
          <w:lang w:val="es-ES_tradnl"/>
        </w:rPr>
      </w:pPr>
      <w:r w:rsidRPr="0092603A">
        <w:rPr>
          <w:rStyle w:val="FootnoteReference"/>
          <w:rFonts w:ascii="Arial" w:hAnsi="Arial" w:cs="Arial"/>
        </w:rPr>
        <w:footnoteRef/>
      </w:r>
      <w:r w:rsidRPr="002F1691">
        <w:rPr>
          <w:rFonts w:ascii="Arial" w:hAnsi="Arial" w:cs="Arial"/>
          <w:lang w:val="es-ES_tradnl"/>
        </w:rPr>
        <w:t xml:space="preserve"> Se toma como referente el número de bombillos por familia del programa de distribución de focos ahorradores adelantado por el GdB en 2012 (5 bombillos por familia).</w:t>
      </w:r>
    </w:p>
  </w:footnote>
  <w:footnote w:id="8">
    <w:p w14:paraId="03AB3E2E" w14:textId="77777777" w:rsidR="00D86855" w:rsidRPr="002F1691" w:rsidRDefault="00D86855" w:rsidP="002F1691">
      <w:pPr>
        <w:pStyle w:val="FootnoteText"/>
        <w:jc w:val="both"/>
        <w:rPr>
          <w:rFonts w:ascii="Arial" w:hAnsi="Arial" w:cs="Arial"/>
          <w:lang w:val="es-ES_tradnl"/>
        </w:rPr>
      </w:pPr>
      <w:r w:rsidRPr="0092603A">
        <w:rPr>
          <w:rStyle w:val="FootnoteReference"/>
          <w:rFonts w:ascii="Arial" w:hAnsi="Arial" w:cs="Arial"/>
        </w:rPr>
        <w:footnoteRef/>
      </w:r>
      <w:r w:rsidRPr="002F1691">
        <w:rPr>
          <w:rFonts w:ascii="Arial" w:hAnsi="Arial" w:cs="Arial"/>
          <w:lang w:val="es-ES_tradnl"/>
        </w:rPr>
        <w:t xml:space="preserve"> Corresponde al número de bombillos LFC efectivamente transferidos a mayo de 2012.</w:t>
      </w:r>
    </w:p>
  </w:footnote>
  <w:footnote w:id="9">
    <w:p w14:paraId="5B7D1F3C" w14:textId="77777777" w:rsidR="00D86855" w:rsidRPr="002F1691" w:rsidRDefault="00D86855" w:rsidP="002F1691">
      <w:pPr>
        <w:pStyle w:val="FootnoteText"/>
        <w:jc w:val="both"/>
        <w:rPr>
          <w:rFonts w:ascii="Arial" w:hAnsi="Arial" w:cs="Arial"/>
          <w:lang w:val="es-ES_tradnl"/>
        </w:rPr>
      </w:pPr>
      <w:r w:rsidRPr="0092603A">
        <w:rPr>
          <w:rStyle w:val="FootnoteReference"/>
          <w:rFonts w:ascii="Arial" w:hAnsi="Arial" w:cs="Arial"/>
        </w:rPr>
        <w:footnoteRef/>
      </w:r>
      <w:r w:rsidRPr="002F1691">
        <w:rPr>
          <w:rFonts w:ascii="Arial" w:hAnsi="Arial" w:cs="Arial"/>
          <w:lang w:val="es-ES_tradnl"/>
        </w:rPr>
        <w:t xml:space="preserve"> Tecnología de lámpara fluorescente compacta.</w:t>
      </w:r>
    </w:p>
  </w:footnote>
  <w:footnote w:id="10">
    <w:p w14:paraId="6A24274C" w14:textId="77777777" w:rsidR="00D86855" w:rsidRPr="002F1691" w:rsidRDefault="00D86855" w:rsidP="002F1691">
      <w:pPr>
        <w:pStyle w:val="FootnoteText"/>
        <w:jc w:val="both"/>
        <w:rPr>
          <w:rFonts w:ascii="Arial" w:hAnsi="Arial" w:cs="Arial"/>
          <w:lang w:val="es-ES_tradnl"/>
        </w:rPr>
      </w:pPr>
      <w:r w:rsidRPr="00A613D3">
        <w:rPr>
          <w:rStyle w:val="FootnoteReference"/>
          <w:rFonts w:ascii="Arial" w:hAnsi="Arial" w:cs="Arial"/>
        </w:rPr>
        <w:footnoteRef/>
      </w:r>
      <w:r w:rsidRPr="002F1691">
        <w:rPr>
          <w:rFonts w:ascii="Arial" w:hAnsi="Arial" w:cs="Arial"/>
          <w:lang w:val="es-ES_tradnl"/>
        </w:rPr>
        <w:t xml:space="preserve"> Si bien la fórmula y modelo discriminan entre ambos sistemas eléctricos, el análisis que se muestra adelante considera el mismo precio de la energía tanto para el SIN como para Sistemas Aislados puesto que el análisis de tarifas se hizo para todos los usuarios residenciales de Bolivia como un conjunto.</w:t>
      </w:r>
    </w:p>
  </w:footnote>
  <w:footnote w:id="11">
    <w:p w14:paraId="08047B09" w14:textId="77777777" w:rsidR="00D86855" w:rsidRPr="002F1691" w:rsidRDefault="00D86855" w:rsidP="002F1691">
      <w:pPr>
        <w:pStyle w:val="FootnoteText"/>
        <w:jc w:val="both"/>
        <w:rPr>
          <w:rFonts w:ascii="Arial" w:hAnsi="Arial" w:cs="Arial"/>
          <w:lang w:val="es-ES_tradnl"/>
        </w:rPr>
      </w:pPr>
      <w:r w:rsidRPr="00C33718">
        <w:rPr>
          <w:rStyle w:val="FootnoteReference"/>
          <w:rFonts w:ascii="Arial" w:hAnsi="Arial" w:cs="Arial"/>
        </w:rPr>
        <w:footnoteRef/>
      </w:r>
      <w:r w:rsidRPr="002F1691">
        <w:rPr>
          <w:rFonts w:ascii="Arial" w:hAnsi="Arial" w:cs="Arial"/>
          <w:lang w:val="es-ES_tradnl"/>
        </w:rPr>
        <w:t xml:space="preserve"> Se utiliza el mismo precio de los CRE descrito en la sección de incorporación de ER a la matriz de generación eléctrica.</w:t>
      </w:r>
    </w:p>
  </w:footnote>
  <w:footnote w:id="12">
    <w:p w14:paraId="2EF0B561" w14:textId="77777777" w:rsidR="00D86855" w:rsidRPr="002F1691" w:rsidRDefault="00D86855" w:rsidP="002F1691">
      <w:pPr>
        <w:pStyle w:val="FootnoteText"/>
        <w:jc w:val="both"/>
        <w:rPr>
          <w:lang w:val="es-ES_tradnl"/>
        </w:rPr>
      </w:pPr>
      <w:r>
        <w:rPr>
          <w:rStyle w:val="FootnoteReference"/>
        </w:rPr>
        <w:footnoteRef/>
      </w:r>
      <w:r w:rsidRPr="002F1691">
        <w:rPr>
          <w:lang w:val="es-ES_tradnl"/>
        </w:rPr>
        <w:t xml:space="preserve"> </w:t>
      </w:r>
      <w:r w:rsidRPr="002F1691">
        <w:rPr>
          <w:rFonts w:ascii="Arial" w:hAnsi="Arial" w:cs="Arial"/>
          <w:lang w:val="es-ES_tradnl"/>
        </w:rPr>
        <w:t>Esta proporción de bombillos fue acordada con los representantes del GdB durante la misión adelantada en mayo de 2018.</w:t>
      </w:r>
    </w:p>
  </w:footnote>
  <w:footnote w:id="13">
    <w:p w14:paraId="636B0B0D" w14:textId="77777777" w:rsidR="00D86855" w:rsidRPr="002F1691" w:rsidRDefault="00D86855" w:rsidP="002F1691">
      <w:pPr>
        <w:pStyle w:val="FootnoteText"/>
        <w:jc w:val="both"/>
        <w:rPr>
          <w:rFonts w:ascii="Arial" w:hAnsi="Arial" w:cs="Arial"/>
          <w:lang w:val="es-ES_tradnl"/>
        </w:rPr>
      </w:pPr>
      <w:r w:rsidRPr="0068189C">
        <w:rPr>
          <w:rStyle w:val="FootnoteReference"/>
          <w:rFonts w:ascii="Arial" w:hAnsi="Arial" w:cs="Arial"/>
        </w:rPr>
        <w:footnoteRef/>
      </w:r>
      <w:r w:rsidRPr="002F1691">
        <w:rPr>
          <w:rFonts w:ascii="Arial" w:hAnsi="Arial" w:cs="Arial"/>
          <w:lang w:val="es-ES_tradnl"/>
        </w:rPr>
        <w:t xml:space="preserve"> El consumo eléctrico destinado a iluminación residencial en Panamá es de aproximadamente un 16% con base en información del Plan Estratégico Nacional (PEN 2015 – 2050), mientras que en España se puede estar entre un 10% y un 20% con base en información de la Asociación de Empresas de Eficiencia Energética (http://jordimarrot.blogspot.com.co/2014/09/tipos-de-lamparas-y-su-relacion-con-la.html ) y (https://ephicere.wordpress.com/2012/01/31/el-consumo-energetico-en-el-sector-residencial/)</w:t>
      </w:r>
    </w:p>
  </w:footnote>
  <w:footnote w:id="14">
    <w:p w14:paraId="1C93D023" w14:textId="77777777" w:rsidR="00D86855" w:rsidRPr="002F1691" w:rsidRDefault="00D86855" w:rsidP="002F1691">
      <w:pPr>
        <w:pStyle w:val="FootnoteText"/>
        <w:jc w:val="both"/>
        <w:rPr>
          <w:rFonts w:ascii="Arial" w:hAnsi="Arial" w:cs="Arial"/>
          <w:lang w:val="es-ES_tradnl"/>
        </w:rPr>
      </w:pPr>
      <w:r w:rsidRPr="0068189C">
        <w:rPr>
          <w:rStyle w:val="FootnoteReference"/>
          <w:rFonts w:ascii="Arial" w:hAnsi="Arial" w:cs="Arial"/>
        </w:rPr>
        <w:footnoteRef/>
      </w:r>
      <w:r w:rsidRPr="002F1691">
        <w:rPr>
          <w:rFonts w:ascii="Arial" w:hAnsi="Arial" w:cs="Arial"/>
          <w:lang w:val="es-ES_tradnl"/>
        </w:rPr>
        <w:t xml:space="preserve"> Considerando una vida útil de 2 años, en promedio cada año la mitad de los bombillos que se encuentran en operación en el mercado deben ser reemplazados.</w:t>
      </w:r>
    </w:p>
  </w:footnote>
  <w:footnote w:id="15">
    <w:p w14:paraId="6DA47D18" w14:textId="77777777" w:rsidR="00D86855" w:rsidRPr="002F1691" w:rsidRDefault="00D86855" w:rsidP="002F1691">
      <w:pPr>
        <w:pStyle w:val="FootnoteText"/>
        <w:jc w:val="both"/>
        <w:rPr>
          <w:rFonts w:ascii="Arial" w:hAnsi="Arial" w:cs="Arial"/>
          <w:lang w:val="es-ES_tradnl"/>
        </w:rPr>
      </w:pPr>
      <w:r w:rsidRPr="0068189C">
        <w:rPr>
          <w:rStyle w:val="FootnoteReference"/>
          <w:rFonts w:ascii="Arial" w:hAnsi="Arial" w:cs="Arial"/>
        </w:rPr>
        <w:footnoteRef/>
      </w:r>
      <w:r w:rsidRPr="002F1691">
        <w:rPr>
          <w:rFonts w:ascii="Arial" w:hAnsi="Arial" w:cs="Arial"/>
          <w:lang w:val="es-ES_tradnl"/>
        </w:rPr>
        <w:t xml:space="preserve"> Considerando una vida útil de 2 años, en promedio cada año la mitad de las lamparas que se encuentran en operación en el mercado deben ser reemplazados.</w:t>
      </w:r>
    </w:p>
  </w:footnote>
  <w:footnote w:id="16">
    <w:p w14:paraId="5A5FEC44" w14:textId="77777777" w:rsidR="00D86855" w:rsidRPr="002F1691" w:rsidRDefault="00D86855" w:rsidP="002F1691">
      <w:pPr>
        <w:pStyle w:val="FootnoteText"/>
        <w:rPr>
          <w:lang w:val="es-ES_tradnl"/>
        </w:rPr>
      </w:pPr>
      <w:r>
        <w:rPr>
          <w:rStyle w:val="FootnoteReference"/>
        </w:rPr>
        <w:footnoteRef/>
      </w:r>
      <w:r w:rsidRPr="002F1691">
        <w:rPr>
          <w:lang w:val="es-ES_tradnl"/>
        </w:rPr>
        <w:t xml:space="preserve"> Corresponde al costo total de inversión para el proyecto de Oruro dividido por el número de lamparas a cambiar endicho municipio.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07712577"/>
      <w:docPartObj>
        <w:docPartGallery w:val="Page Numbers (Top of Page)"/>
        <w:docPartUnique/>
      </w:docPartObj>
    </w:sdtPr>
    <w:sdtEndPr>
      <w:rPr>
        <w:sz w:val="24"/>
      </w:rPr>
    </w:sdtEndPr>
    <w:sdtContent>
      <w:p w14:paraId="2306499B" w14:textId="77777777" w:rsidR="00D86855" w:rsidRDefault="00D86855" w:rsidP="001167C9">
        <w:pPr>
          <w:pStyle w:val="Header"/>
          <w:jc w:val="right"/>
        </w:pPr>
      </w:p>
      <w:p w14:paraId="43429028" w14:textId="77777777" w:rsidR="00D86855" w:rsidRPr="001641DD" w:rsidRDefault="0086706A" w:rsidP="001641DD">
        <w:pPr>
          <w:pStyle w:val="Header"/>
          <w:jc w:val="right"/>
          <w:rPr>
            <w:lang w:val="es-ES_tradnl"/>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A62"/>
    <w:multiLevelType w:val="hybridMultilevel"/>
    <w:tmpl w:val="5448A330"/>
    <w:lvl w:ilvl="0" w:tplc="8892B9BC">
      <w:start w:val="1"/>
      <w:numFmt w:val="decimal"/>
      <w:pStyle w:val="Banknumbered"/>
      <w:lvlText w:val="%1."/>
      <w:lvlJc w:val="left"/>
      <w:pPr>
        <w:ind w:left="720" w:hanging="360"/>
      </w:pPr>
    </w:lvl>
    <w:lvl w:ilvl="1" w:tplc="D062F1AC">
      <w:start w:val="1"/>
      <w:numFmt w:val="lowerLetter"/>
      <w:lvlText w:val="%2."/>
      <w:lvlJc w:val="left"/>
      <w:pPr>
        <w:ind w:left="1440" w:hanging="360"/>
      </w:pPr>
    </w:lvl>
    <w:lvl w:ilvl="2" w:tplc="EC7CEA70">
      <w:start w:val="1"/>
      <w:numFmt w:val="lowerRoman"/>
      <w:lvlText w:val="%3."/>
      <w:lvlJc w:val="right"/>
      <w:pPr>
        <w:ind w:left="2160" w:hanging="180"/>
      </w:pPr>
    </w:lvl>
    <w:lvl w:ilvl="3" w:tplc="7DCC7474">
      <w:start w:val="1"/>
      <w:numFmt w:val="decimal"/>
      <w:lvlText w:val="%4."/>
      <w:lvlJc w:val="left"/>
      <w:pPr>
        <w:ind w:left="2880" w:hanging="360"/>
      </w:pPr>
    </w:lvl>
    <w:lvl w:ilvl="4" w:tplc="F1E46218">
      <w:start w:val="1"/>
      <w:numFmt w:val="lowerLetter"/>
      <w:lvlText w:val="%5."/>
      <w:lvlJc w:val="left"/>
      <w:pPr>
        <w:ind w:left="3600" w:hanging="360"/>
      </w:pPr>
    </w:lvl>
    <w:lvl w:ilvl="5" w:tplc="B2D421B2">
      <w:start w:val="1"/>
      <w:numFmt w:val="lowerRoman"/>
      <w:lvlText w:val="%6."/>
      <w:lvlJc w:val="right"/>
      <w:pPr>
        <w:ind w:left="4320" w:hanging="180"/>
      </w:pPr>
    </w:lvl>
    <w:lvl w:ilvl="6" w:tplc="02CE06CE">
      <w:start w:val="1"/>
      <w:numFmt w:val="decimal"/>
      <w:lvlText w:val="%7."/>
      <w:lvlJc w:val="left"/>
      <w:pPr>
        <w:ind w:left="5040" w:hanging="360"/>
      </w:pPr>
    </w:lvl>
    <w:lvl w:ilvl="7" w:tplc="90F69492">
      <w:start w:val="1"/>
      <w:numFmt w:val="lowerLetter"/>
      <w:lvlText w:val="%8."/>
      <w:lvlJc w:val="left"/>
      <w:pPr>
        <w:ind w:left="5760" w:hanging="360"/>
      </w:pPr>
    </w:lvl>
    <w:lvl w:ilvl="8" w:tplc="5120964A">
      <w:start w:val="1"/>
      <w:numFmt w:val="lowerRoman"/>
      <w:lvlText w:val="%9."/>
      <w:lvlJc w:val="right"/>
      <w:pPr>
        <w:ind w:left="6480" w:hanging="180"/>
      </w:pPr>
    </w:lvl>
  </w:abstractNum>
  <w:abstractNum w:abstractNumId="1" w15:restartNumberingAfterBreak="0">
    <w:nsid w:val="17A12C4A"/>
    <w:multiLevelType w:val="hybridMultilevel"/>
    <w:tmpl w:val="B34E3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D79533A"/>
    <w:multiLevelType w:val="multilevel"/>
    <w:tmpl w:val="FF560952"/>
    <w:lvl w:ilvl="0">
      <w:start w:val="1"/>
      <w:numFmt w:val="upperRoman"/>
      <w:pStyle w:val="FirstHeading"/>
      <w:lvlText w:val="%1."/>
      <w:lvlJc w:val="righ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666"/>
        </w:tabs>
        <w:ind w:left="666"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2260681E"/>
    <w:multiLevelType w:val="hybridMultilevel"/>
    <w:tmpl w:val="7B10A50C"/>
    <w:lvl w:ilvl="0" w:tplc="312E0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76F6F"/>
    <w:multiLevelType w:val="hybridMultilevel"/>
    <w:tmpl w:val="82603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2F2F02"/>
    <w:multiLevelType w:val="hybridMultilevel"/>
    <w:tmpl w:val="12BCFCBA"/>
    <w:lvl w:ilvl="0" w:tplc="ED6278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CB2C9B"/>
    <w:multiLevelType w:val="hybridMultilevel"/>
    <w:tmpl w:val="7F2077CE"/>
    <w:lvl w:ilvl="0" w:tplc="C3C4A706">
      <w:start w:val="1"/>
      <w:numFmt w:val="bullet"/>
      <w:pStyle w:val="Bullet"/>
      <w:lvlText w:val=""/>
      <w:lvlJc w:val="left"/>
      <w:pPr>
        <w:ind w:left="1080" w:hanging="360"/>
      </w:pPr>
      <w:rPr>
        <w:rFonts w:ascii="Symbol" w:hAnsi="Symbol"/>
      </w:rPr>
    </w:lvl>
    <w:lvl w:ilvl="1" w:tplc="359E5848">
      <w:start w:val="1"/>
      <w:numFmt w:val="bullet"/>
      <w:lvlText w:val="o"/>
      <w:lvlJc w:val="left"/>
      <w:pPr>
        <w:ind w:left="1800" w:hanging="360"/>
      </w:pPr>
      <w:rPr>
        <w:rFonts w:ascii="Courier New" w:hAnsi="Courier New"/>
      </w:rPr>
    </w:lvl>
    <w:lvl w:ilvl="2" w:tplc="1C0437E4">
      <w:start w:val="1"/>
      <w:numFmt w:val="bullet"/>
      <w:lvlText w:val=""/>
      <w:lvlJc w:val="left"/>
      <w:pPr>
        <w:ind w:left="2520" w:hanging="360"/>
      </w:pPr>
      <w:rPr>
        <w:rFonts w:ascii="Wingdings" w:hAnsi="Wingdings"/>
      </w:rPr>
    </w:lvl>
    <w:lvl w:ilvl="3" w:tplc="78B2B2AE">
      <w:start w:val="1"/>
      <w:numFmt w:val="bullet"/>
      <w:lvlText w:val=""/>
      <w:lvlJc w:val="left"/>
      <w:pPr>
        <w:ind w:left="3240" w:hanging="360"/>
      </w:pPr>
      <w:rPr>
        <w:rFonts w:ascii="Symbol" w:hAnsi="Symbol"/>
      </w:rPr>
    </w:lvl>
    <w:lvl w:ilvl="4" w:tplc="3F48FC98">
      <w:start w:val="1"/>
      <w:numFmt w:val="bullet"/>
      <w:lvlText w:val="o"/>
      <w:lvlJc w:val="left"/>
      <w:pPr>
        <w:ind w:left="3960" w:hanging="360"/>
      </w:pPr>
      <w:rPr>
        <w:rFonts w:ascii="Courier New" w:hAnsi="Courier New"/>
      </w:rPr>
    </w:lvl>
    <w:lvl w:ilvl="5" w:tplc="2004B80C">
      <w:start w:val="1"/>
      <w:numFmt w:val="bullet"/>
      <w:lvlText w:val=""/>
      <w:lvlJc w:val="left"/>
      <w:pPr>
        <w:ind w:left="4680" w:hanging="360"/>
      </w:pPr>
      <w:rPr>
        <w:rFonts w:ascii="Wingdings" w:hAnsi="Wingdings"/>
      </w:rPr>
    </w:lvl>
    <w:lvl w:ilvl="6" w:tplc="4E326A10">
      <w:start w:val="1"/>
      <w:numFmt w:val="bullet"/>
      <w:lvlText w:val=""/>
      <w:lvlJc w:val="left"/>
      <w:pPr>
        <w:ind w:left="5400" w:hanging="360"/>
      </w:pPr>
      <w:rPr>
        <w:rFonts w:ascii="Symbol" w:hAnsi="Symbol"/>
      </w:rPr>
    </w:lvl>
    <w:lvl w:ilvl="7" w:tplc="65E22BF2">
      <w:start w:val="1"/>
      <w:numFmt w:val="bullet"/>
      <w:lvlText w:val="o"/>
      <w:lvlJc w:val="left"/>
      <w:pPr>
        <w:ind w:left="6120" w:hanging="360"/>
      </w:pPr>
      <w:rPr>
        <w:rFonts w:ascii="Courier New" w:hAnsi="Courier New"/>
      </w:rPr>
    </w:lvl>
    <w:lvl w:ilvl="8" w:tplc="43CE85B4">
      <w:start w:val="1"/>
      <w:numFmt w:val="bullet"/>
      <w:lvlText w:val=""/>
      <w:lvlJc w:val="left"/>
      <w:pPr>
        <w:ind w:left="6840" w:hanging="360"/>
      </w:pPr>
      <w:rPr>
        <w:rFonts w:ascii="Wingdings" w:hAnsi="Wingdings"/>
      </w:rPr>
    </w:lvl>
  </w:abstractNum>
  <w:abstractNum w:abstractNumId="7" w15:restartNumberingAfterBreak="0">
    <w:nsid w:val="42306CB4"/>
    <w:multiLevelType w:val="multilevel"/>
    <w:tmpl w:val="9878DFA6"/>
    <w:lvl w:ilvl="0">
      <w:start w:val="1"/>
      <w:numFmt w:val="decimal"/>
      <w:lvlText w:val="%1"/>
      <w:lvlJc w:val="left"/>
      <w:pPr>
        <w:ind w:left="432" w:hanging="432"/>
      </w:pPr>
    </w:lvl>
    <w:lvl w:ilvl="1">
      <w:start w:val="1"/>
      <w:numFmt w:val="decimal"/>
      <w:pStyle w:val="Ttulo51"/>
      <w:lvlText w:val="%1.%2"/>
      <w:lvlJc w:val="left"/>
      <w:pPr>
        <w:ind w:left="576" w:hanging="576"/>
      </w:pPr>
    </w:lvl>
    <w:lvl w:ilvl="2">
      <w:start w:val="1"/>
      <w:numFmt w:val="decimal"/>
      <w:pStyle w:val="Nivel3"/>
      <w:lvlText w:val="%1.%2.%3"/>
      <w:lvlJc w:val="left"/>
      <w:pPr>
        <w:ind w:left="720" w:hanging="720"/>
      </w:pPr>
      <w:rPr>
        <w:rFonts w:ascii="Times New Roman" w:hAnsi="Times New Roman" w:cs="Times New Roman" w:hint="default"/>
      </w:rPr>
    </w:lvl>
    <w:lvl w:ilvl="3">
      <w:start w:val="1"/>
      <w:numFmt w:val="decimal"/>
      <w:pStyle w:val="Nivel3"/>
      <w:lvlText w:val="%1.%2.%3.%4"/>
      <w:lvlJc w:val="left"/>
      <w:pPr>
        <w:ind w:left="864" w:hanging="864"/>
      </w:pPr>
      <w:rPr>
        <w:rFonts w:ascii="Times New Roman" w:hAnsi="Times New Roman" w:cs="Times New Roman" w:hint="default"/>
      </w:rPr>
    </w:lvl>
    <w:lvl w:ilvl="4">
      <w:start w:val="1"/>
      <w:numFmt w:val="decimal"/>
      <w:pStyle w:val="Ttulo51"/>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D816FB"/>
    <w:multiLevelType w:val="multilevel"/>
    <w:tmpl w:val="36DC04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2D0E22"/>
    <w:multiLevelType w:val="hybridMultilevel"/>
    <w:tmpl w:val="D762847E"/>
    <w:lvl w:ilvl="0" w:tplc="400A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4176AC0"/>
    <w:multiLevelType w:val="hybridMultilevel"/>
    <w:tmpl w:val="207EEE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47E57E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2"/>
  </w:num>
  <w:num w:numId="2">
    <w:abstractNumId w:val="2"/>
  </w:num>
  <w:num w:numId="3">
    <w:abstractNumId w:val="3"/>
  </w:num>
  <w:num w:numId="4">
    <w:abstractNumId w:val="8"/>
  </w:num>
  <w:num w:numId="5">
    <w:abstractNumId w:val="9"/>
  </w:num>
  <w:num w:numId="6">
    <w:abstractNumId w:val="5"/>
  </w:num>
  <w:num w:numId="7">
    <w:abstractNumId w:val="0"/>
  </w:num>
  <w:num w:numId="8">
    <w:abstractNumId w:val="6"/>
  </w:num>
  <w:num w:numId="9">
    <w:abstractNumId w:val="11"/>
  </w:num>
  <w:num w:numId="10">
    <w:abstractNumId w:val="7"/>
  </w:num>
  <w:num w:numId="11">
    <w:abstractNumId w:val="1"/>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C3"/>
    <w:rsid w:val="000014BF"/>
    <w:rsid w:val="000031D9"/>
    <w:rsid w:val="00005C0E"/>
    <w:rsid w:val="0000675F"/>
    <w:rsid w:val="00010F47"/>
    <w:rsid w:val="00013939"/>
    <w:rsid w:val="00014D26"/>
    <w:rsid w:val="000150C2"/>
    <w:rsid w:val="000152B2"/>
    <w:rsid w:val="00015FDF"/>
    <w:rsid w:val="00023C66"/>
    <w:rsid w:val="0002710C"/>
    <w:rsid w:val="00030889"/>
    <w:rsid w:val="00031C82"/>
    <w:rsid w:val="00043BD5"/>
    <w:rsid w:val="0005070E"/>
    <w:rsid w:val="000519FA"/>
    <w:rsid w:val="00052B85"/>
    <w:rsid w:val="00053E35"/>
    <w:rsid w:val="000605EA"/>
    <w:rsid w:val="00062A61"/>
    <w:rsid w:val="00062ECE"/>
    <w:rsid w:val="00063544"/>
    <w:rsid w:val="00063817"/>
    <w:rsid w:val="000649B6"/>
    <w:rsid w:val="00064FEF"/>
    <w:rsid w:val="00066FD8"/>
    <w:rsid w:val="00067A0D"/>
    <w:rsid w:val="000721CB"/>
    <w:rsid w:val="00080E6B"/>
    <w:rsid w:val="000817FB"/>
    <w:rsid w:val="00081862"/>
    <w:rsid w:val="00086045"/>
    <w:rsid w:val="00091103"/>
    <w:rsid w:val="000947FF"/>
    <w:rsid w:val="000957B7"/>
    <w:rsid w:val="000960C6"/>
    <w:rsid w:val="00097AB2"/>
    <w:rsid w:val="000A063F"/>
    <w:rsid w:val="000A17AF"/>
    <w:rsid w:val="000A23F0"/>
    <w:rsid w:val="000A2949"/>
    <w:rsid w:val="000A5FF0"/>
    <w:rsid w:val="000B0A6A"/>
    <w:rsid w:val="000B186A"/>
    <w:rsid w:val="000B2024"/>
    <w:rsid w:val="000B2894"/>
    <w:rsid w:val="000B656A"/>
    <w:rsid w:val="000B6E87"/>
    <w:rsid w:val="000C3BE1"/>
    <w:rsid w:val="000C4727"/>
    <w:rsid w:val="000C6386"/>
    <w:rsid w:val="000C7A6C"/>
    <w:rsid w:val="000D17A6"/>
    <w:rsid w:val="000D556E"/>
    <w:rsid w:val="000D5C45"/>
    <w:rsid w:val="000E16C1"/>
    <w:rsid w:val="000E583F"/>
    <w:rsid w:val="000E7A18"/>
    <w:rsid w:val="00100989"/>
    <w:rsid w:val="00107663"/>
    <w:rsid w:val="00107D44"/>
    <w:rsid w:val="0011098F"/>
    <w:rsid w:val="00110F7A"/>
    <w:rsid w:val="0011167D"/>
    <w:rsid w:val="00111AEE"/>
    <w:rsid w:val="001136F5"/>
    <w:rsid w:val="001167C9"/>
    <w:rsid w:val="00117928"/>
    <w:rsid w:val="00120FEC"/>
    <w:rsid w:val="0012118F"/>
    <w:rsid w:val="0012414D"/>
    <w:rsid w:val="00124DF5"/>
    <w:rsid w:val="00131F49"/>
    <w:rsid w:val="00133551"/>
    <w:rsid w:val="001347A7"/>
    <w:rsid w:val="00134831"/>
    <w:rsid w:val="00136BF0"/>
    <w:rsid w:val="0014161E"/>
    <w:rsid w:val="001417F1"/>
    <w:rsid w:val="00142193"/>
    <w:rsid w:val="001468FE"/>
    <w:rsid w:val="001515E6"/>
    <w:rsid w:val="001530F4"/>
    <w:rsid w:val="00153BE9"/>
    <w:rsid w:val="00154610"/>
    <w:rsid w:val="0015621C"/>
    <w:rsid w:val="00160777"/>
    <w:rsid w:val="00160B02"/>
    <w:rsid w:val="001633A2"/>
    <w:rsid w:val="001641BB"/>
    <w:rsid w:val="001641DD"/>
    <w:rsid w:val="001743E5"/>
    <w:rsid w:val="00176B50"/>
    <w:rsid w:val="0018341D"/>
    <w:rsid w:val="001927AE"/>
    <w:rsid w:val="00192BBB"/>
    <w:rsid w:val="001933FE"/>
    <w:rsid w:val="001957AE"/>
    <w:rsid w:val="00195FC2"/>
    <w:rsid w:val="001A1F50"/>
    <w:rsid w:val="001A44BD"/>
    <w:rsid w:val="001A57EC"/>
    <w:rsid w:val="001A67BC"/>
    <w:rsid w:val="001B054B"/>
    <w:rsid w:val="001B2D4B"/>
    <w:rsid w:val="001B4FED"/>
    <w:rsid w:val="001B5576"/>
    <w:rsid w:val="001C59A0"/>
    <w:rsid w:val="001D3EC6"/>
    <w:rsid w:val="001D45B1"/>
    <w:rsid w:val="001D4DF2"/>
    <w:rsid w:val="001E2995"/>
    <w:rsid w:val="001E31CC"/>
    <w:rsid w:val="001E577D"/>
    <w:rsid w:val="001E63CD"/>
    <w:rsid w:val="001E7DC3"/>
    <w:rsid w:val="001F01A7"/>
    <w:rsid w:val="001F05F8"/>
    <w:rsid w:val="001F19D7"/>
    <w:rsid w:val="001F36D0"/>
    <w:rsid w:val="001F485A"/>
    <w:rsid w:val="00202900"/>
    <w:rsid w:val="002057D1"/>
    <w:rsid w:val="002063FA"/>
    <w:rsid w:val="0020705F"/>
    <w:rsid w:val="00215334"/>
    <w:rsid w:val="00216D03"/>
    <w:rsid w:val="002177B7"/>
    <w:rsid w:val="0022066F"/>
    <w:rsid w:val="002211A9"/>
    <w:rsid w:val="00222644"/>
    <w:rsid w:val="0022270B"/>
    <w:rsid w:val="00223F4F"/>
    <w:rsid w:val="00224B8A"/>
    <w:rsid w:val="0023656F"/>
    <w:rsid w:val="00237567"/>
    <w:rsid w:val="00240631"/>
    <w:rsid w:val="00244D4B"/>
    <w:rsid w:val="00246FC9"/>
    <w:rsid w:val="00252416"/>
    <w:rsid w:val="002559C0"/>
    <w:rsid w:val="0025681E"/>
    <w:rsid w:val="00261F8D"/>
    <w:rsid w:val="00263F58"/>
    <w:rsid w:val="00265D8F"/>
    <w:rsid w:val="00267C80"/>
    <w:rsid w:val="00271FDC"/>
    <w:rsid w:val="002736CF"/>
    <w:rsid w:val="00274390"/>
    <w:rsid w:val="00275756"/>
    <w:rsid w:val="002759C1"/>
    <w:rsid w:val="00280DC2"/>
    <w:rsid w:val="00281268"/>
    <w:rsid w:val="00281AC3"/>
    <w:rsid w:val="00282FBD"/>
    <w:rsid w:val="00283322"/>
    <w:rsid w:val="00284D79"/>
    <w:rsid w:val="00285916"/>
    <w:rsid w:val="00287C3B"/>
    <w:rsid w:val="002949F4"/>
    <w:rsid w:val="00294FFB"/>
    <w:rsid w:val="00295D75"/>
    <w:rsid w:val="00296583"/>
    <w:rsid w:val="0029730E"/>
    <w:rsid w:val="002A056E"/>
    <w:rsid w:val="002A33C2"/>
    <w:rsid w:val="002B3102"/>
    <w:rsid w:val="002B384A"/>
    <w:rsid w:val="002B5636"/>
    <w:rsid w:val="002B6F72"/>
    <w:rsid w:val="002B792C"/>
    <w:rsid w:val="002C134D"/>
    <w:rsid w:val="002C268E"/>
    <w:rsid w:val="002C3FFE"/>
    <w:rsid w:val="002C6AF3"/>
    <w:rsid w:val="002D1B02"/>
    <w:rsid w:val="002D1E15"/>
    <w:rsid w:val="002D374F"/>
    <w:rsid w:val="002D680E"/>
    <w:rsid w:val="002E1F46"/>
    <w:rsid w:val="002E2C7A"/>
    <w:rsid w:val="002E3F77"/>
    <w:rsid w:val="002E46A5"/>
    <w:rsid w:val="002E5F6C"/>
    <w:rsid w:val="002F0D17"/>
    <w:rsid w:val="002F1691"/>
    <w:rsid w:val="002F255C"/>
    <w:rsid w:val="002F50CB"/>
    <w:rsid w:val="002F5DD6"/>
    <w:rsid w:val="002F6F90"/>
    <w:rsid w:val="0030253E"/>
    <w:rsid w:val="003026EE"/>
    <w:rsid w:val="00302AB7"/>
    <w:rsid w:val="00305BF8"/>
    <w:rsid w:val="00306757"/>
    <w:rsid w:val="003123A6"/>
    <w:rsid w:val="00317F64"/>
    <w:rsid w:val="003227BA"/>
    <w:rsid w:val="0032663A"/>
    <w:rsid w:val="00337543"/>
    <w:rsid w:val="003515E9"/>
    <w:rsid w:val="0035186E"/>
    <w:rsid w:val="00356FFF"/>
    <w:rsid w:val="003604CF"/>
    <w:rsid w:val="00363626"/>
    <w:rsid w:val="00374DF0"/>
    <w:rsid w:val="003750FA"/>
    <w:rsid w:val="00377B03"/>
    <w:rsid w:val="0038164A"/>
    <w:rsid w:val="003822C0"/>
    <w:rsid w:val="00382F1F"/>
    <w:rsid w:val="0038338A"/>
    <w:rsid w:val="00383BB2"/>
    <w:rsid w:val="0038441B"/>
    <w:rsid w:val="003854BB"/>
    <w:rsid w:val="003964FB"/>
    <w:rsid w:val="00396984"/>
    <w:rsid w:val="00396F81"/>
    <w:rsid w:val="003A36D4"/>
    <w:rsid w:val="003A5574"/>
    <w:rsid w:val="003A5826"/>
    <w:rsid w:val="003B0B3A"/>
    <w:rsid w:val="003B25D4"/>
    <w:rsid w:val="003B2E3C"/>
    <w:rsid w:val="003B374F"/>
    <w:rsid w:val="003B40CB"/>
    <w:rsid w:val="003B62A4"/>
    <w:rsid w:val="003B79A7"/>
    <w:rsid w:val="003C6E2A"/>
    <w:rsid w:val="003C6FEE"/>
    <w:rsid w:val="003D4921"/>
    <w:rsid w:val="003D552E"/>
    <w:rsid w:val="003D5532"/>
    <w:rsid w:val="003D7955"/>
    <w:rsid w:val="003E078E"/>
    <w:rsid w:val="003E08AD"/>
    <w:rsid w:val="003E1D96"/>
    <w:rsid w:val="003E3BDC"/>
    <w:rsid w:val="003E68D0"/>
    <w:rsid w:val="003F2323"/>
    <w:rsid w:val="004016ED"/>
    <w:rsid w:val="00402A76"/>
    <w:rsid w:val="00403D11"/>
    <w:rsid w:val="00405174"/>
    <w:rsid w:val="004060BD"/>
    <w:rsid w:val="004064E5"/>
    <w:rsid w:val="00406B8C"/>
    <w:rsid w:val="00406EA6"/>
    <w:rsid w:val="0041011B"/>
    <w:rsid w:val="0041239D"/>
    <w:rsid w:val="004132C1"/>
    <w:rsid w:val="0041339E"/>
    <w:rsid w:val="00414BEE"/>
    <w:rsid w:val="00415E16"/>
    <w:rsid w:val="00416285"/>
    <w:rsid w:val="0042162C"/>
    <w:rsid w:val="00422B81"/>
    <w:rsid w:val="00422E5F"/>
    <w:rsid w:val="00424184"/>
    <w:rsid w:val="0042669F"/>
    <w:rsid w:val="00426E2F"/>
    <w:rsid w:val="00427FF6"/>
    <w:rsid w:val="00431177"/>
    <w:rsid w:val="004312E6"/>
    <w:rsid w:val="00442883"/>
    <w:rsid w:val="00444D9C"/>
    <w:rsid w:val="0044674F"/>
    <w:rsid w:val="00451BB6"/>
    <w:rsid w:val="00451BF2"/>
    <w:rsid w:val="00452F78"/>
    <w:rsid w:val="0045536F"/>
    <w:rsid w:val="00455860"/>
    <w:rsid w:val="004569C2"/>
    <w:rsid w:val="00461414"/>
    <w:rsid w:val="00463526"/>
    <w:rsid w:val="00465DB8"/>
    <w:rsid w:val="00465EA8"/>
    <w:rsid w:val="00466834"/>
    <w:rsid w:val="004670F6"/>
    <w:rsid w:val="00467806"/>
    <w:rsid w:val="0047412F"/>
    <w:rsid w:val="00474389"/>
    <w:rsid w:val="00477B70"/>
    <w:rsid w:val="00480F0A"/>
    <w:rsid w:val="00487E74"/>
    <w:rsid w:val="00490161"/>
    <w:rsid w:val="00491A40"/>
    <w:rsid w:val="004A0843"/>
    <w:rsid w:val="004A34BE"/>
    <w:rsid w:val="004A508F"/>
    <w:rsid w:val="004A616F"/>
    <w:rsid w:val="004B0002"/>
    <w:rsid w:val="004B45D3"/>
    <w:rsid w:val="004C1B17"/>
    <w:rsid w:val="004C24A6"/>
    <w:rsid w:val="004C3EA9"/>
    <w:rsid w:val="004C651D"/>
    <w:rsid w:val="004C658A"/>
    <w:rsid w:val="004D1B8B"/>
    <w:rsid w:val="004D2882"/>
    <w:rsid w:val="004D32ED"/>
    <w:rsid w:val="004D3462"/>
    <w:rsid w:val="004D40E5"/>
    <w:rsid w:val="004D6218"/>
    <w:rsid w:val="004D6B22"/>
    <w:rsid w:val="004E4CBC"/>
    <w:rsid w:val="004F53DE"/>
    <w:rsid w:val="00500499"/>
    <w:rsid w:val="00501185"/>
    <w:rsid w:val="00501620"/>
    <w:rsid w:val="00502F0E"/>
    <w:rsid w:val="0050342B"/>
    <w:rsid w:val="00506B35"/>
    <w:rsid w:val="005071F8"/>
    <w:rsid w:val="0051105A"/>
    <w:rsid w:val="0051240D"/>
    <w:rsid w:val="00513F9F"/>
    <w:rsid w:val="00514DBD"/>
    <w:rsid w:val="005172F0"/>
    <w:rsid w:val="005177B2"/>
    <w:rsid w:val="00525915"/>
    <w:rsid w:val="00530A6E"/>
    <w:rsid w:val="00530EA8"/>
    <w:rsid w:val="00531586"/>
    <w:rsid w:val="00537521"/>
    <w:rsid w:val="005401BC"/>
    <w:rsid w:val="005408E3"/>
    <w:rsid w:val="005421BB"/>
    <w:rsid w:val="00543F4F"/>
    <w:rsid w:val="00544C35"/>
    <w:rsid w:val="00546169"/>
    <w:rsid w:val="00546746"/>
    <w:rsid w:val="00547E9D"/>
    <w:rsid w:val="00550DB9"/>
    <w:rsid w:val="005552D8"/>
    <w:rsid w:val="005633A9"/>
    <w:rsid w:val="00566D4F"/>
    <w:rsid w:val="0057086D"/>
    <w:rsid w:val="00574C7F"/>
    <w:rsid w:val="00575B19"/>
    <w:rsid w:val="00576462"/>
    <w:rsid w:val="005770E5"/>
    <w:rsid w:val="00580214"/>
    <w:rsid w:val="00583036"/>
    <w:rsid w:val="00583C33"/>
    <w:rsid w:val="0058495B"/>
    <w:rsid w:val="00584D54"/>
    <w:rsid w:val="005852B3"/>
    <w:rsid w:val="00586BDE"/>
    <w:rsid w:val="00591D50"/>
    <w:rsid w:val="0059210B"/>
    <w:rsid w:val="005925ED"/>
    <w:rsid w:val="005951F0"/>
    <w:rsid w:val="00596EE3"/>
    <w:rsid w:val="005978C6"/>
    <w:rsid w:val="005A21F9"/>
    <w:rsid w:val="005A516D"/>
    <w:rsid w:val="005A5BAB"/>
    <w:rsid w:val="005A715C"/>
    <w:rsid w:val="005B0156"/>
    <w:rsid w:val="005B4051"/>
    <w:rsid w:val="005B44EB"/>
    <w:rsid w:val="005B6341"/>
    <w:rsid w:val="005B76CB"/>
    <w:rsid w:val="005B7707"/>
    <w:rsid w:val="005C3B68"/>
    <w:rsid w:val="005C6DEA"/>
    <w:rsid w:val="005C7538"/>
    <w:rsid w:val="005E0ECB"/>
    <w:rsid w:val="005E39A5"/>
    <w:rsid w:val="005E3EE8"/>
    <w:rsid w:val="005E4065"/>
    <w:rsid w:val="005F5628"/>
    <w:rsid w:val="005F6874"/>
    <w:rsid w:val="005F72E3"/>
    <w:rsid w:val="005F7D9F"/>
    <w:rsid w:val="00602972"/>
    <w:rsid w:val="006040FC"/>
    <w:rsid w:val="006041CE"/>
    <w:rsid w:val="006053CA"/>
    <w:rsid w:val="00605D0A"/>
    <w:rsid w:val="006069D2"/>
    <w:rsid w:val="006078F1"/>
    <w:rsid w:val="00610BC3"/>
    <w:rsid w:val="006124F6"/>
    <w:rsid w:val="00612E61"/>
    <w:rsid w:val="0061307E"/>
    <w:rsid w:val="006141B6"/>
    <w:rsid w:val="00620CEB"/>
    <w:rsid w:val="00621CB7"/>
    <w:rsid w:val="00625725"/>
    <w:rsid w:val="00626246"/>
    <w:rsid w:val="00630287"/>
    <w:rsid w:val="00630669"/>
    <w:rsid w:val="00634B20"/>
    <w:rsid w:val="006370F5"/>
    <w:rsid w:val="006429AF"/>
    <w:rsid w:val="00644492"/>
    <w:rsid w:val="00644504"/>
    <w:rsid w:val="006448E2"/>
    <w:rsid w:val="006505D5"/>
    <w:rsid w:val="006507FA"/>
    <w:rsid w:val="00654FFB"/>
    <w:rsid w:val="0066116F"/>
    <w:rsid w:val="006715A0"/>
    <w:rsid w:val="00671CF3"/>
    <w:rsid w:val="006730AD"/>
    <w:rsid w:val="006733CD"/>
    <w:rsid w:val="00674C06"/>
    <w:rsid w:val="006753A6"/>
    <w:rsid w:val="00677927"/>
    <w:rsid w:val="00677EBA"/>
    <w:rsid w:val="0068168C"/>
    <w:rsid w:val="00695621"/>
    <w:rsid w:val="00697030"/>
    <w:rsid w:val="006A1055"/>
    <w:rsid w:val="006A3C1E"/>
    <w:rsid w:val="006A4243"/>
    <w:rsid w:val="006B0ED2"/>
    <w:rsid w:val="006B5C00"/>
    <w:rsid w:val="006D1765"/>
    <w:rsid w:val="006D23DD"/>
    <w:rsid w:val="006E0CEB"/>
    <w:rsid w:val="006E1CBC"/>
    <w:rsid w:val="006E3E1D"/>
    <w:rsid w:val="006E6941"/>
    <w:rsid w:val="006E6B25"/>
    <w:rsid w:val="006F1EF5"/>
    <w:rsid w:val="006F63C5"/>
    <w:rsid w:val="006F6810"/>
    <w:rsid w:val="0070013A"/>
    <w:rsid w:val="00703794"/>
    <w:rsid w:val="00704FFB"/>
    <w:rsid w:val="007069E2"/>
    <w:rsid w:val="00707E32"/>
    <w:rsid w:val="00711630"/>
    <w:rsid w:val="00720022"/>
    <w:rsid w:val="0072337A"/>
    <w:rsid w:val="00725C3C"/>
    <w:rsid w:val="00727A64"/>
    <w:rsid w:val="00731137"/>
    <w:rsid w:val="0073377D"/>
    <w:rsid w:val="00734E4D"/>
    <w:rsid w:val="00736479"/>
    <w:rsid w:val="00737813"/>
    <w:rsid w:val="00740F31"/>
    <w:rsid w:val="0074165A"/>
    <w:rsid w:val="00743617"/>
    <w:rsid w:val="00744029"/>
    <w:rsid w:val="00745C43"/>
    <w:rsid w:val="00747EA1"/>
    <w:rsid w:val="00752F9F"/>
    <w:rsid w:val="00753475"/>
    <w:rsid w:val="0075390D"/>
    <w:rsid w:val="00753A15"/>
    <w:rsid w:val="00762A4D"/>
    <w:rsid w:val="00766BAA"/>
    <w:rsid w:val="00767B5B"/>
    <w:rsid w:val="00770A7A"/>
    <w:rsid w:val="007745D7"/>
    <w:rsid w:val="0078177B"/>
    <w:rsid w:val="007825C2"/>
    <w:rsid w:val="00784651"/>
    <w:rsid w:val="00785271"/>
    <w:rsid w:val="007972EC"/>
    <w:rsid w:val="007A1939"/>
    <w:rsid w:val="007A5866"/>
    <w:rsid w:val="007A7B00"/>
    <w:rsid w:val="007B1349"/>
    <w:rsid w:val="007B48F2"/>
    <w:rsid w:val="007B4CF4"/>
    <w:rsid w:val="007B4F7A"/>
    <w:rsid w:val="007B64A6"/>
    <w:rsid w:val="007C2848"/>
    <w:rsid w:val="007C3521"/>
    <w:rsid w:val="007C4F9A"/>
    <w:rsid w:val="007D14F5"/>
    <w:rsid w:val="007D390F"/>
    <w:rsid w:val="007E213F"/>
    <w:rsid w:val="007E21E3"/>
    <w:rsid w:val="007E5C10"/>
    <w:rsid w:val="007E71D7"/>
    <w:rsid w:val="007F5B8A"/>
    <w:rsid w:val="0080052B"/>
    <w:rsid w:val="008013C2"/>
    <w:rsid w:val="00802C7C"/>
    <w:rsid w:val="00802F10"/>
    <w:rsid w:val="00804169"/>
    <w:rsid w:val="00806623"/>
    <w:rsid w:val="00807EA0"/>
    <w:rsid w:val="00815AF4"/>
    <w:rsid w:val="00820CBF"/>
    <w:rsid w:val="008228C7"/>
    <w:rsid w:val="00823F65"/>
    <w:rsid w:val="00824F9F"/>
    <w:rsid w:val="00826150"/>
    <w:rsid w:val="00826769"/>
    <w:rsid w:val="0082742E"/>
    <w:rsid w:val="0083077A"/>
    <w:rsid w:val="008312DD"/>
    <w:rsid w:val="00833622"/>
    <w:rsid w:val="00834C64"/>
    <w:rsid w:val="00836BA8"/>
    <w:rsid w:val="00837749"/>
    <w:rsid w:val="00841D23"/>
    <w:rsid w:val="0084207C"/>
    <w:rsid w:val="00842C66"/>
    <w:rsid w:val="00847F01"/>
    <w:rsid w:val="008501D1"/>
    <w:rsid w:val="0086131C"/>
    <w:rsid w:val="008615F7"/>
    <w:rsid w:val="00862B43"/>
    <w:rsid w:val="00862FD4"/>
    <w:rsid w:val="00862FF9"/>
    <w:rsid w:val="008633A2"/>
    <w:rsid w:val="00863EF0"/>
    <w:rsid w:val="00867044"/>
    <w:rsid w:val="0086706A"/>
    <w:rsid w:val="00873348"/>
    <w:rsid w:val="00876B8A"/>
    <w:rsid w:val="008808C9"/>
    <w:rsid w:val="00880CF0"/>
    <w:rsid w:val="008814E5"/>
    <w:rsid w:val="00881C2D"/>
    <w:rsid w:val="00883FD0"/>
    <w:rsid w:val="008874E7"/>
    <w:rsid w:val="0089001F"/>
    <w:rsid w:val="00891BB1"/>
    <w:rsid w:val="008929DD"/>
    <w:rsid w:val="008A02B3"/>
    <w:rsid w:val="008A1CFF"/>
    <w:rsid w:val="008A2909"/>
    <w:rsid w:val="008A78D3"/>
    <w:rsid w:val="008B16EE"/>
    <w:rsid w:val="008B2DC3"/>
    <w:rsid w:val="008B4802"/>
    <w:rsid w:val="008B4CA5"/>
    <w:rsid w:val="008B7D21"/>
    <w:rsid w:val="008C03F9"/>
    <w:rsid w:val="008C3C38"/>
    <w:rsid w:val="008C7AAE"/>
    <w:rsid w:val="008D21A6"/>
    <w:rsid w:val="008D3017"/>
    <w:rsid w:val="008D344E"/>
    <w:rsid w:val="008D3F00"/>
    <w:rsid w:val="008D7BB5"/>
    <w:rsid w:val="008E4A17"/>
    <w:rsid w:val="008E5E30"/>
    <w:rsid w:val="008E7AE4"/>
    <w:rsid w:val="008F3092"/>
    <w:rsid w:val="008F5693"/>
    <w:rsid w:val="008F63DC"/>
    <w:rsid w:val="0090222F"/>
    <w:rsid w:val="00905E6B"/>
    <w:rsid w:val="00906F21"/>
    <w:rsid w:val="00911D51"/>
    <w:rsid w:val="00911E00"/>
    <w:rsid w:val="00913D8C"/>
    <w:rsid w:val="00917B5A"/>
    <w:rsid w:val="0092094B"/>
    <w:rsid w:val="00924A7C"/>
    <w:rsid w:val="00925B80"/>
    <w:rsid w:val="0092689F"/>
    <w:rsid w:val="00931518"/>
    <w:rsid w:val="0093182C"/>
    <w:rsid w:val="009338EF"/>
    <w:rsid w:val="00940452"/>
    <w:rsid w:val="00944E8E"/>
    <w:rsid w:val="009469E9"/>
    <w:rsid w:val="009516C2"/>
    <w:rsid w:val="00951C99"/>
    <w:rsid w:val="0095312F"/>
    <w:rsid w:val="00953CE5"/>
    <w:rsid w:val="009547B5"/>
    <w:rsid w:val="0095796F"/>
    <w:rsid w:val="00964042"/>
    <w:rsid w:val="00965C57"/>
    <w:rsid w:val="009672BA"/>
    <w:rsid w:val="009673C0"/>
    <w:rsid w:val="00967531"/>
    <w:rsid w:val="00967655"/>
    <w:rsid w:val="00967F11"/>
    <w:rsid w:val="009727F1"/>
    <w:rsid w:val="0097477C"/>
    <w:rsid w:val="00980A2F"/>
    <w:rsid w:val="0098318B"/>
    <w:rsid w:val="00983F30"/>
    <w:rsid w:val="00986E88"/>
    <w:rsid w:val="009920D8"/>
    <w:rsid w:val="009A0475"/>
    <w:rsid w:val="009A0A9D"/>
    <w:rsid w:val="009A50FA"/>
    <w:rsid w:val="009B261D"/>
    <w:rsid w:val="009B3935"/>
    <w:rsid w:val="009B7749"/>
    <w:rsid w:val="009C0610"/>
    <w:rsid w:val="009C22BB"/>
    <w:rsid w:val="009C4493"/>
    <w:rsid w:val="009D14E5"/>
    <w:rsid w:val="009E0CAB"/>
    <w:rsid w:val="009E2E3E"/>
    <w:rsid w:val="009F0721"/>
    <w:rsid w:val="009F2624"/>
    <w:rsid w:val="009F2CEB"/>
    <w:rsid w:val="009F4DA7"/>
    <w:rsid w:val="009F6685"/>
    <w:rsid w:val="009F7F76"/>
    <w:rsid w:val="00A04CEE"/>
    <w:rsid w:val="00A04F71"/>
    <w:rsid w:val="00A067B4"/>
    <w:rsid w:val="00A07837"/>
    <w:rsid w:val="00A1248A"/>
    <w:rsid w:val="00A147A9"/>
    <w:rsid w:val="00A202DD"/>
    <w:rsid w:val="00A207CA"/>
    <w:rsid w:val="00A20BD6"/>
    <w:rsid w:val="00A26100"/>
    <w:rsid w:val="00A266B9"/>
    <w:rsid w:val="00A307FA"/>
    <w:rsid w:val="00A30CCE"/>
    <w:rsid w:val="00A312A3"/>
    <w:rsid w:val="00A32A8D"/>
    <w:rsid w:val="00A33E7E"/>
    <w:rsid w:val="00A34AC6"/>
    <w:rsid w:val="00A3532E"/>
    <w:rsid w:val="00A37BCD"/>
    <w:rsid w:val="00A40DDA"/>
    <w:rsid w:val="00A437AA"/>
    <w:rsid w:val="00A45F54"/>
    <w:rsid w:val="00A464B1"/>
    <w:rsid w:val="00A46F13"/>
    <w:rsid w:val="00A50F9B"/>
    <w:rsid w:val="00A6072B"/>
    <w:rsid w:val="00A631ED"/>
    <w:rsid w:val="00A701F5"/>
    <w:rsid w:val="00A71C85"/>
    <w:rsid w:val="00A740B3"/>
    <w:rsid w:val="00A743C1"/>
    <w:rsid w:val="00A84885"/>
    <w:rsid w:val="00A857B0"/>
    <w:rsid w:val="00A85A58"/>
    <w:rsid w:val="00A90B17"/>
    <w:rsid w:val="00A9234B"/>
    <w:rsid w:val="00A92D54"/>
    <w:rsid w:val="00A93F35"/>
    <w:rsid w:val="00A94144"/>
    <w:rsid w:val="00A95993"/>
    <w:rsid w:val="00A95F68"/>
    <w:rsid w:val="00AA17B1"/>
    <w:rsid w:val="00AA27A8"/>
    <w:rsid w:val="00AA2D61"/>
    <w:rsid w:val="00AA53BC"/>
    <w:rsid w:val="00AA5554"/>
    <w:rsid w:val="00AB5FEC"/>
    <w:rsid w:val="00AB74E4"/>
    <w:rsid w:val="00AC035E"/>
    <w:rsid w:val="00AC0CF1"/>
    <w:rsid w:val="00AC0D1D"/>
    <w:rsid w:val="00AC2F5A"/>
    <w:rsid w:val="00AC36FC"/>
    <w:rsid w:val="00AC72F1"/>
    <w:rsid w:val="00AD0A37"/>
    <w:rsid w:val="00AD5ADC"/>
    <w:rsid w:val="00AE2997"/>
    <w:rsid w:val="00AE41B0"/>
    <w:rsid w:val="00AE426C"/>
    <w:rsid w:val="00AE60BC"/>
    <w:rsid w:val="00B00245"/>
    <w:rsid w:val="00B004F6"/>
    <w:rsid w:val="00B04502"/>
    <w:rsid w:val="00B06A15"/>
    <w:rsid w:val="00B10D6F"/>
    <w:rsid w:val="00B11C51"/>
    <w:rsid w:val="00B154E0"/>
    <w:rsid w:val="00B1729D"/>
    <w:rsid w:val="00B21909"/>
    <w:rsid w:val="00B2439C"/>
    <w:rsid w:val="00B25CEA"/>
    <w:rsid w:val="00B3074F"/>
    <w:rsid w:val="00B30A1C"/>
    <w:rsid w:val="00B32DB2"/>
    <w:rsid w:val="00B34CD9"/>
    <w:rsid w:val="00B360E2"/>
    <w:rsid w:val="00B377C1"/>
    <w:rsid w:val="00B43240"/>
    <w:rsid w:val="00B43B25"/>
    <w:rsid w:val="00B43BFA"/>
    <w:rsid w:val="00B44AE7"/>
    <w:rsid w:val="00B45C40"/>
    <w:rsid w:val="00B47A58"/>
    <w:rsid w:val="00B5320D"/>
    <w:rsid w:val="00B53250"/>
    <w:rsid w:val="00B558D6"/>
    <w:rsid w:val="00B60FDF"/>
    <w:rsid w:val="00B6292D"/>
    <w:rsid w:val="00B62BC2"/>
    <w:rsid w:val="00B70874"/>
    <w:rsid w:val="00B741C6"/>
    <w:rsid w:val="00B83ACB"/>
    <w:rsid w:val="00B85E8E"/>
    <w:rsid w:val="00B86024"/>
    <w:rsid w:val="00B92B03"/>
    <w:rsid w:val="00B9574D"/>
    <w:rsid w:val="00B96E22"/>
    <w:rsid w:val="00BA0857"/>
    <w:rsid w:val="00BA7303"/>
    <w:rsid w:val="00BB23BB"/>
    <w:rsid w:val="00BB2401"/>
    <w:rsid w:val="00BB25A4"/>
    <w:rsid w:val="00BB3D3A"/>
    <w:rsid w:val="00BB4723"/>
    <w:rsid w:val="00BB56D3"/>
    <w:rsid w:val="00BB6C0D"/>
    <w:rsid w:val="00BB7199"/>
    <w:rsid w:val="00BB72C2"/>
    <w:rsid w:val="00BC112D"/>
    <w:rsid w:val="00BC5F7D"/>
    <w:rsid w:val="00BC6D71"/>
    <w:rsid w:val="00BD3434"/>
    <w:rsid w:val="00BE07FC"/>
    <w:rsid w:val="00BE1EB7"/>
    <w:rsid w:val="00BE4DB4"/>
    <w:rsid w:val="00BF2D78"/>
    <w:rsid w:val="00BF3BC6"/>
    <w:rsid w:val="00C00771"/>
    <w:rsid w:val="00C04622"/>
    <w:rsid w:val="00C10BB5"/>
    <w:rsid w:val="00C11822"/>
    <w:rsid w:val="00C135C6"/>
    <w:rsid w:val="00C13FEB"/>
    <w:rsid w:val="00C2281A"/>
    <w:rsid w:val="00C251A1"/>
    <w:rsid w:val="00C251A9"/>
    <w:rsid w:val="00C257C0"/>
    <w:rsid w:val="00C278F6"/>
    <w:rsid w:val="00C27D0F"/>
    <w:rsid w:val="00C31500"/>
    <w:rsid w:val="00C32265"/>
    <w:rsid w:val="00C419B8"/>
    <w:rsid w:val="00C43FE4"/>
    <w:rsid w:val="00C44EF7"/>
    <w:rsid w:val="00C62E47"/>
    <w:rsid w:val="00C656F9"/>
    <w:rsid w:val="00C65733"/>
    <w:rsid w:val="00C66195"/>
    <w:rsid w:val="00C67010"/>
    <w:rsid w:val="00C6742B"/>
    <w:rsid w:val="00C74B5C"/>
    <w:rsid w:val="00C77024"/>
    <w:rsid w:val="00C81905"/>
    <w:rsid w:val="00C8615D"/>
    <w:rsid w:val="00C90C58"/>
    <w:rsid w:val="00C90E92"/>
    <w:rsid w:val="00C92DE3"/>
    <w:rsid w:val="00C9366B"/>
    <w:rsid w:val="00C95495"/>
    <w:rsid w:val="00C960A4"/>
    <w:rsid w:val="00CA34DF"/>
    <w:rsid w:val="00CA685C"/>
    <w:rsid w:val="00CB11D0"/>
    <w:rsid w:val="00CB1DA3"/>
    <w:rsid w:val="00CB31AE"/>
    <w:rsid w:val="00CB5170"/>
    <w:rsid w:val="00CB5781"/>
    <w:rsid w:val="00CB609D"/>
    <w:rsid w:val="00CC1F25"/>
    <w:rsid w:val="00CC1F90"/>
    <w:rsid w:val="00CC5C8B"/>
    <w:rsid w:val="00CC698C"/>
    <w:rsid w:val="00CD0E5B"/>
    <w:rsid w:val="00CD5D91"/>
    <w:rsid w:val="00CD62B5"/>
    <w:rsid w:val="00CD6C31"/>
    <w:rsid w:val="00CD76B8"/>
    <w:rsid w:val="00CD7F04"/>
    <w:rsid w:val="00CE351B"/>
    <w:rsid w:val="00CE4005"/>
    <w:rsid w:val="00CE4A94"/>
    <w:rsid w:val="00CE4C2E"/>
    <w:rsid w:val="00CE79F7"/>
    <w:rsid w:val="00CF1ECC"/>
    <w:rsid w:val="00CF2264"/>
    <w:rsid w:val="00CF3132"/>
    <w:rsid w:val="00CF36A8"/>
    <w:rsid w:val="00CF5875"/>
    <w:rsid w:val="00CF7AD8"/>
    <w:rsid w:val="00D01B96"/>
    <w:rsid w:val="00D03AA1"/>
    <w:rsid w:val="00D11900"/>
    <w:rsid w:val="00D12CD7"/>
    <w:rsid w:val="00D13BF8"/>
    <w:rsid w:val="00D1589B"/>
    <w:rsid w:val="00D214E9"/>
    <w:rsid w:val="00D21530"/>
    <w:rsid w:val="00D23607"/>
    <w:rsid w:val="00D30BF0"/>
    <w:rsid w:val="00D344B3"/>
    <w:rsid w:val="00D344E0"/>
    <w:rsid w:val="00D35C29"/>
    <w:rsid w:val="00D413F8"/>
    <w:rsid w:val="00D41E6D"/>
    <w:rsid w:val="00D430CD"/>
    <w:rsid w:val="00D468C8"/>
    <w:rsid w:val="00D54564"/>
    <w:rsid w:val="00D55EF4"/>
    <w:rsid w:val="00D6554E"/>
    <w:rsid w:val="00D735C1"/>
    <w:rsid w:val="00D81D2F"/>
    <w:rsid w:val="00D83F41"/>
    <w:rsid w:val="00D85E53"/>
    <w:rsid w:val="00D8655E"/>
    <w:rsid w:val="00D86855"/>
    <w:rsid w:val="00D86D30"/>
    <w:rsid w:val="00D938E2"/>
    <w:rsid w:val="00D947B1"/>
    <w:rsid w:val="00DA5910"/>
    <w:rsid w:val="00DA618B"/>
    <w:rsid w:val="00DA645B"/>
    <w:rsid w:val="00DA6654"/>
    <w:rsid w:val="00DB449D"/>
    <w:rsid w:val="00DB6067"/>
    <w:rsid w:val="00DB723D"/>
    <w:rsid w:val="00DC0C04"/>
    <w:rsid w:val="00DC1490"/>
    <w:rsid w:val="00DC3075"/>
    <w:rsid w:val="00DC6154"/>
    <w:rsid w:val="00DD404A"/>
    <w:rsid w:val="00DD7E83"/>
    <w:rsid w:val="00DE1F4E"/>
    <w:rsid w:val="00DE2706"/>
    <w:rsid w:val="00DE3A7D"/>
    <w:rsid w:val="00DE4B10"/>
    <w:rsid w:val="00DE7057"/>
    <w:rsid w:val="00DF062D"/>
    <w:rsid w:val="00DF0FB7"/>
    <w:rsid w:val="00DF10A8"/>
    <w:rsid w:val="00DF1DB9"/>
    <w:rsid w:val="00DF47A2"/>
    <w:rsid w:val="00DF634C"/>
    <w:rsid w:val="00E01F0D"/>
    <w:rsid w:val="00E02538"/>
    <w:rsid w:val="00E11669"/>
    <w:rsid w:val="00E14FDA"/>
    <w:rsid w:val="00E22102"/>
    <w:rsid w:val="00E238D2"/>
    <w:rsid w:val="00E24C6D"/>
    <w:rsid w:val="00E24E40"/>
    <w:rsid w:val="00E2561A"/>
    <w:rsid w:val="00E26929"/>
    <w:rsid w:val="00E30072"/>
    <w:rsid w:val="00E30C1D"/>
    <w:rsid w:val="00E353EA"/>
    <w:rsid w:val="00E35E37"/>
    <w:rsid w:val="00E40AD9"/>
    <w:rsid w:val="00E4288A"/>
    <w:rsid w:val="00E54DAB"/>
    <w:rsid w:val="00E55C10"/>
    <w:rsid w:val="00E62070"/>
    <w:rsid w:val="00E64643"/>
    <w:rsid w:val="00E6662B"/>
    <w:rsid w:val="00E751FE"/>
    <w:rsid w:val="00E75320"/>
    <w:rsid w:val="00E75A99"/>
    <w:rsid w:val="00E75AA9"/>
    <w:rsid w:val="00E7686E"/>
    <w:rsid w:val="00E80B23"/>
    <w:rsid w:val="00E851F1"/>
    <w:rsid w:val="00E87FDB"/>
    <w:rsid w:val="00E90BC0"/>
    <w:rsid w:val="00E92350"/>
    <w:rsid w:val="00E939DD"/>
    <w:rsid w:val="00EA0363"/>
    <w:rsid w:val="00EA0588"/>
    <w:rsid w:val="00EA0C0E"/>
    <w:rsid w:val="00EA5512"/>
    <w:rsid w:val="00EA7498"/>
    <w:rsid w:val="00EB01CA"/>
    <w:rsid w:val="00EC0F38"/>
    <w:rsid w:val="00EC2B31"/>
    <w:rsid w:val="00EC2E10"/>
    <w:rsid w:val="00EC58FE"/>
    <w:rsid w:val="00ED13FF"/>
    <w:rsid w:val="00ED1E05"/>
    <w:rsid w:val="00ED2892"/>
    <w:rsid w:val="00ED7A60"/>
    <w:rsid w:val="00EE40B0"/>
    <w:rsid w:val="00EE5B06"/>
    <w:rsid w:val="00EF1400"/>
    <w:rsid w:val="00EF2734"/>
    <w:rsid w:val="00EF39B2"/>
    <w:rsid w:val="00EF4F23"/>
    <w:rsid w:val="00EF594E"/>
    <w:rsid w:val="00EF5C16"/>
    <w:rsid w:val="00F03497"/>
    <w:rsid w:val="00F044ED"/>
    <w:rsid w:val="00F07AD0"/>
    <w:rsid w:val="00F10905"/>
    <w:rsid w:val="00F1122D"/>
    <w:rsid w:val="00F24B5D"/>
    <w:rsid w:val="00F25582"/>
    <w:rsid w:val="00F25C3F"/>
    <w:rsid w:val="00F32FB1"/>
    <w:rsid w:val="00F40A8D"/>
    <w:rsid w:val="00F4441E"/>
    <w:rsid w:val="00F45712"/>
    <w:rsid w:val="00F57288"/>
    <w:rsid w:val="00F7051D"/>
    <w:rsid w:val="00F76EB7"/>
    <w:rsid w:val="00F82BE1"/>
    <w:rsid w:val="00F830C8"/>
    <w:rsid w:val="00F836CD"/>
    <w:rsid w:val="00F90754"/>
    <w:rsid w:val="00F9783B"/>
    <w:rsid w:val="00FA13DD"/>
    <w:rsid w:val="00FA4C31"/>
    <w:rsid w:val="00FB1D32"/>
    <w:rsid w:val="00FB22C0"/>
    <w:rsid w:val="00FC0EE7"/>
    <w:rsid w:val="00FC2BC4"/>
    <w:rsid w:val="00FC3B46"/>
    <w:rsid w:val="00FC4367"/>
    <w:rsid w:val="00FC4BB5"/>
    <w:rsid w:val="00FC4DE0"/>
    <w:rsid w:val="00FC6ABF"/>
    <w:rsid w:val="00FC7BCA"/>
    <w:rsid w:val="00FD0A6E"/>
    <w:rsid w:val="00FD4703"/>
    <w:rsid w:val="00FD484A"/>
    <w:rsid w:val="00FD48BC"/>
    <w:rsid w:val="00FD76B8"/>
    <w:rsid w:val="00FD7EFA"/>
    <w:rsid w:val="00FE1AD9"/>
    <w:rsid w:val="00FE542B"/>
    <w:rsid w:val="00FE7BE1"/>
    <w:rsid w:val="00FF254C"/>
    <w:rsid w:val="00FF2F9D"/>
    <w:rsid w:val="00FF519E"/>
    <w:rsid w:val="00FF7B23"/>
    <w:rsid w:val="00FF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69DE9"/>
  <w15:docId w15:val="{924FA5F9-9442-4744-AF0F-27B1125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A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0A6E"/>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C4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30A6E"/>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
    <w:qFormat/>
    <w:rsid w:val="00530A6E"/>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
    <w:unhideWhenUsed/>
    <w:qFormat/>
    <w:rsid w:val="004B000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530A6E"/>
    <w:pPr>
      <w:numPr>
        <w:ilvl w:val="5"/>
        <w:numId w:val="1"/>
      </w:numPr>
      <w:spacing w:before="240" w:after="60"/>
      <w:outlineLvl w:val="5"/>
    </w:pPr>
    <w:rPr>
      <w:i/>
      <w:sz w:val="22"/>
      <w:szCs w:val="20"/>
    </w:rPr>
  </w:style>
  <w:style w:type="paragraph" w:styleId="Heading7">
    <w:name w:val="heading 7"/>
    <w:basedOn w:val="Normal"/>
    <w:next w:val="Normal"/>
    <w:link w:val="Heading7Char"/>
    <w:uiPriority w:val="9"/>
    <w:qFormat/>
    <w:rsid w:val="00530A6E"/>
    <w:pPr>
      <w:numPr>
        <w:ilvl w:val="6"/>
        <w:numId w:val="1"/>
      </w:numPr>
      <w:spacing w:before="240" w:after="60"/>
      <w:outlineLvl w:val="6"/>
    </w:pPr>
    <w:rPr>
      <w:rFonts w:ascii="Arial" w:hAnsi="Arial"/>
      <w:szCs w:val="20"/>
    </w:rPr>
  </w:style>
  <w:style w:type="paragraph" w:styleId="Heading8">
    <w:name w:val="heading 8"/>
    <w:basedOn w:val="Normal"/>
    <w:next w:val="Normal"/>
    <w:link w:val="Heading8Char"/>
    <w:uiPriority w:val="9"/>
    <w:qFormat/>
    <w:rsid w:val="00530A6E"/>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uiPriority w:val="9"/>
    <w:qFormat/>
    <w:rsid w:val="00530A6E"/>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C3"/>
    <w:pPr>
      <w:spacing w:after="0" w:line="240" w:lineRule="auto"/>
    </w:pPr>
  </w:style>
  <w:style w:type="character" w:customStyle="1" w:styleId="Heading1Char">
    <w:name w:val="Heading 1 Char"/>
    <w:basedOn w:val="DefaultParagraphFont"/>
    <w:link w:val="Heading1"/>
    <w:uiPriority w:val="9"/>
    <w:rsid w:val="00530A6E"/>
    <w:rPr>
      <w:rFonts w:ascii="Arial" w:eastAsia="Times New Roman" w:hAnsi="Arial" w:cs="Times New Roman"/>
      <w:b/>
      <w:kern w:val="28"/>
      <w:sz w:val="28"/>
      <w:szCs w:val="20"/>
    </w:rPr>
  </w:style>
  <w:style w:type="character" w:customStyle="1" w:styleId="Heading3Char">
    <w:name w:val="Heading 3 Char"/>
    <w:basedOn w:val="DefaultParagraphFont"/>
    <w:link w:val="Heading3"/>
    <w:uiPriority w:val="9"/>
    <w:rsid w:val="00530A6E"/>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30A6E"/>
    <w:rPr>
      <w:rFonts w:ascii="Arial" w:eastAsia="Times New Roman" w:hAnsi="Arial" w:cs="Times New Roman"/>
      <w:b/>
      <w:sz w:val="24"/>
      <w:szCs w:val="20"/>
    </w:rPr>
  </w:style>
  <w:style w:type="character" w:customStyle="1" w:styleId="Heading6Char">
    <w:name w:val="Heading 6 Char"/>
    <w:basedOn w:val="DefaultParagraphFont"/>
    <w:link w:val="Heading6"/>
    <w:uiPriority w:val="9"/>
    <w:rsid w:val="00530A6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530A6E"/>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530A6E"/>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530A6E"/>
    <w:rPr>
      <w:rFonts w:ascii="Arial" w:eastAsia="Times New Roman" w:hAnsi="Arial" w:cs="Times New Roman"/>
      <w:b/>
      <w:i/>
      <w:sz w:val="18"/>
      <w:szCs w:val="20"/>
    </w:rPr>
  </w:style>
  <w:style w:type="paragraph" w:customStyle="1" w:styleId="Chapter">
    <w:name w:val="Chapter"/>
    <w:basedOn w:val="Normal"/>
    <w:next w:val="Normal"/>
    <w:rsid w:val="00530A6E"/>
    <w:pPr>
      <w:tabs>
        <w:tab w:val="num" w:pos="720"/>
        <w:tab w:val="left" w:pos="1440"/>
      </w:tabs>
      <w:spacing w:after="240"/>
      <w:ind w:left="720" w:hanging="720"/>
      <w:jc w:val="center"/>
    </w:pPr>
    <w:rPr>
      <w:b/>
      <w:smallCaps/>
      <w:noProof/>
      <w:szCs w:val="20"/>
    </w:rPr>
  </w:style>
  <w:style w:type="paragraph" w:customStyle="1" w:styleId="Paragraph">
    <w:name w:val="Paragraph"/>
    <w:aliases w:val="paragraph,p,PARAGRAPH,PG,pa,at"/>
    <w:basedOn w:val="BodyTextIndent"/>
    <w:link w:val="ParagraphChar"/>
    <w:qFormat/>
    <w:rsid w:val="00530A6E"/>
    <w:pPr>
      <w:tabs>
        <w:tab w:val="num" w:pos="1440"/>
      </w:tabs>
      <w:spacing w:before="120"/>
      <w:ind w:left="1440" w:hanging="720"/>
      <w:jc w:val="both"/>
      <w:outlineLvl w:val="1"/>
    </w:pPr>
    <w:rPr>
      <w:szCs w:val="20"/>
    </w:rPr>
  </w:style>
  <w:style w:type="paragraph" w:styleId="Header">
    <w:name w:val="header"/>
    <w:basedOn w:val="Normal"/>
    <w:link w:val="HeaderChar"/>
    <w:uiPriority w:val="99"/>
    <w:rsid w:val="00530A6E"/>
    <w:pPr>
      <w:tabs>
        <w:tab w:val="center" w:pos="4320"/>
        <w:tab w:val="right" w:pos="8640"/>
      </w:tabs>
    </w:pPr>
  </w:style>
  <w:style w:type="character" w:customStyle="1" w:styleId="HeaderChar">
    <w:name w:val="Header Char"/>
    <w:basedOn w:val="DefaultParagraphFont"/>
    <w:link w:val="Header"/>
    <w:uiPriority w:val="99"/>
    <w:rsid w:val="00530A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30A6E"/>
    <w:pPr>
      <w:spacing w:after="120"/>
      <w:ind w:left="360"/>
    </w:pPr>
  </w:style>
  <w:style w:type="character" w:customStyle="1" w:styleId="BodyTextIndentChar">
    <w:name w:val="Body Text Indent Char"/>
    <w:basedOn w:val="DefaultParagraphFont"/>
    <w:link w:val="BodyTextIndent"/>
    <w:uiPriority w:val="99"/>
    <w:semiHidden/>
    <w:rsid w:val="00530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A6E"/>
    <w:pPr>
      <w:tabs>
        <w:tab w:val="center" w:pos="4680"/>
        <w:tab w:val="right" w:pos="9360"/>
      </w:tabs>
    </w:pPr>
  </w:style>
  <w:style w:type="character" w:customStyle="1" w:styleId="FooterChar">
    <w:name w:val="Footer Char"/>
    <w:basedOn w:val="DefaultParagraphFont"/>
    <w:link w:val="Footer"/>
    <w:uiPriority w:val="99"/>
    <w:rsid w:val="00530A6E"/>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30A6E"/>
    <w:rPr>
      <w:rFonts w:ascii="Tahoma" w:hAnsi="Tahoma" w:cs="Tahoma"/>
      <w:sz w:val="16"/>
      <w:szCs w:val="16"/>
    </w:rPr>
  </w:style>
  <w:style w:type="character" w:customStyle="1" w:styleId="BalloonTextChar">
    <w:name w:val="Balloon Text Char"/>
    <w:basedOn w:val="DefaultParagraphFont"/>
    <w:link w:val="BalloonText"/>
    <w:uiPriority w:val="99"/>
    <w:rsid w:val="00530A6E"/>
    <w:rPr>
      <w:rFonts w:ascii="Tahoma" w:eastAsia="Times New Roman" w:hAnsi="Tahoma" w:cs="Tahoma"/>
      <w:sz w:val="16"/>
      <w:szCs w:val="16"/>
    </w:rPr>
  </w:style>
  <w:style w:type="character" w:customStyle="1" w:styleId="Heading2Char">
    <w:name w:val="Heading 2 Char"/>
    <w:basedOn w:val="DefaultParagraphFont"/>
    <w:link w:val="Heading2"/>
    <w:uiPriority w:val="9"/>
    <w:rsid w:val="00C44E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C44EF7"/>
    <w:pPr>
      <w:spacing w:after="120"/>
    </w:pPr>
  </w:style>
  <w:style w:type="character" w:customStyle="1" w:styleId="BodyTextChar">
    <w:name w:val="Body Text Char"/>
    <w:basedOn w:val="DefaultParagraphFont"/>
    <w:link w:val="BodyText"/>
    <w:rsid w:val="00C44EF7"/>
    <w:rPr>
      <w:rFonts w:ascii="Times New Roman" w:eastAsia="Times New Roman" w:hAnsi="Times New Roman" w:cs="Times New Roman"/>
      <w:sz w:val="24"/>
      <w:szCs w:val="24"/>
    </w:rPr>
  </w:style>
  <w:style w:type="character" w:styleId="PageNumber">
    <w:name w:val="page number"/>
    <w:basedOn w:val="DefaultParagraphFont"/>
    <w:rsid w:val="00C44EF7"/>
  </w:style>
  <w:style w:type="paragraph" w:styleId="Subtitle">
    <w:name w:val="Subtitle"/>
    <w:basedOn w:val="Normal"/>
    <w:link w:val="SubtitleChar"/>
    <w:uiPriority w:val="11"/>
    <w:qFormat/>
    <w:rsid w:val="00C44EF7"/>
    <w:pPr>
      <w:tabs>
        <w:tab w:val="center" w:pos="4680"/>
      </w:tabs>
      <w:spacing w:before="120"/>
      <w:jc w:val="center"/>
    </w:pPr>
    <w:rPr>
      <w:b/>
      <w:bCs/>
      <w:szCs w:val="20"/>
      <w:lang w:val="es-ES"/>
    </w:rPr>
  </w:style>
  <w:style w:type="character" w:customStyle="1" w:styleId="SubtitleChar">
    <w:name w:val="Subtitle Char"/>
    <w:basedOn w:val="DefaultParagraphFont"/>
    <w:link w:val="Subtitle"/>
    <w:uiPriority w:val="11"/>
    <w:rsid w:val="00C44EF7"/>
    <w:rPr>
      <w:rFonts w:ascii="Times New Roman" w:eastAsia="Times New Roman" w:hAnsi="Times New Roman" w:cs="Times New Roman"/>
      <w:b/>
      <w:bCs/>
      <w:sz w:val="24"/>
      <w:szCs w:val="20"/>
      <w:lang w:val="es-ES"/>
    </w:rPr>
  </w:style>
  <w:style w:type="character" w:styleId="Hyperlink">
    <w:name w:val="Hyperlink"/>
    <w:basedOn w:val="DefaultParagraphFont"/>
    <w:uiPriority w:val="99"/>
    <w:rsid w:val="00891BB1"/>
    <w:rPr>
      <w:color w:val="0000FF"/>
      <w:u w:val="single"/>
    </w:rPr>
  </w:style>
  <w:style w:type="paragraph" w:styleId="ListParagraph">
    <w:name w:val="List Paragraph"/>
    <w:aliases w:val="Bolita,BOLADEF,BOLA,Guión,Titulo 8,Párrafo de lista4,Párrafo de lista5,Párrafo de lista21,Párrafo de lista1,MIBEX B,TITULO 2,Fluvial1"/>
    <w:basedOn w:val="Normal"/>
    <w:link w:val="ListParagraphChar"/>
    <w:uiPriority w:val="34"/>
    <w:qFormat/>
    <w:rsid w:val="00731137"/>
    <w:pPr>
      <w:ind w:left="720"/>
      <w:contextualSpacing/>
    </w:pPr>
  </w:style>
  <w:style w:type="paragraph" w:customStyle="1" w:styleId="subpar">
    <w:name w:val="subpar"/>
    <w:basedOn w:val="BodyTextIndent3"/>
    <w:rsid w:val="002D1E15"/>
    <w:pPr>
      <w:tabs>
        <w:tab w:val="num" w:pos="1152"/>
      </w:tabs>
      <w:spacing w:before="120"/>
      <w:ind w:left="1152" w:hanging="432"/>
      <w:jc w:val="both"/>
      <w:outlineLvl w:val="2"/>
    </w:pPr>
    <w:rPr>
      <w:sz w:val="24"/>
      <w:szCs w:val="20"/>
    </w:rPr>
  </w:style>
  <w:style w:type="paragraph" w:customStyle="1" w:styleId="SubSubPar">
    <w:name w:val="SubSubPar"/>
    <w:basedOn w:val="subpar"/>
    <w:rsid w:val="002D1E15"/>
  </w:style>
  <w:style w:type="character" w:customStyle="1" w:styleId="ParagraphChar">
    <w:name w:val="Paragraph Char"/>
    <w:aliases w:val="paragraph Char,p Char,PARAGRAPH Char,PG Char,pa Char,at Char,Paragraph Char1"/>
    <w:basedOn w:val="DefaultParagraphFont"/>
    <w:link w:val="Paragraph"/>
    <w:locked/>
    <w:rsid w:val="002D1E1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D1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1E15"/>
    <w:rPr>
      <w:rFonts w:ascii="Times New Roman" w:eastAsia="Times New Roman" w:hAnsi="Times New Roman" w:cs="Times New Roman"/>
      <w:sz w:val="16"/>
      <w:szCs w:val="16"/>
    </w:rPr>
  </w:style>
  <w:style w:type="paragraph" w:styleId="FootnoteText">
    <w:name w:val="footnote text"/>
    <w:aliases w:val="fn,single space,footnote text,foottextfra,footnote,F,Texto nota pie Car Car,texto de nota al pie,Nota a pie/Bibliog,Texto nota pie Car Car Car Car Car Car Car Car,Texto nota pie Car Car Car,f,FOOTNOTES,Footnote Text Char Char,ALTS FOOTNOTE"/>
    <w:basedOn w:val="Normal"/>
    <w:link w:val="FootnoteTextChar1"/>
    <w:uiPriority w:val="99"/>
    <w:qFormat/>
    <w:rsid w:val="002D1E15"/>
    <w:rPr>
      <w:sz w:val="20"/>
      <w:szCs w:val="20"/>
    </w:rPr>
  </w:style>
  <w:style w:type="character" w:customStyle="1" w:styleId="FootnoteTextChar">
    <w:name w:val="Footnote Text Char"/>
    <w:aliases w:val="foottextfra Char,footnote Char,F Char,Texto nota pie Car Car Char,texto de nota al pie Char,Nota a pie/Bibliog Char,Texto nota pie Car Car Car Car Car Car Car Car Char,Texto nota pie Car Car Car Char,Texto de rodapé Char,fn Char1"/>
    <w:basedOn w:val="DefaultParagraphFont"/>
    <w:uiPriority w:val="99"/>
    <w:rsid w:val="002D1E15"/>
    <w:rPr>
      <w:rFonts w:ascii="Times New Roman" w:eastAsia="Times New Roman" w:hAnsi="Times New Roman" w:cs="Times New Roman"/>
      <w:sz w:val="20"/>
      <w:szCs w:val="20"/>
    </w:rPr>
  </w:style>
  <w:style w:type="character" w:styleId="FootnoteReference">
    <w:name w:val="footnote reference"/>
    <w:aliases w:val="referencia nota al pie,ftref,16 Point,Superscript 6 Point,FC,Ref,de nota al pie,(Ref. de nota al pie),Fußnotenzeichen DISS,Style 24,Appel note de bas de page,Ref. de nota al pie.,Footnote Referencefra,Referência de rodapé,titulo 2,F1"/>
    <w:basedOn w:val="DefaultParagraphFont"/>
    <w:link w:val="Char2"/>
    <w:uiPriority w:val="99"/>
    <w:qFormat/>
    <w:rsid w:val="002D1E15"/>
    <w:rPr>
      <w:vertAlign w:val="superscript"/>
    </w:rPr>
  </w:style>
  <w:style w:type="character" w:customStyle="1" w:styleId="FootnoteTextChar1">
    <w:name w:val="Footnote Text Char1"/>
    <w:aliases w:val="fn Char,single space Char,footnote text Char,foottextfra Char1,footnote Char1,F Char1,Texto nota pie Car Car Char1,texto de nota al pie Char1,Nota a pie/Bibliog Char1,Texto nota pie Car Car Car Car Car Car Car Car Char1,f Char"/>
    <w:basedOn w:val="DefaultParagraphFont"/>
    <w:link w:val="FootnoteText"/>
    <w:uiPriority w:val="99"/>
    <w:locked/>
    <w:rsid w:val="002D1E15"/>
    <w:rPr>
      <w:rFonts w:ascii="Times New Roman" w:eastAsia="Times New Roman" w:hAnsi="Times New Roman" w:cs="Times New Roman"/>
      <w:sz w:val="20"/>
      <w:szCs w:val="20"/>
    </w:rPr>
  </w:style>
  <w:style w:type="paragraph" w:customStyle="1" w:styleId="heading-b24">
    <w:name w:val="heading-b24"/>
    <w:basedOn w:val="Normal"/>
    <w:next w:val="Normal"/>
    <w:rsid w:val="00396984"/>
    <w:pPr>
      <w:spacing w:after="600"/>
      <w:jc w:val="center"/>
    </w:pPr>
    <w:rPr>
      <w:rFonts w:ascii="Times New Roman Bold" w:hAnsi="Times New Roman Bold"/>
      <w:b/>
      <w:smallCaps/>
      <w:spacing w:val="-3"/>
      <w:szCs w:val="20"/>
      <w:lang w:val="es-ES_tradnl"/>
    </w:rPr>
  </w:style>
  <w:style w:type="character" w:styleId="Strong">
    <w:name w:val="Strong"/>
    <w:basedOn w:val="DefaultParagraphFont"/>
    <w:uiPriority w:val="22"/>
    <w:qFormat/>
    <w:rsid w:val="00396984"/>
    <w:rPr>
      <w:b/>
      <w:bCs/>
    </w:rPr>
  </w:style>
  <w:style w:type="character" w:styleId="CommentReference">
    <w:name w:val="annotation reference"/>
    <w:basedOn w:val="DefaultParagraphFont"/>
    <w:uiPriority w:val="99"/>
    <w:unhideWhenUsed/>
    <w:rsid w:val="00CD6C31"/>
    <w:rPr>
      <w:sz w:val="16"/>
      <w:szCs w:val="16"/>
    </w:rPr>
  </w:style>
  <w:style w:type="paragraph" w:styleId="CommentText">
    <w:name w:val="annotation text"/>
    <w:basedOn w:val="Normal"/>
    <w:link w:val="CommentTextChar"/>
    <w:uiPriority w:val="99"/>
    <w:unhideWhenUsed/>
    <w:rsid w:val="00CD6C31"/>
    <w:rPr>
      <w:sz w:val="20"/>
      <w:szCs w:val="20"/>
    </w:rPr>
  </w:style>
  <w:style w:type="character" w:customStyle="1" w:styleId="CommentTextChar">
    <w:name w:val="Comment Text Char"/>
    <w:basedOn w:val="DefaultParagraphFont"/>
    <w:link w:val="CommentText"/>
    <w:uiPriority w:val="99"/>
    <w:rsid w:val="00CD6C31"/>
    <w:rPr>
      <w:rFonts w:ascii="Times New Roman" w:eastAsia="Times New Roman" w:hAnsi="Times New Roman" w:cs="Times New Roman"/>
      <w:sz w:val="20"/>
      <w:szCs w:val="20"/>
    </w:rPr>
  </w:style>
  <w:style w:type="character" w:customStyle="1" w:styleId="NoSpacingChar">
    <w:name w:val="No Spacing Char"/>
    <w:link w:val="NoSpacing"/>
    <w:uiPriority w:val="1"/>
    <w:rsid w:val="0047412F"/>
  </w:style>
  <w:style w:type="paragraph" w:styleId="Title">
    <w:name w:val="Title"/>
    <w:basedOn w:val="Normal"/>
    <w:link w:val="TitleChar"/>
    <w:qFormat/>
    <w:rsid w:val="0047412F"/>
    <w:pPr>
      <w:tabs>
        <w:tab w:val="left" w:pos="1440"/>
        <w:tab w:val="left" w:pos="3060"/>
      </w:tabs>
      <w:jc w:val="center"/>
      <w:outlineLvl w:val="0"/>
    </w:pPr>
    <w:rPr>
      <w:lang w:val="es-ES" w:eastAsia="x-none"/>
    </w:rPr>
  </w:style>
  <w:style w:type="character" w:customStyle="1" w:styleId="TitleChar">
    <w:name w:val="Title Char"/>
    <w:basedOn w:val="DefaultParagraphFont"/>
    <w:link w:val="Title"/>
    <w:rsid w:val="0047412F"/>
    <w:rPr>
      <w:rFonts w:ascii="Times New Roman" w:eastAsia="Times New Roman" w:hAnsi="Times New Roman" w:cs="Times New Roman"/>
      <w:sz w:val="24"/>
      <w:szCs w:val="24"/>
      <w:lang w:val="es-ES" w:eastAsia="x-none"/>
    </w:rPr>
  </w:style>
  <w:style w:type="paragraph" w:customStyle="1" w:styleId="FirstHeading">
    <w:name w:val="FirstHeading"/>
    <w:basedOn w:val="Normal"/>
    <w:link w:val="FirstHeadingChar"/>
    <w:uiPriority w:val="99"/>
    <w:rsid w:val="0047412F"/>
    <w:pPr>
      <w:keepNext/>
      <w:numPr>
        <w:numId w:val="2"/>
      </w:numPr>
      <w:tabs>
        <w:tab w:val="left" w:pos="0"/>
        <w:tab w:val="left" w:pos="90"/>
      </w:tabs>
      <w:spacing w:before="120" w:after="120"/>
    </w:pPr>
    <w:rPr>
      <w:rFonts w:eastAsia="Batang"/>
      <w:b/>
      <w:szCs w:val="20"/>
      <w:lang w:val="es-ES"/>
    </w:rPr>
  </w:style>
  <w:style w:type="paragraph" w:customStyle="1" w:styleId="SecHeading">
    <w:name w:val="SecHeading"/>
    <w:basedOn w:val="Normal"/>
    <w:next w:val="Normal"/>
    <w:uiPriority w:val="99"/>
    <w:rsid w:val="0047412F"/>
    <w:pPr>
      <w:keepNext/>
      <w:numPr>
        <w:ilvl w:val="1"/>
        <w:numId w:val="2"/>
      </w:numPr>
      <w:spacing w:before="120" w:after="120"/>
    </w:pPr>
    <w:rPr>
      <w:rFonts w:eastAsia="Batang"/>
      <w:b/>
      <w:szCs w:val="20"/>
      <w:lang w:val="es-ES_tradnl"/>
    </w:rPr>
  </w:style>
  <w:style w:type="paragraph" w:customStyle="1" w:styleId="SubHeading1">
    <w:name w:val="SubHeading1"/>
    <w:basedOn w:val="SecHeading"/>
    <w:uiPriority w:val="99"/>
    <w:rsid w:val="0047412F"/>
    <w:pPr>
      <w:numPr>
        <w:ilvl w:val="2"/>
      </w:numPr>
    </w:pPr>
  </w:style>
  <w:style w:type="paragraph" w:customStyle="1" w:styleId="Subheading2">
    <w:name w:val="Subheading2"/>
    <w:basedOn w:val="SecHeading"/>
    <w:uiPriority w:val="99"/>
    <w:rsid w:val="0047412F"/>
    <w:pPr>
      <w:numPr>
        <w:ilvl w:val="3"/>
      </w:numPr>
    </w:pPr>
  </w:style>
  <w:style w:type="paragraph" w:styleId="CommentSubject">
    <w:name w:val="annotation subject"/>
    <w:basedOn w:val="CommentText"/>
    <w:next w:val="CommentText"/>
    <w:link w:val="CommentSubjectChar"/>
    <w:uiPriority w:val="99"/>
    <w:semiHidden/>
    <w:unhideWhenUsed/>
    <w:rsid w:val="00A6072B"/>
    <w:rPr>
      <w:b/>
      <w:bCs/>
    </w:rPr>
  </w:style>
  <w:style w:type="character" w:customStyle="1" w:styleId="CommentSubjectChar">
    <w:name w:val="Comment Subject Char"/>
    <w:basedOn w:val="CommentTextChar"/>
    <w:link w:val="CommentSubject"/>
    <w:uiPriority w:val="99"/>
    <w:semiHidden/>
    <w:rsid w:val="00A6072B"/>
    <w:rPr>
      <w:rFonts w:ascii="Times New Roman" w:eastAsia="Times New Roman" w:hAnsi="Times New Roman" w:cs="Times New Roman"/>
      <w:b/>
      <w:bCs/>
      <w:sz w:val="20"/>
      <w:szCs w:val="20"/>
    </w:rPr>
  </w:style>
  <w:style w:type="paragraph" w:styleId="Revision">
    <w:name w:val="Revision"/>
    <w:hidden/>
    <w:uiPriority w:val="99"/>
    <w:semiHidden/>
    <w:rsid w:val="00A6072B"/>
    <w:pPr>
      <w:spacing w:after="0" w:line="240" w:lineRule="auto"/>
    </w:pPr>
    <w:rPr>
      <w:rFonts w:ascii="Times New Roman" w:eastAsia="Times New Roman" w:hAnsi="Times New Roman" w:cs="Times New Roman"/>
      <w:sz w:val="24"/>
      <w:szCs w:val="24"/>
    </w:rPr>
  </w:style>
  <w:style w:type="paragraph" w:customStyle="1" w:styleId="Newpage">
    <w:name w:val="Newpage"/>
    <w:basedOn w:val="Normal"/>
    <w:link w:val="NewpageChar"/>
    <w:rsid w:val="00CE79F7"/>
    <w:pPr>
      <w:tabs>
        <w:tab w:val="left" w:pos="1440"/>
        <w:tab w:val="left" w:pos="3060"/>
      </w:tabs>
      <w:jc w:val="center"/>
    </w:pPr>
    <w:rPr>
      <w:rFonts w:cs="Arial"/>
      <w:b/>
      <w:smallCaps/>
      <w:spacing w:val="-3"/>
      <w:szCs w:val="20"/>
      <w:lang w:val="es-ES_tradnl"/>
    </w:rPr>
  </w:style>
  <w:style w:type="character" w:customStyle="1" w:styleId="ParagraphCar">
    <w:name w:val="Paragraph Car"/>
    <w:rsid w:val="00911E00"/>
    <w:rPr>
      <w:sz w:val="24"/>
    </w:rPr>
  </w:style>
  <w:style w:type="character" w:customStyle="1" w:styleId="FirstHeadingChar">
    <w:name w:val="FirstHeading Char"/>
    <w:link w:val="FirstHeading"/>
    <w:uiPriority w:val="99"/>
    <w:rsid w:val="00911E00"/>
    <w:rPr>
      <w:rFonts w:ascii="Times New Roman" w:eastAsia="Batang" w:hAnsi="Times New Roman" w:cs="Times New Roman"/>
      <w:b/>
      <w:sz w:val="24"/>
      <w:szCs w:val="20"/>
      <w:lang w:val="es-ES"/>
    </w:rPr>
  </w:style>
  <w:style w:type="table" w:styleId="TableGrid">
    <w:name w:val="Table Grid"/>
    <w:basedOn w:val="TableNormal"/>
    <w:uiPriority w:val="59"/>
    <w:rsid w:val="00222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ar1">
    <w:name w:val="Paragraph Car1"/>
    <w:locked/>
    <w:rsid w:val="009727F1"/>
    <w:rPr>
      <w:sz w:val="24"/>
    </w:rPr>
  </w:style>
  <w:style w:type="paragraph" w:customStyle="1" w:styleId="Default">
    <w:name w:val="Default"/>
    <w:rsid w:val="00501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pageChar">
    <w:name w:val="Newpage Char"/>
    <w:link w:val="Newpage"/>
    <w:rsid w:val="00480F0A"/>
    <w:rPr>
      <w:rFonts w:ascii="Times New Roman" w:eastAsia="Times New Roman" w:hAnsi="Times New Roman" w:cs="Arial"/>
      <w:b/>
      <w:smallCaps/>
      <w:spacing w:val="-3"/>
      <w:sz w:val="24"/>
      <w:szCs w:val="20"/>
      <w:lang w:val="es-ES_tradnl"/>
    </w:rPr>
  </w:style>
  <w:style w:type="character" w:customStyle="1" w:styleId="ListParagraphChar">
    <w:name w:val="List Paragraph Char"/>
    <w:aliases w:val="Bolita Char,BOLADEF Char,BOLA Char,Guión Char,Titulo 8 Char,Párrafo de lista4 Char,Párrafo de lista5 Char,Párrafo de lista21 Char,Párrafo de lista1 Char,MIBEX B Char,TITULO 2 Char,Fluvial1 Char"/>
    <w:link w:val="ListParagraph"/>
    <w:uiPriority w:val="34"/>
    <w:locked/>
    <w:rsid w:val="00422B8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B0002"/>
    <w:rPr>
      <w:rFonts w:eastAsiaTheme="minorEastAsia"/>
      <w:b/>
      <w:bCs/>
      <w:i/>
      <w:iCs/>
      <w:sz w:val="26"/>
      <w:szCs w:val="26"/>
    </w:rPr>
  </w:style>
  <w:style w:type="character" w:styleId="FollowedHyperlink">
    <w:name w:val="FollowedHyperlink"/>
    <w:basedOn w:val="DefaultParagraphFont"/>
    <w:uiPriority w:val="99"/>
    <w:semiHidden/>
    <w:unhideWhenUsed/>
    <w:rsid w:val="00281268"/>
    <w:rPr>
      <w:color w:val="800080" w:themeColor="followedHyperlink"/>
      <w:u w:val="single"/>
    </w:rPr>
  </w:style>
  <w:style w:type="paragraph" w:styleId="NormalWeb">
    <w:name w:val="Normal (Web)"/>
    <w:basedOn w:val="Normal"/>
    <w:uiPriority w:val="99"/>
    <w:semiHidden/>
    <w:unhideWhenUsed/>
    <w:rsid w:val="00465EA8"/>
    <w:pPr>
      <w:spacing w:before="100" w:beforeAutospacing="1" w:after="100" w:afterAutospacing="1"/>
    </w:pPr>
  </w:style>
  <w:style w:type="paragraph" w:styleId="BodyText2">
    <w:name w:val="Body Text 2"/>
    <w:basedOn w:val="Normal"/>
    <w:link w:val="BodyText2Char"/>
    <w:rsid w:val="00415E16"/>
    <w:pPr>
      <w:spacing w:after="120" w:line="480" w:lineRule="auto"/>
    </w:pPr>
    <w:rPr>
      <w:spacing w:val="-3"/>
      <w:szCs w:val="20"/>
      <w:lang w:val="es-ES_tradnl"/>
    </w:rPr>
  </w:style>
  <w:style w:type="character" w:customStyle="1" w:styleId="BodyText2Char">
    <w:name w:val="Body Text 2 Char"/>
    <w:basedOn w:val="DefaultParagraphFont"/>
    <w:link w:val="BodyText2"/>
    <w:rsid w:val="00415E16"/>
    <w:rPr>
      <w:rFonts w:ascii="Times New Roman" w:eastAsia="Times New Roman" w:hAnsi="Times New Roman" w:cs="Times New Roman"/>
      <w:spacing w:val="-3"/>
      <w:sz w:val="24"/>
      <w:szCs w:val="20"/>
      <w:lang w:val="es-ES_tradnl"/>
    </w:rPr>
  </w:style>
  <w:style w:type="paragraph" w:styleId="BodyText3">
    <w:name w:val="Body Text 3"/>
    <w:basedOn w:val="Normal"/>
    <w:link w:val="BodyText3Char"/>
    <w:uiPriority w:val="99"/>
    <w:rsid w:val="00377B03"/>
    <w:rPr>
      <w:szCs w:val="20"/>
      <w:lang w:val="es-ES_tradnl" w:eastAsia="es-ES"/>
    </w:rPr>
  </w:style>
  <w:style w:type="character" w:customStyle="1" w:styleId="BodyText3Char">
    <w:name w:val="Body Text 3 Char"/>
    <w:basedOn w:val="DefaultParagraphFont"/>
    <w:link w:val="BodyText3"/>
    <w:uiPriority w:val="99"/>
    <w:rsid w:val="00377B03"/>
    <w:rPr>
      <w:rFonts w:ascii="Times New Roman" w:eastAsia="Times New Roman" w:hAnsi="Times New Roman" w:cs="Times New Roman"/>
      <w:sz w:val="24"/>
      <w:szCs w:val="20"/>
      <w:lang w:val="es-ES_tradnl" w:eastAsia="es-ES"/>
    </w:rPr>
  </w:style>
  <w:style w:type="paragraph" w:customStyle="1" w:styleId="Bullet">
    <w:name w:val="Bullet"/>
    <w:basedOn w:val="ListParagraph"/>
    <w:qFormat/>
    <w:rsid w:val="00377B03"/>
    <w:pPr>
      <w:numPr>
        <w:numId w:val="8"/>
      </w:numPr>
      <w:spacing w:before="120"/>
      <w:contextualSpacing w:val="0"/>
    </w:pPr>
    <w:rPr>
      <w:rFonts w:eastAsiaTheme="minorHAnsi" w:cstheme="minorBidi"/>
      <w:szCs w:val="22"/>
    </w:rPr>
  </w:style>
  <w:style w:type="paragraph" w:customStyle="1" w:styleId="Banknumbered">
    <w:name w:val="Bank numbered"/>
    <w:qFormat/>
    <w:rsid w:val="00377B03"/>
    <w:pPr>
      <w:numPr>
        <w:numId w:val="7"/>
      </w:numPr>
      <w:spacing w:before="120" w:after="0" w:line="240" w:lineRule="auto"/>
      <w:ind w:left="0" w:firstLine="0"/>
    </w:pPr>
    <w:rPr>
      <w:rFonts w:ascii="Times New Roman" w:hAnsi="Times New Roman"/>
      <w:sz w:val="24"/>
      <w:szCs w:val="24"/>
    </w:rPr>
  </w:style>
  <w:style w:type="paragraph" w:styleId="EndnoteText">
    <w:name w:val="endnote text"/>
    <w:basedOn w:val="Normal"/>
    <w:link w:val="EndnoteTextChar"/>
    <w:uiPriority w:val="99"/>
    <w:semiHidden/>
    <w:unhideWhenUsed/>
    <w:rsid w:val="00377B03"/>
    <w:rPr>
      <w:sz w:val="20"/>
      <w:szCs w:val="20"/>
    </w:rPr>
  </w:style>
  <w:style w:type="character" w:customStyle="1" w:styleId="EndnoteTextChar">
    <w:name w:val="Endnote Text Char"/>
    <w:basedOn w:val="DefaultParagraphFont"/>
    <w:link w:val="EndnoteText"/>
    <w:uiPriority w:val="99"/>
    <w:semiHidden/>
    <w:rsid w:val="00377B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77B03"/>
    <w:rPr>
      <w:vertAlign w:val="superscript"/>
    </w:rPr>
  </w:style>
  <w:style w:type="character" w:customStyle="1" w:styleId="apple-converted-space">
    <w:name w:val="apple-converted-space"/>
    <w:basedOn w:val="DefaultParagraphFont"/>
    <w:rsid w:val="00377B03"/>
  </w:style>
  <w:style w:type="character" w:customStyle="1" w:styleId="Estilo1Car">
    <w:name w:val="Estilo1 Car"/>
    <w:basedOn w:val="DefaultParagraphFont"/>
    <w:link w:val="Estilo1"/>
    <w:locked/>
    <w:rsid w:val="00377B03"/>
    <w:rPr>
      <w:rFonts w:ascii="Times New Roman" w:eastAsiaTheme="majorEastAsia" w:hAnsi="Times New Roman" w:cstheme="majorBidi"/>
      <w:sz w:val="24"/>
      <w:szCs w:val="24"/>
      <w:lang w:bidi="en-US"/>
    </w:rPr>
  </w:style>
  <w:style w:type="paragraph" w:customStyle="1" w:styleId="Estilo1">
    <w:name w:val="Estilo1"/>
    <w:basedOn w:val="Normal"/>
    <w:link w:val="Estilo1Car"/>
    <w:qFormat/>
    <w:rsid w:val="00377B03"/>
    <w:pPr>
      <w:spacing w:before="120" w:after="320"/>
      <w:ind w:firstLine="284"/>
      <w:jc w:val="both"/>
    </w:pPr>
    <w:rPr>
      <w:rFonts w:eastAsiaTheme="majorEastAsia" w:cstheme="majorBidi"/>
      <w:lang w:bidi="en-US"/>
    </w:rPr>
  </w:style>
  <w:style w:type="paragraph" w:styleId="TOCHeading">
    <w:name w:val="TOC Heading"/>
    <w:basedOn w:val="Heading1"/>
    <w:next w:val="Normal"/>
    <w:uiPriority w:val="39"/>
    <w:unhideWhenUsed/>
    <w:qFormat/>
    <w:rsid w:val="00377B03"/>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s-CL" w:eastAsia="es-CL"/>
    </w:rPr>
  </w:style>
  <w:style w:type="paragraph" w:styleId="TOC1">
    <w:name w:val="toc 1"/>
    <w:basedOn w:val="Normal"/>
    <w:next w:val="Normal"/>
    <w:autoRedefine/>
    <w:uiPriority w:val="39"/>
    <w:unhideWhenUsed/>
    <w:rsid w:val="00377B03"/>
    <w:pPr>
      <w:spacing w:after="100"/>
    </w:pPr>
    <w:rPr>
      <w:rFonts w:eastAsiaTheme="minorHAnsi"/>
      <w:lang w:val="es-CL" w:eastAsia="es-CL"/>
    </w:rPr>
  </w:style>
  <w:style w:type="paragraph" w:styleId="TOC2">
    <w:name w:val="toc 2"/>
    <w:basedOn w:val="Normal"/>
    <w:next w:val="Normal"/>
    <w:autoRedefine/>
    <w:uiPriority w:val="39"/>
    <w:unhideWhenUsed/>
    <w:rsid w:val="00377B03"/>
    <w:pPr>
      <w:spacing w:after="100"/>
      <w:ind w:left="240"/>
    </w:pPr>
    <w:rPr>
      <w:rFonts w:eastAsiaTheme="minorHAnsi"/>
      <w:lang w:val="es-CL" w:eastAsia="es-CL"/>
    </w:rPr>
  </w:style>
  <w:style w:type="paragraph" w:styleId="TOC3">
    <w:name w:val="toc 3"/>
    <w:basedOn w:val="Normal"/>
    <w:next w:val="Normal"/>
    <w:autoRedefine/>
    <w:uiPriority w:val="39"/>
    <w:unhideWhenUsed/>
    <w:rsid w:val="00377B03"/>
    <w:pPr>
      <w:spacing w:after="100"/>
      <w:ind w:left="480"/>
    </w:pPr>
    <w:rPr>
      <w:rFonts w:eastAsiaTheme="minorHAnsi"/>
      <w:lang w:val="es-CL" w:eastAsia="es-CL"/>
    </w:rPr>
  </w:style>
  <w:style w:type="character" w:customStyle="1" w:styleId="a">
    <w:name w:val="a"/>
    <w:basedOn w:val="DefaultParagraphFont"/>
    <w:rsid w:val="00377B03"/>
  </w:style>
  <w:style w:type="paragraph" w:styleId="Caption">
    <w:name w:val="caption"/>
    <w:basedOn w:val="Normal"/>
    <w:next w:val="Normal"/>
    <w:link w:val="CaptionChar"/>
    <w:uiPriority w:val="35"/>
    <w:unhideWhenUsed/>
    <w:qFormat/>
    <w:rsid w:val="00EA0363"/>
    <w:pPr>
      <w:spacing w:after="200"/>
    </w:pPr>
    <w:rPr>
      <w:rFonts w:asciiTheme="minorHAnsi" w:eastAsiaTheme="minorHAnsi" w:hAnsiTheme="minorHAnsi" w:cstheme="minorBidi"/>
      <w:b/>
      <w:bCs/>
      <w:color w:val="4F81BD" w:themeColor="accent1"/>
      <w:sz w:val="18"/>
      <w:szCs w:val="18"/>
      <w:lang w:val="es-ES"/>
    </w:rPr>
  </w:style>
  <w:style w:type="paragraph" w:customStyle="1" w:styleId="Char2">
    <w:name w:val="Char2"/>
    <w:basedOn w:val="Normal"/>
    <w:link w:val="FootnoteReference"/>
    <w:uiPriority w:val="99"/>
    <w:rsid w:val="00374DF0"/>
    <w:pPr>
      <w:spacing w:after="160" w:line="240" w:lineRule="exact"/>
    </w:pPr>
    <w:rPr>
      <w:rFonts w:asciiTheme="minorHAnsi" w:eastAsiaTheme="minorHAnsi" w:hAnsiTheme="minorHAnsi" w:cstheme="minorBidi"/>
      <w:sz w:val="22"/>
      <w:szCs w:val="22"/>
      <w:vertAlign w:val="superscript"/>
    </w:rPr>
  </w:style>
  <w:style w:type="character" w:styleId="PlaceholderText">
    <w:name w:val="Placeholder Text"/>
    <w:basedOn w:val="DefaultParagraphFont"/>
    <w:uiPriority w:val="99"/>
    <w:semiHidden/>
    <w:rsid w:val="002F1691"/>
    <w:rPr>
      <w:color w:val="808080"/>
    </w:rPr>
  </w:style>
  <w:style w:type="paragraph" w:styleId="TableofFigures">
    <w:name w:val="table of figures"/>
    <w:basedOn w:val="Normal"/>
    <w:next w:val="Normal"/>
    <w:uiPriority w:val="99"/>
    <w:unhideWhenUsed/>
    <w:rsid w:val="002F1691"/>
    <w:pPr>
      <w:spacing w:before="240"/>
      <w:jc w:val="both"/>
    </w:pPr>
    <w:rPr>
      <w:rFonts w:ascii="Arial" w:hAnsi="Arial"/>
      <w:sz w:val="22"/>
      <w:szCs w:val="20"/>
      <w:lang w:val="es-CO"/>
    </w:rPr>
  </w:style>
  <w:style w:type="paragraph" w:customStyle="1" w:styleId="Source">
    <w:name w:val="Source"/>
    <w:next w:val="Normal"/>
    <w:link w:val="SourceChar"/>
    <w:qFormat/>
    <w:rsid w:val="002F1691"/>
    <w:pPr>
      <w:spacing w:after="160" w:line="240" w:lineRule="auto"/>
      <w:jc w:val="center"/>
    </w:pPr>
    <w:rPr>
      <w:rFonts w:ascii="Times New Roman" w:eastAsiaTheme="minorEastAsia" w:hAnsi="Times New Roman" w:cs="Times New Roman"/>
      <w:noProof/>
      <w:sz w:val="18"/>
      <w:szCs w:val="18"/>
      <w:lang w:eastAsia="es-CO"/>
    </w:rPr>
  </w:style>
  <w:style w:type="character" w:customStyle="1" w:styleId="SourceChar">
    <w:name w:val="Source Char"/>
    <w:basedOn w:val="NoSpacingChar"/>
    <w:link w:val="Source"/>
    <w:rsid w:val="002F1691"/>
    <w:rPr>
      <w:rFonts w:ascii="Times New Roman" w:eastAsiaTheme="minorEastAsia" w:hAnsi="Times New Roman" w:cs="Times New Roman"/>
      <w:noProof/>
      <w:sz w:val="18"/>
      <w:szCs w:val="18"/>
      <w:lang w:eastAsia="es-CO"/>
    </w:rPr>
  </w:style>
  <w:style w:type="paragraph" w:customStyle="1" w:styleId="GraphTitle">
    <w:name w:val="GraphTitle"/>
    <w:basedOn w:val="Normal"/>
    <w:next w:val="NoSpacing"/>
    <w:link w:val="GraphTitleChar"/>
    <w:qFormat/>
    <w:rsid w:val="002F1691"/>
    <w:pPr>
      <w:keepNext/>
      <w:spacing w:before="240"/>
      <w:jc w:val="center"/>
    </w:pPr>
    <w:rPr>
      <w:rFonts w:eastAsiaTheme="minorEastAsia" w:cstheme="minorBidi"/>
      <w:b/>
      <w:bCs/>
      <w:noProof/>
      <w:sz w:val="20"/>
      <w:szCs w:val="20"/>
    </w:rPr>
  </w:style>
  <w:style w:type="character" w:customStyle="1" w:styleId="GraphTitleChar">
    <w:name w:val="GraphTitle Char"/>
    <w:basedOn w:val="DefaultParagraphFont"/>
    <w:link w:val="GraphTitle"/>
    <w:rsid w:val="002F1691"/>
    <w:rPr>
      <w:rFonts w:ascii="Times New Roman" w:eastAsiaTheme="minorEastAsia" w:hAnsi="Times New Roman"/>
      <w:b/>
      <w:bCs/>
      <w:noProof/>
      <w:sz w:val="20"/>
      <w:szCs w:val="20"/>
    </w:rPr>
  </w:style>
  <w:style w:type="paragraph" w:customStyle="1" w:styleId="bullet0">
    <w:name w:val="bullet"/>
    <w:basedOn w:val="ListBullet"/>
    <w:next w:val="Normal"/>
    <w:link w:val="bulletChar"/>
    <w:qFormat/>
    <w:rsid w:val="002F1691"/>
    <w:pPr>
      <w:spacing w:before="80" w:after="160" w:line="240" w:lineRule="atLeast"/>
      <w:ind w:hanging="270"/>
      <w:contextualSpacing w:val="0"/>
    </w:pPr>
    <w:rPr>
      <w:rFonts w:ascii="Times New Roman" w:eastAsiaTheme="minorHAnsi" w:hAnsi="Times New Roman"/>
      <w:szCs w:val="24"/>
      <w:lang w:eastAsia="es-CO"/>
    </w:rPr>
  </w:style>
  <w:style w:type="paragraph" w:styleId="ListBullet">
    <w:name w:val="List Bullet"/>
    <w:basedOn w:val="Normal"/>
    <w:uiPriority w:val="99"/>
    <w:semiHidden/>
    <w:unhideWhenUsed/>
    <w:rsid w:val="002F1691"/>
    <w:pPr>
      <w:tabs>
        <w:tab w:val="num" w:pos="720"/>
      </w:tabs>
      <w:spacing w:before="240" w:after="240"/>
      <w:ind w:left="720" w:hanging="720"/>
      <w:contextualSpacing/>
      <w:jc w:val="both"/>
    </w:pPr>
    <w:rPr>
      <w:rFonts w:ascii="Arial" w:hAnsi="Arial"/>
      <w:sz w:val="22"/>
      <w:szCs w:val="20"/>
      <w:lang w:val="es-CO"/>
    </w:rPr>
  </w:style>
  <w:style w:type="character" w:customStyle="1" w:styleId="bulletChar">
    <w:name w:val="bullet Char"/>
    <w:basedOn w:val="DefaultParagraphFont"/>
    <w:link w:val="bullet0"/>
    <w:rsid w:val="002F1691"/>
    <w:rPr>
      <w:rFonts w:ascii="Times New Roman" w:hAnsi="Times New Roman" w:cs="Times New Roman"/>
      <w:szCs w:val="24"/>
      <w:lang w:val="es-CO" w:eastAsia="es-CO"/>
    </w:rPr>
  </w:style>
  <w:style w:type="character" w:customStyle="1" w:styleId="CaptionChar">
    <w:name w:val="Caption Char"/>
    <w:basedOn w:val="DefaultParagraphFont"/>
    <w:link w:val="Caption"/>
    <w:uiPriority w:val="35"/>
    <w:rsid w:val="002F1691"/>
    <w:rPr>
      <w:b/>
      <w:bCs/>
      <w:color w:val="4F81BD" w:themeColor="accent1"/>
      <w:sz w:val="18"/>
      <w:szCs w:val="18"/>
      <w:lang w:val="es-ES"/>
    </w:rPr>
  </w:style>
  <w:style w:type="paragraph" w:customStyle="1" w:styleId="AbbrDesc">
    <w:name w:val="AbbrDesc"/>
    <w:basedOn w:val="Normal"/>
    <w:rsid w:val="002F1691"/>
    <w:pPr>
      <w:tabs>
        <w:tab w:val="left" w:pos="3060"/>
      </w:tabs>
      <w:jc w:val="both"/>
    </w:pPr>
    <w:rPr>
      <w:szCs w:val="20"/>
      <w:lang w:val="es-ES_tradnl"/>
    </w:rPr>
  </w:style>
  <w:style w:type="paragraph" w:customStyle="1" w:styleId="Ttulo11">
    <w:name w:val="Título 11"/>
    <w:basedOn w:val="Normal"/>
    <w:next w:val="Normal"/>
    <w:uiPriority w:val="9"/>
    <w:qFormat/>
    <w:rsid w:val="002F1691"/>
    <w:pPr>
      <w:keepNext/>
      <w:keepLines/>
      <w:spacing w:before="360" w:after="240"/>
      <w:ind w:left="432" w:hanging="432"/>
      <w:jc w:val="both"/>
      <w:outlineLvl w:val="0"/>
    </w:pPr>
    <w:rPr>
      <w:rFonts w:cstheme="minorBidi"/>
      <w:b/>
      <w:bCs/>
      <w:sz w:val="28"/>
      <w:szCs w:val="28"/>
      <w:lang w:val="es-CO"/>
    </w:rPr>
  </w:style>
  <w:style w:type="paragraph" w:customStyle="1" w:styleId="Ttulo31">
    <w:name w:val="Título 31"/>
    <w:basedOn w:val="Normal"/>
    <w:next w:val="Normal"/>
    <w:autoRedefine/>
    <w:uiPriority w:val="9"/>
    <w:qFormat/>
    <w:rsid w:val="002F1691"/>
    <w:pPr>
      <w:keepNext/>
      <w:keepLines/>
      <w:spacing w:before="120" w:after="120"/>
      <w:ind w:left="720" w:hanging="720"/>
      <w:jc w:val="both"/>
      <w:outlineLvl w:val="2"/>
    </w:pPr>
    <w:rPr>
      <w:rFonts w:cstheme="minorBidi"/>
      <w:b/>
      <w:bCs/>
      <w:color w:val="000000"/>
      <w:szCs w:val="22"/>
      <w:lang w:val="es-CO"/>
    </w:rPr>
  </w:style>
  <w:style w:type="paragraph" w:customStyle="1" w:styleId="Ttulo41">
    <w:name w:val="Título 41"/>
    <w:basedOn w:val="Normal"/>
    <w:next w:val="Normal"/>
    <w:uiPriority w:val="9"/>
    <w:unhideWhenUsed/>
    <w:qFormat/>
    <w:rsid w:val="002F1691"/>
    <w:pPr>
      <w:keepNext/>
      <w:keepLines/>
      <w:spacing w:before="240" w:after="240"/>
      <w:ind w:left="864" w:hanging="864"/>
      <w:jc w:val="both"/>
      <w:outlineLvl w:val="3"/>
    </w:pPr>
    <w:rPr>
      <w:rFonts w:ascii="Cambria" w:hAnsi="Cambria"/>
      <w:b/>
      <w:bCs/>
      <w:iCs/>
      <w:sz w:val="22"/>
      <w:szCs w:val="22"/>
      <w:lang w:val="es-CO"/>
    </w:rPr>
  </w:style>
  <w:style w:type="paragraph" w:customStyle="1" w:styleId="Ttulo51">
    <w:name w:val="Título 51"/>
    <w:basedOn w:val="Normal"/>
    <w:next w:val="Normal"/>
    <w:uiPriority w:val="9"/>
    <w:unhideWhenUsed/>
    <w:qFormat/>
    <w:rsid w:val="002F1691"/>
    <w:pPr>
      <w:keepNext/>
      <w:keepLines/>
      <w:numPr>
        <w:ilvl w:val="4"/>
        <w:numId w:val="10"/>
      </w:numPr>
      <w:spacing w:before="240" w:after="240"/>
      <w:jc w:val="both"/>
      <w:outlineLvl w:val="4"/>
    </w:pPr>
    <w:rPr>
      <w:rFonts w:ascii="Cambria" w:hAnsi="Cambria"/>
      <w:b/>
      <w:color w:val="243F60"/>
      <w:sz w:val="22"/>
      <w:szCs w:val="22"/>
      <w:lang w:val="es-CO"/>
    </w:rPr>
  </w:style>
  <w:style w:type="paragraph" w:customStyle="1" w:styleId="Nivel3">
    <w:name w:val="Nivel 3"/>
    <w:basedOn w:val="Heading4"/>
    <w:link w:val="Nivel3Car"/>
    <w:qFormat/>
    <w:rsid w:val="002F1691"/>
    <w:pPr>
      <w:keepLines/>
      <w:numPr>
        <w:numId w:val="10"/>
      </w:numPr>
      <w:spacing w:after="240" w:line="259" w:lineRule="auto"/>
      <w:ind w:left="720" w:hanging="720"/>
      <w:jc w:val="both"/>
    </w:pPr>
    <w:rPr>
      <w:rFonts w:ascii="Cambria" w:hAnsi="Cambria"/>
      <w:bCs/>
      <w:iCs/>
      <w:color w:val="000000"/>
      <w:szCs w:val="24"/>
      <w:lang w:val="es-CO"/>
    </w:rPr>
  </w:style>
  <w:style w:type="character" w:customStyle="1" w:styleId="Nivel3Car">
    <w:name w:val="Nivel 3 Car"/>
    <w:basedOn w:val="Heading3Char"/>
    <w:link w:val="Nivel3"/>
    <w:rsid w:val="002F1691"/>
    <w:rPr>
      <w:rFonts w:ascii="Cambria" w:eastAsia="Times New Roman" w:hAnsi="Cambria" w:cs="Times New Roman"/>
      <w:b/>
      <w:bCs/>
      <w:iCs/>
      <w:color w:val="000000"/>
      <w:sz w:val="24"/>
      <w:szCs w:val="24"/>
      <w:lang w:val="es-CO"/>
    </w:rPr>
  </w:style>
  <w:style w:type="numbering" w:customStyle="1" w:styleId="Sinlista1">
    <w:name w:val="Sin lista1"/>
    <w:next w:val="NoList"/>
    <w:uiPriority w:val="99"/>
    <w:semiHidden/>
    <w:unhideWhenUsed/>
    <w:rsid w:val="002F1691"/>
  </w:style>
  <w:style w:type="table" w:customStyle="1" w:styleId="Tablaconcuadrcula1">
    <w:name w:val="Tabla con cuadrícula1"/>
    <w:basedOn w:val="TableNormal"/>
    <w:next w:val="TableGrid"/>
    <w:uiPriority w:val="59"/>
    <w:rsid w:val="002F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1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3293">
      <w:bodyDiv w:val="1"/>
      <w:marLeft w:val="0"/>
      <w:marRight w:val="0"/>
      <w:marTop w:val="0"/>
      <w:marBottom w:val="0"/>
      <w:divBdr>
        <w:top w:val="none" w:sz="0" w:space="0" w:color="auto"/>
        <w:left w:val="none" w:sz="0" w:space="0" w:color="auto"/>
        <w:bottom w:val="none" w:sz="0" w:space="0" w:color="auto"/>
        <w:right w:val="none" w:sz="0" w:space="0" w:color="auto"/>
      </w:divBdr>
    </w:div>
    <w:div w:id="482161392">
      <w:bodyDiv w:val="1"/>
      <w:marLeft w:val="0"/>
      <w:marRight w:val="0"/>
      <w:marTop w:val="0"/>
      <w:marBottom w:val="0"/>
      <w:divBdr>
        <w:top w:val="none" w:sz="0" w:space="0" w:color="auto"/>
        <w:left w:val="none" w:sz="0" w:space="0" w:color="auto"/>
        <w:bottom w:val="none" w:sz="0" w:space="0" w:color="auto"/>
        <w:right w:val="none" w:sz="0" w:space="0" w:color="auto"/>
      </w:divBdr>
    </w:div>
    <w:div w:id="652871791">
      <w:bodyDiv w:val="1"/>
      <w:marLeft w:val="0"/>
      <w:marRight w:val="0"/>
      <w:marTop w:val="0"/>
      <w:marBottom w:val="0"/>
      <w:divBdr>
        <w:top w:val="none" w:sz="0" w:space="0" w:color="auto"/>
        <w:left w:val="none" w:sz="0" w:space="0" w:color="auto"/>
        <w:bottom w:val="none" w:sz="0" w:space="0" w:color="auto"/>
        <w:right w:val="none" w:sz="0" w:space="0" w:color="auto"/>
      </w:divBdr>
    </w:div>
    <w:div w:id="690494743">
      <w:bodyDiv w:val="1"/>
      <w:marLeft w:val="0"/>
      <w:marRight w:val="0"/>
      <w:marTop w:val="0"/>
      <w:marBottom w:val="0"/>
      <w:divBdr>
        <w:top w:val="none" w:sz="0" w:space="0" w:color="auto"/>
        <w:left w:val="none" w:sz="0" w:space="0" w:color="auto"/>
        <w:bottom w:val="none" w:sz="0" w:space="0" w:color="auto"/>
        <w:right w:val="none" w:sz="0" w:space="0" w:color="auto"/>
      </w:divBdr>
    </w:div>
    <w:div w:id="1128202982">
      <w:bodyDiv w:val="1"/>
      <w:marLeft w:val="0"/>
      <w:marRight w:val="0"/>
      <w:marTop w:val="0"/>
      <w:marBottom w:val="0"/>
      <w:divBdr>
        <w:top w:val="none" w:sz="0" w:space="0" w:color="auto"/>
        <w:left w:val="none" w:sz="0" w:space="0" w:color="auto"/>
        <w:bottom w:val="none" w:sz="0" w:space="0" w:color="auto"/>
        <w:right w:val="none" w:sz="0" w:space="0" w:color="auto"/>
      </w:divBdr>
    </w:div>
    <w:div w:id="19432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idbg.sharepoint.com/teams/EZ-BO-LON/BO-L1189/15%20LifeCycle%20Milestones/POD%20BO-L1189%20An%C3%A1lisis%20Economico.docx?d=w09cb3acd53744e50946603bd0f15044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dbg.sharepoint.com/teams/ez-SPD/SDV/PD/15%20Project%20Closing%20Report/015.%20Technical%20Documents/PCR%20Principles%20and%20Guidelines%20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INE/ENE</Division_x0020_or_x0020_Unit>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Bonifaz Urquizu, Jeanette</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1</Value>
    </TaxCatchAll>
    <Operation_x0020_Type xmlns="cdc7663a-08f0-4737-9e8c-148ce897a09c" xsi:nil="true"/>
    <Package_x0020_Code xmlns="cdc7663a-08f0-4737-9e8c-148ce897a09c" xsi:nil="true"/>
    <Identifier xmlns="cdc7663a-08f0-4737-9e8c-148ce897a09c" xsi:nil="true"/>
    <Project_x0020_Number xmlns="cdc7663a-08f0-4737-9e8c-148ce897a09c">BO-L1189</Project_x0020_Number>
    <nddeef1749674d76abdbe4b239a70bc6 xmlns="cdc7663a-08f0-4737-9e8c-148ce897a09c">
      <Terms xmlns="http://schemas.microsoft.com/office/infopath/2007/PartnerControls"/>
    </nddeef1749674d76abdbe4b239a70bc6>
    <Record_x0020_Number xmlns="cdc7663a-08f0-4737-9e8c-148ce897a09c">R0002325162</Record_x0020_Number>
    <_dlc_DocId xmlns="cdc7663a-08f0-4737-9e8c-148ce897a09c">EZSHARE-740053300-25</_dlc_DocId>
    <_dlc_DocIdUrl xmlns="cdc7663a-08f0-4737-9e8c-148ce897a09c">
      <Url>https://idbg.sharepoint.com/teams/EZ-BO-LON/BO-L1189/_layouts/15/DocIdRedir.aspx?ID=EZSHARE-740053300-25</Url>
      <Description>EZSHARE-740053300-25</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C141A1697E9174C8A3799E0F16C9B99" ma:contentTypeVersion="559" ma:contentTypeDescription="A content type to manage public (operations) IDB documents" ma:contentTypeScope="" ma:versionID="e1a9aac262d14dff32b56e6bce497691">
  <xsd:schema xmlns:xsd="http://www.w3.org/2001/XMLSchema" xmlns:xs="http://www.w3.org/2001/XMLSchema" xmlns:p="http://schemas.microsoft.com/office/2006/metadata/properties" xmlns:ns2="cdc7663a-08f0-4737-9e8c-148ce897a09c" targetNamespace="http://schemas.microsoft.com/office/2006/metadata/properties" ma:root="true" ma:fieldsID="eed4db5bc5c88a32cd2b2d1e45fc3a1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BO-L118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387D-464C-4FC4-B10F-A6B4B472F2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c7663a-08f0-4737-9e8c-148ce897a09c"/>
    <ds:schemaRef ds:uri="http://www.w3.org/XML/1998/namespace"/>
    <ds:schemaRef ds:uri="http://purl.org/dc/dcmitype/"/>
  </ds:schemaRefs>
</ds:datastoreItem>
</file>

<file path=customXml/itemProps2.xml><?xml version="1.0" encoding="utf-8"?>
<ds:datastoreItem xmlns:ds="http://schemas.openxmlformats.org/officeDocument/2006/customXml" ds:itemID="{2002F7C3-C6D4-49B0-AB6F-B8626984B7DE}">
  <ds:schemaRefs>
    <ds:schemaRef ds:uri="http://schemas.microsoft.com/sharepoint/v3/contenttype/forms"/>
  </ds:schemaRefs>
</ds:datastoreItem>
</file>

<file path=customXml/itemProps3.xml><?xml version="1.0" encoding="utf-8"?>
<ds:datastoreItem xmlns:ds="http://schemas.openxmlformats.org/officeDocument/2006/customXml" ds:itemID="{69DADE94-B207-4A48-A453-965A03554576}">
  <ds:schemaRefs>
    <ds:schemaRef ds:uri="http://schemas.microsoft.com/sharepoint/events"/>
  </ds:schemaRefs>
</ds:datastoreItem>
</file>

<file path=customXml/itemProps4.xml><?xml version="1.0" encoding="utf-8"?>
<ds:datastoreItem xmlns:ds="http://schemas.openxmlformats.org/officeDocument/2006/customXml" ds:itemID="{14837931-78C5-49BA-90A1-CB16758A3391}"/>
</file>

<file path=customXml/itemProps5.xml><?xml version="1.0" encoding="utf-8"?>
<ds:datastoreItem xmlns:ds="http://schemas.openxmlformats.org/officeDocument/2006/customXml" ds:itemID="{312226B0-8B8F-40CE-A01D-2C52B50725E3}"/>
</file>

<file path=customXml/itemProps6.xml><?xml version="1.0" encoding="utf-8"?>
<ds:datastoreItem xmlns:ds="http://schemas.openxmlformats.org/officeDocument/2006/customXml" ds:itemID="{2C3FFA83-1955-4AF0-B5A8-9BA94CF145BB}"/>
</file>

<file path=customXml/itemProps7.xml><?xml version="1.0" encoding="utf-8"?>
<ds:datastoreItem xmlns:ds="http://schemas.openxmlformats.org/officeDocument/2006/customXml" ds:itemID="{92460744-2FD4-4450-B119-4707E617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21</Pages>
  <Words>7910</Words>
  <Characters>45087</Characters>
  <Application>Microsoft Office Word</Application>
  <DocSecurity>0</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almar</dc:creator>
  <cp:keywords/>
  <dc:description/>
  <cp:lastModifiedBy>Bonifaz Urquizu, Jeanette</cp:lastModifiedBy>
  <cp:revision>18</cp:revision>
  <cp:lastPrinted>2014-05-13T14:10:00Z</cp:lastPrinted>
  <dcterms:created xsi:type="dcterms:W3CDTF">2018-06-15T15:54:00Z</dcterms:created>
  <dcterms:modified xsi:type="dcterms:W3CDTF">2018-07-19T21:23:00Z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
  </property>
  <property fmtid="{D5CDD505-2E9C-101B-9397-08002B2CF9AE}" pid="7" name="Fund IDB">
    <vt:lpwstr/>
  </property>
  <property fmtid="{D5CDD505-2E9C-101B-9397-08002B2CF9AE}" pid="8" name="Country">
    <vt:lpwstr/>
  </property>
  <property fmtid="{D5CDD505-2E9C-101B-9397-08002B2CF9AE}" pid="9" name="Sector IDB">
    <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e8622c10-ace3-4e7e-9602-ea5f1ee09fb2</vt:lpwstr>
  </property>
  <property fmtid="{D5CDD505-2E9C-101B-9397-08002B2CF9AE}" pid="12" name="Disclosure Activity">
    <vt:lpwstr>Loan Proposal</vt:lpwstr>
  </property>
  <property fmtid="{D5CDD505-2E9C-101B-9397-08002B2CF9AE}" pid="13" name="ContentTypeId">
    <vt:lpwstr>0x0101001A458A224826124E8B45B1D613300CFC002C141A1697E9174C8A3799E0F16C9B99</vt:lpwstr>
  </property>
</Properties>
</file>