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6E3F" w14:textId="0294DE0E"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24176DB2" wp14:editId="66398157">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20F9977C" w14:textId="3EA367EE"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7BC714B6"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2B02FCF8" w14:textId="0D5C203F"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2E615853" w14:textId="77777777" w:rsidR="003F5CA1" w:rsidRPr="006C3B20" w:rsidRDefault="003F5CA1" w:rsidP="00901303">
      <w:pPr>
        <w:jc w:val="both"/>
        <w:rPr>
          <w:rFonts w:asciiTheme="minorHAnsi" w:hAnsiTheme="minorHAnsi" w:cs="Times New Roman"/>
          <w:color w:val="auto"/>
        </w:rPr>
      </w:pPr>
    </w:p>
    <w:p w14:paraId="628BF229" w14:textId="5D491AD7" w:rsidR="00F45D9C" w:rsidRPr="00834FF1" w:rsidRDefault="00655DDF" w:rsidP="2CDD2216">
      <w:pPr>
        <w:suppressAutoHyphens/>
        <w:rPr>
          <w:rFonts w:asciiTheme="minorHAnsi" w:hAnsiTheme="minorHAnsi" w:cstheme="minorBidi"/>
          <w:color w:val="auto"/>
        </w:rPr>
      </w:pPr>
      <w:r>
        <w:rPr>
          <w:rFonts w:asciiTheme="minorHAnsi" w:hAnsiTheme="minorHAnsi" w:cstheme="minorBidi"/>
          <w:color w:val="auto"/>
        </w:rPr>
        <w:t xml:space="preserve">Selection #: </w:t>
      </w:r>
      <w:r w:rsidR="002118B7">
        <w:rPr>
          <w:rFonts w:asciiTheme="minorHAnsi" w:hAnsiTheme="minorHAnsi" w:cstheme="minorBidi"/>
          <w:color w:val="auto"/>
        </w:rPr>
        <w:t>RG-T</w:t>
      </w:r>
      <w:r w:rsidR="007D3109">
        <w:rPr>
          <w:rFonts w:asciiTheme="minorHAnsi" w:hAnsiTheme="minorHAnsi" w:cstheme="minorBidi"/>
          <w:color w:val="auto"/>
        </w:rPr>
        <w:t>3127</w:t>
      </w:r>
      <w:r w:rsidR="002118B7">
        <w:rPr>
          <w:rFonts w:asciiTheme="minorHAnsi" w:hAnsiTheme="minorHAnsi" w:cstheme="minorBidi"/>
          <w:color w:val="auto"/>
        </w:rPr>
        <w:t>-P00</w:t>
      </w:r>
      <w:r w:rsidR="007D3109">
        <w:rPr>
          <w:rFonts w:asciiTheme="minorHAnsi" w:hAnsiTheme="minorHAnsi" w:cstheme="minorBidi"/>
          <w:color w:val="auto"/>
        </w:rPr>
        <w:t>1</w:t>
      </w:r>
    </w:p>
    <w:p w14:paraId="2FE659F0" w14:textId="53F33FFC" w:rsidR="672BA234" w:rsidRPr="00834FF1" w:rsidRDefault="00655DDF" w:rsidP="672BA234">
      <w:pPr>
        <w:rPr>
          <w:rFonts w:asciiTheme="minorHAnsi" w:hAnsiTheme="minorHAnsi" w:cstheme="minorBidi"/>
          <w:color w:val="auto"/>
        </w:rPr>
      </w:pPr>
      <w:r>
        <w:rPr>
          <w:rFonts w:asciiTheme="minorHAnsi" w:hAnsiTheme="minorHAnsi" w:cstheme="minorBidi"/>
          <w:color w:val="auto"/>
        </w:rPr>
        <w:t xml:space="preserve">Selection Method: </w:t>
      </w:r>
      <w:r w:rsidR="00DA2E66">
        <w:rPr>
          <w:rFonts w:asciiTheme="minorHAnsi" w:hAnsiTheme="minorHAnsi" w:cstheme="minorBidi"/>
          <w:color w:val="auto"/>
        </w:rPr>
        <w:t xml:space="preserve">Full </w:t>
      </w:r>
      <w:r w:rsidR="004311FF" w:rsidRPr="00834FF1">
        <w:rPr>
          <w:rFonts w:asciiTheme="minorHAnsi" w:hAnsiTheme="minorHAnsi" w:cstheme="minorBidi"/>
          <w:color w:val="auto"/>
        </w:rPr>
        <w:t>Competitive Selection</w:t>
      </w:r>
    </w:p>
    <w:p w14:paraId="4356DB27" w14:textId="40421631" w:rsidR="00F45D9C" w:rsidRPr="00834FF1" w:rsidRDefault="00F45D9C" w:rsidP="2CDD2216">
      <w:pPr>
        <w:suppressAutoHyphens/>
        <w:rPr>
          <w:rFonts w:asciiTheme="minorHAnsi" w:hAnsiTheme="minorHAnsi" w:cstheme="minorBidi"/>
          <w:color w:val="auto"/>
        </w:rPr>
      </w:pPr>
      <w:r w:rsidRPr="00834FF1">
        <w:rPr>
          <w:rFonts w:asciiTheme="minorHAnsi" w:hAnsiTheme="minorHAnsi" w:cstheme="minorBidi"/>
          <w:color w:val="auto"/>
        </w:rPr>
        <w:t xml:space="preserve">Country: </w:t>
      </w:r>
      <w:r w:rsidR="007D3109">
        <w:rPr>
          <w:rFonts w:asciiTheme="minorHAnsi" w:hAnsiTheme="minorHAnsi" w:cstheme="minorBidi"/>
          <w:color w:val="auto"/>
        </w:rPr>
        <w:t>Regional</w:t>
      </w:r>
      <w:r w:rsidRPr="00834FF1">
        <w:rPr>
          <w:rFonts w:asciiTheme="minorHAnsi" w:hAnsiTheme="minorHAnsi" w:cstheme="minorBidi"/>
          <w:color w:val="auto"/>
        </w:rPr>
        <w:t xml:space="preserve"> </w:t>
      </w:r>
    </w:p>
    <w:p w14:paraId="4C834057" w14:textId="208539F4" w:rsidR="00F45D9C" w:rsidRPr="00834FF1" w:rsidRDefault="2CDD2216" w:rsidP="2CDD2216">
      <w:pPr>
        <w:suppressAutoHyphens/>
        <w:rPr>
          <w:rFonts w:asciiTheme="minorHAnsi" w:hAnsiTheme="minorHAnsi" w:cstheme="minorBidi"/>
          <w:color w:val="auto"/>
        </w:rPr>
      </w:pPr>
      <w:r w:rsidRPr="00834FF1">
        <w:rPr>
          <w:rFonts w:asciiTheme="minorHAnsi" w:hAnsiTheme="minorHAnsi" w:cstheme="minorBidi"/>
          <w:color w:val="auto"/>
        </w:rPr>
        <w:t>Sector:</w:t>
      </w:r>
      <w:r w:rsidR="004311FF" w:rsidRPr="00834FF1">
        <w:rPr>
          <w:rFonts w:asciiTheme="minorHAnsi" w:hAnsiTheme="minorHAnsi" w:cstheme="minorBidi"/>
          <w:color w:val="auto"/>
        </w:rPr>
        <w:t xml:space="preserve"> IFD/CMF</w:t>
      </w:r>
    </w:p>
    <w:p w14:paraId="15F9F9C0" w14:textId="142DDFF6" w:rsidR="007D3109" w:rsidRPr="0024224B" w:rsidRDefault="2CDD2216" w:rsidP="0024224B">
      <w:pPr>
        <w:suppressAutoHyphens/>
        <w:rPr>
          <w:rFonts w:asciiTheme="minorHAnsi" w:hAnsiTheme="minorHAnsi" w:cstheme="minorBidi"/>
          <w:color w:val="auto"/>
        </w:rPr>
      </w:pPr>
      <w:r w:rsidRPr="00834FF1">
        <w:rPr>
          <w:rFonts w:asciiTheme="minorHAnsi" w:hAnsiTheme="minorHAnsi" w:cstheme="minorBidi"/>
          <w:color w:val="auto"/>
        </w:rPr>
        <w:t>Funding – TC #:</w:t>
      </w:r>
      <w:r w:rsidR="0024224B">
        <w:rPr>
          <w:rFonts w:asciiTheme="minorHAnsi" w:hAnsiTheme="minorHAnsi" w:cstheme="minorBidi"/>
          <w:color w:val="auto"/>
        </w:rPr>
        <w:t xml:space="preserve"> </w:t>
      </w:r>
      <w:r w:rsidR="007D3109" w:rsidRPr="007D3109">
        <w:rPr>
          <w:rFonts w:asciiTheme="minorHAnsi" w:hAnsiTheme="minorHAnsi" w:cstheme="minorBidi"/>
          <w:color w:val="auto"/>
        </w:rPr>
        <w:t>ATN/KK-16640-RG</w:t>
      </w:r>
    </w:p>
    <w:p w14:paraId="6B175998" w14:textId="53CB3C0B" w:rsidR="00F45D9C" w:rsidRPr="00834FF1" w:rsidRDefault="2CDD2216" w:rsidP="00F45D9C">
      <w:pPr>
        <w:pStyle w:val="BodyText"/>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Project #:</w:t>
      </w:r>
      <w:r w:rsidR="004311FF" w:rsidRPr="00834FF1">
        <w:rPr>
          <w:rFonts w:asciiTheme="minorHAnsi" w:eastAsiaTheme="minorEastAsia" w:hAnsiTheme="minorHAnsi" w:cstheme="minorBidi"/>
          <w:spacing w:val="0"/>
          <w:szCs w:val="24"/>
          <w:lang w:eastAsia="es-AR"/>
        </w:rPr>
        <w:t xml:space="preserve"> RG-T</w:t>
      </w:r>
      <w:r w:rsidR="007D3109">
        <w:rPr>
          <w:rFonts w:asciiTheme="minorHAnsi" w:eastAsiaTheme="minorEastAsia" w:hAnsiTheme="minorHAnsi" w:cstheme="minorBidi"/>
          <w:spacing w:val="0"/>
          <w:szCs w:val="24"/>
          <w:lang w:eastAsia="es-AR"/>
        </w:rPr>
        <w:t>3127</w:t>
      </w:r>
    </w:p>
    <w:p w14:paraId="08959238" w14:textId="41A6220C" w:rsidR="00F45D9C" w:rsidRPr="00834FF1" w:rsidRDefault="672BA234" w:rsidP="00170248">
      <w:pPr>
        <w:pStyle w:val="BodyText"/>
        <w:tabs>
          <w:tab w:val="left" w:pos="6645"/>
        </w:tabs>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TC name:</w:t>
      </w:r>
      <w:r w:rsidR="00DA2E66">
        <w:rPr>
          <w:rFonts w:asciiTheme="minorHAnsi" w:eastAsiaTheme="minorEastAsia" w:hAnsiTheme="minorHAnsi" w:cstheme="minorBidi"/>
          <w:spacing w:val="0"/>
          <w:szCs w:val="24"/>
          <w:lang w:eastAsia="es-AR"/>
        </w:rPr>
        <w:t xml:space="preserve"> </w:t>
      </w:r>
      <w:r w:rsidR="007D3109" w:rsidRPr="007D3109">
        <w:rPr>
          <w:rFonts w:asciiTheme="minorHAnsi" w:eastAsiaTheme="minorEastAsia" w:hAnsiTheme="minorHAnsi" w:cstheme="minorBidi"/>
          <w:spacing w:val="0"/>
          <w:szCs w:val="24"/>
          <w:lang w:eastAsia="es-AR"/>
        </w:rPr>
        <w:t>Supporting Development of Information Sharing &amp; Analysis Center (ISAC) for Broadband Infrastructure Protection</w:t>
      </w:r>
      <w:r w:rsidR="00170248" w:rsidRPr="00834FF1">
        <w:rPr>
          <w:rFonts w:asciiTheme="minorHAnsi" w:eastAsiaTheme="minorEastAsia" w:hAnsiTheme="minorHAnsi" w:cstheme="minorBidi"/>
          <w:spacing w:val="0"/>
          <w:szCs w:val="24"/>
          <w:lang w:eastAsia="es-AR"/>
        </w:rPr>
        <w:tab/>
      </w:r>
    </w:p>
    <w:p w14:paraId="4CCADA64" w14:textId="0CA5229A" w:rsidR="00194286" w:rsidRPr="00194286" w:rsidRDefault="6D59273E" w:rsidP="00194286">
      <w:pPr>
        <w:pStyle w:val="BodyText"/>
        <w:rPr>
          <w:rFonts w:asciiTheme="minorHAnsi" w:eastAsiaTheme="minorEastAsia" w:hAnsiTheme="minorHAnsi" w:cstheme="minorBidi"/>
          <w:szCs w:val="24"/>
          <w:lang w:eastAsia="es-AR"/>
        </w:rPr>
      </w:pPr>
      <w:r w:rsidRPr="00834FF1">
        <w:rPr>
          <w:rFonts w:asciiTheme="minorHAnsi" w:eastAsiaTheme="minorEastAsia" w:hAnsiTheme="minorHAnsi" w:cstheme="minorBidi"/>
          <w:spacing w:val="0"/>
          <w:szCs w:val="24"/>
          <w:lang w:eastAsia="es-AR"/>
        </w:rPr>
        <w:t>Description of Services:</w:t>
      </w:r>
      <w:r w:rsidR="004311FF" w:rsidRPr="00834FF1">
        <w:rPr>
          <w:rFonts w:asciiTheme="minorHAnsi" w:eastAsiaTheme="minorEastAsia" w:hAnsiTheme="minorHAnsi" w:cstheme="minorBidi"/>
          <w:spacing w:val="0"/>
          <w:szCs w:val="24"/>
          <w:lang w:eastAsia="es-AR"/>
        </w:rPr>
        <w:t xml:space="preserve"> </w:t>
      </w:r>
      <w:r w:rsidR="007D3109" w:rsidRPr="007D3109">
        <w:rPr>
          <w:rFonts w:asciiTheme="minorHAnsi" w:eastAsiaTheme="minorEastAsia" w:hAnsiTheme="minorHAnsi" w:cstheme="minorBidi"/>
          <w:szCs w:val="24"/>
          <w:lang w:eastAsia="es-AR"/>
        </w:rPr>
        <w:t>The general objective of this project is to support the region for the development of ISAC. To this end, a roadmap would be developed to propose a strategy for ISAC implementation based on the results of diagnosis of the broadband infrastructure. Furthermore, detailed action plans including pilot system for El Salvador would be proposed as a first step</w:t>
      </w:r>
    </w:p>
    <w:p w14:paraId="5B80DA02" w14:textId="77777777" w:rsidR="00194286" w:rsidRDefault="00194286" w:rsidP="00DA2E66">
      <w:pPr>
        <w:pStyle w:val="BodyText"/>
        <w:rPr>
          <w:rFonts w:asciiTheme="minorHAnsi" w:eastAsiaTheme="minorEastAsia" w:hAnsiTheme="minorHAnsi" w:cstheme="minorBidi"/>
          <w:spacing w:val="0"/>
          <w:szCs w:val="24"/>
          <w:lang w:eastAsia="es-AR"/>
        </w:rPr>
      </w:pPr>
    </w:p>
    <w:p w14:paraId="377A4CE6" w14:textId="1502DFF3" w:rsidR="00DA2E66" w:rsidRPr="00834FF1" w:rsidRDefault="00655DDF" w:rsidP="6D59273E">
      <w:pPr>
        <w:pStyle w:val="BodyText"/>
        <w:rPr>
          <w:rFonts w:asciiTheme="minorHAnsi" w:eastAsiaTheme="minorEastAsia" w:hAnsiTheme="minorHAnsi" w:cstheme="minorBidi"/>
          <w:spacing w:val="0"/>
          <w:szCs w:val="24"/>
          <w:lang w:eastAsia="es-AR"/>
        </w:rPr>
      </w:pPr>
      <w:r>
        <w:rPr>
          <w:rFonts w:asciiTheme="minorHAnsi" w:eastAsiaTheme="minorEastAsia" w:hAnsiTheme="minorHAnsi" w:cstheme="minorBidi"/>
          <w:spacing w:val="0"/>
          <w:szCs w:val="24"/>
          <w:lang w:eastAsia="es-AR"/>
        </w:rPr>
        <w:t xml:space="preserve">Link to TC Document: </w:t>
      </w:r>
      <w:r w:rsidR="007D3109" w:rsidRPr="007D3109">
        <w:rPr>
          <w:rFonts w:asciiTheme="minorHAnsi" w:eastAsiaTheme="minorEastAsia" w:hAnsiTheme="minorHAnsi" w:cstheme="minorBidi"/>
          <w:spacing w:val="0"/>
          <w:szCs w:val="24"/>
          <w:lang w:eastAsia="es-AR"/>
        </w:rPr>
        <w:t>https://www.iadb.org/en/project/RG-T3127</w:t>
      </w:r>
    </w:p>
    <w:p w14:paraId="5D15DF79" w14:textId="77777777" w:rsidR="00F45D9C" w:rsidRDefault="00F45D9C" w:rsidP="00F45D9C">
      <w:pPr>
        <w:pStyle w:val="BodyText"/>
        <w:rPr>
          <w:rFonts w:asciiTheme="minorHAnsi" w:hAnsiTheme="minorHAnsi" w:cstheme="minorHAnsi"/>
          <w:i/>
          <w:color w:val="0070C0"/>
          <w:szCs w:val="24"/>
        </w:rPr>
      </w:pPr>
    </w:p>
    <w:p w14:paraId="2C0FC91B" w14:textId="2A562493" w:rsidR="00F45D9C" w:rsidRPr="00AE7268" w:rsidRDefault="00F45D9C" w:rsidP="2CDD2216">
      <w:pPr>
        <w:spacing w:line="320" w:lineRule="atLeast"/>
        <w:jc w:val="both"/>
        <w:rPr>
          <w:rFonts w:asciiTheme="minorHAnsi" w:hAnsiTheme="minorHAnsi" w:cstheme="minorBidi"/>
        </w:rPr>
      </w:pPr>
      <w:r w:rsidRPr="2CDD2216">
        <w:rPr>
          <w:rFonts w:asciiTheme="minorHAnsi" w:hAnsiTheme="minorHAnsi" w:cstheme="minorBidi"/>
          <w:color w:val="auto"/>
        </w:rPr>
        <w:t xml:space="preserve">The Inter-American Development Bank (IDB) is executing the above mentioned operation. For this operation, the IDB </w:t>
      </w:r>
      <w:r w:rsidRPr="2CDD2216">
        <w:rPr>
          <w:rFonts w:asciiTheme="minorHAnsi" w:hAnsiTheme="minorHAnsi" w:cstheme="minorBidi"/>
          <w:spacing w:val="-2"/>
        </w:rPr>
        <w:t>intends to contract consulting services described in this Request for Expressions of Interest.</w:t>
      </w:r>
    </w:p>
    <w:p w14:paraId="2CDBF98B" w14:textId="77777777" w:rsidR="00F45D9C" w:rsidRPr="00AE7268" w:rsidRDefault="00F45D9C" w:rsidP="00F45D9C">
      <w:pPr>
        <w:spacing w:line="320" w:lineRule="atLeast"/>
        <w:jc w:val="both"/>
        <w:rPr>
          <w:rFonts w:asciiTheme="minorHAnsi" w:hAnsiTheme="minorHAnsi" w:cstheme="minorHAnsi"/>
          <w:spacing w:val="-2"/>
        </w:rPr>
      </w:pPr>
    </w:p>
    <w:p w14:paraId="07FF4D24" w14:textId="6CB03148" w:rsidR="004311FF" w:rsidRDefault="00F45D9C" w:rsidP="2CDD2216">
      <w:pPr>
        <w:suppressAutoHyphens/>
        <w:jc w:val="both"/>
        <w:rPr>
          <w:rFonts w:asciiTheme="minorHAnsi" w:hAnsiTheme="minorHAnsi" w:cstheme="minorBidi"/>
          <w:spacing w:val="-2"/>
        </w:rPr>
      </w:pPr>
      <w:r w:rsidRPr="2CDD2216">
        <w:rPr>
          <w:rFonts w:asciiTheme="minorHAnsi" w:hAnsiTheme="minorHAnsi" w:cstheme="minorBidi"/>
          <w:spacing w:val="-2"/>
        </w:rPr>
        <w:t>The consulting services (“the Services”) include</w:t>
      </w:r>
    </w:p>
    <w:p w14:paraId="3E5F9A5B" w14:textId="74B170FE" w:rsidR="00194286" w:rsidRDefault="00194286" w:rsidP="2CDD2216">
      <w:pPr>
        <w:suppressAutoHyphens/>
        <w:jc w:val="both"/>
        <w:rPr>
          <w:rFonts w:asciiTheme="minorHAnsi" w:hAnsiTheme="minorHAnsi" w:cstheme="minorBidi"/>
          <w:spacing w:val="-2"/>
        </w:rPr>
      </w:pPr>
    </w:p>
    <w:p w14:paraId="18F517C1" w14:textId="77777777" w:rsidR="007D3109" w:rsidRPr="007D3109" w:rsidRDefault="007D3109" w:rsidP="007D3109">
      <w:pPr>
        <w:pStyle w:val="Paragraph"/>
        <w:numPr>
          <w:ilvl w:val="0"/>
          <w:numId w:val="0"/>
        </w:numPr>
        <w:tabs>
          <w:tab w:val="num" w:pos="720"/>
          <w:tab w:val="num" w:pos="2016"/>
        </w:tabs>
        <w:rPr>
          <w:rFonts w:asciiTheme="minorHAnsi" w:hAnsiTheme="minorHAnsi" w:cs="Arial"/>
          <w:lang w:val="en-US"/>
        </w:rPr>
      </w:pPr>
      <w:r w:rsidRPr="007D3109">
        <w:rPr>
          <w:rFonts w:asciiTheme="minorHAnsi" w:hAnsiTheme="minorHAnsi" w:cs="Arial"/>
          <w:lang w:val="en-US"/>
        </w:rPr>
        <w:t xml:space="preserve">Component 1: Diagnosis of the status quo of the region on broadband sector: The objective of this component is to evaluate the current status of Central America in terms of overall safety for broadband infrastructure and draw future needs to provide a stable environment. This component will comprise: </w:t>
      </w:r>
    </w:p>
    <w:p w14:paraId="0D9D03CF" w14:textId="77777777" w:rsidR="007D3109" w:rsidRPr="007D3109" w:rsidRDefault="007D3109" w:rsidP="007D3109">
      <w:pPr>
        <w:pStyle w:val="NormalWeb"/>
        <w:spacing w:beforeAutospacing="0" w:after="0" w:afterAutospacing="0"/>
        <w:ind w:left="990" w:hanging="270"/>
        <w:jc w:val="both"/>
        <w:rPr>
          <w:rFonts w:asciiTheme="minorHAnsi" w:eastAsia="Malgun Gothic" w:hAnsiTheme="minorHAnsi" w:cs="Arial"/>
          <w:szCs w:val="22"/>
          <w:lang w:eastAsia="ko-KR"/>
        </w:rPr>
      </w:pPr>
      <w:r w:rsidRPr="007D3109">
        <w:rPr>
          <w:rFonts w:asciiTheme="minorHAnsi" w:hAnsiTheme="minorHAnsi" w:cs="Arial"/>
          <w:szCs w:val="22"/>
        </w:rPr>
        <w:t>a.</w:t>
      </w:r>
      <w:r w:rsidRPr="007D3109">
        <w:rPr>
          <w:rFonts w:asciiTheme="minorHAnsi" w:eastAsia="Malgun Gothic" w:hAnsiTheme="minorHAnsi" w:cs="Arial"/>
          <w:szCs w:val="22"/>
          <w:lang w:eastAsia="ko-KR"/>
        </w:rPr>
        <w:t xml:space="preserve"> Diagnosis of the current situation on the broadband network and international connectivity </w:t>
      </w:r>
    </w:p>
    <w:p w14:paraId="5BA7D49E" w14:textId="77777777" w:rsidR="007D3109" w:rsidRPr="007D3109" w:rsidRDefault="007D3109" w:rsidP="007D3109">
      <w:pPr>
        <w:pStyle w:val="NormalWeb"/>
        <w:spacing w:beforeAutospacing="0" w:after="0" w:afterAutospacing="0"/>
        <w:ind w:left="990" w:hanging="270"/>
        <w:jc w:val="both"/>
        <w:rPr>
          <w:rFonts w:asciiTheme="minorHAnsi" w:hAnsiTheme="minorHAnsi" w:cs="Arial"/>
          <w:szCs w:val="22"/>
        </w:rPr>
      </w:pPr>
      <w:r w:rsidRPr="007D3109">
        <w:rPr>
          <w:rFonts w:asciiTheme="minorHAnsi" w:hAnsiTheme="minorHAnsi" w:cs="Arial"/>
          <w:szCs w:val="22"/>
        </w:rPr>
        <w:t>b. Assessment of availability and reliability of broadband service</w:t>
      </w:r>
    </w:p>
    <w:p w14:paraId="5094A8FC" w14:textId="77777777" w:rsidR="007D3109" w:rsidRPr="007D3109" w:rsidRDefault="007D3109" w:rsidP="007D3109">
      <w:pPr>
        <w:pStyle w:val="NormalWeb"/>
        <w:spacing w:beforeAutospacing="0" w:after="200" w:afterAutospacing="0"/>
        <w:ind w:left="993" w:hanging="274"/>
        <w:jc w:val="both"/>
        <w:rPr>
          <w:rFonts w:asciiTheme="minorHAnsi" w:hAnsiTheme="minorHAnsi" w:cs="Arial"/>
          <w:szCs w:val="22"/>
        </w:rPr>
      </w:pPr>
      <w:r w:rsidRPr="007D3109">
        <w:rPr>
          <w:rFonts w:asciiTheme="minorHAnsi" w:hAnsiTheme="minorHAnsi" w:cs="Arial"/>
          <w:szCs w:val="22"/>
        </w:rPr>
        <w:t>c. Identification of major risks that can cause network failures by internal, external, technical and administrative vulnerabilities.</w:t>
      </w:r>
    </w:p>
    <w:p w14:paraId="7223A17D" w14:textId="77777777" w:rsidR="007D3109" w:rsidRPr="007D3109" w:rsidRDefault="007D3109" w:rsidP="007D3109">
      <w:pPr>
        <w:pStyle w:val="NormalWeb"/>
        <w:spacing w:beforeAutospacing="0" w:after="200" w:afterAutospacing="0"/>
        <w:ind w:left="993" w:hanging="274"/>
        <w:jc w:val="both"/>
        <w:rPr>
          <w:rFonts w:asciiTheme="minorHAnsi" w:hAnsiTheme="minorHAnsi" w:cs="Arial"/>
          <w:szCs w:val="22"/>
        </w:rPr>
      </w:pPr>
      <w:r w:rsidRPr="007D3109">
        <w:rPr>
          <w:rFonts w:asciiTheme="minorHAnsi" w:hAnsiTheme="minorHAnsi" w:cs="Arial"/>
          <w:szCs w:val="22"/>
        </w:rPr>
        <w:t xml:space="preserve">d. Analysis on the national strategy to protect broadband infrastructure including implementation of ISAC </w:t>
      </w:r>
    </w:p>
    <w:p w14:paraId="5BF71F5C" w14:textId="77777777" w:rsidR="007D3109" w:rsidRPr="007D3109" w:rsidRDefault="007D3109" w:rsidP="007D3109">
      <w:pPr>
        <w:pStyle w:val="NormalWeb"/>
        <w:spacing w:beforeAutospacing="0" w:after="200" w:afterAutospacing="0"/>
        <w:ind w:left="993" w:hanging="274"/>
        <w:jc w:val="both"/>
        <w:rPr>
          <w:rFonts w:asciiTheme="minorHAnsi" w:hAnsiTheme="minorHAnsi" w:cs="Arial"/>
          <w:szCs w:val="22"/>
        </w:rPr>
      </w:pPr>
      <w:r w:rsidRPr="007D3109">
        <w:rPr>
          <w:rFonts w:asciiTheme="minorHAnsi" w:hAnsiTheme="minorHAnsi" w:cs="Arial"/>
          <w:szCs w:val="22"/>
        </w:rPr>
        <w:t xml:space="preserve">e. Identify public and private stakeholders for telecom sector ISAC and development of ISAC implementation roadmap to mitigate risks and provide reliable broadband services. </w:t>
      </w:r>
    </w:p>
    <w:p w14:paraId="327AFC71" w14:textId="77777777" w:rsidR="007D3109" w:rsidRPr="007D3109" w:rsidRDefault="007D3109" w:rsidP="007D3109">
      <w:pPr>
        <w:pStyle w:val="Paragraph"/>
        <w:numPr>
          <w:ilvl w:val="0"/>
          <w:numId w:val="0"/>
        </w:numPr>
        <w:tabs>
          <w:tab w:val="num" w:pos="720"/>
          <w:tab w:val="num" w:pos="2016"/>
        </w:tabs>
        <w:rPr>
          <w:rFonts w:asciiTheme="minorHAnsi" w:hAnsiTheme="minorHAnsi" w:cs="Arial"/>
          <w:spacing w:val="-4"/>
          <w:lang w:val="en-US"/>
        </w:rPr>
      </w:pPr>
      <w:r w:rsidRPr="007D3109">
        <w:rPr>
          <w:rFonts w:asciiTheme="minorHAnsi" w:hAnsiTheme="minorHAnsi" w:cs="Arial"/>
          <w:spacing w:val="-4"/>
          <w:lang w:val="en-US"/>
        </w:rPr>
        <w:t xml:space="preserve">Component 2: Phase I. Action plan going forward for El Salvador: The objective of this component is to propose a specific action plan optimized for El Salvador to establish ISAC for seamless broadband services. This component will comprise: </w:t>
      </w:r>
    </w:p>
    <w:p w14:paraId="333343BB" w14:textId="77777777" w:rsidR="007D3109" w:rsidRPr="007D3109" w:rsidRDefault="007D3109" w:rsidP="007D3109">
      <w:pPr>
        <w:pStyle w:val="NormalWeb"/>
        <w:spacing w:beforeAutospacing="0" w:after="0" w:afterAutospacing="0"/>
        <w:ind w:left="993" w:hanging="273"/>
        <w:jc w:val="both"/>
        <w:rPr>
          <w:rFonts w:asciiTheme="minorHAnsi" w:eastAsia="Malgun Gothic" w:hAnsiTheme="minorHAnsi" w:cs="Arial"/>
          <w:szCs w:val="22"/>
          <w:lang w:eastAsia="ko-KR"/>
        </w:rPr>
      </w:pPr>
      <w:r w:rsidRPr="007D3109">
        <w:rPr>
          <w:rFonts w:asciiTheme="minorHAnsi" w:eastAsia="Malgun Gothic" w:hAnsiTheme="minorHAnsi" w:cs="Arial"/>
          <w:szCs w:val="22"/>
          <w:lang w:eastAsia="ko-KR"/>
        </w:rPr>
        <w:t>a. Identify public and private stakeholders and estimate the scope of the major systems and related organizations that need to be connected to ISAC.</w:t>
      </w:r>
    </w:p>
    <w:p w14:paraId="50BA3E1D" w14:textId="77777777" w:rsidR="007D3109" w:rsidRPr="007D3109" w:rsidRDefault="007D3109" w:rsidP="007D3109">
      <w:pPr>
        <w:pStyle w:val="NormalWeb"/>
        <w:spacing w:beforeAutospacing="0" w:after="0" w:afterAutospacing="0"/>
        <w:ind w:left="993" w:hanging="273"/>
        <w:jc w:val="both"/>
        <w:rPr>
          <w:rFonts w:asciiTheme="minorHAnsi" w:hAnsiTheme="minorHAnsi" w:cs="Arial"/>
          <w:szCs w:val="22"/>
        </w:rPr>
      </w:pPr>
      <w:r w:rsidRPr="007D3109">
        <w:rPr>
          <w:rFonts w:asciiTheme="minorHAnsi" w:hAnsiTheme="minorHAnsi" w:cs="Arial"/>
          <w:szCs w:val="22"/>
        </w:rPr>
        <w:t>b. Evaluate administrative, regulatory, and legal framework and propose the changes necessary to the implementation and operation of telecom ISAC.</w:t>
      </w:r>
    </w:p>
    <w:p w14:paraId="13EDCEEE" w14:textId="77777777" w:rsidR="007D3109" w:rsidRPr="007D3109" w:rsidRDefault="007D3109" w:rsidP="007D3109">
      <w:pPr>
        <w:pStyle w:val="NormalWeb"/>
        <w:spacing w:beforeAutospacing="0" w:after="0" w:afterAutospacing="0"/>
        <w:ind w:left="993" w:hanging="273"/>
        <w:jc w:val="both"/>
        <w:rPr>
          <w:rFonts w:asciiTheme="minorHAnsi" w:eastAsia="Malgun Gothic" w:hAnsiTheme="minorHAnsi" w:cs="Arial"/>
          <w:szCs w:val="22"/>
          <w:lang w:eastAsia="ko-KR"/>
        </w:rPr>
      </w:pPr>
      <w:r w:rsidRPr="007D3109">
        <w:rPr>
          <w:rFonts w:asciiTheme="minorHAnsi" w:eastAsia="Malgun Gothic" w:hAnsiTheme="minorHAnsi" w:cs="Arial"/>
          <w:szCs w:val="22"/>
          <w:lang w:eastAsia="ko-KR"/>
        </w:rPr>
        <w:lastRenderedPageBreak/>
        <w:t xml:space="preserve">c. Recommend system architecture, technology and standards, implementation schedule and organizational framework for ISAC. </w:t>
      </w:r>
    </w:p>
    <w:p w14:paraId="2528459F" w14:textId="77777777" w:rsidR="007D3109" w:rsidRPr="007D3109" w:rsidRDefault="007D3109" w:rsidP="007D3109">
      <w:pPr>
        <w:pStyle w:val="Paragraph"/>
        <w:numPr>
          <w:ilvl w:val="0"/>
          <w:numId w:val="0"/>
        </w:numPr>
        <w:ind w:left="1080" w:hanging="360"/>
        <w:rPr>
          <w:rFonts w:asciiTheme="minorHAnsi" w:eastAsia="Malgun Gothic" w:hAnsiTheme="minorHAnsi" w:cs="Arial"/>
          <w:lang w:val="en-US" w:eastAsia="ko-KR"/>
        </w:rPr>
      </w:pPr>
      <w:r w:rsidRPr="007D3109">
        <w:rPr>
          <w:rFonts w:asciiTheme="minorHAnsi" w:eastAsia="Malgun Gothic" w:hAnsiTheme="minorHAnsi" w:cs="Arial"/>
          <w:lang w:val="en-US" w:eastAsia="ko-KR"/>
        </w:rPr>
        <w:t>d. Designing and implementing pilot ISAC system for specific network and services (i.e. financial network, national information network).</w:t>
      </w:r>
    </w:p>
    <w:p w14:paraId="1503B157" w14:textId="77777777" w:rsidR="007D3109" w:rsidRPr="007D3109" w:rsidRDefault="007D3109" w:rsidP="007D3109">
      <w:pPr>
        <w:pStyle w:val="NormalWeb"/>
        <w:spacing w:beforeAutospacing="0" w:after="0" w:afterAutospacing="0"/>
        <w:ind w:left="993" w:hanging="273"/>
        <w:jc w:val="both"/>
        <w:rPr>
          <w:rFonts w:asciiTheme="minorHAnsi" w:hAnsiTheme="minorHAnsi" w:cs="Arial"/>
          <w:szCs w:val="22"/>
        </w:rPr>
      </w:pPr>
      <w:r w:rsidRPr="007D3109">
        <w:rPr>
          <w:rFonts w:asciiTheme="minorHAnsi" w:hAnsiTheme="minorHAnsi" w:cs="Arial"/>
        </w:rPr>
        <w:t>e. Training of identified ISAC members using pilot ISAC system to operate ISAC systems and respond to network failure.</w:t>
      </w:r>
    </w:p>
    <w:p w14:paraId="49B72282" w14:textId="77777777" w:rsidR="007D3109" w:rsidRPr="007D3109" w:rsidRDefault="007D3109" w:rsidP="007D3109">
      <w:pPr>
        <w:pStyle w:val="NormalWeb"/>
        <w:spacing w:beforeAutospacing="0" w:after="0" w:afterAutospacing="0"/>
        <w:jc w:val="both"/>
        <w:rPr>
          <w:rFonts w:asciiTheme="minorHAnsi" w:hAnsiTheme="minorHAnsi" w:cs="Arial"/>
          <w:sz w:val="6"/>
          <w:szCs w:val="4"/>
        </w:rPr>
      </w:pPr>
    </w:p>
    <w:p w14:paraId="11B3AF25" w14:textId="77777777" w:rsidR="007D3109" w:rsidRPr="007D3109" w:rsidRDefault="007D3109" w:rsidP="007D3109">
      <w:pPr>
        <w:pStyle w:val="Paragraph"/>
        <w:numPr>
          <w:ilvl w:val="0"/>
          <w:numId w:val="0"/>
        </w:numPr>
        <w:tabs>
          <w:tab w:val="num" w:pos="720"/>
          <w:tab w:val="num" w:pos="2016"/>
        </w:tabs>
        <w:rPr>
          <w:rFonts w:asciiTheme="minorHAnsi" w:hAnsiTheme="minorHAnsi" w:cs="Arial"/>
          <w:lang w:val="en-US"/>
        </w:rPr>
      </w:pPr>
      <w:r w:rsidRPr="007D3109">
        <w:rPr>
          <w:rFonts w:asciiTheme="minorHAnsi" w:hAnsiTheme="minorHAnsi" w:cs="Arial"/>
          <w:lang w:val="en-US"/>
        </w:rPr>
        <w:t xml:space="preserve">Component 3: Financial analysis and its corresponding sensitivity analysis: </w:t>
      </w:r>
      <w:r w:rsidRPr="007D3109">
        <w:rPr>
          <w:rFonts w:asciiTheme="minorHAnsi" w:eastAsia="Malgun Gothic" w:hAnsiTheme="minorHAnsi" w:cs="Arial"/>
          <w:lang w:val="en-US"/>
        </w:rPr>
        <w:t>Based on the findings of the previous section, the goal of this component is to evaluate the financial aspects and develop pilot system for evaluating the effectiveness of the proposed roadmap</w:t>
      </w:r>
      <w:r w:rsidRPr="007D3109">
        <w:rPr>
          <w:rFonts w:asciiTheme="minorHAnsi" w:hAnsiTheme="minorHAnsi" w:cs="Arial"/>
          <w:lang w:val="en-US"/>
        </w:rPr>
        <w:t>. This component will comprise:</w:t>
      </w:r>
    </w:p>
    <w:p w14:paraId="3552D0B8" w14:textId="77777777" w:rsidR="007D3109" w:rsidRPr="007D3109" w:rsidRDefault="007D3109" w:rsidP="007D3109">
      <w:pPr>
        <w:pStyle w:val="NormalWeb"/>
        <w:numPr>
          <w:ilvl w:val="0"/>
          <w:numId w:val="24"/>
        </w:numPr>
        <w:spacing w:beforeAutospacing="0" w:after="0" w:afterAutospacing="0"/>
        <w:jc w:val="both"/>
        <w:rPr>
          <w:rFonts w:asciiTheme="minorHAnsi" w:hAnsiTheme="minorHAnsi" w:cs="Arial"/>
          <w:szCs w:val="22"/>
        </w:rPr>
      </w:pPr>
      <w:r w:rsidRPr="007D3109">
        <w:rPr>
          <w:rFonts w:asciiTheme="minorHAnsi" w:hAnsiTheme="minorHAnsi" w:cs="Arial"/>
          <w:szCs w:val="22"/>
        </w:rPr>
        <w:t>Evaluate the investment and analy</w:t>
      </w:r>
      <w:r w:rsidRPr="007D3109">
        <w:rPr>
          <w:rFonts w:asciiTheme="minorHAnsi" w:eastAsia="Malgun Gothic" w:hAnsiTheme="minorHAnsi" w:cs="Arial"/>
          <w:szCs w:val="22"/>
          <w:lang w:eastAsia="ko-KR"/>
        </w:rPr>
        <w:t>z</w:t>
      </w:r>
      <w:r w:rsidRPr="007D3109">
        <w:rPr>
          <w:rFonts w:asciiTheme="minorHAnsi" w:hAnsiTheme="minorHAnsi" w:cs="Arial"/>
          <w:szCs w:val="22"/>
        </w:rPr>
        <w:t>e the economic return estimating the deployment investments (CAPEX) and operating costs (OPEX).</w:t>
      </w:r>
    </w:p>
    <w:p w14:paraId="451DF81D" w14:textId="77777777" w:rsidR="007D3109" w:rsidRPr="007D3109" w:rsidRDefault="007D3109" w:rsidP="007D3109">
      <w:pPr>
        <w:pStyle w:val="NormalWeb"/>
        <w:numPr>
          <w:ilvl w:val="0"/>
          <w:numId w:val="24"/>
        </w:numPr>
        <w:spacing w:beforeAutospacing="0" w:after="0" w:afterAutospacing="0"/>
        <w:jc w:val="both"/>
        <w:rPr>
          <w:rFonts w:asciiTheme="minorHAnsi" w:hAnsiTheme="minorHAnsi" w:cs="Arial"/>
          <w:szCs w:val="22"/>
        </w:rPr>
      </w:pPr>
      <w:r w:rsidRPr="007D3109">
        <w:rPr>
          <w:rFonts w:asciiTheme="minorHAnsi" w:hAnsiTheme="minorHAnsi" w:cs="Arial"/>
          <w:szCs w:val="22"/>
        </w:rPr>
        <w:t>Development of the Environmental and Social Impact Management Plans (EMP) for the project.</w:t>
      </w:r>
    </w:p>
    <w:p w14:paraId="4F80BD90" w14:textId="77777777" w:rsidR="007D3109" w:rsidRDefault="007D3109" w:rsidP="00194286">
      <w:pPr>
        <w:suppressAutoHyphens/>
        <w:jc w:val="both"/>
        <w:rPr>
          <w:rFonts w:asciiTheme="minorHAnsi" w:hAnsiTheme="minorHAnsi" w:cstheme="minorBidi"/>
          <w:spacing w:val="-2"/>
        </w:rPr>
      </w:pPr>
    </w:p>
    <w:p w14:paraId="388303E3" w14:textId="1609BD79" w:rsidR="00DA2E66" w:rsidRDefault="00DA2E66" w:rsidP="00DA2E66">
      <w:pPr>
        <w:jc w:val="center"/>
        <w:rPr>
          <w:rFonts w:ascii="Times New Roman" w:hAnsi="Times New Roman" w:cs="Times New Roman"/>
          <w:b/>
        </w:rPr>
      </w:pPr>
      <w:r w:rsidRPr="00500758">
        <w:rPr>
          <w:rFonts w:ascii="Times New Roman" w:hAnsi="Times New Roman" w:cs="Times New Roman"/>
          <w:b/>
        </w:rPr>
        <w:t>IV. PROJECT MANAGEMENT</w:t>
      </w:r>
    </w:p>
    <w:p w14:paraId="0EB6760B" w14:textId="77777777" w:rsidR="00DA2E66" w:rsidRPr="00500758" w:rsidRDefault="00DA2E66" w:rsidP="00DA2E66">
      <w:pPr>
        <w:jc w:val="center"/>
        <w:rPr>
          <w:rFonts w:ascii="Times New Roman" w:hAnsi="Times New Roman" w:cs="Times New Roman"/>
          <w:b/>
        </w:rPr>
      </w:pPr>
    </w:p>
    <w:p w14:paraId="1538FD8D" w14:textId="77777777" w:rsidR="00DA2E66" w:rsidRPr="00DA2E66" w:rsidRDefault="00DA2E66" w:rsidP="00DA2E66">
      <w:pPr>
        <w:pStyle w:val="ListParagraph"/>
        <w:numPr>
          <w:ilvl w:val="0"/>
          <w:numId w:val="17"/>
        </w:numPr>
        <w:spacing w:line="240" w:lineRule="auto"/>
        <w:ind w:hanging="720"/>
        <w:jc w:val="both"/>
        <w:rPr>
          <w:rFonts w:asciiTheme="minorHAnsi" w:hAnsiTheme="minorHAnsi"/>
          <w:sz w:val="24"/>
          <w:szCs w:val="24"/>
          <w:lang w:val="en-US"/>
        </w:rPr>
      </w:pPr>
      <w:r w:rsidRPr="00DA2E66">
        <w:rPr>
          <w:rFonts w:asciiTheme="minorHAnsi" w:hAnsiTheme="minorHAnsi"/>
          <w:sz w:val="24"/>
          <w:szCs w:val="24"/>
          <w:lang w:val="en-US"/>
        </w:rPr>
        <w:t>Prospective Consulting Firm should define and implement appropriate management mechanisms, sound planning, and resource allocation, according to the proven expertise and prior knowledge of the subject;</w:t>
      </w:r>
    </w:p>
    <w:p w14:paraId="4663B4C8" w14:textId="4223B474" w:rsidR="00DA2E66" w:rsidRPr="00DA2E66" w:rsidRDefault="00DA2E66" w:rsidP="00DA2E66">
      <w:pPr>
        <w:pStyle w:val="ListParagraph"/>
        <w:numPr>
          <w:ilvl w:val="0"/>
          <w:numId w:val="17"/>
        </w:numPr>
        <w:spacing w:line="240" w:lineRule="auto"/>
        <w:ind w:hanging="720"/>
        <w:jc w:val="both"/>
        <w:rPr>
          <w:rFonts w:asciiTheme="minorHAnsi" w:hAnsiTheme="minorHAnsi"/>
          <w:sz w:val="24"/>
          <w:szCs w:val="24"/>
          <w:lang w:val="en-US"/>
        </w:rPr>
      </w:pPr>
      <w:r w:rsidRPr="00DA2E66">
        <w:rPr>
          <w:rFonts w:asciiTheme="minorHAnsi" w:hAnsiTheme="minorHAnsi"/>
          <w:sz w:val="24"/>
          <w:szCs w:val="24"/>
          <w:lang w:val="en-US"/>
        </w:rPr>
        <w:t xml:space="preserve">As part of this task, the Consulting Firm should also provide justification </w:t>
      </w:r>
      <w:r w:rsidR="007D3109">
        <w:rPr>
          <w:rFonts w:asciiTheme="minorHAnsi" w:hAnsiTheme="minorHAnsi"/>
          <w:sz w:val="24"/>
          <w:szCs w:val="24"/>
          <w:lang w:val="en-US"/>
        </w:rPr>
        <w:t>for subcontracting, if required</w:t>
      </w:r>
      <w:r w:rsidRPr="00DA2E66">
        <w:rPr>
          <w:rFonts w:asciiTheme="minorHAnsi" w:hAnsiTheme="minorHAnsi"/>
          <w:sz w:val="24"/>
          <w:szCs w:val="24"/>
          <w:lang w:val="en-US"/>
        </w:rPr>
        <w:t xml:space="preserve"> and provide regular management reporting. This will ensure the punctual delivery of high quality results of the work within the budget allocated;</w:t>
      </w:r>
    </w:p>
    <w:p w14:paraId="7A1B3D16" w14:textId="6ECE94D0" w:rsidR="00DA2E66" w:rsidRPr="00DA2E66" w:rsidRDefault="00DA2E66" w:rsidP="00DA2E66">
      <w:pPr>
        <w:pStyle w:val="ListParagraph"/>
        <w:numPr>
          <w:ilvl w:val="0"/>
          <w:numId w:val="17"/>
        </w:numPr>
        <w:spacing w:line="240" w:lineRule="auto"/>
        <w:ind w:hanging="720"/>
        <w:contextualSpacing w:val="0"/>
        <w:jc w:val="both"/>
        <w:rPr>
          <w:rFonts w:asciiTheme="minorHAnsi" w:hAnsiTheme="minorHAnsi"/>
          <w:sz w:val="24"/>
          <w:szCs w:val="24"/>
          <w:lang w:val="en-US"/>
        </w:rPr>
      </w:pPr>
      <w:r w:rsidRPr="00DA2E66">
        <w:rPr>
          <w:rFonts w:asciiTheme="minorHAnsi" w:hAnsiTheme="minorHAnsi"/>
          <w:sz w:val="24"/>
          <w:szCs w:val="24"/>
          <w:lang w:val="en-US"/>
        </w:rPr>
        <w:t>The prospective Consulting Firm is expected to submit detailed Gantt Charts and accompanying documentation with sufficient details including:</w:t>
      </w:r>
    </w:p>
    <w:p w14:paraId="02036C6F"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Scheduling of all Objectives, Outputs, and Activities within the Outputs;</w:t>
      </w:r>
    </w:p>
    <w:p w14:paraId="5863801E"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Identification of milestones and critical activities;</w:t>
      </w:r>
    </w:p>
    <w:p w14:paraId="7C36D5AA"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Assignment of experts and man-days v. outputs and activities;</w:t>
      </w:r>
    </w:p>
    <w:p w14:paraId="5EAFD8A3"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Identification of possible risks and suggestions to mitigate them;</w:t>
      </w:r>
    </w:p>
    <w:p w14:paraId="1B16C50D"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Quality assurance and peer review measures to ensure high quality results;</w:t>
      </w:r>
    </w:p>
    <w:p w14:paraId="53924369"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Detailed information on the expertise of the contractors on the tasks and topics of this tender including references to previous, relevant projects;</w:t>
      </w:r>
    </w:p>
    <w:p w14:paraId="2D30FC1F"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Detailed CVs of the experts proposed to be involved in all activities of the project.</w:t>
      </w:r>
    </w:p>
    <w:p w14:paraId="4B44F718" w14:textId="77777777" w:rsidR="00DA2E66" w:rsidRPr="00DA2E66" w:rsidRDefault="00DA2E66" w:rsidP="00DA2E66">
      <w:pPr>
        <w:pStyle w:val="ListParagraph"/>
        <w:numPr>
          <w:ilvl w:val="0"/>
          <w:numId w:val="17"/>
        </w:numPr>
        <w:spacing w:line="240" w:lineRule="auto"/>
        <w:ind w:hanging="720"/>
        <w:contextualSpacing w:val="0"/>
        <w:jc w:val="both"/>
        <w:rPr>
          <w:rFonts w:asciiTheme="minorHAnsi" w:hAnsiTheme="minorHAnsi"/>
          <w:sz w:val="24"/>
          <w:szCs w:val="24"/>
          <w:lang w:val="en-US"/>
        </w:rPr>
      </w:pPr>
      <w:r w:rsidRPr="00DA2E66">
        <w:rPr>
          <w:rFonts w:asciiTheme="minorHAnsi" w:hAnsiTheme="minorHAnsi"/>
          <w:sz w:val="24"/>
          <w:szCs w:val="24"/>
          <w:lang w:val="en-US"/>
        </w:rPr>
        <w:t>Based on the Gantt chart the contractor is expected to deliver the following documents regularly:</w:t>
      </w:r>
    </w:p>
    <w:p w14:paraId="2FC838A6" w14:textId="77777777"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A brief monthly progress report on the current activities (as they are defined in the Gantt chart), information on the progress achieved, next steps, possible risks affecting project, risk mitigation measures;</w:t>
      </w:r>
    </w:p>
    <w:p w14:paraId="2F32057B" w14:textId="32EA85B9"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 xml:space="preserve">Early warning reports, at any time, if emerging risks threaten key milestones of the project and when </w:t>
      </w:r>
      <w:r w:rsidR="007D3109">
        <w:rPr>
          <w:rFonts w:asciiTheme="minorHAnsi" w:hAnsiTheme="minorHAnsi"/>
          <w:sz w:val="24"/>
          <w:szCs w:val="24"/>
          <w:lang w:val="en-US"/>
        </w:rPr>
        <w:t xml:space="preserve">the Bank </w:t>
      </w:r>
      <w:r w:rsidRPr="00DA2E66">
        <w:rPr>
          <w:rFonts w:asciiTheme="minorHAnsi" w:hAnsiTheme="minorHAnsi"/>
          <w:sz w:val="24"/>
          <w:szCs w:val="24"/>
          <w:lang w:val="en-US"/>
        </w:rPr>
        <w:t>need</w:t>
      </w:r>
      <w:r w:rsidR="007D3109">
        <w:rPr>
          <w:rFonts w:asciiTheme="minorHAnsi" w:hAnsiTheme="minorHAnsi"/>
          <w:sz w:val="24"/>
          <w:szCs w:val="24"/>
          <w:lang w:val="en-US"/>
        </w:rPr>
        <w:t>s</w:t>
      </w:r>
      <w:r w:rsidRPr="00DA2E66">
        <w:rPr>
          <w:rFonts w:asciiTheme="minorHAnsi" w:hAnsiTheme="minorHAnsi"/>
          <w:sz w:val="24"/>
          <w:szCs w:val="24"/>
          <w:lang w:val="en-US"/>
        </w:rPr>
        <w:t xml:space="preserve"> to either be informed or take a decision;</w:t>
      </w:r>
    </w:p>
    <w:p w14:paraId="2D091CF9" w14:textId="6A18D4D5" w:rsidR="00DA2E66" w:rsidRPr="00DA2E66" w:rsidRDefault="00DA2E66" w:rsidP="00DA2E66">
      <w:pPr>
        <w:pStyle w:val="ListParagraph"/>
        <w:numPr>
          <w:ilvl w:val="0"/>
          <w:numId w:val="16"/>
        </w:numPr>
        <w:spacing w:line="240" w:lineRule="auto"/>
        <w:jc w:val="both"/>
        <w:rPr>
          <w:rFonts w:asciiTheme="minorHAnsi" w:hAnsiTheme="minorHAnsi"/>
          <w:sz w:val="24"/>
          <w:szCs w:val="24"/>
          <w:lang w:val="en-US"/>
        </w:rPr>
      </w:pPr>
      <w:r w:rsidRPr="00DA2E66">
        <w:rPr>
          <w:rFonts w:asciiTheme="minorHAnsi" w:hAnsiTheme="minorHAnsi"/>
          <w:sz w:val="24"/>
          <w:szCs w:val="24"/>
          <w:lang w:val="en-US"/>
        </w:rPr>
        <w:t xml:space="preserve">Prior to the kick-off meeting, the prospective contractor is expected to submit detailed Gantt charts and relevant documentation. </w:t>
      </w:r>
    </w:p>
    <w:p w14:paraId="51A93567" w14:textId="77777777" w:rsidR="00DA2E66" w:rsidRPr="00DA2E66" w:rsidRDefault="00DA2E66" w:rsidP="00DA2E66">
      <w:pPr>
        <w:pStyle w:val="Chapter"/>
        <w:numPr>
          <w:ilvl w:val="0"/>
          <w:numId w:val="0"/>
        </w:numPr>
        <w:tabs>
          <w:tab w:val="clear" w:pos="1440"/>
          <w:tab w:val="left" w:pos="270"/>
          <w:tab w:val="left" w:pos="900"/>
          <w:tab w:val="left" w:pos="1080"/>
        </w:tabs>
        <w:ind w:left="90"/>
        <w:rPr>
          <w:rFonts w:asciiTheme="minorHAnsi" w:hAnsiTheme="minorHAnsi"/>
          <w:sz w:val="24"/>
          <w:szCs w:val="24"/>
        </w:rPr>
      </w:pPr>
      <w:r w:rsidRPr="00DA2E66">
        <w:rPr>
          <w:rFonts w:asciiTheme="minorHAnsi" w:hAnsiTheme="minorHAnsi"/>
          <w:sz w:val="24"/>
          <w:szCs w:val="24"/>
        </w:rPr>
        <w:t>V. DURATION, DELIVERABLES AND ADMINISTRATIVE ARRANGEMENTS</w:t>
      </w:r>
    </w:p>
    <w:p w14:paraId="2786BA02" w14:textId="3C73D48C" w:rsidR="00DA2E66" w:rsidRPr="007D3109" w:rsidRDefault="00DA2E66" w:rsidP="007D3109">
      <w:pPr>
        <w:pStyle w:val="ListParagraph"/>
        <w:numPr>
          <w:ilvl w:val="0"/>
          <w:numId w:val="18"/>
        </w:numPr>
        <w:tabs>
          <w:tab w:val="left" w:pos="0"/>
        </w:tabs>
        <w:spacing w:after="0" w:line="240" w:lineRule="auto"/>
        <w:ind w:hanging="720"/>
        <w:jc w:val="both"/>
        <w:rPr>
          <w:rFonts w:asciiTheme="minorHAnsi" w:hAnsiTheme="minorHAnsi"/>
          <w:sz w:val="24"/>
          <w:szCs w:val="24"/>
          <w:lang w:val="en-US"/>
        </w:rPr>
      </w:pPr>
      <w:r w:rsidRPr="00DA2E66">
        <w:rPr>
          <w:rFonts w:asciiTheme="minorHAnsi" w:hAnsiTheme="minorHAnsi"/>
          <w:sz w:val="24"/>
          <w:szCs w:val="24"/>
          <w:lang w:val="en-US"/>
        </w:rPr>
        <w:t>The contractor is required to outline in the technical proposal the timeline needed to carry out the project in high quality (e.g. including a Gantt chart). In the offer, the bidder should indicate the estimated amount of man-days required to accomplish all the tasks associated with this procurement.</w:t>
      </w:r>
    </w:p>
    <w:p w14:paraId="154192EF" w14:textId="77777777" w:rsidR="007D3109" w:rsidRPr="0079311F" w:rsidRDefault="004311FF" w:rsidP="00EC3AE7">
      <w:pPr>
        <w:pStyle w:val="ListParagraph"/>
        <w:numPr>
          <w:ilvl w:val="0"/>
          <w:numId w:val="18"/>
        </w:numPr>
        <w:tabs>
          <w:tab w:val="left" w:pos="0"/>
        </w:tabs>
        <w:spacing w:after="0" w:line="320" w:lineRule="atLeast"/>
        <w:ind w:hanging="720"/>
        <w:jc w:val="both"/>
        <w:rPr>
          <w:rFonts w:asciiTheme="minorHAnsi" w:hAnsiTheme="minorHAnsi" w:cstheme="minorBidi"/>
          <w:lang w:val="en-US"/>
        </w:rPr>
      </w:pPr>
      <w:r w:rsidRPr="007D3109">
        <w:rPr>
          <w:rFonts w:asciiTheme="minorHAnsi" w:hAnsiTheme="minorHAnsi"/>
          <w:sz w:val="24"/>
          <w:szCs w:val="24"/>
          <w:lang w:val="en-US"/>
        </w:rPr>
        <w:t xml:space="preserve">The estimated timeframe for completion is </w:t>
      </w:r>
      <w:r w:rsidR="007D3109" w:rsidRPr="007D3109">
        <w:rPr>
          <w:rFonts w:asciiTheme="minorHAnsi" w:hAnsiTheme="minorHAnsi"/>
          <w:sz w:val="24"/>
          <w:szCs w:val="24"/>
          <w:lang w:val="en-US"/>
        </w:rPr>
        <w:t>9</w:t>
      </w:r>
      <w:r w:rsidRPr="007D3109">
        <w:rPr>
          <w:rFonts w:asciiTheme="minorHAnsi" w:hAnsiTheme="minorHAnsi"/>
          <w:sz w:val="24"/>
          <w:szCs w:val="24"/>
          <w:lang w:val="en-US"/>
        </w:rPr>
        <w:t xml:space="preserve"> months.</w:t>
      </w:r>
      <w:r w:rsidR="007D3109" w:rsidRPr="007D3109">
        <w:rPr>
          <w:rFonts w:asciiTheme="minorHAnsi" w:hAnsiTheme="minorHAnsi"/>
          <w:sz w:val="24"/>
          <w:szCs w:val="24"/>
          <w:lang w:val="en-US"/>
        </w:rPr>
        <w:t xml:space="preserve"> </w:t>
      </w:r>
    </w:p>
    <w:p w14:paraId="71A044DC" w14:textId="746657C2" w:rsidR="00F45D9C" w:rsidRPr="0079311F" w:rsidRDefault="2CDD2216" w:rsidP="00EC3AE7">
      <w:pPr>
        <w:pStyle w:val="ListParagraph"/>
        <w:numPr>
          <w:ilvl w:val="0"/>
          <w:numId w:val="18"/>
        </w:numPr>
        <w:tabs>
          <w:tab w:val="left" w:pos="0"/>
        </w:tabs>
        <w:spacing w:after="0" w:line="320" w:lineRule="atLeast"/>
        <w:ind w:hanging="720"/>
        <w:jc w:val="both"/>
        <w:rPr>
          <w:rFonts w:asciiTheme="minorHAnsi" w:hAnsiTheme="minorHAnsi" w:cstheme="minorBidi"/>
          <w:sz w:val="24"/>
          <w:lang w:val="en-US"/>
        </w:rPr>
      </w:pPr>
      <w:r w:rsidRPr="007D3109">
        <w:rPr>
          <w:rFonts w:asciiTheme="minorHAnsi" w:hAnsiTheme="minorHAnsi" w:cstheme="minorBidi"/>
          <w:sz w:val="24"/>
          <w:lang w:val="en-US"/>
        </w:rPr>
        <w:lastRenderedPageBreak/>
        <w:t xml:space="preserve">Eligible consulting firms will be selected in accordance with the procedures set out in the Inter-American Development Bank: </w:t>
      </w:r>
      <w:hyperlink r:id="rId15">
        <w:r w:rsidRPr="007D3109">
          <w:rPr>
            <w:rStyle w:val="Hyperlink"/>
            <w:rFonts w:asciiTheme="minorHAnsi" w:hAnsiTheme="minorHAnsi" w:cstheme="minorBidi"/>
            <w:i/>
            <w:iCs/>
            <w:sz w:val="24"/>
            <w:lang w:val="en-US"/>
          </w:rPr>
          <w:t>Policy for the Selection and Contracting of Consulting firms for Bank-executed Operational Work</w:t>
        </w:r>
      </w:hyperlink>
      <w:r w:rsidRPr="007D3109">
        <w:rPr>
          <w:rFonts w:asciiTheme="minorHAnsi" w:hAnsiTheme="minorHAnsi" w:cstheme="minorBidi"/>
          <w:sz w:val="24"/>
          <w:lang w:val="en-US"/>
        </w:rPr>
        <w:t xml:space="preserve"> - GN-2765-1.  </w:t>
      </w:r>
      <w:r w:rsidRPr="0079311F">
        <w:rPr>
          <w:rFonts w:asciiTheme="minorHAnsi" w:hAnsiTheme="minorHAnsi" w:cstheme="minorBidi"/>
          <w:sz w:val="24"/>
          <w:lang w:val="en-US"/>
        </w:rPr>
        <w:t xml:space="preserve">All eligible consulting firms, as defined in the Policy may express an interest. </w:t>
      </w:r>
    </w:p>
    <w:p w14:paraId="35803BFB" w14:textId="77777777" w:rsidR="00F45D9C" w:rsidRPr="00DA2E66" w:rsidRDefault="00F45D9C" w:rsidP="00F45D9C">
      <w:pPr>
        <w:spacing w:line="320" w:lineRule="atLeast"/>
        <w:jc w:val="both"/>
        <w:rPr>
          <w:rFonts w:asciiTheme="minorHAnsi" w:hAnsiTheme="minorHAnsi" w:cs="Times New Roman"/>
          <w:color w:val="auto"/>
        </w:rPr>
      </w:pPr>
    </w:p>
    <w:p w14:paraId="61707059" w14:textId="77777777" w:rsidR="00F45D9C"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The IDB now invites eligible consulting firms to indicate their interest in providing the services. 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62F95FFB" w14:textId="77777777" w:rsidR="00F45D9C" w:rsidRPr="00DA2E66" w:rsidRDefault="00F45D9C" w:rsidP="00F45D9C">
      <w:pPr>
        <w:spacing w:line="320" w:lineRule="atLeast"/>
        <w:jc w:val="both"/>
        <w:rPr>
          <w:rFonts w:asciiTheme="minorHAnsi" w:hAnsiTheme="minorHAnsi" w:cs="Times New Roman"/>
          <w:smallCaps/>
          <w:color w:val="4F81BD" w:themeColor="accent1"/>
        </w:rPr>
      </w:pPr>
    </w:p>
    <w:p w14:paraId="70D0EF38" w14:textId="210234E7" w:rsidR="00F45D9C" w:rsidRPr="00DA2E66" w:rsidRDefault="00F45D9C"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Interested eligible consulting firms may obtain further information during office hours</w:t>
      </w:r>
      <w:r w:rsidR="004D1120" w:rsidRPr="00DA2E66">
        <w:rPr>
          <w:rFonts w:asciiTheme="minorHAnsi" w:hAnsiTheme="minorHAnsi" w:cstheme="minorBidi"/>
          <w:color w:val="auto"/>
        </w:rPr>
        <w:t>,</w:t>
      </w:r>
      <w:r w:rsidRPr="00DA2E66">
        <w:rPr>
          <w:rFonts w:asciiTheme="minorHAnsi" w:hAnsiTheme="minorHAnsi" w:cstheme="minorBidi"/>
          <w:color w:val="auto"/>
        </w:rPr>
        <w:t xml:space="preserve"> 09:00 AM to 05:00 PM</w:t>
      </w:r>
      <w:r w:rsidR="004D1120" w:rsidRPr="00DA2E66">
        <w:rPr>
          <w:rFonts w:asciiTheme="minorHAnsi" w:hAnsiTheme="minorHAnsi" w:cstheme="minorBidi"/>
          <w:color w:val="auto"/>
        </w:rPr>
        <w:t>,</w:t>
      </w:r>
      <w:r w:rsidRPr="00DA2E66">
        <w:rPr>
          <w:rFonts w:asciiTheme="minorHAnsi" w:hAnsiTheme="minorHAnsi" w:cstheme="minorBidi"/>
          <w:color w:val="auto"/>
        </w:rPr>
        <w:t xml:space="preserve"> (</w:t>
      </w:r>
      <w:r w:rsidR="00637714" w:rsidRPr="00DA2E66">
        <w:rPr>
          <w:rFonts w:asciiTheme="minorHAnsi" w:hAnsiTheme="minorHAnsi" w:cstheme="minorBidi"/>
          <w:color w:val="auto"/>
        </w:rPr>
        <w:t>Washington D.C.</w:t>
      </w:r>
      <w:r w:rsidRPr="00DA2E66">
        <w:rPr>
          <w:rFonts w:asciiTheme="minorHAnsi" w:hAnsiTheme="minorHAnsi" w:cstheme="minorBidi"/>
          <w:color w:val="auto"/>
        </w:rPr>
        <w:t xml:space="preserve"> Time) </w:t>
      </w:r>
      <w:r w:rsidR="0078460F" w:rsidRPr="00DA2E66">
        <w:rPr>
          <w:rFonts w:asciiTheme="minorHAnsi" w:hAnsiTheme="minorHAnsi" w:cstheme="minorBidi"/>
          <w:color w:val="auto"/>
        </w:rPr>
        <w:t>by sending</w:t>
      </w:r>
      <w:r w:rsidR="008171F3" w:rsidRPr="00DA2E66">
        <w:rPr>
          <w:rFonts w:asciiTheme="minorHAnsi" w:hAnsiTheme="minorHAnsi" w:cstheme="minorBidi"/>
          <w:color w:val="auto"/>
        </w:rPr>
        <w:t xml:space="preserve"> an email to:</w:t>
      </w:r>
      <w:r w:rsidR="004311FF" w:rsidRPr="00DA2E66">
        <w:rPr>
          <w:rFonts w:asciiTheme="minorHAnsi" w:hAnsiTheme="minorHAnsi" w:cstheme="minorBidi"/>
          <w:color w:val="auto"/>
        </w:rPr>
        <w:t xml:space="preserve"> Antonio Garcia Zaballos (</w:t>
      </w:r>
      <w:hyperlink r:id="rId16" w:history="1">
        <w:r w:rsidR="004311FF" w:rsidRPr="00DA2E66">
          <w:rPr>
            <w:rStyle w:val="Hyperlink"/>
            <w:rFonts w:asciiTheme="minorHAnsi" w:hAnsiTheme="minorHAnsi" w:cstheme="minorBidi"/>
          </w:rPr>
          <w:t>antoniogar@iadb.org</w:t>
        </w:r>
      </w:hyperlink>
      <w:r w:rsidR="004311FF" w:rsidRPr="00DA2E66">
        <w:rPr>
          <w:rFonts w:asciiTheme="minorHAnsi" w:hAnsiTheme="minorHAnsi" w:cstheme="minorBidi"/>
          <w:color w:val="auto"/>
        </w:rPr>
        <w:t>) and Enrique Iglesias Rodriguez (enriqueig@iadb.org)</w:t>
      </w:r>
    </w:p>
    <w:p w14:paraId="03405C6F" w14:textId="77777777" w:rsidR="00F45D9C" w:rsidRPr="00DA2E66" w:rsidRDefault="00F45D9C" w:rsidP="00F45D9C">
      <w:pPr>
        <w:spacing w:line="320" w:lineRule="atLeast"/>
        <w:jc w:val="both"/>
        <w:rPr>
          <w:rFonts w:asciiTheme="minorHAnsi" w:hAnsiTheme="minorHAnsi" w:cs="Times New Roman"/>
          <w:color w:val="auto"/>
        </w:rPr>
      </w:pPr>
    </w:p>
    <w:p w14:paraId="5359264D" w14:textId="1ADDA23B" w:rsidR="00F45D9C" w:rsidRPr="00DA2E66" w:rsidRDefault="00F45D9C" w:rsidP="6D59273E">
      <w:pPr>
        <w:spacing w:line="320" w:lineRule="atLeast"/>
        <w:jc w:val="both"/>
        <w:rPr>
          <w:rFonts w:asciiTheme="minorHAnsi" w:hAnsiTheme="minorHAnsi" w:cstheme="minorBidi"/>
          <w:color w:val="auto"/>
        </w:rPr>
      </w:pPr>
      <w:r w:rsidRPr="00DA2E66">
        <w:rPr>
          <w:rFonts w:asciiTheme="minorHAnsi" w:hAnsiTheme="minorHAnsi" w:cstheme="minorBidi"/>
          <w:color w:val="auto"/>
        </w:rPr>
        <w:t xml:space="preserve">Expressions of </w:t>
      </w:r>
      <w:r w:rsidR="00360ACB" w:rsidRPr="00DA2E66">
        <w:rPr>
          <w:rFonts w:asciiTheme="minorHAnsi" w:hAnsiTheme="minorHAnsi" w:cstheme="minorBidi"/>
          <w:color w:val="auto"/>
        </w:rPr>
        <w:t>interest must be delivered</w:t>
      </w:r>
      <w:r w:rsidR="00891E3C" w:rsidRPr="00DA2E66">
        <w:rPr>
          <w:rFonts w:asciiTheme="minorHAnsi" w:hAnsiTheme="minorHAnsi" w:cstheme="minorBidi"/>
          <w:color w:val="auto"/>
        </w:rPr>
        <w:t xml:space="preserve"> </w:t>
      </w:r>
      <w:r w:rsidRPr="00DA2E66">
        <w:rPr>
          <w:rFonts w:asciiTheme="minorHAnsi" w:hAnsiTheme="minorHAnsi" w:cstheme="minorBidi"/>
          <w:color w:val="auto"/>
        </w:rPr>
        <w:t>by</w:t>
      </w:r>
      <w:r w:rsidR="004311FF" w:rsidRPr="00DA2E66">
        <w:rPr>
          <w:rFonts w:asciiTheme="minorHAnsi" w:hAnsiTheme="minorHAnsi" w:cstheme="minorBidi"/>
          <w:color w:val="auto"/>
        </w:rPr>
        <w:t xml:space="preserve"> </w:t>
      </w:r>
      <w:r w:rsidR="007D3109">
        <w:rPr>
          <w:rFonts w:asciiTheme="minorHAnsi" w:hAnsiTheme="minorHAnsi" w:cstheme="minorBidi"/>
          <w:color w:val="auto"/>
        </w:rPr>
        <w:t>April</w:t>
      </w:r>
      <w:r w:rsidR="004311FF" w:rsidRPr="00DA2E66">
        <w:rPr>
          <w:rFonts w:asciiTheme="minorHAnsi" w:hAnsiTheme="minorHAnsi" w:cstheme="minorBidi"/>
          <w:color w:val="auto"/>
        </w:rPr>
        <w:t xml:space="preserve">, </w:t>
      </w:r>
      <w:r w:rsidR="007D3109">
        <w:rPr>
          <w:rFonts w:asciiTheme="minorHAnsi" w:hAnsiTheme="minorHAnsi" w:cstheme="minorBidi"/>
          <w:color w:val="auto"/>
        </w:rPr>
        <w:t>1</w:t>
      </w:r>
      <w:r w:rsidR="0079311F">
        <w:rPr>
          <w:rFonts w:asciiTheme="minorHAnsi" w:hAnsiTheme="minorHAnsi" w:cstheme="minorBidi"/>
          <w:color w:val="auto"/>
        </w:rPr>
        <w:t>6</w:t>
      </w:r>
      <w:bookmarkStart w:id="0" w:name="_GoBack"/>
      <w:bookmarkEnd w:id="0"/>
      <w:r w:rsidR="00E644BA" w:rsidRPr="00E644BA">
        <w:rPr>
          <w:rFonts w:asciiTheme="minorHAnsi" w:hAnsiTheme="minorHAnsi" w:cstheme="minorBidi"/>
          <w:color w:val="auto"/>
          <w:vertAlign w:val="superscript"/>
        </w:rPr>
        <w:t>th</w:t>
      </w:r>
      <w:r w:rsidR="004311FF" w:rsidRPr="00DA2E66">
        <w:rPr>
          <w:rFonts w:asciiTheme="minorHAnsi" w:hAnsiTheme="minorHAnsi" w:cstheme="minorBidi"/>
          <w:color w:val="auto"/>
        </w:rPr>
        <w:t xml:space="preserve">, 2017 </w:t>
      </w:r>
      <w:r w:rsidRPr="00DA2E66">
        <w:rPr>
          <w:rFonts w:asciiTheme="minorHAnsi" w:hAnsiTheme="minorHAnsi" w:cstheme="minorBidi"/>
          <w:color w:val="auto"/>
        </w:rPr>
        <w:t>5pm (</w:t>
      </w:r>
      <w:r w:rsidR="00637714" w:rsidRPr="00DA2E66">
        <w:rPr>
          <w:rFonts w:asciiTheme="minorHAnsi" w:hAnsiTheme="minorHAnsi" w:cstheme="minorBidi"/>
          <w:color w:val="auto"/>
        </w:rPr>
        <w:t xml:space="preserve">Washington D.C. </w:t>
      </w:r>
      <w:r w:rsidRPr="00DA2E66">
        <w:rPr>
          <w:rFonts w:asciiTheme="minorHAnsi" w:hAnsiTheme="minorHAnsi" w:cstheme="minorBidi"/>
          <w:color w:val="auto"/>
        </w:rPr>
        <w:t>Time)</w:t>
      </w:r>
      <w:r w:rsidR="00891E3C" w:rsidRPr="00DA2E66">
        <w:rPr>
          <w:rFonts w:asciiTheme="minorHAnsi" w:hAnsiTheme="minorHAnsi" w:cstheme="minorBidi"/>
          <w:color w:val="auto"/>
        </w:rPr>
        <w:t xml:space="preserve"> using the IDB Portal for Bank Executed Operations</w:t>
      </w:r>
      <w:r w:rsidR="00637BD8" w:rsidRPr="00DA2E66">
        <w:rPr>
          <w:rFonts w:asciiTheme="minorHAnsi" w:hAnsiTheme="minorHAnsi" w:cstheme="minorBidi"/>
          <w:color w:val="auto"/>
        </w:rPr>
        <w:t xml:space="preserve"> (</w:t>
      </w:r>
      <w:r w:rsidR="00637BD8" w:rsidRPr="00DA2E66">
        <w:rPr>
          <w:rFonts w:asciiTheme="minorHAnsi" w:hAnsiTheme="minorHAnsi"/>
        </w:rPr>
        <w:t xml:space="preserve"> </w:t>
      </w:r>
      <w:hyperlink r:id="rId17" w:history="1">
        <w:r w:rsidR="00637BD8" w:rsidRPr="00DA2E66">
          <w:rPr>
            <w:rStyle w:val="Hyperlink"/>
            <w:rFonts w:asciiTheme="minorHAnsi" w:hAnsiTheme="minorHAnsi" w:cstheme="minorBidi"/>
          </w:rPr>
          <w:t>http://beo-procurement.iadb.org/home</w:t>
        </w:r>
      </w:hyperlink>
      <w:r w:rsidR="00637BD8" w:rsidRPr="00DA2E66">
        <w:rPr>
          <w:rFonts w:asciiTheme="minorHAnsi" w:hAnsiTheme="minorHAnsi" w:cstheme="minorBidi"/>
          <w:color w:val="auto"/>
        </w:rPr>
        <w:t xml:space="preserve">) </w:t>
      </w:r>
    </w:p>
    <w:p w14:paraId="200D8E06" w14:textId="77777777" w:rsidR="00F45D9C" w:rsidRPr="00DA2E66" w:rsidRDefault="00F45D9C" w:rsidP="00F45D9C">
      <w:pPr>
        <w:spacing w:line="320" w:lineRule="atLeast"/>
        <w:jc w:val="both"/>
        <w:rPr>
          <w:rFonts w:asciiTheme="minorHAnsi" w:hAnsiTheme="minorHAnsi" w:cs="Times New Roman"/>
          <w:color w:val="auto"/>
        </w:rPr>
      </w:pPr>
    </w:p>
    <w:p w14:paraId="4B527D25" w14:textId="77777777" w:rsidR="00F45D9C"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Inter-American Development Bank</w:t>
      </w:r>
    </w:p>
    <w:p w14:paraId="5B03049A" w14:textId="23818BE7" w:rsidR="00F45D9C" w:rsidRPr="00DA2E66" w:rsidRDefault="00F45D9C"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 xml:space="preserve">Division: </w:t>
      </w:r>
      <w:r w:rsidR="004311FF" w:rsidRPr="00DA2E66">
        <w:rPr>
          <w:rFonts w:asciiTheme="minorHAnsi" w:hAnsiTheme="minorHAnsi" w:cstheme="minorBidi"/>
          <w:color w:val="auto"/>
        </w:rPr>
        <w:t>Connectivity, Markets and Finance (IFD/CMF)</w:t>
      </w:r>
    </w:p>
    <w:p w14:paraId="3A83DC3F" w14:textId="4CFED5DB" w:rsidR="00F45D9C" w:rsidRPr="00DA2E66" w:rsidRDefault="00F45D9C" w:rsidP="2CDD2216">
      <w:pPr>
        <w:spacing w:line="320" w:lineRule="atLeast"/>
        <w:jc w:val="both"/>
        <w:rPr>
          <w:rFonts w:asciiTheme="minorHAnsi" w:hAnsiTheme="minorHAnsi" w:cstheme="minorBidi"/>
          <w:color w:val="auto"/>
          <w:lang w:val="es-ES_tradnl"/>
        </w:rPr>
      </w:pPr>
      <w:proofErr w:type="spellStart"/>
      <w:r w:rsidRPr="00DA2E66">
        <w:rPr>
          <w:rFonts w:asciiTheme="minorHAnsi" w:hAnsiTheme="minorHAnsi" w:cstheme="minorBidi"/>
          <w:color w:val="auto"/>
          <w:lang w:val="es-ES_tradnl"/>
        </w:rPr>
        <w:t>Attn</w:t>
      </w:r>
      <w:proofErr w:type="spellEnd"/>
      <w:r w:rsidR="004311FF" w:rsidRPr="00DA2E66">
        <w:rPr>
          <w:rFonts w:asciiTheme="minorHAnsi" w:hAnsiTheme="minorHAnsi" w:cstheme="minorBidi"/>
          <w:color w:val="auto"/>
          <w:lang w:val="es-ES_tradnl"/>
        </w:rPr>
        <w:t>: Antonio Garcia Zaballos (antoniogar@iadb.org)</w:t>
      </w:r>
    </w:p>
    <w:p w14:paraId="6C3797D2" w14:textId="77777777" w:rsidR="00F45D9C" w:rsidRPr="00DA2E66" w:rsidRDefault="00F45D9C" w:rsidP="00F45D9C">
      <w:pPr>
        <w:spacing w:line="320" w:lineRule="atLeast"/>
        <w:jc w:val="both"/>
        <w:rPr>
          <w:rFonts w:asciiTheme="minorHAnsi" w:hAnsiTheme="minorHAnsi" w:cs="Times New Roman"/>
          <w:color w:val="auto"/>
          <w:lang w:val="es-ES_tradnl"/>
        </w:rPr>
      </w:pPr>
    </w:p>
    <w:p w14:paraId="7A3B9024" w14:textId="77777777" w:rsidR="00F45D9C"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1300 New York Ave, NW, Washington DC 20577, USA</w:t>
      </w:r>
    </w:p>
    <w:p w14:paraId="6BF90EBF" w14:textId="6F20F5FC" w:rsidR="00F45D9C" w:rsidRPr="00DA2E66" w:rsidRDefault="00F45D9C" w:rsidP="2CDD2216">
      <w:pPr>
        <w:suppressAutoHyphens/>
        <w:rPr>
          <w:rFonts w:asciiTheme="minorHAnsi" w:hAnsiTheme="minorHAnsi" w:cstheme="minorBidi"/>
          <w:i/>
          <w:iCs/>
          <w:color w:val="0070C0"/>
          <w:lang w:val="pt-BR"/>
        </w:rPr>
      </w:pPr>
      <w:proofErr w:type="spellStart"/>
      <w:r w:rsidRPr="00DA2E66">
        <w:rPr>
          <w:rFonts w:asciiTheme="minorHAnsi" w:hAnsiTheme="minorHAnsi" w:cstheme="minorBidi"/>
          <w:spacing w:val="-2"/>
          <w:lang w:val="pt-BR"/>
        </w:rPr>
        <w:t>Tel</w:t>
      </w:r>
      <w:proofErr w:type="spellEnd"/>
      <w:r w:rsidRPr="00DA2E66">
        <w:rPr>
          <w:rFonts w:asciiTheme="minorHAnsi" w:hAnsiTheme="minorHAnsi" w:cstheme="minorBidi"/>
          <w:spacing w:val="-2"/>
          <w:lang w:val="pt-BR"/>
        </w:rPr>
        <w:t>:</w:t>
      </w:r>
      <w:r w:rsidRPr="00DA2E66">
        <w:rPr>
          <w:rFonts w:asciiTheme="minorHAnsi" w:hAnsiTheme="minorHAnsi" w:cstheme="minorBidi"/>
          <w:color w:val="auto"/>
          <w:lang w:val="pt-BR"/>
        </w:rPr>
        <w:t xml:space="preserve"> </w:t>
      </w:r>
      <w:r w:rsidR="004311FF" w:rsidRPr="00DA2E66">
        <w:rPr>
          <w:rFonts w:asciiTheme="minorHAnsi" w:hAnsiTheme="minorHAnsi" w:cstheme="minorBidi"/>
          <w:color w:val="auto"/>
          <w:lang w:val="pt-BR"/>
        </w:rPr>
        <w:t>+12026232980</w:t>
      </w:r>
    </w:p>
    <w:p w14:paraId="71BBB3A6" w14:textId="40C0CAEE" w:rsidR="00F45D9C" w:rsidRPr="00DA2E66" w:rsidRDefault="00F45D9C" w:rsidP="2CDD2216">
      <w:pPr>
        <w:suppressAutoHyphens/>
        <w:jc w:val="both"/>
        <w:rPr>
          <w:rFonts w:asciiTheme="minorHAnsi" w:hAnsiTheme="minorHAnsi" w:cstheme="minorBidi"/>
          <w:color w:val="0070C0"/>
          <w:lang w:val="pt-BR"/>
        </w:rPr>
      </w:pPr>
      <w:r w:rsidRPr="00DA2E66">
        <w:rPr>
          <w:rFonts w:asciiTheme="minorHAnsi" w:hAnsiTheme="minorHAnsi" w:cstheme="minorBidi"/>
          <w:spacing w:val="-2"/>
          <w:lang w:val="pt-BR"/>
        </w:rPr>
        <w:t xml:space="preserve">E-mail: </w:t>
      </w:r>
      <w:r w:rsidR="004311FF" w:rsidRPr="00DA2E66">
        <w:rPr>
          <w:rFonts w:asciiTheme="minorHAnsi" w:hAnsiTheme="minorHAnsi" w:cstheme="minorBidi"/>
          <w:color w:val="auto"/>
          <w:lang w:val="pt-BR"/>
        </w:rPr>
        <w:t>antoniogar@iadb.org</w:t>
      </w:r>
    </w:p>
    <w:p w14:paraId="6B9A2A55" w14:textId="24339567" w:rsidR="00170248" w:rsidRPr="00DA2E66" w:rsidRDefault="2CDD2216" w:rsidP="2CDD2216">
      <w:pPr>
        <w:spacing w:line="320" w:lineRule="atLeast"/>
        <w:jc w:val="both"/>
        <w:rPr>
          <w:rFonts w:asciiTheme="minorHAnsi" w:hAnsiTheme="minorHAnsi" w:cstheme="minorBidi"/>
          <w:color w:val="auto"/>
        </w:rPr>
      </w:pPr>
      <w:r w:rsidRPr="00DA2E66">
        <w:rPr>
          <w:rFonts w:asciiTheme="minorHAnsi" w:hAnsiTheme="minorHAnsi" w:cstheme="minorBidi"/>
          <w:color w:val="auto"/>
        </w:rPr>
        <w:t xml:space="preserve">Web site: </w:t>
      </w:r>
      <w:hyperlink r:id="rId18">
        <w:r w:rsidRPr="00DA2E66">
          <w:rPr>
            <w:rStyle w:val="Hyperlink"/>
            <w:rFonts w:asciiTheme="minorHAnsi" w:hAnsiTheme="minorHAnsi" w:cstheme="minorBidi"/>
          </w:rPr>
          <w:t>www.iadb.org</w:t>
        </w:r>
      </w:hyperlink>
      <w:r w:rsidRPr="00DA2E66">
        <w:rPr>
          <w:rFonts w:asciiTheme="minorHAnsi" w:hAnsiTheme="minorHAnsi" w:cstheme="minorBidi"/>
          <w:color w:val="auto"/>
        </w:rPr>
        <w:t xml:space="preserve"> </w:t>
      </w:r>
    </w:p>
    <w:sectPr w:rsidR="00170248" w:rsidRPr="00DA2E66">
      <w:headerReference w:type="even" r:id="rId19"/>
      <w:headerReference w:type="default" r:id="rId20"/>
      <w:footerReference w:type="even" r:id="rId21"/>
      <w:footerReference w:type="default" r:id="rId22"/>
      <w:headerReference w:type="first" r:id="rId23"/>
      <w:footerReference w:type="first" r:id="rId24"/>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772A" w14:textId="77777777" w:rsidR="00451BC2" w:rsidRDefault="00451BC2" w:rsidP="0056772C">
      <w:r>
        <w:separator/>
      </w:r>
    </w:p>
  </w:endnote>
  <w:endnote w:type="continuationSeparator" w:id="0">
    <w:p w14:paraId="080901D4" w14:textId="77777777" w:rsidR="00451BC2" w:rsidRDefault="00451BC2"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370"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E89A"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3B01"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B039" w14:textId="77777777" w:rsidR="00451BC2" w:rsidRDefault="00451BC2" w:rsidP="0056772C">
      <w:r>
        <w:separator/>
      </w:r>
    </w:p>
  </w:footnote>
  <w:footnote w:type="continuationSeparator" w:id="0">
    <w:p w14:paraId="1BACAA9A" w14:textId="77777777" w:rsidR="00451BC2" w:rsidRDefault="00451BC2"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892B" w14:textId="162F58AC"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4503" w14:textId="316989DD"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2FD5" w14:textId="1DF3346F"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533"/>
    <w:multiLevelType w:val="hybridMultilevel"/>
    <w:tmpl w:val="B42A2124"/>
    <w:lvl w:ilvl="0" w:tplc="E3304830">
      <w:start w:val="3"/>
      <w:numFmt w:val="bullet"/>
      <w:lvlText w:val="-"/>
      <w:lvlJc w:val="left"/>
      <w:pPr>
        <w:ind w:left="1140" w:hanging="360"/>
      </w:pPr>
      <w:rPr>
        <w:rFonts w:ascii="Times New Roman" w:eastAsiaTheme="minorEastAsia"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A3F499B"/>
    <w:multiLevelType w:val="hybridMultilevel"/>
    <w:tmpl w:val="85162B52"/>
    <w:lvl w:ilvl="0" w:tplc="F5D2023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4965"/>
    <w:multiLevelType w:val="hybridMultilevel"/>
    <w:tmpl w:val="EF24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7FC9"/>
    <w:multiLevelType w:val="multilevel"/>
    <w:tmpl w:val="1856F13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pStyle w:val="subpar"/>
      <w:lvlText w:val="%3."/>
      <w:lvlJc w:val="left"/>
      <w:pPr>
        <w:tabs>
          <w:tab w:val="num" w:pos="1152"/>
        </w:tabs>
        <w:ind w:left="1152" w:hanging="432"/>
      </w:pPr>
    </w:lvl>
    <w:lvl w:ilvl="3">
      <w:start w:val="1"/>
      <w:numFmt w:val="lowerLetter"/>
      <w:pStyle w:val="SubSubPar"/>
      <w:lvlText w:val="%4."/>
      <w:lvlJc w:val="left"/>
      <w:pPr>
        <w:tabs>
          <w:tab w:val="num" w:pos="1458"/>
        </w:tabs>
        <w:ind w:left="145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9950C1F"/>
    <w:multiLevelType w:val="hybridMultilevel"/>
    <w:tmpl w:val="736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10D"/>
    <w:multiLevelType w:val="hybridMultilevel"/>
    <w:tmpl w:val="03A89EAE"/>
    <w:lvl w:ilvl="0" w:tplc="A3E2BEBE">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53B3"/>
    <w:multiLevelType w:val="hybridMultilevel"/>
    <w:tmpl w:val="606A2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B4D90"/>
    <w:multiLevelType w:val="hybridMultilevel"/>
    <w:tmpl w:val="A39E79BC"/>
    <w:lvl w:ilvl="0" w:tplc="778A8AA6">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4A671F"/>
    <w:multiLevelType w:val="hybridMultilevel"/>
    <w:tmpl w:val="9A6E1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0F7C"/>
    <w:multiLevelType w:val="multilevel"/>
    <w:tmpl w:val="4F0273BC"/>
    <w:lvl w:ilvl="0">
      <w:start w:val="1"/>
      <w:numFmt w:val="upperRoman"/>
      <w:lvlRestart w:val="0"/>
      <w:lvlText w:val="%1."/>
      <w:lvlJc w:val="center"/>
      <w:pPr>
        <w:tabs>
          <w:tab w:val="num" w:pos="3510"/>
        </w:tabs>
        <w:ind w:left="2862" w:firstLine="288"/>
      </w:pPr>
      <w:rPr>
        <w:rFonts w:hint="default"/>
        <w:b/>
        <w:i w:val="0"/>
      </w:rPr>
    </w:lvl>
    <w:lvl w:ilvl="1">
      <w:start w:val="1"/>
      <w:numFmt w:val="decimal"/>
      <w:isLgl/>
      <w:lvlText w:val="%1.%2"/>
      <w:lvlJc w:val="left"/>
      <w:pPr>
        <w:tabs>
          <w:tab w:val="num" w:pos="1386"/>
        </w:tabs>
        <w:ind w:left="1386" w:hanging="1296"/>
      </w:pPr>
      <w:rPr>
        <w:rFonts w:hint="default"/>
        <w:b w:val="0"/>
        <w:i w:val="0"/>
      </w:rPr>
    </w:lvl>
    <w:lvl w:ilvl="2">
      <w:start w:val="1"/>
      <w:numFmt w:val="decimal"/>
      <w:lvlText w:val="(%3)"/>
      <w:lvlJc w:val="left"/>
      <w:pPr>
        <w:tabs>
          <w:tab w:val="num" w:pos="2592"/>
        </w:tabs>
        <w:ind w:left="2592" w:hanging="432"/>
      </w:pPr>
      <w:rPr>
        <w:rFonts w:hint="default"/>
      </w:rPr>
    </w:lvl>
    <w:lvl w:ilvl="3">
      <w:start w:val="1"/>
      <w:numFmt w:val="lowerRoman"/>
      <w:lvlText w:val="%4."/>
      <w:lvlJc w:val="right"/>
      <w:pPr>
        <w:tabs>
          <w:tab w:val="num" w:pos="3024"/>
        </w:tabs>
        <w:ind w:left="3024" w:hanging="288"/>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0" w15:restartNumberingAfterBreak="0">
    <w:nsid w:val="32383F8D"/>
    <w:multiLevelType w:val="hybridMultilevel"/>
    <w:tmpl w:val="A42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274DD"/>
    <w:multiLevelType w:val="hybridMultilevel"/>
    <w:tmpl w:val="3FAAE8D6"/>
    <w:lvl w:ilvl="0" w:tplc="2070DCDE">
      <w:numFmt w:val="bullet"/>
      <w:lvlText w:val="-"/>
      <w:lvlJc w:val="left"/>
      <w:pPr>
        <w:ind w:left="3654" w:hanging="360"/>
      </w:pPr>
      <w:rPr>
        <w:rFonts w:ascii="Times New Roman" w:eastAsiaTheme="minorEastAsia" w:hAnsi="Times New Roman" w:cs="Times New Roman" w:hint="default"/>
        <w:b/>
        <w:u w:val="single"/>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5B20A0"/>
    <w:multiLevelType w:val="hybridMultilevel"/>
    <w:tmpl w:val="9E02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0B8F"/>
    <w:multiLevelType w:val="multilevel"/>
    <w:tmpl w:val="42B0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60BCC"/>
    <w:multiLevelType w:val="hybridMultilevel"/>
    <w:tmpl w:val="7AD235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045BD"/>
    <w:multiLevelType w:val="hybridMultilevel"/>
    <w:tmpl w:val="607E30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C48E3"/>
    <w:multiLevelType w:val="hybridMultilevel"/>
    <w:tmpl w:val="E1FE657E"/>
    <w:lvl w:ilvl="0" w:tplc="04090017">
      <w:start w:val="1"/>
      <w:numFmt w:val="lowerLetter"/>
      <w:lvlText w:val="%1)"/>
      <w:lvlJc w:val="left"/>
      <w:pPr>
        <w:ind w:left="1592" w:hanging="360"/>
      </w:pPr>
    </w:lvl>
    <w:lvl w:ilvl="1" w:tplc="04090019">
      <w:start w:val="1"/>
      <w:numFmt w:val="lowerLetter"/>
      <w:lvlText w:val="%2."/>
      <w:lvlJc w:val="left"/>
      <w:pPr>
        <w:ind w:left="2312" w:hanging="360"/>
      </w:pPr>
    </w:lvl>
    <w:lvl w:ilvl="2" w:tplc="0409001B">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7" w15:restartNumberingAfterBreak="0">
    <w:nsid w:val="619F53E8"/>
    <w:multiLevelType w:val="hybridMultilevel"/>
    <w:tmpl w:val="1A4A0870"/>
    <w:lvl w:ilvl="0" w:tplc="277E729A">
      <w:start w:val="1"/>
      <w:numFmt w:val="decimal"/>
      <w:lvlText w:val="3.%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94B305F"/>
    <w:multiLevelType w:val="hybridMultilevel"/>
    <w:tmpl w:val="EEBE6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15E93"/>
    <w:multiLevelType w:val="hybridMultilevel"/>
    <w:tmpl w:val="3552FB40"/>
    <w:lvl w:ilvl="0" w:tplc="80FE0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E4B83"/>
    <w:multiLevelType w:val="hybridMultilevel"/>
    <w:tmpl w:val="6C3A59D4"/>
    <w:lvl w:ilvl="0" w:tplc="8136674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1212B"/>
    <w:multiLevelType w:val="multilevel"/>
    <w:tmpl w:val="39FA9AEC"/>
    <w:lvl w:ilvl="0">
      <w:start w:val="1"/>
      <w:numFmt w:val="upperRoman"/>
      <w:lvlRestart w:val="0"/>
      <w:lvlText w:val="%1."/>
      <w:lvlJc w:val="center"/>
      <w:pPr>
        <w:tabs>
          <w:tab w:val="num" w:pos="3510"/>
        </w:tabs>
        <w:ind w:left="2862" w:firstLine="288"/>
      </w:pPr>
      <w:rPr>
        <w:b/>
        <w:i w:val="0"/>
      </w:rPr>
    </w:lvl>
    <w:lvl w:ilvl="1">
      <w:start w:val="1"/>
      <w:numFmt w:val="decimal"/>
      <w:isLgl/>
      <w:lvlText w:val="%1.%2"/>
      <w:lvlJc w:val="left"/>
      <w:pPr>
        <w:tabs>
          <w:tab w:val="num" w:pos="2016"/>
        </w:tabs>
        <w:ind w:left="2016" w:hanging="1296"/>
      </w:pPr>
      <w:rPr>
        <w:b w:val="0"/>
        <w:i w:val="0"/>
        <w:color w:val="auto"/>
        <w:lang w:val="en-GB"/>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2" w15:restartNumberingAfterBreak="0">
    <w:nsid w:val="7C0B7DCC"/>
    <w:multiLevelType w:val="hybridMultilevel"/>
    <w:tmpl w:val="39967C66"/>
    <w:lvl w:ilvl="0" w:tplc="DBC6CDC2">
      <w:start w:val="1"/>
      <w:numFmt w:val="lowerRoman"/>
      <w:lvlText w:val="(%1)"/>
      <w:lvlJc w:val="left"/>
      <w:pPr>
        <w:ind w:left="1350" w:hanging="720"/>
      </w:pPr>
      <w:rPr>
        <w:rFonts w:ascii="Times New Roman" w:eastAsiaTheme="minorEastAsia"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FD607C9"/>
    <w:multiLevelType w:val="multilevel"/>
    <w:tmpl w:val="79063D1C"/>
    <w:lvl w:ilvl="0">
      <w:start w:val="1"/>
      <w:numFmt w:val="upperRoman"/>
      <w:lvlRestart w:val="0"/>
      <w:lvlText w:val="%1."/>
      <w:lvlJc w:val="center"/>
      <w:pPr>
        <w:tabs>
          <w:tab w:val="num" w:pos="3510"/>
        </w:tabs>
        <w:ind w:left="2862" w:firstLine="288"/>
      </w:pPr>
      <w:rPr>
        <w:b/>
        <w:i w:val="0"/>
      </w:rPr>
    </w:lvl>
    <w:lvl w:ilvl="1">
      <w:start w:val="1"/>
      <w:numFmt w:val="decimal"/>
      <w:isLgl/>
      <w:lvlText w:val="%1.%2"/>
      <w:lvlJc w:val="left"/>
      <w:pPr>
        <w:tabs>
          <w:tab w:val="num" w:pos="1746"/>
        </w:tabs>
        <w:ind w:left="1746" w:hanging="1296"/>
      </w:pPr>
      <w:rPr>
        <w:b w:val="0"/>
        <w:i w:val="0"/>
        <w:lang w:val="en-US"/>
      </w:rPr>
    </w:lvl>
    <w:lvl w:ilvl="2">
      <w:start w:val="1"/>
      <w:numFmt w:val="decimal"/>
      <w:lvlText w:val="(%3)"/>
      <w:lvlJc w:val="left"/>
      <w:pPr>
        <w:tabs>
          <w:tab w:val="num" w:pos="2592"/>
        </w:tabs>
        <w:ind w:left="2592" w:hanging="432"/>
      </w:pPr>
      <w:rPr>
        <w:rFonts w:hint="default"/>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num w:numId="1">
    <w:abstractNumId w:val="3"/>
  </w:num>
  <w:num w:numId="2">
    <w:abstractNumId w:val="16"/>
  </w:num>
  <w:num w:numId="3">
    <w:abstractNumId w:val="13"/>
  </w:num>
  <w:num w:numId="4">
    <w:abstractNumId w:val="10"/>
  </w:num>
  <w:num w:numId="5">
    <w:abstractNumId w:val="2"/>
  </w:num>
  <w:num w:numId="6">
    <w:abstractNumId w:val="4"/>
  </w:num>
  <w:num w:numId="7">
    <w:abstractNumId w:val="7"/>
  </w:num>
  <w:num w:numId="8">
    <w:abstractNumId w:val="23"/>
  </w:num>
  <w:num w:numId="9">
    <w:abstractNumId w:val="9"/>
  </w:num>
  <w:num w:numId="10">
    <w:abstractNumId w:val="17"/>
  </w:num>
  <w:num w:numId="11">
    <w:abstractNumId w:val="11"/>
  </w:num>
  <w:num w:numId="12">
    <w:abstractNumId w:val="14"/>
  </w:num>
  <w:num w:numId="13">
    <w:abstractNumId w:val="8"/>
  </w:num>
  <w:num w:numId="14">
    <w:abstractNumId w:val="22"/>
  </w:num>
  <w:num w:numId="15">
    <w:abstractNumId w:val="15"/>
  </w:num>
  <w:num w:numId="16">
    <w:abstractNumId w:val="0"/>
  </w:num>
  <w:num w:numId="17">
    <w:abstractNumId w:val="20"/>
  </w:num>
  <w:num w:numId="18">
    <w:abstractNumId w:val="1"/>
  </w:num>
  <w:num w:numId="19">
    <w:abstractNumId w:val="18"/>
  </w:num>
  <w:num w:numId="20">
    <w:abstractNumId w:val="19"/>
  </w:num>
  <w:num w:numId="21">
    <w:abstractNumId w:val="12"/>
  </w:num>
  <w:num w:numId="22">
    <w:abstractNumId w:val="5"/>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3493A"/>
    <w:rsid w:val="00050DB5"/>
    <w:rsid w:val="000C118D"/>
    <w:rsid w:val="00170248"/>
    <w:rsid w:val="00194286"/>
    <w:rsid w:val="001F2366"/>
    <w:rsid w:val="002118B7"/>
    <w:rsid w:val="0024224B"/>
    <w:rsid w:val="002D6044"/>
    <w:rsid w:val="00360ACB"/>
    <w:rsid w:val="003800C7"/>
    <w:rsid w:val="003A784E"/>
    <w:rsid w:val="003F5CA1"/>
    <w:rsid w:val="004003E8"/>
    <w:rsid w:val="00423E38"/>
    <w:rsid w:val="004311FF"/>
    <w:rsid w:val="00451BC2"/>
    <w:rsid w:val="004A3654"/>
    <w:rsid w:val="004D1120"/>
    <w:rsid w:val="004D51F3"/>
    <w:rsid w:val="0051231A"/>
    <w:rsid w:val="0052634A"/>
    <w:rsid w:val="00556C08"/>
    <w:rsid w:val="005673D5"/>
    <w:rsid w:val="0056772C"/>
    <w:rsid w:val="006071D7"/>
    <w:rsid w:val="006131F6"/>
    <w:rsid w:val="00633FCD"/>
    <w:rsid w:val="00637714"/>
    <w:rsid w:val="00637BD8"/>
    <w:rsid w:val="00655DDF"/>
    <w:rsid w:val="006C3B20"/>
    <w:rsid w:val="00760F20"/>
    <w:rsid w:val="0078460F"/>
    <w:rsid w:val="0079311F"/>
    <w:rsid w:val="007D3109"/>
    <w:rsid w:val="008171F3"/>
    <w:rsid w:val="00834FF1"/>
    <w:rsid w:val="00891E3C"/>
    <w:rsid w:val="008C7908"/>
    <w:rsid w:val="008E7F90"/>
    <w:rsid w:val="00901303"/>
    <w:rsid w:val="00A15B62"/>
    <w:rsid w:val="00A37CA7"/>
    <w:rsid w:val="00A67A41"/>
    <w:rsid w:val="00A838F0"/>
    <w:rsid w:val="00AD6E3D"/>
    <w:rsid w:val="00AE7268"/>
    <w:rsid w:val="00B17BF0"/>
    <w:rsid w:val="00B27293"/>
    <w:rsid w:val="00BB5FC5"/>
    <w:rsid w:val="00BF0B50"/>
    <w:rsid w:val="00BF5CD3"/>
    <w:rsid w:val="00C27587"/>
    <w:rsid w:val="00C42B39"/>
    <w:rsid w:val="00C439C0"/>
    <w:rsid w:val="00CA7C9E"/>
    <w:rsid w:val="00CD36BB"/>
    <w:rsid w:val="00CD4904"/>
    <w:rsid w:val="00DA2E66"/>
    <w:rsid w:val="00DE327F"/>
    <w:rsid w:val="00E277C5"/>
    <w:rsid w:val="00E326F3"/>
    <w:rsid w:val="00E644BA"/>
    <w:rsid w:val="00ED4D33"/>
    <w:rsid w:val="00F45D9C"/>
    <w:rsid w:val="00F74266"/>
    <w:rsid w:val="00FF70E0"/>
    <w:rsid w:val="23C30F60"/>
    <w:rsid w:val="2CDD2216"/>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customStyle="1" w:styleId="Chapter">
    <w:name w:val="Chapter"/>
    <w:basedOn w:val="Normal"/>
    <w:next w:val="Normal"/>
    <w:link w:val="ChapterChar"/>
    <w:rsid w:val="004311FF"/>
    <w:pPr>
      <w:widowControl/>
      <w:numPr>
        <w:numId w:val="1"/>
      </w:numPr>
      <w:tabs>
        <w:tab w:val="left" w:pos="1440"/>
      </w:tabs>
      <w:autoSpaceDE/>
      <w:autoSpaceDN/>
      <w:adjustRightInd/>
      <w:spacing w:before="240" w:after="240"/>
      <w:jc w:val="center"/>
    </w:pPr>
    <w:rPr>
      <w:rFonts w:ascii="Times New Roman" w:eastAsia="Times New Roman" w:hAnsi="Times New Roman" w:cs="Times New Roman"/>
      <w:b/>
      <w:smallCaps/>
      <w:color w:val="auto"/>
      <w:sz w:val="20"/>
      <w:szCs w:val="20"/>
      <w:lang w:val="es-ES" w:eastAsia="en-US"/>
    </w:rPr>
  </w:style>
  <w:style w:type="paragraph" w:customStyle="1" w:styleId="Paragraph">
    <w:name w:val="Paragraph"/>
    <w:aliases w:val="paragraph,p,PARAGRAPH,PG,pa,at"/>
    <w:basedOn w:val="BodyTextIndent"/>
    <w:link w:val="ParagraphChar"/>
    <w:qFormat/>
    <w:rsid w:val="004311FF"/>
    <w:pPr>
      <w:widowControl/>
      <w:numPr>
        <w:ilvl w:val="1"/>
        <w:numId w:val="1"/>
      </w:numPr>
      <w:tabs>
        <w:tab w:val="clear" w:pos="1080"/>
        <w:tab w:val="num" w:pos="360"/>
      </w:tabs>
      <w:autoSpaceDE/>
      <w:autoSpaceDN/>
      <w:adjustRightInd/>
      <w:spacing w:before="120"/>
      <w:ind w:left="360" w:firstLine="0"/>
      <w:jc w:val="both"/>
      <w:outlineLvl w:val="1"/>
    </w:pPr>
    <w:rPr>
      <w:rFonts w:ascii="Times New Roman" w:eastAsia="Times New Roman" w:hAnsi="Times New Roman" w:cs="Times New Roman"/>
      <w:color w:val="auto"/>
      <w:szCs w:val="20"/>
      <w:lang w:val="es-ES" w:eastAsia="en-US"/>
    </w:rPr>
  </w:style>
  <w:style w:type="paragraph" w:customStyle="1" w:styleId="subpar">
    <w:name w:val="subpar"/>
    <w:basedOn w:val="BodyTextIndent3"/>
    <w:link w:val="subparChar"/>
    <w:rsid w:val="004311FF"/>
    <w:pPr>
      <w:widowControl/>
      <w:numPr>
        <w:ilvl w:val="2"/>
        <w:numId w:val="1"/>
      </w:numPr>
      <w:autoSpaceDE/>
      <w:autoSpaceDN/>
      <w:adjustRightInd/>
      <w:spacing w:before="120"/>
      <w:jc w:val="both"/>
      <w:outlineLvl w:val="2"/>
    </w:pPr>
    <w:rPr>
      <w:rFonts w:ascii="Times New Roman" w:eastAsia="Times New Roman" w:hAnsi="Times New Roman" w:cs="Times New Roman"/>
      <w:color w:val="auto"/>
      <w:sz w:val="24"/>
      <w:szCs w:val="20"/>
      <w:lang w:val="es-ES_tradnl" w:eastAsia="en-US"/>
    </w:rPr>
  </w:style>
  <w:style w:type="paragraph" w:customStyle="1" w:styleId="SubSubPar">
    <w:name w:val="SubSubPar"/>
    <w:basedOn w:val="subpar"/>
    <w:link w:val="SubSubParChar"/>
    <w:rsid w:val="004311FF"/>
    <w:pPr>
      <w:numPr>
        <w:ilvl w:val="3"/>
      </w:numPr>
      <w:tabs>
        <w:tab w:val="clear" w:pos="1458"/>
        <w:tab w:val="left" w:pos="0"/>
        <w:tab w:val="num" w:pos="360"/>
      </w:tabs>
    </w:pPr>
  </w:style>
  <w:style w:type="character" w:customStyle="1" w:styleId="subparChar">
    <w:name w:val="subpar Char"/>
    <w:link w:val="subpar"/>
    <w:rsid w:val="004311FF"/>
    <w:rPr>
      <w:rFonts w:ascii="Times New Roman" w:eastAsia="Times New Roman" w:hAnsi="Times New Roman" w:cs="Times New Roman"/>
      <w:sz w:val="24"/>
      <w:szCs w:val="20"/>
      <w:lang w:val="es-ES_tradnl" w:eastAsia="en-US"/>
    </w:rPr>
  </w:style>
  <w:style w:type="paragraph" w:styleId="BodyTextIndent">
    <w:name w:val="Body Text Indent"/>
    <w:basedOn w:val="Normal"/>
    <w:link w:val="BodyTextIndentChar"/>
    <w:uiPriority w:val="99"/>
    <w:semiHidden/>
    <w:unhideWhenUsed/>
    <w:rsid w:val="004311FF"/>
    <w:pPr>
      <w:spacing w:after="120"/>
      <w:ind w:left="360"/>
    </w:pPr>
  </w:style>
  <w:style w:type="character" w:customStyle="1" w:styleId="BodyTextIndentChar">
    <w:name w:val="Body Text Indent Char"/>
    <w:basedOn w:val="DefaultParagraphFont"/>
    <w:link w:val="BodyTextIndent"/>
    <w:uiPriority w:val="99"/>
    <w:semiHidden/>
    <w:rsid w:val="004311FF"/>
    <w:rPr>
      <w:rFonts w:ascii="Arial" w:hAnsi="Arial" w:cs="Arial"/>
      <w:color w:val="000000"/>
      <w:sz w:val="24"/>
      <w:szCs w:val="24"/>
      <w:lang w:val="en-US"/>
    </w:rPr>
  </w:style>
  <w:style w:type="paragraph" w:styleId="BodyTextIndent3">
    <w:name w:val="Body Text Indent 3"/>
    <w:basedOn w:val="Normal"/>
    <w:link w:val="BodyTextIndent3Char"/>
    <w:uiPriority w:val="99"/>
    <w:semiHidden/>
    <w:unhideWhenUsed/>
    <w:rsid w:val="004311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11FF"/>
    <w:rPr>
      <w:rFonts w:ascii="Arial" w:hAnsi="Arial" w:cs="Arial"/>
      <w:color w:val="000000"/>
      <w:sz w:val="16"/>
      <w:szCs w:val="16"/>
      <w:lang w:val="en-US"/>
    </w:rPr>
  </w:style>
  <w:style w:type="character" w:styleId="Mention">
    <w:name w:val="Mention"/>
    <w:basedOn w:val="DefaultParagraphFont"/>
    <w:uiPriority w:val="99"/>
    <w:semiHidden/>
    <w:unhideWhenUsed/>
    <w:rsid w:val="004311FF"/>
    <w:rPr>
      <w:color w:val="2B579A"/>
      <w:shd w:val="clear" w:color="auto" w:fill="E6E6E6"/>
    </w:rPr>
  </w:style>
  <w:style w:type="paragraph" w:styleId="ListParagraph">
    <w:name w:val="List Paragraph"/>
    <w:basedOn w:val="Normal"/>
    <w:link w:val="ListParagraphChar"/>
    <w:uiPriority w:val="34"/>
    <w:qFormat/>
    <w:rsid w:val="002118B7"/>
    <w:pPr>
      <w:widowControl/>
      <w:autoSpaceDE/>
      <w:autoSpaceDN/>
      <w:adjustRightInd/>
      <w:spacing w:after="200" w:line="276" w:lineRule="auto"/>
      <w:ind w:left="720"/>
      <w:contextualSpacing/>
    </w:pPr>
    <w:rPr>
      <w:rFonts w:ascii="Calibri" w:eastAsia="Calibri" w:hAnsi="Calibri" w:cs="Times New Roman"/>
      <w:color w:val="auto"/>
      <w:sz w:val="22"/>
      <w:szCs w:val="22"/>
      <w:lang w:val="es-ES" w:eastAsia="en-US"/>
    </w:rPr>
  </w:style>
  <w:style w:type="character" w:customStyle="1" w:styleId="ListParagraphChar">
    <w:name w:val="List Paragraph Char"/>
    <w:link w:val="ListParagraph"/>
    <w:uiPriority w:val="34"/>
    <w:rsid w:val="002118B7"/>
    <w:rPr>
      <w:rFonts w:ascii="Calibri" w:eastAsia="Calibri" w:hAnsi="Calibri" w:cs="Times New Roman"/>
      <w:lang w:val="es-ES" w:eastAsia="en-US"/>
    </w:rPr>
  </w:style>
  <w:style w:type="character" w:customStyle="1" w:styleId="ParagraphChar">
    <w:name w:val="Paragraph Char"/>
    <w:basedOn w:val="ListParagraphChar"/>
    <w:link w:val="Paragraph"/>
    <w:rsid w:val="00DA2E66"/>
    <w:rPr>
      <w:rFonts w:ascii="Times New Roman" w:eastAsia="Times New Roman" w:hAnsi="Times New Roman" w:cs="Times New Roman"/>
      <w:sz w:val="24"/>
      <w:szCs w:val="20"/>
      <w:lang w:val="es-ES" w:eastAsia="en-US"/>
    </w:rPr>
  </w:style>
  <w:style w:type="character" w:customStyle="1" w:styleId="ChapterChar">
    <w:name w:val="Chapter Char"/>
    <w:basedOn w:val="ListParagraphChar"/>
    <w:link w:val="Chapter"/>
    <w:rsid w:val="00DA2E66"/>
    <w:rPr>
      <w:rFonts w:ascii="Times New Roman" w:eastAsia="Times New Roman" w:hAnsi="Times New Roman" w:cs="Times New Roman"/>
      <w:b/>
      <w:smallCaps/>
      <w:sz w:val="20"/>
      <w:szCs w:val="20"/>
      <w:lang w:val="es-ES" w:eastAsia="en-US"/>
    </w:rPr>
  </w:style>
  <w:style w:type="character" w:customStyle="1" w:styleId="SubSubParChar">
    <w:name w:val="SubSubPar Char"/>
    <w:basedOn w:val="ListParagraphChar"/>
    <w:link w:val="SubSubPar"/>
    <w:rsid w:val="00DA2E66"/>
    <w:rPr>
      <w:rFonts w:ascii="Times New Roman" w:eastAsia="Times New Roman" w:hAnsi="Times New Roman" w:cs="Times New Roman"/>
      <w:sz w:val="24"/>
      <w:szCs w:val="20"/>
      <w:lang w:val="es-ES_tradnl" w:eastAsia="en-US"/>
    </w:rPr>
  </w:style>
  <w:style w:type="paragraph" w:styleId="HTMLPreformatted">
    <w:name w:val="HTML Preformatted"/>
    <w:basedOn w:val="Normal"/>
    <w:link w:val="HTMLPreformattedChar"/>
    <w:uiPriority w:val="99"/>
    <w:semiHidden/>
    <w:unhideWhenUsed/>
    <w:rsid w:val="00194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194286"/>
    <w:rPr>
      <w:rFonts w:ascii="Courier New" w:eastAsia="Times New Roman" w:hAnsi="Courier New" w:cs="Courier New"/>
      <w:sz w:val="20"/>
      <w:szCs w:val="20"/>
      <w:lang w:val="en-US" w:eastAsia="en-US"/>
    </w:rPr>
  </w:style>
  <w:style w:type="paragraph" w:styleId="NormalWeb">
    <w:name w:val="Normal (Web)"/>
    <w:basedOn w:val="Normal"/>
    <w:uiPriority w:val="99"/>
    <w:unhideWhenUsed/>
    <w:rsid w:val="007D3109"/>
    <w:pPr>
      <w:widowControl/>
      <w:autoSpaceDE/>
      <w:autoSpaceDN/>
      <w:adjustRightInd/>
      <w:spacing w:before="100" w:beforeAutospacing="1" w:after="100" w:afterAutospacing="1"/>
    </w:pPr>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5448">
      <w:bodyDiv w:val="1"/>
      <w:marLeft w:val="0"/>
      <w:marRight w:val="0"/>
      <w:marTop w:val="0"/>
      <w:marBottom w:val="0"/>
      <w:divBdr>
        <w:top w:val="none" w:sz="0" w:space="0" w:color="auto"/>
        <w:left w:val="none" w:sz="0" w:space="0" w:color="auto"/>
        <w:bottom w:val="none" w:sz="0" w:space="0" w:color="auto"/>
        <w:right w:val="none" w:sz="0" w:space="0" w:color="auto"/>
      </w:divBdr>
      <w:divsChild>
        <w:div w:id="859783246">
          <w:marLeft w:val="0"/>
          <w:marRight w:val="0"/>
          <w:marTop w:val="0"/>
          <w:marBottom w:val="0"/>
          <w:divBdr>
            <w:top w:val="none" w:sz="0" w:space="0" w:color="auto"/>
            <w:left w:val="none" w:sz="0" w:space="0" w:color="auto"/>
            <w:bottom w:val="none" w:sz="0" w:space="0" w:color="auto"/>
            <w:right w:val="none" w:sz="0" w:space="0" w:color="auto"/>
          </w:divBdr>
          <w:divsChild>
            <w:div w:id="1974361039">
              <w:marLeft w:val="0"/>
              <w:marRight w:val="0"/>
              <w:marTop w:val="0"/>
              <w:marBottom w:val="0"/>
              <w:divBdr>
                <w:top w:val="none" w:sz="0" w:space="0" w:color="auto"/>
                <w:left w:val="none" w:sz="0" w:space="0" w:color="auto"/>
                <w:bottom w:val="none" w:sz="0" w:space="0" w:color="auto"/>
                <w:right w:val="none" w:sz="0" w:space="0" w:color="auto"/>
              </w:divBdr>
              <w:divsChild>
                <w:div w:id="20502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197">
      <w:bodyDiv w:val="1"/>
      <w:marLeft w:val="0"/>
      <w:marRight w:val="0"/>
      <w:marTop w:val="0"/>
      <w:marBottom w:val="0"/>
      <w:divBdr>
        <w:top w:val="none" w:sz="0" w:space="0" w:color="auto"/>
        <w:left w:val="none" w:sz="0" w:space="0" w:color="auto"/>
        <w:bottom w:val="none" w:sz="0" w:space="0" w:color="auto"/>
        <w:right w:val="none" w:sz="0" w:space="0" w:color="auto"/>
      </w:divBdr>
    </w:div>
    <w:div w:id="1051880236">
      <w:bodyDiv w:val="1"/>
      <w:marLeft w:val="0"/>
      <w:marRight w:val="0"/>
      <w:marTop w:val="0"/>
      <w:marBottom w:val="0"/>
      <w:divBdr>
        <w:top w:val="none" w:sz="0" w:space="0" w:color="auto"/>
        <w:left w:val="none" w:sz="0" w:space="0" w:color="auto"/>
        <w:bottom w:val="none" w:sz="0" w:space="0" w:color="auto"/>
        <w:right w:val="none" w:sz="0" w:space="0" w:color="auto"/>
      </w:divBdr>
    </w:div>
    <w:div w:id="1364865323">
      <w:bodyDiv w:val="1"/>
      <w:marLeft w:val="0"/>
      <w:marRight w:val="0"/>
      <w:marTop w:val="0"/>
      <w:marBottom w:val="0"/>
      <w:divBdr>
        <w:top w:val="none" w:sz="0" w:space="0" w:color="auto"/>
        <w:left w:val="none" w:sz="0" w:space="0" w:color="auto"/>
        <w:bottom w:val="none" w:sz="0" w:space="0" w:color="auto"/>
        <w:right w:val="none" w:sz="0" w:space="0" w:color="auto"/>
      </w:divBdr>
      <w:divsChild>
        <w:div w:id="234167910">
          <w:marLeft w:val="0"/>
          <w:marRight w:val="0"/>
          <w:marTop w:val="0"/>
          <w:marBottom w:val="0"/>
          <w:divBdr>
            <w:top w:val="none" w:sz="0" w:space="0" w:color="auto"/>
            <w:left w:val="none" w:sz="0" w:space="0" w:color="auto"/>
            <w:bottom w:val="none" w:sz="0" w:space="0" w:color="auto"/>
            <w:right w:val="none" w:sz="0" w:space="0" w:color="auto"/>
          </w:divBdr>
          <w:divsChild>
            <w:div w:id="1625766112">
              <w:marLeft w:val="0"/>
              <w:marRight w:val="0"/>
              <w:marTop w:val="0"/>
              <w:marBottom w:val="0"/>
              <w:divBdr>
                <w:top w:val="none" w:sz="0" w:space="0" w:color="auto"/>
                <w:left w:val="none" w:sz="0" w:space="0" w:color="auto"/>
                <w:bottom w:val="none" w:sz="0" w:space="0" w:color="auto"/>
                <w:right w:val="none" w:sz="0" w:space="0" w:color="auto"/>
              </w:divBdr>
              <w:divsChild>
                <w:div w:id="2856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5784">
      <w:bodyDiv w:val="1"/>
      <w:marLeft w:val="0"/>
      <w:marRight w:val="0"/>
      <w:marTop w:val="0"/>
      <w:marBottom w:val="0"/>
      <w:divBdr>
        <w:top w:val="none" w:sz="0" w:space="0" w:color="auto"/>
        <w:left w:val="none" w:sz="0" w:space="0" w:color="auto"/>
        <w:bottom w:val="none" w:sz="0" w:space="0" w:color="auto"/>
        <w:right w:val="none" w:sz="0" w:space="0" w:color="auto"/>
      </w:divBdr>
    </w:div>
    <w:div w:id="20024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adb.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beo-procurement.iadb.org/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oniogar@iadb.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idbdocs.iadb.org/wsdocs/getdocument.aspx?DOCNUM=38988574"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IFD/CMF</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Garcia Zaballos, Antonio</Document_x0020_Author>
    <Document_x0020_Language_x0020_IDB xmlns="cdc7663a-08f0-4737-9e8c-148ce897a09c">English</Document_x0020_Language_x0020_IDB>
    <TaxCatchAll xmlns="cdc7663a-08f0-4737-9e8c-148ce897a09c">
      <Value>62</Value>
      <Value>103</Value>
      <Value>3</Value>
      <Value>44</Value>
      <Value>446</Value>
    </TaxCatchAll>
    <Identifier xmlns="cdc7663a-08f0-4737-9e8c-148ce897a09c" xsi:nil="true"/>
    <_dlc_DocId xmlns="cdc7663a-08f0-4737-9e8c-148ce897a09c">EZSHARE-731603249-3</_dlc_DocId>
    <_dlc_DocIdUrl xmlns="cdc7663a-08f0-4737-9e8c-148ce897a09c">
      <Url>https://idbg.sharepoint.com/teams/EZ-RG-TCP/RG-T3127/_layouts/15/DocIdRedir.aspx?ID=EZSHARE-731603249-3</Url>
      <Description>EZSHARE-731603249-3</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e46fe2894295491da65140ffd2369f49>
    <Approval_x0020_Number xmlns="cdc7663a-08f0-4737-9e8c-148ce897a09c">ATN/KK-16640-RG;</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9f66c2ac-e890-4c67-bc5b-aa8615cd0dd8</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Related_x0020_SisCor_x0020_Number xmlns="cdc7663a-08f0-4737-9e8c-148ce897a09c" xsi:nil="true"/>
    <Operation_x0020_Type xmlns="cdc7663a-08f0-4737-9e8c-148ce897a09c">Technical Cooperation</Operation_x0020_Type>
    <Package_x0020_Code xmlns="cdc7663a-08f0-4737-9e8c-148ce897a09c" xsi:nil="true"/>
    <Project_x0020_Number xmlns="cdc7663a-08f0-4737-9e8c-148ce897a09c">RG-T3127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R0002147758</Record_x0020_Number>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Information Technology and Communications;Information Technology and Communications;Science and Technology;Telecommunications;Finance;Banking and Financial Services;Financial and Capital Markets;</Webtopic>
    <Abstract xmlns="cdc7663a-08f0-4737-9e8c-148ce897a09c" xsi:nil="true"/>
    <Publishing_x0020_House xmlns="cdc7663a-08f0-4737-9e8c-148ce897a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35441ACA1D45E42B91D37FAD0A89DE6" ma:contentTypeVersion="0" ma:contentTypeDescription="A content type to manage public (operations) IDB documents" ma:contentTypeScope="" ma:versionID="58194cd9525565af73d471bed14e6b55">
  <xsd:schema xmlns:xsd="http://www.w3.org/2001/XMLSchema" xmlns:xs="http://www.w3.org/2001/XMLSchema" xmlns:p="http://schemas.microsoft.com/office/2006/metadata/properties" xmlns:ns2="cdc7663a-08f0-4737-9e8c-148ce897a09c" targetNamespace="http://schemas.microsoft.com/office/2006/metadata/properties" ma:root="true" ma:fieldsID="5de8b2b46e956b750b925cbde1e1d3b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12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F4BFA66C-49A8-427F-8F7A-A0EC5FBC40F9}"/>
</file>

<file path=customXml/itemProps3.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4.xml><?xml version="1.0" encoding="utf-8"?>
<ds:datastoreItem xmlns:ds="http://schemas.openxmlformats.org/officeDocument/2006/customXml" ds:itemID="{3335A4D7-3E24-4129-B38E-761DED54199F}"/>
</file>

<file path=customXml/itemProps5.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6.xml><?xml version="1.0" encoding="utf-8"?>
<ds:datastoreItem xmlns:ds="http://schemas.openxmlformats.org/officeDocument/2006/customXml" ds:itemID="{1D721740-5CE0-4D12-BAEE-7A7212C6854E}"/>
</file>

<file path=customXml/itemProps7.xml><?xml version="1.0" encoding="utf-8"?>
<ds:datastoreItem xmlns:ds="http://schemas.openxmlformats.org/officeDocument/2006/customXml" ds:itemID="{4B36B10B-1082-4A98-BD83-7AA8CF72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Garcia Zaballos, Antonio</cp:lastModifiedBy>
  <cp:revision>11</cp:revision>
  <cp:lastPrinted>2017-04-17T20:02:00Z</cp:lastPrinted>
  <dcterms:created xsi:type="dcterms:W3CDTF">2017-04-17T20:56:00Z</dcterms:created>
  <dcterms:modified xsi:type="dcterms:W3CDTF">2018-03-20T15:38:00Z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684d3563-9c90-42ff-a49f-ba0d97783f55</vt:lpwstr>
  </property>
  <property fmtid="{D5CDD505-2E9C-101B-9397-08002B2CF9AE}" pid="9" name="Series Operations IDB">
    <vt:lpwstr/>
  </property>
  <property fmtid="{D5CDD505-2E9C-101B-9397-08002B2CF9AE}" pid="10" name="Sub-Sector">
    <vt:lpwstr>446;#SCIENCE AND TECHNOLOGY|9f66c2ac-e890-4c67-bc5b-aa8615cd0dd8</vt:lpwstr>
  </property>
  <property fmtid="{D5CDD505-2E9C-101B-9397-08002B2CF9AE}" pid="11" name="Fund IDB">
    <vt:lpwstr>62;#KPK|5e9b0b4b-552d-41e7-8443-d0767d768acd</vt:lpwstr>
  </property>
  <property fmtid="{D5CDD505-2E9C-101B-9397-08002B2CF9AE}" pid="12" name="Sector IDB">
    <vt:lpwstr>103;#SCIENCE AND TECHNOLOGY|0cc5734e-64eb-4bef-9520-748f3938df0e</vt:lpwstr>
  </property>
  <property fmtid="{D5CDD505-2E9C-101B-9397-08002B2CF9AE}" pid="13" name="Function Operations IDB">
    <vt:lpwstr>3;#Legal|4a833e0c-b04e-4136-8e27-6c06cac1e274</vt:lpwstr>
  </property>
  <property fmtid="{D5CDD505-2E9C-101B-9397-08002B2CF9AE}" pid="14" name="Disclosure Activity">
    <vt:lpwstr>BEO Procurement</vt:lpwstr>
  </property>
  <property fmtid="{D5CDD505-2E9C-101B-9397-08002B2CF9AE}" pid="15" name="ContentTypeId">
    <vt:lpwstr>0x0101001A458A224826124E8B45B1D613300CFC00135441ACA1D45E42B91D37FAD0A89DE6</vt:lpwstr>
  </property>
</Properties>
</file>