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DF62" w14:textId="77777777" w:rsidR="00810CC2" w:rsidRPr="006E5D7F" w:rsidRDefault="006B443D" w:rsidP="006E5D7F">
      <w:pPr>
        <w:pStyle w:val="Title"/>
        <w:tabs>
          <w:tab w:val="clear" w:pos="1440"/>
          <w:tab w:val="clear" w:pos="3060"/>
        </w:tabs>
        <w:spacing w:line="360" w:lineRule="auto"/>
        <w:outlineLvl w:val="9"/>
        <w:rPr>
          <w:rFonts w:ascii="Arial" w:hAnsi="Arial" w:cs="Arial"/>
          <w:smallCaps/>
          <w:sz w:val="22"/>
          <w:szCs w:val="22"/>
          <w:lang w:val="es-ES"/>
        </w:rPr>
      </w:pPr>
      <w:r w:rsidRPr="006E5D7F">
        <w:rPr>
          <w:rFonts w:ascii="Arial" w:hAnsi="Arial" w:cs="Arial"/>
          <w:smallCaps/>
          <w:sz w:val="22"/>
          <w:szCs w:val="22"/>
          <w:lang w:val="es-ES"/>
        </w:rPr>
        <w:t>Documento del Banco Interamericano de Desarrollo</w:t>
      </w:r>
    </w:p>
    <w:p w14:paraId="3007A877" w14:textId="77777777" w:rsidR="00810CC2" w:rsidRPr="006E5D7F" w:rsidRDefault="00810CC2" w:rsidP="006E5D7F">
      <w:pPr>
        <w:pStyle w:val="ListParagraph"/>
        <w:spacing w:before="120" w:after="0" w:line="360" w:lineRule="auto"/>
        <w:ind w:left="0"/>
        <w:jc w:val="center"/>
        <w:rPr>
          <w:rFonts w:ascii="Arial" w:hAnsi="Arial" w:cs="Arial"/>
          <w:b/>
          <w:lang w:val="es-ES"/>
        </w:rPr>
      </w:pPr>
    </w:p>
    <w:p w14:paraId="30D6AC5B" w14:textId="77777777" w:rsidR="00810CC2" w:rsidRPr="006E5D7F" w:rsidRDefault="00810CC2" w:rsidP="006E5D7F">
      <w:pPr>
        <w:tabs>
          <w:tab w:val="left" w:pos="1440"/>
          <w:tab w:val="left" w:pos="3060"/>
        </w:tabs>
        <w:spacing w:line="360" w:lineRule="auto"/>
        <w:jc w:val="center"/>
        <w:rPr>
          <w:rFonts w:ascii="Arial" w:hAnsi="Arial" w:cs="Arial"/>
          <w:b/>
          <w:smallCaps/>
          <w:lang w:val="es-ES"/>
        </w:rPr>
      </w:pPr>
    </w:p>
    <w:p w14:paraId="369EF1B5" w14:textId="77777777" w:rsidR="00810CC2" w:rsidRPr="006E5D7F" w:rsidRDefault="00810CC2" w:rsidP="006E5D7F">
      <w:pPr>
        <w:tabs>
          <w:tab w:val="left" w:pos="1440"/>
          <w:tab w:val="left" w:pos="3060"/>
        </w:tabs>
        <w:spacing w:line="360" w:lineRule="auto"/>
        <w:jc w:val="center"/>
        <w:rPr>
          <w:rFonts w:ascii="Arial" w:hAnsi="Arial" w:cs="Arial"/>
          <w:b/>
          <w:smallCaps/>
          <w:lang w:val="es-ES"/>
        </w:rPr>
      </w:pPr>
    </w:p>
    <w:p w14:paraId="0AAB6DA5" w14:textId="285B5AE6" w:rsidR="00810CC2" w:rsidRPr="001365B1" w:rsidRDefault="001365B1" w:rsidP="006E5D7F">
      <w:pPr>
        <w:tabs>
          <w:tab w:val="left" w:pos="1440"/>
          <w:tab w:val="left" w:pos="3060"/>
        </w:tabs>
        <w:spacing w:line="360" w:lineRule="auto"/>
        <w:jc w:val="center"/>
        <w:rPr>
          <w:rFonts w:ascii="Arial" w:hAnsi="Arial" w:cs="Arial"/>
          <w:b/>
          <w:smallCaps/>
          <w:lang w:val="es-ES"/>
        </w:rPr>
      </w:pPr>
      <w:r>
        <w:rPr>
          <w:rFonts w:ascii="Arial" w:hAnsi="Arial" w:cs="Arial"/>
          <w:b/>
          <w:smallCaps/>
          <w:lang w:val="es-ES"/>
        </w:rPr>
        <w:t>Uruguay</w:t>
      </w:r>
    </w:p>
    <w:p w14:paraId="6D9A11F4" w14:textId="77777777" w:rsidR="00810CC2" w:rsidRPr="001365B1" w:rsidRDefault="00810CC2" w:rsidP="006E5D7F">
      <w:pPr>
        <w:tabs>
          <w:tab w:val="left" w:pos="1440"/>
          <w:tab w:val="left" w:pos="3060"/>
        </w:tabs>
        <w:spacing w:line="360" w:lineRule="auto"/>
        <w:jc w:val="center"/>
        <w:rPr>
          <w:rFonts w:ascii="Arial" w:hAnsi="Arial" w:cs="Arial"/>
          <w:b/>
          <w:smallCaps/>
          <w:lang w:val="es-ES"/>
        </w:rPr>
      </w:pPr>
    </w:p>
    <w:p w14:paraId="4AAFB4A0" w14:textId="77777777" w:rsidR="00810CC2" w:rsidRPr="001365B1" w:rsidRDefault="00810CC2" w:rsidP="006E5D7F">
      <w:pPr>
        <w:tabs>
          <w:tab w:val="left" w:pos="1440"/>
          <w:tab w:val="left" w:pos="3060"/>
        </w:tabs>
        <w:spacing w:line="360" w:lineRule="auto"/>
        <w:jc w:val="center"/>
        <w:rPr>
          <w:rFonts w:ascii="Arial" w:hAnsi="Arial" w:cs="Arial"/>
          <w:b/>
          <w:smallCaps/>
          <w:lang w:val="es-ES"/>
        </w:rPr>
      </w:pPr>
    </w:p>
    <w:p w14:paraId="51B1490C" w14:textId="35FDA1D9" w:rsidR="00810CC2" w:rsidRPr="001365B1" w:rsidRDefault="0014052E" w:rsidP="006E5D7F">
      <w:pPr>
        <w:tabs>
          <w:tab w:val="left" w:pos="1440"/>
          <w:tab w:val="left" w:pos="3060"/>
        </w:tabs>
        <w:spacing w:line="360" w:lineRule="auto"/>
        <w:jc w:val="center"/>
        <w:rPr>
          <w:rFonts w:ascii="Arial" w:hAnsi="Arial" w:cs="Arial"/>
          <w:b/>
          <w:smallCaps/>
          <w:lang w:val="es-ES"/>
        </w:rPr>
      </w:pPr>
      <w:r w:rsidRPr="001365B1">
        <w:rPr>
          <w:rFonts w:ascii="Arial" w:hAnsi="Arial" w:cs="Arial"/>
          <w:b/>
          <w:smallCaps/>
          <w:lang w:val="es-ES"/>
        </w:rPr>
        <w:t>Fortalecimiento en Ciberseguridad</w:t>
      </w:r>
      <w:r w:rsidR="003F5048" w:rsidRPr="001365B1">
        <w:rPr>
          <w:rFonts w:ascii="Arial" w:hAnsi="Arial" w:cs="Arial"/>
          <w:b/>
          <w:smallCaps/>
          <w:lang w:val="es-ES"/>
        </w:rPr>
        <w:t xml:space="preserve"> en Uruguay</w:t>
      </w:r>
    </w:p>
    <w:p w14:paraId="194C32EB" w14:textId="70BA2316" w:rsidR="00810CC2" w:rsidRPr="006E5D7F" w:rsidRDefault="00810CC2" w:rsidP="006E5D7F">
      <w:pPr>
        <w:tabs>
          <w:tab w:val="left" w:pos="1440"/>
          <w:tab w:val="left" w:pos="3060"/>
        </w:tabs>
        <w:spacing w:line="360" w:lineRule="auto"/>
        <w:jc w:val="center"/>
        <w:rPr>
          <w:rFonts w:ascii="Arial" w:hAnsi="Arial" w:cs="Arial"/>
          <w:b/>
          <w:smallCaps/>
          <w:lang w:val="es-ES"/>
        </w:rPr>
      </w:pPr>
      <w:r w:rsidRPr="001365B1">
        <w:rPr>
          <w:rFonts w:ascii="Arial" w:hAnsi="Arial" w:cs="Arial"/>
          <w:b/>
          <w:smallCaps/>
          <w:lang w:val="es-ES"/>
        </w:rPr>
        <w:t>(</w:t>
      </w:r>
      <w:r w:rsidR="001365B1">
        <w:rPr>
          <w:rFonts w:ascii="Arial" w:hAnsi="Arial" w:cs="Arial"/>
          <w:b/>
          <w:smallCaps/>
          <w:lang w:val="es-ES"/>
        </w:rPr>
        <w:t>UR-L1152</w:t>
      </w:r>
      <w:r w:rsidRPr="001365B1">
        <w:rPr>
          <w:rFonts w:ascii="Arial" w:hAnsi="Arial" w:cs="Arial"/>
          <w:b/>
          <w:smallCaps/>
          <w:lang w:val="es-ES"/>
        </w:rPr>
        <w:t>)</w:t>
      </w:r>
    </w:p>
    <w:p w14:paraId="1B4A27E2" w14:textId="77777777" w:rsidR="00810CC2" w:rsidRPr="006E5D7F" w:rsidRDefault="00810CC2" w:rsidP="006E5D7F">
      <w:pPr>
        <w:pStyle w:val="Newpage"/>
        <w:spacing w:line="360" w:lineRule="auto"/>
        <w:rPr>
          <w:rFonts w:ascii="Arial" w:hAnsi="Arial"/>
          <w:b w:val="0"/>
          <w:caps/>
          <w:smallCaps w:val="0"/>
          <w:sz w:val="22"/>
          <w:szCs w:val="22"/>
          <w:lang w:val="es-ES"/>
        </w:rPr>
      </w:pPr>
    </w:p>
    <w:p w14:paraId="06E8B9A9" w14:textId="77777777" w:rsidR="00810CC2" w:rsidRPr="006E5D7F" w:rsidRDefault="00810CC2" w:rsidP="006E5D7F">
      <w:pPr>
        <w:tabs>
          <w:tab w:val="left" w:pos="1440"/>
          <w:tab w:val="left" w:pos="3060"/>
        </w:tabs>
        <w:spacing w:line="360" w:lineRule="auto"/>
        <w:jc w:val="center"/>
        <w:rPr>
          <w:rFonts w:ascii="Arial" w:hAnsi="Arial" w:cs="Arial"/>
          <w:smallCaps/>
          <w:lang w:val="es-ES"/>
        </w:rPr>
      </w:pPr>
    </w:p>
    <w:p w14:paraId="2927307C" w14:textId="77777777" w:rsidR="00810CC2" w:rsidRPr="006E5D7F" w:rsidRDefault="006B443D" w:rsidP="006E5D7F">
      <w:pPr>
        <w:tabs>
          <w:tab w:val="left" w:pos="1440"/>
          <w:tab w:val="left" w:pos="3060"/>
        </w:tabs>
        <w:spacing w:line="360" w:lineRule="auto"/>
        <w:jc w:val="center"/>
        <w:outlineLvl w:val="0"/>
        <w:rPr>
          <w:rFonts w:ascii="Arial" w:hAnsi="Arial" w:cs="Arial"/>
          <w:b/>
          <w:smallCaps/>
          <w:lang w:val="es-ES"/>
        </w:rPr>
      </w:pPr>
      <w:r w:rsidRPr="006E5D7F">
        <w:rPr>
          <w:rFonts w:ascii="Arial" w:hAnsi="Arial" w:cs="Arial"/>
          <w:b/>
          <w:smallCaps/>
          <w:lang w:val="es-ES"/>
        </w:rPr>
        <w:t>Análisis Económico</w:t>
      </w:r>
    </w:p>
    <w:p w14:paraId="5F7BBF57" w14:textId="77777777" w:rsidR="00810CC2" w:rsidRPr="006E5D7F" w:rsidRDefault="00810CC2" w:rsidP="006E5D7F">
      <w:pPr>
        <w:tabs>
          <w:tab w:val="left" w:pos="1440"/>
          <w:tab w:val="left" w:pos="3060"/>
        </w:tabs>
        <w:spacing w:line="360" w:lineRule="auto"/>
        <w:jc w:val="center"/>
        <w:outlineLvl w:val="0"/>
        <w:rPr>
          <w:rFonts w:ascii="Arial" w:hAnsi="Arial" w:cs="Arial"/>
          <w:b/>
          <w:smallCaps/>
          <w:lang w:val="es-ES"/>
        </w:rPr>
      </w:pPr>
    </w:p>
    <w:p w14:paraId="29685296"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22350023"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665308AB"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1A806CAD"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4BD5F98C"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6AD33B63"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449A2267"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6826905F"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2A7D8D3D"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2DA03940" w14:textId="77777777" w:rsidR="00810CC2" w:rsidRPr="006E5D7F" w:rsidRDefault="00810CC2" w:rsidP="006E5D7F">
      <w:pPr>
        <w:pStyle w:val="ListParagraph"/>
        <w:spacing w:before="120" w:after="0" w:line="360" w:lineRule="auto"/>
        <w:ind w:left="1080"/>
        <w:jc w:val="center"/>
        <w:rPr>
          <w:rFonts w:ascii="Arial" w:hAnsi="Arial" w:cs="Arial"/>
          <w:b/>
          <w:lang w:val="es-ES"/>
        </w:rPr>
      </w:pPr>
    </w:p>
    <w:p w14:paraId="76C108CA" w14:textId="77777777" w:rsidR="00810CC2" w:rsidRPr="006E5D7F" w:rsidRDefault="00810CC2" w:rsidP="006E5D7F">
      <w:pPr>
        <w:tabs>
          <w:tab w:val="left" w:pos="1440"/>
          <w:tab w:val="left" w:pos="3060"/>
        </w:tabs>
        <w:spacing w:line="360" w:lineRule="auto"/>
        <w:jc w:val="center"/>
        <w:rPr>
          <w:rFonts w:ascii="Arial" w:hAnsi="Arial" w:cs="Arial"/>
          <w:lang w:val="es-ES"/>
        </w:rPr>
      </w:pPr>
    </w:p>
    <w:p w14:paraId="667B2497" w14:textId="77777777" w:rsidR="00810CC2" w:rsidRPr="006E5D7F" w:rsidRDefault="006B443D" w:rsidP="0001211A">
      <w:pPr>
        <w:pStyle w:val="BodyText"/>
        <w:pBdr>
          <w:top w:val="single" w:sz="4" w:space="1" w:color="auto"/>
          <w:left w:val="single" w:sz="4" w:space="4" w:color="auto"/>
          <w:bottom w:val="single" w:sz="4" w:space="0" w:color="auto"/>
          <w:right w:val="single" w:sz="4" w:space="4" w:color="auto"/>
        </w:pBdr>
        <w:tabs>
          <w:tab w:val="left" w:pos="1440"/>
        </w:tabs>
        <w:spacing w:line="360" w:lineRule="auto"/>
        <w:jc w:val="both"/>
        <w:rPr>
          <w:rFonts w:ascii="Arial" w:hAnsi="Arial" w:cs="Arial"/>
          <w:sz w:val="22"/>
          <w:szCs w:val="22"/>
          <w:lang w:val="es-ES"/>
        </w:rPr>
      </w:pPr>
      <w:r w:rsidRPr="006E5D7F">
        <w:rPr>
          <w:rFonts w:ascii="Arial" w:hAnsi="Arial" w:cs="Arial"/>
          <w:sz w:val="22"/>
          <w:szCs w:val="22"/>
          <w:lang w:val="es-ES"/>
        </w:rPr>
        <w:t>Este documento ha sido preparado por: Benjamin Roseth (IFD/ICS)</w:t>
      </w:r>
      <w:r w:rsidR="0014052E">
        <w:rPr>
          <w:rFonts w:ascii="Arial" w:hAnsi="Arial" w:cs="Arial"/>
          <w:sz w:val="22"/>
          <w:szCs w:val="22"/>
          <w:lang w:val="es-ES"/>
        </w:rPr>
        <w:t xml:space="preserve"> y Harold Villalba (SPD/SDV)</w:t>
      </w:r>
    </w:p>
    <w:p w14:paraId="2298EBF3" w14:textId="77777777" w:rsidR="001365B1" w:rsidRDefault="00810CC2" w:rsidP="001365B1">
      <w:pPr>
        <w:numPr>
          <w:ilvl w:val="0"/>
          <w:numId w:val="5"/>
        </w:numPr>
        <w:spacing w:before="360" w:line="360" w:lineRule="auto"/>
        <w:jc w:val="both"/>
        <w:rPr>
          <w:rFonts w:ascii="Arial" w:hAnsi="Arial" w:cs="Arial"/>
          <w:b/>
          <w:lang w:val="es-ES"/>
        </w:rPr>
      </w:pPr>
      <w:r w:rsidRPr="006E5D7F">
        <w:rPr>
          <w:rFonts w:ascii="Arial" w:hAnsi="Arial" w:cs="Arial"/>
          <w:b/>
          <w:lang w:val="es-ES"/>
        </w:rPr>
        <w:br w:type="page"/>
      </w:r>
      <w:r w:rsidR="00C1791A" w:rsidRPr="006E5D7F">
        <w:rPr>
          <w:rFonts w:ascii="Arial" w:hAnsi="Arial" w:cs="Arial"/>
          <w:b/>
          <w:lang w:val="es-ES"/>
        </w:rPr>
        <w:lastRenderedPageBreak/>
        <w:t>Introducción</w:t>
      </w:r>
    </w:p>
    <w:p w14:paraId="7D1E52A3" w14:textId="341554CB" w:rsidR="00C1791A" w:rsidRPr="001365B1" w:rsidRDefault="00C1791A" w:rsidP="001365B1">
      <w:pPr>
        <w:pStyle w:val="ListParagraph"/>
        <w:numPr>
          <w:ilvl w:val="1"/>
          <w:numId w:val="21"/>
        </w:numPr>
        <w:spacing w:before="360" w:line="360" w:lineRule="auto"/>
        <w:ind w:hanging="720"/>
        <w:jc w:val="both"/>
        <w:rPr>
          <w:rFonts w:ascii="Arial" w:hAnsi="Arial" w:cs="Arial"/>
          <w:b/>
          <w:lang w:val="es-ES"/>
        </w:rPr>
      </w:pPr>
      <w:r w:rsidRPr="001365B1">
        <w:rPr>
          <w:rFonts w:ascii="Arial" w:hAnsi="Arial" w:cs="Arial"/>
          <w:kern w:val="28"/>
          <w:lang w:val="es-ES_tradnl"/>
        </w:rPr>
        <w:t>Este documento presenta el análisis económico ex</w:t>
      </w:r>
      <w:r w:rsidR="0001211A">
        <w:rPr>
          <w:rFonts w:ascii="Arial" w:hAnsi="Arial" w:cs="Arial"/>
          <w:kern w:val="28"/>
          <w:lang w:val="es-ES_tradnl"/>
        </w:rPr>
        <w:t xml:space="preserve"> </w:t>
      </w:r>
      <w:r w:rsidRPr="001365B1">
        <w:rPr>
          <w:rFonts w:ascii="Arial" w:hAnsi="Arial" w:cs="Arial"/>
          <w:kern w:val="28"/>
          <w:lang w:val="es-ES_tradnl"/>
        </w:rPr>
        <w:t xml:space="preserve">ante del </w:t>
      </w:r>
      <w:r w:rsidR="002D4ED6">
        <w:rPr>
          <w:rFonts w:ascii="Arial" w:hAnsi="Arial" w:cs="Arial"/>
          <w:kern w:val="28"/>
          <w:lang w:val="es-ES_tradnl"/>
        </w:rPr>
        <w:t>p</w:t>
      </w:r>
      <w:r w:rsidR="003F5048" w:rsidRPr="001365B1">
        <w:rPr>
          <w:rFonts w:ascii="Arial" w:hAnsi="Arial" w:cs="Arial"/>
          <w:bCs/>
          <w:kern w:val="28"/>
          <w:lang w:val="es-ES_tradnl"/>
        </w:rPr>
        <w:t xml:space="preserve">rograma </w:t>
      </w:r>
      <w:bookmarkStart w:id="0" w:name="_GoBack"/>
      <w:bookmarkEnd w:id="0"/>
      <w:r w:rsidR="003F5048" w:rsidRPr="001365B1">
        <w:rPr>
          <w:rFonts w:ascii="Arial" w:hAnsi="Arial" w:cs="Arial"/>
          <w:bCs/>
          <w:kern w:val="28"/>
          <w:lang w:val="es-ES_tradnl"/>
        </w:rPr>
        <w:t>Fortalecimiento de la Ciberseguridad en Uruguay</w:t>
      </w:r>
      <w:r w:rsidRPr="001365B1">
        <w:rPr>
          <w:rFonts w:ascii="Arial" w:hAnsi="Arial" w:cs="Arial"/>
          <w:bCs/>
          <w:kern w:val="28"/>
          <w:lang w:val="es-ES_tradnl"/>
        </w:rPr>
        <w:t xml:space="preserve"> </w:t>
      </w:r>
      <w:r w:rsidRPr="001365B1">
        <w:rPr>
          <w:rFonts w:ascii="Arial" w:hAnsi="Arial" w:cs="Arial"/>
          <w:kern w:val="28"/>
          <w:lang w:val="es-ES_tradnl"/>
        </w:rPr>
        <w:t>(</w:t>
      </w:r>
      <w:r w:rsidR="0014052E" w:rsidRPr="001365B1">
        <w:rPr>
          <w:rFonts w:ascii="Arial" w:hAnsi="Arial" w:cs="Arial"/>
          <w:kern w:val="28"/>
          <w:lang w:val="es-ES_tradnl"/>
        </w:rPr>
        <w:t>UR</w:t>
      </w:r>
      <w:r w:rsidRPr="001365B1">
        <w:rPr>
          <w:rFonts w:ascii="Arial" w:hAnsi="Arial" w:cs="Arial"/>
          <w:kern w:val="28"/>
          <w:lang w:val="es-ES_tradnl"/>
        </w:rPr>
        <w:t>-L11</w:t>
      </w:r>
      <w:r w:rsidR="0014052E" w:rsidRPr="001365B1">
        <w:rPr>
          <w:rFonts w:ascii="Arial" w:hAnsi="Arial" w:cs="Arial"/>
          <w:kern w:val="28"/>
          <w:lang w:val="es-ES_tradnl"/>
        </w:rPr>
        <w:t>52</w:t>
      </w:r>
      <w:r w:rsidRPr="001365B1">
        <w:rPr>
          <w:rFonts w:ascii="Arial" w:hAnsi="Arial" w:cs="Arial"/>
          <w:kern w:val="28"/>
          <w:lang w:val="es-ES_tradnl"/>
        </w:rPr>
        <w:t>), cuya ejecución se tiene prevista para el período 201</w:t>
      </w:r>
      <w:r w:rsidR="0014052E" w:rsidRPr="001365B1">
        <w:rPr>
          <w:rFonts w:ascii="Arial" w:hAnsi="Arial" w:cs="Arial"/>
          <w:kern w:val="28"/>
          <w:lang w:val="es-ES_tradnl"/>
        </w:rPr>
        <w:t>9</w:t>
      </w:r>
      <w:r w:rsidR="001365B1" w:rsidRPr="001365B1">
        <w:rPr>
          <w:rFonts w:ascii="Arial" w:hAnsi="Arial" w:cs="Arial"/>
          <w:kern w:val="28"/>
          <w:lang w:val="es-ES_tradnl"/>
        </w:rPr>
        <w:noBreakHyphen/>
      </w:r>
      <w:r w:rsidRPr="001365B1">
        <w:rPr>
          <w:rFonts w:ascii="Arial" w:hAnsi="Arial" w:cs="Arial"/>
          <w:kern w:val="28"/>
          <w:lang w:val="es-ES_tradnl"/>
        </w:rPr>
        <w:t>202</w:t>
      </w:r>
      <w:r w:rsidR="00CA1AE8" w:rsidRPr="001365B1">
        <w:rPr>
          <w:rFonts w:ascii="Arial" w:hAnsi="Arial" w:cs="Arial"/>
          <w:kern w:val="28"/>
          <w:lang w:val="es-ES_tradnl"/>
        </w:rPr>
        <w:t>3</w:t>
      </w:r>
      <w:r w:rsidRPr="001365B1">
        <w:rPr>
          <w:rFonts w:ascii="Arial" w:hAnsi="Arial" w:cs="Arial"/>
          <w:kern w:val="28"/>
          <w:lang w:val="es-ES_tradnl"/>
        </w:rPr>
        <w:t>. El análisis se lleva a cabo mediante la metodología de costo</w:t>
      </w:r>
      <w:r w:rsidR="001365B1" w:rsidRPr="001365B1">
        <w:rPr>
          <w:rFonts w:ascii="Arial" w:hAnsi="Arial" w:cs="Arial"/>
          <w:kern w:val="28"/>
          <w:lang w:val="es-ES_tradnl"/>
        </w:rPr>
        <w:noBreakHyphen/>
      </w:r>
      <w:r w:rsidRPr="001365B1">
        <w:rPr>
          <w:rFonts w:ascii="Arial" w:hAnsi="Arial" w:cs="Arial"/>
          <w:kern w:val="28"/>
          <w:lang w:val="es-ES_tradnl"/>
        </w:rPr>
        <w:t>beneficio.</w:t>
      </w:r>
    </w:p>
    <w:p w14:paraId="5B87AB56" w14:textId="4F0659E1" w:rsidR="004E3DD2" w:rsidRPr="001365B1" w:rsidRDefault="004E3DD2" w:rsidP="001365B1">
      <w:pPr>
        <w:pStyle w:val="ListParagraph"/>
        <w:numPr>
          <w:ilvl w:val="1"/>
          <w:numId w:val="21"/>
        </w:numPr>
        <w:spacing w:before="360" w:line="360" w:lineRule="auto"/>
        <w:ind w:hanging="720"/>
        <w:jc w:val="both"/>
        <w:rPr>
          <w:rFonts w:ascii="Arial" w:hAnsi="Arial" w:cs="Arial"/>
          <w:lang w:val="es-ES"/>
        </w:rPr>
      </w:pPr>
      <w:r w:rsidRPr="001365B1">
        <w:rPr>
          <w:rFonts w:ascii="Arial" w:hAnsi="Arial" w:cs="Arial"/>
          <w:kern w:val="28"/>
          <w:lang w:val="es-CO"/>
        </w:rPr>
        <w:t>El análisis costo-beneficio incluye tres formas en las cuales se espera que el proyecto genere retornos monetarios: (i) la disminución de costos operativos en remediación de los daños causados por ciberataques</w:t>
      </w:r>
      <w:r w:rsidR="005D1FF4" w:rsidRPr="001365B1">
        <w:rPr>
          <w:rFonts w:ascii="Arial" w:hAnsi="Arial" w:cs="Arial"/>
          <w:kern w:val="28"/>
          <w:lang w:val="es-CO"/>
        </w:rPr>
        <w:t xml:space="preserve"> a las instituciones públicas</w:t>
      </w:r>
      <w:r w:rsidRPr="001365B1">
        <w:rPr>
          <w:rFonts w:ascii="Arial" w:hAnsi="Arial" w:cs="Arial"/>
          <w:kern w:val="28"/>
          <w:lang w:val="es-CO"/>
        </w:rPr>
        <w:t>, a través de una disminución en la proporción de ataques que son de alta severidad; (</w:t>
      </w:r>
      <w:proofErr w:type="spellStart"/>
      <w:r w:rsidRPr="001365B1">
        <w:rPr>
          <w:rFonts w:ascii="Arial" w:hAnsi="Arial" w:cs="Arial"/>
          <w:kern w:val="28"/>
          <w:lang w:val="es-CO"/>
        </w:rPr>
        <w:t>ii</w:t>
      </w:r>
      <w:proofErr w:type="spellEnd"/>
      <w:r w:rsidRPr="001365B1">
        <w:rPr>
          <w:rFonts w:ascii="Arial" w:hAnsi="Arial" w:cs="Arial"/>
          <w:kern w:val="28"/>
          <w:lang w:val="es-CO"/>
        </w:rPr>
        <w:t>) la disminución en el impacto económico causado por los ciberataques</w:t>
      </w:r>
      <w:r w:rsidR="005D1FF4" w:rsidRPr="001365B1">
        <w:rPr>
          <w:rFonts w:ascii="Arial" w:hAnsi="Arial" w:cs="Arial"/>
          <w:kern w:val="28"/>
          <w:lang w:val="es-CO"/>
        </w:rPr>
        <w:t xml:space="preserve"> a las instituciones públicas</w:t>
      </w:r>
      <w:r w:rsidRPr="001365B1">
        <w:rPr>
          <w:rFonts w:ascii="Arial" w:hAnsi="Arial" w:cs="Arial"/>
          <w:kern w:val="28"/>
          <w:lang w:val="es-CO"/>
        </w:rPr>
        <w:t>, gracias a una mayor capacidad de prevención y respuesta; y (</w:t>
      </w:r>
      <w:proofErr w:type="spellStart"/>
      <w:r w:rsidRPr="001365B1">
        <w:rPr>
          <w:rFonts w:ascii="Arial" w:hAnsi="Arial" w:cs="Arial"/>
          <w:kern w:val="28"/>
          <w:lang w:val="es-CO"/>
        </w:rPr>
        <w:t>iii</w:t>
      </w:r>
      <w:proofErr w:type="spellEnd"/>
      <w:r w:rsidRPr="001365B1">
        <w:rPr>
          <w:rFonts w:ascii="Arial" w:hAnsi="Arial" w:cs="Arial"/>
          <w:kern w:val="28"/>
          <w:lang w:val="es-CO"/>
        </w:rPr>
        <w:t xml:space="preserve">) la generación de actividad económica a través de la formación de profesionales en ciberseguridad y su subsecuente inserción al mercado laboral. </w:t>
      </w:r>
      <w:r w:rsidR="005D1FF4" w:rsidRPr="001365B1">
        <w:rPr>
          <w:rFonts w:ascii="Arial" w:hAnsi="Arial" w:cs="Arial"/>
          <w:lang w:val="es-ES"/>
        </w:rPr>
        <w:t>Los costos serán los gastos incluidos en el Programa</w:t>
      </w:r>
      <w:r w:rsidR="007E6F23" w:rsidRPr="001365B1">
        <w:rPr>
          <w:rFonts w:ascii="Arial" w:hAnsi="Arial" w:cs="Arial"/>
          <w:lang w:val="es-ES"/>
        </w:rPr>
        <w:t xml:space="preserve"> (</w:t>
      </w:r>
      <w:r w:rsidR="00DE6D4F" w:rsidRPr="001365B1">
        <w:rPr>
          <w:rFonts w:ascii="Arial" w:hAnsi="Arial" w:cs="Arial"/>
          <w:lang w:val="es-ES"/>
        </w:rPr>
        <w:t>cuyas actividades correspondientes se describen en el Documento de Proyecto)</w:t>
      </w:r>
      <w:r w:rsidR="005D1FF4" w:rsidRPr="001365B1">
        <w:rPr>
          <w:rFonts w:ascii="Arial" w:hAnsi="Arial" w:cs="Arial"/>
          <w:lang w:val="es-ES"/>
        </w:rPr>
        <w:t xml:space="preserve">, abarcando tanto el aporte BID como la contrapartida local. Cada segmento del análisis de beneficios cuenta con supuestos y metodología propia, que se describen a continuación. </w:t>
      </w:r>
      <w:r w:rsidR="00DE6D4F" w:rsidRPr="001365B1">
        <w:rPr>
          <w:rFonts w:ascii="Arial" w:hAnsi="Arial" w:cs="Arial"/>
          <w:lang w:val="es-ES"/>
        </w:rPr>
        <w:t>Los</w:t>
      </w:r>
      <w:r w:rsidR="005D1FF4" w:rsidRPr="001365B1">
        <w:rPr>
          <w:rFonts w:ascii="Arial" w:hAnsi="Arial" w:cs="Arial"/>
          <w:lang w:val="es-ES"/>
        </w:rPr>
        <w:t xml:space="preserve"> único</w:t>
      </w:r>
      <w:r w:rsidR="00DE6D4F" w:rsidRPr="001365B1">
        <w:rPr>
          <w:rFonts w:ascii="Arial" w:hAnsi="Arial" w:cs="Arial"/>
          <w:lang w:val="es-ES"/>
        </w:rPr>
        <w:t>s</w:t>
      </w:r>
      <w:r w:rsidR="005D1FF4" w:rsidRPr="001365B1">
        <w:rPr>
          <w:rFonts w:ascii="Arial" w:hAnsi="Arial" w:cs="Arial"/>
          <w:lang w:val="es-ES"/>
        </w:rPr>
        <w:t xml:space="preserve"> supuesto</w:t>
      </w:r>
      <w:r w:rsidR="00DE6D4F" w:rsidRPr="001365B1">
        <w:rPr>
          <w:rFonts w:ascii="Arial" w:hAnsi="Arial" w:cs="Arial"/>
          <w:lang w:val="es-ES"/>
        </w:rPr>
        <w:t>s</w:t>
      </w:r>
      <w:r w:rsidR="005D1FF4" w:rsidRPr="001365B1">
        <w:rPr>
          <w:rFonts w:ascii="Arial" w:hAnsi="Arial" w:cs="Arial"/>
          <w:lang w:val="es-ES"/>
        </w:rPr>
        <w:t xml:space="preserve"> compartido</w:t>
      </w:r>
      <w:r w:rsidR="00DE6D4F" w:rsidRPr="001365B1">
        <w:rPr>
          <w:rFonts w:ascii="Arial" w:hAnsi="Arial" w:cs="Arial"/>
          <w:lang w:val="es-ES"/>
        </w:rPr>
        <w:t>s</w:t>
      </w:r>
      <w:r w:rsidR="005D1FF4" w:rsidRPr="001365B1">
        <w:rPr>
          <w:rFonts w:ascii="Arial" w:hAnsi="Arial" w:cs="Arial"/>
          <w:lang w:val="es-ES"/>
        </w:rPr>
        <w:t xml:space="preserve"> entre ellos </w:t>
      </w:r>
      <w:r w:rsidR="00DE6D4F" w:rsidRPr="001365B1">
        <w:rPr>
          <w:rFonts w:ascii="Arial" w:hAnsi="Arial" w:cs="Arial"/>
          <w:lang w:val="es-ES"/>
        </w:rPr>
        <w:t>son</w:t>
      </w:r>
      <w:r w:rsidR="005D1FF4" w:rsidRPr="001365B1">
        <w:rPr>
          <w:rFonts w:ascii="Arial" w:hAnsi="Arial" w:cs="Arial"/>
          <w:lang w:val="es-ES"/>
        </w:rPr>
        <w:t xml:space="preserve"> el de la tasa de descuento del 12%, estándar para el Banco</w:t>
      </w:r>
      <w:r w:rsidR="00DE6D4F" w:rsidRPr="001365B1">
        <w:rPr>
          <w:rFonts w:ascii="Arial" w:hAnsi="Arial" w:cs="Arial"/>
          <w:lang w:val="es-ES"/>
        </w:rPr>
        <w:t xml:space="preserve">, y el plazo de contabilización de beneficios de 10 años. </w:t>
      </w:r>
      <w:r w:rsidR="005D1FF4" w:rsidRPr="001365B1">
        <w:rPr>
          <w:rFonts w:ascii="Arial" w:hAnsi="Arial" w:cs="Arial"/>
          <w:lang w:val="es-ES"/>
        </w:rPr>
        <w:t xml:space="preserve"> </w:t>
      </w:r>
    </w:p>
    <w:p w14:paraId="41709352" w14:textId="1A2F9414" w:rsidR="005D1FF4" w:rsidRDefault="005D1FF4" w:rsidP="0001211A">
      <w:pPr>
        <w:numPr>
          <w:ilvl w:val="0"/>
          <w:numId w:val="5"/>
        </w:numPr>
        <w:spacing w:before="360" w:line="360" w:lineRule="auto"/>
        <w:jc w:val="both"/>
        <w:rPr>
          <w:rFonts w:ascii="Arial" w:hAnsi="Arial" w:cs="Arial"/>
          <w:i/>
          <w:lang w:val="es-ES"/>
        </w:rPr>
      </w:pPr>
      <w:r>
        <w:rPr>
          <w:rFonts w:ascii="Arial" w:hAnsi="Arial" w:cs="Arial"/>
          <w:b/>
          <w:lang w:val="es-ES"/>
        </w:rPr>
        <w:t>Supuestos y metodología</w:t>
      </w:r>
    </w:p>
    <w:p w14:paraId="7907B650" w14:textId="74D23474" w:rsidR="00595976" w:rsidRPr="0001211A" w:rsidRDefault="005D1FF4" w:rsidP="00D60B7B">
      <w:pPr>
        <w:pStyle w:val="ListParagraph"/>
        <w:numPr>
          <w:ilvl w:val="1"/>
          <w:numId w:val="5"/>
        </w:numPr>
        <w:spacing w:before="360" w:line="360" w:lineRule="auto"/>
        <w:ind w:hanging="720"/>
        <w:jc w:val="both"/>
        <w:rPr>
          <w:rFonts w:ascii="Arial" w:hAnsi="Arial" w:cs="Arial"/>
          <w:i/>
          <w:lang w:val="es-ES"/>
        </w:rPr>
      </w:pPr>
      <w:r w:rsidRPr="0001211A">
        <w:rPr>
          <w:rFonts w:ascii="Arial" w:hAnsi="Arial" w:cs="Arial"/>
          <w:b/>
          <w:lang w:val="es-ES"/>
        </w:rPr>
        <w:t>Disminución de gastos operativos de remediación de ciberataques</w:t>
      </w:r>
      <w:r w:rsidR="0001211A" w:rsidRPr="0001211A">
        <w:rPr>
          <w:rFonts w:ascii="Arial" w:hAnsi="Arial" w:cs="Arial"/>
          <w:b/>
          <w:lang w:val="es-ES"/>
        </w:rPr>
        <w:t>.</w:t>
      </w:r>
      <w:r w:rsidR="0001211A">
        <w:rPr>
          <w:rFonts w:ascii="Arial" w:hAnsi="Arial" w:cs="Arial"/>
          <w:b/>
          <w:lang w:val="es-ES"/>
        </w:rPr>
        <w:t xml:space="preserve"> </w:t>
      </w:r>
      <w:r w:rsidR="00F15920" w:rsidRPr="0001211A">
        <w:rPr>
          <w:rFonts w:ascii="Arial" w:hAnsi="Arial" w:cs="Arial"/>
          <w:lang w:val="es-ES"/>
        </w:rPr>
        <w:t>Cada vez que se detecta un ciberataque de severidad alta, el personal del CERT (“</w:t>
      </w:r>
      <w:proofErr w:type="spellStart"/>
      <w:r w:rsidR="00F15920" w:rsidRPr="0001211A">
        <w:rPr>
          <w:rFonts w:ascii="Arial" w:hAnsi="Arial" w:cs="Arial"/>
          <w:i/>
          <w:lang w:val="es-ES"/>
        </w:rPr>
        <w:t>Computer</w:t>
      </w:r>
      <w:proofErr w:type="spellEnd"/>
      <w:r w:rsidR="00F15920" w:rsidRPr="0001211A">
        <w:rPr>
          <w:rFonts w:ascii="Arial" w:hAnsi="Arial" w:cs="Arial"/>
          <w:i/>
          <w:lang w:val="es-ES"/>
        </w:rPr>
        <w:t xml:space="preserve"> </w:t>
      </w:r>
      <w:proofErr w:type="spellStart"/>
      <w:r w:rsidR="00F15920" w:rsidRPr="0001211A">
        <w:rPr>
          <w:rFonts w:ascii="Arial" w:hAnsi="Arial" w:cs="Arial"/>
          <w:i/>
          <w:lang w:val="es-ES"/>
        </w:rPr>
        <w:t>Emergency</w:t>
      </w:r>
      <w:proofErr w:type="spellEnd"/>
      <w:r w:rsidR="00F15920" w:rsidRPr="0001211A">
        <w:rPr>
          <w:rFonts w:ascii="Arial" w:hAnsi="Arial" w:cs="Arial"/>
          <w:i/>
          <w:lang w:val="es-ES"/>
        </w:rPr>
        <w:t xml:space="preserve"> </w:t>
      </w:r>
      <w:proofErr w:type="spellStart"/>
      <w:r w:rsidR="00F15920" w:rsidRPr="0001211A">
        <w:rPr>
          <w:rFonts w:ascii="Arial" w:hAnsi="Arial" w:cs="Arial"/>
          <w:i/>
          <w:lang w:val="es-ES"/>
        </w:rPr>
        <w:t>Readiness</w:t>
      </w:r>
      <w:proofErr w:type="spellEnd"/>
      <w:r w:rsidR="00F15920" w:rsidRPr="0001211A">
        <w:rPr>
          <w:rFonts w:ascii="Arial" w:hAnsi="Arial" w:cs="Arial"/>
          <w:i/>
          <w:lang w:val="es-ES"/>
        </w:rPr>
        <w:t xml:space="preserve"> </w:t>
      </w:r>
      <w:proofErr w:type="spellStart"/>
      <w:r w:rsidR="00F15920" w:rsidRPr="0001211A">
        <w:rPr>
          <w:rFonts w:ascii="Arial" w:hAnsi="Arial" w:cs="Arial"/>
          <w:i/>
          <w:lang w:val="es-ES"/>
        </w:rPr>
        <w:t>Team</w:t>
      </w:r>
      <w:proofErr w:type="spellEnd"/>
      <w:r w:rsidR="00F15920" w:rsidRPr="0001211A">
        <w:rPr>
          <w:rFonts w:ascii="Arial" w:hAnsi="Arial" w:cs="Arial"/>
          <w:lang w:val="es-ES"/>
        </w:rPr>
        <w:t>” en inglés) de AGESIC junto con la entidad afectada forma un equipo para dar respuesta. El costo de esta respuesta depende principalmente del tiempo que toma remediar el problema causado. El Programa propiciará dos cambios en este rubro de gastos: (i) un incremento en el número total de ataques registrados, gracias a un aumento en la capacidad de detección; y (</w:t>
      </w:r>
      <w:proofErr w:type="spellStart"/>
      <w:r w:rsidR="00F15920" w:rsidRPr="0001211A">
        <w:rPr>
          <w:rFonts w:ascii="Arial" w:hAnsi="Arial" w:cs="Arial"/>
          <w:lang w:val="es-ES"/>
        </w:rPr>
        <w:t>ii</w:t>
      </w:r>
      <w:proofErr w:type="spellEnd"/>
      <w:r w:rsidR="00F15920" w:rsidRPr="0001211A">
        <w:rPr>
          <w:rFonts w:ascii="Arial" w:hAnsi="Arial" w:cs="Arial"/>
          <w:lang w:val="es-ES"/>
        </w:rPr>
        <w:t xml:space="preserve">) una disminución en la proporción de estos ataques que son de alta severidad, gracias al mismo aumento en la capacidad de detección y fortalecidas capacidades de prevención y respuesta. La secuencia de cálculos que se realizan para estimar los beneficios por este </w:t>
      </w:r>
      <w:r w:rsidR="0050177D" w:rsidRPr="0001211A">
        <w:rPr>
          <w:rFonts w:ascii="Arial" w:hAnsi="Arial" w:cs="Arial"/>
          <w:lang w:val="es-ES"/>
        </w:rPr>
        <w:t xml:space="preserve">canal, y los correspondientes supuestos, se detallan a continuación. </w:t>
      </w:r>
    </w:p>
    <w:p w14:paraId="37EA0709" w14:textId="6CF68322" w:rsidR="0050177D" w:rsidRDefault="00DC5DDF" w:rsidP="0050177D">
      <w:pPr>
        <w:pStyle w:val="ListParagraph"/>
        <w:numPr>
          <w:ilvl w:val="0"/>
          <w:numId w:val="17"/>
        </w:numPr>
        <w:spacing w:before="360" w:line="360" w:lineRule="auto"/>
        <w:jc w:val="both"/>
        <w:rPr>
          <w:rFonts w:ascii="Arial" w:hAnsi="Arial" w:cs="Arial"/>
          <w:lang w:val="es-ES"/>
        </w:rPr>
      </w:pPr>
      <w:r>
        <w:rPr>
          <w:rFonts w:ascii="Arial" w:hAnsi="Arial" w:cs="Arial"/>
          <w:lang w:val="es-ES"/>
        </w:rPr>
        <w:lastRenderedPageBreak/>
        <w:t>Según estimaciones de la AGESIC, en promedio, el costo de remediación de un incidente de severidad alta o muy alta incluye 800 horas de trabajo a un US</w:t>
      </w:r>
      <w:r w:rsidR="0001211A">
        <w:rPr>
          <w:rFonts w:ascii="Arial" w:hAnsi="Arial" w:cs="Arial"/>
          <w:lang w:val="es-ES"/>
        </w:rPr>
        <w:t>$</w:t>
      </w:r>
      <w:r>
        <w:rPr>
          <w:rFonts w:ascii="Arial" w:hAnsi="Arial" w:cs="Arial"/>
          <w:lang w:val="es-ES"/>
        </w:rPr>
        <w:t>60 por hora, por un total de US</w:t>
      </w:r>
      <w:r w:rsidR="0001211A">
        <w:rPr>
          <w:rFonts w:ascii="Arial" w:hAnsi="Arial" w:cs="Arial"/>
          <w:lang w:val="es-ES"/>
        </w:rPr>
        <w:t>$</w:t>
      </w:r>
      <w:r>
        <w:rPr>
          <w:rFonts w:ascii="Arial" w:hAnsi="Arial" w:cs="Arial"/>
          <w:lang w:val="es-ES"/>
        </w:rPr>
        <w:t>48</w:t>
      </w:r>
      <w:r w:rsidR="0001211A">
        <w:rPr>
          <w:rFonts w:ascii="Arial" w:hAnsi="Arial" w:cs="Arial"/>
          <w:lang w:val="es-ES"/>
        </w:rPr>
        <w:t>.</w:t>
      </w:r>
      <w:r>
        <w:rPr>
          <w:rFonts w:ascii="Arial" w:hAnsi="Arial" w:cs="Arial"/>
          <w:lang w:val="es-ES"/>
        </w:rPr>
        <w:t xml:space="preserve">000 por incidente. </w:t>
      </w:r>
      <w:r w:rsidR="005D1FF4">
        <w:rPr>
          <w:rFonts w:ascii="Arial" w:hAnsi="Arial" w:cs="Arial"/>
          <w:lang w:val="es-ES"/>
        </w:rPr>
        <w:t xml:space="preserve">La cifra que se compara en los escenarios con proyecto versus sin proyecto es la multiplicación </w:t>
      </w:r>
      <w:r w:rsidR="00D0662D">
        <w:rPr>
          <w:rFonts w:ascii="Arial" w:hAnsi="Arial" w:cs="Arial"/>
          <w:lang w:val="es-ES"/>
        </w:rPr>
        <w:t>de</w:t>
      </w:r>
      <w:r w:rsidR="005D1FF4">
        <w:rPr>
          <w:rFonts w:ascii="Arial" w:hAnsi="Arial" w:cs="Arial"/>
          <w:lang w:val="es-ES"/>
        </w:rPr>
        <w:t xml:space="preserve"> este costo por incidente por el número de incidentes. </w:t>
      </w:r>
    </w:p>
    <w:p w14:paraId="281CB45F" w14:textId="56EC36D5" w:rsidR="00DC5DDF" w:rsidRDefault="00DC5DDF" w:rsidP="0050177D">
      <w:pPr>
        <w:pStyle w:val="ListParagraph"/>
        <w:numPr>
          <w:ilvl w:val="0"/>
          <w:numId w:val="17"/>
        </w:numPr>
        <w:spacing w:before="360" w:line="360" w:lineRule="auto"/>
        <w:jc w:val="both"/>
        <w:rPr>
          <w:rFonts w:ascii="Arial" w:hAnsi="Arial" w:cs="Arial"/>
          <w:lang w:val="es-ES"/>
        </w:rPr>
      </w:pPr>
      <w:r>
        <w:rPr>
          <w:rFonts w:ascii="Arial" w:hAnsi="Arial" w:cs="Arial"/>
          <w:lang w:val="es-ES"/>
        </w:rPr>
        <w:t>En 2018, hubo un total de 2</w:t>
      </w:r>
      <w:r w:rsidR="0001211A">
        <w:rPr>
          <w:rFonts w:ascii="Arial" w:hAnsi="Arial" w:cs="Arial"/>
          <w:lang w:val="es-ES"/>
        </w:rPr>
        <w:t>.</w:t>
      </w:r>
      <w:r>
        <w:rPr>
          <w:rFonts w:ascii="Arial" w:hAnsi="Arial" w:cs="Arial"/>
          <w:lang w:val="es-ES"/>
        </w:rPr>
        <w:t>046 incidentes detectados, 43 de los cuales eran de severidad alta o muy alta, equivalente al 2</w:t>
      </w:r>
      <w:r w:rsidR="0001211A">
        <w:rPr>
          <w:rFonts w:ascii="Arial" w:hAnsi="Arial" w:cs="Arial"/>
          <w:lang w:val="es-ES"/>
        </w:rPr>
        <w:t>,</w:t>
      </w:r>
      <w:r>
        <w:rPr>
          <w:rFonts w:ascii="Arial" w:hAnsi="Arial" w:cs="Arial"/>
          <w:lang w:val="es-ES"/>
        </w:rPr>
        <w:t xml:space="preserve">10%. </w:t>
      </w:r>
    </w:p>
    <w:p w14:paraId="28B47336" w14:textId="0CEE0CE4" w:rsidR="007B550D" w:rsidRDefault="00DC5DDF" w:rsidP="0050177D">
      <w:pPr>
        <w:pStyle w:val="ListParagraph"/>
        <w:numPr>
          <w:ilvl w:val="0"/>
          <w:numId w:val="17"/>
        </w:numPr>
        <w:spacing w:before="360" w:line="360" w:lineRule="auto"/>
        <w:jc w:val="both"/>
        <w:rPr>
          <w:rFonts w:ascii="Arial" w:hAnsi="Arial" w:cs="Arial"/>
          <w:lang w:val="es-ES"/>
        </w:rPr>
      </w:pPr>
      <w:r>
        <w:rPr>
          <w:rFonts w:ascii="Arial" w:hAnsi="Arial" w:cs="Arial"/>
          <w:lang w:val="es-ES"/>
        </w:rPr>
        <w:t>Sin proyecto, se asume que el número de incidentes detectados aumentará en un 10%</w:t>
      </w:r>
      <w:r w:rsidR="0001211A">
        <w:rPr>
          <w:rFonts w:ascii="Arial" w:hAnsi="Arial" w:cs="Arial"/>
          <w:lang w:val="es-ES"/>
        </w:rPr>
        <w:t> </w:t>
      </w:r>
      <w:r>
        <w:rPr>
          <w:rFonts w:ascii="Arial" w:hAnsi="Arial" w:cs="Arial"/>
          <w:lang w:val="es-ES"/>
        </w:rPr>
        <w:t>por año</w:t>
      </w:r>
      <w:r w:rsidR="007B550D">
        <w:rPr>
          <w:rFonts w:ascii="Arial" w:hAnsi="Arial" w:cs="Arial"/>
          <w:lang w:val="es-ES"/>
        </w:rPr>
        <w:t>.</w:t>
      </w:r>
      <w:r w:rsidR="00D3178B">
        <w:rPr>
          <w:rFonts w:ascii="Arial" w:hAnsi="Arial" w:cs="Arial"/>
          <w:lang w:val="es-ES"/>
        </w:rPr>
        <w:t xml:space="preserve"> Este supuesto se considera conservador, ya que el crecimiento observado entre el 2017 y el 2018 fue del 21%. </w:t>
      </w:r>
    </w:p>
    <w:p w14:paraId="70405AA7" w14:textId="59A4437A" w:rsidR="00DC5DDF" w:rsidRDefault="00D3178B" w:rsidP="0050177D">
      <w:pPr>
        <w:pStyle w:val="ListParagraph"/>
        <w:numPr>
          <w:ilvl w:val="0"/>
          <w:numId w:val="17"/>
        </w:numPr>
        <w:spacing w:before="360" w:line="360" w:lineRule="auto"/>
        <w:jc w:val="both"/>
        <w:rPr>
          <w:rFonts w:ascii="Arial" w:hAnsi="Arial" w:cs="Arial"/>
          <w:lang w:val="es-ES"/>
        </w:rPr>
      </w:pPr>
      <w:r>
        <w:rPr>
          <w:rFonts w:ascii="Arial" w:hAnsi="Arial" w:cs="Arial"/>
          <w:lang w:val="es-ES"/>
        </w:rPr>
        <w:t>Sin proyecto, se asume</w:t>
      </w:r>
      <w:r w:rsidR="00DC5DDF">
        <w:rPr>
          <w:rFonts w:ascii="Arial" w:hAnsi="Arial" w:cs="Arial"/>
          <w:lang w:val="es-ES"/>
        </w:rPr>
        <w:t xml:space="preserve"> que la proporción de ataques que son de severidad alta o muy alta aumentará en un 7%. </w:t>
      </w:r>
      <w:r>
        <w:rPr>
          <w:rFonts w:ascii="Arial" w:hAnsi="Arial" w:cs="Arial"/>
          <w:lang w:val="es-ES"/>
        </w:rPr>
        <w:t xml:space="preserve">Este supuesto se considera conservador, ya que el crecimiento observado entre 2017 y 2018 fue del 96%. </w:t>
      </w:r>
    </w:p>
    <w:p w14:paraId="6FE2B712" w14:textId="49273BE5" w:rsidR="003A1297" w:rsidRDefault="003A1297" w:rsidP="0050177D">
      <w:pPr>
        <w:pStyle w:val="ListParagraph"/>
        <w:numPr>
          <w:ilvl w:val="0"/>
          <w:numId w:val="17"/>
        </w:numPr>
        <w:spacing w:before="360" w:line="360" w:lineRule="auto"/>
        <w:jc w:val="both"/>
        <w:rPr>
          <w:rFonts w:ascii="Arial" w:hAnsi="Arial" w:cs="Arial"/>
          <w:lang w:val="es-ES"/>
        </w:rPr>
      </w:pPr>
      <w:r>
        <w:rPr>
          <w:rFonts w:ascii="Arial" w:hAnsi="Arial" w:cs="Arial"/>
          <w:lang w:val="es-ES"/>
        </w:rPr>
        <w:t>Con proyecto, se asume que al final de la ejecución del proyecto (2023), se detectarán 10</w:t>
      </w:r>
      <w:r w:rsidR="0001211A">
        <w:rPr>
          <w:rFonts w:ascii="Arial" w:hAnsi="Arial" w:cs="Arial"/>
          <w:lang w:val="es-ES"/>
        </w:rPr>
        <w:t>.</w:t>
      </w:r>
      <w:r>
        <w:rPr>
          <w:rFonts w:ascii="Arial" w:hAnsi="Arial" w:cs="Arial"/>
          <w:lang w:val="es-ES"/>
        </w:rPr>
        <w:t xml:space="preserve">000 ataques. Este supuesto se justifica por el hecho que el SOC (centro de operaciones de seguridad, o Security Operations Center en inglés), expandirá su monitoreo interno de la actividad informática de dos instituciones (Presidencia y Ministerio del Interior) a 17, además de fortalecer su capacidad en monitoreo perimetral de todas las instituciones públicas. </w:t>
      </w:r>
      <w:r w:rsidR="00D3178B">
        <w:rPr>
          <w:rFonts w:ascii="Arial" w:hAnsi="Arial" w:cs="Arial"/>
          <w:lang w:val="es-ES"/>
        </w:rPr>
        <w:t xml:space="preserve">Se asume que una vez el proyecto esté implementado, la tasa anual de crecimiento del número de ataques detectados volverá al 10% (la misma tasa de crecimiento que se asume para el escenario sin proyecto). </w:t>
      </w:r>
    </w:p>
    <w:p w14:paraId="22F49F8A" w14:textId="6921F4BF" w:rsidR="00EE0A68" w:rsidRDefault="00EE0A68" w:rsidP="0050177D">
      <w:pPr>
        <w:pStyle w:val="ListParagraph"/>
        <w:numPr>
          <w:ilvl w:val="0"/>
          <w:numId w:val="17"/>
        </w:numPr>
        <w:spacing w:before="360" w:line="360" w:lineRule="auto"/>
        <w:jc w:val="both"/>
        <w:rPr>
          <w:rFonts w:ascii="Arial" w:hAnsi="Arial" w:cs="Arial"/>
          <w:lang w:val="es-ES"/>
        </w:rPr>
      </w:pPr>
      <w:r>
        <w:rPr>
          <w:rFonts w:ascii="Arial" w:hAnsi="Arial" w:cs="Arial"/>
          <w:lang w:val="es-ES"/>
        </w:rPr>
        <w:t>Con proyecto, se asume que la proporción de los ataques que son de severidad alta o muy alta se reducirá del 2</w:t>
      </w:r>
      <w:r w:rsidR="0001211A">
        <w:rPr>
          <w:rFonts w:ascii="Arial" w:hAnsi="Arial" w:cs="Arial"/>
          <w:lang w:val="es-ES"/>
        </w:rPr>
        <w:t>,</w:t>
      </w:r>
      <w:r>
        <w:rPr>
          <w:rFonts w:ascii="Arial" w:hAnsi="Arial" w:cs="Arial"/>
          <w:lang w:val="es-ES"/>
        </w:rPr>
        <w:t>10% al 1% al final de la ejecución (2023), y que esta proporción se mantendrá a lo largo del periodo de análisis (hasta el 20</w:t>
      </w:r>
      <w:r w:rsidR="000C2038" w:rsidRPr="00362052">
        <w:rPr>
          <w:rFonts w:ascii="Arial" w:hAnsi="Arial" w:cs="Arial"/>
          <w:lang w:val="es-CO"/>
        </w:rPr>
        <w:t>28</w:t>
      </w:r>
      <w:r>
        <w:rPr>
          <w:rFonts w:ascii="Arial" w:hAnsi="Arial" w:cs="Arial"/>
          <w:lang w:val="es-ES"/>
        </w:rPr>
        <w:t xml:space="preserve">). Este supuesto se sustenta por el mismo aumento en capacidad de detección que se señala en el punto anterior, la cual facilitará que los incidentes que tienen el potencial de volverse severos sean detectados y atendidos de forma oportuna. </w:t>
      </w:r>
    </w:p>
    <w:p w14:paraId="7E5CE165" w14:textId="77777777" w:rsidR="005D1FF4" w:rsidRDefault="005D1FF4" w:rsidP="005D1FF4">
      <w:pPr>
        <w:pStyle w:val="ListParagraph"/>
        <w:spacing w:before="360" w:line="360" w:lineRule="auto"/>
        <w:jc w:val="both"/>
        <w:rPr>
          <w:rFonts w:ascii="Arial" w:hAnsi="Arial" w:cs="Arial"/>
          <w:lang w:val="es-ES"/>
        </w:rPr>
      </w:pPr>
    </w:p>
    <w:p w14:paraId="1A593898" w14:textId="6A0B32C1" w:rsidR="005D1FF4" w:rsidRPr="0001211A" w:rsidRDefault="005D1FF4" w:rsidP="0022409E">
      <w:pPr>
        <w:pStyle w:val="ListParagraph"/>
        <w:numPr>
          <w:ilvl w:val="1"/>
          <w:numId w:val="5"/>
        </w:numPr>
        <w:spacing w:before="360" w:line="360" w:lineRule="auto"/>
        <w:ind w:hanging="720"/>
        <w:jc w:val="both"/>
        <w:rPr>
          <w:rFonts w:ascii="Arial" w:hAnsi="Arial" w:cs="Arial"/>
          <w:lang w:val="es-ES"/>
        </w:rPr>
      </w:pPr>
      <w:r w:rsidRPr="0001211A">
        <w:rPr>
          <w:rFonts w:ascii="Arial" w:hAnsi="Arial" w:cs="Arial"/>
          <w:b/>
          <w:lang w:val="es-ES"/>
        </w:rPr>
        <w:t>Disminución del impacto económico de ciberataques a instituciones públicas</w:t>
      </w:r>
      <w:r w:rsidR="0001211A" w:rsidRPr="0001211A">
        <w:rPr>
          <w:rFonts w:ascii="Arial" w:hAnsi="Arial" w:cs="Arial"/>
          <w:lang w:val="es-ES"/>
        </w:rPr>
        <w:t>.</w:t>
      </w:r>
      <w:r w:rsidR="0001211A">
        <w:rPr>
          <w:rFonts w:ascii="Arial" w:hAnsi="Arial" w:cs="Arial"/>
          <w:lang w:val="es-ES"/>
        </w:rPr>
        <w:t xml:space="preserve"> </w:t>
      </w:r>
      <w:r w:rsidRPr="0001211A">
        <w:rPr>
          <w:rFonts w:ascii="Arial" w:hAnsi="Arial" w:cs="Arial"/>
          <w:lang w:val="es-ES"/>
        </w:rPr>
        <w:t>El impacto económico real de los ciberataques se desconoce, por dos motivos: (i) no existe ninguna metodología aceptada para medirlo; y (</w:t>
      </w:r>
      <w:proofErr w:type="spellStart"/>
      <w:r w:rsidRPr="0001211A">
        <w:rPr>
          <w:rFonts w:ascii="Arial" w:hAnsi="Arial" w:cs="Arial"/>
          <w:lang w:val="es-ES"/>
        </w:rPr>
        <w:t>ii</w:t>
      </w:r>
      <w:proofErr w:type="spellEnd"/>
      <w:r w:rsidRPr="0001211A">
        <w:rPr>
          <w:rFonts w:ascii="Arial" w:hAnsi="Arial" w:cs="Arial"/>
          <w:lang w:val="es-ES"/>
        </w:rPr>
        <w:t>) las víctimas de los ciberataques tienden a no compartir información acerca de los daños causados</w:t>
      </w:r>
      <w:r w:rsidR="006236A8" w:rsidRPr="0001211A">
        <w:rPr>
          <w:rFonts w:ascii="Arial" w:hAnsi="Arial" w:cs="Arial"/>
          <w:lang w:val="es-ES"/>
        </w:rPr>
        <w:t xml:space="preserve"> por el riesgo reputacional asociados o temor a invitar ataques a futuro. La estimación que se describe a continuación consiste en un escalamiento </w:t>
      </w:r>
      <w:r w:rsidR="00D0662D" w:rsidRPr="0001211A">
        <w:rPr>
          <w:rFonts w:ascii="Arial" w:hAnsi="Arial" w:cs="Arial"/>
          <w:lang w:val="es-ES"/>
        </w:rPr>
        <w:t xml:space="preserve">al </w:t>
      </w:r>
      <w:r w:rsidR="0001211A">
        <w:rPr>
          <w:rFonts w:ascii="Arial" w:hAnsi="Arial" w:cs="Arial"/>
          <w:lang w:val="es-ES"/>
        </w:rPr>
        <w:t>G</w:t>
      </w:r>
      <w:r w:rsidR="00D0662D" w:rsidRPr="0001211A">
        <w:rPr>
          <w:rFonts w:ascii="Arial" w:hAnsi="Arial" w:cs="Arial"/>
          <w:lang w:val="es-ES"/>
        </w:rPr>
        <w:t xml:space="preserve">obierno de Uruguay </w:t>
      </w:r>
      <w:r w:rsidR="006236A8" w:rsidRPr="0001211A">
        <w:rPr>
          <w:rFonts w:ascii="Arial" w:hAnsi="Arial" w:cs="Arial"/>
          <w:lang w:val="es-ES"/>
        </w:rPr>
        <w:t xml:space="preserve">de cifras </w:t>
      </w:r>
      <w:proofErr w:type="spellStart"/>
      <w:r w:rsidR="006236A8" w:rsidRPr="0001211A">
        <w:rPr>
          <w:rFonts w:ascii="Arial" w:hAnsi="Arial" w:cs="Arial"/>
          <w:lang w:val="es-ES"/>
        </w:rPr>
        <w:lastRenderedPageBreak/>
        <w:t>auto</w:t>
      </w:r>
      <w:r w:rsidR="0001211A">
        <w:rPr>
          <w:rFonts w:ascii="Arial" w:hAnsi="Arial" w:cs="Arial"/>
          <w:lang w:val="es-ES"/>
        </w:rPr>
        <w:noBreakHyphen/>
      </w:r>
      <w:r w:rsidR="006236A8" w:rsidRPr="0001211A">
        <w:rPr>
          <w:rFonts w:ascii="Arial" w:hAnsi="Arial" w:cs="Arial"/>
          <w:lang w:val="es-ES"/>
        </w:rPr>
        <w:t>reportadas</w:t>
      </w:r>
      <w:proofErr w:type="spellEnd"/>
      <w:r w:rsidR="006236A8" w:rsidRPr="0001211A">
        <w:rPr>
          <w:rFonts w:ascii="Arial" w:hAnsi="Arial" w:cs="Arial"/>
          <w:lang w:val="es-ES"/>
        </w:rPr>
        <w:t xml:space="preserve"> de individuos y empresas de Estados Unidos. </w:t>
      </w:r>
      <w:r w:rsidR="00134F0C" w:rsidRPr="0001211A">
        <w:rPr>
          <w:rFonts w:ascii="Arial" w:hAnsi="Arial" w:cs="Arial"/>
          <w:lang w:val="es-ES"/>
        </w:rPr>
        <w:t xml:space="preserve">Los beneficios por este rubro se generan a través de una mayor prevención de impactos económicos de los ciberataques a instituciones públicas uruguayas gracias a aumentadas capacidades de prevención, detección y respuesta. </w:t>
      </w:r>
    </w:p>
    <w:p w14:paraId="2D142556" w14:textId="444B6F5A" w:rsidR="006236A8" w:rsidRDefault="006236A8" w:rsidP="006236A8">
      <w:pPr>
        <w:pStyle w:val="ListParagraph"/>
        <w:numPr>
          <w:ilvl w:val="0"/>
          <w:numId w:val="18"/>
        </w:numPr>
        <w:spacing w:before="360" w:line="360" w:lineRule="auto"/>
        <w:jc w:val="both"/>
        <w:rPr>
          <w:rFonts w:ascii="Arial" w:hAnsi="Arial" w:cs="Arial"/>
          <w:lang w:val="es-ES"/>
        </w:rPr>
      </w:pPr>
      <w:r>
        <w:rPr>
          <w:rFonts w:ascii="Arial" w:hAnsi="Arial" w:cs="Arial"/>
          <w:lang w:val="es-ES"/>
        </w:rPr>
        <w:t>El impacto económico del cibercrimen en Estados Unidos en el 2017 fue de US</w:t>
      </w:r>
      <w:r w:rsidR="0001211A">
        <w:rPr>
          <w:rFonts w:ascii="Arial" w:hAnsi="Arial" w:cs="Arial"/>
          <w:lang w:val="es-ES"/>
        </w:rPr>
        <w:t>$</w:t>
      </w:r>
      <w:r>
        <w:rPr>
          <w:rFonts w:ascii="Arial" w:hAnsi="Arial" w:cs="Arial"/>
          <w:lang w:val="es-ES"/>
        </w:rPr>
        <w:t>1</w:t>
      </w:r>
      <w:r w:rsidR="0001211A">
        <w:rPr>
          <w:rFonts w:ascii="Arial" w:hAnsi="Arial" w:cs="Arial"/>
          <w:lang w:val="es-ES"/>
        </w:rPr>
        <w:t>,</w:t>
      </w:r>
      <w:r>
        <w:rPr>
          <w:rFonts w:ascii="Arial" w:hAnsi="Arial" w:cs="Arial"/>
          <w:lang w:val="es-ES"/>
        </w:rPr>
        <w:t>42 mil millones de dólares, según el “</w:t>
      </w:r>
      <w:r w:rsidRPr="0001211A">
        <w:rPr>
          <w:rFonts w:ascii="Arial" w:hAnsi="Arial" w:cs="Arial"/>
          <w:i/>
          <w:lang w:val="es-ES"/>
        </w:rPr>
        <w:t xml:space="preserve">Internet </w:t>
      </w:r>
      <w:proofErr w:type="spellStart"/>
      <w:r w:rsidRPr="0001211A">
        <w:rPr>
          <w:rFonts w:ascii="Arial" w:hAnsi="Arial" w:cs="Arial"/>
          <w:i/>
          <w:lang w:val="es-ES"/>
        </w:rPr>
        <w:t>Crime</w:t>
      </w:r>
      <w:proofErr w:type="spellEnd"/>
      <w:r w:rsidRPr="0001211A">
        <w:rPr>
          <w:rFonts w:ascii="Arial" w:hAnsi="Arial" w:cs="Arial"/>
          <w:i/>
          <w:lang w:val="es-ES"/>
        </w:rPr>
        <w:t xml:space="preserve"> </w:t>
      </w:r>
      <w:proofErr w:type="spellStart"/>
      <w:r w:rsidRPr="0001211A">
        <w:rPr>
          <w:rFonts w:ascii="Arial" w:hAnsi="Arial" w:cs="Arial"/>
          <w:i/>
          <w:lang w:val="es-ES"/>
        </w:rPr>
        <w:t>Report</w:t>
      </w:r>
      <w:proofErr w:type="spellEnd"/>
      <w:r>
        <w:rPr>
          <w:rFonts w:ascii="Arial" w:hAnsi="Arial" w:cs="Arial"/>
          <w:lang w:val="es-ES"/>
        </w:rPr>
        <w:t xml:space="preserve">” de </w:t>
      </w:r>
      <w:r w:rsidR="0001211A" w:rsidRPr="00B314A5">
        <w:rPr>
          <w:rFonts w:ascii="Arial" w:hAnsi="Arial" w:cs="Arial"/>
          <w:i/>
          <w:lang w:val="es-ES"/>
        </w:rPr>
        <w:t>Federal Bureau</w:t>
      </w:r>
      <w:r w:rsidR="00B314A5" w:rsidRPr="00B314A5">
        <w:rPr>
          <w:rFonts w:ascii="Arial" w:hAnsi="Arial" w:cs="Arial"/>
          <w:i/>
          <w:lang w:val="es-ES"/>
        </w:rPr>
        <w:t xml:space="preserve"> of </w:t>
      </w:r>
      <w:proofErr w:type="spellStart"/>
      <w:r w:rsidR="00B314A5" w:rsidRPr="00B314A5">
        <w:rPr>
          <w:rFonts w:ascii="Arial" w:hAnsi="Arial" w:cs="Arial"/>
          <w:i/>
          <w:lang w:val="es-ES"/>
        </w:rPr>
        <w:t>Investigation</w:t>
      </w:r>
      <w:proofErr w:type="spellEnd"/>
      <w:r w:rsidR="00B314A5">
        <w:rPr>
          <w:rFonts w:ascii="Arial" w:hAnsi="Arial" w:cs="Arial"/>
          <w:lang w:val="es-ES"/>
        </w:rPr>
        <w:t xml:space="preserve"> (</w:t>
      </w:r>
      <w:r>
        <w:rPr>
          <w:rFonts w:ascii="Arial" w:hAnsi="Arial" w:cs="Arial"/>
          <w:lang w:val="es-ES"/>
        </w:rPr>
        <w:t>FBI</w:t>
      </w:r>
      <w:r w:rsidR="00B314A5">
        <w:rPr>
          <w:rFonts w:ascii="Arial" w:hAnsi="Arial" w:cs="Arial"/>
          <w:lang w:val="es-ES"/>
        </w:rPr>
        <w:t>)</w:t>
      </w:r>
      <w:r w:rsidR="004B63ED">
        <w:rPr>
          <w:rFonts w:ascii="Arial" w:hAnsi="Arial" w:cs="Arial"/>
          <w:lang w:val="es-ES"/>
        </w:rPr>
        <w:t>, un informe que recopila reportes individuales de ciberataques sufridos por personas naturales y jurídicas</w:t>
      </w:r>
      <w:r w:rsidR="0001211A">
        <w:rPr>
          <w:rStyle w:val="FootnoteReference"/>
          <w:rFonts w:ascii="Arial" w:hAnsi="Arial" w:cs="Arial"/>
          <w:lang w:val="es-ES"/>
        </w:rPr>
        <w:footnoteReference w:id="1"/>
      </w:r>
      <w:r>
        <w:rPr>
          <w:rFonts w:ascii="Arial" w:hAnsi="Arial" w:cs="Arial"/>
          <w:lang w:val="es-ES"/>
        </w:rPr>
        <w:t xml:space="preserve">. </w:t>
      </w:r>
    </w:p>
    <w:p w14:paraId="7778FBBF" w14:textId="5BC9F8CD" w:rsidR="006236A8" w:rsidRDefault="006236A8" w:rsidP="006236A8">
      <w:pPr>
        <w:pStyle w:val="ListParagraph"/>
        <w:numPr>
          <w:ilvl w:val="0"/>
          <w:numId w:val="18"/>
        </w:numPr>
        <w:spacing w:before="360" w:line="360" w:lineRule="auto"/>
        <w:jc w:val="both"/>
        <w:rPr>
          <w:rFonts w:ascii="Arial" w:hAnsi="Arial" w:cs="Arial"/>
          <w:lang w:val="es-ES"/>
        </w:rPr>
      </w:pPr>
      <w:r>
        <w:rPr>
          <w:rFonts w:ascii="Arial" w:hAnsi="Arial" w:cs="Arial"/>
          <w:lang w:val="es-ES"/>
        </w:rPr>
        <w:t xml:space="preserve">Esta cifra representa solamente entre el 10-12% del impacto total real – el resto de los ataques y sus impactos no se reportan, según </w:t>
      </w:r>
      <w:r w:rsidR="004B63ED">
        <w:rPr>
          <w:rFonts w:ascii="Arial" w:hAnsi="Arial" w:cs="Arial"/>
          <w:lang w:val="es-ES"/>
        </w:rPr>
        <w:t xml:space="preserve">el Internet </w:t>
      </w:r>
      <w:proofErr w:type="spellStart"/>
      <w:r w:rsidR="004B63ED" w:rsidRPr="00B314A5">
        <w:rPr>
          <w:rFonts w:ascii="Arial" w:hAnsi="Arial" w:cs="Arial"/>
          <w:i/>
          <w:lang w:val="es-ES"/>
        </w:rPr>
        <w:t>Crime</w:t>
      </w:r>
      <w:proofErr w:type="spellEnd"/>
      <w:r w:rsidR="004B63ED" w:rsidRPr="00B314A5">
        <w:rPr>
          <w:rFonts w:ascii="Arial" w:hAnsi="Arial" w:cs="Arial"/>
          <w:i/>
          <w:lang w:val="es-ES"/>
        </w:rPr>
        <w:t xml:space="preserve"> </w:t>
      </w:r>
      <w:proofErr w:type="spellStart"/>
      <w:r w:rsidR="004B63ED" w:rsidRPr="00B314A5">
        <w:rPr>
          <w:rFonts w:ascii="Arial" w:hAnsi="Arial" w:cs="Arial"/>
          <w:i/>
          <w:lang w:val="es-ES"/>
        </w:rPr>
        <w:t>Complaint</w:t>
      </w:r>
      <w:proofErr w:type="spellEnd"/>
      <w:r w:rsidR="004B63ED" w:rsidRPr="00B314A5">
        <w:rPr>
          <w:rFonts w:ascii="Arial" w:hAnsi="Arial" w:cs="Arial"/>
          <w:i/>
          <w:lang w:val="es-ES"/>
        </w:rPr>
        <w:t xml:space="preserve"> Center</w:t>
      </w:r>
      <w:r w:rsidR="004B63ED">
        <w:rPr>
          <w:rFonts w:ascii="Arial" w:hAnsi="Arial" w:cs="Arial"/>
          <w:lang w:val="es-ES"/>
        </w:rPr>
        <w:t xml:space="preserve"> del FBI</w:t>
      </w:r>
      <w:r w:rsidR="004B63ED">
        <w:rPr>
          <w:rStyle w:val="FootnoteReference"/>
          <w:rFonts w:ascii="Arial" w:hAnsi="Arial" w:cs="Arial"/>
          <w:lang w:val="es-ES"/>
        </w:rPr>
        <w:footnoteReference w:id="2"/>
      </w:r>
      <w:r>
        <w:rPr>
          <w:rFonts w:ascii="Arial" w:hAnsi="Arial" w:cs="Arial"/>
          <w:lang w:val="es-ES"/>
        </w:rPr>
        <w:t>. Asumiendo que representa el 12% del total, el total real entonces sería de US</w:t>
      </w:r>
      <w:r w:rsidR="00B314A5">
        <w:rPr>
          <w:rFonts w:ascii="Arial" w:hAnsi="Arial" w:cs="Arial"/>
          <w:lang w:val="es-ES"/>
        </w:rPr>
        <w:t>$</w:t>
      </w:r>
      <w:r>
        <w:rPr>
          <w:rFonts w:ascii="Arial" w:hAnsi="Arial" w:cs="Arial"/>
          <w:lang w:val="es-ES"/>
        </w:rPr>
        <w:t>11</w:t>
      </w:r>
      <w:r w:rsidR="00B314A5">
        <w:rPr>
          <w:rFonts w:ascii="Arial" w:hAnsi="Arial" w:cs="Arial"/>
          <w:lang w:val="es-ES"/>
        </w:rPr>
        <w:t>,</w:t>
      </w:r>
      <w:r>
        <w:rPr>
          <w:rFonts w:ascii="Arial" w:hAnsi="Arial" w:cs="Arial"/>
          <w:lang w:val="es-ES"/>
        </w:rPr>
        <w:t>83</w:t>
      </w:r>
      <w:r w:rsidR="00B314A5">
        <w:rPr>
          <w:rFonts w:ascii="Arial" w:hAnsi="Arial" w:cs="Arial"/>
          <w:lang w:val="es-ES"/>
        </w:rPr>
        <w:t> </w:t>
      </w:r>
      <w:r>
        <w:rPr>
          <w:rFonts w:ascii="Arial" w:hAnsi="Arial" w:cs="Arial"/>
          <w:lang w:val="es-ES"/>
        </w:rPr>
        <w:t xml:space="preserve">mil millones. </w:t>
      </w:r>
    </w:p>
    <w:p w14:paraId="5B8B0432" w14:textId="47201309" w:rsidR="006236A8" w:rsidRDefault="00383AA3" w:rsidP="006236A8">
      <w:pPr>
        <w:pStyle w:val="ListParagraph"/>
        <w:numPr>
          <w:ilvl w:val="0"/>
          <w:numId w:val="18"/>
        </w:numPr>
        <w:spacing w:before="360" w:line="360" w:lineRule="auto"/>
        <w:jc w:val="both"/>
        <w:rPr>
          <w:rFonts w:ascii="Arial" w:hAnsi="Arial" w:cs="Arial"/>
          <w:lang w:val="es-ES"/>
        </w:rPr>
      </w:pPr>
      <w:r>
        <w:rPr>
          <w:rFonts w:ascii="Arial" w:hAnsi="Arial" w:cs="Arial"/>
          <w:lang w:val="es-ES"/>
        </w:rPr>
        <w:t>Se asume</w:t>
      </w:r>
      <w:r w:rsidR="006236A8">
        <w:rPr>
          <w:rFonts w:ascii="Arial" w:hAnsi="Arial" w:cs="Arial"/>
          <w:lang w:val="es-ES"/>
        </w:rPr>
        <w:t xml:space="preserve"> que </w:t>
      </w:r>
      <w:r>
        <w:rPr>
          <w:rFonts w:ascii="Arial" w:hAnsi="Arial" w:cs="Arial"/>
          <w:lang w:val="es-ES"/>
        </w:rPr>
        <w:t xml:space="preserve">el nivel de ataques </w:t>
      </w:r>
      <w:r w:rsidR="0018604E">
        <w:rPr>
          <w:rFonts w:ascii="Arial" w:hAnsi="Arial" w:cs="Arial"/>
          <w:lang w:val="es-ES"/>
        </w:rPr>
        <w:t xml:space="preserve">por país </w:t>
      </w:r>
      <w:r>
        <w:rPr>
          <w:rFonts w:ascii="Arial" w:hAnsi="Arial" w:cs="Arial"/>
          <w:lang w:val="es-ES"/>
        </w:rPr>
        <w:t>se mueve en función del tamaño de la economía</w:t>
      </w:r>
      <w:r w:rsidR="000D0E5E">
        <w:rPr>
          <w:rFonts w:ascii="Arial" w:hAnsi="Arial" w:cs="Arial"/>
          <w:lang w:val="es-ES"/>
        </w:rPr>
        <w:t xml:space="preserve">, lo cual sería consistente con un hallazgo de </w:t>
      </w:r>
      <w:proofErr w:type="spellStart"/>
      <w:r w:rsidR="000D0E5E" w:rsidRPr="00B314A5">
        <w:rPr>
          <w:rFonts w:ascii="Arial" w:hAnsi="Arial" w:cs="Arial"/>
          <w:i/>
          <w:lang w:val="es-ES"/>
        </w:rPr>
        <w:t>Ponemon</w:t>
      </w:r>
      <w:proofErr w:type="spellEnd"/>
      <w:r w:rsidR="000D0E5E" w:rsidRPr="00B314A5">
        <w:rPr>
          <w:rFonts w:ascii="Arial" w:hAnsi="Arial" w:cs="Arial"/>
          <w:i/>
          <w:lang w:val="es-ES"/>
        </w:rPr>
        <w:t>-Accenture</w:t>
      </w:r>
      <w:r w:rsidR="000D0E5E">
        <w:rPr>
          <w:rFonts w:ascii="Arial" w:hAnsi="Arial" w:cs="Arial"/>
          <w:lang w:val="es-ES"/>
        </w:rPr>
        <w:t xml:space="preserve"> sobre el nivel de ciberataques experimentado por empresas privadas</w:t>
      </w:r>
      <w:r w:rsidR="000D0E5E">
        <w:rPr>
          <w:rStyle w:val="FootnoteReference"/>
          <w:rFonts w:ascii="Arial" w:hAnsi="Arial" w:cs="Arial"/>
          <w:lang w:val="es-ES"/>
        </w:rPr>
        <w:footnoteReference w:id="3"/>
      </w:r>
      <w:r>
        <w:rPr>
          <w:rFonts w:ascii="Arial" w:hAnsi="Arial" w:cs="Arial"/>
          <w:lang w:val="es-ES"/>
        </w:rPr>
        <w:t>. Según cifras del Banco Mundial, el PIB de Uruguay es el 0</w:t>
      </w:r>
      <w:r w:rsidR="00B314A5">
        <w:rPr>
          <w:rFonts w:ascii="Arial" w:hAnsi="Arial" w:cs="Arial"/>
          <w:lang w:val="es-ES"/>
        </w:rPr>
        <w:t>,</w:t>
      </w:r>
      <w:r>
        <w:rPr>
          <w:rFonts w:ascii="Arial" w:hAnsi="Arial" w:cs="Arial"/>
          <w:lang w:val="es-ES"/>
        </w:rPr>
        <w:t>29% del PIB de Estados Unidos. Por tanto, el total impacto de los ciberataques en Uruguay sería el 0</w:t>
      </w:r>
      <w:r w:rsidR="00B314A5">
        <w:rPr>
          <w:rFonts w:ascii="Arial" w:hAnsi="Arial" w:cs="Arial"/>
          <w:lang w:val="es-ES"/>
        </w:rPr>
        <w:t>,</w:t>
      </w:r>
      <w:r>
        <w:rPr>
          <w:rFonts w:ascii="Arial" w:hAnsi="Arial" w:cs="Arial"/>
          <w:lang w:val="es-ES"/>
        </w:rPr>
        <w:t>29% del de Estados Unidos – US</w:t>
      </w:r>
      <w:r w:rsidR="00B314A5">
        <w:rPr>
          <w:rFonts w:ascii="Arial" w:hAnsi="Arial" w:cs="Arial"/>
          <w:lang w:val="es-ES"/>
        </w:rPr>
        <w:t>$</w:t>
      </w:r>
      <w:r>
        <w:rPr>
          <w:rFonts w:ascii="Arial" w:hAnsi="Arial" w:cs="Arial"/>
          <w:lang w:val="es-ES"/>
        </w:rPr>
        <w:t>34</w:t>
      </w:r>
      <w:r w:rsidR="00B314A5">
        <w:rPr>
          <w:rFonts w:ascii="Arial" w:hAnsi="Arial" w:cs="Arial"/>
          <w:lang w:val="es-ES"/>
        </w:rPr>
        <w:t>,</w:t>
      </w:r>
      <w:r>
        <w:rPr>
          <w:rFonts w:ascii="Arial" w:hAnsi="Arial" w:cs="Arial"/>
          <w:lang w:val="es-ES"/>
        </w:rPr>
        <w:t>27 millones</w:t>
      </w:r>
      <w:r w:rsidR="00B314A5">
        <w:rPr>
          <w:rStyle w:val="FootnoteReference"/>
          <w:rFonts w:ascii="Arial" w:hAnsi="Arial" w:cs="Arial"/>
          <w:lang w:val="es-ES"/>
        </w:rPr>
        <w:footnoteReference w:id="4"/>
      </w:r>
      <w:r>
        <w:rPr>
          <w:rFonts w:ascii="Arial" w:hAnsi="Arial" w:cs="Arial"/>
          <w:lang w:val="es-ES"/>
        </w:rPr>
        <w:t xml:space="preserve">. </w:t>
      </w:r>
    </w:p>
    <w:p w14:paraId="0DFEC6A8" w14:textId="1AEB380A" w:rsidR="004B63ED" w:rsidRDefault="004B63ED" w:rsidP="006236A8">
      <w:pPr>
        <w:pStyle w:val="ListParagraph"/>
        <w:numPr>
          <w:ilvl w:val="0"/>
          <w:numId w:val="18"/>
        </w:numPr>
        <w:spacing w:before="360" w:line="360" w:lineRule="auto"/>
        <w:jc w:val="both"/>
        <w:rPr>
          <w:rFonts w:ascii="Arial" w:hAnsi="Arial" w:cs="Arial"/>
          <w:lang w:val="es-ES"/>
        </w:rPr>
      </w:pPr>
      <w:r>
        <w:rPr>
          <w:rFonts w:ascii="Arial" w:hAnsi="Arial" w:cs="Arial"/>
          <w:lang w:val="es-ES"/>
        </w:rPr>
        <w:t>Para estimar el impacto económico de los ciberataques a los cuales estaría sujeto el gobierno, se escala por la proporción del PIB que representa el gasto público. El gasto público en Uruguay representa el 30% del PIB, lo cual significa que el impacto económico de los ciberataques al gobierno en el 2017 se ascendería al 30% de US</w:t>
      </w:r>
      <w:r w:rsidR="00B314A5">
        <w:rPr>
          <w:rFonts w:ascii="Arial" w:hAnsi="Arial" w:cs="Arial"/>
          <w:lang w:val="es-ES"/>
        </w:rPr>
        <w:t>$</w:t>
      </w:r>
      <w:r>
        <w:rPr>
          <w:rFonts w:ascii="Arial" w:hAnsi="Arial" w:cs="Arial"/>
          <w:lang w:val="es-ES"/>
        </w:rPr>
        <w:t>34</w:t>
      </w:r>
      <w:r w:rsidR="00477CB7">
        <w:rPr>
          <w:rFonts w:ascii="Arial" w:hAnsi="Arial" w:cs="Arial"/>
          <w:lang w:val="es-ES"/>
        </w:rPr>
        <w:t>,</w:t>
      </w:r>
      <w:r>
        <w:rPr>
          <w:rFonts w:ascii="Arial" w:hAnsi="Arial" w:cs="Arial"/>
          <w:lang w:val="es-ES"/>
        </w:rPr>
        <w:t>27 millones, o US</w:t>
      </w:r>
      <w:r w:rsidR="00B314A5">
        <w:rPr>
          <w:rFonts w:ascii="Arial" w:hAnsi="Arial" w:cs="Arial"/>
          <w:lang w:val="es-ES"/>
        </w:rPr>
        <w:t>$</w:t>
      </w:r>
      <w:r>
        <w:rPr>
          <w:rFonts w:ascii="Arial" w:hAnsi="Arial" w:cs="Arial"/>
          <w:lang w:val="es-ES"/>
        </w:rPr>
        <w:t>10</w:t>
      </w:r>
      <w:r w:rsidR="00B314A5">
        <w:rPr>
          <w:rFonts w:ascii="Arial" w:hAnsi="Arial" w:cs="Arial"/>
          <w:lang w:val="es-ES"/>
        </w:rPr>
        <w:t>,</w:t>
      </w:r>
      <w:r>
        <w:rPr>
          <w:rFonts w:ascii="Arial" w:hAnsi="Arial" w:cs="Arial"/>
          <w:lang w:val="es-ES"/>
        </w:rPr>
        <w:t xml:space="preserve">32 millones. </w:t>
      </w:r>
    </w:p>
    <w:p w14:paraId="78A59E7C" w14:textId="0BCA5AEE" w:rsidR="00C73E0D" w:rsidRDefault="004B63ED" w:rsidP="004B63ED">
      <w:pPr>
        <w:pStyle w:val="ListParagraph"/>
        <w:numPr>
          <w:ilvl w:val="0"/>
          <w:numId w:val="18"/>
        </w:numPr>
        <w:spacing w:before="360" w:line="360" w:lineRule="auto"/>
        <w:jc w:val="both"/>
        <w:rPr>
          <w:rFonts w:ascii="Arial" w:hAnsi="Arial" w:cs="Arial"/>
          <w:lang w:val="es-ES"/>
        </w:rPr>
      </w:pPr>
      <w:r>
        <w:rPr>
          <w:rFonts w:ascii="Arial" w:hAnsi="Arial" w:cs="Arial"/>
          <w:lang w:val="es-ES"/>
        </w:rPr>
        <w:t>Para estimar el impacto económico de los ciberataques al gobierno en 2019, se asume que la tasa anual de crecimiento del impacto en Uruguay sería igual a la tasa de incremento observada en Estados Unidos entre 2016 y 2017, que fue del 6</w:t>
      </w:r>
      <w:r w:rsidR="00B314A5">
        <w:rPr>
          <w:rFonts w:ascii="Arial" w:hAnsi="Arial" w:cs="Arial"/>
          <w:lang w:val="es-ES"/>
        </w:rPr>
        <w:t>,</w:t>
      </w:r>
      <w:r>
        <w:rPr>
          <w:rFonts w:ascii="Arial" w:hAnsi="Arial" w:cs="Arial"/>
          <w:lang w:val="es-ES"/>
        </w:rPr>
        <w:t>76%, según cifras del FBI</w:t>
      </w:r>
      <w:r w:rsidR="00B314A5">
        <w:rPr>
          <w:rStyle w:val="FootnoteReference"/>
          <w:rFonts w:ascii="Arial" w:hAnsi="Arial" w:cs="Arial"/>
          <w:lang w:val="es-ES"/>
        </w:rPr>
        <w:footnoteReference w:id="5"/>
      </w:r>
      <w:r>
        <w:rPr>
          <w:rFonts w:ascii="Arial" w:hAnsi="Arial" w:cs="Arial"/>
          <w:lang w:val="es-ES"/>
        </w:rPr>
        <w:t>. Por tanto el impacto económico en 2019 sería del US</w:t>
      </w:r>
      <w:r w:rsidR="00B314A5">
        <w:rPr>
          <w:rFonts w:ascii="Arial" w:hAnsi="Arial" w:cs="Arial"/>
          <w:lang w:val="es-ES"/>
        </w:rPr>
        <w:t>$</w:t>
      </w:r>
      <w:r>
        <w:rPr>
          <w:rFonts w:ascii="Arial" w:hAnsi="Arial" w:cs="Arial"/>
          <w:lang w:val="es-ES"/>
        </w:rPr>
        <w:t>11</w:t>
      </w:r>
      <w:r w:rsidR="00B314A5">
        <w:rPr>
          <w:rFonts w:ascii="Arial" w:hAnsi="Arial" w:cs="Arial"/>
          <w:lang w:val="es-ES"/>
        </w:rPr>
        <w:t>,</w:t>
      </w:r>
      <w:r>
        <w:rPr>
          <w:rFonts w:ascii="Arial" w:hAnsi="Arial" w:cs="Arial"/>
          <w:lang w:val="es-ES"/>
        </w:rPr>
        <w:t xml:space="preserve">77 millones, previo a </w:t>
      </w:r>
      <w:r w:rsidR="00C73E0D">
        <w:rPr>
          <w:rFonts w:ascii="Arial" w:hAnsi="Arial" w:cs="Arial"/>
          <w:lang w:val="es-ES"/>
        </w:rPr>
        <w:t>ajustes por nivel de exposición digital y nivel de capacidad de ciberseguridad</w:t>
      </w:r>
      <w:r>
        <w:rPr>
          <w:rFonts w:ascii="Arial" w:hAnsi="Arial" w:cs="Arial"/>
          <w:lang w:val="es-ES"/>
        </w:rPr>
        <w:t>.</w:t>
      </w:r>
    </w:p>
    <w:p w14:paraId="6CE3F6B0" w14:textId="4FF92653" w:rsidR="00C73E0D" w:rsidRDefault="00C73E0D" w:rsidP="004B63ED">
      <w:pPr>
        <w:pStyle w:val="ListParagraph"/>
        <w:numPr>
          <w:ilvl w:val="0"/>
          <w:numId w:val="18"/>
        </w:numPr>
        <w:spacing w:before="360" w:line="360" w:lineRule="auto"/>
        <w:jc w:val="both"/>
        <w:rPr>
          <w:rFonts w:ascii="Arial" w:hAnsi="Arial" w:cs="Arial"/>
          <w:lang w:val="es-ES"/>
        </w:rPr>
      </w:pPr>
      <w:r>
        <w:rPr>
          <w:rFonts w:ascii="Arial" w:hAnsi="Arial" w:cs="Arial"/>
          <w:lang w:val="es-ES"/>
        </w:rPr>
        <w:t>El total de US</w:t>
      </w:r>
      <w:r w:rsidR="00B314A5">
        <w:rPr>
          <w:rFonts w:ascii="Arial" w:hAnsi="Arial" w:cs="Arial"/>
          <w:lang w:val="es-ES"/>
        </w:rPr>
        <w:t>$</w:t>
      </w:r>
      <w:r>
        <w:rPr>
          <w:rFonts w:ascii="Arial" w:hAnsi="Arial" w:cs="Arial"/>
          <w:lang w:val="es-ES"/>
        </w:rPr>
        <w:t>11</w:t>
      </w:r>
      <w:r w:rsidR="00B82DDE">
        <w:rPr>
          <w:rFonts w:ascii="Arial" w:hAnsi="Arial" w:cs="Arial"/>
          <w:lang w:val="es-ES"/>
        </w:rPr>
        <w:t>,</w:t>
      </w:r>
      <w:r>
        <w:rPr>
          <w:rFonts w:ascii="Arial" w:hAnsi="Arial" w:cs="Arial"/>
          <w:lang w:val="es-ES"/>
        </w:rPr>
        <w:t xml:space="preserve">77 millones no considera que el gobierno de Uruguay, por ser menos digitalizado que el de Estados Unidos, está menos expuesto al cibercrimen. Para reflejar </w:t>
      </w:r>
      <w:r>
        <w:rPr>
          <w:rFonts w:ascii="Arial" w:hAnsi="Arial" w:cs="Arial"/>
          <w:lang w:val="es-ES"/>
        </w:rPr>
        <w:lastRenderedPageBreak/>
        <w:t>esta diferencia, se utiliza el Índice de Gobierno Electrónico de Naciones Unidas. En 2018, Estados Unidos tenía un puntaje de 0</w:t>
      </w:r>
      <w:r w:rsidR="00B82DDE">
        <w:rPr>
          <w:rFonts w:ascii="Arial" w:hAnsi="Arial" w:cs="Arial"/>
          <w:lang w:val="es-ES"/>
        </w:rPr>
        <w:t>,</w:t>
      </w:r>
      <w:r>
        <w:rPr>
          <w:rFonts w:ascii="Arial" w:hAnsi="Arial" w:cs="Arial"/>
          <w:lang w:val="es-ES"/>
        </w:rPr>
        <w:t>8769</w:t>
      </w:r>
      <w:r w:rsidR="00B82DDE">
        <w:rPr>
          <w:rFonts w:ascii="Arial" w:hAnsi="Arial" w:cs="Arial"/>
          <w:lang w:val="es-ES_tradnl"/>
        </w:rPr>
        <w:t>;</w:t>
      </w:r>
      <w:r>
        <w:rPr>
          <w:rFonts w:ascii="Arial" w:hAnsi="Arial" w:cs="Arial"/>
          <w:lang w:val="es-ES"/>
        </w:rPr>
        <w:t xml:space="preserve"> y Uruguay de </w:t>
      </w:r>
      <w:r w:rsidR="00B314A5">
        <w:rPr>
          <w:rFonts w:ascii="Arial" w:hAnsi="Arial" w:cs="Arial"/>
          <w:lang w:val="es-ES"/>
        </w:rPr>
        <w:t>0</w:t>
      </w:r>
      <w:r>
        <w:rPr>
          <w:rFonts w:ascii="Arial" w:hAnsi="Arial" w:cs="Arial"/>
          <w:lang w:val="es-ES"/>
        </w:rPr>
        <w:t>.7858</w:t>
      </w:r>
      <w:r w:rsidR="00B82DDE">
        <w:rPr>
          <w:rFonts w:ascii="Arial" w:hAnsi="Arial" w:cs="Arial"/>
          <w:lang w:val="es-ES"/>
        </w:rPr>
        <w:t>;</w:t>
      </w:r>
      <w:r>
        <w:rPr>
          <w:rFonts w:ascii="Arial" w:hAnsi="Arial" w:cs="Arial"/>
          <w:lang w:val="es-ES"/>
        </w:rPr>
        <w:t xml:space="preserve"> equivalente 89</w:t>
      </w:r>
      <w:r w:rsidR="00B314A5">
        <w:rPr>
          <w:rFonts w:ascii="Arial" w:hAnsi="Arial" w:cs="Arial"/>
          <w:lang w:val="es-ES"/>
        </w:rPr>
        <w:t>,</w:t>
      </w:r>
      <w:r>
        <w:rPr>
          <w:rFonts w:ascii="Arial" w:hAnsi="Arial" w:cs="Arial"/>
          <w:lang w:val="es-ES"/>
        </w:rPr>
        <w:t xml:space="preserve">61% del puntaje de Estados Unidos. Asumiendo que el nivel de ciberataques se mueve en función del nivel de exposición digital, incorporar este ajuste arrojaría un total de impacto económico de </w:t>
      </w:r>
      <w:r w:rsidR="00D0662D">
        <w:rPr>
          <w:rFonts w:ascii="Arial" w:hAnsi="Arial" w:cs="Arial"/>
          <w:lang w:val="es-ES"/>
        </w:rPr>
        <w:t>0</w:t>
      </w:r>
      <w:r w:rsidR="00B82DDE">
        <w:rPr>
          <w:rFonts w:ascii="Arial" w:hAnsi="Arial" w:cs="Arial"/>
          <w:lang w:val="es-ES"/>
        </w:rPr>
        <w:t>,</w:t>
      </w:r>
      <w:r>
        <w:rPr>
          <w:rFonts w:ascii="Arial" w:hAnsi="Arial" w:cs="Arial"/>
          <w:lang w:val="es-ES"/>
        </w:rPr>
        <w:t>8961*11</w:t>
      </w:r>
      <w:r w:rsidR="00B82DDE">
        <w:rPr>
          <w:rFonts w:ascii="Arial" w:hAnsi="Arial" w:cs="Arial"/>
          <w:lang w:val="es-ES"/>
        </w:rPr>
        <w:t>,</w:t>
      </w:r>
      <w:r>
        <w:rPr>
          <w:rFonts w:ascii="Arial" w:hAnsi="Arial" w:cs="Arial"/>
          <w:lang w:val="es-ES"/>
        </w:rPr>
        <w:t>77 = US</w:t>
      </w:r>
      <w:r w:rsidR="00B314A5">
        <w:rPr>
          <w:rFonts w:ascii="Arial" w:hAnsi="Arial" w:cs="Arial"/>
          <w:lang w:val="es-ES"/>
        </w:rPr>
        <w:t>$</w:t>
      </w:r>
      <w:r>
        <w:rPr>
          <w:rFonts w:ascii="Arial" w:hAnsi="Arial" w:cs="Arial"/>
          <w:lang w:val="es-ES"/>
        </w:rPr>
        <w:t>10</w:t>
      </w:r>
      <w:r w:rsidR="00B314A5">
        <w:rPr>
          <w:rFonts w:ascii="Arial" w:hAnsi="Arial" w:cs="Arial"/>
          <w:lang w:val="es-ES"/>
        </w:rPr>
        <w:t>,</w:t>
      </w:r>
      <w:r>
        <w:rPr>
          <w:rFonts w:ascii="Arial" w:hAnsi="Arial" w:cs="Arial"/>
          <w:lang w:val="es-ES"/>
        </w:rPr>
        <w:t xml:space="preserve">55 millones. </w:t>
      </w:r>
    </w:p>
    <w:p w14:paraId="29A74B1E" w14:textId="52022970" w:rsidR="004B63ED" w:rsidRDefault="00C73E0D" w:rsidP="004B63ED">
      <w:pPr>
        <w:pStyle w:val="ListParagraph"/>
        <w:numPr>
          <w:ilvl w:val="0"/>
          <w:numId w:val="18"/>
        </w:numPr>
        <w:spacing w:before="360" w:line="360" w:lineRule="auto"/>
        <w:jc w:val="both"/>
        <w:rPr>
          <w:rFonts w:ascii="Arial" w:hAnsi="Arial" w:cs="Arial"/>
          <w:lang w:val="es-ES"/>
        </w:rPr>
      </w:pPr>
      <w:r>
        <w:rPr>
          <w:rFonts w:ascii="Arial" w:hAnsi="Arial" w:cs="Arial"/>
          <w:lang w:val="es-ES"/>
        </w:rPr>
        <w:t xml:space="preserve">El último ajuste que se realiza para estimar el total del impacto económico sufrido por las instituciones públicas uruguayas en 2019 considera la diferencia en capacidad de ciberseguridad del gobierno de Estados Unidos versus el gobierno de Uruguay. Según informes de ciberseguridad de 2016 de </w:t>
      </w:r>
      <w:proofErr w:type="gramStart"/>
      <w:r>
        <w:rPr>
          <w:rFonts w:ascii="Arial" w:hAnsi="Arial" w:cs="Arial"/>
          <w:lang w:val="es-ES"/>
        </w:rPr>
        <w:t>OEA</w:t>
      </w:r>
      <w:proofErr w:type="gramEnd"/>
      <w:r>
        <w:rPr>
          <w:rFonts w:ascii="Arial" w:hAnsi="Arial" w:cs="Arial"/>
          <w:lang w:val="es-ES"/>
        </w:rPr>
        <w:t>-BID</w:t>
      </w:r>
      <w:r>
        <w:rPr>
          <w:rStyle w:val="FootnoteReference"/>
          <w:rFonts w:ascii="Arial" w:hAnsi="Arial" w:cs="Arial"/>
          <w:lang w:val="es-ES"/>
        </w:rPr>
        <w:footnoteReference w:id="6"/>
      </w:r>
      <w:r>
        <w:rPr>
          <w:rFonts w:ascii="Arial" w:hAnsi="Arial" w:cs="Arial"/>
          <w:lang w:val="es-ES"/>
        </w:rPr>
        <w:t xml:space="preserve">, Estados Unidos tenía un puntaje de 203 sobre 245 (déficit de 42 puntos), mientras Uruguay tenía un puntaje de 149 sobre 245 (déficit de 96 puntos). </w:t>
      </w:r>
      <w:r w:rsidR="00B87C9D">
        <w:rPr>
          <w:rFonts w:ascii="Arial" w:hAnsi="Arial" w:cs="Arial"/>
          <w:lang w:val="es-ES"/>
        </w:rPr>
        <w:t xml:space="preserve">Considerando esta mayor exposición a ciberataques por menor capacidad, el impacto económico para el gobierno de Uruguay sería de </w:t>
      </w:r>
      <w:r w:rsidR="00B87C9D" w:rsidRPr="00187413">
        <w:rPr>
          <w:rFonts w:ascii="Arial" w:hAnsi="Arial" w:cs="Arial"/>
          <w:lang w:val="es-ES"/>
        </w:rPr>
        <w:t>US</w:t>
      </w:r>
      <w:r w:rsidR="00B314A5">
        <w:rPr>
          <w:rFonts w:ascii="Arial" w:hAnsi="Arial" w:cs="Arial"/>
          <w:lang w:val="es-ES"/>
        </w:rPr>
        <w:t>$</w:t>
      </w:r>
      <w:r w:rsidR="00B87C9D" w:rsidRPr="00187413">
        <w:rPr>
          <w:rFonts w:ascii="Arial" w:hAnsi="Arial" w:cs="Arial"/>
          <w:lang w:val="es-ES"/>
        </w:rPr>
        <w:t>24.1 millones.</w:t>
      </w:r>
      <w:r w:rsidR="00B87C9D">
        <w:rPr>
          <w:rFonts w:ascii="Arial" w:hAnsi="Arial" w:cs="Arial"/>
          <w:lang w:val="es-ES"/>
        </w:rPr>
        <w:t xml:space="preserve"> Es monto que se utiliza como la línea de base para el impacto proyectado del proyecto. </w:t>
      </w:r>
    </w:p>
    <w:p w14:paraId="19DB8D53" w14:textId="707A5A19" w:rsidR="00B87C9D" w:rsidRDefault="00B87C9D" w:rsidP="004B63ED">
      <w:pPr>
        <w:pStyle w:val="ListParagraph"/>
        <w:numPr>
          <w:ilvl w:val="0"/>
          <w:numId w:val="18"/>
        </w:numPr>
        <w:spacing w:before="360" w:line="360" w:lineRule="auto"/>
        <w:jc w:val="both"/>
        <w:rPr>
          <w:rFonts w:ascii="Arial" w:hAnsi="Arial" w:cs="Arial"/>
          <w:lang w:val="es-ES"/>
        </w:rPr>
      </w:pPr>
      <w:r>
        <w:rPr>
          <w:rFonts w:ascii="Arial" w:hAnsi="Arial" w:cs="Arial"/>
          <w:lang w:val="es-ES"/>
        </w:rPr>
        <w:t>En el escenario sin proyecto, se asume que el impacto económico de los ciberataques se incrementaría en la misma tasa anual observada en Estados Unidos entre 2016 y 2017 citada arriba del 6</w:t>
      </w:r>
      <w:r w:rsidR="00B314A5">
        <w:rPr>
          <w:rFonts w:ascii="Arial" w:hAnsi="Arial" w:cs="Arial"/>
          <w:lang w:val="es-ES"/>
        </w:rPr>
        <w:t>,</w:t>
      </w:r>
      <w:r>
        <w:rPr>
          <w:rFonts w:ascii="Arial" w:hAnsi="Arial" w:cs="Arial"/>
          <w:lang w:val="es-ES"/>
        </w:rPr>
        <w:t xml:space="preserve">7%. </w:t>
      </w:r>
    </w:p>
    <w:p w14:paraId="7BCB68B9" w14:textId="45EBFF8F" w:rsidR="00B87C9D" w:rsidRDefault="00B87C9D" w:rsidP="004B63ED">
      <w:pPr>
        <w:pStyle w:val="ListParagraph"/>
        <w:numPr>
          <w:ilvl w:val="0"/>
          <w:numId w:val="18"/>
        </w:numPr>
        <w:spacing w:before="360" w:line="360" w:lineRule="auto"/>
        <w:jc w:val="both"/>
        <w:rPr>
          <w:rFonts w:ascii="Arial" w:hAnsi="Arial" w:cs="Arial"/>
          <w:lang w:val="es-ES"/>
        </w:rPr>
      </w:pPr>
      <w:r>
        <w:rPr>
          <w:rFonts w:ascii="Arial" w:hAnsi="Arial" w:cs="Arial"/>
          <w:lang w:val="es-ES"/>
        </w:rPr>
        <w:t xml:space="preserve">En el escenario </w:t>
      </w:r>
      <w:r w:rsidR="00187413">
        <w:rPr>
          <w:rFonts w:ascii="Arial" w:hAnsi="Arial" w:cs="Arial"/>
          <w:lang w:val="es-ES"/>
        </w:rPr>
        <w:t xml:space="preserve">base </w:t>
      </w:r>
      <w:r>
        <w:rPr>
          <w:rFonts w:ascii="Arial" w:hAnsi="Arial" w:cs="Arial"/>
          <w:lang w:val="es-ES"/>
        </w:rPr>
        <w:t>con proyecto, se asume que</w:t>
      </w:r>
      <w:r w:rsidR="00D5541C">
        <w:rPr>
          <w:rFonts w:ascii="Arial" w:hAnsi="Arial" w:cs="Arial"/>
          <w:lang w:val="es-ES"/>
        </w:rPr>
        <w:t>,</w:t>
      </w:r>
      <w:r>
        <w:rPr>
          <w:rFonts w:ascii="Arial" w:hAnsi="Arial" w:cs="Arial"/>
          <w:lang w:val="es-ES"/>
        </w:rPr>
        <w:t xml:space="preserve"> para el final de la ejecución en 2023, </w:t>
      </w:r>
      <w:r w:rsidR="00D5541C">
        <w:rPr>
          <w:rFonts w:ascii="Arial" w:hAnsi="Arial" w:cs="Arial"/>
          <w:lang w:val="es-ES"/>
        </w:rPr>
        <w:t>se podr</w:t>
      </w:r>
      <w:r w:rsidR="0043411A">
        <w:rPr>
          <w:rFonts w:ascii="Arial" w:hAnsi="Arial" w:cs="Arial"/>
          <w:lang w:val="es-ES"/>
        </w:rPr>
        <w:t>á</w:t>
      </w:r>
      <w:r w:rsidR="00D5541C">
        <w:rPr>
          <w:rFonts w:ascii="Arial" w:hAnsi="Arial" w:cs="Arial"/>
          <w:lang w:val="es-ES"/>
        </w:rPr>
        <w:t xml:space="preserve"> evitar un </w:t>
      </w:r>
      <w:r w:rsidR="0043411A">
        <w:rPr>
          <w:rFonts w:ascii="Arial" w:hAnsi="Arial" w:cs="Arial"/>
          <w:lang w:val="es-ES"/>
        </w:rPr>
        <w:t>30</w:t>
      </w:r>
      <w:r w:rsidR="00D5541C">
        <w:rPr>
          <w:rFonts w:ascii="Arial" w:hAnsi="Arial" w:cs="Arial"/>
          <w:lang w:val="es-ES"/>
        </w:rPr>
        <w:t xml:space="preserve">% de los impactos económicos </w:t>
      </w:r>
      <w:r w:rsidR="0043411A">
        <w:rPr>
          <w:rFonts w:ascii="Arial" w:hAnsi="Arial" w:cs="Arial"/>
          <w:lang w:val="es-ES"/>
        </w:rPr>
        <w:t xml:space="preserve">que se hubieran sufrido </w:t>
      </w:r>
      <w:r w:rsidR="00D5541C">
        <w:rPr>
          <w:rFonts w:ascii="Arial" w:hAnsi="Arial" w:cs="Arial"/>
          <w:lang w:val="es-ES"/>
        </w:rPr>
        <w:t>gracias al aumento en capacidad de ciberseguridad. Este supuesto se considera conservador ya que la cobertura del monitoreo</w:t>
      </w:r>
      <w:r w:rsidR="0043411A">
        <w:rPr>
          <w:rFonts w:ascii="Arial" w:hAnsi="Arial" w:cs="Arial"/>
          <w:lang w:val="es-ES"/>
        </w:rPr>
        <w:t xml:space="preserve"> cibernético</w:t>
      </w:r>
      <w:r w:rsidR="00D5541C">
        <w:rPr>
          <w:rFonts w:ascii="Arial" w:hAnsi="Arial" w:cs="Arial"/>
          <w:lang w:val="es-ES"/>
        </w:rPr>
        <w:t xml:space="preserve"> interno de las instituciones públicas pasará de dos (Presidencia y Ministerio del Interior) a 17</w:t>
      </w:r>
      <w:r w:rsidR="001904F6">
        <w:rPr>
          <w:rFonts w:ascii="Arial" w:hAnsi="Arial" w:cs="Arial"/>
          <w:lang w:val="es-ES"/>
        </w:rPr>
        <w:t>, además del fortalecimiento de la capacidad en monitoreo perimetral de todas las instituciones públicas</w:t>
      </w:r>
      <w:r w:rsidR="00D5541C">
        <w:rPr>
          <w:rFonts w:ascii="Arial" w:hAnsi="Arial" w:cs="Arial"/>
          <w:lang w:val="es-ES"/>
        </w:rPr>
        <w:t xml:space="preserve">. </w:t>
      </w:r>
    </w:p>
    <w:p w14:paraId="18492C78" w14:textId="47B582D5" w:rsidR="00187413" w:rsidRDefault="00187413" w:rsidP="004B63ED">
      <w:pPr>
        <w:pStyle w:val="ListParagraph"/>
        <w:numPr>
          <w:ilvl w:val="0"/>
          <w:numId w:val="18"/>
        </w:numPr>
        <w:spacing w:before="360" w:line="360" w:lineRule="auto"/>
        <w:jc w:val="both"/>
        <w:rPr>
          <w:rFonts w:ascii="Arial" w:hAnsi="Arial" w:cs="Arial"/>
          <w:lang w:val="es-ES"/>
        </w:rPr>
      </w:pPr>
      <w:r>
        <w:rPr>
          <w:rFonts w:ascii="Arial" w:hAnsi="Arial" w:cs="Arial"/>
          <w:lang w:val="es-ES"/>
        </w:rPr>
        <w:t xml:space="preserve">Se asume que la misma tasa de prevención del 30% se mantendrá durante todo el periodo de análisis. </w:t>
      </w:r>
    </w:p>
    <w:p w14:paraId="449AF404" w14:textId="77777777" w:rsidR="001904F6" w:rsidRPr="004B63ED" w:rsidRDefault="001904F6" w:rsidP="001904F6">
      <w:pPr>
        <w:pStyle w:val="ListParagraph"/>
        <w:spacing w:before="360" w:line="360" w:lineRule="auto"/>
        <w:jc w:val="both"/>
        <w:rPr>
          <w:rFonts w:ascii="Arial" w:hAnsi="Arial" w:cs="Arial"/>
          <w:lang w:val="es-ES"/>
        </w:rPr>
      </w:pPr>
    </w:p>
    <w:p w14:paraId="7FB2C1F9" w14:textId="2759C2C3" w:rsidR="001904F6" w:rsidRPr="00757E71" w:rsidRDefault="001904F6" w:rsidP="00216C43">
      <w:pPr>
        <w:pStyle w:val="ListParagraph"/>
        <w:numPr>
          <w:ilvl w:val="1"/>
          <w:numId w:val="5"/>
        </w:numPr>
        <w:spacing w:before="360" w:line="360" w:lineRule="auto"/>
        <w:ind w:hanging="720"/>
        <w:jc w:val="both"/>
        <w:rPr>
          <w:rFonts w:ascii="Arial" w:hAnsi="Arial" w:cs="Arial"/>
          <w:lang w:val="es-ES"/>
        </w:rPr>
      </w:pPr>
      <w:r w:rsidRPr="00757E71">
        <w:rPr>
          <w:rFonts w:ascii="Arial" w:hAnsi="Arial" w:cs="Arial"/>
          <w:b/>
          <w:lang w:val="es-ES"/>
        </w:rPr>
        <w:t>Aumento en actividad económica gracias a la formación de profesionales en ciberseguridad</w:t>
      </w:r>
      <w:r w:rsidR="00757E71" w:rsidRPr="00757E71">
        <w:rPr>
          <w:rFonts w:ascii="Arial" w:hAnsi="Arial" w:cs="Arial"/>
          <w:b/>
          <w:lang w:val="es-ES"/>
        </w:rPr>
        <w:t>.</w:t>
      </w:r>
      <w:r w:rsidRPr="00757E71">
        <w:rPr>
          <w:rFonts w:ascii="Arial" w:hAnsi="Arial" w:cs="Arial"/>
          <w:lang w:val="es-ES"/>
        </w:rPr>
        <w:t xml:space="preserve"> Los </w:t>
      </w:r>
      <w:r w:rsidR="00757E71">
        <w:rPr>
          <w:rFonts w:ascii="Arial" w:hAnsi="Arial" w:cs="Arial"/>
          <w:lang w:val="es-ES"/>
        </w:rPr>
        <w:t>C</w:t>
      </w:r>
      <w:r w:rsidRPr="00757E71">
        <w:rPr>
          <w:rFonts w:ascii="Arial" w:hAnsi="Arial" w:cs="Arial"/>
          <w:lang w:val="es-ES"/>
        </w:rPr>
        <w:t xml:space="preserve">omponentes 2 y 3 del </w:t>
      </w:r>
      <w:r w:rsidR="00757E71">
        <w:rPr>
          <w:rFonts w:ascii="Arial" w:hAnsi="Arial" w:cs="Arial"/>
          <w:lang w:val="es-ES"/>
        </w:rPr>
        <w:t>p</w:t>
      </w:r>
      <w:r w:rsidRPr="00757E71">
        <w:rPr>
          <w:rFonts w:ascii="Arial" w:hAnsi="Arial" w:cs="Arial"/>
          <w:lang w:val="es-ES"/>
        </w:rPr>
        <w:t xml:space="preserve">rograma se concentran en la formación de profesionales en ciberseguridad. Esta formación atenderá una demanda tanto inmediata como proyectada, tanto </w:t>
      </w:r>
      <w:r w:rsidR="005B445B" w:rsidRPr="00757E71">
        <w:rPr>
          <w:rFonts w:ascii="Arial" w:hAnsi="Arial" w:cs="Arial"/>
          <w:lang w:val="es-ES"/>
        </w:rPr>
        <w:t xml:space="preserve">doméstica </w:t>
      </w:r>
      <w:r w:rsidRPr="00757E71">
        <w:rPr>
          <w:rFonts w:ascii="Arial" w:hAnsi="Arial" w:cs="Arial"/>
          <w:lang w:val="es-ES"/>
        </w:rPr>
        <w:t xml:space="preserve">como internacional. </w:t>
      </w:r>
      <w:r w:rsidR="002C22C4" w:rsidRPr="00757E71">
        <w:rPr>
          <w:rFonts w:ascii="Arial" w:hAnsi="Arial" w:cs="Arial"/>
          <w:lang w:val="es-ES"/>
        </w:rPr>
        <w:t xml:space="preserve">El beneficio que se contabiliza es la diferencia en términos de valor de ventas que harían los profesionales capacitados con la formación en ciberseguridad versus lo que harían si vendieran servicios de programación informática. </w:t>
      </w:r>
    </w:p>
    <w:p w14:paraId="71855DAB" w14:textId="7B0DDAEB" w:rsidR="001904F6" w:rsidRDefault="001904F6" w:rsidP="001904F6">
      <w:pPr>
        <w:pStyle w:val="ListParagraph"/>
        <w:numPr>
          <w:ilvl w:val="0"/>
          <w:numId w:val="19"/>
        </w:numPr>
        <w:spacing w:before="360" w:line="360" w:lineRule="auto"/>
        <w:jc w:val="both"/>
        <w:rPr>
          <w:rFonts w:ascii="Arial" w:hAnsi="Arial" w:cs="Arial"/>
          <w:lang w:val="es-ES"/>
        </w:rPr>
      </w:pPr>
      <w:r w:rsidRPr="001904F6">
        <w:rPr>
          <w:rFonts w:ascii="Arial" w:hAnsi="Arial" w:cs="Arial"/>
          <w:lang w:val="es-ES"/>
        </w:rPr>
        <w:lastRenderedPageBreak/>
        <w:t>En lo inmediato</w:t>
      </w:r>
      <w:r>
        <w:rPr>
          <w:rFonts w:ascii="Arial" w:hAnsi="Arial" w:cs="Arial"/>
          <w:lang w:val="es-ES"/>
        </w:rPr>
        <w:t xml:space="preserve"> y doméstico</w:t>
      </w:r>
      <w:r w:rsidRPr="001904F6">
        <w:rPr>
          <w:rFonts w:ascii="Arial" w:hAnsi="Arial" w:cs="Arial"/>
          <w:lang w:val="es-ES"/>
        </w:rPr>
        <w:t xml:space="preserve">, según una consultoría realizada para la AGESIC por la empresa de ciberseguridad israelí </w:t>
      </w:r>
      <w:proofErr w:type="spellStart"/>
      <w:r w:rsidRPr="001904F6">
        <w:rPr>
          <w:rFonts w:ascii="Arial" w:hAnsi="Arial" w:cs="Arial"/>
          <w:lang w:val="es-ES"/>
        </w:rPr>
        <w:t>Avnet</w:t>
      </w:r>
      <w:proofErr w:type="spellEnd"/>
      <w:r w:rsidRPr="001904F6">
        <w:rPr>
          <w:rFonts w:ascii="Arial" w:hAnsi="Arial" w:cs="Arial"/>
          <w:lang w:val="es-ES"/>
        </w:rPr>
        <w:t xml:space="preserve">, hay una necesidad de </w:t>
      </w:r>
      <w:r w:rsidR="00707037">
        <w:rPr>
          <w:rFonts w:ascii="Arial" w:hAnsi="Arial" w:cs="Arial"/>
          <w:lang w:val="es-ES"/>
        </w:rPr>
        <w:t>600</w:t>
      </w:r>
      <w:r w:rsidRPr="001904F6">
        <w:rPr>
          <w:rFonts w:ascii="Arial" w:hAnsi="Arial" w:cs="Arial"/>
          <w:lang w:val="es-ES"/>
        </w:rPr>
        <w:t xml:space="preserve"> profesionales en ciberseguridad en Uruguay. </w:t>
      </w:r>
    </w:p>
    <w:p w14:paraId="155DA1FD" w14:textId="2E223620" w:rsidR="001904F6" w:rsidRDefault="001904F6" w:rsidP="001904F6">
      <w:pPr>
        <w:pStyle w:val="ListParagraph"/>
        <w:numPr>
          <w:ilvl w:val="0"/>
          <w:numId w:val="19"/>
        </w:numPr>
        <w:spacing w:before="360" w:line="360" w:lineRule="auto"/>
        <w:jc w:val="both"/>
        <w:rPr>
          <w:rFonts w:ascii="Arial" w:hAnsi="Arial" w:cs="Arial"/>
          <w:lang w:val="es-ES"/>
        </w:rPr>
      </w:pPr>
      <w:r>
        <w:rPr>
          <w:rFonts w:ascii="Arial" w:hAnsi="Arial" w:cs="Arial"/>
          <w:lang w:val="es-ES"/>
        </w:rPr>
        <w:t>Las tendencias recientes sugieren que habrá un aumento constante en la necesidad de profesionales en ciberseguridad. Por ejemplo, el sector TIC en Uruguay ha registrado un crecimiento anual típicamente alrededor del 12% (</w:t>
      </w:r>
      <w:r w:rsidR="00B97065">
        <w:rPr>
          <w:rFonts w:ascii="Arial" w:hAnsi="Arial" w:cs="Arial"/>
          <w:lang w:val="es-ES"/>
        </w:rPr>
        <w:t>11</w:t>
      </w:r>
      <w:r w:rsidR="00EB5F70">
        <w:rPr>
          <w:rFonts w:ascii="Arial" w:hAnsi="Arial" w:cs="Arial"/>
          <w:lang w:val="es-ES"/>
        </w:rPr>
        <w:t>,</w:t>
      </w:r>
      <w:r w:rsidR="00B97065">
        <w:rPr>
          <w:rFonts w:ascii="Arial" w:hAnsi="Arial" w:cs="Arial"/>
          <w:lang w:val="es-ES"/>
        </w:rPr>
        <w:t>55% en el periodo 2007-2017, según la Cámara Uruguaya de Tecnologías de la Información</w:t>
      </w:r>
      <w:r w:rsidR="00EB5F70">
        <w:rPr>
          <w:rFonts w:ascii="Arial" w:hAnsi="Arial" w:cs="Arial"/>
          <w:lang w:val="es-ES"/>
        </w:rPr>
        <w:t xml:space="preserve"> (CUTI)</w:t>
      </w:r>
      <w:r w:rsidR="00B97065">
        <w:rPr>
          <w:rStyle w:val="FootnoteReference"/>
          <w:rFonts w:ascii="Arial" w:hAnsi="Arial" w:cs="Arial"/>
          <w:lang w:val="es-ES"/>
        </w:rPr>
        <w:footnoteReference w:id="7"/>
      </w:r>
      <w:r>
        <w:rPr>
          <w:rFonts w:ascii="Arial" w:hAnsi="Arial" w:cs="Arial"/>
          <w:lang w:val="es-ES"/>
        </w:rPr>
        <w:t>).</w:t>
      </w:r>
      <w:r w:rsidR="00362A1D">
        <w:rPr>
          <w:rFonts w:ascii="Arial" w:hAnsi="Arial" w:cs="Arial"/>
          <w:lang w:val="es-ES"/>
        </w:rPr>
        <w:t xml:space="preserve"> </w:t>
      </w:r>
      <w:r>
        <w:rPr>
          <w:rFonts w:ascii="Arial" w:hAnsi="Arial" w:cs="Arial"/>
          <w:lang w:val="es-ES"/>
        </w:rPr>
        <w:t xml:space="preserve">En el mismo sentido, el estudio de </w:t>
      </w:r>
      <w:proofErr w:type="spellStart"/>
      <w:r>
        <w:rPr>
          <w:rFonts w:ascii="Arial" w:hAnsi="Arial" w:cs="Arial"/>
          <w:lang w:val="es-ES"/>
        </w:rPr>
        <w:t>Avnet</w:t>
      </w:r>
      <w:proofErr w:type="spellEnd"/>
      <w:r>
        <w:rPr>
          <w:rFonts w:ascii="Arial" w:hAnsi="Arial" w:cs="Arial"/>
          <w:lang w:val="es-ES"/>
        </w:rPr>
        <w:t xml:space="preserve"> demuestra que, a nivel Latinoamericano, el mercado de capacitación en ciberseguridad tiene una tasa de crecimiento prevista de más del 1</w:t>
      </w:r>
      <w:r w:rsidR="00B97065">
        <w:rPr>
          <w:rFonts w:ascii="Arial" w:hAnsi="Arial" w:cs="Arial"/>
          <w:lang w:val="es-ES"/>
        </w:rPr>
        <w:t>5</w:t>
      </w:r>
      <w:r w:rsidR="00EB5F70">
        <w:rPr>
          <w:rFonts w:ascii="Arial" w:hAnsi="Arial" w:cs="Arial"/>
          <w:lang w:val="es-ES"/>
        </w:rPr>
        <w:t>,</w:t>
      </w:r>
      <w:r w:rsidR="00B97065">
        <w:rPr>
          <w:rFonts w:ascii="Arial" w:hAnsi="Arial" w:cs="Arial"/>
          <w:lang w:val="es-ES"/>
        </w:rPr>
        <w:t>4%</w:t>
      </w:r>
      <w:r w:rsidR="00914480">
        <w:rPr>
          <w:rFonts w:ascii="Arial" w:hAnsi="Arial" w:cs="Arial"/>
          <w:lang w:val="es-ES"/>
        </w:rPr>
        <w:t xml:space="preserve"> anual</w:t>
      </w:r>
      <w:r w:rsidR="00B97065">
        <w:rPr>
          <w:rFonts w:ascii="Arial" w:hAnsi="Arial" w:cs="Arial"/>
          <w:lang w:val="es-ES"/>
        </w:rPr>
        <w:t xml:space="preserve">. </w:t>
      </w:r>
      <w:r>
        <w:rPr>
          <w:rFonts w:ascii="Arial" w:hAnsi="Arial" w:cs="Arial"/>
          <w:lang w:val="es-ES"/>
        </w:rPr>
        <w:t xml:space="preserve"> </w:t>
      </w:r>
    </w:p>
    <w:p w14:paraId="63E61EB0" w14:textId="7C96A7FE" w:rsidR="001904F6" w:rsidRDefault="001904F6" w:rsidP="001904F6">
      <w:pPr>
        <w:pStyle w:val="ListParagraph"/>
        <w:numPr>
          <w:ilvl w:val="0"/>
          <w:numId w:val="19"/>
        </w:numPr>
        <w:spacing w:before="360" w:line="360" w:lineRule="auto"/>
        <w:jc w:val="both"/>
        <w:rPr>
          <w:rFonts w:ascii="Arial" w:hAnsi="Arial" w:cs="Arial"/>
          <w:lang w:val="es-ES"/>
        </w:rPr>
      </w:pPr>
      <w:r>
        <w:rPr>
          <w:rFonts w:ascii="Arial" w:hAnsi="Arial" w:cs="Arial"/>
          <w:lang w:val="es-ES"/>
        </w:rPr>
        <w:t xml:space="preserve">A nivel regional, </w:t>
      </w:r>
      <w:r w:rsidR="002C22C4">
        <w:rPr>
          <w:rFonts w:ascii="Arial" w:hAnsi="Arial" w:cs="Arial"/>
          <w:lang w:val="es-ES"/>
        </w:rPr>
        <w:t xml:space="preserve">hay una brecha sustancial de profesionales en ciberseguridad: </w:t>
      </w:r>
      <w:proofErr w:type="spellStart"/>
      <w:r w:rsidR="002C22C4">
        <w:rPr>
          <w:rFonts w:ascii="Arial" w:hAnsi="Arial" w:cs="Arial"/>
          <w:lang w:val="es-ES"/>
        </w:rPr>
        <w:t>Avnet</w:t>
      </w:r>
      <w:proofErr w:type="spellEnd"/>
      <w:r w:rsidR="002C22C4">
        <w:rPr>
          <w:rFonts w:ascii="Arial" w:hAnsi="Arial" w:cs="Arial"/>
          <w:lang w:val="es-ES"/>
        </w:rPr>
        <w:t xml:space="preserve"> estima que hacen falta más de </w:t>
      </w:r>
      <w:r w:rsidR="00B97065">
        <w:rPr>
          <w:rFonts w:ascii="Arial" w:hAnsi="Arial" w:cs="Arial"/>
          <w:lang w:val="es-ES"/>
        </w:rPr>
        <w:t>20</w:t>
      </w:r>
      <w:r w:rsidR="00EB5F70">
        <w:rPr>
          <w:rFonts w:ascii="Arial" w:hAnsi="Arial" w:cs="Arial"/>
          <w:lang w:val="es-ES"/>
        </w:rPr>
        <w:t>.</w:t>
      </w:r>
      <w:r w:rsidR="00B97065">
        <w:rPr>
          <w:rFonts w:ascii="Arial" w:hAnsi="Arial" w:cs="Arial"/>
          <w:lang w:val="es-ES"/>
        </w:rPr>
        <w:t>000</w:t>
      </w:r>
      <w:r w:rsidR="002C22C4">
        <w:rPr>
          <w:rFonts w:ascii="Arial" w:hAnsi="Arial" w:cs="Arial"/>
          <w:lang w:val="es-ES"/>
        </w:rPr>
        <w:t xml:space="preserve"> profesionales en América Latina. Esto, a su vez, es indicativo de un mercado potencial de venta de servicios de ciberseguridad de empresas uruguayas a países latinoamericanos. </w:t>
      </w:r>
      <w:r w:rsidR="002D46C1">
        <w:rPr>
          <w:rFonts w:ascii="Arial" w:hAnsi="Arial" w:cs="Arial"/>
          <w:lang w:val="es-ES"/>
        </w:rPr>
        <w:t>(I</w:t>
      </w:r>
      <w:r w:rsidR="00EB5F70">
        <w:rPr>
          <w:rFonts w:ascii="Arial" w:hAnsi="Arial" w:cs="Arial"/>
          <w:lang w:val="es-ES"/>
        </w:rPr>
        <w:t>SC</w:t>
      </w:r>
      <w:r w:rsidR="002D46C1">
        <w:rPr>
          <w:rFonts w:ascii="Arial" w:hAnsi="Arial" w:cs="Arial"/>
          <w:lang w:val="es-ES"/>
        </w:rPr>
        <w:t>)</w:t>
      </w:r>
      <w:r w:rsidR="00EB5F70">
        <w:rPr>
          <w:rFonts w:ascii="Arial" w:hAnsi="Arial" w:cs="Arial"/>
          <w:lang w:val="es-ES"/>
        </w:rPr>
        <w:t>²</w:t>
      </w:r>
      <w:r w:rsidR="002D46C1">
        <w:rPr>
          <w:rFonts w:ascii="Arial" w:hAnsi="Arial" w:cs="Arial"/>
          <w:lang w:val="es-ES"/>
        </w:rPr>
        <w:t xml:space="preserve">, una asociación profesional de </w:t>
      </w:r>
      <w:r w:rsidR="00EB5F70">
        <w:rPr>
          <w:rFonts w:ascii="Arial" w:hAnsi="Arial" w:cs="Arial"/>
          <w:lang w:val="es-ES"/>
        </w:rPr>
        <w:t>ciberseguridad</w:t>
      </w:r>
      <w:r w:rsidR="002D46C1">
        <w:rPr>
          <w:rFonts w:ascii="Arial" w:hAnsi="Arial" w:cs="Arial"/>
          <w:lang w:val="es-ES"/>
        </w:rPr>
        <w:t xml:space="preserve"> calcula el déficit en </w:t>
      </w:r>
      <w:r w:rsidR="00914480">
        <w:rPr>
          <w:rFonts w:ascii="Arial" w:hAnsi="Arial" w:cs="Arial"/>
          <w:lang w:val="es-ES"/>
        </w:rPr>
        <w:t>l</w:t>
      </w:r>
      <w:r w:rsidR="00707037">
        <w:rPr>
          <w:rFonts w:ascii="Arial" w:hAnsi="Arial" w:cs="Arial"/>
          <w:lang w:val="es-ES"/>
        </w:rPr>
        <w:t xml:space="preserve">a combinación de la necesidad doméstica y el mercado internacional, teniendo en cuenta la falta de oferta de formación en otros países latinoamericanos, </w:t>
      </w:r>
      <w:r w:rsidR="002D46C1">
        <w:rPr>
          <w:rFonts w:ascii="Arial" w:hAnsi="Arial" w:cs="Arial"/>
          <w:lang w:val="es-ES"/>
        </w:rPr>
        <w:t>136</w:t>
      </w:r>
      <w:r w:rsidR="00EB5F70">
        <w:rPr>
          <w:rFonts w:ascii="Arial" w:hAnsi="Arial" w:cs="Arial"/>
          <w:lang w:val="es-ES"/>
        </w:rPr>
        <w:t>.</w:t>
      </w:r>
      <w:r w:rsidR="002D46C1">
        <w:rPr>
          <w:rFonts w:ascii="Arial" w:hAnsi="Arial" w:cs="Arial"/>
          <w:lang w:val="es-ES"/>
        </w:rPr>
        <w:t>000 profesionales a nivel regional</w:t>
      </w:r>
      <w:r w:rsidR="00EB5F70">
        <w:rPr>
          <w:rStyle w:val="FootnoteReference"/>
          <w:rFonts w:ascii="Arial" w:hAnsi="Arial" w:cs="Arial"/>
          <w:lang w:val="es-ES"/>
        </w:rPr>
        <w:footnoteReference w:id="8"/>
      </w:r>
      <w:r w:rsidR="002D46C1">
        <w:rPr>
          <w:rFonts w:ascii="Arial" w:hAnsi="Arial" w:cs="Arial"/>
          <w:lang w:val="es-ES"/>
        </w:rPr>
        <w:t xml:space="preserve">. Esto </w:t>
      </w:r>
      <w:r w:rsidR="00707037">
        <w:rPr>
          <w:rFonts w:ascii="Arial" w:hAnsi="Arial" w:cs="Arial"/>
          <w:lang w:val="es-ES"/>
        </w:rPr>
        <w:t xml:space="preserve">sugiere que el potencial de absorción en el mercado de los profesionales formados en ciberseguridad es casi ilimitado. </w:t>
      </w:r>
    </w:p>
    <w:p w14:paraId="35FA5816" w14:textId="2C036C4B" w:rsidR="000D0E5E" w:rsidRDefault="000D0E5E" w:rsidP="001904F6">
      <w:pPr>
        <w:pStyle w:val="ListParagraph"/>
        <w:numPr>
          <w:ilvl w:val="0"/>
          <w:numId w:val="19"/>
        </w:numPr>
        <w:spacing w:before="360" w:line="360" w:lineRule="auto"/>
        <w:jc w:val="both"/>
        <w:rPr>
          <w:rFonts w:ascii="Arial" w:hAnsi="Arial" w:cs="Arial"/>
          <w:lang w:val="es-ES"/>
        </w:rPr>
      </w:pPr>
      <w:r>
        <w:rPr>
          <w:rFonts w:ascii="Arial" w:hAnsi="Arial" w:cs="Arial"/>
          <w:lang w:val="es-ES"/>
        </w:rPr>
        <w:t xml:space="preserve">Según oficiales de la Cámara Uruguaya de Tecnologías de la Información, </w:t>
      </w:r>
      <w:r w:rsidR="00D0662D">
        <w:rPr>
          <w:rFonts w:ascii="Arial" w:hAnsi="Arial" w:cs="Arial"/>
          <w:lang w:val="es-ES"/>
        </w:rPr>
        <w:t xml:space="preserve">los </w:t>
      </w:r>
      <w:r>
        <w:rPr>
          <w:rFonts w:ascii="Arial" w:hAnsi="Arial" w:cs="Arial"/>
          <w:lang w:val="es-ES"/>
        </w:rPr>
        <w:t xml:space="preserve">servicios de ciberseguridad se venden a un precio más alto que </w:t>
      </w:r>
      <w:r w:rsidR="00D0662D">
        <w:rPr>
          <w:rFonts w:ascii="Arial" w:hAnsi="Arial" w:cs="Arial"/>
          <w:lang w:val="es-ES"/>
        </w:rPr>
        <w:t xml:space="preserve">los </w:t>
      </w:r>
      <w:r>
        <w:rPr>
          <w:rFonts w:ascii="Arial" w:hAnsi="Arial" w:cs="Arial"/>
          <w:lang w:val="es-ES"/>
        </w:rPr>
        <w:t>servicios de programación</w:t>
      </w:r>
      <w:r w:rsidR="0051088A">
        <w:rPr>
          <w:rFonts w:ascii="Arial" w:hAnsi="Arial" w:cs="Arial"/>
          <w:lang w:val="es-ES"/>
        </w:rPr>
        <w:t xml:space="preserve"> – US</w:t>
      </w:r>
      <w:r w:rsidR="00EB5F70">
        <w:rPr>
          <w:rFonts w:ascii="Arial" w:hAnsi="Arial" w:cs="Arial"/>
          <w:lang w:val="es-ES"/>
        </w:rPr>
        <w:t>$</w:t>
      </w:r>
      <w:r w:rsidR="0051088A">
        <w:rPr>
          <w:rFonts w:ascii="Arial" w:hAnsi="Arial" w:cs="Arial"/>
          <w:lang w:val="es-ES"/>
        </w:rPr>
        <w:t>100 por hora versus US</w:t>
      </w:r>
      <w:r w:rsidR="00EB5F70">
        <w:rPr>
          <w:rFonts w:ascii="Arial" w:hAnsi="Arial" w:cs="Arial"/>
          <w:lang w:val="es-ES"/>
        </w:rPr>
        <w:t>$</w:t>
      </w:r>
      <w:r w:rsidR="00C15FA7">
        <w:rPr>
          <w:rFonts w:ascii="Arial" w:hAnsi="Arial" w:cs="Arial"/>
          <w:lang w:val="es-ES"/>
        </w:rPr>
        <w:t>80</w:t>
      </w:r>
      <w:r w:rsidR="0051088A">
        <w:rPr>
          <w:rFonts w:ascii="Arial" w:hAnsi="Arial" w:cs="Arial"/>
          <w:lang w:val="es-ES"/>
        </w:rPr>
        <w:t xml:space="preserve"> por hora, en promedio</w:t>
      </w:r>
      <w:r w:rsidR="00C15FA7">
        <w:rPr>
          <w:rFonts w:ascii="Arial" w:hAnsi="Arial" w:cs="Arial"/>
          <w:lang w:val="es-ES"/>
        </w:rPr>
        <w:t xml:space="preserve"> (siendo conservadores sobre la diferencia)</w:t>
      </w:r>
      <w:r w:rsidR="0051088A">
        <w:rPr>
          <w:rFonts w:ascii="Arial" w:hAnsi="Arial" w:cs="Arial"/>
          <w:lang w:val="es-ES"/>
        </w:rPr>
        <w:t xml:space="preserve">. </w:t>
      </w:r>
    </w:p>
    <w:p w14:paraId="2FF75D97" w14:textId="0566A298" w:rsidR="0051088A" w:rsidRDefault="0051088A" w:rsidP="001904F6">
      <w:pPr>
        <w:pStyle w:val="ListParagraph"/>
        <w:numPr>
          <w:ilvl w:val="0"/>
          <w:numId w:val="19"/>
        </w:numPr>
        <w:spacing w:before="360" w:line="360" w:lineRule="auto"/>
        <w:jc w:val="both"/>
        <w:rPr>
          <w:rFonts w:ascii="Arial" w:hAnsi="Arial" w:cs="Arial"/>
          <w:lang w:val="es-ES"/>
        </w:rPr>
      </w:pPr>
      <w:r>
        <w:rPr>
          <w:rFonts w:ascii="Arial" w:hAnsi="Arial" w:cs="Arial"/>
          <w:lang w:val="es-ES"/>
        </w:rPr>
        <w:t xml:space="preserve">Se asume que todos los estudiantes que reciben formación en ciberseguridad, de no haberla recibido, trabajarían en programación. Según representantes de múltiples universidades uruguayas (Universidad de la República, Universidad ORT), esto es un supuesto razonable, ya que hay muchos conocimientos compartidos entre programadores y profesionales en ciberseguridad. Nótese que este es un supuesto conservador para efectos del análisis económico, puesto que su implicación es que solo se contabilizan los beneficios marginales de la formación en ciberseguridad </w:t>
      </w:r>
      <w:r w:rsidR="00707037" w:rsidRPr="00EB5F70">
        <w:rPr>
          <w:rFonts w:ascii="Arial" w:hAnsi="Arial" w:cs="Arial"/>
          <w:lang w:val="es-ES"/>
        </w:rPr>
        <w:t>en vez de</w:t>
      </w:r>
      <w:r>
        <w:rPr>
          <w:rFonts w:ascii="Arial" w:hAnsi="Arial" w:cs="Arial"/>
          <w:lang w:val="es-ES"/>
        </w:rPr>
        <w:t xml:space="preserve"> </w:t>
      </w:r>
      <w:r>
        <w:rPr>
          <w:rFonts w:ascii="Arial" w:hAnsi="Arial" w:cs="Arial"/>
          <w:lang w:val="es-ES"/>
        </w:rPr>
        <w:lastRenderedPageBreak/>
        <w:t xml:space="preserve">una formación en programación – no los beneficios absolutos de recibir la formación en comparación de no haberse formado en ningún tema. </w:t>
      </w:r>
    </w:p>
    <w:p w14:paraId="56B141D0" w14:textId="28E8F7FA" w:rsidR="0051088A" w:rsidRDefault="0051088A" w:rsidP="001904F6">
      <w:pPr>
        <w:pStyle w:val="ListParagraph"/>
        <w:numPr>
          <w:ilvl w:val="0"/>
          <w:numId w:val="19"/>
        </w:numPr>
        <w:spacing w:before="360" w:line="360" w:lineRule="auto"/>
        <w:jc w:val="both"/>
        <w:rPr>
          <w:rFonts w:ascii="Arial" w:hAnsi="Arial" w:cs="Arial"/>
          <w:lang w:val="es-ES"/>
        </w:rPr>
      </w:pPr>
      <w:r>
        <w:rPr>
          <w:rFonts w:ascii="Arial" w:hAnsi="Arial" w:cs="Arial"/>
          <w:lang w:val="es-ES"/>
        </w:rPr>
        <w:t xml:space="preserve">Se asume que los profesionales formados en ciberseguridad </w:t>
      </w:r>
      <w:r w:rsidRPr="0051088A">
        <w:rPr>
          <w:rFonts w:ascii="Arial" w:hAnsi="Arial" w:cs="Arial"/>
          <w:lang w:val="es-ES"/>
        </w:rPr>
        <w:t>no</w:t>
      </w:r>
      <w:r>
        <w:rPr>
          <w:rFonts w:ascii="Arial" w:hAnsi="Arial" w:cs="Arial"/>
          <w:b/>
          <w:lang w:val="es-ES"/>
        </w:rPr>
        <w:t xml:space="preserve"> </w:t>
      </w:r>
      <w:r>
        <w:rPr>
          <w:rFonts w:ascii="Arial" w:hAnsi="Arial" w:cs="Arial"/>
          <w:lang w:val="es-ES"/>
        </w:rPr>
        <w:t xml:space="preserve">trabajarán tiempo </w:t>
      </w:r>
      <w:proofErr w:type="gramStart"/>
      <w:r>
        <w:rPr>
          <w:rFonts w:ascii="Arial" w:hAnsi="Arial" w:cs="Arial"/>
          <w:lang w:val="es-ES"/>
        </w:rPr>
        <w:t>completo</w:t>
      </w:r>
      <w:proofErr w:type="gramEnd"/>
      <w:r>
        <w:rPr>
          <w:rFonts w:ascii="Arial" w:hAnsi="Arial" w:cs="Arial"/>
          <w:lang w:val="es-ES"/>
        </w:rPr>
        <w:t xml:space="preserve"> en la ciberseguridad. Este supuesto se basa en un hallazgo de la consultoría de </w:t>
      </w:r>
      <w:proofErr w:type="spellStart"/>
      <w:r>
        <w:rPr>
          <w:rFonts w:ascii="Arial" w:hAnsi="Arial" w:cs="Arial"/>
          <w:lang w:val="es-ES"/>
        </w:rPr>
        <w:t>Avnet</w:t>
      </w:r>
      <w:proofErr w:type="spellEnd"/>
      <w:r>
        <w:rPr>
          <w:rFonts w:ascii="Arial" w:hAnsi="Arial" w:cs="Arial"/>
          <w:lang w:val="es-ES"/>
        </w:rPr>
        <w:t xml:space="preserve"> que descubrió que la mayoría de los profesionales en ciberseguridad existentes en Uruguay solo dedican una porción de su tiempo a la ciberseguridad. Este hallazgo se comprobó mediante entrevistas con representantes del sector privado, incluido Deloitte y el Banco de la República Oriental de Uruguay. Para efectos de este análisis, se asume que los formados en ciberseguridad venderán el equivalente de 15 semanas completas </w:t>
      </w:r>
      <w:r w:rsidR="00965E18">
        <w:rPr>
          <w:rFonts w:ascii="Arial" w:hAnsi="Arial" w:cs="Arial"/>
          <w:lang w:val="es-ES"/>
        </w:rPr>
        <w:t xml:space="preserve">(600 horas) </w:t>
      </w:r>
      <w:r>
        <w:rPr>
          <w:rFonts w:ascii="Arial" w:hAnsi="Arial" w:cs="Arial"/>
          <w:lang w:val="es-ES"/>
        </w:rPr>
        <w:t xml:space="preserve">de servicios de ciberseguridad al año. </w:t>
      </w:r>
      <w:r w:rsidR="00707037">
        <w:rPr>
          <w:rFonts w:ascii="Arial" w:hAnsi="Arial" w:cs="Arial"/>
          <w:lang w:val="es-ES"/>
        </w:rPr>
        <w:t xml:space="preserve">Parte de la motivación por este supuesto es la falta de desagregación por tipo de programa de formación en el análisis económico – no se separan proyecciones para egresados de programas de licenciaturas, maestrías o tecnicaturas. </w:t>
      </w:r>
    </w:p>
    <w:p w14:paraId="09FBD0F0" w14:textId="11779413" w:rsidR="00170261" w:rsidRDefault="00170261" w:rsidP="001904F6">
      <w:pPr>
        <w:pStyle w:val="ListParagraph"/>
        <w:numPr>
          <w:ilvl w:val="0"/>
          <w:numId w:val="19"/>
        </w:numPr>
        <w:spacing w:before="360" w:line="360" w:lineRule="auto"/>
        <w:jc w:val="both"/>
        <w:rPr>
          <w:rFonts w:ascii="Arial" w:hAnsi="Arial" w:cs="Arial"/>
          <w:lang w:val="es-ES"/>
        </w:rPr>
      </w:pPr>
      <w:r>
        <w:rPr>
          <w:rFonts w:ascii="Arial" w:hAnsi="Arial" w:cs="Arial"/>
          <w:lang w:val="es-ES"/>
        </w:rPr>
        <w:t xml:space="preserve">Según representantes de dos universidades uruguayas (Universidad de la República y ORT), el costo de impartir un curso en ciberseguridad es igual que un curso en una materia de ingeniería de sistemas u otro campo parecido, con lo cual no hay ningún costo incremental que se debe contabilizar del lado de la oferta de los programas de formación. </w:t>
      </w:r>
      <w:r w:rsidR="000C2038">
        <w:rPr>
          <w:rFonts w:ascii="Arial" w:hAnsi="Arial" w:cs="Arial"/>
          <w:lang w:val="es-ES"/>
        </w:rPr>
        <w:t>Sin embargo, se asume que las instituciones educativas que participen en el Programa tendrán que incurrir algunos costos para poder ofrecer cursos de ciberseguridad</w:t>
      </w:r>
      <w:r w:rsidR="0070476F">
        <w:rPr>
          <w:rFonts w:ascii="Arial" w:hAnsi="Arial" w:cs="Arial"/>
          <w:lang w:val="es-ES"/>
        </w:rPr>
        <w:t xml:space="preserve">. El análisis incluye tres tipos de costos no cubiertos por el Programa: capacitación docente, que el estudio </w:t>
      </w:r>
      <w:proofErr w:type="spellStart"/>
      <w:r w:rsidR="0070476F">
        <w:rPr>
          <w:rFonts w:ascii="Arial" w:hAnsi="Arial" w:cs="Arial"/>
          <w:lang w:val="es-ES"/>
        </w:rPr>
        <w:t>Avnet</w:t>
      </w:r>
      <w:proofErr w:type="spellEnd"/>
      <w:r w:rsidR="0070476F">
        <w:rPr>
          <w:rFonts w:ascii="Arial" w:hAnsi="Arial" w:cs="Arial"/>
          <w:lang w:val="es-ES"/>
        </w:rPr>
        <w:t xml:space="preserve"> calcula en US$112</w:t>
      </w:r>
      <w:r w:rsidR="00B82DDE">
        <w:rPr>
          <w:rFonts w:ascii="Arial" w:hAnsi="Arial" w:cs="Arial"/>
          <w:lang w:val="es-ES"/>
        </w:rPr>
        <w:t>.</w:t>
      </w:r>
      <w:r w:rsidR="0070476F">
        <w:rPr>
          <w:rFonts w:ascii="Arial" w:hAnsi="Arial" w:cs="Arial"/>
          <w:lang w:val="es-ES"/>
        </w:rPr>
        <w:t xml:space="preserve">800 para la oferta completa de cursos previstos, espacio de salas y tiempo docente. Se asume que los costos de capacitación docente se incurren </w:t>
      </w:r>
      <w:r w:rsidR="00362052">
        <w:rPr>
          <w:rFonts w:ascii="Arial" w:hAnsi="Arial" w:cs="Arial"/>
          <w:lang w:val="es-ES"/>
        </w:rPr>
        <w:t xml:space="preserve">en el 2021, y que los costos marginales de tiempo docente y uso de salas se incurren a partir del 2022. </w:t>
      </w:r>
    </w:p>
    <w:p w14:paraId="1CC05D8E" w14:textId="24C2A903" w:rsidR="00707037" w:rsidRPr="00707037" w:rsidRDefault="00965E18" w:rsidP="00707037">
      <w:pPr>
        <w:pStyle w:val="ListParagraph"/>
        <w:numPr>
          <w:ilvl w:val="0"/>
          <w:numId w:val="19"/>
        </w:numPr>
        <w:spacing w:before="360" w:line="360" w:lineRule="auto"/>
        <w:jc w:val="both"/>
        <w:rPr>
          <w:rFonts w:ascii="Arial" w:hAnsi="Arial" w:cs="Arial"/>
          <w:lang w:val="es-ES"/>
        </w:rPr>
      </w:pPr>
      <w:r>
        <w:rPr>
          <w:rFonts w:ascii="Arial" w:hAnsi="Arial" w:cs="Arial"/>
          <w:lang w:val="es-ES"/>
        </w:rPr>
        <w:t xml:space="preserve">Según proyecciones del </w:t>
      </w:r>
      <w:r w:rsidR="0009421C">
        <w:rPr>
          <w:rFonts w:ascii="Arial" w:hAnsi="Arial" w:cs="Arial"/>
          <w:lang w:val="es-ES"/>
        </w:rPr>
        <w:t>p</w:t>
      </w:r>
      <w:r>
        <w:rPr>
          <w:rFonts w:ascii="Arial" w:hAnsi="Arial" w:cs="Arial"/>
          <w:lang w:val="es-ES"/>
        </w:rPr>
        <w:t xml:space="preserve">rograma, el número de profesionales formados irá en aumento gradualmente. </w:t>
      </w:r>
      <w:r w:rsidR="00153FF2">
        <w:rPr>
          <w:rFonts w:ascii="Arial" w:hAnsi="Arial" w:cs="Arial"/>
          <w:lang w:val="es-ES"/>
        </w:rPr>
        <w:t xml:space="preserve">En el escenario base, se asume que </w:t>
      </w:r>
      <w:r w:rsidR="003130B9">
        <w:rPr>
          <w:rFonts w:ascii="Arial" w:hAnsi="Arial" w:cs="Arial"/>
          <w:lang w:val="es-ES"/>
        </w:rPr>
        <w:t xml:space="preserve">se empezará a generar egresados </w:t>
      </w:r>
      <w:r w:rsidR="000C2038">
        <w:rPr>
          <w:rFonts w:ascii="Arial" w:hAnsi="Arial" w:cs="Arial"/>
          <w:lang w:val="es-ES"/>
        </w:rPr>
        <w:t xml:space="preserve">especializados </w:t>
      </w:r>
      <w:r w:rsidR="003130B9">
        <w:rPr>
          <w:rFonts w:ascii="Arial" w:hAnsi="Arial" w:cs="Arial"/>
          <w:lang w:val="es-ES"/>
        </w:rPr>
        <w:t>en ciberseguridad en 2022, con 50</w:t>
      </w:r>
      <w:r w:rsidR="00FD30B9">
        <w:rPr>
          <w:rFonts w:ascii="Arial" w:hAnsi="Arial" w:cs="Arial"/>
          <w:lang w:val="es-ES"/>
        </w:rPr>
        <w:t xml:space="preserve"> (netos</w:t>
      </w:r>
      <w:r w:rsidR="00FD30B9">
        <w:rPr>
          <w:rStyle w:val="FootnoteReference"/>
          <w:rFonts w:ascii="Arial" w:hAnsi="Arial" w:cs="Arial"/>
          <w:lang w:val="es-ES"/>
        </w:rPr>
        <w:footnoteReference w:id="9"/>
      </w:r>
      <w:r w:rsidR="00FD30B9">
        <w:rPr>
          <w:rFonts w:ascii="Arial" w:hAnsi="Arial" w:cs="Arial"/>
          <w:lang w:val="es-ES"/>
        </w:rPr>
        <w:t>)</w:t>
      </w:r>
      <w:r w:rsidR="003130B9">
        <w:rPr>
          <w:rFonts w:ascii="Arial" w:hAnsi="Arial" w:cs="Arial"/>
          <w:lang w:val="es-ES"/>
        </w:rPr>
        <w:t xml:space="preserve"> ese año y 80 todos los años de ahí en adelante.</w:t>
      </w:r>
      <w:r w:rsidR="00FD30B9">
        <w:rPr>
          <w:rFonts w:ascii="Arial" w:hAnsi="Arial" w:cs="Arial"/>
          <w:lang w:val="es-ES"/>
        </w:rPr>
        <w:t xml:space="preserve"> </w:t>
      </w:r>
      <w:r w:rsidR="003130B9">
        <w:rPr>
          <w:rFonts w:ascii="Arial" w:hAnsi="Arial" w:cs="Arial"/>
          <w:lang w:val="es-ES"/>
        </w:rPr>
        <w:t xml:space="preserve">Este supuesto, por el alto grado de incertidumbre, es el que se varía en el análisis de sensibilidad abajo. </w:t>
      </w:r>
      <w:r w:rsidR="00E2271D">
        <w:rPr>
          <w:rFonts w:ascii="Arial" w:hAnsi="Arial" w:cs="Arial"/>
          <w:lang w:val="es-ES"/>
        </w:rPr>
        <w:t xml:space="preserve">Se asume que en ausencia del proyecto el sistema educativo y las empresas privadas igual produciría profesionales en ciberseguridad, pero al ritmo más lento de 20 por año. </w:t>
      </w:r>
    </w:p>
    <w:p w14:paraId="26CE6305" w14:textId="3B9B1D4F" w:rsidR="001904F6" w:rsidRPr="002D5E07" w:rsidRDefault="00965E18" w:rsidP="002D5E07">
      <w:pPr>
        <w:pStyle w:val="ListParagraph"/>
        <w:numPr>
          <w:ilvl w:val="0"/>
          <w:numId w:val="19"/>
        </w:numPr>
        <w:spacing w:before="360" w:line="360" w:lineRule="auto"/>
        <w:jc w:val="both"/>
        <w:rPr>
          <w:rFonts w:ascii="Arial" w:hAnsi="Arial" w:cs="Arial"/>
          <w:lang w:val="es-ES"/>
        </w:rPr>
      </w:pPr>
      <w:r>
        <w:rPr>
          <w:rFonts w:ascii="Arial" w:hAnsi="Arial" w:cs="Arial"/>
          <w:lang w:val="es-ES"/>
        </w:rPr>
        <w:lastRenderedPageBreak/>
        <w:t xml:space="preserve">Los beneficios que se contabilizan por año, entonces, son el resultado de la siguiente multiplicación: (diferencia en el precio por hora de venta de servicios de ciberseguridad versus servicios de </w:t>
      </w:r>
      <w:proofErr w:type="gramStart"/>
      <w:r>
        <w:rPr>
          <w:rFonts w:ascii="Arial" w:hAnsi="Arial" w:cs="Arial"/>
          <w:lang w:val="es-ES"/>
        </w:rPr>
        <w:t>programación)*</w:t>
      </w:r>
      <w:proofErr w:type="gramEnd"/>
      <w:r>
        <w:rPr>
          <w:rFonts w:ascii="Arial" w:hAnsi="Arial" w:cs="Arial"/>
          <w:lang w:val="es-ES"/>
        </w:rPr>
        <w:t>(600 horas)*(</w:t>
      </w:r>
      <w:r w:rsidR="00084E87">
        <w:rPr>
          <w:rFonts w:ascii="Arial" w:hAnsi="Arial" w:cs="Arial"/>
          <w:lang w:val="es-ES"/>
        </w:rPr>
        <w:t xml:space="preserve"># de </w:t>
      </w:r>
      <w:r>
        <w:rPr>
          <w:rFonts w:ascii="Arial" w:hAnsi="Arial" w:cs="Arial"/>
          <w:lang w:val="es-ES"/>
        </w:rPr>
        <w:t xml:space="preserve">personas formadas). </w:t>
      </w:r>
      <w:r w:rsidR="00707037">
        <w:rPr>
          <w:rFonts w:ascii="Arial" w:hAnsi="Arial" w:cs="Arial"/>
          <w:lang w:val="es-ES"/>
        </w:rPr>
        <w:t xml:space="preserve">Los beneficios </w:t>
      </w:r>
      <w:r w:rsidR="00C01D35">
        <w:rPr>
          <w:rFonts w:ascii="Arial" w:hAnsi="Arial" w:cs="Arial"/>
          <w:lang w:val="es-ES"/>
        </w:rPr>
        <w:t>son acumulativos,</w:t>
      </w:r>
      <w:r w:rsidR="00707037">
        <w:rPr>
          <w:rFonts w:ascii="Arial" w:hAnsi="Arial" w:cs="Arial"/>
          <w:lang w:val="es-ES"/>
        </w:rPr>
        <w:t xml:space="preserve"> al asumir que las personas formadas en años pasados siguen vendiendo servicios de ciberseguridad durante todo el periodo analizado. </w:t>
      </w:r>
    </w:p>
    <w:p w14:paraId="3799D8BD" w14:textId="77777777" w:rsidR="002D5E07" w:rsidRDefault="007E6F23" w:rsidP="00DE6D4F">
      <w:pPr>
        <w:numPr>
          <w:ilvl w:val="0"/>
          <w:numId w:val="5"/>
        </w:numPr>
        <w:spacing w:before="360" w:line="360" w:lineRule="auto"/>
        <w:jc w:val="both"/>
        <w:rPr>
          <w:rFonts w:ascii="Arial" w:hAnsi="Arial" w:cs="Arial"/>
          <w:b/>
          <w:lang w:val="es-ES"/>
        </w:rPr>
      </w:pPr>
      <w:r>
        <w:rPr>
          <w:rFonts w:ascii="Arial" w:hAnsi="Arial" w:cs="Arial"/>
          <w:b/>
          <w:lang w:val="es-ES"/>
        </w:rPr>
        <w:t>Resultados</w:t>
      </w:r>
      <w:r w:rsidR="00DE6D4F">
        <w:rPr>
          <w:rFonts w:ascii="Arial" w:hAnsi="Arial" w:cs="Arial"/>
          <w:b/>
          <w:lang w:val="es-ES"/>
        </w:rPr>
        <w:t xml:space="preserve"> y análisis de sensibilidad</w:t>
      </w:r>
    </w:p>
    <w:p w14:paraId="3DE1E3DD" w14:textId="73D50A09" w:rsidR="00DE6D4F" w:rsidRPr="002D5E07" w:rsidRDefault="00DE6D4F" w:rsidP="002D5E07">
      <w:pPr>
        <w:pStyle w:val="ListParagraph"/>
        <w:numPr>
          <w:ilvl w:val="1"/>
          <w:numId w:val="5"/>
        </w:numPr>
        <w:spacing w:before="360" w:line="360" w:lineRule="auto"/>
        <w:ind w:hanging="720"/>
        <w:jc w:val="both"/>
        <w:rPr>
          <w:rFonts w:ascii="Arial" w:hAnsi="Arial" w:cs="Arial"/>
          <w:b/>
          <w:lang w:val="es-ES"/>
        </w:rPr>
      </w:pPr>
      <w:r w:rsidRPr="002D5E07">
        <w:rPr>
          <w:rFonts w:ascii="Arial" w:hAnsi="Arial" w:cs="Arial"/>
          <w:lang w:val="es-ES"/>
        </w:rPr>
        <w:t xml:space="preserve">El análisis contempla tres escenarios: un </w:t>
      </w:r>
      <w:r w:rsidRPr="00B82DDE">
        <w:rPr>
          <w:rFonts w:ascii="Arial" w:hAnsi="Arial" w:cs="Arial"/>
          <w:lang w:val="es-ES"/>
        </w:rPr>
        <w:t>escenario base que utiliza los supuestos descritos más arriba, y un escenario conservador y uno optimista, que</w:t>
      </w:r>
      <w:r w:rsidRPr="002D5E07">
        <w:rPr>
          <w:rFonts w:ascii="Arial" w:hAnsi="Arial" w:cs="Arial"/>
          <w:lang w:val="es-ES"/>
        </w:rPr>
        <w:t xml:space="preserve"> contiene las variaciones en supuestos clave descritas a continuación.</w:t>
      </w:r>
    </w:p>
    <w:p w14:paraId="4DA40269" w14:textId="2DB078BA" w:rsidR="00C01D35" w:rsidRPr="00C01D35" w:rsidRDefault="00C01D35" w:rsidP="00C01D35">
      <w:pPr>
        <w:spacing w:line="360" w:lineRule="auto"/>
        <w:jc w:val="center"/>
        <w:rPr>
          <w:rFonts w:ascii="Arial" w:hAnsi="Arial" w:cs="Arial"/>
          <w:b/>
          <w:lang w:val="es-ES"/>
        </w:rPr>
      </w:pPr>
      <w:r w:rsidRPr="00C01D35">
        <w:rPr>
          <w:rFonts w:ascii="Arial" w:hAnsi="Arial" w:cs="Arial"/>
          <w:b/>
          <w:lang w:val="es-ES"/>
        </w:rPr>
        <w:t>Tabla 1. Parámetros del análisis de sensibilidad</w:t>
      </w:r>
    </w:p>
    <w:tbl>
      <w:tblPr>
        <w:tblStyle w:val="TableGrid"/>
        <w:tblW w:w="0" w:type="auto"/>
        <w:tblLook w:val="04A0" w:firstRow="1" w:lastRow="0" w:firstColumn="1" w:lastColumn="0" w:noHBand="0" w:noVBand="1"/>
      </w:tblPr>
      <w:tblGrid>
        <w:gridCol w:w="1525"/>
        <w:gridCol w:w="2520"/>
        <w:gridCol w:w="1208"/>
        <w:gridCol w:w="2117"/>
        <w:gridCol w:w="1980"/>
      </w:tblGrid>
      <w:tr w:rsidR="00DE6D4F" w:rsidRPr="002D5E07" w14:paraId="51BAE9FE" w14:textId="77777777" w:rsidTr="002D5E07">
        <w:tc>
          <w:tcPr>
            <w:tcW w:w="1525" w:type="dxa"/>
            <w:shd w:val="clear" w:color="auto" w:fill="D9D9D9" w:themeFill="background1" w:themeFillShade="D9"/>
          </w:tcPr>
          <w:p w14:paraId="13A1D6B6" w14:textId="3236FB02" w:rsidR="00DE6D4F" w:rsidRPr="002D5E07" w:rsidRDefault="00DE6D4F" w:rsidP="00DE6D4F">
            <w:pPr>
              <w:spacing w:line="360" w:lineRule="auto"/>
              <w:jc w:val="center"/>
              <w:rPr>
                <w:rFonts w:ascii="Arial" w:hAnsi="Arial" w:cs="Arial"/>
                <w:b/>
                <w:sz w:val="18"/>
                <w:szCs w:val="18"/>
                <w:lang w:val="es-ES"/>
              </w:rPr>
            </w:pPr>
            <w:r w:rsidRPr="002D5E07">
              <w:rPr>
                <w:rFonts w:ascii="Arial" w:hAnsi="Arial" w:cs="Arial"/>
                <w:b/>
                <w:sz w:val="18"/>
                <w:szCs w:val="18"/>
                <w:lang w:val="es-ES"/>
              </w:rPr>
              <w:t>Beneficio</w:t>
            </w:r>
          </w:p>
        </w:tc>
        <w:tc>
          <w:tcPr>
            <w:tcW w:w="2520" w:type="dxa"/>
            <w:shd w:val="clear" w:color="auto" w:fill="D9D9D9" w:themeFill="background1" w:themeFillShade="D9"/>
          </w:tcPr>
          <w:p w14:paraId="32191080" w14:textId="4CEB47C0" w:rsidR="00DE6D4F" w:rsidRPr="002D5E07" w:rsidRDefault="00DE6D4F" w:rsidP="00DE6D4F">
            <w:pPr>
              <w:spacing w:line="360" w:lineRule="auto"/>
              <w:jc w:val="center"/>
              <w:rPr>
                <w:rFonts w:ascii="Arial" w:hAnsi="Arial" w:cs="Arial"/>
                <w:b/>
                <w:sz w:val="18"/>
                <w:szCs w:val="18"/>
                <w:lang w:val="es-ES"/>
              </w:rPr>
            </w:pPr>
            <w:r w:rsidRPr="002D5E07">
              <w:rPr>
                <w:rFonts w:ascii="Arial" w:hAnsi="Arial" w:cs="Arial"/>
                <w:b/>
                <w:sz w:val="18"/>
                <w:szCs w:val="18"/>
                <w:lang w:val="es-ES"/>
              </w:rPr>
              <w:t>Supuesto</w:t>
            </w:r>
          </w:p>
        </w:tc>
        <w:tc>
          <w:tcPr>
            <w:tcW w:w="1208" w:type="dxa"/>
            <w:shd w:val="clear" w:color="auto" w:fill="D9D9D9" w:themeFill="background1" w:themeFillShade="D9"/>
          </w:tcPr>
          <w:p w14:paraId="2F965F5A" w14:textId="68A236B1" w:rsidR="00DE6D4F" w:rsidRPr="002D5E07" w:rsidRDefault="00DE6D4F" w:rsidP="00DE6D4F">
            <w:pPr>
              <w:spacing w:line="360" w:lineRule="auto"/>
              <w:jc w:val="center"/>
              <w:rPr>
                <w:rFonts w:ascii="Arial" w:hAnsi="Arial" w:cs="Arial"/>
                <w:b/>
                <w:sz w:val="18"/>
                <w:szCs w:val="18"/>
                <w:lang w:val="es-ES"/>
              </w:rPr>
            </w:pPr>
            <w:r w:rsidRPr="002D5E07">
              <w:rPr>
                <w:rFonts w:ascii="Arial" w:hAnsi="Arial" w:cs="Arial"/>
                <w:b/>
                <w:sz w:val="18"/>
                <w:szCs w:val="18"/>
                <w:lang w:val="es-ES"/>
              </w:rPr>
              <w:t>Escenario base</w:t>
            </w:r>
          </w:p>
        </w:tc>
        <w:tc>
          <w:tcPr>
            <w:tcW w:w="2117" w:type="dxa"/>
            <w:shd w:val="clear" w:color="auto" w:fill="D9D9D9" w:themeFill="background1" w:themeFillShade="D9"/>
          </w:tcPr>
          <w:p w14:paraId="42B6CA40" w14:textId="4BC3BF80" w:rsidR="00DE6D4F" w:rsidRPr="002D5E07" w:rsidRDefault="00DE6D4F" w:rsidP="00DE6D4F">
            <w:pPr>
              <w:spacing w:line="360" w:lineRule="auto"/>
              <w:jc w:val="center"/>
              <w:rPr>
                <w:rFonts w:ascii="Arial" w:hAnsi="Arial" w:cs="Arial"/>
                <w:b/>
                <w:sz w:val="18"/>
                <w:szCs w:val="18"/>
                <w:lang w:val="es-ES"/>
              </w:rPr>
            </w:pPr>
            <w:r w:rsidRPr="002D5E07">
              <w:rPr>
                <w:rFonts w:ascii="Arial" w:hAnsi="Arial" w:cs="Arial"/>
                <w:b/>
                <w:sz w:val="18"/>
                <w:szCs w:val="18"/>
                <w:lang w:val="es-ES"/>
              </w:rPr>
              <w:t>Escenario conservador</w:t>
            </w:r>
          </w:p>
        </w:tc>
        <w:tc>
          <w:tcPr>
            <w:tcW w:w="1980" w:type="dxa"/>
            <w:shd w:val="clear" w:color="auto" w:fill="D9D9D9" w:themeFill="background1" w:themeFillShade="D9"/>
          </w:tcPr>
          <w:p w14:paraId="7979D3AF" w14:textId="28231F35" w:rsidR="00DE6D4F" w:rsidRPr="002D5E07" w:rsidRDefault="00DE6D4F" w:rsidP="00DE6D4F">
            <w:pPr>
              <w:spacing w:line="360" w:lineRule="auto"/>
              <w:jc w:val="center"/>
              <w:rPr>
                <w:rFonts w:ascii="Arial" w:hAnsi="Arial" w:cs="Arial"/>
                <w:b/>
                <w:sz w:val="18"/>
                <w:szCs w:val="18"/>
                <w:lang w:val="es-ES"/>
              </w:rPr>
            </w:pPr>
            <w:r w:rsidRPr="002D5E07">
              <w:rPr>
                <w:rFonts w:ascii="Arial" w:hAnsi="Arial" w:cs="Arial"/>
                <w:b/>
                <w:sz w:val="18"/>
                <w:szCs w:val="18"/>
                <w:lang w:val="es-ES"/>
              </w:rPr>
              <w:t>Escenario optimista</w:t>
            </w:r>
          </w:p>
        </w:tc>
      </w:tr>
      <w:tr w:rsidR="00DE6D4F" w:rsidRPr="002D5E07" w14:paraId="6495FCF4" w14:textId="77777777" w:rsidTr="00DE6D4F">
        <w:tc>
          <w:tcPr>
            <w:tcW w:w="1525" w:type="dxa"/>
          </w:tcPr>
          <w:p w14:paraId="0AAF9436" w14:textId="1F544E5D"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Costos de remediación</w:t>
            </w:r>
          </w:p>
        </w:tc>
        <w:tc>
          <w:tcPr>
            <w:tcW w:w="2520" w:type="dxa"/>
          </w:tcPr>
          <w:p w14:paraId="79540259" w14:textId="4A884369"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 de los ataques que son de severidad alta o muy alta al final de la ejecución del proyecto</w:t>
            </w:r>
          </w:p>
        </w:tc>
        <w:tc>
          <w:tcPr>
            <w:tcW w:w="1208" w:type="dxa"/>
          </w:tcPr>
          <w:p w14:paraId="1D14E0AE" w14:textId="019D9AEA"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1%</w:t>
            </w:r>
          </w:p>
        </w:tc>
        <w:tc>
          <w:tcPr>
            <w:tcW w:w="2117" w:type="dxa"/>
          </w:tcPr>
          <w:p w14:paraId="0CD5946B" w14:textId="0834345E"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1</w:t>
            </w:r>
            <w:r w:rsidR="002D5E07">
              <w:rPr>
                <w:rFonts w:ascii="Arial" w:hAnsi="Arial" w:cs="Arial"/>
                <w:sz w:val="18"/>
                <w:szCs w:val="18"/>
                <w:lang w:val="es-ES"/>
              </w:rPr>
              <w:t>,</w:t>
            </w:r>
            <w:r w:rsidRPr="002D5E07">
              <w:rPr>
                <w:rFonts w:ascii="Arial" w:hAnsi="Arial" w:cs="Arial"/>
                <w:sz w:val="18"/>
                <w:szCs w:val="18"/>
                <w:lang w:val="es-ES"/>
              </w:rPr>
              <w:t>5%</w:t>
            </w:r>
          </w:p>
        </w:tc>
        <w:tc>
          <w:tcPr>
            <w:tcW w:w="1980" w:type="dxa"/>
          </w:tcPr>
          <w:p w14:paraId="78AB7435" w14:textId="33649853"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0</w:t>
            </w:r>
            <w:r w:rsidR="002D5E07">
              <w:rPr>
                <w:rFonts w:ascii="Arial" w:hAnsi="Arial" w:cs="Arial"/>
                <w:sz w:val="18"/>
                <w:szCs w:val="18"/>
                <w:lang w:val="es-ES"/>
              </w:rPr>
              <w:t>,</w:t>
            </w:r>
            <w:r w:rsidRPr="002D5E07">
              <w:rPr>
                <w:rFonts w:ascii="Arial" w:hAnsi="Arial" w:cs="Arial"/>
                <w:sz w:val="18"/>
                <w:szCs w:val="18"/>
                <w:lang w:val="es-ES"/>
              </w:rPr>
              <w:t>5%</w:t>
            </w:r>
          </w:p>
        </w:tc>
      </w:tr>
      <w:tr w:rsidR="00DE6D4F" w:rsidRPr="002D5E07" w14:paraId="0B2ACC8F" w14:textId="77777777" w:rsidTr="00DE6D4F">
        <w:tc>
          <w:tcPr>
            <w:tcW w:w="1525" w:type="dxa"/>
          </w:tcPr>
          <w:p w14:paraId="69160577" w14:textId="4DD6ABBD"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Impacto económico de los ciberataques</w:t>
            </w:r>
          </w:p>
        </w:tc>
        <w:tc>
          <w:tcPr>
            <w:tcW w:w="2520" w:type="dxa"/>
          </w:tcPr>
          <w:p w14:paraId="236A6392" w14:textId="26A968FC"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 del impacto económico evitado al final de la ejecución del proyecto</w:t>
            </w:r>
          </w:p>
        </w:tc>
        <w:tc>
          <w:tcPr>
            <w:tcW w:w="1208" w:type="dxa"/>
          </w:tcPr>
          <w:p w14:paraId="192B56B0" w14:textId="713A0106"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30%</w:t>
            </w:r>
          </w:p>
        </w:tc>
        <w:tc>
          <w:tcPr>
            <w:tcW w:w="2117" w:type="dxa"/>
          </w:tcPr>
          <w:p w14:paraId="0CDC847E" w14:textId="68776D8F"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20%</w:t>
            </w:r>
          </w:p>
        </w:tc>
        <w:tc>
          <w:tcPr>
            <w:tcW w:w="1980" w:type="dxa"/>
          </w:tcPr>
          <w:p w14:paraId="02D39C96" w14:textId="385A6E9B"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40%</w:t>
            </w:r>
          </w:p>
        </w:tc>
      </w:tr>
      <w:tr w:rsidR="00DE6D4F" w:rsidRPr="0005612C" w14:paraId="0534A254" w14:textId="77777777" w:rsidTr="00DE6D4F">
        <w:tc>
          <w:tcPr>
            <w:tcW w:w="1525" w:type="dxa"/>
          </w:tcPr>
          <w:p w14:paraId="03F647EC" w14:textId="799573B7" w:rsidR="00DE6D4F" w:rsidRPr="002D5E07" w:rsidRDefault="00DE6D4F" w:rsidP="002D5E07">
            <w:pPr>
              <w:spacing w:line="360" w:lineRule="auto"/>
              <w:jc w:val="center"/>
              <w:rPr>
                <w:rFonts w:ascii="Arial" w:hAnsi="Arial" w:cs="Arial"/>
                <w:sz w:val="18"/>
                <w:szCs w:val="18"/>
                <w:lang w:val="es-ES"/>
              </w:rPr>
            </w:pPr>
            <w:r w:rsidRPr="002D5E07">
              <w:rPr>
                <w:rFonts w:ascii="Arial" w:hAnsi="Arial" w:cs="Arial"/>
                <w:sz w:val="18"/>
                <w:szCs w:val="18"/>
                <w:lang w:val="es-ES"/>
              </w:rPr>
              <w:t>Actividad económica por formación de profesionales</w:t>
            </w:r>
          </w:p>
        </w:tc>
        <w:tc>
          <w:tcPr>
            <w:tcW w:w="2520" w:type="dxa"/>
          </w:tcPr>
          <w:p w14:paraId="5097697E" w14:textId="6E171904" w:rsidR="00DE6D4F" w:rsidRPr="002D5E07" w:rsidRDefault="00FD0F4A" w:rsidP="002D5E07">
            <w:pPr>
              <w:spacing w:line="360" w:lineRule="auto"/>
              <w:jc w:val="center"/>
              <w:rPr>
                <w:rFonts w:ascii="Arial" w:hAnsi="Arial" w:cs="Arial"/>
                <w:sz w:val="18"/>
                <w:szCs w:val="18"/>
                <w:lang w:val="es-ES"/>
              </w:rPr>
            </w:pPr>
            <w:r w:rsidRPr="002D5E07">
              <w:rPr>
                <w:rFonts w:ascii="Arial" w:hAnsi="Arial" w:cs="Arial"/>
                <w:sz w:val="18"/>
                <w:szCs w:val="18"/>
                <w:lang w:val="es-ES"/>
              </w:rPr>
              <w:t># de profesionales nuevos formados en ciberseguridad</w:t>
            </w:r>
          </w:p>
        </w:tc>
        <w:tc>
          <w:tcPr>
            <w:tcW w:w="1208" w:type="dxa"/>
          </w:tcPr>
          <w:p w14:paraId="33F51B08" w14:textId="5E03CD6F" w:rsidR="00DE6D4F" w:rsidRPr="002D5E07" w:rsidRDefault="00FD0F4A" w:rsidP="002D5E07">
            <w:pPr>
              <w:spacing w:line="360" w:lineRule="auto"/>
              <w:jc w:val="center"/>
              <w:rPr>
                <w:rFonts w:ascii="Arial" w:hAnsi="Arial" w:cs="Arial"/>
                <w:sz w:val="18"/>
                <w:szCs w:val="18"/>
                <w:lang w:val="es-ES"/>
              </w:rPr>
            </w:pPr>
            <w:r w:rsidRPr="002D5E07">
              <w:rPr>
                <w:rFonts w:ascii="Arial" w:hAnsi="Arial" w:cs="Arial"/>
                <w:sz w:val="18"/>
                <w:szCs w:val="18"/>
                <w:lang w:val="es-ES"/>
              </w:rPr>
              <w:t xml:space="preserve">50 en </w:t>
            </w:r>
            <w:r w:rsidR="00CA1AE8" w:rsidRPr="002D5E07">
              <w:rPr>
                <w:rFonts w:ascii="Arial" w:hAnsi="Arial" w:cs="Arial"/>
                <w:sz w:val="18"/>
                <w:szCs w:val="18"/>
                <w:lang w:val="es-ES"/>
              </w:rPr>
              <w:t>2022, 80 por año de ahí en adelante</w:t>
            </w:r>
          </w:p>
        </w:tc>
        <w:tc>
          <w:tcPr>
            <w:tcW w:w="2117" w:type="dxa"/>
          </w:tcPr>
          <w:p w14:paraId="1A31D529" w14:textId="0CDD9BEF" w:rsidR="00DE6D4F" w:rsidRPr="002D5E07" w:rsidRDefault="00CA1AE8" w:rsidP="002D5E07">
            <w:pPr>
              <w:spacing w:line="360" w:lineRule="auto"/>
              <w:jc w:val="center"/>
              <w:rPr>
                <w:rFonts w:ascii="Arial" w:hAnsi="Arial" w:cs="Arial"/>
                <w:sz w:val="18"/>
                <w:szCs w:val="18"/>
                <w:lang w:val="es-ES"/>
              </w:rPr>
            </w:pPr>
            <w:r w:rsidRPr="002D5E07">
              <w:rPr>
                <w:rFonts w:ascii="Arial" w:hAnsi="Arial" w:cs="Arial"/>
                <w:sz w:val="18"/>
                <w:szCs w:val="18"/>
                <w:lang w:val="es-ES"/>
              </w:rPr>
              <w:t xml:space="preserve">20 en 2022, luego </w:t>
            </w:r>
            <w:r w:rsidR="00F40A99" w:rsidRPr="002D5E07">
              <w:rPr>
                <w:rFonts w:ascii="Arial" w:hAnsi="Arial" w:cs="Arial"/>
                <w:sz w:val="18"/>
                <w:szCs w:val="18"/>
                <w:lang w:val="es-ES"/>
              </w:rPr>
              <w:t>40 en 2023, y 60 de 2024 en adelante</w:t>
            </w:r>
          </w:p>
        </w:tc>
        <w:tc>
          <w:tcPr>
            <w:tcW w:w="1980" w:type="dxa"/>
          </w:tcPr>
          <w:p w14:paraId="04CB4577" w14:textId="66269707" w:rsidR="00DE6D4F" w:rsidRPr="002D5E07" w:rsidRDefault="00F40A99" w:rsidP="002D5E07">
            <w:pPr>
              <w:spacing w:line="360" w:lineRule="auto"/>
              <w:jc w:val="center"/>
              <w:rPr>
                <w:rFonts w:ascii="Arial" w:hAnsi="Arial" w:cs="Arial"/>
                <w:sz w:val="18"/>
                <w:szCs w:val="18"/>
                <w:lang w:val="es-ES"/>
              </w:rPr>
            </w:pPr>
            <w:r w:rsidRPr="002D5E07">
              <w:rPr>
                <w:rFonts w:ascii="Arial" w:hAnsi="Arial" w:cs="Arial"/>
                <w:sz w:val="18"/>
                <w:szCs w:val="18"/>
                <w:lang w:val="es-ES"/>
              </w:rPr>
              <w:t>6</w:t>
            </w:r>
            <w:r w:rsidR="00CA1AE8" w:rsidRPr="002D5E07">
              <w:rPr>
                <w:rFonts w:ascii="Arial" w:hAnsi="Arial" w:cs="Arial"/>
                <w:sz w:val="18"/>
                <w:szCs w:val="18"/>
                <w:lang w:val="es-ES"/>
              </w:rPr>
              <w:t xml:space="preserve">0 en 2021, </w:t>
            </w:r>
            <w:r w:rsidRPr="002D5E07">
              <w:rPr>
                <w:rFonts w:ascii="Arial" w:hAnsi="Arial" w:cs="Arial"/>
                <w:sz w:val="18"/>
                <w:szCs w:val="18"/>
                <w:lang w:val="es-ES"/>
              </w:rPr>
              <w:t xml:space="preserve">luego </w:t>
            </w:r>
            <w:r w:rsidR="00CA1AE8" w:rsidRPr="002D5E07">
              <w:rPr>
                <w:rFonts w:ascii="Arial" w:hAnsi="Arial" w:cs="Arial"/>
                <w:sz w:val="18"/>
                <w:szCs w:val="18"/>
                <w:lang w:val="es-ES"/>
              </w:rPr>
              <w:t xml:space="preserve">150 </w:t>
            </w:r>
            <w:r w:rsidRPr="002D5E07">
              <w:rPr>
                <w:rFonts w:ascii="Arial" w:hAnsi="Arial" w:cs="Arial"/>
                <w:sz w:val="18"/>
                <w:szCs w:val="18"/>
                <w:lang w:val="es-ES"/>
              </w:rPr>
              <w:t>de</w:t>
            </w:r>
            <w:r w:rsidR="00CA1AE8" w:rsidRPr="002D5E07">
              <w:rPr>
                <w:rFonts w:ascii="Arial" w:hAnsi="Arial" w:cs="Arial"/>
                <w:sz w:val="18"/>
                <w:szCs w:val="18"/>
                <w:lang w:val="es-ES"/>
              </w:rPr>
              <w:t xml:space="preserve"> 2022</w:t>
            </w:r>
            <w:r w:rsidRPr="002D5E07">
              <w:rPr>
                <w:rFonts w:ascii="Arial" w:hAnsi="Arial" w:cs="Arial"/>
                <w:sz w:val="18"/>
                <w:szCs w:val="18"/>
                <w:lang w:val="es-ES"/>
              </w:rPr>
              <w:t xml:space="preserve"> en </w:t>
            </w:r>
            <w:r w:rsidR="00CA1AE8" w:rsidRPr="002D5E07">
              <w:rPr>
                <w:rFonts w:ascii="Arial" w:hAnsi="Arial" w:cs="Arial"/>
                <w:sz w:val="18"/>
                <w:szCs w:val="18"/>
                <w:lang w:val="es-ES"/>
              </w:rPr>
              <w:t>adelante</w:t>
            </w:r>
          </w:p>
        </w:tc>
      </w:tr>
    </w:tbl>
    <w:p w14:paraId="1AFC1822" w14:textId="2EC59F21" w:rsidR="00DE6D4F" w:rsidRDefault="00DE6D4F" w:rsidP="00DE6D4F">
      <w:pPr>
        <w:spacing w:line="360" w:lineRule="auto"/>
        <w:rPr>
          <w:rFonts w:ascii="Arial" w:hAnsi="Arial" w:cs="Arial"/>
          <w:lang w:val="es-ES"/>
        </w:rPr>
      </w:pPr>
    </w:p>
    <w:p w14:paraId="6E767580" w14:textId="348ABE93" w:rsidR="003451AA" w:rsidRPr="00E2271D" w:rsidRDefault="00F54C43" w:rsidP="00DE6D4F">
      <w:pPr>
        <w:spacing w:line="360" w:lineRule="auto"/>
        <w:rPr>
          <w:rFonts w:ascii="Arial" w:hAnsi="Arial" w:cs="Arial"/>
          <w:b/>
          <w:lang w:val="es-ES"/>
        </w:rPr>
      </w:pPr>
      <w:r>
        <w:rPr>
          <w:rFonts w:ascii="Arial" w:hAnsi="Arial" w:cs="Arial"/>
          <w:lang w:val="es-ES"/>
        </w:rPr>
        <w:t xml:space="preserve">El detalle de los cálculos de los resultados se encuentra en el archivo </w:t>
      </w:r>
      <w:proofErr w:type="spellStart"/>
      <w:r w:rsidR="00B82DDE">
        <w:rPr>
          <w:rFonts w:ascii="Arial" w:hAnsi="Arial" w:cs="Arial"/>
          <w:lang w:val="es-ES"/>
        </w:rPr>
        <w:t>e</w:t>
      </w:r>
      <w:r>
        <w:rPr>
          <w:rFonts w:ascii="Arial" w:hAnsi="Arial" w:cs="Arial"/>
          <w:lang w:val="es-ES"/>
        </w:rPr>
        <w:t>xcel</w:t>
      </w:r>
      <w:proofErr w:type="spellEnd"/>
      <w:r>
        <w:rPr>
          <w:rFonts w:ascii="Arial" w:hAnsi="Arial" w:cs="Arial"/>
          <w:lang w:val="es-ES"/>
        </w:rPr>
        <w:t xml:space="preserve"> que acompaña este documento. El resumen por escenario se encuentra a continuación. </w:t>
      </w:r>
    </w:p>
    <w:p w14:paraId="27354829" w14:textId="77777777" w:rsidR="009D54DF" w:rsidRDefault="009D54DF" w:rsidP="00E2271D">
      <w:pPr>
        <w:spacing w:line="360" w:lineRule="auto"/>
        <w:jc w:val="center"/>
        <w:rPr>
          <w:rFonts w:ascii="Arial" w:hAnsi="Arial" w:cs="Arial"/>
          <w:b/>
          <w:lang w:val="es-ES"/>
        </w:rPr>
      </w:pPr>
    </w:p>
    <w:p w14:paraId="16E0ED14" w14:textId="77777777" w:rsidR="009D54DF" w:rsidRDefault="009D54DF" w:rsidP="00E2271D">
      <w:pPr>
        <w:spacing w:line="360" w:lineRule="auto"/>
        <w:jc w:val="center"/>
        <w:rPr>
          <w:rFonts w:ascii="Arial" w:hAnsi="Arial" w:cs="Arial"/>
          <w:b/>
          <w:lang w:val="es-ES"/>
        </w:rPr>
      </w:pPr>
    </w:p>
    <w:p w14:paraId="1FAAA95E" w14:textId="77777777" w:rsidR="009D54DF" w:rsidRDefault="009D54DF" w:rsidP="00E2271D">
      <w:pPr>
        <w:spacing w:line="360" w:lineRule="auto"/>
        <w:jc w:val="center"/>
        <w:rPr>
          <w:rFonts w:ascii="Arial" w:hAnsi="Arial" w:cs="Arial"/>
          <w:b/>
          <w:lang w:val="es-ES"/>
        </w:rPr>
      </w:pPr>
    </w:p>
    <w:p w14:paraId="613CF900" w14:textId="77777777" w:rsidR="009D54DF" w:rsidRDefault="009D54DF" w:rsidP="00E2271D">
      <w:pPr>
        <w:spacing w:line="360" w:lineRule="auto"/>
        <w:jc w:val="center"/>
        <w:rPr>
          <w:rFonts w:ascii="Arial" w:hAnsi="Arial" w:cs="Arial"/>
          <w:b/>
          <w:lang w:val="es-ES"/>
        </w:rPr>
      </w:pPr>
    </w:p>
    <w:p w14:paraId="4B519AF5" w14:textId="713033B7" w:rsidR="00E2271D" w:rsidRPr="00E2271D" w:rsidRDefault="00E2271D" w:rsidP="00E2271D">
      <w:pPr>
        <w:spacing w:line="360" w:lineRule="auto"/>
        <w:jc w:val="center"/>
        <w:rPr>
          <w:rFonts w:ascii="Arial" w:hAnsi="Arial" w:cs="Arial"/>
          <w:b/>
          <w:lang w:val="es-ES"/>
        </w:rPr>
      </w:pPr>
      <w:r w:rsidRPr="00E2271D">
        <w:rPr>
          <w:rFonts w:ascii="Arial" w:hAnsi="Arial" w:cs="Arial"/>
          <w:b/>
          <w:lang w:val="es-ES"/>
        </w:rPr>
        <w:lastRenderedPageBreak/>
        <w:t>Tabla 2. Resultados del análisis económico</w:t>
      </w:r>
    </w:p>
    <w:tbl>
      <w:tblPr>
        <w:tblW w:w="8720" w:type="dxa"/>
        <w:jc w:val="center"/>
        <w:tblLook w:val="04A0" w:firstRow="1" w:lastRow="0" w:firstColumn="1" w:lastColumn="0" w:noHBand="0" w:noVBand="1"/>
      </w:tblPr>
      <w:tblGrid>
        <w:gridCol w:w="1790"/>
        <w:gridCol w:w="2340"/>
        <w:gridCol w:w="1980"/>
        <w:gridCol w:w="2610"/>
      </w:tblGrid>
      <w:tr w:rsidR="00F40A99" w:rsidRPr="009D54DF" w14:paraId="4EB93A50" w14:textId="77777777" w:rsidTr="00B82DDE">
        <w:trPr>
          <w:trHeight w:val="385"/>
          <w:jc w:val="center"/>
        </w:trPr>
        <w:tc>
          <w:tcPr>
            <w:tcW w:w="179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14:paraId="4BFEDBD2" w14:textId="77777777" w:rsidR="00F40A99" w:rsidRPr="00B4194C" w:rsidRDefault="00F40A99" w:rsidP="009D54DF">
            <w:pPr>
              <w:spacing w:after="0" w:line="240" w:lineRule="auto"/>
              <w:jc w:val="center"/>
              <w:rPr>
                <w:rFonts w:ascii="Arial" w:eastAsia="Times New Roman" w:hAnsi="Arial" w:cs="Arial"/>
                <w:b/>
                <w:color w:val="000000"/>
                <w:sz w:val="18"/>
                <w:szCs w:val="18"/>
              </w:rPr>
            </w:pPr>
            <w:proofErr w:type="spellStart"/>
            <w:r w:rsidRPr="00B4194C">
              <w:rPr>
                <w:rFonts w:ascii="Arial" w:eastAsia="Times New Roman" w:hAnsi="Arial" w:cs="Arial"/>
                <w:b/>
                <w:color w:val="000000"/>
                <w:sz w:val="18"/>
                <w:szCs w:val="18"/>
              </w:rPr>
              <w:t>Escenario</w:t>
            </w:r>
            <w:proofErr w:type="spellEnd"/>
          </w:p>
        </w:tc>
        <w:tc>
          <w:tcPr>
            <w:tcW w:w="2340" w:type="dxa"/>
            <w:tcBorders>
              <w:top w:val="single" w:sz="8" w:space="0" w:color="auto"/>
              <w:left w:val="nil"/>
              <w:bottom w:val="single" w:sz="8" w:space="0" w:color="auto"/>
              <w:right w:val="single" w:sz="8" w:space="0" w:color="auto"/>
            </w:tcBorders>
            <w:shd w:val="clear" w:color="auto" w:fill="D9D9D9" w:themeFill="background1" w:themeFillShade="D9"/>
            <w:hideMark/>
          </w:tcPr>
          <w:p w14:paraId="0B43F344" w14:textId="5B232028" w:rsidR="00F40A99" w:rsidRPr="00B4194C" w:rsidRDefault="00F40A99" w:rsidP="009D54DF">
            <w:pPr>
              <w:spacing w:after="0" w:line="240" w:lineRule="auto"/>
              <w:jc w:val="center"/>
              <w:rPr>
                <w:rFonts w:ascii="Arial" w:eastAsia="Times New Roman" w:hAnsi="Arial" w:cs="Arial"/>
                <w:b/>
                <w:color w:val="000000"/>
                <w:sz w:val="18"/>
                <w:szCs w:val="18"/>
              </w:rPr>
            </w:pPr>
            <w:r w:rsidRPr="00B4194C">
              <w:rPr>
                <w:rFonts w:ascii="Arial" w:eastAsia="Times New Roman" w:hAnsi="Arial" w:cs="Arial"/>
                <w:b/>
                <w:color w:val="000000"/>
                <w:sz w:val="18"/>
                <w:szCs w:val="18"/>
              </w:rPr>
              <w:t xml:space="preserve">Valor </w:t>
            </w:r>
            <w:proofErr w:type="spellStart"/>
            <w:r w:rsidRPr="00B4194C">
              <w:rPr>
                <w:rFonts w:ascii="Arial" w:eastAsia="Times New Roman" w:hAnsi="Arial" w:cs="Arial"/>
                <w:b/>
                <w:color w:val="000000"/>
                <w:sz w:val="18"/>
                <w:szCs w:val="18"/>
              </w:rPr>
              <w:t>presente</w:t>
            </w:r>
            <w:proofErr w:type="spellEnd"/>
            <w:r w:rsidRPr="00B4194C">
              <w:rPr>
                <w:rFonts w:ascii="Arial" w:eastAsia="Times New Roman" w:hAnsi="Arial" w:cs="Arial"/>
                <w:b/>
                <w:color w:val="000000"/>
                <w:sz w:val="18"/>
                <w:szCs w:val="18"/>
              </w:rPr>
              <w:t xml:space="preserve"> </w:t>
            </w:r>
            <w:proofErr w:type="spellStart"/>
            <w:r w:rsidRPr="00B4194C">
              <w:rPr>
                <w:rFonts w:ascii="Arial" w:eastAsia="Times New Roman" w:hAnsi="Arial" w:cs="Arial"/>
                <w:b/>
                <w:color w:val="000000"/>
                <w:sz w:val="18"/>
                <w:szCs w:val="18"/>
              </w:rPr>
              <w:t>neto</w:t>
            </w:r>
            <w:proofErr w:type="spellEnd"/>
            <w:r w:rsidR="009D54DF" w:rsidRPr="00B4194C">
              <w:rPr>
                <w:rFonts w:ascii="Arial" w:eastAsia="Times New Roman" w:hAnsi="Arial" w:cs="Arial"/>
                <w:b/>
                <w:color w:val="000000"/>
                <w:sz w:val="18"/>
                <w:szCs w:val="18"/>
              </w:rPr>
              <w:t xml:space="preserve"> (US$)</w:t>
            </w:r>
          </w:p>
        </w:tc>
        <w:tc>
          <w:tcPr>
            <w:tcW w:w="1980" w:type="dxa"/>
            <w:tcBorders>
              <w:top w:val="single" w:sz="8" w:space="0" w:color="auto"/>
              <w:left w:val="nil"/>
              <w:bottom w:val="single" w:sz="8" w:space="0" w:color="auto"/>
              <w:right w:val="single" w:sz="8" w:space="0" w:color="auto"/>
            </w:tcBorders>
            <w:shd w:val="clear" w:color="auto" w:fill="D9D9D9" w:themeFill="background1" w:themeFillShade="D9"/>
            <w:hideMark/>
          </w:tcPr>
          <w:p w14:paraId="48D8215D" w14:textId="77777777" w:rsidR="00F40A99" w:rsidRPr="00B4194C" w:rsidRDefault="00F40A99" w:rsidP="009D54DF">
            <w:pPr>
              <w:spacing w:after="0" w:line="240" w:lineRule="auto"/>
              <w:jc w:val="center"/>
              <w:rPr>
                <w:rFonts w:ascii="Arial" w:eastAsia="Times New Roman" w:hAnsi="Arial" w:cs="Arial"/>
                <w:b/>
                <w:color w:val="000000"/>
                <w:sz w:val="18"/>
                <w:szCs w:val="18"/>
              </w:rPr>
            </w:pPr>
            <w:proofErr w:type="spellStart"/>
            <w:r w:rsidRPr="00B4194C">
              <w:rPr>
                <w:rFonts w:ascii="Arial" w:eastAsia="Times New Roman" w:hAnsi="Arial" w:cs="Arial"/>
                <w:b/>
                <w:color w:val="000000"/>
                <w:sz w:val="18"/>
                <w:szCs w:val="18"/>
              </w:rPr>
              <w:t>Tasa</w:t>
            </w:r>
            <w:proofErr w:type="spellEnd"/>
            <w:r w:rsidRPr="00B4194C">
              <w:rPr>
                <w:rFonts w:ascii="Arial" w:eastAsia="Times New Roman" w:hAnsi="Arial" w:cs="Arial"/>
                <w:b/>
                <w:color w:val="000000"/>
                <w:sz w:val="18"/>
                <w:szCs w:val="18"/>
              </w:rPr>
              <w:t xml:space="preserve"> </w:t>
            </w:r>
            <w:proofErr w:type="spellStart"/>
            <w:r w:rsidRPr="00B4194C">
              <w:rPr>
                <w:rFonts w:ascii="Arial" w:eastAsia="Times New Roman" w:hAnsi="Arial" w:cs="Arial"/>
                <w:b/>
                <w:color w:val="000000"/>
                <w:sz w:val="18"/>
                <w:szCs w:val="18"/>
              </w:rPr>
              <w:t>interna</w:t>
            </w:r>
            <w:proofErr w:type="spellEnd"/>
            <w:r w:rsidRPr="00B4194C">
              <w:rPr>
                <w:rFonts w:ascii="Arial" w:eastAsia="Times New Roman" w:hAnsi="Arial" w:cs="Arial"/>
                <w:b/>
                <w:color w:val="000000"/>
                <w:sz w:val="18"/>
                <w:szCs w:val="18"/>
              </w:rPr>
              <w:t xml:space="preserve"> de </w:t>
            </w:r>
            <w:proofErr w:type="spellStart"/>
            <w:r w:rsidRPr="00B4194C">
              <w:rPr>
                <w:rFonts w:ascii="Arial" w:eastAsia="Times New Roman" w:hAnsi="Arial" w:cs="Arial"/>
                <w:b/>
                <w:color w:val="000000"/>
                <w:sz w:val="18"/>
                <w:szCs w:val="18"/>
              </w:rPr>
              <w:t>retorno</w:t>
            </w:r>
            <w:proofErr w:type="spellEnd"/>
          </w:p>
        </w:tc>
        <w:tc>
          <w:tcPr>
            <w:tcW w:w="2610" w:type="dxa"/>
            <w:tcBorders>
              <w:top w:val="single" w:sz="8" w:space="0" w:color="auto"/>
              <w:left w:val="nil"/>
              <w:bottom w:val="single" w:sz="8" w:space="0" w:color="auto"/>
              <w:right w:val="single" w:sz="8" w:space="0" w:color="auto"/>
            </w:tcBorders>
            <w:shd w:val="clear" w:color="auto" w:fill="D9D9D9" w:themeFill="background1" w:themeFillShade="D9"/>
            <w:hideMark/>
          </w:tcPr>
          <w:p w14:paraId="2684C654" w14:textId="77777777" w:rsidR="00F40A99" w:rsidRPr="00B4194C" w:rsidRDefault="00F40A99" w:rsidP="009D54DF">
            <w:pPr>
              <w:spacing w:after="0" w:line="240" w:lineRule="auto"/>
              <w:jc w:val="center"/>
              <w:rPr>
                <w:rFonts w:ascii="Arial" w:eastAsia="Times New Roman" w:hAnsi="Arial" w:cs="Arial"/>
                <w:b/>
                <w:color w:val="000000"/>
                <w:sz w:val="18"/>
                <w:szCs w:val="18"/>
              </w:rPr>
            </w:pPr>
            <w:proofErr w:type="spellStart"/>
            <w:r w:rsidRPr="00B4194C">
              <w:rPr>
                <w:rFonts w:ascii="Arial" w:eastAsia="Times New Roman" w:hAnsi="Arial" w:cs="Arial"/>
                <w:b/>
                <w:color w:val="000000"/>
                <w:sz w:val="18"/>
                <w:szCs w:val="18"/>
              </w:rPr>
              <w:t>Razón</w:t>
            </w:r>
            <w:proofErr w:type="spellEnd"/>
            <w:r w:rsidRPr="00B4194C">
              <w:rPr>
                <w:rFonts w:ascii="Arial" w:eastAsia="Times New Roman" w:hAnsi="Arial" w:cs="Arial"/>
                <w:b/>
                <w:color w:val="000000"/>
                <w:sz w:val="18"/>
                <w:szCs w:val="18"/>
              </w:rPr>
              <w:t xml:space="preserve"> </w:t>
            </w:r>
            <w:proofErr w:type="spellStart"/>
            <w:r w:rsidRPr="00B4194C">
              <w:rPr>
                <w:rFonts w:ascii="Arial" w:eastAsia="Times New Roman" w:hAnsi="Arial" w:cs="Arial"/>
                <w:b/>
                <w:color w:val="000000"/>
                <w:sz w:val="18"/>
                <w:szCs w:val="18"/>
              </w:rPr>
              <w:t>beneficio-costo</w:t>
            </w:r>
            <w:proofErr w:type="spellEnd"/>
          </w:p>
        </w:tc>
      </w:tr>
      <w:tr w:rsidR="00F40A99" w:rsidRPr="009D54DF" w14:paraId="14FC4D20" w14:textId="77777777" w:rsidTr="00B4194C">
        <w:trPr>
          <w:trHeight w:val="300"/>
          <w:jc w:val="center"/>
        </w:trPr>
        <w:tc>
          <w:tcPr>
            <w:tcW w:w="1790" w:type="dxa"/>
            <w:tcBorders>
              <w:top w:val="nil"/>
              <w:left w:val="single" w:sz="8" w:space="0" w:color="auto"/>
              <w:bottom w:val="single" w:sz="8" w:space="0" w:color="auto"/>
              <w:right w:val="single" w:sz="8" w:space="0" w:color="auto"/>
            </w:tcBorders>
            <w:shd w:val="clear" w:color="auto" w:fill="auto"/>
            <w:vAlign w:val="center"/>
            <w:hideMark/>
          </w:tcPr>
          <w:p w14:paraId="32FEF8F0" w14:textId="77777777" w:rsidR="00F40A99" w:rsidRPr="009D54DF" w:rsidRDefault="00F40A99" w:rsidP="00F40A99">
            <w:pPr>
              <w:spacing w:after="0" w:line="240" w:lineRule="auto"/>
              <w:rPr>
                <w:rFonts w:ascii="Arial" w:eastAsia="Times New Roman" w:hAnsi="Arial" w:cs="Arial"/>
                <w:color w:val="000000"/>
                <w:sz w:val="18"/>
                <w:szCs w:val="18"/>
              </w:rPr>
            </w:pPr>
            <w:r w:rsidRPr="009D54DF">
              <w:rPr>
                <w:rFonts w:ascii="Arial" w:eastAsia="Times New Roman" w:hAnsi="Arial" w:cs="Arial"/>
                <w:color w:val="000000"/>
                <w:sz w:val="18"/>
                <w:szCs w:val="18"/>
              </w:rPr>
              <w:t>Base</w:t>
            </w:r>
          </w:p>
        </w:tc>
        <w:tc>
          <w:tcPr>
            <w:tcW w:w="2340" w:type="dxa"/>
            <w:tcBorders>
              <w:top w:val="nil"/>
              <w:left w:val="nil"/>
              <w:bottom w:val="single" w:sz="8" w:space="0" w:color="auto"/>
              <w:right w:val="single" w:sz="8" w:space="0" w:color="auto"/>
            </w:tcBorders>
            <w:shd w:val="clear" w:color="auto" w:fill="auto"/>
            <w:vAlign w:val="center"/>
            <w:hideMark/>
          </w:tcPr>
          <w:p w14:paraId="7AA0DBE9" w14:textId="37F61BDC" w:rsidR="00F40A99" w:rsidRPr="009D54DF" w:rsidRDefault="00F40A99" w:rsidP="00F40A99">
            <w:pPr>
              <w:spacing w:after="0" w:line="240" w:lineRule="auto"/>
              <w:jc w:val="right"/>
              <w:rPr>
                <w:rFonts w:ascii="Arial" w:eastAsia="Times New Roman" w:hAnsi="Arial" w:cs="Arial"/>
                <w:color w:val="000000"/>
                <w:sz w:val="18"/>
                <w:szCs w:val="18"/>
              </w:rPr>
            </w:pPr>
            <w:r w:rsidRPr="009D54DF">
              <w:rPr>
                <w:rFonts w:ascii="Arial" w:eastAsia="Times New Roman" w:hAnsi="Arial" w:cs="Arial"/>
                <w:color w:val="000000"/>
                <w:sz w:val="18"/>
                <w:szCs w:val="18"/>
              </w:rPr>
              <w:t>40</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334</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 xml:space="preserve">603.75 </w:t>
            </w:r>
          </w:p>
        </w:tc>
        <w:tc>
          <w:tcPr>
            <w:tcW w:w="1980" w:type="dxa"/>
            <w:tcBorders>
              <w:top w:val="nil"/>
              <w:left w:val="nil"/>
              <w:bottom w:val="single" w:sz="8" w:space="0" w:color="auto"/>
              <w:right w:val="single" w:sz="8" w:space="0" w:color="auto"/>
            </w:tcBorders>
            <w:shd w:val="clear" w:color="auto" w:fill="auto"/>
            <w:vAlign w:val="center"/>
            <w:hideMark/>
          </w:tcPr>
          <w:p w14:paraId="082179DA" w14:textId="77777777" w:rsidR="00F40A99" w:rsidRPr="009D54DF" w:rsidRDefault="00F40A99" w:rsidP="00F40A99">
            <w:pPr>
              <w:spacing w:after="0" w:line="240" w:lineRule="auto"/>
              <w:jc w:val="right"/>
              <w:rPr>
                <w:rFonts w:ascii="Arial" w:eastAsia="Times New Roman" w:hAnsi="Arial" w:cs="Arial"/>
                <w:color w:val="000000"/>
                <w:sz w:val="18"/>
                <w:szCs w:val="18"/>
              </w:rPr>
            </w:pPr>
            <w:r w:rsidRPr="009D54DF">
              <w:rPr>
                <w:rFonts w:ascii="Arial" w:eastAsia="Times New Roman" w:hAnsi="Arial" w:cs="Arial"/>
                <w:color w:val="000000"/>
                <w:sz w:val="18"/>
                <w:szCs w:val="18"/>
              </w:rPr>
              <w:t>96%</w:t>
            </w:r>
          </w:p>
        </w:tc>
        <w:tc>
          <w:tcPr>
            <w:tcW w:w="2610" w:type="dxa"/>
            <w:tcBorders>
              <w:top w:val="nil"/>
              <w:left w:val="nil"/>
              <w:bottom w:val="single" w:sz="8" w:space="0" w:color="auto"/>
              <w:right w:val="single" w:sz="8" w:space="0" w:color="auto"/>
            </w:tcBorders>
            <w:shd w:val="clear" w:color="auto" w:fill="auto"/>
            <w:vAlign w:val="center"/>
            <w:hideMark/>
          </w:tcPr>
          <w:p w14:paraId="074C4B95" w14:textId="626374A2" w:rsidR="00F40A99" w:rsidRPr="009D54DF" w:rsidRDefault="00F40A99" w:rsidP="00F40A99">
            <w:pPr>
              <w:spacing w:after="0" w:line="240" w:lineRule="auto"/>
              <w:rPr>
                <w:rFonts w:ascii="Arial" w:eastAsia="Times New Roman" w:hAnsi="Arial" w:cs="Arial"/>
                <w:color w:val="000000"/>
                <w:sz w:val="18"/>
                <w:szCs w:val="18"/>
              </w:rPr>
            </w:pPr>
            <w:r w:rsidRPr="009D54DF">
              <w:rPr>
                <w:rFonts w:ascii="Arial" w:eastAsia="Times New Roman" w:hAnsi="Arial" w:cs="Arial"/>
                <w:color w:val="000000"/>
                <w:sz w:val="18"/>
                <w:szCs w:val="18"/>
              </w:rPr>
              <w:t xml:space="preserve">                      7</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 xml:space="preserve">07 </w:t>
            </w:r>
          </w:p>
        </w:tc>
      </w:tr>
      <w:tr w:rsidR="00F40A99" w:rsidRPr="009D54DF" w14:paraId="01DDE384" w14:textId="77777777" w:rsidTr="00B4194C">
        <w:trPr>
          <w:trHeight w:val="300"/>
          <w:jc w:val="center"/>
        </w:trPr>
        <w:tc>
          <w:tcPr>
            <w:tcW w:w="1790" w:type="dxa"/>
            <w:tcBorders>
              <w:top w:val="nil"/>
              <w:left w:val="single" w:sz="8" w:space="0" w:color="auto"/>
              <w:bottom w:val="single" w:sz="8" w:space="0" w:color="auto"/>
              <w:right w:val="single" w:sz="8" w:space="0" w:color="auto"/>
            </w:tcBorders>
            <w:shd w:val="clear" w:color="auto" w:fill="auto"/>
            <w:vAlign w:val="center"/>
            <w:hideMark/>
          </w:tcPr>
          <w:p w14:paraId="2E278EBB" w14:textId="77777777" w:rsidR="00F40A99" w:rsidRPr="009D54DF" w:rsidRDefault="00F40A99" w:rsidP="00F40A99">
            <w:pPr>
              <w:spacing w:after="0" w:line="240" w:lineRule="auto"/>
              <w:rPr>
                <w:rFonts w:ascii="Arial" w:eastAsia="Times New Roman" w:hAnsi="Arial" w:cs="Arial"/>
                <w:color w:val="000000"/>
                <w:sz w:val="18"/>
                <w:szCs w:val="18"/>
              </w:rPr>
            </w:pPr>
            <w:proofErr w:type="spellStart"/>
            <w:r w:rsidRPr="009D54DF">
              <w:rPr>
                <w:rFonts w:ascii="Arial" w:eastAsia="Times New Roman" w:hAnsi="Arial" w:cs="Arial"/>
                <w:color w:val="000000"/>
                <w:sz w:val="18"/>
                <w:szCs w:val="18"/>
              </w:rPr>
              <w:t>Conservador</w:t>
            </w:r>
            <w:proofErr w:type="spellEnd"/>
            <w:r w:rsidRPr="009D54DF">
              <w:rPr>
                <w:rFonts w:ascii="Arial" w:eastAsia="Times New Roman" w:hAnsi="Arial" w:cs="Arial"/>
                <w:color w:val="000000"/>
                <w:sz w:val="18"/>
                <w:szCs w:val="18"/>
              </w:rPr>
              <w:t xml:space="preserve"> </w:t>
            </w:r>
          </w:p>
        </w:tc>
        <w:tc>
          <w:tcPr>
            <w:tcW w:w="2340" w:type="dxa"/>
            <w:tcBorders>
              <w:top w:val="nil"/>
              <w:left w:val="nil"/>
              <w:bottom w:val="single" w:sz="8" w:space="0" w:color="auto"/>
              <w:right w:val="single" w:sz="8" w:space="0" w:color="auto"/>
            </w:tcBorders>
            <w:shd w:val="clear" w:color="auto" w:fill="auto"/>
            <w:vAlign w:val="center"/>
            <w:hideMark/>
          </w:tcPr>
          <w:p w14:paraId="3E9B6810" w14:textId="439E9CB1" w:rsidR="00F40A99" w:rsidRPr="009D54DF" w:rsidRDefault="00F40A99" w:rsidP="00F40A99">
            <w:pPr>
              <w:spacing w:after="0" w:line="240" w:lineRule="auto"/>
              <w:jc w:val="right"/>
              <w:rPr>
                <w:rFonts w:ascii="Arial" w:eastAsia="Times New Roman" w:hAnsi="Arial" w:cs="Arial"/>
                <w:color w:val="000000"/>
                <w:sz w:val="18"/>
                <w:szCs w:val="18"/>
              </w:rPr>
            </w:pPr>
            <w:r w:rsidRPr="009D54DF">
              <w:rPr>
                <w:rFonts w:ascii="Arial" w:eastAsia="Times New Roman" w:hAnsi="Arial" w:cs="Arial"/>
                <w:color w:val="000000"/>
                <w:sz w:val="18"/>
                <w:szCs w:val="18"/>
              </w:rPr>
              <w:t>14</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446</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 xml:space="preserve">785.34 </w:t>
            </w:r>
          </w:p>
        </w:tc>
        <w:tc>
          <w:tcPr>
            <w:tcW w:w="1980" w:type="dxa"/>
            <w:tcBorders>
              <w:top w:val="nil"/>
              <w:left w:val="nil"/>
              <w:bottom w:val="single" w:sz="8" w:space="0" w:color="auto"/>
              <w:right w:val="single" w:sz="8" w:space="0" w:color="auto"/>
            </w:tcBorders>
            <w:shd w:val="clear" w:color="auto" w:fill="auto"/>
            <w:vAlign w:val="center"/>
            <w:hideMark/>
          </w:tcPr>
          <w:p w14:paraId="6AF3F644" w14:textId="77777777" w:rsidR="00F40A99" w:rsidRPr="009D54DF" w:rsidRDefault="00F40A99" w:rsidP="00F40A99">
            <w:pPr>
              <w:spacing w:after="0" w:line="240" w:lineRule="auto"/>
              <w:jc w:val="right"/>
              <w:rPr>
                <w:rFonts w:ascii="Arial" w:eastAsia="Times New Roman" w:hAnsi="Arial" w:cs="Arial"/>
                <w:color w:val="000000"/>
                <w:sz w:val="18"/>
                <w:szCs w:val="18"/>
              </w:rPr>
            </w:pPr>
            <w:r w:rsidRPr="009D54DF">
              <w:rPr>
                <w:rFonts w:ascii="Arial" w:eastAsia="Times New Roman" w:hAnsi="Arial" w:cs="Arial"/>
                <w:color w:val="000000"/>
                <w:sz w:val="18"/>
                <w:szCs w:val="18"/>
              </w:rPr>
              <w:t>45%</w:t>
            </w:r>
          </w:p>
        </w:tc>
        <w:tc>
          <w:tcPr>
            <w:tcW w:w="2610" w:type="dxa"/>
            <w:tcBorders>
              <w:top w:val="nil"/>
              <w:left w:val="nil"/>
              <w:bottom w:val="single" w:sz="8" w:space="0" w:color="auto"/>
              <w:right w:val="single" w:sz="8" w:space="0" w:color="auto"/>
            </w:tcBorders>
            <w:shd w:val="clear" w:color="auto" w:fill="auto"/>
            <w:vAlign w:val="center"/>
            <w:hideMark/>
          </w:tcPr>
          <w:p w14:paraId="2C3B8158" w14:textId="33E1832E" w:rsidR="00F40A99" w:rsidRPr="009D54DF" w:rsidRDefault="00F40A99" w:rsidP="00F40A99">
            <w:pPr>
              <w:spacing w:after="0" w:line="240" w:lineRule="auto"/>
              <w:rPr>
                <w:rFonts w:ascii="Arial" w:eastAsia="Times New Roman" w:hAnsi="Arial" w:cs="Arial"/>
                <w:color w:val="000000"/>
                <w:sz w:val="18"/>
                <w:szCs w:val="18"/>
              </w:rPr>
            </w:pPr>
            <w:r w:rsidRPr="009D54DF">
              <w:rPr>
                <w:rFonts w:ascii="Arial" w:eastAsia="Times New Roman" w:hAnsi="Arial" w:cs="Arial"/>
                <w:color w:val="000000"/>
                <w:sz w:val="18"/>
                <w:szCs w:val="18"/>
              </w:rPr>
              <w:t xml:space="preserve">                      3</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 xml:space="preserve">18 </w:t>
            </w:r>
          </w:p>
        </w:tc>
      </w:tr>
      <w:tr w:rsidR="00F40A99" w:rsidRPr="009D54DF" w14:paraId="49DD0310" w14:textId="77777777" w:rsidTr="00B4194C">
        <w:trPr>
          <w:trHeight w:val="300"/>
          <w:jc w:val="center"/>
        </w:trPr>
        <w:tc>
          <w:tcPr>
            <w:tcW w:w="1790" w:type="dxa"/>
            <w:tcBorders>
              <w:top w:val="nil"/>
              <w:left w:val="single" w:sz="8" w:space="0" w:color="auto"/>
              <w:bottom w:val="single" w:sz="8" w:space="0" w:color="auto"/>
              <w:right w:val="single" w:sz="8" w:space="0" w:color="auto"/>
            </w:tcBorders>
            <w:shd w:val="clear" w:color="auto" w:fill="auto"/>
            <w:vAlign w:val="center"/>
            <w:hideMark/>
          </w:tcPr>
          <w:p w14:paraId="386DEA90" w14:textId="77777777" w:rsidR="00F40A99" w:rsidRPr="009D54DF" w:rsidRDefault="00F40A99" w:rsidP="00F40A99">
            <w:pPr>
              <w:spacing w:after="0" w:line="240" w:lineRule="auto"/>
              <w:rPr>
                <w:rFonts w:ascii="Arial" w:eastAsia="Times New Roman" w:hAnsi="Arial" w:cs="Arial"/>
                <w:color w:val="000000"/>
                <w:sz w:val="18"/>
                <w:szCs w:val="18"/>
              </w:rPr>
            </w:pPr>
            <w:proofErr w:type="spellStart"/>
            <w:r w:rsidRPr="009D54DF">
              <w:rPr>
                <w:rFonts w:ascii="Arial" w:eastAsia="Times New Roman" w:hAnsi="Arial" w:cs="Arial"/>
                <w:color w:val="000000"/>
                <w:sz w:val="18"/>
                <w:szCs w:val="18"/>
              </w:rPr>
              <w:t>Optimista</w:t>
            </w:r>
            <w:proofErr w:type="spellEnd"/>
          </w:p>
        </w:tc>
        <w:tc>
          <w:tcPr>
            <w:tcW w:w="2340" w:type="dxa"/>
            <w:tcBorders>
              <w:top w:val="nil"/>
              <w:left w:val="nil"/>
              <w:bottom w:val="single" w:sz="8" w:space="0" w:color="auto"/>
              <w:right w:val="single" w:sz="8" w:space="0" w:color="auto"/>
            </w:tcBorders>
            <w:shd w:val="clear" w:color="auto" w:fill="auto"/>
            <w:vAlign w:val="center"/>
            <w:hideMark/>
          </w:tcPr>
          <w:p w14:paraId="6BCC6536" w14:textId="0BB4055E" w:rsidR="00F40A99" w:rsidRPr="009D54DF" w:rsidRDefault="00F40A99" w:rsidP="00F40A99">
            <w:pPr>
              <w:spacing w:after="0" w:line="240" w:lineRule="auto"/>
              <w:jc w:val="right"/>
              <w:rPr>
                <w:rFonts w:ascii="Arial" w:eastAsia="Times New Roman" w:hAnsi="Arial" w:cs="Arial"/>
                <w:color w:val="000000"/>
                <w:sz w:val="18"/>
                <w:szCs w:val="18"/>
              </w:rPr>
            </w:pPr>
            <w:r w:rsidRPr="009D54DF">
              <w:rPr>
                <w:rFonts w:ascii="Arial" w:eastAsia="Times New Roman" w:hAnsi="Arial" w:cs="Arial"/>
                <w:color w:val="000000"/>
                <w:sz w:val="18"/>
                <w:szCs w:val="18"/>
              </w:rPr>
              <w:t>72</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818</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 xml:space="preserve">040.28 </w:t>
            </w:r>
          </w:p>
        </w:tc>
        <w:tc>
          <w:tcPr>
            <w:tcW w:w="1980" w:type="dxa"/>
            <w:tcBorders>
              <w:top w:val="nil"/>
              <w:left w:val="nil"/>
              <w:bottom w:val="single" w:sz="8" w:space="0" w:color="auto"/>
              <w:right w:val="single" w:sz="8" w:space="0" w:color="auto"/>
            </w:tcBorders>
            <w:shd w:val="clear" w:color="auto" w:fill="auto"/>
            <w:vAlign w:val="center"/>
            <w:hideMark/>
          </w:tcPr>
          <w:p w14:paraId="1B53C3BA" w14:textId="77777777" w:rsidR="00F40A99" w:rsidRPr="009D54DF" w:rsidRDefault="00F40A99" w:rsidP="00F40A99">
            <w:pPr>
              <w:spacing w:after="0" w:line="240" w:lineRule="auto"/>
              <w:jc w:val="right"/>
              <w:rPr>
                <w:rFonts w:ascii="Arial" w:eastAsia="Times New Roman" w:hAnsi="Arial" w:cs="Arial"/>
                <w:color w:val="000000"/>
                <w:sz w:val="18"/>
                <w:szCs w:val="18"/>
              </w:rPr>
            </w:pPr>
            <w:r w:rsidRPr="009D54DF">
              <w:rPr>
                <w:rFonts w:ascii="Arial" w:eastAsia="Times New Roman" w:hAnsi="Arial" w:cs="Arial"/>
                <w:color w:val="000000"/>
                <w:sz w:val="18"/>
                <w:szCs w:val="18"/>
              </w:rPr>
              <w:t>165%</w:t>
            </w:r>
          </w:p>
        </w:tc>
        <w:tc>
          <w:tcPr>
            <w:tcW w:w="2610" w:type="dxa"/>
            <w:tcBorders>
              <w:top w:val="nil"/>
              <w:left w:val="nil"/>
              <w:bottom w:val="single" w:sz="8" w:space="0" w:color="auto"/>
              <w:right w:val="single" w:sz="8" w:space="0" w:color="auto"/>
            </w:tcBorders>
            <w:shd w:val="clear" w:color="auto" w:fill="auto"/>
            <w:vAlign w:val="center"/>
            <w:hideMark/>
          </w:tcPr>
          <w:p w14:paraId="77887AD4" w14:textId="547728D8" w:rsidR="00F40A99" w:rsidRPr="009D54DF" w:rsidRDefault="00F40A99" w:rsidP="00F40A99">
            <w:pPr>
              <w:spacing w:after="0" w:line="240" w:lineRule="auto"/>
              <w:rPr>
                <w:rFonts w:ascii="Arial" w:eastAsia="Times New Roman" w:hAnsi="Arial" w:cs="Arial"/>
                <w:color w:val="000000"/>
                <w:sz w:val="18"/>
                <w:szCs w:val="18"/>
              </w:rPr>
            </w:pPr>
            <w:r w:rsidRPr="009D54DF">
              <w:rPr>
                <w:rFonts w:ascii="Arial" w:eastAsia="Times New Roman" w:hAnsi="Arial" w:cs="Arial"/>
                <w:color w:val="000000"/>
                <w:sz w:val="18"/>
                <w:szCs w:val="18"/>
              </w:rPr>
              <w:t xml:space="preserve">                    11</w:t>
            </w:r>
            <w:r w:rsidR="009D54DF">
              <w:rPr>
                <w:rFonts w:ascii="Arial" w:eastAsia="Times New Roman" w:hAnsi="Arial" w:cs="Arial"/>
                <w:color w:val="000000"/>
                <w:sz w:val="18"/>
                <w:szCs w:val="18"/>
              </w:rPr>
              <w:t>,</w:t>
            </w:r>
            <w:r w:rsidRPr="009D54DF">
              <w:rPr>
                <w:rFonts w:ascii="Arial" w:eastAsia="Times New Roman" w:hAnsi="Arial" w:cs="Arial"/>
                <w:color w:val="000000"/>
                <w:sz w:val="18"/>
                <w:szCs w:val="18"/>
              </w:rPr>
              <w:t xml:space="preserve">96 </w:t>
            </w:r>
          </w:p>
        </w:tc>
      </w:tr>
    </w:tbl>
    <w:p w14:paraId="30EAAE2A" w14:textId="36285554" w:rsidR="00F54C43" w:rsidRDefault="00F54C43" w:rsidP="00DE6D4F">
      <w:pPr>
        <w:spacing w:line="360" w:lineRule="auto"/>
        <w:rPr>
          <w:rFonts w:ascii="Arial" w:hAnsi="Arial" w:cs="Arial"/>
          <w:lang w:val="es-ES"/>
        </w:rPr>
      </w:pPr>
    </w:p>
    <w:p w14:paraId="3A5DBBC9" w14:textId="77777777" w:rsidR="00810CC2" w:rsidRPr="006E5D7F" w:rsidRDefault="00597057" w:rsidP="0001211A">
      <w:pPr>
        <w:pStyle w:val="ListParagraph"/>
        <w:numPr>
          <w:ilvl w:val="0"/>
          <w:numId w:val="5"/>
        </w:numPr>
        <w:spacing w:before="360" w:line="360" w:lineRule="auto"/>
        <w:contextualSpacing w:val="0"/>
        <w:jc w:val="both"/>
        <w:rPr>
          <w:rFonts w:ascii="Arial" w:eastAsia="Times New Roman" w:hAnsi="Arial" w:cs="Arial"/>
          <w:b/>
          <w:color w:val="000000"/>
          <w:lang w:val="es-ES"/>
        </w:rPr>
      </w:pPr>
      <w:r w:rsidRPr="006E5D7F">
        <w:rPr>
          <w:rFonts w:ascii="Arial" w:eastAsia="Times New Roman" w:hAnsi="Arial" w:cs="Arial"/>
          <w:b/>
          <w:color w:val="000000"/>
          <w:lang w:val="es-ES"/>
        </w:rPr>
        <w:t>Conclusiones</w:t>
      </w:r>
    </w:p>
    <w:p w14:paraId="38F9E589" w14:textId="7D4877FE" w:rsidR="00EC0296" w:rsidRPr="006E5D7F" w:rsidRDefault="00134F0C" w:rsidP="006E5D7F">
      <w:pPr>
        <w:pStyle w:val="Paragraph"/>
        <w:numPr>
          <w:ilvl w:val="0"/>
          <w:numId w:val="0"/>
        </w:numPr>
        <w:spacing w:before="240" w:after="0" w:line="360" w:lineRule="auto"/>
        <w:rPr>
          <w:rFonts w:ascii="Arial" w:hAnsi="Arial" w:cs="Arial"/>
          <w:sz w:val="22"/>
          <w:szCs w:val="22"/>
        </w:rPr>
      </w:pPr>
      <w:r w:rsidRPr="00134F0C">
        <w:rPr>
          <w:rFonts w:ascii="Arial" w:hAnsi="Arial" w:cs="Arial"/>
          <w:sz w:val="22"/>
          <w:szCs w:val="22"/>
        </w:rPr>
        <w:t>P</w:t>
      </w:r>
      <w:r w:rsidR="00924B0A" w:rsidRPr="00134F0C">
        <w:rPr>
          <w:rFonts w:ascii="Arial" w:hAnsi="Arial" w:cs="Arial"/>
          <w:sz w:val="22"/>
          <w:szCs w:val="22"/>
        </w:rPr>
        <w:t xml:space="preserve">uede afirmarse que el </w:t>
      </w:r>
      <w:r w:rsidR="00B82DDE">
        <w:rPr>
          <w:rFonts w:ascii="Arial" w:hAnsi="Arial" w:cs="Arial"/>
          <w:sz w:val="22"/>
          <w:szCs w:val="22"/>
        </w:rPr>
        <w:t>p</w:t>
      </w:r>
      <w:r w:rsidR="00924B0A" w:rsidRPr="00134F0C">
        <w:rPr>
          <w:rFonts w:ascii="Arial" w:hAnsi="Arial" w:cs="Arial"/>
          <w:sz w:val="22"/>
          <w:szCs w:val="22"/>
        </w:rPr>
        <w:t xml:space="preserve">rograma posee una alta </w:t>
      </w:r>
      <w:r w:rsidR="00691B45" w:rsidRPr="00134F0C">
        <w:rPr>
          <w:rFonts w:ascii="Arial" w:hAnsi="Arial" w:cs="Arial"/>
          <w:sz w:val="22"/>
          <w:szCs w:val="22"/>
        </w:rPr>
        <w:t xml:space="preserve">rentabilidad </w:t>
      </w:r>
      <w:r w:rsidR="000C2038">
        <w:rPr>
          <w:rFonts w:ascii="Arial" w:hAnsi="Arial" w:cs="Arial"/>
          <w:sz w:val="22"/>
          <w:szCs w:val="22"/>
        </w:rPr>
        <w:t>económica</w:t>
      </w:r>
      <w:r w:rsidR="00691B45" w:rsidRPr="00134F0C">
        <w:rPr>
          <w:rFonts w:ascii="Arial" w:hAnsi="Arial" w:cs="Arial"/>
          <w:sz w:val="22"/>
          <w:szCs w:val="22"/>
        </w:rPr>
        <w:t xml:space="preserve">. Aun en </w:t>
      </w:r>
      <w:r w:rsidRPr="00134F0C">
        <w:rPr>
          <w:rFonts w:ascii="Arial" w:hAnsi="Arial" w:cs="Arial"/>
          <w:sz w:val="22"/>
          <w:szCs w:val="22"/>
        </w:rPr>
        <w:t xml:space="preserve">el </w:t>
      </w:r>
      <w:r w:rsidR="00691B45" w:rsidRPr="00134F0C">
        <w:rPr>
          <w:rFonts w:ascii="Arial" w:hAnsi="Arial" w:cs="Arial"/>
          <w:sz w:val="22"/>
          <w:szCs w:val="22"/>
        </w:rPr>
        <w:t>escenario más conservador</w:t>
      </w:r>
      <w:r>
        <w:rPr>
          <w:rFonts w:ascii="Arial" w:hAnsi="Arial" w:cs="Arial"/>
          <w:sz w:val="22"/>
          <w:szCs w:val="22"/>
        </w:rPr>
        <w:t>,</w:t>
      </w:r>
      <w:r w:rsidR="00691B45" w:rsidRPr="00134F0C">
        <w:rPr>
          <w:rFonts w:ascii="Arial" w:hAnsi="Arial" w:cs="Arial"/>
          <w:sz w:val="22"/>
          <w:szCs w:val="22"/>
        </w:rPr>
        <w:t xml:space="preserve"> se</w:t>
      </w:r>
      <w:r w:rsidR="00924B0A" w:rsidRPr="00134F0C">
        <w:rPr>
          <w:rFonts w:ascii="Arial" w:hAnsi="Arial" w:cs="Arial"/>
          <w:sz w:val="22"/>
          <w:szCs w:val="22"/>
        </w:rPr>
        <w:t xml:space="preserve"> mantiene la rentabilidad, observando una razón </w:t>
      </w:r>
      <w:r w:rsidR="00691B45" w:rsidRPr="00134F0C">
        <w:rPr>
          <w:rFonts w:ascii="Arial" w:hAnsi="Arial" w:cs="Arial"/>
          <w:sz w:val="22"/>
          <w:szCs w:val="22"/>
        </w:rPr>
        <w:t>beneficio-costo</w:t>
      </w:r>
      <w:r w:rsidR="00924B0A" w:rsidRPr="00134F0C">
        <w:rPr>
          <w:rFonts w:ascii="Arial" w:hAnsi="Arial" w:cs="Arial"/>
          <w:sz w:val="22"/>
          <w:szCs w:val="22"/>
        </w:rPr>
        <w:t xml:space="preserve"> de </w:t>
      </w:r>
      <w:r w:rsidR="003130B9">
        <w:rPr>
          <w:rFonts w:ascii="Arial" w:hAnsi="Arial" w:cs="Arial"/>
          <w:sz w:val="22"/>
          <w:szCs w:val="22"/>
        </w:rPr>
        <w:t>3</w:t>
      </w:r>
      <w:r w:rsidR="00B82DDE">
        <w:rPr>
          <w:rFonts w:ascii="Arial" w:hAnsi="Arial" w:cs="Arial"/>
          <w:sz w:val="22"/>
          <w:szCs w:val="22"/>
        </w:rPr>
        <w:t>,</w:t>
      </w:r>
      <w:r w:rsidR="00F40A99">
        <w:rPr>
          <w:rFonts w:ascii="Arial" w:hAnsi="Arial" w:cs="Arial"/>
          <w:sz w:val="22"/>
          <w:szCs w:val="22"/>
        </w:rPr>
        <w:t>18</w:t>
      </w:r>
      <w:r w:rsidR="00924B0A" w:rsidRPr="00134F0C">
        <w:rPr>
          <w:rFonts w:ascii="Arial" w:hAnsi="Arial" w:cs="Arial"/>
          <w:sz w:val="22"/>
          <w:szCs w:val="22"/>
        </w:rPr>
        <w:t xml:space="preserve"> dólares por cada dólar invertido, con una TIR del </w:t>
      </w:r>
      <w:r w:rsidR="00A14835">
        <w:rPr>
          <w:rFonts w:ascii="Arial" w:hAnsi="Arial" w:cs="Arial"/>
          <w:sz w:val="22"/>
          <w:szCs w:val="22"/>
        </w:rPr>
        <w:t>4</w:t>
      </w:r>
      <w:r w:rsidR="00F40A99">
        <w:rPr>
          <w:rFonts w:ascii="Arial" w:hAnsi="Arial" w:cs="Arial"/>
          <w:sz w:val="22"/>
          <w:szCs w:val="22"/>
        </w:rPr>
        <w:t>5</w:t>
      </w:r>
      <w:r w:rsidR="00A14835">
        <w:rPr>
          <w:rFonts w:ascii="Arial" w:hAnsi="Arial" w:cs="Arial"/>
          <w:sz w:val="22"/>
          <w:szCs w:val="22"/>
        </w:rPr>
        <w:t>%</w:t>
      </w:r>
      <w:r w:rsidR="00924B0A" w:rsidRPr="00134F0C">
        <w:rPr>
          <w:rFonts w:ascii="Arial" w:hAnsi="Arial" w:cs="Arial"/>
          <w:sz w:val="22"/>
          <w:szCs w:val="22"/>
        </w:rPr>
        <w:t xml:space="preserve"> superior a la tasa del 12% establecida como estándar del Banco.</w:t>
      </w:r>
      <w:r w:rsidR="00722D81" w:rsidRPr="00134F0C">
        <w:rPr>
          <w:rFonts w:ascii="Arial" w:hAnsi="Arial" w:cs="Arial"/>
          <w:sz w:val="22"/>
          <w:szCs w:val="22"/>
        </w:rPr>
        <w:t xml:space="preserve"> </w:t>
      </w:r>
      <w:r>
        <w:rPr>
          <w:rFonts w:ascii="Arial" w:hAnsi="Arial" w:cs="Arial"/>
          <w:sz w:val="22"/>
          <w:szCs w:val="22"/>
        </w:rPr>
        <w:t xml:space="preserve">Estos resultados reflejan la gran brecha en materia de ciberseguridad que el </w:t>
      </w:r>
      <w:r w:rsidR="00B82DDE">
        <w:rPr>
          <w:rFonts w:ascii="Arial" w:hAnsi="Arial" w:cs="Arial"/>
          <w:sz w:val="22"/>
          <w:szCs w:val="22"/>
        </w:rPr>
        <w:t>p</w:t>
      </w:r>
      <w:r>
        <w:rPr>
          <w:rFonts w:ascii="Arial" w:hAnsi="Arial" w:cs="Arial"/>
          <w:sz w:val="22"/>
          <w:szCs w:val="22"/>
        </w:rPr>
        <w:t xml:space="preserve">rograma apunta reducir. </w:t>
      </w:r>
    </w:p>
    <w:sectPr w:rsidR="00EC0296" w:rsidRPr="006E5D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0772" w14:textId="77777777" w:rsidR="00A45647" w:rsidRDefault="00A45647" w:rsidP="007E4FB3">
      <w:pPr>
        <w:spacing w:after="0" w:line="240" w:lineRule="auto"/>
      </w:pPr>
      <w:r>
        <w:separator/>
      </w:r>
    </w:p>
  </w:endnote>
  <w:endnote w:type="continuationSeparator" w:id="0">
    <w:p w14:paraId="50E7015B" w14:textId="77777777" w:rsidR="00A45647" w:rsidRDefault="00A45647" w:rsidP="007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08140"/>
      <w:docPartObj>
        <w:docPartGallery w:val="Page Numbers (Bottom of Page)"/>
        <w:docPartUnique/>
      </w:docPartObj>
    </w:sdtPr>
    <w:sdtEndPr>
      <w:rPr>
        <w:noProof/>
      </w:rPr>
    </w:sdtEndPr>
    <w:sdtContent>
      <w:p w14:paraId="260BF7EE" w14:textId="77777777" w:rsidR="00C0596F" w:rsidRDefault="00C0596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433327D" w14:textId="77777777" w:rsidR="00C0596F" w:rsidRDefault="00C0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6E312" w14:textId="77777777" w:rsidR="00A45647" w:rsidRDefault="00A45647" w:rsidP="007E4FB3">
      <w:pPr>
        <w:spacing w:after="0" w:line="240" w:lineRule="auto"/>
      </w:pPr>
      <w:r>
        <w:separator/>
      </w:r>
    </w:p>
  </w:footnote>
  <w:footnote w:type="continuationSeparator" w:id="0">
    <w:p w14:paraId="5914230E" w14:textId="77777777" w:rsidR="00A45647" w:rsidRDefault="00A45647" w:rsidP="007E4FB3">
      <w:pPr>
        <w:spacing w:after="0" w:line="240" w:lineRule="auto"/>
      </w:pPr>
      <w:r>
        <w:continuationSeparator/>
      </w:r>
    </w:p>
  </w:footnote>
  <w:footnote w:id="1">
    <w:p w14:paraId="7E703F4B" w14:textId="33287B06" w:rsidR="0001211A" w:rsidRPr="00B314A5" w:rsidRDefault="0001211A" w:rsidP="00B314A5">
      <w:pPr>
        <w:pStyle w:val="FootnoteText"/>
        <w:ind w:left="270" w:hanging="270"/>
        <w:jc w:val="both"/>
        <w:rPr>
          <w:rFonts w:ascii="Arial" w:hAnsi="Arial" w:cs="Arial"/>
          <w:sz w:val="18"/>
          <w:szCs w:val="18"/>
          <w:lang w:val="fr-FR"/>
        </w:rPr>
      </w:pPr>
      <w:r w:rsidRPr="0001211A">
        <w:rPr>
          <w:rStyle w:val="FootnoteReference"/>
          <w:rFonts w:ascii="Arial" w:hAnsi="Arial" w:cs="Arial"/>
          <w:sz w:val="18"/>
          <w:szCs w:val="18"/>
        </w:rPr>
        <w:footnoteRef/>
      </w:r>
      <w:r w:rsidRPr="00B314A5">
        <w:rPr>
          <w:rFonts w:ascii="Arial" w:hAnsi="Arial" w:cs="Arial"/>
          <w:sz w:val="18"/>
          <w:szCs w:val="18"/>
          <w:lang w:val="fr-FR"/>
        </w:rPr>
        <w:t xml:space="preserve"> </w:t>
      </w:r>
      <w:r w:rsidR="00B314A5">
        <w:rPr>
          <w:rFonts w:ascii="Arial" w:hAnsi="Arial" w:cs="Arial"/>
          <w:sz w:val="18"/>
          <w:szCs w:val="18"/>
          <w:lang w:val="fr-FR"/>
        </w:rPr>
        <w:tab/>
      </w:r>
      <w:hyperlink r:id="rId1" w:history="1">
        <w:r w:rsidRPr="00B314A5">
          <w:rPr>
            <w:rStyle w:val="Hyperlink"/>
            <w:rFonts w:ascii="Arial" w:hAnsi="Arial" w:cs="Arial"/>
            <w:sz w:val="18"/>
            <w:szCs w:val="18"/>
            <w:lang w:val="fr-FR"/>
          </w:rPr>
          <w:t>Internet Crime Report</w:t>
        </w:r>
      </w:hyperlink>
      <w:r w:rsidR="00B314A5" w:rsidRPr="00B314A5">
        <w:rPr>
          <w:rFonts w:ascii="Arial" w:hAnsi="Arial" w:cs="Arial"/>
          <w:sz w:val="18"/>
          <w:szCs w:val="18"/>
          <w:lang w:val="fr-FR"/>
        </w:rPr>
        <w:t>.</w:t>
      </w:r>
    </w:p>
  </w:footnote>
  <w:footnote w:id="2">
    <w:p w14:paraId="68D26E9B" w14:textId="330459AA" w:rsidR="00C0596F" w:rsidRPr="00B314A5" w:rsidRDefault="00C0596F" w:rsidP="00B314A5">
      <w:pPr>
        <w:pStyle w:val="FootnoteText"/>
        <w:ind w:left="270" w:hanging="270"/>
        <w:jc w:val="both"/>
        <w:rPr>
          <w:rFonts w:ascii="Arial" w:hAnsi="Arial" w:cs="Arial"/>
          <w:sz w:val="18"/>
          <w:szCs w:val="18"/>
          <w:lang w:val="fr-FR"/>
        </w:rPr>
      </w:pPr>
      <w:r w:rsidRPr="0001211A">
        <w:rPr>
          <w:rStyle w:val="FootnoteReference"/>
          <w:rFonts w:ascii="Arial" w:hAnsi="Arial" w:cs="Arial"/>
          <w:sz w:val="18"/>
          <w:szCs w:val="18"/>
        </w:rPr>
        <w:footnoteRef/>
      </w:r>
      <w:r w:rsidRPr="00B314A5">
        <w:rPr>
          <w:rFonts w:ascii="Arial" w:hAnsi="Arial" w:cs="Arial"/>
          <w:sz w:val="18"/>
          <w:szCs w:val="18"/>
          <w:lang w:val="fr-FR"/>
        </w:rPr>
        <w:t xml:space="preserve"> </w:t>
      </w:r>
      <w:r w:rsidR="00B314A5">
        <w:rPr>
          <w:rFonts w:ascii="Arial" w:hAnsi="Arial" w:cs="Arial"/>
          <w:sz w:val="18"/>
          <w:szCs w:val="18"/>
          <w:lang w:val="fr-FR"/>
        </w:rPr>
        <w:tab/>
      </w:r>
      <w:r w:rsidR="00A45647">
        <w:fldChar w:fldCharType="begin"/>
      </w:r>
      <w:r w:rsidR="00A45647" w:rsidRPr="0005612C">
        <w:rPr>
          <w:lang w:val="fr-FR"/>
        </w:rPr>
        <w:instrText xml:space="preserve"> HYPERLINK "https://www.nytimes.com/2018/02/05/nyregion/cyber-crimes-unreported.html" </w:instrText>
      </w:r>
      <w:r w:rsidR="00A45647">
        <w:fldChar w:fldCharType="separate"/>
      </w:r>
      <w:r w:rsidR="00B314A5" w:rsidRPr="00B314A5">
        <w:rPr>
          <w:rStyle w:val="Hyperlink"/>
          <w:rFonts w:ascii="Arial" w:hAnsi="Arial" w:cs="Arial"/>
          <w:sz w:val="18"/>
          <w:szCs w:val="18"/>
          <w:lang w:val="fr-FR"/>
        </w:rPr>
        <w:t>Crime Complaint Center</w:t>
      </w:r>
      <w:r w:rsidR="00A45647">
        <w:rPr>
          <w:rStyle w:val="Hyperlink"/>
          <w:rFonts w:ascii="Arial" w:hAnsi="Arial" w:cs="Arial"/>
          <w:sz w:val="18"/>
          <w:szCs w:val="18"/>
          <w:lang w:val="fr-FR"/>
        </w:rPr>
        <w:fldChar w:fldCharType="end"/>
      </w:r>
      <w:r w:rsidR="00B314A5">
        <w:rPr>
          <w:rFonts w:ascii="Arial" w:hAnsi="Arial" w:cs="Arial"/>
          <w:sz w:val="18"/>
          <w:szCs w:val="18"/>
          <w:lang w:val="fr-FR"/>
        </w:rPr>
        <w:t>.</w:t>
      </w:r>
      <w:r w:rsidR="00B314A5" w:rsidRPr="00B314A5">
        <w:rPr>
          <w:rFonts w:ascii="Arial" w:hAnsi="Arial" w:cs="Arial"/>
          <w:sz w:val="18"/>
          <w:szCs w:val="18"/>
          <w:lang w:val="fr-FR"/>
        </w:rPr>
        <w:t xml:space="preserve"> </w:t>
      </w:r>
    </w:p>
  </w:footnote>
  <w:footnote w:id="3">
    <w:p w14:paraId="7B3D8E59" w14:textId="48F0A959" w:rsidR="00C0596F" w:rsidRPr="00B314A5" w:rsidRDefault="00C0596F" w:rsidP="00B314A5">
      <w:pPr>
        <w:pStyle w:val="FootnoteText"/>
        <w:ind w:left="270" w:hanging="270"/>
        <w:jc w:val="both"/>
        <w:rPr>
          <w:rFonts w:ascii="Arial" w:hAnsi="Arial" w:cs="Arial"/>
          <w:sz w:val="18"/>
          <w:szCs w:val="18"/>
        </w:rPr>
      </w:pPr>
      <w:r w:rsidRPr="0001211A">
        <w:rPr>
          <w:rStyle w:val="FootnoteReference"/>
          <w:rFonts w:ascii="Arial" w:hAnsi="Arial" w:cs="Arial"/>
          <w:sz w:val="18"/>
          <w:szCs w:val="18"/>
        </w:rPr>
        <w:footnoteRef/>
      </w:r>
      <w:r w:rsidRPr="00B314A5">
        <w:rPr>
          <w:rFonts w:ascii="Arial" w:hAnsi="Arial" w:cs="Arial"/>
          <w:sz w:val="18"/>
          <w:szCs w:val="18"/>
        </w:rPr>
        <w:t xml:space="preserve"> </w:t>
      </w:r>
      <w:r w:rsidR="00B314A5">
        <w:rPr>
          <w:rFonts w:ascii="Arial" w:hAnsi="Arial" w:cs="Arial"/>
          <w:sz w:val="18"/>
          <w:szCs w:val="18"/>
        </w:rPr>
        <w:tab/>
      </w:r>
      <w:hyperlink r:id="rId2" w:history="1">
        <w:r w:rsidR="00B314A5" w:rsidRPr="00B314A5">
          <w:rPr>
            <w:rStyle w:val="Hyperlink"/>
            <w:rFonts w:ascii="Arial" w:hAnsi="Arial" w:cs="Arial"/>
            <w:sz w:val="18"/>
            <w:szCs w:val="18"/>
          </w:rPr>
          <w:t xml:space="preserve">2017 </w:t>
        </w:r>
        <w:r w:rsidR="00B314A5" w:rsidRPr="00B314A5">
          <w:rPr>
            <w:rStyle w:val="Hyperlink"/>
            <w:rFonts w:ascii="Arial" w:hAnsi="Arial" w:cs="Arial"/>
            <w:i/>
            <w:sz w:val="18"/>
            <w:szCs w:val="18"/>
          </w:rPr>
          <w:t>Cost of Cyber Crime Study</w:t>
        </w:r>
      </w:hyperlink>
      <w:r w:rsidR="00B314A5">
        <w:rPr>
          <w:rFonts w:ascii="Arial" w:hAnsi="Arial" w:cs="Arial"/>
          <w:sz w:val="18"/>
          <w:szCs w:val="18"/>
        </w:rPr>
        <w:t xml:space="preserve">. </w:t>
      </w:r>
    </w:p>
  </w:footnote>
  <w:footnote w:id="4">
    <w:p w14:paraId="0880D0CC" w14:textId="630ED563" w:rsidR="00B314A5" w:rsidRPr="00362A1D" w:rsidRDefault="00B314A5" w:rsidP="00B314A5">
      <w:pPr>
        <w:pStyle w:val="FootnoteText"/>
        <w:ind w:left="270" w:hanging="270"/>
        <w:jc w:val="both"/>
        <w:rPr>
          <w:lang w:val="es-CO"/>
        </w:rPr>
      </w:pPr>
      <w:r w:rsidRPr="0001211A">
        <w:rPr>
          <w:rStyle w:val="FootnoteReference"/>
          <w:rFonts w:ascii="Arial" w:hAnsi="Arial" w:cs="Arial"/>
          <w:sz w:val="18"/>
          <w:szCs w:val="18"/>
        </w:rPr>
        <w:footnoteRef/>
      </w:r>
      <w:r w:rsidRPr="0001211A">
        <w:rPr>
          <w:rFonts w:ascii="Arial" w:hAnsi="Arial" w:cs="Arial"/>
          <w:sz w:val="18"/>
          <w:szCs w:val="18"/>
          <w:lang w:val="es-CO"/>
        </w:rPr>
        <w:t xml:space="preserve"> </w:t>
      </w:r>
      <w:r>
        <w:rPr>
          <w:rFonts w:ascii="Arial" w:hAnsi="Arial" w:cs="Arial"/>
          <w:sz w:val="18"/>
          <w:szCs w:val="18"/>
          <w:lang w:val="es-CO"/>
        </w:rPr>
        <w:tab/>
      </w:r>
      <w:r w:rsidRPr="0001211A">
        <w:rPr>
          <w:rFonts w:ascii="Arial" w:hAnsi="Arial" w:cs="Arial"/>
          <w:sz w:val="18"/>
          <w:szCs w:val="18"/>
          <w:lang w:val="es-CO"/>
        </w:rPr>
        <w:t xml:space="preserve">Esta cifra es conservadora considerando que una extrapolación de una estimación de CSIS y </w:t>
      </w:r>
      <w:r w:rsidRPr="00B314A5">
        <w:rPr>
          <w:rFonts w:ascii="Arial" w:hAnsi="Arial" w:cs="Arial"/>
          <w:i/>
          <w:sz w:val="18"/>
          <w:szCs w:val="18"/>
          <w:lang w:val="es-CO"/>
        </w:rPr>
        <w:t>McAfee</w:t>
      </w:r>
      <w:r w:rsidRPr="0001211A">
        <w:rPr>
          <w:rFonts w:ascii="Arial" w:hAnsi="Arial" w:cs="Arial"/>
          <w:sz w:val="18"/>
          <w:szCs w:val="18"/>
          <w:lang w:val="es-CO"/>
        </w:rPr>
        <w:t xml:space="preserve"> daría que el impacto total para Uruguay es de entre US$75-150 millones. Ver </w:t>
      </w:r>
      <w:r w:rsidR="00A45647">
        <w:fldChar w:fldCharType="begin"/>
      </w:r>
      <w:r w:rsidR="00A45647" w:rsidRPr="0005612C">
        <w:rPr>
          <w:lang w:val="es-ES_tradnl"/>
        </w:rPr>
        <w:instrText xml:space="preserve"> HYPERLINK "https://www.mcafee.com/enterprise/en-us/assets/reports/restricted/rp-</w:instrText>
      </w:r>
      <w:r w:rsidR="00A45647" w:rsidRPr="0005612C">
        <w:rPr>
          <w:lang w:val="es-ES_tradnl"/>
        </w:rPr>
        <w:instrText xml:space="preserve">economic-impact-cybercrime.pdf" </w:instrText>
      </w:r>
      <w:r w:rsidR="00A45647">
        <w:fldChar w:fldCharType="separate"/>
      </w:r>
      <w:r w:rsidRPr="00B314A5">
        <w:rPr>
          <w:rStyle w:val="Hyperlink"/>
          <w:rFonts w:ascii="Arial" w:hAnsi="Arial" w:cs="Arial"/>
          <w:sz w:val="18"/>
          <w:szCs w:val="18"/>
          <w:lang w:val="es-CO"/>
        </w:rPr>
        <w:t>página 7</w:t>
      </w:r>
      <w:r w:rsidR="00A45647">
        <w:rPr>
          <w:rStyle w:val="Hyperlink"/>
          <w:rFonts w:ascii="Arial" w:hAnsi="Arial" w:cs="Arial"/>
          <w:sz w:val="18"/>
          <w:szCs w:val="18"/>
          <w:lang w:val="es-CO"/>
        </w:rPr>
        <w:fldChar w:fldCharType="end"/>
      </w:r>
      <w:r w:rsidRPr="0001211A">
        <w:rPr>
          <w:rFonts w:ascii="Arial" w:eastAsia="Times New Roman" w:hAnsi="Arial" w:cs="Arial"/>
          <w:sz w:val="18"/>
          <w:szCs w:val="18"/>
          <w:lang w:val="es-ES_tradnl"/>
        </w:rPr>
        <w:t>. Para esta extrapolación, se asume que Uruguay ocupa el 0</w:t>
      </w:r>
      <w:r>
        <w:rPr>
          <w:rFonts w:ascii="Arial" w:eastAsia="Times New Roman" w:hAnsi="Arial" w:cs="Arial"/>
          <w:sz w:val="18"/>
          <w:szCs w:val="18"/>
          <w:lang w:val="es-ES_tradnl"/>
        </w:rPr>
        <w:t>,</w:t>
      </w:r>
      <w:r w:rsidRPr="0001211A">
        <w:rPr>
          <w:rFonts w:ascii="Arial" w:eastAsia="Times New Roman" w:hAnsi="Arial" w:cs="Arial"/>
          <w:sz w:val="18"/>
          <w:szCs w:val="18"/>
          <w:lang w:val="es-ES_tradnl"/>
        </w:rPr>
        <w:t>5% del PIB regional.</w:t>
      </w:r>
      <w:r>
        <w:rPr>
          <w:rFonts w:eastAsia="Times New Roman"/>
          <w:lang w:val="es-ES_tradnl"/>
        </w:rPr>
        <w:t xml:space="preserve"> </w:t>
      </w:r>
    </w:p>
  </w:footnote>
  <w:footnote w:id="5">
    <w:p w14:paraId="6D0F1BA0" w14:textId="0EEC3FE2" w:rsidR="00B314A5" w:rsidRPr="00757E71" w:rsidRDefault="00B314A5" w:rsidP="00B314A5">
      <w:pPr>
        <w:pStyle w:val="FootnoteText"/>
        <w:ind w:left="270" w:hanging="270"/>
        <w:jc w:val="both"/>
        <w:rPr>
          <w:rFonts w:ascii="Arial" w:hAnsi="Arial" w:cs="Arial"/>
          <w:sz w:val="18"/>
          <w:szCs w:val="18"/>
        </w:rPr>
      </w:pPr>
      <w:r w:rsidRPr="00D5541C">
        <w:rPr>
          <w:rStyle w:val="FootnoteReference"/>
          <w:sz w:val="22"/>
        </w:rPr>
        <w:footnoteRef/>
      </w:r>
      <w:r w:rsidRPr="00757E71">
        <w:rPr>
          <w:sz w:val="22"/>
        </w:rPr>
        <w:t xml:space="preserve"> </w:t>
      </w:r>
      <w:r w:rsidRPr="00757E71">
        <w:rPr>
          <w:sz w:val="22"/>
        </w:rPr>
        <w:tab/>
      </w:r>
      <w:r w:rsidRPr="00757E71">
        <w:rPr>
          <w:rFonts w:ascii="Arial" w:hAnsi="Arial" w:cs="Arial"/>
          <w:sz w:val="18"/>
          <w:szCs w:val="18"/>
        </w:rPr>
        <w:t xml:space="preserve">Ver </w:t>
      </w:r>
      <w:hyperlink r:id="rId3" w:history="1">
        <w:r w:rsidRPr="00757E71">
          <w:rPr>
            <w:rStyle w:val="Hyperlink"/>
            <w:rFonts w:ascii="Arial" w:hAnsi="Arial" w:cs="Arial"/>
            <w:i/>
            <w:sz w:val="18"/>
            <w:szCs w:val="18"/>
          </w:rPr>
          <w:t>Internet Crime Report 2016</w:t>
        </w:r>
      </w:hyperlink>
      <w:r w:rsidRPr="00757E71">
        <w:rPr>
          <w:rFonts w:ascii="Arial" w:hAnsi="Arial" w:cs="Arial"/>
          <w:sz w:val="18"/>
          <w:szCs w:val="18"/>
        </w:rPr>
        <w:t xml:space="preserve"> y </w:t>
      </w:r>
      <w:hyperlink r:id="rId4" w:history="1">
        <w:r w:rsidRPr="00757E71">
          <w:rPr>
            <w:rStyle w:val="Hyperlink"/>
            <w:rFonts w:ascii="Arial" w:hAnsi="Arial" w:cs="Arial"/>
            <w:sz w:val="18"/>
            <w:szCs w:val="18"/>
          </w:rPr>
          <w:t>2017</w:t>
        </w:r>
      </w:hyperlink>
      <w:r w:rsidRPr="00757E71">
        <w:rPr>
          <w:rFonts w:ascii="Arial" w:hAnsi="Arial" w:cs="Arial"/>
          <w:sz w:val="18"/>
          <w:szCs w:val="18"/>
        </w:rPr>
        <w:t xml:space="preserve">. </w:t>
      </w:r>
    </w:p>
  </w:footnote>
  <w:footnote w:id="6">
    <w:p w14:paraId="4F405410" w14:textId="680455EF" w:rsidR="00C0596F" w:rsidRPr="003A4563" w:rsidRDefault="00C0596F" w:rsidP="003A4563">
      <w:pPr>
        <w:pStyle w:val="FootnoteText"/>
        <w:ind w:left="270" w:hanging="270"/>
        <w:rPr>
          <w:rFonts w:ascii="Arial" w:hAnsi="Arial" w:cs="Arial"/>
          <w:sz w:val="18"/>
          <w:szCs w:val="18"/>
        </w:rPr>
      </w:pPr>
      <w:r w:rsidRPr="00D5541C">
        <w:rPr>
          <w:rStyle w:val="FootnoteReference"/>
          <w:sz w:val="22"/>
        </w:rPr>
        <w:footnoteRef/>
      </w:r>
      <w:r w:rsidRPr="00757E71">
        <w:rPr>
          <w:sz w:val="22"/>
        </w:rPr>
        <w:t xml:space="preserve"> </w:t>
      </w:r>
      <w:r w:rsidR="003A4563">
        <w:rPr>
          <w:sz w:val="22"/>
        </w:rPr>
        <w:tab/>
      </w:r>
      <w:hyperlink r:id="rId5" w:history="1">
        <w:r w:rsidR="00757E71" w:rsidRPr="00316640">
          <w:rPr>
            <w:rStyle w:val="Hyperlink"/>
            <w:rFonts w:ascii="Arial" w:hAnsi="Arial" w:cs="Arial"/>
            <w:i/>
            <w:sz w:val="18"/>
            <w:szCs w:val="18"/>
          </w:rPr>
          <w:t>Cybersecurity: Are We Ready in Latin America and the Caribbean</w:t>
        </w:r>
        <w:r w:rsidR="00757E71" w:rsidRPr="00757E71">
          <w:rPr>
            <w:rStyle w:val="Hyperlink"/>
            <w:rFonts w:ascii="Arial" w:hAnsi="Arial" w:cs="Arial"/>
            <w:sz w:val="18"/>
            <w:szCs w:val="18"/>
          </w:rPr>
          <w:t>?</w:t>
        </w:r>
      </w:hyperlink>
      <w:r w:rsidRPr="00757E71">
        <w:rPr>
          <w:sz w:val="22"/>
        </w:rPr>
        <w:t xml:space="preserve">; </w:t>
      </w:r>
      <w:r w:rsidR="00757E71">
        <w:rPr>
          <w:sz w:val="22"/>
        </w:rPr>
        <w:t xml:space="preserve">Ver </w:t>
      </w:r>
      <w:hyperlink r:id="rId6" w:history="1">
        <w:r w:rsidR="003A4563" w:rsidRPr="00316640">
          <w:rPr>
            <w:rStyle w:val="Hyperlink"/>
            <w:rFonts w:ascii="Arial" w:hAnsi="Arial" w:cs="Arial"/>
            <w:i/>
            <w:sz w:val="18"/>
            <w:szCs w:val="18"/>
          </w:rPr>
          <w:t>Advanced Experiences in Cybersecurity Policies and Practices</w:t>
        </w:r>
      </w:hyperlink>
      <w:r w:rsidR="003A4563" w:rsidRPr="00316640">
        <w:rPr>
          <w:rFonts w:ascii="Arial" w:hAnsi="Arial" w:cs="Arial"/>
          <w:i/>
          <w:sz w:val="18"/>
          <w:szCs w:val="18"/>
        </w:rPr>
        <w:t>.</w:t>
      </w:r>
      <w:r w:rsidR="003A4563" w:rsidRPr="003A4563">
        <w:rPr>
          <w:rFonts w:ascii="Arial" w:hAnsi="Arial" w:cs="Arial"/>
          <w:sz w:val="18"/>
          <w:szCs w:val="18"/>
        </w:rPr>
        <w:t xml:space="preserve"> </w:t>
      </w:r>
    </w:p>
  </w:footnote>
  <w:footnote w:id="7">
    <w:p w14:paraId="7BE2B92E" w14:textId="33D8C04A" w:rsidR="00C0596F" w:rsidRPr="0005612C" w:rsidRDefault="00C0596F">
      <w:pPr>
        <w:pStyle w:val="FootnoteText"/>
        <w:rPr>
          <w:lang w:val="es-ES_tradnl"/>
        </w:rPr>
      </w:pPr>
      <w:r>
        <w:rPr>
          <w:rStyle w:val="FootnoteReference"/>
        </w:rPr>
        <w:footnoteRef/>
      </w:r>
      <w:r w:rsidRPr="0005612C">
        <w:rPr>
          <w:lang w:val="es-ES_tradnl"/>
        </w:rPr>
        <w:t xml:space="preserve"> </w:t>
      </w:r>
      <w:hyperlink r:id="rId7" w:history="1">
        <w:r w:rsidR="00EB5F70" w:rsidRPr="0005612C">
          <w:rPr>
            <w:rStyle w:val="Hyperlink"/>
            <w:rFonts w:ascii="Arial" w:hAnsi="Arial" w:cs="Arial"/>
            <w:sz w:val="18"/>
            <w:szCs w:val="18"/>
            <w:lang w:val="es-ES_tradnl"/>
          </w:rPr>
          <w:t>CUTI</w:t>
        </w:r>
      </w:hyperlink>
      <w:r w:rsidR="00EB5F70" w:rsidRPr="0005612C">
        <w:rPr>
          <w:rFonts w:ascii="Arial" w:hAnsi="Arial" w:cs="Arial"/>
          <w:sz w:val="18"/>
          <w:szCs w:val="18"/>
          <w:lang w:val="es-ES_tradnl"/>
        </w:rPr>
        <w:t>.</w:t>
      </w:r>
      <w:r w:rsidRPr="0005612C">
        <w:rPr>
          <w:lang w:val="es-ES_tradnl"/>
        </w:rPr>
        <w:t xml:space="preserve"> </w:t>
      </w:r>
    </w:p>
  </w:footnote>
  <w:footnote w:id="8">
    <w:p w14:paraId="5498E8F6" w14:textId="3E0908CE" w:rsidR="00EB5F70" w:rsidRPr="0005612C" w:rsidRDefault="00EB5F70" w:rsidP="00EB5F70">
      <w:pPr>
        <w:pStyle w:val="FootnoteText"/>
        <w:rPr>
          <w:lang w:val="es-ES_tradnl"/>
        </w:rPr>
      </w:pPr>
      <w:r>
        <w:rPr>
          <w:rStyle w:val="FootnoteReference"/>
        </w:rPr>
        <w:footnoteRef/>
      </w:r>
      <w:r w:rsidRPr="0005612C">
        <w:rPr>
          <w:lang w:val="es-ES_tradnl"/>
        </w:rPr>
        <w:t xml:space="preserve"> </w:t>
      </w:r>
      <w:hyperlink r:id="rId8" w:history="1">
        <w:r w:rsidRPr="0005612C">
          <w:rPr>
            <w:rStyle w:val="Hyperlink"/>
            <w:rFonts w:ascii="Arial" w:hAnsi="Arial" w:cs="Arial"/>
            <w:i/>
            <w:sz w:val="18"/>
            <w:szCs w:val="18"/>
            <w:lang w:val="es-ES_tradnl"/>
          </w:rPr>
          <w:t>Cybersecurity workforce study</w:t>
        </w:r>
        <w:r w:rsidR="0009421C" w:rsidRPr="0005612C">
          <w:rPr>
            <w:rStyle w:val="Hyperlink"/>
            <w:rFonts w:ascii="Arial" w:hAnsi="Arial" w:cs="Arial"/>
            <w:sz w:val="18"/>
            <w:szCs w:val="18"/>
            <w:lang w:val="es-ES_tradnl"/>
          </w:rPr>
          <w:t>,</w:t>
        </w:r>
        <w:r w:rsidRPr="0005612C">
          <w:rPr>
            <w:rStyle w:val="Hyperlink"/>
            <w:rFonts w:ascii="Arial" w:hAnsi="Arial" w:cs="Arial"/>
            <w:sz w:val="18"/>
            <w:szCs w:val="18"/>
            <w:lang w:val="es-ES_tradnl"/>
          </w:rPr>
          <w:t xml:space="preserve"> 2018</w:t>
        </w:r>
      </w:hyperlink>
      <w:r w:rsidRPr="0005612C">
        <w:rPr>
          <w:lang w:val="es-ES_tradnl"/>
        </w:rPr>
        <w:t xml:space="preserve">. </w:t>
      </w:r>
    </w:p>
  </w:footnote>
  <w:footnote w:id="9">
    <w:p w14:paraId="784989CF" w14:textId="2A942D20" w:rsidR="00FD30B9" w:rsidRPr="00FD30B9" w:rsidRDefault="00FD30B9" w:rsidP="0009421C">
      <w:pPr>
        <w:pStyle w:val="FootnoteText"/>
        <w:ind w:left="270" w:hanging="270"/>
        <w:jc w:val="both"/>
        <w:rPr>
          <w:lang w:val="es-CO"/>
        </w:rPr>
      </w:pPr>
      <w:r w:rsidRPr="0009421C">
        <w:rPr>
          <w:rStyle w:val="FootnoteReference"/>
          <w:rFonts w:ascii="Arial" w:hAnsi="Arial" w:cs="Arial"/>
          <w:sz w:val="18"/>
          <w:szCs w:val="18"/>
        </w:rPr>
        <w:footnoteRef/>
      </w:r>
      <w:r w:rsidRPr="0009421C">
        <w:rPr>
          <w:rFonts w:ascii="Arial" w:hAnsi="Arial" w:cs="Arial"/>
          <w:sz w:val="18"/>
          <w:szCs w:val="18"/>
          <w:lang w:val="es-CO"/>
        </w:rPr>
        <w:t xml:space="preserve"> </w:t>
      </w:r>
      <w:r w:rsidR="0009421C">
        <w:rPr>
          <w:rFonts w:ascii="Arial" w:hAnsi="Arial" w:cs="Arial"/>
          <w:sz w:val="18"/>
          <w:szCs w:val="18"/>
          <w:lang w:val="es-CO"/>
        </w:rPr>
        <w:tab/>
      </w:r>
      <w:r w:rsidRPr="0009421C">
        <w:rPr>
          <w:rFonts w:ascii="Arial" w:hAnsi="Arial" w:cs="Arial"/>
          <w:sz w:val="18"/>
          <w:szCs w:val="18"/>
          <w:lang w:val="es-CO"/>
        </w:rPr>
        <w:t>“Netos” se refiere al hecho que probablemente habrá personas que deserten la profesión de la ciberseguridad. Las cifras utilizadas, entonces, representan las personas formadas menos las personas que desertan</w:t>
      </w:r>
      <w:r>
        <w:rPr>
          <w:lang w:val="es-C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82F1D"/>
    <w:multiLevelType w:val="hybridMultilevel"/>
    <w:tmpl w:val="596A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7FC9"/>
    <w:multiLevelType w:val="multilevel"/>
    <w:tmpl w:val="A2B2F9A6"/>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color w:val="auto"/>
        <w:lang w:val="es-E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15:restartNumberingAfterBreak="0">
    <w:nsid w:val="197F5EE9"/>
    <w:multiLevelType w:val="multilevel"/>
    <w:tmpl w:val="8C04D886"/>
    <w:lvl w:ilvl="0">
      <w:start w:val="3"/>
      <w:numFmt w:val="upperRoman"/>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1DEF0387"/>
    <w:multiLevelType w:val="hybridMultilevel"/>
    <w:tmpl w:val="EF8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406A4"/>
    <w:multiLevelType w:val="hybridMultilevel"/>
    <w:tmpl w:val="D9727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1467A"/>
    <w:multiLevelType w:val="multilevel"/>
    <w:tmpl w:val="3390AC96"/>
    <w:lvl w:ilvl="0">
      <w:start w:val="1"/>
      <w:numFmt w:val="upperRoman"/>
      <w:lvlText w:val="%1."/>
      <w:lvlJc w:val="left"/>
      <w:pPr>
        <w:ind w:left="360" w:hanging="360"/>
      </w:pPr>
      <w:rPr>
        <w:rFonts w:hint="default"/>
      </w:rPr>
    </w:lvl>
    <w:lvl w:ilvl="1">
      <w:start w:val="1"/>
      <w:numFmt w:val="bullet"/>
      <w:pStyle w:val="Vieta"/>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403C72F3"/>
    <w:multiLevelType w:val="multilevel"/>
    <w:tmpl w:val="5544A092"/>
    <w:lvl w:ilvl="0">
      <w:start w:val="1"/>
      <w:numFmt w:val="upperRoman"/>
      <w:lvlText w:val="%1."/>
      <w:lvlJc w:val="left"/>
      <w:pPr>
        <w:ind w:left="360" w:hanging="360"/>
      </w:pPr>
      <w:rPr>
        <w:rFonts w:hint="default"/>
        <w:b/>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0599F"/>
    <w:multiLevelType w:val="hybridMultilevel"/>
    <w:tmpl w:val="08249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5222320E"/>
    <w:multiLevelType w:val="hybridMultilevel"/>
    <w:tmpl w:val="E418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E1A2B"/>
    <w:multiLevelType w:val="multilevel"/>
    <w:tmpl w:val="6278F7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6A854F37"/>
    <w:multiLevelType w:val="hybridMultilevel"/>
    <w:tmpl w:val="D60E5B08"/>
    <w:lvl w:ilvl="0" w:tplc="84C2AB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E8234B"/>
    <w:multiLevelType w:val="hybridMultilevel"/>
    <w:tmpl w:val="7D62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20"/>
  </w:num>
  <w:num w:numId="5">
    <w:abstractNumId w:val="7"/>
  </w:num>
  <w:num w:numId="6">
    <w:abstractNumId w:val="17"/>
  </w:num>
  <w:num w:numId="7">
    <w:abstractNumId w:val="10"/>
  </w:num>
  <w:num w:numId="8">
    <w:abstractNumId w:val="16"/>
  </w:num>
  <w:num w:numId="9">
    <w:abstractNumId w:val="18"/>
  </w:num>
  <w:num w:numId="10">
    <w:abstractNumId w:val="14"/>
  </w:num>
  <w:num w:numId="11">
    <w:abstractNumId w:val="2"/>
  </w:num>
  <w:num w:numId="12">
    <w:abstractNumId w:val="6"/>
  </w:num>
  <w:num w:numId="13">
    <w:abstractNumId w:val="3"/>
  </w:num>
  <w:num w:numId="14">
    <w:abstractNumId w:val="9"/>
  </w:num>
  <w:num w:numId="15">
    <w:abstractNumId w:val="15"/>
  </w:num>
  <w:num w:numId="16">
    <w:abstractNumId w:val="5"/>
  </w:num>
  <w:num w:numId="17">
    <w:abstractNumId w:val="11"/>
  </w:num>
  <w:num w:numId="18">
    <w:abstractNumId w:val="19"/>
  </w:num>
  <w:num w:numId="19">
    <w:abstractNumId w:val="1"/>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C2"/>
    <w:rsid w:val="0001211A"/>
    <w:rsid w:val="00031476"/>
    <w:rsid w:val="00034757"/>
    <w:rsid w:val="00040753"/>
    <w:rsid w:val="00051701"/>
    <w:rsid w:val="0005612C"/>
    <w:rsid w:val="00060119"/>
    <w:rsid w:val="000773AD"/>
    <w:rsid w:val="00081D99"/>
    <w:rsid w:val="000830EF"/>
    <w:rsid w:val="000832FA"/>
    <w:rsid w:val="00084E87"/>
    <w:rsid w:val="00086855"/>
    <w:rsid w:val="0009421C"/>
    <w:rsid w:val="000A670C"/>
    <w:rsid w:val="000A7B8C"/>
    <w:rsid w:val="000B0075"/>
    <w:rsid w:val="000B3E90"/>
    <w:rsid w:val="000C2038"/>
    <w:rsid w:val="000D0E5E"/>
    <w:rsid w:val="0010528C"/>
    <w:rsid w:val="001145BD"/>
    <w:rsid w:val="00116968"/>
    <w:rsid w:val="00122671"/>
    <w:rsid w:val="00123749"/>
    <w:rsid w:val="00123FA4"/>
    <w:rsid w:val="00125ED3"/>
    <w:rsid w:val="00130744"/>
    <w:rsid w:val="00134F0C"/>
    <w:rsid w:val="001365B1"/>
    <w:rsid w:val="00136E14"/>
    <w:rsid w:val="0014052E"/>
    <w:rsid w:val="00151D3D"/>
    <w:rsid w:val="00153FF2"/>
    <w:rsid w:val="00165AEC"/>
    <w:rsid w:val="00165BD0"/>
    <w:rsid w:val="00170261"/>
    <w:rsid w:val="0017236C"/>
    <w:rsid w:val="00185F70"/>
    <w:rsid w:val="0018604E"/>
    <w:rsid w:val="001867FA"/>
    <w:rsid w:val="00187413"/>
    <w:rsid w:val="001904F6"/>
    <w:rsid w:val="001A059A"/>
    <w:rsid w:val="001A5143"/>
    <w:rsid w:val="001B12F0"/>
    <w:rsid w:val="001C04A2"/>
    <w:rsid w:val="001C3E71"/>
    <w:rsid w:val="001C5459"/>
    <w:rsid w:val="001C58D0"/>
    <w:rsid w:val="001C6B6D"/>
    <w:rsid w:val="001D3F3F"/>
    <w:rsid w:val="001F2BA1"/>
    <w:rsid w:val="002063C1"/>
    <w:rsid w:val="00210DD3"/>
    <w:rsid w:val="0022583C"/>
    <w:rsid w:val="00237766"/>
    <w:rsid w:val="00240CD0"/>
    <w:rsid w:val="00244083"/>
    <w:rsid w:val="0024737C"/>
    <w:rsid w:val="002506B0"/>
    <w:rsid w:val="00251A00"/>
    <w:rsid w:val="00257FCA"/>
    <w:rsid w:val="00265BB2"/>
    <w:rsid w:val="002677A9"/>
    <w:rsid w:val="0027134C"/>
    <w:rsid w:val="0027717E"/>
    <w:rsid w:val="00277A7F"/>
    <w:rsid w:val="00286EC8"/>
    <w:rsid w:val="00287881"/>
    <w:rsid w:val="00292F73"/>
    <w:rsid w:val="002A0005"/>
    <w:rsid w:val="002A0975"/>
    <w:rsid w:val="002A0DFD"/>
    <w:rsid w:val="002A6627"/>
    <w:rsid w:val="002B7CF4"/>
    <w:rsid w:val="002C00FA"/>
    <w:rsid w:val="002C1753"/>
    <w:rsid w:val="002C22C4"/>
    <w:rsid w:val="002D46C1"/>
    <w:rsid w:val="002D4ED6"/>
    <w:rsid w:val="002D5E07"/>
    <w:rsid w:val="002D6826"/>
    <w:rsid w:val="002D6B37"/>
    <w:rsid w:val="002E179D"/>
    <w:rsid w:val="002E3596"/>
    <w:rsid w:val="002F145B"/>
    <w:rsid w:val="003008D9"/>
    <w:rsid w:val="003105AB"/>
    <w:rsid w:val="003130B9"/>
    <w:rsid w:val="00316640"/>
    <w:rsid w:val="00316CF0"/>
    <w:rsid w:val="0032061C"/>
    <w:rsid w:val="00321403"/>
    <w:rsid w:val="003255AE"/>
    <w:rsid w:val="003324D6"/>
    <w:rsid w:val="00343620"/>
    <w:rsid w:val="003443E7"/>
    <w:rsid w:val="003451AA"/>
    <w:rsid w:val="00351F87"/>
    <w:rsid w:val="00354855"/>
    <w:rsid w:val="0035658C"/>
    <w:rsid w:val="00362052"/>
    <w:rsid w:val="00362A1D"/>
    <w:rsid w:val="00383AA3"/>
    <w:rsid w:val="0038618E"/>
    <w:rsid w:val="00395B61"/>
    <w:rsid w:val="003A1297"/>
    <w:rsid w:val="003A4563"/>
    <w:rsid w:val="003A5E73"/>
    <w:rsid w:val="003B1822"/>
    <w:rsid w:val="003B2727"/>
    <w:rsid w:val="003B34F2"/>
    <w:rsid w:val="003B6AA9"/>
    <w:rsid w:val="003C6DF7"/>
    <w:rsid w:val="003D207B"/>
    <w:rsid w:val="003E1434"/>
    <w:rsid w:val="003F1DDD"/>
    <w:rsid w:val="003F36B0"/>
    <w:rsid w:val="003F5048"/>
    <w:rsid w:val="00400A11"/>
    <w:rsid w:val="00404720"/>
    <w:rsid w:val="0041234C"/>
    <w:rsid w:val="0041495B"/>
    <w:rsid w:val="00414A23"/>
    <w:rsid w:val="00431CCD"/>
    <w:rsid w:val="0043411A"/>
    <w:rsid w:val="00442337"/>
    <w:rsid w:val="00446D97"/>
    <w:rsid w:val="004604DF"/>
    <w:rsid w:val="00475867"/>
    <w:rsid w:val="00477CB7"/>
    <w:rsid w:val="004834E3"/>
    <w:rsid w:val="004869C1"/>
    <w:rsid w:val="00492246"/>
    <w:rsid w:val="00492B18"/>
    <w:rsid w:val="004B0E1D"/>
    <w:rsid w:val="004B63ED"/>
    <w:rsid w:val="004C16B9"/>
    <w:rsid w:val="004E1836"/>
    <w:rsid w:val="004E3DD2"/>
    <w:rsid w:val="004F2583"/>
    <w:rsid w:val="004F6234"/>
    <w:rsid w:val="0050177D"/>
    <w:rsid w:val="0051088A"/>
    <w:rsid w:val="00513853"/>
    <w:rsid w:val="00517945"/>
    <w:rsid w:val="00517E79"/>
    <w:rsid w:val="00520DE8"/>
    <w:rsid w:val="00522E2C"/>
    <w:rsid w:val="00535B74"/>
    <w:rsid w:val="00563A2E"/>
    <w:rsid w:val="0057584E"/>
    <w:rsid w:val="00577A3C"/>
    <w:rsid w:val="00581B10"/>
    <w:rsid w:val="00591DFB"/>
    <w:rsid w:val="00593288"/>
    <w:rsid w:val="00595976"/>
    <w:rsid w:val="00597057"/>
    <w:rsid w:val="005B0308"/>
    <w:rsid w:val="005B445B"/>
    <w:rsid w:val="005C4515"/>
    <w:rsid w:val="005D1FF4"/>
    <w:rsid w:val="005E569B"/>
    <w:rsid w:val="005E6D98"/>
    <w:rsid w:val="005F0999"/>
    <w:rsid w:val="005F1D75"/>
    <w:rsid w:val="00604608"/>
    <w:rsid w:val="00614C75"/>
    <w:rsid w:val="0062136D"/>
    <w:rsid w:val="006236A8"/>
    <w:rsid w:val="0063222F"/>
    <w:rsid w:val="00637411"/>
    <w:rsid w:val="00645228"/>
    <w:rsid w:val="006620DD"/>
    <w:rsid w:val="0066326A"/>
    <w:rsid w:val="00690891"/>
    <w:rsid w:val="00691B45"/>
    <w:rsid w:val="00691C55"/>
    <w:rsid w:val="006979E8"/>
    <w:rsid w:val="006A2EF2"/>
    <w:rsid w:val="006A73CA"/>
    <w:rsid w:val="006B443D"/>
    <w:rsid w:val="006D7BE9"/>
    <w:rsid w:val="006E2DE3"/>
    <w:rsid w:val="006E5D7F"/>
    <w:rsid w:val="006E6FD5"/>
    <w:rsid w:val="006F7873"/>
    <w:rsid w:val="0070476F"/>
    <w:rsid w:val="00707037"/>
    <w:rsid w:val="00722702"/>
    <w:rsid w:val="00722D81"/>
    <w:rsid w:val="00725DCB"/>
    <w:rsid w:val="007333AE"/>
    <w:rsid w:val="007502BA"/>
    <w:rsid w:val="007579AA"/>
    <w:rsid w:val="00757E71"/>
    <w:rsid w:val="00763CEF"/>
    <w:rsid w:val="00767FE2"/>
    <w:rsid w:val="0078172D"/>
    <w:rsid w:val="007A22A5"/>
    <w:rsid w:val="007A2444"/>
    <w:rsid w:val="007A55E9"/>
    <w:rsid w:val="007B4D32"/>
    <w:rsid w:val="007B550D"/>
    <w:rsid w:val="007C2765"/>
    <w:rsid w:val="007C4259"/>
    <w:rsid w:val="007E2294"/>
    <w:rsid w:val="007E4478"/>
    <w:rsid w:val="007E4FB3"/>
    <w:rsid w:val="007E6F23"/>
    <w:rsid w:val="007F63FE"/>
    <w:rsid w:val="00810CC2"/>
    <w:rsid w:val="00814FFE"/>
    <w:rsid w:val="00820F08"/>
    <w:rsid w:val="00821FFA"/>
    <w:rsid w:val="00836B1C"/>
    <w:rsid w:val="0085159C"/>
    <w:rsid w:val="00862549"/>
    <w:rsid w:val="008704DD"/>
    <w:rsid w:val="00890D52"/>
    <w:rsid w:val="00893183"/>
    <w:rsid w:val="008B4966"/>
    <w:rsid w:val="008B4BEC"/>
    <w:rsid w:val="008C05AB"/>
    <w:rsid w:val="008E647C"/>
    <w:rsid w:val="008F6F35"/>
    <w:rsid w:val="00904FD1"/>
    <w:rsid w:val="00914480"/>
    <w:rsid w:val="00917997"/>
    <w:rsid w:val="00924B0A"/>
    <w:rsid w:val="009252DF"/>
    <w:rsid w:val="00931589"/>
    <w:rsid w:val="00943532"/>
    <w:rsid w:val="00946A83"/>
    <w:rsid w:val="009605A1"/>
    <w:rsid w:val="00960BC4"/>
    <w:rsid w:val="00962952"/>
    <w:rsid w:val="00965E18"/>
    <w:rsid w:val="00973A56"/>
    <w:rsid w:val="00991916"/>
    <w:rsid w:val="009A1386"/>
    <w:rsid w:val="009A1699"/>
    <w:rsid w:val="009A21DC"/>
    <w:rsid w:val="009A349D"/>
    <w:rsid w:val="009A5AA5"/>
    <w:rsid w:val="009B323E"/>
    <w:rsid w:val="009B54C0"/>
    <w:rsid w:val="009C31B0"/>
    <w:rsid w:val="009D54DF"/>
    <w:rsid w:val="009E4680"/>
    <w:rsid w:val="009F282E"/>
    <w:rsid w:val="00A02C13"/>
    <w:rsid w:val="00A06B56"/>
    <w:rsid w:val="00A145DB"/>
    <w:rsid w:val="00A14835"/>
    <w:rsid w:val="00A1670B"/>
    <w:rsid w:val="00A230E3"/>
    <w:rsid w:val="00A25FB3"/>
    <w:rsid w:val="00A36C8B"/>
    <w:rsid w:val="00A373BD"/>
    <w:rsid w:val="00A45647"/>
    <w:rsid w:val="00A475EB"/>
    <w:rsid w:val="00A568D5"/>
    <w:rsid w:val="00A74218"/>
    <w:rsid w:val="00A77C62"/>
    <w:rsid w:val="00A90FB9"/>
    <w:rsid w:val="00A950FD"/>
    <w:rsid w:val="00A96A54"/>
    <w:rsid w:val="00AB26CD"/>
    <w:rsid w:val="00AB3217"/>
    <w:rsid w:val="00AC6457"/>
    <w:rsid w:val="00AD166A"/>
    <w:rsid w:val="00AD20A5"/>
    <w:rsid w:val="00AE1875"/>
    <w:rsid w:val="00AF7C96"/>
    <w:rsid w:val="00B314A5"/>
    <w:rsid w:val="00B334A5"/>
    <w:rsid w:val="00B37225"/>
    <w:rsid w:val="00B4194C"/>
    <w:rsid w:val="00B4264B"/>
    <w:rsid w:val="00B47F60"/>
    <w:rsid w:val="00B74EF9"/>
    <w:rsid w:val="00B8110C"/>
    <w:rsid w:val="00B82DDE"/>
    <w:rsid w:val="00B87C9D"/>
    <w:rsid w:val="00B97065"/>
    <w:rsid w:val="00BA46E9"/>
    <w:rsid w:val="00BA4B40"/>
    <w:rsid w:val="00BA7416"/>
    <w:rsid w:val="00BB470F"/>
    <w:rsid w:val="00BB5324"/>
    <w:rsid w:val="00BC2350"/>
    <w:rsid w:val="00BE0A80"/>
    <w:rsid w:val="00BE0D64"/>
    <w:rsid w:val="00BF3CF3"/>
    <w:rsid w:val="00BF5D63"/>
    <w:rsid w:val="00C01D35"/>
    <w:rsid w:val="00C0596F"/>
    <w:rsid w:val="00C15FA7"/>
    <w:rsid w:val="00C1791A"/>
    <w:rsid w:val="00C23939"/>
    <w:rsid w:val="00C31836"/>
    <w:rsid w:val="00C43669"/>
    <w:rsid w:val="00C43A21"/>
    <w:rsid w:val="00C4525E"/>
    <w:rsid w:val="00C52CC8"/>
    <w:rsid w:val="00C60E68"/>
    <w:rsid w:val="00C6620F"/>
    <w:rsid w:val="00C67927"/>
    <w:rsid w:val="00C73E0D"/>
    <w:rsid w:val="00C80FE6"/>
    <w:rsid w:val="00C81DE1"/>
    <w:rsid w:val="00C94E89"/>
    <w:rsid w:val="00CA1AE8"/>
    <w:rsid w:val="00CA264E"/>
    <w:rsid w:val="00CA4E9B"/>
    <w:rsid w:val="00CA582D"/>
    <w:rsid w:val="00CB4A7F"/>
    <w:rsid w:val="00CC79CE"/>
    <w:rsid w:val="00CD47B1"/>
    <w:rsid w:val="00CD5252"/>
    <w:rsid w:val="00CD59B5"/>
    <w:rsid w:val="00CF3EB0"/>
    <w:rsid w:val="00D02A9D"/>
    <w:rsid w:val="00D03E4A"/>
    <w:rsid w:val="00D06339"/>
    <w:rsid w:val="00D0662D"/>
    <w:rsid w:val="00D3178B"/>
    <w:rsid w:val="00D326F7"/>
    <w:rsid w:val="00D410E4"/>
    <w:rsid w:val="00D42C01"/>
    <w:rsid w:val="00D5541C"/>
    <w:rsid w:val="00D6174F"/>
    <w:rsid w:val="00D655C0"/>
    <w:rsid w:val="00D71B91"/>
    <w:rsid w:val="00D841F9"/>
    <w:rsid w:val="00D95931"/>
    <w:rsid w:val="00DA6DCB"/>
    <w:rsid w:val="00DB7352"/>
    <w:rsid w:val="00DC5DDF"/>
    <w:rsid w:val="00DD7ED9"/>
    <w:rsid w:val="00DE6D4F"/>
    <w:rsid w:val="00DF208A"/>
    <w:rsid w:val="00E07D2D"/>
    <w:rsid w:val="00E11356"/>
    <w:rsid w:val="00E145D7"/>
    <w:rsid w:val="00E204F0"/>
    <w:rsid w:val="00E2271D"/>
    <w:rsid w:val="00E51DAE"/>
    <w:rsid w:val="00E5786A"/>
    <w:rsid w:val="00E64B23"/>
    <w:rsid w:val="00E961C1"/>
    <w:rsid w:val="00EA111E"/>
    <w:rsid w:val="00EA4214"/>
    <w:rsid w:val="00EA55BA"/>
    <w:rsid w:val="00EA5E55"/>
    <w:rsid w:val="00EB34FC"/>
    <w:rsid w:val="00EB5F70"/>
    <w:rsid w:val="00EC0296"/>
    <w:rsid w:val="00EE05C8"/>
    <w:rsid w:val="00EE0A68"/>
    <w:rsid w:val="00EF7B08"/>
    <w:rsid w:val="00F0257E"/>
    <w:rsid w:val="00F0534E"/>
    <w:rsid w:val="00F06741"/>
    <w:rsid w:val="00F12206"/>
    <w:rsid w:val="00F13E8D"/>
    <w:rsid w:val="00F15920"/>
    <w:rsid w:val="00F35A11"/>
    <w:rsid w:val="00F40A99"/>
    <w:rsid w:val="00F43AB3"/>
    <w:rsid w:val="00F54C43"/>
    <w:rsid w:val="00F6520D"/>
    <w:rsid w:val="00F65853"/>
    <w:rsid w:val="00F70C19"/>
    <w:rsid w:val="00F74D97"/>
    <w:rsid w:val="00F82B06"/>
    <w:rsid w:val="00F82D17"/>
    <w:rsid w:val="00FB7E62"/>
    <w:rsid w:val="00FB7FD3"/>
    <w:rsid w:val="00FD0F4A"/>
    <w:rsid w:val="00FD30B9"/>
    <w:rsid w:val="00FD36B4"/>
    <w:rsid w:val="00FD635C"/>
    <w:rsid w:val="00FE2D90"/>
    <w:rsid w:val="00FE7F14"/>
    <w:rsid w:val="00FF3807"/>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C651"/>
  <w15:docId w15:val="{63B0385D-8171-4AA6-8E96-F4CBE58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semiHidden/>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rsid w:val="00C1791A"/>
    <w:pPr>
      <w:numPr>
        <w:numId w:val="11"/>
      </w:num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aragraph,p,PARAGRAPH,PG,pa,at"/>
    <w:basedOn w:val="BodyTextIndent"/>
    <w:link w:val="ParagraphChar"/>
    <w:qFormat/>
    <w:rsid w:val="00C1791A"/>
    <w:pPr>
      <w:numPr>
        <w:ilvl w:val="1"/>
        <w:numId w:val="11"/>
      </w:numPr>
      <w:spacing w:before="120" w:line="240" w:lineRule="auto"/>
      <w:jc w:val="both"/>
      <w:outlineLvl w:val="1"/>
    </w:pPr>
    <w:rPr>
      <w:rFonts w:ascii="Times New Roman" w:eastAsia="Times New Roman" w:hAnsi="Times New Roman" w:cs="Times New Roman"/>
      <w:sz w:val="24"/>
      <w:szCs w:val="20"/>
      <w:lang w:val="es-ES"/>
    </w:rPr>
  </w:style>
  <w:style w:type="paragraph" w:customStyle="1" w:styleId="subpar">
    <w:name w:val="subpar"/>
    <w:basedOn w:val="BodyTextIndent3"/>
    <w:rsid w:val="00C1791A"/>
    <w:pPr>
      <w:numPr>
        <w:ilvl w:val="2"/>
        <w:numId w:val="11"/>
      </w:numPr>
      <w:tabs>
        <w:tab w:val="clear" w:pos="1152"/>
        <w:tab w:val="num" w:pos="80"/>
      </w:tabs>
      <w:spacing w:before="120" w:line="240" w:lineRule="auto"/>
      <w:ind w:left="2160" w:hanging="36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C1791A"/>
    <w:pPr>
      <w:numPr>
        <w:ilvl w:val="3"/>
      </w:numPr>
      <w:tabs>
        <w:tab w:val="clear" w:pos="1584"/>
        <w:tab w:val="left" w:pos="0"/>
      </w:tabs>
      <w:ind w:left="2880" w:hanging="360"/>
    </w:pPr>
  </w:style>
  <w:style w:type="character" w:customStyle="1" w:styleId="ParagraphChar">
    <w:name w:val="Paragraph Char"/>
    <w:link w:val="Paragraph"/>
    <w:rsid w:val="00C1791A"/>
    <w:rPr>
      <w:rFonts w:ascii="Times New Roman" w:eastAsia="Times New Roman" w:hAnsi="Times New Roman" w:cs="Times New Roman"/>
      <w:sz w:val="24"/>
      <w:szCs w:val="20"/>
      <w:lang w:val="es-ES"/>
    </w:rPr>
  </w:style>
  <w:style w:type="paragraph" w:styleId="BodyTextIndent">
    <w:name w:val="Body Text Indent"/>
    <w:basedOn w:val="Normal"/>
    <w:link w:val="BodyTextIndentChar"/>
    <w:uiPriority w:val="99"/>
    <w:semiHidden/>
    <w:unhideWhenUsed/>
    <w:rsid w:val="00C1791A"/>
    <w:pPr>
      <w:spacing w:after="120"/>
      <w:ind w:left="360"/>
    </w:pPr>
  </w:style>
  <w:style w:type="character" w:customStyle="1" w:styleId="BodyTextIndentChar">
    <w:name w:val="Body Text Indent Char"/>
    <w:basedOn w:val="DefaultParagraphFont"/>
    <w:link w:val="BodyTextIndent"/>
    <w:uiPriority w:val="99"/>
    <w:semiHidden/>
    <w:rsid w:val="00C1791A"/>
  </w:style>
  <w:style w:type="paragraph" w:styleId="BodyTextIndent3">
    <w:name w:val="Body Text Indent 3"/>
    <w:basedOn w:val="Normal"/>
    <w:link w:val="BodyTextIndent3Char"/>
    <w:uiPriority w:val="99"/>
    <w:semiHidden/>
    <w:unhideWhenUsed/>
    <w:rsid w:val="00C1791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791A"/>
    <w:rPr>
      <w:sz w:val="16"/>
      <w:szCs w:val="16"/>
    </w:rPr>
  </w:style>
  <w:style w:type="paragraph" w:styleId="FootnoteText">
    <w:name w:val="footnote text"/>
    <w:aliases w:val="fn,texto de nota al pie,Texto nota pie Car Car Car Car Car Car Car Car,Texto nota pie Car Car Car,Footnote Text Char Char Char Char Char Char,Texto nota pie Car Car Car Car Car,Texto nota pie Car1,Texto nota pie Car Car,single space,Texto"/>
    <w:basedOn w:val="Normal"/>
    <w:link w:val="FootnoteTextChar"/>
    <w:unhideWhenUsed/>
    <w:rsid w:val="007E4FB3"/>
    <w:pPr>
      <w:spacing w:after="0" w:line="240" w:lineRule="auto"/>
    </w:pPr>
    <w:rPr>
      <w:rFonts w:ascii="Calibri" w:eastAsia="Calibri" w:hAnsi="Calibri" w:cs="Times New Roman"/>
      <w:sz w:val="24"/>
      <w:szCs w:val="24"/>
    </w:rPr>
  </w:style>
  <w:style w:type="character" w:customStyle="1" w:styleId="FootnoteTextChar">
    <w:name w:val="Footnote Text Char"/>
    <w:aliases w:val="fn Char,texto de nota al pie Char,Texto nota pie Car Car Car Car Car Car Car Car Char,Texto nota pie Car Car Car Char,Footnote Text Char Char Char Char Char Char Char,Texto nota pie Car Car Car Car Car Char,Texto nota pie Car1 Char"/>
    <w:basedOn w:val="DefaultParagraphFont"/>
    <w:link w:val="FootnoteText"/>
    <w:rsid w:val="007E4FB3"/>
    <w:rPr>
      <w:rFonts w:ascii="Calibri" w:eastAsia="Calibri" w:hAnsi="Calibri" w:cs="Times New Roman"/>
      <w:sz w:val="24"/>
      <w:szCs w:val="24"/>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Ref"/>
    <w:basedOn w:val="DefaultParagraphFont"/>
    <w:unhideWhenUsed/>
    <w:rsid w:val="007E4FB3"/>
    <w:rPr>
      <w:vertAlign w:val="superscript"/>
    </w:rPr>
  </w:style>
  <w:style w:type="paragraph" w:customStyle="1" w:styleId="Vieta">
    <w:name w:val="Viñeta"/>
    <w:basedOn w:val="Paragraph"/>
    <w:link w:val="VietaCar"/>
    <w:qFormat/>
    <w:rsid w:val="009A1386"/>
    <w:pPr>
      <w:numPr>
        <w:numId w:val="12"/>
      </w:numPr>
      <w:spacing w:before="0" w:after="0" w:line="480" w:lineRule="auto"/>
    </w:pPr>
    <w:rPr>
      <w:kern w:val="28"/>
    </w:rPr>
  </w:style>
  <w:style w:type="character" w:customStyle="1" w:styleId="VietaCar">
    <w:name w:val="Viñeta Car"/>
    <w:basedOn w:val="ParagraphChar"/>
    <w:link w:val="Vieta"/>
    <w:rsid w:val="009A1386"/>
    <w:rPr>
      <w:rFonts w:ascii="Times New Roman" w:eastAsia="Times New Roman" w:hAnsi="Times New Roman" w:cs="Times New Roman"/>
      <w:kern w:val="28"/>
      <w:sz w:val="24"/>
      <w:szCs w:val="20"/>
      <w:lang w:val="es-ES"/>
    </w:rPr>
  </w:style>
  <w:style w:type="character" w:styleId="Hyperlink">
    <w:name w:val="Hyperlink"/>
    <w:basedOn w:val="DefaultParagraphFont"/>
    <w:rsid w:val="009A1386"/>
    <w:rPr>
      <w:color w:val="0000FF"/>
      <w:u w:val="single"/>
    </w:rPr>
  </w:style>
  <w:style w:type="table" w:styleId="TableGrid">
    <w:name w:val="Table Grid"/>
    <w:basedOn w:val="TableNormal"/>
    <w:uiPriority w:val="59"/>
    <w:rsid w:val="00AB2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A21"/>
    <w:rPr>
      <w:rFonts w:ascii="Tahoma" w:hAnsi="Tahoma" w:cs="Tahoma"/>
      <w:sz w:val="16"/>
      <w:szCs w:val="16"/>
    </w:rPr>
  </w:style>
  <w:style w:type="character" w:styleId="CommentReference">
    <w:name w:val="annotation reference"/>
    <w:basedOn w:val="DefaultParagraphFont"/>
    <w:uiPriority w:val="99"/>
    <w:semiHidden/>
    <w:unhideWhenUsed/>
    <w:rsid w:val="00A145DB"/>
    <w:rPr>
      <w:sz w:val="16"/>
      <w:szCs w:val="16"/>
    </w:rPr>
  </w:style>
  <w:style w:type="paragraph" w:styleId="CommentText">
    <w:name w:val="annotation text"/>
    <w:basedOn w:val="Normal"/>
    <w:link w:val="CommentTextChar"/>
    <w:uiPriority w:val="99"/>
    <w:semiHidden/>
    <w:unhideWhenUsed/>
    <w:rsid w:val="00A145DB"/>
    <w:pPr>
      <w:spacing w:line="240" w:lineRule="auto"/>
    </w:pPr>
    <w:rPr>
      <w:sz w:val="20"/>
      <w:szCs w:val="20"/>
    </w:rPr>
  </w:style>
  <w:style w:type="character" w:customStyle="1" w:styleId="CommentTextChar">
    <w:name w:val="Comment Text Char"/>
    <w:basedOn w:val="DefaultParagraphFont"/>
    <w:link w:val="CommentText"/>
    <w:uiPriority w:val="99"/>
    <w:semiHidden/>
    <w:rsid w:val="00A145DB"/>
    <w:rPr>
      <w:sz w:val="20"/>
      <w:szCs w:val="20"/>
    </w:rPr>
  </w:style>
  <w:style w:type="paragraph" w:styleId="CommentSubject">
    <w:name w:val="annotation subject"/>
    <w:basedOn w:val="CommentText"/>
    <w:next w:val="CommentText"/>
    <w:link w:val="CommentSubjectChar"/>
    <w:uiPriority w:val="99"/>
    <w:semiHidden/>
    <w:unhideWhenUsed/>
    <w:rsid w:val="00A145DB"/>
    <w:rPr>
      <w:b/>
      <w:bCs/>
    </w:rPr>
  </w:style>
  <w:style w:type="character" w:customStyle="1" w:styleId="CommentSubjectChar">
    <w:name w:val="Comment Subject Char"/>
    <w:basedOn w:val="CommentTextChar"/>
    <w:link w:val="CommentSubject"/>
    <w:uiPriority w:val="99"/>
    <w:semiHidden/>
    <w:rsid w:val="00A145DB"/>
    <w:rPr>
      <w:b/>
      <w:bCs/>
      <w:sz w:val="20"/>
      <w:szCs w:val="20"/>
    </w:rPr>
  </w:style>
  <w:style w:type="paragraph" w:styleId="Header">
    <w:name w:val="header"/>
    <w:basedOn w:val="Normal"/>
    <w:link w:val="HeaderChar"/>
    <w:uiPriority w:val="99"/>
    <w:unhideWhenUsed/>
    <w:rsid w:val="008F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35"/>
  </w:style>
  <w:style w:type="paragraph" w:styleId="Footer">
    <w:name w:val="footer"/>
    <w:basedOn w:val="Normal"/>
    <w:link w:val="FooterChar"/>
    <w:uiPriority w:val="99"/>
    <w:unhideWhenUsed/>
    <w:rsid w:val="008F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35"/>
  </w:style>
  <w:style w:type="character" w:styleId="UnresolvedMention">
    <w:name w:val="Unresolved Mention"/>
    <w:basedOn w:val="DefaultParagraphFont"/>
    <w:uiPriority w:val="99"/>
    <w:semiHidden/>
    <w:unhideWhenUsed/>
    <w:rsid w:val="006236A8"/>
    <w:rPr>
      <w:color w:val="605E5C"/>
      <w:shd w:val="clear" w:color="auto" w:fill="E1DFDD"/>
    </w:rPr>
  </w:style>
  <w:style w:type="character" w:styleId="FollowedHyperlink">
    <w:name w:val="FollowedHyperlink"/>
    <w:basedOn w:val="DefaultParagraphFont"/>
    <w:uiPriority w:val="99"/>
    <w:semiHidden/>
    <w:unhideWhenUsed/>
    <w:rsid w:val="0001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852">
      <w:bodyDiv w:val="1"/>
      <w:marLeft w:val="0"/>
      <w:marRight w:val="0"/>
      <w:marTop w:val="0"/>
      <w:marBottom w:val="0"/>
      <w:divBdr>
        <w:top w:val="none" w:sz="0" w:space="0" w:color="auto"/>
        <w:left w:val="none" w:sz="0" w:space="0" w:color="auto"/>
        <w:bottom w:val="none" w:sz="0" w:space="0" w:color="auto"/>
        <w:right w:val="none" w:sz="0" w:space="0" w:color="auto"/>
      </w:divBdr>
    </w:div>
    <w:div w:id="64304113">
      <w:bodyDiv w:val="1"/>
      <w:marLeft w:val="0"/>
      <w:marRight w:val="0"/>
      <w:marTop w:val="0"/>
      <w:marBottom w:val="0"/>
      <w:divBdr>
        <w:top w:val="none" w:sz="0" w:space="0" w:color="auto"/>
        <w:left w:val="none" w:sz="0" w:space="0" w:color="auto"/>
        <w:bottom w:val="none" w:sz="0" w:space="0" w:color="auto"/>
        <w:right w:val="none" w:sz="0" w:space="0" w:color="auto"/>
      </w:divBdr>
    </w:div>
    <w:div w:id="396981151">
      <w:bodyDiv w:val="1"/>
      <w:marLeft w:val="0"/>
      <w:marRight w:val="0"/>
      <w:marTop w:val="0"/>
      <w:marBottom w:val="0"/>
      <w:divBdr>
        <w:top w:val="none" w:sz="0" w:space="0" w:color="auto"/>
        <w:left w:val="none" w:sz="0" w:space="0" w:color="auto"/>
        <w:bottom w:val="none" w:sz="0" w:space="0" w:color="auto"/>
        <w:right w:val="none" w:sz="0" w:space="0" w:color="auto"/>
      </w:divBdr>
    </w:div>
    <w:div w:id="415327181">
      <w:bodyDiv w:val="1"/>
      <w:marLeft w:val="0"/>
      <w:marRight w:val="0"/>
      <w:marTop w:val="0"/>
      <w:marBottom w:val="0"/>
      <w:divBdr>
        <w:top w:val="none" w:sz="0" w:space="0" w:color="auto"/>
        <w:left w:val="none" w:sz="0" w:space="0" w:color="auto"/>
        <w:bottom w:val="none" w:sz="0" w:space="0" w:color="auto"/>
        <w:right w:val="none" w:sz="0" w:space="0" w:color="auto"/>
      </w:divBdr>
    </w:div>
    <w:div w:id="442771772">
      <w:bodyDiv w:val="1"/>
      <w:marLeft w:val="0"/>
      <w:marRight w:val="0"/>
      <w:marTop w:val="0"/>
      <w:marBottom w:val="0"/>
      <w:divBdr>
        <w:top w:val="none" w:sz="0" w:space="0" w:color="auto"/>
        <w:left w:val="none" w:sz="0" w:space="0" w:color="auto"/>
        <w:bottom w:val="none" w:sz="0" w:space="0" w:color="auto"/>
        <w:right w:val="none" w:sz="0" w:space="0" w:color="auto"/>
      </w:divBdr>
    </w:div>
    <w:div w:id="552541525">
      <w:bodyDiv w:val="1"/>
      <w:marLeft w:val="0"/>
      <w:marRight w:val="0"/>
      <w:marTop w:val="0"/>
      <w:marBottom w:val="0"/>
      <w:divBdr>
        <w:top w:val="none" w:sz="0" w:space="0" w:color="auto"/>
        <w:left w:val="none" w:sz="0" w:space="0" w:color="auto"/>
        <w:bottom w:val="none" w:sz="0" w:space="0" w:color="auto"/>
        <w:right w:val="none" w:sz="0" w:space="0" w:color="auto"/>
      </w:divBdr>
    </w:div>
    <w:div w:id="553665482">
      <w:bodyDiv w:val="1"/>
      <w:marLeft w:val="0"/>
      <w:marRight w:val="0"/>
      <w:marTop w:val="0"/>
      <w:marBottom w:val="0"/>
      <w:divBdr>
        <w:top w:val="none" w:sz="0" w:space="0" w:color="auto"/>
        <w:left w:val="none" w:sz="0" w:space="0" w:color="auto"/>
        <w:bottom w:val="none" w:sz="0" w:space="0" w:color="auto"/>
        <w:right w:val="none" w:sz="0" w:space="0" w:color="auto"/>
      </w:divBdr>
    </w:div>
    <w:div w:id="722800000">
      <w:bodyDiv w:val="1"/>
      <w:marLeft w:val="0"/>
      <w:marRight w:val="0"/>
      <w:marTop w:val="0"/>
      <w:marBottom w:val="0"/>
      <w:divBdr>
        <w:top w:val="none" w:sz="0" w:space="0" w:color="auto"/>
        <w:left w:val="none" w:sz="0" w:space="0" w:color="auto"/>
        <w:bottom w:val="none" w:sz="0" w:space="0" w:color="auto"/>
        <w:right w:val="none" w:sz="0" w:space="0" w:color="auto"/>
      </w:divBdr>
    </w:div>
    <w:div w:id="812647950">
      <w:bodyDiv w:val="1"/>
      <w:marLeft w:val="0"/>
      <w:marRight w:val="0"/>
      <w:marTop w:val="0"/>
      <w:marBottom w:val="0"/>
      <w:divBdr>
        <w:top w:val="none" w:sz="0" w:space="0" w:color="auto"/>
        <w:left w:val="none" w:sz="0" w:space="0" w:color="auto"/>
        <w:bottom w:val="none" w:sz="0" w:space="0" w:color="auto"/>
        <w:right w:val="none" w:sz="0" w:space="0" w:color="auto"/>
      </w:divBdr>
    </w:div>
    <w:div w:id="881593208">
      <w:bodyDiv w:val="1"/>
      <w:marLeft w:val="0"/>
      <w:marRight w:val="0"/>
      <w:marTop w:val="0"/>
      <w:marBottom w:val="0"/>
      <w:divBdr>
        <w:top w:val="none" w:sz="0" w:space="0" w:color="auto"/>
        <w:left w:val="none" w:sz="0" w:space="0" w:color="auto"/>
        <w:bottom w:val="none" w:sz="0" w:space="0" w:color="auto"/>
        <w:right w:val="none" w:sz="0" w:space="0" w:color="auto"/>
      </w:divBdr>
    </w:div>
    <w:div w:id="1069155748">
      <w:bodyDiv w:val="1"/>
      <w:marLeft w:val="0"/>
      <w:marRight w:val="0"/>
      <w:marTop w:val="0"/>
      <w:marBottom w:val="0"/>
      <w:divBdr>
        <w:top w:val="none" w:sz="0" w:space="0" w:color="auto"/>
        <w:left w:val="none" w:sz="0" w:space="0" w:color="auto"/>
        <w:bottom w:val="none" w:sz="0" w:space="0" w:color="auto"/>
        <w:right w:val="none" w:sz="0" w:space="0" w:color="auto"/>
      </w:divBdr>
    </w:div>
    <w:div w:id="1249853718">
      <w:bodyDiv w:val="1"/>
      <w:marLeft w:val="0"/>
      <w:marRight w:val="0"/>
      <w:marTop w:val="0"/>
      <w:marBottom w:val="0"/>
      <w:divBdr>
        <w:top w:val="none" w:sz="0" w:space="0" w:color="auto"/>
        <w:left w:val="none" w:sz="0" w:space="0" w:color="auto"/>
        <w:bottom w:val="none" w:sz="0" w:space="0" w:color="auto"/>
        <w:right w:val="none" w:sz="0" w:space="0" w:color="auto"/>
      </w:divBdr>
    </w:div>
    <w:div w:id="1301036769">
      <w:bodyDiv w:val="1"/>
      <w:marLeft w:val="0"/>
      <w:marRight w:val="0"/>
      <w:marTop w:val="0"/>
      <w:marBottom w:val="0"/>
      <w:divBdr>
        <w:top w:val="none" w:sz="0" w:space="0" w:color="auto"/>
        <w:left w:val="none" w:sz="0" w:space="0" w:color="auto"/>
        <w:bottom w:val="none" w:sz="0" w:space="0" w:color="auto"/>
        <w:right w:val="none" w:sz="0" w:space="0" w:color="auto"/>
      </w:divBdr>
    </w:div>
    <w:div w:id="1307128924">
      <w:bodyDiv w:val="1"/>
      <w:marLeft w:val="0"/>
      <w:marRight w:val="0"/>
      <w:marTop w:val="0"/>
      <w:marBottom w:val="0"/>
      <w:divBdr>
        <w:top w:val="none" w:sz="0" w:space="0" w:color="auto"/>
        <w:left w:val="none" w:sz="0" w:space="0" w:color="auto"/>
        <w:bottom w:val="none" w:sz="0" w:space="0" w:color="auto"/>
        <w:right w:val="none" w:sz="0" w:space="0" w:color="auto"/>
      </w:divBdr>
    </w:div>
    <w:div w:id="1404135915">
      <w:bodyDiv w:val="1"/>
      <w:marLeft w:val="0"/>
      <w:marRight w:val="0"/>
      <w:marTop w:val="0"/>
      <w:marBottom w:val="0"/>
      <w:divBdr>
        <w:top w:val="none" w:sz="0" w:space="0" w:color="auto"/>
        <w:left w:val="none" w:sz="0" w:space="0" w:color="auto"/>
        <w:bottom w:val="none" w:sz="0" w:space="0" w:color="auto"/>
        <w:right w:val="none" w:sz="0" w:space="0" w:color="auto"/>
      </w:divBdr>
    </w:div>
    <w:div w:id="1543790237">
      <w:bodyDiv w:val="1"/>
      <w:marLeft w:val="0"/>
      <w:marRight w:val="0"/>
      <w:marTop w:val="0"/>
      <w:marBottom w:val="0"/>
      <w:divBdr>
        <w:top w:val="none" w:sz="0" w:space="0" w:color="auto"/>
        <w:left w:val="none" w:sz="0" w:space="0" w:color="auto"/>
        <w:bottom w:val="none" w:sz="0" w:space="0" w:color="auto"/>
        <w:right w:val="none" w:sz="0" w:space="0" w:color="auto"/>
      </w:divBdr>
    </w:div>
    <w:div w:id="1551771322">
      <w:bodyDiv w:val="1"/>
      <w:marLeft w:val="0"/>
      <w:marRight w:val="0"/>
      <w:marTop w:val="0"/>
      <w:marBottom w:val="0"/>
      <w:divBdr>
        <w:top w:val="none" w:sz="0" w:space="0" w:color="auto"/>
        <w:left w:val="none" w:sz="0" w:space="0" w:color="auto"/>
        <w:bottom w:val="none" w:sz="0" w:space="0" w:color="auto"/>
        <w:right w:val="none" w:sz="0" w:space="0" w:color="auto"/>
      </w:divBdr>
    </w:div>
    <w:div w:id="1568954828">
      <w:bodyDiv w:val="1"/>
      <w:marLeft w:val="0"/>
      <w:marRight w:val="0"/>
      <w:marTop w:val="0"/>
      <w:marBottom w:val="0"/>
      <w:divBdr>
        <w:top w:val="none" w:sz="0" w:space="0" w:color="auto"/>
        <w:left w:val="none" w:sz="0" w:space="0" w:color="auto"/>
        <w:bottom w:val="none" w:sz="0" w:space="0" w:color="auto"/>
        <w:right w:val="none" w:sz="0" w:space="0" w:color="auto"/>
      </w:divBdr>
    </w:div>
    <w:div w:id="1653487264">
      <w:bodyDiv w:val="1"/>
      <w:marLeft w:val="0"/>
      <w:marRight w:val="0"/>
      <w:marTop w:val="0"/>
      <w:marBottom w:val="0"/>
      <w:divBdr>
        <w:top w:val="none" w:sz="0" w:space="0" w:color="auto"/>
        <w:left w:val="none" w:sz="0" w:space="0" w:color="auto"/>
        <w:bottom w:val="none" w:sz="0" w:space="0" w:color="auto"/>
        <w:right w:val="none" w:sz="0" w:space="0" w:color="auto"/>
      </w:divBdr>
    </w:div>
    <w:div w:id="1659068822">
      <w:bodyDiv w:val="1"/>
      <w:marLeft w:val="0"/>
      <w:marRight w:val="0"/>
      <w:marTop w:val="0"/>
      <w:marBottom w:val="0"/>
      <w:divBdr>
        <w:top w:val="none" w:sz="0" w:space="0" w:color="auto"/>
        <w:left w:val="none" w:sz="0" w:space="0" w:color="auto"/>
        <w:bottom w:val="none" w:sz="0" w:space="0" w:color="auto"/>
        <w:right w:val="none" w:sz="0" w:space="0" w:color="auto"/>
      </w:divBdr>
    </w:div>
    <w:div w:id="1659920445">
      <w:bodyDiv w:val="1"/>
      <w:marLeft w:val="0"/>
      <w:marRight w:val="0"/>
      <w:marTop w:val="0"/>
      <w:marBottom w:val="0"/>
      <w:divBdr>
        <w:top w:val="none" w:sz="0" w:space="0" w:color="auto"/>
        <w:left w:val="none" w:sz="0" w:space="0" w:color="auto"/>
        <w:bottom w:val="none" w:sz="0" w:space="0" w:color="auto"/>
        <w:right w:val="none" w:sz="0" w:space="0" w:color="auto"/>
      </w:divBdr>
    </w:div>
    <w:div w:id="1757283646">
      <w:bodyDiv w:val="1"/>
      <w:marLeft w:val="0"/>
      <w:marRight w:val="0"/>
      <w:marTop w:val="0"/>
      <w:marBottom w:val="0"/>
      <w:divBdr>
        <w:top w:val="none" w:sz="0" w:space="0" w:color="auto"/>
        <w:left w:val="none" w:sz="0" w:space="0" w:color="auto"/>
        <w:bottom w:val="none" w:sz="0" w:space="0" w:color="auto"/>
        <w:right w:val="none" w:sz="0" w:space="0" w:color="auto"/>
      </w:divBdr>
    </w:div>
    <w:div w:id="1863089000">
      <w:bodyDiv w:val="1"/>
      <w:marLeft w:val="0"/>
      <w:marRight w:val="0"/>
      <w:marTop w:val="0"/>
      <w:marBottom w:val="0"/>
      <w:divBdr>
        <w:top w:val="none" w:sz="0" w:space="0" w:color="auto"/>
        <w:left w:val="none" w:sz="0" w:space="0" w:color="auto"/>
        <w:bottom w:val="none" w:sz="0" w:space="0" w:color="auto"/>
        <w:right w:val="none" w:sz="0" w:space="0" w:color="auto"/>
      </w:divBdr>
    </w:div>
    <w:div w:id="1982879168">
      <w:bodyDiv w:val="1"/>
      <w:marLeft w:val="0"/>
      <w:marRight w:val="0"/>
      <w:marTop w:val="0"/>
      <w:marBottom w:val="0"/>
      <w:divBdr>
        <w:top w:val="none" w:sz="0" w:space="0" w:color="auto"/>
        <w:left w:val="none" w:sz="0" w:space="0" w:color="auto"/>
        <w:bottom w:val="none" w:sz="0" w:space="0" w:color="auto"/>
        <w:right w:val="none" w:sz="0" w:space="0" w:color="auto"/>
      </w:divBdr>
    </w:div>
    <w:div w:id="2023431685">
      <w:bodyDiv w:val="1"/>
      <w:marLeft w:val="0"/>
      <w:marRight w:val="0"/>
      <w:marTop w:val="0"/>
      <w:marBottom w:val="0"/>
      <w:divBdr>
        <w:top w:val="none" w:sz="0" w:space="0" w:color="auto"/>
        <w:left w:val="none" w:sz="0" w:space="0" w:color="auto"/>
        <w:bottom w:val="none" w:sz="0" w:space="0" w:color="auto"/>
        <w:right w:val="none" w:sz="0" w:space="0" w:color="auto"/>
      </w:divBdr>
    </w:div>
    <w:div w:id="2080245001">
      <w:bodyDiv w:val="1"/>
      <w:marLeft w:val="0"/>
      <w:marRight w:val="0"/>
      <w:marTop w:val="0"/>
      <w:marBottom w:val="0"/>
      <w:divBdr>
        <w:top w:val="none" w:sz="0" w:space="0" w:color="auto"/>
        <w:left w:val="none" w:sz="0" w:space="0" w:color="auto"/>
        <w:bottom w:val="none" w:sz="0" w:space="0" w:color="auto"/>
        <w:right w:val="none" w:sz="0" w:space="0" w:color="auto"/>
      </w:divBdr>
    </w:div>
    <w:div w:id="208818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18" Type="http://schemas.openxmlformats.org/officeDocument/2006/relationships/customXml" Target="../customXml/item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www.isc2.org/Research/Workforce-Study" TargetMode="External"/><Relationship Id="rId3" Type="http://schemas.openxmlformats.org/officeDocument/2006/relationships/hyperlink" Target="https://www.fbi.gov/news/stories/ic3-releases-2016-internet-crime-report" TargetMode="External"/><Relationship Id="rId7" Type="http://schemas.openxmlformats.org/officeDocument/2006/relationships/hyperlink" Target="http://www.cuti.org.uy" TargetMode="External"/><Relationship Id="rId2" Type="http://schemas.openxmlformats.org/officeDocument/2006/relationships/hyperlink" Target="https://www.accenture.com/us-en/insight-cost-of-cybercrime-2017" TargetMode="External"/><Relationship Id="rId1" Type="http://schemas.openxmlformats.org/officeDocument/2006/relationships/hyperlink" Target="https://www.fbi.gov/news/stories/2017-internet-crime-report-released-050718" TargetMode="External"/><Relationship Id="rId6" Type="http://schemas.openxmlformats.org/officeDocument/2006/relationships/hyperlink" Target="https://publications.iadb.org/publications/english/document/Advanced-Experiences-in-Cybersecurity-Policies-and-Practices-An-Overview-of-Estonia-Israel-South-Korea-and-the-United-States.pdf" TargetMode="External"/><Relationship Id="rId5" Type="http://schemas.openxmlformats.org/officeDocument/2006/relationships/hyperlink" Target="https://publications.iadb.org/en/publication/17071/cybersecurity-are-we-ready-latin-america-and-caribbean" TargetMode="External"/><Relationship Id="rId4" Type="http://schemas.openxmlformats.org/officeDocument/2006/relationships/hyperlink" Target="https://www.fbi.gov/news/stories/2017-internet-crime-report-released-0507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ct:contentTypeSchema xmlns:ct="http://schemas.microsoft.com/office/2006/metadata/contentType" xmlns:ma="http://schemas.microsoft.com/office/2006/metadata/properties/metaAttributes" ct:_="" ma:_="" ma:contentTypeName="ez-Operations" ma:contentTypeID="0x010100ACF722E9F6B0B149B0CD8BE2560A66720007D89BA67F925C43A4D60B968ABF36C9" ma:contentTypeVersion="1355" ma:contentTypeDescription="The base project type from which other project content types inherit their information." ma:contentTypeScope="" ma:versionID="0479e2c62d52797d0ae2cd1ecc1e6963">
  <xsd:schema xmlns:xsd="http://www.w3.org/2001/XMLSchema" xmlns:xs="http://www.w3.org/2001/XMLSchema" xmlns:p="http://schemas.microsoft.com/office/2006/metadata/properties" xmlns:ns2="cdc7663a-08f0-4737-9e8c-148ce897a09c" targetNamespace="http://schemas.microsoft.com/office/2006/metadata/properties" ma:root="true" ma:fieldsID="c1ec83e9f6a40a157e563a3ad7d409c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UR-L115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e61f9b1-e23d-4f49-b3d7-56b991556c4b" ContentTypeId="0x0101001A458A224826124E8B45B1D613300CFC"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R0002959497</Record_x0020_Number>
    <Key_x0020_Document xmlns="cdc7663a-08f0-4737-9e8c-148ce897a09c">false</Key_x0020_Document>
    <Division_x0020_or_x0020_Unit xmlns="cdc7663a-08f0-4737-9e8c-148ce897a09c">IFD/ICS</Division_x0020_or_x0020_Unit>
    <IDBDocs_x0020_Number xmlns="cdc7663a-08f0-4737-9e8c-148ce897a09c" xsi:nil="true"/>
    <Document_x0020_Author xmlns="cdc7663a-08f0-4737-9e8c-148ce897a09c">Hoffman, Nathalie Alexandra</Document_x0020_Author>
    <_dlc_DocId xmlns="cdc7663a-08f0-4737-9e8c-148ce897a09c">EZSHARE-716771216-28</_dlc_DocId>
    <Operation_x0020_Type xmlns="cdc7663a-08f0-4737-9e8c-148ce897a09c">Loan Operation</Operation_x0020_Typ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TaxCatchAll xmlns="cdc7663a-08f0-4737-9e8c-148ce897a09c">
      <Value>41</Value>
      <Value>40</Value>
      <Value>32</Value>
      <Value>30</Value>
      <Value>1</Value>
    </TaxCatchAll>
    <Fiscal_x0020_Year_x0020_IDB xmlns="cdc7663a-08f0-4737-9e8c-148ce897a09c" xsi:nil="true"/>
    <b26cdb1da78c4bb4b1c1bac2f6ac5911 xmlns="cdc7663a-08f0-4737-9e8c-148ce897a09c">
      <Terms xmlns="http://schemas.microsoft.com/office/infopath/2007/PartnerControls"/>
    </b26cdb1da78c4bb4b1c1bac2f6ac5911>
    <Project_x0020_Number xmlns="cdc7663a-08f0-4737-9e8c-148ce897a09c">UR-L1152</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 - Simultaneous Disclosure</Access_x0020_to_x0020_Information_x00a0_Policy>
    <SISCOR_x0020_Number xmlns="cdc7663a-08f0-4737-9e8c-148ce897a09c" xsi:nil="true"/>
    <Identifier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E-GOVERNMENT</TermName>
          <TermId xmlns="http://schemas.microsoft.com/office/infopath/2007/PartnerControls">281505e9-fdf9-47b0-b36a-d5df63f0fdea</TermId>
        </TermInfo>
      </Terms>
    </b2ec7cfb18674cb8803df6b262e8b107>
    <Document_x0020_Language_x0020_IDB xmlns="cdc7663a-08f0-4737-9e8c-148ce897a09c">English</Document_x0020_Language_x0020_IDB>
    <_dlc_DocIdUrl xmlns="cdc7663a-08f0-4737-9e8c-148ce897a09c">
      <Url>https://idbg.sharepoint.com/teams/EZ-UR-LON/UR-L1152/_layouts/15/DocIdRedir.aspx?ID=EZSHARE-716771216-28</Url>
      <Description>EZSHARE-716771216-28</Description>
    </_dlc_DocIdUrl>
    <Phase xmlns="cdc7663a-08f0-4737-9e8c-148ce897a09c" xsi:nil="true"/>
    <Other_x0020_Author xmlns="cdc7663a-08f0-4737-9e8c-148ce897a09c" xsi:nil="true"/>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8.xml><?xml version="1.0" encoding="utf-8"?>
<ct:contentTypeSchema xmlns:ct="http://schemas.microsoft.com/office/2006/metadata/contentType" xmlns:ma="http://schemas.microsoft.com/office/2006/metadata/properties/metaAttributes" ct:_="" ma:_="" ma:contentTypeName="ez-Operations" ma:contentTypeID="0x010100ACF722E9F6B0B149B0CD8BE2560A66720007D89BA67F925C43A4D60B968ABF36C9" ma:contentTypeVersion="1364" ma:contentTypeDescription="The base project type from which other project content types inherit their information." ma:contentTypeScope="" ma:versionID="87d0992af965e91a88bdbc2409ca936c">
  <xsd:schema xmlns:xsd="http://www.w3.org/2001/XMLSchema" xmlns:xs="http://www.w3.org/2001/XMLSchema" xmlns:p="http://schemas.microsoft.com/office/2006/metadata/properties" xmlns:ns2="cdc7663a-08f0-4737-9e8c-148ce897a09c" targetNamespace="http://schemas.microsoft.com/office/2006/metadata/properties" ma:root="true" ma:fieldsID="c1ec83e9f6a40a157e563a3ad7d409c0"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UR-L1152"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03C7B316F2B32646A00F9D625A2EA352" ma:contentTypeVersion="1500" ma:contentTypeDescription="A content type to manage public (operations) IDB documents" ma:contentTypeScope="" ma:versionID="69a6caeb83f17867cece3939debab6c5">
  <xsd:schema xmlns:xsd="http://www.w3.org/2001/XMLSchema" xmlns:xs="http://www.w3.org/2001/XMLSchema" xmlns:p="http://schemas.microsoft.com/office/2006/metadata/properties" xmlns:ns2="cdc7663a-08f0-4737-9e8c-148ce897a09c" targetNamespace="http://schemas.microsoft.com/office/2006/metadata/properties" ma:root="true" ma:fieldsID="af62c7b587cf328f49e8cb040bb76c2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UR-L1152"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Loan 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D0FD6-2176-42E9-871D-E4BA3DF1D3CA}">
  <ds:schemaRefs>
    <ds:schemaRef ds:uri="http://schemas.openxmlformats.org/officeDocument/2006/bibliography"/>
  </ds:schemaRefs>
</ds:datastoreItem>
</file>

<file path=customXml/itemProps10.xml><?xml version="1.0" encoding="utf-8"?>
<ds:datastoreItem xmlns:ds="http://schemas.openxmlformats.org/officeDocument/2006/customXml" ds:itemID="{4C3D336F-C139-4F34-8A35-0351448403E9}"/>
</file>

<file path=customXml/itemProps11.xml><?xml version="1.0" encoding="utf-8"?>
<ds:datastoreItem xmlns:ds="http://schemas.openxmlformats.org/officeDocument/2006/customXml" ds:itemID="{DB7EDB56-BFC7-445B-AA0F-420E579C49C8}"/>
</file>

<file path=customXml/itemProps2.xml><?xml version="1.0" encoding="utf-8"?>
<ds:datastoreItem xmlns:ds="http://schemas.openxmlformats.org/officeDocument/2006/customXml" ds:itemID="{4092802F-A999-423D-821F-7FADD24C69A9}"/>
</file>

<file path=customXml/itemProps3.xml><?xml version="1.0" encoding="utf-8"?>
<ds:datastoreItem xmlns:ds="http://schemas.openxmlformats.org/officeDocument/2006/customXml" ds:itemID="{C5F35259-090D-458A-B148-683465E12741}"/>
</file>

<file path=customXml/itemProps4.xml><?xml version="1.0" encoding="utf-8"?>
<ds:datastoreItem xmlns:ds="http://schemas.openxmlformats.org/officeDocument/2006/customXml" ds:itemID="{939E84A8-8CD9-48F6-A757-4556E086458F}"/>
</file>

<file path=customXml/itemProps5.xml><?xml version="1.0" encoding="utf-8"?>
<ds:datastoreItem xmlns:ds="http://schemas.openxmlformats.org/officeDocument/2006/customXml" ds:itemID="{52893B52-68EB-4D7A-A8B4-0732B420D5A6}"/>
</file>

<file path=customXml/itemProps6.xml><?xml version="1.0" encoding="utf-8"?>
<ds:datastoreItem xmlns:ds="http://schemas.openxmlformats.org/officeDocument/2006/customXml" ds:itemID="{F76561C4-A1DE-4DAE-B761-3E85E63F80DF}"/>
</file>

<file path=customXml/itemProps7.xml><?xml version="1.0" encoding="utf-8"?>
<ds:datastoreItem xmlns:ds="http://schemas.openxmlformats.org/officeDocument/2006/customXml" ds:itemID="{57EB15E3-0DD9-4DBA-95F2-ED4F49422264}"/>
</file>

<file path=customXml/itemProps8.xml><?xml version="1.0" encoding="utf-8"?>
<ds:datastoreItem xmlns:ds="http://schemas.openxmlformats.org/officeDocument/2006/customXml" ds:itemID="{E5A4C6D6-E897-4B95-86C9-38449D94D6BB}"/>
</file>

<file path=customXml/itemProps9.xml><?xml version="1.0" encoding="utf-8"?>
<ds:datastoreItem xmlns:ds="http://schemas.openxmlformats.org/officeDocument/2006/customXml" ds:itemID="{47D66477-819C-40A1-B444-9CDACEF9DCBC}"/>
</file>

<file path=docProps/app.xml><?xml version="1.0" encoding="utf-8"?>
<Properties xmlns="http://schemas.openxmlformats.org/officeDocument/2006/extended-properties" xmlns:vt="http://schemas.openxmlformats.org/officeDocument/2006/docPropsVTypes">
  <Template>Normal.dotm</Template>
  <TotalTime>42</TotalTime>
  <Pages>9</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Rojas Gonzalez, Sonia Amalia</cp:lastModifiedBy>
  <cp:revision>15</cp:revision>
  <dcterms:created xsi:type="dcterms:W3CDTF">2019-05-06T20:17:00Z</dcterms:created>
  <dcterms:modified xsi:type="dcterms:W3CDTF">2019-05-30T19:48:00Z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41;#E-GOVERNMENT|281505e9-fdf9-47b0-b36a-d5df63f0fdea</vt:lpwstr>
  </property>
  <property fmtid="{D5CDD505-2E9C-101B-9397-08002B2CF9AE}" pid="7" name="Country">
    <vt:lpwstr>32;#Uruguay|5d9b6fdd-d595-4446-a0eb-c14b465f6d0e</vt:lpwstr>
  </property>
  <property fmtid="{D5CDD505-2E9C-101B-9397-08002B2CF9AE}" pid="8" name="Fund IDB">
    <vt:lpwstr>30;#ORC|c028a4b2-ad8b-4cf4-9cac-a2ae6a778e23</vt:lpwstr>
  </property>
  <property fmtid="{D5CDD505-2E9C-101B-9397-08002B2CF9AE}" pid="9" name="_dlc_DocIdItemGuid">
    <vt:lpwstr>4f39c700-1c78-4db3-8023-d21143b1ceca</vt:lpwstr>
  </property>
  <property fmtid="{D5CDD505-2E9C-101B-9397-08002B2CF9AE}" pid="10" name="Sector IDB">
    <vt:lpwstr>40;#REFORM / MODERNIZATION OF THE STATE|c8fda4a7-691a-4c65-b227-9825197b5cd2</vt:lpwstr>
  </property>
  <property fmtid="{D5CDD505-2E9C-101B-9397-08002B2CF9AE}" pid="11" name="Function Operations IDB">
    <vt:lpwstr>1;#Project Preparation, Planning and Design|29ca0c72-1fc4-435f-a09c-28585cb5eac9</vt:lpwstr>
  </property>
  <property fmtid="{D5CDD505-2E9C-101B-9397-08002B2CF9AE}" pid="12" name="Disclosure Activity">
    <vt:lpwstr>Loan Proposal</vt:lpwstr>
  </property>
  <property fmtid="{D5CDD505-2E9C-101B-9397-08002B2CF9AE}" pid="13" name="ContentTypeId">
    <vt:lpwstr>0x0101001A458A224826124E8B45B1D613300CFC0003C7B316F2B32646A00F9D625A2EA352</vt:lpwstr>
  </property>
</Properties>
</file>